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D645" w14:textId="0E1297AB" w:rsidR="001C2EB0" w:rsidRDefault="001C2EB0" w:rsidP="00677857">
      <w:pPr>
        <w:ind w:left="0"/>
        <w:jc w:val="center"/>
        <w:rPr>
          <w:rFonts w:asciiTheme="minorHAnsi" w:hAnsiTheme="minorHAnsi"/>
          <w:color w:val="auto"/>
          <w:sz w:val="22"/>
          <w:lang w:eastAsia="en-US"/>
        </w:rPr>
      </w:pPr>
      <w:bookmarkStart w:id="0" w:name="_Toc298139587"/>
      <w:bookmarkStart w:id="1" w:name="_Hlk149047751"/>
      <w:r>
        <w:rPr>
          <w:rFonts w:asciiTheme="minorHAnsi" w:hAnsiTheme="minorHAnsi"/>
          <w:noProof/>
          <w:sz w:val="22"/>
          <w:lang w:val="hr-HR" w:eastAsia="hr-HR"/>
        </w:rPr>
        <w:drawing>
          <wp:inline distT="0" distB="0" distL="0" distR="0" wp14:anchorId="02A57024" wp14:editId="334C3824">
            <wp:extent cx="50482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9E7C997" w14:textId="77777777" w:rsidR="001C2EB0" w:rsidRPr="001C2EB0" w:rsidRDefault="001C2EB0" w:rsidP="00677857">
      <w:pPr>
        <w:spacing w:before="60" w:after="1680" w:line="276" w:lineRule="auto"/>
        <w:ind w:left="0"/>
        <w:jc w:val="center"/>
        <w:rPr>
          <w:rFonts w:ascii="Times New Roman" w:hAnsi="Times New Roman" w:cs="Times New Roman"/>
          <w:sz w:val="28"/>
          <w:szCs w:val="28"/>
          <w:lang w:eastAsia="en-US"/>
        </w:rPr>
      </w:pPr>
      <w:r w:rsidRPr="001C2EB0">
        <w:rPr>
          <w:rFonts w:ascii="Times New Roman" w:hAnsi="Times New Roman" w:cs="Times New Roman"/>
          <w:sz w:val="28"/>
          <w:szCs w:val="28"/>
          <w:lang w:eastAsia="en-US"/>
        </w:rPr>
        <w:t>VLADA REPUBLIKE HRVATSKE</w:t>
      </w:r>
    </w:p>
    <w:p w14:paraId="7C2DA35B" w14:textId="77777777" w:rsidR="001C2EB0" w:rsidRPr="001C2EB0" w:rsidRDefault="001C2EB0" w:rsidP="00677857">
      <w:pPr>
        <w:spacing w:after="200" w:line="276" w:lineRule="auto"/>
        <w:ind w:left="0"/>
        <w:rPr>
          <w:rFonts w:ascii="Times New Roman" w:hAnsi="Times New Roman" w:cs="Times New Roman"/>
          <w:sz w:val="24"/>
          <w:szCs w:val="24"/>
          <w:lang w:eastAsia="en-US"/>
        </w:rPr>
      </w:pPr>
    </w:p>
    <w:p w14:paraId="7DE0E3C6" w14:textId="6EE54847" w:rsidR="001C2EB0" w:rsidRPr="001C2EB0" w:rsidRDefault="001C2EB0" w:rsidP="00677857">
      <w:pPr>
        <w:spacing w:after="200" w:line="276" w:lineRule="auto"/>
        <w:ind w:left="0"/>
        <w:jc w:val="right"/>
        <w:rPr>
          <w:rFonts w:ascii="Times New Roman" w:hAnsi="Times New Roman" w:cs="Times New Roman"/>
          <w:sz w:val="24"/>
          <w:szCs w:val="24"/>
          <w:lang w:eastAsia="en-US"/>
        </w:rPr>
      </w:pPr>
      <w:r>
        <w:rPr>
          <w:rFonts w:ascii="Times New Roman" w:hAnsi="Times New Roman" w:cs="Times New Roman"/>
          <w:sz w:val="24"/>
          <w:szCs w:val="24"/>
          <w:lang w:eastAsia="en-US"/>
        </w:rPr>
        <w:t>Zagre</w:t>
      </w:r>
      <w:r w:rsidR="00E15173">
        <w:rPr>
          <w:rFonts w:ascii="Times New Roman" w:hAnsi="Times New Roman" w:cs="Times New Roman"/>
          <w:sz w:val="24"/>
          <w:szCs w:val="24"/>
          <w:lang w:eastAsia="en-US"/>
        </w:rPr>
        <w:t xml:space="preserve">b, 22. </w:t>
      </w:r>
      <w:r>
        <w:rPr>
          <w:rFonts w:ascii="Times New Roman" w:hAnsi="Times New Roman" w:cs="Times New Roman"/>
          <w:sz w:val="24"/>
          <w:szCs w:val="24"/>
          <w:lang w:eastAsia="en-US"/>
        </w:rPr>
        <w:t>veljače 2024</w:t>
      </w:r>
      <w:r w:rsidRPr="001C2EB0">
        <w:rPr>
          <w:rFonts w:ascii="Times New Roman" w:hAnsi="Times New Roman" w:cs="Times New Roman"/>
          <w:sz w:val="24"/>
          <w:szCs w:val="24"/>
          <w:lang w:eastAsia="en-US"/>
        </w:rPr>
        <w:t>.</w:t>
      </w:r>
    </w:p>
    <w:p w14:paraId="378F1DBD" w14:textId="77777777" w:rsidR="001C2EB0" w:rsidRPr="001C2EB0" w:rsidRDefault="001C2EB0" w:rsidP="00677857">
      <w:pPr>
        <w:spacing w:after="200" w:line="276" w:lineRule="auto"/>
        <w:ind w:left="0"/>
        <w:jc w:val="right"/>
        <w:rPr>
          <w:rFonts w:ascii="Times New Roman" w:hAnsi="Times New Roman" w:cs="Times New Roman"/>
          <w:sz w:val="24"/>
          <w:szCs w:val="24"/>
          <w:lang w:eastAsia="en-US"/>
        </w:rPr>
      </w:pPr>
    </w:p>
    <w:p w14:paraId="7EBA544F" w14:textId="09BD95F9" w:rsidR="001C2EB0" w:rsidRPr="001C2EB0" w:rsidRDefault="001C2EB0" w:rsidP="00677857">
      <w:pPr>
        <w:spacing w:after="200" w:line="276" w:lineRule="auto"/>
        <w:ind w:left="0"/>
        <w:rPr>
          <w:rFonts w:ascii="Times New Roman" w:hAnsi="Times New Roman" w:cs="Times New Roman"/>
          <w:sz w:val="24"/>
          <w:szCs w:val="24"/>
          <w:lang w:eastAsia="en-US"/>
        </w:rPr>
      </w:pPr>
    </w:p>
    <w:p w14:paraId="4D41568E" w14:textId="54A9C6E1" w:rsidR="001C2EB0" w:rsidRPr="001C2EB0" w:rsidRDefault="001C2EB0" w:rsidP="00677857">
      <w:pPr>
        <w:spacing w:after="200" w:line="276" w:lineRule="auto"/>
        <w:ind w:left="0"/>
        <w:rPr>
          <w:rFonts w:ascii="Times New Roman" w:hAnsi="Times New Roman" w:cs="Times New Roman"/>
          <w:sz w:val="24"/>
          <w:szCs w:val="24"/>
          <w:lang w:eastAsia="en-US"/>
        </w:rPr>
      </w:pPr>
      <w:r w:rsidRPr="001C2EB0">
        <w:rPr>
          <w:rFonts w:ascii="Times New Roman" w:hAnsi="Times New Roman" w:cs="Times New Roman"/>
          <w:sz w:val="24"/>
          <w:szCs w:val="24"/>
          <w:lang w:eastAsia="en-US"/>
        </w:rPr>
        <w:t>__________________________________________</w:t>
      </w:r>
      <w:r>
        <w:rPr>
          <w:rFonts w:ascii="Times New Roman" w:hAnsi="Times New Roman" w:cs="Times New Roman"/>
          <w:sz w:val="24"/>
          <w:szCs w:val="24"/>
          <w:lang w:eastAsia="en-US"/>
        </w:rPr>
        <w:t>__________________________</w:t>
      </w:r>
      <w:r w:rsidR="00CA28AB">
        <w:rPr>
          <w:rFonts w:ascii="Times New Roman" w:hAnsi="Times New Roman" w:cs="Times New Roman"/>
          <w:sz w:val="24"/>
          <w:szCs w:val="24"/>
          <w:lang w:eastAsia="en-US"/>
        </w:rPr>
        <w:t>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6348"/>
      </w:tblGrid>
      <w:tr w:rsidR="001C2EB0" w:rsidRPr="001C2EB0" w14:paraId="56D9B83E" w14:textId="77777777" w:rsidTr="001C2EB0">
        <w:tc>
          <w:tcPr>
            <w:tcW w:w="2724" w:type="dxa"/>
            <w:hideMark/>
          </w:tcPr>
          <w:p w14:paraId="5EA2692A" w14:textId="242367B9" w:rsidR="001C2EB0" w:rsidRPr="001C2EB0" w:rsidRDefault="001C2EB0" w:rsidP="00677857">
            <w:pPr>
              <w:spacing w:line="360" w:lineRule="auto"/>
              <w:ind w:left="0"/>
              <w:jc w:val="right"/>
              <w:rPr>
                <w:rFonts w:ascii="Times New Roman" w:eastAsia="Times New Roman" w:hAnsi="Times New Roman" w:cs="Times New Roman"/>
                <w:sz w:val="24"/>
                <w:szCs w:val="24"/>
                <w:lang w:eastAsia="hr-HR"/>
              </w:rPr>
            </w:pPr>
            <w:r w:rsidRPr="001C2EB0">
              <w:rPr>
                <w:rFonts w:ascii="Times New Roman" w:hAnsi="Times New Roman" w:cs="Times New Roman"/>
                <w:b/>
                <w:smallCaps/>
                <w:sz w:val="24"/>
                <w:szCs w:val="24"/>
              </w:rPr>
              <w:t>Predlagatelj</w:t>
            </w:r>
            <w:r w:rsidRPr="001C2EB0">
              <w:rPr>
                <w:rFonts w:ascii="Times New Roman" w:hAnsi="Times New Roman" w:cs="Times New Roman"/>
                <w:b/>
                <w:sz w:val="24"/>
                <w:szCs w:val="24"/>
              </w:rPr>
              <w:t>:</w:t>
            </w:r>
          </w:p>
        </w:tc>
        <w:tc>
          <w:tcPr>
            <w:tcW w:w="6348" w:type="dxa"/>
            <w:hideMark/>
          </w:tcPr>
          <w:p w14:paraId="17A95976" w14:textId="6BEE2C69" w:rsidR="001C2EB0" w:rsidRPr="001C2EB0" w:rsidRDefault="001C2EB0" w:rsidP="00677857">
            <w:pPr>
              <w:spacing w:line="360" w:lineRule="auto"/>
              <w:ind w:left="0"/>
              <w:rPr>
                <w:rFonts w:ascii="Times New Roman" w:hAnsi="Times New Roman" w:cs="Times New Roman"/>
                <w:sz w:val="24"/>
                <w:szCs w:val="24"/>
              </w:rPr>
            </w:pPr>
            <w:r w:rsidRPr="001C2EB0">
              <w:rPr>
                <w:rFonts w:ascii="Times New Roman" w:hAnsi="Times New Roman" w:cs="Times New Roman"/>
                <w:sz w:val="24"/>
                <w:szCs w:val="24"/>
              </w:rPr>
              <w:t>Ministarstvo mora, prometa i infrastrukture</w:t>
            </w:r>
          </w:p>
        </w:tc>
      </w:tr>
    </w:tbl>
    <w:p w14:paraId="797DFB16" w14:textId="181D21FD" w:rsidR="001C2EB0" w:rsidRPr="001C2EB0" w:rsidRDefault="001C2EB0" w:rsidP="00677857">
      <w:pPr>
        <w:spacing w:after="200" w:line="276" w:lineRule="auto"/>
        <w:ind w:left="0"/>
        <w:rPr>
          <w:rFonts w:ascii="Times New Roman" w:hAnsi="Times New Roman" w:cs="Times New Roman"/>
          <w:sz w:val="24"/>
          <w:szCs w:val="24"/>
          <w:lang w:eastAsia="en-US"/>
        </w:rPr>
      </w:pPr>
      <w:r w:rsidRPr="001C2EB0">
        <w:rPr>
          <w:rFonts w:ascii="Times New Roman" w:hAnsi="Times New Roman" w:cs="Times New Roman"/>
          <w:sz w:val="24"/>
          <w:szCs w:val="24"/>
          <w:lang w:eastAsia="en-US"/>
        </w:rPr>
        <w:t>__________________________________________</w:t>
      </w:r>
      <w:r>
        <w:rPr>
          <w:rFonts w:ascii="Times New Roman" w:hAnsi="Times New Roman" w:cs="Times New Roman"/>
          <w:sz w:val="24"/>
          <w:szCs w:val="24"/>
          <w:lang w:eastAsia="en-US"/>
        </w:rPr>
        <w:t>__________________________</w:t>
      </w:r>
      <w:r w:rsidR="00CA28AB">
        <w:rPr>
          <w:rFonts w:ascii="Times New Roman" w:hAnsi="Times New Roman" w:cs="Times New Roman"/>
          <w:sz w:val="24"/>
          <w:szCs w:val="24"/>
          <w:lang w:eastAsia="en-US"/>
        </w:rPr>
        <w:t>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1C2EB0" w:rsidRPr="001C2EB0" w14:paraId="7073BE1C" w14:textId="77777777" w:rsidTr="001C2EB0">
        <w:tc>
          <w:tcPr>
            <w:tcW w:w="2694" w:type="dxa"/>
            <w:hideMark/>
          </w:tcPr>
          <w:p w14:paraId="71166FA7" w14:textId="77777777" w:rsidR="001C2EB0" w:rsidRPr="001C2EB0" w:rsidRDefault="001C2EB0" w:rsidP="00677857">
            <w:pPr>
              <w:spacing w:line="360" w:lineRule="auto"/>
              <w:ind w:left="0"/>
              <w:jc w:val="right"/>
              <w:rPr>
                <w:rFonts w:ascii="Times New Roman" w:eastAsia="Times New Roman" w:hAnsi="Times New Roman" w:cs="Times New Roman"/>
                <w:sz w:val="24"/>
                <w:szCs w:val="24"/>
                <w:lang w:eastAsia="hr-HR"/>
              </w:rPr>
            </w:pPr>
            <w:r w:rsidRPr="001C2EB0">
              <w:rPr>
                <w:rFonts w:ascii="Times New Roman" w:hAnsi="Times New Roman" w:cs="Times New Roman"/>
                <w:b/>
                <w:smallCaps/>
                <w:sz w:val="24"/>
                <w:szCs w:val="24"/>
              </w:rPr>
              <w:t>Predmet</w:t>
            </w:r>
            <w:r w:rsidRPr="001C2EB0">
              <w:rPr>
                <w:rFonts w:ascii="Times New Roman" w:hAnsi="Times New Roman" w:cs="Times New Roman"/>
                <w:b/>
                <w:sz w:val="24"/>
                <w:szCs w:val="24"/>
              </w:rPr>
              <w:t>:</w:t>
            </w:r>
          </w:p>
        </w:tc>
        <w:tc>
          <w:tcPr>
            <w:tcW w:w="6378" w:type="dxa"/>
            <w:hideMark/>
          </w:tcPr>
          <w:p w14:paraId="47645DEA" w14:textId="45871766" w:rsidR="001C2EB0" w:rsidRPr="001C2EB0" w:rsidRDefault="001617BF" w:rsidP="001617BF">
            <w:pPr>
              <w:ind w:left="0"/>
              <w:rPr>
                <w:rFonts w:ascii="Times New Roman" w:hAnsi="Times New Roman" w:cs="Times New Roman"/>
                <w:sz w:val="24"/>
                <w:szCs w:val="24"/>
              </w:rPr>
            </w:pPr>
            <w:r>
              <w:rPr>
                <w:rFonts w:ascii="Times New Roman" w:hAnsi="Times New Roman" w:cs="Times New Roman"/>
                <w:sz w:val="24"/>
                <w:szCs w:val="24"/>
              </w:rPr>
              <w:t>Nacrt k</w:t>
            </w:r>
            <w:r w:rsidR="001C2EB0">
              <w:rPr>
                <w:rFonts w:ascii="Times New Roman" w:hAnsi="Times New Roman" w:cs="Times New Roman"/>
                <w:sz w:val="24"/>
                <w:szCs w:val="24"/>
              </w:rPr>
              <w:t>onačn</w:t>
            </w:r>
            <w:r>
              <w:rPr>
                <w:rFonts w:ascii="Times New Roman" w:hAnsi="Times New Roman" w:cs="Times New Roman"/>
                <w:sz w:val="24"/>
                <w:szCs w:val="24"/>
              </w:rPr>
              <w:t>og</w:t>
            </w:r>
            <w:r w:rsidR="001C2EB0">
              <w:rPr>
                <w:rFonts w:ascii="Times New Roman" w:hAnsi="Times New Roman" w:cs="Times New Roman"/>
                <w:sz w:val="24"/>
                <w:szCs w:val="24"/>
              </w:rPr>
              <w:t xml:space="preserve"> prijedlog</w:t>
            </w:r>
            <w:r>
              <w:rPr>
                <w:rFonts w:ascii="Times New Roman" w:hAnsi="Times New Roman" w:cs="Times New Roman"/>
                <w:sz w:val="24"/>
                <w:szCs w:val="24"/>
              </w:rPr>
              <w:t>a</w:t>
            </w:r>
            <w:bookmarkStart w:id="2" w:name="_GoBack"/>
            <w:bookmarkEnd w:id="2"/>
            <w:r w:rsidR="001C2EB0">
              <w:rPr>
                <w:rFonts w:ascii="Times New Roman" w:hAnsi="Times New Roman" w:cs="Times New Roman"/>
                <w:sz w:val="24"/>
                <w:szCs w:val="24"/>
              </w:rPr>
              <w:t xml:space="preserve"> zakona o potvrđivanju</w:t>
            </w:r>
            <w:r w:rsidR="001C2EB0" w:rsidRPr="001C2EB0">
              <w:rPr>
                <w:rFonts w:ascii="Times New Roman" w:hAnsi="Times New Roman" w:cs="Times New Roman"/>
                <w:bCs/>
                <w:sz w:val="24"/>
                <w:szCs w:val="24"/>
              </w:rPr>
              <w:t xml:space="preserve"> Ugovora o financiranju između Republike Hrvatske i Europske</w:t>
            </w:r>
            <w:r w:rsidR="00A265D7">
              <w:rPr>
                <w:rFonts w:ascii="Times New Roman" w:hAnsi="Times New Roman" w:cs="Times New Roman"/>
                <w:bCs/>
                <w:sz w:val="24"/>
                <w:szCs w:val="24"/>
              </w:rPr>
              <w:t xml:space="preserve"> investicijske banke za Projekt </w:t>
            </w:r>
            <w:r w:rsidR="001C2EB0" w:rsidRPr="001C2EB0">
              <w:rPr>
                <w:rFonts w:ascii="Times New Roman" w:hAnsi="Times New Roman" w:cs="Times New Roman"/>
                <w:sz w:val="24"/>
                <w:szCs w:val="24"/>
              </w:rPr>
              <w:t>„Revitalizacija željezničkog sustava Republike Hrvatske“ iz okvirnog zajma</w:t>
            </w:r>
          </w:p>
        </w:tc>
      </w:tr>
    </w:tbl>
    <w:p w14:paraId="23512BCA" w14:textId="55D7B34E" w:rsidR="001C2EB0" w:rsidRPr="001C2EB0" w:rsidRDefault="001C2EB0" w:rsidP="00677857">
      <w:pPr>
        <w:spacing w:after="200"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r w:rsidRPr="001C2EB0">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_______________________________</w:t>
      </w:r>
      <w:r w:rsidR="00CA28AB">
        <w:rPr>
          <w:rFonts w:ascii="Times New Roman" w:hAnsi="Times New Roman" w:cs="Times New Roman"/>
          <w:sz w:val="24"/>
          <w:szCs w:val="24"/>
          <w:lang w:eastAsia="en-US"/>
        </w:rPr>
        <w:t>_______</w:t>
      </w:r>
    </w:p>
    <w:p w14:paraId="7C09A258" w14:textId="77777777" w:rsidR="001C2EB0" w:rsidRPr="001C2EB0" w:rsidRDefault="001C2EB0" w:rsidP="00677857">
      <w:pPr>
        <w:spacing w:after="200" w:line="276" w:lineRule="auto"/>
        <w:ind w:left="0"/>
        <w:rPr>
          <w:rFonts w:ascii="Times New Roman" w:hAnsi="Times New Roman" w:cs="Times New Roman"/>
          <w:sz w:val="24"/>
          <w:szCs w:val="24"/>
          <w:lang w:eastAsia="en-US"/>
        </w:rPr>
      </w:pPr>
    </w:p>
    <w:p w14:paraId="18A6127E" w14:textId="77777777" w:rsidR="001C2EB0" w:rsidRPr="001C2EB0" w:rsidRDefault="001C2EB0" w:rsidP="00677857">
      <w:pPr>
        <w:spacing w:after="200" w:line="276" w:lineRule="auto"/>
        <w:ind w:left="0"/>
        <w:rPr>
          <w:rFonts w:ascii="Times New Roman" w:hAnsi="Times New Roman" w:cs="Times New Roman"/>
          <w:sz w:val="24"/>
          <w:szCs w:val="24"/>
          <w:lang w:eastAsia="en-US"/>
        </w:rPr>
      </w:pPr>
    </w:p>
    <w:p w14:paraId="36201D74" w14:textId="77777777" w:rsidR="001C2EB0" w:rsidRPr="001C2EB0" w:rsidRDefault="001C2EB0" w:rsidP="00677857">
      <w:pPr>
        <w:spacing w:after="200" w:line="276" w:lineRule="auto"/>
        <w:ind w:left="0"/>
        <w:rPr>
          <w:rFonts w:ascii="Times New Roman" w:hAnsi="Times New Roman" w:cs="Times New Roman"/>
          <w:sz w:val="24"/>
          <w:szCs w:val="24"/>
          <w:lang w:eastAsia="en-US"/>
        </w:rPr>
      </w:pPr>
    </w:p>
    <w:p w14:paraId="0916AF08" w14:textId="77777777" w:rsidR="001C2EB0" w:rsidRPr="001C2EB0" w:rsidRDefault="001C2EB0" w:rsidP="00677857">
      <w:pPr>
        <w:spacing w:after="200" w:line="276" w:lineRule="auto"/>
        <w:ind w:left="0"/>
        <w:rPr>
          <w:rFonts w:ascii="Times New Roman" w:hAnsi="Times New Roman" w:cs="Times New Roman"/>
          <w:sz w:val="24"/>
          <w:szCs w:val="24"/>
          <w:lang w:eastAsia="en-US"/>
        </w:rPr>
      </w:pPr>
    </w:p>
    <w:p w14:paraId="464568BF" w14:textId="3A803BCA" w:rsidR="001C2EB0" w:rsidRDefault="001C2EB0" w:rsidP="00677857">
      <w:pPr>
        <w:spacing w:after="200" w:line="276" w:lineRule="auto"/>
        <w:ind w:left="0"/>
        <w:rPr>
          <w:rFonts w:ascii="Times New Roman" w:hAnsi="Times New Roman" w:cs="Times New Roman"/>
          <w:sz w:val="24"/>
          <w:szCs w:val="24"/>
          <w:lang w:eastAsia="en-US"/>
        </w:rPr>
      </w:pPr>
    </w:p>
    <w:p w14:paraId="64829291" w14:textId="77777777" w:rsidR="001C2EB0" w:rsidRPr="001C2EB0" w:rsidRDefault="001C2EB0" w:rsidP="00677857">
      <w:pPr>
        <w:spacing w:after="200" w:line="276" w:lineRule="auto"/>
        <w:ind w:left="0"/>
        <w:rPr>
          <w:rFonts w:ascii="Times New Roman" w:hAnsi="Times New Roman" w:cs="Times New Roman"/>
          <w:sz w:val="24"/>
          <w:szCs w:val="24"/>
          <w:lang w:eastAsia="en-US"/>
        </w:rPr>
      </w:pPr>
    </w:p>
    <w:p w14:paraId="6FD052FB" w14:textId="6AD15350" w:rsidR="001C2EB0" w:rsidRDefault="001C2EB0" w:rsidP="00677857">
      <w:pPr>
        <w:tabs>
          <w:tab w:val="center" w:pos="4536"/>
          <w:tab w:val="right" w:pos="9072"/>
        </w:tabs>
        <w:ind w:left="0"/>
        <w:rPr>
          <w:rFonts w:ascii="Times New Roman" w:hAnsi="Times New Roman" w:cs="Times New Roman"/>
          <w:sz w:val="24"/>
          <w:szCs w:val="24"/>
          <w:lang w:eastAsia="en-US"/>
        </w:rPr>
      </w:pPr>
    </w:p>
    <w:p w14:paraId="7B762636" w14:textId="77777777" w:rsidR="001C2EB0" w:rsidRPr="001C2EB0" w:rsidRDefault="001C2EB0" w:rsidP="00677857">
      <w:pPr>
        <w:tabs>
          <w:tab w:val="center" w:pos="4536"/>
          <w:tab w:val="right" w:pos="9072"/>
        </w:tabs>
        <w:ind w:left="0"/>
        <w:rPr>
          <w:rFonts w:ascii="Times New Roman" w:hAnsi="Times New Roman" w:cs="Times New Roman"/>
          <w:sz w:val="24"/>
          <w:szCs w:val="24"/>
          <w:lang w:eastAsia="en-US"/>
        </w:rPr>
      </w:pPr>
    </w:p>
    <w:p w14:paraId="43F59D93" w14:textId="2C12F327" w:rsidR="001C2EB0" w:rsidRPr="001C2EB0" w:rsidRDefault="001C2EB0" w:rsidP="00677857">
      <w:pPr>
        <w:tabs>
          <w:tab w:val="center" w:pos="4536"/>
          <w:tab w:val="right" w:pos="9072"/>
        </w:tabs>
        <w:ind w:left="0"/>
        <w:rPr>
          <w:rFonts w:ascii="Times New Roman" w:hAnsi="Times New Roman" w:cs="Times New Roman"/>
          <w:sz w:val="24"/>
          <w:szCs w:val="24"/>
          <w:lang w:eastAsia="en-US"/>
        </w:rPr>
      </w:pPr>
    </w:p>
    <w:p w14:paraId="40AAF1A9" w14:textId="77777777" w:rsidR="001C2EB0" w:rsidRPr="001C2EB0" w:rsidRDefault="001C2EB0" w:rsidP="00677857">
      <w:pPr>
        <w:spacing w:after="200" w:line="276" w:lineRule="auto"/>
        <w:ind w:left="0"/>
        <w:rPr>
          <w:rFonts w:ascii="Times New Roman" w:hAnsi="Times New Roman" w:cs="Times New Roman"/>
          <w:sz w:val="24"/>
          <w:szCs w:val="24"/>
          <w:lang w:eastAsia="en-US"/>
        </w:rPr>
      </w:pPr>
    </w:p>
    <w:p w14:paraId="7905B164" w14:textId="77777777" w:rsidR="001C2EB0" w:rsidRPr="001C2EB0" w:rsidRDefault="001C2EB0" w:rsidP="00677857">
      <w:pPr>
        <w:pBdr>
          <w:top w:val="single" w:sz="4" w:space="1" w:color="404040" w:themeColor="text1" w:themeTint="BF"/>
        </w:pBdr>
        <w:tabs>
          <w:tab w:val="center" w:pos="4536"/>
          <w:tab w:val="right" w:pos="9072"/>
        </w:tabs>
        <w:ind w:left="0"/>
        <w:jc w:val="center"/>
        <w:rPr>
          <w:rFonts w:ascii="Times New Roman" w:hAnsi="Times New Roman" w:cs="Times New Roman"/>
          <w:color w:val="404040" w:themeColor="text1" w:themeTint="BF"/>
          <w:spacing w:val="20"/>
          <w:lang w:eastAsia="en-US"/>
        </w:rPr>
      </w:pPr>
      <w:r w:rsidRPr="001C2EB0">
        <w:rPr>
          <w:rFonts w:ascii="Times New Roman" w:hAnsi="Times New Roman" w:cs="Times New Roman"/>
          <w:color w:val="404040" w:themeColor="text1" w:themeTint="BF"/>
          <w:spacing w:val="20"/>
          <w:lang w:eastAsia="en-US"/>
        </w:rPr>
        <w:t>Banski dvori | Trg Sv. Marka 2  | 10000 Zagreb | tel. 01 4569 222 | vlada.gov.hr</w:t>
      </w:r>
    </w:p>
    <w:p w14:paraId="76B8AAE2" w14:textId="30F0D918" w:rsidR="00134C6E" w:rsidRPr="00653DCF" w:rsidRDefault="00134C6E" w:rsidP="00134C6E">
      <w:pPr>
        <w:pBdr>
          <w:bottom w:val="single" w:sz="12" w:space="1" w:color="auto"/>
        </w:pBdr>
        <w:ind w:left="0"/>
        <w:jc w:val="center"/>
        <w:rPr>
          <w:rFonts w:ascii="Times New Roman" w:hAnsi="Times New Roman" w:cs="Times New Roman"/>
          <w:b/>
          <w:color w:val="auto"/>
          <w:sz w:val="24"/>
          <w:szCs w:val="24"/>
        </w:rPr>
      </w:pPr>
      <w:r w:rsidRPr="00653DCF">
        <w:rPr>
          <w:rFonts w:ascii="Times New Roman" w:hAnsi="Times New Roman" w:cs="Times New Roman"/>
          <w:b/>
          <w:color w:val="auto"/>
          <w:sz w:val="24"/>
          <w:szCs w:val="24"/>
        </w:rPr>
        <w:t>MINISTARSTVO MORA, PROMETA I INFRASTRUKTURE</w:t>
      </w:r>
    </w:p>
    <w:p w14:paraId="084D8F26" w14:textId="03B4F0B8" w:rsidR="002F49E3" w:rsidRPr="00653DCF" w:rsidRDefault="002F49E3" w:rsidP="002F49E3">
      <w:pPr>
        <w:ind w:left="0"/>
        <w:rPr>
          <w:color w:val="auto"/>
        </w:rPr>
      </w:pPr>
    </w:p>
    <w:p w14:paraId="4F8368C2" w14:textId="7F56B0DE" w:rsidR="002F49E3" w:rsidRPr="00653DCF" w:rsidRDefault="002F49E3" w:rsidP="002F49E3">
      <w:pPr>
        <w:ind w:left="0"/>
        <w:rPr>
          <w:color w:val="auto"/>
        </w:rPr>
      </w:pPr>
    </w:p>
    <w:p w14:paraId="3BCC1F0C" w14:textId="20CFE681" w:rsidR="002F49E3" w:rsidRPr="00653DCF" w:rsidRDefault="002F49E3" w:rsidP="002F49E3">
      <w:pPr>
        <w:ind w:left="0"/>
        <w:rPr>
          <w:color w:val="auto"/>
        </w:rPr>
      </w:pPr>
    </w:p>
    <w:p w14:paraId="62CA9FDA" w14:textId="126368DB" w:rsidR="002F49E3" w:rsidRPr="00653DCF" w:rsidRDefault="002F49E3" w:rsidP="002F49E3">
      <w:pPr>
        <w:ind w:left="0"/>
        <w:rPr>
          <w:color w:val="auto"/>
        </w:rPr>
      </w:pPr>
    </w:p>
    <w:p w14:paraId="0ABA5A4D" w14:textId="2A26ED0D" w:rsidR="002F49E3" w:rsidRPr="00653DCF" w:rsidRDefault="002F49E3" w:rsidP="002F49E3">
      <w:pPr>
        <w:ind w:left="0"/>
        <w:rPr>
          <w:color w:val="auto"/>
        </w:rPr>
      </w:pPr>
    </w:p>
    <w:p w14:paraId="3260E497" w14:textId="4A2E38AA" w:rsidR="002F49E3" w:rsidRPr="00653DCF" w:rsidRDefault="002F49E3" w:rsidP="002F49E3">
      <w:pPr>
        <w:ind w:left="0"/>
        <w:rPr>
          <w:color w:val="auto"/>
        </w:rPr>
      </w:pPr>
    </w:p>
    <w:p w14:paraId="6A40BA5B" w14:textId="503A24C7" w:rsidR="002F49E3" w:rsidRPr="00653DCF" w:rsidRDefault="002F49E3" w:rsidP="002F49E3">
      <w:pPr>
        <w:ind w:left="0"/>
        <w:rPr>
          <w:color w:val="auto"/>
        </w:rPr>
      </w:pPr>
    </w:p>
    <w:p w14:paraId="61A1B976" w14:textId="1454D589" w:rsidR="002F49E3" w:rsidRPr="00653DCF" w:rsidRDefault="002F49E3" w:rsidP="002F49E3">
      <w:pPr>
        <w:ind w:left="0"/>
        <w:rPr>
          <w:color w:val="auto"/>
        </w:rPr>
      </w:pPr>
    </w:p>
    <w:p w14:paraId="1590B14E" w14:textId="6AEEAA37" w:rsidR="002F49E3" w:rsidRPr="00653DCF" w:rsidRDefault="002F49E3" w:rsidP="002F49E3">
      <w:pPr>
        <w:ind w:left="0"/>
        <w:rPr>
          <w:color w:val="auto"/>
        </w:rPr>
      </w:pPr>
    </w:p>
    <w:p w14:paraId="47000635" w14:textId="2CF27335" w:rsidR="002F49E3" w:rsidRPr="00653DCF" w:rsidRDefault="002F49E3" w:rsidP="002F49E3">
      <w:pPr>
        <w:ind w:left="0"/>
        <w:rPr>
          <w:color w:val="auto"/>
        </w:rPr>
      </w:pPr>
    </w:p>
    <w:p w14:paraId="6C3A7671" w14:textId="77777777" w:rsidR="002F49E3" w:rsidRPr="00653DCF" w:rsidRDefault="002F49E3" w:rsidP="002F49E3">
      <w:pPr>
        <w:ind w:left="0"/>
        <w:rPr>
          <w:color w:val="auto"/>
        </w:rPr>
      </w:pPr>
    </w:p>
    <w:tbl>
      <w:tblPr>
        <w:tblStyle w:val="TableEIB"/>
        <w:tblW w:w="14601" w:type="dxa"/>
        <w:tblInd w:w="-142" w:type="dxa"/>
        <w:tblLook w:val="04A0" w:firstRow="1" w:lastRow="0" w:firstColumn="1" w:lastColumn="0" w:noHBand="0" w:noVBand="1"/>
      </w:tblPr>
      <w:tblGrid>
        <w:gridCol w:w="998"/>
        <w:gridCol w:w="2688"/>
        <w:gridCol w:w="5387"/>
        <w:gridCol w:w="141"/>
        <w:gridCol w:w="5387"/>
      </w:tblGrid>
      <w:tr w:rsidR="007A2A6F" w:rsidRPr="00653DCF" w14:paraId="79804B0E" w14:textId="77777777" w:rsidTr="00E670BF">
        <w:tc>
          <w:tcPr>
            <w:tcW w:w="9073" w:type="dxa"/>
            <w:gridSpan w:val="3"/>
            <w:shd w:val="clear" w:color="auto" w:fill="auto"/>
          </w:tcPr>
          <w:p w14:paraId="22FA53B4" w14:textId="1A9BE7E5" w:rsidR="00134C6E" w:rsidRPr="00653DCF" w:rsidRDefault="001617BF" w:rsidP="002F49E3">
            <w:pPr>
              <w:spacing w:after="0"/>
              <w:ind w:left="0"/>
              <w:jc w:val="center"/>
              <w:outlineLvl w:val="0"/>
              <w:rPr>
                <w:rFonts w:ascii="Times New Roman" w:eastAsia="Times New Roman" w:hAnsi="Times New Roman" w:cs="Times New Roman"/>
                <w:b/>
                <w:color w:val="auto"/>
                <w:sz w:val="24"/>
                <w:szCs w:val="24"/>
                <w:lang w:val="hr-HR" w:eastAsia="hr-HR"/>
              </w:rPr>
            </w:pPr>
            <w:r>
              <w:rPr>
                <w:rFonts w:ascii="Times New Roman" w:eastAsia="Times New Roman" w:hAnsi="Times New Roman" w:cs="Times New Roman"/>
                <w:b/>
                <w:color w:val="auto"/>
                <w:sz w:val="24"/>
                <w:szCs w:val="24"/>
                <w:lang w:val="hr-HR" w:eastAsia="hr-HR"/>
              </w:rPr>
              <w:t xml:space="preserve">NACRT </w:t>
            </w:r>
            <w:r w:rsidR="007510BE">
              <w:rPr>
                <w:rFonts w:ascii="Times New Roman" w:eastAsia="Times New Roman" w:hAnsi="Times New Roman" w:cs="Times New Roman"/>
                <w:b/>
                <w:color w:val="auto"/>
                <w:sz w:val="24"/>
                <w:szCs w:val="24"/>
                <w:lang w:val="hr-HR" w:eastAsia="hr-HR"/>
              </w:rPr>
              <w:t>KONAČN</w:t>
            </w:r>
            <w:r>
              <w:rPr>
                <w:rFonts w:ascii="Times New Roman" w:eastAsia="Times New Roman" w:hAnsi="Times New Roman" w:cs="Times New Roman"/>
                <w:b/>
                <w:color w:val="auto"/>
                <w:sz w:val="24"/>
                <w:szCs w:val="24"/>
                <w:lang w:val="hr-HR" w:eastAsia="hr-HR"/>
              </w:rPr>
              <w:t>OG</w:t>
            </w:r>
            <w:r w:rsidR="007510BE">
              <w:rPr>
                <w:rFonts w:ascii="Times New Roman" w:eastAsia="Times New Roman" w:hAnsi="Times New Roman" w:cs="Times New Roman"/>
                <w:b/>
                <w:color w:val="auto"/>
                <w:sz w:val="24"/>
                <w:szCs w:val="24"/>
                <w:lang w:val="hr-HR" w:eastAsia="hr-HR"/>
              </w:rPr>
              <w:t xml:space="preserve"> </w:t>
            </w:r>
            <w:r w:rsidR="00134C6E" w:rsidRPr="00653DCF">
              <w:rPr>
                <w:rFonts w:ascii="Times New Roman" w:eastAsia="Times New Roman" w:hAnsi="Times New Roman" w:cs="Times New Roman"/>
                <w:b/>
                <w:color w:val="auto"/>
                <w:sz w:val="24"/>
                <w:szCs w:val="24"/>
                <w:lang w:val="hr-HR" w:eastAsia="hr-HR"/>
              </w:rPr>
              <w:t>PRIJEDLOG</w:t>
            </w:r>
            <w:r>
              <w:rPr>
                <w:rFonts w:ascii="Times New Roman" w:eastAsia="Times New Roman" w:hAnsi="Times New Roman" w:cs="Times New Roman"/>
                <w:b/>
                <w:color w:val="auto"/>
                <w:sz w:val="24"/>
                <w:szCs w:val="24"/>
                <w:lang w:val="hr-HR" w:eastAsia="hr-HR"/>
              </w:rPr>
              <w:t>A</w:t>
            </w:r>
            <w:r w:rsidR="00134C6E" w:rsidRPr="00653DCF">
              <w:rPr>
                <w:rFonts w:ascii="Times New Roman" w:eastAsia="Times New Roman" w:hAnsi="Times New Roman" w:cs="Times New Roman"/>
                <w:b/>
                <w:color w:val="auto"/>
                <w:sz w:val="24"/>
                <w:szCs w:val="24"/>
                <w:lang w:val="hr-HR" w:eastAsia="hr-HR"/>
              </w:rPr>
              <w:t xml:space="preserve"> ZAKONA O POTVRĐIVANJU UGOVORA O FINANCIRANJU IZMEĐU REPUBLIKE HRVATSKE I EUROPSKE INVESTICIJSKE BANKE ZA PROJEKT “REVITALIZACIJA ŽELJEZNIČKOG SUSTAVA REPUBLIKE HRVATSKE“  IZ OKVIRNOG ZAJMA </w:t>
            </w:r>
          </w:p>
          <w:p w14:paraId="7869DA9B" w14:textId="77777777" w:rsidR="00134C6E" w:rsidRPr="00653DCF" w:rsidRDefault="00134C6E" w:rsidP="00134C6E">
            <w:pPr>
              <w:spacing w:after="0"/>
              <w:ind w:left="0"/>
              <w:jc w:val="center"/>
              <w:outlineLvl w:val="0"/>
              <w:rPr>
                <w:rFonts w:ascii="Times New Roman" w:eastAsia="Times New Roman" w:hAnsi="Times New Roman" w:cs="Times New Roman"/>
                <w:b/>
                <w:color w:val="auto"/>
                <w:sz w:val="24"/>
                <w:szCs w:val="24"/>
                <w:lang w:val="hr-HR" w:eastAsia="hr-HR"/>
              </w:rPr>
            </w:pPr>
          </w:p>
          <w:p w14:paraId="0FF471AF"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2FBA0657"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61C3A71B"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29EEA6D4"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4382DBB2"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0E331CD9"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59E67ADC" w14:textId="77777777" w:rsidR="00134C6E" w:rsidRPr="00653DCF" w:rsidRDefault="00134C6E" w:rsidP="00134C6E">
            <w:pPr>
              <w:spacing w:after="0"/>
              <w:ind w:left="0"/>
              <w:jc w:val="left"/>
              <w:rPr>
                <w:rFonts w:ascii="Times New Roman" w:eastAsia="Times New Roman" w:hAnsi="Times New Roman" w:cs="Times New Roman"/>
                <w:b/>
                <w:color w:val="auto"/>
                <w:sz w:val="24"/>
                <w:szCs w:val="24"/>
                <w:lang w:val="hr-HR" w:eastAsia="hr-HR"/>
              </w:rPr>
            </w:pPr>
          </w:p>
          <w:p w14:paraId="7A043571"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0E8322FE"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57E23653"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1C4AF601" w14:textId="77777777" w:rsidR="00134C6E" w:rsidRPr="00653DCF" w:rsidRDefault="00134C6E" w:rsidP="00134C6E">
            <w:pPr>
              <w:spacing w:after="0"/>
              <w:ind w:left="0"/>
              <w:jc w:val="left"/>
              <w:rPr>
                <w:rFonts w:ascii="Times New Roman" w:eastAsia="Times New Roman" w:hAnsi="Times New Roman" w:cs="Times New Roman"/>
                <w:b/>
                <w:color w:val="auto"/>
                <w:sz w:val="24"/>
                <w:szCs w:val="24"/>
                <w:lang w:val="hr-HR" w:eastAsia="hr-HR"/>
              </w:rPr>
            </w:pPr>
          </w:p>
          <w:p w14:paraId="02CC54C4"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73DC92DB"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6FFAC97A"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03105013"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23DC9B08"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6134493D"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2DEA9702"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1BAFE625" w14:textId="19DEC41D"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12165824" w14:textId="7E401B1E" w:rsidR="002F49E3" w:rsidRPr="00653DCF" w:rsidRDefault="002F49E3" w:rsidP="00134C6E">
            <w:pPr>
              <w:spacing w:after="0"/>
              <w:ind w:left="0"/>
              <w:jc w:val="center"/>
              <w:rPr>
                <w:rFonts w:ascii="Times New Roman" w:eastAsia="Times New Roman" w:hAnsi="Times New Roman" w:cs="Times New Roman"/>
                <w:b/>
                <w:color w:val="auto"/>
                <w:sz w:val="24"/>
                <w:szCs w:val="24"/>
                <w:lang w:val="hr-HR" w:eastAsia="hr-HR"/>
              </w:rPr>
            </w:pPr>
          </w:p>
          <w:p w14:paraId="7C5D3705" w14:textId="1F14B507" w:rsidR="002F49E3" w:rsidRPr="00653DCF" w:rsidRDefault="002F49E3" w:rsidP="00134C6E">
            <w:pPr>
              <w:spacing w:after="0"/>
              <w:ind w:left="0"/>
              <w:jc w:val="center"/>
              <w:rPr>
                <w:rFonts w:ascii="Times New Roman" w:eastAsia="Times New Roman" w:hAnsi="Times New Roman" w:cs="Times New Roman"/>
                <w:b/>
                <w:color w:val="auto"/>
                <w:sz w:val="24"/>
                <w:szCs w:val="24"/>
                <w:lang w:val="hr-HR" w:eastAsia="hr-HR"/>
              </w:rPr>
            </w:pPr>
          </w:p>
          <w:p w14:paraId="78718AE8" w14:textId="36EADD6B" w:rsidR="002F49E3" w:rsidRPr="00653DCF" w:rsidRDefault="002F49E3" w:rsidP="00134C6E">
            <w:pPr>
              <w:spacing w:after="0"/>
              <w:ind w:left="0"/>
              <w:jc w:val="center"/>
              <w:rPr>
                <w:rFonts w:ascii="Times New Roman" w:eastAsia="Times New Roman" w:hAnsi="Times New Roman" w:cs="Times New Roman"/>
                <w:b/>
                <w:color w:val="auto"/>
                <w:sz w:val="24"/>
                <w:szCs w:val="24"/>
                <w:lang w:val="hr-HR" w:eastAsia="hr-HR"/>
              </w:rPr>
            </w:pPr>
          </w:p>
          <w:p w14:paraId="6B3D2484" w14:textId="23AEC335" w:rsidR="002F49E3" w:rsidRPr="00653DCF" w:rsidRDefault="002F49E3" w:rsidP="00134C6E">
            <w:pPr>
              <w:spacing w:after="0"/>
              <w:ind w:left="0"/>
              <w:jc w:val="center"/>
              <w:rPr>
                <w:rFonts w:ascii="Times New Roman" w:eastAsia="Times New Roman" w:hAnsi="Times New Roman" w:cs="Times New Roman"/>
                <w:b/>
                <w:color w:val="auto"/>
                <w:sz w:val="24"/>
                <w:szCs w:val="24"/>
                <w:lang w:val="hr-HR" w:eastAsia="hr-HR"/>
              </w:rPr>
            </w:pPr>
          </w:p>
          <w:p w14:paraId="0283876C" w14:textId="07FC7399" w:rsidR="002F49E3" w:rsidRDefault="002F49E3" w:rsidP="00134C6E">
            <w:pPr>
              <w:spacing w:after="0"/>
              <w:ind w:left="0"/>
              <w:jc w:val="center"/>
              <w:rPr>
                <w:rFonts w:ascii="Times New Roman" w:eastAsia="Times New Roman" w:hAnsi="Times New Roman" w:cs="Times New Roman"/>
                <w:b/>
                <w:color w:val="auto"/>
                <w:sz w:val="24"/>
                <w:szCs w:val="24"/>
                <w:lang w:val="hr-HR" w:eastAsia="hr-HR"/>
              </w:rPr>
            </w:pPr>
          </w:p>
          <w:p w14:paraId="7AEB58FE" w14:textId="148083E0" w:rsidR="00F96911" w:rsidRDefault="00F96911" w:rsidP="00134C6E">
            <w:pPr>
              <w:spacing w:after="0"/>
              <w:ind w:left="0"/>
              <w:jc w:val="center"/>
              <w:rPr>
                <w:rFonts w:ascii="Times New Roman" w:eastAsia="Times New Roman" w:hAnsi="Times New Roman" w:cs="Times New Roman"/>
                <w:b/>
                <w:color w:val="auto"/>
                <w:sz w:val="24"/>
                <w:szCs w:val="24"/>
                <w:lang w:val="hr-HR" w:eastAsia="hr-HR"/>
              </w:rPr>
            </w:pPr>
          </w:p>
          <w:p w14:paraId="214FF434" w14:textId="77777777" w:rsidR="00F96911" w:rsidRPr="00653DCF" w:rsidRDefault="00F96911" w:rsidP="00134C6E">
            <w:pPr>
              <w:spacing w:after="0"/>
              <w:ind w:left="0"/>
              <w:jc w:val="center"/>
              <w:rPr>
                <w:rFonts w:ascii="Times New Roman" w:eastAsia="Times New Roman" w:hAnsi="Times New Roman" w:cs="Times New Roman"/>
                <w:b/>
                <w:color w:val="auto"/>
                <w:sz w:val="24"/>
                <w:szCs w:val="24"/>
                <w:lang w:val="hr-HR" w:eastAsia="hr-HR"/>
              </w:rPr>
            </w:pPr>
          </w:p>
          <w:p w14:paraId="461CD8AE"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5BB170BD" w14:textId="77777777" w:rsidR="00134C6E" w:rsidRPr="00653DCF" w:rsidRDefault="00134C6E" w:rsidP="00134C6E">
            <w:pPr>
              <w:pBdr>
                <w:bottom w:val="single" w:sz="12" w:space="1" w:color="auto"/>
              </w:pBdr>
              <w:spacing w:after="0"/>
              <w:ind w:left="0"/>
              <w:jc w:val="left"/>
              <w:rPr>
                <w:rFonts w:ascii="Times New Roman" w:eastAsia="Times New Roman" w:hAnsi="Times New Roman" w:cs="Times New Roman"/>
                <w:b/>
                <w:color w:val="auto"/>
                <w:sz w:val="24"/>
                <w:szCs w:val="24"/>
                <w:lang w:val="hr-HR" w:eastAsia="hr-HR"/>
              </w:rPr>
            </w:pPr>
          </w:p>
          <w:p w14:paraId="413EE138" w14:textId="1D14F81B" w:rsidR="00134C6E" w:rsidRPr="00653DCF" w:rsidRDefault="00134C6E" w:rsidP="00134C6E">
            <w:pPr>
              <w:spacing w:after="0"/>
              <w:ind w:left="0"/>
              <w:jc w:val="center"/>
              <w:outlineLvl w:val="0"/>
              <w:rPr>
                <w:rFonts w:ascii="Times New Roman" w:eastAsia="Times New Roman" w:hAnsi="Times New Roman" w:cs="Times New Roman"/>
                <w:b/>
                <w:color w:val="auto"/>
                <w:sz w:val="24"/>
                <w:szCs w:val="24"/>
                <w:lang w:val="hr-HR" w:eastAsia="hr-HR"/>
              </w:rPr>
            </w:pPr>
            <w:r w:rsidRPr="00DC3DC2">
              <w:rPr>
                <w:rFonts w:ascii="Times New Roman" w:eastAsia="Times New Roman" w:hAnsi="Times New Roman" w:cs="Times New Roman"/>
                <w:b/>
                <w:color w:val="auto"/>
                <w:sz w:val="24"/>
                <w:szCs w:val="24"/>
                <w:lang w:val="hr-HR" w:eastAsia="hr-HR"/>
              </w:rPr>
              <w:t>Zagreb, veljača 2024.</w:t>
            </w:r>
            <w:r w:rsidR="0075089F" w:rsidRPr="00DC3DC2">
              <w:rPr>
                <w:rFonts w:ascii="Times New Roman" w:eastAsia="Times New Roman" w:hAnsi="Times New Roman" w:cs="Times New Roman"/>
                <w:b/>
                <w:color w:val="auto"/>
                <w:sz w:val="24"/>
                <w:szCs w:val="24"/>
                <w:lang w:val="hr-HR" w:eastAsia="hr-HR"/>
              </w:rPr>
              <w:t xml:space="preserve"> </w:t>
            </w:r>
          </w:p>
          <w:p w14:paraId="00E4896D" w14:textId="77777777" w:rsidR="00493D41" w:rsidRPr="00653DCF" w:rsidRDefault="00493D41" w:rsidP="00493D41">
            <w:pPr>
              <w:spacing w:after="0"/>
              <w:ind w:left="0"/>
              <w:jc w:val="center"/>
              <w:outlineLvl w:val="0"/>
              <w:rPr>
                <w:rFonts w:ascii="Times New Roman" w:eastAsia="Times New Roman" w:hAnsi="Times New Roman" w:cs="Times New Roman"/>
                <w:b/>
                <w:color w:val="auto"/>
                <w:sz w:val="24"/>
                <w:szCs w:val="24"/>
                <w:lang w:val="hr-HR" w:eastAsia="hr-HR"/>
              </w:rPr>
            </w:pPr>
            <w:r>
              <w:rPr>
                <w:rFonts w:ascii="Times New Roman" w:eastAsia="Times New Roman" w:hAnsi="Times New Roman" w:cs="Times New Roman"/>
                <w:b/>
                <w:color w:val="auto"/>
                <w:sz w:val="24"/>
                <w:szCs w:val="24"/>
                <w:lang w:val="hr-HR" w:eastAsia="hr-HR"/>
              </w:rPr>
              <w:lastRenderedPageBreak/>
              <w:t xml:space="preserve">KONAČNI </w:t>
            </w:r>
            <w:r w:rsidRPr="00653DCF">
              <w:rPr>
                <w:rFonts w:ascii="Times New Roman" w:eastAsia="Times New Roman" w:hAnsi="Times New Roman" w:cs="Times New Roman"/>
                <w:b/>
                <w:color w:val="auto"/>
                <w:sz w:val="24"/>
                <w:szCs w:val="24"/>
                <w:lang w:val="hr-HR" w:eastAsia="hr-HR"/>
              </w:rPr>
              <w:t xml:space="preserve">PRIJEDLOG ZAKONA O POTVRĐIVANJU UGOVORA O FINANCIRANJU IZMEĐU REPUBLIKE HRVATSKE I EUROPSKE INVESTICIJSKE BANKE ZA PROJEKT “REVITALIZACIJA ŽELJEZNIČKOG SUSTAVA REPUBLIKE HRVATSKE“  IZ OKVIRNOG ZAJMA </w:t>
            </w:r>
          </w:p>
          <w:p w14:paraId="45F346E0"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20F2D372" w14:textId="0FED6CA9" w:rsidR="00134C6E" w:rsidRPr="00653DCF" w:rsidRDefault="00134C6E" w:rsidP="00134C6E">
            <w:pPr>
              <w:spacing w:after="0"/>
              <w:ind w:left="0"/>
              <w:jc w:val="left"/>
              <w:rPr>
                <w:rFonts w:ascii="Times New Roman" w:eastAsia="Times New Roman" w:hAnsi="Times New Roman" w:cs="Times New Roman"/>
                <w:b/>
                <w:color w:val="auto"/>
                <w:sz w:val="24"/>
                <w:szCs w:val="24"/>
                <w:lang w:val="hr-HR" w:eastAsia="hr-HR"/>
              </w:rPr>
            </w:pPr>
          </w:p>
          <w:p w14:paraId="1EA68E9D" w14:textId="77777777" w:rsidR="00134C6E" w:rsidRPr="00653DCF" w:rsidRDefault="00134C6E" w:rsidP="0024686A">
            <w:pPr>
              <w:numPr>
                <w:ilvl w:val="0"/>
                <w:numId w:val="99"/>
              </w:numPr>
              <w:tabs>
                <w:tab w:val="num" w:pos="0"/>
              </w:tabs>
              <w:spacing w:after="0"/>
              <w:ind w:left="0" w:firstLine="0"/>
              <w:jc w:val="left"/>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USTAVNA OSNOVA ZA DONOŠENJE ZAKONA</w:t>
            </w:r>
          </w:p>
          <w:p w14:paraId="76B9DA79" w14:textId="77777777" w:rsidR="00134C6E" w:rsidRPr="00653DCF" w:rsidRDefault="00134C6E" w:rsidP="00134C6E">
            <w:pPr>
              <w:spacing w:after="0"/>
              <w:ind w:left="0"/>
              <w:jc w:val="left"/>
              <w:rPr>
                <w:rFonts w:ascii="Times New Roman" w:eastAsia="Times New Roman" w:hAnsi="Times New Roman" w:cs="Times New Roman"/>
                <w:b/>
                <w:color w:val="auto"/>
                <w:sz w:val="24"/>
                <w:szCs w:val="24"/>
                <w:lang w:val="hr-HR" w:eastAsia="hr-HR"/>
              </w:rPr>
            </w:pPr>
          </w:p>
          <w:p w14:paraId="52FF520F" w14:textId="5EA202E0" w:rsidR="00134C6E" w:rsidRPr="00653DCF" w:rsidRDefault="00134C6E" w:rsidP="00134C6E">
            <w:pPr>
              <w:spacing w:after="0"/>
              <w:ind w:left="0" w:firstLine="708"/>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Ustavna osnova za donošenje Zakona o potvrđivanju Ugovora o financiranju između Republike Hrvatske i Europske investicijske banke za Projekt „Revitalizacija željezničkog sustava Republike Hrvatske“ iz okvirnog zajma, sadržana je u odredbi članka 140. stavka 1. Ustava Republike Hrvatske („Narodne novine“, br</w:t>
            </w:r>
            <w:r w:rsidR="004E66D4">
              <w:rPr>
                <w:rFonts w:ascii="Times New Roman" w:eastAsia="Times New Roman" w:hAnsi="Times New Roman" w:cs="Times New Roman"/>
                <w:color w:val="auto"/>
                <w:sz w:val="24"/>
                <w:szCs w:val="24"/>
                <w:lang w:val="hr-HR" w:eastAsia="hr-HR"/>
              </w:rPr>
              <w:t>.</w:t>
            </w:r>
            <w:r w:rsidRPr="00653DCF">
              <w:rPr>
                <w:rFonts w:ascii="Times New Roman" w:eastAsia="Times New Roman" w:hAnsi="Times New Roman" w:cs="Times New Roman"/>
                <w:color w:val="auto"/>
                <w:sz w:val="24"/>
                <w:szCs w:val="24"/>
                <w:lang w:val="hr-HR" w:eastAsia="hr-HR"/>
              </w:rPr>
              <w:t xml:space="preserve"> 85/10. – pročišćeni tekst i 5/14. – Odluka Ustavnog suda Republike Hrvatske).</w:t>
            </w:r>
          </w:p>
          <w:p w14:paraId="27FBFE44"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09563100"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4AA28C9D" w14:textId="77777777" w:rsidR="00134C6E" w:rsidRPr="00653DCF" w:rsidRDefault="00134C6E" w:rsidP="0024686A">
            <w:pPr>
              <w:numPr>
                <w:ilvl w:val="0"/>
                <w:numId w:val="99"/>
              </w:numPr>
              <w:spacing w:after="0"/>
              <w:jc w:val="left"/>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OCJENA STANJA I CILJ KOJI SE DONOŠENJEM ZAKONA ŽELI POSTIĆI</w:t>
            </w:r>
          </w:p>
          <w:p w14:paraId="58F9450A" w14:textId="77777777" w:rsidR="00134C6E" w:rsidRPr="00653DCF" w:rsidRDefault="00134C6E" w:rsidP="00134C6E">
            <w:pPr>
              <w:spacing w:after="0"/>
              <w:ind w:left="0"/>
              <w:rPr>
                <w:rFonts w:ascii="Times New Roman" w:eastAsia="Times New Roman" w:hAnsi="Times New Roman" w:cs="Times New Roman"/>
                <w:b/>
                <w:color w:val="auto"/>
                <w:sz w:val="24"/>
                <w:szCs w:val="24"/>
                <w:lang w:val="hr-HR" w:eastAsia="hr-HR"/>
              </w:rPr>
            </w:pPr>
          </w:p>
          <w:p w14:paraId="6DDA80F3" w14:textId="77777777" w:rsidR="00134C6E" w:rsidRPr="00653DCF" w:rsidRDefault="00134C6E" w:rsidP="00134C6E">
            <w:pPr>
              <w:spacing w:after="0"/>
              <w:ind w:left="0"/>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II.1.</w:t>
            </w:r>
            <w:r w:rsidRPr="00653DCF">
              <w:rPr>
                <w:rFonts w:ascii="Times New Roman" w:eastAsia="Times New Roman" w:hAnsi="Times New Roman" w:cs="Times New Roman"/>
                <w:b/>
                <w:color w:val="auto"/>
                <w:sz w:val="24"/>
                <w:szCs w:val="24"/>
                <w:lang w:val="hr-HR" w:eastAsia="hr-HR"/>
              </w:rPr>
              <w:tab/>
              <w:t>Ocjena stanja</w:t>
            </w:r>
          </w:p>
          <w:p w14:paraId="7291CED4" w14:textId="77777777" w:rsidR="00134C6E" w:rsidRPr="00653DCF" w:rsidRDefault="00134C6E" w:rsidP="00134C6E">
            <w:pPr>
              <w:spacing w:after="0"/>
              <w:ind w:left="0"/>
              <w:rPr>
                <w:rFonts w:ascii="Times New Roman" w:eastAsia="Times New Roman" w:hAnsi="Times New Roman" w:cs="Times New Roman"/>
                <w:b/>
                <w:color w:val="auto"/>
                <w:sz w:val="24"/>
                <w:szCs w:val="24"/>
                <w:lang w:val="hr-HR" w:eastAsia="hr-HR"/>
              </w:rPr>
            </w:pPr>
          </w:p>
          <w:p w14:paraId="5EB8923A" w14:textId="38A09076" w:rsidR="00134C6E" w:rsidRPr="00653DCF" w:rsidRDefault="00134C6E" w:rsidP="00134C6E">
            <w:pPr>
              <w:autoSpaceDE w:val="0"/>
              <w:autoSpaceDN w:val="0"/>
              <w:adjustRightInd w:val="0"/>
              <w:spacing w:after="0"/>
              <w:ind w:left="0"/>
              <w:rPr>
                <w:rFonts w:ascii="Times New Roman" w:eastAsia="Times New Roman" w:hAnsi="Times New Roman" w:cs="Times New Roman"/>
                <w:color w:val="auto"/>
                <w:sz w:val="24"/>
                <w:szCs w:val="24"/>
                <w:lang w:val="hr-HR" w:eastAsia="en-US"/>
              </w:rPr>
            </w:pPr>
            <w:r w:rsidRPr="00653DCF">
              <w:rPr>
                <w:rFonts w:ascii="Times New Roman" w:eastAsia="Times New Roman" w:hAnsi="Times New Roman" w:cs="Times New Roman"/>
                <w:b/>
                <w:color w:val="auto"/>
                <w:sz w:val="24"/>
                <w:szCs w:val="24"/>
                <w:lang w:val="hr-HR" w:eastAsia="hr-HR"/>
              </w:rPr>
              <w:tab/>
            </w:r>
            <w:r w:rsidRPr="00653DCF">
              <w:rPr>
                <w:rFonts w:ascii="Times New Roman" w:eastAsia="Times New Roman" w:hAnsi="Times New Roman" w:cs="Times New Roman"/>
                <w:color w:val="auto"/>
                <w:sz w:val="24"/>
                <w:szCs w:val="24"/>
                <w:lang w:val="hr-HR" w:eastAsia="en-US"/>
              </w:rPr>
              <w:t>Europska investicijska banka (</w:t>
            </w:r>
            <w:r w:rsidRPr="00653DCF">
              <w:rPr>
                <w:rFonts w:ascii="Times New Roman" w:eastAsia="Times New Roman" w:hAnsi="Times New Roman" w:cs="Times New Roman"/>
                <w:i/>
                <w:color w:val="auto"/>
                <w:sz w:val="24"/>
                <w:szCs w:val="24"/>
                <w:lang w:val="hr-HR" w:eastAsia="en-US"/>
              </w:rPr>
              <w:t>European Investment Bank</w:t>
            </w:r>
            <w:r w:rsidRPr="00653DCF">
              <w:rPr>
                <w:rFonts w:ascii="Times New Roman" w:eastAsia="Times New Roman" w:hAnsi="Times New Roman" w:cs="Times New Roman"/>
                <w:color w:val="auto"/>
                <w:sz w:val="24"/>
                <w:szCs w:val="24"/>
                <w:lang w:val="hr-HR" w:eastAsia="en-US"/>
              </w:rPr>
              <w:t xml:space="preserve">, u daljnjem tekstu: EIB), osnovana je 1958.  Rimskim ugovorima u isto vrijeme kada su osnovane i ostale institucije poznate pod zajedničkim nazivom - Europska ekonomska zajednica (EEZ). EIB je financijska institucija Europske unije sa sjedištem u Luksemburgu. </w:t>
            </w:r>
          </w:p>
          <w:p w14:paraId="69CE949B" w14:textId="77777777" w:rsidR="00134C6E" w:rsidRPr="00653DCF" w:rsidRDefault="00134C6E" w:rsidP="00134C6E">
            <w:pPr>
              <w:autoSpaceDE w:val="0"/>
              <w:autoSpaceDN w:val="0"/>
              <w:adjustRightInd w:val="0"/>
              <w:spacing w:after="0"/>
              <w:ind w:left="0"/>
              <w:rPr>
                <w:rFonts w:ascii="Times New Roman" w:eastAsia="Times New Roman" w:hAnsi="Times New Roman" w:cs="Times New Roman"/>
                <w:color w:val="auto"/>
                <w:sz w:val="24"/>
                <w:szCs w:val="24"/>
                <w:lang w:val="hr-HR" w:eastAsia="en-US"/>
              </w:rPr>
            </w:pPr>
          </w:p>
          <w:p w14:paraId="352800D6" w14:textId="77777777" w:rsidR="00134C6E" w:rsidRPr="00653DCF" w:rsidRDefault="00134C6E" w:rsidP="00134C6E">
            <w:pPr>
              <w:autoSpaceDE w:val="0"/>
              <w:autoSpaceDN w:val="0"/>
              <w:adjustRightInd w:val="0"/>
              <w:spacing w:after="0"/>
              <w:ind w:left="0" w:firstLine="708"/>
              <w:rPr>
                <w:rFonts w:ascii="Times New Roman" w:eastAsia="Times New Roman" w:hAnsi="Times New Roman" w:cs="Times New Roman"/>
                <w:color w:val="auto"/>
                <w:sz w:val="24"/>
                <w:szCs w:val="24"/>
                <w:lang w:val="hr-HR" w:eastAsia="en-US"/>
              </w:rPr>
            </w:pPr>
            <w:r w:rsidRPr="00653DCF">
              <w:rPr>
                <w:rFonts w:ascii="Times New Roman" w:eastAsia="Times New Roman" w:hAnsi="Times New Roman" w:cs="Times New Roman"/>
                <w:color w:val="auto"/>
                <w:sz w:val="24"/>
                <w:szCs w:val="24"/>
                <w:lang w:val="hr-HR" w:eastAsia="en-US"/>
              </w:rPr>
              <w:t>Glavna je uloga EIB-a osiguranje  sredstava za kapitalne investicije vezane za razvoj i integraciju Europske unije. Zajmovi koje izdaje namijenjeni su za razvoj nedovoljno razvijenih regija, razvoj infrastrukture, poboljšanje konkurentnosti europske industrije, zaštitu okoliša, obnovljivih izvora energije i slično. EIB financira projekte zemalja članica Europske unije i kandidatkinja za punopravno članstvo, a potom i projekte izvan Europske unije koji povoljno utječu na jačanje europskih integracija.</w:t>
            </w:r>
          </w:p>
          <w:p w14:paraId="5AB4D540" w14:textId="316A66F1" w:rsidR="00134C6E" w:rsidRDefault="00134C6E" w:rsidP="00134C6E">
            <w:pPr>
              <w:autoSpaceDE w:val="0"/>
              <w:autoSpaceDN w:val="0"/>
              <w:adjustRightInd w:val="0"/>
              <w:spacing w:after="0"/>
              <w:ind w:left="0"/>
              <w:rPr>
                <w:rFonts w:ascii="Times New Roman" w:eastAsia="Times New Roman" w:hAnsi="Times New Roman" w:cs="Times New Roman"/>
                <w:color w:val="auto"/>
                <w:sz w:val="24"/>
                <w:szCs w:val="24"/>
                <w:lang w:val="hr-HR" w:eastAsia="en-US"/>
              </w:rPr>
            </w:pPr>
            <w:r w:rsidRPr="00653DCF">
              <w:rPr>
                <w:rFonts w:ascii="Times New Roman" w:eastAsia="Times New Roman" w:hAnsi="Times New Roman" w:cs="Times New Roman"/>
                <w:color w:val="auto"/>
                <w:sz w:val="24"/>
                <w:szCs w:val="24"/>
                <w:lang w:val="hr-HR" w:eastAsia="en-US"/>
              </w:rPr>
              <w:t xml:space="preserve"> </w:t>
            </w:r>
          </w:p>
          <w:p w14:paraId="0B2146DF" w14:textId="77777777" w:rsidR="00137543" w:rsidRPr="00137543" w:rsidRDefault="00137543" w:rsidP="00137543">
            <w:pPr>
              <w:autoSpaceDE w:val="0"/>
              <w:autoSpaceDN w:val="0"/>
              <w:adjustRightInd w:val="0"/>
              <w:spacing w:after="0"/>
              <w:ind w:left="0" w:firstLine="739"/>
              <w:rPr>
                <w:rFonts w:ascii="Times New Roman" w:eastAsia="Times New Roman" w:hAnsi="Times New Roman" w:cs="Times New Roman"/>
                <w:color w:val="auto"/>
                <w:sz w:val="24"/>
                <w:szCs w:val="24"/>
                <w:lang w:val="hr-HR" w:eastAsia="en-US"/>
              </w:rPr>
            </w:pPr>
            <w:r w:rsidRPr="00137543">
              <w:rPr>
                <w:rFonts w:ascii="Times New Roman" w:eastAsia="Times New Roman" w:hAnsi="Times New Roman" w:cs="Times New Roman"/>
                <w:color w:val="auto"/>
                <w:sz w:val="24"/>
                <w:szCs w:val="24"/>
                <w:lang w:val="hr-HR" w:eastAsia="en-US"/>
              </w:rPr>
              <w:t xml:space="preserve">Suradnja Republike Hrvatske i EIB-a, u pogledu financiranja novih projekata, obnovljena je 2000. godine nakon što je Vijeće ministara Europske unije odobrilo mandat EIB-u da financijski podupire infrastrukturne projekte i projekte razvoja privatnog sektora u Republici Hrvatskoj. Nastavno na navedeno, Republika Hrvatska i EIB su, 13. prosinca 2000., sklopili Okvirni sporazum između Republike Hrvatske i Europske investicijske banke koji uređuje aktivnosti EIB-a u Republici Hrvatskoj („Narodne novine – međunarodni ugovori“, broj 6/01) i temeljem kojeg je Odbor guvernera EIB-a 6. veljače 2001. godine odobrio davanje zajmova za investicijske projekte u Republici Hrvatskoj. </w:t>
            </w:r>
          </w:p>
          <w:p w14:paraId="16A8940F" w14:textId="77777777" w:rsidR="00137543" w:rsidRPr="00137543" w:rsidRDefault="00137543" w:rsidP="00137543">
            <w:pPr>
              <w:autoSpaceDE w:val="0"/>
              <w:autoSpaceDN w:val="0"/>
              <w:adjustRightInd w:val="0"/>
              <w:spacing w:after="0"/>
              <w:ind w:left="0"/>
              <w:rPr>
                <w:rFonts w:ascii="Times New Roman" w:eastAsia="Times New Roman" w:hAnsi="Times New Roman" w:cs="Times New Roman"/>
                <w:color w:val="auto"/>
                <w:sz w:val="24"/>
                <w:szCs w:val="24"/>
                <w:lang w:val="hr-HR" w:eastAsia="en-US"/>
              </w:rPr>
            </w:pPr>
          </w:p>
          <w:p w14:paraId="5C44BC05" w14:textId="77777777" w:rsidR="00137543" w:rsidRPr="00137543" w:rsidRDefault="00137543" w:rsidP="00137543">
            <w:pPr>
              <w:autoSpaceDE w:val="0"/>
              <w:autoSpaceDN w:val="0"/>
              <w:adjustRightInd w:val="0"/>
              <w:spacing w:after="0"/>
              <w:ind w:left="0" w:firstLine="739"/>
              <w:rPr>
                <w:rFonts w:ascii="Times New Roman" w:eastAsia="Times New Roman" w:hAnsi="Times New Roman" w:cs="Times New Roman"/>
                <w:color w:val="auto"/>
                <w:sz w:val="24"/>
                <w:szCs w:val="24"/>
                <w:lang w:val="hr-HR" w:eastAsia="en-US"/>
              </w:rPr>
            </w:pPr>
            <w:r w:rsidRPr="00137543">
              <w:rPr>
                <w:rFonts w:ascii="Times New Roman" w:eastAsia="Times New Roman" w:hAnsi="Times New Roman" w:cs="Times New Roman"/>
                <w:color w:val="auto"/>
                <w:sz w:val="24"/>
                <w:szCs w:val="24"/>
                <w:lang w:val="hr-HR" w:eastAsia="en-US"/>
              </w:rPr>
              <w:t>Punopravnim članstvom u Europskoj uniji, 1. srpnja 2013., Republika Hrvatska postala je i punopravna članica EIB-a. Ukupni upisani kapital Republike Hrvatske u EIB-u iznosi 1,06 milijardi eura, što čini udio od 0,43% u ukupnom kapitalu EIB-a. Od navedenog upisanog kapitala 94,8 milijuna eura je uplaćeni kapital dok 967,6 milijuna eura predstavlja kapital na poziv.</w:t>
            </w:r>
          </w:p>
          <w:p w14:paraId="53EDEAF9" w14:textId="77777777" w:rsidR="00137543" w:rsidRPr="00137543" w:rsidRDefault="00137543" w:rsidP="00137543">
            <w:pPr>
              <w:autoSpaceDE w:val="0"/>
              <w:autoSpaceDN w:val="0"/>
              <w:adjustRightInd w:val="0"/>
              <w:spacing w:after="0"/>
              <w:ind w:left="0"/>
              <w:rPr>
                <w:rFonts w:ascii="Times New Roman" w:eastAsia="Times New Roman" w:hAnsi="Times New Roman" w:cs="Times New Roman"/>
                <w:color w:val="auto"/>
                <w:sz w:val="24"/>
                <w:szCs w:val="24"/>
                <w:lang w:val="hr-HR" w:eastAsia="en-US"/>
              </w:rPr>
            </w:pPr>
          </w:p>
          <w:p w14:paraId="59FBF248" w14:textId="695C4685" w:rsidR="00137543" w:rsidRPr="00653DCF" w:rsidRDefault="00137543" w:rsidP="00137543">
            <w:pPr>
              <w:autoSpaceDE w:val="0"/>
              <w:autoSpaceDN w:val="0"/>
              <w:adjustRightInd w:val="0"/>
              <w:spacing w:after="0"/>
              <w:ind w:left="0" w:firstLine="739"/>
              <w:rPr>
                <w:rFonts w:ascii="Times New Roman" w:eastAsia="Times New Roman" w:hAnsi="Times New Roman" w:cs="Times New Roman"/>
                <w:color w:val="auto"/>
                <w:sz w:val="24"/>
                <w:szCs w:val="24"/>
                <w:lang w:val="hr-HR" w:eastAsia="en-US"/>
              </w:rPr>
            </w:pPr>
            <w:r w:rsidRPr="00137543">
              <w:rPr>
                <w:rFonts w:ascii="Times New Roman" w:eastAsia="Times New Roman" w:hAnsi="Times New Roman" w:cs="Times New Roman"/>
                <w:color w:val="auto"/>
                <w:sz w:val="24"/>
                <w:szCs w:val="24"/>
                <w:lang w:val="hr-HR" w:eastAsia="en-US"/>
              </w:rPr>
              <w:t>Republika Hrvatska je od 2001. do kraja 2023. godine sklopila 47 ugovora s EIB-om za 8 zajmova izravno Republici Hrvatskoj, vrijednih 1,08 milijardi eura, te 39 zajmova uz državno jamstvo, vrijednih 4,34 milijardi eura</w:t>
            </w:r>
          </w:p>
          <w:p w14:paraId="6D5990B0" w14:textId="77777777" w:rsidR="00134C6E" w:rsidRPr="00653DCF" w:rsidRDefault="00134C6E" w:rsidP="00134C6E">
            <w:pPr>
              <w:shd w:val="clear" w:color="auto" w:fill="FFFFFF"/>
              <w:spacing w:before="240" w:after="240"/>
              <w:ind w:left="0" w:firstLine="708"/>
              <w:rPr>
                <w:rFonts w:ascii="Times New Roman" w:eastAsia="Times New Roman" w:hAnsi="Times New Roman" w:cs="Times New Roman"/>
                <w:strike/>
                <w:color w:val="auto"/>
                <w:sz w:val="24"/>
                <w:szCs w:val="24"/>
                <w:lang w:val="hr-HR" w:eastAsia="en-US"/>
              </w:rPr>
            </w:pPr>
            <w:r w:rsidRPr="00653DCF">
              <w:rPr>
                <w:rFonts w:ascii="Times New Roman" w:eastAsia="Times New Roman" w:hAnsi="Times New Roman" w:cs="Times New Roman"/>
                <w:color w:val="auto"/>
                <w:sz w:val="24"/>
                <w:szCs w:val="24"/>
                <w:lang w:val="hr-HR" w:eastAsia="hr-HR"/>
              </w:rPr>
              <w:t>EIB dugoročnim financiranjem projekata, jamstvima i savjetima unapređuje ciljeve Europske unije. Banka podupire projekte unutar i izvan Europske unije. Njezini su dioničari države članice Europske unije. EIB je većinski dioničar Europskog investicijskog fonda (u daljnjem tekstu: EIF) te zajedno s njim čini Grupu EIB-a. U sklopu Plana ulaganja za Europu koji je predložila Europska komisija, Grupa EIB-a dio je šire strategije čiji je cilj premošćivanje velikog investicijskog jaza na način da se smanje neki od rizika koje snose ulagači, a koji su povezani s projektima.</w:t>
            </w:r>
          </w:p>
          <w:p w14:paraId="2010A7E6" w14:textId="77777777" w:rsidR="00134C6E" w:rsidRPr="00653DCF" w:rsidRDefault="00134C6E" w:rsidP="00134C6E">
            <w:pPr>
              <w:shd w:val="clear" w:color="auto" w:fill="FFFFFF"/>
              <w:spacing w:before="240" w:after="240"/>
              <w:ind w:left="0" w:firstLine="708"/>
              <w:rPr>
                <w:rFonts w:ascii="Times New Roman" w:eastAsia="Times New Roman" w:hAnsi="Times New Roman" w:cs="Times New Roman"/>
                <w:color w:val="auto"/>
                <w:sz w:val="24"/>
                <w:szCs w:val="24"/>
                <w:lang w:val="hr-HR" w:eastAsia="en-US"/>
              </w:rPr>
            </w:pPr>
            <w:r w:rsidRPr="00653DCF">
              <w:rPr>
                <w:rFonts w:ascii="Times New Roman" w:eastAsia="Times New Roman" w:hAnsi="Times New Roman" w:cs="Times New Roman"/>
                <w:color w:val="auto"/>
                <w:sz w:val="24"/>
                <w:szCs w:val="24"/>
                <w:lang w:val="hr-HR" w:eastAsia="en-US"/>
              </w:rPr>
              <w:lastRenderedPageBreak/>
              <w:t>U javnom sektoru, EIB uglavnom financira velike infrastrukturne projekte (obnova infrastrukture i modernizacije u sektoru željeznica, komunalna infrastruktura na područjima od posebne državne skrbi, obnova i izgradnja cesta, autocesta i izgradnja plinovoda, te financiranje malog i srednjeg poduzetništva kroz kreditne linije putem HBOR-a).</w:t>
            </w:r>
          </w:p>
          <w:p w14:paraId="3A05F50D" w14:textId="59CC2251" w:rsidR="00134C6E" w:rsidRPr="00653DCF" w:rsidRDefault="00134C6E" w:rsidP="00134C6E">
            <w:pPr>
              <w:spacing w:after="0"/>
              <w:ind w:left="0" w:firstLine="708"/>
              <w:rPr>
                <w:rFonts w:ascii="Times New Roman" w:eastAsia="SimSun" w:hAnsi="Times New Roman" w:cs="Times New Roman"/>
                <w:color w:val="auto"/>
                <w:sz w:val="24"/>
                <w:szCs w:val="24"/>
                <w:lang w:val="hr-HR" w:eastAsia="zh-CN"/>
              </w:rPr>
            </w:pPr>
            <w:r w:rsidRPr="00653DCF">
              <w:rPr>
                <w:rFonts w:ascii="Times New Roman" w:eastAsia="Times New Roman" w:hAnsi="Times New Roman" w:cs="Times New Roman"/>
                <w:color w:val="auto"/>
                <w:sz w:val="24"/>
                <w:szCs w:val="24"/>
                <w:lang w:val="hr-HR" w:eastAsia="hr-HR"/>
              </w:rPr>
              <w:t xml:space="preserve">Vlada Republike Hrvatske je na sjednici održanoj 2. studenog 2023.  donijela </w:t>
            </w:r>
            <w:r w:rsidRPr="00653DCF">
              <w:rPr>
                <w:rFonts w:ascii="Times New Roman" w:eastAsia="Times New Roman" w:hAnsi="Times New Roman" w:cs="Times New Roman"/>
                <w:color w:val="auto"/>
                <w:sz w:val="24"/>
                <w:szCs w:val="24"/>
                <w:shd w:val="clear" w:color="auto" w:fill="FFFFFF"/>
                <w:lang w:val="hr-HR" w:eastAsia="hr-HR"/>
              </w:rPr>
              <w:t xml:space="preserve">Zaključak o prihvaćanju Projekta „Revitalizacija željezničkog sustava Republike Hrvatske“ </w:t>
            </w:r>
            <w:r w:rsidRPr="00653DCF">
              <w:rPr>
                <w:rFonts w:ascii="Times New Roman" w:eastAsia="Times New Roman" w:hAnsi="Times New Roman" w:cs="Times New Roman"/>
                <w:color w:val="auto"/>
                <w:sz w:val="24"/>
                <w:szCs w:val="24"/>
                <w:lang w:val="hr-HR" w:eastAsia="hr-HR"/>
              </w:rPr>
              <w:t xml:space="preserve">za financiranje i/ili sufinanciranje iz okvirnog zajma </w:t>
            </w:r>
            <w:r w:rsidRPr="00653DCF">
              <w:rPr>
                <w:rFonts w:ascii="Times New Roman" w:eastAsia="SimSun" w:hAnsi="Times New Roman" w:cs="Times New Roman"/>
                <w:color w:val="auto"/>
                <w:sz w:val="24"/>
                <w:szCs w:val="24"/>
                <w:lang w:val="hr-HR" w:eastAsia="zh-CN"/>
              </w:rPr>
              <w:t>Europske investicijske banke (u daljnjem tekstu: Projekt).</w:t>
            </w:r>
            <w:r w:rsidRPr="00653DCF">
              <w:rPr>
                <w:rFonts w:ascii="Times New Roman" w:eastAsia="Times New Roman" w:hAnsi="Times New Roman" w:cs="Times New Roman"/>
                <w:color w:val="auto"/>
                <w:sz w:val="24"/>
                <w:szCs w:val="24"/>
                <w:shd w:val="clear" w:color="auto" w:fill="FFFFFF"/>
                <w:lang w:val="hr-HR" w:eastAsia="hr-HR"/>
              </w:rPr>
              <w:t xml:space="preserve"> Spomenutim okvirnim zajmom planirano je financiranje indikativnih investicijskih projekata trgovačkih društava HŽ Infrastruktura d.o.o. (</w:t>
            </w:r>
            <w:r w:rsidRPr="00653DCF">
              <w:rPr>
                <w:rFonts w:ascii="Times New Roman" w:eastAsia="Times New Roman" w:hAnsi="Times New Roman" w:cs="Times New Roman"/>
                <w:color w:val="auto"/>
                <w:sz w:val="24"/>
                <w:szCs w:val="24"/>
                <w:lang w:val="hr-HR" w:eastAsia="hr-HR"/>
              </w:rPr>
              <w:t xml:space="preserve">u daljnjem tekstu: </w:t>
            </w:r>
            <w:r w:rsidRPr="00653DCF">
              <w:rPr>
                <w:rFonts w:ascii="Times New Roman" w:eastAsia="Times New Roman" w:hAnsi="Times New Roman" w:cs="Times New Roman"/>
                <w:color w:val="auto"/>
                <w:sz w:val="24"/>
                <w:szCs w:val="24"/>
                <w:shd w:val="clear" w:color="auto" w:fill="FFFFFF"/>
                <w:lang w:val="hr-HR" w:eastAsia="hr-HR"/>
              </w:rPr>
              <w:t>HŽI) i HŽ Putnički prijevoz d.o.o. (</w:t>
            </w:r>
            <w:r w:rsidRPr="00653DCF">
              <w:rPr>
                <w:rFonts w:ascii="Times New Roman" w:eastAsia="Times New Roman" w:hAnsi="Times New Roman" w:cs="Times New Roman"/>
                <w:color w:val="auto"/>
                <w:sz w:val="24"/>
                <w:szCs w:val="24"/>
                <w:lang w:val="hr-HR" w:eastAsia="hr-HR"/>
              </w:rPr>
              <w:t xml:space="preserve">u daljnjem tekstu: </w:t>
            </w:r>
            <w:r w:rsidRPr="00653DCF">
              <w:rPr>
                <w:rFonts w:ascii="Times New Roman" w:eastAsia="Times New Roman" w:hAnsi="Times New Roman" w:cs="Times New Roman"/>
                <w:color w:val="auto"/>
                <w:sz w:val="24"/>
                <w:szCs w:val="24"/>
                <w:shd w:val="clear" w:color="auto" w:fill="FFFFFF"/>
                <w:lang w:val="hr-HR" w:eastAsia="hr-HR"/>
              </w:rPr>
              <w:t>HŽPP)</w:t>
            </w:r>
            <w:r w:rsidRPr="00653DCF">
              <w:rPr>
                <w:rFonts w:ascii="Times New Roman" w:eastAsia="SimSun" w:hAnsi="Times New Roman" w:cs="Times New Roman"/>
                <w:color w:val="auto"/>
                <w:sz w:val="24"/>
                <w:szCs w:val="24"/>
                <w:lang w:val="hr-HR" w:eastAsia="zh-CN"/>
              </w:rPr>
              <w:t>. Zaključkom je također dano ovlaštenje Ministarstvu mora, prometa i infrastrukture da putem Ministarstva financija, u ime Vlade Republike Hrvatske, uputi Europskoj investicijskoj banci Projekt</w:t>
            </w:r>
            <w:r w:rsidRPr="00653DCF">
              <w:rPr>
                <w:rFonts w:ascii="Times New Roman" w:eastAsia="Times New Roman" w:hAnsi="Times New Roman" w:cs="Times New Roman"/>
                <w:color w:val="auto"/>
                <w:sz w:val="24"/>
                <w:szCs w:val="24"/>
                <w:shd w:val="clear" w:color="auto" w:fill="FFFFFF"/>
                <w:lang w:val="hr-HR" w:eastAsia="hr-HR"/>
              </w:rPr>
              <w:t xml:space="preserve"> radi pokretanja </w:t>
            </w:r>
            <w:r w:rsidRPr="00653DCF">
              <w:rPr>
                <w:rFonts w:ascii="Times New Roman" w:eastAsia="SimSun" w:hAnsi="Times New Roman" w:cs="Times New Roman"/>
                <w:color w:val="auto"/>
                <w:sz w:val="24"/>
                <w:szCs w:val="24"/>
                <w:lang w:val="hr-HR" w:eastAsia="zh-CN"/>
              </w:rPr>
              <w:t>postupka pripreme i odobrenja okvirnog zajma Europske investicijske banke, a u svrhu provedbe istog.</w:t>
            </w:r>
          </w:p>
          <w:p w14:paraId="1196CD0A" w14:textId="77777777" w:rsidR="00134C6E" w:rsidRPr="00653DCF" w:rsidRDefault="00134C6E" w:rsidP="00134C6E">
            <w:pPr>
              <w:spacing w:after="0"/>
              <w:ind w:left="0"/>
              <w:rPr>
                <w:rFonts w:ascii="Times New Roman" w:eastAsia="Times New Roman" w:hAnsi="Times New Roman" w:cs="Times New Roman"/>
                <w:color w:val="auto"/>
                <w:sz w:val="24"/>
                <w:szCs w:val="24"/>
                <w:shd w:val="clear" w:color="auto" w:fill="FFFFFF"/>
                <w:lang w:val="hr-HR" w:eastAsia="hr-HR"/>
              </w:rPr>
            </w:pPr>
          </w:p>
          <w:p w14:paraId="6144BFE3" w14:textId="42E83CE5" w:rsidR="00134C6E" w:rsidRPr="00653DCF" w:rsidRDefault="00134C6E" w:rsidP="00134C6E">
            <w:pPr>
              <w:spacing w:after="0"/>
              <w:ind w:left="0" w:firstLine="708"/>
              <w:rPr>
                <w:rFonts w:ascii="Times New Roman" w:eastAsia="Times New Roman" w:hAnsi="Times New Roman" w:cs="Times New Roman"/>
                <w:bCs/>
                <w:color w:val="auto"/>
                <w:sz w:val="24"/>
                <w:szCs w:val="24"/>
                <w:lang w:val="hr-HR" w:eastAsia="hr-HR"/>
              </w:rPr>
            </w:pPr>
            <w:r w:rsidRPr="00653DCF">
              <w:rPr>
                <w:rFonts w:ascii="Times New Roman" w:eastAsia="Times New Roman" w:hAnsi="Times New Roman" w:cs="Times New Roman"/>
                <w:color w:val="auto"/>
                <w:sz w:val="24"/>
                <w:szCs w:val="24"/>
                <w:lang w:val="hr-HR" w:eastAsia="hr-HR"/>
              </w:rPr>
              <w:t>Slijedom spomenutog upućivanja Projekta EIB-u, Vlada Repu</w:t>
            </w:r>
            <w:r w:rsidR="00DA0A11">
              <w:rPr>
                <w:rFonts w:ascii="Times New Roman" w:eastAsia="Times New Roman" w:hAnsi="Times New Roman" w:cs="Times New Roman"/>
                <w:color w:val="auto"/>
                <w:sz w:val="24"/>
                <w:szCs w:val="24"/>
                <w:lang w:val="hr-HR" w:eastAsia="hr-HR"/>
              </w:rPr>
              <w:t xml:space="preserve">blike Hrvatske je, na </w:t>
            </w:r>
            <w:r w:rsidRPr="00653DCF">
              <w:rPr>
                <w:rFonts w:ascii="Times New Roman" w:eastAsia="Times New Roman" w:hAnsi="Times New Roman" w:cs="Times New Roman"/>
                <w:color w:val="auto"/>
                <w:sz w:val="24"/>
                <w:szCs w:val="24"/>
                <w:lang w:val="hr-HR" w:eastAsia="hr-HR"/>
              </w:rPr>
              <w:t>sjednici o</w:t>
            </w:r>
            <w:r w:rsidR="00094B56">
              <w:rPr>
                <w:rFonts w:ascii="Times New Roman" w:eastAsia="Times New Roman" w:hAnsi="Times New Roman" w:cs="Times New Roman"/>
                <w:color w:val="auto"/>
                <w:sz w:val="24"/>
                <w:szCs w:val="24"/>
                <w:lang w:val="hr-HR" w:eastAsia="hr-HR"/>
              </w:rPr>
              <w:t>držanoj dana 21. prosinca 2023.</w:t>
            </w:r>
            <w:r w:rsidRPr="00653DCF">
              <w:rPr>
                <w:rFonts w:ascii="Times New Roman" w:eastAsia="Times New Roman" w:hAnsi="Times New Roman" w:cs="Times New Roman"/>
                <w:color w:val="auto"/>
                <w:sz w:val="24"/>
                <w:szCs w:val="24"/>
                <w:lang w:val="hr-HR" w:eastAsia="hr-HR"/>
              </w:rPr>
              <w:t xml:space="preserve"> donijela Odluku </w:t>
            </w:r>
            <w:r w:rsidRPr="00653DCF">
              <w:rPr>
                <w:rFonts w:ascii="Times New Roman" w:eastAsia="Times New Roman" w:hAnsi="Times New Roman" w:cs="Times New Roman"/>
                <w:bCs/>
                <w:color w:val="auto"/>
                <w:sz w:val="24"/>
                <w:szCs w:val="24"/>
                <w:lang w:val="hr-HR" w:eastAsia="hr-HR"/>
              </w:rPr>
              <w:t>o pokretanju postupka za sklapanje Ugovora o financiranju između Republike Hrvatske i Europske investicijske banke za Projekt „Revitalizacija željezničkog sustava Republike Hrvatske“ iz okvirnog zajma</w:t>
            </w:r>
            <w:r w:rsidRPr="00653DCF">
              <w:rPr>
                <w:rFonts w:ascii="Times New Roman" w:eastAsia="Times New Roman" w:hAnsi="Times New Roman" w:cs="Times New Roman"/>
                <w:color w:val="auto"/>
                <w:sz w:val="24"/>
                <w:szCs w:val="24"/>
                <w:lang w:val="hr-HR" w:eastAsia="hr-HR"/>
              </w:rPr>
              <w:t>. Spomenutom Odlukom Vlada Republike Hrvatske je prihvatila Nacrt ugovora o financiranju, odredila sastav izaslanstva Republike Hrvatske za vođenje pregovora te je ovlastila ministra financija da, u ime Republike Hrvatske, potpiše Ugovor o financiranju.</w:t>
            </w:r>
          </w:p>
          <w:p w14:paraId="25825DB4"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15518DFF" w14:textId="24E889AB" w:rsidR="00134C6E" w:rsidRPr="00653DCF" w:rsidRDefault="00134C6E" w:rsidP="00134C6E">
            <w:pPr>
              <w:spacing w:after="0"/>
              <w:ind w:left="0" w:firstLine="708"/>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Nakon održanih pregovora, Vla</w:t>
            </w:r>
            <w:r w:rsidR="00DA0A11">
              <w:rPr>
                <w:rFonts w:ascii="Times New Roman" w:eastAsia="Times New Roman" w:hAnsi="Times New Roman" w:cs="Times New Roman"/>
                <w:color w:val="auto"/>
                <w:sz w:val="24"/>
                <w:szCs w:val="24"/>
                <w:lang w:val="hr-HR" w:eastAsia="hr-HR"/>
              </w:rPr>
              <w:t xml:space="preserve">da Republike Hrvatske na </w:t>
            </w:r>
            <w:r w:rsidRPr="00653DCF">
              <w:rPr>
                <w:rFonts w:ascii="Times New Roman" w:eastAsia="Times New Roman" w:hAnsi="Times New Roman" w:cs="Times New Roman"/>
                <w:color w:val="auto"/>
                <w:sz w:val="24"/>
                <w:szCs w:val="24"/>
                <w:lang w:val="hr-HR" w:eastAsia="hr-HR"/>
              </w:rPr>
              <w:t>sjedni</w:t>
            </w:r>
            <w:r w:rsidR="00094B56">
              <w:rPr>
                <w:rFonts w:ascii="Times New Roman" w:eastAsia="Times New Roman" w:hAnsi="Times New Roman" w:cs="Times New Roman"/>
                <w:color w:val="auto"/>
                <w:sz w:val="24"/>
                <w:szCs w:val="24"/>
                <w:lang w:val="hr-HR" w:eastAsia="hr-HR"/>
              </w:rPr>
              <w:t xml:space="preserve">ci održanoj 11. siječnja 2024. </w:t>
            </w:r>
            <w:r w:rsidRPr="00653DCF">
              <w:rPr>
                <w:rFonts w:ascii="Times New Roman" w:eastAsia="Times New Roman" w:hAnsi="Times New Roman" w:cs="Times New Roman"/>
                <w:color w:val="auto"/>
                <w:sz w:val="24"/>
                <w:szCs w:val="24"/>
                <w:lang w:val="hr-HR" w:eastAsia="hr-HR"/>
              </w:rPr>
              <w:t xml:space="preserve">donijela Zaključak o prihvaćanju Izvješća o vođenim pregovorima za sklapanje Ugovora </w:t>
            </w:r>
            <w:r w:rsidRPr="00653DCF">
              <w:rPr>
                <w:rFonts w:ascii="Times New Roman" w:eastAsia="Times New Roman" w:hAnsi="Times New Roman" w:cs="Times New Roman"/>
                <w:bCs/>
                <w:color w:val="auto"/>
                <w:sz w:val="24"/>
                <w:szCs w:val="24"/>
                <w:lang w:val="hr-HR" w:eastAsia="hr-HR"/>
              </w:rPr>
              <w:t xml:space="preserve">o financiranju između Republike Hrvatske i Europske investicijske banke za Projekt </w:t>
            </w:r>
            <w:r w:rsidRPr="00653DCF">
              <w:rPr>
                <w:rFonts w:ascii="Times New Roman" w:eastAsia="Times New Roman" w:hAnsi="Times New Roman" w:cs="Times New Roman"/>
                <w:color w:val="auto"/>
                <w:sz w:val="24"/>
                <w:szCs w:val="24"/>
                <w:lang w:val="hr-HR" w:eastAsia="hr-HR"/>
              </w:rPr>
              <w:t xml:space="preserve">„Revitalizacija željezničkog sustava Republike Hrvatske“ iz okvirnog zajma. </w:t>
            </w:r>
          </w:p>
          <w:p w14:paraId="74C12DAD"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32022EF9" w14:textId="6088A978" w:rsidR="00134C6E" w:rsidRPr="00653DCF" w:rsidRDefault="00134C6E" w:rsidP="00134C6E">
            <w:pPr>
              <w:spacing w:after="0"/>
              <w:ind w:left="0" w:firstLine="708"/>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Ugovor o financiranju je </w:t>
            </w:r>
            <w:r w:rsidRPr="00F219CE">
              <w:rPr>
                <w:rFonts w:ascii="Times New Roman" w:eastAsia="Times New Roman" w:hAnsi="Times New Roman" w:cs="Times New Roman"/>
                <w:color w:val="auto"/>
                <w:sz w:val="24"/>
                <w:szCs w:val="24"/>
                <w:lang w:val="hr-HR" w:eastAsia="hr-HR"/>
              </w:rPr>
              <w:t xml:space="preserve">potpisan </w:t>
            </w:r>
            <w:r w:rsidR="00F219CE" w:rsidRPr="00F219CE">
              <w:rPr>
                <w:rFonts w:ascii="Times New Roman" w:eastAsia="Times New Roman" w:hAnsi="Times New Roman" w:cs="Times New Roman"/>
                <w:color w:val="auto"/>
                <w:sz w:val="24"/>
                <w:szCs w:val="24"/>
                <w:lang w:val="hr-HR" w:eastAsia="hr-HR"/>
              </w:rPr>
              <w:t>dana 22. siječnja</w:t>
            </w:r>
            <w:r w:rsidRPr="00F219CE">
              <w:rPr>
                <w:rFonts w:ascii="Times New Roman" w:eastAsia="Times New Roman" w:hAnsi="Times New Roman" w:cs="Times New Roman"/>
                <w:color w:val="auto"/>
                <w:sz w:val="24"/>
                <w:szCs w:val="24"/>
                <w:lang w:val="hr-HR" w:eastAsia="hr-HR"/>
              </w:rPr>
              <w:t xml:space="preserve"> 2024.  u Zagrebu</w:t>
            </w:r>
            <w:r w:rsidRPr="00653DCF">
              <w:rPr>
                <w:rFonts w:ascii="Times New Roman" w:eastAsia="Times New Roman" w:hAnsi="Times New Roman" w:cs="Times New Roman"/>
                <w:color w:val="auto"/>
                <w:sz w:val="24"/>
                <w:szCs w:val="24"/>
                <w:lang w:val="hr-HR" w:eastAsia="hr-HR"/>
              </w:rPr>
              <w:t xml:space="preserve"> i u Luxemburgu. Za Republiku Hrvatsku potpisao ga je dr. sc. Marko Primorac, ministar financija, a za EIB </w:t>
            </w:r>
            <w:r w:rsidRPr="00DC3DC2">
              <w:rPr>
                <w:rFonts w:ascii="Times New Roman" w:eastAsia="Times New Roman" w:hAnsi="Times New Roman" w:cs="Times New Roman"/>
                <w:color w:val="auto"/>
                <w:sz w:val="24"/>
                <w:szCs w:val="24"/>
                <w:lang w:val="hr-HR" w:eastAsia="hr-HR"/>
              </w:rPr>
              <w:t xml:space="preserve">Hanna </w:t>
            </w:r>
            <w:r w:rsidRPr="00DC3DC2">
              <w:rPr>
                <w:rFonts w:ascii="Times New Roman" w:eastAsia="Times New Roman" w:hAnsi="Times New Roman" w:cs="Arial"/>
                <w:color w:val="auto"/>
                <w:sz w:val="24"/>
                <w:szCs w:val="24"/>
                <w:lang w:val="hr-HR" w:eastAsia="hr-HR"/>
              </w:rPr>
              <w:t>Karczewska</w:t>
            </w:r>
            <w:r w:rsidRPr="00DC3DC2">
              <w:rPr>
                <w:rFonts w:ascii="Times New Roman" w:eastAsia="Times New Roman" w:hAnsi="Times New Roman" w:cs="Times New Roman"/>
                <w:color w:val="auto"/>
                <w:sz w:val="24"/>
                <w:szCs w:val="24"/>
                <w:lang w:val="hr-HR" w:eastAsia="hr-HR"/>
              </w:rPr>
              <w:t xml:space="preserve">, voditeljica </w:t>
            </w:r>
            <w:r w:rsidR="00095ABF" w:rsidRPr="00DC3DC2">
              <w:rPr>
                <w:rFonts w:ascii="Times New Roman" w:eastAsia="Times New Roman" w:hAnsi="Times New Roman" w:cs="Times New Roman"/>
                <w:color w:val="auto"/>
                <w:sz w:val="24"/>
                <w:szCs w:val="24"/>
                <w:lang w:val="hr-HR" w:eastAsia="hr-HR"/>
              </w:rPr>
              <w:t>službe</w:t>
            </w:r>
            <w:r w:rsidRPr="00DC3DC2">
              <w:rPr>
                <w:rFonts w:ascii="Times New Roman" w:eastAsia="Times New Roman" w:hAnsi="Times New Roman" w:cs="Times New Roman"/>
                <w:color w:val="auto"/>
                <w:sz w:val="24"/>
                <w:szCs w:val="24"/>
                <w:lang w:val="hr-HR" w:eastAsia="hr-HR"/>
              </w:rPr>
              <w:t>, i Olga Pascenco, službenica</w:t>
            </w:r>
            <w:r w:rsidR="00B67887">
              <w:rPr>
                <w:rFonts w:ascii="Times New Roman" w:eastAsia="Times New Roman" w:hAnsi="Times New Roman" w:cs="Times New Roman"/>
                <w:color w:val="auto"/>
                <w:sz w:val="24"/>
                <w:szCs w:val="24"/>
                <w:lang w:val="hr-HR" w:eastAsia="hr-HR"/>
              </w:rPr>
              <w:t xml:space="preserve"> za zajmove</w:t>
            </w:r>
            <w:r w:rsidRPr="00DC3DC2">
              <w:rPr>
                <w:rFonts w:ascii="Times New Roman" w:eastAsia="Times New Roman" w:hAnsi="Times New Roman" w:cs="Times New Roman"/>
                <w:color w:val="auto"/>
                <w:sz w:val="24"/>
                <w:szCs w:val="24"/>
                <w:lang w:val="hr-HR" w:eastAsia="hr-HR"/>
              </w:rPr>
              <w:t>.</w:t>
            </w:r>
            <w:r w:rsidRPr="00653DCF">
              <w:rPr>
                <w:rFonts w:ascii="Times New Roman" w:eastAsia="Times New Roman" w:hAnsi="Times New Roman" w:cs="Times New Roman"/>
                <w:color w:val="auto"/>
                <w:sz w:val="24"/>
                <w:szCs w:val="24"/>
                <w:lang w:val="hr-HR" w:eastAsia="hr-HR"/>
              </w:rPr>
              <w:t xml:space="preserve"> </w:t>
            </w:r>
          </w:p>
          <w:p w14:paraId="18D0DA4E"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1F539FA1"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661FAD4A" w14:textId="77777777" w:rsidR="00134C6E" w:rsidRPr="00653DCF" w:rsidRDefault="00134C6E" w:rsidP="00134C6E">
            <w:pPr>
              <w:spacing w:after="0"/>
              <w:ind w:left="0"/>
              <w:jc w:val="left"/>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II.2.</w:t>
            </w:r>
            <w:r w:rsidRPr="00653DCF">
              <w:rPr>
                <w:rFonts w:ascii="Times New Roman" w:eastAsia="Times New Roman" w:hAnsi="Times New Roman" w:cs="Times New Roman"/>
                <w:b/>
                <w:color w:val="auto"/>
                <w:sz w:val="24"/>
                <w:szCs w:val="24"/>
                <w:lang w:val="hr-HR" w:eastAsia="hr-HR"/>
              </w:rPr>
              <w:tab/>
              <w:t>Cilj koji se Zakonom želi postići</w:t>
            </w:r>
          </w:p>
          <w:p w14:paraId="6847ECDC"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2A56B33A" w14:textId="0771EE89" w:rsidR="00134C6E" w:rsidRDefault="00134C6E" w:rsidP="00134C6E">
            <w:pPr>
              <w:spacing w:after="0"/>
              <w:ind w:left="0" w:firstLine="708"/>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Zakonom se potvrđuje Ugovor o financiranju za Projekt „Revitalizacija željezničkog sustava Republike Hrvatske“ iz okvirnog zajma. </w:t>
            </w:r>
          </w:p>
          <w:p w14:paraId="38D8A15C" w14:textId="77777777" w:rsidR="00FF7763" w:rsidRPr="00653DCF" w:rsidRDefault="00FF7763" w:rsidP="00134C6E">
            <w:pPr>
              <w:spacing w:after="0"/>
              <w:ind w:left="0" w:firstLine="708"/>
              <w:rPr>
                <w:rFonts w:ascii="Times New Roman" w:eastAsia="Times New Roman" w:hAnsi="Times New Roman" w:cs="Times New Roman"/>
                <w:color w:val="auto"/>
                <w:sz w:val="24"/>
                <w:szCs w:val="24"/>
                <w:lang w:val="hr-HR" w:eastAsia="hr-HR"/>
              </w:rPr>
            </w:pPr>
          </w:p>
          <w:p w14:paraId="6F76A34F" w14:textId="77777777" w:rsidR="00134C6E" w:rsidRPr="00653DCF" w:rsidRDefault="00134C6E" w:rsidP="00134C6E">
            <w:pPr>
              <w:spacing w:after="0"/>
              <w:ind w:left="0" w:firstLine="708"/>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U skladu s Ugovorom o financiranju, zajam iznosi 400 milijuna eura od ukupno planiranih 900 milijuna eura okvirnog zajma odobrenog od strane Europske investicijske banke.</w:t>
            </w:r>
          </w:p>
          <w:p w14:paraId="580C2465" w14:textId="6A966481" w:rsidR="00134C6E" w:rsidRPr="00653DCF" w:rsidRDefault="00134C6E" w:rsidP="00134C6E">
            <w:pPr>
              <w:spacing w:after="0"/>
              <w:ind w:left="0"/>
              <w:rPr>
                <w:rFonts w:ascii="Times New Roman" w:eastAsia="Times New Roman" w:hAnsi="Times New Roman" w:cs="Times New Roman"/>
                <w:color w:val="auto"/>
                <w:sz w:val="24"/>
                <w:szCs w:val="24"/>
                <w:shd w:val="clear" w:color="auto" w:fill="FFFFFF"/>
                <w:lang w:val="hr-HR" w:eastAsia="hr-HR"/>
              </w:rPr>
            </w:pPr>
            <w:r w:rsidRPr="00653DCF">
              <w:rPr>
                <w:rFonts w:ascii="Times New Roman" w:eastAsia="Times New Roman" w:hAnsi="Times New Roman" w:cs="Times New Roman"/>
                <w:color w:val="auto"/>
                <w:sz w:val="24"/>
                <w:szCs w:val="24"/>
                <w:lang w:val="hr-HR" w:eastAsia="hr-HR"/>
              </w:rPr>
              <w:t xml:space="preserve"> </w:t>
            </w:r>
            <w:r w:rsidRPr="00653DCF">
              <w:rPr>
                <w:rFonts w:ascii="Times New Roman" w:eastAsia="Times New Roman" w:hAnsi="Times New Roman" w:cs="Times New Roman"/>
                <w:color w:val="auto"/>
                <w:sz w:val="24"/>
                <w:szCs w:val="24"/>
                <w:shd w:val="clear" w:color="auto" w:fill="FFFFFF"/>
                <w:lang w:val="hr-HR" w:eastAsia="hr-HR"/>
              </w:rPr>
              <w:tab/>
            </w:r>
            <w:r w:rsidR="00DA05C4">
              <w:rPr>
                <w:rFonts w:ascii="Times New Roman" w:eastAsia="Times New Roman" w:hAnsi="Times New Roman" w:cs="Times New Roman"/>
                <w:color w:val="auto"/>
                <w:sz w:val="24"/>
                <w:szCs w:val="24"/>
                <w:shd w:val="clear" w:color="auto" w:fill="FFFFFF"/>
                <w:lang w:val="hr-HR" w:eastAsia="hr-HR"/>
              </w:rPr>
              <w:t xml:space="preserve">EIB je na </w:t>
            </w:r>
            <w:r w:rsidRPr="00653DCF">
              <w:rPr>
                <w:rFonts w:ascii="Times New Roman" w:eastAsia="Times New Roman" w:hAnsi="Times New Roman" w:cs="Times New Roman"/>
                <w:color w:val="auto"/>
                <w:sz w:val="24"/>
                <w:szCs w:val="24"/>
                <w:shd w:val="clear" w:color="auto" w:fill="FFFFFF"/>
                <w:lang w:val="hr-HR" w:eastAsia="hr-HR"/>
              </w:rPr>
              <w:t>sjednici Odbora direktora, o</w:t>
            </w:r>
            <w:r w:rsidR="00DA05C4">
              <w:rPr>
                <w:rFonts w:ascii="Times New Roman" w:eastAsia="Times New Roman" w:hAnsi="Times New Roman" w:cs="Times New Roman"/>
                <w:color w:val="auto"/>
                <w:sz w:val="24"/>
                <w:szCs w:val="24"/>
                <w:shd w:val="clear" w:color="auto" w:fill="FFFFFF"/>
                <w:lang w:val="hr-HR" w:eastAsia="hr-HR"/>
              </w:rPr>
              <w:t>držanoj dana 13. prosinca 2023.</w:t>
            </w:r>
            <w:r w:rsidRPr="00653DCF">
              <w:rPr>
                <w:rFonts w:ascii="Times New Roman" w:eastAsia="Times New Roman" w:hAnsi="Times New Roman" w:cs="Times New Roman"/>
                <w:color w:val="auto"/>
                <w:sz w:val="24"/>
                <w:szCs w:val="24"/>
                <w:shd w:val="clear" w:color="auto" w:fill="FFFFFF"/>
                <w:lang w:val="hr-HR" w:eastAsia="hr-HR"/>
              </w:rPr>
              <w:t xml:space="preserve">, odobrio Republici Hrvatskoj okvirni zajam u iznosu od 900 milijuna eura. Odobreni iznos okvirnog zajma odnosi se na financiranje i/ili sufinanciranje indikativnih projekata željezničkih društava, u čemu se iznos od oko 714,7 milijuna eura odnosi na indikativne projekte društva HŽI, dok se na indikativne projekte društva HŽPP odnosi iznos financiranja i/ili sufinanciranja od oko 185,3 milijuna eura.  Naime, Ministarstvo mora, prometa i infrastrukture je u suradnji sa društvima HŽI i HŽPP identificiralo strateške investicijske projekte spomenutih društava za naredno desetogodišnje razdoblje i to prema stupnju spremnosti od prioriteta A do prioriteta D koji zajedno čine </w:t>
            </w:r>
            <w:r w:rsidRPr="00653DCF">
              <w:rPr>
                <w:rFonts w:ascii="Times New Roman" w:eastAsia="Times New Roman" w:hAnsi="Times New Roman" w:cs="Times New Roman"/>
                <w:bCs/>
                <w:color w:val="auto"/>
                <w:sz w:val="24"/>
                <w:szCs w:val="24"/>
                <w:lang w:val="hr-HR" w:eastAsia="hr-HR"/>
              </w:rPr>
              <w:t>Projekt „Revitalizacija željezničkog sustava Republike Hrvatske“</w:t>
            </w:r>
            <w:r w:rsidRPr="00653DCF">
              <w:rPr>
                <w:rFonts w:ascii="Times New Roman" w:eastAsia="Times New Roman" w:hAnsi="Times New Roman" w:cs="Times New Roman"/>
                <w:color w:val="auto"/>
                <w:sz w:val="24"/>
                <w:szCs w:val="24"/>
                <w:shd w:val="clear" w:color="auto" w:fill="FFFFFF"/>
                <w:lang w:val="hr-HR" w:eastAsia="hr-HR"/>
              </w:rPr>
              <w:t xml:space="preserve">. Odobrenim sredstvima okvirnog zajma predviđeno je financiranje i/ili sufinanciranje projekata usmjerenih na poboljšanje željezničke infrastrukture kao i projekata usmjerenih na poboljšanje putničkog prijevoza. </w:t>
            </w:r>
          </w:p>
          <w:p w14:paraId="64DD13C0" w14:textId="77777777" w:rsidR="00134C6E" w:rsidRPr="00653DCF" w:rsidRDefault="00134C6E" w:rsidP="00134C6E">
            <w:pPr>
              <w:spacing w:after="0"/>
              <w:ind w:left="0"/>
              <w:rPr>
                <w:rFonts w:ascii="Times New Roman" w:eastAsia="Times New Roman" w:hAnsi="Times New Roman" w:cs="Times New Roman"/>
                <w:color w:val="auto"/>
                <w:sz w:val="24"/>
                <w:szCs w:val="24"/>
                <w:shd w:val="clear" w:color="auto" w:fill="FFFFFF"/>
                <w:lang w:val="hr-HR" w:eastAsia="hr-HR"/>
              </w:rPr>
            </w:pPr>
          </w:p>
          <w:p w14:paraId="104B9D85" w14:textId="77777777" w:rsidR="00134C6E" w:rsidRPr="00653DCF" w:rsidRDefault="00134C6E" w:rsidP="00134C6E">
            <w:pPr>
              <w:spacing w:after="0"/>
              <w:ind w:left="0" w:firstLine="708"/>
              <w:rPr>
                <w:rFonts w:ascii="Times New Roman" w:eastAsia="Times New Roman" w:hAnsi="Times New Roman" w:cs="Times New Roman"/>
                <w:color w:val="auto"/>
                <w:sz w:val="24"/>
                <w:szCs w:val="24"/>
                <w:shd w:val="clear" w:color="auto" w:fill="FFFFFF"/>
                <w:lang w:val="hr-HR" w:eastAsia="hr-HR"/>
              </w:rPr>
            </w:pPr>
            <w:r w:rsidRPr="00653DCF">
              <w:rPr>
                <w:rFonts w:ascii="Times New Roman" w:eastAsia="Times New Roman" w:hAnsi="Times New Roman" w:cs="Times New Roman"/>
                <w:color w:val="auto"/>
                <w:sz w:val="24"/>
                <w:szCs w:val="24"/>
                <w:shd w:val="clear" w:color="auto" w:fill="FFFFFF"/>
                <w:lang w:val="hr-HR" w:eastAsia="hr-HR"/>
              </w:rPr>
              <w:t xml:space="preserve">Ugovor o financiranju odnosi se na zajam u iznosu od 400 milijuna eura dok će preostali iznos odobrenog okvirnog zajma u iznosu od 500 milijuna eura </w:t>
            </w:r>
            <w:r w:rsidRPr="00653DCF">
              <w:rPr>
                <w:rFonts w:ascii="Times New Roman" w:eastAsia="Times New Roman" w:hAnsi="Times New Roman" w:cs="Times New Roman"/>
                <w:color w:val="auto"/>
                <w:sz w:val="24"/>
                <w:szCs w:val="24"/>
                <w:shd w:val="clear" w:color="auto" w:fill="FFFFFF"/>
                <w:lang w:val="hr-HR" w:eastAsia="hr-HR"/>
              </w:rPr>
              <w:lastRenderedPageBreak/>
              <w:t>biti predmetom sljedećih ugovora o financiranju, prema potrebi i sukladno dinamici korištenja prvog dijela zajma.</w:t>
            </w:r>
          </w:p>
          <w:p w14:paraId="3FE6B8F4" w14:textId="77777777" w:rsidR="00134C6E" w:rsidRPr="00653DCF" w:rsidRDefault="00134C6E" w:rsidP="00134C6E">
            <w:pPr>
              <w:spacing w:after="0"/>
              <w:ind w:left="0"/>
              <w:rPr>
                <w:rFonts w:ascii="Times New Roman" w:eastAsia="Times New Roman" w:hAnsi="Times New Roman" w:cs="Times New Roman"/>
                <w:color w:val="auto"/>
                <w:sz w:val="24"/>
                <w:szCs w:val="24"/>
                <w:shd w:val="clear" w:color="auto" w:fill="FFFFFF"/>
                <w:lang w:val="hr-HR" w:eastAsia="hr-HR"/>
              </w:rPr>
            </w:pPr>
          </w:p>
          <w:p w14:paraId="115246FB" w14:textId="77777777" w:rsidR="00134C6E" w:rsidRPr="00653DCF" w:rsidRDefault="00134C6E" w:rsidP="00134C6E">
            <w:pPr>
              <w:spacing w:after="0"/>
              <w:ind w:left="0" w:firstLine="708"/>
              <w:rPr>
                <w:rFonts w:ascii="Times New Roman" w:eastAsia="Times New Roman" w:hAnsi="Times New Roman" w:cs="Times New Roman"/>
                <w:color w:val="auto"/>
                <w:sz w:val="24"/>
                <w:szCs w:val="24"/>
                <w:shd w:val="clear" w:color="auto" w:fill="FFFFFF"/>
                <w:lang w:val="hr-HR" w:eastAsia="hr-HR"/>
              </w:rPr>
            </w:pPr>
            <w:r w:rsidRPr="00653DCF">
              <w:rPr>
                <w:rFonts w:ascii="Times New Roman" w:eastAsia="Times New Roman" w:hAnsi="Times New Roman" w:cs="Times New Roman"/>
                <w:color w:val="auto"/>
                <w:sz w:val="24"/>
                <w:szCs w:val="24"/>
                <w:shd w:val="clear" w:color="auto" w:fill="FFFFFF"/>
                <w:lang w:val="hr-HR" w:eastAsia="hr-HR"/>
              </w:rPr>
              <w:t xml:space="preserve">Ukupna vrijednost Projekta </w:t>
            </w:r>
            <w:r w:rsidRPr="00653DCF">
              <w:rPr>
                <w:rFonts w:ascii="Times New Roman" w:eastAsia="Times New Roman" w:hAnsi="Times New Roman" w:cs="Times New Roman"/>
                <w:color w:val="auto"/>
                <w:sz w:val="24"/>
                <w:szCs w:val="24"/>
                <w:lang w:val="hr-HR" w:eastAsia="hr-HR"/>
              </w:rPr>
              <w:t xml:space="preserve">„Revitalizacija željezničkog sustava Republike Hrvatske“ procijenjena je na 2,6 milijardi eura, a indikativna lista projekata u okviru Ugovora o financiranju sadrži primarno, ali ne isključivo 49 projekata koji se odnose na poboljšanje željezničke infrastrukture i putničkog prijevoza. </w:t>
            </w:r>
            <w:r w:rsidRPr="00653DCF">
              <w:rPr>
                <w:rFonts w:ascii="Times New Roman" w:eastAsia="Times New Roman" w:hAnsi="Times New Roman" w:cs="Times New Roman"/>
                <w:color w:val="auto"/>
                <w:sz w:val="24"/>
                <w:szCs w:val="24"/>
                <w:shd w:val="clear" w:color="auto" w:fill="FFFFFF"/>
                <w:lang w:val="hr-HR" w:eastAsia="hr-HR"/>
              </w:rPr>
              <w:t>Realizacija ovih indikativnih projekata dovest će do povećanja kapaciteta i modernizacije željezničke infrastrukture te značajnog poboljšanja sigurnosti putnika i osoblja smanjujući rizik od nesreća i ozljeda, a što će posljedično pozitivno utjecati na smanjenje gužvi na cestama te na promicanje održivog razvoja prometnog sektora.</w:t>
            </w:r>
          </w:p>
          <w:p w14:paraId="0BD748A6" w14:textId="50676634" w:rsidR="002F49E3" w:rsidRPr="00653DCF" w:rsidRDefault="002F49E3" w:rsidP="00134C6E">
            <w:pPr>
              <w:spacing w:after="0"/>
              <w:ind w:left="0"/>
              <w:rPr>
                <w:rFonts w:ascii="Times New Roman" w:eastAsia="Times New Roman" w:hAnsi="Times New Roman" w:cs="Times New Roman"/>
                <w:color w:val="auto"/>
                <w:sz w:val="24"/>
                <w:szCs w:val="24"/>
                <w:lang w:val="hr-HR" w:eastAsia="hr-HR"/>
              </w:rPr>
            </w:pPr>
          </w:p>
          <w:p w14:paraId="7EC9E93D" w14:textId="77777777" w:rsidR="002F49E3" w:rsidRPr="00653DCF" w:rsidRDefault="002F49E3" w:rsidP="00134C6E">
            <w:pPr>
              <w:spacing w:after="0"/>
              <w:ind w:left="0"/>
              <w:rPr>
                <w:rFonts w:ascii="Times New Roman" w:eastAsia="Times New Roman" w:hAnsi="Times New Roman" w:cs="Times New Roman"/>
                <w:color w:val="auto"/>
                <w:sz w:val="24"/>
                <w:szCs w:val="24"/>
                <w:lang w:val="hr-HR" w:eastAsia="hr-HR"/>
              </w:rPr>
            </w:pPr>
          </w:p>
          <w:p w14:paraId="19A37FAD" w14:textId="77777777" w:rsidR="00134C6E" w:rsidRPr="00653DCF" w:rsidRDefault="00134C6E" w:rsidP="00134C6E">
            <w:pPr>
              <w:spacing w:after="0"/>
              <w:ind w:left="0"/>
              <w:jc w:val="center"/>
              <w:outlineLvl w:val="0"/>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OPIS ZAJMA</w:t>
            </w:r>
          </w:p>
          <w:p w14:paraId="3065DDA0"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tbl>
            <w:tblPr>
              <w:tblW w:w="0" w:type="auto"/>
              <w:tblLook w:val="01E0" w:firstRow="1" w:lastRow="1" w:firstColumn="1" w:lastColumn="1" w:noHBand="0" w:noVBand="0"/>
            </w:tblPr>
            <w:tblGrid>
              <w:gridCol w:w="2364"/>
              <w:gridCol w:w="6483"/>
            </w:tblGrid>
            <w:tr w:rsidR="00134C6E" w:rsidRPr="00653DCF" w14:paraId="076674FB" w14:textId="77777777" w:rsidTr="00996850">
              <w:tc>
                <w:tcPr>
                  <w:tcW w:w="2364" w:type="dxa"/>
                  <w:hideMark/>
                </w:tcPr>
                <w:p w14:paraId="4EF40B6E" w14:textId="77777777" w:rsidR="00134C6E" w:rsidRPr="00653DCF" w:rsidRDefault="00134C6E" w:rsidP="00F219C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zajmoprimac:</w:t>
                  </w:r>
                </w:p>
              </w:tc>
              <w:tc>
                <w:tcPr>
                  <w:tcW w:w="6483" w:type="dxa"/>
                </w:tcPr>
                <w:p w14:paraId="03675FAB"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Republika Hrvatska - Ministarstvo financija;</w:t>
                  </w:r>
                </w:p>
                <w:p w14:paraId="2FCDDB65"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p>
              </w:tc>
            </w:tr>
            <w:tr w:rsidR="00134C6E" w:rsidRPr="00653DCF" w14:paraId="1712C247" w14:textId="77777777" w:rsidTr="00996850">
              <w:tc>
                <w:tcPr>
                  <w:tcW w:w="2364" w:type="dxa"/>
                  <w:hideMark/>
                </w:tcPr>
                <w:p w14:paraId="00A27902" w14:textId="77777777" w:rsidR="00134C6E" w:rsidRPr="00653DCF" w:rsidRDefault="00134C6E" w:rsidP="00F219C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zajmodavac:</w:t>
                  </w:r>
                </w:p>
              </w:tc>
              <w:tc>
                <w:tcPr>
                  <w:tcW w:w="6483" w:type="dxa"/>
                </w:tcPr>
                <w:p w14:paraId="74090190"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Europska investicijska banka;</w:t>
                  </w:r>
                </w:p>
                <w:p w14:paraId="188DE83A"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p>
              </w:tc>
            </w:tr>
            <w:tr w:rsidR="00134C6E" w:rsidRPr="00653DCF" w14:paraId="3C47B9D8" w14:textId="77777777" w:rsidTr="00996850">
              <w:tc>
                <w:tcPr>
                  <w:tcW w:w="2364" w:type="dxa"/>
                </w:tcPr>
                <w:p w14:paraId="45B3E307" w14:textId="77777777" w:rsidR="00134C6E" w:rsidRPr="00653DCF" w:rsidRDefault="00134C6E" w:rsidP="00F219C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nositelj (promotor): </w:t>
                  </w:r>
                </w:p>
                <w:p w14:paraId="21195717" w14:textId="77777777" w:rsidR="00134C6E" w:rsidRPr="00653DCF" w:rsidRDefault="00134C6E" w:rsidP="00F219CE">
                  <w:pPr>
                    <w:spacing w:after="0"/>
                    <w:ind w:left="0"/>
                    <w:jc w:val="left"/>
                    <w:rPr>
                      <w:rFonts w:ascii="Times New Roman" w:eastAsia="Times New Roman" w:hAnsi="Times New Roman" w:cs="Times New Roman"/>
                      <w:color w:val="auto"/>
                      <w:sz w:val="24"/>
                      <w:szCs w:val="24"/>
                      <w:lang w:val="hr-HR" w:eastAsia="hr-HR"/>
                    </w:rPr>
                  </w:pPr>
                </w:p>
                <w:p w14:paraId="642ED523" w14:textId="77777777" w:rsidR="00134C6E" w:rsidRPr="00653DCF" w:rsidRDefault="00134C6E" w:rsidP="00F219C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korisnici:</w:t>
                  </w:r>
                </w:p>
              </w:tc>
              <w:tc>
                <w:tcPr>
                  <w:tcW w:w="6483" w:type="dxa"/>
                </w:tcPr>
                <w:p w14:paraId="73B37A00"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Ministarstvo mora, prometa i infrastrukture;</w:t>
                  </w:r>
                </w:p>
                <w:p w14:paraId="475C4D7B"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p>
                <w:p w14:paraId="33A5A2DE" w14:textId="77777777" w:rsidR="002F49E3" w:rsidRPr="00653DCF" w:rsidRDefault="002F49E3" w:rsidP="00134C6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Projektna društva;</w:t>
                  </w:r>
                  <w:r w:rsidR="00134C6E" w:rsidRPr="00653DCF">
                    <w:rPr>
                      <w:rFonts w:ascii="Times New Roman" w:eastAsia="Times New Roman" w:hAnsi="Times New Roman" w:cs="Times New Roman"/>
                      <w:color w:val="auto"/>
                      <w:sz w:val="24"/>
                      <w:szCs w:val="24"/>
                      <w:lang w:val="hr-HR" w:eastAsia="hr-HR"/>
                    </w:rPr>
                    <w:t xml:space="preserve"> </w:t>
                  </w:r>
                </w:p>
                <w:p w14:paraId="0376ED91" w14:textId="77777777" w:rsidR="002F49E3"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društvo HŽ Infrastruktura d.o.o. i </w:t>
                  </w:r>
                </w:p>
                <w:p w14:paraId="3B154EB6" w14:textId="7465E108"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društvo HŽ Putnički prijevoz d.o.o.;</w:t>
                  </w:r>
                </w:p>
                <w:p w14:paraId="3B796C97"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p>
              </w:tc>
            </w:tr>
            <w:tr w:rsidR="00134C6E" w:rsidRPr="00653DCF" w14:paraId="270569AB" w14:textId="77777777" w:rsidTr="00996850">
              <w:tc>
                <w:tcPr>
                  <w:tcW w:w="2364" w:type="dxa"/>
                  <w:hideMark/>
                </w:tcPr>
                <w:p w14:paraId="26B156E8" w14:textId="77777777" w:rsidR="00134C6E" w:rsidRPr="00653DCF" w:rsidRDefault="00134C6E" w:rsidP="00F219C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iznos zajma:</w:t>
                  </w:r>
                  <w:r w:rsidRPr="00653DCF">
                    <w:rPr>
                      <w:rFonts w:ascii="Times New Roman" w:eastAsia="Times New Roman" w:hAnsi="Times New Roman" w:cs="Times New Roman"/>
                      <w:color w:val="auto"/>
                      <w:sz w:val="24"/>
                      <w:szCs w:val="24"/>
                      <w:lang w:val="hr-HR" w:eastAsia="hr-HR"/>
                    </w:rPr>
                    <w:tab/>
                  </w:r>
                </w:p>
              </w:tc>
              <w:tc>
                <w:tcPr>
                  <w:tcW w:w="6483" w:type="dxa"/>
                </w:tcPr>
                <w:p w14:paraId="7C5FC809"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400.000.000 EUR (slovima: četiristomilijuna eura);</w:t>
                  </w:r>
                </w:p>
                <w:p w14:paraId="018A0599" w14:textId="77777777" w:rsidR="00134C6E" w:rsidRPr="00653DCF" w:rsidRDefault="00134C6E" w:rsidP="00134C6E">
                  <w:pPr>
                    <w:spacing w:after="0"/>
                    <w:ind w:left="0"/>
                    <w:jc w:val="left"/>
                    <w:rPr>
                      <w:rFonts w:ascii="Times New Roman" w:eastAsia="Times New Roman" w:hAnsi="Times New Roman" w:cs="Times New Roman"/>
                      <w:color w:val="auto"/>
                      <w:sz w:val="24"/>
                      <w:szCs w:val="24"/>
                      <w:lang w:val="hr-HR" w:eastAsia="hr-HR"/>
                    </w:rPr>
                  </w:pPr>
                </w:p>
              </w:tc>
            </w:tr>
            <w:tr w:rsidR="00134C6E" w:rsidRPr="00653DCF" w14:paraId="16E4BAD6" w14:textId="77777777" w:rsidTr="00996850">
              <w:tc>
                <w:tcPr>
                  <w:tcW w:w="2364" w:type="dxa"/>
                  <w:hideMark/>
                </w:tcPr>
                <w:p w14:paraId="15B3899C" w14:textId="77777777" w:rsidR="00134C6E" w:rsidRPr="00653DCF" w:rsidRDefault="00134C6E" w:rsidP="00F219C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namjena:</w:t>
                  </w:r>
                  <w:r w:rsidRPr="00653DCF">
                    <w:rPr>
                      <w:rFonts w:ascii="Times New Roman" w:eastAsia="Times New Roman" w:hAnsi="Times New Roman" w:cs="Times New Roman"/>
                      <w:color w:val="auto"/>
                      <w:sz w:val="24"/>
                      <w:szCs w:val="24"/>
                      <w:lang w:val="hr-HR" w:eastAsia="hr-HR"/>
                    </w:rPr>
                    <w:tab/>
                  </w:r>
                </w:p>
              </w:tc>
              <w:tc>
                <w:tcPr>
                  <w:tcW w:w="6483" w:type="dxa"/>
                </w:tcPr>
                <w:p w14:paraId="23B2E567" w14:textId="77777777" w:rsidR="00134C6E" w:rsidRPr="00653DCF" w:rsidRDefault="00134C6E" w:rsidP="00134C6E">
                  <w:pPr>
                    <w:spacing w:after="0"/>
                    <w:ind w:left="0"/>
                    <w:jc w:val="left"/>
                    <w:rPr>
                      <w:rFonts w:ascii="Times New Roman" w:eastAsia="Times New Roman" w:hAnsi="Times New Roman" w:cs="Times New Roman"/>
                      <w:color w:val="auto"/>
                      <w:sz w:val="24"/>
                      <w:szCs w:val="24"/>
                      <w:shd w:val="clear" w:color="auto" w:fill="FFFFFF"/>
                      <w:lang w:val="hr-HR" w:eastAsia="hr-HR"/>
                    </w:rPr>
                  </w:pPr>
                  <w:r w:rsidRPr="00653DCF">
                    <w:rPr>
                      <w:rFonts w:ascii="Times New Roman" w:eastAsia="Times New Roman" w:hAnsi="Times New Roman" w:cs="Times New Roman"/>
                      <w:color w:val="auto"/>
                      <w:sz w:val="24"/>
                      <w:szCs w:val="24"/>
                      <w:lang w:val="hr-HR" w:eastAsia="hr-HR"/>
                    </w:rPr>
                    <w:t>financiranje i/ili sufinanciranje troškova realizacije Projekta „</w:t>
                  </w:r>
                  <w:r w:rsidRPr="00653DCF">
                    <w:rPr>
                      <w:rFonts w:ascii="Times New Roman" w:eastAsia="Times New Roman" w:hAnsi="Times New Roman" w:cs="Times New Roman"/>
                      <w:color w:val="auto"/>
                      <w:sz w:val="24"/>
                      <w:szCs w:val="24"/>
                      <w:shd w:val="clear" w:color="auto" w:fill="FFFFFF"/>
                      <w:lang w:val="hr-HR" w:eastAsia="hr-HR"/>
                    </w:rPr>
                    <w:t>Revitalizacija željezničkog sustava Republike Hrvatske“;</w:t>
                  </w:r>
                </w:p>
                <w:p w14:paraId="21175355" w14:textId="77777777" w:rsidR="00134C6E" w:rsidRPr="00653DCF" w:rsidRDefault="00134C6E" w:rsidP="00134C6E">
                  <w:pPr>
                    <w:spacing w:after="0"/>
                    <w:ind w:left="0"/>
                    <w:jc w:val="left"/>
                    <w:rPr>
                      <w:rFonts w:ascii="Times New Roman" w:eastAsia="Times New Roman" w:hAnsi="Times New Roman" w:cs="Times New Roman"/>
                      <w:color w:val="auto"/>
                      <w:sz w:val="24"/>
                      <w:szCs w:val="24"/>
                      <w:shd w:val="clear" w:color="auto" w:fill="FFFFFF"/>
                      <w:lang w:val="hr-HR" w:eastAsia="hr-HR"/>
                    </w:rPr>
                  </w:pPr>
                </w:p>
              </w:tc>
            </w:tr>
            <w:tr w:rsidR="00134C6E" w:rsidRPr="00653DCF" w14:paraId="2D394626" w14:textId="77777777" w:rsidTr="00996850">
              <w:tc>
                <w:tcPr>
                  <w:tcW w:w="2364" w:type="dxa"/>
                </w:tcPr>
                <w:p w14:paraId="3E2F6D8D" w14:textId="7DD672D4" w:rsidR="00134C6E" w:rsidRPr="00263209" w:rsidRDefault="0073414A" w:rsidP="00F219CE">
                  <w:pPr>
                    <w:spacing w:after="0"/>
                    <w:ind w:left="0"/>
                    <w:jc w:val="left"/>
                    <w:rPr>
                      <w:rFonts w:ascii="Times New Roman" w:eastAsia="Times New Roman" w:hAnsi="Times New Roman" w:cs="Times New Roman"/>
                      <w:color w:val="auto"/>
                      <w:sz w:val="24"/>
                      <w:szCs w:val="24"/>
                      <w:lang w:val="hr-HR" w:eastAsia="hr-HR"/>
                    </w:rPr>
                  </w:pPr>
                  <w:r w:rsidRPr="00263209">
                    <w:rPr>
                      <w:rFonts w:ascii="Times New Roman" w:eastAsia="Times New Roman" w:hAnsi="Times New Roman" w:cs="Times New Roman"/>
                      <w:color w:val="auto"/>
                      <w:sz w:val="24"/>
                      <w:szCs w:val="24"/>
                      <w:lang w:val="hr-HR" w:eastAsia="hr-HR"/>
                    </w:rPr>
                    <w:t>predviđeni iznos I. tranše:</w:t>
                  </w:r>
                </w:p>
              </w:tc>
              <w:tc>
                <w:tcPr>
                  <w:tcW w:w="6483" w:type="dxa"/>
                </w:tcPr>
                <w:p w14:paraId="62FA446A" w14:textId="0AC4EEFC" w:rsidR="0073414A" w:rsidRPr="00653DCF" w:rsidRDefault="0073414A" w:rsidP="0073414A">
                  <w:pPr>
                    <w:spacing w:after="0"/>
                    <w:ind w:left="0"/>
                    <w:jc w:val="left"/>
                    <w:rPr>
                      <w:rFonts w:ascii="Times New Roman" w:eastAsia="Times New Roman" w:hAnsi="Times New Roman" w:cs="Times New Roman"/>
                      <w:color w:val="auto"/>
                      <w:sz w:val="24"/>
                      <w:szCs w:val="24"/>
                      <w:lang w:val="hr-HR" w:eastAsia="hr-HR"/>
                    </w:rPr>
                  </w:pPr>
                  <w:r>
                    <w:rPr>
                      <w:rFonts w:ascii="Times New Roman" w:eastAsia="Times New Roman" w:hAnsi="Times New Roman" w:cs="Times New Roman"/>
                      <w:color w:val="auto"/>
                      <w:sz w:val="24"/>
                      <w:szCs w:val="24"/>
                      <w:lang w:val="hr-HR" w:eastAsia="hr-HR"/>
                    </w:rPr>
                    <w:t>108.5</w:t>
                  </w:r>
                  <w:r w:rsidRPr="00653DCF">
                    <w:rPr>
                      <w:rFonts w:ascii="Times New Roman" w:eastAsia="Times New Roman" w:hAnsi="Times New Roman" w:cs="Times New Roman"/>
                      <w:color w:val="auto"/>
                      <w:sz w:val="24"/>
                      <w:szCs w:val="24"/>
                      <w:lang w:val="hr-HR" w:eastAsia="hr-HR"/>
                    </w:rPr>
                    <w:t xml:space="preserve">00.000 EUR (slovima: </w:t>
                  </w:r>
                  <w:r>
                    <w:rPr>
                      <w:rFonts w:ascii="Times New Roman" w:eastAsia="Times New Roman" w:hAnsi="Times New Roman" w:cs="Times New Roman"/>
                      <w:color w:val="auto"/>
                      <w:sz w:val="24"/>
                      <w:szCs w:val="24"/>
                      <w:lang w:val="hr-HR" w:eastAsia="hr-HR"/>
                    </w:rPr>
                    <w:t>stoosammilijunapetstotisuća</w:t>
                  </w:r>
                  <w:r w:rsidRPr="00653DCF">
                    <w:rPr>
                      <w:rFonts w:ascii="Times New Roman" w:eastAsia="Times New Roman" w:hAnsi="Times New Roman" w:cs="Times New Roman"/>
                      <w:color w:val="auto"/>
                      <w:sz w:val="24"/>
                      <w:szCs w:val="24"/>
                      <w:lang w:val="hr-HR" w:eastAsia="hr-HR"/>
                    </w:rPr>
                    <w:t xml:space="preserve"> eura);</w:t>
                  </w:r>
                </w:p>
                <w:p w14:paraId="6A29CDBD" w14:textId="441D20E0" w:rsidR="00134C6E" w:rsidRPr="0073414A" w:rsidRDefault="00134C6E" w:rsidP="0073414A">
                  <w:pPr>
                    <w:ind w:left="0"/>
                    <w:rPr>
                      <w:rFonts w:ascii="Times New Roman" w:eastAsia="Times New Roman" w:hAnsi="Times New Roman" w:cs="Times New Roman"/>
                      <w:sz w:val="24"/>
                      <w:szCs w:val="24"/>
                      <w:lang w:val="hr-HR" w:eastAsia="hr-HR"/>
                    </w:rPr>
                  </w:pPr>
                </w:p>
              </w:tc>
            </w:tr>
            <w:tr w:rsidR="00615CC6" w:rsidRPr="00653DCF" w14:paraId="4E5AF7E3" w14:textId="77777777" w:rsidTr="00996850">
              <w:trPr>
                <w:trHeight w:val="484"/>
              </w:trPr>
              <w:tc>
                <w:tcPr>
                  <w:tcW w:w="2364" w:type="dxa"/>
                </w:tcPr>
                <w:p w14:paraId="660B1316" w14:textId="36DB1E57" w:rsidR="00615CC6" w:rsidRPr="00263209" w:rsidRDefault="00615CC6" w:rsidP="00F219CE">
                  <w:pPr>
                    <w:spacing w:after="0"/>
                    <w:ind w:left="0"/>
                    <w:jc w:val="lef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rok korištenja:</w:t>
                  </w:r>
                </w:p>
              </w:tc>
              <w:tc>
                <w:tcPr>
                  <w:tcW w:w="6483" w:type="dxa"/>
                </w:tcPr>
                <w:p w14:paraId="51E80D81" w14:textId="0F27CBD8" w:rsidR="00615CC6" w:rsidRDefault="00615CC6" w:rsidP="00615CC6">
                  <w:pPr>
                    <w:spacing w:after="0"/>
                    <w:ind w:left="0"/>
                    <w:jc w:val="left"/>
                    <w:rPr>
                      <w:rFonts w:ascii="Times New Roman" w:eastAsia="Times New Roman" w:hAnsi="Times New Roman" w:cs="Times New Roman"/>
                      <w:sz w:val="24"/>
                      <w:szCs w:val="24"/>
                      <w:lang w:val="hr-HR" w:eastAsia="hr-HR"/>
                    </w:rPr>
                  </w:pPr>
                  <w:r w:rsidRPr="00653DCF">
                    <w:rPr>
                      <w:rFonts w:ascii="Times New Roman" w:eastAsia="Times New Roman" w:hAnsi="Times New Roman" w:cs="Times New Roman"/>
                      <w:color w:val="auto"/>
                      <w:sz w:val="24"/>
                      <w:szCs w:val="24"/>
                      <w:lang w:val="hr-HR" w:eastAsia="hr-HR"/>
                    </w:rPr>
                    <w:t>60 (šezdeset) mjeseci nakon potpisa Ugovora o financiranju</w:t>
                  </w:r>
                </w:p>
              </w:tc>
            </w:tr>
            <w:tr w:rsidR="00615CC6" w:rsidRPr="00653DCF" w14:paraId="190CF895" w14:textId="77777777" w:rsidTr="00996850">
              <w:trPr>
                <w:trHeight w:val="768"/>
              </w:trPr>
              <w:tc>
                <w:tcPr>
                  <w:tcW w:w="2364" w:type="dxa"/>
                </w:tcPr>
                <w:p w14:paraId="65F45276" w14:textId="64444DC1" w:rsidR="00615CC6" w:rsidRPr="00263209" w:rsidRDefault="00615CC6" w:rsidP="00F219CE">
                  <w:pPr>
                    <w:spacing w:after="0"/>
                    <w:ind w:left="0"/>
                    <w:jc w:val="left"/>
                    <w:rPr>
                      <w:rFonts w:ascii="Times New Roman" w:eastAsia="Times New Roman" w:hAnsi="Times New Roman" w:cs="Times New Roman"/>
                      <w:color w:val="auto"/>
                      <w:sz w:val="24"/>
                      <w:szCs w:val="24"/>
                      <w:lang w:val="hr-HR" w:eastAsia="hr-HR"/>
                    </w:rPr>
                  </w:pPr>
                  <w:r w:rsidRPr="00263209">
                    <w:rPr>
                      <w:rFonts w:ascii="Times New Roman" w:eastAsia="Times New Roman" w:hAnsi="Times New Roman" w:cs="Times New Roman"/>
                      <w:color w:val="auto"/>
                      <w:sz w:val="24"/>
                      <w:szCs w:val="24"/>
                      <w:lang w:val="hr-HR" w:eastAsia="hr-HR"/>
                    </w:rPr>
                    <w:t>predviđeni rok otplate za I. tranšu:</w:t>
                  </w:r>
                </w:p>
              </w:tc>
              <w:tc>
                <w:tcPr>
                  <w:tcW w:w="6483" w:type="dxa"/>
                </w:tcPr>
                <w:p w14:paraId="6273D343" w14:textId="77777777" w:rsidR="00615CC6" w:rsidRDefault="00615CC6" w:rsidP="00615CC6">
                  <w:pPr>
                    <w:spacing w:after="0"/>
                    <w:ind w:left="0"/>
                    <w:jc w:val="left"/>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25 godina</w:t>
                  </w:r>
                </w:p>
                <w:p w14:paraId="690C545A" w14:textId="5EC9DDA5" w:rsidR="00615CC6" w:rsidRDefault="00615CC6" w:rsidP="00615CC6">
                  <w:pPr>
                    <w:spacing w:after="0"/>
                    <w:ind w:left="0"/>
                    <w:jc w:val="left"/>
                    <w:rPr>
                      <w:rFonts w:ascii="Times New Roman" w:eastAsia="Times New Roman" w:hAnsi="Times New Roman" w:cs="Times New Roman"/>
                      <w:color w:val="auto"/>
                      <w:sz w:val="24"/>
                      <w:szCs w:val="24"/>
                      <w:lang w:val="hr-HR" w:eastAsia="hr-HR"/>
                    </w:rPr>
                  </w:pPr>
                </w:p>
              </w:tc>
            </w:tr>
            <w:tr w:rsidR="00615CC6" w:rsidRPr="00653DCF" w14:paraId="5D65046E" w14:textId="77777777" w:rsidTr="00996850">
              <w:trPr>
                <w:trHeight w:val="843"/>
              </w:trPr>
              <w:tc>
                <w:tcPr>
                  <w:tcW w:w="2364" w:type="dxa"/>
                </w:tcPr>
                <w:p w14:paraId="5686F3FC" w14:textId="787380B5" w:rsidR="00615CC6" w:rsidRPr="00263209" w:rsidRDefault="00615CC6" w:rsidP="00F219CE">
                  <w:pPr>
                    <w:spacing w:after="0"/>
                    <w:ind w:left="0"/>
                    <w:jc w:val="left"/>
                    <w:rPr>
                      <w:rFonts w:ascii="Times New Roman" w:eastAsia="Times New Roman" w:hAnsi="Times New Roman" w:cs="Times New Roman"/>
                      <w:color w:val="auto"/>
                      <w:sz w:val="24"/>
                      <w:szCs w:val="24"/>
                      <w:lang w:val="hr-HR" w:eastAsia="hr-HR"/>
                    </w:rPr>
                  </w:pPr>
                  <w:r>
                    <w:rPr>
                      <w:rFonts w:ascii="Times New Roman" w:eastAsia="Times New Roman" w:hAnsi="Times New Roman" w:cs="Times New Roman"/>
                      <w:color w:val="auto"/>
                      <w:sz w:val="24"/>
                      <w:szCs w:val="24"/>
                      <w:lang w:val="hr-HR" w:eastAsia="hr-HR"/>
                    </w:rPr>
                    <w:t>predviđeno razdoblje počeka:</w:t>
                  </w:r>
                </w:p>
              </w:tc>
              <w:tc>
                <w:tcPr>
                  <w:tcW w:w="6483" w:type="dxa"/>
                </w:tcPr>
                <w:p w14:paraId="124ADF4B" w14:textId="1BA00046" w:rsidR="00615CC6" w:rsidRDefault="00615CC6" w:rsidP="00615CC6">
                  <w:pPr>
                    <w:spacing w:after="0"/>
                    <w:ind w:left="0"/>
                    <w:jc w:val="left"/>
                    <w:rPr>
                      <w:rFonts w:ascii="Times New Roman" w:eastAsia="Times New Roman" w:hAnsi="Times New Roman" w:cs="Times New Roman"/>
                      <w:color w:val="auto"/>
                      <w:sz w:val="24"/>
                      <w:szCs w:val="24"/>
                      <w:lang w:val="hr-HR" w:eastAsia="hr-HR"/>
                    </w:rPr>
                  </w:pPr>
                  <w:r>
                    <w:rPr>
                      <w:rFonts w:ascii="Times New Roman" w:eastAsia="Times New Roman" w:hAnsi="Times New Roman" w:cs="Times New Roman"/>
                      <w:color w:val="auto"/>
                      <w:sz w:val="24"/>
                      <w:szCs w:val="24"/>
                      <w:lang w:val="hr-HR" w:eastAsia="hr-HR"/>
                    </w:rPr>
                    <w:t>5 godina</w:t>
                  </w:r>
                </w:p>
              </w:tc>
            </w:tr>
            <w:tr w:rsidR="00615CC6" w:rsidRPr="00653DCF" w14:paraId="0E19B709" w14:textId="77777777" w:rsidTr="00996850">
              <w:trPr>
                <w:trHeight w:val="843"/>
              </w:trPr>
              <w:tc>
                <w:tcPr>
                  <w:tcW w:w="2364" w:type="dxa"/>
                </w:tcPr>
                <w:p w14:paraId="0944DD66" w14:textId="6323A048" w:rsidR="00615CC6" w:rsidRPr="00263209" w:rsidRDefault="00615CC6" w:rsidP="00F219CE">
                  <w:pPr>
                    <w:spacing w:after="0"/>
                    <w:ind w:left="0"/>
                    <w:jc w:val="left"/>
                    <w:rPr>
                      <w:rFonts w:ascii="Times New Roman" w:eastAsia="Times New Roman" w:hAnsi="Times New Roman" w:cs="Times New Roman"/>
                      <w:color w:val="auto"/>
                      <w:sz w:val="24"/>
                      <w:szCs w:val="24"/>
                      <w:lang w:val="hr-HR" w:eastAsia="hr-HR"/>
                    </w:rPr>
                  </w:pPr>
                  <w:r w:rsidRPr="00263209">
                    <w:rPr>
                      <w:rFonts w:ascii="Times New Roman" w:eastAsia="Times New Roman" w:hAnsi="Times New Roman" w:cs="Times New Roman"/>
                      <w:color w:val="auto"/>
                      <w:sz w:val="24"/>
                      <w:szCs w:val="24"/>
                      <w:lang w:val="hr-HR" w:eastAsia="hr-HR"/>
                    </w:rPr>
                    <w:t>indikativna kamatna stopa</w:t>
                  </w:r>
                  <w:r>
                    <w:rPr>
                      <w:rFonts w:ascii="Times New Roman" w:eastAsia="Times New Roman" w:hAnsi="Times New Roman" w:cs="Times New Roman"/>
                      <w:color w:val="auto"/>
                      <w:sz w:val="24"/>
                      <w:szCs w:val="24"/>
                      <w:lang w:val="hr-HR" w:eastAsia="hr-HR"/>
                    </w:rPr>
                    <w:t xml:space="preserve"> za I. tranšu</w:t>
                  </w:r>
                  <w:r w:rsidRPr="00263209">
                    <w:rPr>
                      <w:rFonts w:ascii="Times New Roman" w:eastAsia="Times New Roman" w:hAnsi="Times New Roman" w:cs="Times New Roman"/>
                      <w:color w:val="auto"/>
                      <w:sz w:val="24"/>
                      <w:szCs w:val="24"/>
                      <w:lang w:val="hr-HR" w:eastAsia="hr-HR"/>
                    </w:rPr>
                    <w:t>:</w:t>
                  </w:r>
                </w:p>
                <w:p w14:paraId="0B2BE762" w14:textId="4023A300" w:rsidR="00615CC6" w:rsidRPr="00263209" w:rsidRDefault="00615CC6" w:rsidP="00F219CE">
                  <w:pPr>
                    <w:spacing w:after="0"/>
                    <w:ind w:left="0"/>
                    <w:jc w:val="left"/>
                    <w:rPr>
                      <w:rFonts w:ascii="Times New Roman" w:eastAsia="Times New Roman" w:hAnsi="Times New Roman" w:cs="Times New Roman"/>
                      <w:color w:val="auto"/>
                      <w:sz w:val="24"/>
                      <w:szCs w:val="24"/>
                      <w:lang w:val="hr-HR" w:eastAsia="hr-HR"/>
                    </w:rPr>
                  </w:pPr>
                </w:p>
              </w:tc>
              <w:tc>
                <w:tcPr>
                  <w:tcW w:w="6483" w:type="dxa"/>
                </w:tcPr>
                <w:p w14:paraId="2E58574B" w14:textId="154189F7" w:rsidR="00615CC6" w:rsidRPr="00653DCF" w:rsidRDefault="00615CC6" w:rsidP="00615CC6">
                  <w:pPr>
                    <w:spacing w:after="0"/>
                    <w:ind w:left="0"/>
                    <w:jc w:val="left"/>
                    <w:rPr>
                      <w:rFonts w:ascii="Times New Roman" w:eastAsia="Times New Roman" w:hAnsi="Times New Roman" w:cs="Times New Roman"/>
                      <w:color w:val="auto"/>
                      <w:sz w:val="24"/>
                      <w:szCs w:val="24"/>
                      <w:lang w:val="hr-HR" w:eastAsia="hr-HR"/>
                    </w:rPr>
                  </w:pPr>
                  <w:r>
                    <w:rPr>
                      <w:rFonts w:ascii="Times New Roman" w:eastAsia="Times New Roman" w:hAnsi="Times New Roman" w:cs="Times New Roman"/>
                      <w:color w:val="auto"/>
                      <w:sz w:val="24"/>
                      <w:szCs w:val="24"/>
                      <w:lang w:val="hr-HR" w:eastAsia="hr-HR"/>
                    </w:rPr>
                    <w:t>3,234% (slovima: tricijeladvjestotridesetčetiri posto)</w:t>
                  </w:r>
                </w:p>
              </w:tc>
            </w:tr>
            <w:tr w:rsidR="00615CC6" w:rsidRPr="00653DCF" w14:paraId="5C26CF78" w14:textId="77777777" w:rsidTr="00996850">
              <w:trPr>
                <w:trHeight w:val="626"/>
              </w:trPr>
              <w:tc>
                <w:tcPr>
                  <w:tcW w:w="2364" w:type="dxa"/>
                </w:tcPr>
                <w:p w14:paraId="635FDB94" w14:textId="511E9BAA" w:rsidR="00615CC6" w:rsidRPr="00263209" w:rsidRDefault="00615CC6" w:rsidP="00F219CE">
                  <w:pPr>
                    <w:spacing w:after="0"/>
                    <w:ind w:left="0"/>
                    <w:jc w:val="left"/>
                    <w:rPr>
                      <w:rFonts w:ascii="Times New Roman" w:eastAsia="Times New Roman" w:hAnsi="Times New Roman" w:cs="Times New Roman"/>
                      <w:color w:val="auto"/>
                      <w:sz w:val="24"/>
                      <w:szCs w:val="24"/>
                      <w:lang w:val="hr-HR" w:eastAsia="hr-HR"/>
                    </w:rPr>
                  </w:pPr>
                  <w:r>
                    <w:rPr>
                      <w:rFonts w:ascii="Times New Roman" w:eastAsia="Times New Roman" w:hAnsi="Times New Roman" w:cs="Times New Roman"/>
                      <w:color w:val="auto"/>
                      <w:sz w:val="24"/>
                      <w:szCs w:val="24"/>
                      <w:lang w:val="hr-HR" w:eastAsia="hr-HR"/>
                    </w:rPr>
                    <w:t>dospijeće obveza:</w:t>
                  </w:r>
                </w:p>
              </w:tc>
              <w:tc>
                <w:tcPr>
                  <w:tcW w:w="6483" w:type="dxa"/>
                </w:tcPr>
                <w:p w14:paraId="6F77A5F6" w14:textId="5BBB1217" w:rsidR="00615CC6" w:rsidRDefault="00615CC6" w:rsidP="00615CC6">
                  <w:pPr>
                    <w:spacing w:after="0"/>
                    <w:ind w:left="0"/>
                    <w:jc w:val="left"/>
                    <w:rPr>
                      <w:rFonts w:ascii="Times New Roman" w:eastAsia="Times New Roman" w:hAnsi="Times New Roman" w:cs="Times New Roman"/>
                      <w:color w:val="auto"/>
                      <w:sz w:val="24"/>
                      <w:szCs w:val="24"/>
                      <w:lang w:val="hr-HR" w:eastAsia="hr-HR"/>
                    </w:rPr>
                  </w:pPr>
                  <w:r>
                    <w:rPr>
                      <w:rFonts w:ascii="Times New Roman" w:eastAsia="Times New Roman" w:hAnsi="Times New Roman" w:cs="Times New Roman"/>
                      <w:color w:val="auto"/>
                      <w:sz w:val="24"/>
                      <w:szCs w:val="24"/>
                      <w:lang w:val="hr-HR" w:eastAsia="hr-HR"/>
                    </w:rPr>
                    <w:t>Polugodišnje plaćanje kamata i polugodišnja otplata glavnice</w:t>
                  </w:r>
                  <w:r w:rsidR="00E15173">
                    <w:rPr>
                      <w:rFonts w:ascii="Times New Roman" w:eastAsia="Times New Roman" w:hAnsi="Times New Roman" w:cs="Times New Roman"/>
                      <w:color w:val="auto"/>
                      <w:sz w:val="24"/>
                      <w:szCs w:val="24"/>
                      <w:lang w:val="hr-HR" w:eastAsia="hr-HR"/>
                    </w:rPr>
                    <w:t>.</w:t>
                  </w:r>
                </w:p>
              </w:tc>
            </w:tr>
          </w:tbl>
          <w:p w14:paraId="0D2D1304" w14:textId="77777777"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p>
          <w:p w14:paraId="2A9FF47B" w14:textId="04847852" w:rsidR="002F49E3" w:rsidRPr="00653DCF" w:rsidRDefault="002F49E3" w:rsidP="00134C6E">
            <w:pPr>
              <w:spacing w:after="0"/>
              <w:ind w:left="0"/>
              <w:jc w:val="left"/>
              <w:rPr>
                <w:rFonts w:ascii="Times New Roman" w:eastAsia="Times New Roman" w:hAnsi="Times New Roman" w:cs="Times New Roman"/>
                <w:b/>
                <w:color w:val="auto"/>
                <w:sz w:val="24"/>
                <w:szCs w:val="24"/>
                <w:lang w:val="hr-HR" w:eastAsia="hr-HR"/>
              </w:rPr>
            </w:pPr>
          </w:p>
          <w:p w14:paraId="35CED697" w14:textId="77777777" w:rsidR="00134C6E" w:rsidRPr="00653DCF" w:rsidRDefault="00134C6E" w:rsidP="0024686A">
            <w:pPr>
              <w:numPr>
                <w:ilvl w:val="0"/>
                <w:numId w:val="99"/>
              </w:numPr>
              <w:spacing w:after="0"/>
              <w:ind w:right="-120"/>
              <w:jc w:val="left"/>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OSNOVNA PITANJA KOJA SE PREDLAŽU UREDITI ZAKONOM</w:t>
            </w:r>
          </w:p>
          <w:p w14:paraId="5B0B2822" w14:textId="77777777" w:rsidR="00134C6E" w:rsidRPr="00653DCF" w:rsidRDefault="00134C6E" w:rsidP="00134C6E">
            <w:pPr>
              <w:spacing w:after="0"/>
              <w:ind w:left="0"/>
              <w:jc w:val="left"/>
              <w:rPr>
                <w:rFonts w:ascii="Times New Roman" w:eastAsia="Times New Roman" w:hAnsi="Times New Roman" w:cs="Times New Roman"/>
                <w:b/>
                <w:color w:val="auto"/>
                <w:sz w:val="24"/>
                <w:szCs w:val="24"/>
                <w:lang w:val="hr-HR" w:eastAsia="hr-HR"/>
              </w:rPr>
            </w:pPr>
          </w:p>
          <w:p w14:paraId="560F92EA" w14:textId="1C0010F0"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Ovim Zakonom potvrđuje se Ugovor </w:t>
            </w:r>
            <w:r w:rsidRPr="00653DCF">
              <w:rPr>
                <w:rFonts w:ascii="Times New Roman" w:eastAsia="Times New Roman" w:hAnsi="Times New Roman" w:cs="Times New Roman"/>
                <w:bCs/>
                <w:color w:val="auto"/>
                <w:sz w:val="24"/>
                <w:szCs w:val="24"/>
                <w:lang w:val="hr-HR" w:eastAsia="hr-HR"/>
              </w:rPr>
              <w:t xml:space="preserve">o financiranju između Republike Hrvatske i Europske investicijske banke za Projekt </w:t>
            </w:r>
            <w:r w:rsidRPr="00653DCF">
              <w:rPr>
                <w:rFonts w:ascii="Times New Roman" w:eastAsia="Times New Roman" w:hAnsi="Times New Roman" w:cs="Times New Roman"/>
                <w:color w:val="auto"/>
                <w:sz w:val="24"/>
                <w:szCs w:val="24"/>
                <w:lang w:val="hr-HR" w:eastAsia="hr-HR"/>
              </w:rPr>
              <w:t>„Revitalizacija željezničkog sustava Republike Hrvatske“ iz okvirnog zajma, kako bi njegove odredbe u smislu članka 141. Ustava Republike Hrvatske</w:t>
            </w:r>
            <w:r w:rsidR="00BE3466">
              <w:rPr>
                <w:rFonts w:ascii="Times New Roman" w:eastAsia="Times New Roman" w:hAnsi="Times New Roman" w:cs="Times New Roman"/>
                <w:color w:val="auto"/>
                <w:sz w:val="24"/>
                <w:szCs w:val="24"/>
                <w:lang w:val="hr-HR" w:eastAsia="hr-HR"/>
              </w:rPr>
              <w:t xml:space="preserve"> </w:t>
            </w:r>
            <w:r w:rsidR="00BE3466">
              <w:rPr>
                <w:rFonts w:ascii="Times New Roman" w:eastAsia="Times New Roman" w:hAnsi="Times New Roman" w:cs="Times New Roman"/>
                <w:color w:val="auto"/>
                <w:sz w:val="24"/>
                <w:szCs w:val="24"/>
                <w:lang w:eastAsia="hr-HR"/>
              </w:rPr>
              <w:t>postale dio unutarnjeg pravnog poretka Republike Hrvatske</w:t>
            </w:r>
            <w:r w:rsidRPr="00653DCF">
              <w:rPr>
                <w:rFonts w:ascii="Times New Roman" w:eastAsia="Times New Roman" w:hAnsi="Times New Roman" w:cs="Times New Roman"/>
                <w:color w:val="auto"/>
                <w:sz w:val="24"/>
                <w:szCs w:val="24"/>
                <w:lang w:val="hr-HR" w:eastAsia="hr-HR"/>
              </w:rPr>
              <w:t>.</w:t>
            </w:r>
          </w:p>
          <w:p w14:paraId="2E8410CC"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1B852A45"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Ovim Zakonom također se propisuje način podmirivanja financijskih obveza koje nastaju za Republiku Hrvatsku po Ugovoru </w:t>
            </w:r>
            <w:r w:rsidRPr="00653DCF">
              <w:rPr>
                <w:rFonts w:ascii="Times New Roman" w:eastAsia="Times New Roman" w:hAnsi="Times New Roman" w:cs="Times New Roman"/>
                <w:bCs/>
                <w:color w:val="auto"/>
                <w:sz w:val="24"/>
                <w:szCs w:val="24"/>
                <w:lang w:val="hr-HR" w:eastAsia="hr-HR"/>
              </w:rPr>
              <w:t xml:space="preserve">o financiranju između Republike Hrvatske i Europske investicijske banke za Projekt </w:t>
            </w:r>
            <w:r w:rsidRPr="00653DCF">
              <w:rPr>
                <w:rFonts w:ascii="Times New Roman" w:eastAsia="Times New Roman" w:hAnsi="Times New Roman" w:cs="Times New Roman"/>
                <w:color w:val="auto"/>
                <w:sz w:val="24"/>
                <w:szCs w:val="24"/>
                <w:lang w:val="hr-HR" w:eastAsia="hr-HR"/>
              </w:rPr>
              <w:t>„Revitalizacija željezničkog sustava Republike Hrvatske“ iz okvirnog zajma te nadležnost za provedbu Ugovora o financiranju.</w:t>
            </w:r>
          </w:p>
          <w:p w14:paraId="5EB34978" w14:textId="77777777" w:rsidR="00134C6E" w:rsidRPr="00653DCF" w:rsidRDefault="00134C6E" w:rsidP="00134C6E">
            <w:pPr>
              <w:spacing w:after="0"/>
              <w:ind w:left="0"/>
              <w:rPr>
                <w:rFonts w:ascii="Times New Roman" w:eastAsia="Times New Roman" w:hAnsi="Times New Roman" w:cs="Times New Roman"/>
                <w:color w:val="auto"/>
                <w:sz w:val="24"/>
                <w:szCs w:val="24"/>
                <w:lang w:val="hr-HR" w:eastAsia="hr-HR"/>
              </w:rPr>
            </w:pPr>
          </w:p>
          <w:p w14:paraId="1F166779" w14:textId="77777777" w:rsidR="00134C6E" w:rsidRPr="00653DCF" w:rsidRDefault="00134C6E" w:rsidP="00134C6E">
            <w:pPr>
              <w:tabs>
                <w:tab w:val="left" w:pos="1260"/>
              </w:tabs>
              <w:spacing w:after="0"/>
              <w:ind w:left="0"/>
              <w:jc w:val="left"/>
              <w:rPr>
                <w:rFonts w:ascii="Times New Roman" w:eastAsia="Times New Roman" w:hAnsi="Times New Roman" w:cs="Times New Roman"/>
                <w:color w:val="auto"/>
                <w:sz w:val="24"/>
                <w:szCs w:val="24"/>
                <w:lang w:val="hr-HR" w:eastAsia="hr-HR"/>
              </w:rPr>
            </w:pPr>
          </w:p>
          <w:p w14:paraId="398C4F7E" w14:textId="77777777" w:rsidR="00134C6E" w:rsidRPr="00653DCF" w:rsidRDefault="00134C6E" w:rsidP="0024686A">
            <w:pPr>
              <w:numPr>
                <w:ilvl w:val="0"/>
                <w:numId w:val="99"/>
              </w:numPr>
              <w:tabs>
                <w:tab w:val="left" w:pos="720"/>
                <w:tab w:val="left" w:pos="900"/>
                <w:tab w:val="left" w:pos="8040"/>
              </w:tabs>
              <w:spacing w:after="0"/>
              <w:jc w:val="left"/>
              <w:rPr>
                <w:rFonts w:ascii="Times New Roman" w:eastAsia="Times New Roman" w:hAnsi="Times New Roman" w:cs="Times New Roman"/>
                <w:b/>
                <w:color w:val="auto"/>
                <w:sz w:val="24"/>
                <w:szCs w:val="24"/>
                <w:lang w:val="hr-HR" w:eastAsia="hr-HR"/>
              </w:rPr>
            </w:pPr>
            <w:bookmarkStart w:id="3" w:name="OLE_LINK2"/>
            <w:bookmarkStart w:id="4" w:name="OLE_LINK1"/>
            <w:r w:rsidRPr="00653DCF">
              <w:rPr>
                <w:rFonts w:ascii="Times New Roman" w:eastAsia="Times New Roman" w:hAnsi="Times New Roman" w:cs="Times New Roman"/>
                <w:b/>
                <w:color w:val="auto"/>
                <w:sz w:val="24"/>
                <w:szCs w:val="24"/>
                <w:lang w:val="hr-HR" w:eastAsia="hr-HR"/>
              </w:rPr>
              <w:t>OCJENA SREDSTAVA POTREBNIH ZA PROVEDBU OVOGA ZAKONA</w:t>
            </w:r>
          </w:p>
          <w:p w14:paraId="56D27A00" w14:textId="77777777" w:rsidR="00134C6E" w:rsidRPr="00653DCF" w:rsidRDefault="00134C6E" w:rsidP="00134C6E">
            <w:pPr>
              <w:tabs>
                <w:tab w:val="left" w:pos="720"/>
                <w:tab w:val="left" w:pos="900"/>
              </w:tabs>
              <w:spacing w:after="0"/>
              <w:ind w:left="0"/>
              <w:jc w:val="left"/>
              <w:rPr>
                <w:rFonts w:ascii="Times New Roman" w:eastAsia="Times New Roman" w:hAnsi="Times New Roman" w:cs="Times New Roman"/>
                <w:b/>
                <w:color w:val="auto"/>
                <w:sz w:val="24"/>
                <w:szCs w:val="24"/>
                <w:lang w:val="hr-HR" w:eastAsia="hr-HR"/>
              </w:rPr>
            </w:pPr>
          </w:p>
          <w:p w14:paraId="639F3B0C" w14:textId="77777777" w:rsidR="00134C6E" w:rsidRPr="00653DCF" w:rsidRDefault="00134C6E" w:rsidP="00134C6E">
            <w:pPr>
              <w:tabs>
                <w:tab w:val="left" w:pos="480"/>
                <w:tab w:val="left" w:pos="900"/>
              </w:tabs>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Republika Hrvatska se, na temelju Ugovoru </w:t>
            </w:r>
            <w:r w:rsidRPr="00653DCF">
              <w:rPr>
                <w:rFonts w:ascii="Times New Roman" w:eastAsia="Times New Roman" w:hAnsi="Times New Roman" w:cs="Times New Roman"/>
                <w:bCs/>
                <w:color w:val="auto"/>
                <w:sz w:val="24"/>
                <w:szCs w:val="24"/>
                <w:lang w:val="hr-HR" w:eastAsia="hr-HR"/>
              </w:rPr>
              <w:t xml:space="preserve">o financiranju između Republike Hrvatske i Europske investicijske banke za Projekt </w:t>
            </w:r>
            <w:r w:rsidRPr="00653DCF">
              <w:rPr>
                <w:rFonts w:ascii="Times New Roman" w:eastAsia="Times New Roman" w:hAnsi="Times New Roman" w:cs="Times New Roman"/>
                <w:color w:val="auto"/>
                <w:sz w:val="24"/>
                <w:szCs w:val="24"/>
                <w:lang w:val="hr-HR" w:eastAsia="hr-HR"/>
              </w:rPr>
              <w:t>„Revitalizacija željezničkog sustava Republike Hrvatske“ iz okvirnog zajma, obvezala kao zajmoprimac redovito i u potpunosti izvršavati sve financijske obveze prema EIB-u. Izvršavanje predmetnog Ugovora podrazumijeva financijske obveze otplate zajma za Republiku Hrvatsku u svojstvu zajmoprimca, u iznosu cjelokupnog zajma, kamata i drugih eventualnih troškova koji nastaju na temelju istog.</w:t>
            </w:r>
          </w:p>
          <w:p w14:paraId="6EA92E86" w14:textId="77777777" w:rsidR="00134C6E" w:rsidRPr="00653DCF" w:rsidRDefault="00134C6E" w:rsidP="00134C6E">
            <w:pPr>
              <w:tabs>
                <w:tab w:val="left" w:pos="480"/>
                <w:tab w:val="left" w:pos="900"/>
              </w:tabs>
              <w:spacing w:after="0"/>
              <w:ind w:left="0"/>
              <w:rPr>
                <w:rFonts w:ascii="Times New Roman" w:eastAsia="Times New Roman" w:hAnsi="Times New Roman" w:cs="Times New Roman"/>
                <w:color w:val="auto"/>
                <w:sz w:val="24"/>
                <w:szCs w:val="24"/>
                <w:lang w:val="hr-HR" w:eastAsia="hr-HR"/>
              </w:rPr>
            </w:pPr>
          </w:p>
          <w:p w14:paraId="6B6AAB7C" w14:textId="6B7C422C" w:rsidR="00134C6E" w:rsidRDefault="00134C6E"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Točni iznosi </w:t>
            </w:r>
            <w:r w:rsidR="0041719D">
              <w:rPr>
                <w:rFonts w:ascii="Times New Roman" w:eastAsia="Times New Roman" w:hAnsi="Times New Roman" w:cs="Times New Roman"/>
                <w:color w:val="auto"/>
                <w:sz w:val="24"/>
                <w:szCs w:val="24"/>
                <w:lang w:val="hr-HR" w:eastAsia="hr-HR"/>
              </w:rPr>
              <w:t>financijskih obveza</w:t>
            </w:r>
            <w:r w:rsidRPr="00653DCF">
              <w:rPr>
                <w:rFonts w:ascii="Times New Roman" w:eastAsia="Times New Roman" w:hAnsi="Times New Roman" w:cs="Times New Roman"/>
                <w:color w:val="auto"/>
                <w:sz w:val="24"/>
                <w:szCs w:val="24"/>
                <w:lang w:val="hr-HR" w:eastAsia="hr-HR"/>
              </w:rPr>
              <w:t xml:space="preserve"> i rokovi za njihovo podmirenje utvrđuju se tijekom povlačenja predviđenih t</w:t>
            </w:r>
            <w:r w:rsidR="007147BF">
              <w:rPr>
                <w:rFonts w:ascii="Times New Roman" w:eastAsia="Times New Roman" w:hAnsi="Times New Roman" w:cs="Times New Roman"/>
                <w:color w:val="auto"/>
                <w:sz w:val="24"/>
                <w:szCs w:val="24"/>
                <w:lang w:val="hr-HR" w:eastAsia="hr-HR"/>
              </w:rPr>
              <w:t>ranši zajma i osigurat će se u D</w:t>
            </w:r>
            <w:r w:rsidRPr="00653DCF">
              <w:rPr>
                <w:rFonts w:ascii="Times New Roman" w:eastAsia="Times New Roman" w:hAnsi="Times New Roman" w:cs="Times New Roman"/>
                <w:color w:val="auto"/>
                <w:sz w:val="24"/>
                <w:szCs w:val="24"/>
                <w:lang w:val="hr-HR" w:eastAsia="hr-HR"/>
              </w:rPr>
              <w:t xml:space="preserve">ržavnom proračunu Republike Hrvatske za naredne </w:t>
            </w:r>
            <w:r w:rsidR="00BE3466">
              <w:rPr>
                <w:rFonts w:ascii="Times New Roman" w:eastAsia="Times New Roman" w:hAnsi="Times New Roman" w:cs="Times New Roman"/>
                <w:color w:val="auto"/>
                <w:sz w:val="24"/>
                <w:szCs w:val="24"/>
                <w:lang w:val="hr-HR" w:eastAsia="hr-HR"/>
              </w:rPr>
              <w:t>godine</w:t>
            </w:r>
            <w:r w:rsidRPr="00653DCF">
              <w:rPr>
                <w:rFonts w:ascii="Times New Roman" w:eastAsia="Times New Roman" w:hAnsi="Times New Roman" w:cs="Times New Roman"/>
                <w:color w:val="auto"/>
                <w:sz w:val="24"/>
                <w:szCs w:val="24"/>
                <w:lang w:val="hr-HR" w:eastAsia="hr-HR"/>
              </w:rPr>
              <w:t>.</w:t>
            </w:r>
          </w:p>
          <w:p w14:paraId="39BF8813" w14:textId="12670148" w:rsidR="00044C31" w:rsidRDefault="00044C31"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3B2845B0" w14:textId="77777777" w:rsidR="00704BDE" w:rsidRPr="00653DCF" w:rsidRDefault="00704BDE"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bookmarkEnd w:id="3"/>
          <w:bookmarkEnd w:id="4"/>
          <w:p w14:paraId="48255D00" w14:textId="3396D91F" w:rsidR="00134C6E" w:rsidRPr="00653DCF" w:rsidRDefault="00642C95" w:rsidP="0024686A">
            <w:pPr>
              <w:numPr>
                <w:ilvl w:val="0"/>
                <w:numId w:val="99"/>
              </w:numPr>
              <w:tabs>
                <w:tab w:val="left" w:pos="900"/>
              </w:tabs>
              <w:spacing w:after="0"/>
              <w:jc w:val="left"/>
              <w:rPr>
                <w:rFonts w:ascii="Times New Roman" w:eastAsia="Times New Roman" w:hAnsi="Times New Roman" w:cs="Times New Roman"/>
                <w:b/>
                <w:color w:val="auto"/>
                <w:sz w:val="24"/>
                <w:szCs w:val="24"/>
                <w:lang w:val="hr-HR" w:eastAsia="hr-HR"/>
              </w:rPr>
            </w:pPr>
            <w:r>
              <w:rPr>
                <w:rFonts w:ascii="Times New Roman" w:eastAsia="Times New Roman" w:hAnsi="Times New Roman" w:cs="Times New Roman"/>
                <w:b/>
                <w:color w:val="auto"/>
                <w:sz w:val="24"/>
                <w:szCs w:val="24"/>
                <w:lang w:val="hr-HR" w:eastAsia="hr-HR"/>
              </w:rPr>
              <w:t>ZAKONI KOJIMA SE POTVRĐUJU MEĐUNARODNI UGOVORI</w:t>
            </w:r>
          </w:p>
          <w:p w14:paraId="5C6DA95B" w14:textId="77777777" w:rsidR="00134C6E" w:rsidRPr="00653DCF" w:rsidRDefault="00134C6E" w:rsidP="00134C6E">
            <w:pPr>
              <w:tabs>
                <w:tab w:val="left" w:pos="720"/>
                <w:tab w:val="left" w:pos="900"/>
              </w:tabs>
              <w:spacing w:after="0"/>
              <w:ind w:left="0"/>
              <w:rPr>
                <w:rFonts w:ascii="Times New Roman" w:eastAsia="Times New Roman" w:hAnsi="Times New Roman" w:cs="Times New Roman"/>
                <w:b/>
                <w:color w:val="auto"/>
                <w:sz w:val="24"/>
                <w:szCs w:val="24"/>
                <w:lang w:val="hr-HR" w:eastAsia="hr-HR"/>
              </w:rPr>
            </w:pPr>
          </w:p>
          <w:p w14:paraId="7606F886" w14:textId="52FB9E1B" w:rsidR="00134C6E" w:rsidRPr="00653DCF" w:rsidRDefault="00134C6E" w:rsidP="00134C6E">
            <w:pPr>
              <w:autoSpaceDE w:val="0"/>
              <w:autoSpaceDN w:val="0"/>
              <w:adjustRightInd w:val="0"/>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Temelj za donošenje ovoga Zakona po hitnom postupku nalazi se u članku 207.a Poslovnika Hrvatskoga sabora („Narodne novine“, </w:t>
            </w:r>
            <w:r w:rsidR="0007351D" w:rsidRPr="00653DCF">
              <w:rPr>
                <w:rFonts w:ascii="Times New Roman" w:eastAsia="Times New Roman" w:hAnsi="Times New Roman" w:cs="Times New Roman"/>
                <w:color w:val="auto"/>
                <w:kern w:val="36"/>
                <w:sz w:val="24"/>
                <w:szCs w:val="24"/>
                <w:lang w:val="hr-HR" w:eastAsia="en-US"/>
              </w:rPr>
              <w:t>br</w:t>
            </w:r>
            <w:r w:rsidR="0007351D">
              <w:rPr>
                <w:rFonts w:ascii="Times New Roman" w:eastAsia="Times New Roman" w:hAnsi="Times New Roman" w:cs="Times New Roman"/>
                <w:color w:val="auto"/>
                <w:kern w:val="36"/>
                <w:sz w:val="24"/>
                <w:szCs w:val="24"/>
                <w:lang w:val="hr-HR" w:eastAsia="en-US"/>
              </w:rPr>
              <w:t>.</w:t>
            </w:r>
            <w:r w:rsidR="0007351D" w:rsidRPr="00653DCF">
              <w:rPr>
                <w:rFonts w:ascii="Times New Roman" w:eastAsia="Times New Roman" w:hAnsi="Times New Roman" w:cs="Times New Roman"/>
                <w:color w:val="auto"/>
                <w:kern w:val="36"/>
                <w:sz w:val="24"/>
                <w:szCs w:val="24"/>
                <w:lang w:val="hr-HR" w:eastAsia="en-US"/>
              </w:rPr>
              <w:t xml:space="preserve"> </w:t>
            </w:r>
            <w:r w:rsidRPr="00653DCF">
              <w:rPr>
                <w:rFonts w:ascii="Times New Roman" w:eastAsia="Times New Roman" w:hAnsi="Times New Roman" w:cs="Times New Roman"/>
                <w:color w:val="auto"/>
                <w:kern w:val="36"/>
                <w:sz w:val="24"/>
                <w:szCs w:val="24"/>
                <w:lang w:val="hr-HR" w:eastAsia="en-US"/>
              </w:rPr>
              <w:t>81/13. 113/16., 69/17., 29/18., 53/20., 119/20.</w:t>
            </w:r>
            <w:r w:rsidR="0007351D">
              <w:rPr>
                <w:rFonts w:ascii="Times New Roman" w:eastAsia="Times New Roman" w:hAnsi="Times New Roman" w:cs="Times New Roman"/>
                <w:color w:val="auto"/>
                <w:kern w:val="36"/>
                <w:sz w:val="24"/>
                <w:szCs w:val="24"/>
                <w:lang w:val="hr-HR" w:eastAsia="en-US"/>
              </w:rPr>
              <w:t xml:space="preserve"> – Odluka Ustavnog suda Republike Hrvatske</w:t>
            </w:r>
            <w:r w:rsidRPr="00653DCF">
              <w:rPr>
                <w:rFonts w:ascii="Times New Roman" w:eastAsia="Times New Roman" w:hAnsi="Times New Roman" w:cs="Times New Roman"/>
                <w:color w:val="auto"/>
                <w:kern w:val="36"/>
                <w:sz w:val="24"/>
                <w:szCs w:val="24"/>
                <w:lang w:val="hr-HR" w:eastAsia="en-US"/>
              </w:rPr>
              <w:t>, 123/20. i 86/23.</w:t>
            </w:r>
            <w:r w:rsidR="0007351D">
              <w:rPr>
                <w:rFonts w:ascii="Times New Roman" w:eastAsia="Times New Roman" w:hAnsi="Times New Roman" w:cs="Times New Roman"/>
                <w:color w:val="auto"/>
                <w:kern w:val="36"/>
                <w:sz w:val="24"/>
                <w:szCs w:val="24"/>
                <w:lang w:val="hr-HR" w:eastAsia="en-US"/>
              </w:rPr>
              <w:t xml:space="preserve"> – Odluka Ustavnog suda Republike Hrvatske</w:t>
            </w:r>
            <w:r w:rsidRPr="00653DCF">
              <w:rPr>
                <w:rFonts w:ascii="Times New Roman" w:eastAsia="Times New Roman" w:hAnsi="Times New Roman" w:cs="Times New Roman"/>
                <w:color w:val="auto"/>
                <w:kern w:val="36"/>
                <w:sz w:val="24"/>
                <w:szCs w:val="24"/>
                <w:lang w:val="hr-HR" w:eastAsia="en-US"/>
              </w:rPr>
              <w:t>)</w:t>
            </w:r>
            <w:r w:rsidR="002065D5">
              <w:rPr>
                <w:rFonts w:ascii="Times New Roman" w:eastAsia="Times New Roman" w:hAnsi="Times New Roman" w:cs="Times New Roman"/>
                <w:color w:val="auto"/>
                <w:kern w:val="36"/>
                <w:sz w:val="24"/>
                <w:szCs w:val="24"/>
                <w:lang w:val="hr-HR" w:eastAsia="en-US"/>
              </w:rPr>
              <w:t xml:space="preserve">, prema kojemu se zakoni kojima se, u skladu s Ustavom Republike Hrvatske, potvrđuju međunarodni ugovori donose u pravilu u jednom čitanju, a postupak donošenja pokreće se podnošenjem konačnog prijedloga zakona o </w:t>
            </w:r>
            <w:r w:rsidR="00F96911">
              <w:rPr>
                <w:rFonts w:ascii="Times New Roman" w:eastAsia="Times New Roman" w:hAnsi="Times New Roman" w:cs="Times New Roman"/>
                <w:color w:val="auto"/>
                <w:kern w:val="36"/>
                <w:sz w:val="24"/>
                <w:szCs w:val="24"/>
                <w:lang w:val="hr-HR" w:eastAsia="en-US"/>
              </w:rPr>
              <w:t xml:space="preserve">potvrđivanju </w:t>
            </w:r>
            <w:r w:rsidR="002065D5">
              <w:rPr>
                <w:rFonts w:ascii="Times New Roman" w:eastAsia="Times New Roman" w:hAnsi="Times New Roman" w:cs="Times New Roman"/>
                <w:color w:val="auto"/>
                <w:kern w:val="36"/>
                <w:sz w:val="24"/>
                <w:szCs w:val="24"/>
                <w:lang w:val="hr-HR" w:eastAsia="en-US"/>
              </w:rPr>
              <w:t>međunarodnog ugovora.</w:t>
            </w:r>
            <w:r w:rsidRPr="00653DCF">
              <w:rPr>
                <w:rFonts w:ascii="Times New Roman" w:eastAsia="Times New Roman" w:hAnsi="Times New Roman" w:cs="Times New Roman"/>
                <w:color w:val="auto"/>
                <w:kern w:val="36"/>
                <w:sz w:val="24"/>
                <w:szCs w:val="24"/>
                <w:lang w:val="hr-HR" w:eastAsia="en-US"/>
              </w:rPr>
              <w:t xml:space="preserve"> </w:t>
            </w:r>
          </w:p>
          <w:p w14:paraId="04791F2D" w14:textId="77777777" w:rsidR="00134C6E" w:rsidRPr="00653DCF" w:rsidRDefault="00134C6E" w:rsidP="00134C6E">
            <w:pPr>
              <w:autoSpaceDE w:val="0"/>
              <w:autoSpaceDN w:val="0"/>
              <w:adjustRightInd w:val="0"/>
              <w:spacing w:after="0"/>
              <w:ind w:left="0"/>
              <w:rPr>
                <w:rFonts w:ascii="Times New Roman" w:eastAsia="Times New Roman" w:hAnsi="Times New Roman" w:cs="Times New Roman"/>
                <w:color w:val="auto"/>
                <w:sz w:val="24"/>
                <w:szCs w:val="24"/>
                <w:lang w:val="hr-HR" w:eastAsia="hr-HR"/>
              </w:rPr>
            </w:pPr>
          </w:p>
          <w:p w14:paraId="35ADA371" w14:textId="01314823" w:rsidR="00134C6E" w:rsidRPr="00653DCF" w:rsidRDefault="00134C6E"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 xml:space="preserve">S obzirom na prirodu postupka potvrđivanja međunarodnih ugovora, kojim država i formalno izražava spremnost da bude vezana već potpisanim međunarodnim ugovorom, kao i na činjenicu da se u ovoj fazi postupka u pravilu ne mogu vršiti izmjene ili dopune teksta međunarodnog ugovora, predlaže se </w:t>
            </w:r>
            <w:r w:rsidR="006A04E4">
              <w:rPr>
                <w:rFonts w:ascii="Times New Roman" w:eastAsia="Times New Roman" w:hAnsi="Times New Roman" w:cs="Times New Roman"/>
                <w:color w:val="auto"/>
                <w:sz w:val="24"/>
                <w:szCs w:val="24"/>
                <w:lang w:val="hr-HR" w:eastAsia="hr-HR"/>
              </w:rPr>
              <w:t xml:space="preserve">ovaj Konačni prijedlog zakona </w:t>
            </w:r>
            <w:r w:rsidR="002065D5">
              <w:rPr>
                <w:rFonts w:ascii="Times New Roman" w:eastAsia="Times New Roman" w:hAnsi="Times New Roman" w:cs="Times New Roman"/>
                <w:color w:val="auto"/>
                <w:sz w:val="24"/>
                <w:szCs w:val="24"/>
                <w:lang w:val="hr-HR" w:eastAsia="hr-HR"/>
              </w:rPr>
              <w:t>raspraviti i prihvatiti u jednom čitanju</w:t>
            </w:r>
            <w:r w:rsidRPr="00653DCF">
              <w:rPr>
                <w:rFonts w:ascii="Times New Roman" w:eastAsia="Times New Roman" w:hAnsi="Times New Roman" w:cs="Times New Roman"/>
                <w:color w:val="auto"/>
                <w:sz w:val="24"/>
                <w:szCs w:val="24"/>
                <w:lang w:val="hr-HR" w:eastAsia="hr-HR"/>
              </w:rPr>
              <w:t>.</w:t>
            </w:r>
          </w:p>
          <w:p w14:paraId="6163F253" w14:textId="77777777" w:rsidR="00134C6E" w:rsidRPr="00653DCF" w:rsidRDefault="00134C6E" w:rsidP="00134C6E">
            <w:pPr>
              <w:spacing w:after="0"/>
              <w:ind w:left="705" w:hanging="705"/>
              <w:rPr>
                <w:rFonts w:ascii="Times New Roman" w:eastAsia="Times New Roman" w:hAnsi="Times New Roman" w:cs="Times New Roman"/>
                <w:b/>
                <w:color w:val="auto"/>
                <w:sz w:val="24"/>
                <w:szCs w:val="24"/>
                <w:lang w:val="hr-HR" w:eastAsia="hr-HR"/>
              </w:rPr>
            </w:pPr>
          </w:p>
          <w:p w14:paraId="5F2C4D40" w14:textId="6226BBA0" w:rsidR="00E670BF" w:rsidRDefault="00134C6E" w:rsidP="00134C6E">
            <w:pPr>
              <w:spacing w:after="0"/>
              <w:ind w:left="0"/>
              <w:jc w:val="center"/>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br w:type="page"/>
            </w:r>
          </w:p>
          <w:p w14:paraId="02F8C1D8" w14:textId="7C8A0D79"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5733C7E7" w14:textId="4E0F6FCD"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4140F1AD" w14:textId="42DA77B6"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522F679E" w14:textId="496103AD"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29D6DF7D" w14:textId="4FAA636C"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56B4F38F" w14:textId="59BEE9F3"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0C220704" w14:textId="39F41B36"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64C4AF12" w14:textId="7A97C8DF"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2C020115" w14:textId="610BE03D"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1FA68005" w14:textId="724E2D32"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3C28CB27" w14:textId="06F4D874"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7A208260" w14:textId="7CA96756"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09EE38B8" w14:textId="4DEBB330"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664609BC" w14:textId="37A563E6"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5EF6374F" w14:textId="3E6FDBC5"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644EF0A7" w14:textId="69F0A6EB"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504070AB" w14:textId="63560355"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75CAB2E3" w14:textId="03CBF1DB"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420A0E23" w14:textId="51741CAE"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6E7D166D" w14:textId="657862BA"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56706A30" w14:textId="64385F27"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61A73E85" w14:textId="79AB3B38"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390BDF03" w14:textId="4225AAA7"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3A10A44E" w14:textId="0DC24D23"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7215FFA5" w14:textId="4CC2206A"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4E6258D3" w14:textId="309ED888"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58E5A84E" w14:textId="3E51C879"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6284964F" w14:textId="0A22FD85"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7B649B46" w14:textId="4BAF576B"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20B98A3A" w14:textId="6415EAFB"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37E4896F" w14:textId="4919CB4A"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7D98B902" w14:textId="5163A915"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775A5DDF" w14:textId="77777777" w:rsidR="00AB5C64" w:rsidRDefault="00AB5C64" w:rsidP="00134C6E">
            <w:pPr>
              <w:spacing w:after="0"/>
              <w:ind w:left="0"/>
              <w:jc w:val="center"/>
              <w:rPr>
                <w:rFonts w:ascii="Times New Roman" w:eastAsia="Times New Roman" w:hAnsi="Times New Roman" w:cs="Times New Roman"/>
                <w:color w:val="auto"/>
                <w:sz w:val="24"/>
                <w:szCs w:val="24"/>
                <w:lang w:val="hr-HR" w:eastAsia="hr-HR"/>
              </w:rPr>
            </w:pPr>
          </w:p>
          <w:p w14:paraId="143AF216" w14:textId="306BD7C7"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3441B42D" w14:textId="397EF3C1"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5659F3C6" w14:textId="3F01BEFB" w:rsidR="006A04E4"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41088BDC" w14:textId="4FD9F387" w:rsidR="00137543" w:rsidRDefault="00137543" w:rsidP="00134C6E">
            <w:pPr>
              <w:spacing w:after="0"/>
              <w:ind w:left="0"/>
              <w:jc w:val="center"/>
              <w:rPr>
                <w:rFonts w:ascii="Times New Roman" w:eastAsia="Times New Roman" w:hAnsi="Times New Roman" w:cs="Times New Roman"/>
                <w:color w:val="auto"/>
                <w:sz w:val="24"/>
                <w:szCs w:val="24"/>
                <w:lang w:val="hr-HR" w:eastAsia="hr-HR"/>
              </w:rPr>
            </w:pPr>
          </w:p>
          <w:p w14:paraId="776071E8" w14:textId="308E970F" w:rsidR="00137543" w:rsidRDefault="00137543" w:rsidP="00134C6E">
            <w:pPr>
              <w:spacing w:after="0"/>
              <w:ind w:left="0"/>
              <w:jc w:val="center"/>
              <w:rPr>
                <w:rFonts w:ascii="Times New Roman" w:eastAsia="Times New Roman" w:hAnsi="Times New Roman" w:cs="Times New Roman"/>
                <w:color w:val="auto"/>
                <w:sz w:val="24"/>
                <w:szCs w:val="24"/>
                <w:lang w:val="hr-HR" w:eastAsia="hr-HR"/>
              </w:rPr>
            </w:pPr>
          </w:p>
          <w:p w14:paraId="6945D4D1" w14:textId="4B78C7FB" w:rsidR="00137543" w:rsidRDefault="00137543" w:rsidP="00134C6E">
            <w:pPr>
              <w:spacing w:after="0"/>
              <w:ind w:left="0"/>
              <w:jc w:val="center"/>
              <w:rPr>
                <w:rFonts w:ascii="Times New Roman" w:eastAsia="Times New Roman" w:hAnsi="Times New Roman" w:cs="Times New Roman"/>
                <w:color w:val="auto"/>
                <w:sz w:val="24"/>
                <w:szCs w:val="24"/>
                <w:lang w:val="hr-HR" w:eastAsia="hr-HR"/>
              </w:rPr>
            </w:pPr>
          </w:p>
          <w:p w14:paraId="739CC59E" w14:textId="77777777" w:rsidR="00137543" w:rsidRDefault="00137543" w:rsidP="00134C6E">
            <w:pPr>
              <w:spacing w:after="0"/>
              <w:ind w:left="0"/>
              <w:jc w:val="center"/>
              <w:rPr>
                <w:rFonts w:ascii="Times New Roman" w:eastAsia="Times New Roman" w:hAnsi="Times New Roman" w:cs="Times New Roman"/>
                <w:color w:val="auto"/>
                <w:sz w:val="24"/>
                <w:szCs w:val="24"/>
                <w:lang w:val="hr-HR" w:eastAsia="hr-HR"/>
              </w:rPr>
            </w:pPr>
          </w:p>
          <w:p w14:paraId="699A697C" w14:textId="77777777" w:rsidR="006A04E4" w:rsidRPr="00653DCF" w:rsidRDefault="006A04E4" w:rsidP="00134C6E">
            <w:pPr>
              <w:spacing w:after="0"/>
              <w:ind w:left="0"/>
              <w:jc w:val="center"/>
              <w:rPr>
                <w:rFonts w:ascii="Times New Roman" w:eastAsia="Times New Roman" w:hAnsi="Times New Roman" w:cs="Times New Roman"/>
                <w:color w:val="auto"/>
                <w:sz w:val="24"/>
                <w:szCs w:val="24"/>
                <w:lang w:val="hr-HR" w:eastAsia="hr-HR"/>
              </w:rPr>
            </w:pPr>
          </w:p>
          <w:p w14:paraId="2D395101" w14:textId="77777777" w:rsidR="00E670BF" w:rsidRPr="00653DCF" w:rsidRDefault="00E670BF" w:rsidP="00134C6E">
            <w:pPr>
              <w:spacing w:after="0"/>
              <w:ind w:left="0"/>
              <w:jc w:val="center"/>
              <w:rPr>
                <w:rFonts w:ascii="Times New Roman" w:eastAsia="Times New Roman" w:hAnsi="Times New Roman" w:cs="Times New Roman"/>
                <w:color w:val="auto"/>
                <w:sz w:val="24"/>
                <w:szCs w:val="24"/>
                <w:lang w:val="hr-HR" w:eastAsia="hr-HR"/>
              </w:rPr>
            </w:pPr>
          </w:p>
          <w:p w14:paraId="0896ECAF" w14:textId="66EBE032" w:rsidR="00134C6E" w:rsidRPr="00653DCF" w:rsidRDefault="00134C6E" w:rsidP="00134C6E">
            <w:pPr>
              <w:spacing w:after="0"/>
              <w:ind w:left="0"/>
              <w:jc w:val="center"/>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KONAČNI PRIJEDLOG ZAKONA O POTVRĐIVANJU UGOVORA O FINANCIRANJU IZMEĐU REPUBLIKE HRVATSKE I EUROPSKE INVESTICIJSKE BANKE ZA PROJEKT “REVITALIZACIJA ŽELJEZNIČKOG SUSTAVA REPUBLIKE HRVATSKE“  IZ OKVIRNOG ZAJMA</w:t>
            </w:r>
          </w:p>
          <w:p w14:paraId="2102A65B" w14:textId="77777777" w:rsidR="00134C6E" w:rsidRPr="00653DCF" w:rsidRDefault="00134C6E" w:rsidP="00134C6E">
            <w:pPr>
              <w:tabs>
                <w:tab w:val="left" w:pos="720"/>
                <w:tab w:val="left" w:pos="900"/>
              </w:tabs>
              <w:spacing w:after="0"/>
              <w:ind w:left="0"/>
              <w:jc w:val="center"/>
              <w:rPr>
                <w:rFonts w:ascii="Times New Roman" w:eastAsia="Times New Roman" w:hAnsi="Times New Roman" w:cs="Times New Roman"/>
                <w:b/>
                <w:color w:val="auto"/>
                <w:sz w:val="24"/>
                <w:szCs w:val="24"/>
                <w:lang w:val="hr-HR" w:eastAsia="hr-HR"/>
              </w:rPr>
            </w:pPr>
          </w:p>
          <w:p w14:paraId="7DB4AE0C" w14:textId="77777777" w:rsidR="00134C6E" w:rsidRPr="00653DCF" w:rsidRDefault="00134C6E" w:rsidP="00134C6E">
            <w:pPr>
              <w:tabs>
                <w:tab w:val="left" w:pos="720"/>
                <w:tab w:val="left" w:pos="900"/>
              </w:tabs>
              <w:spacing w:after="0"/>
              <w:ind w:left="0"/>
              <w:jc w:val="center"/>
              <w:rPr>
                <w:rFonts w:ascii="Times New Roman" w:eastAsia="Times New Roman" w:hAnsi="Times New Roman" w:cs="Times New Roman"/>
                <w:b/>
                <w:color w:val="auto"/>
                <w:sz w:val="24"/>
                <w:szCs w:val="24"/>
                <w:lang w:val="hr-HR" w:eastAsia="hr-HR"/>
              </w:rPr>
            </w:pPr>
          </w:p>
          <w:p w14:paraId="1785FD05" w14:textId="77777777" w:rsidR="00134C6E" w:rsidRPr="00653DCF" w:rsidRDefault="00134C6E" w:rsidP="00134C6E">
            <w:pPr>
              <w:tabs>
                <w:tab w:val="left" w:pos="720"/>
                <w:tab w:val="left" w:pos="900"/>
              </w:tabs>
              <w:spacing w:after="0"/>
              <w:ind w:left="0"/>
              <w:jc w:val="center"/>
              <w:outlineLvl w:val="0"/>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Članak 1.</w:t>
            </w:r>
          </w:p>
          <w:p w14:paraId="0A4869A2" w14:textId="77777777" w:rsidR="00134C6E" w:rsidRPr="00653DCF" w:rsidRDefault="00134C6E" w:rsidP="00134C6E">
            <w:pPr>
              <w:tabs>
                <w:tab w:val="left" w:pos="720"/>
                <w:tab w:val="left" w:pos="900"/>
              </w:tabs>
              <w:spacing w:after="0"/>
              <w:ind w:left="0"/>
              <w:jc w:val="center"/>
              <w:rPr>
                <w:rFonts w:ascii="Times New Roman" w:eastAsia="Times New Roman" w:hAnsi="Times New Roman" w:cs="Times New Roman"/>
                <w:b/>
                <w:color w:val="auto"/>
                <w:sz w:val="24"/>
                <w:szCs w:val="24"/>
                <w:lang w:val="hr-HR" w:eastAsia="hr-HR"/>
              </w:rPr>
            </w:pPr>
          </w:p>
          <w:p w14:paraId="170923E7" w14:textId="77777777" w:rsidR="00134C6E" w:rsidRPr="00653DCF" w:rsidRDefault="00134C6E" w:rsidP="00134C6E">
            <w:pPr>
              <w:tabs>
                <w:tab w:val="left" w:pos="720"/>
                <w:tab w:val="left" w:pos="900"/>
              </w:tabs>
              <w:spacing w:after="0"/>
              <w:ind w:left="0"/>
              <w:jc w:val="left"/>
              <w:rPr>
                <w:rFonts w:ascii="Times New Roman" w:eastAsia="Times New Roman" w:hAnsi="Times New Roman" w:cs="Times New Roman"/>
                <w:b/>
                <w:color w:val="auto"/>
                <w:sz w:val="24"/>
                <w:szCs w:val="24"/>
                <w:lang w:val="hr-HR" w:eastAsia="hr-HR"/>
              </w:rPr>
            </w:pPr>
          </w:p>
          <w:p w14:paraId="54B3034C" w14:textId="4CEA3185" w:rsidR="00134C6E" w:rsidRPr="00653DCF" w:rsidRDefault="00134C6E" w:rsidP="00134C6E">
            <w:pPr>
              <w:tabs>
                <w:tab w:val="left" w:pos="720"/>
                <w:tab w:val="left" w:pos="900"/>
              </w:tabs>
              <w:spacing w:after="0"/>
              <w:ind w:left="0" w:right="-28"/>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Potvrđuje se Ugovor o financiranju između Republike Hrvatske i Europske investicijske banke  za Projekt „Revitalizacija željezničkog sustava Republike Hrvatske“ iz okvirnog zajma</w:t>
            </w:r>
            <w:r w:rsidR="00AF5133">
              <w:rPr>
                <w:rFonts w:ascii="Times New Roman" w:eastAsia="Times New Roman" w:hAnsi="Times New Roman" w:cs="Times New Roman"/>
                <w:color w:val="auto"/>
                <w:sz w:val="24"/>
                <w:szCs w:val="24"/>
                <w:lang w:val="hr-HR" w:eastAsia="hr-HR"/>
              </w:rPr>
              <w:t>,</w:t>
            </w:r>
            <w:r w:rsidR="00AF5133" w:rsidRPr="00653DCF">
              <w:rPr>
                <w:rFonts w:ascii="Times New Roman" w:eastAsia="Times New Roman" w:hAnsi="Times New Roman" w:cs="Times New Roman"/>
                <w:color w:val="auto"/>
                <w:sz w:val="24"/>
                <w:szCs w:val="24"/>
                <w:lang w:val="hr-HR" w:eastAsia="hr-HR"/>
              </w:rPr>
              <w:t xml:space="preserve"> </w:t>
            </w:r>
            <w:r w:rsidRPr="00F219CE">
              <w:rPr>
                <w:rFonts w:ascii="Times New Roman" w:eastAsia="Times New Roman" w:hAnsi="Times New Roman" w:cs="Times New Roman"/>
                <w:color w:val="auto"/>
                <w:sz w:val="24"/>
                <w:szCs w:val="24"/>
                <w:lang w:val="hr-HR" w:eastAsia="hr-HR"/>
              </w:rPr>
              <w:t xml:space="preserve">potpisan </w:t>
            </w:r>
            <w:r w:rsidR="00F219CE" w:rsidRPr="00F219CE">
              <w:rPr>
                <w:rFonts w:ascii="Times New Roman" w:eastAsia="Times New Roman" w:hAnsi="Times New Roman" w:cs="Times New Roman"/>
                <w:color w:val="auto"/>
                <w:sz w:val="24"/>
                <w:szCs w:val="24"/>
                <w:lang w:val="hr-HR" w:eastAsia="hr-HR"/>
              </w:rPr>
              <w:t>u Zagrebu i u Luxemburgu, 22.</w:t>
            </w:r>
            <w:r w:rsidR="00263209" w:rsidRPr="00F219CE">
              <w:rPr>
                <w:rFonts w:ascii="Times New Roman" w:eastAsia="Times New Roman" w:hAnsi="Times New Roman" w:cs="Times New Roman"/>
                <w:color w:val="auto"/>
                <w:sz w:val="24"/>
                <w:szCs w:val="24"/>
                <w:lang w:val="hr-HR" w:eastAsia="hr-HR"/>
              </w:rPr>
              <w:t xml:space="preserve"> </w:t>
            </w:r>
            <w:r w:rsidR="00951186" w:rsidRPr="00F219CE">
              <w:rPr>
                <w:rFonts w:ascii="Times New Roman" w:eastAsia="Times New Roman" w:hAnsi="Times New Roman" w:cs="Times New Roman"/>
                <w:color w:val="auto"/>
                <w:sz w:val="24"/>
                <w:szCs w:val="24"/>
                <w:lang w:val="hr-HR" w:eastAsia="hr-HR"/>
              </w:rPr>
              <w:t>siječnja</w:t>
            </w:r>
            <w:r w:rsidRPr="00F219CE">
              <w:rPr>
                <w:rFonts w:ascii="Times New Roman" w:eastAsia="Times New Roman" w:hAnsi="Times New Roman" w:cs="Times New Roman"/>
                <w:color w:val="auto"/>
                <w:sz w:val="24"/>
                <w:szCs w:val="24"/>
                <w:lang w:val="hr-HR" w:eastAsia="hr-HR"/>
              </w:rPr>
              <w:t xml:space="preserve"> 2024.  u</w:t>
            </w:r>
            <w:r w:rsidRPr="00653DCF">
              <w:rPr>
                <w:rFonts w:ascii="Times New Roman" w:eastAsia="Times New Roman" w:hAnsi="Times New Roman" w:cs="Times New Roman"/>
                <w:color w:val="auto"/>
                <w:sz w:val="24"/>
                <w:szCs w:val="24"/>
                <w:lang w:val="hr-HR" w:eastAsia="hr-HR"/>
              </w:rPr>
              <w:t xml:space="preserve"> izvorniku na engleskom jeziku.</w:t>
            </w:r>
          </w:p>
          <w:p w14:paraId="72926528" w14:textId="77777777" w:rsidR="00134C6E" w:rsidRPr="00653DCF" w:rsidRDefault="00134C6E"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753F949B" w14:textId="77777777" w:rsidR="00134C6E" w:rsidRPr="00653DCF" w:rsidRDefault="00134C6E" w:rsidP="00134C6E">
            <w:pPr>
              <w:tabs>
                <w:tab w:val="left" w:pos="720"/>
                <w:tab w:val="left" w:pos="900"/>
              </w:tabs>
              <w:spacing w:after="0"/>
              <w:ind w:left="0"/>
              <w:jc w:val="center"/>
              <w:outlineLvl w:val="0"/>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Članak 2.</w:t>
            </w:r>
          </w:p>
          <w:p w14:paraId="2334FFDD" w14:textId="77777777" w:rsidR="00134C6E" w:rsidRPr="00653DCF" w:rsidRDefault="00134C6E" w:rsidP="00134C6E">
            <w:pPr>
              <w:tabs>
                <w:tab w:val="left" w:pos="720"/>
                <w:tab w:val="left" w:pos="900"/>
              </w:tabs>
              <w:spacing w:after="0"/>
              <w:ind w:left="0"/>
              <w:rPr>
                <w:rFonts w:ascii="Times New Roman" w:eastAsia="Times New Roman" w:hAnsi="Times New Roman" w:cs="Times New Roman"/>
                <w:b/>
                <w:color w:val="auto"/>
                <w:sz w:val="24"/>
                <w:szCs w:val="24"/>
                <w:lang w:val="hr-HR" w:eastAsia="hr-HR"/>
              </w:rPr>
            </w:pPr>
          </w:p>
          <w:p w14:paraId="43487702" w14:textId="3BFF211E" w:rsidR="00134C6E" w:rsidRDefault="00134C6E"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ab/>
              <w:t>Tekst Ugovora iz članka 1. ovoga Zakona, u izvorniku na engleskom jeziku i u prijevodu na hrvatski jezik, glasi:</w:t>
            </w:r>
          </w:p>
          <w:p w14:paraId="45A64A6C" w14:textId="05EB6F09"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340F6A50" w14:textId="1D90839D"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C15D52F" w14:textId="145BAECB"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1C4D6A94" w14:textId="5E6B4E4F"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55A8112D" w14:textId="2100E5F5"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3A829B8E" w14:textId="570095F9"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C8646CD" w14:textId="2B2FE593"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6786EF53" w14:textId="3CAE9A3A"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115F7B7D" w14:textId="7D516586"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36B0CBF4" w14:textId="01C6C249"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1181514" w14:textId="2EE5AB00"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3BDDF518" w14:textId="471D18C4"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24BE4FB" w14:textId="17A8DCF3"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43102EF" w14:textId="4A309A31"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5981AF3" w14:textId="27D1EAE3"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3B2CDBCF" w14:textId="0623ED5E"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2B55E493" w14:textId="7A1B7E9B"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0BD4F520" w14:textId="374A314B"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3451D6E6" w14:textId="6043CABE"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23C5C9D8" w14:textId="3F3E305F"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FD295B6" w14:textId="2E27028C"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299990B9" w14:textId="77777777" w:rsidR="00044C31" w:rsidRDefault="00044C31"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32453BE9" w14:textId="31BE96DE"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77AE8BA0" w14:textId="6765C12F"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5B111F3" w14:textId="1F33C380" w:rsidR="00964107" w:rsidRDefault="00964107"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1FDFC63E" w14:textId="621FE4E3" w:rsidR="00964107" w:rsidRDefault="00964107"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7C9CD00C" w14:textId="1EE08A5F" w:rsidR="00964107" w:rsidRDefault="00964107"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272920FA" w14:textId="499F4BE2" w:rsidR="00964107" w:rsidRDefault="00964107"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7F2EFAC2" w14:textId="5FFB4F52" w:rsidR="00964107" w:rsidRDefault="00964107"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71EE3E4" w14:textId="77777777" w:rsidR="00964107" w:rsidRDefault="00964107"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47D66B65" w14:textId="1B259CF6" w:rsidR="00881759"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0D035606" w14:textId="77777777" w:rsidR="00881759" w:rsidRPr="00653DCF" w:rsidRDefault="00881759" w:rsidP="00134C6E">
            <w:pPr>
              <w:tabs>
                <w:tab w:val="left" w:pos="720"/>
                <w:tab w:val="left" w:pos="900"/>
              </w:tabs>
              <w:spacing w:after="0"/>
              <w:ind w:left="0"/>
              <w:rPr>
                <w:rFonts w:ascii="Times New Roman" w:eastAsia="Times New Roman" w:hAnsi="Times New Roman" w:cs="Times New Roman"/>
                <w:color w:val="auto"/>
                <w:sz w:val="24"/>
                <w:szCs w:val="24"/>
                <w:lang w:val="hr-HR" w:eastAsia="hr-HR"/>
              </w:rPr>
            </w:pPr>
          </w:p>
          <w:p w14:paraId="521335AA" w14:textId="77777777" w:rsidR="00134C6E" w:rsidRPr="00653DCF" w:rsidRDefault="00134C6E">
            <w:pPr>
              <w:ind w:left="-4"/>
              <w:rPr>
                <w:b/>
                <w:color w:val="auto"/>
                <w:lang w:val="hr-HR"/>
              </w:rPr>
            </w:pPr>
          </w:p>
          <w:p w14:paraId="5249E6BF" w14:textId="520ADA75" w:rsidR="00134C6E" w:rsidRDefault="00134C6E">
            <w:pPr>
              <w:ind w:left="-4"/>
              <w:rPr>
                <w:b/>
                <w:color w:val="auto"/>
                <w:lang w:val="hr-HR"/>
              </w:rPr>
            </w:pPr>
          </w:p>
          <w:p w14:paraId="274220A2" w14:textId="6CFF00E8" w:rsidR="00134C6E" w:rsidRPr="00653DCF" w:rsidRDefault="00134C6E">
            <w:pPr>
              <w:ind w:left="-4"/>
              <w:rPr>
                <w:b/>
                <w:color w:val="auto"/>
                <w:lang w:val="hr-HR"/>
              </w:rPr>
            </w:pPr>
          </w:p>
        </w:tc>
        <w:tc>
          <w:tcPr>
            <w:tcW w:w="5528" w:type="dxa"/>
            <w:gridSpan w:val="2"/>
          </w:tcPr>
          <w:p w14:paraId="2F2F58DE" w14:textId="77777777" w:rsidR="00A64076" w:rsidRPr="00653DCF" w:rsidRDefault="00A64076">
            <w:pPr>
              <w:pStyle w:val="CenterEIB"/>
              <w:jc w:val="both"/>
              <w:rPr>
                <w:color w:val="auto"/>
                <w:lang w:val="hr-HR"/>
              </w:rPr>
            </w:pPr>
          </w:p>
          <w:p w14:paraId="22088EDD" w14:textId="77777777" w:rsidR="00A64076" w:rsidRPr="00653DCF" w:rsidRDefault="00A64076">
            <w:pPr>
              <w:pStyle w:val="CenterEIB"/>
              <w:jc w:val="both"/>
              <w:rPr>
                <w:color w:val="auto"/>
                <w:lang w:val="hr-HR"/>
              </w:rPr>
            </w:pPr>
          </w:p>
          <w:p w14:paraId="3BC7C293" w14:textId="1CE74DC8" w:rsidR="007A2A6F" w:rsidRPr="00653DCF" w:rsidRDefault="007A2A6F" w:rsidP="00134C6E">
            <w:pPr>
              <w:pStyle w:val="CenterEIB"/>
              <w:ind w:left="-2663"/>
              <w:jc w:val="both"/>
              <w:rPr>
                <w:color w:val="auto"/>
                <w:lang w:val="hr-HR"/>
              </w:rPr>
            </w:pPr>
          </w:p>
        </w:tc>
      </w:tr>
      <w:tr w:rsidR="007A2A6F" w:rsidRPr="00653DCF" w14:paraId="050878F5" w14:textId="77777777" w:rsidTr="00E670BF">
        <w:trPr>
          <w:gridBefore w:val="1"/>
          <w:gridAfter w:val="1"/>
          <w:wBefore w:w="998" w:type="dxa"/>
          <w:wAfter w:w="5387" w:type="dxa"/>
        </w:trPr>
        <w:tc>
          <w:tcPr>
            <w:tcW w:w="2688" w:type="dxa"/>
            <w:shd w:val="clear" w:color="auto" w:fill="auto"/>
          </w:tcPr>
          <w:p w14:paraId="7D89E8BA" w14:textId="6517115C" w:rsidR="007A2A6F" w:rsidRPr="00653DCF" w:rsidRDefault="007A2A6F">
            <w:pPr>
              <w:pStyle w:val="NoIndentEIB"/>
              <w:rPr>
                <w:color w:val="auto"/>
                <w:lang w:val="hr-HR"/>
              </w:rPr>
            </w:pPr>
          </w:p>
        </w:tc>
        <w:tc>
          <w:tcPr>
            <w:tcW w:w="5528" w:type="dxa"/>
            <w:gridSpan w:val="2"/>
          </w:tcPr>
          <w:p w14:paraId="65E45F5B" w14:textId="484EA334" w:rsidR="007A2A6F" w:rsidRPr="00653DCF" w:rsidRDefault="00E87B0B">
            <w:pPr>
              <w:pStyle w:val="NoIndentEIB"/>
              <w:rPr>
                <w:color w:val="auto"/>
                <w:lang w:val="hr-HR"/>
              </w:rPr>
            </w:pPr>
            <w:bookmarkStart w:id="5" w:name="_Hlk149041088"/>
            <w:r w:rsidRPr="00653DCF">
              <w:rPr>
                <w:color w:val="auto"/>
                <w:lang w:val="hr-HR"/>
              </w:rPr>
              <w:t xml:space="preserve">Broj </w:t>
            </w:r>
            <w:r w:rsidR="00F50E89" w:rsidRPr="00653DCF">
              <w:rPr>
                <w:color w:val="auto"/>
                <w:lang w:val="hr-HR"/>
              </w:rPr>
              <w:t>U</w:t>
            </w:r>
            <w:r w:rsidRPr="00653DCF">
              <w:rPr>
                <w:color w:val="auto"/>
                <w:lang w:val="hr-HR"/>
              </w:rPr>
              <w:t xml:space="preserve">govora (FI br.) </w:t>
            </w:r>
            <w:r w:rsidRPr="00653DCF">
              <w:rPr>
                <w:color w:val="auto"/>
                <w:lang w:val="hr-HR"/>
              </w:rPr>
              <w:fldChar w:fldCharType="begin">
                <w:ffData>
                  <w:name w:val="FI"/>
                  <w:enabled/>
                  <w:calcOnExit w:val="0"/>
                  <w:textInput>
                    <w:default w:val="95.797"/>
                  </w:textInput>
                </w:ffData>
              </w:fldChar>
            </w:r>
            <w:bookmarkStart w:id="6" w:name="FI"/>
            <w:r w:rsidRPr="00653DCF">
              <w:rPr>
                <w:color w:val="auto"/>
                <w:lang w:val="hr-HR"/>
              </w:rPr>
              <w:instrText xml:space="preserve"> FORMTEXT </w:instrText>
            </w:r>
            <w:r w:rsidRPr="00653DCF">
              <w:rPr>
                <w:color w:val="auto"/>
                <w:lang w:val="hr-HR"/>
              </w:rPr>
            </w:r>
            <w:r w:rsidRPr="00653DCF">
              <w:rPr>
                <w:color w:val="auto"/>
                <w:lang w:val="hr-HR"/>
              </w:rPr>
              <w:fldChar w:fldCharType="separate"/>
            </w:r>
            <w:r w:rsidR="00B3344C" w:rsidRPr="00653DCF">
              <w:rPr>
                <w:noProof/>
                <w:color w:val="auto"/>
                <w:lang w:val="hr-HR"/>
              </w:rPr>
              <w:t>95.797</w:t>
            </w:r>
            <w:r w:rsidRPr="00653DCF">
              <w:rPr>
                <w:color w:val="auto"/>
                <w:lang w:val="hr-HR"/>
              </w:rPr>
              <w:fldChar w:fldCharType="end"/>
            </w:r>
            <w:bookmarkEnd w:id="6"/>
          </w:p>
          <w:bookmarkEnd w:id="5"/>
          <w:p w14:paraId="2EB230D7" w14:textId="0E1A5C0B" w:rsidR="007A2A6F" w:rsidRPr="00653DCF" w:rsidRDefault="0089468F">
            <w:pPr>
              <w:pStyle w:val="NoIndentEIB"/>
              <w:rPr>
                <w:color w:val="auto"/>
                <w:lang w:val="hr-HR"/>
              </w:rPr>
            </w:pPr>
            <w:r w:rsidRPr="00653DCF">
              <w:rPr>
                <w:color w:val="auto"/>
                <w:lang w:val="hr-HR"/>
              </w:rPr>
              <w:t xml:space="preserve">Operativni broj </w:t>
            </w:r>
            <w:r w:rsidR="00E87B0B" w:rsidRPr="00653DCF">
              <w:rPr>
                <w:color w:val="auto"/>
                <w:lang w:val="hr-HR"/>
              </w:rPr>
              <w:t xml:space="preserve">(Serapis br.) </w:t>
            </w:r>
            <w:r w:rsidR="00E87B0B" w:rsidRPr="00653DCF">
              <w:rPr>
                <w:color w:val="auto"/>
                <w:lang w:val="hr-HR"/>
              </w:rPr>
              <w:fldChar w:fldCharType="begin">
                <w:ffData>
                  <w:name w:val="Serapis"/>
                  <w:enabled/>
                  <w:calcOnExit w:val="0"/>
                  <w:textInput>
                    <w:default w:val="2022-0660"/>
                  </w:textInput>
                </w:ffData>
              </w:fldChar>
            </w:r>
            <w:bookmarkStart w:id="7" w:name="Serapis"/>
            <w:r w:rsidR="00E87B0B" w:rsidRPr="00653DCF">
              <w:rPr>
                <w:color w:val="auto"/>
                <w:lang w:val="hr-HR"/>
              </w:rPr>
              <w:instrText xml:space="preserve"> FORMTEXT </w:instrText>
            </w:r>
            <w:r w:rsidR="00E87B0B" w:rsidRPr="00653DCF">
              <w:rPr>
                <w:color w:val="auto"/>
                <w:lang w:val="hr-HR"/>
              </w:rPr>
            </w:r>
            <w:r w:rsidR="00E87B0B" w:rsidRPr="00653DCF">
              <w:rPr>
                <w:color w:val="auto"/>
                <w:lang w:val="hr-HR"/>
              </w:rPr>
              <w:fldChar w:fldCharType="separate"/>
            </w:r>
            <w:r w:rsidR="00B3344C" w:rsidRPr="00653DCF">
              <w:rPr>
                <w:noProof/>
                <w:color w:val="auto"/>
                <w:lang w:val="hr-HR"/>
              </w:rPr>
              <w:t>2022-0660</w:t>
            </w:r>
            <w:r w:rsidR="00E87B0B" w:rsidRPr="00653DCF">
              <w:rPr>
                <w:color w:val="auto"/>
                <w:lang w:val="hr-HR"/>
              </w:rPr>
              <w:fldChar w:fldCharType="end"/>
            </w:r>
            <w:bookmarkEnd w:id="7"/>
          </w:p>
        </w:tc>
      </w:tr>
      <w:tr w:rsidR="007A2A6F" w:rsidRPr="00653DCF" w14:paraId="1CC67A0B" w14:textId="77777777" w:rsidTr="00E670BF">
        <w:trPr>
          <w:gridBefore w:val="1"/>
          <w:gridAfter w:val="1"/>
          <w:wBefore w:w="998" w:type="dxa"/>
          <w:wAfter w:w="5387" w:type="dxa"/>
        </w:trPr>
        <w:tc>
          <w:tcPr>
            <w:tcW w:w="2688" w:type="dxa"/>
          </w:tcPr>
          <w:p w14:paraId="1BF82639" w14:textId="77777777" w:rsidR="007A2A6F" w:rsidRPr="00653DCF" w:rsidRDefault="007A2A6F">
            <w:pPr>
              <w:pStyle w:val="NoIndentEIB"/>
              <w:rPr>
                <w:color w:val="auto"/>
                <w:lang w:val="hr-HR"/>
              </w:rPr>
            </w:pPr>
          </w:p>
        </w:tc>
        <w:tc>
          <w:tcPr>
            <w:tcW w:w="5528" w:type="dxa"/>
            <w:gridSpan w:val="2"/>
          </w:tcPr>
          <w:p w14:paraId="19DF0B70" w14:textId="5670C3B8" w:rsidR="007A2A6F" w:rsidRPr="00653DCF" w:rsidRDefault="007A2A6F">
            <w:pPr>
              <w:pStyle w:val="NoIndentEIB"/>
              <w:rPr>
                <w:color w:val="auto"/>
                <w:lang w:val="hr-HR"/>
              </w:rPr>
            </w:pPr>
          </w:p>
        </w:tc>
      </w:tr>
    </w:tbl>
    <w:p w14:paraId="49CC4721" w14:textId="77777777" w:rsidR="007A2A6F" w:rsidRPr="00653DCF" w:rsidRDefault="007A2A6F">
      <w:pPr>
        <w:rPr>
          <w:color w:val="auto"/>
          <w:lang w:val="hr-HR"/>
        </w:rPr>
      </w:pPr>
    </w:p>
    <w:bookmarkEnd w:id="0"/>
    <w:p w14:paraId="480D819D" w14:textId="77777777" w:rsidR="007A2A6F" w:rsidRPr="00653DCF" w:rsidRDefault="007A2A6F">
      <w:pPr>
        <w:rPr>
          <w:color w:val="auto"/>
          <w:lang w:val="hr-HR"/>
        </w:rPr>
      </w:pPr>
    </w:p>
    <w:p w14:paraId="2565E41A" w14:textId="376AB769" w:rsidR="007A2A6F" w:rsidRPr="00653DCF" w:rsidRDefault="0089468F">
      <w:pPr>
        <w:pStyle w:val="CoverTitlesBoldEIB"/>
        <w:rPr>
          <w:color w:val="auto"/>
          <w:lang w:val="hr-HR"/>
        </w:rPr>
      </w:pPr>
      <w:r w:rsidRPr="00653DCF">
        <w:rPr>
          <w:color w:val="auto"/>
          <w:lang w:val="hr-HR"/>
        </w:rPr>
        <w:t xml:space="preserve">OKVIRNI ZAJAM </w:t>
      </w:r>
      <w:r w:rsidR="00D26073" w:rsidRPr="00653DCF">
        <w:rPr>
          <w:color w:val="auto"/>
          <w:lang w:val="hr-HR"/>
        </w:rPr>
        <w:t xml:space="preserve">ZA </w:t>
      </w:r>
      <w:r w:rsidR="0077500A" w:rsidRPr="00653DCF">
        <w:rPr>
          <w:color w:val="auto"/>
          <w:lang w:val="hr-HR"/>
        </w:rPr>
        <w:t>PROJEKT „REVITALIZACIJA ŽELJEZNIČKOG SUSTAVA REPUBLIKE HRVATSKE“</w:t>
      </w:r>
      <w:r w:rsidR="00494772" w:rsidRPr="00653DCF">
        <w:rPr>
          <w:rStyle w:val="FootnoteReference"/>
          <w:color w:val="auto"/>
          <w:lang w:val="hr-HR"/>
        </w:rPr>
        <w:footnoteReference w:id="1"/>
      </w:r>
    </w:p>
    <w:p w14:paraId="50EC9216" w14:textId="4EFC4AB6" w:rsidR="007A2A6F" w:rsidRPr="00653DCF" w:rsidRDefault="007775E8">
      <w:pPr>
        <w:pStyle w:val="CoverTitlesEIB"/>
        <w:rPr>
          <w:color w:val="auto"/>
          <w:lang w:val="hr-HR"/>
        </w:rPr>
      </w:pPr>
      <w:r w:rsidRPr="00653DCF">
        <w:rPr>
          <w:color w:val="auto"/>
          <w:lang w:val="hr-HR"/>
        </w:rPr>
        <w:t>U</w:t>
      </w:r>
      <w:r w:rsidR="00E87B0B" w:rsidRPr="00653DCF">
        <w:rPr>
          <w:color w:val="auto"/>
          <w:lang w:val="hr-HR"/>
        </w:rPr>
        <w:t xml:space="preserve">govor o financiranju </w:t>
      </w:r>
    </w:p>
    <w:p w14:paraId="1EAD2B43" w14:textId="1727F548" w:rsidR="007A2A6F" w:rsidRPr="00653DCF" w:rsidRDefault="005D5FC0">
      <w:pPr>
        <w:pStyle w:val="CenterItalicEIB"/>
        <w:rPr>
          <w:color w:val="auto"/>
          <w:lang w:val="hr-HR"/>
        </w:rPr>
      </w:pPr>
      <w:r w:rsidRPr="00653DCF">
        <w:rPr>
          <w:color w:val="auto"/>
          <w:lang w:val="hr-HR"/>
        </w:rPr>
        <w:t>između</w:t>
      </w:r>
    </w:p>
    <w:p w14:paraId="746177F0" w14:textId="3ED57927" w:rsidR="007A2A6F" w:rsidRPr="00653DCF" w:rsidRDefault="00E87B0B">
      <w:pPr>
        <w:pStyle w:val="CoverTitlesEIB"/>
        <w:rPr>
          <w:color w:val="auto"/>
          <w:lang w:val="hr-HR"/>
        </w:rPr>
      </w:pPr>
      <w:r w:rsidRPr="00653DCF">
        <w:rPr>
          <w:color w:val="auto"/>
          <w:lang w:val="hr-HR"/>
        </w:rPr>
        <w:t>Republik</w:t>
      </w:r>
      <w:r w:rsidR="005D5FC0" w:rsidRPr="00653DCF">
        <w:rPr>
          <w:color w:val="auto"/>
          <w:lang w:val="hr-HR"/>
        </w:rPr>
        <w:t>e</w:t>
      </w:r>
      <w:r w:rsidRPr="00653DCF">
        <w:rPr>
          <w:color w:val="auto"/>
          <w:lang w:val="hr-HR"/>
        </w:rPr>
        <w:t xml:space="preserve"> Hrvatsk</w:t>
      </w:r>
      <w:r w:rsidR="005D5FC0" w:rsidRPr="00653DCF">
        <w:rPr>
          <w:color w:val="auto"/>
          <w:lang w:val="hr-HR"/>
        </w:rPr>
        <w:t>e</w:t>
      </w:r>
      <w:r w:rsidRPr="00653DCF">
        <w:rPr>
          <w:color w:val="auto"/>
          <w:lang w:val="hr-HR"/>
        </w:rPr>
        <w:t xml:space="preserve"> </w:t>
      </w:r>
    </w:p>
    <w:p w14:paraId="5A4320C8" w14:textId="6E065470" w:rsidR="007A2A6F" w:rsidRPr="00653DCF" w:rsidRDefault="00E87B0B">
      <w:pPr>
        <w:pStyle w:val="CenterItalicEIB"/>
        <w:rPr>
          <w:color w:val="auto"/>
          <w:lang w:val="hr-HR"/>
        </w:rPr>
      </w:pPr>
      <w:r w:rsidRPr="00653DCF">
        <w:rPr>
          <w:color w:val="auto"/>
          <w:lang w:val="hr-HR"/>
        </w:rPr>
        <w:t>i</w:t>
      </w:r>
    </w:p>
    <w:p w14:paraId="4A7041BF" w14:textId="1DE862E5" w:rsidR="007A2A6F" w:rsidRPr="00653DCF" w:rsidRDefault="00E87B0B">
      <w:pPr>
        <w:pStyle w:val="CoverTitlesEIB"/>
        <w:rPr>
          <w:color w:val="auto"/>
          <w:lang w:val="hr-HR"/>
        </w:rPr>
      </w:pPr>
      <w:r w:rsidRPr="00653DCF">
        <w:rPr>
          <w:color w:val="auto"/>
          <w:lang w:val="hr-HR"/>
        </w:rPr>
        <w:t>Europsk</w:t>
      </w:r>
      <w:r w:rsidR="005D5FC0" w:rsidRPr="00653DCF">
        <w:rPr>
          <w:color w:val="auto"/>
          <w:lang w:val="hr-HR"/>
        </w:rPr>
        <w:t>e</w:t>
      </w:r>
      <w:r w:rsidRPr="00653DCF">
        <w:rPr>
          <w:color w:val="auto"/>
          <w:lang w:val="hr-HR"/>
        </w:rPr>
        <w:t xml:space="preserve"> investicijsk</w:t>
      </w:r>
      <w:r w:rsidR="005D5FC0" w:rsidRPr="00653DCF">
        <w:rPr>
          <w:color w:val="auto"/>
          <w:lang w:val="hr-HR"/>
        </w:rPr>
        <w:t>e</w:t>
      </w:r>
      <w:r w:rsidRPr="00653DCF">
        <w:rPr>
          <w:color w:val="auto"/>
          <w:lang w:val="hr-HR"/>
        </w:rPr>
        <w:t xml:space="preserve"> bank</w:t>
      </w:r>
      <w:r w:rsidR="005D5FC0" w:rsidRPr="00653DCF">
        <w:rPr>
          <w:color w:val="auto"/>
          <w:lang w:val="hr-HR"/>
        </w:rPr>
        <w:t>e</w:t>
      </w:r>
    </w:p>
    <w:p w14:paraId="2C082B04" w14:textId="77777777" w:rsidR="007A2A6F" w:rsidRPr="00653DCF" w:rsidRDefault="007A2A6F">
      <w:pPr>
        <w:widowControl w:val="0"/>
        <w:tabs>
          <w:tab w:val="left" w:pos="896"/>
        </w:tabs>
        <w:ind w:left="14"/>
        <w:rPr>
          <w:color w:val="auto"/>
          <w:lang w:val="hr-HR"/>
        </w:rPr>
      </w:pPr>
    </w:p>
    <w:p w14:paraId="0E521313" w14:textId="77777777" w:rsidR="007A2A6F" w:rsidRPr="00653DCF" w:rsidRDefault="007A2A6F">
      <w:pPr>
        <w:pStyle w:val="CenterEIB"/>
        <w:rPr>
          <w:color w:val="auto"/>
          <w:lang w:val="hr-HR"/>
        </w:rPr>
      </w:pPr>
    </w:p>
    <w:p w14:paraId="1EB48495" w14:textId="0B97B819" w:rsidR="007A2A6F" w:rsidRPr="00653DCF" w:rsidRDefault="008120C4">
      <w:pPr>
        <w:pStyle w:val="CenterEIB"/>
        <w:rPr>
          <w:color w:val="auto"/>
          <w:lang w:val="hr-HR"/>
        </w:rPr>
      </w:pPr>
      <w:r>
        <w:rPr>
          <w:color w:val="auto"/>
          <w:lang w:val="hr-HR"/>
        </w:rPr>
        <w:t>Zagreb, 17. siječnja</w:t>
      </w:r>
      <w:r w:rsidR="00E87B0B" w:rsidRPr="00653DCF">
        <w:rPr>
          <w:color w:val="auto"/>
          <w:lang w:val="hr-HR"/>
        </w:rPr>
        <w:t xml:space="preserve"> 202</w:t>
      </w:r>
      <w:r w:rsidR="0077500A" w:rsidRPr="00653DCF">
        <w:rPr>
          <w:color w:val="auto"/>
          <w:lang w:val="hr-HR"/>
        </w:rPr>
        <w:t>4</w:t>
      </w:r>
      <w:r w:rsidR="00821393" w:rsidRPr="00653DCF">
        <w:rPr>
          <w:color w:val="auto"/>
          <w:lang w:val="hr-HR"/>
        </w:rPr>
        <w:t>.</w:t>
      </w:r>
    </w:p>
    <w:p w14:paraId="6CF1D4A3" w14:textId="3F0F7319" w:rsidR="007A2A6F" w:rsidRPr="00653DCF" w:rsidRDefault="00E87B0B">
      <w:pPr>
        <w:widowControl w:val="0"/>
        <w:tabs>
          <w:tab w:val="left" w:pos="720"/>
          <w:tab w:val="left" w:pos="896"/>
        </w:tabs>
        <w:ind w:left="0"/>
        <w:jc w:val="center"/>
        <w:rPr>
          <w:rFonts w:cs="Arial"/>
          <w:color w:val="auto"/>
          <w:sz w:val="18"/>
          <w:lang w:val="hr-HR"/>
        </w:rPr>
      </w:pPr>
      <w:r w:rsidRPr="00653DCF">
        <w:rPr>
          <w:rFonts w:cs="Arial"/>
          <w:color w:val="auto"/>
          <w:lang w:val="hr-HR"/>
        </w:rPr>
        <w:t xml:space="preserve">Luksemburg, </w:t>
      </w:r>
      <w:r w:rsidR="008120C4" w:rsidRPr="008120C4">
        <w:rPr>
          <w:color w:val="auto"/>
          <w:lang w:val="hr-HR"/>
        </w:rPr>
        <w:t>22. siječnja</w:t>
      </w:r>
      <w:r w:rsidRPr="00653DCF">
        <w:rPr>
          <w:color w:val="auto"/>
          <w:lang w:val="hr-HR"/>
        </w:rPr>
        <w:t xml:space="preserve"> 202</w:t>
      </w:r>
      <w:r w:rsidR="0077500A" w:rsidRPr="00653DCF">
        <w:rPr>
          <w:color w:val="auto"/>
          <w:lang w:val="hr-HR"/>
        </w:rPr>
        <w:t>4</w:t>
      </w:r>
      <w:r w:rsidR="00821393" w:rsidRPr="00653DCF">
        <w:rPr>
          <w:color w:val="auto"/>
          <w:lang w:val="hr-HR"/>
        </w:rPr>
        <w:t>.</w:t>
      </w:r>
    </w:p>
    <w:p w14:paraId="1A1EF59D" w14:textId="77777777" w:rsidR="00397352" w:rsidRPr="00653DCF" w:rsidRDefault="00E87B0B">
      <w:pPr>
        <w:pStyle w:val="TOC1"/>
        <w:rPr>
          <w:color w:val="auto"/>
          <w:lang w:val="hr-HR"/>
        </w:rPr>
      </w:pPr>
      <w:r w:rsidRPr="00653DCF">
        <w:rPr>
          <w:color w:val="auto"/>
          <w:lang w:val="hr-HR"/>
        </w:rPr>
        <w:br w:type="page"/>
      </w:r>
    </w:p>
    <w:p w14:paraId="43547474" w14:textId="77777777" w:rsidR="007A2A6F" w:rsidRPr="00653DCF" w:rsidRDefault="007A2A6F">
      <w:pPr>
        <w:rPr>
          <w:color w:val="auto"/>
        </w:rPr>
        <w:sectPr w:rsidR="007A2A6F" w:rsidRPr="00653DCF" w:rsidSect="00134C6E">
          <w:headerReference w:type="even" r:id="rId13"/>
          <w:footerReference w:type="default" r:id="rId14"/>
          <w:pgSz w:w="11906" w:h="16838"/>
          <w:pgMar w:top="1417" w:right="1417" w:bottom="1417" w:left="1417" w:header="708" w:footer="708" w:gutter="0"/>
          <w:cols w:space="708"/>
          <w:formProt w:val="0"/>
          <w:titlePg/>
          <w:docGrid w:linePitch="360"/>
        </w:sectPr>
      </w:pPr>
    </w:p>
    <w:p w14:paraId="379B6CEE" w14:textId="7B49F4A9" w:rsidR="007A2A6F" w:rsidRPr="00653DCF" w:rsidRDefault="00742B2E">
      <w:pPr>
        <w:rPr>
          <w:rStyle w:val="BoldEIB"/>
          <w:color w:val="auto"/>
          <w:lang w:val="hr-HR"/>
        </w:rPr>
      </w:pPr>
      <w:r w:rsidRPr="00653DCF">
        <w:rPr>
          <w:rStyle w:val="BoldEIB"/>
          <w:color w:val="auto"/>
          <w:lang w:val="hr-HR"/>
        </w:rPr>
        <w:lastRenderedPageBreak/>
        <w:t xml:space="preserve">OVAJ </w:t>
      </w:r>
      <w:r w:rsidR="00E87B0B" w:rsidRPr="00653DCF">
        <w:rPr>
          <w:rStyle w:val="BoldEIB"/>
          <w:color w:val="auto"/>
          <w:lang w:val="hr-HR"/>
        </w:rPr>
        <w:t xml:space="preserve">UGOVOR </w:t>
      </w:r>
      <w:r w:rsidRPr="00653DCF">
        <w:rPr>
          <w:rStyle w:val="BoldEIB"/>
          <w:color w:val="auto"/>
          <w:lang w:val="hr-HR"/>
        </w:rPr>
        <w:t xml:space="preserve">JE SKLOPLJEN </w:t>
      </w:r>
      <w:r w:rsidR="00E87B0B" w:rsidRPr="00653DCF">
        <w:rPr>
          <w:rStyle w:val="BoldEIB"/>
          <w:color w:val="auto"/>
          <w:lang w:val="hr-HR"/>
        </w:rPr>
        <w:t xml:space="preserve">IZMEĐU: </w:t>
      </w:r>
    </w:p>
    <w:p w14:paraId="60AEC000" w14:textId="77777777" w:rsidR="007A2A6F" w:rsidRPr="00653DCF" w:rsidRDefault="007A2A6F">
      <w:pPr>
        <w:rPr>
          <w:color w:val="auto"/>
          <w:lang w:val="hr-HR"/>
        </w:rPr>
      </w:pPr>
    </w:p>
    <w:tbl>
      <w:tblPr>
        <w:tblStyle w:val="TableEIB"/>
        <w:tblW w:w="0" w:type="auto"/>
        <w:tblLook w:val="04A0" w:firstRow="1" w:lastRow="0" w:firstColumn="1" w:lastColumn="0" w:noHBand="0" w:noVBand="1"/>
      </w:tblPr>
      <w:tblGrid>
        <w:gridCol w:w="3672"/>
        <w:gridCol w:w="4544"/>
      </w:tblGrid>
      <w:tr w:rsidR="007A2A6F" w:rsidRPr="00653DCF" w14:paraId="4E18E44B" w14:textId="77777777">
        <w:tc>
          <w:tcPr>
            <w:tcW w:w="3788" w:type="dxa"/>
          </w:tcPr>
          <w:p w14:paraId="2B089C2A" w14:textId="4AAD8E5F" w:rsidR="007A2A6F" w:rsidRPr="00653DCF" w:rsidRDefault="00E87B0B">
            <w:pPr>
              <w:ind w:left="0"/>
              <w:rPr>
                <w:color w:val="auto"/>
                <w:lang w:val="hr-HR"/>
              </w:rPr>
            </w:pPr>
            <w:r w:rsidRPr="00653DCF">
              <w:rPr>
                <w:color w:val="auto"/>
                <w:lang w:val="hr-HR"/>
              </w:rPr>
              <w:t>Republik</w:t>
            </w:r>
            <w:r w:rsidR="00D858D8" w:rsidRPr="00653DCF">
              <w:rPr>
                <w:color w:val="auto"/>
                <w:lang w:val="hr-HR"/>
              </w:rPr>
              <w:t>e</w:t>
            </w:r>
            <w:r w:rsidRPr="00653DCF">
              <w:rPr>
                <w:color w:val="auto"/>
                <w:lang w:val="hr-HR"/>
              </w:rPr>
              <w:t xml:space="preserve"> Hrvatsk</w:t>
            </w:r>
            <w:r w:rsidR="00D858D8" w:rsidRPr="00653DCF">
              <w:rPr>
                <w:color w:val="auto"/>
                <w:lang w:val="hr-HR"/>
              </w:rPr>
              <w:t>e</w:t>
            </w:r>
            <w:r w:rsidRPr="00653DCF">
              <w:rPr>
                <w:color w:val="auto"/>
                <w:lang w:val="hr-HR"/>
              </w:rPr>
              <w:t>,</w:t>
            </w:r>
            <w:r w:rsidR="00F80063" w:rsidRPr="00653DCF">
              <w:rPr>
                <w:color w:val="auto"/>
                <w:lang w:val="hr-HR"/>
              </w:rPr>
              <w:t xml:space="preserve"> u čije ime djeluje i koja djeluje </w:t>
            </w:r>
            <w:r w:rsidR="007A06FF" w:rsidRPr="00653DCF">
              <w:rPr>
                <w:color w:val="auto"/>
                <w:lang w:val="hr-HR"/>
              </w:rPr>
              <w:t xml:space="preserve">putem </w:t>
            </w:r>
            <w:r w:rsidRPr="00653DCF">
              <w:rPr>
                <w:color w:val="auto"/>
                <w:lang w:val="hr-HR"/>
              </w:rPr>
              <w:t>Ministarstva financija</w:t>
            </w:r>
            <w:r w:rsidR="00F80063" w:rsidRPr="00653DCF">
              <w:rPr>
                <w:color w:val="auto"/>
                <w:lang w:val="hr-HR"/>
              </w:rPr>
              <w:t>,</w:t>
            </w:r>
            <w:r w:rsidRPr="00653DCF">
              <w:rPr>
                <w:color w:val="auto"/>
                <w:lang w:val="hr-HR"/>
              </w:rPr>
              <w:t xml:space="preserve"> koj</w:t>
            </w:r>
            <w:r w:rsidR="00F80063" w:rsidRPr="00653DCF">
              <w:rPr>
                <w:color w:val="auto"/>
                <w:lang w:val="hr-HR"/>
              </w:rPr>
              <w:t>u</w:t>
            </w:r>
            <w:r w:rsidRPr="00653DCF">
              <w:rPr>
                <w:color w:val="auto"/>
                <w:lang w:val="hr-HR"/>
              </w:rPr>
              <w:t xml:space="preserve"> zastupa</w:t>
            </w:r>
            <w:r w:rsidR="0027669F" w:rsidRPr="00653DCF">
              <w:rPr>
                <w:color w:val="auto"/>
                <w:lang w:val="hr-HR"/>
              </w:rPr>
              <w:t xml:space="preserve"> </w:t>
            </w:r>
            <w:r w:rsidRPr="00653DCF">
              <w:rPr>
                <w:rFonts w:cs="Arial"/>
                <w:color w:val="auto"/>
                <w:lang w:val="hr-HR"/>
              </w:rPr>
              <w:t>ministar</w:t>
            </w:r>
            <w:r w:rsidR="007A06FF" w:rsidRPr="00653DCF">
              <w:rPr>
                <w:rFonts w:cs="Arial"/>
                <w:color w:val="auto"/>
                <w:lang w:val="hr-HR"/>
              </w:rPr>
              <w:t xml:space="preserve"> </w:t>
            </w:r>
            <w:r w:rsidRPr="00653DCF">
              <w:rPr>
                <w:color w:val="auto"/>
                <w:lang w:val="hr-HR"/>
              </w:rPr>
              <w:t>financija g. Marko Primorac</w:t>
            </w:r>
            <w:r w:rsidRPr="00653DCF">
              <w:rPr>
                <w:rFonts w:cs="Arial"/>
                <w:color w:val="auto"/>
                <w:lang w:val="hr-HR"/>
              </w:rPr>
              <w:t>,</w:t>
            </w:r>
          </w:p>
        </w:tc>
        <w:tc>
          <w:tcPr>
            <w:tcW w:w="4644" w:type="dxa"/>
          </w:tcPr>
          <w:p w14:paraId="045BBAC6" w14:textId="5E03C7B8" w:rsidR="007A2A6F" w:rsidRPr="00653DCF" w:rsidRDefault="00E87B0B">
            <w:pPr>
              <w:rPr>
                <w:color w:val="auto"/>
                <w:lang w:val="hr-HR"/>
              </w:rPr>
            </w:pPr>
            <w:r w:rsidRPr="00653DCF">
              <w:rPr>
                <w:color w:val="auto"/>
                <w:lang w:val="hr-HR"/>
              </w:rPr>
              <w:t>(</w:t>
            </w:r>
            <w:r w:rsidR="007A06FF" w:rsidRPr="00653DCF">
              <w:rPr>
                <w:color w:val="auto"/>
                <w:lang w:val="hr-HR"/>
              </w:rPr>
              <w:t>„</w:t>
            </w:r>
            <w:r w:rsidRPr="00653DCF">
              <w:rPr>
                <w:rStyle w:val="BoldEIB"/>
                <w:color w:val="auto"/>
                <w:lang w:val="hr-HR"/>
              </w:rPr>
              <w:t>Zajmoprimac</w:t>
            </w:r>
            <w:r w:rsidR="007A06FF" w:rsidRPr="00653DCF">
              <w:rPr>
                <w:rStyle w:val="BoldEIB"/>
                <w:b w:val="0"/>
                <w:bCs/>
                <w:color w:val="auto"/>
                <w:lang w:val="hr-HR"/>
              </w:rPr>
              <w:t>“</w:t>
            </w:r>
            <w:r w:rsidRPr="00653DCF">
              <w:rPr>
                <w:color w:val="auto"/>
                <w:lang w:val="hr-HR"/>
              </w:rPr>
              <w:t>)</w:t>
            </w:r>
          </w:p>
        </w:tc>
      </w:tr>
      <w:tr w:rsidR="007A2A6F" w:rsidRPr="00653DCF" w14:paraId="70D05F25" w14:textId="77777777">
        <w:tc>
          <w:tcPr>
            <w:tcW w:w="3788" w:type="dxa"/>
          </w:tcPr>
          <w:p w14:paraId="2BFAEB16" w14:textId="49856FD9" w:rsidR="007A2A6F" w:rsidRPr="00653DCF" w:rsidRDefault="005F5489">
            <w:pPr>
              <w:spacing w:before="360"/>
              <w:ind w:left="0"/>
              <w:rPr>
                <w:color w:val="auto"/>
                <w:lang w:val="hr-HR"/>
              </w:rPr>
            </w:pPr>
            <w:r w:rsidRPr="00653DCF">
              <w:rPr>
                <w:color w:val="auto"/>
                <w:lang w:val="hr-HR"/>
              </w:rPr>
              <w:t>s jedne strane, i</w:t>
            </w:r>
          </w:p>
        </w:tc>
        <w:tc>
          <w:tcPr>
            <w:tcW w:w="4644" w:type="dxa"/>
          </w:tcPr>
          <w:p w14:paraId="54197CAA" w14:textId="77777777" w:rsidR="007A2A6F" w:rsidRPr="00653DCF" w:rsidRDefault="007A2A6F">
            <w:pPr>
              <w:spacing w:before="360"/>
              <w:rPr>
                <w:color w:val="auto"/>
                <w:lang w:val="hr-HR"/>
              </w:rPr>
            </w:pPr>
          </w:p>
        </w:tc>
      </w:tr>
      <w:tr w:rsidR="007A2A6F" w:rsidRPr="00653DCF" w14:paraId="383FC05F" w14:textId="77777777">
        <w:tc>
          <w:tcPr>
            <w:tcW w:w="3788" w:type="dxa"/>
          </w:tcPr>
          <w:p w14:paraId="04DF0309" w14:textId="0C478557" w:rsidR="007A2A6F" w:rsidRPr="00653DCF" w:rsidRDefault="007A2A6F">
            <w:pPr>
              <w:ind w:left="0"/>
              <w:rPr>
                <w:color w:val="auto"/>
                <w:lang w:val="hr-HR"/>
              </w:rPr>
            </w:pPr>
          </w:p>
        </w:tc>
        <w:tc>
          <w:tcPr>
            <w:tcW w:w="4644" w:type="dxa"/>
          </w:tcPr>
          <w:p w14:paraId="7A8415A8" w14:textId="1C8174CD" w:rsidR="007A2A6F" w:rsidRPr="00653DCF" w:rsidRDefault="007A2A6F">
            <w:pPr>
              <w:rPr>
                <w:color w:val="auto"/>
                <w:lang w:val="hr-HR"/>
              </w:rPr>
            </w:pPr>
          </w:p>
        </w:tc>
      </w:tr>
      <w:tr w:rsidR="007A2A6F" w:rsidRPr="00653DCF" w14:paraId="1A21DC2A" w14:textId="77777777">
        <w:tc>
          <w:tcPr>
            <w:tcW w:w="3788" w:type="dxa"/>
          </w:tcPr>
          <w:p w14:paraId="05C443EF" w14:textId="781D1394" w:rsidR="007A2A6F" w:rsidRPr="00653DCF" w:rsidRDefault="00E87B0B" w:rsidP="00095ABF">
            <w:pPr>
              <w:widowControl w:val="0"/>
              <w:tabs>
                <w:tab w:val="left" w:pos="896"/>
              </w:tabs>
              <w:ind w:left="6"/>
              <w:rPr>
                <w:color w:val="auto"/>
                <w:lang w:val="hr-HR"/>
              </w:rPr>
            </w:pPr>
            <w:r w:rsidRPr="00653DCF">
              <w:rPr>
                <w:color w:val="auto"/>
                <w:lang w:val="hr-HR"/>
              </w:rPr>
              <w:t>Europsk</w:t>
            </w:r>
            <w:r w:rsidR="00864FAA" w:rsidRPr="00653DCF">
              <w:rPr>
                <w:color w:val="auto"/>
                <w:lang w:val="hr-HR"/>
              </w:rPr>
              <w:t>e</w:t>
            </w:r>
            <w:r w:rsidRPr="00653DCF">
              <w:rPr>
                <w:color w:val="auto"/>
                <w:lang w:val="hr-HR"/>
              </w:rPr>
              <w:t xml:space="preserve"> investicijsk</w:t>
            </w:r>
            <w:r w:rsidR="00864FAA" w:rsidRPr="00653DCF">
              <w:rPr>
                <w:color w:val="auto"/>
                <w:lang w:val="hr-HR"/>
              </w:rPr>
              <w:t>e</w:t>
            </w:r>
            <w:r w:rsidRPr="00653DCF">
              <w:rPr>
                <w:color w:val="auto"/>
                <w:lang w:val="hr-HR"/>
              </w:rPr>
              <w:t xml:space="preserve"> bank</w:t>
            </w:r>
            <w:r w:rsidR="00864FAA" w:rsidRPr="00653DCF">
              <w:rPr>
                <w:color w:val="auto"/>
                <w:lang w:val="hr-HR"/>
              </w:rPr>
              <w:t>e</w:t>
            </w:r>
            <w:r w:rsidR="007A1581" w:rsidRPr="00653DCF">
              <w:rPr>
                <w:color w:val="auto"/>
                <w:lang w:val="hr-HR"/>
              </w:rPr>
              <w:t>,</w:t>
            </w:r>
            <w:r w:rsidRPr="00653DCF">
              <w:rPr>
                <w:color w:val="auto"/>
                <w:lang w:val="hr-HR"/>
              </w:rPr>
              <w:t xml:space="preserve"> sa sjedištem u 100 blvd Konrad Adenauer, </w:t>
            </w:r>
            <w:r w:rsidR="007A1581" w:rsidRPr="00653DCF">
              <w:rPr>
                <w:color w:val="auto"/>
                <w:lang w:val="hr-HR"/>
              </w:rPr>
              <w:t>Luksemburg</w:t>
            </w:r>
            <w:r w:rsidRPr="00653DCF">
              <w:rPr>
                <w:color w:val="auto"/>
                <w:lang w:val="hr-HR"/>
              </w:rPr>
              <w:t xml:space="preserve">, L-2950 </w:t>
            </w:r>
            <w:r w:rsidR="000358DF" w:rsidRPr="00653DCF">
              <w:rPr>
                <w:color w:val="auto"/>
                <w:lang w:val="hr-HR"/>
              </w:rPr>
              <w:t>Luksemburg</w:t>
            </w:r>
            <w:r w:rsidR="00F439C0" w:rsidRPr="00653DCF">
              <w:rPr>
                <w:color w:val="auto"/>
                <w:lang w:val="hr-HR"/>
              </w:rPr>
              <w:t>,</w:t>
            </w:r>
            <w:r w:rsidRPr="00653DCF">
              <w:rPr>
                <w:color w:val="auto"/>
                <w:lang w:val="hr-HR"/>
              </w:rPr>
              <w:t xml:space="preserve"> koju zastupaju </w:t>
            </w:r>
            <w:r w:rsidR="004208E0" w:rsidRPr="00653DCF">
              <w:rPr>
                <w:color w:val="auto"/>
                <w:lang w:val="hr-HR"/>
              </w:rPr>
              <w:t xml:space="preserve">gđa. Hanna </w:t>
            </w:r>
            <w:r w:rsidR="004208E0" w:rsidRPr="00653DCF">
              <w:rPr>
                <w:rFonts w:cs="Arial"/>
                <w:color w:val="auto"/>
              </w:rPr>
              <w:t>Karczewska</w:t>
            </w:r>
            <w:r w:rsidRPr="00653DCF">
              <w:rPr>
                <w:rFonts w:cs="Arial"/>
                <w:color w:val="auto"/>
                <w:lang w:val="hr-HR"/>
              </w:rPr>
              <w:t>,</w:t>
            </w:r>
            <w:r w:rsidR="004208E0" w:rsidRPr="00653DCF">
              <w:rPr>
                <w:rFonts w:cs="Arial"/>
                <w:color w:val="auto"/>
                <w:lang w:val="hr-HR"/>
              </w:rPr>
              <w:t xml:space="preserve"> voditeljica </w:t>
            </w:r>
            <w:r w:rsidR="00095ABF">
              <w:rPr>
                <w:rFonts w:cs="Arial"/>
                <w:color w:val="auto"/>
                <w:lang w:val="hr-HR"/>
              </w:rPr>
              <w:t>službe</w:t>
            </w:r>
            <w:r w:rsidR="00B67887">
              <w:rPr>
                <w:rFonts w:cs="Arial"/>
                <w:color w:val="auto"/>
                <w:lang w:val="hr-HR"/>
              </w:rPr>
              <w:t xml:space="preserve"> i gđa. Olga Pascenco, </w:t>
            </w:r>
            <w:r w:rsidR="004208E0" w:rsidRPr="00653DCF">
              <w:rPr>
                <w:rFonts w:cs="Arial"/>
                <w:color w:val="auto"/>
                <w:lang w:val="hr-HR"/>
              </w:rPr>
              <w:t>službenica</w:t>
            </w:r>
            <w:r w:rsidR="00B67887">
              <w:rPr>
                <w:rFonts w:cs="Arial"/>
                <w:color w:val="auto"/>
                <w:lang w:val="hr-HR"/>
              </w:rPr>
              <w:t xml:space="preserve"> za zajmove</w:t>
            </w:r>
            <w:r w:rsidR="004208E0" w:rsidRPr="00653DCF">
              <w:rPr>
                <w:rFonts w:cs="Arial"/>
                <w:color w:val="auto"/>
                <w:lang w:val="hr-HR"/>
              </w:rPr>
              <w:t>,</w:t>
            </w:r>
          </w:p>
        </w:tc>
        <w:tc>
          <w:tcPr>
            <w:tcW w:w="4644" w:type="dxa"/>
          </w:tcPr>
          <w:p w14:paraId="556EE3B1" w14:textId="11161454" w:rsidR="007A2A6F" w:rsidRPr="00653DCF" w:rsidRDefault="00E87B0B">
            <w:pPr>
              <w:rPr>
                <w:color w:val="auto"/>
                <w:lang w:val="hr-HR"/>
              </w:rPr>
            </w:pPr>
            <w:r w:rsidRPr="00653DCF">
              <w:rPr>
                <w:color w:val="auto"/>
                <w:lang w:val="hr-HR"/>
              </w:rPr>
              <w:t>(</w:t>
            </w:r>
            <w:r w:rsidR="005F5489" w:rsidRPr="00653DCF">
              <w:rPr>
                <w:color w:val="auto"/>
                <w:lang w:val="hr-HR"/>
              </w:rPr>
              <w:t>„</w:t>
            </w:r>
            <w:r w:rsidRPr="00653DCF">
              <w:rPr>
                <w:rStyle w:val="BoldEIB"/>
                <w:color w:val="auto"/>
                <w:lang w:val="hr-HR"/>
              </w:rPr>
              <w:t>Banka</w:t>
            </w:r>
            <w:r w:rsidR="005F5489" w:rsidRPr="00653DCF">
              <w:rPr>
                <w:rStyle w:val="BoldEIB"/>
                <w:b w:val="0"/>
                <w:bCs/>
                <w:color w:val="auto"/>
                <w:lang w:val="hr-HR"/>
              </w:rPr>
              <w:t>“</w:t>
            </w:r>
            <w:r w:rsidRPr="00653DCF">
              <w:rPr>
                <w:color w:val="auto"/>
                <w:lang w:val="hr-HR"/>
              </w:rPr>
              <w:t>)</w:t>
            </w:r>
          </w:p>
        </w:tc>
      </w:tr>
      <w:tr w:rsidR="007A2A6F" w:rsidRPr="00653DCF" w14:paraId="31D92D43" w14:textId="77777777">
        <w:tc>
          <w:tcPr>
            <w:tcW w:w="3788" w:type="dxa"/>
          </w:tcPr>
          <w:p w14:paraId="00C3DD66" w14:textId="3B4583B2" w:rsidR="007A2A6F" w:rsidRPr="00653DCF" w:rsidRDefault="005F5489">
            <w:pPr>
              <w:spacing w:before="360"/>
              <w:ind w:left="0"/>
              <w:rPr>
                <w:color w:val="auto"/>
                <w:lang w:val="hr-HR"/>
              </w:rPr>
            </w:pPr>
            <w:r w:rsidRPr="00653DCF">
              <w:rPr>
                <w:color w:val="auto"/>
                <w:lang w:val="hr-HR"/>
              </w:rPr>
              <w:t>s druge strane</w:t>
            </w:r>
            <w:r w:rsidR="00E87B0B" w:rsidRPr="00653DCF">
              <w:rPr>
                <w:color w:val="auto"/>
                <w:lang w:val="hr-HR"/>
              </w:rPr>
              <w:t>.</w:t>
            </w:r>
          </w:p>
        </w:tc>
        <w:tc>
          <w:tcPr>
            <w:tcW w:w="4644" w:type="dxa"/>
          </w:tcPr>
          <w:p w14:paraId="75114035" w14:textId="77777777" w:rsidR="007A2A6F" w:rsidRPr="00653DCF" w:rsidRDefault="007A2A6F">
            <w:pPr>
              <w:spacing w:before="360"/>
              <w:rPr>
                <w:color w:val="auto"/>
                <w:lang w:val="hr-HR"/>
              </w:rPr>
            </w:pPr>
          </w:p>
        </w:tc>
      </w:tr>
    </w:tbl>
    <w:p w14:paraId="73AA39E1" w14:textId="77777777" w:rsidR="007A2A6F" w:rsidRPr="00653DCF" w:rsidRDefault="007A2A6F">
      <w:pPr>
        <w:rPr>
          <w:color w:val="auto"/>
          <w:lang w:val="hr-HR"/>
        </w:rPr>
      </w:pPr>
    </w:p>
    <w:p w14:paraId="489D5EDE" w14:textId="414CF9FA" w:rsidR="007A2A6F" w:rsidRPr="00653DCF" w:rsidRDefault="00E87B0B">
      <w:pPr>
        <w:rPr>
          <w:color w:val="auto"/>
          <w:lang w:val="hr-HR"/>
        </w:rPr>
      </w:pPr>
      <w:r w:rsidRPr="00653DCF">
        <w:rPr>
          <w:color w:val="auto"/>
          <w:lang w:val="hr-HR"/>
        </w:rPr>
        <w:t>Banka i Zajmoprimac zajedno se nazivaju „</w:t>
      </w:r>
      <w:r w:rsidR="00FA6799" w:rsidRPr="00653DCF">
        <w:rPr>
          <w:b/>
          <w:color w:val="auto"/>
          <w:lang w:val="hr-HR"/>
        </w:rPr>
        <w:t>s</w:t>
      </w:r>
      <w:r w:rsidR="00460082" w:rsidRPr="00653DCF">
        <w:rPr>
          <w:b/>
          <w:color w:val="auto"/>
          <w:lang w:val="hr-HR"/>
        </w:rPr>
        <w:t>tran</w:t>
      </w:r>
      <w:r w:rsidR="004744CF" w:rsidRPr="00653DCF">
        <w:rPr>
          <w:b/>
          <w:color w:val="auto"/>
          <w:lang w:val="hr-HR"/>
        </w:rPr>
        <w:t>k</w:t>
      </w:r>
      <w:r w:rsidR="00460082" w:rsidRPr="00653DCF">
        <w:rPr>
          <w:b/>
          <w:color w:val="auto"/>
          <w:lang w:val="hr-HR"/>
        </w:rPr>
        <w:t>e</w:t>
      </w:r>
      <w:r w:rsidRPr="00653DCF">
        <w:rPr>
          <w:color w:val="auto"/>
          <w:lang w:val="hr-HR"/>
        </w:rPr>
        <w:t>”</w:t>
      </w:r>
      <w:r w:rsidR="00F439C0" w:rsidRPr="00653DCF">
        <w:rPr>
          <w:color w:val="auto"/>
          <w:lang w:val="hr-HR"/>
        </w:rPr>
        <w:t xml:space="preserve">, a </w:t>
      </w:r>
      <w:r w:rsidR="00380FCC" w:rsidRPr="00653DCF">
        <w:rPr>
          <w:color w:val="auto"/>
          <w:lang w:val="hr-HR"/>
        </w:rPr>
        <w:t>svaki</w:t>
      </w:r>
      <w:r w:rsidR="00F439C0" w:rsidRPr="00653DCF">
        <w:rPr>
          <w:color w:val="auto"/>
          <w:lang w:val="hr-HR"/>
        </w:rPr>
        <w:t xml:space="preserve"> od njih </w:t>
      </w:r>
      <w:r w:rsidR="004004DD" w:rsidRPr="00653DCF">
        <w:rPr>
          <w:color w:val="auto"/>
          <w:lang w:val="hr-HR"/>
        </w:rPr>
        <w:t xml:space="preserve">zasebno </w:t>
      </w:r>
      <w:r w:rsidR="000358DF" w:rsidRPr="00653DCF">
        <w:rPr>
          <w:color w:val="auto"/>
          <w:lang w:val="hr-HR"/>
        </w:rPr>
        <w:t xml:space="preserve">naziva se </w:t>
      </w:r>
      <w:r w:rsidRPr="00653DCF">
        <w:rPr>
          <w:color w:val="auto"/>
          <w:lang w:val="hr-HR"/>
        </w:rPr>
        <w:t>„</w:t>
      </w:r>
      <w:r w:rsidR="00FA6799" w:rsidRPr="00653DCF">
        <w:rPr>
          <w:b/>
          <w:color w:val="auto"/>
          <w:lang w:val="hr-HR"/>
        </w:rPr>
        <w:t>s</w:t>
      </w:r>
      <w:r w:rsidRPr="00653DCF">
        <w:rPr>
          <w:b/>
          <w:color w:val="auto"/>
          <w:lang w:val="hr-HR"/>
        </w:rPr>
        <w:t>tran</w:t>
      </w:r>
      <w:r w:rsidR="004744CF" w:rsidRPr="00653DCF">
        <w:rPr>
          <w:b/>
          <w:color w:val="auto"/>
          <w:lang w:val="hr-HR"/>
        </w:rPr>
        <w:t>k</w:t>
      </w:r>
      <w:r w:rsidRPr="00653DCF">
        <w:rPr>
          <w:b/>
          <w:color w:val="auto"/>
          <w:lang w:val="hr-HR"/>
        </w:rPr>
        <w:t>a</w:t>
      </w:r>
      <w:r w:rsidRPr="00653DCF">
        <w:rPr>
          <w:color w:val="auto"/>
          <w:lang w:val="hr-HR"/>
        </w:rPr>
        <w:t>”.</w:t>
      </w:r>
    </w:p>
    <w:p w14:paraId="647B6512" w14:textId="70D367A4" w:rsidR="007A2A6F" w:rsidRPr="00653DCF" w:rsidRDefault="007A2A6F">
      <w:pPr>
        <w:ind w:left="850"/>
        <w:rPr>
          <w:color w:val="auto"/>
          <w:lang w:val="hr-HR"/>
        </w:rPr>
      </w:pPr>
    </w:p>
    <w:p w14:paraId="49050693" w14:textId="77777777" w:rsidR="007A2A6F" w:rsidRPr="00653DCF" w:rsidRDefault="00E87B0B">
      <w:pPr>
        <w:spacing w:after="200" w:line="276" w:lineRule="auto"/>
        <w:ind w:left="0"/>
        <w:jc w:val="left"/>
        <w:rPr>
          <w:b/>
          <w:caps/>
          <w:color w:val="auto"/>
          <w:lang w:val="hr-HR"/>
        </w:rPr>
      </w:pPr>
      <w:bookmarkStart w:id="8" w:name="_Toc500779003"/>
      <w:bookmarkStart w:id="9" w:name="_Toc475441101"/>
      <w:bookmarkStart w:id="10" w:name="_Toc498018596"/>
      <w:bookmarkStart w:id="11" w:name="_Toc508120450"/>
      <w:r w:rsidRPr="00653DCF">
        <w:rPr>
          <w:color w:val="auto"/>
          <w:lang w:val="hr-HR"/>
        </w:rPr>
        <w:br w:type="page"/>
      </w:r>
    </w:p>
    <w:p w14:paraId="6CE158CD" w14:textId="182CBA3C" w:rsidR="007A2A6F" w:rsidRPr="00653DCF" w:rsidRDefault="00E87B0B">
      <w:pPr>
        <w:pStyle w:val="OutlineEIB"/>
        <w:rPr>
          <w:color w:val="auto"/>
          <w:lang w:val="hr-HR"/>
        </w:rPr>
      </w:pPr>
      <w:bookmarkStart w:id="12" w:name="_Toc126080646"/>
      <w:bookmarkStart w:id="13" w:name="_Toc126080778"/>
      <w:r w:rsidRPr="00653DCF">
        <w:rPr>
          <w:color w:val="auto"/>
          <w:lang w:val="hr-HR"/>
        </w:rPr>
        <w:lastRenderedPageBreak/>
        <w:t>BUDUĆI DA</w:t>
      </w:r>
      <w:r w:rsidR="00AE48EE" w:rsidRPr="00653DCF">
        <w:rPr>
          <w:color w:val="auto"/>
          <w:lang w:val="hr-HR"/>
        </w:rPr>
        <w:t xml:space="preserve"> JE</w:t>
      </w:r>
      <w:r w:rsidRPr="00653DCF">
        <w:rPr>
          <w:color w:val="auto"/>
          <w:lang w:val="hr-HR"/>
        </w:rPr>
        <w:t>:</w:t>
      </w:r>
      <w:bookmarkEnd w:id="8"/>
      <w:bookmarkEnd w:id="9"/>
      <w:bookmarkEnd w:id="10"/>
      <w:bookmarkEnd w:id="11"/>
      <w:bookmarkEnd w:id="12"/>
      <w:bookmarkEnd w:id="13"/>
    </w:p>
    <w:p w14:paraId="1C189494" w14:textId="7F3BBB57" w:rsidR="007A2A6F" w:rsidRPr="00653DCF" w:rsidRDefault="00E87B0B">
      <w:pPr>
        <w:pStyle w:val="NoIndentEIB"/>
        <w:keepNext/>
        <w:numPr>
          <w:ilvl w:val="0"/>
          <w:numId w:val="3"/>
        </w:numPr>
        <w:rPr>
          <w:color w:val="auto"/>
          <w:lang w:val="hr-HR"/>
        </w:rPr>
      </w:pPr>
      <w:bookmarkStart w:id="14" w:name="_Ref475441968"/>
      <w:bookmarkStart w:id="15" w:name="_Ref430852331"/>
      <w:r w:rsidRPr="00653DCF">
        <w:rPr>
          <w:color w:val="auto"/>
          <w:lang w:val="hr-HR"/>
        </w:rPr>
        <w:t xml:space="preserve">Zajmoprimac izjavio da poduzima </w:t>
      </w:r>
      <w:r w:rsidR="007A1581" w:rsidRPr="00653DCF">
        <w:rPr>
          <w:color w:val="auto"/>
          <w:lang w:val="hr-HR"/>
        </w:rPr>
        <w:t>različita</w:t>
      </w:r>
      <w:r w:rsidRPr="00653DCF">
        <w:rPr>
          <w:color w:val="auto"/>
          <w:lang w:val="hr-HR"/>
        </w:rPr>
        <w:t xml:space="preserve"> ulaganja u željeznički sektor u Hrvatskoj putem Ministarstva mora, prometa i infrastrukture kao </w:t>
      </w:r>
      <w:r w:rsidR="00AD1E27" w:rsidRPr="00653DCF">
        <w:rPr>
          <w:color w:val="auto"/>
          <w:lang w:val="hr-HR"/>
        </w:rPr>
        <w:t>nositelja</w:t>
      </w:r>
      <w:r w:rsidRPr="00653DCF">
        <w:rPr>
          <w:color w:val="auto"/>
          <w:lang w:val="hr-HR"/>
        </w:rPr>
        <w:t xml:space="preserve"> („</w:t>
      </w:r>
      <w:r w:rsidR="00AD1E27" w:rsidRPr="00653DCF">
        <w:rPr>
          <w:b/>
          <w:color w:val="auto"/>
          <w:lang w:val="hr-HR"/>
        </w:rPr>
        <w:t>Nositelj</w:t>
      </w:r>
      <w:r w:rsidRPr="00653DCF">
        <w:rPr>
          <w:color w:val="auto"/>
          <w:lang w:val="hr-HR"/>
        </w:rPr>
        <w:t xml:space="preserve">”), uglavnom </w:t>
      </w:r>
      <w:r w:rsidR="00DE5E85" w:rsidRPr="00653DCF">
        <w:rPr>
          <w:color w:val="auto"/>
          <w:lang w:val="hr-HR"/>
        </w:rPr>
        <w:t xml:space="preserve">u </w:t>
      </w:r>
      <w:r w:rsidR="00FE24AE" w:rsidRPr="00653DCF">
        <w:rPr>
          <w:color w:val="auto"/>
          <w:lang w:val="hr-HR"/>
        </w:rPr>
        <w:t>održive prometne sustave u</w:t>
      </w:r>
      <w:r w:rsidRPr="00653DCF">
        <w:rPr>
          <w:color w:val="auto"/>
          <w:lang w:val="hr-HR"/>
        </w:rPr>
        <w:t xml:space="preserve"> željezničkom sektoru</w:t>
      </w:r>
      <w:r w:rsidR="009F7593" w:rsidRPr="00653DCF">
        <w:rPr>
          <w:color w:val="auto"/>
          <w:lang w:val="hr-HR"/>
        </w:rPr>
        <w:t xml:space="preserve"> kroz obnovu</w:t>
      </w:r>
      <w:r w:rsidRPr="00653DCF">
        <w:rPr>
          <w:color w:val="auto"/>
          <w:lang w:val="hr-HR"/>
        </w:rPr>
        <w:t>, modernizacij</w:t>
      </w:r>
      <w:r w:rsidR="009F7593" w:rsidRPr="00653DCF">
        <w:rPr>
          <w:color w:val="auto"/>
          <w:lang w:val="hr-HR"/>
        </w:rPr>
        <w:t>u</w:t>
      </w:r>
      <w:r w:rsidRPr="00653DCF">
        <w:rPr>
          <w:color w:val="auto"/>
          <w:lang w:val="hr-HR"/>
        </w:rPr>
        <w:t xml:space="preserve">, </w:t>
      </w:r>
      <w:r w:rsidR="00573F92" w:rsidRPr="00653DCF">
        <w:rPr>
          <w:color w:val="auto"/>
          <w:lang w:val="hr-HR"/>
        </w:rPr>
        <w:t>proširenj</w:t>
      </w:r>
      <w:r w:rsidR="009F7593" w:rsidRPr="00653DCF">
        <w:rPr>
          <w:color w:val="auto"/>
          <w:lang w:val="hr-HR"/>
        </w:rPr>
        <w:t>e</w:t>
      </w:r>
      <w:r w:rsidR="00573F92" w:rsidRPr="00653DCF">
        <w:rPr>
          <w:color w:val="auto"/>
          <w:lang w:val="hr-HR"/>
        </w:rPr>
        <w:t xml:space="preserve"> i poboljšanj</w:t>
      </w:r>
      <w:r w:rsidR="009F7593" w:rsidRPr="00653DCF">
        <w:rPr>
          <w:color w:val="auto"/>
          <w:lang w:val="hr-HR"/>
        </w:rPr>
        <w:t>e</w:t>
      </w:r>
      <w:r w:rsidR="00573F92" w:rsidRPr="00653DCF">
        <w:rPr>
          <w:color w:val="auto"/>
          <w:lang w:val="hr-HR"/>
        </w:rPr>
        <w:t xml:space="preserve"> </w:t>
      </w:r>
      <w:r w:rsidRPr="00653DCF">
        <w:rPr>
          <w:color w:val="auto"/>
          <w:lang w:val="hr-HR"/>
        </w:rPr>
        <w:t>željezničke infrastrukture i željezničkih vozila te</w:t>
      </w:r>
      <w:r w:rsidR="002E4A88" w:rsidRPr="00653DCF">
        <w:rPr>
          <w:color w:val="auto"/>
          <w:lang w:val="hr-HR"/>
        </w:rPr>
        <w:t xml:space="preserve"> vezano za</w:t>
      </w:r>
      <w:r w:rsidRPr="00653DCF">
        <w:rPr>
          <w:color w:val="auto"/>
          <w:lang w:val="hr-HR"/>
        </w:rPr>
        <w:t xml:space="preserve"> </w:t>
      </w:r>
      <w:r w:rsidR="0094429D" w:rsidRPr="00653DCF">
        <w:rPr>
          <w:color w:val="auto"/>
          <w:lang w:val="hr-HR"/>
        </w:rPr>
        <w:t xml:space="preserve">perspektivu </w:t>
      </w:r>
      <w:r w:rsidRPr="00653DCF">
        <w:rPr>
          <w:color w:val="auto"/>
          <w:lang w:val="hr-HR"/>
        </w:rPr>
        <w:t xml:space="preserve">financiranja </w:t>
      </w:r>
      <w:r w:rsidR="006D0102" w:rsidRPr="00653DCF">
        <w:rPr>
          <w:color w:val="auto"/>
          <w:lang w:val="hr-HR"/>
        </w:rPr>
        <w:t>Z</w:t>
      </w:r>
      <w:r w:rsidRPr="00653DCF">
        <w:rPr>
          <w:color w:val="auto"/>
          <w:lang w:val="hr-HR"/>
        </w:rPr>
        <w:t>ajmoprimca</w:t>
      </w:r>
      <w:r w:rsidR="006D0102" w:rsidRPr="00653DCF">
        <w:rPr>
          <w:color w:val="auto"/>
          <w:lang w:val="hr-HR"/>
        </w:rPr>
        <w:t xml:space="preserve"> od strane EU-a</w:t>
      </w:r>
      <w:r w:rsidRPr="00653DCF">
        <w:rPr>
          <w:color w:val="auto"/>
          <w:lang w:val="hr-HR"/>
        </w:rPr>
        <w:t xml:space="preserve">, uključujući financijska sredstva EU-a iz </w:t>
      </w:r>
      <w:r w:rsidR="008A0D23" w:rsidRPr="00653DCF">
        <w:rPr>
          <w:color w:val="auto"/>
          <w:lang w:val="hr-HR"/>
        </w:rPr>
        <w:t>O</w:t>
      </w:r>
      <w:r w:rsidRPr="00653DCF">
        <w:rPr>
          <w:color w:val="auto"/>
          <w:lang w:val="hr-HR"/>
        </w:rPr>
        <w:t xml:space="preserve">perativnog programa za razdoblje </w:t>
      </w:r>
      <w:r w:rsidR="005B1378" w:rsidRPr="00653DCF">
        <w:rPr>
          <w:color w:val="auto"/>
          <w:lang w:val="hr-HR"/>
        </w:rPr>
        <w:t xml:space="preserve">od </w:t>
      </w:r>
      <w:r w:rsidRPr="00653DCF">
        <w:rPr>
          <w:color w:val="auto"/>
          <w:lang w:val="hr-HR"/>
        </w:rPr>
        <w:t>2021.</w:t>
      </w:r>
      <w:r w:rsidR="006D0102" w:rsidRPr="00653DCF">
        <w:rPr>
          <w:color w:val="auto"/>
          <w:lang w:val="hr-HR"/>
        </w:rPr>
        <w:t xml:space="preserve"> </w:t>
      </w:r>
      <w:r w:rsidR="005B1378" w:rsidRPr="00653DCF">
        <w:rPr>
          <w:color w:val="auto"/>
          <w:lang w:val="hr-HR"/>
        </w:rPr>
        <w:t xml:space="preserve">do </w:t>
      </w:r>
      <w:r w:rsidR="009F1FA1">
        <w:rPr>
          <w:color w:val="auto"/>
          <w:lang w:val="hr-HR"/>
        </w:rPr>
        <w:t>2027.</w:t>
      </w:r>
      <w:r w:rsidRPr="00653DCF">
        <w:rPr>
          <w:color w:val="auto"/>
          <w:lang w:val="hr-HR"/>
        </w:rPr>
        <w:t>, Mehanizma za oporavak i otpornost</w:t>
      </w:r>
      <w:r w:rsidR="008A0D23" w:rsidRPr="00653DCF">
        <w:rPr>
          <w:color w:val="auto"/>
          <w:lang w:val="hr-HR"/>
        </w:rPr>
        <w:t xml:space="preserve"> (RRF)</w:t>
      </w:r>
      <w:r w:rsidRPr="00653DCF">
        <w:rPr>
          <w:color w:val="auto"/>
          <w:lang w:val="hr-HR"/>
        </w:rPr>
        <w:t>, Instrumenta za povezivanje Europe i drugih omotnica</w:t>
      </w:r>
      <w:r w:rsidR="009F7593" w:rsidRPr="00653DCF">
        <w:rPr>
          <w:color w:val="auto"/>
          <w:lang w:val="hr-HR"/>
        </w:rPr>
        <w:t xml:space="preserve"> Europske unije</w:t>
      </w:r>
      <w:r w:rsidRPr="00653DCF">
        <w:rPr>
          <w:color w:val="auto"/>
          <w:lang w:val="hr-HR"/>
        </w:rPr>
        <w:t xml:space="preserve">, </w:t>
      </w:r>
      <w:r w:rsidR="0094000A" w:rsidRPr="00653DCF">
        <w:rPr>
          <w:color w:val="auto"/>
          <w:lang w:val="hr-HR"/>
        </w:rPr>
        <w:t>koj</w:t>
      </w:r>
      <w:r w:rsidR="005B1378" w:rsidRPr="00653DCF">
        <w:rPr>
          <w:color w:val="auto"/>
          <w:lang w:val="hr-HR"/>
        </w:rPr>
        <w:t>e</w:t>
      </w:r>
      <w:r w:rsidR="0094000A" w:rsidRPr="00653DCF">
        <w:rPr>
          <w:color w:val="auto"/>
          <w:lang w:val="hr-HR"/>
        </w:rPr>
        <w:t xml:space="preserve"> su </w:t>
      </w:r>
      <w:r w:rsidR="00A063AE" w:rsidRPr="00653DCF">
        <w:rPr>
          <w:color w:val="auto"/>
          <w:lang w:val="hr-HR"/>
        </w:rPr>
        <w:t>podrobnije</w:t>
      </w:r>
      <w:r w:rsidR="0094000A" w:rsidRPr="00653DCF">
        <w:rPr>
          <w:color w:val="auto"/>
          <w:lang w:val="hr-HR"/>
        </w:rPr>
        <w:t xml:space="preserve"> opisan</w:t>
      </w:r>
      <w:r w:rsidR="00726750" w:rsidRPr="00653DCF">
        <w:rPr>
          <w:color w:val="auto"/>
          <w:lang w:val="hr-HR"/>
        </w:rPr>
        <w:t>e</w:t>
      </w:r>
      <w:r w:rsidR="0094000A" w:rsidRPr="00653DCF">
        <w:rPr>
          <w:color w:val="auto"/>
          <w:lang w:val="hr-HR"/>
        </w:rPr>
        <w:t xml:space="preserve"> </w:t>
      </w:r>
      <w:r w:rsidRPr="00653DCF">
        <w:rPr>
          <w:color w:val="auto"/>
          <w:lang w:val="hr-HR"/>
        </w:rPr>
        <w:t>u tehničkom opisu („</w:t>
      </w:r>
      <w:r w:rsidR="0094000A" w:rsidRPr="00653DCF">
        <w:rPr>
          <w:rStyle w:val="BoldEIB"/>
          <w:color w:val="auto"/>
          <w:lang w:val="hr-HR"/>
        </w:rPr>
        <w:t>t</w:t>
      </w:r>
      <w:r w:rsidRPr="00653DCF">
        <w:rPr>
          <w:rStyle w:val="BoldEIB"/>
          <w:color w:val="auto"/>
          <w:lang w:val="hr-HR"/>
        </w:rPr>
        <w:t>ehnički opis”</w:t>
      </w:r>
      <w:r w:rsidRPr="00653DCF">
        <w:rPr>
          <w:color w:val="auto"/>
          <w:lang w:val="hr-HR"/>
        </w:rPr>
        <w:t xml:space="preserve">) utvrđenom </w:t>
      </w:r>
      <w:r w:rsidR="00D825D7" w:rsidRPr="00653DCF">
        <w:rPr>
          <w:color w:val="auto"/>
          <w:lang w:val="hr-HR"/>
        </w:rPr>
        <w:t>u Prilogu</w:t>
      </w:r>
      <w:r w:rsidR="008E2B4F" w:rsidRPr="00653DCF">
        <w:rPr>
          <w:color w:val="auto"/>
          <w:lang w:val="hr-HR"/>
        </w:rPr>
        <w:t xml:space="preserve"> </w:t>
      </w:r>
      <w:r w:rsidRPr="00653DCF">
        <w:rPr>
          <w:color w:val="auto"/>
          <w:lang w:val="hr-HR"/>
        </w:rPr>
        <w:fldChar w:fldCharType="begin"/>
      </w:r>
      <w:r w:rsidRPr="00653DCF">
        <w:rPr>
          <w:color w:val="auto"/>
          <w:lang w:val="hr-HR"/>
        </w:rPr>
        <w:instrText xml:space="preserve"> REF _Ref426640808 \r \h </w:instrText>
      </w:r>
      <w:r w:rsidR="00E171B9"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A.1</w:t>
      </w:r>
      <w:r w:rsidRPr="00653DCF">
        <w:rPr>
          <w:color w:val="auto"/>
          <w:lang w:val="hr-HR"/>
        </w:rPr>
        <w:fldChar w:fldCharType="end"/>
      </w:r>
      <w:r w:rsidRPr="00653DCF">
        <w:rPr>
          <w:color w:val="auto"/>
          <w:lang w:val="hr-HR"/>
        </w:rPr>
        <w:t xml:space="preserve">. Svi takvi investicijski </w:t>
      </w:r>
      <w:r w:rsidR="00B57601" w:rsidRPr="00653DCF">
        <w:rPr>
          <w:color w:val="auto"/>
          <w:lang w:val="hr-HR"/>
        </w:rPr>
        <w:t>projekti</w:t>
      </w:r>
      <w:r w:rsidRPr="00653DCF">
        <w:rPr>
          <w:color w:val="auto"/>
          <w:lang w:val="hr-HR"/>
        </w:rPr>
        <w:t xml:space="preserve"> (</w:t>
      </w:r>
      <w:r w:rsidR="00E562E2" w:rsidRPr="00653DCF">
        <w:rPr>
          <w:color w:val="auto"/>
          <w:lang w:val="hr-HR"/>
        </w:rPr>
        <w:t xml:space="preserve">od kojih se svaki </w:t>
      </w:r>
      <w:r w:rsidRPr="00653DCF">
        <w:rPr>
          <w:color w:val="auto"/>
          <w:lang w:val="hr-HR"/>
        </w:rPr>
        <w:t xml:space="preserve">u daljnjem tekstu </w:t>
      </w:r>
      <w:r w:rsidR="00E562E2" w:rsidRPr="00653DCF">
        <w:rPr>
          <w:color w:val="auto"/>
          <w:lang w:val="hr-HR"/>
        </w:rPr>
        <w:t xml:space="preserve">naziva </w:t>
      </w:r>
      <w:r w:rsidRPr="00653DCF">
        <w:rPr>
          <w:color w:val="auto"/>
          <w:lang w:val="hr-HR"/>
        </w:rPr>
        <w:t>„</w:t>
      </w:r>
      <w:r w:rsidR="00726750" w:rsidRPr="00653DCF">
        <w:rPr>
          <w:b/>
          <w:bCs/>
          <w:color w:val="auto"/>
          <w:lang w:val="hr-HR"/>
        </w:rPr>
        <w:t>investicijski</w:t>
      </w:r>
      <w:r w:rsidR="00726750" w:rsidRPr="00653DCF">
        <w:rPr>
          <w:color w:val="auto"/>
          <w:lang w:val="hr-HR"/>
        </w:rPr>
        <w:t xml:space="preserve"> </w:t>
      </w:r>
      <w:r w:rsidR="00B57601" w:rsidRPr="00653DCF">
        <w:rPr>
          <w:rStyle w:val="BoldEIB"/>
          <w:color w:val="auto"/>
          <w:lang w:val="hr-HR"/>
        </w:rPr>
        <w:t>projekt</w:t>
      </w:r>
      <w:r w:rsidRPr="00653DCF">
        <w:rPr>
          <w:color w:val="auto"/>
          <w:lang w:val="hr-HR"/>
        </w:rPr>
        <w:t>”)</w:t>
      </w:r>
      <w:r w:rsidR="00A51715" w:rsidRPr="00653DCF">
        <w:rPr>
          <w:color w:val="auto"/>
          <w:lang w:val="hr-HR"/>
        </w:rPr>
        <w:t>,</w:t>
      </w:r>
      <w:r w:rsidRPr="00653DCF">
        <w:rPr>
          <w:color w:val="auto"/>
          <w:lang w:val="hr-HR"/>
        </w:rPr>
        <w:t xml:space="preserve"> </w:t>
      </w:r>
      <w:r w:rsidR="007830CF" w:rsidRPr="00653DCF">
        <w:rPr>
          <w:color w:val="auto"/>
          <w:lang w:val="hr-HR"/>
        </w:rPr>
        <w:t xml:space="preserve">a </w:t>
      </w:r>
      <w:r w:rsidRPr="00653DCF">
        <w:rPr>
          <w:color w:val="auto"/>
          <w:lang w:val="hr-HR"/>
        </w:rPr>
        <w:t xml:space="preserve">koji su predmet </w:t>
      </w:r>
      <w:r w:rsidR="00726750" w:rsidRPr="00653DCF">
        <w:rPr>
          <w:color w:val="auto"/>
          <w:lang w:val="hr-HR"/>
        </w:rPr>
        <w:t>p</w:t>
      </w:r>
      <w:r w:rsidRPr="00653DCF">
        <w:rPr>
          <w:color w:val="auto"/>
          <w:lang w:val="hr-HR"/>
        </w:rPr>
        <w:t>isma</w:t>
      </w:r>
      <w:r w:rsidR="00E562E2" w:rsidRPr="00653DCF">
        <w:rPr>
          <w:color w:val="auto"/>
          <w:lang w:val="hr-HR"/>
        </w:rPr>
        <w:t>/pisama</w:t>
      </w:r>
      <w:r w:rsidRPr="00653DCF">
        <w:rPr>
          <w:color w:val="auto"/>
          <w:lang w:val="hr-HR"/>
        </w:rPr>
        <w:t xml:space="preserve"> o dodjeli sredstava </w:t>
      </w:r>
      <w:r w:rsidR="008E2B4F" w:rsidRPr="00653DCF">
        <w:rPr>
          <w:color w:val="auto"/>
          <w:lang w:val="hr-HR"/>
        </w:rPr>
        <w:t xml:space="preserve">od strane </w:t>
      </w:r>
      <w:r w:rsidRPr="00653DCF">
        <w:rPr>
          <w:color w:val="auto"/>
          <w:lang w:val="hr-HR"/>
        </w:rPr>
        <w:t>Banke</w:t>
      </w:r>
      <w:r w:rsidR="00A51715" w:rsidRPr="00653DCF">
        <w:rPr>
          <w:color w:val="auto"/>
          <w:lang w:val="hr-HR"/>
        </w:rPr>
        <w:t>,</w:t>
      </w:r>
      <w:r w:rsidRPr="00653DCF">
        <w:rPr>
          <w:color w:val="auto"/>
          <w:lang w:val="hr-HR"/>
        </w:rPr>
        <w:t xml:space="preserve"> zajedno čine i dalje </w:t>
      </w:r>
      <w:r w:rsidR="008E2B4F" w:rsidRPr="00653DCF">
        <w:rPr>
          <w:color w:val="auto"/>
          <w:lang w:val="hr-HR"/>
        </w:rPr>
        <w:t xml:space="preserve">se </w:t>
      </w:r>
      <w:r w:rsidRPr="00653DCF">
        <w:rPr>
          <w:color w:val="auto"/>
          <w:lang w:val="hr-HR"/>
        </w:rPr>
        <w:t>zajedno nazivaju projekt („</w:t>
      </w:r>
      <w:r w:rsidRPr="00653DCF">
        <w:rPr>
          <w:rStyle w:val="BoldEIB"/>
          <w:color w:val="auto"/>
          <w:lang w:val="hr-HR"/>
        </w:rPr>
        <w:t>Projekt</w:t>
      </w:r>
      <w:r w:rsidRPr="00653DCF">
        <w:rPr>
          <w:color w:val="auto"/>
          <w:lang w:val="hr-HR"/>
        </w:rPr>
        <w:t>”</w:t>
      </w:r>
      <w:bookmarkEnd w:id="14"/>
      <w:r w:rsidRPr="00653DCF">
        <w:rPr>
          <w:color w:val="auto"/>
          <w:lang w:val="hr-HR"/>
        </w:rPr>
        <w:t xml:space="preserve">), a </w:t>
      </w:r>
      <w:bookmarkStart w:id="16" w:name="_Hlk147332436"/>
      <w:r w:rsidRPr="00653DCF">
        <w:rPr>
          <w:color w:val="auto"/>
          <w:lang w:val="hr-HR"/>
        </w:rPr>
        <w:t xml:space="preserve">provode </w:t>
      </w:r>
      <w:r w:rsidR="00081961" w:rsidRPr="00653DCF">
        <w:rPr>
          <w:color w:val="auto"/>
          <w:lang w:val="hr-HR"/>
        </w:rPr>
        <w:t xml:space="preserve">ga </w:t>
      </w:r>
      <w:r w:rsidRPr="00653DCF">
        <w:rPr>
          <w:color w:val="auto"/>
          <w:lang w:val="hr-HR"/>
        </w:rPr>
        <w:t>i njim</w:t>
      </w:r>
      <w:r w:rsidR="00081961" w:rsidRPr="00653DCF">
        <w:rPr>
          <w:color w:val="auto"/>
          <w:lang w:val="hr-HR"/>
        </w:rPr>
        <w:t>e</w:t>
      </w:r>
      <w:r w:rsidRPr="00653DCF">
        <w:rPr>
          <w:color w:val="auto"/>
          <w:lang w:val="hr-HR"/>
        </w:rPr>
        <w:t xml:space="preserve"> upravljaju </w:t>
      </w:r>
      <w:r w:rsidR="00CD3B46" w:rsidRPr="00653DCF">
        <w:rPr>
          <w:color w:val="auto"/>
          <w:lang w:val="hr-HR"/>
        </w:rPr>
        <w:t xml:space="preserve">HŽ </w:t>
      </w:r>
      <w:r w:rsidR="00573AEB" w:rsidRPr="00653DCF">
        <w:rPr>
          <w:color w:val="auto"/>
          <w:lang w:val="hr-HR"/>
        </w:rPr>
        <w:t xml:space="preserve">Infrastruktura </w:t>
      </w:r>
      <w:r w:rsidRPr="00653DCF">
        <w:rPr>
          <w:color w:val="auto"/>
          <w:lang w:val="hr-HR"/>
        </w:rPr>
        <w:t xml:space="preserve">d.o.o. (HŽI) za infrastrukturne projekte i </w:t>
      </w:r>
      <w:bookmarkStart w:id="17" w:name="_Hlk148688426"/>
      <w:r w:rsidR="00573AEB" w:rsidRPr="00653DCF">
        <w:rPr>
          <w:color w:val="auto"/>
          <w:lang w:val="hr-HR"/>
        </w:rPr>
        <w:t xml:space="preserve">HŽ </w:t>
      </w:r>
      <w:r w:rsidRPr="00653DCF">
        <w:rPr>
          <w:color w:val="auto"/>
          <w:lang w:val="hr-HR"/>
        </w:rPr>
        <w:t xml:space="preserve">Putnički prijevoz d.o.o. (HŽPP) </w:t>
      </w:r>
      <w:bookmarkEnd w:id="17"/>
      <w:r w:rsidRPr="00653DCF">
        <w:rPr>
          <w:color w:val="auto"/>
          <w:lang w:val="hr-HR"/>
        </w:rPr>
        <w:t>za putnička željeznička vozila</w:t>
      </w:r>
      <w:bookmarkEnd w:id="16"/>
      <w:r w:rsidRPr="00653DCF">
        <w:rPr>
          <w:color w:val="auto"/>
          <w:lang w:val="hr-HR"/>
        </w:rPr>
        <w:t>.</w:t>
      </w:r>
      <w:bookmarkEnd w:id="15"/>
    </w:p>
    <w:p w14:paraId="7608BF04" w14:textId="5E0D77D0" w:rsidR="007A2A6F" w:rsidRPr="00653DCF" w:rsidRDefault="009D3423">
      <w:pPr>
        <w:pStyle w:val="NoIndentEIB"/>
        <w:numPr>
          <w:ilvl w:val="0"/>
          <w:numId w:val="3"/>
        </w:numPr>
        <w:rPr>
          <w:color w:val="auto"/>
          <w:lang w:val="hr-HR"/>
        </w:rPr>
      </w:pPr>
      <w:bookmarkStart w:id="18" w:name="_Ref430937797"/>
      <w:bookmarkStart w:id="19" w:name="_Ref496697253"/>
      <w:r w:rsidRPr="00653DCF">
        <w:rPr>
          <w:color w:val="auto"/>
          <w:lang w:val="hr-HR"/>
        </w:rPr>
        <w:t>Ukupan</w:t>
      </w:r>
      <w:r w:rsidR="00E87B0B" w:rsidRPr="00653DCF">
        <w:rPr>
          <w:color w:val="auto"/>
          <w:lang w:val="hr-HR"/>
        </w:rPr>
        <w:t xml:space="preserve"> trošak </w:t>
      </w:r>
      <w:r w:rsidR="00E96F8F" w:rsidRPr="00653DCF">
        <w:rPr>
          <w:color w:val="auto"/>
          <w:lang w:val="hr-HR"/>
        </w:rPr>
        <w:t>P</w:t>
      </w:r>
      <w:r w:rsidR="00E87B0B" w:rsidRPr="00653DCF">
        <w:rPr>
          <w:color w:val="auto"/>
          <w:lang w:val="hr-HR"/>
        </w:rPr>
        <w:t>rojekta prema procjeni Banke iznosi 2</w:t>
      </w:r>
      <w:r w:rsidR="00E96F8F" w:rsidRPr="00653DCF">
        <w:rPr>
          <w:color w:val="auto"/>
          <w:lang w:val="hr-HR"/>
        </w:rPr>
        <w:t>.</w:t>
      </w:r>
      <w:r w:rsidR="00E87B0B" w:rsidRPr="00653DCF">
        <w:rPr>
          <w:color w:val="auto"/>
          <w:lang w:val="hr-HR"/>
        </w:rPr>
        <w:t>600</w:t>
      </w:r>
      <w:r w:rsidR="00E96F8F" w:rsidRPr="00653DCF">
        <w:rPr>
          <w:color w:val="auto"/>
          <w:lang w:val="hr-HR"/>
        </w:rPr>
        <w:t>.</w:t>
      </w:r>
      <w:r w:rsidR="00E87B0B" w:rsidRPr="00653DCF">
        <w:rPr>
          <w:color w:val="auto"/>
          <w:lang w:val="hr-HR"/>
        </w:rPr>
        <w:t>000</w:t>
      </w:r>
      <w:r w:rsidR="00E96F8F" w:rsidRPr="00653DCF">
        <w:rPr>
          <w:color w:val="auto"/>
          <w:lang w:val="hr-HR"/>
        </w:rPr>
        <w:t>.</w:t>
      </w:r>
      <w:r w:rsidR="00E87B0B" w:rsidRPr="00653DCF">
        <w:rPr>
          <w:color w:val="auto"/>
          <w:lang w:val="hr-HR"/>
        </w:rPr>
        <w:t xml:space="preserve">000 </w:t>
      </w:r>
      <w:bookmarkStart w:id="20" w:name="_Hlk147312623"/>
      <w:r w:rsidR="00E87B0B" w:rsidRPr="00653DCF">
        <w:rPr>
          <w:color w:val="auto"/>
          <w:lang w:val="hr-HR"/>
        </w:rPr>
        <w:t>EUR (dvije milijarde i šest stotina milijuna eura)</w:t>
      </w:r>
      <w:r w:rsidR="00B13DE8" w:rsidRPr="00653DCF">
        <w:rPr>
          <w:color w:val="auto"/>
          <w:lang w:val="hr-HR"/>
        </w:rPr>
        <w:t xml:space="preserve"> te je </w:t>
      </w:r>
      <w:bookmarkStart w:id="21" w:name="_Ref77592050"/>
      <w:bookmarkEnd w:id="20"/>
      <w:r w:rsidR="00E87B0B" w:rsidRPr="00653DCF">
        <w:rPr>
          <w:color w:val="auto"/>
          <w:lang w:val="hr-HR"/>
        </w:rPr>
        <w:t xml:space="preserve">Zajmoprimac </w:t>
      </w:r>
      <w:r w:rsidR="00574540" w:rsidRPr="00653DCF">
        <w:rPr>
          <w:color w:val="auto"/>
          <w:lang w:val="hr-HR"/>
        </w:rPr>
        <w:t>izjavio</w:t>
      </w:r>
      <w:r w:rsidR="00E96F8F" w:rsidRPr="00653DCF">
        <w:rPr>
          <w:color w:val="auto"/>
          <w:lang w:val="hr-HR"/>
        </w:rPr>
        <w:t xml:space="preserve"> da Projekt namjerava </w:t>
      </w:r>
      <w:r w:rsidR="00E87B0B" w:rsidRPr="00653DCF">
        <w:rPr>
          <w:color w:val="auto"/>
          <w:lang w:val="hr-HR"/>
        </w:rPr>
        <w:t xml:space="preserve">financirati </w:t>
      </w:r>
      <w:r w:rsidR="00CA2418" w:rsidRPr="00653DCF">
        <w:rPr>
          <w:color w:val="auto"/>
          <w:lang w:val="hr-HR"/>
        </w:rPr>
        <w:t>kako slijedi</w:t>
      </w:r>
      <w:r w:rsidR="00E87B0B" w:rsidRPr="00653DCF">
        <w:rPr>
          <w:color w:val="auto"/>
          <w:lang w:val="hr-HR"/>
        </w:rPr>
        <w:t>:</w:t>
      </w:r>
      <w:bookmarkEnd w:id="18"/>
      <w:bookmarkEnd w:id="19"/>
      <w:bookmarkEnd w:id="21"/>
    </w:p>
    <w:tbl>
      <w:tblPr>
        <w:tblStyle w:val="TableEIB"/>
        <w:tblW w:w="0" w:type="auto"/>
        <w:tblInd w:w="1384" w:type="dxa"/>
        <w:tblLook w:val="04A0" w:firstRow="1" w:lastRow="0" w:firstColumn="1" w:lastColumn="0" w:noHBand="0" w:noVBand="1"/>
      </w:tblPr>
      <w:tblGrid>
        <w:gridCol w:w="4995"/>
        <w:gridCol w:w="2693"/>
      </w:tblGrid>
      <w:tr w:rsidR="007A2A6F" w:rsidRPr="00653DCF" w14:paraId="6E16AB8F" w14:textId="77777777" w:rsidTr="00652D01">
        <w:tc>
          <w:tcPr>
            <w:tcW w:w="4995" w:type="dxa"/>
          </w:tcPr>
          <w:p w14:paraId="4894E0B5" w14:textId="77777777" w:rsidR="007A2A6F" w:rsidRPr="00653DCF" w:rsidRDefault="00E87B0B">
            <w:pPr>
              <w:ind w:left="0"/>
              <w:rPr>
                <w:rStyle w:val="BoldEIB"/>
                <w:color w:val="auto"/>
                <w:lang w:val="hr-HR"/>
              </w:rPr>
            </w:pPr>
            <w:r w:rsidRPr="00653DCF">
              <w:rPr>
                <w:rStyle w:val="BoldEIB"/>
                <w:color w:val="auto"/>
                <w:lang w:val="hr-HR"/>
              </w:rPr>
              <w:t>Izvor</w:t>
            </w:r>
          </w:p>
        </w:tc>
        <w:tc>
          <w:tcPr>
            <w:tcW w:w="2693" w:type="dxa"/>
          </w:tcPr>
          <w:p w14:paraId="127D5AF2" w14:textId="61BD6F08" w:rsidR="007A2A6F" w:rsidRPr="00653DCF" w:rsidRDefault="00E87B0B" w:rsidP="00B13DE8">
            <w:pPr>
              <w:ind w:left="-209"/>
              <w:jc w:val="right"/>
              <w:rPr>
                <w:rStyle w:val="BoldEIB"/>
                <w:color w:val="auto"/>
                <w:lang w:val="hr-HR"/>
              </w:rPr>
            </w:pPr>
            <w:r w:rsidRPr="00653DCF">
              <w:rPr>
                <w:rStyle w:val="BoldEIB"/>
                <w:color w:val="auto"/>
                <w:lang w:val="hr-HR"/>
              </w:rPr>
              <w:t>Iznos (u milijunima EUR)</w:t>
            </w:r>
          </w:p>
        </w:tc>
      </w:tr>
      <w:tr w:rsidR="007A2A6F" w:rsidRPr="00653DCF" w14:paraId="01E5BF11" w14:textId="77777777" w:rsidTr="00652D01">
        <w:tc>
          <w:tcPr>
            <w:tcW w:w="4995" w:type="dxa"/>
          </w:tcPr>
          <w:p w14:paraId="0BFD84CE" w14:textId="12BAA692" w:rsidR="007A2A6F" w:rsidRPr="00653DCF" w:rsidRDefault="00E87B0B">
            <w:pPr>
              <w:ind w:left="0"/>
              <w:rPr>
                <w:color w:val="auto"/>
                <w:lang w:val="hr-HR"/>
              </w:rPr>
            </w:pPr>
            <w:r w:rsidRPr="00653DCF">
              <w:rPr>
                <w:color w:val="auto"/>
                <w:lang w:val="hr-HR"/>
              </w:rPr>
              <w:t>Kredit</w:t>
            </w:r>
            <w:r w:rsidR="00B102E3" w:rsidRPr="00653DCF">
              <w:rPr>
                <w:color w:val="auto"/>
                <w:lang w:val="hr-HR"/>
              </w:rPr>
              <w:t>/</w:t>
            </w:r>
            <w:r w:rsidRPr="00653DCF">
              <w:rPr>
                <w:color w:val="auto"/>
                <w:lang w:val="hr-HR"/>
              </w:rPr>
              <w:t xml:space="preserve">i Banke </w:t>
            </w:r>
          </w:p>
        </w:tc>
        <w:tc>
          <w:tcPr>
            <w:tcW w:w="2693" w:type="dxa"/>
          </w:tcPr>
          <w:p w14:paraId="17DC84F7" w14:textId="31602856" w:rsidR="007A2A6F" w:rsidRPr="00653DCF" w:rsidRDefault="00E87B0B">
            <w:pPr>
              <w:pStyle w:val="RightEIB"/>
              <w:rPr>
                <w:color w:val="auto"/>
                <w:lang w:val="hr-HR"/>
              </w:rPr>
            </w:pPr>
            <w:r w:rsidRPr="00653DCF">
              <w:rPr>
                <w:color w:val="auto"/>
                <w:lang w:val="hr-HR"/>
              </w:rPr>
              <w:t>900</w:t>
            </w:r>
            <w:r w:rsidR="001740CA" w:rsidRPr="00653DCF">
              <w:rPr>
                <w:color w:val="auto"/>
                <w:lang w:val="hr-HR"/>
              </w:rPr>
              <w:t xml:space="preserve"> (od čega </w:t>
            </w:r>
            <w:r w:rsidR="00C83872" w:rsidRPr="00653DCF">
              <w:rPr>
                <w:color w:val="auto"/>
                <w:lang w:val="hr-HR"/>
              </w:rPr>
              <w:t xml:space="preserve">se </w:t>
            </w:r>
            <w:r w:rsidR="00B102E3" w:rsidRPr="00653DCF">
              <w:rPr>
                <w:color w:val="auto"/>
                <w:lang w:val="hr-HR"/>
              </w:rPr>
              <w:t xml:space="preserve">temeljem </w:t>
            </w:r>
            <w:r w:rsidR="00801865" w:rsidRPr="00653DCF">
              <w:rPr>
                <w:color w:val="auto"/>
                <w:lang w:val="hr-HR"/>
              </w:rPr>
              <w:t xml:space="preserve">ovog Ugovora </w:t>
            </w:r>
            <w:r w:rsidR="0043470A" w:rsidRPr="00653DCF">
              <w:rPr>
                <w:color w:val="auto"/>
                <w:lang w:val="hr-HR"/>
              </w:rPr>
              <w:t xml:space="preserve">daje </w:t>
            </w:r>
            <w:r w:rsidR="00057ED2" w:rsidRPr="00653DCF">
              <w:rPr>
                <w:color w:val="auto"/>
                <w:lang w:val="hr-HR"/>
              </w:rPr>
              <w:t>na raspolaganj</w:t>
            </w:r>
            <w:r w:rsidR="0043470A" w:rsidRPr="00653DCF">
              <w:rPr>
                <w:color w:val="auto"/>
                <w:lang w:val="hr-HR"/>
              </w:rPr>
              <w:t>e</w:t>
            </w:r>
            <w:r w:rsidR="00057ED2" w:rsidRPr="00653DCF">
              <w:rPr>
                <w:color w:val="auto"/>
                <w:lang w:val="hr-HR"/>
              </w:rPr>
              <w:t xml:space="preserve"> kredit u iznosu od </w:t>
            </w:r>
            <w:r w:rsidR="00440688" w:rsidRPr="00653DCF">
              <w:rPr>
                <w:color w:val="auto"/>
                <w:lang w:val="hr-HR"/>
              </w:rPr>
              <w:t>400.000.000</w:t>
            </w:r>
            <w:r w:rsidR="00D34374" w:rsidRPr="00653DCF">
              <w:rPr>
                <w:color w:val="auto"/>
                <w:lang w:val="hr-HR"/>
              </w:rPr>
              <w:t xml:space="preserve"> </w:t>
            </w:r>
            <w:r w:rsidR="00C913A0" w:rsidRPr="00653DCF">
              <w:rPr>
                <w:color w:val="auto"/>
                <w:lang w:val="hr-HR"/>
              </w:rPr>
              <w:t>EUR</w:t>
            </w:r>
            <w:r w:rsidR="00D34374" w:rsidRPr="00653DCF">
              <w:rPr>
                <w:color w:val="auto"/>
                <w:lang w:val="hr-HR"/>
              </w:rPr>
              <w:t>)</w:t>
            </w:r>
          </w:p>
        </w:tc>
      </w:tr>
      <w:tr w:rsidR="007A2A6F" w:rsidRPr="00653DCF" w14:paraId="5019185F" w14:textId="77777777" w:rsidTr="00652D01">
        <w:tc>
          <w:tcPr>
            <w:tcW w:w="4995" w:type="dxa"/>
          </w:tcPr>
          <w:p w14:paraId="65DF9FA7" w14:textId="16C086A1" w:rsidR="007A2A6F" w:rsidRPr="00653DCF" w:rsidRDefault="00E87B0B">
            <w:pPr>
              <w:ind w:left="0"/>
              <w:rPr>
                <w:color w:val="auto"/>
                <w:lang w:val="hr-HR"/>
              </w:rPr>
            </w:pPr>
            <w:r w:rsidRPr="00653DCF">
              <w:rPr>
                <w:color w:val="auto"/>
                <w:lang w:val="hr-HR"/>
              </w:rPr>
              <w:t xml:space="preserve">Vlastita sredstva, </w:t>
            </w:r>
            <w:r w:rsidR="005E4E29" w:rsidRPr="00653DCF">
              <w:rPr>
                <w:color w:val="auto"/>
                <w:lang w:val="hr-HR"/>
              </w:rPr>
              <w:t>fondovi</w:t>
            </w:r>
            <w:r w:rsidRPr="00653DCF">
              <w:rPr>
                <w:color w:val="auto"/>
                <w:lang w:val="hr-HR"/>
              </w:rPr>
              <w:t xml:space="preserve"> EU-a (kako je definirano u nastavku) i </w:t>
            </w:r>
            <w:r w:rsidR="00FD144F" w:rsidRPr="00653DCF">
              <w:rPr>
                <w:color w:val="auto"/>
                <w:lang w:val="hr-HR"/>
              </w:rPr>
              <w:t>ostali</w:t>
            </w:r>
            <w:r w:rsidRPr="00653DCF">
              <w:rPr>
                <w:color w:val="auto"/>
                <w:lang w:val="hr-HR"/>
              </w:rPr>
              <w:t xml:space="preserve"> izvori</w:t>
            </w:r>
          </w:p>
        </w:tc>
        <w:tc>
          <w:tcPr>
            <w:tcW w:w="2693" w:type="dxa"/>
          </w:tcPr>
          <w:p w14:paraId="4EFCB784" w14:textId="64764F1A" w:rsidR="007A2A6F" w:rsidRPr="00653DCF" w:rsidRDefault="00E87B0B">
            <w:pPr>
              <w:pStyle w:val="RightEIB"/>
              <w:rPr>
                <w:color w:val="auto"/>
                <w:lang w:val="hr-HR"/>
              </w:rPr>
            </w:pPr>
            <w:r w:rsidRPr="00653DCF">
              <w:rPr>
                <w:color w:val="auto"/>
                <w:lang w:val="hr-HR"/>
              </w:rPr>
              <w:t>1</w:t>
            </w:r>
            <w:r w:rsidR="00574AE4" w:rsidRPr="00653DCF">
              <w:rPr>
                <w:color w:val="auto"/>
                <w:lang w:val="hr-HR"/>
              </w:rPr>
              <w:t>.</w:t>
            </w:r>
            <w:r w:rsidRPr="00653DCF">
              <w:rPr>
                <w:color w:val="auto"/>
                <w:lang w:val="hr-HR"/>
              </w:rPr>
              <w:t>700</w:t>
            </w:r>
          </w:p>
        </w:tc>
      </w:tr>
      <w:tr w:rsidR="007A2A6F" w:rsidRPr="00653DCF" w14:paraId="01E3E79B" w14:textId="77777777" w:rsidTr="00652D01">
        <w:tc>
          <w:tcPr>
            <w:tcW w:w="4995" w:type="dxa"/>
          </w:tcPr>
          <w:p w14:paraId="6DC8D10C" w14:textId="77777777" w:rsidR="007A2A6F" w:rsidRPr="00653DCF" w:rsidRDefault="00E87B0B">
            <w:pPr>
              <w:pStyle w:val="P68B1DB1-Normal2"/>
              <w:ind w:left="0"/>
              <w:rPr>
                <w:color w:val="auto"/>
                <w:lang w:val="hr-HR"/>
              </w:rPr>
            </w:pPr>
            <w:r w:rsidRPr="00653DCF">
              <w:rPr>
                <w:color w:val="auto"/>
                <w:lang w:val="hr-HR"/>
              </w:rPr>
              <w:t>UKUPNO</w:t>
            </w:r>
          </w:p>
        </w:tc>
        <w:tc>
          <w:tcPr>
            <w:tcW w:w="2693" w:type="dxa"/>
          </w:tcPr>
          <w:p w14:paraId="4C089FB6" w14:textId="02C81F33" w:rsidR="007A2A6F" w:rsidRPr="00653DCF" w:rsidRDefault="00E87B0B">
            <w:pPr>
              <w:pStyle w:val="P68B1DB1-RightEIB3"/>
              <w:rPr>
                <w:color w:val="auto"/>
                <w:lang w:val="hr-HR"/>
              </w:rPr>
            </w:pPr>
            <w:r w:rsidRPr="00653DCF">
              <w:rPr>
                <w:color w:val="auto"/>
                <w:lang w:val="hr-HR"/>
              </w:rPr>
              <w:t>2</w:t>
            </w:r>
            <w:r w:rsidR="002E0E3E" w:rsidRPr="00653DCF">
              <w:rPr>
                <w:color w:val="auto"/>
                <w:lang w:val="hr-HR"/>
              </w:rPr>
              <w:t>.</w:t>
            </w:r>
            <w:r w:rsidRPr="00653DCF">
              <w:rPr>
                <w:color w:val="auto"/>
                <w:lang w:val="hr-HR"/>
              </w:rPr>
              <w:t>600</w:t>
            </w:r>
          </w:p>
        </w:tc>
      </w:tr>
    </w:tbl>
    <w:p w14:paraId="63294575" w14:textId="7802F104" w:rsidR="007A2A6F" w:rsidRPr="00653DCF" w:rsidRDefault="00574AE4">
      <w:pPr>
        <w:pStyle w:val="NoIndentEIB"/>
        <w:numPr>
          <w:ilvl w:val="0"/>
          <w:numId w:val="3"/>
        </w:numPr>
        <w:rPr>
          <w:color w:val="auto"/>
          <w:lang w:val="hr-HR"/>
        </w:rPr>
      </w:pPr>
      <w:r w:rsidRPr="00653DCF">
        <w:rPr>
          <w:color w:val="auto"/>
          <w:lang w:val="hr-HR"/>
        </w:rPr>
        <w:t xml:space="preserve">U svrhu ostvarenja plana financiranja utvrđenog </w:t>
      </w:r>
      <w:r w:rsidR="00E87B0B" w:rsidRPr="00653DCF">
        <w:rPr>
          <w:color w:val="auto"/>
          <w:lang w:val="hr-HR"/>
        </w:rPr>
        <w:t xml:space="preserve">u </w:t>
      </w:r>
      <w:r w:rsidRPr="00653DCF">
        <w:rPr>
          <w:color w:val="auto"/>
          <w:lang w:val="hr-HR"/>
        </w:rPr>
        <w:t>u</w:t>
      </w:r>
      <w:r w:rsidR="00660A8B" w:rsidRPr="00653DCF">
        <w:rPr>
          <w:color w:val="auto"/>
          <w:lang w:val="hr-HR"/>
        </w:rPr>
        <w:t>vodnoj odredbi</w:t>
      </w:r>
      <w:r w:rsidR="00E87B0B"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_Ref430937797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(b)</w:t>
      </w:r>
      <w:r w:rsidR="00E87B0B" w:rsidRPr="00653DCF">
        <w:rPr>
          <w:color w:val="auto"/>
          <w:lang w:val="hr-HR"/>
        </w:rPr>
        <w:fldChar w:fldCharType="end"/>
      </w:r>
      <w:r w:rsidR="00E87B0B" w:rsidRPr="00653DCF">
        <w:rPr>
          <w:color w:val="auto"/>
          <w:lang w:val="hr-HR"/>
        </w:rPr>
        <w:t xml:space="preserve">, Zajmoprimac je od Banke zatražio kredit u </w:t>
      </w:r>
      <w:bookmarkStart w:id="22" w:name="_Hlk147312678"/>
      <w:r w:rsidR="00E87B0B" w:rsidRPr="00653DCF">
        <w:rPr>
          <w:color w:val="auto"/>
          <w:lang w:val="hr-HR"/>
        </w:rPr>
        <w:t>iznosu od 900</w:t>
      </w:r>
      <w:r w:rsidR="002E0E3E" w:rsidRPr="00653DCF">
        <w:rPr>
          <w:color w:val="auto"/>
          <w:lang w:val="hr-HR"/>
        </w:rPr>
        <w:t>.</w:t>
      </w:r>
      <w:r w:rsidR="00E87B0B" w:rsidRPr="00653DCF">
        <w:rPr>
          <w:color w:val="auto"/>
          <w:lang w:val="hr-HR"/>
        </w:rPr>
        <w:t>000</w:t>
      </w:r>
      <w:r w:rsidR="002E0E3E" w:rsidRPr="00653DCF">
        <w:rPr>
          <w:color w:val="auto"/>
          <w:lang w:val="hr-HR"/>
        </w:rPr>
        <w:t>.</w:t>
      </w:r>
      <w:r w:rsidR="00E87B0B" w:rsidRPr="00653DCF">
        <w:rPr>
          <w:color w:val="auto"/>
          <w:lang w:val="hr-HR"/>
        </w:rPr>
        <w:t>000 EUR (devet stotina milijuna eura).</w:t>
      </w:r>
    </w:p>
    <w:p w14:paraId="01534780" w14:textId="627FE503" w:rsidR="0055310C" w:rsidRPr="00653DCF" w:rsidRDefault="0055310C">
      <w:pPr>
        <w:pStyle w:val="NoIndentEIB"/>
        <w:numPr>
          <w:ilvl w:val="0"/>
          <w:numId w:val="3"/>
        </w:numPr>
        <w:rPr>
          <w:color w:val="auto"/>
          <w:lang w:val="hr-HR"/>
        </w:rPr>
      </w:pPr>
      <w:r w:rsidRPr="00653DCF">
        <w:rPr>
          <w:color w:val="auto"/>
          <w:lang w:val="hr-HR"/>
        </w:rPr>
        <w:t xml:space="preserve">Banka je, </w:t>
      </w:r>
      <w:r w:rsidR="00655BDE" w:rsidRPr="00653DCF">
        <w:rPr>
          <w:color w:val="auto"/>
          <w:lang w:val="hr-HR"/>
        </w:rPr>
        <w:t xml:space="preserve">uzimajući u obzir da financiranje Projekta potpada pod njen djelokrug funkcija </w:t>
      </w:r>
      <w:r w:rsidRPr="00653DCF">
        <w:rPr>
          <w:color w:val="auto"/>
          <w:lang w:val="hr-HR"/>
        </w:rPr>
        <w:t xml:space="preserve">te uzimajući u obzir izjave i činjenice navedene u ovim </w:t>
      </w:r>
      <w:r w:rsidR="00BD2BEE" w:rsidRPr="00653DCF">
        <w:rPr>
          <w:color w:val="auto"/>
          <w:lang w:val="hr-HR"/>
        </w:rPr>
        <w:t>uvodnim odredbama</w:t>
      </w:r>
      <w:r w:rsidRPr="00653DCF">
        <w:rPr>
          <w:color w:val="auto"/>
          <w:lang w:val="hr-HR"/>
        </w:rPr>
        <w:t xml:space="preserve">, odlučila </w:t>
      </w:r>
      <w:r w:rsidR="00262608" w:rsidRPr="00653DCF">
        <w:rPr>
          <w:color w:val="auto"/>
          <w:lang w:val="hr-HR"/>
        </w:rPr>
        <w:t xml:space="preserve">odobriti okvirni zajam </w:t>
      </w:r>
      <w:r w:rsidRPr="00653DCF">
        <w:rPr>
          <w:color w:val="auto"/>
          <w:lang w:val="hr-HR"/>
        </w:rPr>
        <w:t>Zajmoprimc</w:t>
      </w:r>
      <w:r w:rsidR="005E0BEB" w:rsidRPr="00653DCF">
        <w:rPr>
          <w:color w:val="auto"/>
          <w:lang w:val="hr-HR"/>
        </w:rPr>
        <w:t>u</w:t>
      </w:r>
      <w:r w:rsidRPr="00653DCF">
        <w:rPr>
          <w:color w:val="auto"/>
          <w:lang w:val="hr-HR"/>
        </w:rPr>
        <w:t xml:space="preserve"> u iznosu od </w:t>
      </w:r>
      <w:r w:rsidR="00C073B4" w:rsidRPr="00653DCF">
        <w:rPr>
          <w:color w:val="auto"/>
          <w:lang w:val="hr-HR"/>
        </w:rPr>
        <w:t>9</w:t>
      </w:r>
      <w:r w:rsidRPr="00653DCF">
        <w:rPr>
          <w:color w:val="auto"/>
          <w:lang w:val="hr-HR"/>
        </w:rPr>
        <w:t>00.000.000 EUR (</w:t>
      </w:r>
      <w:r w:rsidR="00C073B4" w:rsidRPr="00653DCF">
        <w:rPr>
          <w:color w:val="auto"/>
          <w:lang w:val="hr-HR"/>
        </w:rPr>
        <w:t xml:space="preserve">devet stotina </w:t>
      </w:r>
      <w:r w:rsidRPr="00653DCF">
        <w:rPr>
          <w:color w:val="auto"/>
          <w:lang w:val="hr-HR"/>
        </w:rPr>
        <w:t xml:space="preserve">milijuna eura) </w:t>
      </w:r>
      <w:r w:rsidR="00C073B4" w:rsidRPr="00653DCF">
        <w:rPr>
          <w:color w:val="auto"/>
          <w:lang w:val="hr-HR"/>
        </w:rPr>
        <w:t>(„</w:t>
      </w:r>
      <w:r w:rsidR="00C073B4" w:rsidRPr="00653DCF">
        <w:rPr>
          <w:b/>
          <w:bCs/>
          <w:color w:val="auto"/>
          <w:lang w:val="hr-HR"/>
        </w:rPr>
        <w:t>odobreni kredit</w:t>
      </w:r>
      <w:r w:rsidR="00C073B4" w:rsidRPr="00653DCF">
        <w:rPr>
          <w:color w:val="auto"/>
          <w:lang w:val="hr-HR"/>
        </w:rPr>
        <w:t>“) te odmah odobriti zahtjev</w:t>
      </w:r>
      <w:r w:rsidR="00410A5A" w:rsidRPr="00653DCF">
        <w:rPr>
          <w:color w:val="auto"/>
          <w:lang w:val="hr-HR"/>
        </w:rPr>
        <w:t xml:space="preserve"> Zajmoprimc</w:t>
      </w:r>
      <w:r w:rsidR="006A5603" w:rsidRPr="00653DCF">
        <w:rPr>
          <w:color w:val="auto"/>
          <w:lang w:val="hr-HR"/>
        </w:rPr>
        <w:t>u</w:t>
      </w:r>
      <w:r w:rsidR="00410A5A" w:rsidRPr="00653DCF">
        <w:rPr>
          <w:color w:val="auto"/>
          <w:lang w:val="hr-HR"/>
        </w:rPr>
        <w:t xml:space="preserve"> dajući mu kredit u iznosu od 400.000.000 EUR (četiri stotine milijuna eura) za </w:t>
      </w:r>
      <w:r w:rsidR="0064358B" w:rsidRPr="00653DCF">
        <w:rPr>
          <w:color w:val="auto"/>
          <w:lang w:val="hr-HR"/>
        </w:rPr>
        <w:t>obnovu</w:t>
      </w:r>
      <w:r w:rsidRPr="00653DCF">
        <w:rPr>
          <w:color w:val="auto"/>
          <w:lang w:val="hr-HR"/>
        </w:rPr>
        <w:t xml:space="preserve">, modernizaciju, proširenje i poboljšanje željezničke infrastrukture koju će provoditi </w:t>
      </w:r>
      <w:r w:rsidR="00EA3347" w:rsidRPr="00653DCF">
        <w:rPr>
          <w:color w:val="auto"/>
          <w:lang w:val="hr-HR"/>
        </w:rPr>
        <w:t>HŽI</w:t>
      </w:r>
      <w:r w:rsidRPr="00653DCF">
        <w:rPr>
          <w:color w:val="auto"/>
          <w:lang w:val="hr-HR"/>
        </w:rPr>
        <w:t xml:space="preserve"> i putničkih željezničkih vozila koj</w:t>
      </w:r>
      <w:r w:rsidR="00B04A26" w:rsidRPr="00653DCF">
        <w:rPr>
          <w:color w:val="auto"/>
          <w:lang w:val="hr-HR"/>
        </w:rPr>
        <w:t>u</w:t>
      </w:r>
      <w:r w:rsidRPr="00653DCF">
        <w:rPr>
          <w:color w:val="auto"/>
          <w:lang w:val="hr-HR"/>
        </w:rPr>
        <w:t xml:space="preserve"> će provodi</w:t>
      </w:r>
      <w:r w:rsidR="00EA3347" w:rsidRPr="00653DCF">
        <w:rPr>
          <w:color w:val="auto"/>
          <w:lang w:val="hr-HR"/>
        </w:rPr>
        <w:t>ti HŽPP</w:t>
      </w:r>
      <w:r w:rsidRPr="00653DCF">
        <w:rPr>
          <w:color w:val="auto"/>
          <w:lang w:val="hr-HR"/>
        </w:rPr>
        <w:t xml:space="preserve"> na temelju ovog </w:t>
      </w:r>
      <w:r w:rsidR="00EA3347" w:rsidRPr="00653DCF">
        <w:rPr>
          <w:color w:val="auto"/>
          <w:lang w:val="hr-HR"/>
        </w:rPr>
        <w:t>p</w:t>
      </w:r>
      <w:r w:rsidRPr="00653DCF">
        <w:rPr>
          <w:color w:val="auto"/>
          <w:lang w:val="hr-HR"/>
        </w:rPr>
        <w:t xml:space="preserve">rvog </w:t>
      </w:r>
      <w:r w:rsidR="00A641E1" w:rsidRPr="00653DCF">
        <w:rPr>
          <w:color w:val="auto"/>
          <w:lang w:val="hr-HR"/>
        </w:rPr>
        <w:t>u</w:t>
      </w:r>
      <w:r w:rsidRPr="00653DCF">
        <w:rPr>
          <w:color w:val="auto"/>
          <w:lang w:val="hr-HR"/>
        </w:rPr>
        <w:t>govora o financiranju (dalje u tekstu: „</w:t>
      </w:r>
      <w:r w:rsidRPr="00653DCF">
        <w:rPr>
          <w:b/>
          <w:color w:val="auto"/>
          <w:lang w:val="hr-HR"/>
        </w:rPr>
        <w:t>Ugovor</w:t>
      </w:r>
      <w:r w:rsidRPr="00653DCF">
        <w:rPr>
          <w:color w:val="auto"/>
          <w:lang w:val="hr-HR"/>
        </w:rPr>
        <w:t>”).</w:t>
      </w:r>
      <w:r w:rsidR="00447FC8" w:rsidRPr="00653DCF">
        <w:rPr>
          <w:color w:val="auto"/>
          <w:lang w:val="hr-HR"/>
        </w:rPr>
        <w:t xml:space="preserve"> </w:t>
      </w:r>
      <w:r w:rsidR="00DA0224" w:rsidRPr="00653DCF">
        <w:rPr>
          <w:color w:val="auto"/>
          <w:lang w:val="hr-HR"/>
        </w:rPr>
        <w:t xml:space="preserve">Za preostali dio </w:t>
      </w:r>
      <w:r w:rsidR="00447FC8" w:rsidRPr="00653DCF">
        <w:rPr>
          <w:color w:val="auto"/>
          <w:lang w:val="hr-HR"/>
        </w:rPr>
        <w:t xml:space="preserve">odobrenog kredita u iznosu od 500.000.000 EUR (pet stotina milijuna </w:t>
      </w:r>
      <w:r w:rsidR="00DA0224" w:rsidRPr="00653DCF">
        <w:rPr>
          <w:color w:val="auto"/>
          <w:lang w:val="hr-HR"/>
        </w:rPr>
        <w:t>eura</w:t>
      </w:r>
      <w:r w:rsidR="00447FC8" w:rsidRPr="00653DCF">
        <w:rPr>
          <w:color w:val="auto"/>
          <w:lang w:val="hr-HR"/>
        </w:rPr>
        <w:t>)</w:t>
      </w:r>
      <w:r w:rsidR="00DA0224" w:rsidRPr="00653DCF">
        <w:rPr>
          <w:color w:val="auto"/>
          <w:lang w:val="hr-HR"/>
        </w:rPr>
        <w:t xml:space="preserve"> sklopit će se </w:t>
      </w:r>
      <w:r w:rsidR="00473A9C" w:rsidRPr="00653DCF">
        <w:rPr>
          <w:color w:val="auto"/>
          <w:lang w:val="hr-HR"/>
        </w:rPr>
        <w:t>dodatni ugovor</w:t>
      </w:r>
      <w:r w:rsidR="002176A3" w:rsidRPr="00653DCF">
        <w:rPr>
          <w:color w:val="auto"/>
          <w:lang w:val="hr-HR"/>
        </w:rPr>
        <w:t>/</w:t>
      </w:r>
      <w:r w:rsidR="00473A9C" w:rsidRPr="00653DCF">
        <w:rPr>
          <w:color w:val="auto"/>
          <w:lang w:val="hr-HR"/>
        </w:rPr>
        <w:t xml:space="preserve">i o financiranju vezano za provođenje gore navedenog Projekta. </w:t>
      </w:r>
      <w:r w:rsidR="00A641E1" w:rsidRPr="00653DCF">
        <w:rPr>
          <w:color w:val="auto"/>
          <w:lang w:val="hr-HR"/>
        </w:rPr>
        <w:t xml:space="preserve">Zajmoprimac će </w:t>
      </w:r>
      <w:r w:rsidRPr="00653DCF">
        <w:rPr>
          <w:color w:val="auto"/>
          <w:lang w:val="hr-HR"/>
        </w:rPr>
        <w:t xml:space="preserve">prije isplate posljednjeg iznosa od 90.000.000 EUR (devedeset milijuna eura) </w:t>
      </w:r>
      <w:r w:rsidR="00A641E1" w:rsidRPr="00653DCF">
        <w:rPr>
          <w:color w:val="auto"/>
          <w:lang w:val="hr-HR"/>
        </w:rPr>
        <w:t xml:space="preserve">od </w:t>
      </w:r>
      <w:r w:rsidR="00F8063A" w:rsidRPr="00653DCF">
        <w:rPr>
          <w:color w:val="auto"/>
          <w:lang w:val="hr-HR"/>
        </w:rPr>
        <w:t>odobrenog kredita</w:t>
      </w:r>
      <w:r w:rsidRPr="00653DCF">
        <w:rPr>
          <w:color w:val="auto"/>
          <w:lang w:val="hr-HR"/>
        </w:rPr>
        <w:t xml:space="preserve">, </w:t>
      </w:r>
      <w:r w:rsidR="00A641E1" w:rsidRPr="00653DCF">
        <w:rPr>
          <w:color w:val="auto"/>
          <w:lang w:val="hr-HR"/>
        </w:rPr>
        <w:t xml:space="preserve">osigurati da je </w:t>
      </w:r>
      <w:r w:rsidRPr="00653DCF">
        <w:rPr>
          <w:color w:val="auto"/>
          <w:lang w:val="hr-HR"/>
        </w:rPr>
        <w:t xml:space="preserve">puni iznos zajmova isplaćenih u okviru EIB-ovih </w:t>
      </w:r>
      <w:r w:rsidR="00F8063A" w:rsidRPr="00653DCF">
        <w:rPr>
          <w:color w:val="auto"/>
          <w:lang w:val="hr-HR"/>
        </w:rPr>
        <w:t>u</w:t>
      </w:r>
      <w:r w:rsidRPr="00653DCF">
        <w:rPr>
          <w:color w:val="auto"/>
          <w:lang w:val="hr-HR"/>
        </w:rPr>
        <w:t xml:space="preserve">govora o financiranju, </w:t>
      </w:r>
      <w:r w:rsidR="00402219" w:rsidRPr="00653DCF">
        <w:rPr>
          <w:color w:val="auto"/>
          <w:lang w:val="hr-HR"/>
        </w:rPr>
        <w:t>zbrojen</w:t>
      </w:r>
      <w:r w:rsidR="00A641E1" w:rsidRPr="00653DCF">
        <w:rPr>
          <w:color w:val="auto"/>
          <w:lang w:val="hr-HR"/>
        </w:rPr>
        <w:t>o</w:t>
      </w:r>
      <w:r w:rsidR="00402219" w:rsidRPr="00653DCF">
        <w:rPr>
          <w:color w:val="auto"/>
          <w:lang w:val="hr-HR"/>
        </w:rPr>
        <w:t xml:space="preserve"> s </w:t>
      </w:r>
      <w:r w:rsidRPr="00653DCF">
        <w:rPr>
          <w:color w:val="auto"/>
          <w:lang w:val="hr-HR"/>
        </w:rPr>
        <w:t xml:space="preserve">iznosom bilo koje predložene tranše, u potpunosti dodijeljen </w:t>
      </w:r>
      <w:r w:rsidR="006661E9" w:rsidRPr="00653DCF">
        <w:rPr>
          <w:color w:val="auto"/>
          <w:lang w:val="hr-HR"/>
        </w:rPr>
        <w:t>investicijskim projektima</w:t>
      </w:r>
      <w:r w:rsidRPr="00653DCF">
        <w:rPr>
          <w:color w:val="auto"/>
          <w:lang w:val="hr-HR"/>
        </w:rPr>
        <w:t xml:space="preserve"> koji se odnose na Projekt.</w:t>
      </w:r>
    </w:p>
    <w:bookmarkEnd w:id="22"/>
    <w:p w14:paraId="4B37CCE4" w14:textId="450B570F" w:rsidR="007A2A6F" w:rsidRPr="00653DCF" w:rsidRDefault="00E87B0B">
      <w:pPr>
        <w:pStyle w:val="NoIndentEIB"/>
        <w:numPr>
          <w:ilvl w:val="0"/>
          <w:numId w:val="3"/>
        </w:numPr>
        <w:rPr>
          <w:color w:val="auto"/>
          <w:lang w:val="hr-HR"/>
        </w:rPr>
      </w:pPr>
      <w:r w:rsidRPr="00653DCF">
        <w:rPr>
          <w:color w:val="auto"/>
          <w:lang w:val="hr-HR"/>
        </w:rPr>
        <w:t xml:space="preserve">Ministarstvo financija, koje zastupa ministar financija </w:t>
      </w:r>
      <w:r w:rsidR="00EA29A7" w:rsidRPr="00653DCF">
        <w:rPr>
          <w:color w:val="auto"/>
          <w:lang w:val="hr-HR"/>
        </w:rPr>
        <w:t xml:space="preserve">g. </w:t>
      </w:r>
      <w:r w:rsidRPr="00653DCF">
        <w:rPr>
          <w:color w:val="auto"/>
          <w:lang w:val="hr-HR"/>
        </w:rPr>
        <w:t>Marko Primorac, ovlašteno je potpisati ovaj Ugovor u ime Zajmoprimca.</w:t>
      </w:r>
    </w:p>
    <w:p w14:paraId="743D153A" w14:textId="6CF8ADD7" w:rsidR="007A2A6F" w:rsidRPr="00653DCF" w:rsidRDefault="00E87B0B">
      <w:pPr>
        <w:pStyle w:val="NoIndentEIB"/>
        <w:numPr>
          <w:ilvl w:val="0"/>
          <w:numId w:val="3"/>
        </w:numPr>
        <w:rPr>
          <w:color w:val="auto"/>
          <w:lang w:val="hr-HR"/>
        </w:rPr>
      </w:pPr>
      <w:r w:rsidRPr="00653DCF">
        <w:rPr>
          <w:color w:val="auto"/>
          <w:lang w:val="hr-HR"/>
        </w:rPr>
        <w:t xml:space="preserve">Zajmoprimac </w:t>
      </w:r>
      <w:r w:rsidR="00D400AB" w:rsidRPr="00653DCF">
        <w:rPr>
          <w:color w:val="auto"/>
          <w:lang w:val="hr-HR"/>
        </w:rPr>
        <w:t>Banci</w:t>
      </w:r>
      <w:r w:rsidR="003E4455" w:rsidRPr="00653DCF">
        <w:rPr>
          <w:color w:val="auto"/>
          <w:lang w:val="hr-HR"/>
        </w:rPr>
        <w:t xml:space="preserve"> kao međunarodnoj financijskoj instituciji</w:t>
      </w:r>
      <w:r w:rsidR="00D400AB" w:rsidRPr="00653DCF">
        <w:rPr>
          <w:color w:val="auto"/>
          <w:lang w:val="hr-HR"/>
        </w:rPr>
        <w:t xml:space="preserve"> priznaje status </w:t>
      </w:r>
      <w:r w:rsidR="003E4455" w:rsidRPr="00653DCF">
        <w:rPr>
          <w:color w:val="auto"/>
          <w:lang w:val="hr-HR"/>
        </w:rPr>
        <w:t xml:space="preserve">povlaštenog </w:t>
      </w:r>
      <w:r w:rsidR="00D400AB" w:rsidRPr="00653DCF">
        <w:rPr>
          <w:color w:val="auto"/>
          <w:lang w:val="hr-HR"/>
        </w:rPr>
        <w:t>vjerovnika</w:t>
      </w:r>
      <w:r w:rsidRPr="00653DCF">
        <w:rPr>
          <w:color w:val="auto"/>
          <w:lang w:val="hr-HR"/>
        </w:rPr>
        <w:t>.</w:t>
      </w:r>
    </w:p>
    <w:p w14:paraId="6C4EF9FF" w14:textId="5BCBA68F" w:rsidR="007A2A6F" w:rsidRDefault="00E87B0B">
      <w:pPr>
        <w:pStyle w:val="NoIndentEIB"/>
        <w:numPr>
          <w:ilvl w:val="0"/>
          <w:numId w:val="3"/>
        </w:numPr>
        <w:rPr>
          <w:color w:val="auto"/>
          <w:lang w:val="hr-HR"/>
        </w:rPr>
      </w:pPr>
      <w:r w:rsidRPr="00653DCF">
        <w:rPr>
          <w:color w:val="auto"/>
          <w:lang w:val="hr-HR"/>
        </w:rPr>
        <w:lastRenderedPageBreak/>
        <w:t xml:space="preserve">Statutom Banke </w:t>
      </w:r>
      <w:r w:rsidR="007A0CBB" w:rsidRPr="00653DCF">
        <w:rPr>
          <w:color w:val="auto"/>
          <w:lang w:val="hr-HR"/>
        </w:rPr>
        <w:t>utvrđeno je</w:t>
      </w:r>
      <w:r w:rsidRPr="00653DCF">
        <w:rPr>
          <w:color w:val="auto"/>
          <w:lang w:val="hr-HR"/>
        </w:rPr>
        <w:t xml:space="preserve"> da Banka </w:t>
      </w:r>
      <w:r w:rsidR="007A0CBB" w:rsidRPr="00653DCF">
        <w:rPr>
          <w:color w:val="auto"/>
          <w:lang w:val="hr-HR"/>
        </w:rPr>
        <w:t xml:space="preserve">dužna osigurati </w:t>
      </w:r>
      <w:r w:rsidRPr="00653DCF">
        <w:rPr>
          <w:color w:val="auto"/>
          <w:lang w:val="hr-HR"/>
        </w:rPr>
        <w:t xml:space="preserve">da se njezina sredstva </w:t>
      </w:r>
      <w:r w:rsidR="00A063AE" w:rsidRPr="00653DCF">
        <w:rPr>
          <w:color w:val="auto"/>
          <w:lang w:val="hr-HR"/>
        </w:rPr>
        <w:t>upotrebljavaju</w:t>
      </w:r>
      <w:r w:rsidR="007A0CBB" w:rsidRPr="00653DCF">
        <w:rPr>
          <w:color w:val="auto"/>
          <w:lang w:val="hr-HR"/>
        </w:rPr>
        <w:t xml:space="preserve"> što je racionalnije moguće </w:t>
      </w:r>
      <w:r w:rsidRPr="00653DCF">
        <w:rPr>
          <w:color w:val="auto"/>
          <w:lang w:val="hr-HR"/>
        </w:rPr>
        <w:t xml:space="preserve">u interesu Europske unije; </w:t>
      </w:r>
      <w:r w:rsidR="007A0CBB" w:rsidRPr="00653DCF">
        <w:rPr>
          <w:color w:val="auto"/>
          <w:lang w:val="hr-HR"/>
        </w:rPr>
        <w:t xml:space="preserve">i sukladno tome, </w:t>
      </w:r>
      <w:r w:rsidRPr="00653DCF">
        <w:rPr>
          <w:color w:val="auto"/>
          <w:lang w:val="hr-HR"/>
        </w:rPr>
        <w:t xml:space="preserve">uvjeti </w:t>
      </w:r>
      <w:r w:rsidR="004A4318" w:rsidRPr="00653DCF">
        <w:rPr>
          <w:color w:val="auto"/>
          <w:lang w:val="hr-HR"/>
        </w:rPr>
        <w:t xml:space="preserve">kreditnih poslova Banke </w:t>
      </w:r>
      <w:r w:rsidRPr="00653DCF">
        <w:rPr>
          <w:color w:val="auto"/>
          <w:lang w:val="hr-HR"/>
        </w:rPr>
        <w:t xml:space="preserve">moraju biti u skladu s </w:t>
      </w:r>
      <w:r w:rsidR="004A4318" w:rsidRPr="00653DCF">
        <w:rPr>
          <w:color w:val="auto"/>
          <w:lang w:val="hr-HR"/>
        </w:rPr>
        <w:t xml:space="preserve">odgovarajućim </w:t>
      </w:r>
      <w:r w:rsidRPr="00653DCF">
        <w:rPr>
          <w:color w:val="auto"/>
          <w:lang w:val="hr-HR"/>
        </w:rPr>
        <w:t>politikama Europske unije.</w:t>
      </w:r>
    </w:p>
    <w:p w14:paraId="2EC1969D" w14:textId="6F7AFE9F" w:rsidR="00752706" w:rsidRDefault="00752706" w:rsidP="00752706">
      <w:pPr>
        <w:pStyle w:val="NoIndentEIB"/>
        <w:rPr>
          <w:color w:val="auto"/>
          <w:lang w:val="hr-HR"/>
        </w:rPr>
      </w:pPr>
    </w:p>
    <w:p w14:paraId="5C87182A" w14:textId="77777777" w:rsidR="00752706" w:rsidRPr="00653DCF" w:rsidRDefault="00752706" w:rsidP="00752706">
      <w:pPr>
        <w:pStyle w:val="NoIndentEIB"/>
        <w:rPr>
          <w:color w:val="auto"/>
          <w:lang w:val="hr-HR"/>
        </w:rPr>
      </w:pPr>
    </w:p>
    <w:p w14:paraId="41BFFA69" w14:textId="28ADA871" w:rsidR="007A2A6F" w:rsidRPr="00653DCF" w:rsidRDefault="00701EB3">
      <w:pPr>
        <w:numPr>
          <w:ilvl w:val="0"/>
          <w:numId w:val="3"/>
        </w:numPr>
        <w:rPr>
          <w:color w:val="auto"/>
          <w:lang w:val="hr-HR"/>
        </w:rPr>
      </w:pPr>
      <w:r w:rsidRPr="00653DCF">
        <w:rPr>
          <w:color w:val="auto"/>
          <w:lang w:val="hr-HR"/>
        </w:rPr>
        <w:t>Financiranje</w:t>
      </w:r>
      <w:r w:rsidR="00E87B0B" w:rsidRPr="00653DCF">
        <w:rPr>
          <w:color w:val="auto"/>
          <w:lang w:val="hr-HR"/>
        </w:rPr>
        <w:t xml:space="preserve"> Projekta uključuje određene fondove EU-a i državne subvencije ili bespovratna sredstva, a osiguravanje takvih sredstava propisno je odobreno i osigurat će se u skladu </w:t>
      </w:r>
      <w:r w:rsidR="00784D92" w:rsidRPr="00653DCF">
        <w:rPr>
          <w:color w:val="auto"/>
          <w:lang w:val="hr-HR"/>
        </w:rPr>
        <w:t>s</w:t>
      </w:r>
      <w:r w:rsidR="00743BD7" w:rsidRPr="00653DCF">
        <w:rPr>
          <w:color w:val="auto"/>
          <w:lang w:val="hr-HR"/>
        </w:rPr>
        <w:t xml:space="preserve"> </w:t>
      </w:r>
      <w:r w:rsidR="00784D92" w:rsidRPr="00653DCF">
        <w:rPr>
          <w:color w:val="auto"/>
          <w:lang w:val="hr-HR"/>
        </w:rPr>
        <w:t xml:space="preserve">relevantnim pravom </w:t>
      </w:r>
      <w:r w:rsidR="00705F3F" w:rsidRPr="00653DCF">
        <w:rPr>
          <w:color w:val="auto"/>
          <w:lang w:val="hr-HR"/>
        </w:rPr>
        <w:t>EU</w:t>
      </w:r>
      <w:r w:rsidR="00E87B0B" w:rsidRPr="00653DCF">
        <w:rPr>
          <w:color w:val="auto"/>
          <w:lang w:val="hr-HR"/>
        </w:rPr>
        <w:t>, uključujući i on</w:t>
      </w:r>
      <w:r w:rsidR="00784D92" w:rsidRPr="00653DCF">
        <w:rPr>
          <w:color w:val="auto"/>
          <w:lang w:val="hr-HR"/>
        </w:rPr>
        <w:t>o</w:t>
      </w:r>
      <w:r w:rsidR="00E87B0B" w:rsidRPr="00653DCF">
        <w:rPr>
          <w:color w:val="auto"/>
          <w:lang w:val="hr-HR"/>
        </w:rPr>
        <w:t xml:space="preserve"> o državnim potporama.</w:t>
      </w:r>
    </w:p>
    <w:p w14:paraId="312A1C53" w14:textId="4B801B8A" w:rsidR="007A2A6F" w:rsidRPr="00653DCF" w:rsidRDefault="00E87B0B">
      <w:pPr>
        <w:pStyle w:val="NoIndentEIB"/>
        <w:numPr>
          <w:ilvl w:val="0"/>
          <w:numId w:val="3"/>
        </w:numPr>
        <w:rPr>
          <w:color w:val="auto"/>
          <w:lang w:val="hr-HR"/>
        </w:rPr>
      </w:pPr>
      <w:r w:rsidRPr="00653DCF">
        <w:rPr>
          <w:color w:val="auto"/>
          <w:lang w:val="hr-HR"/>
        </w:rPr>
        <w:t xml:space="preserve">Banka smatra da pristup informacijama </w:t>
      </w:r>
      <w:r w:rsidR="00823B11" w:rsidRPr="00653DCF">
        <w:rPr>
          <w:color w:val="auto"/>
          <w:lang w:val="hr-HR"/>
        </w:rPr>
        <w:t xml:space="preserve">o projektima koje ona financira </w:t>
      </w:r>
      <w:r w:rsidR="001432B3" w:rsidRPr="00653DCF">
        <w:rPr>
          <w:color w:val="auto"/>
          <w:lang w:val="hr-HR"/>
        </w:rPr>
        <w:t xml:space="preserve">ima </w:t>
      </w:r>
      <w:r w:rsidRPr="00653DCF">
        <w:rPr>
          <w:color w:val="auto"/>
          <w:lang w:val="hr-HR"/>
        </w:rPr>
        <w:t>ključnu ulogu u smanjenju okolišnih i socijalnih rizika, uključujući kršenj</w:t>
      </w:r>
      <w:r w:rsidR="00DC2DC3" w:rsidRPr="00653DCF">
        <w:rPr>
          <w:color w:val="auto"/>
          <w:lang w:val="hr-HR"/>
        </w:rPr>
        <w:t>e</w:t>
      </w:r>
      <w:r w:rsidRPr="00653DCF">
        <w:rPr>
          <w:color w:val="auto"/>
          <w:lang w:val="hr-HR"/>
        </w:rPr>
        <w:t xml:space="preserve"> ljudskih prava, te je stoga uspostavila politiku transparentnosti čija je svrha povećati odgovornost </w:t>
      </w:r>
      <w:r w:rsidR="00DC2DC3" w:rsidRPr="00653DCF">
        <w:rPr>
          <w:color w:val="auto"/>
          <w:lang w:val="hr-HR"/>
        </w:rPr>
        <w:t xml:space="preserve">Grupe Banke </w:t>
      </w:r>
      <w:r w:rsidR="00B70010" w:rsidRPr="00653DCF">
        <w:rPr>
          <w:color w:val="auto"/>
          <w:lang w:val="hr-HR"/>
        </w:rPr>
        <w:t xml:space="preserve">u odnosu na njene dioničare </w:t>
      </w:r>
      <w:r w:rsidRPr="00653DCF">
        <w:rPr>
          <w:color w:val="auto"/>
          <w:lang w:val="hr-HR"/>
        </w:rPr>
        <w:t>i građan</w:t>
      </w:r>
      <w:r w:rsidR="00B70010" w:rsidRPr="00653DCF">
        <w:rPr>
          <w:color w:val="auto"/>
          <w:lang w:val="hr-HR"/>
        </w:rPr>
        <w:t>e</w:t>
      </w:r>
      <w:r w:rsidRPr="00653DCF">
        <w:rPr>
          <w:color w:val="auto"/>
          <w:lang w:val="hr-HR"/>
        </w:rPr>
        <w:t xml:space="preserve"> Europske unije općenito. </w:t>
      </w:r>
    </w:p>
    <w:p w14:paraId="378D7312" w14:textId="6A3042FB" w:rsidR="007A2A6F" w:rsidRPr="00653DCF" w:rsidRDefault="00471333">
      <w:pPr>
        <w:pStyle w:val="NoIndentEIB"/>
        <w:numPr>
          <w:ilvl w:val="0"/>
          <w:numId w:val="3"/>
        </w:numPr>
        <w:rPr>
          <w:color w:val="auto"/>
          <w:lang w:val="hr-HR"/>
        </w:rPr>
      </w:pPr>
      <w:bookmarkStart w:id="23" w:name="_Ref42341515"/>
      <w:r w:rsidRPr="00653DCF">
        <w:rPr>
          <w:color w:val="auto"/>
          <w:lang w:val="hr-HR"/>
        </w:rPr>
        <w:t xml:space="preserve">Banka </w:t>
      </w:r>
      <w:r w:rsidR="00823B11" w:rsidRPr="00653DCF">
        <w:rPr>
          <w:color w:val="auto"/>
          <w:lang w:val="hr-HR"/>
        </w:rPr>
        <w:t xml:space="preserve">vrši </w:t>
      </w:r>
      <w:r w:rsidRPr="00653DCF">
        <w:rPr>
          <w:color w:val="auto"/>
          <w:lang w:val="hr-HR"/>
        </w:rPr>
        <w:t xml:space="preserve">obradu osobnih podataka u skladu s </w:t>
      </w:r>
      <w:r w:rsidR="00192A2E" w:rsidRPr="00653DCF">
        <w:rPr>
          <w:color w:val="auto"/>
          <w:lang w:val="hr-HR"/>
        </w:rPr>
        <w:t>primjenjivim</w:t>
      </w:r>
      <w:r w:rsidRPr="00653DCF">
        <w:rPr>
          <w:color w:val="auto"/>
          <w:lang w:val="hr-HR"/>
        </w:rPr>
        <w:t xml:space="preserve"> </w:t>
      </w:r>
      <w:r w:rsidR="00CB0BB2" w:rsidRPr="00653DCF">
        <w:rPr>
          <w:color w:val="auto"/>
          <w:lang w:val="hr-HR"/>
        </w:rPr>
        <w:t xml:space="preserve">pravom </w:t>
      </w:r>
      <w:r w:rsidR="00705F3F" w:rsidRPr="00653DCF">
        <w:rPr>
          <w:color w:val="auto"/>
          <w:lang w:val="hr-HR"/>
        </w:rPr>
        <w:t>EU</w:t>
      </w:r>
      <w:r w:rsidR="00E87B0B" w:rsidRPr="00653DCF">
        <w:rPr>
          <w:color w:val="auto"/>
          <w:lang w:val="hr-HR"/>
        </w:rPr>
        <w:t xml:space="preserve"> </w:t>
      </w:r>
      <w:r w:rsidR="00D83A04" w:rsidRPr="00653DCF">
        <w:rPr>
          <w:color w:val="auto"/>
          <w:lang w:val="hr-HR"/>
        </w:rPr>
        <w:t>koj</w:t>
      </w:r>
      <w:r w:rsidR="00CB0BB2" w:rsidRPr="00653DCF">
        <w:rPr>
          <w:color w:val="auto"/>
          <w:lang w:val="hr-HR"/>
        </w:rPr>
        <w:t>e</w:t>
      </w:r>
      <w:r w:rsidR="00D83A04" w:rsidRPr="00653DCF">
        <w:rPr>
          <w:color w:val="auto"/>
          <w:lang w:val="hr-HR"/>
        </w:rPr>
        <w:t xml:space="preserve"> se odnosi na zaštitu </w:t>
      </w:r>
      <w:r w:rsidR="00E87B0B" w:rsidRPr="00653DCF">
        <w:rPr>
          <w:color w:val="auto"/>
          <w:lang w:val="hr-HR"/>
        </w:rPr>
        <w:t xml:space="preserve">pojedinaca </w:t>
      </w:r>
      <w:r w:rsidR="00D83A04" w:rsidRPr="00653DCF">
        <w:rPr>
          <w:color w:val="auto"/>
          <w:lang w:val="hr-HR"/>
        </w:rPr>
        <w:t xml:space="preserve">u pogledu obrade osobnih podataka od strane </w:t>
      </w:r>
      <w:r w:rsidR="00E87B0B" w:rsidRPr="00653DCF">
        <w:rPr>
          <w:color w:val="auto"/>
          <w:lang w:val="hr-HR"/>
        </w:rPr>
        <w:t xml:space="preserve">institucija i tijela Europske unije i </w:t>
      </w:r>
      <w:r w:rsidR="00D83A04" w:rsidRPr="00653DCF">
        <w:rPr>
          <w:color w:val="auto"/>
          <w:lang w:val="hr-HR"/>
        </w:rPr>
        <w:t>na slobodan protok takvih podataka</w:t>
      </w:r>
      <w:r w:rsidR="00E87B0B" w:rsidRPr="00653DCF">
        <w:rPr>
          <w:color w:val="auto"/>
          <w:lang w:val="hr-HR"/>
        </w:rPr>
        <w:t xml:space="preserve">. Za potrebe </w:t>
      </w:r>
      <w:r w:rsidR="006D67E8" w:rsidRPr="00653DCF">
        <w:rPr>
          <w:color w:val="auto"/>
          <w:lang w:val="hr-HR"/>
        </w:rPr>
        <w:t>GDPR-a</w:t>
      </w:r>
      <w:r w:rsidR="00E87B0B" w:rsidRPr="00653DCF">
        <w:rPr>
          <w:color w:val="auto"/>
          <w:lang w:val="hr-HR"/>
        </w:rPr>
        <w:t xml:space="preserve"> (kako je definirano u nastavku) i Uredbe (EU) 2018/1725, </w:t>
      </w:r>
      <w:r w:rsidR="00823B11" w:rsidRPr="00653DCF">
        <w:rPr>
          <w:color w:val="auto"/>
          <w:lang w:val="hr-HR"/>
        </w:rPr>
        <w:t>s</w:t>
      </w:r>
      <w:r w:rsidR="00840744" w:rsidRPr="00653DCF">
        <w:rPr>
          <w:color w:val="auto"/>
          <w:lang w:val="hr-HR"/>
        </w:rPr>
        <w:t>tran</w:t>
      </w:r>
      <w:r w:rsidR="00BE4880" w:rsidRPr="00653DCF">
        <w:rPr>
          <w:color w:val="auto"/>
          <w:lang w:val="hr-HR"/>
        </w:rPr>
        <w:t>k</w:t>
      </w:r>
      <w:r w:rsidR="00840744" w:rsidRPr="00653DCF">
        <w:rPr>
          <w:color w:val="auto"/>
          <w:lang w:val="hr-HR"/>
        </w:rPr>
        <w:t xml:space="preserve">e </w:t>
      </w:r>
      <w:r w:rsidR="00E87B0B" w:rsidRPr="00653DCF">
        <w:rPr>
          <w:color w:val="auto"/>
          <w:lang w:val="hr-HR"/>
        </w:rPr>
        <w:t xml:space="preserve">potvrđuju da će svaka </w:t>
      </w:r>
      <w:r w:rsidR="00FA6799" w:rsidRPr="00653DCF">
        <w:rPr>
          <w:color w:val="auto"/>
          <w:lang w:val="hr-HR"/>
        </w:rPr>
        <w:t>s</w:t>
      </w:r>
      <w:r w:rsidR="00840744" w:rsidRPr="00653DCF">
        <w:rPr>
          <w:color w:val="auto"/>
          <w:lang w:val="hr-HR"/>
        </w:rPr>
        <w:t>tran</w:t>
      </w:r>
      <w:r w:rsidR="00BE4880" w:rsidRPr="00653DCF">
        <w:rPr>
          <w:color w:val="auto"/>
          <w:lang w:val="hr-HR"/>
        </w:rPr>
        <w:t>k</w:t>
      </w:r>
      <w:r w:rsidR="00840744" w:rsidRPr="00653DCF">
        <w:rPr>
          <w:color w:val="auto"/>
          <w:lang w:val="hr-HR"/>
        </w:rPr>
        <w:t xml:space="preserve">a </w:t>
      </w:r>
      <w:r w:rsidR="00E87B0B" w:rsidRPr="00653DCF">
        <w:rPr>
          <w:color w:val="auto"/>
          <w:lang w:val="hr-HR"/>
        </w:rPr>
        <w:t xml:space="preserve">pri obradi osobnih podataka u vezi s ovim Ugovorom djelovati kao neovisni voditelj obrade, a ne </w:t>
      </w:r>
      <w:r w:rsidR="000D50E0" w:rsidRPr="00653DCF">
        <w:rPr>
          <w:color w:val="auto"/>
          <w:lang w:val="hr-HR"/>
        </w:rPr>
        <w:t xml:space="preserve">kao </w:t>
      </w:r>
      <w:r w:rsidR="00E87B0B" w:rsidRPr="00653DCF">
        <w:rPr>
          <w:color w:val="auto"/>
          <w:lang w:val="hr-HR"/>
        </w:rPr>
        <w:t xml:space="preserve">izvršitelj obrade u ime </w:t>
      </w:r>
      <w:r w:rsidR="000D50E0" w:rsidRPr="00653DCF">
        <w:rPr>
          <w:color w:val="auto"/>
          <w:lang w:val="hr-HR"/>
        </w:rPr>
        <w:t>druge stran</w:t>
      </w:r>
      <w:r w:rsidR="00BE4880" w:rsidRPr="00653DCF">
        <w:rPr>
          <w:color w:val="auto"/>
          <w:lang w:val="hr-HR"/>
        </w:rPr>
        <w:t>k</w:t>
      </w:r>
      <w:r w:rsidR="000D50E0" w:rsidRPr="00653DCF">
        <w:rPr>
          <w:color w:val="auto"/>
          <w:lang w:val="hr-HR"/>
        </w:rPr>
        <w:t xml:space="preserve">e </w:t>
      </w:r>
      <w:r w:rsidR="00E87B0B" w:rsidRPr="00653DCF">
        <w:rPr>
          <w:color w:val="auto"/>
          <w:lang w:val="hr-HR"/>
        </w:rPr>
        <w:t xml:space="preserve">ili </w:t>
      </w:r>
      <w:r w:rsidR="000D50E0" w:rsidRPr="00653DCF">
        <w:rPr>
          <w:color w:val="auto"/>
          <w:lang w:val="hr-HR"/>
        </w:rPr>
        <w:t xml:space="preserve">kao </w:t>
      </w:r>
      <w:r w:rsidR="00E87B0B" w:rsidRPr="00653DCF">
        <w:rPr>
          <w:color w:val="auto"/>
          <w:lang w:val="hr-HR"/>
        </w:rPr>
        <w:t xml:space="preserve">zajednički voditelj obrade s drugom </w:t>
      </w:r>
      <w:r w:rsidR="00FA6799" w:rsidRPr="00653DCF">
        <w:rPr>
          <w:color w:val="auto"/>
          <w:lang w:val="hr-HR"/>
        </w:rPr>
        <w:t>s</w:t>
      </w:r>
      <w:r w:rsidR="00662EEB" w:rsidRPr="00653DCF">
        <w:rPr>
          <w:color w:val="auto"/>
          <w:lang w:val="hr-HR"/>
        </w:rPr>
        <w:t>tran</w:t>
      </w:r>
      <w:r w:rsidR="00BE4880" w:rsidRPr="00653DCF">
        <w:rPr>
          <w:color w:val="auto"/>
          <w:lang w:val="hr-HR"/>
        </w:rPr>
        <w:t>k</w:t>
      </w:r>
      <w:r w:rsidR="00662EEB" w:rsidRPr="00653DCF">
        <w:rPr>
          <w:color w:val="auto"/>
          <w:lang w:val="hr-HR"/>
        </w:rPr>
        <w:t>om</w:t>
      </w:r>
      <w:r w:rsidR="00E87B0B" w:rsidRPr="00653DCF">
        <w:rPr>
          <w:color w:val="auto"/>
          <w:lang w:val="hr-HR"/>
        </w:rPr>
        <w:t>.</w:t>
      </w:r>
      <w:bookmarkEnd w:id="23"/>
    </w:p>
    <w:p w14:paraId="0CCA41E1" w14:textId="2D21E3D6" w:rsidR="007A2A6F" w:rsidRPr="00653DCF" w:rsidRDefault="00E87B0B">
      <w:pPr>
        <w:pStyle w:val="NoIndentEIB"/>
        <w:numPr>
          <w:ilvl w:val="0"/>
          <w:numId w:val="3"/>
        </w:numPr>
        <w:rPr>
          <w:color w:val="auto"/>
          <w:lang w:val="hr-HR"/>
        </w:rPr>
      </w:pPr>
      <w:r w:rsidRPr="00653DCF">
        <w:rPr>
          <w:color w:val="auto"/>
          <w:lang w:val="hr-HR"/>
        </w:rPr>
        <w:t xml:space="preserve">Banka podupire provedbu međunarodnih standarda i standarda Europske unije u </w:t>
      </w:r>
      <w:r w:rsidR="00907E34" w:rsidRPr="00653DCF">
        <w:rPr>
          <w:color w:val="auto"/>
          <w:lang w:val="hr-HR"/>
        </w:rPr>
        <w:t>pogledu</w:t>
      </w:r>
      <w:r w:rsidRPr="00653DCF">
        <w:rPr>
          <w:color w:val="auto"/>
          <w:lang w:val="hr-HR"/>
        </w:rPr>
        <w:t xml:space="preserve"> sprečavanja pranja novca i borbe protiv financiranja terorizma te promiče standarde dobrog poreznog upravljanja. Uspostavila je politike i postupke kako bi se izbjegao rizik zlouporabe </w:t>
      </w:r>
      <w:r w:rsidR="00DE728F" w:rsidRPr="00653DCF">
        <w:rPr>
          <w:color w:val="auto"/>
          <w:lang w:val="hr-HR"/>
        </w:rPr>
        <w:t xml:space="preserve">njenih </w:t>
      </w:r>
      <w:r w:rsidRPr="00653DCF">
        <w:rPr>
          <w:color w:val="auto"/>
          <w:lang w:val="hr-HR"/>
        </w:rPr>
        <w:t xml:space="preserve">sredstava u svrhe koje su nezakonite ili </w:t>
      </w:r>
      <w:r w:rsidR="00DE728F" w:rsidRPr="00653DCF">
        <w:rPr>
          <w:color w:val="auto"/>
          <w:lang w:val="hr-HR"/>
        </w:rPr>
        <w:t xml:space="preserve">predstavljaju zlouporabu vezano za </w:t>
      </w:r>
      <w:r w:rsidRPr="00653DCF">
        <w:rPr>
          <w:color w:val="auto"/>
          <w:lang w:val="hr-HR"/>
        </w:rPr>
        <w:t xml:space="preserve">primjenjive zakone. </w:t>
      </w:r>
      <w:r w:rsidR="00C1226E" w:rsidRPr="00653DCF">
        <w:rPr>
          <w:color w:val="auto"/>
          <w:lang w:val="hr-HR"/>
        </w:rPr>
        <w:t>I</w:t>
      </w:r>
      <w:r w:rsidRPr="00653DCF">
        <w:rPr>
          <w:color w:val="auto"/>
          <w:lang w:val="hr-HR"/>
        </w:rPr>
        <w:t xml:space="preserve">zjava </w:t>
      </w:r>
      <w:r w:rsidR="00584F7F" w:rsidRPr="00653DCF">
        <w:rPr>
          <w:color w:val="auto"/>
          <w:lang w:val="hr-HR"/>
        </w:rPr>
        <w:t xml:space="preserve">Grupe Banke </w:t>
      </w:r>
      <w:r w:rsidRPr="00653DCF">
        <w:rPr>
          <w:color w:val="auto"/>
          <w:lang w:val="hr-HR"/>
        </w:rPr>
        <w:t xml:space="preserve">o </w:t>
      </w:r>
      <w:r w:rsidR="00191D28" w:rsidRPr="00653DCF">
        <w:rPr>
          <w:color w:val="auto"/>
          <w:lang w:val="hr-HR"/>
        </w:rPr>
        <w:t>suzbijanju poreznih prijevara</w:t>
      </w:r>
      <w:r w:rsidRPr="00653DCF">
        <w:rPr>
          <w:color w:val="auto"/>
          <w:lang w:val="hr-HR"/>
        </w:rPr>
        <w:t>, utaj</w:t>
      </w:r>
      <w:r w:rsidR="00191D28" w:rsidRPr="00653DCF">
        <w:rPr>
          <w:color w:val="auto"/>
          <w:lang w:val="hr-HR"/>
        </w:rPr>
        <w:t>e</w:t>
      </w:r>
      <w:r w:rsidRPr="00653DCF">
        <w:rPr>
          <w:color w:val="auto"/>
          <w:lang w:val="hr-HR"/>
        </w:rPr>
        <w:t xml:space="preserve"> porez</w:t>
      </w:r>
      <w:r w:rsidR="00191D28" w:rsidRPr="00653DCF">
        <w:rPr>
          <w:color w:val="auto"/>
          <w:lang w:val="hr-HR"/>
        </w:rPr>
        <w:t>a</w:t>
      </w:r>
      <w:r w:rsidRPr="00653DCF">
        <w:rPr>
          <w:color w:val="auto"/>
          <w:lang w:val="hr-HR"/>
        </w:rPr>
        <w:t>, izbjegavanj</w:t>
      </w:r>
      <w:r w:rsidR="00191D28" w:rsidRPr="00653DCF">
        <w:rPr>
          <w:color w:val="auto"/>
          <w:lang w:val="hr-HR"/>
        </w:rPr>
        <w:t>a</w:t>
      </w:r>
      <w:r w:rsidRPr="00653DCF">
        <w:rPr>
          <w:color w:val="auto"/>
          <w:lang w:val="hr-HR"/>
        </w:rPr>
        <w:t xml:space="preserve"> plaćanja poreza, agresivno</w:t>
      </w:r>
      <w:r w:rsidR="00191D28" w:rsidRPr="00653DCF">
        <w:rPr>
          <w:color w:val="auto"/>
          <w:lang w:val="hr-HR"/>
        </w:rPr>
        <w:t>g</w:t>
      </w:r>
      <w:r w:rsidRPr="00653DCF">
        <w:rPr>
          <w:color w:val="auto"/>
          <w:lang w:val="hr-HR"/>
        </w:rPr>
        <w:t xml:space="preserve"> porezno</w:t>
      </w:r>
      <w:r w:rsidR="00191D28" w:rsidRPr="00653DCF">
        <w:rPr>
          <w:color w:val="auto"/>
          <w:lang w:val="hr-HR"/>
        </w:rPr>
        <w:t>g</w:t>
      </w:r>
      <w:r w:rsidRPr="00653DCF">
        <w:rPr>
          <w:color w:val="auto"/>
          <w:lang w:val="hr-HR"/>
        </w:rPr>
        <w:t xml:space="preserve"> planiranj</w:t>
      </w:r>
      <w:r w:rsidR="00191D28" w:rsidRPr="00653DCF">
        <w:rPr>
          <w:color w:val="auto"/>
          <w:lang w:val="hr-HR"/>
        </w:rPr>
        <w:t>a,</w:t>
      </w:r>
      <w:r w:rsidRPr="00653DCF">
        <w:rPr>
          <w:color w:val="auto"/>
          <w:lang w:val="hr-HR"/>
        </w:rPr>
        <w:t xml:space="preserve"> pranj</w:t>
      </w:r>
      <w:r w:rsidR="00191D28" w:rsidRPr="00653DCF">
        <w:rPr>
          <w:color w:val="auto"/>
          <w:lang w:val="hr-HR"/>
        </w:rPr>
        <w:t>a</w:t>
      </w:r>
      <w:r w:rsidRPr="00653DCF">
        <w:rPr>
          <w:color w:val="auto"/>
          <w:lang w:val="hr-HR"/>
        </w:rPr>
        <w:t xml:space="preserve"> novca i financiranj</w:t>
      </w:r>
      <w:r w:rsidR="00191D28" w:rsidRPr="00653DCF">
        <w:rPr>
          <w:color w:val="auto"/>
          <w:lang w:val="hr-HR"/>
        </w:rPr>
        <w:t>a</w:t>
      </w:r>
      <w:r w:rsidRPr="00653DCF">
        <w:rPr>
          <w:color w:val="auto"/>
          <w:lang w:val="hr-HR"/>
        </w:rPr>
        <w:t xml:space="preserve"> terorizma dostupna je na internetskim stranicama Banke i </w:t>
      </w:r>
      <w:r w:rsidR="00C01AF0" w:rsidRPr="00653DCF">
        <w:rPr>
          <w:color w:val="auto"/>
          <w:lang w:val="hr-HR"/>
        </w:rPr>
        <w:t>predstavlja</w:t>
      </w:r>
      <w:r w:rsidRPr="00653DCF">
        <w:rPr>
          <w:color w:val="auto"/>
          <w:lang w:val="hr-HR"/>
        </w:rPr>
        <w:t xml:space="preserve"> dodatne smjernice </w:t>
      </w:r>
      <w:r w:rsidR="00C01AF0" w:rsidRPr="00653DCF">
        <w:rPr>
          <w:color w:val="auto"/>
          <w:lang w:val="hr-HR"/>
        </w:rPr>
        <w:t xml:space="preserve">za ugovorne strane </w:t>
      </w:r>
      <w:r w:rsidRPr="00653DCF">
        <w:rPr>
          <w:color w:val="auto"/>
          <w:lang w:val="hr-HR"/>
        </w:rPr>
        <w:t>Banke.</w:t>
      </w:r>
    </w:p>
    <w:p w14:paraId="206B5ADC" w14:textId="3BB6A1E2" w:rsidR="007A2A6F" w:rsidRPr="00653DCF" w:rsidRDefault="00E87B0B">
      <w:pPr>
        <w:spacing w:after="200" w:line="276" w:lineRule="auto"/>
        <w:ind w:left="0"/>
        <w:jc w:val="left"/>
        <w:rPr>
          <w:color w:val="auto"/>
          <w:lang w:val="hr-HR"/>
        </w:rPr>
      </w:pPr>
      <w:r w:rsidRPr="00653DCF">
        <w:rPr>
          <w:color w:val="auto"/>
          <w:lang w:val="hr-HR"/>
        </w:rPr>
        <w:br w:type="page"/>
      </w:r>
    </w:p>
    <w:p w14:paraId="15CA9592" w14:textId="330AE639" w:rsidR="007A2A6F" w:rsidRPr="00653DCF" w:rsidRDefault="008043DE">
      <w:pPr>
        <w:rPr>
          <w:color w:val="auto"/>
          <w:lang w:val="hr-HR"/>
        </w:rPr>
      </w:pPr>
      <w:r w:rsidRPr="00653DCF">
        <w:rPr>
          <w:rStyle w:val="BoldEIB"/>
          <w:color w:val="auto"/>
          <w:lang w:val="hr-HR"/>
        </w:rPr>
        <w:lastRenderedPageBreak/>
        <w:t>STOGA</w:t>
      </w:r>
      <w:r w:rsidR="00E87B0B" w:rsidRPr="00653DCF">
        <w:rPr>
          <w:color w:val="auto"/>
          <w:lang w:val="hr-HR"/>
        </w:rPr>
        <w:t xml:space="preserve"> </w:t>
      </w:r>
      <w:r w:rsidR="00734075" w:rsidRPr="00653DCF">
        <w:rPr>
          <w:color w:val="auto"/>
          <w:lang w:val="hr-HR"/>
        </w:rPr>
        <w:t>je dogovoreno</w:t>
      </w:r>
      <w:r w:rsidR="00E87B0B" w:rsidRPr="00653DCF">
        <w:rPr>
          <w:color w:val="auto"/>
          <w:lang w:val="hr-HR"/>
        </w:rPr>
        <w:t xml:space="preserve"> kako slijedi:</w:t>
      </w:r>
    </w:p>
    <w:p w14:paraId="4B993773" w14:textId="77777777" w:rsidR="00380FCC" w:rsidRPr="00653DCF" w:rsidRDefault="00380FCC">
      <w:pPr>
        <w:rPr>
          <w:color w:val="auto"/>
          <w:lang w:val="hr-HR"/>
        </w:rPr>
      </w:pPr>
    </w:p>
    <w:p w14:paraId="718A05AC" w14:textId="77777777" w:rsidR="007A2A6F" w:rsidRPr="00653DCF" w:rsidRDefault="00E87B0B">
      <w:pPr>
        <w:pStyle w:val="OutlineEIB"/>
        <w:rPr>
          <w:color w:val="auto"/>
          <w:lang w:val="hr-HR"/>
        </w:rPr>
      </w:pPr>
      <w:bookmarkStart w:id="24" w:name="_Toc475441102"/>
      <w:bookmarkStart w:id="25" w:name="_Toc498018597"/>
      <w:bookmarkStart w:id="26" w:name="_Toc508120451"/>
      <w:bookmarkStart w:id="27" w:name="_Toc126080647"/>
      <w:bookmarkStart w:id="28" w:name="_Toc126080779"/>
      <w:r w:rsidRPr="00653DCF">
        <w:rPr>
          <w:color w:val="auto"/>
          <w:lang w:val="hr-HR"/>
        </w:rPr>
        <w:t>TUMAČENJE I DEFINICIJE</w:t>
      </w:r>
      <w:bookmarkEnd w:id="24"/>
      <w:bookmarkEnd w:id="25"/>
      <w:bookmarkEnd w:id="26"/>
      <w:bookmarkEnd w:id="27"/>
      <w:bookmarkEnd w:id="28"/>
    </w:p>
    <w:p w14:paraId="570887CD" w14:textId="177D5F23" w:rsidR="007A2A6F" w:rsidRPr="00653DCF" w:rsidRDefault="00E87B0B">
      <w:pPr>
        <w:rPr>
          <w:rStyle w:val="BoldEIB"/>
          <w:color w:val="auto"/>
          <w:lang w:val="hr-HR"/>
        </w:rPr>
      </w:pPr>
      <w:r w:rsidRPr="00653DCF">
        <w:rPr>
          <w:rStyle w:val="BoldEIB"/>
          <w:color w:val="auto"/>
          <w:lang w:val="hr-HR"/>
        </w:rPr>
        <w:t>Tumačenj</w:t>
      </w:r>
      <w:r w:rsidR="006937B6" w:rsidRPr="00653DCF">
        <w:rPr>
          <w:rStyle w:val="BoldEIB"/>
          <w:color w:val="auto"/>
          <w:lang w:val="hr-HR"/>
        </w:rPr>
        <w:t>e</w:t>
      </w:r>
    </w:p>
    <w:p w14:paraId="7D4EA819" w14:textId="76762592" w:rsidR="007A2A6F" w:rsidRPr="00653DCF" w:rsidRDefault="00E87B0B">
      <w:pPr>
        <w:rPr>
          <w:color w:val="auto"/>
          <w:lang w:val="hr-HR"/>
        </w:rPr>
      </w:pPr>
      <w:r w:rsidRPr="00653DCF">
        <w:rPr>
          <w:color w:val="auto"/>
          <w:lang w:val="hr-HR"/>
        </w:rPr>
        <w:t xml:space="preserve">U ovom </w:t>
      </w:r>
      <w:r w:rsidR="00183C1B" w:rsidRPr="00653DCF">
        <w:rPr>
          <w:color w:val="auto"/>
          <w:lang w:val="hr-HR"/>
        </w:rPr>
        <w:t>U</w:t>
      </w:r>
      <w:r w:rsidRPr="00653DCF">
        <w:rPr>
          <w:color w:val="auto"/>
          <w:lang w:val="hr-HR"/>
        </w:rPr>
        <w:t>govoru:</w:t>
      </w:r>
    </w:p>
    <w:p w14:paraId="523C318E" w14:textId="3385E664" w:rsidR="00183C1B" w:rsidRPr="00653DCF" w:rsidRDefault="00EA62A7">
      <w:pPr>
        <w:pStyle w:val="NoIndentEIB"/>
        <w:numPr>
          <w:ilvl w:val="0"/>
          <w:numId w:val="4"/>
        </w:numPr>
        <w:rPr>
          <w:color w:val="auto"/>
          <w:lang w:val="hr-HR"/>
        </w:rPr>
      </w:pPr>
      <w:r w:rsidRPr="00653DCF">
        <w:rPr>
          <w:color w:val="auto"/>
          <w:lang w:val="hr-HR"/>
        </w:rPr>
        <w:t>u</w:t>
      </w:r>
      <w:r w:rsidR="00183C1B" w:rsidRPr="00653DCF">
        <w:rPr>
          <w:color w:val="auto"/>
          <w:lang w:val="hr-HR"/>
        </w:rPr>
        <w:t>pućivanj</w:t>
      </w:r>
      <w:r w:rsidR="00A236CF" w:rsidRPr="00653DCF">
        <w:rPr>
          <w:color w:val="auto"/>
          <w:lang w:val="hr-HR"/>
        </w:rPr>
        <w:t>a</w:t>
      </w:r>
      <w:r w:rsidR="00183C1B" w:rsidRPr="00653DCF">
        <w:rPr>
          <w:color w:val="auto"/>
          <w:lang w:val="hr-HR"/>
        </w:rPr>
        <w:t xml:space="preserve"> na </w:t>
      </w:r>
      <w:r w:rsidR="00F1079E" w:rsidRPr="00653DCF">
        <w:rPr>
          <w:color w:val="auto"/>
          <w:lang w:val="hr-HR"/>
        </w:rPr>
        <w:t>„</w:t>
      </w:r>
      <w:r w:rsidR="00183C1B" w:rsidRPr="00653DCF">
        <w:rPr>
          <w:color w:val="auto"/>
          <w:lang w:val="hr-HR"/>
        </w:rPr>
        <w:t>članke</w:t>
      </w:r>
      <w:r w:rsidR="00F1079E" w:rsidRPr="00653DCF">
        <w:rPr>
          <w:color w:val="auto"/>
          <w:lang w:val="hr-HR"/>
        </w:rPr>
        <w:t>“</w:t>
      </w:r>
      <w:r w:rsidR="00183C1B" w:rsidRPr="00653DCF">
        <w:rPr>
          <w:color w:val="auto"/>
          <w:lang w:val="hr-HR"/>
        </w:rPr>
        <w:t xml:space="preserve">, </w:t>
      </w:r>
      <w:r w:rsidR="00F1079E" w:rsidRPr="00653DCF">
        <w:rPr>
          <w:color w:val="auto"/>
          <w:lang w:val="hr-HR"/>
        </w:rPr>
        <w:t>„</w:t>
      </w:r>
      <w:r w:rsidR="00183C1B" w:rsidRPr="00653DCF">
        <w:rPr>
          <w:color w:val="auto"/>
          <w:lang w:val="hr-HR"/>
        </w:rPr>
        <w:t>uvodne odredbe</w:t>
      </w:r>
      <w:r w:rsidR="00F1079E" w:rsidRPr="00653DCF">
        <w:rPr>
          <w:color w:val="auto"/>
          <w:lang w:val="hr-HR"/>
        </w:rPr>
        <w:t>“</w:t>
      </w:r>
      <w:r w:rsidR="00183C1B" w:rsidRPr="00653DCF">
        <w:rPr>
          <w:color w:val="auto"/>
          <w:lang w:val="hr-HR"/>
        </w:rPr>
        <w:t xml:space="preserve">, </w:t>
      </w:r>
      <w:r w:rsidR="00F1079E" w:rsidRPr="00653DCF">
        <w:rPr>
          <w:color w:val="auto"/>
          <w:lang w:val="hr-HR"/>
        </w:rPr>
        <w:t>„</w:t>
      </w:r>
      <w:r w:rsidR="00183C1B" w:rsidRPr="00653DCF">
        <w:rPr>
          <w:color w:val="auto"/>
          <w:lang w:val="hr-HR"/>
        </w:rPr>
        <w:t>priloge</w:t>
      </w:r>
      <w:r w:rsidR="00F1079E" w:rsidRPr="00653DCF">
        <w:rPr>
          <w:color w:val="auto"/>
          <w:lang w:val="hr-HR"/>
        </w:rPr>
        <w:t>“</w:t>
      </w:r>
      <w:r w:rsidR="00183C1B" w:rsidRPr="00653DCF">
        <w:rPr>
          <w:color w:val="auto"/>
          <w:lang w:val="hr-HR"/>
        </w:rPr>
        <w:t xml:space="preserve"> i </w:t>
      </w:r>
      <w:r w:rsidR="00F1079E" w:rsidRPr="00653DCF">
        <w:rPr>
          <w:color w:val="auto"/>
          <w:lang w:val="hr-HR"/>
        </w:rPr>
        <w:t>„</w:t>
      </w:r>
      <w:r w:rsidR="00183C1B" w:rsidRPr="00653DCF">
        <w:rPr>
          <w:color w:val="auto"/>
          <w:lang w:val="hr-HR"/>
        </w:rPr>
        <w:t>dodatke</w:t>
      </w:r>
      <w:r w:rsidR="00F1079E" w:rsidRPr="00653DCF">
        <w:rPr>
          <w:color w:val="auto"/>
          <w:lang w:val="hr-HR"/>
        </w:rPr>
        <w:t>“</w:t>
      </w:r>
      <w:r w:rsidR="00183C1B" w:rsidRPr="00653DCF">
        <w:rPr>
          <w:color w:val="auto"/>
          <w:lang w:val="hr-HR"/>
        </w:rPr>
        <w:t xml:space="preserve">, osim ako nije izričito drugačije </w:t>
      </w:r>
      <w:r w:rsidRPr="00653DCF">
        <w:rPr>
          <w:color w:val="auto"/>
          <w:lang w:val="hr-HR"/>
        </w:rPr>
        <w:t>navedeno, odnose se na članke, uvodne odredbe, priloge i dodatke ovom Ugovoru</w:t>
      </w:r>
      <w:r w:rsidR="006079D3" w:rsidRPr="00653DCF">
        <w:rPr>
          <w:color w:val="auto"/>
          <w:lang w:val="hr-HR"/>
        </w:rPr>
        <w:t>;</w:t>
      </w:r>
    </w:p>
    <w:p w14:paraId="4D93C51C" w14:textId="05606759" w:rsidR="007A2A6F" w:rsidRPr="00653DCF" w:rsidRDefault="00F1079E">
      <w:pPr>
        <w:pStyle w:val="NoIndentEIB"/>
        <w:numPr>
          <w:ilvl w:val="0"/>
          <w:numId w:val="4"/>
        </w:numPr>
        <w:rPr>
          <w:color w:val="auto"/>
          <w:lang w:val="hr-HR"/>
        </w:rPr>
      </w:pPr>
      <w:r w:rsidRPr="00653DCF">
        <w:rPr>
          <w:color w:val="auto"/>
          <w:lang w:val="hr-HR"/>
        </w:rPr>
        <w:t>u</w:t>
      </w:r>
      <w:r w:rsidR="00EA62A7" w:rsidRPr="00653DCF">
        <w:rPr>
          <w:color w:val="auto"/>
          <w:lang w:val="hr-HR"/>
        </w:rPr>
        <w:t xml:space="preserve">pućivanja na </w:t>
      </w:r>
      <w:r w:rsidRPr="00653DCF">
        <w:rPr>
          <w:color w:val="auto"/>
          <w:lang w:val="hr-HR"/>
        </w:rPr>
        <w:t>„zakon“ ili „</w:t>
      </w:r>
      <w:r w:rsidR="00CB683F" w:rsidRPr="00653DCF">
        <w:rPr>
          <w:color w:val="auto"/>
          <w:lang w:val="hr-HR"/>
        </w:rPr>
        <w:t>pravo</w:t>
      </w:r>
      <w:r w:rsidRPr="00653DCF">
        <w:rPr>
          <w:color w:val="auto"/>
          <w:lang w:val="hr-HR"/>
        </w:rPr>
        <w:t>“ znač</w:t>
      </w:r>
      <w:r w:rsidR="00A236CF" w:rsidRPr="00653DCF">
        <w:rPr>
          <w:color w:val="auto"/>
          <w:lang w:val="hr-HR"/>
        </w:rPr>
        <w:t>e</w:t>
      </w:r>
      <w:r w:rsidRPr="00653DCF">
        <w:rPr>
          <w:color w:val="auto"/>
          <w:lang w:val="hr-HR"/>
        </w:rPr>
        <w:t>:</w:t>
      </w:r>
    </w:p>
    <w:p w14:paraId="7B0C2C68" w14:textId="52313165" w:rsidR="007A2A6F" w:rsidRPr="00653DCF" w:rsidRDefault="00513FFA">
      <w:pPr>
        <w:pStyle w:val="NoIndentEIB"/>
        <w:numPr>
          <w:ilvl w:val="1"/>
          <w:numId w:val="4"/>
        </w:numPr>
        <w:rPr>
          <w:color w:val="auto"/>
          <w:lang w:val="hr-HR"/>
        </w:rPr>
      </w:pPr>
      <w:r w:rsidRPr="00653DCF">
        <w:rPr>
          <w:color w:val="auto"/>
          <w:lang w:val="hr-HR"/>
        </w:rPr>
        <w:t xml:space="preserve">bilo koji </w:t>
      </w:r>
      <w:r w:rsidR="00431643" w:rsidRPr="00653DCF">
        <w:rPr>
          <w:color w:val="auto"/>
          <w:lang w:val="hr-HR"/>
        </w:rPr>
        <w:t>primjenjivi</w:t>
      </w:r>
      <w:r w:rsidR="00103266" w:rsidRPr="00653DCF">
        <w:rPr>
          <w:color w:val="auto"/>
          <w:lang w:val="hr-HR"/>
        </w:rPr>
        <w:t xml:space="preserve"> </w:t>
      </w:r>
      <w:r w:rsidR="003A7FEC" w:rsidRPr="00653DCF">
        <w:rPr>
          <w:color w:val="auto"/>
          <w:lang w:val="hr-HR"/>
        </w:rPr>
        <w:t>zakon</w:t>
      </w:r>
      <w:r w:rsidR="00103266" w:rsidRPr="00653DCF">
        <w:rPr>
          <w:color w:val="auto"/>
          <w:lang w:val="hr-HR"/>
        </w:rPr>
        <w:t xml:space="preserve"> i </w:t>
      </w:r>
      <w:r w:rsidR="00431643" w:rsidRPr="00653DCF">
        <w:rPr>
          <w:color w:val="auto"/>
          <w:lang w:val="hr-HR"/>
        </w:rPr>
        <w:t>primjenjivi</w:t>
      </w:r>
      <w:r w:rsidR="00103266" w:rsidRPr="00653DCF">
        <w:rPr>
          <w:color w:val="auto"/>
          <w:lang w:val="hr-HR"/>
        </w:rPr>
        <w:t xml:space="preserve"> ugovor</w:t>
      </w:r>
      <w:r w:rsidRPr="00653DCF">
        <w:rPr>
          <w:color w:val="auto"/>
          <w:lang w:val="hr-HR"/>
        </w:rPr>
        <w:t>,</w:t>
      </w:r>
      <w:r w:rsidR="00E87B0B" w:rsidRPr="00653DCF">
        <w:rPr>
          <w:color w:val="auto"/>
          <w:lang w:val="hr-HR"/>
        </w:rPr>
        <w:t xml:space="preserve"> ustav, statut, zakonodavstvo,</w:t>
      </w:r>
      <w:r w:rsidR="00103266" w:rsidRPr="00653DCF">
        <w:rPr>
          <w:color w:val="auto"/>
          <w:lang w:val="hr-HR"/>
        </w:rPr>
        <w:t xml:space="preserve"> odluka</w:t>
      </w:r>
      <w:r w:rsidR="00E87B0B" w:rsidRPr="00653DCF">
        <w:rPr>
          <w:color w:val="auto"/>
          <w:lang w:val="hr-HR"/>
        </w:rPr>
        <w:t>, normativni akt, pravilo, propis, presud</w:t>
      </w:r>
      <w:r w:rsidR="00103266" w:rsidRPr="00653DCF">
        <w:rPr>
          <w:color w:val="auto"/>
          <w:lang w:val="hr-HR"/>
        </w:rPr>
        <w:t>a</w:t>
      </w:r>
      <w:r w:rsidR="00E87B0B" w:rsidRPr="00653DCF">
        <w:rPr>
          <w:color w:val="auto"/>
          <w:lang w:val="hr-HR"/>
        </w:rPr>
        <w:t xml:space="preserve">, nalog, </w:t>
      </w:r>
      <w:r w:rsidR="008D2764" w:rsidRPr="00653DCF">
        <w:rPr>
          <w:color w:val="auto"/>
          <w:lang w:val="hr-HR"/>
        </w:rPr>
        <w:t>pismen</w:t>
      </w:r>
      <w:r w:rsidR="0046625C" w:rsidRPr="00653DCF">
        <w:rPr>
          <w:color w:val="auto"/>
          <w:lang w:val="hr-HR"/>
        </w:rPr>
        <w:t>o</w:t>
      </w:r>
      <w:r w:rsidR="00E87B0B" w:rsidRPr="00653DCF">
        <w:rPr>
          <w:color w:val="auto"/>
          <w:lang w:val="hr-HR"/>
        </w:rPr>
        <w:t xml:space="preserve">, </w:t>
      </w:r>
      <w:r w:rsidR="008D2764" w:rsidRPr="00653DCF">
        <w:rPr>
          <w:color w:val="auto"/>
          <w:lang w:val="hr-HR"/>
        </w:rPr>
        <w:t>sudski nalog, određivanje, odluk</w:t>
      </w:r>
      <w:r w:rsidR="00CB683F" w:rsidRPr="00653DCF">
        <w:rPr>
          <w:color w:val="auto"/>
          <w:lang w:val="hr-HR"/>
        </w:rPr>
        <w:t>a</w:t>
      </w:r>
      <w:r w:rsidR="008D2764" w:rsidRPr="00653DCF">
        <w:rPr>
          <w:color w:val="auto"/>
          <w:lang w:val="hr-HR"/>
        </w:rPr>
        <w:t xml:space="preserve"> suda ili druga </w:t>
      </w:r>
      <w:r w:rsidR="003A7FEC" w:rsidRPr="00653DCF">
        <w:rPr>
          <w:color w:val="auto"/>
          <w:lang w:val="hr-HR"/>
        </w:rPr>
        <w:t>zakonodavna</w:t>
      </w:r>
      <w:r w:rsidR="008D2764" w:rsidRPr="00653DCF">
        <w:rPr>
          <w:color w:val="auto"/>
          <w:lang w:val="hr-HR"/>
        </w:rPr>
        <w:t xml:space="preserve"> ili upravna mjera ili sudska ili </w:t>
      </w:r>
      <w:r w:rsidR="003A7FEC" w:rsidRPr="00653DCF">
        <w:rPr>
          <w:color w:val="auto"/>
          <w:lang w:val="hr-HR"/>
        </w:rPr>
        <w:t>arbitražna</w:t>
      </w:r>
      <w:r w:rsidR="008D2764" w:rsidRPr="00653DCF">
        <w:rPr>
          <w:color w:val="auto"/>
          <w:lang w:val="hr-HR"/>
        </w:rPr>
        <w:t xml:space="preserve"> odluka u </w:t>
      </w:r>
      <w:r w:rsidRPr="00653DCF">
        <w:rPr>
          <w:color w:val="auto"/>
          <w:lang w:val="hr-HR"/>
        </w:rPr>
        <w:t xml:space="preserve">bilo kojoj sudskoj </w:t>
      </w:r>
      <w:r w:rsidR="008D2764" w:rsidRPr="00653DCF">
        <w:rPr>
          <w:color w:val="auto"/>
          <w:lang w:val="hr-HR"/>
        </w:rPr>
        <w:t>nadležnosti</w:t>
      </w:r>
      <w:r w:rsidR="009E29F5" w:rsidRPr="00653DCF">
        <w:rPr>
          <w:color w:val="auto"/>
          <w:lang w:val="hr-HR"/>
        </w:rPr>
        <w:t>, koji</w:t>
      </w:r>
      <w:r w:rsidR="008D2764" w:rsidRPr="00653DCF">
        <w:rPr>
          <w:color w:val="auto"/>
          <w:lang w:val="hr-HR"/>
        </w:rPr>
        <w:t xml:space="preserve"> </w:t>
      </w:r>
      <w:r w:rsidR="00033EA0" w:rsidRPr="00653DCF">
        <w:rPr>
          <w:color w:val="auto"/>
          <w:lang w:val="hr-HR"/>
        </w:rPr>
        <w:t>predstavlja</w:t>
      </w:r>
      <w:r w:rsidR="009E29F5" w:rsidRPr="00653DCF">
        <w:rPr>
          <w:color w:val="auto"/>
          <w:lang w:val="hr-HR"/>
        </w:rPr>
        <w:t>ju</w:t>
      </w:r>
      <w:r w:rsidR="00033EA0" w:rsidRPr="00653DCF">
        <w:rPr>
          <w:color w:val="auto"/>
          <w:lang w:val="hr-HR"/>
        </w:rPr>
        <w:t xml:space="preserve"> </w:t>
      </w:r>
      <w:r w:rsidR="006079D3" w:rsidRPr="00653DCF">
        <w:rPr>
          <w:color w:val="auto"/>
          <w:lang w:val="hr-HR"/>
        </w:rPr>
        <w:t>obvezujuć</w:t>
      </w:r>
      <w:r w:rsidR="00033EA0" w:rsidRPr="00653DCF">
        <w:rPr>
          <w:color w:val="auto"/>
          <w:lang w:val="hr-HR"/>
        </w:rPr>
        <w:t>u</w:t>
      </w:r>
      <w:r w:rsidR="006079D3" w:rsidRPr="00653DCF">
        <w:rPr>
          <w:color w:val="auto"/>
          <w:lang w:val="hr-HR"/>
        </w:rPr>
        <w:t xml:space="preserve"> ili primjenjiv</w:t>
      </w:r>
      <w:r w:rsidR="00033EA0" w:rsidRPr="00653DCF">
        <w:rPr>
          <w:color w:val="auto"/>
          <w:lang w:val="hr-HR"/>
        </w:rPr>
        <w:t>u</w:t>
      </w:r>
      <w:r w:rsidR="006079D3" w:rsidRPr="00653DCF">
        <w:rPr>
          <w:color w:val="auto"/>
          <w:lang w:val="hr-HR"/>
        </w:rPr>
        <w:t xml:space="preserve"> </w:t>
      </w:r>
      <w:r w:rsidR="00E87B0B" w:rsidRPr="00653DCF">
        <w:rPr>
          <w:color w:val="auto"/>
          <w:lang w:val="hr-HR"/>
        </w:rPr>
        <w:t>sudsk</w:t>
      </w:r>
      <w:r w:rsidR="00033EA0" w:rsidRPr="00653DCF">
        <w:rPr>
          <w:color w:val="auto"/>
          <w:lang w:val="hr-HR"/>
        </w:rPr>
        <w:t>u</w:t>
      </w:r>
      <w:r w:rsidR="00E87B0B" w:rsidRPr="00653DCF">
        <w:rPr>
          <w:color w:val="auto"/>
          <w:lang w:val="hr-HR"/>
        </w:rPr>
        <w:t xml:space="preserve"> praks</w:t>
      </w:r>
      <w:r w:rsidR="00033EA0" w:rsidRPr="00653DCF">
        <w:rPr>
          <w:color w:val="auto"/>
          <w:lang w:val="hr-HR"/>
        </w:rPr>
        <w:t>u</w:t>
      </w:r>
      <w:r w:rsidR="00E87B0B" w:rsidRPr="00653DCF">
        <w:rPr>
          <w:color w:val="auto"/>
          <w:lang w:val="hr-HR"/>
        </w:rPr>
        <w:t xml:space="preserve">; i </w:t>
      </w:r>
    </w:p>
    <w:p w14:paraId="38FDB0F1" w14:textId="15338EA3" w:rsidR="007A2A6F" w:rsidRPr="00653DCF" w:rsidRDefault="00A236CF">
      <w:pPr>
        <w:pStyle w:val="NoIndentEIB"/>
        <w:numPr>
          <w:ilvl w:val="1"/>
          <w:numId w:val="4"/>
        </w:numPr>
        <w:rPr>
          <w:color w:val="auto"/>
          <w:lang w:val="hr-HR"/>
        </w:rPr>
      </w:pPr>
      <w:r w:rsidRPr="00653DCF">
        <w:rPr>
          <w:color w:val="auto"/>
          <w:lang w:val="hr-HR"/>
        </w:rPr>
        <w:t>p</w:t>
      </w:r>
      <w:r w:rsidR="00E87B0B" w:rsidRPr="00653DCF">
        <w:rPr>
          <w:color w:val="auto"/>
          <w:lang w:val="hr-HR"/>
        </w:rPr>
        <w:t xml:space="preserve">ravo </w:t>
      </w:r>
      <w:r w:rsidR="00705F3F" w:rsidRPr="00653DCF">
        <w:rPr>
          <w:color w:val="auto"/>
          <w:lang w:val="hr-HR"/>
        </w:rPr>
        <w:t>EU-a</w:t>
      </w:r>
      <w:r w:rsidR="00E87B0B" w:rsidRPr="00653DCF">
        <w:rPr>
          <w:color w:val="auto"/>
          <w:lang w:val="hr-HR"/>
        </w:rPr>
        <w:t>;</w:t>
      </w:r>
    </w:p>
    <w:p w14:paraId="69C0B7CA" w14:textId="1DAA8634" w:rsidR="007A2A6F" w:rsidRPr="00653DCF" w:rsidRDefault="00D75AE7">
      <w:pPr>
        <w:pStyle w:val="NoIndentEIB"/>
        <w:numPr>
          <w:ilvl w:val="0"/>
          <w:numId w:val="4"/>
        </w:numPr>
        <w:rPr>
          <w:color w:val="auto"/>
          <w:lang w:val="hr-HR"/>
        </w:rPr>
      </w:pPr>
      <w:r w:rsidRPr="00653DCF">
        <w:rPr>
          <w:color w:val="auto"/>
          <w:lang w:val="hr-HR"/>
        </w:rPr>
        <w:t>u</w:t>
      </w:r>
      <w:r w:rsidR="00E5624F" w:rsidRPr="00653DCF">
        <w:rPr>
          <w:color w:val="auto"/>
          <w:lang w:val="hr-HR"/>
        </w:rPr>
        <w:t>pućivanja na</w:t>
      </w:r>
      <w:r w:rsidR="00DC7633" w:rsidRPr="00653DCF">
        <w:rPr>
          <w:color w:val="auto"/>
          <w:lang w:val="hr-HR"/>
        </w:rPr>
        <w:t xml:space="preserve"> </w:t>
      </w:r>
      <w:r w:rsidR="00E87B0B" w:rsidRPr="00653DCF">
        <w:rPr>
          <w:color w:val="auto"/>
          <w:lang w:val="hr-HR"/>
        </w:rPr>
        <w:t>„</w:t>
      </w:r>
      <w:r w:rsidR="00B62A44" w:rsidRPr="00653DCF">
        <w:rPr>
          <w:color w:val="auto"/>
          <w:lang w:val="hr-HR"/>
        </w:rPr>
        <w:t xml:space="preserve">primjenjivi </w:t>
      </w:r>
      <w:r w:rsidR="00E5624F" w:rsidRPr="00653DCF">
        <w:rPr>
          <w:color w:val="auto"/>
          <w:lang w:val="hr-HR"/>
        </w:rPr>
        <w:t>zakon</w:t>
      </w:r>
      <w:r w:rsidR="00E87B0B" w:rsidRPr="00653DCF">
        <w:rPr>
          <w:color w:val="auto"/>
          <w:lang w:val="hr-HR"/>
        </w:rPr>
        <w:t>”, „</w:t>
      </w:r>
      <w:r w:rsidR="00192A2E" w:rsidRPr="00653DCF">
        <w:rPr>
          <w:color w:val="auto"/>
          <w:lang w:val="hr-HR"/>
        </w:rPr>
        <w:t>primjenjive zakone</w:t>
      </w:r>
      <w:r w:rsidR="00E87B0B" w:rsidRPr="00653DCF">
        <w:rPr>
          <w:color w:val="auto"/>
          <w:lang w:val="hr-HR"/>
        </w:rPr>
        <w:t>” ili „</w:t>
      </w:r>
      <w:r w:rsidR="00B62A44" w:rsidRPr="00653DCF">
        <w:rPr>
          <w:color w:val="auto"/>
          <w:lang w:val="hr-HR"/>
        </w:rPr>
        <w:t xml:space="preserve">primjenjivu </w:t>
      </w:r>
      <w:r w:rsidR="00067A52" w:rsidRPr="00653DCF">
        <w:rPr>
          <w:color w:val="auto"/>
          <w:lang w:val="hr-HR"/>
        </w:rPr>
        <w:t xml:space="preserve">sudsku </w:t>
      </w:r>
      <w:r w:rsidR="00E5624F" w:rsidRPr="00653DCF">
        <w:rPr>
          <w:color w:val="auto"/>
          <w:lang w:val="hr-HR"/>
        </w:rPr>
        <w:t>nadležnost</w:t>
      </w:r>
      <w:r w:rsidR="00E87B0B" w:rsidRPr="00653DCF">
        <w:rPr>
          <w:color w:val="auto"/>
          <w:lang w:val="hr-HR"/>
        </w:rPr>
        <w:t>” znače:</w:t>
      </w:r>
    </w:p>
    <w:p w14:paraId="3E5B8C7C" w14:textId="6BC6B142" w:rsidR="007A2A6F" w:rsidRPr="00653DCF" w:rsidRDefault="00B62A44">
      <w:pPr>
        <w:pStyle w:val="NoIndentEIB"/>
        <w:numPr>
          <w:ilvl w:val="1"/>
          <w:numId w:val="4"/>
        </w:numPr>
        <w:rPr>
          <w:color w:val="auto"/>
          <w:lang w:val="hr-HR"/>
        </w:rPr>
      </w:pPr>
      <w:r w:rsidRPr="00653DCF">
        <w:rPr>
          <w:color w:val="auto"/>
          <w:lang w:val="hr-HR"/>
        </w:rPr>
        <w:t xml:space="preserve">pravo </w:t>
      </w:r>
      <w:r w:rsidR="00E87B0B" w:rsidRPr="00653DCF">
        <w:rPr>
          <w:color w:val="auto"/>
          <w:lang w:val="hr-HR"/>
        </w:rPr>
        <w:t xml:space="preserve">ili </w:t>
      </w:r>
      <w:r w:rsidRPr="00653DCF">
        <w:rPr>
          <w:color w:val="auto"/>
          <w:lang w:val="hr-HR"/>
        </w:rPr>
        <w:t xml:space="preserve">sudska </w:t>
      </w:r>
      <w:r w:rsidR="00F92BBE" w:rsidRPr="00653DCF">
        <w:rPr>
          <w:color w:val="auto"/>
          <w:lang w:val="hr-HR"/>
        </w:rPr>
        <w:t xml:space="preserve">nadležnost primjenjive na </w:t>
      </w:r>
      <w:r w:rsidR="00CC4C74" w:rsidRPr="00653DCF">
        <w:rPr>
          <w:color w:val="auto"/>
          <w:lang w:val="hr-HR"/>
        </w:rPr>
        <w:t>Z</w:t>
      </w:r>
      <w:r w:rsidR="00E87B0B" w:rsidRPr="00653DCF">
        <w:rPr>
          <w:color w:val="auto"/>
          <w:lang w:val="hr-HR"/>
        </w:rPr>
        <w:t>ajmoprimca, njegova prava i/ili obveze (koj</w:t>
      </w:r>
      <w:r w:rsidR="007C3391" w:rsidRPr="00653DCF">
        <w:rPr>
          <w:color w:val="auto"/>
          <w:lang w:val="hr-HR"/>
        </w:rPr>
        <w:t>e</w:t>
      </w:r>
      <w:r w:rsidR="00D87473" w:rsidRPr="00653DCF">
        <w:rPr>
          <w:color w:val="auto"/>
          <w:lang w:val="hr-HR"/>
        </w:rPr>
        <w:t xml:space="preserve"> u svakom </w:t>
      </w:r>
      <w:r w:rsidR="00194147" w:rsidRPr="00653DCF">
        <w:rPr>
          <w:color w:val="auto"/>
          <w:lang w:val="hr-HR"/>
        </w:rPr>
        <w:t xml:space="preserve">takvom </w:t>
      </w:r>
      <w:r w:rsidR="00D87473" w:rsidRPr="00653DCF">
        <w:rPr>
          <w:color w:val="auto"/>
          <w:lang w:val="hr-HR"/>
        </w:rPr>
        <w:t>slučaju</w:t>
      </w:r>
      <w:r w:rsidR="00E87B0B" w:rsidRPr="00653DCF">
        <w:rPr>
          <w:color w:val="auto"/>
          <w:lang w:val="hr-HR"/>
        </w:rPr>
        <w:t xml:space="preserve"> proizlaze iz </w:t>
      </w:r>
      <w:r w:rsidR="00AC26D4" w:rsidRPr="00653DCF">
        <w:rPr>
          <w:color w:val="auto"/>
          <w:lang w:val="hr-HR"/>
        </w:rPr>
        <w:t>ovog Ugovora ili u vezi s ovim Ugovorom</w:t>
      </w:r>
      <w:r w:rsidR="00E87B0B" w:rsidRPr="00653DCF">
        <w:rPr>
          <w:color w:val="auto"/>
          <w:lang w:val="hr-HR"/>
        </w:rPr>
        <w:t>), njegov</w:t>
      </w:r>
      <w:r w:rsidR="00AC26D4" w:rsidRPr="00653DCF">
        <w:rPr>
          <w:color w:val="auto"/>
          <w:lang w:val="hr-HR"/>
        </w:rPr>
        <w:t>o svojstvo</w:t>
      </w:r>
      <w:r w:rsidR="00D87473" w:rsidRPr="00653DCF">
        <w:rPr>
          <w:color w:val="auto"/>
          <w:lang w:val="hr-HR"/>
        </w:rPr>
        <w:t xml:space="preserve"> </w:t>
      </w:r>
      <w:r w:rsidR="00E87B0B" w:rsidRPr="00653DCF">
        <w:rPr>
          <w:color w:val="auto"/>
          <w:lang w:val="hr-HR"/>
        </w:rPr>
        <w:t xml:space="preserve">i/ili imovinu i/ili Projekt; i/ili, </w:t>
      </w:r>
      <w:r w:rsidR="00A161D7" w:rsidRPr="00653DCF">
        <w:rPr>
          <w:color w:val="auto"/>
          <w:lang w:val="hr-HR"/>
        </w:rPr>
        <w:t xml:space="preserve">onako kao je </w:t>
      </w:r>
      <w:r w:rsidR="00A61053" w:rsidRPr="00653DCF">
        <w:rPr>
          <w:color w:val="auto"/>
          <w:lang w:val="hr-HR"/>
        </w:rPr>
        <w:t xml:space="preserve">to </w:t>
      </w:r>
      <w:r w:rsidR="00A161D7" w:rsidRPr="00653DCF">
        <w:rPr>
          <w:color w:val="auto"/>
          <w:lang w:val="hr-HR"/>
        </w:rPr>
        <w:t>primjenjivo u konkretnom slučaju</w:t>
      </w:r>
    </w:p>
    <w:p w14:paraId="7779EB5C" w14:textId="4E28F6D7" w:rsidR="007A2A6F" w:rsidRPr="00653DCF" w:rsidRDefault="005B3499">
      <w:pPr>
        <w:pStyle w:val="NoIndentEIB"/>
        <w:numPr>
          <w:ilvl w:val="1"/>
          <w:numId w:val="4"/>
        </w:numPr>
        <w:rPr>
          <w:color w:val="auto"/>
          <w:lang w:val="hr-HR"/>
        </w:rPr>
      </w:pPr>
      <w:r w:rsidRPr="00653DCF">
        <w:rPr>
          <w:color w:val="auto"/>
          <w:lang w:val="hr-HR"/>
        </w:rPr>
        <w:t xml:space="preserve">pravo </w:t>
      </w:r>
      <w:r w:rsidR="002C3539" w:rsidRPr="00653DCF">
        <w:rPr>
          <w:color w:val="auto"/>
          <w:lang w:val="hr-HR"/>
        </w:rPr>
        <w:t xml:space="preserve">ili </w:t>
      </w:r>
      <w:r w:rsidRPr="00653DCF">
        <w:rPr>
          <w:color w:val="auto"/>
          <w:lang w:val="hr-HR"/>
        </w:rPr>
        <w:t xml:space="preserve">sudsku </w:t>
      </w:r>
      <w:r w:rsidR="002C3539" w:rsidRPr="00653DCF">
        <w:rPr>
          <w:color w:val="auto"/>
          <w:lang w:val="hr-HR"/>
        </w:rPr>
        <w:t xml:space="preserve">nadležnost </w:t>
      </w:r>
      <w:r w:rsidR="00E87B0B" w:rsidRPr="00653DCF">
        <w:rPr>
          <w:color w:val="auto"/>
          <w:lang w:val="hr-HR"/>
        </w:rPr>
        <w:t>(uključujući</w:t>
      </w:r>
      <w:r w:rsidR="0009768F" w:rsidRPr="00653DCF">
        <w:rPr>
          <w:color w:val="auto"/>
          <w:lang w:val="hr-HR"/>
        </w:rPr>
        <w:t>, u svakom takvom slučaju,</w:t>
      </w:r>
      <w:r w:rsidR="00E87B0B" w:rsidRPr="00653DCF">
        <w:rPr>
          <w:color w:val="auto"/>
          <w:lang w:val="hr-HR"/>
        </w:rPr>
        <w:t xml:space="preserve"> </w:t>
      </w:r>
      <w:r w:rsidR="007A578F" w:rsidRPr="00653DCF">
        <w:rPr>
          <w:color w:val="auto"/>
          <w:lang w:val="hr-HR"/>
        </w:rPr>
        <w:t xml:space="preserve">i </w:t>
      </w:r>
      <w:r w:rsidR="00E87B0B" w:rsidRPr="00653DCF">
        <w:rPr>
          <w:color w:val="auto"/>
          <w:lang w:val="hr-HR"/>
        </w:rPr>
        <w:t>Statut Banke) koji se primjenjuj</w:t>
      </w:r>
      <w:r w:rsidR="0000698F" w:rsidRPr="00653DCF">
        <w:rPr>
          <w:color w:val="auto"/>
          <w:lang w:val="hr-HR"/>
        </w:rPr>
        <w:t>u</w:t>
      </w:r>
      <w:r w:rsidR="00E87B0B" w:rsidRPr="00653DCF">
        <w:rPr>
          <w:color w:val="auto"/>
          <w:lang w:val="hr-HR"/>
        </w:rPr>
        <w:t xml:space="preserve"> na Banku, njezina prava, obveze, </w:t>
      </w:r>
      <w:r w:rsidR="007A578F" w:rsidRPr="00653DCF">
        <w:rPr>
          <w:color w:val="auto"/>
          <w:lang w:val="hr-HR"/>
        </w:rPr>
        <w:t>svojstv</w:t>
      </w:r>
      <w:r w:rsidR="001C588E" w:rsidRPr="00653DCF">
        <w:rPr>
          <w:color w:val="auto"/>
          <w:lang w:val="hr-HR"/>
        </w:rPr>
        <w:t>o</w:t>
      </w:r>
      <w:r w:rsidR="007A578F" w:rsidRPr="00653DCF">
        <w:rPr>
          <w:color w:val="auto"/>
          <w:lang w:val="hr-HR"/>
        </w:rPr>
        <w:t xml:space="preserve"> </w:t>
      </w:r>
      <w:r w:rsidR="00E87B0B" w:rsidRPr="00653DCF">
        <w:rPr>
          <w:color w:val="auto"/>
          <w:lang w:val="hr-HR"/>
        </w:rPr>
        <w:t>i/ili imovinu;</w:t>
      </w:r>
    </w:p>
    <w:p w14:paraId="1B471226" w14:textId="1492714C" w:rsidR="007A2A6F" w:rsidRPr="00653DCF" w:rsidRDefault="007A578F">
      <w:pPr>
        <w:pStyle w:val="NoIndentEIB"/>
        <w:numPr>
          <w:ilvl w:val="0"/>
          <w:numId w:val="4"/>
        </w:numPr>
        <w:rPr>
          <w:color w:val="auto"/>
          <w:lang w:val="hr-HR"/>
        </w:rPr>
      </w:pPr>
      <w:r w:rsidRPr="00653DCF">
        <w:rPr>
          <w:color w:val="auto"/>
          <w:lang w:val="hr-HR"/>
        </w:rPr>
        <w:t xml:space="preserve">upućivanja na neku zakonsku </w:t>
      </w:r>
      <w:r w:rsidR="00043945" w:rsidRPr="00653DCF">
        <w:rPr>
          <w:color w:val="auto"/>
          <w:lang w:val="hr-HR"/>
        </w:rPr>
        <w:t xml:space="preserve">ili </w:t>
      </w:r>
      <w:r w:rsidR="001355EA" w:rsidRPr="00653DCF">
        <w:rPr>
          <w:color w:val="auto"/>
          <w:lang w:val="hr-HR"/>
        </w:rPr>
        <w:t xml:space="preserve">ugovornu odredbu </w:t>
      </w:r>
      <w:r w:rsidR="00194147" w:rsidRPr="00653DCF">
        <w:rPr>
          <w:color w:val="auto"/>
          <w:lang w:val="hr-HR"/>
        </w:rPr>
        <w:t xml:space="preserve">odnose se </w:t>
      </w:r>
      <w:r w:rsidR="001355EA" w:rsidRPr="00653DCF">
        <w:rPr>
          <w:color w:val="auto"/>
          <w:lang w:val="hr-HR"/>
        </w:rPr>
        <w:t xml:space="preserve">na </w:t>
      </w:r>
      <w:r w:rsidR="006A7FA6" w:rsidRPr="00653DCF">
        <w:rPr>
          <w:color w:val="auto"/>
          <w:lang w:val="hr-HR"/>
        </w:rPr>
        <w:t>tu</w:t>
      </w:r>
      <w:r w:rsidR="005B3499" w:rsidRPr="00653DCF">
        <w:rPr>
          <w:color w:val="auto"/>
          <w:lang w:val="hr-HR"/>
        </w:rPr>
        <w:t xml:space="preserve"> zakonsku ili ugovornu odredbu </w:t>
      </w:r>
      <w:r w:rsidR="006A7FA6" w:rsidRPr="00653DCF">
        <w:rPr>
          <w:color w:val="auto"/>
          <w:lang w:val="hr-HR"/>
        </w:rPr>
        <w:t xml:space="preserve">onako kako je ona </w:t>
      </w:r>
      <w:r w:rsidR="001355EA" w:rsidRPr="00653DCF">
        <w:rPr>
          <w:color w:val="auto"/>
          <w:lang w:val="hr-HR"/>
        </w:rPr>
        <w:t>izmijenjen</w:t>
      </w:r>
      <w:r w:rsidR="006A7FA6" w:rsidRPr="00653DCF">
        <w:rPr>
          <w:color w:val="auto"/>
          <w:lang w:val="hr-HR"/>
        </w:rPr>
        <w:t>a, dopunjena</w:t>
      </w:r>
      <w:r w:rsidR="001355EA" w:rsidRPr="00653DCF">
        <w:rPr>
          <w:color w:val="auto"/>
          <w:lang w:val="hr-HR"/>
        </w:rPr>
        <w:t xml:space="preserve"> ili </w:t>
      </w:r>
      <w:r w:rsidR="005B3499" w:rsidRPr="00653DCF">
        <w:rPr>
          <w:color w:val="auto"/>
          <w:lang w:val="hr-HR"/>
        </w:rPr>
        <w:t>preuzeta</w:t>
      </w:r>
      <w:r w:rsidR="00E87B0B" w:rsidRPr="00653DCF">
        <w:rPr>
          <w:color w:val="auto"/>
          <w:lang w:val="hr-HR"/>
        </w:rPr>
        <w:t>;</w:t>
      </w:r>
    </w:p>
    <w:p w14:paraId="108FFAAC" w14:textId="2D3EA009" w:rsidR="007A2A6F" w:rsidRPr="00653DCF" w:rsidRDefault="002868A5">
      <w:pPr>
        <w:pStyle w:val="NoIndentEIB"/>
        <w:numPr>
          <w:ilvl w:val="0"/>
          <w:numId w:val="4"/>
        </w:numPr>
        <w:rPr>
          <w:color w:val="auto"/>
          <w:lang w:val="hr-HR"/>
        </w:rPr>
      </w:pPr>
      <w:r w:rsidRPr="00653DCF">
        <w:rPr>
          <w:color w:val="auto"/>
          <w:lang w:val="hr-HR"/>
        </w:rPr>
        <w:t xml:space="preserve">upućivanje na bilo koji drugi sporazum ili instrument odnose se na taj drugi sporazum ili instrument </w:t>
      </w:r>
      <w:r w:rsidR="006A7FA6" w:rsidRPr="00653DCF">
        <w:rPr>
          <w:color w:val="auto"/>
          <w:lang w:val="hr-HR"/>
        </w:rPr>
        <w:t xml:space="preserve">onako kako je on </w:t>
      </w:r>
      <w:r w:rsidRPr="00653DCF">
        <w:rPr>
          <w:color w:val="auto"/>
          <w:lang w:val="hr-HR"/>
        </w:rPr>
        <w:t xml:space="preserve">izmijenjen, </w:t>
      </w:r>
      <w:r w:rsidR="006D6C9F" w:rsidRPr="00653DCF">
        <w:rPr>
          <w:color w:val="auto"/>
          <w:lang w:val="hr-HR"/>
        </w:rPr>
        <w:t>noveliran</w:t>
      </w:r>
      <w:r w:rsidR="00D25726" w:rsidRPr="00653DCF">
        <w:rPr>
          <w:color w:val="auto"/>
          <w:lang w:val="hr-HR"/>
        </w:rPr>
        <w:t xml:space="preserve">, dopunjen </w:t>
      </w:r>
      <w:r w:rsidR="00E87B0B" w:rsidRPr="00653DCF">
        <w:rPr>
          <w:color w:val="auto"/>
          <w:lang w:val="hr-HR"/>
        </w:rPr>
        <w:t xml:space="preserve">ili prepravljen; </w:t>
      </w:r>
    </w:p>
    <w:p w14:paraId="7E905B2B" w14:textId="18AF76CE" w:rsidR="007A2A6F" w:rsidRPr="00653DCF" w:rsidRDefault="00E87B0B">
      <w:pPr>
        <w:pStyle w:val="NoIndentEIB"/>
        <w:numPr>
          <w:ilvl w:val="0"/>
          <w:numId w:val="4"/>
        </w:numPr>
        <w:rPr>
          <w:color w:val="auto"/>
          <w:lang w:val="hr-HR"/>
        </w:rPr>
      </w:pPr>
      <w:r w:rsidRPr="00653DCF">
        <w:rPr>
          <w:color w:val="auto"/>
          <w:lang w:val="hr-HR"/>
        </w:rPr>
        <w:t xml:space="preserve">riječi i izrazi u množini uključuju jedninu i obratno; </w:t>
      </w:r>
    </w:p>
    <w:p w14:paraId="3A0AA6BA" w14:textId="7C93558B" w:rsidR="007A2A6F" w:rsidRPr="00653DCF" w:rsidRDefault="00E87B0B">
      <w:pPr>
        <w:pStyle w:val="NoIndentEIB"/>
        <w:numPr>
          <w:ilvl w:val="0"/>
          <w:numId w:val="4"/>
        </w:numPr>
        <w:rPr>
          <w:color w:val="auto"/>
          <w:lang w:val="hr-HR"/>
        </w:rPr>
      </w:pPr>
      <w:r w:rsidRPr="00653DCF">
        <w:rPr>
          <w:color w:val="auto"/>
          <w:lang w:val="hr-HR"/>
        </w:rPr>
        <w:t xml:space="preserve">pojmovi definirani u </w:t>
      </w:r>
      <w:r w:rsidR="006D67E8" w:rsidRPr="00653DCF">
        <w:rPr>
          <w:color w:val="auto"/>
          <w:lang w:val="hr-HR"/>
        </w:rPr>
        <w:t>GDPR</w:t>
      </w:r>
      <w:r w:rsidR="004208E0" w:rsidRPr="00653DCF">
        <w:rPr>
          <w:color w:val="auto"/>
          <w:lang w:val="hr-HR"/>
        </w:rPr>
        <w:t>-u</w:t>
      </w:r>
      <w:r w:rsidR="006D67E8" w:rsidRPr="00653DCF">
        <w:rPr>
          <w:color w:val="auto"/>
          <w:lang w:val="hr-HR"/>
        </w:rPr>
        <w:t xml:space="preserve"> </w:t>
      </w:r>
      <w:r w:rsidRPr="00653DCF">
        <w:rPr>
          <w:color w:val="auto"/>
          <w:lang w:val="hr-HR"/>
        </w:rPr>
        <w:t xml:space="preserve">(kako je definirano u nastavku), uključujući pojmove „voditelj obrade”, „osoba čiji se podaci obrađuju”, „osobni podaci”, „obrada” i „izvršitelj obrade”, imaju isto značenje kada se koriste u </w:t>
      </w:r>
      <w:r w:rsidR="00C429D9" w:rsidRPr="00653DCF">
        <w:rPr>
          <w:color w:val="auto"/>
          <w:lang w:val="hr-HR"/>
        </w:rPr>
        <w:t>uvodnoj odredbi</w:t>
      </w:r>
      <w:r w:rsidR="003608FB" w:rsidRPr="00653DCF">
        <w:rPr>
          <w:color w:val="auto"/>
          <w:lang w:val="hr-HR"/>
        </w:rPr>
        <w:t xml:space="preserve"> </w:t>
      </w:r>
      <w:r w:rsidRPr="00653DCF">
        <w:rPr>
          <w:color w:val="auto"/>
          <w:lang w:val="hr-HR"/>
        </w:rPr>
        <w:fldChar w:fldCharType="begin"/>
      </w:r>
      <w:r w:rsidRPr="00653DCF">
        <w:rPr>
          <w:color w:val="auto"/>
          <w:lang w:val="hr-HR"/>
        </w:rPr>
        <w:instrText xml:space="preserve"> REF _Ref42341515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(j)</w:t>
      </w:r>
      <w:r w:rsidRPr="00653DCF">
        <w:rPr>
          <w:color w:val="auto"/>
          <w:lang w:val="hr-HR"/>
        </w:rPr>
        <w:fldChar w:fldCharType="end"/>
      </w:r>
      <w:r w:rsidRPr="00653DCF">
        <w:rPr>
          <w:color w:val="auto"/>
          <w:lang w:val="hr-HR"/>
        </w:rPr>
        <w:t xml:space="preserve"> ili članku </w:t>
      </w:r>
      <w:r w:rsidRPr="00653DCF">
        <w:rPr>
          <w:color w:val="auto"/>
          <w:lang w:val="hr-HR"/>
        </w:rPr>
        <w:fldChar w:fldCharType="begin"/>
      </w:r>
      <w:r w:rsidRPr="00653DCF">
        <w:rPr>
          <w:color w:val="auto"/>
          <w:lang w:val="hr-HR"/>
        </w:rPr>
        <w:instrText xml:space="preserve"> REF _Ref42343344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6.9</w:t>
      </w:r>
      <w:r w:rsidRPr="00653DCF">
        <w:rPr>
          <w:color w:val="auto"/>
          <w:lang w:val="hr-HR"/>
        </w:rPr>
        <w:fldChar w:fldCharType="end"/>
      </w:r>
      <w:r w:rsidR="00302DAE" w:rsidRPr="00653DCF">
        <w:rPr>
          <w:color w:val="auto"/>
          <w:lang w:val="hr-HR"/>
        </w:rPr>
        <w:t>.</w:t>
      </w:r>
      <w:r w:rsidRPr="00653DCF">
        <w:rPr>
          <w:color w:val="auto"/>
          <w:lang w:val="hr-HR"/>
        </w:rPr>
        <w:t xml:space="preserve"> ovog Ugovora; </w:t>
      </w:r>
    </w:p>
    <w:p w14:paraId="1900CF23" w14:textId="38EE004A" w:rsidR="007A2A6F" w:rsidRPr="00653DCF" w:rsidRDefault="00597CE6">
      <w:pPr>
        <w:pStyle w:val="NoIndentEIB"/>
        <w:numPr>
          <w:ilvl w:val="0"/>
          <w:numId w:val="4"/>
        </w:numPr>
        <w:rPr>
          <w:color w:val="auto"/>
          <w:lang w:val="hr-HR"/>
        </w:rPr>
      </w:pPr>
      <w:r w:rsidRPr="00653DCF">
        <w:rPr>
          <w:color w:val="auto"/>
          <w:lang w:val="hr-HR"/>
        </w:rPr>
        <w:t xml:space="preserve">pojam </w:t>
      </w:r>
      <w:r w:rsidR="00E87B0B" w:rsidRPr="00653DCF">
        <w:rPr>
          <w:color w:val="auto"/>
          <w:lang w:val="hr-HR"/>
        </w:rPr>
        <w:t xml:space="preserve">„mjesec” </w:t>
      </w:r>
      <w:r w:rsidR="00807B1E" w:rsidRPr="00653DCF">
        <w:rPr>
          <w:color w:val="auto"/>
          <w:lang w:val="hr-HR"/>
        </w:rPr>
        <w:t xml:space="preserve">označava </w:t>
      </w:r>
      <w:r w:rsidR="00E87B0B" w:rsidRPr="00653DCF">
        <w:rPr>
          <w:color w:val="auto"/>
          <w:lang w:val="hr-HR"/>
        </w:rPr>
        <w:t xml:space="preserve">razdoblje koje započinje na jedan </w:t>
      </w:r>
      <w:r w:rsidR="00C550DF" w:rsidRPr="00653DCF">
        <w:rPr>
          <w:color w:val="auto"/>
          <w:lang w:val="hr-HR"/>
        </w:rPr>
        <w:t xml:space="preserve">određeni </w:t>
      </w:r>
      <w:r w:rsidR="00E87B0B" w:rsidRPr="00653DCF">
        <w:rPr>
          <w:color w:val="auto"/>
          <w:lang w:val="hr-HR"/>
        </w:rPr>
        <w:t xml:space="preserve">dan u kalendarskom mjesecu i završava </w:t>
      </w:r>
      <w:r w:rsidR="00134531" w:rsidRPr="00653DCF">
        <w:rPr>
          <w:color w:val="auto"/>
          <w:lang w:val="hr-HR"/>
        </w:rPr>
        <w:t xml:space="preserve">na </w:t>
      </w:r>
      <w:r w:rsidR="00E87B0B" w:rsidRPr="00653DCF">
        <w:rPr>
          <w:color w:val="auto"/>
          <w:lang w:val="hr-HR"/>
        </w:rPr>
        <w:t xml:space="preserve">brojčano odgovarajući dan sljedećeg kalendarskog mjeseca, </w:t>
      </w:r>
      <w:r w:rsidR="00C550DF" w:rsidRPr="00653DCF">
        <w:rPr>
          <w:color w:val="auto"/>
          <w:lang w:val="hr-HR"/>
        </w:rPr>
        <w:t xml:space="preserve">a </w:t>
      </w:r>
      <w:r w:rsidR="00807B1E" w:rsidRPr="00653DCF">
        <w:rPr>
          <w:color w:val="auto"/>
          <w:lang w:val="hr-HR"/>
        </w:rPr>
        <w:t>iznimno</w:t>
      </w:r>
      <w:r w:rsidR="00DB3A1A" w:rsidRPr="00653DCF">
        <w:rPr>
          <w:color w:val="auto"/>
          <w:lang w:val="hr-HR"/>
        </w:rPr>
        <w:t>,</w:t>
      </w:r>
      <w:r w:rsidR="00807B1E" w:rsidRPr="00653DCF">
        <w:rPr>
          <w:color w:val="auto"/>
          <w:lang w:val="hr-HR"/>
        </w:rPr>
        <w:t xml:space="preserve"> te podložno </w:t>
      </w:r>
      <w:r w:rsidR="00E87B0B" w:rsidRPr="00653DCF">
        <w:rPr>
          <w:color w:val="auto"/>
          <w:lang w:val="hr-HR"/>
        </w:rPr>
        <w:t xml:space="preserve">definiciji </w:t>
      </w:r>
      <w:r w:rsidR="00DB3A1A" w:rsidRPr="00653DCF">
        <w:rPr>
          <w:color w:val="auto"/>
          <w:lang w:val="hr-HR"/>
        </w:rPr>
        <w:t>d</w:t>
      </w:r>
      <w:r w:rsidR="00E87B0B" w:rsidRPr="00653DCF">
        <w:rPr>
          <w:color w:val="auto"/>
          <w:lang w:val="hr-HR"/>
        </w:rPr>
        <w:t xml:space="preserve">atuma plaćanja, </w:t>
      </w:r>
      <w:r w:rsidR="00014AB0" w:rsidRPr="00653DCF">
        <w:rPr>
          <w:color w:val="auto"/>
          <w:lang w:val="hr-HR"/>
        </w:rPr>
        <w:t xml:space="preserve">članku </w:t>
      </w:r>
      <w:r w:rsidR="00526026" w:rsidRPr="00653DCF">
        <w:rPr>
          <w:color w:val="auto"/>
          <w:lang w:val="hr-HR"/>
        </w:rPr>
        <w:t xml:space="preserve">5.1. </w:t>
      </w:r>
      <w:r w:rsidR="00014AB0" w:rsidRPr="00653DCF">
        <w:rPr>
          <w:color w:val="auto"/>
          <w:lang w:val="hr-HR"/>
        </w:rPr>
        <w:t>i</w:t>
      </w:r>
      <w:r w:rsidR="00E87B0B" w:rsidRPr="00653DCF">
        <w:rPr>
          <w:color w:val="auto"/>
          <w:lang w:val="hr-HR"/>
        </w:rPr>
        <w:t xml:space="preserve"> </w:t>
      </w:r>
      <w:r w:rsidR="00A01CB6" w:rsidRPr="00653DCF">
        <w:rPr>
          <w:color w:val="auto"/>
          <w:lang w:val="hr-HR"/>
        </w:rPr>
        <w:t>Prilogu B</w:t>
      </w:r>
      <w:r w:rsidR="00526026" w:rsidRPr="00653DCF">
        <w:rPr>
          <w:color w:val="auto"/>
          <w:lang w:val="hr-HR"/>
        </w:rPr>
        <w:t xml:space="preserve">, </w:t>
      </w:r>
      <w:r w:rsidR="00807B1E" w:rsidRPr="00653DCF">
        <w:rPr>
          <w:color w:val="auto"/>
          <w:lang w:val="hr-HR"/>
        </w:rPr>
        <w:t>te</w:t>
      </w:r>
      <w:r w:rsidR="00E87B0B" w:rsidRPr="00653DCF">
        <w:rPr>
          <w:color w:val="auto"/>
          <w:lang w:val="hr-HR"/>
        </w:rPr>
        <w:t xml:space="preserve"> osim </w:t>
      </w:r>
      <w:r w:rsidR="00496D04" w:rsidRPr="00653DCF">
        <w:rPr>
          <w:color w:val="auto"/>
          <w:lang w:val="hr-HR"/>
        </w:rPr>
        <w:t xml:space="preserve">ako </w:t>
      </w:r>
      <w:r w:rsidR="003E7F26" w:rsidRPr="00653DCF">
        <w:rPr>
          <w:color w:val="auto"/>
          <w:lang w:val="hr-HR"/>
        </w:rPr>
        <w:t xml:space="preserve">to nije drukčije </w:t>
      </w:r>
      <w:r w:rsidR="00E87B0B" w:rsidRPr="00653DCF">
        <w:rPr>
          <w:color w:val="auto"/>
          <w:lang w:val="hr-HR"/>
        </w:rPr>
        <w:t>predviđeno ovim Ugovorom:</w:t>
      </w:r>
    </w:p>
    <w:p w14:paraId="4F172B7C" w14:textId="3B505728" w:rsidR="007A2A6F" w:rsidRPr="00653DCF" w:rsidRDefault="00E87B0B">
      <w:pPr>
        <w:pStyle w:val="NoIndentEIB"/>
        <w:numPr>
          <w:ilvl w:val="1"/>
          <w:numId w:val="4"/>
        </w:numPr>
        <w:rPr>
          <w:color w:val="auto"/>
          <w:lang w:val="hr-HR"/>
        </w:rPr>
      </w:pPr>
      <w:r w:rsidRPr="00653DCF">
        <w:rPr>
          <w:color w:val="auto"/>
          <w:lang w:val="hr-HR"/>
        </w:rPr>
        <w:t xml:space="preserve">ako brojčano odgovarajući dan nije </w:t>
      </w:r>
      <w:r w:rsidR="00DB3A1A" w:rsidRPr="00653DCF">
        <w:rPr>
          <w:color w:val="auto"/>
          <w:lang w:val="hr-HR"/>
        </w:rPr>
        <w:t>r</w:t>
      </w:r>
      <w:r w:rsidRPr="00653DCF">
        <w:rPr>
          <w:color w:val="auto"/>
          <w:lang w:val="hr-HR"/>
        </w:rPr>
        <w:t xml:space="preserve">adni dan, to razdoblje završava sljedećeg </w:t>
      </w:r>
      <w:r w:rsidR="00DB3A1A" w:rsidRPr="00653DCF">
        <w:rPr>
          <w:color w:val="auto"/>
          <w:lang w:val="hr-HR"/>
        </w:rPr>
        <w:t>r</w:t>
      </w:r>
      <w:r w:rsidRPr="00653DCF">
        <w:rPr>
          <w:color w:val="auto"/>
          <w:lang w:val="hr-HR"/>
        </w:rPr>
        <w:t xml:space="preserve">adnog dana u tom kalendarskom mjesecu u kojem to razdoblje </w:t>
      </w:r>
      <w:r w:rsidR="00DB3A1A" w:rsidRPr="00653DCF">
        <w:rPr>
          <w:color w:val="auto"/>
          <w:lang w:val="hr-HR"/>
        </w:rPr>
        <w:t>završava</w:t>
      </w:r>
      <w:r w:rsidR="007443DD" w:rsidRPr="00653DCF">
        <w:rPr>
          <w:color w:val="auto"/>
          <w:lang w:val="hr-HR"/>
        </w:rPr>
        <w:t xml:space="preserve">, ako </w:t>
      </w:r>
      <w:r w:rsidR="007933F4" w:rsidRPr="00653DCF">
        <w:rPr>
          <w:color w:val="auto"/>
          <w:lang w:val="hr-HR"/>
        </w:rPr>
        <w:t xml:space="preserve">postoji </w:t>
      </w:r>
      <w:r w:rsidR="001B277F" w:rsidRPr="00653DCF">
        <w:rPr>
          <w:color w:val="auto"/>
          <w:lang w:val="hr-HR"/>
        </w:rPr>
        <w:t xml:space="preserve">takav </w:t>
      </w:r>
      <w:r w:rsidR="007933F4" w:rsidRPr="00653DCF">
        <w:rPr>
          <w:color w:val="auto"/>
          <w:lang w:val="hr-HR"/>
        </w:rPr>
        <w:t>radni dan</w:t>
      </w:r>
      <w:r w:rsidR="007443DD" w:rsidRPr="00653DCF">
        <w:rPr>
          <w:color w:val="auto"/>
          <w:lang w:val="hr-HR"/>
        </w:rPr>
        <w:t xml:space="preserve">. Ako </w:t>
      </w:r>
      <w:r w:rsidR="001B277F" w:rsidRPr="00653DCF">
        <w:rPr>
          <w:color w:val="auto"/>
          <w:lang w:val="hr-HR"/>
        </w:rPr>
        <w:t>ne postoji</w:t>
      </w:r>
      <w:r w:rsidR="007443DD" w:rsidRPr="00653DCF">
        <w:rPr>
          <w:color w:val="auto"/>
          <w:lang w:val="hr-HR"/>
        </w:rPr>
        <w:t xml:space="preserve">, završava na </w:t>
      </w:r>
      <w:r w:rsidRPr="00653DCF">
        <w:rPr>
          <w:color w:val="auto"/>
          <w:lang w:val="hr-HR"/>
        </w:rPr>
        <w:t xml:space="preserve">prethodni </w:t>
      </w:r>
      <w:r w:rsidR="007933F4" w:rsidRPr="00653DCF">
        <w:rPr>
          <w:color w:val="auto"/>
          <w:lang w:val="hr-HR"/>
        </w:rPr>
        <w:t>r</w:t>
      </w:r>
      <w:r w:rsidRPr="00653DCF">
        <w:rPr>
          <w:color w:val="auto"/>
          <w:lang w:val="hr-HR"/>
        </w:rPr>
        <w:t>adni dan; i</w:t>
      </w:r>
    </w:p>
    <w:p w14:paraId="71985487" w14:textId="11543BDB" w:rsidR="007A2A6F" w:rsidRPr="00653DCF" w:rsidRDefault="00E87B0B">
      <w:pPr>
        <w:pStyle w:val="NoIndentEIB"/>
        <w:numPr>
          <w:ilvl w:val="1"/>
          <w:numId w:val="4"/>
        </w:numPr>
        <w:rPr>
          <w:color w:val="auto"/>
          <w:lang w:val="hr-HR"/>
        </w:rPr>
      </w:pPr>
      <w:r w:rsidRPr="00653DCF">
        <w:rPr>
          <w:color w:val="auto"/>
          <w:lang w:val="hr-HR"/>
        </w:rPr>
        <w:lastRenderedPageBreak/>
        <w:t xml:space="preserve">ako ne postoji numerički odgovarajući dan u kalendarskom mjesecu u kojem to razdoblje </w:t>
      </w:r>
      <w:r w:rsidR="007933F4" w:rsidRPr="00653DCF">
        <w:rPr>
          <w:color w:val="auto"/>
          <w:lang w:val="hr-HR"/>
        </w:rPr>
        <w:t>završava</w:t>
      </w:r>
      <w:r w:rsidRPr="00653DCF">
        <w:rPr>
          <w:color w:val="auto"/>
          <w:lang w:val="hr-HR"/>
        </w:rPr>
        <w:t xml:space="preserve">, to razdoblje završava posljednjeg </w:t>
      </w:r>
      <w:r w:rsidR="007933F4" w:rsidRPr="00653DCF">
        <w:rPr>
          <w:color w:val="auto"/>
          <w:lang w:val="hr-HR"/>
        </w:rPr>
        <w:t>r</w:t>
      </w:r>
      <w:r w:rsidRPr="00653DCF">
        <w:rPr>
          <w:color w:val="auto"/>
          <w:lang w:val="hr-HR"/>
        </w:rPr>
        <w:t>adnog dana u tom kalendarskom mjesecu; i</w:t>
      </w:r>
    </w:p>
    <w:p w14:paraId="2024C2CC" w14:textId="64071AC8" w:rsidR="007A2A6F" w:rsidRPr="00653DCF" w:rsidRDefault="00283EA7">
      <w:pPr>
        <w:pStyle w:val="NoIndentEIB"/>
        <w:numPr>
          <w:ilvl w:val="0"/>
          <w:numId w:val="4"/>
        </w:numPr>
        <w:rPr>
          <w:color w:val="auto"/>
          <w:lang w:val="hr-HR"/>
        </w:rPr>
      </w:pPr>
      <w:r w:rsidRPr="00653DCF">
        <w:rPr>
          <w:color w:val="auto"/>
          <w:lang w:val="hr-HR"/>
        </w:rPr>
        <w:t xml:space="preserve">kada se u ovom Ugovoru spominje stranica </w:t>
      </w:r>
      <w:r w:rsidR="00E87B0B" w:rsidRPr="00653DCF">
        <w:rPr>
          <w:color w:val="auto"/>
          <w:lang w:val="hr-HR"/>
        </w:rPr>
        <w:t xml:space="preserve">ili zaslon informacijske usluge </w:t>
      </w:r>
      <w:r w:rsidR="00AE6348" w:rsidRPr="00653DCF">
        <w:rPr>
          <w:color w:val="auto"/>
          <w:lang w:val="hr-HR"/>
        </w:rPr>
        <w:t xml:space="preserve">na kojoj se prikazuje </w:t>
      </w:r>
      <w:r w:rsidR="00261E63" w:rsidRPr="00653DCF">
        <w:rPr>
          <w:color w:val="auto"/>
          <w:lang w:val="hr-HR"/>
        </w:rPr>
        <w:t xml:space="preserve">neka </w:t>
      </w:r>
      <w:r w:rsidR="006C4630" w:rsidRPr="00653DCF">
        <w:rPr>
          <w:color w:val="auto"/>
          <w:lang w:val="hr-HR"/>
        </w:rPr>
        <w:t>stopa</w:t>
      </w:r>
      <w:r w:rsidR="00AE6348" w:rsidRPr="00653DCF">
        <w:rPr>
          <w:color w:val="auto"/>
          <w:lang w:val="hr-HR"/>
        </w:rPr>
        <w:t>, to</w:t>
      </w:r>
      <w:r w:rsidR="00E87B0B" w:rsidRPr="00653DCF">
        <w:rPr>
          <w:color w:val="auto"/>
          <w:lang w:val="hr-HR"/>
        </w:rPr>
        <w:t xml:space="preserve"> uključuje:</w:t>
      </w:r>
    </w:p>
    <w:p w14:paraId="3D51BC8D" w14:textId="6FDDC066" w:rsidR="007A2A6F" w:rsidRPr="00653DCF" w:rsidRDefault="00E87B0B">
      <w:pPr>
        <w:pStyle w:val="NoIndentEIB"/>
        <w:numPr>
          <w:ilvl w:val="1"/>
          <w:numId w:val="4"/>
        </w:numPr>
        <w:rPr>
          <w:color w:val="auto"/>
          <w:lang w:val="hr-HR"/>
        </w:rPr>
      </w:pPr>
      <w:r w:rsidRPr="00653DCF">
        <w:rPr>
          <w:color w:val="auto"/>
          <w:lang w:val="hr-HR"/>
        </w:rPr>
        <w:t xml:space="preserve">svaku zamjensku stranicu </w:t>
      </w:r>
      <w:r w:rsidR="00261E63" w:rsidRPr="00653DCF">
        <w:rPr>
          <w:color w:val="auto"/>
          <w:lang w:val="hr-HR"/>
        </w:rPr>
        <w:t xml:space="preserve">za tu </w:t>
      </w:r>
      <w:r w:rsidRPr="00653DCF">
        <w:rPr>
          <w:color w:val="auto"/>
          <w:lang w:val="hr-HR"/>
        </w:rPr>
        <w:t>informacijsk</w:t>
      </w:r>
      <w:r w:rsidR="00261E63" w:rsidRPr="00653DCF">
        <w:rPr>
          <w:color w:val="auto"/>
          <w:lang w:val="hr-HR"/>
        </w:rPr>
        <w:t>u</w:t>
      </w:r>
      <w:r w:rsidRPr="00653DCF">
        <w:rPr>
          <w:color w:val="auto"/>
          <w:lang w:val="hr-HR"/>
        </w:rPr>
        <w:t xml:space="preserve"> uslug</w:t>
      </w:r>
      <w:r w:rsidR="00261E63" w:rsidRPr="00653DCF">
        <w:rPr>
          <w:color w:val="auto"/>
          <w:lang w:val="hr-HR"/>
        </w:rPr>
        <w:t>u</w:t>
      </w:r>
      <w:r w:rsidRPr="00653DCF">
        <w:rPr>
          <w:color w:val="auto"/>
          <w:lang w:val="hr-HR"/>
        </w:rPr>
        <w:t xml:space="preserve"> na kojoj se prikazuje ta stopa; i</w:t>
      </w:r>
    </w:p>
    <w:p w14:paraId="03BB4468" w14:textId="380B1F3F" w:rsidR="007A2A6F" w:rsidRPr="00653DCF" w:rsidRDefault="00E87B0B">
      <w:pPr>
        <w:pStyle w:val="NoIndentEIB"/>
        <w:numPr>
          <w:ilvl w:val="1"/>
          <w:numId w:val="4"/>
        </w:numPr>
        <w:rPr>
          <w:color w:val="auto"/>
          <w:lang w:val="hr-HR"/>
        </w:rPr>
      </w:pPr>
      <w:r w:rsidRPr="00653DCF">
        <w:rPr>
          <w:color w:val="auto"/>
          <w:lang w:val="hr-HR"/>
        </w:rPr>
        <w:t xml:space="preserve">odgovarajuću stranicu druge informacijske usluge na kojoj se </w:t>
      </w:r>
      <w:r w:rsidR="0029529E" w:rsidRPr="00653DCF">
        <w:rPr>
          <w:color w:val="auto"/>
          <w:lang w:val="hr-HR"/>
        </w:rPr>
        <w:t xml:space="preserve">povremeno </w:t>
      </w:r>
      <w:r w:rsidRPr="00653DCF">
        <w:rPr>
          <w:color w:val="auto"/>
          <w:lang w:val="hr-HR"/>
        </w:rPr>
        <w:t>prikazuje ta stopa umjesto te informacijske usluge,</w:t>
      </w:r>
    </w:p>
    <w:p w14:paraId="423BF70A" w14:textId="0027B720" w:rsidR="007A2A6F" w:rsidRPr="00653DCF" w:rsidRDefault="006C4630">
      <w:pPr>
        <w:pStyle w:val="NoIndentEIB"/>
        <w:ind w:left="1423"/>
        <w:rPr>
          <w:color w:val="auto"/>
          <w:lang w:val="hr-HR"/>
        </w:rPr>
      </w:pPr>
      <w:r w:rsidRPr="00653DCF">
        <w:rPr>
          <w:color w:val="auto"/>
          <w:lang w:val="hr-HR"/>
        </w:rPr>
        <w:t>a,</w:t>
      </w:r>
      <w:r w:rsidR="00E87B0B" w:rsidRPr="00653DCF">
        <w:rPr>
          <w:color w:val="auto"/>
          <w:lang w:val="hr-HR"/>
        </w:rPr>
        <w:t xml:space="preserve"> ako takva stranica ili usluga prestane biti dostupna, </w:t>
      </w:r>
      <w:r w:rsidR="0010474D" w:rsidRPr="00653DCF">
        <w:rPr>
          <w:color w:val="auto"/>
          <w:lang w:val="hr-HR"/>
        </w:rPr>
        <w:t>uključuje</w:t>
      </w:r>
      <w:r w:rsidR="00E87B0B" w:rsidRPr="00653DCF">
        <w:rPr>
          <w:color w:val="auto"/>
          <w:lang w:val="hr-HR"/>
        </w:rPr>
        <w:t xml:space="preserve"> bilo koju drugu stranicu ili uslugu koja prikazuje tu </w:t>
      </w:r>
      <w:r w:rsidRPr="00653DCF">
        <w:rPr>
          <w:color w:val="auto"/>
          <w:lang w:val="hr-HR"/>
        </w:rPr>
        <w:t>stopu</w:t>
      </w:r>
      <w:r w:rsidR="0029529E" w:rsidRPr="00653DCF">
        <w:rPr>
          <w:color w:val="auto"/>
          <w:lang w:val="hr-HR"/>
        </w:rPr>
        <w:t xml:space="preserve">, onako kako to </w:t>
      </w:r>
      <w:r w:rsidR="004B53A2" w:rsidRPr="00653DCF">
        <w:rPr>
          <w:color w:val="auto"/>
          <w:lang w:val="hr-HR"/>
        </w:rPr>
        <w:t xml:space="preserve">odredi </w:t>
      </w:r>
      <w:r w:rsidR="00E87B0B" w:rsidRPr="00653DCF">
        <w:rPr>
          <w:color w:val="auto"/>
          <w:lang w:val="hr-HR"/>
        </w:rPr>
        <w:t>Banka.</w:t>
      </w:r>
    </w:p>
    <w:p w14:paraId="4E476F8E" w14:textId="77777777" w:rsidR="00A31C8C" w:rsidRPr="00653DCF" w:rsidRDefault="00A31C8C">
      <w:pPr>
        <w:rPr>
          <w:rStyle w:val="BoldEIB"/>
          <w:color w:val="auto"/>
          <w:lang w:val="hr-HR"/>
        </w:rPr>
      </w:pPr>
    </w:p>
    <w:p w14:paraId="030673CA" w14:textId="59207C25" w:rsidR="007A2A6F" w:rsidRPr="00653DCF" w:rsidRDefault="00E87B0B">
      <w:pPr>
        <w:rPr>
          <w:rStyle w:val="BoldEIB"/>
          <w:color w:val="auto"/>
          <w:lang w:val="hr-HR"/>
        </w:rPr>
      </w:pPr>
      <w:r w:rsidRPr="00653DCF">
        <w:rPr>
          <w:rStyle w:val="BoldEIB"/>
          <w:color w:val="auto"/>
          <w:lang w:val="hr-HR"/>
        </w:rPr>
        <w:t>Definicije</w:t>
      </w:r>
    </w:p>
    <w:p w14:paraId="2994C6E7" w14:textId="0D5C76E6" w:rsidR="007A2A6F" w:rsidRPr="00653DCF" w:rsidRDefault="00E87B0B">
      <w:pPr>
        <w:rPr>
          <w:color w:val="auto"/>
          <w:lang w:val="hr-HR"/>
        </w:rPr>
      </w:pPr>
      <w:r w:rsidRPr="00653DCF">
        <w:rPr>
          <w:color w:val="auto"/>
          <w:lang w:val="hr-HR"/>
        </w:rPr>
        <w:t xml:space="preserve">U ovom </w:t>
      </w:r>
      <w:r w:rsidR="004B53A2" w:rsidRPr="00653DCF">
        <w:rPr>
          <w:color w:val="auto"/>
          <w:lang w:val="hr-HR"/>
        </w:rPr>
        <w:t>U</w:t>
      </w:r>
      <w:r w:rsidRPr="00653DCF">
        <w:rPr>
          <w:color w:val="auto"/>
          <w:lang w:val="hr-HR"/>
        </w:rPr>
        <w:t>govoru:</w:t>
      </w:r>
    </w:p>
    <w:p w14:paraId="353C17FB" w14:textId="2152E36D" w:rsidR="001640A9" w:rsidRPr="00653DCF" w:rsidRDefault="00E87B0B">
      <w:pPr>
        <w:rPr>
          <w:color w:val="auto"/>
          <w:lang w:val="hr-HR"/>
        </w:rPr>
      </w:pPr>
      <w:r w:rsidRPr="00653DCF">
        <w:rPr>
          <w:color w:val="auto"/>
          <w:lang w:val="hr-HR"/>
        </w:rPr>
        <w:t>„</w:t>
      </w:r>
      <w:r w:rsidR="00AD2389" w:rsidRPr="00653DCF">
        <w:rPr>
          <w:b/>
          <w:bCs/>
          <w:color w:val="auto"/>
          <w:lang w:val="hr-HR"/>
        </w:rPr>
        <w:t>investicijski</w:t>
      </w:r>
      <w:r w:rsidR="00AD2389" w:rsidRPr="00653DCF">
        <w:rPr>
          <w:color w:val="auto"/>
          <w:lang w:val="hr-HR"/>
        </w:rPr>
        <w:t xml:space="preserve"> </w:t>
      </w:r>
      <w:r w:rsidR="00305EB9" w:rsidRPr="00653DCF">
        <w:rPr>
          <w:rStyle w:val="BoldEIB"/>
          <w:color w:val="auto"/>
          <w:lang w:val="hr-HR"/>
        </w:rPr>
        <w:t>p</w:t>
      </w:r>
      <w:r w:rsidR="00A1157B" w:rsidRPr="00653DCF">
        <w:rPr>
          <w:rStyle w:val="BoldEIB"/>
          <w:color w:val="auto"/>
          <w:lang w:val="hr-HR"/>
        </w:rPr>
        <w:t>rojekt</w:t>
      </w:r>
      <w:r w:rsidR="000C23CB" w:rsidRPr="00653DCF">
        <w:rPr>
          <w:rStyle w:val="BoldEIB"/>
          <w:color w:val="auto"/>
          <w:lang w:val="hr-HR"/>
        </w:rPr>
        <w:t xml:space="preserve"> na koji se to odnosi</w:t>
      </w:r>
      <w:r w:rsidR="000C23CB" w:rsidRPr="00653DCF">
        <w:rPr>
          <w:color w:val="auto"/>
          <w:lang w:val="hr-HR"/>
        </w:rPr>
        <w:t xml:space="preserve"> </w:t>
      </w:r>
      <w:r w:rsidRPr="00653DCF">
        <w:rPr>
          <w:color w:val="auto"/>
          <w:lang w:val="hr-HR"/>
        </w:rPr>
        <w:t xml:space="preserve">” ima značenje </w:t>
      </w:r>
      <w:r w:rsidR="00A1157B" w:rsidRPr="00653DCF">
        <w:rPr>
          <w:color w:val="auto"/>
          <w:lang w:val="hr-HR"/>
        </w:rPr>
        <w:t>iz članka</w:t>
      </w:r>
      <w:r w:rsidR="001640A9" w:rsidRPr="00653DCF">
        <w:rPr>
          <w:color w:val="auto"/>
          <w:lang w:val="hr-HR"/>
        </w:rPr>
        <w:t> </w:t>
      </w:r>
      <w:r w:rsidR="00496D04" w:rsidRPr="00653DCF">
        <w:rPr>
          <w:color w:val="auto"/>
          <w:lang w:val="hr-HR"/>
        </w:rPr>
        <w:t>4.3.A(5)</w:t>
      </w:r>
      <w:r w:rsidR="00883026" w:rsidRPr="00653DCF">
        <w:rPr>
          <w:color w:val="auto"/>
          <w:lang w:val="hr-HR"/>
        </w:rPr>
        <w:t>.</w:t>
      </w:r>
    </w:p>
    <w:p w14:paraId="22F6866E" w14:textId="682244B9" w:rsidR="007A2A6F" w:rsidRPr="00653DCF" w:rsidRDefault="00E87B0B">
      <w:pPr>
        <w:rPr>
          <w:color w:val="auto"/>
          <w:lang w:val="hr-HR"/>
        </w:rPr>
      </w:pPr>
      <w:r w:rsidRPr="00653DCF">
        <w:rPr>
          <w:color w:val="auto"/>
          <w:lang w:val="hr-HR"/>
        </w:rPr>
        <w:t>„</w:t>
      </w:r>
      <w:r w:rsidR="00305EB9" w:rsidRPr="00653DCF">
        <w:rPr>
          <w:b/>
          <w:color w:val="auto"/>
          <w:lang w:val="hr-HR"/>
        </w:rPr>
        <w:t xml:space="preserve">ugovoreni </w:t>
      </w:r>
      <w:r w:rsidRPr="00653DCF">
        <w:rPr>
          <w:b/>
          <w:color w:val="auto"/>
          <w:lang w:val="hr-HR"/>
        </w:rPr>
        <w:t xml:space="preserve">datum </w:t>
      </w:r>
      <w:r w:rsidR="003E094E" w:rsidRPr="00653DCF">
        <w:rPr>
          <w:b/>
          <w:color w:val="auto"/>
          <w:lang w:val="hr-HR"/>
        </w:rPr>
        <w:t xml:space="preserve">odgođene </w:t>
      </w:r>
      <w:r w:rsidRPr="00653DCF">
        <w:rPr>
          <w:b/>
          <w:color w:val="auto"/>
          <w:lang w:val="hr-HR"/>
        </w:rPr>
        <w:t>isplate</w:t>
      </w:r>
      <w:r w:rsidRPr="00653DCF">
        <w:rPr>
          <w:color w:val="auto"/>
          <w:lang w:val="hr-HR"/>
        </w:rPr>
        <w:t xml:space="preserve">” ima značenje </w:t>
      </w:r>
      <w:r w:rsidR="003E094E" w:rsidRPr="00653DCF">
        <w:rPr>
          <w:color w:val="auto"/>
          <w:lang w:val="hr-HR"/>
        </w:rPr>
        <w:t xml:space="preserve">iz članka </w:t>
      </w:r>
      <w:r w:rsidRPr="00653DCF">
        <w:rPr>
          <w:color w:val="auto"/>
          <w:lang w:val="hr-HR"/>
        </w:rPr>
        <w:fldChar w:fldCharType="begin"/>
      </w:r>
      <w:r w:rsidRPr="00653DCF">
        <w:rPr>
          <w:color w:val="auto"/>
          <w:lang w:val="hr-HR"/>
        </w:rPr>
        <w:instrText xml:space="preserve"> REF _Ref498641988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1.5.A(2)</w:t>
      </w:r>
      <w:r w:rsidRPr="00653DCF">
        <w:rPr>
          <w:color w:val="auto"/>
          <w:lang w:val="hr-HR"/>
        </w:rPr>
        <w:fldChar w:fldCharType="end"/>
      </w:r>
      <w:r w:rsidRPr="00653DCF">
        <w:rPr>
          <w:color w:val="auto"/>
          <w:lang w:val="hr-HR"/>
        </w:rPr>
        <w:fldChar w:fldCharType="begin"/>
      </w:r>
      <w:r w:rsidRPr="00653DCF">
        <w:rPr>
          <w:color w:val="auto"/>
          <w:lang w:val="hr-HR"/>
        </w:rPr>
        <w:instrText xml:space="preserve"> REF _Ref500775309 \r \h  \* MERGEFORMAT </w:instrText>
      </w:r>
      <w:r w:rsidRPr="00653DCF">
        <w:rPr>
          <w:color w:val="auto"/>
          <w:lang w:val="hr-HR"/>
        </w:rPr>
      </w:r>
      <w:r w:rsidRPr="00653DCF">
        <w:rPr>
          <w:color w:val="auto"/>
          <w:lang w:val="hr-HR"/>
        </w:rPr>
        <w:fldChar w:fldCharType="separate"/>
      </w:r>
      <w:r w:rsidR="00E5391B">
        <w:rPr>
          <w:color w:val="auto"/>
          <w:lang w:val="hr-HR"/>
        </w:rPr>
        <w:t>(b)</w:t>
      </w:r>
      <w:r w:rsidRPr="00653DCF">
        <w:rPr>
          <w:color w:val="auto"/>
          <w:lang w:val="hr-HR"/>
        </w:rPr>
        <w:fldChar w:fldCharType="end"/>
      </w:r>
      <w:r w:rsidR="00883026" w:rsidRPr="00653DCF">
        <w:rPr>
          <w:color w:val="auto"/>
          <w:lang w:val="hr-HR"/>
        </w:rPr>
        <w:t>.</w:t>
      </w:r>
    </w:p>
    <w:p w14:paraId="7CBF76B6" w14:textId="4DE3D90D" w:rsidR="007A2A6F" w:rsidRPr="00653DCF" w:rsidRDefault="00E87B0B">
      <w:pPr>
        <w:widowControl w:val="0"/>
        <w:rPr>
          <w:b/>
          <w:color w:val="auto"/>
          <w:lang w:val="hr-HR"/>
        </w:rPr>
      </w:pPr>
      <w:r w:rsidRPr="00653DCF">
        <w:rPr>
          <w:color w:val="auto"/>
          <w:lang w:val="hr-HR"/>
        </w:rPr>
        <w:t>„</w:t>
      </w:r>
      <w:r w:rsidR="003E094E" w:rsidRPr="00653DCF">
        <w:rPr>
          <w:rStyle w:val="BoldEIB"/>
          <w:color w:val="auto"/>
          <w:lang w:val="hr-HR"/>
        </w:rPr>
        <w:t>r</w:t>
      </w:r>
      <w:r w:rsidRPr="00653DCF">
        <w:rPr>
          <w:rStyle w:val="BoldEIB"/>
          <w:color w:val="auto"/>
          <w:lang w:val="hr-HR"/>
        </w:rPr>
        <w:t>azdoblje dodjele</w:t>
      </w:r>
      <w:r w:rsidRPr="00653DCF">
        <w:rPr>
          <w:color w:val="auto"/>
          <w:lang w:val="hr-HR"/>
        </w:rPr>
        <w:t xml:space="preserve">” ima značenje </w:t>
      </w:r>
      <w:r w:rsidR="00644F9F" w:rsidRPr="00653DCF">
        <w:rPr>
          <w:color w:val="auto"/>
          <w:lang w:val="hr-HR"/>
        </w:rPr>
        <w:t>iz</w:t>
      </w:r>
      <w:r w:rsidR="00FC28A5" w:rsidRPr="00653DCF">
        <w:rPr>
          <w:color w:val="auto"/>
          <w:lang w:val="hr-HR"/>
        </w:rPr>
        <w:t xml:space="preserve"> </w:t>
      </w:r>
      <w:r w:rsidR="007F2F10" w:rsidRPr="00653DCF">
        <w:rPr>
          <w:color w:val="auto"/>
          <w:lang w:val="hr-HR"/>
        </w:rPr>
        <w:t>člank</w:t>
      </w:r>
      <w:r w:rsidR="00644F9F" w:rsidRPr="00653DCF">
        <w:rPr>
          <w:color w:val="auto"/>
          <w:lang w:val="hr-HR"/>
        </w:rPr>
        <w:t>a</w:t>
      </w:r>
      <w:r w:rsidR="007F2F10" w:rsidRPr="00653DCF">
        <w:rPr>
          <w:color w:val="auto"/>
          <w:lang w:val="hr-HR"/>
        </w:rPr>
        <w:t xml:space="preserve"> </w:t>
      </w:r>
      <w:r w:rsidRPr="00653DCF">
        <w:rPr>
          <w:color w:val="auto"/>
          <w:lang w:val="hr-HR"/>
        </w:rPr>
        <w:fldChar w:fldCharType="begin"/>
      </w:r>
      <w:r w:rsidRPr="00653DCF">
        <w:rPr>
          <w:color w:val="auto"/>
          <w:lang w:val="hr-HR"/>
        </w:rPr>
        <w:instrText xml:space="preserve"> REF _Ref440723950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1.9.A</w:t>
      </w:r>
      <w:r w:rsidRPr="00653DCF">
        <w:rPr>
          <w:color w:val="auto"/>
          <w:lang w:val="hr-HR"/>
        </w:rPr>
        <w:fldChar w:fldCharType="end"/>
      </w:r>
      <w:r w:rsidR="00883026" w:rsidRPr="00653DCF">
        <w:rPr>
          <w:color w:val="auto"/>
          <w:lang w:val="hr-HR"/>
        </w:rPr>
        <w:t>.</w:t>
      </w:r>
    </w:p>
    <w:p w14:paraId="583A22E5" w14:textId="68AB3A0F" w:rsidR="007A2A6F" w:rsidRPr="00653DCF" w:rsidRDefault="00E87B0B">
      <w:pPr>
        <w:rPr>
          <w:color w:val="auto"/>
          <w:lang w:val="hr-HR"/>
        </w:rPr>
      </w:pPr>
      <w:r w:rsidRPr="00653DCF">
        <w:rPr>
          <w:rStyle w:val="BoldEIB"/>
          <w:b w:val="0"/>
          <w:color w:val="auto"/>
          <w:lang w:val="hr-HR"/>
        </w:rPr>
        <w:t>„</w:t>
      </w:r>
      <w:r w:rsidR="00D20D69" w:rsidRPr="00653DCF">
        <w:rPr>
          <w:rStyle w:val="BoldEIB"/>
          <w:color w:val="auto"/>
          <w:lang w:val="hr-HR"/>
        </w:rPr>
        <w:t>z</w:t>
      </w:r>
      <w:r w:rsidRPr="00653DCF">
        <w:rPr>
          <w:rStyle w:val="BoldEIB"/>
          <w:color w:val="auto"/>
          <w:lang w:val="hr-HR"/>
        </w:rPr>
        <w:t>ahtjev za dodjelu</w:t>
      </w:r>
      <w:r w:rsidR="00D20D69" w:rsidRPr="00653DCF">
        <w:rPr>
          <w:rStyle w:val="BoldEIB"/>
          <w:color w:val="auto"/>
          <w:lang w:val="hr-HR"/>
        </w:rPr>
        <w:t xml:space="preserve"> sredstava</w:t>
      </w:r>
      <w:r w:rsidRPr="00653DCF">
        <w:rPr>
          <w:color w:val="auto"/>
          <w:lang w:val="hr-HR"/>
        </w:rPr>
        <w:t xml:space="preserve">” ima značenje </w:t>
      </w:r>
      <w:r w:rsidR="00644F9F" w:rsidRPr="00653DCF">
        <w:rPr>
          <w:color w:val="auto"/>
          <w:lang w:val="hr-HR"/>
        </w:rPr>
        <w:t xml:space="preserve">iz </w:t>
      </w:r>
      <w:r w:rsidR="007F2F10" w:rsidRPr="00653DCF">
        <w:rPr>
          <w:color w:val="auto"/>
          <w:lang w:val="hr-HR"/>
        </w:rPr>
        <w:t>člank</w:t>
      </w:r>
      <w:r w:rsidR="00644F9F" w:rsidRPr="00653DCF">
        <w:rPr>
          <w:color w:val="auto"/>
          <w:lang w:val="hr-HR"/>
        </w:rPr>
        <w:t>a</w:t>
      </w:r>
      <w:r w:rsidR="007F2F10" w:rsidRPr="00653DCF">
        <w:rPr>
          <w:color w:val="auto"/>
          <w:lang w:val="hr-HR"/>
        </w:rPr>
        <w:t xml:space="preserve"> </w:t>
      </w:r>
      <w:r w:rsidRPr="00653DCF">
        <w:rPr>
          <w:color w:val="auto"/>
          <w:lang w:val="hr-HR"/>
        </w:rPr>
        <w:fldChar w:fldCharType="begin"/>
      </w:r>
      <w:r w:rsidRPr="00653DCF">
        <w:rPr>
          <w:color w:val="auto"/>
          <w:lang w:val="hr-HR"/>
        </w:rPr>
        <w:instrText xml:space="preserve"> REF _Ref440723950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1.9.A</w:t>
      </w:r>
      <w:r w:rsidRPr="00653DCF">
        <w:rPr>
          <w:color w:val="auto"/>
          <w:lang w:val="hr-HR"/>
        </w:rPr>
        <w:fldChar w:fldCharType="end"/>
      </w:r>
      <w:r w:rsidR="00883026" w:rsidRPr="00653DCF">
        <w:rPr>
          <w:color w:val="auto"/>
          <w:lang w:val="hr-HR"/>
        </w:rPr>
        <w:t>.</w:t>
      </w:r>
    </w:p>
    <w:p w14:paraId="161D90A4" w14:textId="5223BA1C" w:rsidR="007A2A6F" w:rsidRPr="00653DCF" w:rsidRDefault="00E87B0B">
      <w:pPr>
        <w:rPr>
          <w:color w:val="auto"/>
          <w:lang w:val="hr-HR"/>
        </w:rPr>
      </w:pPr>
      <w:r w:rsidRPr="00653DCF">
        <w:rPr>
          <w:rStyle w:val="BoldEIB"/>
          <w:b w:val="0"/>
          <w:color w:val="auto"/>
          <w:lang w:val="hr-HR"/>
        </w:rPr>
        <w:t>„</w:t>
      </w:r>
      <w:r w:rsidRPr="00653DCF">
        <w:rPr>
          <w:rStyle w:val="BoldEIB"/>
          <w:color w:val="auto"/>
          <w:lang w:val="hr-HR"/>
        </w:rPr>
        <w:t xml:space="preserve">Direktiva o </w:t>
      </w:r>
      <w:r w:rsidR="00CA5AA0" w:rsidRPr="00653DCF">
        <w:rPr>
          <w:rStyle w:val="BoldEIB"/>
          <w:color w:val="auto"/>
          <w:lang w:val="hr-HR"/>
        </w:rPr>
        <w:t xml:space="preserve">kaznenopravnim sredstvima protiv </w:t>
      </w:r>
      <w:r w:rsidRPr="00653DCF">
        <w:rPr>
          <w:rStyle w:val="BoldEIB"/>
          <w:color w:val="auto"/>
          <w:lang w:val="hr-HR"/>
        </w:rPr>
        <w:t>pranja novca</w:t>
      </w:r>
      <w:r w:rsidRPr="00653DCF">
        <w:rPr>
          <w:rStyle w:val="BoldEIB"/>
          <w:b w:val="0"/>
          <w:color w:val="auto"/>
          <w:lang w:val="hr-HR"/>
        </w:rPr>
        <w:t>”</w:t>
      </w:r>
      <w:r w:rsidRPr="00653DCF">
        <w:rPr>
          <w:color w:val="auto"/>
          <w:lang w:val="hr-HR"/>
        </w:rPr>
        <w:t xml:space="preserve"> znači Direktiva (EU) 2018/1673 Europskog parlamenta i Vijeća od 23. listopada 2018. o borbi protiv pranja novca kaznenopravnim sredstvima</w:t>
      </w:r>
      <w:r w:rsidR="00223101" w:rsidRPr="00653DCF">
        <w:rPr>
          <w:color w:val="auto"/>
          <w:lang w:val="hr-HR"/>
        </w:rPr>
        <w:t xml:space="preserve"> kako je </w:t>
      </w:r>
      <w:r w:rsidR="005E5535" w:rsidRPr="00653DCF">
        <w:rPr>
          <w:color w:val="auto"/>
          <w:lang w:val="hr-HR"/>
        </w:rPr>
        <w:t xml:space="preserve">ta direktiva </w:t>
      </w:r>
      <w:r w:rsidRPr="00653DCF">
        <w:rPr>
          <w:color w:val="auto"/>
          <w:lang w:val="hr-HR"/>
        </w:rPr>
        <w:t xml:space="preserve">izmijenjena, dopunjena ili </w:t>
      </w:r>
      <w:r w:rsidR="00BF19CC" w:rsidRPr="00653DCF">
        <w:rPr>
          <w:color w:val="auto"/>
          <w:lang w:val="hr-HR"/>
        </w:rPr>
        <w:t>prepravljena</w:t>
      </w:r>
      <w:r w:rsidR="00883026" w:rsidRPr="00653DCF">
        <w:rPr>
          <w:color w:val="auto"/>
          <w:lang w:val="hr-HR"/>
        </w:rPr>
        <w:t>.</w:t>
      </w:r>
    </w:p>
    <w:p w14:paraId="07429E07" w14:textId="5EF25614" w:rsidR="007A2A6F" w:rsidRPr="00653DCF" w:rsidRDefault="00E87B0B">
      <w:pPr>
        <w:rPr>
          <w:color w:val="auto"/>
          <w:lang w:val="hr-HR"/>
        </w:rPr>
      </w:pPr>
      <w:r w:rsidRPr="00653DCF">
        <w:rPr>
          <w:rStyle w:val="BoldEIB"/>
          <w:b w:val="0"/>
          <w:color w:val="auto"/>
          <w:lang w:val="hr-HR"/>
        </w:rPr>
        <w:t>„</w:t>
      </w:r>
      <w:r w:rsidRPr="00653DCF">
        <w:rPr>
          <w:b/>
          <w:color w:val="auto"/>
          <w:lang w:val="hr-HR"/>
        </w:rPr>
        <w:t xml:space="preserve">Direktive </w:t>
      </w:r>
      <w:r w:rsidR="00906312" w:rsidRPr="00653DCF">
        <w:rPr>
          <w:b/>
          <w:color w:val="auto"/>
          <w:lang w:val="hr-HR"/>
        </w:rPr>
        <w:t xml:space="preserve">protiv </w:t>
      </w:r>
      <w:r w:rsidR="00E53787" w:rsidRPr="00653DCF">
        <w:rPr>
          <w:b/>
          <w:color w:val="auto"/>
          <w:lang w:val="hr-HR"/>
        </w:rPr>
        <w:t>pranja novca</w:t>
      </w:r>
      <w:r w:rsidRPr="00653DCF">
        <w:rPr>
          <w:rStyle w:val="BoldEIB"/>
          <w:b w:val="0"/>
          <w:color w:val="auto"/>
          <w:lang w:val="hr-HR"/>
        </w:rPr>
        <w:t>”</w:t>
      </w:r>
      <w:r w:rsidRPr="00653DCF">
        <w:rPr>
          <w:color w:val="auto"/>
          <w:lang w:val="hr-HR"/>
        </w:rPr>
        <w:t xml:space="preserve"> znači </w:t>
      </w:r>
      <w:r w:rsidR="00BD414F" w:rsidRPr="00653DCF">
        <w:rPr>
          <w:color w:val="auto"/>
          <w:lang w:val="hr-HR"/>
        </w:rPr>
        <w:t>Č</w:t>
      </w:r>
      <w:r w:rsidRPr="00653DCF">
        <w:rPr>
          <w:color w:val="auto"/>
          <w:lang w:val="hr-HR"/>
        </w:rPr>
        <w:t>etvrt</w:t>
      </w:r>
      <w:r w:rsidR="001644DA" w:rsidRPr="00653DCF">
        <w:rPr>
          <w:color w:val="auto"/>
          <w:lang w:val="hr-HR"/>
        </w:rPr>
        <w:t>a</w:t>
      </w:r>
      <w:r w:rsidRPr="00653DCF">
        <w:rPr>
          <w:color w:val="auto"/>
          <w:lang w:val="hr-HR"/>
        </w:rPr>
        <w:t xml:space="preserve"> i </w:t>
      </w:r>
      <w:r w:rsidR="00BD414F" w:rsidRPr="00653DCF">
        <w:rPr>
          <w:color w:val="auto"/>
          <w:lang w:val="hr-HR"/>
        </w:rPr>
        <w:t>P</w:t>
      </w:r>
      <w:r w:rsidRPr="00653DCF">
        <w:rPr>
          <w:color w:val="auto"/>
          <w:lang w:val="hr-HR"/>
        </w:rPr>
        <w:t>et</w:t>
      </w:r>
      <w:r w:rsidR="001644DA" w:rsidRPr="00653DCF">
        <w:rPr>
          <w:color w:val="auto"/>
          <w:lang w:val="hr-HR"/>
        </w:rPr>
        <w:t>a</w:t>
      </w:r>
      <w:r w:rsidRPr="00653DCF">
        <w:rPr>
          <w:color w:val="auto"/>
          <w:lang w:val="hr-HR"/>
        </w:rPr>
        <w:t xml:space="preserve"> direktiv</w:t>
      </w:r>
      <w:r w:rsidR="001644DA" w:rsidRPr="00653DCF">
        <w:rPr>
          <w:color w:val="auto"/>
          <w:lang w:val="hr-HR"/>
        </w:rPr>
        <w:t>a</w:t>
      </w:r>
      <w:r w:rsidRPr="00653DCF">
        <w:rPr>
          <w:color w:val="auto"/>
          <w:lang w:val="hr-HR"/>
        </w:rPr>
        <w:t xml:space="preserve"> o sprečavanju pranja novca i </w:t>
      </w:r>
      <w:r w:rsidR="008F5C55" w:rsidRPr="00653DCF">
        <w:rPr>
          <w:color w:val="auto"/>
          <w:lang w:val="hr-HR"/>
        </w:rPr>
        <w:t>Direktiv</w:t>
      </w:r>
      <w:r w:rsidR="005350D0" w:rsidRPr="00653DCF">
        <w:rPr>
          <w:color w:val="auto"/>
          <w:lang w:val="hr-HR"/>
        </w:rPr>
        <w:t>a</w:t>
      </w:r>
      <w:r w:rsidR="008F5C55" w:rsidRPr="00653DCF">
        <w:rPr>
          <w:color w:val="auto"/>
          <w:lang w:val="hr-HR"/>
        </w:rPr>
        <w:t xml:space="preserve"> o kaznenopravnim sredstvima protiv pranja novca</w:t>
      </w:r>
      <w:r w:rsidR="00883026" w:rsidRPr="00653DCF">
        <w:rPr>
          <w:color w:val="auto"/>
          <w:lang w:val="hr-HR"/>
        </w:rPr>
        <w:t>.</w:t>
      </w:r>
    </w:p>
    <w:p w14:paraId="26E6E179" w14:textId="406F3A58" w:rsidR="007A2A6F" w:rsidRPr="00653DCF" w:rsidRDefault="00E87B0B">
      <w:pPr>
        <w:rPr>
          <w:iCs/>
          <w:color w:val="auto"/>
          <w:lang w:val="hr-HR"/>
        </w:rPr>
      </w:pPr>
      <w:r w:rsidRPr="00653DCF">
        <w:rPr>
          <w:rStyle w:val="BoldEIB"/>
          <w:b w:val="0"/>
          <w:color w:val="auto"/>
          <w:lang w:val="hr-HR"/>
        </w:rPr>
        <w:t>„</w:t>
      </w:r>
      <w:r w:rsidRPr="00653DCF">
        <w:rPr>
          <w:b/>
          <w:color w:val="auto"/>
          <w:lang w:val="hr-HR"/>
        </w:rPr>
        <w:t>Četvrta i peta direktiva o sprečavanju pranja novca</w:t>
      </w:r>
      <w:r w:rsidR="008F5C55" w:rsidRPr="00653DCF">
        <w:rPr>
          <w:bCs/>
          <w:color w:val="auto"/>
          <w:lang w:val="hr-HR"/>
        </w:rPr>
        <w:t>“</w:t>
      </w:r>
      <w:r w:rsidR="008F5C55" w:rsidRPr="00653DCF">
        <w:rPr>
          <w:b/>
          <w:color w:val="auto"/>
          <w:lang w:val="hr-HR"/>
        </w:rPr>
        <w:t xml:space="preserve"> </w:t>
      </w:r>
      <w:r w:rsidR="008F5C55" w:rsidRPr="00653DCF">
        <w:rPr>
          <w:bCs/>
          <w:color w:val="auto"/>
          <w:lang w:val="hr-HR"/>
        </w:rPr>
        <w:t xml:space="preserve">znači </w:t>
      </w:r>
      <w:r w:rsidR="002D57C5" w:rsidRPr="00653DCF">
        <w:rPr>
          <w:color w:val="auto"/>
          <w:lang w:val="hr-HR"/>
        </w:rPr>
        <w:t>D</w:t>
      </w:r>
      <w:r w:rsidRPr="00653DCF">
        <w:rPr>
          <w:color w:val="auto"/>
          <w:lang w:val="hr-HR"/>
        </w:rPr>
        <w:t xml:space="preserve">irektiva 2015/849 Europskog parlamenta i Vijeća od 20. svibnja 2015. </w:t>
      </w:r>
      <w:r w:rsidRPr="00653DCF">
        <w:rPr>
          <w:iCs/>
          <w:color w:val="auto"/>
          <w:lang w:val="hr-HR"/>
        </w:rPr>
        <w:t>o sprečavanju korištenja financijskog sustava u svrhu pranja novca ili financiranja terorizma</w:t>
      </w:r>
      <w:r w:rsidRPr="00653DCF">
        <w:rPr>
          <w:i/>
          <w:color w:val="auto"/>
          <w:lang w:val="hr-HR"/>
        </w:rPr>
        <w:t>,</w:t>
      </w:r>
      <w:r w:rsidR="005D70A3" w:rsidRPr="00653DCF">
        <w:rPr>
          <w:i/>
          <w:color w:val="auto"/>
          <w:lang w:val="hr-HR"/>
        </w:rPr>
        <w:t xml:space="preserve"> </w:t>
      </w:r>
      <w:r w:rsidR="005D70A3" w:rsidRPr="00653DCF">
        <w:rPr>
          <w:iCs/>
          <w:color w:val="auto"/>
          <w:lang w:val="hr-HR"/>
        </w:rPr>
        <w:t xml:space="preserve">onako kako je </w:t>
      </w:r>
      <w:r w:rsidR="00B71AA9" w:rsidRPr="00653DCF">
        <w:rPr>
          <w:iCs/>
          <w:color w:val="auto"/>
          <w:lang w:val="hr-HR"/>
        </w:rPr>
        <w:t xml:space="preserve">ta direktiva </w:t>
      </w:r>
      <w:r w:rsidRPr="00653DCF">
        <w:rPr>
          <w:iCs/>
          <w:color w:val="auto"/>
          <w:lang w:val="hr-HR"/>
        </w:rPr>
        <w:t>izmijenjena</w:t>
      </w:r>
      <w:r w:rsidR="0046470B" w:rsidRPr="00653DCF">
        <w:rPr>
          <w:iCs/>
          <w:color w:val="auto"/>
          <w:lang w:val="hr-HR"/>
        </w:rPr>
        <w:t>, dopunjena ili prepravljena</w:t>
      </w:r>
      <w:r w:rsidRPr="00653DCF">
        <w:rPr>
          <w:iCs/>
          <w:color w:val="auto"/>
          <w:lang w:val="hr-HR"/>
        </w:rPr>
        <w:t xml:space="preserve"> </w:t>
      </w:r>
      <w:r w:rsidR="00204BC0" w:rsidRPr="00653DCF">
        <w:rPr>
          <w:iCs/>
          <w:color w:val="auto"/>
          <w:lang w:val="hr-HR"/>
        </w:rPr>
        <w:t>D</w:t>
      </w:r>
      <w:r w:rsidRPr="00653DCF">
        <w:rPr>
          <w:iCs/>
          <w:color w:val="auto"/>
          <w:lang w:val="hr-HR"/>
        </w:rPr>
        <w:t>irektivom (EU) 2018/843 Europskog parlamenta i Vijeća od 30. svibnja 2018</w:t>
      </w:r>
      <w:r w:rsidR="00D31F5B" w:rsidRPr="00653DCF">
        <w:rPr>
          <w:iCs/>
          <w:color w:val="auto"/>
          <w:lang w:val="hr-HR"/>
        </w:rPr>
        <w:t>..</w:t>
      </w:r>
    </w:p>
    <w:p w14:paraId="14C5D613" w14:textId="51E66F5A" w:rsidR="007A2A6F" w:rsidRPr="00653DCF" w:rsidRDefault="00E87B0B">
      <w:pPr>
        <w:rPr>
          <w:color w:val="auto"/>
          <w:lang w:val="hr-HR"/>
        </w:rPr>
      </w:pPr>
      <w:r w:rsidRPr="00653DCF">
        <w:rPr>
          <w:color w:val="auto"/>
          <w:lang w:val="hr-HR"/>
        </w:rPr>
        <w:t>„</w:t>
      </w:r>
      <w:r w:rsidR="005350D0" w:rsidRPr="00653DCF">
        <w:rPr>
          <w:b/>
          <w:color w:val="auto"/>
          <w:lang w:val="hr-HR"/>
        </w:rPr>
        <w:t>o</w:t>
      </w:r>
      <w:r w:rsidRPr="00653DCF">
        <w:rPr>
          <w:b/>
          <w:color w:val="auto"/>
          <w:lang w:val="hr-HR"/>
        </w:rPr>
        <w:t xml:space="preserve">dobreni </w:t>
      </w:r>
      <w:r w:rsidR="0069789B" w:rsidRPr="00653DCF">
        <w:rPr>
          <w:b/>
          <w:color w:val="auto"/>
          <w:lang w:val="hr-HR"/>
        </w:rPr>
        <w:t>kredit</w:t>
      </w:r>
      <w:r w:rsidRPr="00653DCF">
        <w:rPr>
          <w:color w:val="auto"/>
          <w:lang w:val="hr-HR"/>
        </w:rPr>
        <w:t xml:space="preserve">” ima značenje </w:t>
      </w:r>
      <w:r w:rsidR="005350D0" w:rsidRPr="00653DCF">
        <w:rPr>
          <w:color w:val="auto"/>
          <w:lang w:val="hr-HR"/>
        </w:rPr>
        <w:t xml:space="preserve">iz uvodne odredbe </w:t>
      </w:r>
      <w:r w:rsidRPr="00653DCF">
        <w:rPr>
          <w:color w:val="auto"/>
          <w:lang w:val="hr-HR"/>
        </w:rPr>
        <w:t>(</w:t>
      </w:r>
      <w:r w:rsidR="009020DC" w:rsidRPr="00653DCF">
        <w:rPr>
          <w:color w:val="auto"/>
          <w:lang w:val="hr-HR"/>
        </w:rPr>
        <w:t>d</w:t>
      </w:r>
      <w:r w:rsidRPr="00653DCF">
        <w:rPr>
          <w:color w:val="auto"/>
          <w:lang w:val="hr-HR"/>
        </w:rPr>
        <w:t>)</w:t>
      </w:r>
      <w:r w:rsidR="00D31F5B" w:rsidRPr="00653DCF">
        <w:rPr>
          <w:color w:val="auto"/>
          <w:lang w:val="hr-HR"/>
        </w:rPr>
        <w:t>.</w:t>
      </w:r>
    </w:p>
    <w:p w14:paraId="668FE321" w14:textId="49FB8D9B" w:rsidR="007A2A6F" w:rsidRPr="00653DCF" w:rsidRDefault="00E87B0B">
      <w:pPr>
        <w:rPr>
          <w:color w:val="auto"/>
          <w:lang w:val="hr-HR"/>
        </w:rPr>
      </w:pPr>
      <w:r w:rsidRPr="00653DCF">
        <w:rPr>
          <w:color w:val="auto"/>
          <w:lang w:val="hr-HR"/>
        </w:rPr>
        <w:t>„</w:t>
      </w:r>
      <w:r w:rsidR="0069789B" w:rsidRPr="00653DCF">
        <w:rPr>
          <w:rStyle w:val="BoldEIB"/>
          <w:color w:val="auto"/>
          <w:lang w:val="hr-HR"/>
        </w:rPr>
        <w:t>o</w:t>
      </w:r>
      <w:r w:rsidRPr="00653DCF">
        <w:rPr>
          <w:rStyle w:val="BoldEIB"/>
          <w:color w:val="auto"/>
          <w:lang w:val="hr-HR"/>
        </w:rPr>
        <w:t>vlaštenje</w:t>
      </w:r>
      <w:r w:rsidRPr="00653DCF">
        <w:rPr>
          <w:color w:val="auto"/>
          <w:lang w:val="hr-HR"/>
        </w:rPr>
        <w:t xml:space="preserve">” znači </w:t>
      </w:r>
      <w:r w:rsidR="00BE308E" w:rsidRPr="00653DCF">
        <w:rPr>
          <w:color w:val="auto"/>
          <w:lang w:val="hr-HR"/>
        </w:rPr>
        <w:t>ovlaštenje</w:t>
      </w:r>
      <w:r w:rsidRPr="00653DCF">
        <w:rPr>
          <w:color w:val="auto"/>
          <w:lang w:val="hr-HR"/>
        </w:rPr>
        <w:t xml:space="preserve">, dozvola, suglasnost, odobrenje, </w:t>
      </w:r>
      <w:r w:rsidR="00EE5A7A" w:rsidRPr="00653DCF">
        <w:rPr>
          <w:color w:val="auto"/>
          <w:lang w:val="hr-HR"/>
        </w:rPr>
        <w:t>rješenje</w:t>
      </w:r>
      <w:r w:rsidRPr="00653DCF">
        <w:rPr>
          <w:color w:val="auto"/>
          <w:lang w:val="hr-HR"/>
        </w:rPr>
        <w:t xml:space="preserve">, </w:t>
      </w:r>
      <w:r w:rsidR="0069789B" w:rsidRPr="00653DCF">
        <w:rPr>
          <w:color w:val="auto"/>
          <w:lang w:val="hr-HR"/>
        </w:rPr>
        <w:t>licencija</w:t>
      </w:r>
      <w:r w:rsidRPr="00653DCF">
        <w:rPr>
          <w:color w:val="auto"/>
          <w:lang w:val="hr-HR"/>
        </w:rPr>
        <w:t xml:space="preserve">, izuzeće, </w:t>
      </w:r>
      <w:r w:rsidR="0069789B" w:rsidRPr="00653DCF">
        <w:rPr>
          <w:color w:val="auto"/>
          <w:lang w:val="hr-HR"/>
        </w:rPr>
        <w:t>podnesak</w:t>
      </w:r>
      <w:r w:rsidRPr="00653DCF">
        <w:rPr>
          <w:color w:val="auto"/>
          <w:lang w:val="hr-HR"/>
        </w:rPr>
        <w:t xml:space="preserve">, ovjera ili </w:t>
      </w:r>
      <w:r w:rsidR="0069789B" w:rsidRPr="00653DCF">
        <w:rPr>
          <w:color w:val="auto"/>
          <w:lang w:val="hr-HR"/>
        </w:rPr>
        <w:t>registracija</w:t>
      </w:r>
      <w:r w:rsidR="00D31F5B" w:rsidRPr="00653DCF">
        <w:rPr>
          <w:color w:val="auto"/>
          <w:lang w:val="hr-HR"/>
        </w:rPr>
        <w:t>.</w:t>
      </w:r>
    </w:p>
    <w:p w14:paraId="39095988" w14:textId="7C7CA232" w:rsidR="007A2A6F" w:rsidRPr="00653DCF" w:rsidRDefault="00E87B0B">
      <w:pPr>
        <w:rPr>
          <w:color w:val="auto"/>
          <w:lang w:val="hr-HR"/>
        </w:rPr>
      </w:pPr>
      <w:r w:rsidRPr="00653DCF">
        <w:rPr>
          <w:color w:val="auto"/>
          <w:lang w:val="hr-HR"/>
        </w:rPr>
        <w:t>„</w:t>
      </w:r>
      <w:r w:rsidR="0069789B" w:rsidRPr="00653DCF">
        <w:rPr>
          <w:b/>
          <w:color w:val="auto"/>
          <w:lang w:val="hr-HR"/>
        </w:rPr>
        <w:t>o</w:t>
      </w:r>
      <w:r w:rsidRPr="00653DCF">
        <w:rPr>
          <w:b/>
          <w:color w:val="auto"/>
          <w:lang w:val="hr-HR"/>
        </w:rPr>
        <w:t>vlašteni potpisnik</w:t>
      </w:r>
      <w:r w:rsidRPr="00653DCF">
        <w:rPr>
          <w:color w:val="auto"/>
          <w:lang w:val="hr-HR"/>
        </w:rPr>
        <w:t xml:space="preserve">” znači osoba koja je ovlaštena </w:t>
      </w:r>
      <w:r w:rsidR="00953ADA" w:rsidRPr="00653DCF">
        <w:rPr>
          <w:color w:val="auto"/>
          <w:lang w:val="hr-HR"/>
        </w:rPr>
        <w:t xml:space="preserve">za potpisivanje, </w:t>
      </w:r>
      <w:r w:rsidRPr="00653DCF">
        <w:rPr>
          <w:color w:val="auto"/>
          <w:lang w:val="hr-HR"/>
        </w:rPr>
        <w:t xml:space="preserve">pojedinačno ili </w:t>
      </w:r>
      <w:r w:rsidR="0046470B" w:rsidRPr="00653DCF">
        <w:rPr>
          <w:color w:val="auto"/>
          <w:lang w:val="hr-HR"/>
        </w:rPr>
        <w:t xml:space="preserve">skupno </w:t>
      </w:r>
      <w:r w:rsidRPr="00653DCF">
        <w:rPr>
          <w:color w:val="auto"/>
          <w:lang w:val="hr-HR"/>
        </w:rPr>
        <w:t xml:space="preserve">(ovisno o slučaju) </w:t>
      </w:r>
      <w:r w:rsidR="00953ADA" w:rsidRPr="00653DCF">
        <w:rPr>
          <w:color w:val="auto"/>
          <w:lang w:val="hr-HR"/>
        </w:rPr>
        <w:t xml:space="preserve">zahtjeva </w:t>
      </w:r>
      <w:r w:rsidRPr="00653DCF">
        <w:rPr>
          <w:color w:val="auto"/>
          <w:lang w:val="hr-HR"/>
        </w:rPr>
        <w:t>za isplatu u ime Zajmoprimca</w:t>
      </w:r>
      <w:r w:rsidR="0046470B" w:rsidRPr="00653DCF">
        <w:rPr>
          <w:color w:val="auto"/>
          <w:lang w:val="hr-HR"/>
        </w:rPr>
        <w:t xml:space="preserve">, a </w:t>
      </w:r>
      <w:r w:rsidR="00953ADA" w:rsidRPr="00653DCF">
        <w:rPr>
          <w:color w:val="auto"/>
          <w:lang w:val="hr-HR"/>
        </w:rPr>
        <w:t xml:space="preserve">koja je </w:t>
      </w:r>
      <w:r w:rsidRPr="00653DCF">
        <w:rPr>
          <w:color w:val="auto"/>
          <w:lang w:val="hr-HR"/>
        </w:rPr>
        <w:t xml:space="preserve">navedena je na najnovijem </w:t>
      </w:r>
      <w:r w:rsidR="00403105" w:rsidRPr="00653DCF">
        <w:rPr>
          <w:color w:val="auto"/>
          <w:lang w:val="hr-HR"/>
        </w:rPr>
        <w:t>p</w:t>
      </w:r>
      <w:r w:rsidRPr="00653DCF">
        <w:rPr>
          <w:color w:val="auto"/>
          <w:lang w:val="hr-HR"/>
        </w:rPr>
        <w:t xml:space="preserve">opisu ovlaštenih potpisnika i računa koje Banka </w:t>
      </w:r>
      <w:r w:rsidR="000E652D" w:rsidRPr="00653DCF">
        <w:rPr>
          <w:color w:val="auto"/>
          <w:lang w:val="hr-HR"/>
        </w:rPr>
        <w:t>za</w:t>
      </w:r>
      <w:r w:rsidR="00CB6C44" w:rsidRPr="00653DCF">
        <w:rPr>
          <w:color w:val="auto"/>
          <w:lang w:val="hr-HR"/>
        </w:rPr>
        <w:t xml:space="preserve">primi </w:t>
      </w:r>
      <w:r w:rsidRPr="00653DCF">
        <w:rPr>
          <w:color w:val="auto"/>
          <w:lang w:val="hr-HR"/>
        </w:rPr>
        <w:t xml:space="preserve">prije primitka odgovarajućeg </w:t>
      </w:r>
      <w:r w:rsidR="00CB6C44" w:rsidRPr="00653DCF">
        <w:rPr>
          <w:color w:val="auto"/>
          <w:lang w:val="hr-HR"/>
        </w:rPr>
        <w:t>z</w:t>
      </w:r>
      <w:r w:rsidRPr="00653DCF">
        <w:rPr>
          <w:color w:val="auto"/>
          <w:lang w:val="hr-HR"/>
        </w:rPr>
        <w:t>ahtjeva za isplatu</w:t>
      </w:r>
      <w:r w:rsidR="00D31F5B" w:rsidRPr="00653DCF">
        <w:rPr>
          <w:color w:val="auto"/>
          <w:lang w:val="hr-HR"/>
        </w:rPr>
        <w:t>.</w:t>
      </w:r>
    </w:p>
    <w:p w14:paraId="495991EB" w14:textId="01E26866" w:rsidR="007A2A6F" w:rsidRPr="00653DCF" w:rsidRDefault="00E87B0B">
      <w:pPr>
        <w:widowControl w:val="0"/>
        <w:rPr>
          <w:color w:val="auto"/>
          <w:lang w:val="hr-HR"/>
        </w:rPr>
      </w:pPr>
      <w:r w:rsidRPr="00653DCF">
        <w:rPr>
          <w:color w:val="auto"/>
          <w:lang w:val="hr-HR"/>
        </w:rPr>
        <w:t>„</w:t>
      </w:r>
      <w:r w:rsidRPr="00653DCF">
        <w:rPr>
          <w:rStyle w:val="BoldEIB"/>
          <w:color w:val="auto"/>
          <w:lang w:val="hr-HR"/>
        </w:rPr>
        <w:t>Direktiva o pticama</w:t>
      </w:r>
      <w:r w:rsidRPr="00653DCF">
        <w:rPr>
          <w:color w:val="auto"/>
          <w:lang w:val="hr-HR"/>
        </w:rPr>
        <w:t xml:space="preserve">” znači </w:t>
      </w:r>
      <w:r w:rsidR="002D57C5" w:rsidRPr="00653DCF">
        <w:rPr>
          <w:color w:val="auto"/>
          <w:lang w:val="hr-HR"/>
        </w:rPr>
        <w:t>D</w:t>
      </w:r>
      <w:r w:rsidRPr="00653DCF">
        <w:rPr>
          <w:color w:val="auto"/>
          <w:lang w:val="hr-HR"/>
        </w:rPr>
        <w:t xml:space="preserve">irektiva 2009/147/EZ Europskog parlamenta i Vijeća o očuvanju divljih ptica </w:t>
      </w:r>
      <w:r w:rsidRPr="00653DCF">
        <w:rPr>
          <w:iCs/>
          <w:color w:val="auto"/>
          <w:lang w:val="hr-HR"/>
        </w:rPr>
        <w:t>od 30.</w:t>
      </w:r>
      <w:r w:rsidR="005C7D9C" w:rsidRPr="00653DCF">
        <w:rPr>
          <w:i/>
          <w:color w:val="auto"/>
          <w:lang w:val="hr-HR"/>
        </w:rPr>
        <w:t xml:space="preserve"> </w:t>
      </w:r>
      <w:r w:rsidRPr="00653DCF">
        <w:rPr>
          <w:color w:val="auto"/>
          <w:lang w:val="hr-HR"/>
        </w:rPr>
        <w:t>studenoga 2009.</w:t>
      </w:r>
      <w:r w:rsidR="000E652D" w:rsidRPr="00653DCF">
        <w:rPr>
          <w:color w:val="auto"/>
          <w:lang w:val="hr-HR"/>
        </w:rPr>
        <w:t>, onako kako je ta direktiva</w:t>
      </w:r>
      <w:r w:rsidRPr="00653DCF">
        <w:rPr>
          <w:color w:val="auto"/>
          <w:lang w:val="hr-HR"/>
        </w:rPr>
        <w:t xml:space="preserve"> izmijenjena, dopunjena ili </w:t>
      </w:r>
      <w:r w:rsidR="005C7D9C" w:rsidRPr="00653DCF">
        <w:rPr>
          <w:color w:val="auto"/>
          <w:lang w:val="hr-HR"/>
        </w:rPr>
        <w:t>prepravljena</w:t>
      </w:r>
      <w:r w:rsidR="00D31F5B" w:rsidRPr="00653DCF">
        <w:rPr>
          <w:color w:val="auto"/>
          <w:lang w:val="hr-HR"/>
        </w:rPr>
        <w:t>.</w:t>
      </w:r>
    </w:p>
    <w:p w14:paraId="36BC8981" w14:textId="0BD6F8EF" w:rsidR="007A2A6F" w:rsidRPr="00653DCF" w:rsidRDefault="00E87B0B">
      <w:pPr>
        <w:rPr>
          <w:color w:val="auto"/>
          <w:lang w:val="hr-HR"/>
        </w:rPr>
      </w:pPr>
      <w:r w:rsidRPr="00653DCF">
        <w:rPr>
          <w:color w:val="auto"/>
          <w:lang w:val="hr-HR"/>
        </w:rPr>
        <w:t>„</w:t>
      </w:r>
      <w:r w:rsidR="00CB6C44" w:rsidRPr="00653DCF">
        <w:rPr>
          <w:rStyle w:val="BoldEIB"/>
          <w:color w:val="auto"/>
          <w:lang w:val="hr-HR"/>
        </w:rPr>
        <w:t>r</w:t>
      </w:r>
      <w:r w:rsidRPr="00653DCF">
        <w:rPr>
          <w:rStyle w:val="BoldEIB"/>
          <w:color w:val="auto"/>
          <w:lang w:val="hr-HR"/>
        </w:rPr>
        <w:t>adni dan</w:t>
      </w:r>
      <w:r w:rsidRPr="00653DCF">
        <w:rPr>
          <w:color w:val="auto"/>
          <w:lang w:val="hr-HR"/>
        </w:rPr>
        <w:t xml:space="preserve">” znači dan (osim subote ili nedjelje) na koji su Banka i poslovne banke </w:t>
      </w:r>
      <w:r w:rsidR="00EC7A45" w:rsidRPr="00653DCF">
        <w:rPr>
          <w:color w:val="auto"/>
          <w:lang w:val="hr-HR"/>
        </w:rPr>
        <w:t xml:space="preserve">u Luksemburgu otvorene za </w:t>
      </w:r>
      <w:r w:rsidR="00644F9F" w:rsidRPr="00653DCF">
        <w:rPr>
          <w:color w:val="auto"/>
          <w:lang w:val="hr-HR"/>
        </w:rPr>
        <w:t>redovno poslovanje</w:t>
      </w:r>
      <w:r w:rsidR="00D31F5B" w:rsidRPr="00653DCF">
        <w:rPr>
          <w:color w:val="auto"/>
          <w:lang w:val="hr-HR"/>
        </w:rPr>
        <w:t>.</w:t>
      </w:r>
    </w:p>
    <w:p w14:paraId="4DFF61AA" w14:textId="5E494FDC" w:rsidR="007A2A6F" w:rsidRPr="00653DCF" w:rsidRDefault="00E87B0B">
      <w:pPr>
        <w:rPr>
          <w:color w:val="auto"/>
          <w:lang w:val="hr-HR"/>
        </w:rPr>
      </w:pPr>
      <w:r w:rsidRPr="00653DCF">
        <w:rPr>
          <w:color w:val="auto"/>
          <w:lang w:val="hr-HR"/>
        </w:rPr>
        <w:t>„</w:t>
      </w:r>
      <w:r w:rsidR="00644F9F" w:rsidRPr="00653DCF">
        <w:rPr>
          <w:b/>
          <w:color w:val="auto"/>
          <w:lang w:val="hr-HR"/>
        </w:rPr>
        <w:t>p</w:t>
      </w:r>
      <w:r w:rsidRPr="00653DCF">
        <w:rPr>
          <w:b/>
          <w:color w:val="auto"/>
          <w:lang w:val="hr-HR"/>
        </w:rPr>
        <w:t>oništena tranša</w:t>
      </w:r>
      <w:r w:rsidRPr="00653DCF">
        <w:rPr>
          <w:color w:val="auto"/>
          <w:lang w:val="hr-HR"/>
        </w:rPr>
        <w:t xml:space="preserve">” ima značenje </w:t>
      </w:r>
      <w:r w:rsidR="00644F9F" w:rsidRPr="00653DCF">
        <w:rPr>
          <w:color w:val="auto"/>
          <w:lang w:val="hr-HR"/>
        </w:rPr>
        <w:t xml:space="preserve">iz članka </w:t>
      </w:r>
      <w:r w:rsidRPr="00653DCF">
        <w:rPr>
          <w:color w:val="auto"/>
          <w:lang w:val="hr-HR"/>
        </w:rPr>
        <w:fldChar w:fldCharType="begin"/>
      </w:r>
      <w:r w:rsidRPr="00653DCF">
        <w:rPr>
          <w:color w:val="auto"/>
          <w:lang w:val="hr-HR"/>
        </w:rPr>
        <w:instrText xml:space="preserve"> REF _Ref486412104 \r \h  \* MERGEFORMAT </w:instrText>
      </w:r>
      <w:r w:rsidRPr="00653DCF">
        <w:rPr>
          <w:color w:val="auto"/>
          <w:lang w:val="hr-HR"/>
        </w:rPr>
      </w:r>
      <w:r w:rsidRPr="00653DCF">
        <w:rPr>
          <w:color w:val="auto"/>
          <w:lang w:val="hr-HR"/>
        </w:rPr>
        <w:fldChar w:fldCharType="separate"/>
      </w:r>
      <w:r w:rsidR="00E5391B">
        <w:rPr>
          <w:color w:val="auto"/>
          <w:lang w:val="hr-HR"/>
        </w:rPr>
        <w:t>1.6.C(2)</w:t>
      </w:r>
      <w:r w:rsidRPr="00653DCF">
        <w:rPr>
          <w:color w:val="auto"/>
          <w:lang w:val="hr-HR"/>
        </w:rPr>
        <w:fldChar w:fldCharType="end"/>
      </w:r>
      <w:r w:rsidRPr="00653DCF">
        <w:rPr>
          <w:color w:val="auto"/>
          <w:lang w:val="hr-HR"/>
        </w:rPr>
        <w:fldChar w:fldCharType="begin"/>
      </w:r>
      <w:r w:rsidRPr="00653DCF">
        <w:rPr>
          <w:color w:val="auto"/>
          <w:lang w:val="hr-HR"/>
        </w:rPr>
        <w:instrText xml:space="preserve"> REF _Ref511815887 \r \h  \* MERGEFORMAT </w:instrText>
      </w:r>
      <w:r w:rsidRPr="00653DCF">
        <w:rPr>
          <w:color w:val="auto"/>
          <w:lang w:val="hr-HR"/>
        </w:rPr>
      </w:r>
      <w:r w:rsidRPr="00653DCF">
        <w:rPr>
          <w:color w:val="auto"/>
          <w:lang w:val="hr-HR"/>
        </w:rPr>
        <w:fldChar w:fldCharType="separate"/>
      </w:r>
      <w:r w:rsidR="00E5391B">
        <w:rPr>
          <w:color w:val="auto"/>
          <w:lang w:val="hr-HR"/>
        </w:rPr>
        <w:t>(a)</w:t>
      </w:r>
      <w:r w:rsidRPr="00653DCF">
        <w:rPr>
          <w:color w:val="auto"/>
          <w:lang w:val="hr-HR"/>
        </w:rPr>
        <w:fldChar w:fldCharType="end"/>
      </w:r>
      <w:r w:rsidR="00D31F5B" w:rsidRPr="00653DCF">
        <w:rPr>
          <w:color w:val="auto"/>
          <w:lang w:val="hr-HR"/>
        </w:rPr>
        <w:t>.</w:t>
      </w:r>
    </w:p>
    <w:p w14:paraId="67A612A8" w14:textId="62E479E9" w:rsidR="007A2A6F" w:rsidRPr="00653DCF" w:rsidRDefault="00E87B0B">
      <w:pPr>
        <w:widowControl w:val="0"/>
        <w:rPr>
          <w:color w:val="auto"/>
          <w:lang w:val="hr-HR"/>
        </w:rPr>
      </w:pPr>
      <w:r w:rsidRPr="00653DCF">
        <w:rPr>
          <w:color w:val="auto"/>
          <w:lang w:val="hr-HR"/>
        </w:rPr>
        <w:t>„</w:t>
      </w:r>
      <w:r w:rsidR="00644F9F" w:rsidRPr="00653DCF">
        <w:rPr>
          <w:b/>
          <w:bCs/>
          <w:color w:val="auto"/>
          <w:lang w:val="hr-HR"/>
        </w:rPr>
        <w:t>d</w:t>
      </w:r>
      <w:r w:rsidRPr="00653DCF">
        <w:rPr>
          <w:rStyle w:val="BoldEIB"/>
          <w:color w:val="auto"/>
          <w:lang w:val="hr-HR"/>
        </w:rPr>
        <w:t xml:space="preserve">ogađaj </w:t>
      </w:r>
      <w:r w:rsidR="00AA475C" w:rsidRPr="00653DCF">
        <w:rPr>
          <w:rStyle w:val="BoldEIB"/>
          <w:color w:val="auto"/>
          <w:lang w:val="hr-HR"/>
        </w:rPr>
        <w:t>promjene zakona</w:t>
      </w:r>
      <w:r w:rsidRPr="00653DCF">
        <w:rPr>
          <w:color w:val="auto"/>
          <w:lang w:val="hr-HR"/>
        </w:rPr>
        <w:t xml:space="preserve">” ima značenje </w:t>
      </w:r>
      <w:r w:rsidR="00644F9F" w:rsidRPr="00653DCF">
        <w:rPr>
          <w:color w:val="auto"/>
          <w:lang w:val="hr-HR"/>
        </w:rPr>
        <w:t xml:space="preserve">iz članka </w:t>
      </w:r>
      <w:r w:rsidRPr="00653DCF">
        <w:rPr>
          <w:color w:val="auto"/>
          <w:lang w:val="hr-HR"/>
        </w:rPr>
        <w:fldChar w:fldCharType="begin"/>
      </w:r>
      <w:r w:rsidRPr="00653DCF">
        <w:rPr>
          <w:color w:val="auto"/>
          <w:lang w:val="hr-HR"/>
        </w:rPr>
        <w:instrText xml:space="preserve"> REF _Ref508811751 \n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4.3.A(2)</w:t>
      </w:r>
      <w:r w:rsidRPr="00653DCF">
        <w:rPr>
          <w:color w:val="auto"/>
          <w:lang w:val="hr-HR"/>
        </w:rPr>
        <w:fldChar w:fldCharType="end"/>
      </w:r>
      <w:r w:rsidR="00D31F5B" w:rsidRPr="00653DCF">
        <w:rPr>
          <w:color w:val="auto"/>
          <w:lang w:val="hr-HR"/>
        </w:rPr>
        <w:t>.</w:t>
      </w:r>
    </w:p>
    <w:p w14:paraId="5A8BC4CD" w14:textId="2ABBAAF4" w:rsidR="007A2A6F" w:rsidRPr="00653DCF" w:rsidRDefault="00E87B0B">
      <w:pPr>
        <w:widowControl w:val="0"/>
        <w:rPr>
          <w:color w:val="auto"/>
          <w:lang w:val="hr-HR"/>
        </w:rPr>
      </w:pPr>
      <w:r w:rsidRPr="00653DCF">
        <w:rPr>
          <w:color w:val="auto"/>
          <w:lang w:val="hr-HR"/>
        </w:rPr>
        <w:lastRenderedPageBreak/>
        <w:t>„</w:t>
      </w:r>
      <w:r w:rsidRPr="00653DCF">
        <w:rPr>
          <w:b/>
          <w:color w:val="auto"/>
          <w:lang w:val="hr-HR"/>
        </w:rPr>
        <w:t>Ustav Republike Hrvatske</w:t>
      </w:r>
      <w:r w:rsidRPr="00653DCF">
        <w:rPr>
          <w:color w:val="auto"/>
          <w:lang w:val="hr-HR"/>
        </w:rPr>
        <w:t>” znači Ustav Republike Hrvatske objavljen u Narodnim novinama br.</w:t>
      </w:r>
      <w:r w:rsidR="00E4705D" w:rsidRPr="00653DCF">
        <w:rPr>
          <w:color w:val="auto"/>
          <w:szCs w:val="24"/>
        </w:rPr>
        <w:t xml:space="preserve"> 85/10</w:t>
      </w:r>
      <w:r w:rsidR="00CF2F17" w:rsidRPr="00653DCF">
        <w:rPr>
          <w:color w:val="auto"/>
          <w:szCs w:val="24"/>
        </w:rPr>
        <w:t>.</w:t>
      </w:r>
      <w:r w:rsidR="00E4705D" w:rsidRPr="00653DCF">
        <w:rPr>
          <w:color w:val="auto"/>
          <w:szCs w:val="24"/>
        </w:rPr>
        <w:t xml:space="preserve"> - pročišćeni tekst i 5/14</w:t>
      </w:r>
      <w:r w:rsidR="00CF2F17" w:rsidRPr="00653DCF">
        <w:rPr>
          <w:color w:val="auto"/>
          <w:szCs w:val="24"/>
        </w:rPr>
        <w:t>.</w:t>
      </w:r>
      <w:r w:rsidR="00E4705D" w:rsidRPr="00653DCF">
        <w:rPr>
          <w:color w:val="auto"/>
          <w:szCs w:val="24"/>
        </w:rPr>
        <w:t xml:space="preserve"> - Odluka Ustavnog suda Republike Hrvatske</w:t>
      </w:r>
      <w:r w:rsidR="00F50E89" w:rsidRPr="00653DCF">
        <w:rPr>
          <w:color w:val="auto"/>
          <w:lang w:val="hr-HR"/>
        </w:rPr>
        <w:t>, onako kako je taj dokument</w:t>
      </w:r>
      <w:r w:rsidR="002E1B3B" w:rsidRPr="00653DCF">
        <w:rPr>
          <w:color w:val="auto"/>
          <w:lang w:val="hr-HR"/>
        </w:rPr>
        <w:t xml:space="preserve"> izmijenjen, dopunjen ili prepravljen</w:t>
      </w:r>
      <w:r w:rsidR="00D31F5B" w:rsidRPr="00653DCF">
        <w:rPr>
          <w:color w:val="auto"/>
          <w:lang w:val="hr-HR"/>
        </w:rPr>
        <w:t>.</w:t>
      </w:r>
    </w:p>
    <w:p w14:paraId="0800A7A5" w14:textId="0BC7CE7C" w:rsidR="007A2A6F" w:rsidRPr="00653DCF" w:rsidRDefault="00E87B0B">
      <w:pPr>
        <w:rPr>
          <w:color w:val="auto"/>
          <w:lang w:val="hr-HR"/>
        </w:rPr>
      </w:pPr>
      <w:r w:rsidRPr="00653DCF">
        <w:rPr>
          <w:color w:val="auto"/>
          <w:lang w:val="hr-HR"/>
        </w:rPr>
        <w:t>„</w:t>
      </w:r>
      <w:r w:rsidRPr="00653DCF">
        <w:rPr>
          <w:rStyle w:val="BoldEIB"/>
          <w:color w:val="auto"/>
          <w:lang w:val="hr-HR"/>
        </w:rPr>
        <w:t>Ugovor</w:t>
      </w:r>
      <w:r w:rsidRPr="00653DCF">
        <w:rPr>
          <w:color w:val="auto"/>
          <w:lang w:val="hr-HR"/>
        </w:rPr>
        <w:t xml:space="preserve">” ima značenje </w:t>
      </w:r>
      <w:r w:rsidR="00551AB2" w:rsidRPr="00653DCF">
        <w:rPr>
          <w:color w:val="auto"/>
          <w:lang w:val="hr-HR"/>
        </w:rPr>
        <w:t xml:space="preserve">iz </w:t>
      </w:r>
      <w:r w:rsidR="001A2BD4" w:rsidRPr="00653DCF">
        <w:rPr>
          <w:color w:val="auto"/>
          <w:lang w:val="hr-HR"/>
        </w:rPr>
        <w:t>u</w:t>
      </w:r>
      <w:r w:rsidR="00660A8B" w:rsidRPr="00653DCF">
        <w:rPr>
          <w:color w:val="auto"/>
          <w:lang w:val="hr-HR"/>
        </w:rPr>
        <w:t>vodne odredbe</w:t>
      </w:r>
      <w:r w:rsidR="00C2603C" w:rsidRPr="00653DCF">
        <w:rPr>
          <w:color w:val="auto"/>
          <w:lang w:val="hr-HR"/>
        </w:rPr>
        <w:t xml:space="preserve"> (d)</w:t>
      </w:r>
      <w:r w:rsidR="00D31F5B" w:rsidRPr="00653DCF">
        <w:rPr>
          <w:color w:val="auto"/>
          <w:lang w:val="hr-HR"/>
        </w:rPr>
        <w:t>.</w:t>
      </w:r>
    </w:p>
    <w:p w14:paraId="1C2C10B4" w14:textId="53993855" w:rsidR="007A2A6F" w:rsidRPr="00653DCF" w:rsidRDefault="00E87B0B">
      <w:pPr>
        <w:rPr>
          <w:color w:val="auto"/>
          <w:lang w:val="hr-HR"/>
        </w:rPr>
      </w:pPr>
      <w:r w:rsidRPr="00653DCF">
        <w:rPr>
          <w:color w:val="auto"/>
          <w:lang w:val="hr-HR"/>
        </w:rPr>
        <w:t>„</w:t>
      </w:r>
      <w:r w:rsidR="003B4B0F" w:rsidRPr="00653DCF">
        <w:rPr>
          <w:rStyle w:val="BoldEIB"/>
          <w:color w:val="auto"/>
          <w:lang w:val="hr-HR"/>
        </w:rPr>
        <w:t>b</w:t>
      </w:r>
      <w:r w:rsidRPr="00653DCF">
        <w:rPr>
          <w:rStyle w:val="BoldEIB"/>
          <w:color w:val="auto"/>
          <w:lang w:val="hr-HR"/>
        </w:rPr>
        <w:t xml:space="preserve">roj </w:t>
      </w:r>
      <w:r w:rsidR="00F50E89" w:rsidRPr="00653DCF">
        <w:rPr>
          <w:rStyle w:val="BoldEIB"/>
          <w:color w:val="auto"/>
          <w:lang w:val="hr-HR"/>
        </w:rPr>
        <w:t>U</w:t>
      </w:r>
      <w:r w:rsidRPr="00653DCF">
        <w:rPr>
          <w:rStyle w:val="BoldEIB"/>
          <w:color w:val="auto"/>
          <w:lang w:val="hr-HR"/>
        </w:rPr>
        <w:t>govora</w:t>
      </w:r>
      <w:r w:rsidRPr="00653DCF">
        <w:rPr>
          <w:color w:val="auto"/>
          <w:lang w:val="hr-HR"/>
        </w:rPr>
        <w:t xml:space="preserve">” znači </w:t>
      </w:r>
      <w:r w:rsidR="003B4B0F" w:rsidRPr="00653DCF">
        <w:rPr>
          <w:color w:val="auto"/>
          <w:lang w:val="hr-HR"/>
        </w:rPr>
        <w:t xml:space="preserve">broj koji generira Banka </w:t>
      </w:r>
      <w:r w:rsidRPr="00653DCF">
        <w:rPr>
          <w:color w:val="auto"/>
          <w:lang w:val="hr-HR"/>
        </w:rPr>
        <w:t>za identifikaciju ovog Ugovora</w:t>
      </w:r>
      <w:r w:rsidR="00DF6FEC" w:rsidRPr="00653DCF">
        <w:rPr>
          <w:color w:val="auto"/>
          <w:lang w:val="hr-HR"/>
        </w:rPr>
        <w:t>,</w:t>
      </w:r>
      <w:r w:rsidRPr="00653DCF">
        <w:rPr>
          <w:color w:val="auto"/>
          <w:lang w:val="hr-HR"/>
        </w:rPr>
        <w:t xml:space="preserve"> </w:t>
      </w:r>
      <w:r w:rsidR="005E4F6F" w:rsidRPr="00653DCF">
        <w:rPr>
          <w:color w:val="auto"/>
          <w:lang w:val="hr-HR"/>
        </w:rPr>
        <w:t xml:space="preserve">koji je </w:t>
      </w:r>
      <w:r w:rsidRPr="00653DCF">
        <w:rPr>
          <w:color w:val="auto"/>
          <w:lang w:val="hr-HR"/>
        </w:rPr>
        <w:t xml:space="preserve">naveden na </w:t>
      </w:r>
      <w:r w:rsidR="00F50E89" w:rsidRPr="00653DCF">
        <w:rPr>
          <w:color w:val="auto"/>
          <w:lang w:val="hr-HR"/>
        </w:rPr>
        <w:t xml:space="preserve">naslovnici </w:t>
      </w:r>
      <w:r w:rsidRPr="00653DCF">
        <w:rPr>
          <w:color w:val="auto"/>
          <w:lang w:val="hr-HR"/>
        </w:rPr>
        <w:t xml:space="preserve">ovog Ugovora </w:t>
      </w:r>
      <w:r w:rsidR="00BB6E90" w:rsidRPr="00653DCF">
        <w:rPr>
          <w:color w:val="auto"/>
          <w:lang w:val="hr-HR"/>
        </w:rPr>
        <w:t xml:space="preserve">iza slovnih oznaka </w:t>
      </w:r>
      <w:r w:rsidRPr="00653DCF">
        <w:rPr>
          <w:color w:val="auto"/>
          <w:lang w:val="hr-HR"/>
        </w:rPr>
        <w:t>„FI br.”</w:t>
      </w:r>
      <w:r w:rsidR="00D31F5B" w:rsidRPr="00653DCF">
        <w:rPr>
          <w:color w:val="auto"/>
          <w:lang w:val="hr-HR"/>
        </w:rPr>
        <w:t>.</w:t>
      </w:r>
      <w:r w:rsidRPr="00653DCF">
        <w:rPr>
          <w:color w:val="auto"/>
          <w:lang w:val="hr-HR"/>
        </w:rPr>
        <w:t xml:space="preserve"> </w:t>
      </w:r>
    </w:p>
    <w:p w14:paraId="61897FDD" w14:textId="2FAAD4CB" w:rsidR="007A2A6F" w:rsidRPr="00653DCF" w:rsidRDefault="00EE02B9">
      <w:pPr>
        <w:rPr>
          <w:color w:val="auto"/>
          <w:lang w:val="hr-HR"/>
        </w:rPr>
      </w:pPr>
      <w:r w:rsidRPr="00653DCF">
        <w:rPr>
          <w:color w:val="auto"/>
          <w:lang w:val="hr-HR"/>
        </w:rPr>
        <w:t>„</w:t>
      </w:r>
      <w:r w:rsidR="00BB6E90" w:rsidRPr="00653DCF">
        <w:rPr>
          <w:rStyle w:val="BoldEIB"/>
          <w:color w:val="auto"/>
          <w:lang w:val="hr-HR"/>
        </w:rPr>
        <w:t>k</w:t>
      </w:r>
      <w:r w:rsidR="00E87B0B" w:rsidRPr="00653DCF">
        <w:rPr>
          <w:rStyle w:val="BoldEIB"/>
          <w:color w:val="auto"/>
          <w:lang w:val="hr-HR"/>
        </w:rPr>
        <w:t>redit</w:t>
      </w:r>
      <w:r w:rsidRPr="00653DCF">
        <w:rPr>
          <w:rStyle w:val="BoldEIB"/>
          <w:color w:val="auto"/>
          <w:lang w:val="hr-HR"/>
        </w:rPr>
        <w:t>“</w:t>
      </w:r>
      <w:r w:rsidR="00E87B0B" w:rsidRPr="00653DCF">
        <w:rPr>
          <w:color w:val="auto"/>
          <w:lang w:val="hr-HR"/>
        </w:rPr>
        <w:t xml:space="preserve"> ima značenje </w:t>
      </w:r>
      <w:r w:rsidR="00BB6E90" w:rsidRPr="00653DCF">
        <w:rPr>
          <w:color w:val="auto"/>
          <w:lang w:val="hr-HR"/>
        </w:rPr>
        <w:t xml:space="preserve">iz </w:t>
      </w:r>
      <w:r w:rsidR="00E87B0B" w:rsidRPr="00653DCF">
        <w:rPr>
          <w:color w:val="auto"/>
          <w:lang w:val="hr-HR"/>
        </w:rPr>
        <w:t>člank</w:t>
      </w:r>
      <w:r w:rsidR="00BB6E90" w:rsidRPr="00653DCF">
        <w:rPr>
          <w:color w:val="auto"/>
          <w:lang w:val="hr-HR"/>
        </w:rPr>
        <w:t>a</w:t>
      </w:r>
      <w:r w:rsidR="005E4F6F"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_Ref426693193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1.1</w:t>
      </w:r>
      <w:r w:rsidR="00E87B0B" w:rsidRPr="00653DCF">
        <w:rPr>
          <w:color w:val="auto"/>
          <w:lang w:val="hr-HR"/>
        </w:rPr>
        <w:fldChar w:fldCharType="end"/>
      </w:r>
      <w:r w:rsidR="00E87B0B" w:rsidRPr="00653DCF">
        <w:rPr>
          <w:color w:val="auto"/>
          <w:lang w:val="hr-HR"/>
        </w:rPr>
        <w:t>.</w:t>
      </w:r>
      <w:r w:rsidR="00D31F5B" w:rsidRPr="00653DCF">
        <w:rPr>
          <w:color w:val="auto"/>
          <w:lang w:val="hr-HR"/>
        </w:rPr>
        <w:t>.</w:t>
      </w:r>
    </w:p>
    <w:p w14:paraId="61769180" w14:textId="07B88587" w:rsidR="007A2A6F" w:rsidRPr="00653DCF" w:rsidRDefault="00E87B0B">
      <w:pPr>
        <w:rPr>
          <w:color w:val="auto"/>
          <w:lang w:val="hr-HR"/>
        </w:rPr>
      </w:pPr>
      <w:r w:rsidRPr="00653DCF">
        <w:rPr>
          <w:color w:val="auto"/>
          <w:lang w:val="hr-HR"/>
        </w:rPr>
        <w:t>„</w:t>
      </w:r>
      <w:r w:rsidR="00BB6E90" w:rsidRPr="00653DCF">
        <w:rPr>
          <w:b/>
          <w:color w:val="auto"/>
          <w:lang w:val="hr-HR"/>
        </w:rPr>
        <w:t>d</w:t>
      </w:r>
      <w:r w:rsidR="005C22B9" w:rsidRPr="00653DCF">
        <w:rPr>
          <w:b/>
          <w:color w:val="auto"/>
          <w:lang w:val="hr-HR"/>
        </w:rPr>
        <w:t>užnički</w:t>
      </w:r>
      <w:r w:rsidRPr="00653DCF">
        <w:rPr>
          <w:b/>
          <w:color w:val="auto"/>
          <w:lang w:val="hr-HR"/>
        </w:rPr>
        <w:t xml:space="preserve"> instrument</w:t>
      </w:r>
      <w:r w:rsidRPr="00653DCF">
        <w:rPr>
          <w:color w:val="auto"/>
          <w:lang w:val="hr-HR"/>
        </w:rPr>
        <w:t xml:space="preserve">” ima značenje </w:t>
      </w:r>
      <w:r w:rsidR="00BB6E90" w:rsidRPr="00653DCF">
        <w:rPr>
          <w:color w:val="auto"/>
          <w:lang w:val="hr-HR"/>
        </w:rPr>
        <w:t xml:space="preserve">iz članka </w:t>
      </w:r>
      <w:r w:rsidRPr="00653DCF">
        <w:rPr>
          <w:color w:val="auto"/>
          <w:lang w:val="hr-HR"/>
        </w:rPr>
        <w:t>7.1.</w:t>
      </w:r>
    </w:p>
    <w:p w14:paraId="03D8EC2E" w14:textId="5F64AC26" w:rsidR="007A2A6F" w:rsidRPr="00653DCF" w:rsidRDefault="00E87B0B">
      <w:pPr>
        <w:rPr>
          <w:color w:val="auto"/>
          <w:lang w:val="hr-HR"/>
        </w:rPr>
      </w:pPr>
      <w:r w:rsidRPr="00653DCF">
        <w:rPr>
          <w:color w:val="auto"/>
          <w:lang w:val="hr-HR"/>
        </w:rPr>
        <w:t>„</w:t>
      </w:r>
      <w:r w:rsidR="00C04B35" w:rsidRPr="00653DCF">
        <w:rPr>
          <w:rStyle w:val="BoldEIB"/>
          <w:color w:val="auto"/>
          <w:lang w:val="hr-HR"/>
        </w:rPr>
        <w:t>n</w:t>
      </w:r>
      <w:r w:rsidRPr="00653DCF">
        <w:rPr>
          <w:rStyle w:val="BoldEIB"/>
          <w:color w:val="auto"/>
          <w:lang w:val="hr-HR"/>
        </w:rPr>
        <w:t>aknada za odgodu</w:t>
      </w:r>
      <w:r w:rsidRPr="00653DCF">
        <w:rPr>
          <w:color w:val="auto"/>
          <w:lang w:val="hr-HR"/>
        </w:rPr>
        <w:t xml:space="preserve">” znači naknada </w:t>
      </w:r>
      <w:r w:rsidR="00FB1A1B" w:rsidRPr="00653DCF">
        <w:rPr>
          <w:color w:val="auto"/>
          <w:lang w:val="hr-HR"/>
        </w:rPr>
        <w:t xml:space="preserve">obračunata </w:t>
      </w:r>
      <w:r w:rsidR="00C04B35" w:rsidRPr="00653DCF">
        <w:rPr>
          <w:color w:val="auto"/>
          <w:lang w:val="hr-HR"/>
        </w:rPr>
        <w:t xml:space="preserve">na iznos odgođene ili obustavljene isplate </w:t>
      </w:r>
      <w:r w:rsidR="00C57145" w:rsidRPr="00653DCF">
        <w:rPr>
          <w:color w:val="auto"/>
          <w:lang w:val="hr-HR"/>
        </w:rPr>
        <w:t>najavljene</w:t>
      </w:r>
      <w:r w:rsidRPr="00653DCF">
        <w:rPr>
          <w:color w:val="auto"/>
          <w:lang w:val="hr-HR"/>
        </w:rPr>
        <w:t xml:space="preserve"> tranše </w:t>
      </w:r>
      <w:r w:rsidR="00957845" w:rsidRPr="00653DCF">
        <w:rPr>
          <w:color w:val="auto"/>
          <w:lang w:val="hr-HR"/>
        </w:rPr>
        <w:t>koja je viša od</w:t>
      </w:r>
      <w:r w:rsidR="00E522D6" w:rsidRPr="00653DCF">
        <w:rPr>
          <w:color w:val="auto"/>
          <w:lang w:val="hr-HR"/>
        </w:rPr>
        <w:t>:</w:t>
      </w:r>
    </w:p>
    <w:p w14:paraId="0B89BBD7" w14:textId="45DC7401" w:rsidR="007A2A6F" w:rsidRPr="00653DCF" w:rsidRDefault="00246F0D">
      <w:pPr>
        <w:pStyle w:val="NoIndentEIB"/>
        <w:numPr>
          <w:ilvl w:val="0"/>
          <w:numId w:val="5"/>
        </w:numPr>
        <w:rPr>
          <w:color w:val="auto"/>
          <w:lang w:val="hr-HR"/>
        </w:rPr>
      </w:pPr>
      <w:r w:rsidRPr="00653DCF">
        <w:rPr>
          <w:color w:val="auto"/>
          <w:lang w:val="hr-HR"/>
        </w:rPr>
        <w:t>0,125</w:t>
      </w:r>
      <w:r w:rsidR="00E87B0B" w:rsidRPr="00653DCF">
        <w:rPr>
          <w:color w:val="auto"/>
          <w:lang w:val="hr-HR"/>
        </w:rPr>
        <w:t xml:space="preserve">% (12,5 </w:t>
      </w:r>
      <w:r w:rsidR="00597D80" w:rsidRPr="00653DCF">
        <w:rPr>
          <w:color w:val="auto"/>
          <w:lang w:val="hr-HR"/>
        </w:rPr>
        <w:t xml:space="preserve">baznih </w:t>
      </w:r>
      <w:r w:rsidR="00D10007" w:rsidRPr="00653DCF">
        <w:rPr>
          <w:color w:val="auto"/>
          <w:lang w:val="hr-HR"/>
        </w:rPr>
        <w:t>bodova</w:t>
      </w:r>
      <w:r w:rsidR="00E87B0B" w:rsidRPr="00653DCF">
        <w:rPr>
          <w:color w:val="auto"/>
          <w:lang w:val="hr-HR"/>
        </w:rPr>
        <w:t xml:space="preserve">) godišnje; i </w:t>
      </w:r>
    </w:p>
    <w:p w14:paraId="2714A86E" w14:textId="44FBF7A1" w:rsidR="007A2A6F" w:rsidRPr="00653DCF" w:rsidRDefault="00E87B0B">
      <w:pPr>
        <w:pStyle w:val="NoIndentEIB"/>
        <w:numPr>
          <w:ilvl w:val="0"/>
          <w:numId w:val="5"/>
        </w:numPr>
        <w:rPr>
          <w:color w:val="auto"/>
          <w:lang w:val="hr-HR"/>
        </w:rPr>
      </w:pPr>
      <w:r w:rsidRPr="00653DCF">
        <w:rPr>
          <w:color w:val="auto"/>
          <w:lang w:val="hr-HR"/>
        </w:rPr>
        <w:t>postotn</w:t>
      </w:r>
      <w:r w:rsidR="00957845" w:rsidRPr="00653DCF">
        <w:rPr>
          <w:color w:val="auto"/>
          <w:lang w:val="hr-HR"/>
        </w:rPr>
        <w:t>e</w:t>
      </w:r>
      <w:r w:rsidRPr="00653DCF">
        <w:rPr>
          <w:color w:val="auto"/>
          <w:lang w:val="hr-HR"/>
        </w:rPr>
        <w:t xml:space="preserve"> stop</w:t>
      </w:r>
      <w:r w:rsidR="00DA4079" w:rsidRPr="00653DCF">
        <w:rPr>
          <w:color w:val="auto"/>
          <w:lang w:val="hr-HR"/>
        </w:rPr>
        <w:t>e</w:t>
      </w:r>
      <w:r w:rsidR="00E54CD2" w:rsidRPr="00653DCF">
        <w:rPr>
          <w:color w:val="auto"/>
          <w:lang w:val="hr-HR"/>
        </w:rPr>
        <w:t>, pri čemu</w:t>
      </w:r>
      <w:r w:rsidRPr="00653DCF">
        <w:rPr>
          <w:color w:val="auto"/>
          <w:lang w:val="hr-HR"/>
        </w:rPr>
        <w:t xml:space="preserve">: </w:t>
      </w:r>
    </w:p>
    <w:p w14:paraId="5E8E56E8" w14:textId="66670AA5" w:rsidR="007A2A6F" w:rsidRPr="00653DCF" w:rsidRDefault="00E87B0B">
      <w:pPr>
        <w:pStyle w:val="NoIndentEIB"/>
        <w:numPr>
          <w:ilvl w:val="1"/>
          <w:numId w:val="5"/>
        </w:numPr>
        <w:rPr>
          <w:color w:val="auto"/>
          <w:lang w:val="hr-HR"/>
        </w:rPr>
      </w:pPr>
      <w:r w:rsidRPr="00653DCF">
        <w:rPr>
          <w:color w:val="auto"/>
          <w:lang w:val="hr-HR"/>
        </w:rPr>
        <w:t xml:space="preserve">kamatna stopa koja bi </w:t>
      </w:r>
      <w:r w:rsidR="00957845" w:rsidRPr="00653DCF">
        <w:rPr>
          <w:color w:val="auto"/>
          <w:lang w:val="hr-HR"/>
        </w:rPr>
        <w:t xml:space="preserve">bila primjenjiva na takvu tranšu </w:t>
      </w:r>
      <w:r w:rsidRPr="00653DCF">
        <w:rPr>
          <w:color w:val="auto"/>
          <w:lang w:val="hr-HR"/>
        </w:rPr>
        <w:t xml:space="preserve">da je isplaćena </w:t>
      </w:r>
      <w:r w:rsidR="009D0005" w:rsidRPr="00653DCF">
        <w:rPr>
          <w:color w:val="auto"/>
          <w:lang w:val="hr-HR"/>
        </w:rPr>
        <w:t>Z</w:t>
      </w:r>
      <w:r w:rsidRPr="00653DCF">
        <w:rPr>
          <w:color w:val="auto"/>
          <w:lang w:val="hr-HR"/>
        </w:rPr>
        <w:t xml:space="preserve">ajmoprimcu na </w:t>
      </w:r>
      <w:r w:rsidR="00957845" w:rsidRPr="00653DCF">
        <w:rPr>
          <w:color w:val="auto"/>
          <w:lang w:val="hr-HR"/>
        </w:rPr>
        <w:t>p</w:t>
      </w:r>
      <w:r w:rsidRPr="00653DCF">
        <w:rPr>
          <w:color w:val="auto"/>
          <w:lang w:val="hr-HR"/>
        </w:rPr>
        <w:t xml:space="preserve">lanirani datum </w:t>
      </w:r>
      <w:r w:rsidR="00D10007" w:rsidRPr="00653DCF">
        <w:rPr>
          <w:color w:val="auto"/>
          <w:lang w:val="hr-HR"/>
        </w:rPr>
        <w:t>isplate premašuje</w:t>
      </w:r>
    </w:p>
    <w:p w14:paraId="15A8DF0C" w14:textId="000E4F4B" w:rsidR="007A2A6F" w:rsidRPr="00653DCF" w:rsidRDefault="00E87B0B">
      <w:pPr>
        <w:pStyle w:val="NoIndentEIB"/>
        <w:numPr>
          <w:ilvl w:val="1"/>
          <w:numId w:val="5"/>
        </w:numPr>
        <w:rPr>
          <w:color w:val="auto"/>
          <w:lang w:val="hr-HR"/>
        </w:rPr>
      </w:pPr>
      <w:r w:rsidRPr="00653DCF">
        <w:rPr>
          <w:color w:val="auto"/>
          <w:lang w:val="hr-HR"/>
        </w:rPr>
        <w:t>EURIBOR (</w:t>
      </w:r>
      <w:r w:rsidR="00D10007" w:rsidRPr="00653DCF">
        <w:rPr>
          <w:color w:val="auto"/>
          <w:lang w:val="hr-HR"/>
        </w:rPr>
        <w:t>jedno</w:t>
      </w:r>
      <w:r w:rsidRPr="00653DCF">
        <w:rPr>
          <w:color w:val="auto"/>
          <w:lang w:val="hr-HR"/>
        </w:rPr>
        <w:t>m</w:t>
      </w:r>
      <w:r w:rsidR="00246F0D" w:rsidRPr="00653DCF">
        <w:rPr>
          <w:color w:val="auto"/>
          <w:lang w:val="hr-HR"/>
        </w:rPr>
        <w:t>jesečna stopa) umanjen za 0,125</w:t>
      </w:r>
      <w:r w:rsidRPr="00653DCF">
        <w:rPr>
          <w:color w:val="auto"/>
          <w:lang w:val="hr-HR"/>
        </w:rPr>
        <w:t xml:space="preserve">% (12,5 baznih </w:t>
      </w:r>
      <w:r w:rsidR="00D10007" w:rsidRPr="00653DCF">
        <w:rPr>
          <w:color w:val="auto"/>
          <w:lang w:val="hr-HR"/>
        </w:rPr>
        <w:t>bodova</w:t>
      </w:r>
      <w:r w:rsidRPr="00653DCF">
        <w:rPr>
          <w:color w:val="auto"/>
          <w:lang w:val="hr-HR"/>
        </w:rPr>
        <w:t xml:space="preserve">), osim </w:t>
      </w:r>
      <w:r w:rsidR="00DA3053" w:rsidRPr="00653DCF">
        <w:rPr>
          <w:color w:val="auto"/>
          <w:lang w:val="hr-HR"/>
        </w:rPr>
        <w:t xml:space="preserve">u slučaju da je </w:t>
      </w:r>
      <w:r w:rsidR="00383EB0" w:rsidRPr="00653DCF">
        <w:rPr>
          <w:color w:val="auto"/>
          <w:lang w:val="hr-HR"/>
        </w:rPr>
        <w:t xml:space="preserve">ta </w:t>
      </w:r>
      <w:r w:rsidR="00DA3053" w:rsidRPr="00653DCF">
        <w:rPr>
          <w:color w:val="auto"/>
          <w:lang w:val="hr-HR"/>
        </w:rPr>
        <w:t xml:space="preserve">vrijednost manja od </w:t>
      </w:r>
      <w:r w:rsidRPr="00653DCF">
        <w:rPr>
          <w:color w:val="auto"/>
          <w:lang w:val="hr-HR"/>
        </w:rPr>
        <w:t>nule</w:t>
      </w:r>
      <w:r w:rsidR="00AC0306" w:rsidRPr="00653DCF">
        <w:rPr>
          <w:color w:val="auto"/>
          <w:lang w:val="hr-HR"/>
        </w:rPr>
        <w:t>, u kojem slučaju iznosi nula</w:t>
      </w:r>
      <w:r w:rsidRPr="00653DCF">
        <w:rPr>
          <w:color w:val="auto"/>
          <w:lang w:val="hr-HR"/>
        </w:rPr>
        <w:t xml:space="preserve">. </w:t>
      </w:r>
    </w:p>
    <w:p w14:paraId="0A817DE5" w14:textId="184D6261" w:rsidR="007A2A6F" w:rsidRPr="00653DCF" w:rsidRDefault="00E87B0B">
      <w:pPr>
        <w:rPr>
          <w:color w:val="auto"/>
          <w:lang w:val="hr-HR"/>
        </w:rPr>
      </w:pPr>
      <w:r w:rsidRPr="00653DCF">
        <w:rPr>
          <w:color w:val="auto"/>
          <w:lang w:val="hr-HR"/>
        </w:rPr>
        <w:t xml:space="preserve">Takva naknada obračunava se od </w:t>
      </w:r>
      <w:r w:rsidR="00383EB0" w:rsidRPr="00653DCF">
        <w:rPr>
          <w:color w:val="auto"/>
          <w:lang w:val="hr-HR"/>
        </w:rPr>
        <w:t>p</w:t>
      </w:r>
      <w:r w:rsidRPr="00653DCF">
        <w:rPr>
          <w:color w:val="auto"/>
          <w:lang w:val="hr-HR"/>
        </w:rPr>
        <w:t xml:space="preserve">laniranog datuma isplate do </w:t>
      </w:r>
      <w:r w:rsidR="00383EB0" w:rsidRPr="00653DCF">
        <w:rPr>
          <w:color w:val="auto"/>
          <w:lang w:val="hr-HR"/>
        </w:rPr>
        <w:t>d</w:t>
      </w:r>
      <w:r w:rsidRPr="00653DCF">
        <w:rPr>
          <w:color w:val="auto"/>
          <w:lang w:val="hr-HR"/>
        </w:rPr>
        <w:t xml:space="preserve">atuma isplate ili, ovisno o slučaju, do datuma </w:t>
      </w:r>
      <w:r w:rsidR="00383EB0" w:rsidRPr="00653DCF">
        <w:rPr>
          <w:color w:val="auto"/>
          <w:lang w:val="hr-HR"/>
        </w:rPr>
        <w:t xml:space="preserve">poništenja najavljene </w:t>
      </w:r>
      <w:r w:rsidRPr="00653DCF">
        <w:rPr>
          <w:color w:val="auto"/>
          <w:lang w:val="hr-HR"/>
        </w:rPr>
        <w:t>tranše u skladu s ovim Ugovorom</w:t>
      </w:r>
      <w:r w:rsidR="00D31F5B" w:rsidRPr="00653DCF">
        <w:rPr>
          <w:color w:val="auto"/>
          <w:lang w:val="hr-HR"/>
        </w:rPr>
        <w:t>.</w:t>
      </w:r>
    </w:p>
    <w:p w14:paraId="3DA14C66" w14:textId="332271BC" w:rsidR="007A2A6F" w:rsidRPr="00653DCF" w:rsidRDefault="00E87B0B">
      <w:pPr>
        <w:rPr>
          <w:color w:val="auto"/>
          <w:lang w:val="hr-HR"/>
        </w:rPr>
      </w:pPr>
      <w:r w:rsidRPr="00653DCF">
        <w:rPr>
          <w:color w:val="auto"/>
          <w:lang w:val="hr-HR"/>
        </w:rPr>
        <w:t>„</w:t>
      </w:r>
      <w:r w:rsidR="005A619E" w:rsidRPr="00653DCF">
        <w:rPr>
          <w:rStyle w:val="BoldEIB"/>
          <w:color w:val="auto"/>
          <w:lang w:val="hr-HR"/>
        </w:rPr>
        <w:t>r</w:t>
      </w:r>
      <w:r w:rsidRPr="00653DCF">
        <w:rPr>
          <w:rStyle w:val="BoldEIB"/>
          <w:color w:val="auto"/>
          <w:lang w:val="hr-HR"/>
        </w:rPr>
        <w:t>ačun za isplatu</w:t>
      </w:r>
      <w:r w:rsidRPr="00653DCF">
        <w:rPr>
          <w:color w:val="auto"/>
          <w:lang w:val="hr-HR"/>
        </w:rPr>
        <w:t>”</w:t>
      </w:r>
      <w:r w:rsidRPr="00653DCF">
        <w:rPr>
          <w:b/>
          <w:color w:val="auto"/>
          <w:lang w:val="hr-HR"/>
        </w:rPr>
        <w:t xml:space="preserve"> </w:t>
      </w:r>
      <w:r w:rsidRPr="00653DCF">
        <w:rPr>
          <w:color w:val="auto"/>
          <w:lang w:val="hr-HR"/>
        </w:rPr>
        <w:t xml:space="preserve">znači, </w:t>
      </w:r>
      <w:r w:rsidR="005A619E" w:rsidRPr="00653DCF">
        <w:rPr>
          <w:color w:val="auto"/>
          <w:lang w:val="hr-HR"/>
        </w:rPr>
        <w:t>u vezi sa svakom tranšom</w:t>
      </w:r>
      <w:r w:rsidRPr="00653DCF">
        <w:rPr>
          <w:color w:val="auto"/>
          <w:lang w:val="hr-HR"/>
        </w:rPr>
        <w:t>, bankovni račun na koji se mogu vršiti isplate na temelju ovog Ugovora</w:t>
      </w:r>
      <w:r w:rsidR="00D52869" w:rsidRPr="00653DCF">
        <w:rPr>
          <w:color w:val="auto"/>
          <w:lang w:val="hr-HR"/>
        </w:rPr>
        <w:t xml:space="preserve"> </w:t>
      </w:r>
      <w:r w:rsidR="002B2A1C" w:rsidRPr="00653DCF">
        <w:rPr>
          <w:color w:val="auto"/>
          <w:lang w:val="hr-HR"/>
        </w:rPr>
        <w:t xml:space="preserve">koji je naveden </w:t>
      </w:r>
      <w:r w:rsidR="00D52869" w:rsidRPr="00653DCF">
        <w:rPr>
          <w:color w:val="auto"/>
          <w:lang w:val="hr-HR"/>
        </w:rPr>
        <w:t xml:space="preserve">u najnovijem </w:t>
      </w:r>
      <w:r w:rsidR="00403105" w:rsidRPr="00653DCF">
        <w:rPr>
          <w:color w:val="auto"/>
          <w:lang w:val="hr-HR"/>
        </w:rPr>
        <w:t>p</w:t>
      </w:r>
      <w:r w:rsidRPr="00653DCF">
        <w:rPr>
          <w:color w:val="auto"/>
          <w:lang w:val="hr-HR"/>
        </w:rPr>
        <w:t>opisu ovlaštenih potpisnika i računa</w:t>
      </w:r>
      <w:r w:rsidR="00D31F5B" w:rsidRPr="00653DCF">
        <w:rPr>
          <w:color w:val="auto"/>
          <w:lang w:val="hr-HR"/>
        </w:rPr>
        <w:t>.</w:t>
      </w:r>
    </w:p>
    <w:p w14:paraId="6FFCB30D" w14:textId="70FC279B" w:rsidR="007A2A6F" w:rsidRPr="00653DCF" w:rsidRDefault="00E87B0B">
      <w:pPr>
        <w:rPr>
          <w:color w:val="auto"/>
          <w:lang w:val="hr-HR"/>
        </w:rPr>
      </w:pPr>
      <w:r w:rsidRPr="00653DCF">
        <w:rPr>
          <w:color w:val="auto"/>
          <w:lang w:val="hr-HR"/>
        </w:rPr>
        <w:t>„</w:t>
      </w:r>
      <w:r w:rsidR="00D52869" w:rsidRPr="00653DCF">
        <w:rPr>
          <w:rStyle w:val="BoldEIB"/>
          <w:color w:val="auto"/>
          <w:lang w:val="hr-HR"/>
        </w:rPr>
        <w:t>d</w:t>
      </w:r>
      <w:r w:rsidRPr="00653DCF">
        <w:rPr>
          <w:rStyle w:val="BoldEIB"/>
          <w:color w:val="auto"/>
          <w:lang w:val="hr-HR"/>
        </w:rPr>
        <w:t>atum isplate</w:t>
      </w:r>
      <w:r w:rsidRPr="00653DCF">
        <w:rPr>
          <w:color w:val="auto"/>
          <w:lang w:val="hr-HR"/>
        </w:rPr>
        <w:t xml:space="preserve">” znači datum na koji Banka </w:t>
      </w:r>
      <w:r w:rsidR="00AE00EE" w:rsidRPr="00653DCF">
        <w:rPr>
          <w:color w:val="auto"/>
          <w:lang w:val="hr-HR"/>
        </w:rPr>
        <w:t>stvarno isplati t</w:t>
      </w:r>
      <w:r w:rsidRPr="00653DCF">
        <w:rPr>
          <w:color w:val="auto"/>
          <w:lang w:val="hr-HR"/>
        </w:rPr>
        <w:t>ranš</w:t>
      </w:r>
      <w:r w:rsidR="00AE00EE" w:rsidRPr="00653DCF">
        <w:rPr>
          <w:color w:val="auto"/>
          <w:lang w:val="hr-HR"/>
        </w:rPr>
        <w:t>u</w:t>
      </w:r>
      <w:r w:rsidR="00D31F5B" w:rsidRPr="00653DCF">
        <w:rPr>
          <w:color w:val="auto"/>
          <w:lang w:val="hr-HR"/>
        </w:rPr>
        <w:t>.</w:t>
      </w:r>
    </w:p>
    <w:p w14:paraId="329B24F3" w14:textId="1BC3E7EE" w:rsidR="007A2A6F" w:rsidRPr="00653DCF" w:rsidRDefault="00E87B0B">
      <w:pPr>
        <w:rPr>
          <w:color w:val="auto"/>
          <w:lang w:val="hr-HR"/>
        </w:rPr>
      </w:pPr>
      <w:r w:rsidRPr="00653DCF">
        <w:rPr>
          <w:color w:val="auto"/>
          <w:lang w:val="hr-HR"/>
        </w:rPr>
        <w:t>„</w:t>
      </w:r>
      <w:r w:rsidR="00AE00EE" w:rsidRPr="00653DCF">
        <w:rPr>
          <w:rStyle w:val="BoldEIB"/>
          <w:color w:val="auto"/>
          <w:lang w:val="hr-HR"/>
        </w:rPr>
        <w:t>o</w:t>
      </w:r>
      <w:r w:rsidRPr="00653DCF">
        <w:rPr>
          <w:rStyle w:val="BoldEIB"/>
          <w:color w:val="auto"/>
          <w:lang w:val="hr-HR"/>
        </w:rPr>
        <w:t>bavijest o isplati</w:t>
      </w:r>
      <w:r w:rsidRPr="00653DCF">
        <w:rPr>
          <w:color w:val="auto"/>
          <w:lang w:val="hr-HR"/>
        </w:rPr>
        <w:t xml:space="preserve">” znači obavijest Banke Zajmoprimcu </w:t>
      </w:r>
      <w:r w:rsidR="00AE00EE" w:rsidRPr="00653DCF">
        <w:rPr>
          <w:color w:val="auto"/>
          <w:lang w:val="hr-HR"/>
        </w:rPr>
        <w:t xml:space="preserve">prema </w:t>
      </w:r>
      <w:r w:rsidRPr="00653DCF">
        <w:rPr>
          <w:color w:val="auto"/>
          <w:lang w:val="hr-HR"/>
        </w:rPr>
        <w:t>i u skladu s člankom</w:t>
      </w:r>
      <w:r w:rsidR="00CB1B32" w:rsidRPr="00653DCF">
        <w:rPr>
          <w:color w:val="auto"/>
          <w:lang w:val="hr-HR"/>
        </w:rPr>
        <w:t xml:space="preserve"> </w:t>
      </w:r>
      <w:r w:rsidRPr="00653DCF">
        <w:rPr>
          <w:color w:val="auto"/>
          <w:lang w:val="hr-HR"/>
        </w:rPr>
        <w:fldChar w:fldCharType="begin"/>
      </w:r>
      <w:r w:rsidRPr="00653DCF">
        <w:rPr>
          <w:color w:val="auto"/>
          <w:lang w:val="hr-HR"/>
        </w:rPr>
        <w:instrText xml:space="preserve"> REF _Ref426713118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1.2.C</w:t>
      </w:r>
      <w:r w:rsidRPr="00653DCF">
        <w:rPr>
          <w:color w:val="auto"/>
          <w:lang w:val="hr-HR"/>
        </w:rPr>
        <w:fldChar w:fldCharType="end"/>
      </w:r>
      <w:r w:rsidR="00D31F5B" w:rsidRPr="00653DCF">
        <w:rPr>
          <w:color w:val="auto"/>
          <w:lang w:val="hr-HR"/>
        </w:rPr>
        <w:t>.</w:t>
      </w:r>
    </w:p>
    <w:p w14:paraId="04E55E0A" w14:textId="16C271F5" w:rsidR="007A2A6F" w:rsidRPr="00653DCF" w:rsidRDefault="00E87B0B">
      <w:pPr>
        <w:rPr>
          <w:color w:val="auto"/>
          <w:lang w:val="hr-HR"/>
        </w:rPr>
      </w:pPr>
      <w:r w:rsidRPr="00653DCF">
        <w:rPr>
          <w:color w:val="auto"/>
          <w:lang w:val="hr-HR"/>
        </w:rPr>
        <w:t>„</w:t>
      </w:r>
      <w:r w:rsidR="00AE00EE" w:rsidRPr="00653DCF">
        <w:rPr>
          <w:rStyle w:val="BoldEIB"/>
          <w:color w:val="auto"/>
          <w:lang w:val="hr-HR"/>
        </w:rPr>
        <w:t>z</w:t>
      </w:r>
      <w:r w:rsidRPr="00653DCF">
        <w:rPr>
          <w:rStyle w:val="BoldEIB"/>
          <w:color w:val="auto"/>
          <w:lang w:val="hr-HR"/>
        </w:rPr>
        <w:t>ahtjev za isplatu</w:t>
      </w:r>
      <w:r w:rsidRPr="00653DCF">
        <w:rPr>
          <w:color w:val="auto"/>
          <w:lang w:val="hr-HR"/>
        </w:rPr>
        <w:t xml:space="preserve">” znači obavijest </w:t>
      </w:r>
      <w:r w:rsidR="00977685" w:rsidRPr="00653DCF">
        <w:rPr>
          <w:color w:val="auto"/>
          <w:lang w:val="hr-HR"/>
        </w:rPr>
        <w:t xml:space="preserve">koja je u osnovi sastavljena </w:t>
      </w:r>
      <w:r w:rsidR="004B5DE4" w:rsidRPr="00653DCF">
        <w:rPr>
          <w:color w:val="auto"/>
          <w:lang w:val="hr-HR"/>
        </w:rPr>
        <w:t>na</w:t>
      </w:r>
      <w:r w:rsidR="00977685" w:rsidRPr="00653DCF">
        <w:rPr>
          <w:color w:val="auto"/>
          <w:lang w:val="hr-HR"/>
        </w:rPr>
        <w:t xml:space="preserve"> </w:t>
      </w:r>
      <w:r w:rsidR="004F4863" w:rsidRPr="00653DCF">
        <w:rPr>
          <w:color w:val="auto"/>
          <w:lang w:val="hr-HR"/>
        </w:rPr>
        <w:t xml:space="preserve">obrascu </w:t>
      </w:r>
      <w:r w:rsidR="00977685" w:rsidRPr="00653DCF">
        <w:rPr>
          <w:color w:val="auto"/>
          <w:lang w:val="hr-HR"/>
        </w:rPr>
        <w:t xml:space="preserve">utvrđenom u </w:t>
      </w:r>
      <w:r w:rsidR="00D31F5B" w:rsidRPr="00653DCF">
        <w:rPr>
          <w:color w:val="auto"/>
          <w:lang w:val="hr-HR"/>
        </w:rPr>
        <w:t>Prilogu C</w:t>
      </w:r>
      <w:r w:rsidRPr="00653DCF">
        <w:rPr>
          <w:color w:val="auto"/>
          <w:lang w:val="hr-HR"/>
        </w:rPr>
        <w:t>.</w:t>
      </w:r>
    </w:p>
    <w:p w14:paraId="6E555E5A" w14:textId="7050B7D7" w:rsidR="007A2A6F" w:rsidRPr="00653DCF" w:rsidRDefault="00E87B0B">
      <w:pPr>
        <w:rPr>
          <w:color w:val="auto"/>
          <w:lang w:val="hr-HR"/>
        </w:rPr>
      </w:pPr>
      <w:r w:rsidRPr="00653DCF">
        <w:rPr>
          <w:color w:val="auto"/>
          <w:lang w:val="hr-HR"/>
        </w:rPr>
        <w:t>„</w:t>
      </w:r>
      <w:r w:rsidR="00977685" w:rsidRPr="00653DCF">
        <w:rPr>
          <w:rStyle w:val="BoldEIB"/>
          <w:color w:val="auto"/>
          <w:lang w:val="hr-HR"/>
        </w:rPr>
        <w:t>s</w:t>
      </w:r>
      <w:r w:rsidRPr="00653DCF">
        <w:rPr>
          <w:rStyle w:val="BoldEIB"/>
          <w:color w:val="auto"/>
          <w:lang w:val="hr-HR"/>
        </w:rPr>
        <w:t>por</w:t>
      </w:r>
      <w:r w:rsidRPr="00653DCF">
        <w:rPr>
          <w:color w:val="auto"/>
          <w:lang w:val="hr-HR"/>
        </w:rPr>
        <w:t xml:space="preserve">” ima značenje </w:t>
      </w:r>
      <w:r w:rsidR="00CB1B32" w:rsidRPr="00653DCF">
        <w:rPr>
          <w:color w:val="auto"/>
          <w:lang w:val="hr-HR"/>
        </w:rPr>
        <w:t xml:space="preserve">opisano </w:t>
      </w:r>
      <w:r w:rsidR="004F4863" w:rsidRPr="00653DCF">
        <w:rPr>
          <w:color w:val="auto"/>
          <w:lang w:val="hr-HR"/>
        </w:rPr>
        <w:t xml:space="preserve">u </w:t>
      </w:r>
      <w:r w:rsidR="00977685" w:rsidRPr="00653DCF">
        <w:rPr>
          <w:color w:val="auto"/>
          <w:lang w:val="hr-HR"/>
        </w:rPr>
        <w:t>člank</w:t>
      </w:r>
      <w:r w:rsidR="004F4863" w:rsidRPr="00653DCF">
        <w:rPr>
          <w:color w:val="auto"/>
          <w:lang w:val="hr-HR"/>
        </w:rPr>
        <w:t>u</w:t>
      </w:r>
      <w:r w:rsidR="00CB1B32" w:rsidRPr="00653DCF">
        <w:rPr>
          <w:color w:val="auto"/>
          <w:lang w:val="hr-HR"/>
        </w:rPr>
        <w:t xml:space="preserve"> </w:t>
      </w:r>
      <w:r w:rsidRPr="00653DCF">
        <w:rPr>
          <w:color w:val="auto"/>
          <w:lang w:val="hr-HR"/>
        </w:rPr>
        <w:fldChar w:fldCharType="begin"/>
      </w:r>
      <w:r w:rsidRPr="00653DCF">
        <w:rPr>
          <w:color w:val="auto"/>
          <w:lang w:val="hr-HR"/>
        </w:rPr>
        <w:instrText xml:space="preserve"> REF _Ref426625709 \r \h  \* MERGEFORMAT </w:instrText>
      </w:r>
      <w:r w:rsidRPr="00653DCF">
        <w:rPr>
          <w:color w:val="auto"/>
          <w:lang w:val="hr-HR"/>
        </w:rPr>
      </w:r>
      <w:r w:rsidRPr="00653DCF">
        <w:rPr>
          <w:color w:val="auto"/>
          <w:lang w:val="hr-HR"/>
        </w:rPr>
        <w:fldChar w:fldCharType="separate"/>
      </w:r>
      <w:r w:rsidR="00E5391B">
        <w:rPr>
          <w:color w:val="auto"/>
          <w:lang w:val="hr-HR"/>
        </w:rPr>
        <w:t>11.2</w:t>
      </w:r>
      <w:r w:rsidRPr="00653DCF">
        <w:rPr>
          <w:color w:val="auto"/>
          <w:lang w:val="hr-HR"/>
        </w:rPr>
        <w:fldChar w:fldCharType="end"/>
      </w:r>
      <w:r w:rsidRPr="00653DCF">
        <w:rPr>
          <w:color w:val="auto"/>
          <w:lang w:val="hr-HR"/>
        </w:rPr>
        <w:t>.</w:t>
      </w:r>
    </w:p>
    <w:p w14:paraId="5C118FCA" w14:textId="638CC711" w:rsidR="007A2A6F" w:rsidRPr="00653DCF" w:rsidRDefault="00E87B0B">
      <w:pPr>
        <w:rPr>
          <w:color w:val="auto"/>
          <w:lang w:val="hr-HR"/>
        </w:rPr>
      </w:pPr>
      <w:r w:rsidRPr="00653DCF">
        <w:rPr>
          <w:color w:val="auto"/>
          <w:lang w:val="hr-HR"/>
        </w:rPr>
        <w:t>„</w:t>
      </w:r>
      <w:r w:rsidR="00977685" w:rsidRPr="00653DCF">
        <w:rPr>
          <w:rStyle w:val="BoldEIB"/>
          <w:color w:val="auto"/>
          <w:lang w:val="hr-HR"/>
        </w:rPr>
        <w:t>d</w:t>
      </w:r>
      <w:r w:rsidRPr="00653DCF">
        <w:rPr>
          <w:rStyle w:val="BoldEIB"/>
          <w:color w:val="auto"/>
          <w:lang w:val="hr-HR"/>
        </w:rPr>
        <w:t xml:space="preserve">ogađaj </w:t>
      </w:r>
      <w:r w:rsidR="00977685" w:rsidRPr="00653DCF">
        <w:rPr>
          <w:rStyle w:val="BoldEIB"/>
          <w:color w:val="auto"/>
          <w:lang w:val="hr-HR"/>
        </w:rPr>
        <w:t>narušavanja</w:t>
      </w:r>
      <w:r w:rsidRPr="00653DCF">
        <w:rPr>
          <w:color w:val="auto"/>
          <w:lang w:val="hr-HR"/>
        </w:rPr>
        <w:t>” znači jedn</w:t>
      </w:r>
      <w:r w:rsidR="005922A2" w:rsidRPr="00653DCF">
        <w:rPr>
          <w:color w:val="auto"/>
          <w:lang w:val="hr-HR"/>
        </w:rPr>
        <w:t>u ili obje sljedeće situacije</w:t>
      </w:r>
      <w:r w:rsidRPr="00653DCF">
        <w:rPr>
          <w:color w:val="auto"/>
          <w:lang w:val="hr-HR"/>
        </w:rPr>
        <w:t>:</w:t>
      </w:r>
    </w:p>
    <w:p w14:paraId="28C62435" w14:textId="690A5324" w:rsidR="007A2A6F" w:rsidRPr="00653DCF" w:rsidRDefault="00E87B0B">
      <w:pPr>
        <w:pStyle w:val="NoIndentEIB"/>
        <w:numPr>
          <w:ilvl w:val="0"/>
          <w:numId w:val="6"/>
        </w:numPr>
        <w:rPr>
          <w:color w:val="auto"/>
          <w:lang w:val="hr-HR"/>
        </w:rPr>
      </w:pPr>
      <w:bookmarkStart w:id="29" w:name="_Ref498018723"/>
      <w:r w:rsidRPr="00653DCF">
        <w:rPr>
          <w:color w:val="auto"/>
          <w:lang w:val="hr-HR"/>
        </w:rPr>
        <w:t>bitn</w:t>
      </w:r>
      <w:r w:rsidR="005922A2" w:rsidRPr="00653DCF">
        <w:rPr>
          <w:color w:val="auto"/>
          <w:lang w:val="hr-HR"/>
        </w:rPr>
        <w:t xml:space="preserve">o narušavanje onih platnih ili </w:t>
      </w:r>
      <w:r w:rsidRPr="00653DCF">
        <w:rPr>
          <w:color w:val="auto"/>
          <w:lang w:val="hr-HR"/>
        </w:rPr>
        <w:t>komunikacijski</w:t>
      </w:r>
      <w:r w:rsidR="005922A2" w:rsidRPr="00653DCF">
        <w:rPr>
          <w:color w:val="auto"/>
          <w:lang w:val="hr-HR"/>
        </w:rPr>
        <w:t>h sustava</w:t>
      </w:r>
      <w:r w:rsidR="007C66F5" w:rsidRPr="00653DCF">
        <w:rPr>
          <w:color w:val="auto"/>
          <w:lang w:val="hr-HR"/>
        </w:rPr>
        <w:t xml:space="preserve"> ili onih financijskih tržišta čije </w:t>
      </w:r>
      <w:r w:rsidR="00830F87" w:rsidRPr="00653DCF">
        <w:rPr>
          <w:color w:val="auto"/>
          <w:lang w:val="hr-HR"/>
        </w:rPr>
        <w:t xml:space="preserve">je </w:t>
      </w:r>
      <w:r w:rsidR="007C66F5" w:rsidRPr="00653DCF">
        <w:rPr>
          <w:color w:val="auto"/>
          <w:lang w:val="hr-HR"/>
        </w:rPr>
        <w:t xml:space="preserve">djelovanje, u svakom slučaju, potrebno kako bi se mogla izvršiti plaćanja </w:t>
      </w:r>
      <w:r w:rsidRPr="00653DCF">
        <w:rPr>
          <w:color w:val="auto"/>
          <w:lang w:val="hr-HR"/>
        </w:rPr>
        <w:t>u vezi s ovim Ugovorom; ili</w:t>
      </w:r>
      <w:bookmarkEnd w:id="29"/>
    </w:p>
    <w:p w14:paraId="5467C757" w14:textId="4F31D341" w:rsidR="007A2A6F" w:rsidRPr="00653DCF" w:rsidRDefault="00830F87">
      <w:pPr>
        <w:pStyle w:val="NoIndentEIB"/>
        <w:numPr>
          <w:ilvl w:val="0"/>
          <w:numId w:val="6"/>
        </w:numPr>
        <w:rPr>
          <w:color w:val="auto"/>
          <w:lang w:val="hr-HR"/>
        </w:rPr>
      </w:pPr>
      <w:bookmarkStart w:id="30" w:name="_Ref498018724"/>
      <w:r w:rsidRPr="00653DCF">
        <w:rPr>
          <w:color w:val="auto"/>
          <w:lang w:val="hr-HR"/>
        </w:rPr>
        <w:t xml:space="preserve">nastup </w:t>
      </w:r>
      <w:r w:rsidR="007C66F5" w:rsidRPr="00653DCF">
        <w:rPr>
          <w:color w:val="auto"/>
          <w:lang w:val="hr-HR"/>
        </w:rPr>
        <w:t xml:space="preserve">bilo </w:t>
      </w:r>
      <w:r w:rsidR="00E87B0B" w:rsidRPr="00653DCF">
        <w:rPr>
          <w:color w:val="auto"/>
          <w:lang w:val="hr-HR"/>
        </w:rPr>
        <w:t>kojeg drugog događaja koji za posljedicu</w:t>
      </w:r>
      <w:r w:rsidR="00ED48CE" w:rsidRPr="00653DCF">
        <w:rPr>
          <w:color w:val="auto"/>
          <w:lang w:val="hr-HR"/>
        </w:rPr>
        <w:t xml:space="preserve"> ima</w:t>
      </w:r>
      <w:r w:rsidR="00E87B0B" w:rsidRPr="00653DCF">
        <w:rPr>
          <w:color w:val="auto"/>
          <w:lang w:val="hr-HR"/>
        </w:rPr>
        <w:t xml:space="preserve"> </w:t>
      </w:r>
      <w:r w:rsidR="007C66F5" w:rsidRPr="00653DCF">
        <w:rPr>
          <w:color w:val="auto"/>
          <w:lang w:val="hr-HR"/>
        </w:rPr>
        <w:t xml:space="preserve">narušavanje </w:t>
      </w:r>
      <w:r w:rsidR="00E87B0B" w:rsidRPr="00653DCF">
        <w:rPr>
          <w:color w:val="auto"/>
          <w:lang w:val="hr-HR"/>
        </w:rPr>
        <w:t xml:space="preserve">(tehničke ili </w:t>
      </w:r>
      <w:r w:rsidR="00AE67C2" w:rsidRPr="00653DCF">
        <w:rPr>
          <w:color w:val="auto"/>
          <w:lang w:val="hr-HR"/>
        </w:rPr>
        <w:t xml:space="preserve">sistemske </w:t>
      </w:r>
      <w:r w:rsidR="007C66F5" w:rsidRPr="00653DCF">
        <w:rPr>
          <w:color w:val="auto"/>
          <w:lang w:val="hr-HR"/>
        </w:rPr>
        <w:t>naravi</w:t>
      </w:r>
      <w:r w:rsidR="00E87B0B" w:rsidRPr="00653DCF">
        <w:rPr>
          <w:color w:val="auto"/>
          <w:lang w:val="hr-HR"/>
        </w:rPr>
        <w:t xml:space="preserve">) </w:t>
      </w:r>
      <w:r w:rsidR="007C66F5" w:rsidRPr="00653DCF">
        <w:rPr>
          <w:color w:val="auto"/>
          <w:lang w:val="hr-HR"/>
        </w:rPr>
        <w:t xml:space="preserve">poslovanja riznice ili platnog prometa </w:t>
      </w:r>
      <w:r w:rsidR="00177710" w:rsidRPr="00653DCF">
        <w:rPr>
          <w:color w:val="auto"/>
          <w:lang w:val="hr-HR"/>
        </w:rPr>
        <w:t xml:space="preserve">bilo </w:t>
      </w:r>
      <w:r w:rsidR="00E87B0B" w:rsidRPr="00653DCF">
        <w:rPr>
          <w:color w:val="auto"/>
          <w:lang w:val="hr-HR"/>
        </w:rPr>
        <w:t>Banke</w:t>
      </w:r>
      <w:r w:rsidR="002F22B5" w:rsidRPr="00653DCF">
        <w:rPr>
          <w:color w:val="auto"/>
          <w:lang w:val="hr-HR"/>
        </w:rPr>
        <w:t>,</w:t>
      </w:r>
      <w:r w:rsidR="00E87B0B" w:rsidRPr="00653DCF">
        <w:rPr>
          <w:color w:val="auto"/>
          <w:lang w:val="hr-HR"/>
        </w:rPr>
        <w:t xml:space="preserve"> </w:t>
      </w:r>
      <w:r w:rsidR="00177710" w:rsidRPr="00653DCF">
        <w:rPr>
          <w:color w:val="auto"/>
          <w:lang w:val="hr-HR"/>
        </w:rPr>
        <w:t xml:space="preserve">bilo </w:t>
      </w:r>
      <w:r w:rsidR="00E87B0B" w:rsidRPr="00653DCF">
        <w:rPr>
          <w:color w:val="auto"/>
          <w:lang w:val="hr-HR"/>
        </w:rPr>
        <w:t xml:space="preserve">Zajmoprimca, zbog čega ta </w:t>
      </w:r>
      <w:r w:rsidR="00177710" w:rsidRPr="00653DCF">
        <w:rPr>
          <w:color w:val="auto"/>
          <w:lang w:val="hr-HR"/>
        </w:rPr>
        <w:t>s</w:t>
      </w:r>
      <w:r w:rsidR="00AE67C2" w:rsidRPr="00653DCF">
        <w:rPr>
          <w:color w:val="auto"/>
          <w:lang w:val="hr-HR"/>
        </w:rPr>
        <w:t>tran</w:t>
      </w:r>
      <w:r w:rsidR="00BE4880" w:rsidRPr="00653DCF">
        <w:rPr>
          <w:color w:val="auto"/>
          <w:lang w:val="hr-HR"/>
        </w:rPr>
        <w:t>k</w:t>
      </w:r>
      <w:r w:rsidR="00AE67C2" w:rsidRPr="00653DCF">
        <w:rPr>
          <w:color w:val="auto"/>
          <w:lang w:val="hr-HR"/>
        </w:rPr>
        <w:t xml:space="preserve">a </w:t>
      </w:r>
      <w:r w:rsidR="00E87B0B" w:rsidRPr="00653DCF">
        <w:rPr>
          <w:color w:val="auto"/>
          <w:lang w:val="hr-HR"/>
        </w:rPr>
        <w:t>ne može:</w:t>
      </w:r>
      <w:bookmarkEnd w:id="30"/>
    </w:p>
    <w:p w14:paraId="2C573663" w14:textId="2E66215C" w:rsidR="007A2A6F" w:rsidRPr="00653DCF" w:rsidRDefault="00AE67C2">
      <w:pPr>
        <w:pStyle w:val="NoIndentEIB"/>
        <w:numPr>
          <w:ilvl w:val="1"/>
          <w:numId w:val="6"/>
        </w:numPr>
        <w:rPr>
          <w:color w:val="auto"/>
          <w:lang w:val="hr-HR"/>
        </w:rPr>
      </w:pPr>
      <w:r w:rsidRPr="00653DCF">
        <w:rPr>
          <w:color w:val="auto"/>
          <w:lang w:val="hr-HR"/>
        </w:rPr>
        <w:t xml:space="preserve">ispuniti </w:t>
      </w:r>
      <w:r w:rsidR="00177710" w:rsidRPr="00653DCF">
        <w:rPr>
          <w:color w:val="auto"/>
          <w:lang w:val="hr-HR"/>
        </w:rPr>
        <w:t>svoju obvezu</w:t>
      </w:r>
      <w:r w:rsidRPr="00653DCF">
        <w:rPr>
          <w:color w:val="auto"/>
          <w:lang w:val="hr-HR"/>
        </w:rPr>
        <w:t xml:space="preserve"> </w:t>
      </w:r>
      <w:r w:rsidR="00E87B0B" w:rsidRPr="00653DCF">
        <w:rPr>
          <w:color w:val="auto"/>
          <w:lang w:val="hr-HR"/>
        </w:rPr>
        <w:t xml:space="preserve">plaćanja </w:t>
      </w:r>
      <w:r w:rsidR="00177710" w:rsidRPr="00653DCF">
        <w:rPr>
          <w:color w:val="auto"/>
          <w:lang w:val="hr-HR"/>
        </w:rPr>
        <w:t xml:space="preserve">prema ovom </w:t>
      </w:r>
      <w:r w:rsidR="00F856F2" w:rsidRPr="00653DCF">
        <w:rPr>
          <w:color w:val="auto"/>
          <w:lang w:val="hr-HR"/>
        </w:rPr>
        <w:t>Ugovor</w:t>
      </w:r>
      <w:r w:rsidR="00177710" w:rsidRPr="00653DCF">
        <w:rPr>
          <w:color w:val="auto"/>
          <w:lang w:val="hr-HR"/>
        </w:rPr>
        <w:t>u</w:t>
      </w:r>
      <w:r w:rsidR="00E87B0B" w:rsidRPr="00653DCF">
        <w:rPr>
          <w:color w:val="auto"/>
          <w:lang w:val="hr-HR"/>
        </w:rPr>
        <w:t>; ili</w:t>
      </w:r>
    </w:p>
    <w:p w14:paraId="28CE4F61" w14:textId="5222E7BF" w:rsidR="007A2A6F" w:rsidRPr="00653DCF" w:rsidRDefault="00F856F2">
      <w:pPr>
        <w:pStyle w:val="NoIndentEIB"/>
        <w:numPr>
          <w:ilvl w:val="1"/>
          <w:numId w:val="6"/>
        </w:numPr>
        <w:rPr>
          <w:color w:val="auto"/>
          <w:lang w:val="hr-HR"/>
        </w:rPr>
      </w:pPr>
      <w:r w:rsidRPr="00653DCF">
        <w:rPr>
          <w:color w:val="auto"/>
          <w:lang w:val="hr-HR"/>
        </w:rPr>
        <w:t>komunicirati s</w:t>
      </w:r>
      <w:r w:rsidR="00177710" w:rsidRPr="00653DCF">
        <w:rPr>
          <w:color w:val="auto"/>
          <w:lang w:val="hr-HR"/>
        </w:rPr>
        <w:t xml:space="preserve"> drugom stran</w:t>
      </w:r>
      <w:r w:rsidR="00BE4880" w:rsidRPr="00653DCF">
        <w:rPr>
          <w:color w:val="auto"/>
          <w:lang w:val="hr-HR"/>
        </w:rPr>
        <w:t>k</w:t>
      </w:r>
      <w:r w:rsidR="00177710" w:rsidRPr="00653DCF">
        <w:rPr>
          <w:color w:val="auto"/>
          <w:lang w:val="hr-HR"/>
        </w:rPr>
        <w:t>om</w:t>
      </w:r>
      <w:r w:rsidR="00E87B0B" w:rsidRPr="00653DCF">
        <w:rPr>
          <w:color w:val="auto"/>
          <w:lang w:val="hr-HR"/>
        </w:rPr>
        <w:t>,</w:t>
      </w:r>
    </w:p>
    <w:p w14:paraId="0DC806CC" w14:textId="64C50848" w:rsidR="007A2A6F" w:rsidRPr="00653DCF" w:rsidRDefault="00E51147">
      <w:pPr>
        <w:rPr>
          <w:color w:val="auto"/>
          <w:lang w:val="hr-HR"/>
        </w:rPr>
      </w:pPr>
      <w:r w:rsidRPr="00653DCF">
        <w:rPr>
          <w:color w:val="auto"/>
          <w:lang w:val="hr-HR"/>
        </w:rPr>
        <w:t>a koj</w:t>
      </w:r>
      <w:r w:rsidR="00086A5C" w:rsidRPr="00653DCF">
        <w:rPr>
          <w:color w:val="auto"/>
          <w:lang w:val="hr-HR"/>
        </w:rPr>
        <w:t>e</w:t>
      </w:r>
      <w:r w:rsidRPr="00653DCF">
        <w:rPr>
          <w:color w:val="auto"/>
          <w:lang w:val="hr-HR"/>
        </w:rPr>
        <w:t xml:space="preserve"> </w:t>
      </w:r>
      <w:r w:rsidR="007965F8" w:rsidRPr="00653DCF">
        <w:rPr>
          <w:color w:val="auto"/>
          <w:lang w:val="hr-HR"/>
        </w:rPr>
        <w:t>narušavanje</w:t>
      </w:r>
      <w:r w:rsidRPr="00653DCF">
        <w:rPr>
          <w:color w:val="auto"/>
          <w:lang w:val="hr-HR"/>
        </w:rPr>
        <w:t xml:space="preserve"> </w:t>
      </w:r>
      <w:r w:rsidR="00E87B0B" w:rsidRPr="00653DCF">
        <w:rPr>
          <w:color w:val="auto"/>
          <w:lang w:val="hr-HR"/>
        </w:rPr>
        <w:t xml:space="preserve">(u </w:t>
      </w:r>
      <w:r w:rsidR="003A7FEC" w:rsidRPr="00653DCF">
        <w:rPr>
          <w:color w:val="auto"/>
          <w:lang w:val="hr-HR"/>
        </w:rPr>
        <w:t>svakom</w:t>
      </w:r>
      <w:r w:rsidR="007965F8" w:rsidRPr="00653DCF">
        <w:rPr>
          <w:color w:val="auto"/>
          <w:lang w:val="hr-HR"/>
        </w:rPr>
        <w:t xml:space="preserve"> </w:t>
      </w:r>
      <w:r w:rsidR="00086A5C" w:rsidRPr="00653DCF">
        <w:rPr>
          <w:color w:val="auto"/>
          <w:lang w:val="hr-HR"/>
        </w:rPr>
        <w:t xml:space="preserve">od slučajeva </w:t>
      </w:r>
      <w:r w:rsidR="007965F8" w:rsidRPr="00653DCF">
        <w:rPr>
          <w:color w:val="auto"/>
          <w:lang w:val="hr-HR"/>
        </w:rPr>
        <w:t xml:space="preserve">prethodno </w:t>
      </w:r>
      <w:r w:rsidR="00086A5C" w:rsidRPr="00653DCF">
        <w:rPr>
          <w:color w:val="auto"/>
          <w:lang w:val="hr-HR"/>
        </w:rPr>
        <w:t xml:space="preserve">navedenih pod </w:t>
      </w:r>
      <w:r w:rsidR="00E87B0B" w:rsidRPr="00653DCF">
        <w:rPr>
          <w:color w:val="auto"/>
          <w:lang w:val="hr-HR"/>
        </w:rPr>
        <w:fldChar w:fldCharType="begin"/>
      </w:r>
      <w:r w:rsidR="00E87B0B" w:rsidRPr="00653DCF">
        <w:rPr>
          <w:color w:val="auto"/>
          <w:lang w:val="hr-HR"/>
        </w:rPr>
        <w:instrText xml:space="preserve"> REF _Ref498018723 \n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(a)</w:t>
      </w:r>
      <w:r w:rsidR="00E87B0B" w:rsidRPr="00653DCF">
        <w:rPr>
          <w:color w:val="auto"/>
          <w:lang w:val="hr-HR"/>
        </w:rPr>
        <w:fldChar w:fldCharType="end"/>
      </w:r>
      <w:r w:rsidR="00E87B0B" w:rsidRPr="00653DCF">
        <w:rPr>
          <w:color w:val="auto"/>
          <w:lang w:val="hr-HR"/>
        </w:rPr>
        <w:t xml:space="preserve"> ili </w:t>
      </w:r>
      <w:r w:rsidR="00AC4937" w:rsidRPr="00653DCF">
        <w:rPr>
          <w:color w:val="auto"/>
          <w:lang w:val="hr-HR"/>
        </w:rPr>
        <w:fldChar w:fldCharType="begin"/>
      </w:r>
      <w:r w:rsidR="00AC4937" w:rsidRPr="00653DCF">
        <w:rPr>
          <w:color w:val="auto"/>
          <w:lang w:val="hr-HR"/>
        </w:rPr>
        <w:instrText xml:space="preserve"> REF _Ref498018724 \n \h </w:instrText>
      </w:r>
      <w:r w:rsidR="00A641E1" w:rsidRPr="00653DCF">
        <w:rPr>
          <w:color w:val="auto"/>
          <w:lang w:val="hr-HR"/>
        </w:rPr>
        <w:instrText xml:space="preserve"> \* MERGEFORMAT </w:instrText>
      </w:r>
      <w:r w:rsidR="00AC4937" w:rsidRPr="00653DCF">
        <w:rPr>
          <w:color w:val="auto"/>
          <w:lang w:val="hr-HR"/>
        </w:rPr>
      </w:r>
      <w:r w:rsidR="00AC4937" w:rsidRPr="00653DCF">
        <w:rPr>
          <w:color w:val="auto"/>
          <w:lang w:val="hr-HR"/>
        </w:rPr>
        <w:fldChar w:fldCharType="separate"/>
      </w:r>
      <w:r w:rsidR="00E5391B">
        <w:rPr>
          <w:color w:val="auto"/>
          <w:lang w:val="hr-HR"/>
        </w:rPr>
        <w:t>(b)</w:t>
      </w:r>
      <w:r w:rsidR="00AC4937" w:rsidRPr="00653DCF">
        <w:rPr>
          <w:color w:val="auto"/>
          <w:lang w:val="hr-HR"/>
        </w:rPr>
        <w:fldChar w:fldCharType="end"/>
      </w:r>
      <w:r w:rsidR="00AC4937" w:rsidRPr="00653DCF">
        <w:rPr>
          <w:color w:val="auto"/>
          <w:lang w:val="hr-HR"/>
        </w:rPr>
        <w:t>)</w:t>
      </w:r>
      <w:r w:rsidR="00E87B0B" w:rsidRPr="00653DCF">
        <w:rPr>
          <w:color w:val="auto"/>
          <w:lang w:val="hr-HR"/>
        </w:rPr>
        <w:t xml:space="preserve"> nije </w:t>
      </w:r>
      <w:r w:rsidR="007965F8" w:rsidRPr="00653DCF">
        <w:rPr>
          <w:color w:val="auto"/>
          <w:lang w:val="hr-HR"/>
        </w:rPr>
        <w:t xml:space="preserve">izazvano </w:t>
      </w:r>
      <w:r w:rsidR="00086A5C" w:rsidRPr="00653DCF">
        <w:rPr>
          <w:color w:val="auto"/>
          <w:lang w:val="hr-HR"/>
        </w:rPr>
        <w:t xml:space="preserve">te nije pod kontrolom </w:t>
      </w:r>
      <w:r w:rsidR="0053615E" w:rsidRPr="00653DCF">
        <w:rPr>
          <w:color w:val="auto"/>
          <w:lang w:val="hr-HR"/>
        </w:rPr>
        <w:t xml:space="preserve">one </w:t>
      </w:r>
      <w:r w:rsidR="007965F8" w:rsidRPr="00653DCF">
        <w:rPr>
          <w:color w:val="auto"/>
          <w:lang w:val="hr-HR"/>
        </w:rPr>
        <w:t>stran</w:t>
      </w:r>
      <w:r w:rsidR="00BE4880" w:rsidRPr="00653DCF">
        <w:rPr>
          <w:color w:val="auto"/>
          <w:lang w:val="hr-HR"/>
        </w:rPr>
        <w:t>k</w:t>
      </w:r>
      <w:r w:rsidR="007965F8" w:rsidRPr="00653DCF">
        <w:rPr>
          <w:color w:val="auto"/>
          <w:lang w:val="hr-HR"/>
        </w:rPr>
        <w:t>e čije je poslovanje narušeno</w:t>
      </w:r>
      <w:r w:rsidR="0094485E" w:rsidRPr="00653DCF">
        <w:rPr>
          <w:color w:val="auto"/>
          <w:lang w:val="hr-HR"/>
        </w:rPr>
        <w:t>.</w:t>
      </w:r>
    </w:p>
    <w:p w14:paraId="16B7BAD6" w14:textId="47A12368" w:rsidR="007A2A6F" w:rsidRPr="00653DCF" w:rsidRDefault="00E87B0B">
      <w:pPr>
        <w:widowControl w:val="0"/>
        <w:rPr>
          <w:color w:val="auto"/>
          <w:lang w:val="hr-HR"/>
        </w:rPr>
      </w:pPr>
      <w:r w:rsidRPr="00653DCF">
        <w:rPr>
          <w:color w:val="auto"/>
          <w:lang w:val="hr-HR"/>
        </w:rPr>
        <w:t>„</w:t>
      </w:r>
      <w:r w:rsidR="00436EA2" w:rsidRPr="00653DCF">
        <w:rPr>
          <w:rStyle w:val="BoldEIB"/>
          <w:color w:val="auto"/>
          <w:lang w:val="hr-HR"/>
        </w:rPr>
        <w:t>PUO</w:t>
      </w:r>
      <w:r w:rsidRPr="00653DCF">
        <w:rPr>
          <w:color w:val="auto"/>
          <w:lang w:val="hr-HR"/>
        </w:rPr>
        <w:t>” znači procjena utjecaja na okoliš u smislu Direktive o procjeni utjecaja na okoliš.</w:t>
      </w:r>
    </w:p>
    <w:p w14:paraId="21876A2D" w14:textId="087DE78E" w:rsidR="007A2A6F" w:rsidRPr="00653DCF" w:rsidRDefault="00E87B0B">
      <w:pPr>
        <w:widowControl w:val="0"/>
        <w:rPr>
          <w:color w:val="auto"/>
          <w:lang w:val="hr-HR"/>
        </w:rPr>
      </w:pPr>
      <w:r w:rsidRPr="00653DCF">
        <w:rPr>
          <w:color w:val="auto"/>
          <w:lang w:val="hr-HR"/>
        </w:rPr>
        <w:lastRenderedPageBreak/>
        <w:t>„</w:t>
      </w:r>
      <w:r w:rsidRPr="00653DCF">
        <w:rPr>
          <w:rStyle w:val="BoldEIB"/>
          <w:color w:val="auto"/>
          <w:lang w:val="hr-HR"/>
        </w:rPr>
        <w:t>Direktiva o procjeni utjecaja</w:t>
      </w:r>
      <w:r w:rsidR="003A7FEC" w:rsidRPr="00653DCF">
        <w:rPr>
          <w:rStyle w:val="BoldEIB"/>
          <w:color w:val="auto"/>
          <w:lang w:val="hr-HR"/>
        </w:rPr>
        <w:t xml:space="preserve"> </w:t>
      </w:r>
      <w:r w:rsidRPr="00653DCF">
        <w:rPr>
          <w:b/>
          <w:bCs/>
          <w:color w:val="auto"/>
          <w:lang w:val="hr-HR"/>
        </w:rPr>
        <w:t>na okoliš</w:t>
      </w:r>
      <w:r w:rsidRPr="00653DCF">
        <w:rPr>
          <w:color w:val="auto"/>
          <w:lang w:val="hr-HR"/>
        </w:rPr>
        <w:t xml:space="preserve">” znači </w:t>
      </w:r>
      <w:r w:rsidRPr="00653DCF">
        <w:rPr>
          <w:rStyle w:val="ItalicEIB"/>
          <w:i w:val="0"/>
          <w:iCs/>
          <w:color w:val="auto"/>
          <w:lang w:val="hr-HR"/>
        </w:rPr>
        <w:t>Direktiva 2014/52/EU Europskog parlamenta i Vijeća od 16. travnja 2014. o izmjeni Direktive 2011/92/EU o procjeni utjecaja određenih javnih i privatnih projekata na okoliš</w:t>
      </w:r>
      <w:r w:rsidRPr="00653DCF">
        <w:rPr>
          <w:color w:val="auto"/>
          <w:lang w:val="hr-HR"/>
        </w:rPr>
        <w:t xml:space="preserve">, </w:t>
      </w:r>
      <w:r w:rsidR="009D39AE" w:rsidRPr="00653DCF">
        <w:rPr>
          <w:color w:val="auto"/>
          <w:lang w:val="hr-HR"/>
        </w:rPr>
        <w:t>onako kako je</w:t>
      </w:r>
      <w:r w:rsidR="004C0B35" w:rsidRPr="00653DCF">
        <w:rPr>
          <w:color w:val="auto"/>
          <w:lang w:val="hr-HR"/>
        </w:rPr>
        <w:t xml:space="preserve"> ta direktiva</w:t>
      </w:r>
      <w:r w:rsidR="009D39AE" w:rsidRPr="00653DCF">
        <w:rPr>
          <w:color w:val="auto"/>
          <w:lang w:val="hr-HR"/>
        </w:rPr>
        <w:t xml:space="preserve"> </w:t>
      </w:r>
      <w:r w:rsidRPr="00653DCF">
        <w:rPr>
          <w:color w:val="auto"/>
          <w:lang w:val="hr-HR"/>
        </w:rPr>
        <w:t xml:space="preserve">izmijenjena, dopunjena ili </w:t>
      </w:r>
      <w:r w:rsidR="00AD4612" w:rsidRPr="00653DCF">
        <w:rPr>
          <w:color w:val="auto"/>
          <w:lang w:val="hr-HR"/>
        </w:rPr>
        <w:t>prepravljena</w:t>
      </w:r>
      <w:r w:rsidR="00D31F5B" w:rsidRPr="00653DCF">
        <w:rPr>
          <w:color w:val="auto"/>
          <w:lang w:val="hr-HR"/>
        </w:rPr>
        <w:t>.</w:t>
      </w:r>
      <w:r w:rsidRPr="00653DCF">
        <w:rPr>
          <w:color w:val="auto"/>
          <w:lang w:val="hr-HR"/>
        </w:rPr>
        <w:t xml:space="preserve"> </w:t>
      </w:r>
    </w:p>
    <w:p w14:paraId="6301104B" w14:textId="66C2F18B" w:rsidR="007A2A6F" w:rsidRPr="00653DCF" w:rsidRDefault="00E87B0B">
      <w:pPr>
        <w:widowControl w:val="0"/>
        <w:tabs>
          <w:tab w:val="left" w:pos="896"/>
        </w:tabs>
        <w:ind w:left="851"/>
        <w:rPr>
          <w:color w:val="auto"/>
          <w:lang w:val="hr-HR"/>
        </w:rPr>
      </w:pPr>
      <w:r w:rsidRPr="00653DCF">
        <w:rPr>
          <w:rFonts w:cs="Tahoma"/>
          <w:color w:val="auto"/>
          <w:lang w:val="hr-HR"/>
        </w:rPr>
        <w:t>„</w:t>
      </w:r>
      <w:r w:rsidR="00BE45D2" w:rsidRPr="00653DCF">
        <w:rPr>
          <w:rFonts w:cs="Tahoma"/>
          <w:b/>
          <w:color w:val="auto"/>
          <w:lang w:val="hr-HR"/>
        </w:rPr>
        <w:t>u</w:t>
      </w:r>
      <w:r w:rsidRPr="00653DCF">
        <w:rPr>
          <w:rFonts w:cs="Tahoma"/>
          <w:b/>
          <w:color w:val="auto"/>
          <w:lang w:val="hr-HR"/>
        </w:rPr>
        <w:t xml:space="preserve">govori o financiranju </w:t>
      </w:r>
      <w:r w:rsidR="00686EBC" w:rsidRPr="00653DCF">
        <w:rPr>
          <w:rFonts w:cs="Tahoma"/>
          <w:b/>
          <w:color w:val="auto"/>
          <w:lang w:val="hr-HR"/>
        </w:rPr>
        <w:t xml:space="preserve">od strane </w:t>
      </w:r>
      <w:r w:rsidRPr="00653DCF">
        <w:rPr>
          <w:rFonts w:cs="Tahoma"/>
          <w:b/>
          <w:color w:val="auto"/>
          <w:lang w:val="hr-HR"/>
        </w:rPr>
        <w:t>EIB-a</w:t>
      </w:r>
      <w:r w:rsidRPr="00653DCF">
        <w:rPr>
          <w:rFonts w:cs="Tahoma"/>
          <w:color w:val="auto"/>
          <w:lang w:val="hr-HR"/>
        </w:rPr>
        <w:t>” znači ovaj Ugovor i</w:t>
      </w:r>
      <w:r w:rsidRPr="00653DCF">
        <w:rPr>
          <w:color w:val="auto"/>
          <w:lang w:val="hr-HR"/>
        </w:rPr>
        <w:t xml:space="preserve"> svaki drugi financijski ugovor između Banke i Zajmoprimca koji ima isti </w:t>
      </w:r>
      <w:r w:rsidR="00BE45D2" w:rsidRPr="00653DCF">
        <w:rPr>
          <w:color w:val="auto"/>
          <w:lang w:val="hr-HR"/>
        </w:rPr>
        <w:t>o</w:t>
      </w:r>
      <w:r w:rsidR="00ED41BE" w:rsidRPr="00653DCF">
        <w:rPr>
          <w:color w:val="auto"/>
          <w:lang w:val="hr-HR"/>
        </w:rPr>
        <w:t xml:space="preserve">perativni </w:t>
      </w:r>
      <w:r w:rsidRPr="00653DCF">
        <w:rPr>
          <w:color w:val="auto"/>
          <w:lang w:val="hr-HR"/>
        </w:rPr>
        <w:t>broj kao i ovaj Ugovor</w:t>
      </w:r>
      <w:r w:rsidRPr="00653DCF">
        <w:rPr>
          <w:rFonts w:cs="Tahoma"/>
          <w:color w:val="auto"/>
          <w:lang w:val="hr-HR"/>
        </w:rPr>
        <w:t>.</w:t>
      </w:r>
    </w:p>
    <w:p w14:paraId="3ADB062E" w14:textId="3BF3A152" w:rsidR="007A2A6F" w:rsidRPr="00653DCF" w:rsidRDefault="00E87B0B">
      <w:pPr>
        <w:widowControl w:val="0"/>
        <w:ind w:left="851"/>
        <w:rPr>
          <w:color w:val="auto"/>
          <w:lang w:val="hr-HR"/>
        </w:rPr>
      </w:pPr>
      <w:r w:rsidRPr="00653DCF">
        <w:rPr>
          <w:color w:val="auto"/>
          <w:lang w:val="hr-HR"/>
        </w:rPr>
        <w:t>„</w:t>
      </w:r>
      <w:r w:rsidR="009E2785" w:rsidRPr="00653DCF">
        <w:rPr>
          <w:b/>
          <w:color w:val="auto"/>
          <w:lang w:val="hr-HR"/>
        </w:rPr>
        <w:t xml:space="preserve">sredstva </w:t>
      </w:r>
      <w:r w:rsidRPr="00653DCF">
        <w:rPr>
          <w:b/>
          <w:color w:val="auto"/>
          <w:lang w:val="hr-HR"/>
        </w:rPr>
        <w:t>EIB-a</w:t>
      </w:r>
      <w:r w:rsidRPr="00653DCF">
        <w:rPr>
          <w:color w:val="auto"/>
          <w:lang w:val="hr-HR"/>
        </w:rPr>
        <w:t>”</w:t>
      </w:r>
      <w:r w:rsidRPr="00653DCF">
        <w:rPr>
          <w:b/>
          <w:color w:val="auto"/>
          <w:lang w:val="hr-HR"/>
        </w:rPr>
        <w:t xml:space="preserve"> </w:t>
      </w:r>
      <w:r w:rsidRPr="00653DCF">
        <w:rPr>
          <w:color w:val="auto"/>
          <w:lang w:val="hr-HR"/>
        </w:rPr>
        <w:t xml:space="preserve">znači kredit koji je </w:t>
      </w:r>
      <w:r w:rsidR="009E2785" w:rsidRPr="00653DCF">
        <w:rPr>
          <w:color w:val="auto"/>
          <w:lang w:val="hr-HR"/>
        </w:rPr>
        <w:t xml:space="preserve">ovime </w:t>
      </w:r>
      <w:r w:rsidRPr="00653DCF">
        <w:rPr>
          <w:color w:val="auto"/>
          <w:lang w:val="hr-HR"/>
        </w:rPr>
        <w:t xml:space="preserve">stavljen na raspolaganje i sva druga sredstva koja je Banka stavila na raspolaganje za potrebe </w:t>
      </w:r>
      <w:r w:rsidR="009E2785" w:rsidRPr="00653DCF">
        <w:rPr>
          <w:color w:val="auto"/>
          <w:lang w:val="hr-HR"/>
        </w:rPr>
        <w:t>P</w:t>
      </w:r>
      <w:r w:rsidRPr="00653DCF">
        <w:rPr>
          <w:color w:val="auto"/>
          <w:lang w:val="hr-HR"/>
        </w:rPr>
        <w:t>roj</w:t>
      </w:r>
      <w:r w:rsidR="00AF4193" w:rsidRPr="00653DCF">
        <w:rPr>
          <w:color w:val="auto"/>
          <w:lang w:val="hr-HR"/>
        </w:rPr>
        <w:t>ekta u okviru bilo kojeg EIB-ovog</w:t>
      </w:r>
      <w:r w:rsidRPr="00653DCF">
        <w:rPr>
          <w:color w:val="auto"/>
          <w:lang w:val="hr-HR"/>
        </w:rPr>
        <w:t xml:space="preserve"> ugovora o financiranju</w:t>
      </w:r>
      <w:r w:rsidR="00D31F5B" w:rsidRPr="00653DCF">
        <w:rPr>
          <w:color w:val="auto"/>
          <w:lang w:val="hr-HR"/>
        </w:rPr>
        <w:t>.</w:t>
      </w:r>
    </w:p>
    <w:p w14:paraId="4DB96952" w14:textId="4649F00B" w:rsidR="007A2A6F" w:rsidRPr="00653DCF" w:rsidRDefault="00E87B0B">
      <w:pPr>
        <w:rPr>
          <w:color w:val="auto"/>
          <w:lang w:val="hr-HR"/>
        </w:rPr>
      </w:pPr>
      <w:r w:rsidRPr="00653DCF">
        <w:rPr>
          <w:color w:val="auto"/>
          <w:lang w:val="hr-HR"/>
        </w:rPr>
        <w:t>„</w:t>
      </w:r>
      <w:r w:rsidR="00FA6FA8" w:rsidRPr="00653DCF">
        <w:rPr>
          <w:rStyle w:val="BoldEIB"/>
          <w:color w:val="auto"/>
          <w:lang w:val="hr-HR"/>
        </w:rPr>
        <w:t>o</w:t>
      </w:r>
      <w:r w:rsidRPr="00653DCF">
        <w:rPr>
          <w:rStyle w:val="BoldEIB"/>
          <w:color w:val="auto"/>
          <w:lang w:val="hr-HR"/>
        </w:rPr>
        <w:t>koliš</w:t>
      </w:r>
      <w:r w:rsidRPr="00653DCF">
        <w:rPr>
          <w:color w:val="auto"/>
          <w:lang w:val="hr-HR"/>
        </w:rPr>
        <w:t xml:space="preserve">” znači sljedeće: </w:t>
      </w:r>
    </w:p>
    <w:p w14:paraId="5D0A44E1" w14:textId="501E453F" w:rsidR="007A2A6F" w:rsidRPr="00653DCF" w:rsidRDefault="00E87B0B">
      <w:pPr>
        <w:pStyle w:val="NoIndentEIB"/>
        <w:numPr>
          <w:ilvl w:val="0"/>
          <w:numId w:val="7"/>
        </w:numPr>
        <w:rPr>
          <w:color w:val="auto"/>
          <w:lang w:val="hr-HR"/>
        </w:rPr>
      </w:pPr>
      <w:r w:rsidRPr="00653DCF">
        <w:rPr>
          <w:color w:val="auto"/>
          <w:lang w:val="hr-HR"/>
        </w:rPr>
        <w:t>fauna i flora, živi organizmi, uključujući ekološke sustave</w:t>
      </w:r>
      <w:r w:rsidR="00BF6D43" w:rsidRPr="00653DCF">
        <w:rPr>
          <w:color w:val="auto"/>
          <w:lang w:val="hr-HR"/>
        </w:rPr>
        <w:t>;</w:t>
      </w:r>
      <w:r w:rsidRPr="00653DCF">
        <w:rPr>
          <w:color w:val="auto"/>
          <w:lang w:val="hr-HR"/>
        </w:rPr>
        <w:t xml:space="preserve"> </w:t>
      </w:r>
    </w:p>
    <w:p w14:paraId="6E0160A0" w14:textId="685C7274" w:rsidR="007A2A6F" w:rsidRPr="00653DCF" w:rsidRDefault="00E87B0B">
      <w:pPr>
        <w:pStyle w:val="NoIndentEIB"/>
        <w:numPr>
          <w:ilvl w:val="0"/>
          <w:numId w:val="7"/>
        </w:numPr>
        <w:rPr>
          <w:color w:val="auto"/>
          <w:lang w:val="hr-HR"/>
        </w:rPr>
      </w:pPr>
      <w:r w:rsidRPr="00653DCF">
        <w:rPr>
          <w:color w:val="auto"/>
          <w:lang w:val="hr-HR"/>
        </w:rPr>
        <w:t>zemljište, tlo, voda (uključujući morske i obalne vode), zrak, klima i krajolik (prirodne strukture ili strukture koje je stvorio čovjek bilo iznad</w:t>
      </w:r>
      <w:r w:rsidR="00554F28" w:rsidRPr="00653DCF">
        <w:rPr>
          <w:color w:val="auto"/>
          <w:lang w:val="hr-HR"/>
        </w:rPr>
        <w:t>, bilo</w:t>
      </w:r>
      <w:r w:rsidRPr="00653DCF">
        <w:rPr>
          <w:color w:val="auto"/>
          <w:lang w:val="hr-HR"/>
        </w:rPr>
        <w:t xml:space="preserve"> ispod zemlje)</w:t>
      </w:r>
      <w:r w:rsidR="00BF6D43" w:rsidRPr="00653DCF">
        <w:rPr>
          <w:color w:val="auto"/>
          <w:lang w:val="hr-HR"/>
        </w:rPr>
        <w:t>;</w:t>
      </w:r>
    </w:p>
    <w:p w14:paraId="074BF2E8" w14:textId="19005311" w:rsidR="007A2A6F" w:rsidRPr="00653DCF" w:rsidRDefault="00E87B0B">
      <w:pPr>
        <w:pStyle w:val="NoIndentEIB"/>
        <w:numPr>
          <w:ilvl w:val="0"/>
          <w:numId w:val="7"/>
        </w:numPr>
        <w:rPr>
          <w:color w:val="auto"/>
          <w:lang w:val="hr-HR"/>
        </w:rPr>
      </w:pPr>
      <w:r w:rsidRPr="00653DCF">
        <w:rPr>
          <w:color w:val="auto"/>
          <w:lang w:val="hr-HR"/>
        </w:rPr>
        <w:t>kulturna baština (prirodna, materijalna i nematerijalna)</w:t>
      </w:r>
      <w:r w:rsidR="00BF6D43" w:rsidRPr="00653DCF">
        <w:rPr>
          <w:color w:val="auto"/>
          <w:lang w:val="hr-HR"/>
        </w:rPr>
        <w:t>;</w:t>
      </w:r>
    </w:p>
    <w:p w14:paraId="7A7DD75F" w14:textId="62BC6D2D" w:rsidR="007A2A6F" w:rsidRPr="00653DCF" w:rsidRDefault="00E87B0B">
      <w:pPr>
        <w:pStyle w:val="NoIndentEIB"/>
        <w:numPr>
          <w:ilvl w:val="0"/>
          <w:numId w:val="7"/>
        </w:numPr>
        <w:rPr>
          <w:color w:val="auto"/>
          <w:lang w:val="hr-HR"/>
        </w:rPr>
      </w:pPr>
      <w:r w:rsidRPr="00653DCF">
        <w:rPr>
          <w:color w:val="auto"/>
          <w:lang w:val="hr-HR"/>
        </w:rPr>
        <w:t>izgrađeni okoliš</w:t>
      </w:r>
      <w:r w:rsidR="00BF6D43" w:rsidRPr="00653DCF">
        <w:rPr>
          <w:color w:val="auto"/>
          <w:lang w:val="hr-HR"/>
        </w:rPr>
        <w:t>;</w:t>
      </w:r>
      <w:r w:rsidRPr="00653DCF">
        <w:rPr>
          <w:color w:val="auto"/>
          <w:lang w:val="hr-HR"/>
        </w:rPr>
        <w:t xml:space="preserve"> i </w:t>
      </w:r>
    </w:p>
    <w:p w14:paraId="73E9C4AE" w14:textId="56EFEC5F" w:rsidR="007A2A6F" w:rsidRPr="00653DCF" w:rsidRDefault="00E87B0B">
      <w:pPr>
        <w:pStyle w:val="NoIndentEIB"/>
        <w:numPr>
          <w:ilvl w:val="0"/>
          <w:numId w:val="7"/>
        </w:numPr>
        <w:rPr>
          <w:color w:val="auto"/>
          <w:lang w:val="hr-HR"/>
        </w:rPr>
      </w:pPr>
      <w:r w:rsidRPr="00653DCF">
        <w:rPr>
          <w:color w:val="auto"/>
          <w:lang w:val="hr-HR"/>
        </w:rPr>
        <w:t>zdravlje i dobrobit ljudi.</w:t>
      </w:r>
    </w:p>
    <w:p w14:paraId="6A2B308F" w14:textId="7670B50C" w:rsidR="007A2A6F" w:rsidRPr="00653DCF" w:rsidRDefault="00E87B0B">
      <w:pPr>
        <w:rPr>
          <w:color w:val="auto"/>
          <w:lang w:val="hr-HR"/>
        </w:rPr>
      </w:pPr>
      <w:r w:rsidRPr="00653DCF">
        <w:rPr>
          <w:color w:val="auto"/>
          <w:lang w:val="hr-HR"/>
        </w:rPr>
        <w:t>„</w:t>
      </w:r>
      <w:r w:rsidR="00BF6D43" w:rsidRPr="00653DCF">
        <w:rPr>
          <w:rStyle w:val="BoldEIB"/>
          <w:color w:val="auto"/>
          <w:lang w:val="hr-HR"/>
        </w:rPr>
        <w:t>o</w:t>
      </w:r>
      <w:r w:rsidRPr="00653DCF">
        <w:rPr>
          <w:rStyle w:val="BoldEIB"/>
          <w:color w:val="auto"/>
          <w:lang w:val="hr-HR"/>
        </w:rPr>
        <w:t xml:space="preserve">dobrenje </w:t>
      </w:r>
      <w:r w:rsidR="00F874DB" w:rsidRPr="00653DCF">
        <w:rPr>
          <w:rStyle w:val="BoldEIB"/>
          <w:color w:val="auto"/>
          <w:lang w:val="hr-HR"/>
        </w:rPr>
        <w:t xml:space="preserve">vezano </w:t>
      </w:r>
      <w:r w:rsidRPr="00653DCF">
        <w:rPr>
          <w:rStyle w:val="BoldEIB"/>
          <w:color w:val="auto"/>
          <w:lang w:val="hr-HR"/>
        </w:rPr>
        <w:t>za okoliš i</w:t>
      </w:r>
      <w:r w:rsidR="00507B13" w:rsidRPr="00653DCF">
        <w:rPr>
          <w:rStyle w:val="BoldEIB"/>
          <w:color w:val="auto"/>
          <w:lang w:val="hr-HR"/>
        </w:rPr>
        <w:t xml:space="preserve"> </w:t>
      </w:r>
      <w:r w:rsidR="00787DA7" w:rsidRPr="00653DCF">
        <w:rPr>
          <w:b/>
          <w:bCs/>
          <w:color w:val="auto"/>
          <w:lang w:val="hr-HR"/>
        </w:rPr>
        <w:t xml:space="preserve">socijalna </w:t>
      </w:r>
      <w:r w:rsidR="009D0DA6" w:rsidRPr="00653DCF">
        <w:rPr>
          <w:b/>
          <w:bCs/>
          <w:color w:val="auto"/>
          <w:lang w:val="hr-HR"/>
        </w:rPr>
        <w:t>pitanja</w:t>
      </w:r>
      <w:r w:rsidRPr="00653DCF">
        <w:rPr>
          <w:color w:val="auto"/>
          <w:lang w:val="hr-HR"/>
        </w:rPr>
        <w:t xml:space="preserve">” znači svako </w:t>
      </w:r>
      <w:r w:rsidR="00F874DB" w:rsidRPr="00653DCF">
        <w:rPr>
          <w:color w:val="auto"/>
          <w:lang w:val="hr-HR"/>
        </w:rPr>
        <w:t xml:space="preserve">odobrenje </w:t>
      </w:r>
      <w:r w:rsidRPr="00653DCF">
        <w:rPr>
          <w:color w:val="auto"/>
          <w:lang w:val="hr-HR"/>
        </w:rPr>
        <w:t xml:space="preserve">koje </w:t>
      </w:r>
      <w:r w:rsidR="00507B13" w:rsidRPr="00653DCF">
        <w:rPr>
          <w:color w:val="auto"/>
          <w:lang w:val="hr-HR"/>
        </w:rPr>
        <w:t xml:space="preserve">je potrebno u skladu s </w:t>
      </w:r>
      <w:r w:rsidR="009D0DA6" w:rsidRPr="00653DCF">
        <w:rPr>
          <w:color w:val="auto"/>
          <w:lang w:val="hr-HR"/>
        </w:rPr>
        <w:t xml:space="preserve">propisima </w:t>
      </w:r>
      <w:r w:rsidR="00063C10" w:rsidRPr="00653DCF">
        <w:rPr>
          <w:color w:val="auto"/>
          <w:lang w:val="hr-HR"/>
        </w:rPr>
        <w:t xml:space="preserve">vezano </w:t>
      </w:r>
      <w:r w:rsidR="009D0DA6" w:rsidRPr="00653DCF">
        <w:rPr>
          <w:color w:val="auto"/>
          <w:lang w:val="hr-HR"/>
        </w:rPr>
        <w:t xml:space="preserve">za </w:t>
      </w:r>
      <w:r w:rsidR="00FA0884" w:rsidRPr="00653DCF">
        <w:rPr>
          <w:color w:val="auto"/>
          <w:lang w:val="hr-HR"/>
        </w:rPr>
        <w:t>zaštit</w:t>
      </w:r>
      <w:r w:rsidR="009D0DA6" w:rsidRPr="00653DCF">
        <w:rPr>
          <w:color w:val="auto"/>
          <w:lang w:val="hr-HR"/>
        </w:rPr>
        <w:t>u</w:t>
      </w:r>
      <w:r w:rsidR="00FA0884" w:rsidRPr="00653DCF">
        <w:rPr>
          <w:color w:val="auto"/>
          <w:lang w:val="hr-HR"/>
        </w:rPr>
        <w:t xml:space="preserve"> okoliša i </w:t>
      </w:r>
      <w:r w:rsidR="009163EB" w:rsidRPr="00653DCF">
        <w:rPr>
          <w:color w:val="auto"/>
          <w:lang w:val="hr-HR"/>
        </w:rPr>
        <w:t>socijaln</w:t>
      </w:r>
      <w:r w:rsidR="00CA2314" w:rsidRPr="00653DCF">
        <w:rPr>
          <w:color w:val="auto"/>
          <w:lang w:val="hr-HR"/>
        </w:rPr>
        <w:t>a</w:t>
      </w:r>
      <w:r w:rsidR="009163EB" w:rsidRPr="00653DCF">
        <w:rPr>
          <w:color w:val="auto"/>
          <w:lang w:val="hr-HR"/>
        </w:rPr>
        <w:t xml:space="preserve"> </w:t>
      </w:r>
      <w:r w:rsidR="009D0DA6" w:rsidRPr="00653DCF">
        <w:rPr>
          <w:color w:val="auto"/>
          <w:lang w:val="hr-HR"/>
        </w:rPr>
        <w:t>pitanja</w:t>
      </w:r>
      <w:r w:rsidR="00D31F5B" w:rsidRPr="00653DCF">
        <w:rPr>
          <w:color w:val="auto"/>
          <w:lang w:val="hr-HR"/>
        </w:rPr>
        <w:t>.</w:t>
      </w:r>
    </w:p>
    <w:p w14:paraId="15F2C6A0" w14:textId="1C602E5D" w:rsidR="007A2A6F" w:rsidRPr="00653DCF" w:rsidRDefault="00E87B0B">
      <w:pPr>
        <w:rPr>
          <w:color w:val="auto"/>
          <w:lang w:val="hr-HR"/>
        </w:rPr>
      </w:pPr>
      <w:r w:rsidRPr="00653DCF">
        <w:rPr>
          <w:color w:val="auto"/>
          <w:lang w:val="hr-HR"/>
        </w:rPr>
        <w:t>„</w:t>
      </w:r>
      <w:r w:rsidR="00F874DB" w:rsidRPr="00653DCF">
        <w:rPr>
          <w:rStyle w:val="BoldEIB"/>
          <w:color w:val="auto"/>
          <w:lang w:val="hr-HR"/>
        </w:rPr>
        <w:t>z</w:t>
      </w:r>
      <w:r w:rsidRPr="00653DCF">
        <w:rPr>
          <w:rStyle w:val="BoldEIB"/>
          <w:color w:val="auto"/>
          <w:lang w:val="hr-HR"/>
        </w:rPr>
        <w:t xml:space="preserve">ahtjev </w:t>
      </w:r>
      <w:r w:rsidR="00F874DB" w:rsidRPr="00653DCF">
        <w:rPr>
          <w:rStyle w:val="BoldEIB"/>
          <w:color w:val="auto"/>
          <w:lang w:val="hr-HR"/>
        </w:rPr>
        <w:t xml:space="preserve">vezano </w:t>
      </w:r>
      <w:r w:rsidRPr="00653DCF">
        <w:rPr>
          <w:rStyle w:val="BoldEIB"/>
          <w:color w:val="auto"/>
          <w:lang w:val="hr-HR"/>
        </w:rPr>
        <w:t xml:space="preserve">zaštitu okoliša ili </w:t>
      </w:r>
      <w:r w:rsidR="009163EB" w:rsidRPr="00653DCF">
        <w:rPr>
          <w:b/>
          <w:bCs/>
          <w:color w:val="auto"/>
          <w:lang w:val="hr-HR"/>
        </w:rPr>
        <w:t xml:space="preserve">socijalna </w:t>
      </w:r>
      <w:r w:rsidR="009D0DA6" w:rsidRPr="00653DCF">
        <w:rPr>
          <w:b/>
          <w:bCs/>
          <w:color w:val="auto"/>
          <w:lang w:val="hr-HR"/>
        </w:rPr>
        <w:t>pitanja</w:t>
      </w:r>
      <w:r w:rsidRPr="00653DCF">
        <w:rPr>
          <w:color w:val="auto"/>
          <w:lang w:val="hr-HR"/>
        </w:rPr>
        <w:t>” znači svaki zahtjev, postupak, služben</w:t>
      </w:r>
      <w:r w:rsidR="00FA0884" w:rsidRPr="00653DCF">
        <w:rPr>
          <w:color w:val="auto"/>
          <w:lang w:val="hr-HR"/>
        </w:rPr>
        <w:t>u obavijest ili istragu</w:t>
      </w:r>
      <w:r w:rsidRPr="00653DCF">
        <w:rPr>
          <w:color w:val="auto"/>
          <w:lang w:val="hr-HR"/>
        </w:rPr>
        <w:t xml:space="preserve"> </w:t>
      </w:r>
      <w:r w:rsidR="00063C10" w:rsidRPr="00653DCF">
        <w:rPr>
          <w:color w:val="auto"/>
          <w:lang w:val="hr-HR"/>
        </w:rPr>
        <w:t xml:space="preserve">od strane </w:t>
      </w:r>
      <w:r w:rsidRPr="00653DCF">
        <w:rPr>
          <w:color w:val="auto"/>
          <w:lang w:val="hr-HR"/>
        </w:rPr>
        <w:t xml:space="preserve">bilo koje osobe u vezi s bilo kojim </w:t>
      </w:r>
      <w:r w:rsidR="009D0DA6" w:rsidRPr="00653DCF">
        <w:rPr>
          <w:color w:val="auto"/>
          <w:lang w:val="hr-HR"/>
        </w:rPr>
        <w:t xml:space="preserve">propisom </w:t>
      </w:r>
      <w:r w:rsidR="00A76787" w:rsidRPr="00653DCF">
        <w:rPr>
          <w:color w:val="auto"/>
          <w:lang w:val="hr-HR"/>
        </w:rPr>
        <w:t xml:space="preserve">vezano za zaštitu okoliša </w:t>
      </w:r>
      <w:r w:rsidR="0046746F" w:rsidRPr="00653DCF">
        <w:rPr>
          <w:color w:val="auto"/>
          <w:lang w:val="hr-HR"/>
        </w:rPr>
        <w:t>i</w:t>
      </w:r>
      <w:r w:rsidR="00A76787" w:rsidRPr="00653DCF">
        <w:rPr>
          <w:color w:val="auto"/>
          <w:lang w:val="hr-HR"/>
        </w:rPr>
        <w:t xml:space="preserve"> </w:t>
      </w:r>
      <w:r w:rsidR="00D31F5B" w:rsidRPr="00653DCF">
        <w:rPr>
          <w:color w:val="auto"/>
          <w:lang w:val="hr-HR"/>
        </w:rPr>
        <w:t>socijalna pitanja.</w:t>
      </w:r>
    </w:p>
    <w:p w14:paraId="1DBAB873" w14:textId="57175418" w:rsidR="007A2A6F" w:rsidRPr="00653DCF" w:rsidRDefault="00E87B0B">
      <w:pPr>
        <w:rPr>
          <w:color w:val="auto"/>
          <w:lang w:val="hr-HR"/>
        </w:rPr>
      </w:pPr>
      <w:r w:rsidRPr="00653DCF">
        <w:rPr>
          <w:color w:val="auto"/>
          <w:lang w:val="hr-HR"/>
        </w:rPr>
        <w:t>„</w:t>
      </w:r>
      <w:r w:rsidR="009D0DA6" w:rsidRPr="00653DCF">
        <w:rPr>
          <w:rStyle w:val="BoldEIB"/>
          <w:color w:val="auto"/>
          <w:lang w:val="hr-HR"/>
        </w:rPr>
        <w:t xml:space="preserve">propisi o zaštiti okoliša i socijalnim </w:t>
      </w:r>
      <w:r w:rsidR="00151E0A" w:rsidRPr="00653DCF">
        <w:rPr>
          <w:rStyle w:val="BoldEIB"/>
          <w:color w:val="auto"/>
          <w:lang w:val="hr-HR"/>
        </w:rPr>
        <w:t>pitanjima</w:t>
      </w:r>
      <w:r w:rsidRPr="00653DCF">
        <w:rPr>
          <w:color w:val="auto"/>
          <w:lang w:val="hr-HR"/>
        </w:rPr>
        <w:t xml:space="preserve">” znači: </w:t>
      </w:r>
    </w:p>
    <w:p w14:paraId="1F42E2D4" w14:textId="43166EE8" w:rsidR="007A2A6F" w:rsidRPr="00653DCF" w:rsidRDefault="00063C10">
      <w:pPr>
        <w:pStyle w:val="NoIndentEIB"/>
        <w:numPr>
          <w:ilvl w:val="0"/>
          <w:numId w:val="8"/>
        </w:numPr>
        <w:rPr>
          <w:color w:val="auto"/>
          <w:lang w:val="hr-HR"/>
        </w:rPr>
      </w:pPr>
      <w:r w:rsidRPr="00653DCF">
        <w:rPr>
          <w:color w:val="auto"/>
          <w:lang w:val="hr-HR"/>
        </w:rPr>
        <w:t>p</w:t>
      </w:r>
      <w:r w:rsidR="00E87B0B" w:rsidRPr="00653DCF">
        <w:rPr>
          <w:color w:val="auto"/>
          <w:lang w:val="hr-HR"/>
        </w:rPr>
        <w:t>ravo</w:t>
      </w:r>
      <w:r w:rsidR="008561F6" w:rsidRPr="00653DCF">
        <w:rPr>
          <w:color w:val="auto"/>
          <w:lang w:val="hr-HR"/>
        </w:rPr>
        <w:t xml:space="preserve"> </w:t>
      </w:r>
      <w:r w:rsidR="00705F3F" w:rsidRPr="00653DCF">
        <w:rPr>
          <w:color w:val="auto"/>
          <w:lang w:val="hr-HR"/>
        </w:rPr>
        <w:t>EU-a</w:t>
      </w:r>
      <w:r w:rsidR="00E87B0B" w:rsidRPr="00653DCF">
        <w:rPr>
          <w:color w:val="auto"/>
          <w:lang w:val="hr-HR"/>
        </w:rPr>
        <w:t>, uključujući načela i standarde</w:t>
      </w:r>
      <w:r w:rsidR="00AF4193" w:rsidRPr="00653DCF">
        <w:rPr>
          <w:color w:val="auto"/>
          <w:lang w:val="hr-HR"/>
        </w:rPr>
        <w:t>;</w:t>
      </w:r>
    </w:p>
    <w:p w14:paraId="6404AAB1" w14:textId="3C1DD547" w:rsidR="007A2A6F" w:rsidRDefault="00E87B0B">
      <w:pPr>
        <w:pStyle w:val="NoIndentEIB"/>
        <w:numPr>
          <w:ilvl w:val="0"/>
          <w:numId w:val="8"/>
        </w:numPr>
        <w:rPr>
          <w:color w:val="auto"/>
          <w:lang w:val="hr-HR"/>
        </w:rPr>
      </w:pPr>
      <w:r w:rsidRPr="00653DCF">
        <w:rPr>
          <w:color w:val="auto"/>
          <w:lang w:val="hr-HR"/>
        </w:rPr>
        <w:t>zakoni i propisi Republike Hrvatsk</w:t>
      </w:r>
      <w:r w:rsidR="001E328B" w:rsidRPr="00653DCF">
        <w:rPr>
          <w:color w:val="auto"/>
          <w:lang w:val="hr-HR"/>
        </w:rPr>
        <w:t>e</w:t>
      </w:r>
      <w:r w:rsidR="00AF4193" w:rsidRPr="00653DCF">
        <w:rPr>
          <w:color w:val="auto"/>
          <w:lang w:val="hr-HR"/>
        </w:rPr>
        <w:t>;</w:t>
      </w:r>
      <w:r w:rsidRPr="00653DCF">
        <w:rPr>
          <w:color w:val="auto"/>
          <w:lang w:val="hr-HR"/>
        </w:rPr>
        <w:t xml:space="preserve"> i</w:t>
      </w:r>
    </w:p>
    <w:p w14:paraId="5F8BD471" w14:textId="77777777" w:rsidR="00187CCF" w:rsidRPr="00653DCF" w:rsidRDefault="00187CCF" w:rsidP="00187CCF">
      <w:pPr>
        <w:pStyle w:val="NoIndentEIB"/>
        <w:rPr>
          <w:color w:val="auto"/>
          <w:lang w:val="hr-HR"/>
        </w:rPr>
      </w:pPr>
    </w:p>
    <w:p w14:paraId="221533AD" w14:textId="77777777" w:rsidR="007A2A6F" w:rsidRPr="00653DCF" w:rsidRDefault="00E87B0B">
      <w:pPr>
        <w:pStyle w:val="NoIndentEIB"/>
        <w:numPr>
          <w:ilvl w:val="0"/>
          <w:numId w:val="8"/>
        </w:numPr>
        <w:rPr>
          <w:color w:val="auto"/>
          <w:lang w:val="hr-HR"/>
        </w:rPr>
      </w:pPr>
      <w:r w:rsidRPr="00653DCF">
        <w:rPr>
          <w:color w:val="auto"/>
          <w:lang w:val="hr-HR"/>
        </w:rPr>
        <w:t>primjenjivi međunarodni ugovori,</w:t>
      </w:r>
    </w:p>
    <w:p w14:paraId="226C327D" w14:textId="205EAB42" w:rsidR="007A2A6F" w:rsidRPr="00653DCF" w:rsidRDefault="00D56DFB">
      <w:pPr>
        <w:rPr>
          <w:color w:val="auto"/>
          <w:lang w:val="hr-HR"/>
        </w:rPr>
      </w:pPr>
      <w:r w:rsidRPr="00653DCF">
        <w:rPr>
          <w:color w:val="auto"/>
          <w:lang w:val="hr-HR"/>
        </w:rPr>
        <w:t xml:space="preserve">koji za </w:t>
      </w:r>
      <w:r w:rsidR="00E87B0B" w:rsidRPr="00653DCF">
        <w:rPr>
          <w:color w:val="auto"/>
          <w:lang w:val="hr-HR"/>
        </w:rPr>
        <w:t xml:space="preserve">glavni cilj </w:t>
      </w:r>
      <w:r w:rsidRPr="00653DCF">
        <w:rPr>
          <w:color w:val="auto"/>
          <w:lang w:val="hr-HR"/>
        </w:rPr>
        <w:t xml:space="preserve">imaju </w:t>
      </w:r>
      <w:r w:rsidR="00E87B0B" w:rsidRPr="00653DCF">
        <w:rPr>
          <w:color w:val="auto"/>
          <w:lang w:val="hr-HR"/>
        </w:rPr>
        <w:t>očuvanje, zaštit</w:t>
      </w:r>
      <w:r w:rsidRPr="00653DCF">
        <w:rPr>
          <w:color w:val="auto"/>
          <w:lang w:val="hr-HR"/>
        </w:rPr>
        <w:t>u</w:t>
      </w:r>
      <w:r w:rsidR="00E87B0B" w:rsidRPr="00653DCF">
        <w:rPr>
          <w:color w:val="auto"/>
          <w:lang w:val="hr-HR"/>
        </w:rPr>
        <w:t xml:space="preserve"> ili poboljšanje </w:t>
      </w:r>
      <w:r w:rsidR="008561F6" w:rsidRPr="00653DCF">
        <w:rPr>
          <w:color w:val="auto"/>
          <w:lang w:val="hr-HR"/>
        </w:rPr>
        <w:t>o</w:t>
      </w:r>
      <w:r w:rsidR="00E87B0B" w:rsidRPr="00653DCF">
        <w:rPr>
          <w:color w:val="auto"/>
          <w:lang w:val="hr-HR"/>
        </w:rPr>
        <w:t>koliša i/ili zaštit</w:t>
      </w:r>
      <w:r w:rsidRPr="00653DCF">
        <w:rPr>
          <w:color w:val="auto"/>
          <w:lang w:val="hr-HR"/>
        </w:rPr>
        <w:t>u</w:t>
      </w:r>
      <w:r w:rsidR="00E87B0B" w:rsidRPr="00653DCF">
        <w:rPr>
          <w:color w:val="auto"/>
          <w:lang w:val="hr-HR"/>
        </w:rPr>
        <w:t xml:space="preserve"> ili poboljšanje </w:t>
      </w:r>
      <w:r w:rsidR="00194060" w:rsidRPr="00653DCF">
        <w:rPr>
          <w:color w:val="auto"/>
          <w:lang w:val="hr-HR"/>
        </w:rPr>
        <w:t>s</w:t>
      </w:r>
      <w:r w:rsidR="00E87B0B" w:rsidRPr="00653DCF">
        <w:rPr>
          <w:color w:val="auto"/>
          <w:lang w:val="hr-HR"/>
        </w:rPr>
        <w:t xml:space="preserve">ocijalnih </w:t>
      </w:r>
      <w:r w:rsidR="00D31F5B" w:rsidRPr="00653DCF">
        <w:rPr>
          <w:color w:val="auto"/>
          <w:lang w:val="hr-HR"/>
        </w:rPr>
        <w:t>pitanja.</w:t>
      </w:r>
    </w:p>
    <w:p w14:paraId="33DDB1B6" w14:textId="6772C83D" w:rsidR="007A2A6F" w:rsidRPr="00653DCF" w:rsidRDefault="00E87B0B">
      <w:pPr>
        <w:rPr>
          <w:color w:val="auto"/>
          <w:lang w:val="hr-HR"/>
        </w:rPr>
      </w:pPr>
      <w:r w:rsidRPr="00653DCF">
        <w:rPr>
          <w:color w:val="auto"/>
          <w:lang w:val="hr-HR"/>
        </w:rPr>
        <w:t>„</w:t>
      </w:r>
      <w:r w:rsidR="00194060" w:rsidRPr="00653DCF">
        <w:rPr>
          <w:b/>
          <w:color w:val="auto"/>
          <w:lang w:val="hr-HR"/>
        </w:rPr>
        <w:t>f</w:t>
      </w:r>
      <w:r w:rsidRPr="00653DCF">
        <w:rPr>
          <w:b/>
          <w:color w:val="auto"/>
          <w:lang w:val="hr-HR"/>
        </w:rPr>
        <w:t xml:space="preserve">ondovi </w:t>
      </w:r>
      <w:r w:rsidR="00B97B9E" w:rsidRPr="00653DCF">
        <w:rPr>
          <w:b/>
          <w:color w:val="auto"/>
          <w:lang w:val="hr-HR"/>
        </w:rPr>
        <w:t>Europske unije“</w:t>
      </w:r>
      <w:r w:rsidRPr="00653DCF">
        <w:rPr>
          <w:color w:val="auto"/>
          <w:lang w:val="hr-HR"/>
        </w:rPr>
        <w:t xml:space="preserve"> znači </w:t>
      </w:r>
      <w:r w:rsidR="00973528" w:rsidRPr="00653DCF">
        <w:rPr>
          <w:color w:val="auto"/>
          <w:lang w:val="hr-HR"/>
        </w:rPr>
        <w:t xml:space="preserve">bilo koji ili svi fondovi </w:t>
      </w:r>
      <w:r w:rsidRPr="00653DCF">
        <w:rPr>
          <w:color w:val="auto"/>
          <w:lang w:val="hr-HR"/>
        </w:rPr>
        <w:t>Europske unije</w:t>
      </w:r>
      <w:r w:rsidR="00D31F5B" w:rsidRPr="00653DCF">
        <w:rPr>
          <w:color w:val="auto"/>
          <w:lang w:val="hr-HR"/>
        </w:rPr>
        <w:t>.</w:t>
      </w:r>
    </w:p>
    <w:p w14:paraId="2072828C" w14:textId="64172312" w:rsidR="007A2A6F" w:rsidRPr="00653DCF" w:rsidRDefault="00E87B0B">
      <w:pPr>
        <w:rPr>
          <w:color w:val="auto"/>
          <w:lang w:val="hr-HR"/>
        </w:rPr>
      </w:pPr>
      <w:r w:rsidRPr="00653DCF">
        <w:rPr>
          <w:color w:val="auto"/>
          <w:lang w:val="hr-HR"/>
        </w:rPr>
        <w:t>„</w:t>
      </w:r>
      <w:r w:rsidR="00194060" w:rsidRPr="00653DCF">
        <w:rPr>
          <w:rStyle w:val="BoldEIB"/>
          <w:color w:val="auto"/>
          <w:lang w:val="hr-HR"/>
        </w:rPr>
        <w:t>d</w:t>
      </w:r>
      <w:r w:rsidRPr="00653DCF">
        <w:rPr>
          <w:rStyle w:val="BoldEIB"/>
          <w:color w:val="auto"/>
          <w:lang w:val="hr-HR"/>
        </w:rPr>
        <w:t xml:space="preserve">ogađaj </w:t>
      </w:r>
      <w:r w:rsidR="00063C10" w:rsidRPr="00653DCF">
        <w:rPr>
          <w:rStyle w:val="BoldEIB"/>
          <w:color w:val="auto"/>
          <w:lang w:val="hr-HR"/>
        </w:rPr>
        <w:t xml:space="preserve">vezano za fondove </w:t>
      </w:r>
      <w:r w:rsidR="00B97B9E" w:rsidRPr="00653DCF">
        <w:rPr>
          <w:rStyle w:val="BoldEIB"/>
          <w:color w:val="auto"/>
          <w:lang w:val="hr-HR"/>
        </w:rPr>
        <w:t>Europske unije</w:t>
      </w:r>
      <w:r w:rsidRPr="00653DCF">
        <w:rPr>
          <w:color w:val="auto"/>
          <w:lang w:val="hr-HR"/>
        </w:rPr>
        <w:t xml:space="preserve">” ima značenje </w:t>
      </w:r>
      <w:r w:rsidR="00194060" w:rsidRPr="00653DCF">
        <w:rPr>
          <w:color w:val="auto"/>
          <w:lang w:val="hr-HR"/>
        </w:rPr>
        <w:t>iz članka</w:t>
      </w:r>
      <w:r w:rsidR="00496D04" w:rsidRPr="00653DCF">
        <w:rPr>
          <w:color w:val="auto"/>
          <w:lang w:val="hr-HR"/>
        </w:rPr>
        <w:t xml:space="preserve"> 4.3A(5)(c)</w:t>
      </w:r>
      <w:r w:rsidR="00D31F5B" w:rsidRPr="00653DCF">
        <w:rPr>
          <w:color w:val="auto"/>
          <w:lang w:val="hr-HR"/>
        </w:rPr>
        <w:t>.</w:t>
      </w:r>
    </w:p>
    <w:p w14:paraId="2BD9B98E" w14:textId="7B4611B1" w:rsidR="007A2A6F" w:rsidRPr="00653DCF" w:rsidRDefault="00E87B0B">
      <w:pPr>
        <w:rPr>
          <w:color w:val="auto"/>
          <w:lang w:val="hr-HR"/>
        </w:rPr>
      </w:pPr>
      <w:r w:rsidRPr="00653DCF">
        <w:rPr>
          <w:color w:val="auto"/>
          <w:lang w:val="hr-HR"/>
        </w:rPr>
        <w:t>„</w:t>
      </w:r>
      <w:r w:rsidR="00475322" w:rsidRPr="00653DCF">
        <w:rPr>
          <w:b/>
          <w:color w:val="auto"/>
          <w:lang w:val="hr-HR"/>
        </w:rPr>
        <w:t>p</w:t>
      </w:r>
      <w:r w:rsidRPr="00653DCF">
        <w:rPr>
          <w:b/>
          <w:color w:val="auto"/>
          <w:lang w:val="hr-HR"/>
        </w:rPr>
        <w:t xml:space="preserve">ravo </w:t>
      </w:r>
      <w:r w:rsidR="00475322" w:rsidRPr="00653DCF">
        <w:rPr>
          <w:b/>
          <w:color w:val="auto"/>
          <w:lang w:val="hr-HR"/>
        </w:rPr>
        <w:t>E</w:t>
      </w:r>
      <w:r w:rsidR="00705F3F" w:rsidRPr="00653DCF">
        <w:rPr>
          <w:b/>
          <w:color w:val="auto"/>
          <w:lang w:val="hr-HR"/>
        </w:rPr>
        <w:t>U-a</w:t>
      </w:r>
      <w:r w:rsidRPr="00653DCF">
        <w:rPr>
          <w:color w:val="auto"/>
          <w:lang w:val="hr-HR"/>
        </w:rPr>
        <w:t xml:space="preserve">” znači </w:t>
      </w:r>
      <w:r w:rsidRPr="00653DCF">
        <w:rPr>
          <w:rStyle w:val="ItalicEIB"/>
          <w:i w:val="0"/>
          <w:iCs/>
          <w:color w:val="auto"/>
          <w:lang w:val="hr-HR"/>
        </w:rPr>
        <w:t>pravn</w:t>
      </w:r>
      <w:r w:rsidR="009D0DA6" w:rsidRPr="00653DCF">
        <w:rPr>
          <w:rStyle w:val="ItalicEIB"/>
          <w:i w:val="0"/>
          <w:iCs/>
          <w:color w:val="auto"/>
          <w:lang w:val="hr-HR"/>
        </w:rPr>
        <w:t>a</w:t>
      </w:r>
      <w:r w:rsidRPr="00653DCF">
        <w:rPr>
          <w:rStyle w:val="ItalicEIB"/>
          <w:i w:val="0"/>
          <w:iCs/>
          <w:color w:val="auto"/>
          <w:lang w:val="hr-HR"/>
        </w:rPr>
        <w:t xml:space="preserve"> stečevin</w:t>
      </w:r>
      <w:r w:rsidR="00151E0A" w:rsidRPr="00653DCF">
        <w:rPr>
          <w:rStyle w:val="ItalicEIB"/>
          <w:i w:val="0"/>
          <w:iCs/>
          <w:color w:val="auto"/>
          <w:lang w:val="hr-HR"/>
        </w:rPr>
        <w:t>a</w:t>
      </w:r>
      <w:r w:rsidRPr="00653DCF">
        <w:rPr>
          <w:color w:val="auto"/>
          <w:lang w:val="hr-HR"/>
        </w:rPr>
        <w:t xml:space="preserve"> Europske unije </w:t>
      </w:r>
      <w:r w:rsidR="00667D1D" w:rsidRPr="00653DCF">
        <w:rPr>
          <w:color w:val="auto"/>
          <w:lang w:val="hr-HR"/>
        </w:rPr>
        <w:t>izra</w:t>
      </w:r>
      <w:r w:rsidR="00BB76BC" w:rsidRPr="00653DCF">
        <w:rPr>
          <w:color w:val="auto"/>
          <w:lang w:val="hr-HR"/>
        </w:rPr>
        <w:t>ž</w:t>
      </w:r>
      <w:r w:rsidR="00667D1D" w:rsidRPr="00653DCF">
        <w:rPr>
          <w:color w:val="auto"/>
          <w:lang w:val="hr-HR"/>
        </w:rPr>
        <w:t xml:space="preserve">ena kroz ugovore </w:t>
      </w:r>
      <w:r w:rsidR="00063C10" w:rsidRPr="00653DCF">
        <w:rPr>
          <w:color w:val="auto"/>
          <w:lang w:val="hr-HR"/>
        </w:rPr>
        <w:t>Europsk</w:t>
      </w:r>
      <w:r w:rsidR="00907E2D" w:rsidRPr="00653DCF">
        <w:rPr>
          <w:color w:val="auto"/>
          <w:lang w:val="hr-HR"/>
        </w:rPr>
        <w:t>e</w:t>
      </w:r>
      <w:r w:rsidR="00063C10" w:rsidRPr="00653DCF">
        <w:rPr>
          <w:color w:val="auto"/>
          <w:lang w:val="hr-HR"/>
        </w:rPr>
        <w:t xml:space="preserve"> unij</w:t>
      </w:r>
      <w:r w:rsidR="00667D1D" w:rsidRPr="00653DCF">
        <w:rPr>
          <w:color w:val="auto"/>
          <w:lang w:val="hr-HR"/>
        </w:rPr>
        <w:t>e</w:t>
      </w:r>
      <w:r w:rsidRPr="00653DCF">
        <w:rPr>
          <w:color w:val="auto"/>
          <w:lang w:val="hr-HR"/>
        </w:rPr>
        <w:t xml:space="preserve">, </w:t>
      </w:r>
      <w:r w:rsidR="00667D1D" w:rsidRPr="00653DCF">
        <w:rPr>
          <w:color w:val="auto"/>
          <w:lang w:val="hr-HR"/>
        </w:rPr>
        <w:t xml:space="preserve">uredbe, direktive, delegirane akte, </w:t>
      </w:r>
      <w:r w:rsidR="002F20C8" w:rsidRPr="00653DCF">
        <w:rPr>
          <w:color w:val="auto"/>
          <w:lang w:val="hr-HR"/>
        </w:rPr>
        <w:t>provedbene</w:t>
      </w:r>
      <w:r w:rsidR="00667D1D" w:rsidRPr="00653DCF">
        <w:rPr>
          <w:color w:val="auto"/>
          <w:lang w:val="hr-HR"/>
        </w:rPr>
        <w:t xml:space="preserve"> </w:t>
      </w:r>
      <w:r w:rsidR="002F20C8" w:rsidRPr="00653DCF">
        <w:rPr>
          <w:color w:val="auto"/>
          <w:lang w:val="hr-HR"/>
        </w:rPr>
        <w:t>akte</w:t>
      </w:r>
      <w:r w:rsidR="00570FB7" w:rsidRPr="00653DCF">
        <w:rPr>
          <w:color w:val="auto"/>
          <w:lang w:val="hr-HR"/>
        </w:rPr>
        <w:t xml:space="preserve">, načela, odluke </w:t>
      </w:r>
      <w:r w:rsidR="00667D1D" w:rsidRPr="00653DCF">
        <w:rPr>
          <w:color w:val="auto"/>
          <w:lang w:val="hr-HR"/>
        </w:rPr>
        <w:t>i sudsku praksu Suda Europske unije</w:t>
      </w:r>
      <w:r w:rsidR="00D31F5B" w:rsidRPr="00653DCF">
        <w:rPr>
          <w:color w:val="auto"/>
          <w:lang w:val="hr-HR"/>
        </w:rPr>
        <w:t>.</w:t>
      </w:r>
    </w:p>
    <w:p w14:paraId="6E2DAC7A" w14:textId="2C8B0885" w:rsidR="007A2A6F" w:rsidRPr="00653DCF" w:rsidRDefault="00E87B0B">
      <w:pPr>
        <w:rPr>
          <w:color w:val="auto"/>
          <w:lang w:val="hr-HR"/>
        </w:rPr>
      </w:pPr>
      <w:r w:rsidRPr="00653DCF">
        <w:rPr>
          <w:color w:val="auto"/>
          <w:lang w:val="hr-HR"/>
        </w:rPr>
        <w:t>„</w:t>
      </w:r>
      <w:r w:rsidRPr="00653DCF">
        <w:rPr>
          <w:b/>
          <w:color w:val="auto"/>
          <w:lang w:val="hr-HR"/>
        </w:rPr>
        <w:t>Komisija EU-</w:t>
      </w:r>
      <w:r w:rsidRPr="00653DCF">
        <w:rPr>
          <w:b/>
          <w:bCs/>
          <w:color w:val="auto"/>
          <w:lang w:val="hr-HR"/>
        </w:rPr>
        <w:t>a</w:t>
      </w:r>
      <w:r w:rsidRPr="00653DCF">
        <w:rPr>
          <w:color w:val="auto"/>
          <w:lang w:val="hr-HR"/>
        </w:rPr>
        <w:t>” znači Komisija Europske unije</w:t>
      </w:r>
      <w:r w:rsidR="00D31F5B" w:rsidRPr="00653DCF">
        <w:rPr>
          <w:color w:val="auto"/>
          <w:lang w:val="hr-HR"/>
        </w:rPr>
        <w:t>.</w:t>
      </w:r>
    </w:p>
    <w:p w14:paraId="5AB055C0" w14:textId="65AD34B8" w:rsidR="007A2A6F" w:rsidRPr="00653DCF" w:rsidRDefault="00E87B0B">
      <w:pPr>
        <w:rPr>
          <w:color w:val="auto"/>
          <w:lang w:val="hr-HR"/>
        </w:rPr>
      </w:pPr>
      <w:r w:rsidRPr="00653DCF">
        <w:rPr>
          <w:color w:val="auto"/>
          <w:lang w:val="hr-HR"/>
        </w:rPr>
        <w:t>„</w:t>
      </w:r>
      <w:r w:rsidRPr="00653DCF">
        <w:rPr>
          <w:rStyle w:val="BoldEIB"/>
          <w:color w:val="auto"/>
          <w:lang w:val="hr-HR"/>
        </w:rPr>
        <w:t>EUR</w:t>
      </w:r>
      <w:r w:rsidRPr="00653DCF">
        <w:rPr>
          <w:color w:val="auto"/>
          <w:lang w:val="hr-HR"/>
        </w:rPr>
        <w:t>” ili „</w:t>
      </w:r>
      <w:r w:rsidRPr="00653DCF">
        <w:rPr>
          <w:rStyle w:val="BoldEIB"/>
          <w:color w:val="auto"/>
          <w:lang w:val="hr-HR"/>
        </w:rPr>
        <w:t>euro</w:t>
      </w:r>
      <w:r w:rsidRPr="00653DCF">
        <w:rPr>
          <w:color w:val="auto"/>
          <w:lang w:val="hr-HR"/>
        </w:rPr>
        <w:t xml:space="preserve">” znači zakonita valuta država članica Europske unije koje </w:t>
      </w:r>
      <w:r w:rsidR="00C74F69" w:rsidRPr="00653DCF">
        <w:rPr>
          <w:color w:val="auto"/>
          <w:lang w:val="hr-HR"/>
        </w:rPr>
        <w:t>je usvajaju ili su</w:t>
      </w:r>
      <w:r w:rsidRPr="00653DCF">
        <w:rPr>
          <w:color w:val="auto"/>
          <w:lang w:val="hr-HR"/>
        </w:rPr>
        <w:t xml:space="preserve"> </w:t>
      </w:r>
      <w:r w:rsidR="00631DF6" w:rsidRPr="00653DCF">
        <w:rPr>
          <w:color w:val="auto"/>
          <w:lang w:val="hr-HR"/>
        </w:rPr>
        <w:t xml:space="preserve">je usvojile kao svoju </w:t>
      </w:r>
      <w:r w:rsidRPr="00653DCF">
        <w:rPr>
          <w:color w:val="auto"/>
          <w:lang w:val="hr-HR"/>
        </w:rPr>
        <w:t xml:space="preserve">valutu </w:t>
      </w:r>
      <w:r w:rsidR="00631DF6" w:rsidRPr="00653DCF">
        <w:rPr>
          <w:color w:val="auto"/>
          <w:lang w:val="hr-HR"/>
        </w:rPr>
        <w:t xml:space="preserve">sukladno relevantnim odredbama </w:t>
      </w:r>
      <w:r w:rsidRPr="00653DCF">
        <w:rPr>
          <w:color w:val="auto"/>
          <w:lang w:val="hr-HR"/>
        </w:rPr>
        <w:t xml:space="preserve">Ugovora o Europskoj uniji i Ugovora o funkcioniranju Europske unije ili </w:t>
      </w:r>
      <w:r w:rsidR="00631DF6" w:rsidRPr="00653DCF">
        <w:rPr>
          <w:color w:val="auto"/>
          <w:lang w:val="hr-HR"/>
        </w:rPr>
        <w:t xml:space="preserve">ugovorima </w:t>
      </w:r>
      <w:r w:rsidRPr="00653DCF">
        <w:rPr>
          <w:color w:val="auto"/>
          <w:lang w:val="hr-HR"/>
        </w:rPr>
        <w:t xml:space="preserve">koji ih </w:t>
      </w:r>
      <w:r w:rsidR="003D0EAB" w:rsidRPr="00653DCF">
        <w:rPr>
          <w:color w:val="auto"/>
          <w:lang w:val="hr-HR"/>
        </w:rPr>
        <w:t>zamjenjuju</w:t>
      </w:r>
      <w:r w:rsidR="00D31F5B" w:rsidRPr="00653DCF">
        <w:rPr>
          <w:color w:val="auto"/>
          <w:lang w:val="hr-HR"/>
        </w:rPr>
        <w:t>.</w:t>
      </w:r>
    </w:p>
    <w:p w14:paraId="4C7CDC18" w14:textId="426CFF37" w:rsidR="007A2A6F" w:rsidRPr="00653DCF" w:rsidRDefault="00E87B0B">
      <w:pPr>
        <w:widowControl w:val="0"/>
        <w:rPr>
          <w:color w:val="auto"/>
          <w:lang w:val="hr-HR"/>
        </w:rPr>
      </w:pPr>
      <w:r w:rsidRPr="00653DCF">
        <w:rPr>
          <w:color w:val="auto"/>
          <w:lang w:val="hr-HR"/>
        </w:rPr>
        <w:t>„</w:t>
      </w:r>
      <w:r w:rsidRPr="00653DCF">
        <w:rPr>
          <w:rStyle w:val="BoldEIB0"/>
          <w:color w:val="auto"/>
          <w:lang w:val="hr-HR"/>
        </w:rPr>
        <w:t>EURIBOR</w:t>
      </w:r>
      <w:r w:rsidRPr="00653DCF">
        <w:rPr>
          <w:color w:val="auto"/>
          <w:lang w:val="hr-HR"/>
        </w:rPr>
        <w:t xml:space="preserve">” ima značenje </w:t>
      </w:r>
      <w:r w:rsidR="003D0EAB" w:rsidRPr="00653DCF">
        <w:rPr>
          <w:color w:val="auto"/>
          <w:lang w:val="hr-HR"/>
        </w:rPr>
        <w:t xml:space="preserve">iz </w:t>
      </w:r>
      <w:r w:rsidR="002C5E7D" w:rsidRPr="00653DCF">
        <w:rPr>
          <w:color w:val="auto"/>
          <w:lang w:val="hr-HR"/>
        </w:rPr>
        <w:t>Priloga B</w:t>
      </w:r>
      <w:r w:rsidR="00151E0A" w:rsidRPr="00653DCF">
        <w:rPr>
          <w:color w:val="auto"/>
          <w:lang w:val="hr-HR"/>
        </w:rPr>
        <w:t>,</w:t>
      </w:r>
    </w:p>
    <w:p w14:paraId="3CADA7F3" w14:textId="494B43C2" w:rsidR="007A2A6F" w:rsidRPr="00653DCF" w:rsidRDefault="00E87B0B">
      <w:pPr>
        <w:widowControl w:val="0"/>
        <w:rPr>
          <w:color w:val="auto"/>
          <w:lang w:val="hr-HR"/>
        </w:rPr>
      </w:pPr>
      <w:r w:rsidRPr="00653DCF">
        <w:rPr>
          <w:color w:val="auto"/>
          <w:lang w:val="hr-HR"/>
        </w:rPr>
        <w:t>„</w:t>
      </w:r>
      <w:r w:rsidR="00E56024" w:rsidRPr="00653DCF">
        <w:rPr>
          <w:b/>
          <w:color w:val="auto"/>
          <w:lang w:val="hr-HR"/>
        </w:rPr>
        <w:t>s</w:t>
      </w:r>
      <w:r w:rsidRPr="00653DCF">
        <w:rPr>
          <w:b/>
          <w:color w:val="auto"/>
          <w:lang w:val="hr-HR"/>
        </w:rPr>
        <w:t xml:space="preserve">ankcije </w:t>
      </w:r>
      <w:r w:rsidR="00E56024" w:rsidRPr="00653DCF">
        <w:rPr>
          <w:b/>
          <w:color w:val="auto"/>
          <w:lang w:val="hr-HR"/>
        </w:rPr>
        <w:t>Europske unije</w:t>
      </w:r>
      <w:r w:rsidRPr="00653DCF">
        <w:rPr>
          <w:color w:val="auto"/>
          <w:lang w:val="hr-HR"/>
        </w:rPr>
        <w:t xml:space="preserve">” imaju značenje navedeno u dijelu (b) </w:t>
      </w:r>
      <w:r w:rsidR="00652D7A" w:rsidRPr="00653DCF">
        <w:rPr>
          <w:color w:val="auto"/>
          <w:lang w:val="hr-HR"/>
        </w:rPr>
        <w:t xml:space="preserve">pod definicijom </w:t>
      </w:r>
      <w:r w:rsidR="00652D7A" w:rsidRPr="00653DCF">
        <w:rPr>
          <w:color w:val="auto"/>
          <w:lang w:val="hr-HR"/>
        </w:rPr>
        <w:lastRenderedPageBreak/>
        <w:t>s</w:t>
      </w:r>
      <w:r w:rsidRPr="00653DCF">
        <w:rPr>
          <w:color w:val="auto"/>
          <w:lang w:val="hr-HR"/>
        </w:rPr>
        <w:t>ankcija</w:t>
      </w:r>
      <w:r w:rsidR="00D31F5B" w:rsidRPr="00653DCF">
        <w:rPr>
          <w:color w:val="auto"/>
          <w:lang w:val="hr-HR"/>
        </w:rPr>
        <w:t>.</w:t>
      </w:r>
    </w:p>
    <w:p w14:paraId="75F02870" w14:textId="07E06A66" w:rsidR="007A2A6F" w:rsidRPr="00653DCF" w:rsidRDefault="00E87B0B">
      <w:pPr>
        <w:rPr>
          <w:color w:val="auto"/>
          <w:lang w:val="hr-HR"/>
        </w:rPr>
      </w:pPr>
      <w:r w:rsidRPr="00653DCF">
        <w:rPr>
          <w:color w:val="auto"/>
          <w:lang w:val="hr-HR"/>
        </w:rPr>
        <w:t>„</w:t>
      </w:r>
      <w:r w:rsidR="00652D7A" w:rsidRPr="00653DCF">
        <w:rPr>
          <w:rStyle w:val="BoldEIB"/>
          <w:color w:val="auto"/>
          <w:lang w:val="hr-HR"/>
        </w:rPr>
        <w:t>d</w:t>
      </w:r>
      <w:r w:rsidRPr="00653DCF">
        <w:rPr>
          <w:rStyle w:val="BoldEIB"/>
          <w:color w:val="auto"/>
          <w:lang w:val="hr-HR"/>
        </w:rPr>
        <w:t xml:space="preserve">ogađaj </w:t>
      </w:r>
      <w:r w:rsidR="00652D7A" w:rsidRPr="00653DCF">
        <w:rPr>
          <w:rStyle w:val="BoldEIB"/>
          <w:color w:val="auto"/>
          <w:lang w:val="hr-HR"/>
        </w:rPr>
        <w:t xml:space="preserve">neispunjenja </w:t>
      </w:r>
      <w:r w:rsidRPr="00653DCF">
        <w:rPr>
          <w:rStyle w:val="BoldEIB"/>
          <w:color w:val="auto"/>
          <w:lang w:val="hr-HR"/>
        </w:rPr>
        <w:t>obveza</w:t>
      </w:r>
      <w:r w:rsidRPr="00653DCF">
        <w:rPr>
          <w:color w:val="auto"/>
          <w:lang w:val="hr-HR"/>
        </w:rPr>
        <w:t xml:space="preserve">” znači bilo koja okolnost, </w:t>
      </w:r>
      <w:r w:rsidR="00652D7A" w:rsidRPr="00653DCF">
        <w:rPr>
          <w:color w:val="auto"/>
          <w:lang w:val="hr-HR"/>
        </w:rPr>
        <w:t xml:space="preserve">slučaj ili događaj naveden u članku </w:t>
      </w:r>
      <w:r w:rsidRPr="00653DCF">
        <w:rPr>
          <w:color w:val="auto"/>
          <w:lang w:val="hr-HR"/>
        </w:rPr>
        <w:fldChar w:fldCharType="begin"/>
      </w:r>
      <w:r w:rsidRPr="00653DCF">
        <w:rPr>
          <w:color w:val="auto"/>
          <w:lang w:val="hr-HR"/>
        </w:rPr>
        <w:instrText xml:space="preserve"> REF _Ref426625279 \r \h  \* MERGEFORMAT </w:instrText>
      </w:r>
      <w:r w:rsidRPr="00653DCF">
        <w:rPr>
          <w:color w:val="auto"/>
          <w:lang w:val="hr-HR"/>
        </w:rPr>
      </w:r>
      <w:r w:rsidRPr="00653DCF">
        <w:rPr>
          <w:color w:val="auto"/>
          <w:lang w:val="hr-HR"/>
        </w:rPr>
        <w:fldChar w:fldCharType="separate"/>
      </w:r>
      <w:r w:rsidR="00E5391B">
        <w:rPr>
          <w:color w:val="auto"/>
          <w:lang w:val="hr-HR"/>
        </w:rPr>
        <w:t>članak 10</w:t>
      </w:r>
      <w:r w:rsidRPr="00653DCF">
        <w:rPr>
          <w:color w:val="auto"/>
          <w:lang w:val="hr-HR"/>
        </w:rPr>
        <w:fldChar w:fldCharType="end"/>
      </w:r>
      <w:r w:rsidRPr="00653DCF">
        <w:rPr>
          <w:color w:val="auto"/>
          <w:lang w:val="hr-HR"/>
        </w:rPr>
        <w:t>.</w:t>
      </w:r>
    </w:p>
    <w:p w14:paraId="13023721" w14:textId="645D7BF5" w:rsidR="007A2A6F" w:rsidRPr="00653DCF" w:rsidRDefault="00E87B0B">
      <w:pPr>
        <w:rPr>
          <w:color w:val="auto"/>
          <w:lang w:val="hr-HR"/>
        </w:rPr>
      </w:pPr>
      <w:r w:rsidRPr="00653DCF">
        <w:rPr>
          <w:color w:val="auto"/>
          <w:lang w:val="hr-HR"/>
        </w:rPr>
        <w:t>„</w:t>
      </w:r>
      <w:r w:rsidR="00B77017" w:rsidRPr="00653DCF">
        <w:rPr>
          <w:b/>
          <w:color w:val="auto"/>
          <w:lang w:val="hr-HR"/>
        </w:rPr>
        <w:t>p</w:t>
      </w:r>
      <w:r w:rsidRPr="00653DCF">
        <w:rPr>
          <w:b/>
          <w:color w:val="auto"/>
          <w:lang w:val="hr-HR"/>
        </w:rPr>
        <w:t xml:space="preserve">olitika </w:t>
      </w:r>
      <w:r w:rsidR="00A66E4C" w:rsidRPr="00653DCF">
        <w:rPr>
          <w:b/>
          <w:color w:val="auto"/>
          <w:lang w:val="hr-HR"/>
        </w:rPr>
        <w:t>izuzeća</w:t>
      </w:r>
      <w:r w:rsidRPr="00653DCF">
        <w:rPr>
          <w:color w:val="auto"/>
          <w:lang w:val="hr-HR"/>
        </w:rPr>
        <w:t xml:space="preserve">” znači politika </w:t>
      </w:r>
      <w:r w:rsidR="00C838F9" w:rsidRPr="00653DCF">
        <w:rPr>
          <w:color w:val="auto"/>
          <w:lang w:val="hr-HR"/>
        </w:rPr>
        <w:t>izuzeća</w:t>
      </w:r>
      <w:r w:rsidRPr="00653DCF">
        <w:rPr>
          <w:color w:val="auto"/>
          <w:lang w:val="hr-HR"/>
        </w:rPr>
        <w:t xml:space="preserve"> Europske investicijske banke </w:t>
      </w:r>
      <w:r w:rsidR="007B23BC" w:rsidRPr="00653DCF">
        <w:rPr>
          <w:color w:val="auto"/>
          <w:lang w:val="hr-HR"/>
        </w:rPr>
        <w:t xml:space="preserve">onako kako je </w:t>
      </w:r>
      <w:r w:rsidRPr="00653DCF">
        <w:rPr>
          <w:color w:val="auto"/>
          <w:lang w:val="hr-HR"/>
        </w:rPr>
        <w:t>objavljena na internetskim stranicama Banke</w:t>
      </w:r>
      <w:r w:rsidR="00D31F5B" w:rsidRPr="00653DCF">
        <w:rPr>
          <w:color w:val="auto"/>
          <w:lang w:val="hr-HR"/>
        </w:rPr>
        <w:t>.</w:t>
      </w:r>
    </w:p>
    <w:p w14:paraId="194C41E8" w14:textId="4FC80802" w:rsidR="007A2A6F" w:rsidRPr="00653DCF" w:rsidRDefault="00E87B0B">
      <w:pPr>
        <w:rPr>
          <w:color w:val="auto"/>
          <w:lang w:val="hr-HR"/>
        </w:rPr>
      </w:pPr>
      <w:r w:rsidRPr="00653DCF">
        <w:rPr>
          <w:color w:val="auto"/>
          <w:lang w:val="hr-HR"/>
        </w:rPr>
        <w:t>„</w:t>
      </w:r>
      <w:r w:rsidR="002B6DC9" w:rsidRPr="00653DCF">
        <w:rPr>
          <w:rStyle w:val="BoldEIB"/>
          <w:color w:val="auto"/>
          <w:lang w:val="hr-HR"/>
        </w:rPr>
        <w:t>rok raspoloživosti sredstava</w:t>
      </w:r>
      <w:r w:rsidRPr="00653DCF">
        <w:rPr>
          <w:color w:val="auto"/>
          <w:lang w:val="hr-HR"/>
        </w:rPr>
        <w:t xml:space="preserve">” znači datum </w:t>
      </w:r>
      <w:r w:rsidR="002B6DC9" w:rsidRPr="00653DCF">
        <w:rPr>
          <w:color w:val="auto"/>
          <w:lang w:val="hr-HR"/>
        </w:rPr>
        <w:t xml:space="preserve">nakon </w:t>
      </w:r>
      <w:r w:rsidR="00A668F6" w:rsidRPr="00653DCF">
        <w:rPr>
          <w:color w:val="auto"/>
          <w:lang w:val="hr-HR"/>
        </w:rPr>
        <w:t xml:space="preserve">proteka </w:t>
      </w:r>
      <w:r w:rsidRPr="00653DCF">
        <w:rPr>
          <w:color w:val="auto"/>
          <w:lang w:val="hr-HR"/>
        </w:rPr>
        <w:t xml:space="preserve">60 (šezdeset) mjeseci </w:t>
      </w:r>
      <w:r w:rsidR="00A668F6" w:rsidRPr="00653DCF">
        <w:rPr>
          <w:color w:val="auto"/>
          <w:lang w:val="hr-HR"/>
        </w:rPr>
        <w:t xml:space="preserve">od potpisa </w:t>
      </w:r>
      <w:r w:rsidRPr="00653DCF">
        <w:rPr>
          <w:color w:val="auto"/>
          <w:lang w:val="hr-HR"/>
        </w:rPr>
        <w:t>ovog Ugovora</w:t>
      </w:r>
      <w:r w:rsidR="00D31F5B" w:rsidRPr="00653DCF">
        <w:rPr>
          <w:color w:val="auto"/>
          <w:lang w:val="hr-HR"/>
        </w:rPr>
        <w:t>.</w:t>
      </w:r>
    </w:p>
    <w:p w14:paraId="1D892671" w14:textId="2D26990C" w:rsidR="007A2A6F" w:rsidRPr="00653DCF" w:rsidRDefault="00E87B0B">
      <w:pPr>
        <w:rPr>
          <w:color w:val="auto"/>
          <w:lang w:val="hr-HR"/>
        </w:rPr>
      </w:pPr>
      <w:r w:rsidRPr="00653DCF">
        <w:rPr>
          <w:color w:val="auto"/>
          <w:lang w:val="hr-HR"/>
        </w:rPr>
        <w:t>„</w:t>
      </w:r>
      <w:r w:rsidR="003858EA" w:rsidRPr="00653DCF">
        <w:rPr>
          <w:rStyle w:val="BoldEIB"/>
          <w:color w:val="auto"/>
          <w:lang w:val="hr-HR"/>
        </w:rPr>
        <w:t>f</w:t>
      </w:r>
      <w:r w:rsidRPr="00653DCF">
        <w:rPr>
          <w:rStyle w:val="BoldEIB"/>
          <w:color w:val="auto"/>
          <w:lang w:val="hr-HR"/>
        </w:rPr>
        <w:t xml:space="preserve">iksna </w:t>
      </w:r>
      <w:r w:rsidR="001319A1" w:rsidRPr="00653DCF">
        <w:rPr>
          <w:rStyle w:val="BoldEIB"/>
          <w:color w:val="auto"/>
          <w:lang w:val="hr-HR"/>
        </w:rPr>
        <w:t xml:space="preserve">kamatna </w:t>
      </w:r>
      <w:r w:rsidRPr="00653DCF">
        <w:rPr>
          <w:rStyle w:val="BoldEIB"/>
          <w:color w:val="auto"/>
          <w:lang w:val="hr-HR"/>
        </w:rPr>
        <w:t>stopa</w:t>
      </w:r>
      <w:r w:rsidRPr="00653DCF">
        <w:rPr>
          <w:color w:val="auto"/>
          <w:lang w:val="hr-HR"/>
        </w:rPr>
        <w:t xml:space="preserve">” znači godišnja kamatna stopa koju određuje Banka u skladu s primjenjivim načelima </w:t>
      </w:r>
      <w:r w:rsidR="003858EA" w:rsidRPr="00653DCF">
        <w:rPr>
          <w:color w:val="auto"/>
          <w:lang w:val="hr-HR"/>
        </w:rPr>
        <w:t xml:space="preserve">koje </w:t>
      </w:r>
      <w:r w:rsidRPr="00653DCF">
        <w:rPr>
          <w:color w:val="auto"/>
          <w:lang w:val="hr-HR"/>
        </w:rPr>
        <w:t xml:space="preserve">s vremena na vrijeme </w:t>
      </w:r>
      <w:r w:rsidR="003858EA" w:rsidRPr="00653DCF">
        <w:rPr>
          <w:color w:val="auto"/>
          <w:lang w:val="hr-HR"/>
        </w:rPr>
        <w:t xml:space="preserve">utvrđuju upravljačka </w:t>
      </w:r>
      <w:r w:rsidRPr="00653DCF">
        <w:rPr>
          <w:color w:val="auto"/>
          <w:lang w:val="hr-HR"/>
        </w:rPr>
        <w:t xml:space="preserve">tijela Banke za zajmove </w:t>
      </w:r>
      <w:r w:rsidR="00E05914" w:rsidRPr="00653DCF">
        <w:rPr>
          <w:color w:val="auto"/>
          <w:lang w:val="hr-HR"/>
        </w:rPr>
        <w:t>koji se daju po fiksnoj kamatnoj stopi</w:t>
      </w:r>
      <w:r w:rsidR="003858EA" w:rsidRPr="00653DCF">
        <w:rPr>
          <w:color w:val="auto"/>
          <w:lang w:val="hr-HR"/>
        </w:rPr>
        <w:t xml:space="preserve">, denominirane u valuti </w:t>
      </w:r>
      <w:r w:rsidR="002F20C8" w:rsidRPr="00653DCF">
        <w:rPr>
          <w:color w:val="auto"/>
          <w:lang w:val="hr-HR"/>
        </w:rPr>
        <w:t>tranše</w:t>
      </w:r>
      <w:r w:rsidR="003E5426" w:rsidRPr="00653DCF">
        <w:rPr>
          <w:color w:val="auto"/>
          <w:lang w:val="hr-HR"/>
        </w:rPr>
        <w:t>, koji imaju jednake uvjete otplate glavnice i kamat</w:t>
      </w:r>
      <w:r w:rsidR="00E05914" w:rsidRPr="00653DCF">
        <w:rPr>
          <w:color w:val="auto"/>
          <w:lang w:val="hr-HR"/>
        </w:rPr>
        <w:t>a</w:t>
      </w:r>
      <w:r w:rsidRPr="00653DCF">
        <w:rPr>
          <w:color w:val="auto"/>
          <w:lang w:val="hr-HR"/>
        </w:rPr>
        <w:t xml:space="preserve">. </w:t>
      </w:r>
      <w:r w:rsidR="003E5426" w:rsidRPr="00653DCF">
        <w:rPr>
          <w:color w:val="auto"/>
          <w:lang w:val="hr-HR"/>
        </w:rPr>
        <w:t>Takva stopa ne smije imati negativnu vrijednost</w:t>
      </w:r>
      <w:r w:rsidR="00D659F8" w:rsidRPr="00653DCF">
        <w:rPr>
          <w:color w:val="auto"/>
          <w:lang w:val="hr-HR"/>
        </w:rPr>
        <w:t>.</w:t>
      </w:r>
    </w:p>
    <w:p w14:paraId="319489A1" w14:textId="61E4822E" w:rsidR="007A2A6F" w:rsidRPr="00653DCF" w:rsidRDefault="00E87B0B">
      <w:pPr>
        <w:rPr>
          <w:color w:val="auto"/>
          <w:lang w:val="hr-HR"/>
        </w:rPr>
      </w:pPr>
      <w:r w:rsidRPr="00653DCF">
        <w:rPr>
          <w:color w:val="auto"/>
          <w:lang w:val="hr-HR"/>
        </w:rPr>
        <w:t>„</w:t>
      </w:r>
      <w:r w:rsidR="002F20C8" w:rsidRPr="00653DCF">
        <w:rPr>
          <w:b/>
          <w:bCs/>
          <w:color w:val="auto"/>
          <w:lang w:val="hr-HR"/>
        </w:rPr>
        <w:t>t</w:t>
      </w:r>
      <w:r w:rsidR="00717AC3" w:rsidRPr="00653DCF">
        <w:rPr>
          <w:b/>
          <w:bCs/>
          <w:color w:val="auto"/>
          <w:lang w:val="hr-HR"/>
        </w:rPr>
        <w:t xml:space="preserve">ranša </w:t>
      </w:r>
      <w:r w:rsidRPr="00653DCF">
        <w:rPr>
          <w:rStyle w:val="BoldEIB"/>
          <w:color w:val="auto"/>
          <w:lang w:val="hr-HR"/>
        </w:rPr>
        <w:t xml:space="preserve">s </w:t>
      </w:r>
      <w:r w:rsidR="00717AC3" w:rsidRPr="00653DCF">
        <w:rPr>
          <w:rStyle w:val="BoldEIB"/>
          <w:color w:val="auto"/>
          <w:lang w:val="hr-HR"/>
        </w:rPr>
        <w:t xml:space="preserve">fiksnom </w:t>
      </w:r>
      <w:r w:rsidR="003E5426" w:rsidRPr="00653DCF">
        <w:rPr>
          <w:rStyle w:val="BoldEIB"/>
          <w:color w:val="auto"/>
          <w:lang w:val="hr-HR"/>
        </w:rPr>
        <w:t xml:space="preserve">kamatnom </w:t>
      </w:r>
      <w:r w:rsidRPr="00653DCF">
        <w:rPr>
          <w:rStyle w:val="BoldEIB"/>
          <w:color w:val="auto"/>
          <w:lang w:val="hr-HR"/>
        </w:rPr>
        <w:t>stopom</w:t>
      </w:r>
      <w:r w:rsidRPr="00653DCF">
        <w:rPr>
          <w:color w:val="auto"/>
          <w:lang w:val="hr-HR"/>
        </w:rPr>
        <w:t xml:space="preserve">” znači </w:t>
      </w:r>
      <w:r w:rsidR="003E5426" w:rsidRPr="00653DCF">
        <w:rPr>
          <w:color w:val="auto"/>
          <w:lang w:val="hr-HR"/>
        </w:rPr>
        <w:t>t</w:t>
      </w:r>
      <w:r w:rsidRPr="00653DCF">
        <w:rPr>
          <w:color w:val="auto"/>
          <w:lang w:val="hr-HR"/>
        </w:rPr>
        <w:t xml:space="preserve">ranša na koju se primjenjuje fiksna </w:t>
      </w:r>
      <w:r w:rsidR="003E5426" w:rsidRPr="00653DCF">
        <w:rPr>
          <w:color w:val="auto"/>
          <w:lang w:val="hr-HR"/>
        </w:rPr>
        <w:t xml:space="preserve">kamatna </w:t>
      </w:r>
      <w:r w:rsidRPr="00653DCF">
        <w:rPr>
          <w:color w:val="auto"/>
          <w:lang w:val="hr-HR"/>
        </w:rPr>
        <w:t>stopa</w:t>
      </w:r>
      <w:r w:rsidR="00D659F8" w:rsidRPr="00653DCF">
        <w:rPr>
          <w:color w:val="auto"/>
          <w:lang w:val="hr-HR"/>
        </w:rPr>
        <w:t>.</w:t>
      </w:r>
    </w:p>
    <w:p w14:paraId="0616D8E8" w14:textId="0E6634F6" w:rsidR="00B623FC" w:rsidRPr="00653DCF" w:rsidRDefault="00E87B0B">
      <w:pPr>
        <w:rPr>
          <w:color w:val="auto"/>
          <w:lang w:val="hr-HR"/>
        </w:rPr>
      </w:pPr>
      <w:r w:rsidRPr="00653DCF">
        <w:rPr>
          <w:color w:val="auto"/>
          <w:lang w:val="hr-HR"/>
        </w:rPr>
        <w:t>„</w:t>
      </w:r>
      <w:r w:rsidR="003E5426" w:rsidRPr="00653DCF">
        <w:rPr>
          <w:rStyle w:val="BoldEIB"/>
          <w:color w:val="auto"/>
          <w:lang w:val="hr-HR"/>
        </w:rPr>
        <w:t>p</w:t>
      </w:r>
      <w:r w:rsidRPr="00653DCF">
        <w:rPr>
          <w:rStyle w:val="BoldEIB"/>
          <w:color w:val="auto"/>
          <w:lang w:val="hr-HR"/>
        </w:rPr>
        <w:t xml:space="preserve">romjenjiva </w:t>
      </w:r>
      <w:r w:rsidR="001319A1" w:rsidRPr="00653DCF">
        <w:rPr>
          <w:rStyle w:val="BoldEIB"/>
          <w:color w:val="auto"/>
          <w:lang w:val="hr-HR"/>
        </w:rPr>
        <w:t xml:space="preserve">kamatna </w:t>
      </w:r>
      <w:r w:rsidRPr="00653DCF">
        <w:rPr>
          <w:rStyle w:val="BoldEIB"/>
          <w:color w:val="auto"/>
          <w:lang w:val="hr-HR"/>
        </w:rPr>
        <w:t>stopa</w:t>
      </w:r>
      <w:r w:rsidRPr="00653DCF">
        <w:rPr>
          <w:color w:val="auto"/>
          <w:lang w:val="hr-HR"/>
        </w:rPr>
        <w:t xml:space="preserve">” znači godišnja </w:t>
      </w:r>
      <w:r w:rsidR="00B623FC" w:rsidRPr="00653DCF">
        <w:rPr>
          <w:color w:val="auto"/>
          <w:lang w:val="hr-HR"/>
        </w:rPr>
        <w:t xml:space="preserve">promjenjiva </w:t>
      </w:r>
      <w:r w:rsidRPr="00653DCF">
        <w:rPr>
          <w:color w:val="auto"/>
          <w:lang w:val="hr-HR"/>
        </w:rPr>
        <w:t xml:space="preserve">kamatna stopa s fiksnim </w:t>
      </w:r>
      <w:r w:rsidR="00B623FC" w:rsidRPr="00653DCF">
        <w:rPr>
          <w:color w:val="auto"/>
          <w:lang w:val="hr-HR"/>
        </w:rPr>
        <w:t xml:space="preserve">kamatnom maržom, koju određuje Banka za svako iduće referentno </w:t>
      </w:r>
      <w:r w:rsidR="002F20C8" w:rsidRPr="00653DCF">
        <w:rPr>
          <w:color w:val="auto"/>
          <w:lang w:val="hr-HR"/>
        </w:rPr>
        <w:t>razdoblje</w:t>
      </w:r>
      <w:r w:rsidR="00B623FC" w:rsidRPr="00653DCF">
        <w:rPr>
          <w:color w:val="auto"/>
          <w:lang w:val="hr-HR"/>
        </w:rPr>
        <w:t xml:space="preserve"> promjenjive kamatne stope, </w:t>
      </w:r>
      <w:r w:rsidR="00A930AB" w:rsidRPr="00653DCF">
        <w:rPr>
          <w:color w:val="auto"/>
          <w:lang w:val="hr-HR"/>
        </w:rPr>
        <w:t>koja je jednaka EURIBOR-u</w:t>
      </w:r>
      <w:r w:rsidR="008E1140" w:rsidRPr="00653DCF">
        <w:rPr>
          <w:color w:val="auto"/>
          <w:lang w:val="hr-HR"/>
        </w:rPr>
        <w:t xml:space="preserve"> uvećanom za kamatnu maržu. Ako je </w:t>
      </w:r>
      <w:r w:rsidR="002F20C8" w:rsidRPr="00653DCF">
        <w:rPr>
          <w:color w:val="auto"/>
          <w:lang w:val="hr-HR"/>
        </w:rPr>
        <w:t>promjenjiva</w:t>
      </w:r>
      <w:r w:rsidR="008E1140" w:rsidRPr="00653DCF">
        <w:rPr>
          <w:color w:val="auto"/>
          <w:lang w:val="hr-HR"/>
        </w:rPr>
        <w:t xml:space="preserve"> stopa za neko referentno razdoblje promjenjive kamatne stope obračunata ispod nule, bit će utvrđena na nulu</w:t>
      </w:r>
      <w:r w:rsidR="00D659F8" w:rsidRPr="00653DCF">
        <w:rPr>
          <w:color w:val="auto"/>
          <w:lang w:val="hr-HR"/>
        </w:rPr>
        <w:t>.</w:t>
      </w:r>
    </w:p>
    <w:p w14:paraId="4052233E" w14:textId="3246FD0D" w:rsidR="007A2A6F" w:rsidRPr="00653DCF" w:rsidRDefault="00E87B0B">
      <w:pPr>
        <w:rPr>
          <w:color w:val="auto"/>
          <w:lang w:val="hr-HR"/>
        </w:rPr>
      </w:pPr>
      <w:r w:rsidRPr="00653DCF">
        <w:rPr>
          <w:color w:val="auto"/>
          <w:lang w:val="hr-HR"/>
        </w:rPr>
        <w:t>„</w:t>
      </w:r>
      <w:r w:rsidR="008E1140" w:rsidRPr="00653DCF">
        <w:rPr>
          <w:b/>
          <w:bCs/>
          <w:color w:val="auto"/>
          <w:lang w:val="hr-HR"/>
        </w:rPr>
        <w:t>r</w:t>
      </w:r>
      <w:r w:rsidR="00CC2B32" w:rsidRPr="00653DCF">
        <w:rPr>
          <w:b/>
          <w:bCs/>
          <w:color w:val="auto"/>
          <w:lang w:val="hr-HR"/>
        </w:rPr>
        <w:t>eferentno r</w:t>
      </w:r>
      <w:r w:rsidR="002E732A" w:rsidRPr="00653DCF">
        <w:rPr>
          <w:b/>
          <w:bCs/>
          <w:color w:val="auto"/>
          <w:lang w:val="hr-HR"/>
        </w:rPr>
        <w:t xml:space="preserve">azdoblje promjenjive </w:t>
      </w:r>
      <w:r w:rsidR="001319A1" w:rsidRPr="00653DCF">
        <w:rPr>
          <w:b/>
          <w:bCs/>
          <w:color w:val="auto"/>
          <w:lang w:val="hr-HR"/>
        </w:rPr>
        <w:t xml:space="preserve">kamatne </w:t>
      </w:r>
      <w:r w:rsidR="002E732A" w:rsidRPr="00653DCF">
        <w:rPr>
          <w:b/>
          <w:bCs/>
          <w:color w:val="auto"/>
          <w:lang w:val="hr-HR"/>
        </w:rPr>
        <w:t>stope</w:t>
      </w:r>
      <w:r w:rsidRPr="00653DCF">
        <w:rPr>
          <w:color w:val="auto"/>
          <w:lang w:val="hr-HR"/>
        </w:rPr>
        <w:t xml:space="preserve">” znači svako razdoblje od jednog </w:t>
      </w:r>
      <w:r w:rsidR="008E1140" w:rsidRPr="00653DCF">
        <w:rPr>
          <w:color w:val="auto"/>
          <w:lang w:val="hr-HR"/>
        </w:rPr>
        <w:t>d</w:t>
      </w:r>
      <w:r w:rsidRPr="00653DCF">
        <w:rPr>
          <w:color w:val="auto"/>
          <w:lang w:val="hr-HR"/>
        </w:rPr>
        <w:t xml:space="preserve">atuma plaćanja do sljedećeg relevantnog </w:t>
      </w:r>
      <w:r w:rsidR="008E1140" w:rsidRPr="00653DCF">
        <w:rPr>
          <w:color w:val="auto"/>
          <w:lang w:val="hr-HR"/>
        </w:rPr>
        <w:t>d</w:t>
      </w:r>
      <w:r w:rsidRPr="00653DCF">
        <w:rPr>
          <w:color w:val="auto"/>
          <w:lang w:val="hr-HR"/>
        </w:rPr>
        <w:t>atuma plaćanja</w:t>
      </w:r>
      <w:r w:rsidR="002E732A" w:rsidRPr="00653DCF">
        <w:rPr>
          <w:color w:val="auto"/>
          <w:lang w:val="hr-HR"/>
        </w:rPr>
        <w:t xml:space="preserve">, s tim da </w:t>
      </w:r>
      <w:r w:rsidR="00CC2B32" w:rsidRPr="00653DCF">
        <w:rPr>
          <w:color w:val="auto"/>
          <w:lang w:val="hr-HR"/>
        </w:rPr>
        <w:t>p</w:t>
      </w:r>
      <w:r w:rsidR="002E732A" w:rsidRPr="00653DCF">
        <w:rPr>
          <w:color w:val="auto"/>
          <w:lang w:val="hr-HR"/>
        </w:rPr>
        <w:t xml:space="preserve">rvo </w:t>
      </w:r>
      <w:r w:rsidR="008E1140" w:rsidRPr="00653DCF">
        <w:rPr>
          <w:color w:val="auto"/>
          <w:lang w:val="hr-HR"/>
        </w:rPr>
        <w:t>r</w:t>
      </w:r>
      <w:r w:rsidR="000324AE" w:rsidRPr="00653DCF">
        <w:rPr>
          <w:color w:val="auto"/>
          <w:lang w:val="hr-HR"/>
        </w:rPr>
        <w:t>eferentno razdoblje promjenjive</w:t>
      </w:r>
      <w:r w:rsidR="001319A1" w:rsidRPr="00653DCF">
        <w:rPr>
          <w:color w:val="auto"/>
          <w:lang w:val="hr-HR"/>
        </w:rPr>
        <w:t xml:space="preserve"> kamatne </w:t>
      </w:r>
      <w:r w:rsidR="000324AE" w:rsidRPr="00653DCF">
        <w:rPr>
          <w:color w:val="auto"/>
          <w:lang w:val="hr-HR"/>
        </w:rPr>
        <w:t xml:space="preserve">stope </w:t>
      </w:r>
      <w:r w:rsidR="002F20C8" w:rsidRPr="00653DCF">
        <w:rPr>
          <w:color w:val="auto"/>
          <w:lang w:val="hr-HR"/>
        </w:rPr>
        <w:t>započinje</w:t>
      </w:r>
      <w:r w:rsidR="008E1140" w:rsidRPr="00653DCF">
        <w:rPr>
          <w:color w:val="auto"/>
          <w:lang w:val="hr-HR"/>
        </w:rPr>
        <w:t xml:space="preserve"> na datum isplate tranše</w:t>
      </w:r>
      <w:r w:rsidR="00D659F8" w:rsidRPr="00653DCF">
        <w:rPr>
          <w:color w:val="auto"/>
          <w:lang w:val="hr-HR"/>
        </w:rPr>
        <w:t>.</w:t>
      </w:r>
    </w:p>
    <w:p w14:paraId="2A1EDA2A" w14:textId="7009655C" w:rsidR="007A2A6F" w:rsidRPr="00653DCF" w:rsidRDefault="00E87B0B">
      <w:pPr>
        <w:rPr>
          <w:color w:val="auto"/>
          <w:lang w:val="hr-HR"/>
        </w:rPr>
      </w:pPr>
      <w:r w:rsidRPr="00653DCF">
        <w:rPr>
          <w:color w:val="auto"/>
          <w:lang w:val="hr-HR"/>
        </w:rPr>
        <w:t>„</w:t>
      </w:r>
      <w:r w:rsidR="008E1140" w:rsidRPr="00653DCF">
        <w:rPr>
          <w:b/>
          <w:bCs/>
          <w:color w:val="auto"/>
          <w:lang w:val="hr-HR"/>
        </w:rPr>
        <w:t>t</w:t>
      </w:r>
      <w:r w:rsidR="00CC2B32" w:rsidRPr="00653DCF">
        <w:rPr>
          <w:b/>
          <w:bCs/>
          <w:color w:val="auto"/>
          <w:lang w:val="hr-HR"/>
        </w:rPr>
        <w:t xml:space="preserve">ranša s promjenjivom </w:t>
      </w:r>
      <w:r w:rsidR="001319A1" w:rsidRPr="00653DCF">
        <w:rPr>
          <w:b/>
          <w:bCs/>
          <w:color w:val="auto"/>
          <w:lang w:val="hr-HR"/>
        </w:rPr>
        <w:t xml:space="preserve">kamatnom </w:t>
      </w:r>
      <w:r w:rsidR="00CC2B32" w:rsidRPr="00653DCF">
        <w:rPr>
          <w:b/>
          <w:bCs/>
          <w:color w:val="auto"/>
          <w:lang w:val="hr-HR"/>
        </w:rPr>
        <w:t>stopom</w:t>
      </w:r>
      <w:r w:rsidRPr="00653DCF">
        <w:rPr>
          <w:color w:val="auto"/>
          <w:lang w:val="hr-HR"/>
        </w:rPr>
        <w:t xml:space="preserve">” znači tranša na koju se primjenjuje </w:t>
      </w:r>
      <w:r w:rsidR="00CC2B32" w:rsidRPr="00653DCF">
        <w:rPr>
          <w:color w:val="auto"/>
          <w:lang w:val="hr-HR"/>
        </w:rPr>
        <w:t xml:space="preserve">promjenjiva </w:t>
      </w:r>
      <w:r w:rsidR="008226AA" w:rsidRPr="00653DCF">
        <w:rPr>
          <w:color w:val="auto"/>
          <w:lang w:val="hr-HR"/>
        </w:rPr>
        <w:t xml:space="preserve">kamatna </w:t>
      </w:r>
      <w:r w:rsidRPr="00653DCF">
        <w:rPr>
          <w:color w:val="auto"/>
          <w:lang w:val="hr-HR"/>
        </w:rPr>
        <w:t>stopa</w:t>
      </w:r>
      <w:r w:rsidR="00D659F8" w:rsidRPr="00653DCF">
        <w:rPr>
          <w:color w:val="auto"/>
          <w:lang w:val="hr-HR"/>
        </w:rPr>
        <w:t>.</w:t>
      </w:r>
    </w:p>
    <w:p w14:paraId="75A80BF0" w14:textId="624E02EA" w:rsidR="00496D04" w:rsidRPr="00653DCF" w:rsidRDefault="00E87B0B" w:rsidP="00496D04">
      <w:pPr>
        <w:shd w:val="clear" w:color="auto" w:fill="FFFFFF" w:themeFill="background1"/>
        <w:rPr>
          <w:color w:val="auto"/>
          <w:lang w:val="hr-HR"/>
        </w:rPr>
      </w:pPr>
      <w:r w:rsidRPr="00653DCF">
        <w:rPr>
          <w:color w:val="auto"/>
          <w:lang w:val="hr-HR"/>
        </w:rPr>
        <w:t>„</w:t>
      </w:r>
      <w:r w:rsidR="006D67E8" w:rsidRPr="00653DCF">
        <w:rPr>
          <w:b/>
          <w:color w:val="auto"/>
          <w:lang w:val="hr-HR"/>
        </w:rPr>
        <w:t>GDPR</w:t>
      </w:r>
      <w:r w:rsidRPr="00653DCF">
        <w:rPr>
          <w:color w:val="auto"/>
          <w:lang w:val="hr-HR"/>
        </w:rPr>
        <w:t xml:space="preserve">” znači </w:t>
      </w:r>
      <w:r w:rsidR="00CC2B32" w:rsidRPr="00653DCF">
        <w:rPr>
          <w:rStyle w:val="ItalicEIB"/>
          <w:i w:val="0"/>
          <w:iCs/>
          <w:color w:val="auto"/>
          <w:lang w:val="hr-HR"/>
        </w:rPr>
        <w:t>Opća uredba o zaštiti podataka (EU) 2016/679</w:t>
      </w:r>
      <w:r w:rsidR="00246F0D" w:rsidRPr="00653DCF">
        <w:rPr>
          <w:rStyle w:val="ItalicEIB"/>
          <w:i w:val="0"/>
          <w:iCs/>
          <w:color w:val="auto"/>
          <w:lang w:val="hr-HR"/>
        </w:rPr>
        <w:t xml:space="preserve"> </w:t>
      </w:r>
      <w:r w:rsidR="00D659F8" w:rsidRPr="00653DCF">
        <w:rPr>
          <w:rStyle w:val="ItalicEIB"/>
          <w:i w:val="0"/>
          <w:iCs/>
          <w:color w:val="auto"/>
          <w:lang w:val="hr-HR"/>
        </w:rPr>
        <w:t>sa svim njenim izmjenama, dopunama ili prepravcima</w:t>
      </w:r>
      <w:r w:rsidR="00D659F8" w:rsidRPr="00653DCF">
        <w:rPr>
          <w:color w:val="auto"/>
          <w:lang w:val="hr-HR"/>
        </w:rPr>
        <w:t>.</w:t>
      </w:r>
    </w:p>
    <w:p w14:paraId="54880A06" w14:textId="5648E80B" w:rsidR="007A2A6F" w:rsidRPr="00653DCF" w:rsidRDefault="00E87B0B">
      <w:pPr>
        <w:rPr>
          <w:color w:val="auto"/>
          <w:lang w:val="hr-HR"/>
        </w:rPr>
      </w:pPr>
      <w:r w:rsidRPr="00653DCF">
        <w:rPr>
          <w:color w:val="auto"/>
          <w:lang w:val="hr-HR"/>
        </w:rPr>
        <w:t>„</w:t>
      </w:r>
      <w:r w:rsidRPr="00653DCF">
        <w:rPr>
          <w:rStyle w:val="BoldEIB"/>
          <w:color w:val="auto"/>
          <w:lang w:val="hr-HR"/>
        </w:rPr>
        <w:t>Direktiva o staništima</w:t>
      </w:r>
      <w:r w:rsidRPr="00653DCF">
        <w:rPr>
          <w:color w:val="auto"/>
          <w:lang w:val="hr-HR"/>
        </w:rPr>
        <w:t xml:space="preserve">” znači </w:t>
      </w:r>
      <w:r w:rsidRPr="00653DCF">
        <w:rPr>
          <w:rStyle w:val="ItalicEIB"/>
          <w:i w:val="0"/>
          <w:iCs/>
          <w:color w:val="auto"/>
          <w:lang w:val="hr-HR"/>
        </w:rPr>
        <w:t>Direktiva Vijeća 92/43/EEZ od 21. svibnja 1992. o očuvanju prirodnih staništa i divlje faune i flore</w:t>
      </w:r>
      <w:r w:rsidR="00CC2B32" w:rsidRPr="00653DCF">
        <w:rPr>
          <w:rStyle w:val="ItalicEIB"/>
          <w:i w:val="0"/>
          <w:iCs/>
          <w:color w:val="auto"/>
          <w:lang w:val="hr-HR"/>
        </w:rPr>
        <w:t xml:space="preserve"> sa svim </w:t>
      </w:r>
      <w:r w:rsidR="008226AA" w:rsidRPr="00653DCF">
        <w:rPr>
          <w:rStyle w:val="ItalicEIB"/>
          <w:i w:val="0"/>
          <w:iCs/>
          <w:color w:val="auto"/>
          <w:lang w:val="hr-HR"/>
        </w:rPr>
        <w:t xml:space="preserve">njenim </w:t>
      </w:r>
      <w:r w:rsidR="00CC2B32" w:rsidRPr="00653DCF">
        <w:rPr>
          <w:rStyle w:val="ItalicEIB"/>
          <w:i w:val="0"/>
          <w:iCs/>
          <w:color w:val="auto"/>
          <w:lang w:val="hr-HR"/>
        </w:rPr>
        <w:t>izmjenama, dopunama ili prepravcima</w:t>
      </w:r>
      <w:r w:rsidR="00D659F8" w:rsidRPr="00653DCF">
        <w:rPr>
          <w:color w:val="auto"/>
          <w:lang w:val="hr-HR"/>
        </w:rPr>
        <w:t>.</w:t>
      </w:r>
    </w:p>
    <w:p w14:paraId="13AD0184" w14:textId="395249EB" w:rsidR="007A2A6F" w:rsidRPr="00653DCF" w:rsidRDefault="00E87B0B">
      <w:pPr>
        <w:rPr>
          <w:color w:val="auto"/>
          <w:lang w:val="hr-HR"/>
        </w:rPr>
      </w:pPr>
      <w:r w:rsidRPr="00653DCF">
        <w:rPr>
          <w:color w:val="auto"/>
          <w:lang w:val="hr-HR"/>
        </w:rPr>
        <w:t>„</w:t>
      </w:r>
      <w:r w:rsidR="009E46AE" w:rsidRPr="00653DCF">
        <w:rPr>
          <w:b/>
          <w:bCs/>
          <w:color w:val="auto"/>
          <w:lang w:val="hr-HR"/>
        </w:rPr>
        <w:t>n</w:t>
      </w:r>
      <w:r w:rsidR="001319A1" w:rsidRPr="00653DCF">
        <w:rPr>
          <w:b/>
          <w:bCs/>
          <w:color w:val="auto"/>
          <w:lang w:val="hr-HR"/>
        </w:rPr>
        <w:t xml:space="preserve">ezakonita </w:t>
      </w:r>
      <w:r w:rsidR="00E001B4" w:rsidRPr="00653DCF">
        <w:rPr>
          <w:b/>
          <w:color w:val="auto"/>
          <w:lang w:val="hr-HR"/>
        </w:rPr>
        <w:t>radnja</w:t>
      </w:r>
      <w:r w:rsidRPr="00653DCF">
        <w:rPr>
          <w:color w:val="auto"/>
          <w:lang w:val="hr-HR"/>
        </w:rPr>
        <w:t xml:space="preserve">” znači bilo koja od sljedećih nezakonitih </w:t>
      </w:r>
      <w:r w:rsidR="00E001B4" w:rsidRPr="00653DCF">
        <w:rPr>
          <w:color w:val="auto"/>
          <w:lang w:val="hr-HR"/>
        </w:rPr>
        <w:t xml:space="preserve">radnji </w:t>
      </w:r>
      <w:r w:rsidRPr="00653DCF">
        <w:rPr>
          <w:color w:val="auto"/>
          <w:lang w:val="hr-HR"/>
        </w:rPr>
        <w:t xml:space="preserve">ili </w:t>
      </w:r>
      <w:r w:rsidR="00E001B4" w:rsidRPr="00653DCF">
        <w:rPr>
          <w:color w:val="auto"/>
          <w:lang w:val="hr-HR"/>
        </w:rPr>
        <w:t xml:space="preserve">radnji </w:t>
      </w:r>
      <w:r w:rsidRPr="00653DCF">
        <w:rPr>
          <w:color w:val="auto"/>
          <w:lang w:val="hr-HR"/>
        </w:rPr>
        <w:t xml:space="preserve">koje se provode u nezakonite svrhe </w:t>
      </w:r>
      <w:r w:rsidR="008226AA" w:rsidRPr="00653DCF">
        <w:rPr>
          <w:color w:val="auto"/>
          <w:lang w:val="hr-HR"/>
        </w:rPr>
        <w:t xml:space="preserve">prema </w:t>
      </w:r>
      <w:r w:rsidRPr="00653DCF">
        <w:rPr>
          <w:color w:val="auto"/>
          <w:lang w:val="hr-HR"/>
        </w:rPr>
        <w:t xml:space="preserve">primjenjivim zakonima </w:t>
      </w:r>
      <w:r w:rsidR="008226AA" w:rsidRPr="00653DCF">
        <w:rPr>
          <w:color w:val="auto"/>
          <w:lang w:val="hr-HR"/>
        </w:rPr>
        <w:t>vezano za bilo što od sljedećeg</w:t>
      </w:r>
      <w:r w:rsidRPr="00653DCF">
        <w:rPr>
          <w:color w:val="auto"/>
          <w:lang w:val="hr-HR"/>
        </w:rPr>
        <w:t>: (i) prijevar</w:t>
      </w:r>
      <w:r w:rsidR="002C75B2" w:rsidRPr="00653DCF">
        <w:rPr>
          <w:color w:val="auto"/>
          <w:lang w:val="hr-HR"/>
        </w:rPr>
        <w:t>u</w:t>
      </w:r>
      <w:r w:rsidRPr="00653DCF">
        <w:rPr>
          <w:color w:val="auto"/>
          <w:lang w:val="hr-HR"/>
        </w:rPr>
        <w:t>, korupcij</w:t>
      </w:r>
      <w:r w:rsidR="00BD7C19" w:rsidRPr="00653DCF">
        <w:rPr>
          <w:color w:val="auto"/>
          <w:lang w:val="hr-HR"/>
        </w:rPr>
        <w:t>u</w:t>
      </w:r>
      <w:r w:rsidRPr="00653DCF">
        <w:rPr>
          <w:color w:val="auto"/>
          <w:lang w:val="hr-HR"/>
        </w:rPr>
        <w:t>, prisil</w:t>
      </w:r>
      <w:r w:rsidR="00BD7C19" w:rsidRPr="00653DCF">
        <w:rPr>
          <w:color w:val="auto"/>
          <w:lang w:val="hr-HR"/>
        </w:rPr>
        <w:t>u</w:t>
      </w:r>
      <w:r w:rsidRPr="00653DCF">
        <w:rPr>
          <w:color w:val="auto"/>
          <w:lang w:val="hr-HR"/>
        </w:rPr>
        <w:t>, tajno dogovaranj</w:t>
      </w:r>
      <w:r w:rsidR="002C50CC" w:rsidRPr="00653DCF">
        <w:rPr>
          <w:color w:val="auto"/>
          <w:lang w:val="hr-HR"/>
        </w:rPr>
        <w:t>e</w:t>
      </w:r>
      <w:r w:rsidRPr="00653DCF">
        <w:rPr>
          <w:color w:val="auto"/>
          <w:lang w:val="hr-HR"/>
        </w:rPr>
        <w:t xml:space="preserve"> ili ometanj</w:t>
      </w:r>
      <w:r w:rsidR="002C50CC" w:rsidRPr="00653DCF">
        <w:rPr>
          <w:color w:val="auto"/>
          <w:lang w:val="hr-HR"/>
        </w:rPr>
        <w:t>e</w:t>
      </w:r>
      <w:r w:rsidRPr="00653DCF">
        <w:rPr>
          <w:color w:val="auto"/>
          <w:lang w:val="hr-HR"/>
        </w:rPr>
        <w:t>, (ii) pranj</w:t>
      </w:r>
      <w:r w:rsidR="002C50CC" w:rsidRPr="00653DCF">
        <w:rPr>
          <w:color w:val="auto"/>
          <w:lang w:val="hr-HR"/>
        </w:rPr>
        <w:t>e</w:t>
      </w:r>
      <w:r w:rsidRPr="00653DCF">
        <w:rPr>
          <w:color w:val="auto"/>
          <w:lang w:val="hr-HR"/>
        </w:rPr>
        <w:t xml:space="preserve"> novca, financiranj</w:t>
      </w:r>
      <w:r w:rsidR="002C50CC" w:rsidRPr="00653DCF">
        <w:rPr>
          <w:color w:val="auto"/>
          <w:lang w:val="hr-HR"/>
        </w:rPr>
        <w:t>e</w:t>
      </w:r>
      <w:r w:rsidRPr="00653DCF">
        <w:rPr>
          <w:color w:val="auto"/>
          <w:lang w:val="hr-HR"/>
        </w:rPr>
        <w:t xml:space="preserve"> terorizma ili porezn</w:t>
      </w:r>
      <w:r w:rsidR="002C50CC" w:rsidRPr="00653DCF">
        <w:rPr>
          <w:color w:val="auto"/>
          <w:lang w:val="hr-HR"/>
        </w:rPr>
        <w:t>a</w:t>
      </w:r>
      <w:r w:rsidRPr="00653DCF">
        <w:rPr>
          <w:color w:val="auto"/>
          <w:lang w:val="hr-HR"/>
        </w:rPr>
        <w:t xml:space="preserve"> kaznen</w:t>
      </w:r>
      <w:r w:rsidR="002C50CC" w:rsidRPr="00653DCF">
        <w:rPr>
          <w:color w:val="auto"/>
          <w:lang w:val="hr-HR"/>
        </w:rPr>
        <w:t>a</w:t>
      </w:r>
      <w:r w:rsidRPr="00653DCF">
        <w:rPr>
          <w:color w:val="auto"/>
          <w:lang w:val="hr-HR"/>
        </w:rPr>
        <w:t xml:space="preserve"> djela kako je definirano u </w:t>
      </w:r>
      <w:r w:rsidR="009505A5" w:rsidRPr="00653DCF">
        <w:rPr>
          <w:color w:val="auto"/>
          <w:lang w:val="hr-HR"/>
        </w:rPr>
        <w:t>D</w:t>
      </w:r>
      <w:r w:rsidRPr="00653DCF">
        <w:rPr>
          <w:color w:val="auto"/>
          <w:lang w:val="hr-HR"/>
        </w:rPr>
        <w:t>irektivama o sprečavanju pranja novca i (iii) drug</w:t>
      </w:r>
      <w:r w:rsidR="00DB44FE" w:rsidRPr="00653DCF">
        <w:rPr>
          <w:color w:val="auto"/>
          <w:lang w:val="hr-HR"/>
        </w:rPr>
        <w:t>e</w:t>
      </w:r>
      <w:r w:rsidRPr="00653DCF">
        <w:rPr>
          <w:color w:val="auto"/>
          <w:lang w:val="hr-HR"/>
        </w:rPr>
        <w:t xml:space="preserve"> nezakonit</w:t>
      </w:r>
      <w:r w:rsidR="00E76B71" w:rsidRPr="00653DCF">
        <w:rPr>
          <w:color w:val="auto"/>
          <w:lang w:val="hr-HR"/>
        </w:rPr>
        <w:t>e</w:t>
      </w:r>
      <w:r w:rsidRPr="00653DCF">
        <w:rPr>
          <w:color w:val="auto"/>
          <w:lang w:val="hr-HR"/>
        </w:rPr>
        <w:t xml:space="preserve"> aktivnosti protiv financijskih interesa Europske unije kako je</w:t>
      </w:r>
      <w:r w:rsidR="00BD7C19" w:rsidRPr="00653DCF">
        <w:rPr>
          <w:color w:val="auto"/>
          <w:lang w:val="hr-HR"/>
        </w:rPr>
        <w:t xml:space="preserve"> </w:t>
      </w:r>
      <w:r w:rsidR="00CA5761" w:rsidRPr="00653DCF">
        <w:rPr>
          <w:color w:val="auto"/>
          <w:lang w:val="hr-HR"/>
        </w:rPr>
        <w:t>svaka od njih definirana</w:t>
      </w:r>
      <w:r w:rsidRPr="00653DCF">
        <w:rPr>
          <w:color w:val="auto"/>
          <w:lang w:val="hr-HR"/>
        </w:rPr>
        <w:t xml:space="preserve"> u Direktivi PIF. </w:t>
      </w:r>
    </w:p>
    <w:p w14:paraId="10C9DCF5" w14:textId="116D9EF5" w:rsidR="007A2A6F" w:rsidRPr="00653DCF" w:rsidRDefault="00E87B0B">
      <w:pPr>
        <w:shd w:val="clear" w:color="auto" w:fill="FFFFFF" w:themeFill="background1"/>
        <w:rPr>
          <w:color w:val="auto"/>
          <w:lang w:val="hr-HR"/>
        </w:rPr>
      </w:pPr>
      <w:r w:rsidRPr="00653DCF">
        <w:rPr>
          <w:color w:val="auto"/>
          <w:lang w:val="hr-HR"/>
        </w:rPr>
        <w:t>„</w:t>
      </w:r>
      <w:r w:rsidR="009E46AE" w:rsidRPr="00653DCF">
        <w:rPr>
          <w:b/>
          <w:color w:val="auto"/>
          <w:lang w:val="hr-HR"/>
        </w:rPr>
        <w:t>n</w:t>
      </w:r>
      <w:r w:rsidR="003159EC" w:rsidRPr="00653DCF">
        <w:rPr>
          <w:b/>
          <w:color w:val="auto"/>
          <w:lang w:val="hr-HR"/>
        </w:rPr>
        <w:t>ezakonit događaj</w:t>
      </w:r>
      <w:r w:rsidRPr="00653DCF">
        <w:rPr>
          <w:color w:val="auto"/>
          <w:lang w:val="hr-HR"/>
        </w:rPr>
        <w:t xml:space="preserve">” ima značenje </w:t>
      </w:r>
      <w:r w:rsidR="00054BAC" w:rsidRPr="00653DCF">
        <w:rPr>
          <w:color w:val="auto"/>
          <w:lang w:val="hr-HR"/>
        </w:rPr>
        <w:t>iz članka</w:t>
      </w:r>
      <w:r w:rsidR="003159EC" w:rsidRPr="00653DCF">
        <w:rPr>
          <w:color w:val="auto"/>
          <w:lang w:val="hr-HR"/>
        </w:rPr>
        <w:t xml:space="preserve"> </w:t>
      </w:r>
      <w:r w:rsidRPr="00653DCF">
        <w:rPr>
          <w:color w:val="auto"/>
          <w:lang w:val="hr-HR"/>
        </w:rPr>
        <w:fldChar w:fldCharType="begin"/>
      </w:r>
      <w:r w:rsidRPr="00653DCF">
        <w:rPr>
          <w:color w:val="auto"/>
          <w:lang w:val="hr-HR"/>
        </w:rPr>
        <w:instrText xml:space="preserve"> REF _Ref61439290 \r \h  \* MERGEFORMAT </w:instrText>
      </w:r>
      <w:r w:rsidRPr="00653DCF">
        <w:rPr>
          <w:color w:val="auto"/>
          <w:lang w:val="hr-HR"/>
        </w:rPr>
      </w:r>
      <w:r w:rsidRPr="00653DCF">
        <w:rPr>
          <w:color w:val="auto"/>
          <w:lang w:val="hr-HR"/>
        </w:rPr>
        <w:fldChar w:fldCharType="separate"/>
      </w:r>
      <w:r w:rsidR="00E5391B">
        <w:rPr>
          <w:color w:val="auto"/>
          <w:lang w:val="hr-HR"/>
        </w:rPr>
        <w:t>4.3.A(3)</w:t>
      </w:r>
      <w:r w:rsidRPr="00653DCF">
        <w:rPr>
          <w:color w:val="auto"/>
          <w:lang w:val="hr-HR"/>
        </w:rPr>
        <w:fldChar w:fldCharType="end"/>
      </w:r>
      <w:r w:rsidR="00D659F8" w:rsidRPr="00653DCF">
        <w:rPr>
          <w:color w:val="auto"/>
          <w:lang w:val="hr-HR"/>
        </w:rPr>
        <w:t>.</w:t>
      </w:r>
    </w:p>
    <w:p w14:paraId="7685A1A1" w14:textId="5E3A33F6" w:rsidR="007A2A6F" w:rsidRPr="00653DCF" w:rsidRDefault="00E87B0B">
      <w:pPr>
        <w:rPr>
          <w:color w:val="auto"/>
          <w:lang w:val="hr-HR"/>
        </w:rPr>
      </w:pPr>
      <w:r w:rsidRPr="00653DCF">
        <w:rPr>
          <w:color w:val="auto"/>
          <w:lang w:val="hr-HR"/>
        </w:rPr>
        <w:t>„</w:t>
      </w:r>
      <w:r w:rsidR="00054BAC" w:rsidRPr="00653DCF">
        <w:rPr>
          <w:b/>
          <w:bCs/>
          <w:color w:val="auto"/>
          <w:lang w:val="hr-HR"/>
        </w:rPr>
        <w:t>d</w:t>
      </w:r>
      <w:r w:rsidR="00F47170" w:rsidRPr="00653DCF">
        <w:rPr>
          <w:b/>
          <w:bCs/>
          <w:color w:val="auto"/>
          <w:lang w:val="hr-HR"/>
        </w:rPr>
        <w:t>ogađaj</w:t>
      </w:r>
      <w:r w:rsidR="00304B94" w:rsidRPr="00653DCF">
        <w:rPr>
          <w:b/>
          <w:bCs/>
          <w:color w:val="auto"/>
          <w:lang w:val="hr-HR"/>
        </w:rPr>
        <w:t xml:space="preserve"> </w:t>
      </w:r>
      <w:r w:rsidR="00B27081" w:rsidRPr="00653DCF">
        <w:rPr>
          <w:b/>
          <w:bCs/>
          <w:color w:val="auto"/>
          <w:lang w:val="hr-HR"/>
        </w:rPr>
        <w:t>prijevremene otplate uz naknadu</w:t>
      </w:r>
      <w:r w:rsidRPr="00653DCF">
        <w:rPr>
          <w:color w:val="auto"/>
          <w:lang w:val="hr-HR"/>
        </w:rPr>
        <w:t xml:space="preserve">” znači </w:t>
      </w:r>
      <w:r w:rsidR="00B27081" w:rsidRPr="00653DCF">
        <w:rPr>
          <w:color w:val="auto"/>
          <w:lang w:val="hr-HR"/>
        </w:rPr>
        <w:t>d</w:t>
      </w:r>
      <w:r w:rsidRPr="00653DCF">
        <w:rPr>
          <w:color w:val="auto"/>
          <w:lang w:val="hr-HR"/>
        </w:rPr>
        <w:t xml:space="preserve">ogađaj </w:t>
      </w:r>
      <w:r w:rsidR="00B27081" w:rsidRPr="00653DCF">
        <w:rPr>
          <w:color w:val="auto"/>
          <w:lang w:val="hr-HR"/>
        </w:rPr>
        <w:t>prijevremene otplate koji ne predstavlja n</w:t>
      </w:r>
      <w:r w:rsidR="00957C92" w:rsidRPr="00653DCF">
        <w:rPr>
          <w:color w:val="auto"/>
          <w:lang w:val="hr-HR"/>
        </w:rPr>
        <w:t>ezakonit događaj</w:t>
      </w:r>
      <w:r w:rsidR="00D659F8" w:rsidRPr="00653DCF">
        <w:rPr>
          <w:color w:val="auto"/>
          <w:lang w:val="hr-HR"/>
        </w:rPr>
        <w:t>.</w:t>
      </w:r>
    </w:p>
    <w:p w14:paraId="68F6CC35" w14:textId="42F68D8D" w:rsidR="007A2A6F" w:rsidRPr="00653DCF" w:rsidRDefault="00E87B0B">
      <w:pPr>
        <w:rPr>
          <w:color w:val="auto"/>
          <w:lang w:val="hr-HR"/>
        </w:rPr>
      </w:pPr>
      <w:r w:rsidRPr="00653DCF">
        <w:rPr>
          <w:color w:val="auto"/>
          <w:lang w:val="hr-HR"/>
        </w:rPr>
        <w:t>„</w:t>
      </w:r>
      <w:r w:rsidR="007932F4" w:rsidRPr="00653DCF">
        <w:rPr>
          <w:rStyle w:val="BoldEIB"/>
          <w:color w:val="auto"/>
          <w:lang w:val="hr-HR"/>
        </w:rPr>
        <w:t>r</w:t>
      </w:r>
      <w:r w:rsidRPr="00653DCF">
        <w:rPr>
          <w:rStyle w:val="BoldEIB"/>
          <w:color w:val="auto"/>
          <w:lang w:val="hr-HR"/>
        </w:rPr>
        <w:t>evizija/konverzija</w:t>
      </w:r>
      <w:r w:rsidR="00CE50F7" w:rsidRPr="00653DCF">
        <w:rPr>
          <w:rStyle w:val="BoldEIB"/>
          <w:color w:val="auto"/>
          <w:lang w:val="hr-HR"/>
        </w:rPr>
        <w:t xml:space="preserve"> </w:t>
      </w:r>
      <w:r w:rsidR="007932F4" w:rsidRPr="00653DCF">
        <w:rPr>
          <w:b/>
          <w:bCs/>
          <w:color w:val="auto"/>
          <w:lang w:val="hr-HR"/>
        </w:rPr>
        <w:t>kamatne stope</w:t>
      </w:r>
      <w:r w:rsidRPr="00653DCF">
        <w:rPr>
          <w:color w:val="auto"/>
          <w:lang w:val="hr-HR"/>
        </w:rPr>
        <w:t xml:space="preserve">” znači </w:t>
      </w:r>
      <w:r w:rsidR="007932F4" w:rsidRPr="00653DCF">
        <w:rPr>
          <w:color w:val="auto"/>
          <w:lang w:val="hr-HR"/>
        </w:rPr>
        <w:t xml:space="preserve">određivanje novih </w:t>
      </w:r>
      <w:r w:rsidRPr="00653DCF">
        <w:rPr>
          <w:color w:val="auto"/>
          <w:lang w:val="hr-HR"/>
        </w:rPr>
        <w:t xml:space="preserve">financijskih uvjeta u odnosu na kamatnu stopu, </w:t>
      </w:r>
      <w:r w:rsidR="007932F4" w:rsidRPr="00653DCF">
        <w:rPr>
          <w:color w:val="auto"/>
          <w:lang w:val="hr-HR"/>
        </w:rPr>
        <w:t xml:space="preserve">osobito </w:t>
      </w:r>
      <w:r w:rsidR="00645B87" w:rsidRPr="00653DCF">
        <w:rPr>
          <w:color w:val="auto"/>
          <w:lang w:val="hr-HR"/>
        </w:rPr>
        <w:t xml:space="preserve">u odnosu na </w:t>
      </w:r>
      <w:r w:rsidR="007932F4" w:rsidRPr="00653DCF">
        <w:rPr>
          <w:color w:val="auto"/>
          <w:lang w:val="hr-HR"/>
        </w:rPr>
        <w:t xml:space="preserve">istu osnovicu kamatne stope </w:t>
      </w:r>
      <w:r w:rsidRPr="00653DCF">
        <w:rPr>
          <w:color w:val="auto"/>
          <w:lang w:val="hr-HR"/>
        </w:rPr>
        <w:t>(„</w:t>
      </w:r>
      <w:r w:rsidRPr="00653DCF">
        <w:rPr>
          <w:rStyle w:val="BoldEIB"/>
          <w:color w:val="auto"/>
          <w:lang w:val="hr-HR"/>
        </w:rPr>
        <w:t>revizija</w:t>
      </w:r>
      <w:r w:rsidRPr="00653DCF">
        <w:rPr>
          <w:color w:val="auto"/>
          <w:lang w:val="hr-HR"/>
        </w:rPr>
        <w:t xml:space="preserve">”) ili </w:t>
      </w:r>
      <w:r w:rsidR="007932F4" w:rsidRPr="00653DCF">
        <w:rPr>
          <w:color w:val="auto"/>
          <w:lang w:val="hr-HR"/>
        </w:rPr>
        <w:t>drukčij</w:t>
      </w:r>
      <w:r w:rsidR="00645B87" w:rsidRPr="00653DCF">
        <w:rPr>
          <w:color w:val="auto"/>
          <w:lang w:val="hr-HR"/>
        </w:rPr>
        <w:t>u</w:t>
      </w:r>
      <w:r w:rsidR="007932F4" w:rsidRPr="00653DCF">
        <w:rPr>
          <w:color w:val="auto"/>
          <w:lang w:val="hr-HR"/>
        </w:rPr>
        <w:t xml:space="preserve"> osnovic</w:t>
      </w:r>
      <w:r w:rsidR="00645B87" w:rsidRPr="00653DCF">
        <w:rPr>
          <w:color w:val="auto"/>
          <w:lang w:val="hr-HR"/>
        </w:rPr>
        <w:t>u</w:t>
      </w:r>
      <w:r w:rsidR="007932F4" w:rsidRPr="00653DCF">
        <w:rPr>
          <w:color w:val="auto"/>
          <w:lang w:val="hr-HR"/>
        </w:rPr>
        <w:t xml:space="preserve"> kamatne stope </w:t>
      </w:r>
      <w:r w:rsidRPr="00653DCF">
        <w:rPr>
          <w:color w:val="auto"/>
          <w:lang w:val="hr-HR"/>
        </w:rPr>
        <w:t>(„</w:t>
      </w:r>
      <w:r w:rsidRPr="00653DCF">
        <w:rPr>
          <w:rStyle w:val="BoldEIB"/>
          <w:color w:val="auto"/>
          <w:lang w:val="hr-HR"/>
        </w:rPr>
        <w:t>konverzija</w:t>
      </w:r>
      <w:r w:rsidRPr="00653DCF">
        <w:rPr>
          <w:color w:val="auto"/>
          <w:lang w:val="hr-HR"/>
        </w:rPr>
        <w:t xml:space="preserve">”) koja se može ponuditi za preostalo razdoblje </w:t>
      </w:r>
      <w:r w:rsidR="007932F4" w:rsidRPr="00653DCF">
        <w:rPr>
          <w:color w:val="auto"/>
          <w:lang w:val="hr-HR"/>
        </w:rPr>
        <w:t>t</w:t>
      </w:r>
      <w:r w:rsidRPr="00653DCF">
        <w:rPr>
          <w:color w:val="auto"/>
          <w:lang w:val="hr-HR"/>
        </w:rPr>
        <w:t xml:space="preserve">ranše ili do sljedećeg </w:t>
      </w:r>
      <w:r w:rsidR="007932F4" w:rsidRPr="00653DCF">
        <w:rPr>
          <w:color w:val="auto"/>
          <w:lang w:val="hr-HR"/>
        </w:rPr>
        <w:t>d</w:t>
      </w:r>
      <w:r w:rsidRPr="00653DCF">
        <w:rPr>
          <w:color w:val="auto"/>
          <w:lang w:val="hr-HR"/>
        </w:rPr>
        <w:t xml:space="preserve">atuma </w:t>
      </w:r>
      <w:r w:rsidR="00511330" w:rsidRPr="00653DCF">
        <w:rPr>
          <w:color w:val="auto"/>
          <w:lang w:val="hr-HR"/>
        </w:rPr>
        <w:t>revizije/konverzije</w:t>
      </w:r>
      <w:r w:rsidR="00645B87" w:rsidRPr="00653DCF">
        <w:rPr>
          <w:color w:val="auto"/>
          <w:lang w:val="hr-HR"/>
        </w:rPr>
        <w:t xml:space="preserve"> kamatne stope</w:t>
      </w:r>
      <w:r w:rsidRPr="00653DCF">
        <w:rPr>
          <w:color w:val="auto"/>
          <w:lang w:val="hr-HR"/>
        </w:rPr>
        <w:t xml:space="preserve">, ako </w:t>
      </w:r>
      <w:r w:rsidR="00511330" w:rsidRPr="00653DCF">
        <w:rPr>
          <w:color w:val="auto"/>
          <w:lang w:val="hr-HR"/>
        </w:rPr>
        <w:t>ga bude</w:t>
      </w:r>
      <w:r w:rsidR="00D659F8" w:rsidRPr="00653DCF">
        <w:rPr>
          <w:color w:val="auto"/>
          <w:lang w:val="hr-HR"/>
        </w:rPr>
        <w:t>.</w:t>
      </w:r>
    </w:p>
    <w:p w14:paraId="51B06F83" w14:textId="522F3D37" w:rsidR="007A2A6F" w:rsidRPr="00653DCF" w:rsidRDefault="00E87B0B">
      <w:pPr>
        <w:rPr>
          <w:color w:val="auto"/>
          <w:lang w:val="hr-HR"/>
        </w:rPr>
      </w:pPr>
      <w:r w:rsidRPr="00653DCF">
        <w:rPr>
          <w:color w:val="auto"/>
          <w:lang w:val="hr-HR"/>
        </w:rPr>
        <w:t>„</w:t>
      </w:r>
      <w:r w:rsidR="007F3520" w:rsidRPr="00653DCF">
        <w:rPr>
          <w:b/>
          <w:color w:val="auto"/>
          <w:lang w:val="hr-HR"/>
        </w:rPr>
        <w:t>d</w:t>
      </w:r>
      <w:r w:rsidRPr="00653DCF">
        <w:rPr>
          <w:b/>
          <w:color w:val="auto"/>
          <w:lang w:val="hr-HR"/>
        </w:rPr>
        <w:t>atum revizije/konverzije</w:t>
      </w:r>
      <w:r w:rsidR="00511330" w:rsidRPr="00653DCF">
        <w:rPr>
          <w:b/>
          <w:color w:val="auto"/>
          <w:lang w:val="hr-HR"/>
        </w:rPr>
        <w:t xml:space="preserve"> </w:t>
      </w:r>
      <w:r w:rsidR="007F3520" w:rsidRPr="00653DCF">
        <w:rPr>
          <w:b/>
          <w:bCs/>
          <w:color w:val="auto"/>
          <w:lang w:val="hr-HR"/>
        </w:rPr>
        <w:t>kamatne stope</w:t>
      </w:r>
      <w:r w:rsidRPr="00653DCF">
        <w:rPr>
          <w:color w:val="auto"/>
          <w:lang w:val="hr-HR"/>
        </w:rPr>
        <w:t xml:space="preserve">” znači datum koji je </w:t>
      </w:r>
      <w:r w:rsidR="007F3520" w:rsidRPr="00653DCF">
        <w:rPr>
          <w:color w:val="auto"/>
          <w:lang w:val="hr-HR"/>
        </w:rPr>
        <w:t>i d</w:t>
      </w:r>
      <w:r w:rsidRPr="00653DCF">
        <w:rPr>
          <w:color w:val="auto"/>
          <w:lang w:val="hr-HR"/>
        </w:rPr>
        <w:t xml:space="preserve">atum plaćanja, </w:t>
      </w:r>
      <w:r w:rsidR="00645B87" w:rsidRPr="00653DCF">
        <w:rPr>
          <w:color w:val="auto"/>
          <w:lang w:val="hr-HR"/>
        </w:rPr>
        <w:t xml:space="preserve">a </w:t>
      </w:r>
      <w:r w:rsidRPr="00653DCF">
        <w:rPr>
          <w:color w:val="auto"/>
          <w:lang w:val="hr-HR"/>
        </w:rPr>
        <w:t xml:space="preserve">koji je </w:t>
      </w:r>
      <w:r w:rsidR="007F3520" w:rsidRPr="00653DCF">
        <w:rPr>
          <w:color w:val="auto"/>
          <w:lang w:val="hr-HR"/>
        </w:rPr>
        <w:t xml:space="preserve">određuje </w:t>
      </w:r>
      <w:r w:rsidRPr="00653DCF">
        <w:rPr>
          <w:color w:val="auto"/>
          <w:lang w:val="hr-HR"/>
        </w:rPr>
        <w:t xml:space="preserve">Banka </w:t>
      </w:r>
      <w:r w:rsidR="007F3520" w:rsidRPr="00653DCF">
        <w:rPr>
          <w:color w:val="auto"/>
          <w:lang w:val="hr-HR"/>
        </w:rPr>
        <w:t xml:space="preserve">u </w:t>
      </w:r>
      <w:r w:rsidR="00645B87" w:rsidRPr="00653DCF">
        <w:rPr>
          <w:color w:val="auto"/>
          <w:lang w:val="hr-HR"/>
        </w:rPr>
        <w:t>svojoj o</w:t>
      </w:r>
      <w:r w:rsidR="007F3520" w:rsidRPr="00653DCF">
        <w:rPr>
          <w:color w:val="auto"/>
          <w:lang w:val="hr-HR"/>
        </w:rPr>
        <w:t xml:space="preserve">bavijesti o isplati </w:t>
      </w:r>
      <w:r w:rsidRPr="00653DCF">
        <w:rPr>
          <w:color w:val="auto"/>
          <w:lang w:val="hr-HR"/>
        </w:rPr>
        <w:t xml:space="preserve">u skladu s člankom </w:t>
      </w:r>
      <w:r w:rsidRPr="00653DCF">
        <w:rPr>
          <w:color w:val="auto"/>
          <w:lang w:val="hr-HR"/>
        </w:rPr>
        <w:fldChar w:fldCharType="begin"/>
      </w:r>
      <w:r w:rsidRPr="00653DCF">
        <w:rPr>
          <w:color w:val="auto"/>
          <w:lang w:val="hr-HR"/>
        </w:rPr>
        <w:instrText xml:space="preserve"> REF _Ref426713118 \r \h  \* MERGEFORMAT </w:instrText>
      </w:r>
      <w:r w:rsidRPr="00653DCF">
        <w:rPr>
          <w:color w:val="auto"/>
          <w:lang w:val="hr-HR"/>
        </w:rPr>
      </w:r>
      <w:r w:rsidRPr="00653DCF">
        <w:rPr>
          <w:color w:val="auto"/>
          <w:lang w:val="hr-HR"/>
        </w:rPr>
        <w:fldChar w:fldCharType="separate"/>
      </w:r>
      <w:r w:rsidR="00E5391B">
        <w:rPr>
          <w:color w:val="auto"/>
          <w:lang w:val="hr-HR"/>
        </w:rPr>
        <w:t>1.2.C</w:t>
      </w:r>
      <w:r w:rsidRPr="00653DCF">
        <w:rPr>
          <w:color w:val="auto"/>
          <w:lang w:val="hr-HR"/>
        </w:rPr>
        <w:fldChar w:fldCharType="end"/>
      </w:r>
      <w:r w:rsidRPr="00653DCF">
        <w:rPr>
          <w:color w:val="auto"/>
          <w:lang w:val="hr-HR"/>
        </w:rPr>
        <w:t>.</w:t>
      </w:r>
      <w:r w:rsidR="00D659F8" w:rsidRPr="00653DCF">
        <w:rPr>
          <w:color w:val="auto"/>
          <w:lang w:val="hr-HR"/>
        </w:rPr>
        <w:t>.</w:t>
      </w:r>
    </w:p>
    <w:p w14:paraId="78B2E128" w14:textId="52D66784" w:rsidR="007A2A6F" w:rsidRPr="00653DCF" w:rsidRDefault="00E87B0B">
      <w:pPr>
        <w:rPr>
          <w:color w:val="auto"/>
          <w:lang w:val="hr-HR"/>
        </w:rPr>
      </w:pPr>
      <w:r w:rsidRPr="00653DCF">
        <w:rPr>
          <w:color w:val="auto"/>
          <w:lang w:val="hr-HR"/>
        </w:rPr>
        <w:lastRenderedPageBreak/>
        <w:t>„</w:t>
      </w:r>
      <w:r w:rsidR="007F3520" w:rsidRPr="00653DCF">
        <w:rPr>
          <w:rStyle w:val="BoldEIB"/>
          <w:color w:val="auto"/>
          <w:lang w:val="hr-HR"/>
        </w:rPr>
        <w:t>p</w:t>
      </w:r>
      <w:r w:rsidRPr="00653DCF">
        <w:rPr>
          <w:rStyle w:val="BoldEIB"/>
          <w:color w:val="auto"/>
          <w:lang w:val="hr-HR"/>
        </w:rPr>
        <w:t>rijedlog revizije</w:t>
      </w:r>
      <w:r w:rsidR="00F11A19" w:rsidRPr="00653DCF">
        <w:rPr>
          <w:rStyle w:val="BoldEIB"/>
          <w:color w:val="auto"/>
          <w:lang w:val="hr-HR"/>
        </w:rPr>
        <w:t>/konverzije</w:t>
      </w:r>
      <w:r w:rsidRPr="00653DCF">
        <w:rPr>
          <w:rStyle w:val="BoldEIB"/>
          <w:color w:val="auto"/>
          <w:lang w:val="hr-HR"/>
        </w:rPr>
        <w:t xml:space="preserve"> </w:t>
      </w:r>
      <w:r w:rsidR="007F3520" w:rsidRPr="00653DCF">
        <w:rPr>
          <w:rStyle w:val="BoldEIB"/>
          <w:color w:val="auto"/>
          <w:lang w:val="hr-HR"/>
        </w:rPr>
        <w:t>kamatne stope</w:t>
      </w:r>
      <w:r w:rsidRPr="00653DCF">
        <w:rPr>
          <w:color w:val="auto"/>
          <w:lang w:val="hr-HR"/>
        </w:rPr>
        <w:t xml:space="preserve">” znači prijedlog </w:t>
      </w:r>
      <w:r w:rsidR="007F3520" w:rsidRPr="00653DCF">
        <w:rPr>
          <w:color w:val="auto"/>
          <w:lang w:val="hr-HR"/>
        </w:rPr>
        <w:t xml:space="preserve">koji </w:t>
      </w:r>
      <w:r w:rsidR="00EB7BF1" w:rsidRPr="00653DCF">
        <w:rPr>
          <w:color w:val="auto"/>
          <w:lang w:val="hr-HR"/>
        </w:rPr>
        <w:t>daje</w:t>
      </w:r>
      <w:r w:rsidR="007F3520" w:rsidRPr="00653DCF">
        <w:rPr>
          <w:color w:val="auto"/>
          <w:lang w:val="hr-HR"/>
        </w:rPr>
        <w:t xml:space="preserve"> Banka </w:t>
      </w:r>
      <w:r w:rsidRPr="00653DCF">
        <w:rPr>
          <w:color w:val="auto"/>
          <w:lang w:val="hr-HR"/>
        </w:rPr>
        <w:t xml:space="preserve">u skladu s </w:t>
      </w:r>
      <w:r w:rsidRPr="00653DCF">
        <w:rPr>
          <w:color w:val="auto"/>
          <w:lang w:val="hr-HR"/>
        </w:rPr>
        <w:br/>
      </w:r>
      <w:r w:rsidR="00D659F8" w:rsidRPr="00653DCF">
        <w:rPr>
          <w:color w:val="auto"/>
          <w:lang w:val="hr-HR"/>
        </w:rPr>
        <w:t>Prilogom D.</w:t>
      </w:r>
    </w:p>
    <w:p w14:paraId="0174C34E" w14:textId="37F32756" w:rsidR="007A2A6F" w:rsidRPr="00653DCF" w:rsidRDefault="00E87B0B">
      <w:pPr>
        <w:rPr>
          <w:color w:val="auto"/>
          <w:lang w:val="hr-HR"/>
        </w:rPr>
      </w:pPr>
      <w:r w:rsidRPr="00653DCF">
        <w:rPr>
          <w:color w:val="auto"/>
          <w:lang w:val="hr-HR"/>
        </w:rPr>
        <w:t>„</w:t>
      </w:r>
      <w:r w:rsidR="007F3520" w:rsidRPr="00653DCF">
        <w:rPr>
          <w:rStyle w:val="BoldEIB"/>
          <w:color w:val="auto"/>
          <w:lang w:val="hr-HR"/>
        </w:rPr>
        <w:t>z</w:t>
      </w:r>
      <w:r w:rsidRPr="00653DCF">
        <w:rPr>
          <w:rStyle w:val="BoldEIB"/>
          <w:color w:val="auto"/>
          <w:lang w:val="hr-HR"/>
        </w:rPr>
        <w:t>ahtjev za reviziju</w:t>
      </w:r>
      <w:r w:rsidR="00CB0A4D" w:rsidRPr="00653DCF">
        <w:rPr>
          <w:rStyle w:val="BoldEIB"/>
          <w:color w:val="auto"/>
          <w:lang w:val="hr-HR"/>
        </w:rPr>
        <w:t xml:space="preserve">/konverziju </w:t>
      </w:r>
      <w:r w:rsidR="007F3520" w:rsidRPr="00653DCF">
        <w:rPr>
          <w:rStyle w:val="BoldEIB"/>
          <w:color w:val="auto"/>
          <w:lang w:val="hr-HR"/>
        </w:rPr>
        <w:t>kamatne stope</w:t>
      </w:r>
      <w:r w:rsidRPr="00653DCF">
        <w:rPr>
          <w:color w:val="auto"/>
          <w:lang w:val="hr-HR"/>
        </w:rPr>
        <w:t xml:space="preserve">” znači pisana obavijest </w:t>
      </w:r>
      <w:r w:rsidR="00CB0A4D" w:rsidRPr="00653DCF">
        <w:rPr>
          <w:color w:val="auto"/>
          <w:lang w:val="hr-HR"/>
        </w:rPr>
        <w:t xml:space="preserve">od strane </w:t>
      </w:r>
      <w:r w:rsidRPr="00653DCF">
        <w:rPr>
          <w:color w:val="auto"/>
          <w:lang w:val="hr-HR"/>
        </w:rPr>
        <w:t xml:space="preserve">Zajmoprimca, dostavljena najmanje 75 (sedamdeset i pet) dana prije </w:t>
      </w:r>
      <w:r w:rsidR="007F3520" w:rsidRPr="00653DCF">
        <w:rPr>
          <w:color w:val="auto"/>
          <w:lang w:val="hr-HR"/>
        </w:rPr>
        <w:t>d</w:t>
      </w:r>
      <w:r w:rsidRPr="00653DCF">
        <w:rPr>
          <w:color w:val="auto"/>
          <w:lang w:val="hr-HR"/>
        </w:rPr>
        <w:t xml:space="preserve">atuma revizije/konverzije </w:t>
      </w:r>
      <w:r w:rsidR="007F3520" w:rsidRPr="00653DCF">
        <w:rPr>
          <w:color w:val="auto"/>
          <w:lang w:val="hr-HR"/>
        </w:rPr>
        <w:t>kamatne stope</w:t>
      </w:r>
      <w:r w:rsidRPr="00653DCF">
        <w:rPr>
          <w:color w:val="auto"/>
          <w:lang w:val="hr-HR"/>
        </w:rPr>
        <w:t xml:space="preserve">, </w:t>
      </w:r>
      <w:r w:rsidR="007F3520" w:rsidRPr="00653DCF">
        <w:rPr>
          <w:color w:val="auto"/>
          <w:lang w:val="hr-HR"/>
        </w:rPr>
        <w:t xml:space="preserve">kojom </w:t>
      </w:r>
      <w:r w:rsidR="0055780F" w:rsidRPr="00653DCF">
        <w:rPr>
          <w:color w:val="auto"/>
          <w:lang w:val="hr-HR"/>
        </w:rPr>
        <w:t xml:space="preserve">Zajmoprimac </w:t>
      </w:r>
      <w:r w:rsidR="00E764A7" w:rsidRPr="00653DCF">
        <w:rPr>
          <w:color w:val="auto"/>
          <w:lang w:val="hr-HR"/>
        </w:rPr>
        <w:t xml:space="preserve">od Banke zahtijeva da mu </w:t>
      </w:r>
      <w:r w:rsidR="0055780F" w:rsidRPr="00653DCF">
        <w:rPr>
          <w:color w:val="auto"/>
          <w:lang w:val="hr-HR"/>
        </w:rPr>
        <w:t>da</w:t>
      </w:r>
      <w:r w:rsidR="002B3EBA" w:rsidRPr="00653DCF">
        <w:rPr>
          <w:color w:val="auto"/>
          <w:lang w:val="hr-HR"/>
        </w:rPr>
        <w:t>de</w:t>
      </w:r>
      <w:r w:rsidR="0055780F" w:rsidRPr="00653DCF">
        <w:rPr>
          <w:color w:val="auto"/>
          <w:lang w:val="hr-HR"/>
        </w:rPr>
        <w:t xml:space="preserve"> </w:t>
      </w:r>
      <w:r w:rsidR="00E764A7" w:rsidRPr="00653DCF">
        <w:rPr>
          <w:color w:val="auto"/>
          <w:lang w:val="hr-HR"/>
        </w:rPr>
        <w:t>prijedlog revizije/konverzije kamatne stope</w:t>
      </w:r>
      <w:r w:rsidRPr="00653DCF">
        <w:rPr>
          <w:color w:val="auto"/>
          <w:lang w:val="hr-HR"/>
        </w:rPr>
        <w:t xml:space="preserve">. U </w:t>
      </w:r>
      <w:r w:rsidR="00E764A7" w:rsidRPr="00653DCF">
        <w:rPr>
          <w:color w:val="auto"/>
          <w:lang w:val="hr-HR"/>
        </w:rPr>
        <w:t>z</w:t>
      </w:r>
      <w:r w:rsidRPr="00653DCF">
        <w:rPr>
          <w:color w:val="auto"/>
          <w:lang w:val="hr-HR"/>
        </w:rPr>
        <w:t xml:space="preserve">ahtjevu za reviziju/konverziju </w:t>
      </w:r>
      <w:r w:rsidR="0055780F" w:rsidRPr="00653DCF">
        <w:rPr>
          <w:color w:val="auto"/>
          <w:lang w:val="hr-HR"/>
        </w:rPr>
        <w:t xml:space="preserve">kamatne stope </w:t>
      </w:r>
      <w:r w:rsidR="00E764A7" w:rsidRPr="00653DCF">
        <w:rPr>
          <w:color w:val="auto"/>
          <w:lang w:val="hr-HR"/>
        </w:rPr>
        <w:t>također treba navesti</w:t>
      </w:r>
      <w:r w:rsidRPr="00653DCF">
        <w:rPr>
          <w:color w:val="auto"/>
          <w:lang w:val="hr-HR"/>
        </w:rPr>
        <w:t>:</w:t>
      </w:r>
    </w:p>
    <w:p w14:paraId="77753FE7" w14:textId="7DE3C402" w:rsidR="007A2A6F" w:rsidRPr="00653DCF" w:rsidRDefault="00E764A7">
      <w:pPr>
        <w:pStyle w:val="NoIndentEIB"/>
        <w:numPr>
          <w:ilvl w:val="0"/>
          <w:numId w:val="9"/>
        </w:numPr>
        <w:rPr>
          <w:color w:val="auto"/>
          <w:lang w:val="hr-HR"/>
        </w:rPr>
      </w:pPr>
      <w:r w:rsidRPr="00653DCF">
        <w:rPr>
          <w:color w:val="auto"/>
          <w:lang w:val="hr-HR"/>
        </w:rPr>
        <w:t>d</w:t>
      </w:r>
      <w:r w:rsidR="00E87B0B" w:rsidRPr="00653DCF">
        <w:rPr>
          <w:color w:val="auto"/>
          <w:lang w:val="hr-HR"/>
        </w:rPr>
        <w:t>atum</w:t>
      </w:r>
      <w:r w:rsidRPr="00653DCF">
        <w:rPr>
          <w:color w:val="auto"/>
          <w:lang w:val="hr-HR"/>
        </w:rPr>
        <w:t>e</w:t>
      </w:r>
      <w:r w:rsidR="00E87B0B" w:rsidRPr="00653DCF">
        <w:rPr>
          <w:color w:val="auto"/>
          <w:lang w:val="hr-HR"/>
        </w:rPr>
        <w:t xml:space="preserve"> plaćanja odabran</w:t>
      </w:r>
      <w:r w:rsidRPr="00653DCF">
        <w:rPr>
          <w:color w:val="auto"/>
          <w:lang w:val="hr-HR"/>
        </w:rPr>
        <w:t>e</w:t>
      </w:r>
      <w:r w:rsidR="00E87B0B" w:rsidRPr="00653DCF">
        <w:rPr>
          <w:color w:val="auto"/>
          <w:lang w:val="hr-HR"/>
        </w:rPr>
        <w:t xml:space="preserve"> u skladu s odredbama članka</w:t>
      </w:r>
      <w:r w:rsidR="00B84C94"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_Ref426639513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3</w:t>
      </w:r>
      <w:r w:rsidR="00E87B0B" w:rsidRPr="00653DCF">
        <w:rPr>
          <w:color w:val="auto"/>
          <w:lang w:val="hr-HR"/>
        </w:rPr>
        <w:fldChar w:fldCharType="end"/>
      </w:r>
      <w:r w:rsidR="00B84C94" w:rsidRPr="00653DCF">
        <w:rPr>
          <w:color w:val="auto"/>
          <w:lang w:val="hr-HR"/>
        </w:rPr>
        <w:t>.</w:t>
      </w:r>
      <w:r w:rsidR="00D659F8" w:rsidRPr="00653DCF">
        <w:rPr>
          <w:color w:val="auto"/>
          <w:lang w:val="hr-HR"/>
        </w:rPr>
        <w:t>;</w:t>
      </w:r>
      <w:r w:rsidR="00E87B0B" w:rsidRPr="00653DCF">
        <w:rPr>
          <w:color w:val="auto"/>
          <w:lang w:val="hr-HR"/>
        </w:rPr>
        <w:t xml:space="preserve"> </w:t>
      </w:r>
    </w:p>
    <w:p w14:paraId="68218670" w14:textId="73794CB4" w:rsidR="007A2A6F" w:rsidRPr="00653DCF" w:rsidRDefault="00E87B0B">
      <w:pPr>
        <w:pStyle w:val="NoIndentEIB"/>
        <w:numPr>
          <w:ilvl w:val="0"/>
          <w:numId w:val="9"/>
        </w:numPr>
        <w:rPr>
          <w:color w:val="auto"/>
          <w:lang w:val="hr-HR"/>
        </w:rPr>
      </w:pPr>
      <w:r w:rsidRPr="00653DCF">
        <w:rPr>
          <w:color w:val="auto"/>
          <w:lang w:val="hr-HR"/>
        </w:rPr>
        <w:t xml:space="preserve">iznos </w:t>
      </w:r>
      <w:r w:rsidR="00B84C94" w:rsidRPr="00653DCF">
        <w:rPr>
          <w:color w:val="auto"/>
          <w:lang w:val="hr-HR"/>
        </w:rPr>
        <w:t xml:space="preserve">tranše </w:t>
      </w:r>
      <w:r w:rsidR="000D1BBE" w:rsidRPr="00653DCF">
        <w:rPr>
          <w:color w:val="auto"/>
          <w:lang w:val="hr-HR"/>
        </w:rPr>
        <w:t>n</w:t>
      </w:r>
      <w:r w:rsidR="00B84C94" w:rsidRPr="00653DCF">
        <w:rPr>
          <w:color w:val="auto"/>
          <w:lang w:val="hr-HR"/>
        </w:rPr>
        <w:t>a</w:t>
      </w:r>
      <w:r w:rsidR="000D1BBE" w:rsidRPr="00653DCF">
        <w:rPr>
          <w:color w:val="auto"/>
          <w:lang w:val="hr-HR"/>
        </w:rPr>
        <w:t xml:space="preserve"> će se</w:t>
      </w:r>
      <w:r w:rsidR="00B84C94" w:rsidRPr="00653DCF">
        <w:rPr>
          <w:color w:val="auto"/>
          <w:lang w:val="hr-HR"/>
        </w:rPr>
        <w:t xml:space="preserve"> </w:t>
      </w:r>
      <w:r w:rsidR="000D1BBE" w:rsidRPr="00653DCF">
        <w:rPr>
          <w:color w:val="auto"/>
          <w:lang w:val="hr-HR"/>
        </w:rPr>
        <w:t xml:space="preserve">primjenjivati </w:t>
      </w:r>
      <w:r w:rsidR="00B84C94" w:rsidRPr="00653DCF">
        <w:rPr>
          <w:color w:val="auto"/>
          <w:lang w:val="hr-HR"/>
        </w:rPr>
        <w:t>revizija/konverzija kamatne stope;</w:t>
      </w:r>
      <w:r w:rsidRPr="00653DCF">
        <w:rPr>
          <w:color w:val="auto"/>
          <w:lang w:val="hr-HR"/>
        </w:rPr>
        <w:t xml:space="preserve"> i</w:t>
      </w:r>
    </w:p>
    <w:p w14:paraId="692F764A" w14:textId="241AF91B" w:rsidR="007A2A6F" w:rsidRPr="00653DCF" w:rsidRDefault="00B84C94">
      <w:pPr>
        <w:pStyle w:val="NoIndentEIB"/>
        <w:numPr>
          <w:ilvl w:val="0"/>
          <w:numId w:val="9"/>
        </w:numPr>
        <w:rPr>
          <w:color w:val="auto"/>
          <w:lang w:val="hr-HR"/>
        </w:rPr>
      </w:pPr>
      <w:r w:rsidRPr="00653DCF">
        <w:rPr>
          <w:color w:val="auto"/>
          <w:lang w:val="hr-HR"/>
        </w:rPr>
        <w:t xml:space="preserve">bilo koji </w:t>
      </w:r>
      <w:r w:rsidR="0098376C" w:rsidRPr="00653DCF">
        <w:rPr>
          <w:color w:val="auto"/>
          <w:lang w:val="hr-HR"/>
        </w:rPr>
        <w:t>daljnji</w:t>
      </w:r>
      <w:r w:rsidRPr="00653DCF">
        <w:rPr>
          <w:color w:val="auto"/>
          <w:lang w:val="hr-HR"/>
        </w:rPr>
        <w:t xml:space="preserve"> datum revizije/</w:t>
      </w:r>
      <w:r w:rsidR="00151370" w:rsidRPr="00653DCF">
        <w:rPr>
          <w:color w:val="auto"/>
          <w:lang w:val="hr-HR"/>
        </w:rPr>
        <w:t xml:space="preserve">konverzije kamata </w:t>
      </w:r>
      <w:r w:rsidR="00E87B0B" w:rsidRPr="00653DCF">
        <w:rPr>
          <w:color w:val="auto"/>
          <w:lang w:val="hr-HR"/>
        </w:rPr>
        <w:t>odabran u skladu s člankom</w:t>
      </w:r>
      <w:r w:rsidR="000079B5"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_Ref426639513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3</w:t>
      </w:r>
      <w:r w:rsidR="00E87B0B" w:rsidRPr="00653DCF">
        <w:rPr>
          <w:color w:val="auto"/>
          <w:lang w:val="hr-HR"/>
        </w:rPr>
        <w:fldChar w:fldCharType="end"/>
      </w:r>
      <w:r w:rsidR="00E87B0B" w:rsidRPr="00653DCF">
        <w:rPr>
          <w:color w:val="auto"/>
          <w:lang w:val="hr-HR"/>
        </w:rPr>
        <w:t>.</w:t>
      </w:r>
    </w:p>
    <w:p w14:paraId="433A9165" w14:textId="6F05EFC4" w:rsidR="007A11AA" w:rsidRPr="00653DCF" w:rsidRDefault="007A11AA" w:rsidP="007A11AA">
      <w:pPr>
        <w:widowControl w:val="0"/>
        <w:rPr>
          <w:color w:val="auto"/>
          <w:lang w:val="hr-HR"/>
        </w:rPr>
      </w:pPr>
      <w:r w:rsidRPr="00653DCF">
        <w:rPr>
          <w:color w:val="auto"/>
          <w:lang w:val="hr-HR"/>
        </w:rPr>
        <w:t>„</w:t>
      </w:r>
      <w:bookmarkStart w:id="31" w:name="_Hlk148971668"/>
      <w:r w:rsidRPr="00653DCF">
        <w:rPr>
          <w:b/>
          <w:color w:val="auto"/>
          <w:lang w:val="hr-HR"/>
        </w:rPr>
        <w:t>Zakon o sklapanju i izvršavanju međunarodnih ugovora</w:t>
      </w:r>
      <w:bookmarkEnd w:id="31"/>
      <w:r w:rsidRPr="00653DCF">
        <w:rPr>
          <w:color w:val="auto"/>
          <w:lang w:val="hr-HR"/>
        </w:rPr>
        <w:t>” znači Zakon o sklapanju i izvršavanju međunarodnih ugovora Republike Hrvatske objavljen u Narodnim novinama br. 28/96</w:t>
      </w:r>
      <w:r w:rsidR="00CF2F17" w:rsidRPr="00653DCF">
        <w:rPr>
          <w:color w:val="auto"/>
          <w:lang w:val="hr-HR"/>
        </w:rPr>
        <w:t>.</w:t>
      </w:r>
      <w:r w:rsidRPr="00653DCF">
        <w:rPr>
          <w:color w:val="auto"/>
          <w:lang w:val="hr-HR"/>
        </w:rPr>
        <w:t xml:space="preserve"> od 20. travnja 1996., onako kako je taj zakon izmijenjen, dopunjen ili prepravljen.</w:t>
      </w:r>
    </w:p>
    <w:p w14:paraId="5CD9DB88" w14:textId="63A43676" w:rsidR="007A2A6F" w:rsidRPr="00653DCF" w:rsidRDefault="00E87B0B">
      <w:pPr>
        <w:rPr>
          <w:color w:val="auto"/>
          <w:lang w:val="hr-HR"/>
        </w:rPr>
      </w:pPr>
      <w:r w:rsidRPr="00653DCF">
        <w:rPr>
          <w:color w:val="auto"/>
          <w:lang w:val="hr-HR"/>
        </w:rPr>
        <w:t>„</w:t>
      </w:r>
      <w:r w:rsidR="00151370" w:rsidRPr="00653DCF">
        <w:rPr>
          <w:rStyle w:val="BoldEIB"/>
          <w:color w:val="auto"/>
          <w:lang w:val="hr-HR"/>
        </w:rPr>
        <w:t>p</w:t>
      </w:r>
      <w:r w:rsidRPr="00653DCF">
        <w:rPr>
          <w:rStyle w:val="BoldEIB"/>
          <w:color w:val="auto"/>
          <w:lang w:val="hr-HR"/>
        </w:rPr>
        <w:t>ismo o dodjeli</w:t>
      </w:r>
      <w:r w:rsidR="006C7800" w:rsidRPr="00653DCF">
        <w:rPr>
          <w:rStyle w:val="BoldEIB"/>
          <w:color w:val="auto"/>
          <w:lang w:val="hr-HR"/>
        </w:rPr>
        <w:t xml:space="preserve"> sredstava</w:t>
      </w:r>
      <w:r w:rsidRPr="00653DCF">
        <w:rPr>
          <w:color w:val="auto"/>
          <w:lang w:val="hr-HR"/>
        </w:rPr>
        <w:t xml:space="preserve">” ima značenje </w:t>
      </w:r>
      <w:r w:rsidR="000079B5" w:rsidRPr="00653DCF">
        <w:rPr>
          <w:color w:val="auto"/>
          <w:lang w:val="hr-HR"/>
        </w:rPr>
        <w:t xml:space="preserve">opisano u </w:t>
      </w:r>
      <w:r w:rsidRPr="00653DCF">
        <w:rPr>
          <w:color w:val="auto"/>
          <w:lang w:val="hr-HR"/>
        </w:rPr>
        <w:t>članku</w:t>
      </w:r>
      <w:r w:rsidR="000079B5" w:rsidRPr="00653DCF">
        <w:rPr>
          <w:color w:val="auto"/>
          <w:lang w:val="hr-HR"/>
        </w:rPr>
        <w:t xml:space="preserve"> </w:t>
      </w:r>
      <w:r w:rsidRPr="00653DCF">
        <w:rPr>
          <w:color w:val="auto"/>
          <w:lang w:val="hr-HR"/>
        </w:rPr>
        <w:fldChar w:fldCharType="begin"/>
      </w:r>
      <w:r w:rsidRPr="00653DCF">
        <w:rPr>
          <w:color w:val="auto"/>
          <w:lang w:val="hr-HR"/>
        </w:rPr>
        <w:instrText xml:space="preserve"> REF _Ref440724023 \r \h  \* MERGEFORMAT </w:instrText>
      </w:r>
      <w:r w:rsidRPr="00653DCF">
        <w:rPr>
          <w:color w:val="auto"/>
          <w:lang w:val="hr-HR"/>
        </w:rPr>
      </w:r>
      <w:r w:rsidRPr="00653DCF">
        <w:rPr>
          <w:color w:val="auto"/>
          <w:lang w:val="hr-HR"/>
        </w:rPr>
        <w:fldChar w:fldCharType="separate"/>
      </w:r>
      <w:r w:rsidR="00E5391B">
        <w:rPr>
          <w:color w:val="auto"/>
          <w:lang w:val="hr-HR"/>
        </w:rPr>
        <w:t>1.9.B</w:t>
      </w:r>
      <w:r w:rsidRPr="00653DCF">
        <w:rPr>
          <w:color w:val="auto"/>
          <w:lang w:val="hr-HR"/>
        </w:rPr>
        <w:fldChar w:fldCharType="end"/>
      </w:r>
      <w:r w:rsidRPr="00653DCF">
        <w:rPr>
          <w:color w:val="auto"/>
          <w:lang w:val="hr-HR"/>
        </w:rPr>
        <w:fldChar w:fldCharType="begin"/>
      </w:r>
      <w:r w:rsidRPr="00653DCF">
        <w:rPr>
          <w:color w:val="auto"/>
          <w:lang w:val="hr-HR"/>
        </w:rPr>
        <w:instrText xml:space="preserve"> REF _Ref508526992 \r \h  \* MERGEFORMAT </w:instrText>
      </w:r>
      <w:r w:rsidRPr="00653DCF">
        <w:rPr>
          <w:color w:val="auto"/>
          <w:lang w:val="hr-HR"/>
        </w:rPr>
      </w:r>
      <w:r w:rsidRPr="00653DCF">
        <w:rPr>
          <w:color w:val="auto"/>
          <w:lang w:val="hr-HR"/>
        </w:rPr>
        <w:fldChar w:fldCharType="separate"/>
      </w:r>
      <w:r w:rsidR="00E5391B">
        <w:rPr>
          <w:color w:val="auto"/>
          <w:lang w:val="hr-HR"/>
        </w:rPr>
        <w:t>(d)</w:t>
      </w:r>
      <w:r w:rsidRPr="00653DCF">
        <w:rPr>
          <w:color w:val="auto"/>
          <w:lang w:val="hr-HR"/>
        </w:rPr>
        <w:fldChar w:fldCharType="end"/>
      </w:r>
      <w:r w:rsidR="00D659F8" w:rsidRPr="00653DCF">
        <w:rPr>
          <w:color w:val="auto"/>
          <w:lang w:val="hr-HR"/>
        </w:rPr>
        <w:t>.</w:t>
      </w:r>
    </w:p>
    <w:p w14:paraId="28B34670" w14:textId="241F8CF3" w:rsidR="007A2A6F" w:rsidRPr="00653DCF" w:rsidRDefault="00E87B0B" w:rsidP="00D36DFE">
      <w:pPr>
        <w:rPr>
          <w:color w:val="auto"/>
          <w:lang w:val="hr-HR"/>
        </w:rPr>
      </w:pPr>
      <w:r w:rsidRPr="00653DCF">
        <w:rPr>
          <w:color w:val="auto"/>
          <w:lang w:val="hr-HR"/>
        </w:rPr>
        <w:t>„</w:t>
      </w:r>
      <w:r w:rsidR="00151370" w:rsidRPr="00653DCF">
        <w:rPr>
          <w:rStyle w:val="BoldEIB"/>
          <w:color w:val="auto"/>
          <w:lang w:val="hr-HR"/>
        </w:rPr>
        <w:t>p</w:t>
      </w:r>
      <w:r w:rsidRPr="00653DCF">
        <w:rPr>
          <w:rStyle w:val="BoldEIB"/>
          <w:color w:val="auto"/>
          <w:lang w:val="hr-HR"/>
        </w:rPr>
        <w:t>opis ovlaštenih potpisnika i računa</w:t>
      </w:r>
      <w:r w:rsidRPr="00653DCF">
        <w:rPr>
          <w:color w:val="auto"/>
          <w:lang w:val="hr-HR"/>
        </w:rPr>
        <w:t xml:space="preserve">” znači popis, u obliku i sadržaju </w:t>
      </w:r>
      <w:r w:rsidR="00D36DFE" w:rsidRPr="00653DCF">
        <w:rPr>
          <w:color w:val="auto"/>
          <w:lang w:val="hr-HR"/>
        </w:rPr>
        <w:t>prihvatljivom Banci, kojim se utvrđuju</w:t>
      </w:r>
      <w:r w:rsidRPr="00653DCF">
        <w:rPr>
          <w:color w:val="auto"/>
          <w:lang w:val="hr-HR"/>
        </w:rPr>
        <w:t xml:space="preserve">: </w:t>
      </w:r>
    </w:p>
    <w:p w14:paraId="1CC36A9A" w14:textId="06A51A33" w:rsidR="00196218" w:rsidRPr="00653DCF" w:rsidRDefault="00D36DFE">
      <w:pPr>
        <w:pStyle w:val="NoIndentEIB"/>
        <w:numPr>
          <w:ilvl w:val="0"/>
          <w:numId w:val="59"/>
        </w:numPr>
        <w:rPr>
          <w:color w:val="auto"/>
          <w:lang w:val="hr-HR"/>
        </w:rPr>
      </w:pPr>
      <w:r w:rsidRPr="00653DCF">
        <w:rPr>
          <w:color w:val="auto"/>
          <w:lang w:val="hr-HR"/>
        </w:rPr>
        <w:t xml:space="preserve">ovlašteni potpisnici, popraćen dokazom o ovlaštenju osoba ovlaštenih za potpisivanje navedenih na </w:t>
      </w:r>
      <w:r w:rsidR="007E748A" w:rsidRPr="00653DCF">
        <w:rPr>
          <w:color w:val="auto"/>
          <w:lang w:val="hr-HR"/>
        </w:rPr>
        <w:t>popisu</w:t>
      </w:r>
      <w:r w:rsidR="00B21CBE" w:rsidRPr="00653DCF">
        <w:rPr>
          <w:color w:val="auto"/>
          <w:lang w:val="hr-HR"/>
        </w:rPr>
        <w:t>,</w:t>
      </w:r>
      <w:r w:rsidRPr="00653DCF">
        <w:rPr>
          <w:color w:val="auto"/>
          <w:lang w:val="hr-HR"/>
        </w:rPr>
        <w:t xml:space="preserve"> uz napomenu imaju li pojedinačnu ili skupnu ovlast za potpisivanje</w:t>
      </w:r>
      <w:r w:rsidR="00D659F8" w:rsidRPr="00653DCF">
        <w:rPr>
          <w:color w:val="auto"/>
          <w:lang w:val="hr-HR"/>
        </w:rPr>
        <w:t>;</w:t>
      </w:r>
    </w:p>
    <w:p w14:paraId="7F6FA9C5" w14:textId="23295D22" w:rsidR="007A2A6F" w:rsidRPr="00653DCF" w:rsidRDefault="00290BF5">
      <w:pPr>
        <w:pStyle w:val="NoIndentEIB"/>
        <w:numPr>
          <w:ilvl w:val="0"/>
          <w:numId w:val="59"/>
        </w:numPr>
        <w:rPr>
          <w:color w:val="auto"/>
          <w:lang w:val="hr-HR"/>
        </w:rPr>
      </w:pPr>
      <w:r w:rsidRPr="00653DCF">
        <w:rPr>
          <w:color w:val="auto"/>
          <w:lang w:val="hr-HR"/>
        </w:rPr>
        <w:t>uzorci potpisa tih osoba</w:t>
      </w:r>
      <w:r w:rsidR="00E87B0B" w:rsidRPr="00653DCF">
        <w:rPr>
          <w:color w:val="auto"/>
          <w:lang w:val="hr-HR"/>
        </w:rPr>
        <w:t xml:space="preserve">; </w:t>
      </w:r>
    </w:p>
    <w:p w14:paraId="6C2670A1" w14:textId="0AF207CA" w:rsidR="007A2A6F" w:rsidRPr="00653DCF" w:rsidRDefault="00E87B0B">
      <w:pPr>
        <w:pStyle w:val="NoIndentEIB"/>
        <w:numPr>
          <w:ilvl w:val="0"/>
          <w:numId w:val="59"/>
        </w:numPr>
        <w:rPr>
          <w:color w:val="auto"/>
          <w:lang w:val="hr-HR"/>
        </w:rPr>
      </w:pPr>
      <w:r w:rsidRPr="00653DCF">
        <w:rPr>
          <w:color w:val="auto"/>
          <w:lang w:val="hr-HR"/>
        </w:rPr>
        <w:t>bankovni račun</w:t>
      </w:r>
      <w:r w:rsidR="003626A6" w:rsidRPr="00653DCF">
        <w:rPr>
          <w:color w:val="auto"/>
          <w:lang w:val="hr-HR"/>
        </w:rPr>
        <w:t>/</w:t>
      </w:r>
      <w:r w:rsidRPr="00653DCF">
        <w:rPr>
          <w:color w:val="auto"/>
          <w:lang w:val="hr-HR"/>
        </w:rPr>
        <w:t>i na koj</w:t>
      </w:r>
      <w:r w:rsidR="00196218" w:rsidRPr="00653DCF">
        <w:rPr>
          <w:color w:val="auto"/>
          <w:lang w:val="hr-HR"/>
        </w:rPr>
        <w:t>i</w:t>
      </w:r>
      <w:r w:rsidR="003626A6" w:rsidRPr="00653DCF">
        <w:rPr>
          <w:color w:val="auto"/>
          <w:lang w:val="hr-HR"/>
        </w:rPr>
        <w:t>/</w:t>
      </w:r>
      <w:r w:rsidRPr="00653DCF">
        <w:rPr>
          <w:color w:val="auto"/>
          <w:lang w:val="hr-HR"/>
        </w:rPr>
        <w:t>e se mogu vršiti isplate u skladu s ovim Ugovorom (</w:t>
      </w:r>
      <w:r w:rsidR="006F504C" w:rsidRPr="00653DCF">
        <w:rPr>
          <w:color w:val="auto"/>
          <w:lang w:val="hr-HR"/>
        </w:rPr>
        <w:t xml:space="preserve">uz oznaku </w:t>
      </w:r>
      <w:r w:rsidRPr="00653DCF">
        <w:rPr>
          <w:color w:val="auto"/>
          <w:lang w:val="hr-HR"/>
        </w:rPr>
        <w:t>IBAN</w:t>
      </w:r>
      <w:r w:rsidR="00196218" w:rsidRPr="00653DCF">
        <w:rPr>
          <w:color w:val="auto"/>
          <w:lang w:val="hr-HR"/>
        </w:rPr>
        <w:t>-a</w:t>
      </w:r>
      <w:r w:rsidRPr="00653DCF">
        <w:rPr>
          <w:color w:val="auto"/>
          <w:lang w:val="hr-HR"/>
        </w:rPr>
        <w:t xml:space="preserve"> ako je država uključena u Registar IBAN-a koji objavljuje SWIFT ili u odgovarajućem formatu računa u skladu s lokalnom bankarskom praksom</w:t>
      </w:r>
      <w:r w:rsidR="009C34AF" w:rsidRPr="00653DCF">
        <w:rPr>
          <w:color w:val="auto"/>
          <w:lang w:val="hr-HR"/>
        </w:rPr>
        <w:t xml:space="preserve"> zemlje</w:t>
      </w:r>
      <w:r w:rsidRPr="00653DCF">
        <w:rPr>
          <w:color w:val="auto"/>
          <w:lang w:val="hr-HR"/>
        </w:rPr>
        <w:t xml:space="preserve">), BIC/SWIFT </w:t>
      </w:r>
      <w:r w:rsidR="00563354" w:rsidRPr="00653DCF">
        <w:rPr>
          <w:color w:val="auto"/>
          <w:lang w:val="hr-HR"/>
        </w:rPr>
        <w:t xml:space="preserve">kod </w:t>
      </w:r>
      <w:r w:rsidRPr="00653DCF">
        <w:rPr>
          <w:color w:val="auto"/>
          <w:lang w:val="hr-HR"/>
        </w:rPr>
        <w:t xml:space="preserve">banke i </w:t>
      </w:r>
      <w:r w:rsidR="008E7F1C" w:rsidRPr="00653DCF">
        <w:rPr>
          <w:color w:val="auto"/>
          <w:lang w:val="hr-HR"/>
        </w:rPr>
        <w:t xml:space="preserve">naziv </w:t>
      </w:r>
      <w:r w:rsidRPr="00653DCF">
        <w:rPr>
          <w:color w:val="auto"/>
          <w:lang w:val="hr-HR"/>
        </w:rPr>
        <w:t>korisnika bankovn</w:t>
      </w:r>
      <w:r w:rsidR="006F504C" w:rsidRPr="00653DCF">
        <w:rPr>
          <w:color w:val="auto"/>
          <w:lang w:val="hr-HR"/>
        </w:rPr>
        <w:t>og</w:t>
      </w:r>
      <w:r w:rsidR="003626A6" w:rsidRPr="00653DCF">
        <w:rPr>
          <w:color w:val="auto"/>
          <w:lang w:val="hr-HR"/>
        </w:rPr>
        <w:t>/</w:t>
      </w:r>
      <w:r w:rsidRPr="00653DCF">
        <w:rPr>
          <w:color w:val="auto"/>
          <w:lang w:val="hr-HR"/>
        </w:rPr>
        <w:t xml:space="preserve">ih računa, zajedno s dokazima da su takvi računi otvoreni </w:t>
      </w:r>
      <w:r w:rsidR="006228F5" w:rsidRPr="00653DCF">
        <w:rPr>
          <w:color w:val="auto"/>
          <w:lang w:val="hr-HR"/>
        </w:rPr>
        <w:t xml:space="preserve">na ime </w:t>
      </w:r>
      <w:r w:rsidR="009C34AF" w:rsidRPr="00653DCF">
        <w:rPr>
          <w:color w:val="auto"/>
          <w:lang w:val="hr-HR"/>
        </w:rPr>
        <w:t xml:space="preserve">tog </w:t>
      </w:r>
      <w:r w:rsidRPr="00653DCF">
        <w:rPr>
          <w:color w:val="auto"/>
          <w:lang w:val="hr-HR"/>
        </w:rPr>
        <w:t>korisnika; i</w:t>
      </w:r>
    </w:p>
    <w:p w14:paraId="1ABBDEF2" w14:textId="4A1755E4" w:rsidR="007A2A6F" w:rsidRPr="00653DCF" w:rsidRDefault="00E87B0B">
      <w:pPr>
        <w:pStyle w:val="ListParagraph"/>
        <w:numPr>
          <w:ilvl w:val="0"/>
          <w:numId w:val="59"/>
        </w:numPr>
        <w:rPr>
          <w:color w:val="auto"/>
          <w:lang w:val="hr-HR"/>
        </w:rPr>
      </w:pPr>
      <w:r w:rsidRPr="00653DCF">
        <w:rPr>
          <w:color w:val="auto"/>
          <w:lang w:val="hr-HR"/>
        </w:rPr>
        <w:t>bankovni račun</w:t>
      </w:r>
      <w:r w:rsidR="003626A6" w:rsidRPr="00653DCF">
        <w:rPr>
          <w:color w:val="auto"/>
          <w:lang w:val="hr-HR"/>
        </w:rPr>
        <w:t>/</w:t>
      </w:r>
      <w:r w:rsidRPr="00653DCF">
        <w:rPr>
          <w:color w:val="auto"/>
          <w:lang w:val="hr-HR"/>
        </w:rPr>
        <w:t>i s koj</w:t>
      </w:r>
      <w:r w:rsidR="006228F5" w:rsidRPr="00653DCF">
        <w:rPr>
          <w:color w:val="auto"/>
          <w:lang w:val="hr-HR"/>
        </w:rPr>
        <w:t>eg</w:t>
      </w:r>
      <w:r w:rsidR="003626A6" w:rsidRPr="00653DCF">
        <w:rPr>
          <w:color w:val="auto"/>
          <w:lang w:val="hr-HR"/>
        </w:rPr>
        <w:t>/</w:t>
      </w:r>
      <w:r w:rsidRPr="00653DCF">
        <w:rPr>
          <w:color w:val="auto"/>
          <w:lang w:val="hr-HR"/>
        </w:rPr>
        <w:t>ih će Zajmoprimac vršiti plaćanja na temelju ovog Ugovora (</w:t>
      </w:r>
      <w:r w:rsidR="006228F5" w:rsidRPr="00653DCF">
        <w:rPr>
          <w:color w:val="auto"/>
          <w:lang w:val="hr-HR"/>
        </w:rPr>
        <w:t xml:space="preserve">uz oznaku </w:t>
      </w:r>
      <w:r w:rsidRPr="00653DCF">
        <w:rPr>
          <w:color w:val="auto"/>
          <w:lang w:val="hr-HR"/>
        </w:rPr>
        <w:t>IBAN</w:t>
      </w:r>
      <w:r w:rsidR="006228F5" w:rsidRPr="00653DCF">
        <w:rPr>
          <w:color w:val="auto"/>
          <w:lang w:val="hr-HR"/>
        </w:rPr>
        <w:t>-a</w:t>
      </w:r>
      <w:r w:rsidRPr="00653DCF">
        <w:rPr>
          <w:color w:val="auto"/>
          <w:lang w:val="hr-HR"/>
        </w:rPr>
        <w:t xml:space="preserve"> ako je država uključena u registar IBAN-a koji objavljuje SWIFT ili u odgovarajućem </w:t>
      </w:r>
      <w:r w:rsidR="006228F5" w:rsidRPr="00653DCF">
        <w:rPr>
          <w:color w:val="auto"/>
          <w:lang w:val="hr-HR"/>
        </w:rPr>
        <w:t xml:space="preserve">formatu </w:t>
      </w:r>
      <w:r w:rsidRPr="00653DCF">
        <w:rPr>
          <w:color w:val="auto"/>
          <w:lang w:val="hr-HR"/>
        </w:rPr>
        <w:t xml:space="preserve">računa u skladu s lokalnom </w:t>
      </w:r>
      <w:r w:rsidR="008E7F1C" w:rsidRPr="00653DCF">
        <w:rPr>
          <w:color w:val="auto"/>
          <w:lang w:val="hr-HR"/>
        </w:rPr>
        <w:t xml:space="preserve">bankovnom </w:t>
      </w:r>
      <w:r w:rsidRPr="00653DCF">
        <w:rPr>
          <w:color w:val="auto"/>
          <w:lang w:val="hr-HR"/>
        </w:rPr>
        <w:t>praksom</w:t>
      </w:r>
      <w:r w:rsidR="008E7F1C" w:rsidRPr="00653DCF">
        <w:rPr>
          <w:color w:val="auto"/>
          <w:lang w:val="hr-HR"/>
        </w:rPr>
        <w:t xml:space="preserve"> zemlje</w:t>
      </w:r>
      <w:r w:rsidRPr="00653DCF">
        <w:rPr>
          <w:color w:val="auto"/>
          <w:lang w:val="hr-HR"/>
        </w:rPr>
        <w:t xml:space="preserve">), BIC/SWIFT kod banke i </w:t>
      </w:r>
      <w:r w:rsidR="00563354" w:rsidRPr="00653DCF">
        <w:rPr>
          <w:color w:val="auto"/>
          <w:lang w:val="hr-HR"/>
        </w:rPr>
        <w:t>naziv</w:t>
      </w:r>
      <w:r w:rsidRPr="00653DCF">
        <w:rPr>
          <w:color w:val="auto"/>
          <w:lang w:val="hr-HR"/>
        </w:rPr>
        <w:t xml:space="preserve"> korisnika bankovnog</w:t>
      </w:r>
      <w:r w:rsidR="00041F89" w:rsidRPr="00653DCF">
        <w:rPr>
          <w:color w:val="auto"/>
          <w:lang w:val="hr-HR"/>
        </w:rPr>
        <w:t>/</w:t>
      </w:r>
      <w:r w:rsidR="006228F5" w:rsidRPr="00653DCF">
        <w:rPr>
          <w:color w:val="auto"/>
          <w:lang w:val="hr-HR"/>
        </w:rPr>
        <w:t>ih</w:t>
      </w:r>
      <w:r w:rsidRPr="00653DCF">
        <w:rPr>
          <w:color w:val="auto"/>
          <w:lang w:val="hr-HR"/>
        </w:rPr>
        <w:t xml:space="preserve"> računa, zajedno s dokazima da su takvi računi otvoreni </w:t>
      </w:r>
      <w:r w:rsidR="006228F5" w:rsidRPr="00653DCF">
        <w:rPr>
          <w:color w:val="auto"/>
          <w:lang w:val="hr-HR"/>
        </w:rPr>
        <w:t xml:space="preserve">na </w:t>
      </w:r>
      <w:r w:rsidRPr="00653DCF">
        <w:rPr>
          <w:color w:val="auto"/>
          <w:lang w:val="hr-HR"/>
        </w:rPr>
        <w:t xml:space="preserve">ime </w:t>
      </w:r>
      <w:r w:rsidR="00DE5424" w:rsidRPr="00653DCF">
        <w:rPr>
          <w:color w:val="auto"/>
          <w:lang w:val="hr-HR"/>
        </w:rPr>
        <w:t xml:space="preserve">tog </w:t>
      </w:r>
      <w:r w:rsidRPr="00653DCF">
        <w:rPr>
          <w:color w:val="auto"/>
          <w:lang w:val="hr-HR"/>
        </w:rPr>
        <w:t>korisnika</w:t>
      </w:r>
      <w:r w:rsidR="00D659F8" w:rsidRPr="00653DCF">
        <w:rPr>
          <w:color w:val="auto"/>
          <w:lang w:val="hr-HR"/>
        </w:rPr>
        <w:t>.</w:t>
      </w:r>
    </w:p>
    <w:p w14:paraId="0C862C6F" w14:textId="05B552DD" w:rsidR="007A2A6F" w:rsidRPr="00653DCF" w:rsidRDefault="00E87B0B">
      <w:pPr>
        <w:rPr>
          <w:color w:val="auto"/>
          <w:lang w:val="hr-HR"/>
        </w:rPr>
      </w:pPr>
      <w:r w:rsidRPr="00653DCF">
        <w:rPr>
          <w:color w:val="auto"/>
          <w:lang w:val="hr-HR"/>
        </w:rPr>
        <w:t>„</w:t>
      </w:r>
      <w:r w:rsidR="00892D01" w:rsidRPr="00653DCF">
        <w:rPr>
          <w:b/>
          <w:color w:val="auto"/>
          <w:lang w:val="hr-HR"/>
        </w:rPr>
        <w:t>z</w:t>
      </w:r>
      <w:r w:rsidRPr="00653DCF">
        <w:rPr>
          <w:b/>
          <w:color w:val="auto"/>
          <w:lang w:val="hr-HR"/>
        </w:rPr>
        <w:t>ajam</w:t>
      </w:r>
      <w:r w:rsidRPr="00653DCF">
        <w:rPr>
          <w:color w:val="auto"/>
          <w:lang w:val="hr-HR"/>
        </w:rPr>
        <w:t xml:space="preserve">” </w:t>
      </w:r>
      <w:r w:rsidR="00AB5E46" w:rsidRPr="00653DCF">
        <w:rPr>
          <w:color w:val="auto"/>
          <w:lang w:val="hr-HR"/>
        </w:rPr>
        <w:t>znači ukupni iznosi koje Banka s vremena na vrijeme isplaćuje na temelju ovog Ugovora</w:t>
      </w:r>
      <w:r w:rsidR="00D659F8" w:rsidRPr="00653DCF">
        <w:rPr>
          <w:color w:val="auto"/>
          <w:lang w:val="hr-HR"/>
        </w:rPr>
        <w:t>.</w:t>
      </w:r>
    </w:p>
    <w:p w14:paraId="12635FE4" w14:textId="34C5FBE7" w:rsidR="007A2A6F" w:rsidRPr="00653DCF" w:rsidRDefault="00E87B0B">
      <w:pPr>
        <w:rPr>
          <w:color w:val="auto"/>
          <w:lang w:val="hr-HR"/>
        </w:rPr>
      </w:pPr>
      <w:r w:rsidRPr="00653DCF">
        <w:rPr>
          <w:b/>
          <w:color w:val="auto"/>
          <w:lang w:val="hr-HR"/>
        </w:rPr>
        <w:t>„</w:t>
      </w:r>
      <w:r w:rsidR="00237E88" w:rsidRPr="00653DCF">
        <w:rPr>
          <w:b/>
          <w:color w:val="auto"/>
          <w:lang w:val="hr-HR"/>
        </w:rPr>
        <w:t>preostali zajam</w:t>
      </w:r>
      <w:r w:rsidRPr="00653DCF">
        <w:rPr>
          <w:color w:val="auto"/>
          <w:lang w:val="hr-HR"/>
        </w:rPr>
        <w:t>”</w:t>
      </w:r>
      <w:r w:rsidR="00237E88" w:rsidRPr="00653DCF">
        <w:rPr>
          <w:color w:val="auto"/>
          <w:lang w:val="hr-HR"/>
        </w:rPr>
        <w:t xml:space="preserve"> </w:t>
      </w:r>
      <w:r w:rsidR="00CE78A9" w:rsidRPr="00653DCF">
        <w:rPr>
          <w:color w:val="auto"/>
          <w:lang w:val="hr-HR"/>
        </w:rPr>
        <w:t>z</w:t>
      </w:r>
      <w:r w:rsidR="00237E88" w:rsidRPr="00653DCF">
        <w:rPr>
          <w:color w:val="auto"/>
          <w:lang w:val="hr-HR"/>
        </w:rPr>
        <w:t>nači ukupni iznosi koje Banka s vremena na vrijeme isplaćuje na temelju ovog Ugovora koji su ostali neisplaćeni</w:t>
      </w:r>
      <w:r w:rsidR="00D659F8" w:rsidRPr="00653DCF">
        <w:rPr>
          <w:color w:val="auto"/>
          <w:lang w:val="hr-HR"/>
        </w:rPr>
        <w:t>.</w:t>
      </w:r>
    </w:p>
    <w:p w14:paraId="3E07E2B9" w14:textId="63744BAF" w:rsidR="007A2A6F" w:rsidRPr="00653DCF" w:rsidRDefault="00E87B0B">
      <w:pPr>
        <w:rPr>
          <w:color w:val="auto"/>
          <w:lang w:val="hr-HR"/>
        </w:rPr>
      </w:pPr>
      <w:r w:rsidRPr="00653DCF">
        <w:rPr>
          <w:color w:val="auto"/>
          <w:lang w:val="hr-HR"/>
        </w:rPr>
        <w:t>„</w:t>
      </w:r>
      <w:r w:rsidR="00892D01" w:rsidRPr="00653DCF">
        <w:rPr>
          <w:rStyle w:val="BoldEIB"/>
          <w:color w:val="auto"/>
          <w:lang w:val="hr-HR"/>
        </w:rPr>
        <w:t>d</w:t>
      </w:r>
      <w:r w:rsidRPr="00653DCF">
        <w:rPr>
          <w:rStyle w:val="BoldEIB"/>
          <w:color w:val="auto"/>
          <w:lang w:val="hr-HR"/>
        </w:rPr>
        <w:t xml:space="preserve">ogađaj </w:t>
      </w:r>
      <w:r w:rsidR="00892D01" w:rsidRPr="00653DCF">
        <w:rPr>
          <w:rStyle w:val="BoldEIB"/>
          <w:color w:val="auto"/>
          <w:lang w:val="hr-HR"/>
        </w:rPr>
        <w:t xml:space="preserve">narušavanja </w:t>
      </w:r>
      <w:r w:rsidRPr="00653DCF">
        <w:rPr>
          <w:rStyle w:val="BoldEIB"/>
          <w:color w:val="auto"/>
          <w:lang w:val="hr-HR"/>
        </w:rPr>
        <w:t>tržišta</w:t>
      </w:r>
      <w:r w:rsidRPr="00653DCF">
        <w:rPr>
          <w:color w:val="auto"/>
          <w:lang w:val="hr-HR"/>
        </w:rPr>
        <w:t>” znači bilo koj</w:t>
      </w:r>
      <w:r w:rsidR="00B94F50" w:rsidRPr="00653DCF">
        <w:rPr>
          <w:color w:val="auto"/>
          <w:lang w:val="hr-HR"/>
        </w:rPr>
        <w:t>u</w:t>
      </w:r>
      <w:r w:rsidRPr="00653DCF">
        <w:rPr>
          <w:color w:val="auto"/>
          <w:lang w:val="hr-HR"/>
        </w:rPr>
        <w:t xml:space="preserve"> od sljedećih okolnosti: </w:t>
      </w:r>
    </w:p>
    <w:p w14:paraId="4F91BB6F" w14:textId="7F1B70A9" w:rsidR="007A2A6F" w:rsidRPr="00653DCF" w:rsidRDefault="00B94F50">
      <w:pPr>
        <w:pStyle w:val="NoIndentEIB"/>
        <w:numPr>
          <w:ilvl w:val="0"/>
          <w:numId w:val="10"/>
        </w:numPr>
        <w:rPr>
          <w:color w:val="auto"/>
          <w:lang w:val="hr-HR"/>
        </w:rPr>
      </w:pPr>
      <w:r w:rsidRPr="00653DCF">
        <w:rPr>
          <w:color w:val="auto"/>
          <w:lang w:val="hr-HR"/>
        </w:rPr>
        <w:t xml:space="preserve">ako, </w:t>
      </w:r>
      <w:r w:rsidR="00E87B0B" w:rsidRPr="00653DCF">
        <w:rPr>
          <w:color w:val="auto"/>
          <w:lang w:val="hr-HR"/>
        </w:rPr>
        <w:t xml:space="preserve">prema mišljenju Banke, postoje događaji ili okolnosti koji negativno utječu na pristup Banke njezinim izvorima financiranja; </w:t>
      </w:r>
    </w:p>
    <w:p w14:paraId="24D05E34" w14:textId="5D9287F4" w:rsidR="007A2A6F" w:rsidRPr="00653DCF" w:rsidRDefault="00B4469E">
      <w:pPr>
        <w:pStyle w:val="NoIndentEIB"/>
        <w:numPr>
          <w:ilvl w:val="0"/>
          <w:numId w:val="10"/>
        </w:numPr>
        <w:rPr>
          <w:color w:val="auto"/>
          <w:lang w:val="hr-HR"/>
        </w:rPr>
      </w:pPr>
      <w:r w:rsidRPr="00653DCF">
        <w:rPr>
          <w:color w:val="auto"/>
          <w:lang w:val="hr-HR"/>
        </w:rPr>
        <w:t xml:space="preserve">ako, </w:t>
      </w:r>
      <w:r w:rsidR="00E87B0B" w:rsidRPr="00653DCF">
        <w:rPr>
          <w:color w:val="auto"/>
          <w:lang w:val="hr-HR"/>
        </w:rPr>
        <w:t xml:space="preserve">prema mišljenju Banke, </w:t>
      </w:r>
      <w:r w:rsidR="009A3E1D" w:rsidRPr="00653DCF">
        <w:rPr>
          <w:color w:val="auto"/>
          <w:lang w:val="hr-HR"/>
        </w:rPr>
        <w:t xml:space="preserve">nisu dostupna sredstva iz uobičajenih izvora financiranja Banke za primjereno financiranje </w:t>
      </w:r>
      <w:r w:rsidR="007E748A" w:rsidRPr="00653DCF">
        <w:rPr>
          <w:color w:val="auto"/>
          <w:lang w:val="hr-HR"/>
        </w:rPr>
        <w:t>tranše</w:t>
      </w:r>
      <w:r w:rsidR="009A3E1D" w:rsidRPr="00653DCF">
        <w:rPr>
          <w:color w:val="auto"/>
          <w:lang w:val="hr-HR"/>
        </w:rPr>
        <w:t xml:space="preserve"> u relevantnoj valuti i/</w:t>
      </w:r>
      <w:r w:rsidR="007E748A" w:rsidRPr="00653DCF">
        <w:rPr>
          <w:color w:val="auto"/>
          <w:lang w:val="hr-HR"/>
        </w:rPr>
        <w:t>ili</w:t>
      </w:r>
      <w:r w:rsidR="009A3E1D" w:rsidRPr="00653DCF">
        <w:rPr>
          <w:color w:val="auto"/>
          <w:lang w:val="hr-HR"/>
        </w:rPr>
        <w:t xml:space="preserve"> za </w:t>
      </w:r>
      <w:r w:rsidR="00E87B0B" w:rsidRPr="00653DCF">
        <w:rPr>
          <w:color w:val="auto"/>
          <w:lang w:val="hr-HR"/>
        </w:rPr>
        <w:t xml:space="preserve">relevantno dospijeće i/ili </w:t>
      </w:r>
      <w:r w:rsidRPr="00653DCF">
        <w:rPr>
          <w:color w:val="auto"/>
          <w:lang w:val="hr-HR"/>
        </w:rPr>
        <w:t>u vezi s načinom otplate te tranše</w:t>
      </w:r>
      <w:r w:rsidR="00E87B0B" w:rsidRPr="00653DCF">
        <w:rPr>
          <w:color w:val="auto"/>
          <w:lang w:val="hr-HR"/>
        </w:rPr>
        <w:t>; ili</w:t>
      </w:r>
    </w:p>
    <w:p w14:paraId="68BAB24D" w14:textId="2E9EE94C" w:rsidR="007A2A6F" w:rsidRPr="00653DCF" w:rsidRDefault="00825FA0">
      <w:pPr>
        <w:pStyle w:val="NoIndentEIB"/>
        <w:numPr>
          <w:ilvl w:val="0"/>
          <w:numId w:val="10"/>
        </w:numPr>
        <w:rPr>
          <w:color w:val="auto"/>
          <w:lang w:val="hr-HR"/>
        </w:rPr>
      </w:pPr>
      <w:r w:rsidRPr="00653DCF">
        <w:rPr>
          <w:color w:val="auto"/>
          <w:lang w:val="hr-HR"/>
        </w:rPr>
        <w:t>ako</w:t>
      </w:r>
      <w:r w:rsidR="007B70F5" w:rsidRPr="00653DCF">
        <w:rPr>
          <w:color w:val="auto"/>
          <w:lang w:val="hr-HR"/>
        </w:rPr>
        <w:t xml:space="preserve"> bi</w:t>
      </w:r>
      <w:r w:rsidRPr="00653DCF">
        <w:rPr>
          <w:color w:val="auto"/>
          <w:lang w:val="hr-HR"/>
        </w:rPr>
        <w:t xml:space="preserve">, </w:t>
      </w:r>
      <w:r w:rsidR="00E87B0B" w:rsidRPr="00653DCF">
        <w:rPr>
          <w:color w:val="auto"/>
          <w:lang w:val="hr-HR"/>
        </w:rPr>
        <w:t xml:space="preserve">u odnosu na </w:t>
      </w:r>
      <w:r w:rsidRPr="00653DCF">
        <w:rPr>
          <w:color w:val="auto"/>
          <w:lang w:val="hr-HR"/>
        </w:rPr>
        <w:t>t</w:t>
      </w:r>
      <w:r w:rsidR="00E87B0B" w:rsidRPr="00653DCF">
        <w:rPr>
          <w:color w:val="auto"/>
          <w:lang w:val="hr-HR"/>
        </w:rPr>
        <w:t xml:space="preserve">ranšu </w:t>
      </w:r>
      <w:r w:rsidR="00003D58" w:rsidRPr="00653DCF">
        <w:rPr>
          <w:color w:val="auto"/>
          <w:lang w:val="hr-HR"/>
        </w:rPr>
        <w:t>s promjenjivom kamatnom stopom</w:t>
      </w:r>
      <w:r w:rsidR="00E87B0B" w:rsidRPr="00653DCF">
        <w:rPr>
          <w:color w:val="auto"/>
          <w:lang w:val="hr-HR"/>
        </w:rPr>
        <w:t>:</w:t>
      </w:r>
    </w:p>
    <w:p w14:paraId="5D5723C4" w14:textId="6DDC6ECD" w:rsidR="007A2A6F" w:rsidRPr="00653DCF" w:rsidRDefault="00521869">
      <w:pPr>
        <w:pStyle w:val="NoIndentEIB"/>
        <w:numPr>
          <w:ilvl w:val="1"/>
          <w:numId w:val="10"/>
        </w:numPr>
        <w:rPr>
          <w:color w:val="auto"/>
          <w:lang w:val="hr-HR"/>
        </w:rPr>
      </w:pPr>
      <w:r w:rsidRPr="00653DCF">
        <w:rPr>
          <w:color w:val="auto"/>
          <w:lang w:val="hr-HR"/>
        </w:rPr>
        <w:lastRenderedPageBreak/>
        <w:t xml:space="preserve">trošak </w:t>
      </w:r>
      <w:r w:rsidR="00E87B0B" w:rsidRPr="00653DCF">
        <w:rPr>
          <w:color w:val="auto"/>
          <w:lang w:val="hr-HR"/>
        </w:rPr>
        <w:t xml:space="preserve">pribavljanja sredstava iz izvora financiranja </w:t>
      </w:r>
      <w:r w:rsidR="007B70F5" w:rsidRPr="00653DCF">
        <w:rPr>
          <w:color w:val="auto"/>
          <w:lang w:val="hr-HR"/>
        </w:rPr>
        <w:t xml:space="preserve">Banke </w:t>
      </w:r>
      <w:r w:rsidR="00573CCB" w:rsidRPr="00653DCF">
        <w:rPr>
          <w:color w:val="auto"/>
          <w:lang w:val="hr-HR"/>
        </w:rPr>
        <w:t>(tj. na tržištu novca)</w:t>
      </w:r>
      <w:r w:rsidR="004D36CE" w:rsidRPr="00653DCF">
        <w:rPr>
          <w:color w:val="auto"/>
          <w:lang w:val="hr-HR"/>
        </w:rPr>
        <w:t>, koji određuje Banka,</w:t>
      </w:r>
      <w:r w:rsidR="00573CCB" w:rsidRPr="00653DCF">
        <w:rPr>
          <w:color w:val="auto"/>
          <w:lang w:val="hr-HR"/>
        </w:rPr>
        <w:t xml:space="preserve"> </w:t>
      </w:r>
      <w:r w:rsidR="00E87B0B" w:rsidRPr="00653DCF">
        <w:rPr>
          <w:color w:val="auto"/>
          <w:lang w:val="hr-HR"/>
        </w:rPr>
        <w:t xml:space="preserve">za razdoblje jednako </w:t>
      </w:r>
      <w:r w:rsidR="00260A18" w:rsidRPr="00653DCF">
        <w:rPr>
          <w:color w:val="auto"/>
          <w:lang w:val="hr-HR"/>
        </w:rPr>
        <w:t>r</w:t>
      </w:r>
      <w:r w:rsidR="00E87B0B" w:rsidRPr="00653DCF">
        <w:rPr>
          <w:color w:val="auto"/>
          <w:lang w:val="hr-HR"/>
        </w:rPr>
        <w:t xml:space="preserve">eferentnom razdoblju promjenjive kamatne stope </w:t>
      </w:r>
      <w:r w:rsidR="00911F75" w:rsidRPr="00653DCF">
        <w:rPr>
          <w:color w:val="auto"/>
          <w:lang w:val="hr-HR"/>
        </w:rPr>
        <w:t xml:space="preserve">te tranše </w:t>
      </w:r>
      <w:r w:rsidR="00E87B0B" w:rsidRPr="00653DCF">
        <w:rPr>
          <w:color w:val="auto"/>
          <w:lang w:val="hr-HR"/>
        </w:rPr>
        <w:t>bi</w:t>
      </w:r>
      <w:r w:rsidR="00773325" w:rsidRPr="00653DCF">
        <w:rPr>
          <w:color w:val="auto"/>
          <w:lang w:val="hr-HR"/>
        </w:rPr>
        <w:t>o</w:t>
      </w:r>
      <w:r w:rsidR="00E87B0B" w:rsidRPr="00653DCF">
        <w:rPr>
          <w:color w:val="auto"/>
          <w:lang w:val="hr-HR"/>
        </w:rPr>
        <w:t xml:space="preserve"> veći od EURIBOR-a; ili</w:t>
      </w:r>
    </w:p>
    <w:p w14:paraId="7303F057" w14:textId="3CE8DFE2" w:rsidR="007A2A6F" w:rsidRPr="00653DCF" w:rsidRDefault="00573CCB">
      <w:pPr>
        <w:pStyle w:val="NoIndentEIB"/>
        <w:numPr>
          <w:ilvl w:val="1"/>
          <w:numId w:val="10"/>
        </w:numPr>
        <w:rPr>
          <w:color w:val="auto"/>
          <w:lang w:val="hr-HR"/>
        </w:rPr>
      </w:pPr>
      <w:r w:rsidRPr="00653DCF">
        <w:rPr>
          <w:color w:val="auto"/>
          <w:lang w:val="hr-HR"/>
        </w:rPr>
        <w:t>B</w:t>
      </w:r>
      <w:r w:rsidR="00E87B0B" w:rsidRPr="00653DCF">
        <w:rPr>
          <w:color w:val="auto"/>
          <w:lang w:val="hr-HR"/>
        </w:rPr>
        <w:t xml:space="preserve">anka </w:t>
      </w:r>
      <w:r w:rsidR="00911F75" w:rsidRPr="00653DCF">
        <w:rPr>
          <w:color w:val="auto"/>
          <w:lang w:val="hr-HR"/>
        </w:rPr>
        <w:t xml:space="preserve">utvrdila </w:t>
      </w:r>
      <w:r w:rsidR="00E87B0B" w:rsidRPr="00653DCF">
        <w:rPr>
          <w:color w:val="auto"/>
          <w:lang w:val="hr-HR"/>
        </w:rPr>
        <w:t xml:space="preserve">da ne postoje primjerena i </w:t>
      </w:r>
      <w:r w:rsidRPr="00653DCF">
        <w:rPr>
          <w:color w:val="auto"/>
          <w:lang w:val="hr-HR"/>
        </w:rPr>
        <w:t xml:space="preserve">fer </w:t>
      </w:r>
      <w:r w:rsidR="00E87B0B" w:rsidRPr="00653DCF">
        <w:rPr>
          <w:color w:val="auto"/>
          <w:lang w:val="hr-HR"/>
        </w:rPr>
        <w:t>sredstva za utvrđivanje EURIBOR-a</w:t>
      </w:r>
      <w:r w:rsidR="00D659F8" w:rsidRPr="00653DCF">
        <w:rPr>
          <w:color w:val="auto"/>
          <w:lang w:val="hr-HR"/>
        </w:rPr>
        <w:t>.</w:t>
      </w:r>
    </w:p>
    <w:p w14:paraId="2BC42546" w14:textId="211870DC" w:rsidR="007A2A6F" w:rsidRPr="00653DCF" w:rsidRDefault="00E87B0B">
      <w:pPr>
        <w:rPr>
          <w:color w:val="auto"/>
          <w:lang w:val="hr-HR"/>
        </w:rPr>
      </w:pPr>
      <w:r w:rsidRPr="00653DCF">
        <w:rPr>
          <w:color w:val="auto"/>
          <w:lang w:val="hr-HR"/>
        </w:rPr>
        <w:t>„</w:t>
      </w:r>
      <w:r w:rsidR="00773325" w:rsidRPr="00653DCF">
        <w:rPr>
          <w:rStyle w:val="BoldEIB"/>
          <w:color w:val="auto"/>
          <w:lang w:val="hr-HR"/>
        </w:rPr>
        <w:t>z</w:t>
      </w:r>
      <w:r w:rsidRPr="00653DCF">
        <w:rPr>
          <w:rStyle w:val="BoldEIB"/>
          <w:color w:val="auto"/>
          <w:lang w:val="hr-HR"/>
        </w:rPr>
        <w:t xml:space="preserve">načajna </w:t>
      </w:r>
      <w:r w:rsidR="00573CCB" w:rsidRPr="00653DCF">
        <w:rPr>
          <w:rStyle w:val="BoldEIB"/>
          <w:color w:val="auto"/>
          <w:lang w:val="hr-HR"/>
        </w:rPr>
        <w:t>negativna promjena</w:t>
      </w:r>
      <w:r w:rsidRPr="00653DCF">
        <w:rPr>
          <w:rStyle w:val="BoldEIB"/>
          <w:b w:val="0"/>
          <w:color w:val="auto"/>
          <w:lang w:val="hr-HR"/>
        </w:rPr>
        <w:t>”</w:t>
      </w:r>
      <w:r w:rsidRPr="00653DCF">
        <w:rPr>
          <w:color w:val="auto"/>
          <w:lang w:val="hr-HR"/>
        </w:rPr>
        <w:t xml:space="preserve"> znači, u </w:t>
      </w:r>
      <w:r w:rsidR="003B6CF1" w:rsidRPr="00653DCF">
        <w:rPr>
          <w:color w:val="auto"/>
          <w:lang w:val="hr-HR"/>
        </w:rPr>
        <w:t>vezi sa Zajmoprimcem</w:t>
      </w:r>
      <w:r w:rsidRPr="00653DCF">
        <w:rPr>
          <w:color w:val="auto"/>
          <w:lang w:val="hr-HR"/>
        </w:rPr>
        <w:t xml:space="preserve">, </w:t>
      </w:r>
      <w:r w:rsidR="003B6CF1" w:rsidRPr="00653DCF">
        <w:rPr>
          <w:color w:val="auto"/>
          <w:lang w:val="hr-HR"/>
        </w:rPr>
        <w:t xml:space="preserve">bilo koji događaj ili promjena uvjeta </w:t>
      </w:r>
      <w:r w:rsidRPr="00653DCF">
        <w:rPr>
          <w:color w:val="auto"/>
          <w:lang w:val="hr-HR"/>
        </w:rPr>
        <w:t>koja utječe na Zajmoprimca</w:t>
      </w:r>
      <w:r w:rsidR="003B6CF1" w:rsidRPr="00653DCF">
        <w:rPr>
          <w:color w:val="auto"/>
          <w:lang w:val="hr-HR"/>
        </w:rPr>
        <w:t xml:space="preserve"> i koja</w:t>
      </w:r>
      <w:r w:rsidRPr="00653DCF">
        <w:rPr>
          <w:color w:val="auto"/>
          <w:lang w:val="hr-HR"/>
        </w:rPr>
        <w:t xml:space="preserve">, prema mišljenju Banke: </w:t>
      </w:r>
    </w:p>
    <w:p w14:paraId="1472CC14" w14:textId="59B0AFCF" w:rsidR="007A2A6F" w:rsidRPr="00653DCF" w:rsidRDefault="00E87B0B">
      <w:pPr>
        <w:pStyle w:val="NoIndentEIB"/>
        <w:numPr>
          <w:ilvl w:val="0"/>
          <w:numId w:val="11"/>
        </w:numPr>
        <w:rPr>
          <w:color w:val="auto"/>
          <w:lang w:val="hr-HR"/>
        </w:rPr>
      </w:pPr>
      <w:r w:rsidRPr="00653DCF">
        <w:rPr>
          <w:color w:val="auto"/>
          <w:lang w:val="hr-HR"/>
        </w:rPr>
        <w:t xml:space="preserve">značajno </w:t>
      </w:r>
      <w:r w:rsidR="003C098E" w:rsidRPr="00653DCF">
        <w:rPr>
          <w:color w:val="auto"/>
          <w:lang w:val="hr-HR"/>
        </w:rPr>
        <w:t xml:space="preserve">umanjuje </w:t>
      </w:r>
      <w:r w:rsidRPr="00653DCF">
        <w:rPr>
          <w:color w:val="auto"/>
          <w:lang w:val="hr-HR"/>
        </w:rPr>
        <w:t xml:space="preserve">sposobnost Zajmoprimca da </w:t>
      </w:r>
      <w:r w:rsidR="003C098E" w:rsidRPr="00653DCF">
        <w:rPr>
          <w:color w:val="auto"/>
          <w:lang w:val="hr-HR"/>
        </w:rPr>
        <w:t xml:space="preserve">izvršava svoje </w:t>
      </w:r>
      <w:r w:rsidRPr="00653DCF">
        <w:rPr>
          <w:color w:val="auto"/>
          <w:lang w:val="hr-HR"/>
        </w:rPr>
        <w:t xml:space="preserve">financijske ili bilo koje druge obveze iz ovog Ugovora; </w:t>
      </w:r>
    </w:p>
    <w:p w14:paraId="130BC4B4" w14:textId="68519A82" w:rsidR="007A2A6F" w:rsidRPr="00653DCF" w:rsidRDefault="00E87B0B">
      <w:pPr>
        <w:pStyle w:val="NoIndentEIB"/>
        <w:numPr>
          <w:ilvl w:val="0"/>
          <w:numId w:val="11"/>
        </w:numPr>
        <w:rPr>
          <w:color w:val="auto"/>
          <w:lang w:val="hr-HR"/>
        </w:rPr>
      </w:pPr>
      <w:r w:rsidRPr="00653DCF">
        <w:rPr>
          <w:color w:val="auto"/>
          <w:lang w:val="hr-HR"/>
        </w:rPr>
        <w:t xml:space="preserve">značajno </w:t>
      </w:r>
      <w:r w:rsidR="003C098E" w:rsidRPr="00653DCF">
        <w:rPr>
          <w:color w:val="auto"/>
          <w:lang w:val="hr-HR"/>
        </w:rPr>
        <w:t xml:space="preserve">slabi </w:t>
      </w:r>
      <w:r w:rsidRPr="00653DCF">
        <w:rPr>
          <w:color w:val="auto"/>
          <w:lang w:val="hr-HR"/>
        </w:rPr>
        <w:t xml:space="preserve">izglede ili </w:t>
      </w:r>
      <w:r w:rsidR="003C098E" w:rsidRPr="00653DCF">
        <w:rPr>
          <w:color w:val="auto"/>
          <w:lang w:val="hr-HR"/>
        </w:rPr>
        <w:t xml:space="preserve">financijski položaj </w:t>
      </w:r>
      <w:r w:rsidR="002113B4" w:rsidRPr="00653DCF">
        <w:rPr>
          <w:color w:val="auto"/>
          <w:lang w:val="hr-HR"/>
        </w:rPr>
        <w:t>Z</w:t>
      </w:r>
      <w:r w:rsidRPr="00653DCF">
        <w:rPr>
          <w:color w:val="auto"/>
          <w:lang w:val="hr-HR"/>
        </w:rPr>
        <w:t>ajmoprimca; ili</w:t>
      </w:r>
    </w:p>
    <w:p w14:paraId="078942B7" w14:textId="3FB28579" w:rsidR="007A2A6F" w:rsidRPr="00653DCF" w:rsidRDefault="00E87B0B">
      <w:pPr>
        <w:pStyle w:val="NoIndentEIB"/>
        <w:numPr>
          <w:ilvl w:val="0"/>
          <w:numId w:val="11"/>
        </w:numPr>
        <w:rPr>
          <w:color w:val="auto"/>
          <w:lang w:val="hr-HR"/>
        </w:rPr>
      </w:pPr>
      <w:r w:rsidRPr="00653DCF">
        <w:rPr>
          <w:color w:val="auto"/>
          <w:lang w:val="hr-HR"/>
        </w:rPr>
        <w:t xml:space="preserve">negativno utječe na </w:t>
      </w:r>
      <w:r w:rsidR="002113B4" w:rsidRPr="00653DCF">
        <w:rPr>
          <w:color w:val="auto"/>
          <w:lang w:val="hr-HR"/>
        </w:rPr>
        <w:t>bilo koje</w:t>
      </w:r>
      <w:r w:rsidRPr="00653DCF">
        <w:rPr>
          <w:color w:val="auto"/>
          <w:lang w:val="hr-HR"/>
        </w:rPr>
        <w:t xml:space="preserve"> </w:t>
      </w:r>
      <w:r w:rsidR="005B58E0" w:rsidRPr="00653DCF">
        <w:rPr>
          <w:color w:val="auto"/>
          <w:lang w:val="hr-HR"/>
        </w:rPr>
        <w:t xml:space="preserve">instrumente osiguranja </w:t>
      </w:r>
      <w:r w:rsidRPr="00653DCF">
        <w:rPr>
          <w:color w:val="auto"/>
          <w:lang w:val="hr-HR"/>
        </w:rPr>
        <w:t xml:space="preserve">koje </w:t>
      </w:r>
      <w:r w:rsidR="005B58E0" w:rsidRPr="00653DCF">
        <w:rPr>
          <w:color w:val="auto"/>
          <w:lang w:val="hr-HR"/>
        </w:rPr>
        <w:t xml:space="preserve">je </w:t>
      </w:r>
      <w:r w:rsidRPr="00653DCF">
        <w:rPr>
          <w:color w:val="auto"/>
          <w:lang w:val="hr-HR"/>
        </w:rPr>
        <w:t>Zajmoprimac</w:t>
      </w:r>
      <w:r w:rsidR="002113B4" w:rsidRPr="00653DCF">
        <w:rPr>
          <w:color w:val="auto"/>
          <w:lang w:val="hr-HR"/>
        </w:rPr>
        <w:t xml:space="preserve"> </w:t>
      </w:r>
      <w:r w:rsidR="005B58E0" w:rsidRPr="00653DCF">
        <w:rPr>
          <w:color w:val="auto"/>
          <w:lang w:val="hr-HR"/>
        </w:rPr>
        <w:t>dostavio</w:t>
      </w:r>
      <w:r w:rsidR="00D659F8" w:rsidRPr="00653DCF">
        <w:rPr>
          <w:color w:val="auto"/>
          <w:lang w:val="hr-HR"/>
        </w:rPr>
        <w:t>.</w:t>
      </w:r>
    </w:p>
    <w:p w14:paraId="3EA2B8B4" w14:textId="7273AA17" w:rsidR="007A2A6F" w:rsidRPr="00653DCF" w:rsidRDefault="00E87B0B">
      <w:pPr>
        <w:rPr>
          <w:color w:val="auto"/>
          <w:lang w:val="hr-HR"/>
        </w:rPr>
      </w:pPr>
      <w:r w:rsidRPr="00653DCF">
        <w:rPr>
          <w:color w:val="auto"/>
          <w:lang w:val="hr-HR"/>
        </w:rPr>
        <w:t>„</w:t>
      </w:r>
      <w:r w:rsidR="005B58E0" w:rsidRPr="00653DCF">
        <w:rPr>
          <w:rStyle w:val="BoldEIB"/>
          <w:color w:val="auto"/>
          <w:lang w:val="hr-HR"/>
        </w:rPr>
        <w:t>d</w:t>
      </w:r>
      <w:r w:rsidRPr="00653DCF">
        <w:rPr>
          <w:rStyle w:val="BoldEIB"/>
          <w:color w:val="auto"/>
          <w:lang w:val="hr-HR"/>
        </w:rPr>
        <w:t>atum dospijeća</w:t>
      </w:r>
      <w:r w:rsidRPr="00653DCF">
        <w:rPr>
          <w:color w:val="auto"/>
          <w:lang w:val="hr-HR"/>
        </w:rPr>
        <w:t xml:space="preserve">” znači posljednji </w:t>
      </w:r>
      <w:r w:rsidR="005B58E0" w:rsidRPr="00653DCF">
        <w:rPr>
          <w:color w:val="auto"/>
          <w:lang w:val="hr-HR"/>
        </w:rPr>
        <w:t>d</w:t>
      </w:r>
      <w:r w:rsidRPr="00653DCF">
        <w:rPr>
          <w:color w:val="auto"/>
          <w:lang w:val="hr-HR"/>
        </w:rPr>
        <w:t xml:space="preserve">atum otplate </w:t>
      </w:r>
      <w:r w:rsidR="001A7CBF" w:rsidRPr="00653DCF">
        <w:rPr>
          <w:color w:val="auto"/>
          <w:lang w:val="hr-HR"/>
        </w:rPr>
        <w:t xml:space="preserve">neke </w:t>
      </w:r>
      <w:r w:rsidR="005B58E0" w:rsidRPr="00653DCF">
        <w:rPr>
          <w:color w:val="auto"/>
          <w:lang w:val="hr-HR"/>
        </w:rPr>
        <w:t>t</w:t>
      </w:r>
      <w:r w:rsidRPr="00653DCF">
        <w:rPr>
          <w:color w:val="auto"/>
          <w:lang w:val="hr-HR"/>
        </w:rPr>
        <w:t xml:space="preserve">ranše </w:t>
      </w:r>
      <w:r w:rsidR="005B58E0" w:rsidRPr="00653DCF">
        <w:rPr>
          <w:color w:val="auto"/>
          <w:lang w:val="hr-HR"/>
        </w:rPr>
        <w:t xml:space="preserve">određen </w:t>
      </w:r>
      <w:r w:rsidRPr="00653DCF">
        <w:rPr>
          <w:color w:val="auto"/>
          <w:lang w:val="hr-HR"/>
        </w:rPr>
        <w:t xml:space="preserve">u skladu s člankom </w:t>
      </w:r>
      <w:r w:rsidRPr="00653DCF">
        <w:rPr>
          <w:color w:val="auto"/>
          <w:lang w:val="hr-HR"/>
        </w:rPr>
        <w:fldChar w:fldCharType="begin"/>
      </w:r>
      <w:r w:rsidRPr="00653DCF">
        <w:rPr>
          <w:color w:val="auto"/>
          <w:lang w:val="hr-HR"/>
        </w:rPr>
        <w:instrText xml:space="preserve"> REF _Ref426715009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članak 4</w:t>
      </w:r>
      <w:r w:rsidRPr="00653DCF">
        <w:rPr>
          <w:color w:val="auto"/>
          <w:lang w:val="hr-HR"/>
        </w:rPr>
        <w:fldChar w:fldCharType="end"/>
      </w:r>
      <w:r w:rsidR="00FE47D5" w:rsidRPr="00653DCF">
        <w:rPr>
          <w:color w:val="auto"/>
          <w:lang w:val="hr-HR"/>
        </w:rPr>
        <w:t>A</w:t>
      </w:r>
      <w:r w:rsidRPr="00653DCF">
        <w:rPr>
          <w:color w:val="auto"/>
          <w:lang w:val="hr-HR"/>
        </w:rPr>
        <w:fldChar w:fldCharType="begin"/>
      </w:r>
      <w:r w:rsidRPr="00653DCF">
        <w:rPr>
          <w:color w:val="auto"/>
          <w:lang w:val="hr-HR"/>
        </w:rPr>
        <w:instrText xml:space="preserve"> REF _Ref430852342 \w \h  \* MERGEFORMAT </w:instrText>
      </w:r>
      <w:r w:rsidRPr="00653DCF">
        <w:rPr>
          <w:color w:val="auto"/>
          <w:lang w:val="hr-HR"/>
        </w:rPr>
      </w:r>
      <w:r w:rsidRPr="00653DCF">
        <w:rPr>
          <w:color w:val="auto"/>
          <w:lang w:val="hr-HR"/>
        </w:rPr>
        <w:fldChar w:fldCharType="separate"/>
      </w:r>
      <w:r w:rsidR="00E5391B">
        <w:rPr>
          <w:color w:val="auto"/>
          <w:lang w:val="hr-HR"/>
        </w:rPr>
        <w:t>(b)(iv)</w:t>
      </w:r>
      <w:r w:rsidRPr="00653DCF">
        <w:rPr>
          <w:color w:val="auto"/>
          <w:lang w:val="hr-HR"/>
        </w:rPr>
        <w:fldChar w:fldCharType="end"/>
      </w:r>
      <w:r w:rsidRPr="00653DCF">
        <w:rPr>
          <w:color w:val="auto"/>
          <w:lang w:val="hr-HR"/>
        </w:rPr>
        <w:t xml:space="preserve"> ili jedini </w:t>
      </w:r>
      <w:r w:rsidR="005B58E0" w:rsidRPr="00653DCF">
        <w:rPr>
          <w:color w:val="auto"/>
          <w:lang w:val="hr-HR"/>
        </w:rPr>
        <w:t>d</w:t>
      </w:r>
      <w:r w:rsidRPr="00653DCF">
        <w:rPr>
          <w:color w:val="auto"/>
          <w:lang w:val="hr-HR"/>
        </w:rPr>
        <w:t xml:space="preserve">atum otplate </w:t>
      </w:r>
      <w:r w:rsidR="00344EE3" w:rsidRPr="00653DCF">
        <w:rPr>
          <w:color w:val="auto"/>
          <w:lang w:val="hr-HR"/>
        </w:rPr>
        <w:t xml:space="preserve">neke </w:t>
      </w:r>
      <w:r w:rsidR="005B58E0" w:rsidRPr="00653DCF">
        <w:rPr>
          <w:color w:val="auto"/>
          <w:lang w:val="hr-HR"/>
        </w:rPr>
        <w:t>t</w:t>
      </w:r>
      <w:r w:rsidRPr="00653DCF">
        <w:rPr>
          <w:color w:val="auto"/>
          <w:lang w:val="hr-HR"/>
        </w:rPr>
        <w:t xml:space="preserve">ranše </w:t>
      </w:r>
      <w:r w:rsidR="00CF0B02" w:rsidRPr="00653DCF">
        <w:rPr>
          <w:color w:val="auto"/>
          <w:lang w:val="hr-HR"/>
        </w:rPr>
        <w:t>utvrđen u skladu s člankom 4.1.B</w:t>
      </w:r>
      <w:r w:rsidR="00D659F8" w:rsidRPr="00653DCF">
        <w:rPr>
          <w:color w:val="auto"/>
          <w:lang w:val="hr-HR"/>
        </w:rPr>
        <w:t>.</w:t>
      </w:r>
    </w:p>
    <w:p w14:paraId="7BB5CE5E" w14:textId="07552B2C" w:rsidR="007A2A6F" w:rsidRPr="00653DCF" w:rsidRDefault="00E87B0B">
      <w:pPr>
        <w:rPr>
          <w:color w:val="auto"/>
          <w:lang w:val="hr-HR"/>
        </w:rPr>
      </w:pPr>
      <w:r w:rsidRPr="00653DCF">
        <w:rPr>
          <w:color w:val="auto"/>
          <w:lang w:val="hr-HR"/>
        </w:rPr>
        <w:t>„</w:t>
      </w:r>
      <w:r w:rsidR="00FC3FE0" w:rsidRPr="00653DCF">
        <w:rPr>
          <w:b/>
          <w:bCs/>
          <w:color w:val="auto"/>
          <w:lang w:val="hr-HR"/>
        </w:rPr>
        <w:t>najavljena</w:t>
      </w:r>
      <w:r w:rsidR="00FC3FE0" w:rsidRPr="00653DCF">
        <w:rPr>
          <w:color w:val="auto"/>
          <w:lang w:val="hr-HR"/>
        </w:rPr>
        <w:t xml:space="preserve"> </w:t>
      </w:r>
      <w:r w:rsidR="006C4573" w:rsidRPr="00653DCF">
        <w:rPr>
          <w:rStyle w:val="BoldEIB"/>
          <w:color w:val="auto"/>
          <w:lang w:val="hr-HR"/>
        </w:rPr>
        <w:t>tranša</w:t>
      </w:r>
      <w:r w:rsidRPr="00653DCF">
        <w:rPr>
          <w:color w:val="auto"/>
          <w:lang w:val="hr-HR"/>
        </w:rPr>
        <w:t xml:space="preserve">” znači </w:t>
      </w:r>
      <w:r w:rsidR="006C4573" w:rsidRPr="00653DCF">
        <w:rPr>
          <w:color w:val="auto"/>
          <w:lang w:val="hr-HR"/>
        </w:rPr>
        <w:t>t</w:t>
      </w:r>
      <w:r w:rsidRPr="00653DCF">
        <w:rPr>
          <w:color w:val="auto"/>
          <w:lang w:val="hr-HR"/>
        </w:rPr>
        <w:t xml:space="preserve">ranša za koju je Banka izdala </w:t>
      </w:r>
      <w:r w:rsidR="006C4573" w:rsidRPr="00653DCF">
        <w:rPr>
          <w:color w:val="auto"/>
          <w:lang w:val="hr-HR"/>
        </w:rPr>
        <w:t>o</w:t>
      </w:r>
      <w:r w:rsidRPr="00653DCF">
        <w:rPr>
          <w:color w:val="auto"/>
          <w:lang w:val="hr-HR"/>
        </w:rPr>
        <w:t>bavijest o isplati</w:t>
      </w:r>
      <w:r w:rsidR="00D659F8" w:rsidRPr="00653DCF">
        <w:rPr>
          <w:color w:val="auto"/>
          <w:lang w:val="hr-HR"/>
        </w:rPr>
        <w:t>.</w:t>
      </w:r>
    </w:p>
    <w:p w14:paraId="5BA4AAAA" w14:textId="7484C43C" w:rsidR="007A2A6F" w:rsidRPr="00653DCF" w:rsidRDefault="00E87B0B">
      <w:pPr>
        <w:rPr>
          <w:color w:val="auto"/>
          <w:lang w:val="hr-HR"/>
        </w:rPr>
      </w:pPr>
      <w:r w:rsidRPr="00653DCF">
        <w:rPr>
          <w:color w:val="auto"/>
          <w:lang w:val="hr-HR"/>
        </w:rPr>
        <w:t>„</w:t>
      </w:r>
      <w:r w:rsidR="006E6F7A" w:rsidRPr="00653DCF">
        <w:rPr>
          <w:b/>
          <w:color w:val="auto"/>
          <w:lang w:val="hr-HR"/>
        </w:rPr>
        <w:t>r</w:t>
      </w:r>
      <w:r w:rsidRPr="00653DCF">
        <w:rPr>
          <w:b/>
          <w:color w:val="auto"/>
          <w:lang w:val="hr-HR"/>
        </w:rPr>
        <w:t>ačun</w:t>
      </w:r>
      <w:r w:rsidR="008C6CE0" w:rsidRPr="00653DCF">
        <w:rPr>
          <w:b/>
          <w:color w:val="auto"/>
          <w:lang w:val="hr-HR"/>
        </w:rPr>
        <w:t xml:space="preserve"> </w:t>
      </w:r>
      <w:r w:rsidRPr="00653DCF">
        <w:rPr>
          <w:b/>
          <w:color w:val="auto"/>
          <w:lang w:val="hr-HR"/>
        </w:rPr>
        <w:t xml:space="preserve">za </w:t>
      </w:r>
      <w:r w:rsidR="00DD6BD3" w:rsidRPr="00653DCF">
        <w:rPr>
          <w:b/>
          <w:color w:val="auto"/>
          <w:lang w:val="hr-HR"/>
        </w:rPr>
        <w:t>plaćanje</w:t>
      </w:r>
      <w:r w:rsidRPr="00653DCF">
        <w:rPr>
          <w:color w:val="auto"/>
          <w:lang w:val="hr-HR"/>
        </w:rPr>
        <w:t xml:space="preserve">” znači bankovni račun s kojeg će </w:t>
      </w:r>
      <w:r w:rsidR="00DD6BD3" w:rsidRPr="00653DCF">
        <w:rPr>
          <w:color w:val="auto"/>
          <w:lang w:val="hr-HR"/>
        </w:rPr>
        <w:t>Z</w:t>
      </w:r>
      <w:r w:rsidRPr="00653DCF">
        <w:rPr>
          <w:color w:val="auto"/>
          <w:lang w:val="hr-HR"/>
        </w:rPr>
        <w:t xml:space="preserve">ajmoprimac </w:t>
      </w:r>
      <w:r w:rsidR="006E6F7A" w:rsidRPr="00653DCF">
        <w:rPr>
          <w:color w:val="auto"/>
          <w:lang w:val="hr-HR"/>
        </w:rPr>
        <w:t xml:space="preserve">vršiti </w:t>
      </w:r>
      <w:r w:rsidRPr="00653DCF">
        <w:rPr>
          <w:color w:val="auto"/>
          <w:lang w:val="hr-HR"/>
        </w:rPr>
        <w:t>plaćanja na temelju ovog Ugovora</w:t>
      </w:r>
      <w:r w:rsidR="006E6F7A" w:rsidRPr="00653DCF">
        <w:rPr>
          <w:color w:val="auto"/>
          <w:lang w:val="hr-HR"/>
        </w:rPr>
        <w:t xml:space="preserve"> koji je naveden </w:t>
      </w:r>
      <w:r w:rsidRPr="00653DCF">
        <w:rPr>
          <w:color w:val="auto"/>
          <w:lang w:val="hr-HR"/>
        </w:rPr>
        <w:t xml:space="preserve">u najnovijem </w:t>
      </w:r>
      <w:r w:rsidR="006E6F7A" w:rsidRPr="00653DCF">
        <w:rPr>
          <w:color w:val="auto"/>
          <w:lang w:val="hr-HR"/>
        </w:rPr>
        <w:t>p</w:t>
      </w:r>
      <w:r w:rsidRPr="00653DCF">
        <w:rPr>
          <w:color w:val="auto"/>
          <w:lang w:val="hr-HR"/>
        </w:rPr>
        <w:t>opisu ovlaštenih potpisnika i računa</w:t>
      </w:r>
      <w:r w:rsidR="00D659F8" w:rsidRPr="00653DCF">
        <w:rPr>
          <w:color w:val="auto"/>
          <w:lang w:val="hr-HR"/>
        </w:rPr>
        <w:t>.</w:t>
      </w:r>
    </w:p>
    <w:p w14:paraId="08BADD72" w14:textId="61A89A4B" w:rsidR="007A2A6F" w:rsidRPr="00653DCF" w:rsidRDefault="00E87B0B">
      <w:pPr>
        <w:rPr>
          <w:color w:val="auto"/>
          <w:lang w:val="hr-HR"/>
        </w:rPr>
      </w:pPr>
      <w:r w:rsidRPr="00653DCF">
        <w:rPr>
          <w:color w:val="auto"/>
          <w:lang w:val="hr-HR"/>
        </w:rPr>
        <w:t>„</w:t>
      </w:r>
      <w:r w:rsidR="006E6F7A" w:rsidRPr="00653DCF">
        <w:rPr>
          <w:rStyle w:val="BoldEIB"/>
          <w:color w:val="auto"/>
          <w:lang w:val="hr-HR"/>
        </w:rPr>
        <w:t>d</w:t>
      </w:r>
      <w:r w:rsidRPr="00653DCF">
        <w:rPr>
          <w:rStyle w:val="BoldEIB"/>
          <w:color w:val="auto"/>
          <w:lang w:val="hr-HR"/>
        </w:rPr>
        <w:t>atum plaćanja</w:t>
      </w:r>
      <w:r w:rsidRPr="00653DCF">
        <w:rPr>
          <w:color w:val="auto"/>
          <w:lang w:val="hr-HR"/>
        </w:rPr>
        <w:t>” znači godišnj</w:t>
      </w:r>
      <w:r w:rsidR="00DD6BD3" w:rsidRPr="00653DCF">
        <w:rPr>
          <w:color w:val="auto"/>
          <w:lang w:val="hr-HR"/>
        </w:rPr>
        <w:t>e</w:t>
      </w:r>
      <w:r w:rsidRPr="00653DCF">
        <w:rPr>
          <w:color w:val="auto"/>
          <w:lang w:val="hr-HR"/>
        </w:rPr>
        <w:t>, polugodišnj</w:t>
      </w:r>
      <w:r w:rsidR="00DD6BD3" w:rsidRPr="00653DCF">
        <w:rPr>
          <w:color w:val="auto"/>
          <w:lang w:val="hr-HR"/>
        </w:rPr>
        <w:t>e</w:t>
      </w:r>
      <w:r w:rsidRPr="00653DCF">
        <w:rPr>
          <w:color w:val="auto"/>
          <w:lang w:val="hr-HR"/>
        </w:rPr>
        <w:t xml:space="preserve"> ili tromjesečn</w:t>
      </w:r>
      <w:r w:rsidR="00DD6BD3" w:rsidRPr="00653DCF">
        <w:rPr>
          <w:color w:val="auto"/>
          <w:lang w:val="hr-HR"/>
        </w:rPr>
        <w:t>e</w:t>
      </w:r>
      <w:r w:rsidRPr="00653DCF">
        <w:rPr>
          <w:color w:val="auto"/>
          <w:lang w:val="hr-HR"/>
        </w:rPr>
        <w:t xml:space="preserve"> datum</w:t>
      </w:r>
      <w:r w:rsidR="00AC3350" w:rsidRPr="00653DCF">
        <w:rPr>
          <w:color w:val="auto"/>
          <w:lang w:val="hr-HR"/>
        </w:rPr>
        <w:t>e</w:t>
      </w:r>
      <w:r w:rsidRPr="00653DCF">
        <w:rPr>
          <w:color w:val="auto"/>
          <w:lang w:val="hr-HR"/>
        </w:rPr>
        <w:t xml:space="preserve"> naveden</w:t>
      </w:r>
      <w:r w:rsidR="00DD6BD3" w:rsidRPr="00653DCF">
        <w:rPr>
          <w:color w:val="auto"/>
          <w:lang w:val="hr-HR"/>
        </w:rPr>
        <w:t>e</w:t>
      </w:r>
      <w:r w:rsidRPr="00653DCF">
        <w:rPr>
          <w:color w:val="auto"/>
          <w:lang w:val="hr-HR"/>
        </w:rPr>
        <w:t xml:space="preserve"> u </w:t>
      </w:r>
      <w:r w:rsidR="008D77E6" w:rsidRPr="00653DCF">
        <w:rPr>
          <w:color w:val="auto"/>
          <w:lang w:val="hr-HR"/>
        </w:rPr>
        <w:t>o</w:t>
      </w:r>
      <w:r w:rsidRPr="00653DCF">
        <w:rPr>
          <w:color w:val="auto"/>
          <w:lang w:val="hr-HR"/>
        </w:rPr>
        <w:t>bavijesti o isplati do</w:t>
      </w:r>
      <w:r w:rsidR="008D77E6" w:rsidRPr="00653DCF">
        <w:rPr>
          <w:color w:val="auto"/>
          <w:lang w:val="hr-HR"/>
        </w:rPr>
        <w:t xml:space="preserve"> datuma revizije</w:t>
      </w:r>
      <w:r w:rsidRPr="00653DCF">
        <w:rPr>
          <w:color w:val="auto"/>
          <w:lang w:val="hr-HR"/>
        </w:rPr>
        <w:t xml:space="preserve">/konverzije </w:t>
      </w:r>
      <w:r w:rsidR="008D77E6" w:rsidRPr="00653DCF">
        <w:rPr>
          <w:color w:val="auto"/>
          <w:lang w:val="hr-HR"/>
        </w:rPr>
        <w:t xml:space="preserve">kamatne stope, uključujući i taj datum, ako ga </w:t>
      </w:r>
      <w:r w:rsidR="009601FC" w:rsidRPr="00653DCF">
        <w:rPr>
          <w:color w:val="auto"/>
          <w:lang w:val="hr-HR"/>
        </w:rPr>
        <w:t>bude</w:t>
      </w:r>
      <w:r w:rsidR="008D77E6" w:rsidRPr="00653DCF">
        <w:rPr>
          <w:color w:val="auto"/>
          <w:lang w:val="hr-HR"/>
        </w:rPr>
        <w:t xml:space="preserve">, </w:t>
      </w:r>
      <w:r w:rsidRPr="00653DCF">
        <w:rPr>
          <w:color w:val="auto"/>
          <w:lang w:val="hr-HR"/>
        </w:rPr>
        <w:t xml:space="preserve">ili </w:t>
      </w:r>
      <w:r w:rsidR="008D77E6" w:rsidRPr="00653DCF">
        <w:rPr>
          <w:color w:val="auto"/>
          <w:lang w:val="hr-HR"/>
        </w:rPr>
        <w:t>d</w:t>
      </w:r>
      <w:r w:rsidRPr="00653DCF">
        <w:rPr>
          <w:color w:val="auto"/>
          <w:lang w:val="hr-HR"/>
        </w:rPr>
        <w:t xml:space="preserve">atum dospijeća, </w:t>
      </w:r>
      <w:r w:rsidR="008D77E6" w:rsidRPr="00653DCF">
        <w:rPr>
          <w:color w:val="auto"/>
          <w:lang w:val="hr-HR"/>
        </w:rPr>
        <w:t xml:space="preserve">s tim da, </w:t>
      </w:r>
      <w:r w:rsidR="009159EC" w:rsidRPr="00653DCF">
        <w:rPr>
          <w:color w:val="auto"/>
          <w:lang w:val="hr-HR"/>
        </w:rPr>
        <w:t>u slučaju da bilo koji takav datum nije relevant</w:t>
      </w:r>
      <w:r w:rsidR="001C2676" w:rsidRPr="00653DCF">
        <w:rPr>
          <w:color w:val="auto"/>
          <w:lang w:val="hr-HR"/>
        </w:rPr>
        <w:t>a</w:t>
      </w:r>
      <w:r w:rsidR="009159EC" w:rsidRPr="00653DCF">
        <w:rPr>
          <w:color w:val="auto"/>
          <w:lang w:val="hr-HR"/>
        </w:rPr>
        <w:t xml:space="preserve">n radni dan, to </w:t>
      </w:r>
      <w:r w:rsidR="007E748A" w:rsidRPr="00653DCF">
        <w:rPr>
          <w:color w:val="auto"/>
          <w:lang w:val="hr-HR"/>
        </w:rPr>
        <w:t>znači</w:t>
      </w:r>
      <w:r w:rsidR="009159EC" w:rsidRPr="00653DCF">
        <w:rPr>
          <w:color w:val="auto"/>
          <w:lang w:val="hr-HR"/>
        </w:rPr>
        <w:t xml:space="preserve"> da je datum plaćanja</w:t>
      </w:r>
      <w:r w:rsidRPr="00653DCF">
        <w:rPr>
          <w:color w:val="auto"/>
          <w:lang w:val="hr-HR"/>
        </w:rPr>
        <w:t>:</w:t>
      </w:r>
    </w:p>
    <w:p w14:paraId="51363818" w14:textId="12B0B074" w:rsidR="007A2A6F" w:rsidRPr="00653DCF" w:rsidRDefault="00E87B0B">
      <w:pPr>
        <w:pStyle w:val="P68B1DB1-NoIndentEIB4"/>
        <w:numPr>
          <w:ilvl w:val="0"/>
          <w:numId w:val="12"/>
        </w:numPr>
        <w:rPr>
          <w:lang w:val="hr-HR"/>
        </w:rPr>
      </w:pPr>
      <w:r w:rsidRPr="00653DCF">
        <w:rPr>
          <w:lang w:val="hr-HR"/>
        </w:rPr>
        <w:t xml:space="preserve">za </w:t>
      </w:r>
      <w:r w:rsidR="009159EC" w:rsidRPr="00653DCF">
        <w:rPr>
          <w:lang w:val="hr-HR"/>
        </w:rPr>
        <w:t>t</w:t>
      </w:r>
      <w:r w:rsidR="00862F06" w:rsidRPr="00653DCF">
        <w:rPr>
          <w:lang w:val="hr-HR"/>
        </w:rPr>
        <w:t>ranšu s fiksnom kamatnom stopom</w:t>
      </w:r>
      <w:r w:rsidRPr="00653DCF">
        <w:rPr>
          <w:lang w:val="hr-HR"/>
        </w:rPr>
        <w:t xml:space="preserve">, </w:t>
      </w:r>
      <w:r w:rsidR="00862F06" w:rsidRPr="00653DCF">
        <w:rPr>
          <w:lang w:val="hr-HR"/>
        </w:rPr>
        <w:t>ili</w:t>
      </w:r>
      <w:r w:rsidRPr="00653DCF">
        <w:rPr>
          <w:lang w:val="hr-HR"/>
        </w:rPr>
        <w:t>:</w:t>
      </w:r>
    </w:p>
    <w:p w14:paraId="03765EE1" w14:textId="79571850" w:rsidR="007A2A6F" w:rsidRPr="00653DCF" w:rsidRDefault="00E87B0B">
      <w:pPr>
        <w:pStyle w:val="P68B1DB1-NoIndentEIB4"/>
        <w:numPr>
          <w:ilvl w:val="1"/>
          <w:numId w:val="12"/>
        </w:numPr>
        <w:rPr>
          <w:lang w:val="hr-HR"/>
        </w:rPr>
      </w:pPr>
      <w:r w:rsidRPr="00653DCF">
        <w:rPr>
          <w:lang w:val="hr-HR"/>
        </w:rPr>
        <w:t>sljedeć</w:t>
      </w:r>
      <w:r w:rsidR="00862F06" w:rsidRPr="00653DCF">
        <w:rPr>
          <w:lang w:val="hr-HR"/>
        </w:rPr>
        <w:t>i</w:t>
      </w:r>
      <w:r w:rsidRPr="00653DCF">
        <w:rPr>
          <w:lang w:val="hr-HR"/>
        </w:rPr>
        <w:t xml:space="preserve"> </w:t>
      </w:r>
      <w:r w:rsidR="009159EC" w:rsidRPr="00653DCF">
        <w:rPr>
          <w:lang w:val="hr-HR"/>
        </w:rPr>
        <w:t>r</w:t>
      </w:r>
      <w:r w:rsidRPr="00653DCF">
        <w:rPr>
          <w:lang w:val="hr-HR"/>
        </w:rPr>
        <w:t>elevant</w:t>
      </w:r>
      <w:r w:rsidR="00862F06" w:rsidRPr="00653DCF">
        <w:rPr>
          <w:lang w:val="hr-HR"/>
        </w:rPr>
        <w:t>a</w:t>
      </w:r>
      <w:r w:rsidRPr="00653DCF">
        <w:rPr>
          <w:lang w:val="hr-HR"/>
        </w:rPr>
        <w:t xml:space="preserve">n </w:t>
      </w:r>
      <w:r w:rsidR="00862F06" w:rsidRPr="00653DCF">
        <w:rPr>
          <w:lang w:val="hr-HR"/>
        </w:rPr>
        <w:t>radni dan</w:t>
      </w:r>
      <w:r w:rsidRPr="00653DCF">
        <w:rPr>
          <w:lang w:val="hr-HR"/>
        </w:rPr>
        <w:t xml:space="preserve">, bez </w:t>
      </w:r>
      <w:r w:rsidR="009159EC" w:rsidRPr="00653DCF">
        <w:rPr>
          <w:lang w:val="hr-HR"/>
        </w:rPr>
        <w:t xml:space="preserve">usklađivanja dospjele kamate </w:t>
      </w:r>
      <w:r w:rsidRPr="00653DCF">
        <w:rPr>
          <w:lang w:val="hr-HR"/>
        </w:rPr>
        <w:t>na temelju članka</w:t>
      </w:r>
      <w:r w:rsidR="00D41194" w:rsidRPr="00653DCF">
        <w:rPr>
          <w:lang w:val="hr-HR"/>
        </w:rPr>
        <w:t xml:space="preserve"> </w:t>
      </w:r>
      <w:r w:rsidRPr="00653DCF">
        <w:rPr>
          <w:lang w:val="hr-HR"/>
        </w:rPr>
        <w:fldChar w:fldCharType="begin"/>
      </w:r>
      <w:r w:rsidRPr="00653DCF">
        <w:rPr>
          <w:lang w:val="hr-HR"/>
        </w:rPr>
        <w:instrText xml:space="preserve"> REF _Ref426639513 \w \h  \* MERGEFORMAT </w:instrText>
      </w:r>
      <w:r w:rsidRPr="00653DCF">
        <w:rPr>
          <w:lang w:val="hr-HR"/>
        </w:rPr>
      </w:r>
      <w:r w:rsidRPr="00653DCF">
        <w:rPr>
          <w:lang w:val="hr-HR"/>
        </w:rPr>
        <w:fldChar w:fldCharType="separate"/>
      </w:r>
      <w:r w:rsidR="00E5391B">
        <w:rPr>
          <w:lang w:val="hr-HR"/>
        </w:rPr>
        <w:t>članak 3</w:t>
      </w:r>
      <w:r w:rsidRPr="00653DCF">
        <w:rPr>
          <w:lang w:val="hr-HR"/>
        </w:rPr>
        <w:fldChar w:fldCharType="end"/>
      </w:r>
      <w:r w:rsidR="0058523B" w:rsidRPr="00653DCF">
        <w:rPr>
          <w:lang w:val="hr-HR"/>
        </w:rPr>
        <w:t>.</w:t>
      </w:r>
      <w:r w:rsidR="00D659F8" w:rsidRPr="00653DCF">
        <w:rPr>
          <w:lang w:val="hr-HR"/>
        </w:rPr>
        <w:t>;</w:t>
      </w:r>
    </w:p>
    <w:p w14:paraId="19D4CD01" w14:textId="2131F647" w:rsidR="007A2A6F" w:rsidRPr="00653DCF" w:rsidRDefault="00E87B0B">
      <w:pPr>
        <w:pStyle w:val="P68B1DB1-NoIndentEIB4"/>
        <w:numPr>
          <w:ilvl w:val="1"/>
          <w:numId w:val="12"/>
        </w:numPr>
        <w:rPr>
          <w:lang w:val="hr-HR"/>
        </w:rPr>
      </w:pPr>
      <w:r w:rsidRPr="00653DCF">
        <w:rPr>
          <w:lang w:val="hr-HR"/>
        </w:rPr>
        <w:t xml:space="preserve">prethodni </w:t>
      </w:r>
      <w:r w:rsidR="00712D5E" w:rsidRPr="00653DCF">
        <w:rPr>
          <w:lang w:val="hr-HR"/>
        </w:rPr>
        <w:t>relevantan</w:t>
      </w:r>
      <w:r w:rsidRPr="00653DCF">
        <w:rPr>
          <w:lang w:val="hr-HR"/>
        </w:rPr>
        <w:t xml:space="preserve"> radni dan</w:t>
      </w:r>
      <w:r w:rsidR="007E405F" w:rsidRPr="00653DCF">
        <w:rPr>
          <w:lang w:val="hr-HR"/>
        </w:rPr>
        <w:t>,</w:t>
      </w:r>
      <w:r w:rsidRPr="00653DCF">
        <w:rPr>
          <w:lang w:val="hr-HR"/>
        </w:rPr>
        <w:t xml:space="preserve"> </w:t>
      </w:r>
      <w:r w:rsidR="000B56BB" w:rsidRPr="00653DCF">
        <w:rPr>
          <w:lang w:val="hr-HR"/>
        </w:rPr>
        <w:t>uz</w:t>
      </w:r>
      <w:r w:rsidRPr="00653DCF">
        <w:rPr>
          <w:lang w:val="hr-HR"/>
        </w:rPr>
        <w:t xml:space="preserve"> </w:t>
      </w:r>
      <w:r w:rsidR="009159EC" w:rsidRPr="00653DCF">
        <w:rPr>
          <w:lang w:val="hr-HR"/>
        </w:rPr>
        <w:t>usklađivanje</w:t>
      </w:r>
      <w:r w:rsidR="000B56BB" w:rsidRPr="00653DCF">
        <w:rPr>
          <w:lang w:val="hr-HR"/>
        </w:rPr>
        <w:t xml:space="preserve"> </w:t>
      </w:r>
      <w:r w:rsidR="007E748A" w:rsidRPr="00653DCF">
        <w:rPr>
          <w:lang w:val="hr-HR"/>
        </w:rPr>
        <w:t>dospjele</w:t>
      </w:r>
      <w:r w:rsidR="0058523B" w:rsidRPr="00653DCF">
        <w:rPr>
          <w:lang w:val="hr-HR"/>
        </w:rPr>
        <w:t xml:space="preserve"> kamate </w:t>
      </w:r>
      <w:r w:rsidRPr="00653DCF">
        <w:rPr>
          <w:lang w:val="hr-HR"/>
        </w:rPr>
        <w:t xml:space="preserve">(ali samo </w:t>
      </w:r>
      <w:r w:rsidR="000B56BB" w:rsidRPr="00653DCF">
        <w:rPr>
          <w:lang w:val="hr-HR"/>
        </w:rPr>
        <w:t xml:space="preserve">za </w:t>
      </w:r>
      <w:r w:rsidRPr="00653DCF">
        <w:rPr>
          <w:lang w:val="hr-HR"/>
        </w:rPr>
        <w:t xml:space="preserve">iznos </w:t>
      </w:r>
      <w:r w:rsidR="0058523B" w:rsidRPr="00653DCF">
        <w:rPr>
          <w:lang w:val="hr-HR"/>
        </w:rPr>
        <w:t xml:space="preserve">dospjele kamate </w:t>
      </w:r>
      <w:r w:rsidRPr="00653DCF">
        <w:rPr>
          <w:lang w:val="hr-HR"/>
        </w:rPr>
        <w:t xml:space="preserve">na temelju članka </w:t>
      </w:r>
      <w:r w:rsidRPr="00653DCF">
        <w:rPr>
          <w:lang w:val="hr-HR"/>
        </w:rPr>
        <w:fldChar w:fldCharType="begin"/>
      </w:r>
      <w:r w:rsidRPr="00653DCF">
        <w:rPr>
          <w:lang w:val="hr-HR"/>
        </w:rPr>
        <w:instrText xml:space="preserve"> REF _Ref426639513 \r \h  \* MERGEFORMAT </w:instrText>
      </w:r>
      <w:r w:rsidRPr="00653DCF">
        <w:rPr>
          <w:lang w:val="hr-HR"/>
        </w:rPr>
      </w:r>
      <w:r w:rsidRPr="00653DCF">
        <w:rPr>
          <w:lang w:val="hr-HR"/>
        </w:rPr>
        <w:fldChar w:fldCharType="separate"/>
      </w:r>
      <w:r w:rsidR="00E5391B">
        <w:rPr>
          <w:lang w:val="hr-HR"/>
        </w:rPr>
        <w:t>članak 3</w:t>
      </w:r>
      <w:r w:rsidRPr="00653DCF">
        <w:rPr>
          <w:lang w:val="hr-HR"/>
        </w:rPr>
        <w:fldChar w:fldCharType="end"/>
      </w:r>
      <w:r w:rsidR="00751DF1" w:rsidRPr="00653DCF">
        <w:rPr>
          <w:lang w:val="hr-HR"/>
        </w:rPr>
        <w:t>.</w:t>
      </w:r>
      <w:r w:rsidRPr="00653DCF">
        <w:rPr>
          <w:lang w:val="hr-HR"/>
        </w:rPr>
        <w:t xml:space="preserve"> </w:t>
      </w:r>
      <w:r w:rsidR="0058523B" w:rsidRPr="00653DCF">
        <w:rPr>
          <w:lang w:val="hr-HR"/>
        </w:rPr>
        <w:t xml:space="preserve">obračunat </w:t>
      </w:r>
      <w:r w:rsidRPr="00653DCF">
        <w:rPr>
          <w:lang w:val="hr-HR"/>
        </w:rPr>
        <w:t>tijekom posljednjeg kamatnog razdoblja), u slučaju otplate glavnice u jednom obroku u skladu</w:t>
      </w:r>
      <w:r w:rsidR="00751DF1" w:rsidRPr="00653DCF">
        <w:rPr>
          <w:lang w:val="hr-HR"/>
        </w:rPr>
        <w:t xml:space="preserve"> </w:t>
      </w:r>
      <w:r w:rsidRPr="00653DCF">
        <w:rPr>
          <w:lang w:val="hr-HR"/>
        </w:rPr>
        <w:t xml:space="preserve">s </w:t>
      </w:r>
      <w:r w:rsidR="00D659F8" w:rsidRPr="00653DCF">
        <w:rPr>
          <w:lang w:val="hr-HR"/>
        </w:rPr>
        <w:t xml:space="preserve">Prilogom D </w:t>
      </w:r>
      <w:r w:rsidRPr="00653DCF">
        <w:rPr>
          <w:lang w:val="hr-HR"/>
        </w:rPr>
        <w:t>točka</w:t>
      </w:r>
      <w:r w:rsidR="00D659F8" w:rsidRPr="00653DCF">
        <w:rPr>
          <w:lang w:val="hr-HR"/>
        </w:rPr>
        <w:t xml:space="preserve"> C</w:t>
      </w:r>
      <w:r w:rsidR="00CA53D2" w:rsidRPr="00653DCF">
        <w:rPr>
          <w:lang w:val="hr-HR"/>
        </w:rPr>
        <w:t>;</w:t>
      </w:r>
      <w:r w:rsidRPr="00653DCF">
        <w:rPr>
          <w:lang w:val="hr-HR"/>
        </w:rPr>
        <w:t xml:space="preserve"> </w:t>
      </w:r>
      <w:r w:rsidR="00D41194" w:rsidRPr="00653DCF">
        <w:rPr>
          <w:lang w:val="hr-HR"/>
        </w:rPr>
        <w:t>a</w:t>
      </w:r>
    </w:p>
    <w:p w14:paraId="1180414D" w14:textId="6BA94C4E" w:rsidR="007A2A6F" w:rsidRPr="00653DCF" w:rsidRDefault="00E87B0B">
      <w:pPr>
        <w:pStyle w:val="P68B1DB1-NoIndentEIB4"/>
        <w:numPr>
          <w:ilvl w:val="0"/>
          <w:numId w:val="12"/>
        </w:numPr>
        <w:rPr>
          <w:lang w:val="hr-HR"/>
        </w:rPr>
      </w:pPr>
      <w:r w:rsidRPr="00653DCF">
        <w:rPr>
          <w:lang w:val="hr-HR"/>
        </w:rPr>
        <w:t xml:space="preserve">za </w:t>
      </w:r>
      <w:r w:rsidR="00D41194" w:rsidRPr="00653DCF">
        <w:rPr>
          <w:lang w:val="hr-HR"/>
        </w:rPr>
        <w:t>t</w:t>
      </w:r>
      <w:r w:rsidRPr="00653DCF">
        <w:rPr>
          <w:lang w:val="hr-HR"/>
        </w:rPr>
        <w:t xml:space="preserve">ranšu s promjenjivom kamatnom stopom, sljedeći </w:t>
      </w:r>
      <w:r w:rsidR="007E405F" w:rsidRPr="00653DCF">
        <w:rPr>
          <w:lang w:val="hr-HR"/>
        </w:rPr>
        <w:t xml:space="preserve">relevantan </w:t>
      </w:r>
      <w:r w:rsidRPr="00653DCF">
        <w:rPr>
          <w:lang w:val="hr-HR"/>
        </w:rPr>
        <w:t xml:space="preserve">radni dan u tom mjesecu ili, ako </w:t>
      </w:r>
      <w:r w:rsidR="00986C3E" w:rsidRPr="00653DCF">
        <w:rPr>
          <w:lang w:val="hr-HR"/>
        </w:rPr>
        <w:t>takav ne postoji</w:t>
      </w:r>
      <w:r w:rsidRPr="00653DCF">
        <w:rPr>
          <w:lang w:val="hr-HR"/>
        </w:rPr>
        <w:t xml:space="preserve">, najbliži </w:t>
      </w:r>
      <w:r w:rsidR="008F7459" w:rsidRPr="00653DCF">
        <w:rPr>
          <w:lang w:val="hr-HR"/>
        </w:rPr>
        <w:t xml:space="preserve">prethodni </w:t>
      </w:r>
      <w:r w:rsidR="00E7200F" w:rsidRPr="00653DCF">
        <w:rPr>
          <w:lang w:val="hr-HR"/>
        </w:rPr>
        <w:t xml:space="preserve">dan </w:t>
      </w:r>
      <w:r w:rsidR="007E748A" w:rsidRPr="00653DCF">
        <w:rPr>
          <w:lang w:val="hr-HR"/>
        </w:rPr>
        <w:t>koji</w:t>
      </w:r>
      <w:r w:rsidR="00E7200F" w:rsidRPr="00653DCF">
        <w:rPr>
          <w:lang w:val="hr-HR"/>
        </w:rPr>
        <w:t xml:space="preserve"> je </w:t>
      </w:r>
      <w:r w:rsidR="007E405F" w:rsidRPr="00653DCF">
        <w:rPr>
          <w:lang w:val="hr-HR"/>
        </w:rPr>
        <w:t xml:space="preserve">relevantan </w:t>
      </w:r>
      <w:r w:rsidRPr="00653DCF">
        <w:rPr>
          <w:lang w:val="hr-HR"/>
        </w:rPr>
        <w:t xml:space="preserve">radni dan, </w:t>
      </w:r>
      <w:r w:rsidR="008F7459" w:rsidRPr="00653DCF">
        <w:rPr>
          <w:lang w:val="hr-HR"/>
        </w:rPr>
        <w:t xml:space="preserve">u </w:t>
      </w:r>
      <w:r w:rsidR="007E405F" w:rsidRPr="00653DCF">
        <w:rPr>
          <w:lang w:val="hr-HR"/>
        </w:rPr>
        <w:t xml:space="preserve">svakom od tih slučajeva </w:t>
      </w:r>
      <w:r w:rsidR="00E7200F" w:rsidRPr="00653DCF">
        <w:rPr>
          <w:lang w:val="hr-HR"/>
        </w:rPr>
        <w:t xml:space="preserve">uz </w:t>
      </w:r>
      <w:r w:rsidR="007E748A" w:rsidRPr="00653DCF">
        <w:rPr>
          <w:lang w:val="hr-HR"/>
        </w:rPr>
        <w:t>odgovarajuće</w:t>
      </w:r>
      <w:r w:rsidR="00E7200F" w:rsidRPr="00653DCF">
        <w:rPr>
          <w:lang w:val="hr-HR"/>
        </w:rPr>
        <w:t xml:space="preserve"> usklađenje dospjele kamate </w:t>
      </w:r>
      <w:r w:rsidRPr="00653DCF">
        <w:rPr>
          <w:lang w:val="hr-HR"/>
        </w:rPr>
        <w:t>na temelju članka</w:t>
      </w:r>
      <w:r w:rsidR="008F7459" w:rsidRPr="00653DCF">
        <w:rPr>
          <w:lang w:val="hr-HR"/>
        </w:rPr>
        <w:t xml:space="preserve"> </w:t>
      </w:r>
      <w:r w:rsidRPr="00653DCF">
        <w:rPr>
          <w:lang w:val="hr-HR"/>
        </w:rPr>
        <w:fldChar w:fldCharType="begin"/>
      </w:r>
      <w:r w:rsidRPr="00653DCF">
        <w:rPr>
          <w:lang w:val="hr-HR"/>
        </w:rPr>
        <w:instrText xml:space="preserve"> REF _Ref426639513 \r \h  \* MERGEFORMAT </w:instrText>
      </w:r>
      <w:r w:rsidRPr="00653DCF">
        <w:rPr>
          <w:lang w:val="hr-HR"/>
        </w:rPr>
      </w:r>
      <w:r w:rsidRPr="00653DCF">
        <w:rPr>
          <w:lang w:val="hr-HR"/>
        </w:rPr>
        <w:fldChar w:fldCharType="separate"/>
      </w:r>
      <w:r w:rsidR="00E5391B">
        <w:rPr>
          <w:lang w:val="hr-HR"/>
        </w:rPr>
        <w:t>članak 3</w:t>
      </w:r>
      <w:r w:rsidRPr="00653DCF">
        <w:rPr>
          <w:lang w:val="hr-HR"/>
        </w:rPr>
        <w:fldChar w:fldCharType="end"/>
      </w:r>
      <w:r w:rsidRPr="00653DCF">
        <w:rPr>
          <w:lang w:val="hr-HR"/>
        </w:rPr>
        <w:t>.</w:t>
      </w:r>
      <w:r w:rsidR="002A53EF" w:rsidRPr="00653DCF">
        <w:rPr>
          <w:lang w:val="hr-HR"/>
        </w:rPr>
        <w:t>.</w:t>
      </w:r>
    </w:p>
    <w:p w14:paraId="088EA9B5" w14:textId="654884AB" w:rsidR="007A2A6F" w:rsidRPr="00653DCF" w:rsidRDefault="00E87B0B">
      <w:pPr>
        <w:rPr>
          <w:color w:val="auto"/>
          <w:lang w:val="hr-HR"/>
        </w:rPr>
      </w:pPr>
      <w:r w:rsidRPr="00653DCF">
        <w:rPr>
          <w:color w:val="auto"/>
          <w:lang w:val="hr-HR"/>
        </w:rPr>
        <w:t>„</w:t>
      </w:r>
      <w:r w:rsidRPr="00653DCF">
        <w:rPr>
          <w:b/>
          <w:color w:val="auto"/>
          <w:lang w:val="hr-HR"/>
        </w:rPr>
        <w:t>Direktiva PIF</w:t>
      </w:r>
      <w:r w:rsidRPr="00653DCF">
        <w:rPr>
          <w:color w:val="auto"/>
          <w:lang w:val="hr-HR"/>
        </w:rPr>
        <w:t xml:space="preserve">” znači Direktiva (EU) </w:t>
      </w:r>
      <w:r w:rsidRPr="00653DCF">
        <w:rPr>
          <w:rStyle w:val="ItalicEIB"/>
          <w:i w:val="0"/>
          <w:iCs/>
          <w:color w:val="auto"/>
          <w:lang w:val="hr-HR"/>
        </w:rPr>
        <w:t>2017/1371 Europskog parlamenta i Vijeća od 5. srpnja 2017. o suzbijanju prijevara počinjenih protiv financijskih interesa Unije kaznenopravnim sredstvima)</w:t>
      </w:r>
      <w:r w:rsidRPr="00653DCF">
        <w:rPr>
          <w:color w:val="auto"/>
          <w:lang w:val="hr-HR"/>
        </w:rPr>
        <w:t xml:space="preserve">, </w:t>
      </w:r>
      <w:r w:rsidR="00B32979" w:rsidRPr="00653DCF">
        <w:rPr>
          <w:color w:val="auto"/>
          <w:lang w:val="hr-HR"/>
        </w:rPr>
        <w:t xml:space="preserve">onako kako je </w:t>
      </w:r>
      <w:r w:rsidR="00B81AE0" w:rsidRPr="00653DCF">
        <w:rPr>
          <w:color w:val="auto"/>
          <w:lang w:val="hr-HR"/>
        </w:rPr>
        <w:t>ta direktiva</w:t>
      </w:r>
      <w:r w:rsidR="00B32979" w:rsidRPr="00653DCF">
        <w:rPr>
          <w:color w:val="auto"/>
          <w:lang w:val="hr-HR"/>
        </w:rPr>
        <w:t xml:space="preserve"> </w:t>
      </w:r>
      <w:r w:rsidRPr="00653DCF">
        <w:rPr>
          <w:color w:val="auto"/>
          <w:lang w:val="hr-HR"/>
        </w:rPr>
        <w:t>izmijenjena, dopunjena ili prepravljena</w:t>
      </w:r>
      <w:r w:rsidR="00382603" w:rsidRPr="00653DCF">
        <w:rPr>
          <w:color w:val="auto"/>
          <w:lang w:val="hr-HR"/>
        </w:rPr>
        <w:t>.</w:t>
      </w:r>
    </w:p>
    <w:p w14:paraId="0055D103" w14:textId="688798FD" w:rsidR="007A2A6F" w:rsidRPr="00653DCF" w:rsidRDefault="00E87B0B">
      <w:pPr>
        <w:rPr>
          <w:color w:val="auto"/>
          <w:lang w:val="hr-HR"/>
        </w:rPr>
      </w:pPr>
      <w:r w:rsidRPr="00653DCF">
        <w:rPr>
          <w:color w:val="auto"/>
          <w:lang w:val="hr-HR"/>
        </w:rPr>
        <w:t>„</w:t>
      </w:r>
      <w:r w:rsidR="00E7200F" w:rsidRPr="00653DCF">
        <w:rPr>
          <w:rStyle w:val="BoldEIB"/>
          <w:color w:val="auto"/>
          <w:lang w:val="hr-HR"/>
        </w:rPr>
        <w:t>i</w:t>
      </w:r>
      <w:r w:rsidRPr="00653DCF">
        <w:rPr>
          <w:rStyle w:val="BoldEIB"/>
          <w:color w:val="auto"/>
          <w:lang w:val="hr-HR"/>
        </w:rPr>
        <w:t xml:space="preserve">znos </w:t>
      </w:r>
      <w:r w:rsidR="00F2210E" w:rsidRPr="00653DCF">
        <w:rPr>
          <w:rStyle w:val="BoldEIB"/>
          <w:color w:val="auto"/>
          <w:lang w:val="hr-HR"/>
        </w:rPr>
        <w:t>prijevremene otplate</w:t>
      </w:r>
      <w:r w:rsidRPr="00653DCF">
        <w:rPr>
          <w:color w:val="auto"/>
          <w:lang w:val="hr-HR"/>
        </w:rPr>
        <w:t xml:space="preserve">” znači iznos </w:t>
      </w:r>
      <w:r w:rsidR="00B32979" w:rsidRPr="00653DCF">
        <w:rPr>
          <w:color w:val="auto"/>
          <w:lang w:val="hr-HR"/>
        </w:rPr>
        <w:t>t</w:t>
      </w:r>
      <w:r w:rsidRPr="00653DCF">
        <w:rPr>
          <w:color w:val="auto"/>
          <w:lang w:val="hr-HR"/>
        </w:rPr>
        <w:t>ranše koj</w:t>
      </w:r>
      <w:r w:rsidR="00D54E2B" w:rsidRPr="00653DCF">
        <w:rPr>
          <w:color w:val="auto"/>
          <w:lang w:val="hr-HR"/>
        </w:rPr>
        <w:t>u</w:t>
      </w:r>
      <w:r w:rsidRPr="00653DCF">
        <w:rPr>
          <w:color w:val="auto"/>
          <w:lang w:val="hr-HR"/>
        </w:rPr>
        <w:t xml:space="preserve"> Zajmoprimac </w:t>
      </w:r>
      <w:r w:rsidR="00D54E2B" w:rsidRPr="00653DCF">
        <w:rPr>
          <w:color w:val="auto"/>
          <w:lang w:val="hr-HR"/>
        </w:rPr>
        <w:t xml:space="preserve">prijevremeno </w:t>
      </w:r>
      <w:r w:rsidR="00E32B29" w:rsidRPr="00653DCF">
        <w:rPr>
          <w:color w:val="auto"/>
          <w:lang w:val="hr-HR"/>
        </w:rPr>
        <w:t>otplaćuje</w:t>
      </w:r>
      <w:r w:rsidR="00D54E2B" w:rsidRPr="00653DCF">
        <w:rPr>
          <w:color w:val="auto"/>
          <w:lang w:val="hr-HR"/>
        </w:rPr>
        <w:t xml:space="preserve"> u skladu s </w:t>
      </w:r>
      <w:r w:rsidRPr="00653DCF">
        <w:rPr>
          <w:color w:val="auto"/>
          <w:lang w:val="hr-HR"/>
        </w:rPr>
        <w:t>člankom</w:t>
      </w:r>
      <w:r w:rsidR="002C5E7D" w:rsidRPr="00653DCF">
        <w:rPr>
          <w:color w:val="auto"/>
          <w:lang w:val="hr-HR"/>
        </w:rPr>
        <w:t xml:space="preserve"> 4.2.A</w:t>
      </w:r>
      <w:r w:rsidRPr="00653DCF">
        <w:rPr>
          <w:color w:val="auto"/>
          <w:lang w:val="hr-HR"/>
        </w:rPr>
        <w:t xml:space="preserve"> ili člankom</w:t>
      </w:r>
      <w:r w:rsidR="001640A9" w:rsidRPr="00653DCF">
        <w:rPr>
          <w:color w:val="auto"/>
          <w:lang w:val="hr-HR"/>
        </w:rPr>
        <w:t xml:space="preserve"> </w:t>
      </w:r>
      <w:r w:rsidR="002C5E7D" w:rsidRPr="00653DCF">
        <w:rPr>
          <w:color w:val="auto"/>
          <w:lang w:val="hr-HR"/>
        </w:rPr>
        <w:t>4.3.A</w:t>
      </w:r>
      <w:r w:rsidRPr="00653DCF">
        <w:rPr>
          <w:color w:val="auto"/>
          <w:lang w:val="hr-HR"/>
        </w:rPr>
        <w:t xml:space="preserve">, ovisno </w:t>
      </w:r>
      <w:r w:rsidR="008A2FB0" w:rsidRPr="00653DCF">
        <w:rPr>
          <w:color w:val="auto"/>
          <w:lang w:val="hr-HR"/>
        </w:rPr>
        <w:t xml:space="preserve">što </w:t>
      </w:r>
      <w:r w:rsidR="00B81AE0" w:rsidRPr="00653DCF">
        <w:rPr>
          <w:color w:val="auto"/>
          <w:lang w:val="hr-HR"/>
        </w:rPr>
        <w:t xml:space="preserve">je od toga </w:t>
      </w:r>
      <w:r w:rsidR="008A2FB0" w:rsidRPr="00653DCF">
        <w:rPr>
          <w:color w:val="auto"/>
          <w:lang w:val="hr-HR"/>
        </w:rPr>
        <w:t>primjenjivo</w:t>
      </w:r>
      <w:r w:rsidR="00382603" w:rsidRPr="00653DCF">
        <w:rPr>
          <w:color w:val="auto"/>
          <w:lang w:val="hr-HR"/>
        </w:rPr>
        <w:t>.</w:t>
      </w:r>
    </w:p>
    <w:p w14:paraId="77400FBE" w14:textId="407669F4" w:rsidR="007A2A6F" w:rsidRPr="00653DCF" w:rsidRDefault="00E87B0B">
      <w:pPr>
        <w:shd w:val="clear" w:color="auto" w:fill="FFFFFF" w:themeFill="background1"/>
        <w:rPr>
          <w:color w:val="auto"/>
          <w:lang w:val="hr-HR"/>
        </w:rPr>
      </w:pPr>
      <w:r w:rsidRPr="00653DCF">
        <w:rPr>
          <w:color w:val="auto"/>
          <w:lang w:val="hr-HR"/>
        </w:rPr>
        <w:t>„</w:t>
      </w:r>
      <w:r w:rsidR="00D54E2B" w:rsidRPr="00653DCF">
        <w:rPr>
          <w:rStyle w:val="BoldEIB"/>
          <w:color w:val="auto"/>
          <w:lang w:val="hr-HR"/>
        </w:rPr>
        <w:t>d</w:t>
      </w:r>
      <w:r w:rsidRPr="00653DCF">
        <w:rPr>
          <w:rStyle w:val="BoldEIB"/>
          <w:color w:val="auto"/>
          <w:lang w:val="hr-HR"/>
        </w:rPr>
        <w:t>atum</w:t>
      </w:r>
      <w:r w:rsidR="00B32979" w:rsidRPr="00653DCF">
        <w:rPr>
          <w:rStyle w:val="BoldEIB"/>
          <w:color w:val="auto"/>
          <w:lang w:val="hr-HR"/>
        </w:rPr>
        <w:t xml:space="preserve"> </w:t>
      </w:r>
      <w:r w:rsidR="00F2210E" w:rsidRPr="00653DCF">
        <w:rPr>
          <w:b/>
          <w:bCs/>
          <w:color w:val="auto"/>
          <w:lang w:val="hr-HR"/>
        </w:rPr>
        <w:t>prijevremene otplate</w:t>
      </w:r>
      <w:r w:rsidRPr="00653DCF">
        <w:rPr>
          <w:color w:val="auto"/>
          <w:lang w:val="hr-HR"/>
        </w:rPr>
        <w:t>” znači datum koji zatraži Zajmoprimac</w:t>
      </w:r>
      <w:r w:rsidR="00891C6B" w:rsidRPr="00653DCF">
        <w:rPr>
          <w:color w:val="auto"/>
          <w:lang w:val="hr-HR"/>
        </w:rPr>
        <w:t>, a s kojim se Banka suglasi</w:t>
      </w:r>
      <w:r w:rsidR="00863809" w:rsidRPr="00653DCF">
        <w:rPr>
          <w:color w:val="auto"/>
          <w:lang w:val="hr-HR"/>
        </w:rPr>
        <w:t>la</w:t>
      </w:r>
      <w:r w:rsidR="00891C6B" w:rsidRPr="00653DCF">
        <w:rPr>
          <w:color w:val="auto"/>
          <w:lang w:val="hr-HR"/>
        </w:rPr>
        <w:t xml:space="preserve"> ili </w:t>
      </w:r>
      <w:r w:rsidR="00863809" w:rsidRPr="00653DCF">
        <w:rPr>
          <w:color w:val="auto"/>
          <w:lang w:val="hr-HR"/>
        </w:rPr>
        <w:t xml:space="preserve">koji je Banka naznačila </w:t>
      </w:r>
      <w:r w:rsidRPr="00653DCF">
        <w:rPr>
          <w:color w:val="auto"/>
          <w:lang w:val="hr-HR"/>
        </w:rPr>
        <w:t>(</w:t>
      </w:r>
      <w:r w:rsidR="000A6A12" w:rsidRPr="00653DCF">
        <w:rPr>
          <w:color w:val="auto"/>
          <w:lang w:val="hr-HR"/>
        </w:rPr>
        <w:t xml:space="preserve">ovisno što je </w:t>
      </w:r>
      <w:r w:rsidRPr="00653DCF">
        <w:rPr>
          <w:color w:val="auto"/>
          <w:lang w:val="hr-HR"/>
        </w:rPr>
        <w:t xml:space="preserve">primjenjivo) na koji će Zajmoprimac izvršiti </w:t>
      </w:r>
      <w:r w:rsidR="00863809" w:rsidRPr="00653DCF">
        <w:rPr>
          <w:color w:val="auto"/>
          <w:lang w:val="hr-HR"/>
        </w:rPr>
        <w:t xml:space="preserve">uplatu </w:t>
      </w:r>
      <w:r w:rsidR="00E32B29" w:rsidRPr="00653DCF">
        <w:rPr>
          <w:color w:val="auto"/>
          <w:lang w:val="hr-HR"/>
        </w:rPr>
        <w:t>iznosa predujma</w:t>
      </w:r>
      <w:r w:rsidR="00382603" w:rsidRPr="00653DCF">
        <w:rPr>
          <w:color w:val="auto"/>
          <w:lang w:val="hr-HR"/>
        </w:rPr>
        <w:t>.</w:t>
      </w:r>
    </w:p>
    <w:p w14:paraId="6FA8D9F1" w14:textId="21B17874" w:rsidR="007A2A6F" w:rsidRPr="00653DCF" w:rsidRDefault="00E87B0B">
      <w:pPr>
        <w:rPr>
          <w:color w:val="auto"/>
          <w:lang w:val="hr-HR"/>
        </w:rPr>
      </w:pPr>
      <w:r w:rsidRPr="00653DCF">
        <w:rPr>
          <w:color w:val="auto"/>
          <w:lang w:val="hr-HR"/>
        </w:rPr>
        <w:lastRenderedPageBreak/>
        <w:t>„</w:t>
      </w:r>
      <w:r w:rsidR="00E32B29" w:rsidRPr="00653DCF">
        <w:rPr>
          <w:rStyle w:val="BoldEIB"/>
          <w:color w:val="auto"/>
          <w:lang w:val="hr-HR"/>
        </w:rPr>
        <w:t>d</w:t>
      </w:r>
      <w:r w:rsidRPr="00653DCF">
        <w:rPr>
          <w:rStyle w:val="BoldEIB"/>
          <w:color w:val="auto"/>
          <w:lang w:val="hr-HR"/>
        </w:rPr>
        <w:t xml:space="preserve">ogađaj </w:t>
      </w:r>
      <w:r w:rsidR="00F2210E" w:rsidRPr="00653DCF">
        <w:rPr>
          <w:rStyle w:val="BoldEIB"/>
          <w:color w:val="auto"/>
          <w:lang w:val="hr-HR"/>
        </w:rPr>
        <w:t>prijevremene otplate</w:t>
      </w:r>
      <w:r w:rsidRPr="00653DCF">
        <w:rPr>
          <w:color w:val="auto"/>
          <w:lang w:val="hr-HR"/>
        </w:rPr>
        <w:t>” znači bilo koji od događaja opisanih u članku</w:t>
      </w:r>
      <w:r w:rsidR="00863809" w:rsidRPr="00653DCF">
        <w:rPr>
          <w:color w:val="auto"/>
          <w:lang w:val="hr-HR"/>
        </w:rPr>
        <w:t xml:space="preserve"> </w:t>
      </w:r>
      <w:r w:rsidR="00C2603C" w:rsidRPr="00653DCF">
        <w:rPr>
          <w:color w:val="auto"/>
          <w:lang w:val="hr-HR"/>
        </w:rPr>
        <w:t>4.3.A</w:t>
      </w:r>
      <w:r w:rsidR="00382603" w:rsidRPr="00653DCF">
        <w:rPr>
          <w:color w:val="auto"/>
          <w:lang w:val="hr-HR"/>
        </w:rPr>
        <w:t>.</w:t>
      </w:r>
    </w:p>
    <w:p w14:paraId="019BA41A" w14:textId="5F62C1A0" w:rsidR="00456A81" w:rsidRPr="00653DCF" w:rsidRDefault="00E87B0B" w:rsidP="00456A81">
      <w:pPr>
        <w:rPr>
          <w:color w:val="auto"/>
          <w:lang w:val="hr-HR"/>
        </w:rPr>
      </w:pPr>
      <w:r w:rsidRPr="00653DCF">
        <w:rPr>
          <w:color w:val="auto"/>
          <w:lang w:val="hr-HR"/>
        </w:rPr>
        <w:t>„</w:t>
      </w:r>
      <w:r w:rsidR="006E7C7A" w:rsidRPr="00653DCF">
        <w:rPr>
          <w:b/>
          <w:bCs/>
          <w:color w:val="auto"/>
          <w:lang w:val="hr-HR"/>
        </w:rPr>
        <w:t>n</w:t>
      </w:r>
      <w:r w:rsidR="006002C9" w:rsidRPr="00653DCF">
        <w:rPr>
          <w:b/>
          <w:bCs/>
          <w:color w:val="auto"/>
          <w:lang w:val="hr-HR"/>
        </w:rPr>
        <w:t>aknada za prijevremenu otplatu</w:t>
      </w:r>
      <w:r w:rsidRPr="00653DCF">
        <w:rPr>
          <w:color w:val="auto"/>
          <w:lang w:val="hr-HR"/>
        </w:rPr>
        <w:t>” znači</w:t>
      </w:r>
      <w:r w:rsidR="006E7C7A" w:rsidRPr="00653DCF">
        <w:rPr>
          <w:color w:val="auto"/>
          <w:lang w:val="hr-HR"/>
        </w:rPr>
        <w:t>,</w:t>
      </w:r>
      <w:r w:rsidRPr="00653DCF">
        <w:rPr>
          <w:color w:val="auto"/>
          <w:lang w:val="hr-HR"/>
        </w:rPr>
        <w:t xml:space="preserve"> u odnosu na bilo koji iznos glavnice koji </w:t>
      </w:r>
      <w:r w:rsidR="00D661D1" w:rsidRPr="00653DCF">
        <w:rPr>
          <w:color w:val="auto"/>
          <w:lang w:val="hr-HR"/>
        </w:rPr>
        <w:t>se prijevremeno otplaćuje</w:t>
      </w:r>
      <w:r w:rsidR="006E7C7A" w:rsidRPr="00653DCF">
        <w:rPr>
          <w:color w:val="auto"/>
          <w:lang w:val="hr-HR"/>
        </w:rPr>
        <w:t>,</w:t>
      </w:r>
      <w:r w:rsidR="00D661D1" w:rsidRPr="00653DCF">
        <w:rPr>
          <w:color w:val="auto"/>
          <w:lang w:val="hr-HR"/>
        </w:rPr>
        <w:t xml:space="preserve"> iznos koji je Banka priopćila Zajmoprimcu kao sadašnju vrijednost </w:t>
      </w:r>
      <w:r w:rsidR="0056541B" w:rsidRPr="00653DCF">
        <w:rPr>
          <w:color w:val="auto"/>
          <w:lang w:val="hr-HR"/>
        </w:rPr>
        <w:t xml:space="preserve">razlike </w:t>
      </w:r>
      <w:r w:rsidR="00D661D1" w:rsidRPr="00653DCF">
        <w:rPr>
          <w:color w:val="auto"/>
          <w:lang w:val="hr-HR"/>
        </w:rPr>
        <w:t>(obračunatu na datum prijevremene otplate</w:t>
      </w:r>
      <w:r w:rsidR="00456A81" w:rsidRPr="00653DCF">
        <w:rPr>
          <w:color w:val="auto"/>
          <w:lang w:val="hr-HR"/>
        </w:rPr>
        <w:t>)</w:t>
      </w:r>
      <w:r w:rsidR="003823D5" w:rsidRPr="00653DCF">
        <w:rPr>
          <w:color w:val="auto"/>
          <w:lang w:val="hr-HR"/>
        </w:rPr>
        <w:t xml:space="preserve">, ako </w:t>
      </w:r>
      <w:r w:rsidR="00786878" w:rsidRPr="00653DCF">
        <w:rPr>
          <w:color w:val="auto"/>
          <w:lang w:val="hr-HR"/>
        </w:rPr>
        <w:t xml:space="preserve">takva </w:t>
      </w:r>
      <w:r w:rsidR="003823D5" w:rsidRPr="00653DCF">
        <w:rPr>
          <w:color w:val="auto"/>
          <w:lang w:val="hr-HR"/>
        </w:rPr>
        <w:t>postoji, između:</w:t>
      </w:r>
      <w:r w:rsidR="00D661D1" w:rsidRPr="00653DCF">
        <w:rPr>
          <w:color w:val="auto"/>
          <w:lang w:val="hr-HR"/>
        </w:rPr>
        <w:t xml:space="preserve"> </w:t>
      </w:r>
    </w:p>
    <w:p w14:paraId="74041374" w14:textId="5D1C0E1B" w:rsidR="007C1A79" w:rsidRPr="00653DCF" w:rsidRDefault="00E87B0B" w:rsidP="00DA3B64">
      <w:pPr>
        <w:pStyle w:val="NoIndentEIB"/>
        <w:numPr>
          <w:ilvl w:val="0"/>
          <w:numId w:val="13"/>
        </w:numPr>
        <w:rPr>
          <w:color w:val="auto"/>
          <w:lang w:val="hr-HR"/>
        </w:rPr>
      </w:pPr>
      <w:r w:rsidRPr="00653DCF">
        <w:rPr>
          <w:color w:val="auto"/>
          <w:lang w:val="hr-HR"/>
        </w:rPr>
        <w:t>kamate koj</w:t>
      </w:r>
      <w:r w:rsidR="00786878" w:rsidRPr="00653DCF">
        <w:rPr>
          <w:color w:val="auto"/>
          <w:lang w:val="hr-HR"/>
        </w:rPr>
        <w:t>a</w:t>
      </w:r>
      <w:r w:rsidRPr="00653DCF">
        <w:rPr>
          <w:color w:val="auto"/>
          <w:lang w:val="hr-HR"/>
        </w:rPr>
        <w:t xml:space="preserve"> bi se </w:t>
      </w:r>
      <w:r w:rsidR="003823D5" w:rsidRPr="00653DCF">
        <w:rPr>
          <w:color w:val="auto"/>
          <w:lang w:val="hr-HR"/>
        </w:rPr>
        <w:t xml:space="preserve">od tog trenutka obračunala na </w:t>
      </w:r>
      <w:r w:rsidR="00786878" w:rsidRPr="00653DCF">
        <w:rPr>
          <w:color w:val="auto"/>
          <w:lang w:val="hr-HR"/>
        </w:rPr>
        <w:t>i</w:t>
      </w:r>
      <w:r w:rsidR="003823D5" w:rsidRPr="00653DCF">
        <w:rPr>
          <w:color w:val="auto"/>
          <w:lang w:val="hr-HR"/>
        </w:rPr>
        <w:t xml:space="preserve">znos prijevremene otplate tijekom razdoblja od </w:t>
      </w:r>
      <w:r w:rsidR="00786878" w:rsidRPr="00653DCF">
        <w:rPr>
          <w:color w:val="auto"/>
          <w:lang w:val="hr-HR"/>
        </w:rPr>
        <w:t>d</w:t>
      </w:r>
      <w:r w:rsidR="00FB0D6F" w:rsidRPr="00653DCF">
        <w:rPr>
          <w:color w:val="auto"/>
          <w:lang w:val="hr-HR"/>
        </w:rPr>
        <w:t xml:space="preserve">atuma prijevremene otplate do </w:t>
      </w:r>
      <w:r w:rsidR="00786878" w:rsidRPr="00653DCF">
        <w:rPr>
          <w:color w:val="auto"/>
          <w:lang w:val="hr-HR"/>
        </w:rPr>
        <w:t>d</w:t>
      </w:r>
      <w:r w:rsidR="00FB0D6F" w:rsidRPr="00653DCF">
        <w:rPr>
          <w:color w:val="auto"/>
          <w:lang w:val="hr-HR"/>
        </w:rPr>
        <w:t xml:space="preserve">atuma </w:t>
      </w:r>
      <w:r w:rsidR="00963AF2" w:rsidRPr="00653DCF">
        <w:rPr>
          <w:color w:val="auto"/>
          <w:lang w:val="hr-HR"/>
        </w:rPr>
        <w:t xml:space="preserve">revizije/konverzije kamatne stope, ako </w:t>
      </w:r>
      <w:r w:rsidR="00786878" w:rsidRPr="00653DCF">
        <w:rPr>
          <w:color w:val="auto"/>
          <w:lang w:val="hr-HR"/>
        </w:rPr>
        <w:t xml:space="preserve">takva </w:t>
      </w:r>
      <w:r w:rsidR="00963AF2" w:rsidRPr="00653DCF">
        <w:rPr>
          <w:color w:val="auto"/>
          <w:lang w:val="hr-HR"/>
        </w:rPr>
        <w:t xml:space="preserve">postoji, ili do </w:t>
      </w:r>
      <w:r w:rsidR="00786878" w:rsidRPr="00653DCF">
        <w:rPr>
          <w:color w:val="auto"/>
          <w:lang w:val="hr-HR"/>
        </w:rPr>
        <w:t>d</w:t>
      </w:r>
      <w:r w:rsidR="00963AF2" w:rsidRPr="00653DCF">
        <w:rPr>
          <w:color w:val="auto"/>
          <w:lang w:val="hr-HR"/>
        </w:rPr>
        <w:t>atuma dospijeć</w:t>
      </w:r>
      <w:r w:rsidR="007C1A79" w:rsidRPr="00653DCF">
        <w:rPr>
          <w:color w:val="auto"/>
          <w:lang w:val="hr-HR"/>
        </w:rPr>
        <w:t>a</w:t>
      </w:r>
      <w:r w:rsidR="00786878" w:rsidRPr="00653DCF">
        <w:rPr>
          <w:color w:val="auto"/>
          <w:lang w:val="hr-HR"/>
        </w:rPr>
        <w:t xml:space="preserve">, da nije došlo do prijevremene </w:t>
      </w:r>
      <w:r w:rsidR="007C1A79" w:rsidRPr="00653DCF">
        <w:rPr>
          <w:color w:val="auto"/>
          <w:lang w:val="hr-HR"/>
        </w:rPr>
        <w:t>otplate</w:t>
      </w:r>
      <w:r w:rsidR="00786878" w:rsidRPr="00653DCF">
        <w:rPr>
          <w:color w:val="auto"/>
          <w:lang w:val="hr-HR"/>
        </w:rPr>
        <w:t>;</w:t>
      </w:r>
      <w:r w:rsidR="007C1A79" w:rsidRPr="00653DCF">
        <w:rPr>
          <w:color w:val="auto"/>
          <w:lang w:val="hr-HR"/>
        </w:rPr>
        <w:t xml:space="preserve"> i </w:t>
      </w:r>
    </w:p>
    <w:p w14:paraId="6BEF01BF" w14:textId="6D4E3D5A" w:rsidR="007C1A79" w:rsidRPr="00653DCF" w:rsidRDefault="00B815B0">
      <w:pPr>
        <w:pStyle w:val="NoIndentEIB"/>
        <w:numPr>
          <w:ilvl w:val="0"/>
          <w:numId w:val="13"/>
        </w:numPr>
        <w:rPr>
          <w:color w:val="auto"/>
          <w:lang w:val="hr-HR"/>
        </w:rPr>
      </w:pPr>
      <w:r w:rsidRPr="00653DCF">
        <w:rPr>
          <w:color w:val="auto"/>
          <w:lang w:val="hr-HR"/>
        </w:rPr>
        <w:t>kamate koja bi se obračunala tijekom to</w:t>
      </w:r>
      <w:r w:rsidR="0056541B" w:rsidRPr="00653DCF">
        <w:rPr>
          <w:color w:val="auto"/>
          <w:lang w:val="hr-HR"/>
        </w:rPr>
        <w:t>g</w:t>
      </w:r>
      <w:r w:rsidRPr="00653DCF">
        <w:rPr>
          <w:color w:val="auto"/>
          <w:lang w:val="hr-HR"/>
        </w:rPr>
        <w:t xml:space="preserve"> razdoblja da se </w:t>
      </w:r>
      <w:r w:rsidR="0056541B" w:rsidRPr="00653DCF">
        <w:rPr>
          <w:color w:val="auto"/>
          <w:lang w:val="hr-HR"/>
        </w:rPr>
        <w:t>obračunava</w:t>
      </w:r>
      <w:r w:rsidRPr="00653DCF">
        <w:rPr>
          <w:color w:val="auto"/>
          <w:lang w:val="hr-HR"/>
        </w:rPr>
        <w:t xml:space="preserve"> po stopi </w:t>
      </w:r>
      <w:r w:rsidR="00786878" w:rsidRPr="00653DCF">
        <w:rPr>
          <w:color w:val="auto"/>
          <w:lang w:val="hr-HR"/>
        </w:rPr>
        <w:t>p</w:t>
      </w:r>
      <w:r w:rsidRPr="00653DCF">
        <w:rPr>
          <w:color w:val="auto"/>
          <w:lang w:val="hr-HR"/>
        </w:rPr>
        <w:t>onovnog angažmana</w:t>
      </w:r>
      <w:r w:rsidR="00514860" w:rsidRPr="00653DCF">
        <w:rPr>
          <w:color w:val="auto"/>
          <w:lang w:val="hr-HR"/>
        </w:rPr>
        <w:t xml:space="preserve"> EIB-a</w:t>
      </w:r>
      <w:r w:rsidR="00246F0D" w:rsidRPr="00653DCF">
        <w:rPr>
          <w:color w:val="auto"/>
          <w:lang w:val="hr-HR"/>
        </w:rPr>
        <w:t>, umanjenoj za 0,19</w:t>
      </w:r>
      <w:r w:rsidR="005933B1" w:rsidRPr="00653DCF">
        <w:rPr>
          <w:color w:val="auto"/>
          <w:lang w:val="hr-HR"/>
        </w:rPr>
        <w:t>% (devetnaest baznih bodova).</w:t>
      </w:r>
    </w:p>
    <w:p w14:paraId="67717AA2" w14:textId="011D27DB" w:rsidR="007A2A6F" w:rsidRPr="00653DCF" w:rsidRDefault="00E87B0B">
      <w:pPr>
        <w:rPr>
          <w:color w:val="auto"/>
          <w:lang w:val="hr-HR"/>
        </w:rPr>
      </w:pPr>
      <w:r w:rsidRPr="00653DCF">
        <w:rPr>
          <w:color w:val="auto"/>
          <w:lang w:val="hr-HR"/>
        </w:rPr>
        <w:t xml:space="preserve">Navedena sadašnja vrijednost izračunava se po diskontnoj stopi koja je jednaka stopi </w:t>
      </w:r>
      <w:r w:rsidR="001B28CB" w:rsidRPr="00653DCF">
        <w:rPr>
          <w:color w:val="auto"/>
          <w:lang w:val="hr-HR"/>
        </w:rPr>
        <w:t>p</w:t>
      </w:r>
      <w:r w:rsidR="00E216AB" w:rsidRPr="00653DCF">
        <w:rPr>
          <w:color w:val="auto"/>
          <w:lang w:val="hr-HR"/>
        </w:rPr>
        <w:t>onovnog angažmana</w:t>
      </w:r>
      <w:r w:rsidRPr="00653DCF">
        <w:rPr>
          <w:color w:val="auto"/>
          <w:lang w:val="hr-HR"/>
        </w:rPr>
        <w:t xml:space="preserve"> </w:t>
      </w:r>
      <w:r w:rsidR="00514860" w:rsidRPr="00653DCF">
        <w:rPr>
          <w:color w:val="auto"/>
          <w:lang w:val="hr-HR"/>
        </w:rPr>
        <w:t xml:space="preserve">EIB-a </w:t>
      </w:r>
      <w:r w:rsidRPr="00653DCF">
        <w:rPr>
          <w:color w:val="auto"/>
          <w:lang w:val="hr-HR"/>
        </w:rPr>
        <w:t xml:space="preserve">koja se primjenjuje </w:t>
      </w:r>
      <w:r w:rsidR="00514860" w:rsidRPr="00653DCF">
        <w:rPr>
          <w:color w:val="auto"/>
          <w:lang w:val="hr-HR"/>
        </w:rPr>
        <w:t xml:space="preserve">na svaki </w:t>
      </w:r>
      <w:r w:rsidR="0065694D" w:rsidRPr="00653DCF">
        <w:rPr>
          <w:color w:val="auto"/>
          <w:lang w:val="hr-HR"/>
        </w:rPr>
        <w:t xml:space="preserve">relevantni </w:t>
      </w:r>
      <w:r w:rsidR="001B28CB" w:rsidRPr="00653DCF">
        <w:rPr>
          <w:color w:val="auto"/>
          <w:lang w:val="hr-HR"/>
        </w:rPr>
        <w:t>d</w:t>
      </w:r>
      <w:r w:rsidRPr="00653DCF">
        <w:rPr>
          <w:color w:val="auto"/>
          <w:lang w:val="hr-HR"/>
        </w:rPr>
        <w:t>atum plaćanja</w:t>
      </w:r>
      <w:r w:rsidR="00382603" w:rsidRPr="00653DCF">
        <w:rPr>
          <w:color w:val="auto"/>
          <w:lang w:val="hr-HR"/>
        </w:rPr>
        <w:t>.</w:t>
      </w:r>
    </w:p>
    <w:p w14:paraId="077A8797" w14:textId="31464D3A" w:rsidR="007A2A6F" w:rsidRPr="00653DCF" w:rsidRDefault="00E87B0B">
      <w:pPr>
        <w:rPr>
          <w:color w:val="auto"/>
          <w:lang w:val="hr-HR"/>
        </w:rPr>
      </w:pPr>
      <w:r w:rsidRPr="00653DCF">
        <w:rPr>
          <w:color w:val="auto"/>
          <w:lang w:val="hr-HR"/>
        </w:rPr>
        <w:t>„</w:t>
      </w:r>
      <w:r w:rsidR="00AB41C2" w:rsidRPr="00653DCF">
        <w:rPr>
          <w:rStyle w:val="BoldEIB"/>
          <w:color w:val="auto"/>
          <w:lang w:val="hr-HR"/>
        </w:rPr>
        <w:t>o</w:t>
      </w:r>
      <w:r w:rsidRPr="00653DCF">
        <w:rPr>
          <w:rStyle w:val="BoldEIB"/>
          <w:color w:val="auto"/>
          <w:lang w:val="hr-HR"/>
        </w:rPr>
        <w:t xml:space="preserve">bavijest o </w:t>
      </w:r>
      <w:r w:rsidR="000A186E" w:rsidRPr="00653DCF">
        <w:rPr>
          <w:rStyle w:val="BoldEIB"/>
          <w:color w:val="auto"/>
          <w:lang w:val="hr-HR"/>
        </w:rPr>
        <w:t>prijevremenoj otplati</w:t>
      </w:r>
      <w:r w:rsidRPr="00653DCF">
        <w:rPr>
          <w:color w:val="auto"/>
          <w:lang w:val="hr-HR"/>
        </w:rPr>
        <w:t>” znači pisana obavijest Banke Zajmoprimcu u skladu s člankom</w:t>
      </w:r>
      <w:r w:rsidR="00C2603C" w:rsidRPr="00653DCF">
        <w:rPr>
          <w:color w:val="auto"/>
          <w:lang w:val="hr-HR"/>
        </w:rPr>
        <w:t xml:space="preserve"> 4.2.C</w:t>
      </w:r>
      <w:r w:rsidR="00382603" w:rsidRPr="00653DCF">
        <w:rPr>
          <w:color w:val="auto"/>
          <w:lang w:val="hr-HR"/>
        </w:rPr>
        <w:t>.</w:t>
      </w:r>
    </w:p>
    <w:p w14:paraId="02B061E2" w14:textId="1A48A25E" w:rsidR="007A2A6F" w:rsidRPr="00653DCF" w:rsidRDefault="00E87B0B">
      <w:pPr>
        <w:rPr>
          <w:color w:val="auto"/>
          <w:lang w:val="hr-HR"/>
        </w:rPr>
      </w:pPr>
      <w:r w:rsidRPr="00653DCF">
        <w:rPr>
          <w:color w:val="auto"/>
          <w:lang w:val="hr-HR"/>
        </w:rPr>
        <w:t>„</w:t>
      </w:r>
      <w:r w:rsidR="00C4653B" w:rsidRPr="00653DCF">
        <w:rPr>
          <w:rStyle w:val="BoldEIB"/>
          <w:color w:val="auto"/>
          <w:lang w:val="hr-HR"/>
        </w:rPr>
        <w:t>z</w:t>
      </w:r>
      <w:r w:rsidRPr="00653DCF">
        <w:rPr>
          <w:rStyle w:val="BoldEIB"/>
          <w:color w:val="auto"/>
          <w:lang w:val="hr-HR"/>
        </w:rPr>
        <w:t xml:space="preserve">ahtjev za </w:t>
      </w:r>
      <w:r w:rsidR="0065694D" w:rsidRPr="00653DCF">
        <w:rPr>
          <w:rStyle w:val="BoldEIB"/>
          <w:color w:val="auto"/>
          <w:lang w:val="hr-HR"/>
        </w:rPr>
        <w:t>prijevremenu otplatu</w:t>
      </w:r>
      <w:r w:rsidRPr="00653DCF">
        <w:rPr>
          <w:color w:val="auto"/>
          <w:lang w:val="hr-HR"/>
        </w:rPr>
        <w:t xml:space="preserve">” znači pisani zahtjev </w:t>
      </w:r>
      <w:r w:rsidR="0065694D" w:rsidRPr="00653DCF">
        <w:rPr>
          <w:color w:val="auto"/>
          <w:lang w:val="hr-HR"/>
        </w:rPr>
        <w:t xml:space="preserve">koji Zajmoprimac dostavlja </w:t>
      </w:r>
      <w:r w:rsidRPr="00653DCF">
        <w:rPr>
          <w:color w:val="auto"/>
          <w:lang w:val="hr-HR"/>
        </w:rPr>
        <w:t xml:space="preserve">Banci </w:t>
      </w:r>
      <w:r w:rsidR="006B470B" w:rsidRPr="00653DCF">
        <w:rPr>
          <w:color w:val="auto"/>
          <w:lang w:val="hr-HR"/>
        </w:rPr>
        <w:t>radi</w:t>
      </w:r>
      <w:r w:rsidRPr="00653DCF">
        <w:rPr>
          <w:color w:val="auto"/>
          <w:lang w:val="hr-HR"/>
        </w:rPr>
        <w:t xml:space="preserve"> </w:t>
      </w:r>
      <w:r w:rsidR="006E19F9" w:rsidRPr="00653DCF">
        <w:rPr>
          <w:color w:val="auto"/>
          <w:lang w:val="hr-HR"/>
        </w:rPr>
        <w:t>prijevremen</w:t>
      </w:r>
      <w:r w:rsidR="006B470B" w:rsidRPr="00653DCF">
        <w:rPr>
          <w:color w:val="auto"/>
          <w:lang w:val="hr-HR"/>
        </w:rPr>
        <w:t>e</w:t>
      </w:r>
      <w:r w:rsidR="006E19F9" w:rsidRPr="00653DCF">
        <w:rPr>
          <w:color w:val="auto"/>
          <w:lang w:val="hr-HR"/>
        </w:rPr>
        <w:t xml:space="preserve"> otplat</w:t>
      </w:r>
      <w:r w:rsidR="006B470B" w:rsidRPr="00653DCF">
        <w:rPr>
          <w:color w:val="auto"/>
          <w:lang w:val="hr-HR"/>
        </w:rPr>
        <w:t>e</w:t>
      </w:r>
      <w:r w:rsidR="006E19F9" w:rsidRPr="00653DCF">
        <w:rPr>
          <w:color w:val="auto"/>
          <w:lang w:val="hr-HR"/>
        </w:rPr>
        <w:t xml:space="preserve"> ukupnog </w:t>
      </w:r>
      <w:r w:rsidR="006B470B" w:rsidRPr="00653DCF">
        <w:rPr>
          <w:color w:val="auto"/>
          <w:lang w:val="hr-HR"/>
        </w:rPr>
        <w:t xml:space="preserve">ili </w:t>
      </w:r>
      <w:r w:rsidR="006E19F9" w:rsidRPr="00653DCF">
        <w:rPr>
          <w:color w:val="auto"/>
          <w:lang w:val="hr-HR"/>
        </w:rPr>
        <w:t>dijela preostalog zajma</w:t>
      </w:r>
      <w:r w:rsidRPr="00653DCF">
        <w:rPr>
          <w:color w:val="auto"/>
          <w:lang w:val="hr-HR"/>
        </w:rPr>
        <w:t>, u skladu s člankom</w:t>
      </w:r>
      <w:r w:rsidR="006E19F9" w:rsidRPr="00653DCF">
        <w:rPr>
          <w:color w:val="auto"/>
          <w:lang w:val="hr-HR"/>
        </w:rPr>
        <w:t xml:space="preserve"> </w:t>
      </w:r>
      <w:r w:rsidR="00C2603C" w:rsidRPr="00653DCF">
        <w:rPr>
          <w:color w:val="auto"/>
          <w:lang w:val="hr-HR"/>
        </w:rPr>
        <w:t>4.2.A</w:t>
      </w:r>
      <w:r w:rsidR="00382603" w:rsidRPr="00653DCF">
        <w:rPr>
          <w:color w:val="auto"/>
          <w:lang w:val="hr-HR"/>
        </w:rPr>
        <w:t>.</w:t>
      </w:r>
    </w:p>
    <w:p w14:paraId="1C8AC35E" w14:textId="6BB3D08A" w:rsidR="00341AAC" w:rsidRPr="00653DCF" w:rsidRDefault="00341AAC">
      <w:pPr>
        <w:rPr>
          <w:color w:val="auto"/>
          <w:lang w:val="hr-HR"/>
        </w:rPr>
      </w:pPr>
      <w:r w:rsidRPr="00653DCF">
        <w:rPr>
          <w:b/>
          <w:color w:val="auto"/>
          <w:lang w:val="hr-HR"/>
        </w:rPr>
        <w:t xml:space="preserve">„Ugovor o projektu“ </w:t>
      </w:r>
      <w:r w:rsidR="00DC6451" w:rsidRPr="00653DCF">
        <w:rPr>
          <w:color w:val="auto"/>
          <w:lang w:val="hr-HR"/>
        </w:rPr>
        <w:t>znači</w:t>
      </w:r>
      <w:r w:rsidRPr="00653DCF">
        <w:rPr>
          <w:color w:val="auto"/>
          <w:lang w:val="hr-HR"/>
        </w:rPr>
        <w:t xml:space="preserve"> ugovor koji treba biti sklopljen između HŽI</w:t>
      </w:r>
      <w:r w:rsidR="00AF4193" w:rsidRPr="00653DCF">
        <w:rPr>
          <w:color w:val="auto"/>
          <w:lang w:val="hr-HR"/>
        </w:rPr>
        <w:t>-a</w:t>
      </w:r>
      <w:r w:rsidRPr="00653DCF">
        <w:rPr>
          <w:color w:val="auto"/>
          <w:lang w:val="hr-HR"/>
        </w:rPr>
        <w:t>, HŽPP</w:t>
      </w:r>
      <w:r w:rsidR="00AF4193" w:rsidRPr="00653DCF">
        <w:rPr>
          <w:color w:val="auto"/>
          <w:lang w:val="hr-HR"/>
        </w:rPr>
        <w:t>-a</w:t>
      </w:r>
      <w:r w:rsidRPr="00653DCF">
        <w:rPr>
          <w:color w:val="auto"/>
          <w:lang w:val="hr-HR"/>
        </w:rPr>
        <w:t>, Ministarstva mora, prometa i infrastrukture i Ministarstva financija, kojim će se odrediti zadaće i uloge HŽI</w:t>
      </w:r>
      <w:r w:rsidR="00AF4193" w:rsidRPr="00653DCF">
        <w:rPr>
          <w:color w:val="auto"/>
          <w:lang w:val="hr-HR"/>
        </w:rPr>
        <w:t>-a</w:t>
      </w:r>
      <w:r w:rsidRPr="00653DCF">
        <w:rPr>
          <w:color w:val="auto"/>
          <w:lang w:val="hr-HR"/>
        </w:rPr>
        <w:t>, HŽPP</w:t>
      </w:r>
      <w:r w:rsidR="00AF4193" w:rsidRPr="00653DCF">
        <w:rPr>
          <w:color w:val="auto"/>
          <w:lang w:val="hr-HR"/>
        </w:rPr>
        <w:t>-a</w:t>
      </w:r>
      <w:r w:rsidRPr="00653DCF">
        <w:rPr>
          <w:color w:val="auto"/>
          <w:lang w:val="hr-HR"/>
        </w:rPr>
        <w:t>, Ministarstva mora, prometa i infrastrukture i Ministarstva financija</w:t>
      </w:r>
      <w:r w:rsidR="00E86A45" w:rsidRPr="00653DCF">
        <w:rPr>
          <w:color w:val="auto"/>
          <w:lang w:val="hr-HR"/>
        </w:rPr>
        <w:t xml:space="preserve"> u skladu s Projektom i zajmom</w:t>
      </w:r>
      <w:r w:rsidR="00382603" w:rsidRPr="00653DCF">
        <w:rPr>
          <w:color w:val="auto"/>
          <w:lang w:val="hr-HR"/>
        </w:rPr>
        <w:t>.</w:t>
      </w:r>
    </w:p>
    <w:p w14:paraId="21A9901A" w14:textId="192A7332" w:rsidR="007A2A6F" w:rsidRPr="00653DCF" w:rsidRDefault="00E87B0B">
      <w:pPr>
        <w:rPr>
          <w:color w:val="auto"/>
          <w:lang w:val="hr-HR"/>
        </w:rPr>
      </w:pPr>
      <w:r w:rsidRPr="00653DCF">
        <w:rPr>
          <w:color w:val="auto"/>
          <w:lang w:val="hr-HR"/>
        </w:rPr>
        <w:t>„</w:t>
      </w:r>
      <w:r w:rsidR="004B388D" w:rsidRPr="00653DCF">
        <w:rPr>
          <w:b/>
          <w:color w:val="auto"/>
          <w:lang w:val="hr-HR"/>
        </w:rPr>
        <w:t>P</w:t>
      </w:r>
      <w:r w:rsidRPr="00653DCF">
        <w:rPr>
          <w:b/>
          <w:color w:val="auto"/>
          <w:lang w:val="hr-HR"/>
        </w:rPr>
        <w:t>rojektno društvo</w:t>
      </w:r>
      <w:r w:rsidRPr="00653DCF">
        <w:rPr>
          <w:color w:val="auto"/>
          <w:lang w:val="hr-HR"/>
        </w:rPr>
        <w:t xml:space="preserve">” znači </w:t>
      </w:r>
      <w:r w:rsidR="00DD3AA2" w:rsidRPr="00653DCF">
        <w:rPr>
          <w:color w:val="auto"/>
          <w:lang w:val="hr-HR"/>
        </w:rPr>
        <w:t>HŽI</w:t>
      </w:r>
      <w:r w:rsidRPr="00653DCF">
        <w:rPr>
          <w:color w:val="auto"/>
          <w:lang w:val="hr-HR"/>
        </w:rPr>
        <w:t xml:space="preserve"> za </w:t>
      </w:r>
      <w:r w:rsidR="00A95988" w:rsidRPr="00653DCF">
        <w:rPr>
          <w:color w:val="auto"/>
          <w:lang w:val="hr-HR"/>
        </w:rPr>
        <w:t xml:space="preserve">provođenje </w:t>
      </w:r>
      <w:r w:rsidR="00400A77" w:rsidRPr="00653DCF">
        <w:rPr>
          <w:color w:val="auto"/>
          <w:lang w:val="hr-HR"/>
        </w:rPr>
        <w:t xml:space="preserve">i upravljanje </w:t>
      </w:r>
      <w:r w:rsidR="00A95988" w:rsidRPr="00653DCF">
        <w:rPr>
          <w:color w:val="auto"/>
          <w:lang w:val="hr-HR"/>
        </w:rPr>
        <w:t xml:space="preserve">infrastrukturnim </w:t>
      </w:r>
      <w:r w:rsidR="0023631F" w:rsidRPr="00653DCF">
        <w:rPr>
          <w:color w:val="auto"/>
          <w:lang w:val="hr-HR"/>
        </w:rPr>
        <w:t xml:space="preserve">investicijskim </w:t>
      </w:r>
      <w:r w:rsidR="00A95988" w:rsidRPr="00653DCF">
        <w:rPr>
          <w:color w:val="auto"/>
          <w:lang w:val="hr-HR"/>
        </w:rPr>
        <w:t>projektima</w:t>
      </w:r>
      <w:r w:rsidR="00400A77" w:rsidRPr="00653DCF">
        <w:rPr>
          <w:color w:val="auto"/>
          <w:lang w:val="hr-HR"/>
        </w:rPr>
        <w:t xml:space="preserve"> </w:t>
      </w:r>
      <w:r w:rsidRPr="00653DCF">
        <w:rPr>
          <w:color w:val="auto"/>
          <w:lang w:val="hr-HR"/>
        </w:rPr>
        <w:t xml:space="preserve">i </w:t>
      </w:r>
      <w:r w:rsidR="00DD3AA2" w:rsidRPr="00653DCF">
        <w:rPr>
          <w:color w:val="auto"/>
          <w:lang w:val="hr-HR"/>
        </w:rPr>
        <w:t>HŽPP</w:t>
      </w:r>
      <w:r w:rsidRPr="00653DCF">
        <w:rPr>
          <w:color w:val="auto"/>
          <w:lang w:val="hr-HR"/>
        </w:rPr>
        <w:t xml:space="preserve"> </w:t>
      </w:r>
      <w:r w:rsidR="00A95988" w:rsidRPr="00653DCF">
        <w:rPr>
          <w:color w:val="auto"/>
          <w:lang w:val="hr-HR"/>
        </w:rPr>
        <w:t xml:space="preserve">za provođenje </w:t>
      </w:r>
      <w:r w:rsidR="008A4C71" w:rsidRPr="00653DCF">
        <w:rPr>
          <w:color w:val="auto"/>
          <w:lang w:val="hr-HR"/>
        </w:rPr>
        <w:t xml:space="preserve">i upravljanje </w:t>
      </w:r>
      <w:r w:rsidR="0023631F" w:rsidRPr="00653DCF">
        <w:rPr>
          <w:color w:val="auto"/>
          <w:lang w:val="hr-HR"/>
        </w:rPr>
        <w:t xml:space="preserve">investicijskim projektima vezano za </w:t>
      </w:r>
      <w:r w:rsidR="008A4C71" w:rsidRPr="00653DCF">
        <w:rPr>
          <w:color w:val="auto"/>
          <w:lang w:val="hr-HR"/>
        </w:rPr>
        <w:t>željezničk</w:t>
      </w:r>
      <w:r w:rsidR="0023631F" w:rsidRPr="00653DCF">
        <w:rPr>
          <w:color w:val="auto"/>
          <w:lang w:val="hr-HR"/>
        </w:rPr>
        <w:t>a</w:t>
      </w:r>
      <w:r w:rsidR="008A4C71" w:rsidRPr="00653DCF">
        <w:rPr>
          <w:color w:val="auto"/>
          <w:lang w:val="hr-HR"/>
        </w:rPr>
        <w:t xml:space="preserve"> vozila </w:t>
      </w:r>
      <w:r w:rsidR="00AF4193" w:rsidRPr="00653DCF">
        <w:rPr>
          <w:color w:val="auto"/>
          <w:lang w:val="hr-HR"/>
        </w:rPr>
        <w:t xml:space="preserve">za prijevoz putnika </w:t>
      </w:r>
      <w:r w:rsidRPr="00653DCF">
        <w:rPr>
          <w:color w:val="auto"/>
          <w:lang w:val="hr-HR"/>
        </w:rPr>
        <w:t xml:space="preserve">ili bilo koje od njihovih sljednika ili drugih </w:t>
      </w:r>
      <w:r w:rsidR="0023631F" w:rsidRPr="00653DCF">
        <w:rPr>
          <w:color w:val="auto"/>
          <w:lang w:val="hr-HR"/>
        </w:rPr>
        <w:t xml:space="preserve">trgovačkih društava </w:t>
      </w:r>
      <w:r w:rsidRPr="00653DCF">
        <w:rPr>
          <w:color w:val="auto"/>
          <w:lang w:val="hr-HR"/>
        </w:rPr>
        <w:t xml:space="preserve">koje je Zajmoprimac odredio za provedbu bilo kojeg od </w:t>
      </w:r>
      <w:r w:rsidR="007C5E9A" w:rsidRPr="00653DCF">
        <w:rPr>
          <w:color w:val="auto"/>
          <w:lang w:val="hr-HR"/>
        </w:rPr>
        <w:t>investicijskih projekata</w:t>
      </w:r>
      <w:r w:rsidRPr="00653DCF">
        <w:rPr>
          <w:color w:val="auto"/>
          <w:lang w:val="hr-HR"/>
        </w:rPr>
        <w:t xml:space="preserve"> u okviru </w:t>
      </w:r>
      <w:r w:rsidR="0023631F" w:rsidRPr="00653DCF">
        <w:rPr>
          <w:color w:val="auto"/>
          <w:lang w:val="hr-HR"/>
        </w:rPr>
        <w:t xml:space="preserve">ovog </w:t>
      </w:r>
      <w:r w:rsidRPr="00653DCF">
        <w:rPr>
          <w:color w:val="auto"/>
          <w:lang w:val="hr-HR"/>
        </w:rPr>
        <w:t>Projekta</w:t>
      </w:r>
      <w:r w:rsidR="00382603" w:rsidRPr="00653DCF">
        <w:rPr>
          <w:color w:val="auto"/>
          <w:lang w:val="hr-HR"/>
        </w:rPr>
        <w:t>.</w:t>
      </w:r>
    </w:p>
    <w:p w14:paraId="113E7610" w14:textId="560B7E43" w:rsidR="007A2A6F" w:rsidRPr="00653DCF" w:rsidRDefault="00E87B0B">
      <w:pPr>
        <w:rPr>
          <w:color w:val="auto"/>
          <w:lang w:val="hr-HR"/>
        </w:rPr>
      </w:pPr>
      <w:r w:rsidRPr="00653DCF">
        <w:rPr>
          <w:color w:val="auto"/>
          <w:lang w:val="hr-HR"/>
        </w:rPr>
        <w:t>„</w:t>
      </w:r>
      <w:r w:rsidR="007C5E9A" w:rsidRPr="00653DCF">
        <w:rPr>
          <w:b/>
          <w:color w:val="auto"/>
          <w:lang w:val="hr-HR"/>
        </w:rPr>
        <w:t>d</w:t>
      </w:r>
      <w:r w:rsidRPr="00653DCF">
        <w:rPr>
          <w:b/>
          <w:color w:val="auto"/>
          <w:lang w:val="hr-HR"/>
        </w:rPr>
        <w:t xml:space="preserve">ogađaj smanjenja troškova </w:t>
      </w:r>
      <w:r w:rsidR="004B388D" w:rsidRPr="00653DCF">
        <w:rPr>
          <w:b/>
          <w:color w:val="auto"/>
          <w:lang w:val="hr-HR"/>
        </w:rPr>
        <w:t>P</w:t>
      </w:r>
      <w:r w:rsidRPr="00653DCF">
        <w:rPr>
          <w:b/>
          <w:color w:val="auto"/>
          <w:lang w:val="hr-HR"/>
        </w:rPr>
        <w:t>rojekta</w:t>
      </w:r>
      <w:r w:rsidRPr="00653DCF">
        <w:rPr>
          <w:color w:val="auto"/>
          <w:lang w:val="hr-HR"/>
        </w:rPr>
        <w:t xml:space="preserve">” ima značenje </w:t>
      </w:r>
      <w:r w:rsidR="00713C1B" w:rsidRPr="00653DCF">
        <w:rPr>
          <w:color w:val="auto"/>
          <w:lang w:val="hr-HR"/>
        </w:rPr>
        <w:t>iz</w:t>
      </w:r>
      <w:r w:rsidR="00CE2E7E" w:rsidRPr="00653DCF">
        <w:rPr>
          <w:color w:val="auto"/>
          <w:lang w:val="hr-HR"/>
        </w:rPr>
        <w:t xml:space="preserve"> </w:t>
      </w:r>
      <w:r w:rsidRPr="00653DCF">
        <w:rPr>
          <w:color w:val="auto"/>
          <w:lang w:val="hr-HR"/>
        </w:rPr>
        <w:t>člank</w:t>
      </w:r>
      <w:r w:rsidR="00713C1B" w:rsidRPr="00653DCF">
        <w:rPr>
          <w:color w:val="auto"/>
          <w:lang w:val="hr-HR"/>
        </w:rPr>
        <w:t>a</w:t>
      </w:r>
      <w:r w:rsidR="00CE2E7E" w:rsidRPr="00653DCF">
        <w:rPr>
          <w:color w:val="auto"/>
          <w:lang w:val="hr-HR"/>
        </w:rPr>
        <w:t xml:space="preserve"> </w:t>
      </w:r>
      <w:r w:rsidRPr="00653DCF">
        <w:rPr>
          <w:color w:val="auto"/>
          <w:lang w:val="hr-HR"/>
        </w:rPr>
        <w:fldChar w:fldCharType="begin"/>
      </w:r>
      <w:r w:rsidRPr="00653DCF">
        <w:rPr>
          <w:color w:val="auto"/>
          <w:lang w:val="hr-HR"/>
        </w:rPr>
        <w:instrText xml:space="preserve"> REF _Ref61510621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4.3.A(1)</w:t>
      </w:r>
      <w:r w:rsidRPr="00653DCF">
        <w:rPr>
          <w:color w:val="auto"/>
          <w:lang w:val="hr-HR"/>
        </w:rPr>
        <w:fldChar w:fldCharType="end"/>
      </w:r>
      <w:r w:rsidR="00382603" w:rsidRPr="00653DCF">
        <w:rPr>
          <w:color w:val="auto"/>
          <w:lang w:val="hr-HR"/>
        </w:rPr>
        <w:t xml:space="preserve"> .</w:t>
      </w:r>
    </w:p>
    <w:p w14:paraId="0ACDA6E6" w14:textId="59F3B6ED" w:rsidR="007A2A6F" w:rsidRPr="00653DCF" w:rsidRDefault="00E87B0B">
      <w:pPr>
        <w:rPr>
          <w:color w:val="auto"/>
          <w:lang w:val="hr-HR"/>
        </w:rPr>
      </w:pPr>
      <w:r w:rsidRPr="00653DCF">
        <w:rPr>
          <w:color w:val="auto"/>
          <w:lang w:val="hr-HR"/>
        </w:rPr>
        <w:t>„</w:t>
      </w:r>
      <w:r w:rsidR="00713C1B" w:rsidRPr="00653DCF">
        <w:rPr>
          <w:b/>
          <w:color w:val="auto"/>
          <w:lang w:val="hr-HR"/>
        </w:rPr>
        <w:t>j</w:t>
      </w:r>
      <w:r w:rsidR="001418A1" w:rsidRPr="00653DCF">
        <w:rPr>
          <w:b/>
          <w:color w:val="auto"/>
          <w:lang w:val="hr-HR"/>
        </w:rPr>
        <w:t>avno nadmetanje</w:t>
      </w:r>
      <w:r w:rsidRPr="00653DCF">
        <w:rPr>
          <w:color w:val="auto"/>
          <w:lang w:val="hr-HR"/>
        </w:rPr>
        <w:t xml:space="preserve">” znači postupak </w:t>
      </w:r>
      <w:r w:rsidR="001418A1" w:rsidRPr="00653DCF">
        <w:rPr>
          <w:color w:val="auto"/>
          <w:lang w:val="hr-HR"/>
        </w:rPr>
        <w:t xml:space="preserve">javnog nadmetanja </w:t>
      </w:r>
      <w:r w:rsidRPr="00653DCF">
        <w:rPr>
          <w:color w:val="auto"/>
          <w:lang w:val="hr-HR"/>
        </w:rPr>
        <w:t xml:space="preserve">(ili otvorenog </w:t>
      </w:r>
      <w:r w:rsidR="001418A1" w:rsidRPr="00653DCF">
        <w:rPr>
          <w:color w:val="auto"/>
          <w:lang w:val="hr-HR"/>
        </w:rPr>
        <w:t xml:space="preserve">nadmetanja </w:t>
      </w:r>
      <w:r w:rsidRPr="00653DCF">
        <w:rPr>
          <w:color w:val="auto"/>
          <w:lang w:val="hr-HR"/>
        </w:rPr>
        <w:t xml:space="preserve">na temelju Uredbe 1370/2007 EU) za nove ugovore o javnim uslugama </w:t>
      </w:r>
      <w:r w:rsidR="00A67A9E" w:rsidRPr="00653DCF">
        <w:rPr>
          <w:color w:val="auto"/>
          <w:lang w:val="hr-HR"/>
        </w:rPr>
        <w:t xml:space="preserve">(kako je definirano u nastavku) </w:t>
      </w:r>
      <w:r w:rsidRPr="00653DCF">
        <w:rPr>
          <w:color w:val="auto"/>
          <w:lang w:val="hr-HR"/>
        </w:rPr>
        <w:t xml:space="preserve">sa </w:t>
      </w:r>
      <w:r w:rsidR="001418A1" w:rsidRPr="00653DCF">
        <w:rPr>
          <w:color w:val="auto"/>
          <w:lang w:val="hr-HR"/>
        </w:rPr>
        <w:t>Z</w:t>
      </w:r>
      <w:r w:rsidR="00DC6451" w:rsidRPr="00653DCF">
        <w:rPr>
          <w:color w:val="auto"/>
          <w:lang w:val="hr-HR"/>
        </w:rPr>
        <w:t xml:space="preserve">ajmoprimcem </w:t>
      </w:r>
      <w:r w:rsidRPr="00653DCF">
        <w:rPr>
          <w:color w:val="auto"/>
          <w:lang w:val="hr-HR"/>
        </w:rPr>
        <w:t>koj</w:t>
      </w:r>
      <w:r w:rsidR="00A67A9E" w:rsidRPr="00653DCF">
        <w:rPr>
          <w:color w:val="auto"/>
          <w:lang w:val="hr-HR"/>
        </w:rPr>
        <w:t>eg</w:t>
      </w:r>
      <w:r w:rsidRPr="00653DCF">
        <w:rPr>
          <w:color w:val="auto"/>
          <w:lang w:val="hr-HR"/>
        </w:rPr>
        <w:t xml:space="preserve"> zastupa </w:t>
      </w:r>
      <w:r w:rsidR="00AD1E27" w:rsidRPr="00653DCF">
        <w:rPr>
          <w:color w:val="auto"/>
          <w:lang w:val="hr-HR"/>
        </w:rPr>
        <w:t>N</w:t>
      </w:r>
      <w:r w:rsidR="004D544D" w:rsidRPr="00653DCF">
        <w:rPr>
          <w:color w:val="auto"/>
          <w:lang w:val="hr-HR"/>
        </w:rPr>
        <w:t>o</w:t>
      </w:r>
      <w:r w:rsidR="00AD1E27" w:rsidRPr="00653DCF">
        <w:rPr>
          <w:color w:val="auto"/>
          <w:lang w:val="hr-HR"/>
        </w:rPr>
        <w:t>sitelj</w:t>
      </w:r>
      <w:r w:rsidRPr="00653DCF">
        <w:rPr>
          <w:color w:val="auto"/>
          <w:lang w:val="hr-HR"/>
        </w:rPr>
        <w:t xml:space="preserve"> (ili njegov pravni sljednik u tu svrhu)</w:t>
      </w:r>
      <w:r w:rsidR="00B170F7" w:rsidRPr="00653DCF">
        <w:rPr>
          <w:color w:val="auto"/>
          <w:lang w:val="hr-HR"/>
        </w:rPr>
        <w:t>, a</w:t>
      </w:r>
      <w:r w:rsidRPr="00653DCF">
        <w:rPr>
          <w:color w:val="auto"/>
          <w:lang w:val="hr-HR"/>
        </w:rPr>
        <w:t xml:space="preserve"> u vezi sa željezničkim javnim prijevozom</w:t>
      </w:r>
      <w:r w:rsidR="00382603" w:rsidRPr="00653DCF">
        <w:rPr>
          <w:color w:val="auto"/>
          <w:lang w:val="hr-HR"/>
        </w:rPr>
        <w:t>.</w:t>
      </w:r>
    </w:p>
    <w:p w14:paraId="1FB5F917" w14:textId="20AF3AF9" w:rsidR="007A2A6F" w:rsidRPr="00653DCF" w:rsidRDefault="00E87B0B">
      <w:pPr>
        <w:rPr>
          <w:color w:val="auto"/>
          <w:lang w:val="hr-HR"/>
        </w:rPr>
      </w:pPr>
      <w:r w:rsidRPr="00653DCF">
        <w:rPr>
          <w:color w:val="auto"/>
          <w:lang w:val="hr-HR"/>
        </w:rPr>
        <w:t>„</w:t>
      </w:r>
      <w:r w:rsidR="00B170F7" w:rsidRPr="00653DCF">
        <w:rPr>
          <w:b/>
          <w:color w:val="auto"/>
          <w:lang w:val="hr-HR"/>
        </w:rPr>
        <w:t>u</w:t>
      </w:r>
      <w:r w:rsidRPr="00653DCF">
        <w:rPr>
          <w:b/>
          <w:color w:val="auto"/>
          <w:lang w:val="hr-HR"/>
        </w:rPr>
        <w:t>govor o</w:t>
      </w:r>
      <w:r w:rsidR="00EE6EE1" w:rsidRPr="00653DCF">
        <w:rPr>
          <w:b/>
          <w:color w:val="auto"/>
          <w:lang w:val="hr-HR"/>
        </w:rPr>
        <w:t xml:space="preserve"> </w:t>
      </w:r>
      <w:r w:rsidR="00BB3034" w:rsidRPr="00653DCF">
        <w:rPr>
          <w:b/>
          <w:color w:val="auto"/>
          <w:lang w:val="hr-HR"/>
        </w:rPr>
        <w:t>javnim uslugama</w:t>
      </w:r>
      <w:r w:rsidRPr="00653DCF">
        <w:rPr>
          <w:color w:val="auto"/>
          <w:lang w:val="hr-HR"/>
        </w:rPr>
        <w:t xml:space="preserve">” znači ugovor o </w:t>
      </w:r>
      <w:r w:rsidR="00BB3034" w:rsidRPr="00653DCF">
        <w:rPr>
          <w:color w:val="auto"/>
          <w:lang w:val="hr-HR"/>
        </w:rPr>
        <w:t xml:space="preserve">pružanju </w:t>
      </w:r>
      <w:r w:rsidR="00EE6EE1" w:rsidRPr="00653DCF">
        <w:rPr>
          <w:color w:val="auto"/>
          <w:lang w:val="hr-HR"/>
        </w:rPr>
        <w:t xml:space="preserve">javnih usluga </w:t>
      </w:r>
      <w:r w:rsidRPr="00653DCF">
        <w:rPr>
          <w:color w:val="auto"/>
          <w:lang w:val="hr-HR"/>
        </w:rPr>
        <w:t xml:space="preserve">u vezi s Projektom </w:t>
      </w:r>
      <w:r w:rsidR="00045FC2" w:rsidRPr="00653DCF">
        <w:rPr>
          <w:color w:val="auto"/>
          <w:lang w:val="hr-HR"/>
        </w:rPr>
        <w:t xml:space="preserve">koji </w:t>
      </w:r>
      <w:r w:rsidR="000042D8" w:rsidRPr="00653DCF">
        <w:rPr>
          <w:color w:val="auto"/>
          <w:lang w:val="hr-HR"/>
        </w:rPr>
        <w:t xml:space="preserve">je </w:t>
      </w:r>
      <w:r w:rsidRPr="00653DCF">
        <w:rPr>
          <w:color w:val="auto"/>
          <w:lang w:val="hr-HR"/>
        </w:rPr>
        <w:t xml:space="preserve">sklopljen ili će biti sklopljen između </w:t>
      </w:r>
      <w:r w:rsidR="00DD3AA2" w:rsidRPr="00653DCF">
        <w:rPr>
          <w:color w:val="auto"/>
          <w:lang w:val="hr-HR"/>
        </w:rPr>
        <w:t>HŽPP</w:t>
      </w:r>
      <w:r w:rsidR="00854BFB" w:rsidRPr="00653DCF">
        <w:rPr>
          <w:color w:val="auto"/>
          <w:lang w:val="hr-HR"/>
        </w:rPr>
        <w:t>-a</w:t>
      </w:r>
      <w:r w:rsidRPr="00653DCF">
        <w:rPr>
          <w:color w:val="auto"/>
          <w:lang w:val="hr-HR"/>
        </w:rPr>
        <w:t xml:space="preserve"> ili bilo koje</w:t>
      </w:r>
      <w:r w:rsidR="00DE13A9" w:rsidRPr="00653DCF">
        <w:rPr>
          <w:color w:val="auto"/>
          <w:lang w:val="hr-HR"/>
        </w:rPr>
        <w:t>g</w:t>
      </w:r>
      <w:r w:rsidRPr="00653DCF">
        <w:rPr>
          <w:color w:val="auto"/>
          <w:lang w:val="hr-HR"/>
        </w:rPr>
        <w:t xml:space="preserve"> drug</w:t>
      </w:r>
      <w:r w:rsidR="00DE13A9" w:rsidRPr="00653DCF">
        <w:rPr>
          <w:color w:val="auto"/>
          <w:lang w:val="hr-HR"/>
        </w:rPr>
        <w:t xml:space="preserve">og </w:t>
      </w:r>
      <w:r w:rsidR="007E748A" w:rsidRPr="00653DCF">
        <w:rPr>
          <w:color w:val="auto"/>
          <w:lang w:val="hr-HR"/>
        </w:rPr>
        <w:t>pružatelja</w:t>
      </w:r>
      <w:r w:rsidR="00DE13A9" w:rsidRPr="00653DCF">
        <w:rPr>
          <w:color w:val="auto"/>
          <w:lang w:val="hr-HR"/>
        </w:rPr>
        <w:t xml:space="preserve"> usluga prijevoza </w:t>
      </w:r>
      <w:r w:rsidRPr="00653DCF">
        <w:rPr>
          <w:color w:val="auto"/>
          <w:lang w:val="hr-HR"/>
        </w:rPr>
        <w:t>i Zajmoprimca</w:t>
      </w:r>
      <w:r w:rsidR="00536ADD" w:rsidRPr="00653DCF">
        <w:rPr>
          <w:color w:val="auto"/>
          <w:lang w:val="hr-HR"/>
        </w:rPr>
        <w:t>,</w:t>
      </w:r>
      <w:r w:rsidRPr="00653DCF">
        <w:rPr>
          <w:color w:val="auto"/>
          <w:lang w:val="hr-HR"/>
        </w:rPr>
        <w:t xml:space="preserve"> koje</w:t>
      </w:r>
      <w:r w:rsidR="00045FC2" w:rsidRPr="00653DCF">
        <w:rPr>
          <w:color w:val="auto"/>
          <w:lang w:val="hr-HR"/>
        </w:rPr>
        <w:t>g</w:t>
      </w:r>
      <w:r w:rsidRPr="00653DCF">
        <w:rPr>
          <w:color w:val="auto"/>
          <w:lang w:val="hr-HR"/>
        </w:rPr>
        <w:t xml:space="preserve"> zastupa </w:t>
      </w:r>
      <w:r w:rsidR="00AD1E27" w:rsidRPr="00653DCF">
        <w:rPr>
          <w:color w:val="auto"/>
          <w:lang w:val="hr-HR"/>
        </w:rPr>
        <w:t>Nositelj</w:t>
      </w:r>
      <w:r w:rsidRPr="00653DCF">
        <w:rPr>
          <w:color w:val="auto"/>
          <w:lang w:val="hr-HR"/>
        </w:rPr>
        <w:t xml:space="preserve"> (ili nj</w:t>
      </w:r>
      <w:r w:rsidR="00AF4193" w:rsidRPr="00653DCF">
        <w:rPr>
          <w:color w:val="auto"/>
          <w:lang w:val="hr-HR"/>
        </w:rPr>
        <w:t>egov pravni sljednik u tu svrhu</w:t>
      </w:r>
      <w:r w:rsidR="00045FC2" w:rsidRPr="00653DCF">
        <w:rPr>
          <w:color w:val="auto"/>
          <w:lang w:val="hr-HR"/>
        </w:rPr>
        <w:t>)</w:t>
      </w:r>
      <w:r w:rsidR="001146C4" w:rsidRPr="00653DCF">
        <w:rPr>
          <w:color w:val="auto"/>
          <w:lang w:val="hr-HR"/>
        </w:rPr>
        <w:t>, a vezano</w:t>
      </w:r>
      <w:r w:rsidRPr="00653DCF">
        <w:rPr>
          <w:color w:val="auto"/>
          <w:lang w:val="hr-HR"/>
        </w:rPr>
        <w:t xml:space="preserve"> za usluge javnog željezničkog prijevoza putnika na temelju i u skladu s </w:t>
      </w:r>
      <w:bookmarkStart w:id="32" w:name="_Hlk148690457"/>
      <w:r w:rsidRPr="00653DCF">
        <w:rPr>
          <w:color w:val="auto"/>
          <w:lang w:val="hr-HR"/>
        </w:rPr>
        <w:t>Uredbom 1370/2007 EU</w:t>
      </w:r>
      <w:bookmarkEnd w:id="32"/>
      <w:r w:rsidR="00382603" w:rsidRPr="00653DCF">
        <w:rPr>
          <w:color w:val="auto"/>
          <w:lang w:val="hr-HR"/>
        </w:rPr>
        <w:t>.</w:t>
      </w:r>
    </w:p>
    <w:p w14:paraId="447C6A00" w14:textId="781573CB" w:rsidR="00710F29" w:rsidRPr="00653DCF" w:rsidRDefault="00E87B0B">
      <w:pPr>
        <w:shd w:val="clear" w:color="auto" w:fill="FFFFFF" w:themeFill="background1"/>
        <w:rPr>
          <w:color w:val="auto"/>
          <w:lang w:val="hr-HR"/>
        </w:rPr>
      </w:pPr>
      <w:r w:rsidRPr="00653DCF">
        <w:rPr>
          <w:color w:val="auto"/>
          <w:lang w:val="hr-HR"/>
        </w:rPr>
        <w:t>„</w:t>
      </w:r>
      <w:r w:rsidR="00035D8B" w:rsidRPr="00653DCF">
        <w:rPr>
          <w:rStyle w:val="BoldEIB"/>
          <w:color w:val="auto"/>
          <w:lang w:val="hr-HR"/>
        </w:rPr>
        <w:t>s</w:t>
      </w:r>
      <w:r w:rsidRPr="00653DCF">
        <w:rPr>
          <w:rStyle w:val="BoldEIB"/>
          <w:color w:val="auto"/>
          <w:lang w:val="hr-HR"/>
        </w:rPr>
        <w:t>topa</w:t>
      </w:r>
      <w:r w:rsidR="00022F47" w:rsidRPr="00653DCF">
        <w:rPr>
          <w:rStyle w:val="BoldEIB"/>
          <w:color w:val="auto"/>
          <w:lang w:val="hr-HR"/>
        </w:rPr>
        <w:t xml:space="preserve"> </w:t>
      </w:r>
      <w:r w:rsidR="008A2E4F" w:rsidRPr="00653DCF">
        <w:rPr>
          <w:b/>
          <w:bCs/>
          <w:color w:val="auto"/>
          <w:lang w:val="hr-HR"/>
        </w:rPr>
        <w:t>ponovnog angažmana</w:t>
      </w:r>
      <w:r w:rsidRPr="00653DCF">
        <w:rPr>
          <w:color w:val="auto"/>
          <w:lang w:val="hr-HR"/>
        </w:rPr>
        <w:t xml:space="preserve">” znači fiksna godišnja stopa koju određuje Banka, </w:t>
      </w:r>
      <w:r w:rsidR="00710F29" w:rsidRPr="00653DCF">
        <w:rPr>
          <w:color w:val="auto"/>
          <w:lang w:val="hr-HR"/>
        </w:rPr>
        <w:t xml:space="preserve">kao stopa koju bi Banka primijenila na dan </w:t>
      </w:r>
      <w:r w:rsidR="00637920" w:rsidRPr="00653DCF">
        <w:rPr>
          <w:color w:val="auto"/>
          <w:lang w:val="hr-HR"/>
        </w:rPr>
        <w:t xml:space="preserve">obračunavanja </w:t>
      </w:r>
      <w:r w:rsidR="00710F29" w:rsidRPr="00653DCF">
        <w:rPr>
          <w:color w:val="auto"/>
          <w:lang w:val="hr-HR"/>
        </w:rPr>
        <w:t xml:space="preserve">naknade za zajam koji ima istu valutu, iste uvjete plaćanja kamata i isti profil otplate na </w:t>
      </w:r>
      <w:r w:rsidR="00F06512" w:rsidRPr="00653DCF">
        <w:rPr>
          <w:color w:val="auto"/>
          <w:lang w:val="hr-HR"/>
        </w:rPr>
        <w:t>d</w:t>
      </w:r>
      <w:r w:rsidR="00710F29" w:rsidRPr="00653DCF">
        <w:rPr>
          <w:color w:val="auto"/>
          <w:lang w:val="hr-HR"/>
        </w:rPr>
        <w:t xml:space="preserve">atum revizije/konverzije kamatne stope, ako će ga biti, ili </w:t>
      </w:r>
      <w:r w:rsidR="00F06512" w:rsidRPr="00653DCF">
        <w:rPr>
          <w:color w:val="auto"/>
          <w:lang w:val="hr-HR"/>
        </w:rPr>
        <w:t>d</w:t>
      </w:r>
      <w:r w:rsidR="00710F29" w:rsidRPr="00653DCF">
        <w:rPr>
          <w:color w:val="auto"/>
          <w:lang w:val="hr-HR"/>
        </w:rPr>
        <w:t xml:space="preserve">atum dospijeća, kao i </w:t>
      </w:r>
      <w:r w:rsidR="00F06512" w:rsidRPr="00653DCF">
        <w:rPr>
          <w:color w:val="auto"/>
          <w:lang w:val="hr-HR"/>
        </w:rPr>
        <w:t>t</w:t>
      </w:r>
      <w:r w:rsidR="00710F29" w:rsidRPr="00653DCF">
        <w:rPr>
          <w:color w:val="auto"/>
          <w:lang w:val="hr-HR"/>
        </w:rPr>
        <w:t xml:space="preserve">ranša za koju se predlaže ili traži prijevremena otplata ili otkazivanje. </w:t>
      </w:r>
      <w:r w:rsidR="00177A1B" w:rsidRPr="00653DCF">
        <w:rPr>
          <w:color w:val="auto"/>
          <w:lang w:val="hr-HR"/>
        </w:rPr>
        <w:t xml:space="preserve">Takva </w:t>
      </w:r>
      <w:r w:rsidR="00710F29" w:rsidRPr="00653DCF">
        <w:rPr>
          <w:color w:val="auto"/>
          <w:lang w:val="hr-HR"/>
        </w:rPr>
        <w:t>stopa ne smije imati negativnu vrijednost</w:t>
      </w:r>
      <w:r w:rsidR="00382603" w:rsidRPr="00653DCF">
        <w:rPr>
          <w:color w:val="auto"/>
          <w:lang w:val="hr-HR"/>
        </w:rPr>
        <w:t>.</w:t>
      </w:r>
    </w:p>
    <w:p w14:paraId="260A90F6" w14:textId="5DBECC0B" w:rsidR="00DC6451" w:rsidRPr="00653DCF" w:rsidRDefault="00DC6451" w:rsidP="00DC6451">
      <w:pPr>
        <w:shd w:val="clear" w:color="auto" w:fill="FFFFFF" w:themeFill="background1"/>
        <w:rPr>
          <w:color w:val="auto"/>
          <w:lang w:val="hr-HR"/>
        </w:rPr>
      </w:pPr>
      <w:r w:rsidRPr="00653DCF">
        <w:rPr>
          <w:b/>
          <w:color w:val="auto"/>
          <w:lang w:val="hr-HR"/>
        </w:rPr>
        <w:lastRenderedPageBreak/>
        <w:t xml:space="preserve">„Uredba 1370/2007 EU“ </w:t>
      </w:r>
      <w:r w:rsidRPr="00653DCF">
        <w:rPr>
          <w:color w:val="auto"/>
          <w:lang w:val="hr-HR"/>
        </w:rPr>
        <w:t>znači Uredba (EZ) br. 1370/2007 Europskog parlamenta i Vijeća od 23. listopada 2007. o uslugama javnog željezničkog i cestovnog prijevoza putnika i stavljanju izvan snage uredaba Vijeća (EEZ) br. 1191/69 i (EEZ) br. 1107/70</w:t>
      </w:r>
      <w:r w:rsidR="00171DB5" w:rsidRPr="00653DCF">
        <w:rPr>
          <w:color w:val="auto"/>
          <w:lang w:val="hr-HR"/>
        </w:rPr>
        <w:t xml:space="preserve">, a što uključuje i izmjene, dopune i </w:t>
      </w:r>
      <w:r w:rsidR="00E721C0" w:rsidRPr="00653DCF">
        <w:rPr>
          <w:color w:val="auto"/>
          <w:lang w:val="hr-HR"/>
        </w:rPr>
        <w:t>prepravke</w:t>
      </w:r>
      <w:r w:rsidR="00171DB5" w:rsidRPr="00653DCF">
        <w:rPr>
          <w:color w:val="auto"/>
          <w:lang w:val="hr-HR"/>
        </w:rPr>
        <w:t xml:space="preserve"> </w:t>
      </w:r>
      <w:r w:rsidR="00171DB5" w:rsidRPr="00653DCF">
        <w:rPr>
          <w:color w:val="auto"/>
        </w:rPr>
        <w:t>Uredbom (EU) 2016/2338 Europskog Parlamenta I Vijeća od 14. prosinca 2016. o izmjeni Uredbe (EZ) br. 1370/2007 u pogledu otvaranja tržišta za usluge domaćeg željezničkog prijevoza putnika</w:t>
      </w:r>
      <w:r w:rsidR="00382603" w:rsidRPr="00653DCF">
        <w:rPr>
          <w:color w:val="auto"/>
          <w:lang w:val="hr-HR"/>
        </w:rPr>
        <w:t>.</w:t>
      </w:r>
    </w:p>
    <w:p w14:paraId="4AF5BEDD" w14:textId="2F68ECB1" w:rsidR="007A2A6F" w:rsidRPr="00653DCF" w:rsidRDefault="00E87B0B">
      <w:pPr>
        <w:rPr>
          <w:color w:val="auto"/>
          <w:lang w:val="hr-HR"/>
        </w:rPr>
      </w:pPr>
      <w:r w:rsidRPr="00653DCF">
        <w:rPr>
          <w:color w:val="auto"/>
          <w:lang w:val="hr-HR"/>
        </w:rPr>
        <w:t>„</w:t>
      </w:r>
      <w:r w:rsidR="00206CD5" w:rsidRPr="00653DCF">
        <w:rPr>
          <w:rStyle w:val="BoldEIB"/>
          <w:color w:val="auto"/>
          <w:lang w:val="hr-HR"/>
        </w:rPr>
        <w:t xml:space="preserve">relevantan </w:t>
      </w:r>
      <w:r w:rsidR="00177A1B" w:rsidRPr="00653DCF">
        <w:rPr>
          <w:rStyle w:val="BoldEIB"/>
          <w:color w:val="auto"/>
          <w:lang w:val="hr-HR"/>
        </w:rPr>
        <w:t>radni</w:t>
      </w:r>
      <w:r w:rsidRPr="00653DCF">
        <w:rPr>
          <w:rStyle w:val="BoldEIB"/>
          <w:color w:val="auto"/>
          <w:lang w:val="hr-HR"/>
        </w:rPr>
        <w:t xml:space="preserve"> dan</w:t>
      </w:r>
      <w:r w:rsidRPr="00653DCF">
        <w:rPr>
          <w:color w:val="auto"/>
          <w:lang w:val="hr-HR"/>
        </w:rPr>
        <w:t xml:space="preserve">” znači dan kada je sustav </w:t>
      </w:r>
      <w:r w:rsidR="00B663E8" w:rsidRPr="00653DCF">
        <w:rPr>
          <w:color w:val="auto"/>
          <w:lang w:val="hr-HR"/>
        </w:rPr>
        <w:t>provođenja</w:t>
      </w:r>
      <w:r w:rsidR="00156989" w:rsidRPr="00653DCF">
        <w:rPr>
          <w:color w:val="auto"/>
          <w:lang w:val="hr-HR"/>
        </w:rPr>
        <w:t xml:space="preserve"> plaćanja </w:t>
      </w:r>
      <w:r w:rsidRPr="00653DCF">
        <w:rPr>
          <w:color w:val="auto"/>
          <w:lang w:val="hr-HR"/>
        </w:rPr>
        <w:t>u realnom vremenu na bruto načelu</w:t>
      </w:r>
      <w:r w:rsidR="00156989" w:rsidRPr="00653DCF">
        <w:rPr>
          <w:color w:val="auto"/>
          <w:lang w:val="hr-HR"/>
        </w:rPr>
        <w:t>,</w:t>
      </w:r>
      <w:r w:rsidRPr="00653DCF">
        <w:rPr>
          <w:color w:val="auto"/>
          <w:lang w:val="hr-HR"/>
        </w:rPr>
        <w:t xml:space="preserve"> kojim upravlja Eurosustav (T2) ili bilo koji </w:t>
      </w:r>
      <w:r w:rsidR="00156989" w:rsidRPr="00653DCF">
        <w:rPr>
          <w:color w:val="auto"/>
          <w:lang w:val="hr-HR"/>
        </w:rPr>
        <w:t xml:space="preserve">njegov </w:t>
      </w:r>
      <w:r w:rsidRPr="00653DCF">
        <w:rPr>
          <w:color w:val="auto"/>
          <w:lang w:val="hr-HR"/>
        </w:rPr>
        <w:t>sustav sljednik</w:t>
      </w:r>
      <w:r w:rsidR="00156989" w:rsidRPr="00653DCF">
        <w:rPr>
          <w:color w:val="auto"/>
          <w:lang w:val="hr-HR"/>
        </w:rPr>
        <w:t>,</w:t>
      </w:r>
      <w:r w:rsidRPr="00653DCF">
        <w:rPr>
          <w:color w:val="auto"/>
          <w:lang w:val="hr-HR"/>
        </w:rPr>
        <w:t xml:space="preserve"> otvoren za </w:t>
      </w:r>
      <w:r w:rsidR="00156989" w:rsidRPr="00653DCF">
        <w:rPr>
          <w:color w:val="auto"/>
          <w:lang w:val="hr-HR"/>
        </w:rPr>
        <w:t xml:space="preserve">provođenje </w:t>
      </w:r>
      <w:r w:rsidRPr="00653DCF">
        <w:rPr>
          <w:color w:val="auto"/>
          <w:lang w:val="hr-HR"/>
        </w:rPr>
        <w:t>plaćanja u eurima</w:t>
      </w:r>
      <w:r w:rsidR="00382603" w:rsidRPr="00653DCF">
        <w:rPr>
          <w:color w:val="auto"/>
          <w:lang w:val="hr-HR"/>
        </w:rPr>
        <w:t>.</w:t>
      </w:r>
    </w:p>
    <w:p w14:paraId="02C46D65" w14:textId="3B3D86BB" w:rsidR="007A2A6F" w:rsidRPr="00653DCF" w:rsidRDefault="00E87B0B">
      <w:pPr>
        <w:rPr>
          <w:color w:val="auto"/>
          <w:lang w:val="hr-HR"/>
        </w:rPr>
      </w:pPr>
      <w:r w:rsidRPr="00653DCF">
        <w:rPr>
          <w:color w:val="auto"/>
          <w:lang w:val="hr-HR"/>
        </w:rPr>
        <w:t>„</w:t>
      </w:r>
      <w:r w:rsidR="00177A1B" w:rsidRPr="00653DCF">
        <w:rPr>
          <w:b/>
          <w:color w:val="auto"/>
          <w:lang w:val="hr-HR"/>
        </w:rPr>
        <w:t>r</w:t>
      </w:r>
      <w:r w:rsidRPr="00653DCF">
        <w:rPr>
          <w:b/>
          <w:color w:val="auto"/>
          <w:lang w:val="hr-HR"/>
        </w:rPr>
        <w:t>elevantna osoba</w:t>
      </w:r>
      <w:r w:rsidRPr="00653DCF">
        <w:rPr>
          <w:color w:val="auto"/>
          <w:lang w:val="hr-HR"/>
        </w:rPr>
        <w:t>” znači:</w:t>
      </w:r>
    </w:p>
    <w:p w14:paraId="05861309" w14:textId="2EBAB3F4" w:rsidR="007A2A6F" w:rsidRPr="00653DCF" w:rsidRDefault="00E87B0B" w:rsidP="006010BF">
      <w:pPr>
        <w:pStyle w:val="NoIndentEIB"/>
        <w:numPr>
          <w:ilvl w:val="0"/>
          <w:numId w:val="70"/>
        </w:numPr>
        <w:rPr>
          <w:color w:val="auto"/>
          <w:lang w:val="hr-HR"/>
        </w:rPr>
      </w:pPr>
      <w:r w:rsidRPr="00653DCF">
        <w:rPr>
          <w:color w:val="auto"/>
          <w:lang w:val="hr-HR"/>
        </w:rPr>
        <w:t>u odnosu na Zajmoprimca, sva ministarstva, druga tijela središnje izvršne vlasti, središnju banku ili drug</w:t>
      </w:r>
      <w:r w:rsidR="005D6464" w:rsidRPr="00653DCF">
        <w:rPr>
          <w:color w:val="auto"/>
          <w:lang w:val="hr-HR"/>
        </w:rPr>
        <w:t xml:space="preserve">a tijela državne uprave </w:t>
      </w:r>
      <w:r w:rsidRPr="00653DCF">
        <w:rPr>
          <w:color w:val="auto"/>
          <w:lang w:val="hr-HR"/>
        </w:rPr>
        <w:t xml:space="preserve">i bilo </w:t>
      </w:r>
      <w:r w:rsidR="00900A7E" w:rsidRPr="00653DCF">
        <w:rPr>
          <w:color w:val="auto"/>
          <w:lang w:val="hr-HR"/>
        </w:rPr>
        <w:t>kojeg</w:t>
      </w:r>
      <w:r w:rsidRPr="00653DCF">
        <w:rPr>
          <w:color w:val="auto"/>
          <w:lang w:val="hr-HR"/>
        </w:rPr>
        <w:t xml:space="preserve"> od njihovih dužnosnika ili predstavnika, ili bilo koju drugu osobu koja djeluje u </w:t>
      </w:r>
      <w:r w:rsidR="0046014D" w:rsidRPr="00653DCF">
        <w:rPr>
          <w:color w:val="auto"/>
          <w:lang w:val="hr-HR"/>
        </w:rPr>
        <w:t xml:space="preserve">njegovo ime </w:t>
      </w:r>
      <w:r w:rsidRPr="00653DCF">
        <w:rPr>
          <w:color w:val="auto"/>
          <w:lang w:val="hr-HR"/>
        </w:rPr>
        <w:t xml:space="preserve">ili pod </w:t>
      </w:r>
      <w:r w:rsidR="007B52BF" w:rsidRPr="00653DCF">
        <w:rPr>
          <w:color w:val="auto"/>
          <w:lang w:val="hr-HR"/>
        </w:rPr>
        <w:t xml:space="preserve">njegovim </w:t>
      </w:r>
      <w:r w:rsidR="00422C89" w:rsidRPr="00653DCF">
        <w:rPr>
          <w:color w:val="auto"/>
          <w:lang w:val="hr-HR"/>
        </w:rPr>
        <w:t>kontrolom</w:t>
      </w:r>
      <w:r w:rsidRPr="00653DCF">
        <w:rPr>
          <w:color w:val="auto"/>
          <w:lang w:val="hr-HR"/>
        </w:rPr>
        <w:t xml:space="preserve">, </w:t>
      </w:r>
      <w:r w:rsidR="00990741" w:rsidRPr="00653DCF">
        <w:rPr>
          <w:color w:val="auto"/>
          <w:lang w:val="hr-HR"/>
        </w:rPr>
        <w:t xml:space="preserve">a </w:t>
      </w:r>
      <w:r w:rsidRPr="00653DCF">
        <w:rPr>
          <w:color w:val="auto"/>
          <w:lang w:val="hr-HR"/>
        </w:rPr>
        <w:t xml:space="preserve">koja je ovlaštena upravljati i/ili nadzirati </w:t>
      </w:r>
      <w:r w:rsidR="00422C89" w:rsidRPr="00653DCF">
        <w:rPr>
          <w:color w:val="auto"/>
          <w:lang w:val="hr-HR"/>
        </w:rPr>
        <w:t>k</w:t>
      </w:r>
      <w:r w:rsidRPr="00653DCF">
        <w:rPr>
          <w:color w:val="auto"/>
          <w:lang w:val="hr-HR"/>
        </w:rPr>
        <w:t xml:space="preserve">redit, </w:t>
      </w:r>
      <w:r w:rsidR="00422C89" w:rsidRPr="00653DCF">
        <w:rPr>
          <w:color w:val="auto"/>
          <w:lang w:val="hr-HR"/>
        </w:rPr>
        <w:t>z</w:t>
      </w:r>
      <w:r w:rsidRPr="00653DCF">
        <w:rPr>
          <w:color w:val="auto"/>
          <w:lang w:val="hr-HR"/>
        </w:rPr>
        <w:t xml:space="preserve">ajam ili </w:t>
      </w:r>
      <w:r w:rsidR="0046014D" w:rsidRPr="00653DCF">
        <w:rPr>
          <w:color w:val="auto"/>
          <w:lang w:val="hr-HR"/>
        </w:rPr>
        <w:t>P</w:t>
      </w:r>
      <w:r w:rsidRPr="00653DCF">
        <w:rPr>
          <w:color w:val="auto"/>
          <w:lang w:val="hr-HR"/>
        </w:rPr>
        <w:t xml:space="preserve">rojekt ili bilo koji </w:t>
      </w:r>
      <w:r w:rsidR="00422C89" w:rsidRPr="00653DCF">
        <w:rPr>
          <w:color w:val="auto"/>
          <w:lang w:val="hr-HR"/>
        </w:rPr>
        <w:t>investicijski projekt</w:t>
      </w:r>
      <w:r w:rsidRPr="00653DCF">
        <w:rPr>
          <w:color w:val="auto"/>
          <w:lang w:val="hr-HR"/>
        </w:rPr>
        <w:t xml:space="preserve">; ili </w:t>
      </w:r>
    </w:p>
    <w:p w14:paraId="611A02CA" w14:textId="27A4E3D6" w:rsidR="007A2A6F" w:rsidRPr="00653DCF" w:rsidRDefault="00E87B0B" w:rsidP="006010BF">
      <w:pPr>
        <w:pStyle w:val="NoIndentEIB"/>
        <w:numPr>
          <w:ilvl w:val="0"/>
          <w:numId w:val="70"/>
        </w:numPr>
        <w:rPr>
          <w:color w:val="auto"/>
          <w:lang w:val="hr-HR"/>
        </w:rPr>
      </w:pPr>
      <w:r w:rsidRPr="00653DCF">
        <w:rPr>
          <w:color w:val="auto"/>
          <w:lang w:val="hr-HR"/>
        </w:rPr>
        <w:t xml:space="preserve">u odnosu na </w:t>
      </w:r>
      <w:r w:rsidR="004B388D" w:rsidRPr="00653DCF">
        <w:rPr>
          <w:color w:val="auto"/>
          <w:lang w:val="hr-HR"/>
        </w:rPr>
        <w:t>P</w:t>
      </w:r>
      <w:r w:rsidRPr="00653DCF">
        <w:rPr>
          <w:color w:val="auto"/>
          <w:lang w:val="hr-HR"/>
        </w:rPr>
        <w:t xml:space="preserve">rojektno društvo, bilo koji član upravljačkih tijela </w:t>
      </w:r>
      <w:r w:rsidR="00240432" w:rsidRPr="00653DCF">
        <w:rPr>
          <w:color w:val="auto"/>
          <w:lang w:val="hr-HR"/>
        </w:rPr>
        <w:t xml:space="preserve">društva </w:t>
      </w:r>
      <w:r w:rsidRPr="00653DCF">
        <w:rPr>
          <w:color w:val="auto"/>
          <w:lang w:val="hr-HR"/>
        </w:rPr>
        <w:t xml:space="preserve">ili bilo koji od njegovih zaposlenika ili bilo koja druga osoba koja djeluje za </w:t>
      </w:r>
      <w:r w:rsidR="004B388D" w:rsidRPr="00653DCF">
        <w:rPr>
          <w:color w:val="auto"/>
          <w:lang w:val="hr-HR"/>
        </w:rPr>
        <w:t>P</w:t>
      </w:r>
      <w:r w:rsidR="00240432" w:rsidRPr="00653DCF">
        <w:rPr>
          <w:color w:val="auto"/>
          <w:lang w:val="hr-HR"/>
        </w:rPr>
        <w:t>rojektno društvo</w:t>
      </w:r>
      <w:r w:rsidRPr="00653DCF">
        <w:rPr>
          <w:color w:val="auto"/>
          <w:lang w:val="hr-HR"/>
        </w:rPr>
        <w:t xml:space="preserve">, u njegovo ime ili pod </w:t>
      </w:r>
      <w:r w:rsidR="00240432" w:rsidRPr="00653DCF">
        <w:rPr>
          <w:color w:val="auto"/>
          <w:lang w:val="hr-HR"/>
        </w:rPr>
        <w:t>njegovom kontrolom</w:t>
      </w:r>
      <w:r w:rsidRPr="00653DCF">
        <w:rPr>
          <w:color w:val="auto"/>
          <w:lang w:val="hr-HR"/>
        </w:rPr>
        <w:t xml:space="preserve">, </w:t>
      </w:r>
      <w:r w:rsidR="00990741" w:rsidRPr="00653DCF">
        <w:rPr>
          <w:color w:val="auto"/>
          <w:lang w:val="hr-HR"/>
        </w:rPr>
        <w:t xml:space="preserve">a </w:t>
      </w:r>
      <w:r w:rsidRPr="00653DCF">
        <w:rPr>
          <w:color w:val="auto"/>
          <w:lang w:val="hr-HR"/>
        </w:rPr>
        <w:t xml:space="preserve">koja ima ovlast davati </w:t>
      </w:r>
      <w:r w:rsidR="00990741" w:rsidRPr="00653DCF">
        <w:rPr>
          <w:color w:val="auto"/>
          <w:lang w:val="hr-HR"/>
        </w:rPr>
        <w:t xml:space="preserve">bitne </w:t>
      </w:r>
      <w:r w:rsidRPr="00653DCF">
        <w:rPr>
          <w:color w:val="auto"/>
          <w:lang w:val="hr-HR"/>
        </w:rPr>
        <w:t xml:space="preserve">upute i/ili </w:t>
      </w:r>
      <w:r w:rsidR="00990741" w:rsidRPr="00653DCF">
        <w:rPr>
          <w:color w:val="auto"/>
          <w:lang w:val="hr-HR"/>
        </w:rPr>
        <w:t xml:space="preserve">vršiti bitnu </w:t>
      </w:r>
      <w:r w:rsidRPr="00653DCF">
        <w:rPr>
          <w:color w:val="auto"/>
          <w:lang w:val="hr-HR"/>
        </w:rPr>
        <w:t xml:space="preserve">kontrolu u odnosu na </w:t>
      </w:r>
      <w:r w:rsidR="00443064" w:rsidRPr="00653DCF">
        <w:rPr>
          <w:color w:val="auto"/>
          <w:lang w:val="hr-HR"/>
        </w:rPr>
        <w:t>k</w:t>
      </w:r>
      <w:r w:rsidRPr="00653DCF">
        <w:rPr>
          <w:color w:val="auto"/>
          <w:lang w:val="hr-HR"/>
        </w:rPr>
        <w:t xml:space="preserve">redit, </w:t>
      </w:r>
      <w:r w:rsidR="00443064" w:rsidRPr="00653DCF">
        <w:rPr>
          <w:color w:val="auto"/>
          <w:lang w:val="hr-HR"/>
        </w:rPr>
        <w:t>z</w:t>
      </w:r>
      <w:r w:rsidRPr="00653DCF">
        <w:rPr>
          <w:color w:val="auto"/>
          <w:lang w:val="hr-HR"/>
        </w:rPr>
        <w:t xml:space="preserve">ajam ili bilo koji </w:t>
      </w:r>
      <w:r w:rsidR="00443064" w:rsidRPr="00653DCF">
        <w:rPr>
          <w:color w:val="auto"/>
          <w:lang w:val="hr-HR"/>
        </w:rPr>
        <w:t>investicijski projekt</w:t>
      </w:r>
      <w:r w:rsidR="00BB172F" w:rsidRPr="00653DCF">
        <w:rPr>
          <w:color w:val="auto"/>
          <w:lang w:val="hr-HR"/>
        </w:rPr>
        <w:t>.</w:t>
      </w:r>
    </w:p>
    <w:p w14:paraId="2F0EF4C1" w14:textId="65739671" w:rsidR="007A2A6F" w:rsidRPr="00653DCF" w:rsidRDefault="00E87B0B">
      <w:pPr>
        <w:rPr>
          <w:color w:val="auto"/>
          <w:lang w:val="hr-HR"/>
        </w:rPr>
      </w:pPr>
      <w:r w:rsidRPr="00653DCF">
        <w:rPr>
          <w:color w:val="auto"/>
          <w:lang w:val="hr-HR"/>
        </w:rPr>
        <w:t>„</w:t>
      </w:r>
      <w:r w:rsidR="00443064" w:rsidRPr="00653DCF">
        <w:rPr>
          <w:rStyle w:val="BoldEIB"/>
          <w:color w:val="auto"/>
          <w:lang w:val="hr-HR"/>
        </w:rPr>
        <w:t>d</w:t>
      </w:r>
      <w:r w:rsidRPr="00653DCF">
        <w:rPr>
          <w:rStyle w:val="BoldEIB"/>
          <w:color w:val="auto"/>
          <w:lang w:val="hr-HR"/>
        </w:rPr>
        <w:t>atum otplate</w:t>
      </w:r>
      <w:r w:rsidRPr="00653DCF">
        <w:rPr>
          <w:color w:val="auto"/>
          <w:lang w:val="hr-HR"/>
        </w:rPr>
        <w:t xml:space="preserve">” znači svaki </w:t>
      </w:r>
      <w:r w:rsidR="00140EEC" w:rsidRPr="00653DCF">
        <w:rPr>
          <w:color w:val="auto"/>
          <w:lang w:val="hr-HR"/>
        </w:rPr>
        <w:t xml:space="preserve">od </w:t>
      </w:r>
      <w:r w:rsidRPr="00653DCF">
        <w:rPr>
          <w:color w:val="auto"/>
          <w:lang w:val="hr-HR"/>
        </w:rPr>
        <w:t>datum</w:t>
      </w:r>
      <w:r w:rsidR="00140EEC" w:rsidRPr="00653DCF">
        <w:rPr>
          <w:color w:val="auto"/>
          <w:lang w:val="hr-HR"/>
        </w:rPr>
        <w:t>a</w:t>
      </w:r>
      <w:r w:rsidRPr="00653DCF">
        <w:rPr>
          <w:color w:val="auto"/>
          <w:lang w:val="hr-HR"/>
        </w:rPr>
        <w:t xml:space="preserve"> plaćanja </w:t>
      </w:r>
      <w:r w:rsidR="00140EEC" w:rsidRPr="00653DCF">
        <w:rPr>
          <w:color w:val="auto"/>
          <w:lang w:val="hr-HR"/>
        </w:rPr>
        <w:t xml:space="preserve">određenih za otplatu </w:t>
      </w:r>
      <w:r w:rsidRPr="00653DCF">
        <w:rPr>
          <w:color w:val="auto"/>
          <w:lang w:val="hr-HR"/>
        </w:rPr>
        <w:t xml:space="preserve">glavnice </w:t>
      </w:r>
      <w:r w:rsidR="00095795" w:rsidRPr="00653DCF">
        <w:rPr>
          <w:color w:val="auto"/>
          <w:lang w:val="hr-HR"/>
        </w:rPr>
        <w:t>t</w:t>
      </w:r>
      <w:r w:rsidRPr="00653DCF">
        <w:rPr>
          <w:color w:val="auto"/>
          <w:lang w:val="hr-HR"/>
        </w:rPr>
        <w:t xml:space="preserve">ranše u </w:t>
      </w:r>
      <w:r w:rsidR="00095795" w:rsidRPr="00653DCF">
        <w:rPr>
          <w:color w:val="auto"/>
          <w:lang w:val="hr-HR"/>
        </w:rPr>
        <w:t>o</w:t>
      </w:r>
      <w:r w:rsidRPr="00653DCF">
        <w:rPr>
          <w:color w:val="auto"/>
          <w:lang w:val="hr-HR"/>
        </w:rPr>
        <w:t>bavijesti o isplati, u skladu s člankom</w:t>
      </w:r>
      <w:r w:rsidR="00E07D32" w:rsidRPr="00653DCF">
        <w:rPr>
          <w:color w:val="auto"/>
          <w:lang w:val="hr-HR"/>
        </w:rPr>
        <w:t xml:space="preserve"> </w:t>
      </w:r>
      <w:r w:rsidRPr="00653DCF">
        <w:rPr>
          <w:color w:val="auto"/>
          <w:lang w:val="hr-HR"/>
        </w:rPr>
        <w:fldChar w:fldCharType="begin"/>
      </w:r>
      <w:r w:rsidRPr="00653DCF">
        <w:rPr>
          <w:color w:val="auto"/>
          <w:lang w:val="hr-HR"/>
        </w:rPr>
        <w:instrText xml:space="preserve"> REF _Ref426715009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članak 4</w:t>
      </w:r>
      <w:r w:rsidRPr="00653DCF">
        <w:rPr>
          <w:color w:val="auto"/>
          <w:lang w:val="hr-HR"/>
        </w:rPr>
        <w:fldChar w:fldCharType="end"/>
      </w:r>
      <w:r w:rsidR="00382603" w:rsidRPr="00653DCF">
        <w:rPr>
          <w:color w:val="auto"/>
          <w:lang w:val="hr-HR"/>
        </w:rPr>
        <w:t>.</w:t>
      </w:r>
    </w:p>
    <w:p w14:paraId="6BD0526C" w14:textId="77E0352F" w:rsidR="007A2A6F" w:rsidRPr="00653DCF" w:rsidRDefault="00E87B0B">
      <w:pPr>
        <w:rPr>
          <w:color w:val="auto"/>
          <w:lang w:val="hr-HR"/>
        </w:rPr>
      </w:pPr>
      <w:r w:rsidRPr="00653DCF">
        <w:rPr>
          <w:color w:val="auto"/>
          <w:lang w:val="hr-HR"/>
        </w:rPr>
        <w:t>„</w:t>
      </w:r>
      <w:r w:rsidR="00D86950" w:rsidRPr="00653DCF">
        <w:rPr>
          <w:b/>
          <w:bCs/>
          <w:color w:val="auto"/>
          <w:lang w:val="hr-HR"/>
        </w:rPr>
        <w:t>z</w:t>
      </w:r>
      <w:r w:rsidR="005A5F06" w:rsidRPr="00653DCF">
        <w:rPr>
          <w:b/>
          <w:bCs/>
          <w:color w:val="auto"/>
          <w:lang w:val="hr-HR"/>
        </w:rPr>
        <w:t>at</w:t>
      </w:r>
      <w:r w:rsidRPr="00653DCF">
        <w:rPr>
          <w:b/>
          <w:color w:val="auto"/>
          <w:lang w:val="hr-HR"/>
        </w:rPr>
        <w:t>raženi datum odgode isplate</w:t>
      </w:r>
      <w:r w:rsidRPr="00653DCF">
        <w:rPr>
          <w:color w:val="auto"/>
          <w:lang w:val="hr-HR"/>
        </w:rPr>
        <w:t xml:space="preserve">” ima značenje </w:t>
      </w:r>
      <w:r w:rsidR="00D86950" w:rsidRPr="00653DCF">
        <w:rPr>
          <w:color w:val="auto"/>
          <w:lang w:val="hr-HR"/>
        </w:rPr>
        <w:t xml:space="preserve">iz </w:t>
      </w:r>
      <w:r w:rsidRPr="00653DCF">
        <w:rPr>
          <w:color w:val="auto"/>
          <w:lang w:val="hr-HR"/>
        </w:rPr>
        <w:t>člank</w:t>
      </w:r>
      <w:r w:rsidR="00D86950" w:rsidRPr="00653DCF">
        <w:rPr>
          <w:color w:val="auto"/>
          <w:lang w:val="hr-HR"/>
        </w:rPr>
        <w:t>a</w:t>
      </w:r>
      <w:r w:rsidR="005A5F06" w:rsidRPr="00653DCF">
        <w:rPr>
          <w:color w:val="auto"/>
          <w:lang w:val="hr-HR"/>
        </w:rPr>
        <w:t xml:space="preserve"> </w:t>
      </w:r>
      <w:r w:rsidRPr="00653DCF">
        <w:rPr>
          <w:color w:val="auto"/>
          <w:lang w:val="hr-HR"/>
        </w:rPr>
        <w:fldChar w:fldCharType="begin"/>
      </w:r>
      <w:r w:rsidRPr="00653DCF">
        <w:rPr>
          <w:color w:val="auto"/>
          <w:lang w:val="hr-HR"/>
        </w:rPr>
        <w:instrText xml:space="preserve"> REF _Ref498641917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1.5.A(1)</w:t>
      </w:r>
      <w:r w:rsidRPr="00653DCF">
        <w:rPr>
          <w:color w:val="auto"/>
          <w:lang w:val="hr-HR"/>
        </w:rPr>
        <w:fldChar w:fldCharType="end"/>
      </w:r>
      <w:r w:rsidRPr="00653DCF">
        <w:rPr>
          <w:color w:val="auto"/>
          <w:lang w:val="hr-HR"/>
        </w:rPr>
        <w:fldChar w:fldCharType="begin"/>
      </w:r>
      <w:r w:rsidRPr="00653DCF">
        <w:rPr>
          <w:color w:val="auto"/>
          <w:lang w:val="hr-HR"/>
        </w:rPr>
        <w:instrText xml:space="preserve"> REF _Ref500763915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(a)(ii)</w:t>
      </w:r>
      <w:r w:rsidRPr="00653DCF">
        <w:rPr>
          <w:color w:val="auto"/>
          <w:lang w:val="hr-HR"/>
        </w:rPr>
        <w:fldChar w:fldCharType="end"/>
      </w:r>
      <w:r w:rsidR="00382603" w:rsidRPr="00653DCF">
        <w:rPr>
          <w:color w:val="auto"/>
          <w:lang w:val="hr-HR"/>
        </w:rPr>
        <w:t>.</w:t>
      </w:r>
    </w:p>
    <w:p w14:paraId="1E041A19" w14:textId="0368A216" w:rsidR="007A2A6F" w:rsidRDefault="00E87B0B">
      <w:pPr>
        <w:rPr>
          <w:color w:val="auto"/>
          <w:lang w:val="hr-HR"/>
        </w:rPr>
      </w:pPr>
      <w:bookmarkStart w:id="33" w:name="_Hlk115873691"/>
      <w:r w:rsidRPr="00653DCF">
        <w:rPr>
          <w:color w:val="auto"/>
          <w:lang w:val="hr-HR"/>
        </w:rPr>
        <w:t>„</w:t>
      </w:r>
      <w:r w:rsidR="008B3C38" w:rsidRPr="00653DCF">
        <w:rPr>
          <w:b/>
          <w:bCs/>
          <w:color w:val="auto"/>
          <w:lang w:val="hr-HR"/>
        </w:rPr>
        <w:t>s</w:t>
      </w:r>
      <w:r w:rsidRPr="00653DCF">
        <w:rPr>
          <w:b/>
          <w:color w:val="auto"/>
          <w:lang w:val="hr-HR"/>
        </w:rPr>
        <w:t>ankcije</w:t>
      </w:r>
      <w:r w:rsidRPr="00653DCF">
        <w:rPr>
          <w:color w:val="auto"/>
          <w:lang w:val="hr-HR"/>
        </w:rPr>
        <w:t xml:space="preserve">” znači zakoni, propisi, trgovinski </w:t>
      </w:r>
      <w:r w:rsidR="007E748A" w:rsidRPr="00653DCF">
        <w:rPr>
          <w:color w:val="auto"/>
          <w:lang w:val="hr-HR"/>
        </w:rPr>
        <w:t xml:space="preserve">embargo </w:t>
      </w:r>
      <w:r w:rsidRPr="00653DCF">
        <w:rPr>
          <w:color w:val="auto"/>
          <w:lang w:val="hr-HR"/>
        </w:rPr>
        <w:t xml:space="preserve">ili druge mjere </w:t>
      </w:r>
      <w:r w:rsidR="00D87E19" w:rsidRPr="00653DCF">
        <w:rPr>
          <w:color w:val="auto"/>
          <w:lang w:val="hr-HR"/>
        </w:rPr>
        <w:t xml:space="preserve">ograničenja koje se odnose na </w:t>
      </w:r>
      <w:r w:rsidRPr="00653DCF">
        <w:rPr>
          <w:color w:val="auto"/>
          <w:lang w:val="hr-HR"/>
        </w:rPr>
        <w:t>gospodarsk</w:t>
      </w:r>
      <w:r w:rsidR="00674448" w:rsidRPr="00653DCF">
        <w:rPr>
          <w:color w:val="auto"/>
          <w:lang w:val="hr-HR"/>
        </w:rPr>
        <w:t>e</w:t>
      </w:r>
      <w:r w:rsidRPr="00653DCF">
        <w:rPr>
          <w:color w:val="auto"/>
          <w:lang w:val="hr-HR"/>
        </w:rPr>
        <w:t xml:space="preserve"> ili financijsk</w:t>
      </w:r>
      <w:r w:rsidR="00674448" w:rsidRPr="00653DCF">
        <w:rPr>
          <w:color w:val="auto"/>
          <w:lang w:val="hr-HR"/>
        </w:rPr>
        <w:t>e</w:t>
      </w:r>
      <w:r w:rsidRPr="00653DCF">
        <w:rPr>
          <w:color w:val="auto"/>
          <w:lang w:val="hr-HR"/>
        </w:rPr>
        <w:t xml:space="preserve"> sankcij</w:t>
      </w:r>
      <w:r w:rsidR="00D87E19" w:rsidRPr="00653DCF">
        <w:rPr>
          <w:color w:val="auto"/>
          <w:lang w:val="hr-HR"/>
        </w:rPr>
        <w:t>e</w:t>
      </w:r>
      <w:r w:rsidRPr="00653DCF">
        <w:rPr>
          <w:color w:val="auto"/>
          <w:lang w:val="hr-HR"/>
        </w:rPr>
        <w:t xml:space="preserve"> (</w:t>
      </w:r>
      <w:r w:rsidR="009E69A9" w:rsidRPr="00653DCF">
        <w:rPr>
          <w:color w:val="auto"/>
          <w:lang w:val="hr-HR"/>
        </w:rPr>
        <w:t xml:space="preserve">poglavito </w:t>
      </w:r>
      <w:r w:rsidRPr="00653DCF">
        <w:rPr>
          <w:color w:val="auto"/>
          <w:lang w:val="hr-HR"/>
        </w:rPr>
        <w:t>uključujući, ali ne ograničavajući se na, mjere u vezi s financiranjem terorizma)</w:t>
      </w:r>
      <w:r w:rsidR="009E69A9" w:rsidRPr="00653DCF">
        <w:rPr>
          <w:color w:val="auto"/>
          <w:lang w:val="hr-HR"/>
        </w:rPr>
        <w:t>,</w:t>
      </w:r>
      <w:r w:rsidRPr="00653DCF">
        <w:rPr>
          <w:color w:val="auto"/>
          <w:lang w:val="hr-HR"/>
        </w:rPr>
        <w:t xml:space="preserve"> koje s vremena na vrijeme </w:t>
      </w:r>
      <w:r w:rsidR="00CF4506" w:rsidRPr="00653DCF">
        <w:rPr>
          <w:color w:val="auto"/>
          <w:lang w:val="hr-HR"/>
        </w:rPr>
        <w:t>donosi</w:t>
      </w:r>
      <w:r w:rsidRPr="00653DCF">
        <w:rPr>
          <w:color w:val="auto"/>
          <w:lang w:val="hr-HR"/>
        </w:rPr>
        <w:t xml:space="preserve">, </w:t>
      </w:r>
      <w:r w:rsidR="005C1A1C" w:rsidRPr="00653DCF">
        <w:rPr>
          <w:color w:val="auto"/>
          <w:lang w:val="hr-HR"/>
        </w:rPr>
        <w:t xml:space="preserve">proglašava, </w:t>
      </w:r>
      <w:r w:rsidRPr="00653DCF">
        <w:rPr>
          <w:color w:val="auto"/>
          <w:lang w:val="hr-HR"/>
        </w:rPr>
        <w:t>provod</w:t>
      </w:r>
      <w:r w:rsidR="009E69A9" w:rsidRPr="00653DCF">
        <w:rPr>
          <w:color w:val="auto"/>
          <w:lang w:val="hr-HR"/>
        </w:rPr>
        <w:t>i</w:t>
      </w:r>
      <w:r w:rsidRPr="00653DCF">
        <w:rPr>
          <w:color w:val="auto"/>
          <w:lang w:val="hr-HR"/>
        </w:rPr>
        <w:t xml:space="preserve"> i/ili </w:t>
      </w:r>
      <w:r w:rsidR="005C1A1C" w:rsidRPr="00653DCF">
        <w:rPr>
          <w:color w:val="auto"/>
          <w:lang w:val="hr-HR"/>
        </w:rPr>
        <w:t>implementira</w:t>
      </w:r>
      <w:r w:rsidR="00CF4506" w:rsidRPr="00653DCF">
        <w:rPr>
          <w:color w:val="auto"/>
          <w:lang w:val="hr-HR"/>
        </w:rPr>
        <w:t xml:space="preserve"> bilo koje od niže navedenih tijela</w:t>
      </w:r>
      <w:r w:rsidRPr="00653DCF">
        <w:rPr>
          <w:color w:val="auto"/>
          <w:lang w:val="hr-HR"/>
        </w:rPr>
        <w:t>:</w:t>
      </w:r>
    </w:p>
    <w:p w14:paraId="601EE561" w14:textId="645BF9F4" w:rsidR="00187CCF" w:rsidRDefault="00187CCF">
      <w:pPr>
        <w:rPr>
          <w:color w:val="auto"/>
          <w:lang w:val="hr-HR"/>
        </w:rPr>
      </w:pPr>
    </w:p>
    <w:p w14:paraId="3790E9D2" w14:textId="77777777" w:rsidR="00187CCF" w:rsidRPr="00653DCF" w:rsidRDefault="00187CCF">
      <w:pPr>
        <w:rPr>
          <w:color w:val="auto"/>
          <w:lang w:val="hr-HR"/>
        </w:rPr>
      </w:pPr>
    </w:p>
    <w:p w14:paraId="1E69F771" w14:textId="73C9F0CE" w:rsidR="007A2A6F" w:rsidRPr="00653DCF" w:rsidRDefault="00E87B0B">
      <w:pPr>
        <w:rPr>
          <w:color w:val="auto"/>
          <w:lang w:val="hr-HR"/>
        </w:rPr>
      </w:pPr>
      <w:r w:rsidRPr="00653DCF">
        <w:rPr>
          <w:color w:val="auto"/>
          <w:lang w:val="hr-HR"/>
        </w:rPr>
        <w:t>(a)</w:t>
      </w:r>
      <w:r w:rsidRPr="00653DCF">
        <w:rPr>
          <w:color w:val="auto"/>
          <w:lang w:val="hr-HR"/>
        </w:rPr>
        <w:tab/>
      </w:r>
      <w:r w:rsidR="005C1A1C" w:rsidRPr="00653DCF">
        <w:rPr>
          <w:color w:val="auto"/>
          <w:lang w:val="hr-HR"/>
        </w:rPr>
        <w:t>Ujedinjeni narod</w:t>
      </w:r>
      <w:r w:rsidR="00CF4506" w:rsidRPr="00653DCF">
        <w:rPr>
          <w:color w:val="auto"/>
          <w:lang w:val="hr-HR"/>
        </w:rPr>
        <w:t>i</w:t>
      </w:r>
      <w:r w:rsidRPr="00653DCF">
        <w:rPr>
          <w:color w:val="auto"/>
          <w:lang w:val="hr-HR"/>
        </w:rPr>
        <w:t xml:space="preserve">, uključujući, </w:t>
      </w:r>
      <w:r w:rsidR="001A724F" w:rsidRPr="00653DCF">
        <w:rPr>
          <w:i/>
          <w:iCs/>
          <w:color w:val="auto"/>
          <w:lang w:val="hr-HR"/>
        </w:rPr>
        <w:t>inter alia</w:t>
      </w:r>
      <w:r w:rsidRPr="00653DCF">
        <w:rPr>
          <w:color w:val="auto"/>
          <w:lang w:val="hr-HR"/>
        </w:rPr>
        <w:t xml:space="preserve">, </w:t>
      </w:r>
      <w:r w:rsidR="005C1A1C" w:rsidRPr="00653DCF">
        <w:rPr>
          <w:color w:val="auto"/>
          <w:lang w:val="hr-HR"/>
        </w:rPr>
        <w:t xml:space="preserve">i </w:t>
      </w:r>
      <w:r w:rsidRPr="00653DCF">
        <w:rPr>
          <w:color w:val="auto"/>
          <w:lang w:val="hr-HR"/>
        </w:rPr>
        <w:t>Vijeće sigurnosti Ujedinjenih naroda</w:t>
      </w:r>
      <w:r w:rsidR="00382603" w:rsidRPr="00653DCF">
        <w:rPr>
          <w:color w:val="auto"/>
          <w:lang w:val="hr-HR"/>
        </w:rPr>
        <w:t>;</w:t>
      </w:r>
    </w:p>
    <w:p w14:paraId="62467307" w14:textId="078559C8" w:rsidR="007A2A6F" w:rsidRPr="00653DCF" w:rsidRDefault="00E87B0B">
      <w:pPr>
        <w:ind w:left="1440" w:hanging="584"/>
        <w:rPr>
          <w:color w:val="auto"/>
          <w:lang w:val="hr-HR"/>
        </w:rPr>
      </w:pPr>
      <w:r w:rsidRPr="00653DCF">
        <w:rPr>
          <w:color w:val="auto"/>
          <w:lang w:val="hr-HR"/>
        </w:rPr>
        <w:t>(b)</w:t>
      </w:r>
      <w:r w:rsidRPr="00653DCF">
        <w:rPr>
          <w:color w:val="auto"/>
          <w:lang w:val="hr-HR"/>
        </w:rPr>
        <w:tab/>
        <w:t xml:space="preserve">Europska unija, uključujući, </w:t>
      </w:r>
      <w:r w:rsidR="001A724F" w:rsidRPr="00653DCF">
        <w:rPr>
          <w:i/>
          <w:iCs/>
          <w:color w:val="auto"/>
          <w:lang w:val="hr-HR"/>
        </w:rPr>
        <w:t>inter alia</w:t>
      </w:r>
      <w:r w:rsidRPr="00653DCF">
        <w:rPr>
          <w:color w:val="auto"/>
          <w:lang w:val="hr-HR"/>
        </w:rPr>
        <w:t xml:space="preserve">, </w:t>
      </w:r>
      <w:r w:rsidR="001A724F" w:rsidRPr="00653DCF">
        <w:rPr>
          <w:color w:val="auto"/>
          <w:lang w:val="hr-HR"/>
        </w:rPr>
        <w:t xml:space="preserve">i </w:t>
      </w:r>
      <w:r w:rsidRPr="00653DCF">
        <w:rPr>
          <w:color w:val="auto"/>
          <w:lang w:val="hr-HR"/>
        </w:rPr>
        <w:t>Vijeće Europske unije i Europsku komisiju te sva druga nadležna tijela/institucije ili agencije Europske unije</w:t>
      </w:r>
      <w:r w:rsidR="00382603" w:rsidRPr="00653DCF">
        <w:rPr>
          <w:color w:val="auto"/>
          <w:lang w:val="hr-HR"/>
        </w:rPr>
        <w:t>;</w:t>
      </w:r>
    </w:p>
    <w:p w14:paraId="43B7D099" w14:textId="44648EC5" w:rsidR="007A2A6F" w:rsidRPr="00653DCF" w:rsidRDefault="00190876">
      <w:pPr>
        <w:ind w:left="1440" w:hanging="584"/>
        <w:rPr>
          <w:color w:val="auto"/>
          <w:lang w:val="hr-HR"/>
        </w:rPr>
      </w:pPr>
      <w:r w:rsidRPr="00653DCF">
        <w:rPr>
          <w:color w:val="auto"/>
          <w:lang w:val="hr-HR"/>
        </w:rPr>
        <w:t>(c</w:t>
      </w:r>
      <w:r w:rsidR="00E87B0B" w:rsidRPr="00653DCF">
        <w:rPr>
          <w:color w:val="auto"/>
          <w:lang w:val="hr-HR"/>
        </w:rPr>
        <w:t>)</w:t>
      </w:r>
      <w:r w:rsidR="00E87B0B" w:rsidRPr="00653DCF">
        <w:rPr>
          <w:color w:val="auto"/>
          <w:lang w:val="hr-HR"/>
        </w:rPr>
        <w:tab/>
        <w:t xml:space="preserve">vlada Sjedinjenih Američkih Država i bilo koji </w:t>
      </w:r>
      <w:r w:rsidR="00A36CF5" w:rsidRPr="00653DCF">
        <w:rPr>
          <w:color w:val="auto"/>
          <w:lang w:val="hr-HR"/>
        </w:rPr>
        <w:t xml:space="preserve">njen </w:t>
      </w:r>
      <w:r w:rsidR="00E87B0B" w:rsidRPr="00653DCF">
        <w:rPr>
          <w:color w:val="auto"/>
          <w:lang w:val="hr-HR"/>
        </w:rPr>
        <w:t xml:space="preserve">odjel, </w:t>
      </w:r>
      <w:r w:rsidR="00D34FAD" w:rsidRPr="00653DCF">
        <w:rPr>
          <w:color w:val="auto"/>
          <w:lang w:val="hr-HR"/>
        </w:rPr>
        <w:t>sektor</w:t>
      </w:r>
      <w:r w:rsidR="00E87B0B" w:rsidRPr="00653DCF">
        <w:rPr>
          <w:color w:val="auto"/>
          <w:lang w:val="hr-HR"/>
        </w:rPr>
        <w:t xml:space="preserve">, agencija ili ured, uključujući, </w:t>
      </w:r>
      <w:r w:rsidRPr="00653DCF">
        <w:rPr>
          <w:i/>
          <w:iCs/>
          <w:color w:val="auto"/>
          <w:lang w:val="hr-HR"/>
        </w:rPr>
        <w:t>inter alia</w:t>
      </w:r>
      <w:r w:rsidR="00E87B0B" w:rsidRPr="00653DCF">
        <w:rPr>
          <w:color w:val="auto"/>
          <w:lang w:val="hr-HR"/>
        </w:rPr>
        <w:t xml:space="preserve">, Ured za </w:t>
      </w:r>
      <w:r w:rsidR="00D34FAD" w:rsidRPr="00653DCF">
        <w:rPr>
          <w:color w:val="auto"/>
          <w:lang w:val="hr-HR"/>
        </w:rPr>
        <w:t>nadzor</w:t>
      </w:r>
      <w:r w:rsidR="00E87B0B" w:rsidRPr="00653DCF">
        <w:rPr>
          <w:color w:val="auto"/>
          <w:lang w:val="hr-HR"/>
        </w:rPr>
        <w:t xml:space="preserve"> strane imovine (OFAC) Ministarstva financija Sjedinjenih Američkih Država, Ministarstvo vanjskih poslova Sjedinjenih Američkih Država i/ili Ministarstvo trgovine Sjedinjenih Američkih Država</w:t>
      </w:r>
      <w:r w:rsidR="00C42196" w:rsidRPr="00653DCF">
        <w:rPr>
          <w:color w:val="auto"/>
          <w:lang w:val="hr-HR"/>
        </w:rPr>
        <w:t>;</w:t>
      </w:r>
      <w:r w:rsidR="00E87B0B" w:rsidRPr="00653DCF">
        <w:rPr>
          <w:color w:val="auto"/>
          <w:lang w:val="hr-HR"/>
        </w:rPr>
        <w:t xml:space="preserve"> i</w:t>
      </w:r>
    </w:p>
    <w:p w14:paraId="4FED5324" w14:textId="5595F6C6" w:rsidR="007A2A6F" w:rsidRPr="00653DCF" w:rsidRDefault="00E87B0B">
      <w:pPr>
        <w:ind w:left="1436" w:hanging="580"/>
        <w:rPr>
          <w:color w:val="auto"/>
          <w:lang w:val="hr-HR"/>
        </w:rPr>
      </w:pPr>
      <w:r w:rsidRPr="00653DCF">
        <w:rPr>
          <w:color w:val="auto"/>
          <w:lang w:val="hr-HR"/>
        </w:rPr>
        <w:t xml:space="preserve">(d) </w:t>
      </w:r>
      <w:r w:rsidRPr="00653DCF">
        <w:rPr>
          <w:color w:val="auto"/>
          <w:lang w:val="hr-HR"/>
        </w:rPr>
        <w:tab/>
        <w:t xml:space="preserve">vlada Ujedinjene Kraljevine i bilo koji </w:t>
      </w:r>
      <w:r w:rsidR="00A36CF5" w:rsidRPr="00653DCF">
        <w:rPr>
          <w:color w:val="auto"/>
          <w:lang w:val="hr-HR"/>
        </w:rPr>
        <w:t xml:space="preserve">njen </w:t>
      </w:r>
      <w:r w:rsidRPr="00653DCF">
        <w:rPr>
          <w:color w:val="auto"/>
          <w:lang w:val="hr-HR"/>
        </w:rPr>
        <w:t xml:space="preserve">odjel, </w:t>
      </w:r>
      <w:r w:rsidR="00B52824" w:rsidRPr="00653DCF">
        <w:rPr>
          <w:color w:val="auto"/>
          <w:lang w:val="hr-HR"/>
        </w:rPr>
        <w:t>sektor</w:t>
      </w:r>
      <w:r w:rsidRPr="00653DCF">
        <w:rPr>
          <w:color w:val="auto"/>
          <w:lang w:val="hr-HR"/>
        </w:rPr>
        <w:t xml:space="preserve">, agencija, ured ili tijelo, uključujući, </w:t>
      </w:r>
      <w:r w:rsidR="005C343C" w:rsidRPr="00653DCF">
        <w:rPr>
          <w:i/>
          <w:iCs/>
          <w:color w:val="auto"/>
          <w:lang w:val="hr-HR"/>
        </w:rPr>
        <w:t>inter alia</w:t>
      </w:r>
      <w:r w:rsidRPr="00653DCF">
        <w:rPr>
          <w:color w:val="auto"/>
          <w:lang w:val="hr-HR"/>
        </w:rPr>
        <w:t>, Ured za provedbu financijskih sankcija riznice Njegovog Veličanstva i Ministarstvo za međunarodnu trgovinu Ujedinjene Kraljevine</w:t>
      </w:r>
      <w:r w:rsidR="00382603" w:rsidRPr="00653DCF">
        <w:rPr>
          <w:color w:val="auto"/>
          <w:lang w:val="hr-HR"/>
        </w:rPr>
        <w:t>.</w:t>
      </w:r>
    </w:p>
    <w:bookmarkEnd w:id="33"/>
    <w:p w14:paraId="31F6EFEC" w14:textId="1BB08291" w:rsidR="007A2A6F" w:rsidRPr="00653DCF" w:rsidRDefault="00E87B0B">
      <w:pPr>
        <w:rPr>
          <w:color w:val="auto"/>
          <w:lang w:val="hr-HR"/>
        </w:rPr>
      </w:pPr>
      <w:r w:rsidRPr="00653DCF">
        <w:rPr>
          <w:color w:val="auto"/>
          <w:lang w:val="hr-HR"/>
        </w:rPr>
        <w:t>„</w:t>
      </w:r>
      <w:r w:rsidR="00907F79" w:rsidRPr="00653DCF">
        <w:rPr>
          <w:rStyle w:val="BoldEIB"/>
          <w:color w:val="auto"/>
          <w:lang w:val="hr-HR"/>
        </w:rPr>
        <w:t>p</w:t>
      </w:r>
      <w:r w:rsidR="00AF5A7C" w:rsidRPr="00653DCF">
        <w:rPr>
          <w:rStyle w:val="BoldEIB"/>
          <w:color w:val="auto"/>
          <w:lang w:val="hr-HR"/>
        </w:rPr>
        <w:t>lanirani</w:t>
      </w:r>
      <w:r w:rsidRPr="00653DCF">
        <w:rPr>
          <w:rStyle w:val="BoldEIB"/>
          <w:color w:val="auto"/>
          <w:lang w:val="hr-HR"/>
        </w:rPr>
        <w:t xml:space="preserve"> datum isplate</w:t>
      </w:r>
      <w:r w:rsidRPr="00653DCF">
        <w:rPr>
          <w:color w:val="auto"/>
          <w:lang w:val="hr-HR"/>
        </w:rPr>
        <w:t xml:space="preserve">” znači datum na koji se </w:t>
      </w:r>
      <w:r w:rsidR="00D31434" w:rsidRPr="00653DCF">
        <w:rPr>
          <w:color w:val="auto"/>
          <w:lang w:val="hr-HR"/>
        </w:rPr>
        <w:t xml:space="preserve">planira isplata tranše </w:t>
      </w:r>
      <w:r w:rsidRPr="00653DCF">
        <w:rPr>
          <w:color w:val="auto"/>
          <w:lang w:val="hr-HR"/>
        </w:rPr>
        <w:t>u skladu s člankom</w:t>
      </w:r>
      <w:r w:rsidR="00AF5A7C" w:rsidRPr="00653DCF">
        <w:rPr>
          <w:color w:val="auto"/>
          <w:lang w:val="hr-HR"/>
        </w:rPr>
        <w:t xml:space="preserve"> </w:t>
      </w:r>
      <w:r w:rsidRPr="00653DCF">
        <w:rPr>
          <w:color w:val="auto"/>
          <w:lang w:val="hr-HR"/>
        </w:rPr>
        <w:fldChar w:fldCharType="begin"/>
      </w:r>
      <w:r w:rsidRPr="00653DCF">
        <w:rPr>
          <w:color w:val="auto"/>
          <w:lang w:val="hr-HR"/>
        </w:rPr>
        <w:instrText xml:space="preserve"> REF _Ref426713118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1.2.C</w:t>
      </w:r>
      <w:r w:rsidRPr="00653DCF">
        <w:rPr>
          <w:color w:val="auto"/>
          <w:lang w:val="hr-HR"/>
        </w:rPr>
        <w:fldChar w:fldCharType="end"/>
      </w:r>
      <w:r w:rsidR="00382603" w:rsidRPr="00653DCF">
        <w:rPr>
          <w:color w:val="auto"/>
          <w:lang w:val="hr-HR"/>
        </w:rPr>
        <w:t>.</w:t>
      </w:r>
    </w:p>
    <w:p w14:paraId="56C60067" w14:textId="21D14B4E" w:rsidR="007A2A6F" w:rsidRPr="00653DCF" w:rsidRDefault="00E87B0B">
      <w:pPr>
        <w:widowControl w:val="0"/>
        <w:rPr>
          <w:color w:val="auto"/>
          <w:lang w:val="hr-HR"/>
        </w:rPr>
      </w:pPr>
      <w:r w:rsidRPr="00653DCF">
        <w:rPr>
          <w:color w:val="auto"/>
          <w:lang w:val="hr-HR"/>
        </w:rPr>
        <w:t>„</w:t>
      </w:r>
      <w:r w:rsidR="008B3C38" w:rsidRPr="00653DCF">
        <w:rPr>
          <w:rStyle w:val="BoldEIB"/>
          <w:color w:val="auto"/>
          <w:lang w:val="hr-HR"/>
        </w:rPr>
        <w:t>investicijski projekt</w:t>
      </w:r>
      <w:r w:rsidRPr="00653DCF">
        <w:rPr>
          <w:color w:val="auto"/>
          <w:lang w:val="hr-HR"/>
        </w:rPr>
        <w:t>” ima značenje</w:t>
      </w:r>
      <w:r w:rsidR="00AF5A7C" w:rsidRPr="00653DCF">
        <w:rPr>
          <w:color w:val="auto"/>
          <w:lang w:val="hr-HR"/>
        </w:rPr>
        <w:t xml:space="preserve"> iz </w:t>
      </w:r>
      <w:r w:rsidR="008B3C38" w:rsidRPr="00653DCF">
        <w:rPr>
          <w:color w:val="auto"/>
          <w:lang w:val="hr-HR"/>
        </w:rPr>
        <w:t>u</w:t>
      </w:r>
      <w:r w:rsidR="00AF5A7C" w:rsidRPr="00653DCF">
        <w:rPr>
          <w:color w:val="auto"/>
          <w:lang w:val="hr-HR"/>
        </w:rPr>
        <w:t xml:space="preserve">vodne izjave </w:t>
      </w:r>
      <w:r w:rsidRPr="00653DCF">
        <w:rPr>
          <w:color w:val="auto"/>
          <w:lang w:val="hr-HR"/>
        </w:rPr>
        <w:fldChar w:fldCharType="begin"/>
      </w:r>
      <w:r w:rsidRPr="00653DCF">
        <w:rPr>
          <w:color w:val="auto"/>
          <w:lang w:val="hr-HR"/>
        </w:rPr>
        <w:instrText xml:space="preserve"> REF _Ref430852331 \r \h </w:instrText>
      </w:r>
      <w:r w:rsidR="008B3C38"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(a)</w:t>
      </w:r>
      <w:r w:rsidRPr="00653DCF">
        <w:rPr>
          <w:color w:val="auto"/>
          <w:lang w:val="hr-HR"/>
        </w:rPr>
        <w:fldChar w:fldCharType="end"/>
      </w:r>
      <w:r w:rsidR="00382603" w:rsidRPr="00653DCF">
        <w:rPr>
          <w:color w:val="auto"/>
          <w:lang w:val="hr-HR"/>
        </w:rPr>
        <w:t>.</w:t>
      </w:r>
    </w:p>
    <w:p w14:paraId="695EFFC8" w14:textId="29517454" w:rsidR="007A2A6F" w:rsidRPr="00653DCF" w:rsidRDefault="00E87B0B">
      <w:pPr>
        <w:rPr>
          <w:color w:val="auto"/>
          <w:lang w:val="hr-HR"/>
        </w:rPr>
      </w:pPr>
      <w:r w:rsidRPr="00653DCF">
        <w:rPr>
          <w:color w:val="auto"/>
          <w:lang w:val="hr-HR"/>
        </w:rPr>
        <w:lastRenderedPageBreak/>
        <w:t>„</w:t>
      </w:r>
      <w:r w:rsidR="008B3C38" w:rsidRPr="00653DCF">
        <w:rPr>
          <w:rStyle w:val="BoldEIB"/>
          <w:color w:val="auto"/>
          <w:lang w:val="hr-HR"/>
        </w:rPr>
        <w:t>o</w:t>
      </w:r>
      <w:r w:rsidRPr="00653DCF">
        <w:rPr>
          <w:rStyle w:val="BoldEIB"/>
          <w:color w:val="auto"/>
          <w:lang w:val="hr-HR"/>
        </w:rPr>
        <w:t>siguranje</w:t>
      </w:r>
      <w:r w:rsidRPr="00653DCF">
        <w:rPr>
          <w:color w:val="auto"/>
          <w:lang w:val="hr-HR"/>
        </w:rPr>
        <w:t xml:space="preserve">” znači </w:t>
      </w:r>
      <w:r w:rsidR="001F4A93" w:rsidRPr="00653DCF">
        <w:rPr>
          <w:color w:val="auto"/>
          <w:lang w:val="hr-HR"/>
        </w:rPr>
        <w:t xml:space="preserve">bilo koja </w:t>
      </w:r>
      <w:r w:rsidRPr="00653DCF">
        <w:rPr>
          <w:color w:val="auto"/>
          <w:lang w:val="hr-HR"/>
        </w:rPr>
        <w:t xml:space="preserve">hipoteka, zalog, </w:t>
      </w:r>
      <w:r w:rsidR="008B0634" w:rsidRPr="00653DCF">
        <w:rPr>
          <w:color w:val="auto"/>
          <w:lang w:val="hr-HR"/>
        </w:rPr>
        <w:t xml:space="preserve">pravo zapljene, </w:t>
      </w:r>
      <w:r w:rsidRPr="00653DCF">
        <w:rPr>
          <w:color w:val="auto"/>
          <w:lang w:val="hr-HR"/>
        </w:rPr>
        <w:t xml:space="preserve">teret, </w:t>
      </w:r>
      <w:r w:rsidR="003650DD" w:rsidRPr="00653DCF">
        <w:rPr>
          <w:color w:val="auto"/>
          <w:lang w:val="hr-HR"/>
        </w:rPr>
        <w:t>prijenos</w:t>
      </w:r>
      <w:r w:rsidRPr="00653DCF">
        <w:rPr>
          <w:color w:val="auto"/>
          <w:lang w:val="hr-HR"/>
        </w:rPr>
        <w:t xml:space="preserve">, </w:t>
      </w:r>
      <w:r w:rsidR="00AF444C" w:rsidRPr="00653DCF">
        <w:rPr>
          <w:color w:val="auto"/>
          <w:lang w:val="hr-HR"/>
        </w:rPr>
        <w:t>ugovor o hipoteci ili drugo založno pravo koje osigurava bilo koju obvezu neke osobe ili neki drugi sporazum ili aranžman koji ima sličan učinak</w:t>
      </w:r>
      <w:r w:rsidR="00382603" w:rsidRPr="00653DCF">
        <w:rPr>
          <w:color w:val="auto"/>
          <w:lang w:val="hr-HR"/>
        </w:rPr>
        <w:t>.</w:t>
      </w:r>
    </w:p>
    <w:p w14:paraId="73213A14" w14:textId="68822DD7" w:rsidR="007A2A6F" w:rsidRPr="00653DCF" w:rsidRDefault="00E87B0B">
      <w:pPr>
        <w:rPr>
          <w:color w:val="auto"/>
          <w:lang w:val="hr-HR"/>
        </w:rPr>
      </w:pPr>
      <w:r w:rsidRPr="00653DCF">
        <w:rPr>
          <w:color w:val="auto"/>
          <w:lang w:val="hr-HR"/>
        </w:rPr>
        <w:t>„</w:t>
      </w:r>
      <w:r w:rsidR="00B972E9" w:rsidRPr="00653DCF">
        <w:rPr>
          <w:rStyle w:val="BoldEIB"/>
          <w:color w:val="auto"/>
          <w:lang w:val="hr-HR"/>
        </w:rPr>
        <w:t>s</w:t>
      </w:r>
      <w:r w:rsidRPr="00653DCF">
        <w:rPr>
          <w:rStyle w:val="BoldEIB"/>
          <w:color w:val="auto"/>
          <w:lang w:val="hr-HR"/>
        </w:rPr>
        <w:t>ocijalna pitanja</w:t>
      </w:r>
      <w:r w:rsidRPr="00653DCF">
        <w:rPr>
          <w:color w:val="auto"/>
          <w:lang w:val="hr-HR"/>
        </w:rPr>
        <w:t xml:space="preserve">” znači </w:t>
      </w:r>
      <w:r w:rsidR="00993BBB" w:rsidRPr="00653DCF">
        <w:rPr>
          <w:color w:val="auto"/>
          <w:lang w:val="hr-HR"/>
        </w:rPr>
        <w:t>bilo što</w:t>
      </w:r>
      <w:r w:rsidR="004F16FD" w:rsidRPr="00653DCF">
        <w:rPr>
          <w:color w:val="auto"/>
          <w:lang w:val="hr-HR"/>
        </w:rPr>
        <w:t xml:space="preserve"> ili sve </w:t>
      </w:r>
      <w:r w:rsidRPr="00653DCF">
        <w:rPr>
          <w:color w:val="auto"/>
          <w:lang w:val="hr-HR"/>
        </w:rPr>
        <w:t xml:space="preserve">od sljedećeg: </w:t>
      </w:r>
    </w:p>
    <w:p w14:paraId="5CBDFF7C" w14:textId="0B928BE7" w:rsidR="007A2A6F" w:rsidRPr="00653DCF" w:rsidRDefault="00EE7A64" w:rsidP="006010BF">
      <w:pPr>
        <w:keepLines/>
        <w:numPr>
          <w:ilvl w:val="0"/>
          <w:numId w:val="72"/>
        </w:numPr>
        <w:spacing w:line="276" w:lineRule="auto"/>
        <w:rPr>
          <w:color w:val="auto"/>
          <w:lang w:val="hr-HR"/>
        </w:rPr>
      </w:pPr>
      <w:r w:rsidRPr="00653DCF">
        <w:rPr>
          <w:color w:val="auto"/>
          <w:lang w:val="hr-HR"/>
        </w:rPr>
        <w:t>uvjet</w:t>
      </w:r>
      <w:r w:rsidR="00F87E53" w:rsidRPr="00653DCF">
        <w:rPr>
          <w:color w:val="auto"/>
          <w:lang w:val="hr-HR"/>
        </w:rPr>
        <w:t>i</w:t>
      </w:r>
      <w:r w:rsidRPr="00653DCF">
        <w:rPr>
          <w:color w:val="auto"/>
          <w:lang w:val="hr-HR"/>
        </w:rPr>
        <w:t xml:space="preserve"> </w:t>
      </w:r>
      <w:r w:rsidR="00F87E53" w:rsidRPr="00653DCF">
        <w:rPr>
          <w:color w:val="auto"/>
          <w:lang w:val="hr-HR"/>
        </w:rPr>
        <w:t>posla</w:t>
      </w:r>
      <w:r w:rsidRPr="00653DCF">
        <w:rPr>
          <w:color w:val="auto"/>
          <w:lang w:val="hr-HR"/>
        </w:rPr>
        <w:t xml:space="preserve"> i rada</w:t>
      </w:r>
      <w:r w:rsidR="004870BC" w:rsidRPr="00653DCF">
        <w:rPr>
          <w:color w:val="auto"/>
          <w:lang w:val="hr-HR"/>
        </w:rPr>
        <w:t>;</w:t>
      </w:r>
    </w:p>
    <w:p w14:paraId="7FFF1960" w14:textId="7B82358F" w:rsidR="007A2A6F" w:rsidRPr="00653DCF" w:rsidRDefault="00E87B0B" w:rsidP="006010BF">
      <w:pPr>
        <w:keepLines/>
        <w:numPr>
          <w:ilvl w:val="0"/>
          <w:numId w:val="72"/>
        </w:numPr>
        <w:spacing w:line="276" w:lineRule="auto"/>
        <w:rPr>
          <w:color w:val="auto"/>
          <w:lang w:val="hr-HR"/>
        </w:rPr>
      </w:pPr>
      <w:r w:rsidRPr="00653DCF">
        <w:rPr>
          <w:color w:val="auto"/>
          <w:lang w:val="hr-HR"/>
        </w:rPr>
        <w:t>zdravlje i sigurnost na radu</w:t>
      </w:r>
      <w:r w:rsidR="004870BC" w:rsidRPr="00653DCF">
        <w:rPr>
          <w:color w:val="auto"/>
          <w:lang w:val="hr-HR"/>
        </w:rPr>
        <w:t>;</w:t>
      </w:r>
    </w:p>
    <w:p w14:paraId="787D7633" w14:textId="39DA8A9B" w:rsidR="007A2A6F" w:rsidRPr="00653DCF" w:rsidRDefault="00E87B0B" w:rsidP="006010BF">
      <w:pPr>
        <w:keepLines/>
        <w:numPr>
          <w:ilvl w:val="0"/>
          <w:numId w:val="72"/>
        </w:numPr>
        <w:spacing w:line="276" w:lineRule="auto"/>
        <w:rPr>
          <w:color w:val="auto"/>
          <w:lang w:val="hr-HR"/>
        </w:rPr>
      </w:pPr>
      <w:r w:rsidRPr="00653DCF">
        <w:rPr>
          <w:color w:val="auto"/>
          <w:lang w:val="hr-HR"/>
        </w:rPr>
        <w:t>prava i interesi ranjivih skupina</w:t>
      </w:r>
      <w:r w:rsidR="004870BC" w:rsidRPr="00653DCF">
        <w:rPr>
          <w:color w:val="auto"/>
          <w:lang w:val="hr-HR"/>
        </w:rPr>
        <w:t>;</w:t>
      </w:r>
    </w:p>
    <w:p w14:paraId="002C8C53" w14:textId="0BB54BF5" w:rsidR="007A2A6F" w:rsidRPr="00653DCF" w:rsidRDefault="00E87B0B" w:rsidP="006010BF">
      <w:pPr>
        <w:keepLines/>
        <w:numPr>
          <w:ilvl w:val="0"/>
          <w:numId w:val="72"/>
        </w:numPr>
        <w:spacing w:line="276" w:lineRule="auto"/>
        <w:rPr>
          <w:color w:val="auto"/>
          <w:lang w:val="hr-HR"/>
        </w:rPr>
      </w:pPr>
      <w:r w:rsidRPr="00653DCF">
        <w:rPr>
          <w:color w:val="auto"/>
          <w:lang w:val="hr-HR"/>
        </w:rPr>
        <w:t>prava i interesi autohtonih naroda</w:t>
      </w:r>
      <w:r w:rsidR="004870BC" w:rsidRPr="00653DCF">
        <w:rPr>
          <w:color w:val="auto"/>
          <w:lang w:val="hr-HR"/>
        </w:rPr>
        <w:t>;</w:t>
      </w:r>
    </w:p>
    <w:p w14:paraId="48100120" w14:textId="4EBC99EB" w:rsidR="007A2A6F" w:rsidRPr="00653DCF" w:rsidRDefault="00E87B0B" w:rsidP="006010BF">
      <w:pPr>
        <w:keepLines/>
        <w:numPr>
          <w:ilvl w:val="0"/>
          <w:numId w:val="72"/>
        </w:numPr>
        <w:spacing w:line="276" w:lineRule="auto"/>
        <w:rPr>
          <w:color w:val="auto"/>
          <w:lang w:val="hr-HR"/>
        </w:rPr>
      </w:pPr>
      <w:r w:rsidRPr="00653DCF">
        <w:rPr>
          <w:color w:val="auto"/>
          <w:lang w:val="hr-HR"/>
        </w:rPr>
        <w:t>ravnopravnost spolova</w:t>
      </w:r>
      <w:r w:rsidR="004870BC" w:rsidRPr="00653DCF">
        <w:rPr>
          <w:color w:val="auto"/>
          <w:lang w:val="hr-HR"/>
        </w:rPr>
        <w:t>;</w:t>
      </w:r>
    </w:p>
    <w:p w14:paraId="29081294" w14:textId="1B94C6F3" w:rsidR="007A2A6F" w:rsidRPr="00653DCF" w:rsidRDefault="00E87B0B" w:rsidP="006010BF">
      <w:pPr>
        <w:keepLines/>
        <w:numPr>
          <w:ilvl w:val="0"/>
          <w:numId w:val="72"/>
        </w:numPr>
        <w:spacing w:line="276" w:lineRule="auto"/>
        <w:rPr>
          <w:color w:val="auto"/>
          <w:lang w:val="hr-HR"/>
        </w:rPr>
      </w:pPr>
      <w:r w:rsidRPr="00653DCF">
        <w:rPr>
          <w:color w:val="auto"/>
          <w:lang w:val="hr-HR"/>
        </w:rPr>
        <w:t xml:space="preserve">javno </w:t>
      </w:r>
      <w:r w:rsidR="007E748A" w:rsidRPr="00653DCF">
        <w:rPr>
          <w:color w:val="auto"/>
          <w:lang w:val="hr-HR"/>
        </w:rPr>
        <w:t>zdravstvo</w:t>
      </w:r>
      <w:r w:rsidRPr="00653DCF">
        <w:rPr>
          <w:color w:val="auto"/>
          <w:lang w:val="hr-HR"/>
        </w:rPr>
        <w:t>, sigurnost i zaštita</w:t>
      </w:r>
      <w:r w:rsidR="00B508CF" w:rsidRPr="00653DCF">
        <w:rPr>
          <w:color w:val="auto"/>
          <w:lang w:val="hr-HR"/>
        </w:rPr>
        <w:t>;</w:t>
      </w:r>
      <w:r w:rsidRPr="00653DCF">
        <w:rPr>
          <w:color w:val="auto"/>
          <w:lang w:val="hr-HR"/>
        </w:rPr>
        <w:t xml:space="preserve"> </w:t>
      </w:r>
    </w:p>
    <w:p w14:paraId="35BD737C" w14:textId="0320C52E" w:rsidR="007A2A6F" w:rsidRPr="00653DCF" w:rsidRDefault="00E87B0B" w:rsidP="006010BF">
      <w:pPr>
        <w:keepLines/>
        <w:numPr>
          <w:ilvl w:val="0"/>
          <w:numId w:val="72"/>
        </w:numPr>
        <w:spacing w:line="276" w:lineRule="auto"/>
        <w:rPr>
          <w:color w:val="auto"/>
          <w:lang w:val="hr-HR"/>
        </w:rPr>
      </w:pPr>
      <w:r w:rsidRPr="00653DCF">
        <w:rPr>
          <w:color w:val="auto"/>
          <w:lang w:val="hr-HR"/>
        </w:rPr>
        <w:t>izbjegavanje prisilnih deložacija i ublažavanje poteškoća koje proizlaze iz nenamjernog preseljenja</w:t>
      </w:r>
      <w:r w:rsidR="00B508CF" w:rsidRPr="00653DCF">
        <w:rPr>
          <w:color w:val="auto"/>
          <w:lang w:val="hr-HR"/>
        </w:rPr>
        <w:t>;</w:t>
      </w:r>
      <w:r w:rsidRPr="00653DCF">
        <w:rPr>
          <w:color w:val="auto"/>
          <w:lang w:val="hr-HR"/>
        </w:rPr>
        <w:t xml:space="preserve"> i </w:t>
      </w:r>
    </w:p>
    <w:p w14:paraId="020E8CD9" w14:textId="6D1097B2" w:rsidR="007A2A6F" w:rsidRPr="00653DCF" w:rsidRDefault="00E87B0B" w:rsidP="006010BF">
      <w:pPr>
        <w:keepLines/>
        <w:numPr>
          <w:ilvl w:val="0"/>
          <w:numId w:val="72"/>
        </w:numPr>
        <w:spacing w:line="276" w:lineRule="auto"/>
        <w:rPr>
          <w:color w:val="auto"/>
          <w:lang w:val="hr-HR"/>
        </w:rPr>
      </w:pPr>
      <w:r w:rsidRPr="00653DCF">
        <w:rPr>
          <w:color w:val="auto"/>
          <w:lang w:val="hr-HR"/>
        </w:rPr>
        <w:t>sudjelovanje dionika</w:t>
      </w:r>
      <w:r w:rsidR="00993BBB" w:rsidRPr="00653DCF">
        <w:rPr>
          <w:color w:val="auto"/>
          <w:lang w:val="hr-HR"/>
        </w:rPr>
        <w:t>,</w:t>
      </w:r>
    </w:p>
    <w:p w14:paraId="050A649C" w14:textId="33C1F2FC" w:rsidR="007A2A6F" w:rsidRPr="00653DCF" w:rsidRDefault="00E87B0B">
      <w:pPr>
        <w:rPr>
          <w:color w:val="auto"/>
          <w:lang w:val="hr-HR"/>
        </w:rPr>
      </w:pPr>
      <w:r w:rsidRPr="00653DCF">
        <w:rPr>
          <w:color w:val="auto"/>
          <w:lang w:val="hr-HR"/>
        </w:rPr>
        <w:t>„</w:t>
      </w:r>
      <w:r w:rsidR="009C2E36" w:rsidRPr="00653DCF">
        <w:rPr>
          <w:rStyle w:val="BoldEIB"/>
          <w:color w:val="auto"/>
          <w:lang w:val="hr-HR"/>
        </w:rPr>
        <w:t>k</w:t>
      </w:r>
      <w:r w:rsidR="005063BD" w:rsidRPr="00653DCF">
        <w:rPr>
          <w:rStyle w:val="BoldEIB"/>
          <w:color w:val="auto"/>
          <w:lang w:val="hr-HR"/>
        </w:rPr>
        <w:t>amatna marža</w:t>
      </w:r>
      <w:r w:rsidRPr="00653DCF">
        <w:rPr>
          <w:color w:val="auto"/>
          <w:lang w:val="hr-HR"/>
        </w:rPr>
        <w:t>” znači fiksna marža (</w:t>
      </w:r>
      <w:r w:rsidR="005063BD" w:rsidRPr="00653DCF">
        <w:rPr>
          <w:color w:val="auto"/>
          <w:lang w:val="hr-HR"/>
        </w:rPr>
        <w:t>s pozitivnom ili negativnom vrijednosti</w:t>
      </w:r>
      <w:r w:rsidRPr="00653DCF">
        <w:rPr>
          <w:color w:val="auto"/>
          <w:lang w:val="hr-HR"/>
        </w:rPr>
        <w:t xml:space="preserve">) </w:t>
      </w:r>
      <w:r w:rsidR="005063BD" w:rsidRPr="00653DCF">
        <w:rPr>
          <w:color w:val="auto"/>
          <w:lang w:val="hr-HR"/>
        </w:rPr>
        <w:t xml:space="preserve">u odnosu na </w:t>
      </w:r>
      <w:r w:rsidRPr="00653DCF">
        <w:rPr>
          <w:color w:val="auto"/>
          <w:lang w:val="hr-HR"/>
        </w:rPr>
        <w:t>EURIBOR</w:t>
      </w:r>
      <w:r w:rsidR="00766D40" w:rsidRPr="00653DCF">
        <w:rPr>
          <w:color w:val="auto"/>
          <w:lang w:val="hr-HR"/>
        </w:rPr>
        <w:t xml:space="preserve"> koju utvrđuje Banka </w:t>
      </w:r>
      <w:r w:rsidRPr="00653DCF">
        <w:rPr>
          <w:color w:val="auto"/>
          <w:lang w:val="hr-HR"/>
        </w:rPr>
        <w:t xml:space="preserve">i o kojoj </w:t>
      </w:r>
      <w:r w:rsidR="00766D40" w:rsidRPr="00653DCF">
        <w:rPr>
          <w:color w:val="auto"/>
          <w:lang w:val="hr-HR"/>
        </w:rPr>
        <w:t xml:space="preserve">obavještava Zajmoprimca u </w:t>
      </w:r>
      <w:r w:rsidR="00B564E1" w:rsidRPr="00653DCF">
        <w:rPr>
          <w:color w:val="auto"/>
          <w:lang w:val="hr-HR"/>
        </w:rPr>
        <w:t>relevantnoj</w:t>
      </w:r>
      <w:r w:rsidR="00766D40" w:rsidRPr="00653DCF">
        <w:rPr>
          <w:color w:val="auto"/>
          <w:lang w:val="hr-HR"/>
        </w:rPr>
        <w:t xml:space="preserve"> </w:t>
      </w:r>
      <w:r w:rsidR="00B564E1" w:rsidRPr="00653DCF">
        <w:rPr>
          <w:color w:val="auto"/>
          <w:lang w:val="hr-HR"/>
        </w:rPr>
        <w:t>o</w:t>
      </w:r>
      <w:r w:rsidR="00766D40" w:rsidRPr="00653DCF">
        <w:rPr>
          <w:color w:val="auto"/>
          <w:lang w:val="hr-HR"/>
        </w:rPr>
        <w:t xml:space="preserve">bavijesti o isplati ili </w:t>
      </w:r>
      <w:r w:rsidR="00B564E1" w:rsidRPr="00653DCF">
        <w:rPr>
          <w:color w:val="auto"/>
          <w:lang w:val="hr-HR"/>
        </w:rPr>
        <w:t>p</w:t>
      </w:r>
      <w:r w:rsidR="00766D40" w:rsidRPr="00653DCF">
        <w:rPr>
          <w:color w:val="auto"/>
          <w:lang w:val="hr-HR"/>
        </w:rPr>
        <w:t xml:space="preserve">rijedlogu </w:t>
      </w:r>
      <w:r w:rsidR="00993BBB" w:rsidRPr="00653DCF">
        <w:rPr>
          <w:color w:val="auto"/>
          <w:lang w:val="hr-HR"/>
        </w:rPr>
        <w:t xml:space="preserve">za </w:t>
      </w:r>
      <w:r w:rsidR="00766D40" w:rsidRPr="00653DCF">
        <w:rPr>
          <w:color w:val="auto"/>
          <w:lang w:val="hr-HR"/>
        </w:rPr>
        <w:t>revizij</w:t>
      </w:r>
      <w:r w:rsidR="00993BBB" w:rsidRPr="00653DCF">
        <w:rPr>
          <w:color w:val="auto"/>
          <w:lang w:val="hr-HR"/>
        </w:rPr>
        <w:t>u</w:t>
      </w:r>
      <w:r w:rsidR="00766D40" w:rsidRPr="00653DCF">
        <w:rPr>
          <w:color w:val="auto"/>
          <w:lang w:val="hr-HR"/>
        </w:rPr>
        <w:t>/konverzij</w:t>
      </w:r>
      <w:r w:rsidR="00993BBB" w:rsidRPr="00653DCF">
        <w:rPr>
          <w:color w:val="auto"/>
          <w:lang w:val="hr-HR"/>
        </w:rPr>
        <w:t>u</w:t>
      </w:r>
      <w:r w:rsidR="00766D40" w:rsidRPr="00653DCF">
        <w:rPr>
          <w:color w:val="auto"/>
          <w:lang w:val="hr-HR"/>
        </w:rPr>
        <w:t xml:space="preserve"> kamatne stope</w:t>
      </w:r>
      <w:r w:rsidR="00382603" w:rsidRPr="00653DCF">
        <w:rPr>
          <w:color w:val="auto"/>
          <w:lang w:val="hr-HR"/>
        </w:rPr>
        <w:t>.</w:t>
      </w:r>
      <w:r w:rsidRPr="00653DCF">
        <w:rPr>
          <w:color w:val="auto"/>
          <w:lang w:val="hr-HR"/>
        </w:rPr>
        <w:t xml:space="preserve"> </w:t>
      </w:r>
    </w:p>
    <w:p w14:paraId="65872B59" w14:textId="085C9834" w:rsidR="007A2A6F" w:rsidRPr="00653DCF" w:rsidRDefault="00E87B0B">
      <w:pPr>
        <w:rPr>
          <w:color w:val="auto"/>
          <w:lang w:val="hr-HR"/>
        </w:rPr>
      </w:pPr>
      <w:r w:rsidRPr="00653DCF">
        <w:rPr>
          <w:color w:val="auto"/>
          <w:lang w:val="hr-HR"/>
        </w:rPr>
        <w:t>„</w:t>
      </w:r>
      <w:r w:rsidR="00180702" w:rsidRPr="00653DCF">
        <w:rPr>
          <w:rStyle w:val="BoldEIB"/>
          <w:color w:val="auto"/>
          <w:lang w:val="hr-HR"/>
        </w:rPr>
        <w:t>p</w:t>
      </w:r>
      <w:r w:rsidRPr="00653DCF">
        <w:rPr>
          <w:rStyle w:val="BoldEIB"/>
          <w:color w:val="auto"/>
          <w:lang w:val="hr-HR"/>
        </w:rPr>
        <w:t>orez</w:t>
      </w:r>
      <w:r w:rsidRPr="00653DCF">
        <w:rPr>
          <w:color w:val="auto"/>
          <w:lang w:val="hr-HR"/>
        </w:rPr>
        <w:t xml:space="preserve">” znači </w:t>
      </w:r>
      <w:r w:rsidR="00766D40" w:rsidRPr="00653DCF">
        <w:rPr>
          <w:color w:val="auto"/>
          <w:lang w:val="hr-HR"/>
        </w:rPr>
        <w:t xml:space="preserve">sve poreze, dadžbine, namete, pristojbe ili ostala davanja ili odbitke slične vrste </w:t>
      </w:r>
      <w:r w:rsidRPr="00653DCF">
        <w:rPr>
          <w:color w:val="auto"/>
          <w:lang w:val="hr-HR"/>
        </w:rPr>
        <w:t xml:space="preserve">(uključujući sve </w:t>
      </w:r>
      <w:r w:rsidR="00766D40" w:rsidRPr="00653DCF">
        <w:rPr>
          <w:color w:val="auto"/>
          <w:lang w:val="hr-HR"/>
        </w:rPr>
        <w:t>penale ili kamatu koju treba platiti zbog neplaćanja ili ka</w:t>
      </w:r>
      <w:r w:rsidR="005B476E" w:rsidRPr="00653DCF">
        <w:rPr>
          <w:color w:val="auto"/>
          <w:lang w:val="hr-HR"/>
        </w:rPr>
        <w:t>š</w:t>
      </w:r>
      <w:r w:rsidR="00766D40" w:rsidRPr="00653DCF">
        <w:rPr>
          <w:color w:val="auto"/>
          <w:lang w:val="hr-HR"/>
        </w:rPr>
        <w:t>njenja u plaćanju istih</w:t>
      </w:r>
      <w:r w:rsidRPr="00653DCF">
        <w:rPr>
          <w:color w:val="auto"/>
          <w:lang w:val="hr-HR"/>
        </w:rPr>
        <w:t>)</w:t>
      </w:r>
      <w:r w:rsidR="00382603" w:rsidRPr="00653DCF">
        <w:rPr>
          <w:color w:val="auto"/>
          <w:lang w:val="hr-HR"/>
        </w:rPr>
        <w:t>.</w:t>
      </w:r>
    </w:p>
    <w:p w14:paraId="0D96D086" w14:textId="184A58CA" w:rsidR="007A2A6F" w:rsidRPr="00653DCF" w:rsidRDefault="00E87B0B">
      <w:pPr>
        <w:rPr>
          <w:color w:val="auto"/>
          <w:lang w:val="hr-HR"/>
        </w:rPr>
      </w:pPr>
      <w:r w:rsidRPr="00653DCF">
        <w:rPr>
          <w:color w:val="auto"/>
          <w:lang w:val="hr-HR"/>
        </w:rPr>
        <w:t>„</w:t>
      </w:r>
      <w:r w:rsidR="005B476E" w:rsidRPr="00653DCF">
        <w:rPr>
          <w:rStyle w:val="BoldEIB"/>
          <w:color w:val="auto"/>
          <w:lang w:val="hr-HR"/>
        </w:rPr>
        <w:t>t</w:t>
      </w:r>
      <w:r w:rsidRPr="00653DCF">
        <w:rPr>
          <w:rStyle w:val="BoldEIB"/>
          <w:color w:val="auto"/>
          <w:lang w:val="hr-HR"/>
        </w:rPr>
        <w:t>ehnički opis</w:t>
      </w:r>
      <w:r w:rsidRPr="00653DCF">
        <w:rPr>
          <w:color w:val="auto"/>
          <w:lang w:val="hr-HR"/>
        </w:rPr>
        <w:t xml:space="preserve">” ima značenje </w:t>
      </w:r>
      <w:r w:rsidR="005B476E" w:rsidRPr="00653DCF">
        <w:rPr>
          <w:color w:val="auto"/>
          <w:lang w:val="hr-HR"/>
        </w:rPr>
        <w:t xml:space="preserve">iz uvodne </w:t>
      </w:r>
      <w:r w:rsidR="00766D40" w:rsidRPr="00653DCF">
        <w:rPr>
          <w:color w:val="auto"/>
          <w:lang w:val="hr-HR"/>
        </w:rPr>
        <w:t>odredb</w:t>
      </w:r>
      <w:r w:rsidR="005B476E" w:rsidRPr="00653DCF">
        <w:rPr>
          <w:color w:val="auto"/>
          <w:lang w:val="hr-HR"/>
        </w:rPr>
        <w:t>e</w:t>
      </w:r>
      <w:r w:rsidR="00766D40" w:rsidRPr="00653DCF">
        <w:rPr>
          <w:color w:val="auto"/>
          <w:lang w:val="hr-HR"/>
        </w:rPr>
        <w:t xml:space="preserve"> </w:t>
      </w:r>
      <w:r w:rsidRPr="00653DCF">
        <w:rPr>
          <w:color w:val="auto"/>
          <w:lang w:val="hr-HR"/>
        </w:rPr>
        <w:fldChar w:fldCharType="begin"/>
      </w:r>
      <w:r w:rsidRPr="00653DCF">
        <w:rPr>
          <w:color w:val="auto"/>
          <w:lang w:val="hr-HR"/>
        </w:rPr>
        <w:instrText xml:space="preserve"> REF _Ref430852331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(a)</w:t>
      </w:r>
      <w:r w:rsidRPr="00653DCF">
        <w:rPr>
          <w:color w:val="auto"/>
          <w:lang w:val="hr-HR"/>
        </w:rPr>
        <w:fldChar w:fldCharType="end"/>
      </w:r>
      <w:r w:rsidRPr="00653DCF">
        <w:rPr>
          <w:color w:val="auto"/>
          <w:lang w:val="hr-HR"/>
        </w:rPr>
        <w:t>.</w:t>
      </w:r>
    </w:p>
    <w:p w14:paraId="6DCA5A53" w14:textId="798EE6F8" w:rsidR="007A2A6F" w:rsidRPr="00653DCF" w:rsidRDefault="00E87B0B">
      <w:pPr>
        <w:rPr>
          <w:color w:val="auto"/>
          <w:lang w:val="hr-HR"/>
        </w:rPr>
      </w:pPr>
      <w:r w:rsidRPr="00653DCF">
        <w:rPr>
          <w:color w:val="auto"/>
          <w:lang w:val="hr-HR"/>
        </w:rPr>
        <w:t>„</w:t>
      </w:r>
      <w:r w:rsidR="005B476E" w:rsidRPr="00653DCF">
        <w:rPr>
          <w:rStyle w:val="BoldEIB"/>
          <w:color w:val="auto"/>
          <w:lang w:val="hr-HR"/>
        </w:rPr>
        <w:t>t</w:t>
      </w:r>
      <w:r w:rsidRPr="00653DCF">
        <w:rPr>
          <w:rStyle w:val="BoldEIB"/>
          <w:color w:val="auto"/>
          <w:lang w:val="hr-HR"/>
        </w:rPr>
        <w:t>ranša</w:t>
      </w:r>
      <w:r w:rsidRPr="00653DCF">
        <w:rPr>
          <w:color w:val="auto"/>
          <w:lang w:val="hr-HR"/>
        </w:rPr>
        <w:t xml:space="preserve">” znači svaka isplata koja je izvršena ili </w:t>
      </w:r>
      <w:r w:rsidR="00766D40" w:rsidRPr="00653DCF">
        <w:rPr>
          <w:color w:val="auto"/>
          <w:lang w:val="hr-HR"/>
        </w:rPr>
        <w:t xml:space="preserve">koja treba biti izvršena </w:t>
      </w:r>
      <w:r w:rsidRPr="00653DCF">
        <w:rPr>
          <w:color w:val="auto"/>
          <w:lang w:val="hr-HR"/>
        </w:rPr>
        <w:t xml:space="preserve">na temelju ovog Ugovora. </w:t>
      </w:r>
      <w:r w:rsidR="00766D40" w:rsidRPr="00653DCF">
        <w:rPr>
          <w:color w:val="auto"/>
          <w:lang w:val="hr-HR"/>
        </w:rPr>
        <w:t xml:space="preserve">U slučaju da </w:t>
      </w:r>
      <w:r w:rsidR="00337AF3" w:rsidRPr="00653DCF">
        <w:rPr>
          <w:color w:val="auto"/>
          <w:lang w:val="hr-HR"/>
        </w:rPr>
        <w:t xml:space="preserve">obavijest </w:t>
      </w:r>
      <w:r w:rsidR="00766D40" w:rsidRPr="00653DCF">
        <w:rPr>
          <w:color w:val="auto"/>
          <w:lang w:val="hr-HR"/>
        </w:rPr>
        <w:t>o isplati</w:t>
      </w:r>
      <w:r w:rsidR="00DE3533" w:rsidRPr="00653DCF">
        <w:rPr>
          <w:color w:val="auto"/>
          <w:lang w:val="hr-HR"/>
        </w:rPr>
        <w:t xml:space="preserve"> nije dostavljena</w:t>
      </w:r>
      <w:r w:rsidR="00766D40" w:rsidRPr="00653DCF">
        <w:rPr>
          <w:color w:val="auto"/>
          <w:lang w:val="hr-HR"/>
        </w:rPr>
        <w:t xml:space="preserve">, pod </w:t>
      </w:r>
      <w:r w:rsidR="00337AF3" w:rsidRPr="00653DCF">
        <w:rPr>
          <w:color w:val="auto"/>
          <w:lang w:val="hr-HR"/>
        </w:rPr>
        <w:t>t</w:t>
      </w:r>
      <w:r w:rsidR="00766D40" w:rsidRPr="00653DCF">
        <w:rPr>
          <w:color w:val="auto"/>
          <w:lang w:val="hr-HR"/>
        </w:rPr>
        <w:t xml:space="preserve">ranšom se podrazumijeva </w:t>
      </w:r>
      <w:r w:rsidR="00337AF3" w:rsidRPr="00653DCF">
        <w:rPr>
          <w:color w:val="auto"/>
          <w:lang w:val="hr-HR"/>
        </w:rPr>
        <w:t>t</w:t>
      </w:r>
      <w:r w:rsidR="00766D40" w:rsidRPr="00653DCF">
        <w:rPr>
          <w:color w:val="auto"/>
          <w:lang w:val="hr-HR"/>
        </w:rPr>
        <w:t xml:space="preserve">ranša </w:t>
      </w:r>
      <w:r w:rsidRPr="00653DCF">
        <w:rPr>
          <w:color w:val="auto"/>
          <w:lang w:val="hr-HR"/>
        </w:rPr>
        <w:t>u skladu s člankom</w:t>
      </w:r>
      <w:r w:rsidR="00766D40" w:rsidRPr="00653DCF">
        <w:rPr>
          <w:color w:val="auto"/>
          <w:lang w:val="hr-HR"/>
        </w:rPr>
        <w:t xml:space="preserve"> </w:t>
      </w:r>
      <w:r w:rsidRPr="00653DCF">
        <w:rPr>
          <w:color w:val="auto"/>
          <w:lang w:val="hr-HR"/>
        </w:rPr>
        <w:fldChar w:fldCharType="begin"/>
      </w:r>
      <w:r w:rsidRPr="00653DCF">
        <w:rPr>
          <w:color w:val="auto"/>
          <w:lang w:val="hr-HR"/>
        </w:rPr>
        <w:instrText xml:space="preserve"> REF _Ref426638944 \r \h  \* MERGEFORMAT </w:instrText>
      </w:r>
      <w:r w:rsidRPr="00653DCF">
        <w:rPr>
          <w:color w:val="auto"/>
          <w:lang w:val="hr-HR"/>
        </w:rPr>
      </w:r>
      <w:r w:rsidRPr="00653DCF">
        <w:rPr>
          <w:color w:val="auto"/>
          <w:lang w:val="hr-HR"/>
        </w:rPr>
        <w:fldChar w:fldCharType="separate"/>
      </w:r>
      <w:r w:rsidR="00E5391B">
        <w:rPr>
          <w:color w:val="auto"/>
          <w:lang w:val="hr-HR"/>
        </w:rPr>
        <w:t>1.2.B</w:t>
      </w:r>
      <w:r w:rsidRPr="00653DCF">
        <w:rPr>
          <w:color w:val="auto"/>
          <w:lang w:val="hr-HR"/>
        </w:rPr>
        <w:fldChar w:fldCharType="end"/>
      </w:r>
      <w:r w:rsidRPr="00653DCF">
        <w:rPr>
          <w:color w:val="auto"/>
          <w:lang w:val="hr-HR"/>
        </w:rPr>
        <w:t>.</w:t>
      </w:r>
    </w:p>
    <w:p w14:paraId="2E75D6CF" w14:textId="7D05619C" w:rsidR="007A2A6F" w:rsidRPr="00653DCF" w:rsidRDefault="00E87B0B">
      <w:pPr>
        <w:rPr>
          <w:color w:val="auto"/>
          <w:lang w:val="hr-HR"/>
        </w:rPr>
      </w:pPr>
      <w:r w:rsidRPr="00653DCF">
        <w:rPr>
          <w:color w:val="auto"/>
          <w:lang w:val="hr-HR"/>
        </w:rPr>
        <w:br w:type="page"/>
      </w:r>
    </w:p>
    <w:p w14:paraId="789B4B2E" w14:textId="77B7A774" w:rsidR="007A2A6F" w:rsidRPr="00653DCF" w:rsidRDefault="003D033E" w:rsidP="007E69A4">
      <w:pPr>
        <w:pStyle w:val="Style7"/>
      </w:pPr>
      <w:bookmarkStart w:id="34" w:name="_Toc475441103"/>
      <w:bookmarkStart w:id="35" w:name="_Toc498018598"/>
      <w:bookmarkStart w:id="36" w:name="_Toc508120452"/>
      <w:bookmarkStart w:id="37" w:name="_Toc126080648"/>
      <w:bookmarkStart w:id="38" w:name="_Toc126080780"/>
      <w:bookmarkEnd w:id="34"/>
      <w:bookmarkEnd w:id="35"/>
      <w:bookmarkEnd w:id="36"/>
      <w:bookmarkEnd w:id="37"/>
      <w:bookmarkEnd w:id="38"/>
      <w:r>
        <w:lastRenderedPageBreak/>
        <w:t>ČLANAK 1</w:t>
      </w:r>
      <w:r w:rsidR="003C1F51">
        <w:t>.</w:t>
      </w:r>
    </w:p>
    <w:p w14:paraId="78A02A21" w14:textId="4C3C151D" w:rsidR="007A2A6F" w:rsidRPr="00653DCF" w:rsidRDefault="00E87B0B">
      <w:pPr>
        <w:pStyle w:val="ArticleTitleEIB"/>
        <w:rPr>
          <w:color w:val="auto"/>
          <w:lang w:val="hr-HR"/>
        </w:rPr>
      </w:pPr>
      <w:r w:rsidRPr="00653DCF">
        <w:rPr>
          <w:color w:val="auto"/>
          <w:lang w:val="hr-HR"/>
        </w:rPr>
        <w:t>Kredit i isplate</w:t>
      </w:r>
    </w:p>
    <w:p w14:paraId="337D2EF2" w14:textId="77777777" w:rsidR="007A2A6F" w:rsidRPr="00653DCF" w:rsidRDefault="00E87B0B" w:rsidP="00B73D6F">
      <w:pPr>
        <w:pStyle w:val="Heading2"/>
        <w:ind w:left="851"/>
        <w:rPr>
          <w:color w:val="auto"/>
          <w:lang w:val="hr-HR"/>
        </w:rPr>
      </w:pPr>
      <w:bookmarkStart w:id="39" w:name="_Ref426693193"/>
      <w:bookmarkStart w:id="40" w:name="_Toc475441104"/>
      <w:bookmarkStart w:id="41" w:name="_Toc498018599"/>
      <w:bookmarkStart w:id="42" w:name="_Toc508120453"/>
      <w:bookmarkStart w:id="43" w:name="_Toc126080649"/>
      <w:bookmarkStart w:id="44" w:name="_Toc126080781"/>
      <w:r w:rsidRPr="00653DCF">
        <w:rPr>
          <w:color w:val="auto"/>
          <w:lang w:val="hr-HR"/>
        </w:rPr>
        <w:t>Iznos kredita</w:t>
      </w:r>
      <w:bookmarkEnd w:id="39"/>
      <w:bookmarkEnd w:id="40"/>
      <w:bookmarkEnd w:id="41"/>
      <w:bookmarkEnd w:id="42"/>
      <w:bookmarkEnd w:id="43"/>
      <w:bookmarkEnd w:id="44"/>
    </w:p>
    <w:p w14:paraId="647ED699" w14:textId="2FB79463" w:rsidR="007A2A6F" w:rsidRPr="00653DCF" w:rsidRDefault="00E87B0B">
      <w:pPr>
        <w:rPr>
          <w:color w:val="auto"/>
          <w:lang w:val="hr-HR"/>
        </w:rPr>
      </w:pPr>
      <w:r w:rsidRPr="00653DCF">
        <w:rPr>
          <w:color w:val="auto"/>
          <w:lang w:val="hr-HR"/>
        </w:rPr>
        <w:t>Ovim Ugovorom Banka utvrđuje u korist Zajmoprimca, a Zajmoprimac prihvaća</w:t>
      </w:r>
      <w:r w:rsidR="00006693" w:rsidRPr="00653DCF">
        <w:rPr>
          <w:color w:val="auto"/>
          <w:lang w:val="hr-HR"/>
        </w:rPr>
        <w:t>,</w:t>
      </w:r>
      <w:r w:rsidRPr="00653DCF">
        <w:rPr>
          <w:color w:val="auto"/>
          <w:lang w:val="hr-HR"/>
        </w:rPr>
        <w:t xml:space="preserve"> kredit u iznosu od 400</w:t>
      </w:r>
      <w:r w:rsidR="009B15DF" w:rsidRPr="00653DCF">
        <w:rPr>
          <w:color w:val="auto"/>
          <w:lang w:val="hr-HR"/>
        </w:rPr>
        <w:t>.</w:t>
      </w:r>
      <w:r w:rsidRPr="00653DCF">
        <w:rPr>
          <w:color w:val="auto"/>
          <w:lang w:val="hr-HR"/>
        </w:rPr>
        <w:t>000</w:t>
      </w:r>
      <w:r w:rsidR="009B15DF" w:rsidRPr="00653DCF">
        <w:rPr>
          <w:color w:val="auto"/>
          <w:lang w:val="hr-HR"/>
        </w:rPr>
        <w:t>.</w:t>
      </w:r>
      <w:r w:rsidRPr="00653DCF">
        <w:rPr>
          <w:color w:val="auto"/>
          <w:lang w:val="hr-HR"/>
        </w:rPr>
        <w:t xml:space="preserve">000 EUR (četiri stotine milijuna eura) </w:t>
      </w:r>
      <w:r w:rsidR="00960940" w:rsidRPr="00653DCF">
        <w:rPr>
          <w:color w:val="auto"/>
          <w:lang w:val="hr-HR"/>
        </w:rPr>
        <w:t xml:space="preserve">u svrhu financiranja </w:t>
      </w:r>
      <w:r w:rsidR="00F763C2" w:rsidRPr="00653DCF">
        <w:rPr>
          <w:color w:val="auto"/>
          <w:lang w:val="hr-HR"/>
        </w:rPr>
        <w:t>P</w:t>
      </w:r>
      <w:r w:rsidR="00960940" w:rsidRPr="00653DCF">
        <w:rPr>
          <w:color w:val="auto"/>
          <w:lang w:val="hr-HR"/>
        </w:rPr>
        <w:t xml:space="preserve">rojekta </w:t>
      </w:r>
      <w:r w:rsidRPr="00653DCF">
        <w:rPr>
          <w:color w:val="auto"/>
          <w:lang w:val="hr-HR"/>
        </w:rPr>
        <w:t>(„</w:t>
      </w:r>
      <w:r w:rsidRPr="00653DCF">
        <w:rPr>
          <w:rStyle w:val="BoldEIB"/>
          <w:color w:val="auto"/>
          <w:lang w:val="hr-HR"/>
        </w:rPr>
        <w:t>kredit</w:t>
      </w:r>
      <w:r w:rsidRPr="00653DCF">
        <w:rPr>
          <w:color w:val="auto"/>
          <w:lang w:val="hr-HR"/>
        </w:rPr>
        <w:t>”).</w:t>
      </w:r>
    </w:p>
    <w:p w14:paraId="70FB9FDE" w14:textId="77777777" w:rsidR="007A2A6F" w:rsidRPr="00653DCF" w:rsidRDefault="00E87B0B" w:rsidP="00B73D6F">
      <w:pPr>
        <w:pStyle w:val="Heading2"/>
        <w:ind w:left="851"/>
        <w:rPr>
          <w:color w:val="auto"/>
          <w:lang w:val="hr-HR"/>
        </w:rPr>
      </w:pPr>
      <w:bookmarkStart w:id="45" w:name="_Ref426722606"/>
      <w:bookmarkStart w:id="46" w:name="_Ref426951249"/>
      <w:bookmarkStart w:id="47" w:name="_Ref426951605"/>
      <w:bookmarkStart w:id="48" w:name="_Ref426951992"/>
      <w:bookmarkStart w:id="49" w:name="_Toc475441105"/>
      <w:bookmarkStart w:id="50" w:name="_Toc498018600"/>
      <w:bookmarkStart w:id="51" w:name="_Toc508120454"/>
      <w:bookmarkStart w:id="52" w:name="_Toc126080650"/>
      <w:bookmarkStart w:id="53" w:name="_Toc126080782"/>
      <w:r w:rsidRPr="00653DCF">
        <w:rPr>
          <w:color w:val="auto"/>
          <w:lang w:val="hr-HR"/>
        </w:rPr>
        <w:t>Postupak isplate</w:t>
      </w:r>
      <w:bookmarkEnd w:id="45"/>
      <w:bookmarkEnd w:id="46"/>
      <w:bookmarkEnd w:id="47"/>
      <w:bookmarkEnd w:id="48"/>
      <w:bookmarkEnd w:id="49"/>
      <w:bookmarkEnd w:id="50"/>
      <w:bookmarkEnd w:id="51"/>
      <w:bookmarkEnd w:id="52"/>
      <w:bookmarkEnd w:id="53"/>
    </w:p>
    <w:p w14:paraId="00310442" w14:textId="77777777" w:rsidR="007A2A6F" w:rsidRPr="00653DCF" w:rsidRDefault="00E87B0B" w:rsidP="00B73D6F">
      <w:pPr>
        <w:pStyle w:val="Heading3"/>
        <w:ind w:left="851"/>
        <w:rPr>
          <w:color w:val="auto"/>
          <w:lang w:val="hr-HR"/>
        </w:rPr>
      </w:pPr>
      <w:bookmarkStart w:id="54" w:name="_Toc475441106"/>
      <w:bookmarkStart w:id="55" w:name="_Toc498018601"/>
      <w:bookmarkStart w:id="56" w:name="_Toc508120455"/>
      <w:bookmarkStart w:id="57" w:name="_Toc126080651"/>
      <w:bookmarkStart w:id="58" w:name="_Toc126080783"/>
      <w:r w:rsidRPr="00653DCF">
        <w:rPr>
          <w:color w:val="auto"/>
          <w:lang w:val="hr-HR"/>
        </w:rPr>
        <w:t>Tranše</w:t>
      </w:r>
      <w:bookmarkEnd w:id="54"/>
      <w:bookmarkEnd w:id="55"/>
      <w:bookmarkEnd w:id="56"/>
      <w:bookmarkEnd w:id="57"/>
      <w:bookmarkEnd w:id="58"/>
    </w:p>
    <w:p w14:paraId="737D0E26" w14:textId="5019E668" w:rsidR="007A2A6F" w:rsidRPr="00653DCF" w:rsidRDefault="00E87B0B">
      <w:pPr>
        <w:rPr>
          <w:color w:val="auto"/>
          <w:lang w:val="hr-HR"/>
        </w:rPr>
      </w:pPr>
      <w:r w:rsidRPr="00653DCF">
        <w:rPr>
          <w:color w:val="auto"/>
          <w:lang w:val="hr-HR"/>
        </w:rPr>
        <w:t>Banka</w:t>
      </w:r>
      <w:r w:rsidR="00960940" w:rsidRPr="00653DCF">
        <w:rPr>
          <w:color w:val="auto"/>
          <w:lang w:val="hr-HR"/>
        </w:rPr>
        <w:t xml:space="preserve"> će isplatiti </w:t>
      </w:r>
      <w:r w:rsidRPr="00653DCF">
        <w:rPr>
          <w:color w:val="auto"/>
          <w:lang w:val="hr-HR"/>
        </w:rPr>
        <w:t>kredit u najviše 10 (deset) tranš</w:t>
      </w:r>
      <w:r w:rsidR="00960940" w:rsidRPr="00653DCF">
        <w:rPr>
          <w:color w:val="auto"/>
          <w:lang w:val="hr-HR"/>
        </w:rPr>
        <w:t>i</w:t>
      </w:r>
      <w:r w:rsidRPr="00653DCF">
        <w:rPr>
          <w:color w:val="auto"/>
          <w:lang w:val="hr-HR"/>
        </w:rPr>
        <w:t xml:space="preserve">. Iznos svake tranše </w:t>
      </w:r>
      <w:r w:rsidR="00960940" w:rsidRPr="00653DCF">
        <w:rPr>
          <w:color w:val="auto"/>
          <w:lang w:val="hr-HR"/>
        </w:rPr>
        <w:t xml:space="preserve">bit će minimalno </w:t>
      </w:r>
      <w:r w:rsidRPr="00653DCF">
        <w:rPr>
          <w:color w:val="auto"/>
          <w:lang w:val="hr-HR"/>
        </w:rPr>
        <w:t>40</w:t>
      </w:r>
      <w:r w:rsidR="00960940" w:rsidRPr="00653DCF">
        <w:rPr>
          <w:color w:val="auto"/>
          <w:lang w:val="hr-HR"/>
        </w:rPr>
        <w:t>.</w:t>
      </w:r>
      <w:r w:rsidRPr="00653DCF">
        <w:rPr>
          <w:color w:val="auto"/>
          <w:lang w:val="hr-HR"/>
        </w:rPr>
        <w:t>000</w:t>
      </w:r>
      <w:r w:rsidR="00960940" w:rsidRPr="00653DCF">
        <w:rPr>
          <w:color w:val="auto"/>
          <w:lang w:val="hr-HR"/>
        </w:rPr>
        <w:t>.</w:t>
      </w:r>
      <w:r w:rsidRPr="00653DCF">
        <w:rPr>
          <w:color w:val="auto"/>
          <w:lang w:val="hr-HR"/>
        </w:rPr>
        <w:t xml:space="preserve">000 EUR (četrdeset milijuna eura) ili (ako je </w:t>
      </w:r>
      <w:r w:rsidR="00960940" w:rsidRPr="00653DCF">
        <w:rPr>
          <w:color w:val="auto"/>
          <w:lang w:val="hr-HR"/>
        </w:rPr>
        <w:t>manji</w:t>
      </w:r>
      <w:r w:rsidRPr="00653DCF">
        <w:rPr>
          <w:color w:val="auto"/>
          <w:lang w:val="hr-HR"/>
        </w:rPr>
        <w:t xml:space="preserve">) </w:t>
      </w:r>
      <w:r w:rsidR="0011709F" w:rsidRPr="00653DCF">
        <w:rPr>
          <w:color w:val="auto"/>
          <w:lang w:val="hr-HR"/>
        </w:rPr>
        <w:t xml:space="preserve">bit će </w:t>
      </w:r>
      <w:r w:rsidR="00DF381A" w:rsidRPr="00653DCF">
        <w:rPr>
          <w:color w:val="auto"/>
          <w:lang w:val="hr-HR"/>
        </w:rPr>
        <w:t>ukupni neiskorišteni iznos kredita</w:t>
      </w:r>
      <w:r w:rsidRPr="00653DCF">
        <w:rPr>
          <w:color w:val="auto"/>
          <w:lang w:val="hr-HR"/>
        </w:rPr>
        <w:t>.</w:t>
      </w:r>
    </w:p>
    <w:p w14:paraId="62ED857E" w14:textId="46F9AB4E" w:rsidR="00D271DE" w:rsidRPr="00653DCF" w:rsidRDefault="00441135">
      <w:pPr>
        <w:rPr>
          <w:color w:val="auto"/>
          <w:lang w:val="hr-HR"/>
        </w:rPr>
      </w:pPr>
      <w:r w:rsidRPr="00653DCF">
        <w:rPr>
          <w:color w:val="auto"/>
          <w:lang w:val="hr-HR"/>
        </w:rPr>
        <w:t xml:space="preserve">Iznos prve tranše neće </w:t>
      </w:r>
      <w:r w:rsidR="0011709F" w:rsidRPr="00653DCF">
        <w:rPr>
          <w:color w:val="auto"/>
          <w:lang w:val="hr-HR"/>
        </w:rPr>
        <w:t xml:space="preserve">prelaziti </w:t>
      </w:r>
      <w:r w:rsidR="002F5029" w:rsidRPr="00653DCF">
        <w:rPr>
          <w:color w:val="auto"/>
          <w:lang w:val="hr-HR"/>
        </w:rPr>
        <w:t>270.000.000 EUR (dvije stotine i sedamdeset milijuna eura).</w:t>
      </w:r>
    </w:p>
    <w:p w14:paraId="67240B20" w14:textId="77777777" w:rsidR="007A2A6F" w:rsidRPr="00653DCF" w:rsidRDefault="00E87B0B" w:rsidP="00B73D6F">
      <w:pPr>
        <w:pStyle w:val="Heading3"/>
        <w:ind w:left="851"/>
        <w:rPr>
          <w:color w:val="auto"/>
          <w:lang w:val="hr-HR"/>
        </w:rPr>
      </w:pPr>
      <w:bookmarkStart w:id="59" w:name="_Toc440722156"/>
      <w:bookmarkStart w:id="60" w:name="_Toc440722348"/>
      <w:bookmarkStart w:id="61" w:name="_Toc440722538"/>
      <w:bookmarkStart w:id="62" w:name="_Toc440894414"/>
      <w:bookmarkStart w:id="63" w:name="_Ref426638944"/>
      <w:bookmarkStart w:id="64" w:name="_Toc475441107"/>
      <w:bookmarkStart w:id="65" w:name="_Toc498018602"/>
      <w:bookmarkStart w:id="66" w:name="_Toc508120460"/>
      <w:bookmarkStart w:id="67" w:name="_Toc126080652"/>
      <w:bookmarkStart w:id="68" w:name="_Toc126080784"/>
      <w:bookmarkEnd w:id="59"/>
      <w:bookmarkEnd w:id="60"/>
      <w:bookmarkEnd w:id="61"/>
      <w:bookmarkEnd w:id="62"/>
      <w:r w:rsidRPr="00653DCF">
        <w:rPr>
          <w:color w:val="auto"/>
          <w:lang w:val="hr-HR"/>
        </w:rPr>
        <w:t>Zahtjev za isplatu</w:t>
      </w:r>
      <w:bookmarkEnd w:id="63"/>
      <w:bookmarkEnd w:id="64"/>
      <w:bookmarkEnd w:id="65"/>
      <w:bookmarkEnd w:id="66"/>
      <w:bookmarkEnd w:id="67"/>
      <w:bookmarkEnd w:id="68"/>
    </w:p>
    <w:p w14:paraId="6CCBAE81" w14:textId="05B2F80A" w:rsidR="007A2A6F" w:rsidRPr="00653DCF" w:rsidRDefault="00E87B0B">
      <w:pPr>
        <w:pStyle w:val="NoIndentEIB"/>
        <w:numPr>
          <w:ilvl w:val="0"/>
          <w:numId w:val="14"/>
        </w:numPr>
        <w:rPr>
          <w:color w:val="auto"/>
          <w:lang w:val="hr-HR"/>
        </w:rPr>
      </w:pPr>
      <w:r w:rsidRPr="00653DCF">
        <w:rPr>
          <w:color w:val="auto"/>
          <w:lang w:val="hr-HR"/>
        </w:rPr>
        <w:t xml:space="preserve">Zajmoprimac može Banci podnijeti zahtjev za isplatu tranše, </w:t>
      </w:r>
      <w:r w:rsidR="007220DE" w:rsidRPr="00653DCF">
        <w:rPr>
          <w:color w:val="auto"/>
          <w:lang w:val="hr-HR"/>
        </w:rPr>
        <w:t xml:space="preserve">a takav </w:t>
      </w:r>
      <w:r w:rsidRPr="00653DCF">
        <w:rPr>
          <w:color w:val="auto"/>
          <w:lang w:val="hr-HR"/>
        </w:rPr>
        <w:t xml:space="preserve">zahtjev za isplatu treba </w:t>
      </w:r>
      <w:r w:rsidR="007220DE" w:rsidRPr="00653DCF">
        <w:rPr>
          <w:color w:val="auto"/>
          <w:lang w:val="hr-HR"/>
        </w:rPr>
        <w:t xml:space="preserve">biti zaprimljen </w:t>
      </w:r>
      <w:r w:rsidRPr="00653DCF">
        <w:rPr>
          <w:color w:val="auto"/>
          <w:lang w:val="hr-HR"/>
        </w:rPr>
        <w:t xml:space="preserve">najkasnije 15 (petnaest) dana prije </w:t>
      </w:r>
      <w:r w:rsidR="007220DE" w:rsidRPr="00653DCF">
        <w:rPr>
          <w:color w:val="auto"/>
          <w:lang w:val="hr-HR"/>
        </w:rPr>
        <w:t>roka raspoloživosti sredstava</w:t>
      </w:r>
      <w:r w:rsidRPr="00653DCF">
        <w:rPr>
          <w:color w:val="auto"/>
          <w:lang w:val="hr-HR"/>
        </w:rPr>
        <w:t xml:space="preserve">. Zahtjev za isplatu mora biti u obliku utvrđenom u </w:t>
      </w:r>
      <w:r w:rsidR="00A01CB6" w:rsidRPr="00653DCF">
        <w:rPr>
          <w:color w:val="auto"/>
          <w:lang w:val="hr-HR"/>
        </w:rPr>
        <w:t>Prilogu C</w:t>
      </w:r>
      <w:r w:rsidRPr="00653DCF">
        <w:rPr>
          <w:color w:val="auto"/>
          <w:lang w:val="hr-HR"/>
        </w:rPr>
        <w:t xml:space="preserve"> i u njemu </w:t>
      </w:r>
      <w:r w:rsidR="008D46DB" w:rsidRPr="00653DCF">
        <w:rPr>
          <w:color w:val="auto"/>
          <w:lang w:val="hr-HR"/>
        </w:rPr>
        <w:t>mora biti navedeno</w:t>
      </w:r>
      <w:r w:rsidR="00794C5C" w:rsidRPr="00653DCF">
        <w:rPr>
          <w:color w:val="auto"/>
          <w:lang w:val="hr-HR"/>
        </w:rPr>
        <w:t xml:space="preserve"> sljedeće</w:t>
      </w:r>
      <w:r w:rsidRPr="00653DCF">
        <w:rPr>
          <w:color w:val="auto"/>
          <w:lang w:val="hr-HR"/>
        </w:rPr>
        <w:t xml:space="preserve">: </w:t>
      </w:r>
    </w:p>
    <w:p w14:paraId="5CF26992" w14:textId="633167F9" w:rsidR="007A2A6F" w:rsidRPr="00653DCF" w:rsidRDefault="00E87B0B">
      <w:pPr>
        <w:pStyle w:val="NoIndentEIB"/>
        <w:numPr>
          <w:ilvl w:val="1"/>
          <w:numId w:val="14"/>
        </w:numPr>
        <w:rPr>
          <w:color w:val="auto"/>
          <w:lang w:val="hr-HR"/>
        </w:rPr>
      </w:pPr>
      <w:r w:rsidRPr="00653DCF">
        <w:rPr>
          <w:color w:val="auto"/>
          <w:lang w:val="hr-HR"/>
        </w:rPr>
        <w:t>iznos i valuta tranše;</w:t>
      </w:r>
    </w:p>
    <w:p w14:paraId="5AC8F6A8" w14:textId="757DE3AB" w:rsidR="007A2A6F" w:rsidRPr="00653DCF" w:rsidRDefault="00B702F7">
      <w:pPr>
        <w:pStyle w:val="NoIndentEIB"/>
        <w:numPr>
          <w:ilvl w:val="1"/>
          <w:numId w:val="14"/>
        </w:numPr>
        <w:rPr>
          <w:color w:val="auto"/>
          <w:lang w:val="hr-HR"/>
        </w:rPr>
      </w:pPr>
      <w:r w:rsidRPr="00653DCF">
        <w:rPr>
          <w:color w:val="auto"/>
          <w:lang w:val="hr-HR"/>
        </w:rPr>
        <w:t xml:space="preserve">preferirani </w:t>
      </w:r>
      <w:r w:rsidR="00E87B0B" w:rsidRPr="00653DCF">
        <w:rPr>
          <w:color w:val="auto"/>
          <w:lang w:val="hr-HR"/>
        </w:rPr>
        <w:t xml:space="preserve">datum isplate </w:t>
      </w:r>
      <w:r w:rsidR="00CA6441" w:rsidRPr="00653DCF">
        <w:rPr>
          <w:color w:val="auto"/>
          <w:lang w:val="hr-HR"/>
        </w:rPr>
        <w:t>za tranšu</w:t>
      </w:r>
      <w:r w:rsidR="00E87B0B" w:rsidRPr="00653DCF">
        <w:rPr>
          <w:color w:val="auto"/>
          <w:lang w:val="hr-HR"/>
        </w:rPr>
        <w:t xml:space="preserve">; </w:t>
      </w:r>
      <w:r w:rsidR="00CA6441" w:rsidRPr="00653DCF">
        <w:rPr>
          <w:color w:val="auto"/>
          <w:lang w:val="hr-HR"/>
        </w:rPr>
        <w:t xml:space="preserve">a </w:t>
      </w:r>
      <w:r w:rsidR="00E87B0B" w:rsidRPr="00653DCF">
        <w:rPr>
          <w:color w:val="auto"/>
          <w:lang w:val="hr-HR"/>
        </w:rPr>
        <w:t>takav preferirani datum isplate mora biti relevantan radni dan koji pada najmanje 15 (petnaest) dana nakon datuma zahtjeva za isplatu</w:t>
      </w:r>
      <w:r w:rsidR="001B30D1" w:rsidRPr="00653DCF">
        <w:rPr>
          <w:color w:val="auto"/>
          <w:lang w:val="hr-HR"/>
        </w:rPr>
        <w:t xml:space="preserve">, a svakako na </w:t>
      </w:r>
      <w:r w:rsidR="00CA6441" w:rsidRPr="00653DCF">
        <w:rPr>
          <w:color w:val="auto"/>
          <w:lang w:val="hr-HR"/>
        </w:rPr>
        <w:t>ili prije roka raspoloživosti sredstava</w:t>
      </w:r>
      <w:r w:rsidR="00E87B0B" w:rsidRPr="00653DCF">
        <w:rPr>
          <w:color w:val="auto"/>
          <w:lang w:val="hr-HR"/>
        </w:rPr>
        <w:t xml:space="preserve">. </w:t>
      </w:r>
      <w:r w:rsidR="00CA6441" w:rsidRPr="00653DCF">
        <w:rPr>
          <w:color w:val="auto"/>
          <w:lang w:val="hr-HR"/>
        </w:rPr>
        <w:t xml:space="preserve">Pri tome se </w:t>
      </w:r>
      <w:r w:rsidR="00244EFE" w:rsidRPr="00653DCF">
        <w:rPr>
          <w:color w:val="auto"/>
          <w:lang w:val="hr-HR"/>
        </w:rPr>
        <w:t>podrazumijeva</w:t>
      </w:r>
      <w:r w:rsidR="00CA6441" w:rsidRPr="00653DCF">
        <w:rPr>
          <w:color w:val="auto"/>
          <w:lang w:val="hr-HR"/>
        </w:rPr>
        <w:t xml:space="preserve"> da</w:t>
      </w:r>
      <w:r w:rsidR="00E87B0B" w:rsidRPr="00653DCF">
        <w:rPr>
          <w:color w:val="auto"/>
          <w:lang w:val="hr-HR"/>
        </w:rPr>
        <w:t xml:space="preserve">, </w:t>
      </w:r>
      <w:r w:rsidR="00CA6441" w:rsidRPr="00653DCF">
        <w:rPr>
          <w:color w:val="auto"/>
          <w:lang w:val="hr-HR"/>
        </w:rPr>
        <w:t xml:space="preserve">neovisno o roku raspoloživosti sredstava, </w:t>
      </w:r>
      <w:r w:rsidR="00E87B0B" w:rsidRPr="00653DCF">
        <w:rPr>
          <w:color w:val="auto"/>
          <w:lang w:val="hr-HR"/>
        </w:rPr>
        <w:t xml:space="preserve">Banka može odrediti datum isplate </w:t>
      </w:r>
      <w:r w:rsidR="00CA6441" w:rsidRPr="00653DCF">
        <w:rPr>
          <w:color w:val="auto"/>
          <w:lang w:val="hr-HR"/>
        </w:rPr>
        <w:t>za</w:t>
      </w:r>
      <w:r w:rsidR="00970CF9" w:rsidRPr="00653DCF">
        <w:rPr>
          <w:color w:val="auto"/>
          <w:lang w:val="hr-HR"/>
        </w:rPr>
        <w:t xml:space="preserve"> tu</w:t>
      </w:r>
      <w:r w:rsidR="00CA6441" w:rsidRPr="00653DCF">
        <w:rPr>
          <w:color w:val="auto"/>
          <w:lang w:val="hr-HR"/>
        </w:rPr>
        <w:t xml:space="preserve"> tranšu </w:t>
      </w:r>
      <w:r w:rsidR="007969F5" w:rsidRPr="00653DCF">
        <w:rPr>
          <w:color w:val="auto"/>
          <w:lang w:val="hr-HR"/>
        </w:rPr>
        <w:t xml:space="preserve">na datum koji pada </w:t>
      </w:r>
      <w:r w:rsidR="003D502B" w:rsidRPr="00653DCF">
        <w:rPr>
          <w:color w:val="auto"/>
          <w:lang w:val="hr-HR"/>
        </w:rPr>
        <w:t xml:space="preserve">najkasnije u roku od 4 </w:t>
      </w:r>
      <w:r w:rsidR="00E87B0B" w:rsidRPr="00653DCF">
        <w:rPr>
          <w:color w:val="auto"/>
          <w:lang w:val="hr-HR"/>
        </w:rPr>
        <w:t>(četiri) mjeseca od datuma zahtjeva za isplatu;</w:t>
      </w:r>
    </w:p>
    <w:p w14:paraId="6AAB6518" w14:textId="76D0ACE9" w:rsidR="007A2A6F" w:rsidRPr="00653DCF" w:rsidRDefault="00056D02">
      <w:pPr>
        <w:pStyle w:val="NoIndentEIB"/>
        <w:numPr>
          <w:ilvl w:val="1"/>
          <w:numId w:val="14"/>
        </w:numPr>
        <w:rPr>
          <w:color w:val="auto"/>
          <w:lang w:val="hr-HR"/>
        </w:rPr>
      </w:pPr>
      <w:r w:rsidRPr="00653DCF">
        <w:rPr>
          <w:color w:val="auto"/>
          <w:lang w:val="hr-HR"/>
        </w:rPr>
        <w:t xml:space="preserve">radi li se o tranši s </w:t>
      </w:r>
      <w:r w:rsidR="00E87B0B" w:rsidRPr="00653DCF">
        <w:rPr>
          <w:color w:val="auto"/>
          <w:lang w:val="hr-HR"/>
        </w:rPr>
        <w:t>fiksnom stopom ili tranš</w:t>
      </w:r>
      <w:r w:rsidR="00CF2F79" w:rsidRPr="00653DCF">
        <w:rPr>
          <w:color w:val="auto"/>
          <w:lang w:val="hr-HR"/>
        </w:rPr>
        <w:t>i</w:t>
      </w:r>
      <w:r w:rsidR="00E87B0B" w:rsidRPr="00653DCF">
        <w:rPr>
          <w:color w:val="auto"/>
          <w:lang w:val="hr-HR"/>
        </w:rPr>
        <w:t xml:space="preserve"> s </w:t>
      </w:r>
      <w:r w:rsidRPr="00653DCF">
        <w:rPr>
          <w:color w:val="auto"/>
          <w:lang w:val="hr-HR"/>
        </w:rPr>
        <w:t xml:space="preserve">promjenjivom kamatnom stopom, pri čemu </w:t>
      </w:r>
      <w:r w:rsidR="00D60D50" w:rsidRPr="00653DCF">
        <w:rPr>
          <w:color w:val="auto"/>
          <w:lang w:val="hr-HR"/>
        </w:rPr>
        <w:t xml:space="preserve">obje moraju biti </w:t>
      </w:r>
      <w:r w:rsidRPr="00653DCF">
        <w:rPr>
          <w:color w:val="auto"/>
          <w:lang w:val="hr-HR"/>
        </w:rPr>
        <w:t xml:space="preserve">u skladu s relevantnim odredbama članka </w:t>
      </w:r>
      <w:r w:rsidR="00E87B0B" w:rsidRPr="00653DCF">
        <w:rPr>
          <w:color w:val="auto"/>
          <w:lang w:val="hr-HR"/>
        </w:rPr>
        <w:fldChar w:fldCharType="begin"/>
      </w:r>
      <w:r w:rsidR="00E87B0B" w:rsidRPr="00653DCF">
        <w:rPr>
          <w:color w:val="auto"/>
          <w:lang w:val="hr-HR"/>
        </w:rPr>
        <w:instrText xml:space="preserve"> REF _Ref426639513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3</w:t>
      </w:r>
      <w:r w:rsidR="00E87B0B" w:rsidRPr="00653DCF">
        <w:rPr>
          <w:color w:val="auto"/>
          <w:lang w:val="hr-HR"/>
        </w:rPr>
        <w:fldChar w:fldCharType="end"/>
      </w:r>
      <w:r w:rsidR="004262AA" w:rsidRPr="00653DCF">
        <w:rPr>
          <w:color w:val="auto"/>
          <w:lang w:val="hr-HR"/>
        </w:rPr>
        <w:t>.</w:t>
      </w:r>
      <w:r w:rsidR="00E87B0B" w:rsidRPr="00653DCF">
        <w:rPr>
          <w:color w:val="auto"/>
          <w:lang w:val="hr-HR"/>
        </w:rPr>
        <w:t>;</w:t>
      </w:r>
    </w:p>
    <w:p w14:paraId="4C52304C" w14:textId="41980D72" w:rsidR="007A2A6F" w:rsidRPr="00653DCF" w:rsidRDefault="00B702F7">
      <w:pPr>
        <w:pStyle w:val="NoIndentEIB"/>
        <w:numPr>
          <w:ilvl w:val="1"/>
          <w:numId w:val="14"/>
        </w:numPr>
        <w:rPr>
          <w:color w:val="auto"/>
          <w:lang w:val="hr-HR"/>
        </w:rPr>
      </w:pPr>
      <w:r w:rsidRPr="00653DCF">
        <w:rPr>
          <w:color w:val="auto"/>
          <w:lang w:val="hr-HR"/>
        </w:rPr>
        <w:t>preferiran</w:t>
      </w:r>
      <w:r w:rsidR="00287209" w:rsidRPr="00653DCF">
        <w:rPr>
          <w:color w:val="auto"/>
          <w:lang w:val="hr-HR"/>
        </w:rPr>
        <w:t>a</w:t>
      </w:r>
      <w:r w:rsidRPr="00653DCF">
        <w:rPr>
          <w:color w:val="auto"/>
          <w:lang w:val="hr-HR"/>
        </w:rPr>
        <w:t xml:space="preserve"> </w:t>
      </w:r>
      <w:r w:rsidR="00F576A3" w:rsidRPr="00653DCF">
        <w:rPr>
          <w:color w:val="auto"/>
          <w:lang w:val="hr-HR"/>
        </w:rPr>
        <w:t>dinamik</w:t>
      </w:r>
      <w:r w:rsidR="002B53CE" w:rsidRPr="00653DCF">
        <w:rPr>
          <w:color w:val="auto"/>
          <w:lang w:val="hr-HR"/>
        </w:rPr>
        <w:t>a</w:t>
      </w:r>
      <w:r w:rsidR="00F576A3" w:rsidRPr="00653DCF">
        <w:rPr>
          <w:color w:val="auto"/>
          <w:lang w:val="hr-HR"/>
        </w:rPr>
        <w:t xml:space="preserve"> </w:t>
      </w:r>
      <w:r w:rsidR="00CF2F79" w:rsidRPr="00653DCF">
        <w:rPr>
          <w:color w:val="auto"/>
          <w:lang w:val="hr-HR"/>
        </w:rPr>
        <w:t>otplate</w:t>
      </w:r>
      <w:r w:rsidR="00E87B0B" w:rsidRPr="00653DCF">
        <w:rPr>
          <w:color w:val="auto"/>
          <w:lang w:val="hr-HR"/>
        </w:rPr>
        <w:t xml:space="preserve"> kamata za tranšu, odabran</w:t>
      </w:r>
      <w:r w:rsidR="00D60D50" w:rsidRPr="00653DCF">
        <w:rPr>
          <w:color w:val="auto"/>
          <w:lang w:val="hr-HR"/>
        </w:rPr>
        <w:t>a</w:t>
      </w:r>
      <w:r w:rsidR="00E87B0B" w:rsidRPr="00653DCF">
        <w:rPr>
          <w:color w:val="auto"/>
          <w:lang w:val="hr-HR"/>
        </w:rPr>
        <w:t xml:space="preserve"> u skladu s člankom</w:t>
      </w:r>
      <w:r w:rsidR="00287209"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_Ref426639513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3</w:t>
      </w:r>
      <w:r w:rsidR="00E87B0B" w:rsidRPr="00653DCF">
        <w:rPr>
          <w:color w:val="auto"/>
          <w:lang w:val="hr-HR"/>
        </w:rPr>
        <w:fldChar w:fldCharType="end"/>
      </w:r>
      <w:r w:rsidR="004262AA" w:rsidRPr="00653DCF">
        <w:rPr>
          <w:color w:val="auto"/>
          <w:lang w:val="hr-HR"/>
        </w:rPr>
        <w:t>.</w:t>
      </w:r>
      <w:r w:rsidR="00E87B0B" w:rsidRPr="00653DCF">
        <w:rPr>
          <w:color w:val="auto"/>
          <w:lang w:val="hr-HR"/>
        </w:rPr>
        <w:t>;</w:t>
      </w:r>
    </w:p>
    <w:p w14:paraId="0813A0A4" w14:textId="5C152FA7" w:rsidR="007A2A6F" w:rsidRPr="00653DCF" w:rsidRDefault="00E87B0B">
      <w:pPr>
        <w:pStyle w:val="NoIndentEIB"/>
        <w:numPr>
          <w:ilvl w:val="1"/>
          <w:numId w:val="14"/>
        </w:numPr>
        <w:rPr>
          <w:color w:val="auto"/>
          <w:lang w:val="hr-HR"/>
        </w:rPr>
      </w:pPr>
      <w:r w:rsidRPr="00653DCF">
        <w:rPr>
          <w:color w:val="auto"/>
          <w:lang w:val="hr-HR"/>
        </w:rPr>
        <w:t>preferiran</w:t>
      </w:r>
      <w:r w:rsidR="00287209" w:rsidRPr="00653DCF">
        <w:rPr>
          <w:color w:val="auto"/>
          <w:lang w:val="hr-HR"/>
        </w:rPr>
        <w:t>i</w:t>
      </w:r>
      <w:r w:rsidRPr="00653DCF">
        <w:rPr>
          <w:color w:val="auto"/>
          <w:lang w:val="hr-HR"/>
        </w:rPr>
        <w:t xml:space="preserve"> uvjet</w:t>
      </w:r>
      <w:r w:rsidR="00D60D50" w:rsidRPr="00653DCF">
        <w:rPr>
          <w:color w:val="auto"/>
          <w:lang w:val="hr-HR"/>
        </w:rPr>
        <w:t>i</w:t>
      </w:r>
      <w:r w:rsidRPr="00653DCF">
        <w:rPr>
          <w:color w:val="auto"/>
          <w:lang w:val="hr-HR"/>
        </w:rPr>
        <w:t xml:space="preserve"> </w:t>
      </w:r>
      <w:r w:rsidR="002B53CE" w:rsidRPr="00653DCF">
        <w:rPr>
          <w:color w:val="auto"/>
          <w:lang w:val="hr-HR"/>
        </w:rPr>
        <w:t xml:space="preserve">otplate </w:t>
      </w:r>
      <w:r w:rsidRPr="00653DCF">
        <w:rPr>
          <w:color w:val="auto"/>
          <w:lang w:val="hr-HR"/>
        </w:rPr>
        <w:t>glavnice za tranšu, odabran</w:t>
      </w:r>
      <w:r w:rsidR="00D60D50" w:rsidRPr="00653DCF">
        <w:rPr>
          <w:color w:val="auto"/>
          <w:lang w:val="hr-HR"/>
        </w:rPr>
        <w:t>i</w:t>
      </w:r>
      <w:r w:rsidRPr="00653DCF">
        <w:rPr>
          <w:color w:val="auto"/>
          <w:lang w:val="hr-HR"/>
        </w:rPr>
        <w:t xml:space="preserve"> u skladu s člankom</w:t>
      </w:r>
      <w:r w:rsidR="006D51FF" w:rsidRPr="00653DCF">
        <w:rPr>
          <w:color w:val="auto"/>
          <w:lang w:val="hr-HR"/>
        </w:rPr>
        <w:t xml:space="preserve"> </w:t>
      </w:r>
      <w:r w:rsidRPr="00653DCF">
        <w:rPr>
          <w:color w:val="auto"/>
          <w:lang w:val="hr-HR"/>
        </w:rPr>
        <w:fldChar w:fldCharType="begin"/>
      </w:r>
      <w:r w:rsidRPr="00653DCF">
        <w:rPr>
          <w:color w:val="auto"/>
          <w:lang w:val="hr-HR"/>
        </w:rPr>
        <w:instrText xml:space="preserve"> REF _Ref426722492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članak 4</w:t>
      </w:r>
      <w:r w:rsidRPr="00653DCF">
        <w:rPr>
          <w:color w:val="auto"/>
          <w:lang w:val="hr-HR"/>
        </w:rPr>
        <w:fldChar w:fldCharType="end"/>
      </w:r>
      <w:r w:rsidR="004262AA" w:rsidRPr="00653DCF">
        <w:rPr>
          <w:color w:val="auto"/>
          <w:lang w:val="hr-HR"/>
        </w:rPr>
        <w:t>.</w:t>
      </w:r>
      <w:r w:rsidRPr="00653DCF">
        <w:rPr>
          <w:color w:val="auto"/>
          <w:lang w:val="hr-HR"/>
        </w:rPr>
        <w:t>;</w:t>
      </w:r>
    </w:p>
    <w:p w14:paraId="74065C90" w14:textId="3277CB9E" w:rsidR="007A2A6F" w:rsidRPr="00653DCF" w:rsidRDefault="00F52794">
      <w:pPr>
        <w:pStyle w:val="NoIndentEIB"/>
        <w:numPr>
          <w:ilvl w:val="1"/>
          <w:numId w:val="14"/>
        </w:numPr>
        <w:rPr>
          <w:color w:val="auto"/>
          <w:lang w:val="hr-HR"/>
        </w:rPr>
      </w:pPr>
      <w:r w:rsidRPr="00653DCF">
        <w:rPr>
          <w:color w:val="auto"/>
          <w:lang w:val="hr-HR"/>
        </w:rPr>
        <w:t xml:space="preserve">preferirani </w:t>
      </w:r>
      <w:r w:rsidR="00E87B0B" w:rsidRPr="00653DCF">
        <w:rPr>
          <w:color w:val="auto"/>
          <w:lang w:val="hr-HR"/>
        </w:rPr>
        <w:t xml:space="preserve">prvi i posljednji datum otplate glavnice za tranšu; </w:t>
      </w:r>
    </w:p>
    <w:p w14:paraId="3319E7DD" w14:textId="39583607" w:rsidR="007A2A6F" w:rsidRPr="00653DCF" w:rsidRDefault="00F52794">
      <w:pPr>
        <w:pStyle w:val="NoIndentEIB"/>
        <w:numPr>
          <w:ilvl w:val="1"/>
          <w:numId w:val="14"/>
        </w:numPr>
        <w:rPr>
          <w:color w:val="auto"/>
          <w:lang w:val="hr-HR"/>
        </w:rPr>
      </w:pPr>
      <w:r w:rsidRPr="00653DCF">
        <w:rPr>
          <w:color w:val="auto"/>
          <w:lang w:val="hr-HR"/>
        </w:rPr>
        <w:t xml:space="preserve">Zajmoprimčev </w:t>
      </w:r>
      <w:r w:rsidR="00E87B0B" w:rsidRPr="00653DCF">
        <w:rPr>
          <w:color w:val="auto"/>
          <w:lang w:val="hr-HR"/>
        </w:rPr>
        <w:t xml:space="preserve">izbor datuma revizije/konverzije </w:t>
      </w:r>
      <w:r w:rsidRPr="00653DCF">
        <w:rPr>
          <w:color w:val="auto"/>
          <w:lang w:val="hr-HR"/>
        </w:rPr>
        <w:t>kamatne stope</w:t>
      </w:r>
      <w:r w:rsidR="00E87B0B" w:rsidRPr="00653DCF">
        <w:rPr>
          <w:color w:val="auto"/>
          <w:lang w:val="hr-HR"/>
        </w:rPr>
        <w:t xml:space="preserve">, ako </w:t>
      </w:r>
      <w:r w:rsidRPr="00653DCF">
        <w:rPr>
          <w:color w:val="auto"/>
          <w:lang w:val="hr-HR"/>
        </w:rPr>
        <w:t xml:space="preserve">takav </w:t>
      </w:r>
      <w:r w:rsidR="00E87B0B" w:rsidRPr="00653DCF">
        <w:rPr>
          <w:color w:val="auto"/>
          <w:lang w:val="hr-HR"/>
        </w:rPr>
        <w:t xml:space="preserve">postoji, za </w:t>
      </w:r>
      <w:r w:rsidR="00051D99" w:rsidRPr="00653DCF">
        <w:rPr>
          <w:color w:val="auto"/>
          <w:lang w:val="hr-HR"/>
        </w:rPr>
        <w:t xml:space="preserve">tu </w:t>
      </w:r>
      <w:r w:rsidR="00E87B0B" w:rsidRPr="00653DCF">
        <w:rPr>
          <w:color w:val="auto"/>
          <w:lang w:val="hr-HR"/>
        </w:rPr>
        <w:t>tranšu; i</w:t>
      </w:r>
    </w:p>
    <w:p w14:paraId="03E0E42D" w14:textId="1C34D44D" w:rsidR="007A2A6F" w:rsidRPr="00653DCF" w:rsidRDefault="00E87B0B">
      <w:pPr>
        <w:pStyle w:val="NoIndentEIB"/>
        <w:numPr>
          <w:ilvl w:val="1"/>
          <w:numId w:val="14"/>
        </w:numPr>
        <w:rPr>
          <w:color w:val="auto"/>
          <w:lang w:val="hr-HR"/>
        </w:rPr>
      </w:pPr>
      <w:r w:rsidRPr="00653DCF">
        <w:rPr>
          <w:color w:val="auto"/>
          <w:lang w:val="hr-HR"/>
        </w:rPr>
        <w:t xml:space="preserve">račun za isplatu na koji </w:t>
      </w:r>
      <w:r w:rsidR="00982614" w:rsidRPr="00653DCF">
        <w:rPr>
          <w:color w:val="auto"/>
          <w:lang w:val="hr-HR"/>
        </w:rPr>
        <w:t xml:space="preserve">treba izvršiti </w:t>
      </w:r>
      <w:r w:rsidRPr="00653DCF">
        <w:rPr>
          <w:color w:val="auto"/>
          <w:lang w:val="hr-HR"/>
        </w:rPr>
        <w:t>isplatu tranše u skladu s člankom</w:t>
      </w:r>
      <w:r w:rsidR="00982614" w:rsidRPr="00653DCF">
        <w:rPr>
          <w:color w:val="auto"/>
          <w:lang w:val="hr-HR"/>
        </w:rPr>
        <w:t xml:space="preserve"> </w:t>
      </w:r>
      <w:r w:rsidRPr="00653DCF">
        <w:rPr>
          <w:color w:val="auto"/>
          <w:lang w:val="hr-HR"/>
        </w:rPr>
        <w:fldChar w:fldCharType="begin"/>
      </w:r>
      <w:r w:rsidRPr="00653DCF">
        <w:rPr>
          <w:color w:val="auto"/>
          <w:lang w:val="hr-HR"/>
        </w:rPr>
        <w:instrText xml:space="preserve"> REF _Ref487495131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1.2.D</w:t>
      </w:r>
      <w:r w:rsidRPr="00653DCF">
        <w:rPr>
          <w:color w:val="auto"/>
          <w:lang w:val="hr-HR"/>
        </w:rPr>
        <w:fldChar w:fldCharType="end"/>
      </w:r>
      <w:r w:rsidRPr="00653DCF">
        <w:rPr>
          <w:color w:val="auto"/>
          <w:lang w:val="hr-HR"/>
        </w:rPr>
        <w:t>.</w:t>
      </w:r>
    </w:p>
    <w:p w14:paraId="659E527C" w14:textId="75774486" w:rsidR="007A2A6F" w:rsidRPr="00653DCF" w:rsidRDefault="00E87B0B">
      <w:pPr>
        <w:pStyle w:val="NoIndentEIB"/>
        <w:numPr>
          <w:ilvl w:val="0"/>
          <w:numId w:val="14"/>
        </w:numPr>
        <w:rPr>
          <w:color w:val="auto"/>
          <w:lang w:val="hr-HR"/>
        </w:rPr>
      </w:pPr>
      <w:bookmarkStart w:id="69" w:name="_Ref426722798"/>
      <w:r w:rsidRPr="00653DCF">
        <w:rPr>
          <w:color w:val="auto"/>
          <w:lang w:val="hr-HR"/>
        </w:rPr>
        <w:lastRenderedPageBreak/>
        <w:t>Ako je Banka, nakon zahtjeva Zajmoprimca</w:t>
      </w:r>
      <w:r w:rsidR="00982614" w:rsidRPr="00653DCF">
        <w:rPr>
          <w:color w:val="auto"/>
          <w:lang w:val="hr-HR"/>
        </w:rPr>
        <w:t xml:space="preserve">, a </w:t>
      </w:r>
      <w:r w:rsidRPr="00653DCF">
        <w:rPr>
          <w:color w:val="auto"/>
          <w:lang w:val="hr-HR"/>
        </w:rPr>
        <w:t xml:space="preserve">prije podnošenja zahtjeva za isplatu, </w:t>
      </w:r>
      <w:r w:rsidR="00D707DB" w:rsidRPr="00653DCF">
        <w:rPr>
          <w:color w:val="auto"/>
          <w:lang w:val="hr-HR"/>
        </w:rPr>
        <w:t xml:space="preserve">Zajmoprimcu dala neobvezujuću ponudu fiksne kamatne stope ili kamatne marže </w:t>
      </w:r>
      <w:r w:rsidRPr="00653DCF">
        <w:rPr>
          <w:color w:val="auto"/>
          <w:lang w:val="hr-HR"/>
        </w:rPr>
        <w:t xml:space="preserve">koja </w:t>
      </w:r>
      <w:r w:rsidR="00D707DB" w:rsidRPr="00653DCF">
        <w:rPr>
          <w:color w:val="auto"/>
          <w:lang w:val="hr-HR"/>
        </w:rPr>
        <w:t xml:space="preserve">će </w:t>
      </w:r>
      <w:r w:rsidR="001C08D8" w:rsidRPr="00653DCF">
        <w:rPr>
          <w:color w:val="auto"/>
          <w:lang w:val="hr-HR"/>
        </w:rPr>
        <w:t xml:space="preserve">se primjenjivati </w:t>
      </w:r>
      <w:r w:rsidR="00D707DB" w:rsidRPr="00653DCF">
        <w:rPr>
          <w:color w:val="auto"/>
          <w:lang w:val="hr-HR"/>
        </w:rPr>
        <w:t xml:space="preserve">na tranšu, </w:t>
      </w:r>
      <w:r w:rsidR="00244EFE" w:rsidRPr="00653DCF">
        <w:rPr>
          <w:color w:val="auto"/>
          <w:lang w:val="hr-HR"/>
        </w:rPr>
        <w:t>Zajmoprimac</w:t>
      </w:r>
      <w:r w:rsidR="00D707DB" w:rsidRPr="00653DCF">
        <w:rPr>
          <w:color w:val="auto"/>
          <w:lang w:val="hr-HR"/>
        </w:rPr>
        <w:t xml:space="preserve"> </w:t>
      </w:r>
      <w:r w:rsidR="001C08D8" w:rsidRPr="00653DCF">
        <w:rPr>
          <w:color w:val="auto"/>
          <w:lang w:val="hr-HR"/>
        </w:rPr>
        <w:t xml:space="preserve">također </w:t>
      </w:r>
      <w:r w:rsidR="00D707DB" w:rsidRPr="00653DCF">
        <w:rPr>
          <w:color w:val="auto"/>
          <w:lang w:val="hr-HR"/>
        </w:rPr>
        <w:t xml:space="preserve">može, po vlastitom nahođenju, navesti takvu ponudu </w:t>
      </w:r>
      <w:r w:rsidR="001C08D8" w:rsidRPr="00653DCF">
        <w:rPr>
          <w:color w:val="auto"/>
          <w:lang w:val="hr-HR"/>
        </w:rPr>
        <w:t>u</w:t>
      </w:r>
      <w:r w:rsidR="00D707DB" w:rsidRPr="00653DCF">
        <w:rPr>
          <w:color w:val="auto"/>
          <w:lang w:val="hr-HR"/>
        </w:rPr>
        <w:t xml:space="preserve"> zahtjevu za isplatu, odnosno</w:t>
      </w:r>
      <w:r w:rsidRPr="00653DCF">
        <w:rPr>
          <w:color w:val="auto"/>
          <w:lang w:val="hr-HR"/>
        </w:rPr>
        <w:t>:</w:t>
      </w:r>
      <w:bookmarkEnd w:id="69"/>
    </w:p>
    <w:p w14:paraId="05CF4B79" w14:textId="03F7EC40" w:rsidR="007A2A6F" w:rsidRPr="00653DCF" w:rsidRDefault="00E87B0B">
      <w:pPr>
        <w:pStyle w:val="NoIndentEIB"/>
        <w:numPr>
          <w:ilvl w:val="1"/>
          <w:numId w:val="14"/>
        </w:numPr>
        <w:rPr>
          <w:color w:val="auto"/>
          <w:lang w:val="hr-HR"/>
        </w:rPr>
      </w:pPr>
      <w:r w:rsidRPr="00653DCF">
        <w:rPr>
          <w:color w:val="auto"/>
          <w:lang w:val="hr-HR"/>
        </w:rPr>
        <w:t xml:space="preserve">u slučaju tranše </w:t>
      </w:r>
      <w:r w:rsidR="00D707DB" w:rsidRPr="00653DCF">
        <w:rPr>
          <w:color w:val="auto"/>
          <w:lang w:val="hr-HR"/>
        </w:rPr>
        <w:t xml:space="preserve">s </w:t>
      </w:r>
      <w:r w:rsidRPr="00653DCF">
        <w:rPr>
          <w:color w:val="auto"/>
          <w:lang w:val="hr-HR"/>
        </w:rPr>
        <w:t>fiksn</w:t>
      </w:r>
      <w:r w:rsidR="00D707DB" w:rsidRPr="00653DCF">
        <w:rPr>
          <w:color w:val="auto"/>
          <w:lang w:val="hr-HR"/>
        </w:rPr>
        <w:t>om</w:t>
      </w:r>
      <w:r w:rsidRPr="00653DCF">
        <w:rPr>
          <w:color w:val="auto"/>
          <w:lang w:val="hr-HR"/>
        </w:rPr>
        <w:t xml:space="preserve"> </w:t>
      </w:r>
      <w:r w:rsidR="00D707DB" w:rsidRPr="00653DCF">
        <w:rPr>
          <w:color w:val="auto"/>
          <w:lang w:val="hr-HR"/>
        </w:rPr>
        <w:t>kamatnom stopom</w:t>
      </w:r>
      <w:r w:rsidRPr="00653DCF">
        <w:rPr>
          <w:color w:val="auto"/>
          <w:lang w:val="hr-HR"/>
        </w:rPr>
        <w:t xml:space="preserve">, </w:t>
      </w:r>
      <w:r w:rsidR="004F63C4" w:rsidRPr="00653DCF">
        <w:rPr>
          <w:color w:val="auto"/>
          <w:lang w:val="hr-HR"/>
        </w:rPr>
        <w:t>gore</w:t>
      </w:r>
      <w:r w:rsidRPr="00653DCF">
        <w:rPr>
          <w:color w:val="auto"/>
          <w:lang w:val="hr-HR"/>
        </w:rPr>
        <w:t xml:space="preserve"> </w:t>
      </w:r>
      <w:r w:rsidR="00D707DB" w:rsidRPr="00653DCF">
        <w:rPr>
          <w:color w:val="auto"/>
          <w:lang w:val="hr-HR"/>
        </w:rPr>
        <w:t xml:space="preserve">navedenu </w:t>
      </w:r>
      <w:r w:rsidRPr="00653DCF">
        <w:rPr>
          <w:color w:val="auto"/>
          <w:lang w:val="hr-HR"/>
        </w:rPr>
        <w:t>fiksn</w:t>
      </w:r>
      <w:r w:rsidR="00D707DB" w:rsidRPr="00653DCF">
        <w:rPr>
          <w:color w:val="auto"/>
          <w:lang w:val="hr-HR"/>
        </w:rPr>
        <w:t>u</w:t>
      </w:r>
      <w:r w:rsidRPr="00653DCF">
        <w:rPr>
          <w:color w:val="auto"/>
          <w:lang w:val="hr-HR"/>
        </w:rPr>
        <w:t xml:space="preserve"> kamatn</w:t>
      </w:r>
      <w:r w:rsidR="00D707DB" w:rsidRPr="00653DCF">
        <w:rPr>
          <w:color w:val="auto"/>
          <w:lang w:val="hr-HR"/>
        </w:rPr>
        <w:t>u</w:t>
      </w:r>
      <w:r w:rsidRPr="00653DCF">
        <w:rPr>
          <w:color w:val="auto"/>
          <w:lang w:val="hr-HR"/>
        </w:rPr>
        <w:t xml:space="preserve"> stop</w:t>
      </w:r>
      <w:r w:rsidR="00D707DB" w:rsidRPr="00653DCF">
        <w:rPr>
          <w:color w:val="auto"/>
          <w:lang w:val="hr-HR"/>
        </w:rPr>
        <w:t xml:space="preserve">u koju je </w:t>
      </w:r>
      <w:r w:rsidR="004F63C4" w:rsidRPr="00653DCF">
        <w:rPr>
          <w:color w:val="auto"/>
          <w:lang w:val="hr-HR"/>
        </w:rPr>
        <w:t xml:space="preserve">Banka prethodno </w:t>
      </w:r>
      <w:r w:rsidR="00D707DB" w:rsidRPr="00653DCF">
        <w:rPr>
          <w:color w:val="auto"/>
          <w:lang w:val="hr-HR"/>
        </w:rPr>
        <w:t>ponudila; ili</w:t>
      </w:r>
    </w:p>
    <w:p w14:paraId="7C8F0E0F" w14:textId="2F9B387E" w:rsidR="007A2A6F" w:rsidRPr="00653DCF" w:rsidRDefault="00E87B0B">
      <w:pPr>
        <w:pStyle w:val="NoIndentEIB"/>
        <w:numPr>
          <w:ilvl w:val="1"/>
          <w:numId w:val="14"/>
        </w:numPr>
        <w:rPr>
          <w:color w:val="auto"/>
          <w:lang w:val="hr-HR"/>
        </w:rPr>
      </w:pPr>
      <w:r w:rsidRPr="00653DCF">
        <w:rPr>
          <w:color w:val="auto"/>
          <w:lang w:val="hr-HR"/>
        </w:rPr>
        <w:t xml:space="preserve">u slučaju tranše s promjenjivom kamatnom stopom, </w:t>
      </w:r>
      <w:r w:rsidR="004F63C4" w:rsidRPr="00653DCF">
        <w:rPr>
          <w:color w:val="auto"/>
          <w:lang w:val="hr-HR"/>
        </w:rPr>
        <w:t xml:space="preserve">gore </w:t>
      </w:r>
      <w:r w:rsidR="00A57A4A" w:rsidRPr="00653DCF">
        <w:rPr>
          <w:color w:val="auto"/>
          <w:lang w:val="hr-HR"/>
        </w:rPr>
        <w:t>navedenu</w:t>
      </w:r>
      <w:r w:rsidR="00D707DB" w:rsidRPr="00653DCF">
        <w:rPr>
          <w:color w:val="auto"/>
          <w:lang w:val="hr-HR"/>
        </w:rPr>
        <w:t xml:space="preserve"> kamatnu maržu </w:t>
      </w:r>
      <w:r w:rsidR="004F63C4" w:rsidRPr="00653DCF">
        <w:rPr>
          <w:color w:val="auto"/>
          <w:lang w:val="hr-HR"/>
        </w:rPr>
        <w:t>koju je Banka prethodno ponudila</w:t>
      </w:r>
      <w:r w:rsidRPr="00653DCF">
        <w:rPr>
          <w:color w:val="auto"/>
          <w:lang w:val="hr-HR"/>
        </w:rPr>
        <w:t xml:space="preserve">, </w:t>
      </w:r>
    </w:p>
    <w:p w14:paraId="171B62FE" w14:textId="54CFFC70" w:rsidR="007A2A6F" w:rsidRDefault="00E87B0B">
      <w:pPr>
        <w:ind w:left="1423"/>
        <w:rPr>
          <w:color w:val="auto"/>
          <w:lang w:val="hr-HR"/>
        </w:rPr>
      </w:pPr>
      <w:r w:rsidRPr="00653DCF">
        <w:rPr>
          <w:color w:val="auto"/>
          <w:lang w:val="hr-HR"/>
        </w:rPr>
        <w:t>primjenjiv</w:t>
      </w:r>
      <w:r w:rsidR="003D449A" w:rsidRPr="00653DCF">
        <w:rPr>
          <w:color w:val="auto"/>
          <w:lang w:val="hr-HR"/>
        </w:rPr>
        <w:t>e</w:t>
      </w:r>
      <w:r w:rsidRPr="00653DCF">
        <w:rPr>
          <w:color w:val="auto"/>
          <w:lang w:val="hr-HR"/>
        </w:rPr>
        <w:t xml:space="preserve"> na tranšu do datuma dospijeća ili do datuma revizije/</w:t>
      </w:r>
      <w:r w:rsidR="00E47DC7" w:rsidRPr="00653DCF">
        <w:rPr>
          <w:color w:val="auto"/>
          <w:lang w:val="hr-HR"/>
        </w:rPr>
        <w:t>konverzije kamatne stope</w:t>
      </w:r>
      <w:r w:rsidRPr="00653DCF">
        <w:rPr>
          <w:color w:val="auto"/>
          <w:lang w:val="hr-HR"/>
        </w:rPr>
        <w:t xml:space="preserve">, ako </w:t>
      </w:r>
      <w:r w:rsidR="004F63C4" w:rsidRPr="00653DCF">
        <w:rPr>
          <w:color w:val="auto"/>
          <w:lang w:val="hr-HR"/>
        </w:rPr>
        <w:t>ga bude</w:t>
      </w:r>
      <w:r w:rsidRPr="00653DCF">
        <w:rPr>
          <w:color w:val="auto"/>
          <w:lang w:val="hr-HR"/>
        </w:rPr>
        <w:t>.</w:t>
      </w:r>
    </w:p>
    <w:p w14:paraId="4A142CA7" w14:textId="5D602DB6" w:rsidR="00042353" w:rsidRDefault="00042353">
      <w:pPr>
        <w:ind w:left="1423"/>
        <w:rPr>
          <w:color w:val="auto"/>
          <w:lang w:val="hr-HR"/>
        </w:rPr>
      </w:pPr>
    </w:p>
    <w:p w14:paraId="4DC67DAD" w14:textId="77777777" w:rsidR="00042353" w:rsidRPr="00653DCF" w:rsidRDefault="00042353">
      <w:pPr>
        <w:ind w:left="1423"/>
        <w:rPr>
          <w:color w:val="auto"/>
          <w:lang w:val="hr-HR"/>
        </w:rPr>
      </w:pPr>
    </w:p>
    <w:p w14:paraId="00189868" w14:textId="1841B558" w:rsidR="007A2A6F" w:rsidRPr="00653DCF" w:rsidRDefault="00E87B0B">
      <w:pPr>
        <w:pStyle w:val="NoIndentEIB"/>
        <w:numPr>
          <w:ilvl w:val="0"/>
          <w:numId w:val="14"/>
        </w:numPr>
        <w:rPr>
          <w:color w:val="auto"/>
          <w:lang w:val="hr-HR"/>
        </w:rPr>
      </w:pPr>
      <w:r w:rsidRPr="00653DCF">
        <w:rPr>
          <w:color w:val="auto"/>
          <w:lang w:val="hr-HR"/>
        </w:rPr>
        <w:t xml:space="preserve">Svaki </w:t>
      </w:r>
      <w:r w:rsidR="003D449A" w:rsidRPr="00653DCF">
        <w:rPr>
          <w:color w:val="auto"/>
          <w:lang w:val="hr-HR"/>
        </w:rPr>
        <w:t xml:space="preserve">pojedinačni </w:t>
      </w:r>
      <w:r w:rsidRPr="00653DCF">
        <w:rPr>
          <w:color w:val="auto"/>
          <w:lang w:val="hr-HR"/>
        </w:rPr>
        <w:t xml:space="preserve">zahtjev za isplatu potpisuje ovlašteni potpisnik. </w:t>
      </w:r>
    </w:p>
    <w:p w14:paraId="57530E86" w14:textId="794E2D47" w:rsidR="007A2A6F" w:rsidRPr="00653DCF" w:rsidRDefault="00E87B0B">
      <w:pPr>
        <w:pStyle w:val="ListParagraph"/>
        <w:numPr>
          <w:ilvl w:val="0"/>
          <w:numId w:val="14"/>
        </w:numPr>
        <w:contextualSpacing w:val="0"/>
        <w:rPr>
          <w:color w:val="auto"/>
          <w:lang w:val="hr-HR"/>
        </w:rPr>
      </w:pPr>
      <w:r w:rsidRPr="00653DCF">
        <w:rPr>
          <w:color w:val="auto"/>
          <w:lang w:val="hr-HR"/>
        </w:rPr>
        <w:t xml:space="preserve">Banka se može </w:t>
      </w:r>
      <w:r w:rsidR="00C91100" w:rsidRPr="00653DCF">
        <w:rPr>
          <w:color w:val="auto"/>
          <w:lang w:val="hr-HR"/>
        </w:rPr>
        <w:t xml:space="preserve">oslanjati </w:t>
      </w:r>
      <w:r w:rsidRPr="00653DCF">
        <w:rPr>
          <w:color w:val="auto"/>
          <w:lang w:val="hr-HR"/>
        </w:rPr>
        <w:t xml:space="preserve">na informacije navedene u najnovijem popisu ovlaštenih potpisnika i računa koje je Zajmoprimac dostavio Banci. </w:t>
      </w:r>
    </w:p>
    <w:p w14:paraId="1EC6D6D1" w14:textId="6D8AD366" w:rsidR="007A2A6F" w:rsidRPr="00653DCF" w:rsidRDefault="00E87B0B">
      <w:pPr>
        <w:pStyle w:val="ListParagraph"/>
        <w:numPr>
          <w:ilvl w:val="0"/>
          <w:numId w:val="14"/>
        </w:numPr>
        <w:contextualSpacing w:val="0"/>
        <w:rPr>
          <w:color w:val="auto"/>
          <w:lang w:val="hr-HR"/>
        </w:rPr>
      </w:pPr>
      <w:r w:rsidRPr="00653DCF">
        <w:rPr>
          <w:color w:val="auto"/>
          <w:lang w:val="hr-HR"/>
        </w:rPr>
        <w:t xml:space="preserve">Ako zahtjev za isplatu potpiše osoba </w:t>
      </w:r>
      <w:r w:rsidR="00C91100" w:rsidRPr="00653DCF">
        <w:rPr>
          <w:color w:val="auto"/>
          <w:lang w:val="hr-HR"/>
        </w:rPr>
        <w:t xml:space="preserve">utvrđena </w:t>
      </w:r>
      <w:r w:rsidRPr="00653DCF">
        <w:rPr>
          <w:color w:val="auto"/>
          <w:lang w:val="hr-HR"/>
        </w:rPr>
        <w:t xml:space="preserve">kao ovlašteni potpisnik na temelju najnovijeg popisa ovlaštenih potpisnika i računa koje je Zajmoprimac dostavio Banci, Banka može pretpostaviti da je ta osoba ovlaštena potpisati i dostaviti </w:t>
      </w:r>
      <w:r w:rsidR="003C62EE" w:rsidRPr="00653DCF">
        <w:rPr>
          <w:color w:val="auto"/>
          <w:lang w:val="hr-HR"/>
        </w:rPr>
        <w:t xml:space="preserve">takav zahtjev za isplatu </w:t>
      </w:r>
      <w:r w:rsidRPr="00653DCF">
        <w:rPr>
          <w:color w:val="auto"/>
          <w:lang w:val="hr-HR"/>
        </w:rPr>
        <w:t xml:space="preserve">u ime i za račun Zajmoprimca. </w:t>
      </w:r>
    </w:p>
    <w:p w14:paraId="4A9B8DD8" w14:textId="2D0F9BA9" w:rsidR="007A2A6F" w:rsidRPr="00653DCF" w:rsidRDefault="007D5204">
      <w:pPr>
        <w:pStyle w:val="NoIndentEIB"/>
        <w:numPr>
          <w:ilvl w:val="0"/>
          <w:numId w:val="14"/>
        </w:numPr>
        <w:rPr>
          <w:color w:val="auto"/>
          <w:lang w:val="hr-HR"/>
        </w:rPr>
      </w:pPr>
      <w:r w:rsidRPr="00653DCF">
        <w:rPr>
          <w:color w:val="auto"/>
          <w:lang w:val="hr-HR"/>
        </w:rPr>
        <w:t>U skladu s</w:t>
      </w:r>
      <w:r w:rsidR="00E87B0B" w:rsidRPr="00653DCF">
        <w:rPr>
          <w:color w:val="auto"/>
          <w:lang w:val="hr-HR"/>
        </w:rPr>
        <w:t xml:space="preserve"> člank</w:t>
      </w:r>
      <w:r w:rsidRPr="00653DCF">
        <w:rPr>
          <w:color w:val="auto"/>
          <w:lang w:val="hr-HR"/>
        </w:rPr>
        <w:t>om</w:t>
      </w:r>
      <w:r w:rsidR="003C62EE"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_Ref426713118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1.2.C</w:t>
      </w:r>
      <w:r w:rsidR="00E87B0B" w:rsidRPr="00653DCF">
        <w:rPr>
          <w:color w:val="auto"/>
          <w:lang w:val="hr-HR"/>
        </w:rPr>
        <w:fldChar w:fldCharType="end"/>
      </w:r>
      <w:r w:rsidR="00E87B0B" w:rsidRPr="00653DCF">
        <w:rPr>
          <w:color w:val="auto"/>
          <w:lang w:val="hr-HR"/>
        </w:rPr>
        <w:fldChar w:fldCharType="begin"/>
      </w:r>
      <w:r w:rsidR="00E87B0B" w:rsidRPr="00653DCF">
        <w:rPr>
          <w:color w:val="auto"/>
          <w:lang w:val="hr-HR"/>
        </w:rPr>
        <w:instrText xml:space="preserve"> REF _Ref466908822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(b)</w:t>
      </w:r>
      <w:r w:rsidR="00E87B0B" w:rsidRPr="00653DCF">
        <w:rPr>
          <w:color w:val="auto"/>
          <w:lang w:val="hr-HR"/>
        </w:rPr>
        <w:fldChar w:fldCharType="end"/>
      </w:r>
      <w:r w:rsidR="00E87B0B" w:rsidRPr="00653DCF">
        <w:rPr>
          <w:color w:val="auto"/>
          <w:lang w:val="hr-HR"/>
        </w:rPr>
        <w:t xml:space="preserve">, svaki zahtjev za isplatu </w:t>
      </w:r>
      <w:r w:rsidRPr="00653DCF">
        <w:rPr>
          <w:color w:val="auto"/>
          <w:lang w:val="hr-HR"/>
        </w:rPr>
        <w:t xml:space="preserve">je </w:t>
      </w:r>
      <w:r w:rsidR="00E87B0B" w:rsidRPr="00653DCF">
        <w:rPr>
          <w:color w:val="auto"/>
          <w:lang w:val="hr-HR"/>
        </w:rPr>
        <w:t>neopoziv.</w:t>
      </w:r>
    </w:p>
    <w:p w14:paraId="4C9D7CEC" w14:textId="22494143" w:rsidR="007A2A6F" w:rsidRPr="00653DCF" w:rsidRDefault="00E87B0B" w:rsidP="00B73D6F">
      <w:pPr>
        <w:pStyle w:val="Heading3"/>
        <w:ind w:left="851"/>
        <w:rPr>
          <w:color w:val="auto"/>
          <w:lang w:val="hr-HR"/>
        </w:rPr>
      </w:pPr>
      <w:bookmarkStart w:id="70" w:name="_Ref426713118"/>
      <w:bookmarkStart w:id="71" w:name="_Ref426714722"/>
      <w:bookmarkStart w:id="72" w:name="_Ref426714771"/>
      <w:bookmarkStart w:id="73" w:name="_Ref426716214"/>
      <w:bookmarkStart w:id="74" w:name="_Ref426952334"/>
      <w:bookmarkStart w:id="75" w:name="_Ref426983186"/>
      <w:bookmarkStart w:id="76" w:name="_Ref427046268"/>
      <w:bookmarkStart w:id="77" w:name="_Toc508120461"/>
      <w:bookmarkStart w:id="78" w:name="_Toc475441108"/>
      <w:bookmarkStart w:id="79" w:name="_Toc498018603"/>
      <w:bookmarkStart w:id="80" w:name="_Toc126080653"/>
      <w:bookmarkStart w:id="81" w:name="_Toc126080785"/>
      <w:r w:rsidRPr="00653DCF">
        <w:rPr>
          <w:color w:val="auto"/>
          <w:lang w:val="hr-HR"/>
        </w:rPr>
        <w:t>Obavijest o isplati</w:t>
      </w:r>
      <w:bookmarkEnd w:id="70"/>
      <w:bookmarkEnd w:id="71"/>
      <w:bookmarkEnd w:id="72"/>
      <w:bookmarkEnd w:id="73"/>
      <w:bookmarkEnd w:id="74"/>
      <w:bookmarkEnd w:id="75"/>
      <w:bookmarkEnd w:id="76"/>
      <w:bookmarkEnd w:id="77"/>
      <w:bookmarkEnd w:id="78"/>
      <w:bookmarkEnd w:id="79"/>
      <w:bookmarkEnd w:id="80"/>
      <w:bookmarkEnd w:id="81"/>
    </w:p>
    <w:p w14:paraId="50CE4EF6" w14:textId="2A190C19" w:rsidR="007A2A6F" w:rsidRPr="00653DCF" w:rsidRDefault="00E87B0B">
      <w:pPr>
        <w:pStyle w:val="NoIndentEIB"/>
        <w:numPr>
          <w:ilvl w:val="0"/>
          <w:numId w:val="15"/>
        </w:numPr>
        <w:rPr>
          <w:color w:val="auto"/>
          <w:lang w:val="hr-HR"/>
        </w:rPr>
      </w:pPr>
      <w:bookmarkStart w:id="82" w:name="_Ref426983190"/>
      <w:r w:rsidRPr="00653DCF">
        <w:rPr>
          <w:color w:val="auto"/>
          <w:lang w:val="hr-HR"/>
        </w:rPr>
        <w:t>Najmanje 10 (deset) dana prije predloženog planiranog datuma isplate tranše</w:t>
      </w:r>
      <w:r w:rsidR="00BC237C" w:rsidRPr="00653DCF">
        <w:rPr>
          <w:color w:val="auto"/>
          <w:lang w:val="hr-HR"/>
        </w:rPr>
        <w:t>,</w:t>
      </w:r>
      <w:r w:rsidRPr="00653DCF">
        <w:rPr>
          <w:color w:val="auto"/>
          <w:lang w:val="hr-HR"/>
        </w:rPr>
        <w:t xml:space="preserve"> Banka </w:t>
      </w:r>
      <w:r w:rsidR="00D82420" w:rsidRPr="00653DCF">
        <w:rPr>
          <w:color w:val="auto"/>
          <w:lang w:val="hr-HR"/>
        </w:rPr>
        <w:t xml:space="preserve">je dužna, </w:t>
      </w:r>
      <w:r w:rsidRPr="00653DCF">
        <w:rPr>
          <w:color w:val="auto"/>
          <w:lang w:val="hr-HR"/>
        </w:rPr>
        <w:t>ako je zahtjev za isplatu u skladu s člankom</w:t>
      </w:r>
      <w:r w:rsidR="007D5204" w:rsidRPr="00653DCF">
        <w:rPr>
          <w:color w:val="auto"/>
          <w:lang w:val="hr-HR"/>
        </w:rPr>
        <w:t xml:space="preserve"> </w:t>
      </w:r>
      <w:r w:rsidRPr="00653DCF">
        <w:rPr>
          <w:color w:val="auto"/>
          <w:lang w:val="hr-HR"/>
        </w:rPr>
        <w:fldChar w:fldCharType="begin"/>
      </w:r>
      <w:r w:rsidRPr="00653DCF">
        <w:rPr>
          <w:color w:val="auto"/>
          <w:lang w:val="hr-HR"/>
        </w:rPr>
        <w:instrText xml:space="preserve"> REF _Ref426722606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1.2</w:t>
      </w:r>
      <w:r w:rsidRPr="00653DCF">
        <w:rPr>
          <w:color w:val="auto"/>
          <w:lang w:val="hr-HR"/>
        </w:rPr>
        <w:fldChar w:fldCharType="end"/>
      </w:r>
      <w:r w:rsidR="004262AA" w:rsidRPr="00653DCF">
        <w:rPr>
          <w:color w:val="auto"/>
          <w:lang w:val="hr-HR"/>
        </w:rPr>
        <w:t>.</w:t>
      </w:r>
      <w:r w:rsidRPr="00653DCF">
        <w:rPr>
          <w:color w:val="auto"/>
          <w:lang w:val="hr-HR"/>
        </w:rPr>
        <w:t>, dostaviti Zajmoprimcu obavijest o isplati u kojoj se navodi:</w:t>
      </w:r>
      <w:bookmarkEnd w:id="82"/>
    </w:p>
    <w:p w14:paraId="15B81C6B" w14:textId="3F49DD29" w:rsidR="007A2A6F" w:rsidRPr="00653DCF" w:rsidRDefault="00E87B0B">
      <w:pPr>
        <w:pStyle w:val="NoIndentEIB"/>
        <w:numPr>
          <w:ilvl w:val="1"/>
          <w:numId w:val="15"/>
        </w:numPr>
        <w:rPr>
          <w:color w:val="auto"/>
          <w:lang w:val="hr-HR"/>
        </w:rPr>
      </w:pPr>
      <w:r w:rsidRPr="00653DCF">
        <w:rPr>
          <w:color w:val="auto"/>
          <w:lang w:val="hr-HR"/>
        </w:rPr>
        <w:t>valuta i iznos tranše;</w:t>
      </w:r>
    </w:p>
    <w:p w14:paraId="532701AC" w14:textId="77777777" w:rsidR="007A2A6F" w:rsidRPr="00653DCF" w:rsidRDefault="00E87B0B">
      <w:pPr>
        <w:pStyle w:val="NoIndentEIB"/>
        <w:numPr>
          <w:ilvl w:val="1"/>
          <w:numId w:val="15"/>
        </w:numPr>
        <w:rPr>
          <w:color w:val="auto"/>
          <w:lang w:val="hr-HR"/>
        </w:rPr>
      </w:pPr>
      <w:r w:rsidRPr="00653DCF">
        <w:rPr>
          <w:color w:val="auto"/>
          <w:lang w:val="hr-HR"/>
        </w:rPr>
        <w:t>planirani datum isplate;</w:t>
      </w:r>
    </w:p>
    <w:p w14:paraId="7B64A471" w14:textId="47991B2A" w:rsidR="007A2A6F" w:rsidRPr="00653DCF" w:rsidRDefault="007D5204">
      <w:pPr>
        <w:pStyle w:val="NoIndentEIB"/>
        <w:numPr>
          <w:ilvl w:val="1"/>
          <w:numId w:val="15"/>
        </w:numPr>
        <w:rPr>
          <w:color w:val="auto"/>
          <w:lang w:val="hr-HR"/>
        </w:rPr>
      </w:pPr>
      <w:r w:rsidRPr="00653DCF">
        <w:rPr>
          <w:color w:val="auto"/>
          <w:lang w:val="hr-HR"/>
        </w:rPr>
        <w:t xml:space="preserve">osnovica </w:t>
      </w:r>
      <w:r w:rsidR="00E87B0B" w:rsidRPr="00653DCF">
        <w:rPr>
          <w:color w:val="auto"/>
          <w:lang w:val="hr-HR"/>
        </w:rPr>
        <w:t>kamatn</w:t>
      </w:r>
      <w:r w:rsidR="00D82420" w:rsidRPr="00653DCF">
        <w:rPr>
          <w:color w:val="auto"/>
          <w:lang w:val="hr-HR"/>
        </w:rPr>
        <w:t>e</w:t>
      </w:r>
      <w:r w:rsidR="00E87B0B" w:rsidRPr="00653DCF">
        <w:rPr>
          <w:color w:val="auto"/>
          <w:lang w:val="hr-HR"/>
        </w:rPr>
        <w:t xml:space="preserve"> stopa za tranšu, </w:t>
      </w:r>
      <w:r w:rsidR="001E123F" w:rsidRPr="00653DCF">
        <w:rPr>
          <w:color w:val="auto"/>
          <w:lang w:val="hr-HR"/>
        </w:rPr>
        <w:t>koja je</w:t>
      </w:r>
      <w:r w:rsidR="00E87B0B" w:rsidRPr="00653DCF">
        <w:rPr>
          <w:color w:val="auto"/>
          <w:lang w:val="hr-HR"/>
        </w:rPr>
        <w:t xml:space="preserve">: </w:t>
      </w:r>
    </w:p>
    <w:p w14:paraId="1AD6DCFE" w14:textId="774793B7" w:rsidR="007A2A6F" w:rsidRPr="00653DCF" w:rsidRDefault="00E87B0B">
      <w:pPr>
        <w:pStyle w:val="NoIndentEIB"/>
        <w:numPr>
          <w:ilvl w:val="2"/>
          <w:numId w:val="15"/>
        </w:numPr>
        <w:rPr>
          <w:color w:val="auto"/>
          <w:lang w:val="hr-HR"/>
        </w:rPr>
      </w:pPr>
      <w:r w:rsidRPr="00653DCF">
        <w:rPr>
          <w:color w:val="auto"/>
          <w:lang w:val="hr-HR"/>
        </w:rPr>
        <w:t xml:space="preserve">tranša s fiksnom </w:t>
      </w:r>
      <w:r w:rsidR="001E123F" w:rsidRPr="00653DCF">
        <w:rPr>
          <w:color w:val="auto"/>
          <w:lang w:val="hr-HR"/>
        </w:rPr>
        <w:t xml:space="preserve">kamatnom </w:t>
      </w:r>
      <w:r w:rsidRPr="00653DCF">
        <w:rPr>
          <w:color w:val="auto"/>
          <w:lang w:val="hr-HR"/>
        </w:rPr>
        <w:t xml:space="preserve">stopom; ili </w:t>
      </w:r>
    </w:p>
    <w:p w14:paraId="3F2CF6BD" w14:textId="2B8BCD12" w:rsidR="007A2A6F" w:rsidRPr="00653DCF" w:rsidRDefault="00E87B0B">
      <w:pPr>
        <w:pStyle w:val="NoIndentEIB"/>
        <w:numPr>
          <w:ilvl w:val="2"/>
          <w:numId w:val="15"/>
        </w:numPr>
        <w:rPr>
          <w:color w:val="auto"/>
          <w:lang w:val="hr-HR"/>
        </w:rPr>
      </w:pPr>
      <w:r w:rsidRPr="00653DCF">
        <w:rPr>
          <w:color w:val="auto"/>
          <w:lang w:val="hr-HR"/>
        </w:rPr>
        <w:t>tranš</w:t>
      </w:r>
      <w:r w:rsidR="00D82420" w:rsidRPr="00653DCF">
        <w:rPr>
          <w:color w:val="auto"/>
          <w:lang w:val="hr-HR"/>
        </w:rPr>
        <w:t>a</w:t>
      </w:r>
      <w:r w:rsidR="001E123F" w:rsidRPr="00653DCF">
        <w:rPr>
          <w:color w:val="auto"/>
          <w:lang w:val="hr-HR"/>
        </w:rPr>
        <w:t xml:space="preserve"> s promjenjivom kamatnom stopom</w:t>
      </w:r>
      <w:r w:rsidRPr="00653DCF">
        <w:rPr>
          <w:color w:val="auto"/>
          <w:lang w:val="hr-HR"/>
        </w:rPr>
        <w:t>,</w:t>
      </w:r>
    </w:p>
    <w:p w14:paraId="1A78044B" w14:textId="3B99E73E" w:rsidR="007A2A6F" w:rsidRPr="00653DCF" w:rsidRDefault="00184647">
      <w:pPr>
        <w:ind w:left="1990"/>
        <w:rPr>
          <w:color w:val="auto"/>
          <w:lang w:val="hr-HR"/>
        </w:rPr>
      </w:pPr>
      <w:r w:rsidRPr="00653DCF">
        <w:rPr>
          <w:color w:val="auto"/>
          <w:lang w:val="hr-HR"/>
        </w:rPr>
        <w:t xml:space="preserve">a </w:t>
      </w:r>
      <w:r w:rsidR="00E87B0B" w:rsidRPr="00653DCF">
        <w:rPr>
          <w:color w:val="auto"/>
          <w:lang w:val="hr-HR"/>
        </w:rPr>
        <w:t xml:space="preserve">sve u skladu s </w:t>
      </w:r>
      <w:r w:rsidR="001E123F" w:rsidRPr="00653DCF">
        <w:rPr>
          <w:color w:val="auto"/>
          <w:lang w:val="hr-HR"/>
        </w:rPr>
        <w:t xml:space="preserve">odgovarajućim </w:t>
      </w:r>
      <w:r w:rsidR="00E87B0B" w:rsidRPr="00653DCF">
        <w:rPr>
          <w:color w:val="auto"/>
          <w:lang w:val="hr-HR"/>
        </w:rPr>
        <w:t>odredbama članka</w:t>
      </w:r>
      <w:r w:rsidR="001E123F"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_Ref426639513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3</w:t>
      </w:r>
      <w:r w:rsidR="00E87B0B" w:rsidRPr="00653DCF">
        <w:rPr>
          <w:color w:val="auto"/>
          <w:lang w:val="hr-HR"/>
        </w:rPr>
        <w:fldChar w:fldCharType="end"/>
      </w:r>
      <w:r w:rsidR="004262AA" w:rsidRPr="00653DCF">
        <w:rPr>
          <w:color w:val="auto"/>
          <w:lang w:val="hr-HR"/>
        </w:rPr>
        <w:t>.</w:t>
      </w:r>
      <w:r w:rsidR="00E87B0B" w:rsidRPr="00653DCF">
        <w:rPr>
          <w:color w:val="auto"/>
          <w:lang w:val="hr-HR"/>
        </w:rPr>
        <w:t>;</w:t>
      </w:r>
    </w:p>
    <w:p w14:paraId="09497ECD" w14:textId="3DBB1850" w:rsidR="007A2A6F" w:rsidRPr="00653DCF" w:rsidRDefault="00E87B0B">
      <w:pPr>
        <w:pStyle w:val="NoIndentEIB"/>
        <w:numPr>
          <w:ilvl w:val="1"/>
          <w:numId w:val="15"/>
        </w:numPr>
        <w:rPr>
          <w:color w:val="auto"/>
          <w:lang w:val="hr-HR"/>
        </w:rPr>
      </w:pPr>
      <w:r w:rsidRPr="00653DCF">
        <w:rPr>
          <w:color w:val="auto"/>
          <w:lang w:val="hr-HR"/>
        </w:rPr>
        <w:t>datumi plaćanja i prvi datum plaćanja kamat</w:t>
      </w:r>
      <w:r w:rsidR="00E344AA" w:rsidRPr="00653DCF">
        <w:rPr>
          <w:color w:val="auto"/>
          <w:lang w:val="hr-HR"/>
        </w:rPr>
        <w:t>e</w:t>
      </w:r>
      <w:r w:rsidRPr="00653DCF">
        <w:rPr>
          <w:color w:val="auto"/>
          <w:lang w:val="hr-HR"/>
        </w:rPr>
        <w:t xml:space="preserve"> za tranšu;</w:t>
      </w:r>
    </w:p>
    <w:p w14:paraId="639231DF" w14:textId="7DE54B37" w:rsidR="007A2A6F" w:rsidRPr="00653DCF" w:rsidRDefault="00E87B0B">
      <w:pPr>
        <w:pStyle w:val="NoIndentEIB"/>
        <w:numPr>
          <w:ilvl w:val="1"/>
          <w:numId w:val="15"/>
        </w:numPr>
        <w:rPr>
          <w:color w:val="auto"/>
          <w:lang w:val="hr-HR"/>
        </w:rPr>
      </w:pPr>
      <w:r w:rsidRPr="00653DCF">
        <w:rPr>
          <w:color w:val="auto"/>
          <w:lang w:val="hr-HR"/>
        </w:rPr>
        <w:t>uvjet</w:t>
      </w:r>
      <w:r w:rsidR="00E344AA" w:rsidRPr="00653DCF">
        <w:rPr>
          <w:color w:val="auto"/>
          <w:lang w:val="hr-HR"/>
        </w:rPr>
        <w:t>i</w:t>
      </w:r>
      <w:r w:rsidRPr="00653DCF">
        <w:rPr>
          <w:color w:val="auto"/>
          <w:lang w:val="hr-HR"/>
        </w:rPr>
        <w:t xml:space="preserve"> otplate glavnice za tranšu, u skladu s odredbama članka</w:t>
      </w:r>
      <w:r w:rsidR="00E344AA" w:rsidRPr="00653DCF">
        <w:rPr>
          <w:color w:val="auto"/>
          <w:lang w:val="hr-HR"/>
        </w:rPr>
        <w:t xml:space="preserve"> </w:t>
      </w:r>
      <w:r w:rsidRPr="00653DCF">
        <w:rPr>
          <w:color w:val="auto"/>
          <w:lang w:val="hr-HR"/>
        </w:rPr>
        <w:fldChar w:fldCharType="begin"/>
      </w:r>
      <w:r w:rsidRPr="00653DCF">
        <w:rPr>
          <w:color w:val="auto"/>
          <w:lang w:val="hr-HR"/>
        </w:rPr>
        <w:instrText xml:space="preserve"> REF _Ref426715009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članak 4</w:t>
      </w:r>
      <w:r w:rsidRPr="00653DCF">
        <w:rPr>
          <w:color w:val="auto"/>
          <w:lang w:val="hr-HR"/>
        </w:rPr>
        <w:fldChar w:fldCharType="end"/>
      </w:r>
      <w:r w:rsidR="004262AA" w:rsidRPr="00653DCF">
        <w:rPr>
          <w:color w:val="auto"/>
          <w:lang w:val="hr-HR"/>
        </w:rPr>
        <w:t>.</w:t>
      </w:r>
      <w:r w:rsidRPr="00653DCF">
        <w:rPr>
          <w:color w:val="auto"/>
          <w:lang w:val="hr-HR"/>
        </w:rPr>
        <w:t>;</w:t>
      </w:r>
    </w:p>
    <w:p w14:paraId="7A902913" w14:textId="000FAF6F" w:rsidR="007A2A6F" w:rsidRPr="00653DCF" w:rsidRDefault="00E87B0B">
      <w:pPr>
        <w:pStyle w:val="NoIndentEIB"/>
        <w:numPr>
          <w:ilvl w:val="1"/>
          <w:numId w:val="15"/>
        </w:numPr>
        <w:rPr>
          <w:color w:val="auto"/>
          <w:lang w:val="hr-HR"/>
        </w:rPr>
      </w:pPr>
      <w:r w:rsidRPr="00653DCF">
        <w:rPr>
          <w:color w:val="auto"/>
          <w:lang w:val="hr-HR"/>
        </w:rPr>
        <w:t xml:space="preserve">datumi otplate </w:t>
      </w:r>
      <w:r w:rsidR="00455AFF" w:rsidRPr="00653DCF">
        <w:rPr>
          <w:color w:val="auto"/>
          <w:lang w:val="hr-HR"/>
        </w:rPr>
        <w:t>i</w:t>
      </w:r>
      <w:r w:rsidRPr="00653DCF">
        <w:rPr>
          <w:color w:val="auto"/>
          <w:lang w:val="hr-HR"/>
        </w:rPr>
        <w:t xml:space="preserve"> prvi i posljednji datum otplate za tranšu;</w:t>
      </w:r>
    </w:p>
    <w:p w14:paraId="0784C1C8" w14:textId="606E163B" w:rsidR="007A2A6F" w:rsidRPr="00653DCF" w:rsidRDefault="00E87B0B">
      <w:pPr>
        <w:pStyle w:val="NoIndentEIB"/>
        <w:numPr>
          <w:ilvl w:val="1"/>
          <w:numId w:val="15"/>
        </w:numPr>
        <w:rPr>
          <w:color w:val="auto"/>
          <w:lang w:val="hr-HR"/>
        </w:rPr>
      </w:pPr>
      <w:bookmarkStart w:id="83" w:name="_Ref430854060"/>
      <w:r w:rsidRPr="00653DCF">
        <w:rPr>
          <w:color w:val="auto"/>
          <w:lang w:val="hr-HR"/>
        </w:rPr>
        <w:t xml:space="preserve">datum revizije/konverzije </w:t>
      </w:r>
      <w:r w:rsidR="00455AFF" w:rsidRPr="00653DCF">
        <w:rPr>
          <w:color w:val="auto"/>
          <w:lang w:val="hr-HR"/>
        </w:rPr>
        <w:t>kamatne stope</w:t>
      </w:r>
      <w:r w:rsidR="00F3627C" w:rsidRPr="00653DCF">
        <w:rPr>
          <w:color w:val="auto"/>
          <w:lang w:val="hr-HR"/>
        </w:rPr>
        <w:t xml:space="preserve"> za tranšu</w:t>
      </w:r>
      <w:r w:rsidRPr="00653DCF">
        <w:rPr>
          <w:color w:val="auto"/>
          <w:lang w:val="hr-HR"/>
        </w:rPr>
        <w:t xml:space="preserve">, ako to </w:t>
      </w:r>
      <w:r w:rsidR="00F3627C" w:rsidRPr="00653DCF">
        <w:rPr>
          <w:color w:val="auto"/>
          <w:lang w:val="hr-HR"/>
        </w:rPr>
        <w:t xml:space="preserve">zahtijeva </w:t>
      </w:r>
      <w:r w:rsidR="00455AFF" w:rsidRPr="00653DCF">
        <w:rPr>
          <w:color w:val="auto"/>
          <w:lang w:val="hr-HR"/>
        </w:rPr>
        <w:t>Z</w:t>
      </w:r>
      <w:r w:rsidRPr="00653DCF">
        <w:rPr>
          <w:color w:val="auto"/>
          <w:lang w:val="hr-HR"/>
        </w:rPr>
        <w:t>ajmoprimac; i</w:t>
      </w:r>
      <w:bookmarkEnd w:id="83"/>
    </w:p>
    <w:p w14:paraId="0B0ABD26" w14:textId="40FF1F45" w:rsidR="007A2A6F" w:rsidRPr="00653DCF" w:rsidRDefault="00E87B0B">
      <w:pPr>
        <w:pStyle w:val="NoIndentEIB"/>
        <w:numPr>
          <w:ilvl w:val="1"/>
          <w:numId w:val="15"/>
        </w:numPr>
        <w:rPr>
          <w:color w:val="auto"/>
          <w:lang w:val="hr-HR"/>
        </w:rPr>
      </w:pPr>
      <w:bookmarkStart w:id="84" w:name="_Ref500769868"/>
      <w:r w:rsidRPr="00653DCF">
        <w:rPr>
          <w:color w:val="auto"/>
          <w:lang w:val="hr-HR"/>
        </w:rPr>
        <w:t>za tranšu</w:t>
      </w:r>
      <w:r w:rsidR="00F3627C" w:rsidRPr="00653DCF">
        <w:rPr>
          <w:color w:val="auto"/>
          <w:lang w:val="hr-HR"/>
        </w:rPr>
        <w:t xml:space="preserve"> s fiksnom kamatnom stopom, fiksnu kamatnu stopu, a za tranšu s promjenjivom kamatnom stopom, kamatnu maržu koja se primjenjuje na tranšu do datuma revizije/konverzije kamatne stope, ako takav datum postoji, ili do datuma dospijeća</w:t>
      </w:r>
      <w:r w:rsidRPr="00653DCF">
        <w:rPr>
          <w:color w:val="auto"/>
          <w:lang w:val="hr-HR"/>
        </w:rPr>
        <w:t>.</w:t>
      </w:r>
      <w:bookmarkEnd w:id="84"/>
    </w:p>
    <w:p w14:paraId="46266410" w14:textId="1CFBC0D1" w:rsidR="007A2A6F" w:rsidRPr="00653DCF" w:rsidRDefault="00E87B0B">
      <w:pPr>
        <w:pStyle w:val="NoIndentEIB"/>
        <w:numPr>
          <w:ilvl w:val="0"/>
          <w:numId w:val="15"/>
        </w:numPr>
        <w:rPr>
          <w:color w:val="auto"/>
          <w:lang w:val="hr-HR"/>
        </w:rPr>
      </w:pPr>
      <w:bookmarkStart w:id="85" w:name="_Ref466908822"/>
      <w:bookmarkStart w:id="86" w:name="_Ref475539040"/>
      <w:r w:rsidRPr="00653DCF">
        <w:rPr>
          <w:color w:val="auto"/>
          <w:lang w:val="hr-HR"/>
        </w:rPr>
        <w:lastRenderedPageBreak/>
        <w:t xml:space="preserve">Ako jedan ili više uvjeta navedenih u </w:t>
      </w:r>
      <w:r w:rsidR="00533D39" w:rsidRPr="00653DCF">
        <w:rPr>
          <w:color w:val="auto"/>
          <w:lang w:val="hr-HR"/>
        </w:rPr>
        <w:t>o</w:t>
      </w:r>
      <w:r w:rsidRPr="00653DCF">
        <w:rPr>
          <w:color w:val="auto"/>
          <w:lang w:val="hr-HR"/>
        </w:rPr>
        <w:t xml:space="preserve">bavijesti o isplati koju je Zajmoprimac </w:t>
      </w:r>
      <w:r w:rsidR="004E36AA" w:rsidRPr="00653DCF">
        <w:rPr>
          <w:color w:val="auto"/>
          <w:lang w:val="hr-HR"/>
        </w:rPr>
        <w:t xml:space="preserve">zaprimio </w:t>
      </w:r>
      <w:r w:rsidRPr="00653DCF">
        <w:rPr>
          <w:color w:val="auto"/>
          <w:lang w:val="hr-HR"/>
        </w:rPr>
        <w:t xml:space="preserve">nije u skladu s </w:t>
      </w:r>
      <w:r w:rsidR="00B539F9" w:rsidRPr="00653DCF">
        <w:rPr>
          <w:color w:val="auto"/>
          <w:lang w:val="hr-HR"/>
        </w:rPr>
        <w:t xml:space="preserve">relevantnim </w:t>
      </w:r>
      <w:r w:rsidRPr="00653DCF">
        <w:rPr>
          <w:color w:val="auto"/>
          <w:lang w:val="hr-HR"/>
        </w:rPr>
        <w:t>uvjetom</w:t>
      </w:r>
      <w:r w:rsidR="00B539F9" w:rsidRPr="00653DCF">
        <w:rPr>
          <w:color w:val="auto"/>
          <w:lang w:val="hr-HR"/>
        </w:rPr>
        <w:t xml:space="preserve"> </w:t>
      </w:r>
      <w:r w:rsidRPr="00653DCF">
        <w:rPr>
          <w:color w:val="auto"/>
          <w:lang w:val="hr-HR"/>
        </w:rPr>
        <w:t>u zahtjevu za isplatu</w:t>
      </w:r>
      <w:r w:rsidR="00B539F9" w:rsidRPr="00653DCF">
        <w:rPr>
          <w:color w:val="auto"/>
          <w:lang w:val="hr-HR"/>
        </w:rPr>
        <w:t>, ako takav postoji,</w:t>
      </w:r>
      <w:r w:rsidRPr="00653DCF">
        <w:rPr>
          <w:color w:val="auto"/>
          <w:lang w:val="hr-HR"/>
        </w:rPr>
        <w:t xml:space="preserve"> Zajmoprimac može</w:t>
      </w:r>
      <w:r w:rsidR="007C75A9" w:rsidRPr="00653DCF">
        <w:rPr>
          <w:color w:val="auto"/>
          <w:lang w:val="hr-HR"/>
        </w:rPr>
        <w:t xml:space="preserve"> </w:t>
      </w:r>
      <w:r w:rsidR="00D91CEB" w:rsidRPr="00653DCF">
        <w:rPr>
          <w:color w:val="auto"/>
          <w:lang w:val="hr-HR"/>
        </w:rPr>
        <w:t xml:space="preserve">povući </w:t>
      </w:r>
      <w:r w:rsidRPr="00653DCF">
        <w:rPr>
          <w:color w:val="auto"/>
          <w:lang w:val="hr-HR"/>
        </w:rPr>
        <w:t>svoj zahtjev za isplatu</w:t>
      </w:r>
      <w:r w:rsidR="00CE35EC" w:rsidRPr="00653DCF">
        <w:rPr>
          <w:color w:val="auto"/>
          <w:lang w:val="hr-HR"/>
        </w:rPr>
        <w:t>,</w:t>
      </w:r>
      <w:r w:rsidRPr="00653DCF">
        <w:rPr>
          <w:color w:val="auto"/>
          <w:lang w:val="hr-HR"/>
        </w:rPr>
        <w:t xml:space="preserve"> </w:t>
      </w:r>
      <w:r w:rsidR="00D91CEB" w:rsidRPr="00653DCF">
        <w:rPr>
          <w:color w:val="auto"/>
          <w:lang w:val="hr-HR"/>
        </w:rPr>
        <w:t>dajući o tome pisanu obavijest Banci</w:t>
      </w:r>
      <w:r w:rsidR="00CE35EC" w:rsidRPr="00653DCF">
        <w:rPr>
          <w:color w:val="auto"/>
          <w:lang w:val="hr-HR"/>
        </w:rPr>
        <w:t>,</w:t>
      </w:r>
      <w:r w:rsidR="00D91CEB" w:rsidRPr="00653DCF">
        <w:rPr>
          <w:color w:val="auto"/>
          <w:lang w:val="hr-HR"/>
        </w:rPr>
        <w:t xml:space="preserve"> koju Banka </w:t>
      </w:r>
      <w:r w:rsidR="00CE35EC" w:rsidRPr="00653DCF">
        <w:rPr>
          <w:color w:val="auto"/>
          <w:lang w:val="hr-HR"/>
        </w:rPr>
        <w:t xml:space="preserve">mora </w:t>
      </w:r>
      <w:r w:rsidRPr="00653DCF">
        <w:rPr>
          <w:color w:val="auto"/>
          <w:lang w:val="hr-HR"/>
        </w:rPr>
        <w:t>zaprimiti najkasnije do 12</w:t>
      </w:r>
      <w:r w:rsidR="00D91CEB" w:rsidRPr="00653DCF">
        <w:rPr>
          <w:color w:val="auto"/>
          <w:lang w:val="hr-HR"/>
        </w:rPr>
        <w:t>:00</w:t>
      </w:r>
      <w:r w:rsidRPr="00653DCF">
        <w:rPr>
          <w:color w:val="auto"/>
          <w:lang w:val="hr-HR"/>
        </w:rPr>
        <w:t xml:space="preserve"> sati </w:t>
      </w:r>
      <w:r w:rsidR="00D91CEB" w:rsidRPr="00653DCF">
        <w:rPr>
          <w:color w:val="auto"/>
          <w:lang w:val="hr-HR"/>
        </w:rPr>
        <w:t>po luksemburškom vremenu sljedećeg radnog dana na koji je Banka otvorena</w:t>
      </w:r>
      <w:r w:rsidR="006F48E3" w:rsidRPr="00653DCF">
        <w:rPr>
          <w:color w:val="auto"/>
          <w:lang w:val="hr-HR"/>
        </w:rPr>
        <w:t xml:space="preserve"> za redovno poslovanj</w:t>
      </w:r>
      <w:r w:rsidR="00037CE4" w:rsidRPr="00653DCF">
        <w:rPr>
          <w:color w:val="auto"/>
          <w:lang w:val="hr-HR"/>
        </w:rPr>
        <w:t xml:space="preserve">e, nakon čega </w:t>
      </w:r>
      <w:r w:rsidR="0007730F" w:rsidRPr="00653DCF">
        <w:rPr>
          <w:color w:val="auto"/>
          <w:lang w:val="hr-HR"/>
        </w:rPr>
        <w:t xml:space="preserve">takav </w:t>
      </w:r>
      <w:r w:rsidRPr="00653DCF">
        <w:rPr>
          <w:color w:val="auto"/>
          <w:lang w:val="hr-HR"/>
        </w:rPr>
        <w:t xml:space="preserve">zahtjev za isplatu i </w:t>
      </w:r>
      <w:r w:rsidR="00037CE4" w:rsidRPr="00653DCF">
        <w:rPr>
          <w:color w:val="auto"/>
          <w:lang w:val="hr-HR"/>
        </w:rPr>
        <w:t>o</w:t>
      </w:r>
      <w:r w:rsidRPr="00653DCF">
        <w:rPr>
          <w:color w:val="auto"/>
          <w:lang w:val="hr-HR"/>
        </w:rPr>
        <w:t xml:space="preserve">bavijest o isplati </w:t>
      </w:r>
      <w:r w:rsidR="00037CE4" w:rsidRPr="00653DCF">
        <w:rPr>
          <w:color w:val="auto"/>
          <w:lang w:val="hr-HR"/>
        </w:rPr>
        <w:t xml:space="preserve">prestaju biti </w:t>
      </w:r>
      <w:r w:rsidR="00F551BD" w:rsidRPr="00653DCF">
        <w:rPr>
          <w:color w:val="auto"/>
          <w:lang w:val="hr-HR"/>
        </w:rPr>
        <w:t>važeći</w:t>
      </w:r>
      <w:r w:rsidRPr="00653DCF">
        <w:rPr>
          <w:color w:val="auto"/>
          <w:lang w:val="hr-HR"/>
        </w:rPr>
        <w:t xml:space="preserve">. Ako Zajmoprimac </w:t>
      </w:r>
      <w:r w:rsidR="00CE35EC" w:rsidRPr="00653DCF">
        <w:rPr>
          <w:color w:val="auto"/>
          <w:lang w:val="hr-HR"/>
        </w:rPr>
        <w:t xml:space="preserve">ne povuče </w:t>
      </w:r>
      <w:r w:rsidR="00B539F9" w:rsidRPr="00653DCF">
        <w:rPr>
          <w:color w:val="auto"/>
          <w:lang w:val="hr-HR"/>
        </w:rPr>
        <w:t xml:space="preserve">svoj </w:t>
      </w:r>
      <w:r w:rsidRPr="00653DCF">
        <w:rPr>
          <w:color w:val="auto"/>
          <w:lang w:val="hr-HR"/>
        </w:rPr>
        <w:t xml:space="preserve">zahtjev za isplatu u pisanom obliku i </w:t>
      </w:r>
      <w:r w:rsidR="00CE35EC" w:rsidRPr="00653DCF">
        <w:rPr>
          <w:color w:val="auto"/>
          <w:lang w:val="hr-HR"/>
        </w:rPr>
        <w:t xml:space="preserve">unutar gore navedenog </w:t>
      </w:r>
      <w:r w:rsidRPr="00653DCF">
        <w:rPr>
          <w:color w:val="auto"/>
          <w:lang w:val="hr-HR"/>
        </w:rPr>
        <w:t>rok</w:t>
      </w:r>
      <w:r w:rsidR="00CE35EC" w:rsidRPr="00653DCF">
        <w:rPr>
          <w:color w:val="auto"/>
          <w:lang w:val="hr-HR"/>
        </w:rPr>
        <w:t>a</w:t>
      </w:r>
      <w:r w:rsidRPr="00653DCF">
        <w:rPr>
          <w:color w:val="auto"/>
          <w:lang w:val="hr-HR"/>
        </w:rPr>
        <w:t xml:space="preserve">, smatrat će se da je Zajmoprimac prihvatio sve uvjete navedene u </w:t>
      </w:r>
      <w:r w:rsidR="004E36AA" w:rsidRPr="00653DCF">
        <w:rPr>
          <w:color w:val="auto"/>
          <w:lang w:val="hr-HR"/>
        </w:rPr>
        <w:t xml:space="preserve">toj </w:t>
      </w:r>
      <w:r w:rsidR="00B539F9" w:rsidRPr="00653DCF">
        <w:rPr>
          <w:color w:val="auto"/>
          <w:lang w:val="hr-HR"/>
        </w:rPr>
        <w:t>o</w:t>
      </w:r>
      <w:r w:rsidRPr="00653DCF">
        <w:rPr>
          <w:color w:val="auto"/>
          <w:lang w:val="hr-HR"/>
        </w:rPr>
        <w:t>bavijesti o isplati.</w:t>
      </w:r>
      <w:bookmarkEnd w:id="85"/>
      <w:bookmarkEnd w:id="86"/>
    </w:p>
    <w:p w14:paraId="49D998D2" w14:textId="1075E476" w:rsidR="007A2A6F" w:rsidRPr="00653DCF" w:rsidRDefault="00E87B0B">
      <w:pPr>
        <w:pStyle w:val="NoIndentEIB"/>
        <w:numPr>
          <w:ilvl w:val="0"/>
          <w:numId w:val="15"/>
        </w:numPr>
        <w:rPr>
          <w:color w:val="auto"/>
          <w:lang w:val="hr-HR"/>
        </w:rPr>
      </w:pPr>
      <w:bookmarkStart w:id="87" w:name="_Ref427211241"/>
      <w:r w:rsidRPr="00653DCF">
        <w:rPr>
          <w:color w:val="auto"/>
          <w:lang w:val="hr-HR"/>
        </w:rPr>
        <w:t xml:space="preserve">Ako Zajmoprimac u </w:t>
      </w:r>
      <w:r w:rsidR="00E22EB2" w:rsidRPr="00653DCF">
        <w:rPr>
          <w:color w:val="auto"/>
          <w:lang w:val="hr-HR"/>
        </w:rPr>
        <w:t xml:space="preserve">svom </w:t>
      </w:r>
      <w:r w:rsidRPr="00653DCF">
        <w:rPr>
          <w:color w:val="auto"/>
          <w:lang w:val="hr-HR"/>
        </w:rPr>
        <w:t xml:space="preserve">zahtjevu za isplatu </w:t>
      </w:r>
      <w:r w:rsidR="00E22EB2" w:rsidRPr="00653DCF">
        <w:rPr>
          <w:color w:val="auto"/>
          <w:lang w:val="hr-HR"/>
        </w:rPr>
        <w:t xml:space="preserve">ne navede </w:t>
      </w:r>
      <w:r w:rsidRPr="00653DCF">
        <w:rPr>
          <w:color w:val="auto"/>
          <w:lang w:val="hr-HR"/>
        </w:rPr>
        <w:t xml:space="preserve">fiksnu kamatnu stopu ili </w:t>
      </w:r>
      <w:r w:rsidR="00F069D4" w:rsidRPr="00653DCF">
        <w:rPr>
          <w:color w:val="auto"/>
          <w:lang w:val="hr-HR"/>
        </w:rPr>
        <w:t>kamatnu maržu</w:t>
      </w:r>
      <w:r w:rsidRPr="00653DCF">
        <w:rPr>
          <w:color w:val="auto"/>
          <w:lang w:val="hr-HR"/>
        </w:rPr>
        <w:t xml:space="preserve"> iz članka</w:t>
      </w:r>
      <w:r w:rsidR="00F069D4" w:rsidRPr="00653DCF">
        <w:rPr>
          <w:color w:val="auto"/>
          <w:lang w:val="hr-HR"/>
        </w:rPr>
        <w:t xml:space="preserve"> </w:t>
      </w:r>
      <w:r w:rsidRPr="00653DCF">
        <w:rPr>
          <w:color w:val="auto"/>
          <w:lang w:val="hr-HR"/>
        </w:rPr>
        <w:fldChar w:fldCharType="begin"/>
      </w:r>
      <w:r w:rsidRPr="00653DCF">
        <w:rPr>
          <w:color w:val="auto"/>
          <w:lang w:val="hr-HR"/>
        </w:rPr>
        <w:instrText xml:space="preserve"> REF _Ref426638944 \r \h  \* MERGEFORMAT </w:instrText>
      </w:r>
      <w:r w:rsidRPr="00653DCF">
        <w:rPr>
          <w:color w:val="auto"/>
          <w:lang w:val="hr-HR"/>
        </w:rPr>
      </w:r>
      <w:r w:rsidRPr="00653DCF">
        <w:rPr>
          <w:color w:val="auto"/>
          <w:lang w:val="hr-HR"/>
        </w:rPr>
        <w:fldChar w:fldCharType="separate"/>
      </w:r>
      <w:r w:rsidR="00E5391B">
        <w:rPr>
          <w:color w:val="auto"/>
          <w:lang w:val="hr-HR"/>
        </w:rPr>
        <w:t>1.2.B</w:t>
      </w:r>
      <w:r w:rsidRPr="00653DCF">
        <w:rPr>
          <w:color w:val="auto"/>
          <w:lang w:val="hr-HR"/>
        </w:rPr>
        <w:fldChar w:fldCharType="end"/>
      </w:r>
      <w:r w:rsidRPr="00653DCF">
        <w:rPr>
          <w:color w:val="auto"/>
          <w:lang w:val="hr-HR"/>
        </w:rPr>
        <w:fldChar w:fldCharType="begin"/>
      </w:r>
      <w:r w:rsidRPr="00653DCF">
        <w:rPr>
          <w:color w:val="auto"/>
          <w:lang w:val="hr-HR"/>
        </w:rPr>
        <w:instrText xml:space="preserve"> REF _Ref426722798 \r \h  \* MERGEFORMAT </w:instrText>
      </w:r>
      <w:r w:rsidRPr="00653DCF">
        <w:rPr>
          <w:color w:val="auto"/>
          <w:lang w:val="hr-HR"/>
        </w:rPr>
      </w:r>
      <w:r w:rsidRPr="00653DCF">
        <w:rPr>
          <w:color w:val="auto"/>
          <w:lang w:val="hr-HR"/>
        </w:rPr>
        <w:fldChar w:fldCharType="separate"/>
      </w:r>
      <w:r w:rsidR="00E5391B">
        <w:rPr>
          <w:color w:val="auto"/>
          <w:lang w:val="hr-HR"/>
        </w:rPr>
        <w:t>(b)</w:t>
      </w:r>
      <w:r w:rsidRPr="00653DCF">
        <w:rPr>
          <w:color w:val="auto"/>
          <w:lang w:val="hr-HR"/>
        </w:rPr>
        <w:fldChar w:fldCharType="end"/>
      </w:r>
      <w:r w:rsidRPr="00653DCF">
        <w:rPr>
          <w:color w:val="auto"/>
          <w:lang w:val="hr-HR"/>
        </w:rPr>
        <w:t xml:space="preserve">, smatrat će se da je </w:t>
      </w:r>
      <w:r w:rsidR="00E22EB2" w:rsidRPr="00653DCF">
        <w:rPr>
          <w:color w:val="auto"/>
          <w:lang w:val="hr-HR"/>
        </w:rPr>
        <w:t>Z</w:t>
      </w:r>
      <w:r w:rsidRPr="00653DCF">
        <w:rPr>
          <w:color w:val="auto"/>
          <w:lang w:val="hr-HR"/>
        </w:rPr>
        <w:t xml:space="preserve">ajmoprimac pristao na fiksnu kamatnu stopu ili </w:t>
      </w:r>
      <w:r w:rsidR="00E22EB2" w:rsidRPr="00653DCF">
        <w:rPr>
          <w:color w:val="auto"/>
          <w:lang w:val="hr-HR"/>
        </w:rPr>
        <w:t xml:space="preserve">kamatnu maržu </w:t>
      </w:r>
      <w:r w:rsidR="00BB4AE7" w:rsidRPr="00653DCF">
        <w:rPr>
          <w:color w:val="auto"/>
          <w:lang w:val="hr-HR"/>
        </w:rPr>
        <w:t xml:space="preserve">onako kako je </w:t>
      </w:r>
      <w:r w:rsidR="00F551BD" w:rsidRPr="00653DCF">
        <w:rPr>
          <w:color w:val="auto"/>
          <w:lang w:val="hr-HR"/>
        </w:rPr>
        <w:t xml:space="preserve">ona </w:t>
      </w:r>
      <w:r w:rsidR="00BB4AE7" w:rsidRPr="00653DCF">
        <w:rPr>
          <w:color w:val="auto"/>
          <w:lang w:val="hr-HR"/>
        </w:rPr>
        <w:t xml:space="preserve">naknadno navedena </w:t>
      </w:r>
      <w:r w:rsidR="00E22EB2" w:rsidRPr="00653DCF">
        <w:rPr>
          <w:color w:val="auto"/>
          <w:lang w:val="hr-HR"/>
        </w:rPr>
        <w:t>u obavijesti o isplati</w:t>
      </w:r>
      <w:r w:rsidRPr="00653DCF">
        <w:rPr>
          <w:color w:val="auto"/>
          <w:lang w:val="hr-HR"/>
        </w:rPr>
        <w:t>.</w:t>
      </w:r>
      <w:bookmarkEnd w:id="87"/>
    </w:p>
    <w:p w14:paraId="193F5074" w14:textId="77777777" w:rsidR="007A2A6F" w:rsidRPr="00653DCF" w:rsidRDefault="00E87B0B" w:rsidP="00B73D6F">
      <w:pPr>
        <w:pStyle w:val="Heading3"/>
        <w:ind w:left="851"/>
        <w:rPr>
          <w:color w:val="auto"/>
          <w:lang w:val="hr-HR"/>
        </w:rPr>
      </w:pPr>
      <w:bookmarkStart w:id="88" w:name="_Ref487495131"/>
      <w:bookmarkStart w:id="89" w:name="_Ref441139738"/>
      <w:bookmarkStart w:id="90" w:name="_Toc475441109"/>
      <w:bookmarkStart w:id="91" w:name="_Toc498018604"/>
      <w:bookmarkStart w:id="92" w:name="_Toc508120462"/>
      <w:bookmarkStart w:id="93" w:name="_Toc126080654"/>
      <w:bookmarkStart w:id="94" w:name="_Toc126080786"/>
      <w:r w:rsidRPr="00653DCF">
        <w:rPr>
          <w:color w:val="auto"/>
          <w:lang w:val="hr-HR"/>
        </w:rPr>
        <w:t>Račun za isplatu</w:t>
      </w:r>
      <w:bookmarkEnd w:id="88"/>
      <w:bookmarkEnd w:id="89"/>
      <w:bookmarkEnd w:id="90"/>
      <w:bookmarkEnd w:id="91"/>
      <w:bookmarkEnd w:id="92"/>
      <w:bookmarkEnd w:id="93"/>
      <w:bookmarkEnd w:id="94"/>
    </w:p>
    <w:p w14:paraId="2CFE33DB" w14:textId="0296860F" w:rsidR="007A2A6F" w:rsidRPr="00653DCF" w:rsidRDefault="00E87B0B">
      <w:pPr>
        <w:rPr>
          <w:color w:val="auto"/>
          <w:lang w:val="hr-HR"/>
        </w:rPr>
      </w:pPr>
      <w:r w:rsidRPr="00653DCF">
        <w:rPr>
          <w:color w:val="auto"/>
          <w:lang w:val="hr-HR"/>
        </w:rPr>
        <w:t xml:space="preserve">Isplata </w:t>
      </w:r>
      <w:r w:rsidR="00574C89" w:rsidRPr="00653DCF">
        <w:rPr>
          <w:color w:val="auto"/>
          <w:lang w:val="hr-HR"/>
        </w:rPr>
        <w:t xml:space="preserve">će se izvršiti na račun </w:t>
      </w:r>
      <w:r w:rsidRPr="00653DCF">
        <w:rPr>
          <w:color w:val="auto"/>
          <w:lang w:val="hr-HR"/>
        </w:rPr>
        <w:t xml:space="preserve">za isplatu naveden u relevantnom zahtjevu za isplatu, </w:t>
      </w:r>
      <w:r w:rsidR="00574C89" w:rsidRPr="00653DCF">
        <w:rPr>
          <w:color w:val="auto"/>
          <w:lang w:val="hr-HR"/>
        </w:rPr>
        <w:t xml:space="preserve">uz uvjet </w:t>
      </w:r>
      <w:r w:rsidRPr="00653DCF">
        <w:rPr>
          <w:color w:val="auto"/>
          <w:lang w:val="hr-HR"/>
        </w:rPr>
        <w:t xml:space="preserve">da </w:t>
      </w:r>
      <w:r w:rsidR="006702C6" w:rsidRPr="00653DCF">
        <w:rPr>
          <w:color w:val="auto"/>
          <w:lang w:val="hr-HR"/>
        </w:rPr>
        <w:t xml:space="preserve">je </w:t>
      </w:r>
      <w:r w:rsidRPr="00653DCF">
        <w:rPr>
          <w:color w:val="auto"/>
          <w:lang w:val="hr-HR"/>
        </w:rPr>
        <w:t xml:space="preserve">takav račun za isplatu </w:t>
      </w:r>
      <w:r w:rsidR="00F012D1" w:rsidRPr="00653DCF">
        <w:rPr>
          <w:color w:val="auto"/>
          <w:lang w:val="hr-HR"/>
        </w:rPr>
        <w:t xml:space="preserve">prihvatljiv </w:t>
      </w:r>
      <w:r w:rsidRPr="00653DCF">
        <w:rPr>
          <w:color w:val="auto"/>
          <w:lang w:val="hr-HR"/>
        </w:rPr>
        <w:t>Banci.</w:t>
      </w:r>
    </w:p>
    <w:p w14:paraId="0195F620" w14:textId="521B09E3" w:rsidR="00B10539" w:rsidRPr="00653DCF" w:rsidRDefault="00F012D1">
      <w:pPr>
        <w:rPr>
          <w:color w:val="auto"/>
          <w:lang w:val="hr-HR"/>
        </w:rPr>
      </w:pPr>
      <w:r w:rsidRPr="00653DCF">
        <w:rPr>
          <w:color w:val="auto"/>
          <w:lang w:val="hr-HR"/>
        </w:rPr>
        <w:t xml:space="preserve">Bez obzira na članak </w:t>
      </w:r>
      <w:r w:rsidR="00E87B0B" w:rsidRPr="00653DCF">
        <w:rPr>
          <w:color w:val="auto"/>
          <w:lang w:val="hr-HR"/>
        </w:rPr>
        <w:fldChar w:fldCharType="begin"/>
      </w:r>
      <w:r w:rsidR="00E87B0B" w:rsidRPr="00653DCF">
        <w:rPr>
          <w:color w:val="auto"/>
          <w:lang w:val="hr-HR"/>
        </w:rPr>
        <w:instrText xml:space="preserve"> REF _Ref487642630 \w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5.2</w:t>
      </w:r>
      <w:r w:rsidR="00E87B0B" w:rsidRPr="00653DCF">
        <w:rPr>
          <w:color w:val="auto"/>
          <w:lang w:val="hr-HR"/>
        </w:rPr>
        <w:fldChar w:fldCharType="end"/>
      </w:r>
      <w:r w:rsidR="00E87B0B" w:rsidRPr="00653DCF">
        <w:rPr>
          <w:color w:val="auto"/>
          <w:lang w:val="hr-HR"/>
        </w:rPr>
        <w:fldChar w:fldCharType="begin"/>
      </w:r>
      <w:r w:rsidR="00E87B0B" w:rsidRPr="00653DCF">
        <w:rPr>
          <w:color w:val="auto"/>
          <w:lang w:val="hr-HR"/>
        </w:rPr>
        <w:instrText xml:space="preserve"> REF _Ref487642617 \w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(e)</w:t>
      </w:r>
      <w:r w:rsidR="00E87B0B" w:rsidRPr="00653DCF">
        <w:rPr>
          <w:color w:val="auto"/>
          <w:lang w:val="hr-HR"/>
        </w:rPr>
        <w:fldChar w:fldCharType="end"/>
      </w:r>
      <w:r w:rsidR="00E87B0B" w:rsidRPr="00653DCF">
        <w:rPr>
          <w:color w:val="auto"/>
          <w:lang w:val="hr-HR"/>
        </w:rPr>
        <w:t xml:space="preserve">, Zajmoprimac potvrđuje da </w:t>
      </w:r>
      <w:r w:rsidR="006702C6" w:rsidRPr="00653DCF">
        <w:rPr>
          <w:color w:val="auto"/>
          <w:lang w:val="hr-HR"/>
        </w:rPr>
        <w:t xml:space="preserve">plaćanja </w:t>
      </w:r>
      <w:r w:rsidR="00AE5ED8" w:rsidRPr="00653DCF">
        <w:rPr>
          <w:color w:val="auto"/>
          <w:lang w:val="hr-HR"/>
        </w:rPr>
        <w:t>izvršena</w:t>
      </w:r>
      <w:r w:rsidR="006702C6" w:rsidRPr="00653DCF">
        <w:rPr>
          <w:color w:val="auto"/>
          <w:lang w:val="hr-HR"/>
        </w:rPr>
        <w:t xml:space="preserve"> </w:t>
      </w:r>
      <w:r w:rsidR="00B10539" w:rsidRPr="00653DCF">
        <w:rPr>
          <w:color w:val="auto"/>
          <w:lang w:val="hr-HR"/>
        </w:rPr>
        <w:t>na račun za isplate o kojemu je Zajmoprimac obavijesti</w:t>
      </w:r>
      <w:r w:rsidR="00632C45" w:rsidRPr="00653DCF">
        <w:rPr>
          <w:color w:val="auto"/>
          <w:lang w:val="hr-HR"/>
        </w:rPr>
        <w:t>o</w:t>
      </w:r>
      <w:r w:rsidR="00B10539" w:rsidRPr="00653DCF">
        <w:rPr>
          <w:color w:val="auto"/>
          <w:lang w:val="hr-HR"/>
        </w:rPr>
        <w:t xml:space="preserve"> Banku</w:t>
      </w:r>
      <w:r w:rsidR="00632C45" w:rsidRPr="00653DCF">
        <w:rPr>
          <w:color w:val="auto"/>
          <w:lang w:val="hr-HR"/>
        </w:rPr>
        <w:t xml:space="preserve"> predstavljaju isplate u skladu s ovim Ugovorom </w:t>
      </w:r>
      <w:r w:rsidR="002443BD" w:rsidRPr="00653DCF">
        <w:rPr>
          <w:color w:val="auto"/>
          <w:lang w:val="hr-HR"/>
        </w:rPr>
        <w:t xml:space="preserve">kao da </w:t>
      </w:r>
      <w:r w:rsidR="00DD7F11" w:rsidRPr="00653DCF">
        <w:rPr>
          <w:color w:val="auto"/>
          <w:lang w:val="hr-HR"/>
        </w:rPr>
        <w:t xml:space="preserve">su </w:t>
      </w:r>
      <w:r w:rsidR="00800037" w:rsidRPr="00653DCF">
        <w:rPr>
          <w:color w:val="auto"/>
          <w:lang w:val="hr-HR"/>
        </w:rPr>
        <w:t xml:space="preserve">izvršene </w:t>
      </w:r>
      <w:r w:rsidR="004234CD" w:rsidRPr="00653DCF">
        <w:rPr>
          <w:color w:val="auto"/>
          <w:lang w:val="hr-HR"/>
        </w:rPr>
        <w:t>na Zajmoprimčev vlastiti bankovni račun.</w:t>
      </w:r>
    </w:p>
    <w:p w14:paraId="750994B0" w14:textId="486278C1" w:rsidR="006702C6" w:rsidRPr="00653DCF" w:rsidRDefault="006702C6">
      <w:pPr>
        <w:rPr>
          <w:color w:val="auto"/>
          <w:lang w:val="hr-HR"/>
        </w:rPr>
      </w:pPr>
      <w:r w:rsidRPr="00653DCF">
        <w:rPr>
          <w:color w:val="auto"/>
          <w:lang w:val="hr-HR"/>
        </w:rPr>
        <w:t xml:space="preserve">Za svaku tranšu može </w:t>
      </w:r>
      <w:r w:rsidR="00800037" w:rsidRPr="00653DCF">
        <w:rPr>
          <w:color w:val="auto"/>
          <w:lang w:val="hr-HR"/>
        </w:rPr>
        <w:t xml:space="preserve">se </w:t>
      </w:r>
      <w:r w:rsidRPr="00653DCF">
        <w:rPr>
          <w:color w:val="auto"/>
          <w:lang w:val="hr-HR"/>
        </w:rPr>
        <w:t>navesti samo jedan račun za isplatu.</w:t>
      </w:r>
    </w:p>
    <w:p w14:paraId="2064EE37" w14:textId="77777777" w:rsidR="007A2A6F" w:rsidRPr="00653DCF" w:rsidRDefault="00E87B0B" w:rsidP="00B73D6F">
      <w:pPr>
        <w:pStyle w:val="Heading2"/>
        <w:ind w:left="851"/>
        <w:rPr>
          <w:color w:val="auto"/>
          <w:lang w:val="hr-HR"/>
        </w:rPr>
      </w:pPr>
      <w:bookmarkStart w:id="95" w:name="_Toc475441110"/>
      <w:bookmarkStart w:id="96" w:name="_Toc498018605"/>
      <w:bookmarkStart w:id="97" w:name="_Toc508120463"/>
      <w:bookmarkStart w:id="98" w:name="_Toc126080655"/>
      <w:bookmarkStart w:id="99" w:name="_Toc126080787"/>
      <w:r w:rsidRPr="00653DCF">
        <w:rPr>
          <w:color w:val="auto"/>
          <w:lang w:val="hr-HR"/>
        </w:rPr>
        <w:t>Valuta isplate</w:t>
      </w:r>
      <w:bookmarkEnd w:id="95"/>
      <w:bookmarkEnd w:id="96"/>
      <w:bookmarkEnd w:id="97"/>
      <w:bookmarkEnd w:id="98"/>
      <w:bookmarkEnd w:id="99"/>
    </w:p>
    <w:p w14:paraId="11FEC01C" w14:textId="4165033A" w:rsidR="007A2A6F" w:rsidRPr="00653DCF" w:rsidRDefault="00E87B0B">
      <w:pPr>
        <w:rPr>
          <w:color w:val="auto"/>
          <w:lang w:val="hr-HR"/>
        </w:rPr>
      </w:pPr>
      <w:r w:rsidRPr="00653DCF">
        <w:rPr>
          <w:color w:val="auto"/>
          <w:lang w:val="hr-HR"/>
        </w:rPr>
        <w:t>Svaka tranša isplaćuje se u EUR.</w:t>
      </w:r>
    </w:p>
    <w:p w14:paraId="4B075CC2" w14:textId="77777777" w:rsidR="007A2A6F" w:rsidRPr="00653DCF" w:rsidRDefault="00E87B0B" w:rsidP="00B73D6F">
      <w:pPr>
        <w:pStyle w:val="Heading2"/>
        <w:ind w:left="851"/>
        <w:rPr>
          <w:color w:val="auto"/>
          <w:lang w:val="hr-HR"/>
        </w:rPr>
      </w:pPr>
      <w:bookmarkStart w:id="100" w:name="_Ref426639107"/>
      <w:bookmarkStart w:id="101" w:name="_Toc475441111"/>
      <w:bookmarkStart w:id="102" w:name="_Toc498018606"/>
      <w:bookmarkStart w:id="103" w:name="_Toc508120464"/>
      <w:bookmarkStart w:id="104" w:name="_Toc126080656"/>
      <w:bookmarkStart w:id="105" w:name="_Toc126080788"/>
      <w:r w:rsidRPr="00653DCF">
        <w:rPr>
          <w:color w:val="auto"/>
          <w:lang w:val="hr-HR"/>
        </w:rPr>
        <w:t>Uvjeti isplate</w:t>
      </w:r>
      <w:bookmarkEnd w:id="100"/>
      <w:bookmarkEnd w:id="101"/>
      <w:bookmarkEnd w:id="102"/>
      <w:bookmarkEnd w:id="103"/>
      <w:bookmarkEnd w:id="104"/>
      <w:bookmarkEnd w:id="105"/>
    </w:p>
    <w:p w14:paraId="747E4A60" w14:textId="06DBC7D0" w:rsidR="007A2A6F" w:rsidRPr="00653DCF" w:rsidRDefault="00800037" w:rsidP="00B73D6F">
      <w:pPr>
        <w:pStyle w:val="Heading3"/>
        <w:ind w:left="851"/>
        <w:rPr>
          <w:color w:val="auto"/>
          <w:lang w:val="hr-HR"/>
        </w:rPr>
      </w:pPr>
      <w:bookmarkStart w:id="106" w:name="_Toc508120465"/>
      <w:bookmarkStart w:id="107" w:name="_Ref508700673"/>
      <w:bookmarkStart w:id="108" w:name="_Ref508700818"/>
      <w:bookmarkStart w:id="109" w:name="_Ref519595029"/>
      <w:bookmarkStart w:id="110" w:name="_Toc126080657"/>
      <w:bookmarkStart w:id="111" w:name="_Toc126080789"/>
      <w:r w:rsidRPr="00653DCF">
        <w:rPr>
          <w:color w:val="auto"/>
          <w:lang w:val="hr-HR"/>
        </w:rPr>
        <w:t>Preduvjet</w:t>
      </w:r>
      <w:r w:rsidR="00E87B0B" w:rsidRPr="00653DCF">
        <w:rPr>
          <w:color w:val="auto"/>
          <w:lang w:val="hr-HR"/>
        </w:rPr>
        <w:t xml:space="preserve"> za prvi zahtjev za isplatu</w:t>
      </w:r>
      <w:bookmarkEnd w:id="106"/>
      <w:bookmarkEnd w:id="107"/>
      <w:bookmarkEnd w:id="108"/>
      <w:bookmarkEnd w:id="109"/>
      <w:bookmarkEnd w:id="110"/>
      <w:bookmarkEnd w:id="111"/>
    </w:p>
    <w:p w14:paraId="12BF053F" w14:textId="75960D85" w:rsidR="00E46CB7" w:rsidRPr="00653DCF" w:rsidRDefault="0002599B">
      <w:pPr>
        <w:rPr>
          <w:color w:val="auto"/>
          <w:lang w:val="hr-HR"/>
        </w:rPr>
      </w:pPr>
      <w:r w:rsidRPr="00653DCF">
        <w:rPr>
          <w:color w:val="auto"/>
          <w:lang w:val="hr-HR"/>
        </w:rPr>
        <w:t xml:space="preserve">Prije nego </w:t>
      </w:r>
      <w:r w:rsidR="00B37A7A" w:rsidRPr="00653DCF">
        <w:rPr>
          <w:color w:val="auto"/>
          <w:lang w:val="hr-HR"/>
        </w:rPr>
        <w:t xml:space="preserve">što </w:t>
      </w:r>
      <w:r w:rsidRPr="00653DCF">
        <w:rPr>
          <w:color w:val="auto"/>
          <w:lang w:val="hr-HR"/>
        </w:rPr>
        <w:t xml:space="preserve">Zajmoprimac dostavi </w:t>
      </w:r>
      <w:r w:rsidR="00B37A7A" w:rsidRPr="00653DCF">
        <w:rPr>
          <w:color w:val="auto"/>
          <w:lang w:val="hr-HR"/>
        </w:rPr>
        <w:t xml:space="preserve">Banci </w:t>
      </w:r>
      <w:r w:rsidRPr="00653DCF">
        <w:rPr>
          <w:color w:val="auto"/>
          <w:lang w:val="hr-HR"/>
        </w:rPr>
        <w:t xml:space="preserve">zahtjev za isplatu, </w:t>
      </w:r>
      <w:r w:rsidR="001B25BB" w:rsidRPr="00653DCF">
        <w:rPr>
          <w:color w:val="auto"/>
          <w:lang w:val="hr-HR"/>
        </w:rPr>
        <w:t xml:space="preserve">Banka </w:t>
      </w:r>
      <w:r w:rsidR="00DD7F11" w:rsidRPr="00653DCF">
        <w:rPr>
          <w:color w:val="auto"/>
          <w:lang w:val="hr-HR"/>
        </w:rPr>
        <w:t>će od</w:t>
      </w:r>
      <w:r w:rsidR="001B25BB" w:rsidRPr="00653DCF">
        <w:rPr>
          <w:color w:val="auto"/>
          <w:lang w:val="hr-HR"/>
        </w:rPr>
        <w:t xml:space="preserve"> Zajmoprimca </w:t>
      </w:r>
      <w:r w:rsidR="00804A55" w:rsidRPr="00653DCF">
        <w:rPr>
          <w:color w:val="auto"/>
          <w:lang w:val="hr-HR"/>
        </w:rPr>
        <w:t>za</w:t>
      </w:r>
      <w:r w:rsidR="00B37A7A" w:rsidRPr="00653DCF">
        <w:rPr>
          <w:color w:val="auto"/>
          <w:lang w:val="hr-HR"/>
        </w:rPr>
        <w:t>primiti</w:t>
      </w:r>
      <w:r w:rsidR="001B25BB" w:rsidRPr="00653DCF">
        <w:rPr>
          <w:color w:val="auto"/>
          <w:lang w:val="hr-HR"/>
        </w:rPr>
        <w:t xml:space="preserve">, u obliku i sadržaju </w:t>
      </w:r>
      <w:r w:rsidR="00244EFE" w:rsidRPr="00653DCF">
        <w:rPr>
          <w:color w:val="auto"/>
          <w:lang w:val="hr-HR"/>
        </w:rPr>
        <w:t>odgovarajućem</w:t>
      </w:r>
      <w:r w:rsidR="001B25BB" w:rsidRPr="00653DCF">
        <w:rPr>
          <w:color w:val="auto"/>
          <w:lang w:val="hr-HR"/>
        </w:rPr>
        <w:t xml:space="preserve"> za Banku</w:t>
      </w:r>
      <w:r w:rsidR="00B37A7A" w:rsidRPr="00653DCF">
        <w:rPr>
          <w:color w:val="auto"/>
          <w:lang w:val="hr-HR"/>
        </w:rPr>
        <w:t>, sljedeće</w:t>
      </w:r>
      <w:r w:rsidR="001B25BB" w:rsidRPr="00653DCF">
        <w:rPr>
          <w:color w:val="auto"/>
          <w:lang w:val="hr-HR"/>
        </w:rPr>
        <w:t>:</w:t>
      </w:r>
    </w:p>
    <w:p w14:paraId="3830C90B" w14:textId="5576AB96" w:rsidR="007A2A6F" w:rsidRPr="00653DCF" w:rsidRDefault="00E87B0B">
      <w:pPr>
        <w:widowControl w:val="0"/>
        <w:numPr>
          <w:ilvl w:val="0"/>
          <w:numId w:val="16"/>
        </w:numPr>
        <w:rPr>
          <w:color w:val="auto"/>
          <w:lang w:val="hr-HR"/>
        </w:rPr>
      </w:pPr>
      <w:r w:rsidRPr="00653DCF">
        <w:rPr>
          <w:color w:val="auto"/>
          <w:lang w:val="hr-HR"/>
        </w:rPr>
        <w:t xml:space="preserve">dokaz da </w:t>
      </w:r>
      <w:r w:rsidR="003B46D5" w:rsidRPr="00653DCF">
        <w:rPr>
          <w:color w:val="auto"/>
          <w:lang w:val="hr-HR"/>
        </w:rPr>
        <w:t xml:space="preserve">su za potpisivanje ovog Ugovora od </w:t>
      </w:r>
      <w:r w:rsidR="00A80728" w:rsidRPr="00653DCF">
        <w:rPr>
          <w:color w:val="auto"/>
          <w:lang w:val="hr-HR"/>
        </w:rPr>
        <w:t xml:space="preserve">strane </w:t>
      </w:r>
      <w:r w:rsidR="003B46D5" w:rsidRPr="00653DCF">
        <w:rPr>
          <w:color w:val="auto"/>
          <w:lang w:val="hr-HR"/>
        </w:rPr>
        <w:t xml:space="preserve">Zajmoprimca </w:t>
      </w:r>
      <w:r w:rsidR="00A80728" w:rsidRPr="00653DCF">
        <w:rPr>
          <w:color w:val="auto"/>
          <w:lang w:val="hr-HR"/>
        </w:rPr>
        <w:t xml:space="preserve">dobivena </w:t>
      </w:r>
      <w:r w:rsidR="003B46D5" w:rsidRPr="00653DCF">
        <w:rPr>
          <w:color w:val="auto"/>
          <w:lang w:val="hr-HR"/>
        </w:rPr>
        <w:t xml:space="preserve">propisna ovlaštenja </w:t>
      </w:r>
      <w:r w:rsidR="006249E5" w:rsidRPr="00653DCF">
        <w:rPr>
          <w:color w:val="auto"/>
          <w:lang w:val="hr-HR"/>
        </w:rPr>
        <w:t xml:space="preserve">i da je osoba/su </w:t>
      </w:r>
      <w:r w:rsidR="00D0607B" w:rsidRPr="00653DCF">
        <w:rPr>
          <w:color w:val="auto"/>
          <w:lang w:val="hr-HR"/>
        </w:rPr>
        <w:t>osobe koj</w:t>
      </w:r>
      <w:r w:rsidR="006249E5" w:rsidRPr="00653DCF">
        <w:rPr>
          <w:color w:val="auto"/>
          <w:lang w:val="hr-HR"/>
        </w:rPr>
        <w:t>a potpisuje/koj</w:t>
      </w:r>
      <w:r w:rsidR="00D0607B" w:rsidRPr="00653DCF">
        <w:rPr>
          <w:color w:val="auto"/>
          <w:lang w:val="hr-HR"/>
        </w:rPr>
        <w:t>e potpisuju ovaj Ugovor u ime Zajmoprimca za to propisno ovlašten</w:t>
      </w:r>
      <w:r w:rsidR="006249E5" w:rsidRPr="00653DCF">
        <w:rPr>
          <w:color w:val="auto"/>
          <w:lang w:val="hr-HR"/>
        </w:rPr>
        <w:t>a/ovlašten</w:t>
      </w:r>
      <w:r w:rsidR="00D0607B" w:rsidRPr="00653DCF">
        <w:rPr>
          <w:color w:val="auto"/>
          <w:lang w:val="hr-HR"/>
        </w:rPr>
        <w:t>e, uz priložene uzorke potpisa za svaku takvu osobu ili osobe</w:t>
      </w:r>
      <w:r w:rsidRPr="00653DCF">
        <w:rPr>
          <w:color w:val="auto"/>
          <w:lang w:val="hr-HR"/>
        </w:rPr>
        <w:t xml:space="preserve">; i </w:t>
      </w:r>
    </w:p>
    <w:p w14:paraId="69C83EBC" w14:textId="16E36D74" w:rsidR="007A2A6F" w:rsidRPr="00653DCF" w:rsidRDefault="00E87B0B">
      <w:pPr>
        <w:pStyle w:val="NoIndentEIB"/>
        <w:numPr>
          <w:ilvl w:val="0"/>
          <w:numId w:val="16"/>
        </w:numPr>
        <w:rPr>
          <w:color w:val="auto"/>
          <w:lang w:val="hr-HR"/>
        </w:rPr>
      </w:pPr>
      <w:r w:rsidRPr="00653DCF">
        <w:rPr>
          <w:color w:val="auto"/>
          <w:lang w:val="hr-HR"/>
        </w:rPr>
        <w:t xml:space="preserve">najmanje 2 (dva) izvornika ovog Ugovora koje su propisno </w:t>
      </w:r>
      <w:r w:rsidR="00D0607B" w:rsidRPr="00653DCF">
        <w:rPr>
          <w:color w:val="auto"/>
          <w:lang w:val="hr-HR"/>
        </w:rPr>
        <w:t xml:space="preserve">potpisale </w:t>
      </w:r>
      <w:r w:rsidRPr="00653DCF">
        <w:rPr>
          <w:color w:val="auto"/>
          <w:lang w:val="hr-HR"/>
        </w:rPr>
        <w:t xml:space="preserve">sve </w:t>
      </w:r>
      <w:r w:rsidR="00D0607B" w:rsidRPr="00653DCF">
        <w:rPr>
          <w:color w:val="auto"/>
          <w:lang w:val="hr-HR"/>
        </w:rPr>
        <w:t>stran</w:t>
      </w:r>
      <w:r w:rsidR="00BE4880" w:rsidRPr="00653DCF">
        <w:rPr>
          <w:color w:val="auto"/>
          <w:lang w:val="hr-HR"/>
        </w:rPr>
        <w:t>k</w:t>
      </w:r>
      <w:r w:rsidR="00D0607B" w:rsidRPr="00653DCF">
        <w:rPr>
          <w:color w:val="auto"/>
          <w:lang w:val="hr-HR"/>
        </w:rPr>
        <w:t>e</w:t>
      </w:r>
      <w:r w:rsidRPr="00653DCF">
        <w:rPr>
          <w:color w:val="auto"/>
          <w:lang w:val="hr-HR"/>
        </w:rPr>
        <w:t>; i</w:t>
      </w:r>
    </w:p>
    <w:p w14:paraId="02F4F779" w14:textId="229D02B4" w:rsidR="007A2A6F" w:rsidRPr="00653DCF" w:rsidRDefault="00E87B0B">
      <w:pPr>
        <w:pStyle w:val="NoIndentEIB"/>
        <w:numPr>
          <w:ilvl w:val="0"/>
          <w:numId w:val="16"/>
        </w:numPr>
        <w:rPr>
          <w:color w:val="auto"/>
          <w:lang w:val="hr-HR"/>
        </w:rPr>
      </w:pPr>
      <w:r w:rsidRPr="00653DCF">
        <w:rPr>
          <w:color w:val="auto"/>
          <w:lang w:val="hr-HR"/>
        </w:rPr>
        <w:t>popis ovlaštenih potpisnika i računa</w:t>
      </w:r>
      <w:r w:rsidR="00B37A7A" w:rsidRPr="00653DCF">
        <w:rPr>
          <w:color w:val="auto"/>
          <w:lang w:val="hr-HR"/>
        </w:rPr>
        <w:t>.</w:t>
      </w:r>
    </w:p>
    <w:p w14:paraId="0AC68532" w14:textId="34C4A729" w:rsidR="007A2A6F" w:rsidRPr="00653DCF" w:rsidRDefault="0099586B">
      <w:pPr>
        <w:rPr>
          <w:color w:val="auto"/>
          <w:lang w:val="hr-HR"/>
        </w:rPr>
      </w:pPr>
      <w:r w:rsidRPr="00653DCF">
        <w:rPr>
          <w:color w:val="auto"/>
          <w:lang w:val="hr-HR"/>
        </w:rPr>
        <w:t>Bilo koji z</w:t>
      </w:r>
      <w:r w:rsidR="00E87B0B" w:rsidRPr="00653DCF">
        <w:rPr>
          <w:color w:val="auto"/>
          <w:lang w:val="hr-HR"/>
        </w:rPr>
        <w:t xml:space="preserve">ahtjev za isplatu koji </w:t>
      </w:r>
      <w:r w:rsidR="00C056E2" w:rsidRPr="00653DCF">
        <w:rPr>
          <w:color w:val="auto"/>
          <w:lang w:val="hr-HR"/>
        </w:rPr>
        <w:t xml:space="preserve">Zajmoprimac </w:t>
      </w:r>
      <w:r w:rsidR="00B37A7A" w:rsidRPr="00653DCF">
        <w:rPr>
          <w:color w:val="auto"/>
          <w:lang w:val="hr-HR"/>
        </w:rPr>
        <w:t xml:space="preserve">dostavi Banci </w:t>
      </w:r>
      <w:r w:rsidR="00C056E2" w:rsidRPr="00653DCF">
        <w:rPr>
          <w:color w:val="auto"/>
          <w:lang w:val="hr-HR"/>
        </w:rPr>
        <w:t xml:space="preserve">bez </w:t>
      </w:r>
      <w:r w:rsidR="0020254E" w:rsidRPr="00653DCF">
        <w:rPr>
          <w:color w:val="auto"/>
          <w:lang w:val="hr-HR"/>
        </w:rPr>
        <w:t xml:space="preserve">gore </w:t>
      </w:r>
      <w:r w:rsidR="00C056E2" w:rsidRPr="00653DCF">
        <w:rPr>
          <w:color w:val="auto"/>
          <w:lang w:val="hr-HR"/>
        </w:rPr>
        <w:t xml:space="preserve">navedenih dokumenata, koji je Banka </w:t>
      </w:r>
      <w:r w:rsidR="00244EFE" w:rsidRPr="00653DCF">
        <w:rPr>
          <w:color w:val="auto"/>
          <w:lang w:val="hr-HR"/>
        </w:rPr>
        <w:t>za</w:t>
      </w:r>
      <w:r w:rsidR="00C056E2" w:rsidRPr="00653DCF">
        <w:rPr>
          <w:color w:val="auto"/>
          <w:lang w:val="hr-HR"/>
        </w:rPr>
        <w:t>primila i koji smatra</w:t>
      </w:r>
      <w:r w:rsidR="00A839E6" w:rsidRPr="00653DCF">
        <w:rPr>
          <w:color w:val="auto"/>
          <w:lang w:val="hr-HR"/>
        </w:rPr>
        <w:t xml:space="preserve"> zadovoljavajućim, neće se smatrati podnesenim</w:t>
      </w:r>
      <w:r w:rsidR="00E87B0B" w:rsidRPr="00653DCF">
        <w:rPr>
          <w:color w:val="auto"/>
          <w:lang w:val="hr-HR"/>
        </w:rPr>
        <w:t>.</w:t>
      </w:r>
    </w:p>
    <w:p w14:paraId="7CF09765" w14:textId="4380C5E3" w:rsidR="007A2A6F" w:rsidRPr="00653DCF" w:rsidRDefault="00E87B0B" w:rsidP="00B73D6F">
      <w:pPr>
        <w:pStyle w:val="Heading3"/>
        <w:ind w:left="851"/>
        <w:rPr>
          <w:color w:val="auto"/>
          <w:lang w:val="hr-HR"/>
        </w:rPr>
      </w:pPr>
      <w:bookmarkStart w:id="112" w:name="_Toc508120466"/>
      <w:bookmarkStart w:id="113" w:name="_Ref508572581"/>
      <w:bookmarkStart w:id="114" w:name="_Toc126080658"/>
      <w:bookmarkStart w:id="115" w:name="_Toc126080790"/>
      <w:r w:rsidRPr="00653DCF">
        <w:rPr>
          <w:color w:val="auto"/>
          <w:lang w:val="hr-HR"/>
        </w:rPr>
        <w:t>Prva tranša</w:t>
      </w:r>
      <w:bookmarkEnd w:id="112"/>
      <w:bookmarkEnd w:id="113"/>
      <w:bookmarkEnd w:id="114"/>
      <w:bookmarkEnd w:id="115"/>
    </w:p>
    <w:p w14:paraId="34ECF26C" w14:textId="03A8FD1F" w:rsidR="007A2A6F" w:rsidRPr="00653DCF" w:rsidRDefault="0017552D">
      <w:pPr>
        <w:rPr>
          <w:color w:val="auto"/>
          <w:lang w:val="hr-HR"/>
        </w:rPr>
      </w:pPr>
      <w:r w:rsidRPr="00653DCF">
        <w:rPr>
          <w:color w:val="auto"/>
          <w:lang w:val="hr-HR"/>
        </w:rPr>
        <w:t xml:space="preserve">Uvjet za isplatu prve tranše </w:t>
      </w:r>
      <w:r w:rsidR="00E87B0B" w:rsidRPr="00653DCF">
        <w:rPr>
          <w:color w:val="auto"/>
          <w:lang w:val="hr-HR"/>
        </w:rPr>
        <w:t xml:space="preserve">u skladu s člankom </w:t>
      </w:r>
      <w:r w:rsidR="00E87B0B" w:rsidRPr="00653DCF">
        <w:rPr>
          <w:color w:val="auto"/>
          <w:lang w:val="hr-HR"/>
        </w:rPr>
        <w:fldChar w:fldCharType="begin"/>
      </w:r>
      <w:r w:rsidR="00E87B0B" w:rsidRPr="00653DCF">
        <w:rPr>
          <w:color w:val="auto"/>
          <w:lang w:val="hr-HR"/>
        </w:rPr>
        <w:instrText xml:space="preserve"> REF _Ref426951249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1.2</w:t>
      </w:r>
      <w:r w:rsidR="00E87B0B" w:rsidRPr="00653DCF">
        <w:rPr>
          <w:color w:val="auto"/>
          <w:lang w:val="hr-HR"/>
        </w:rPr>
        <w:fldChar w:fldCharType="end"/>
      </w:r>
      <w:r w:rsidR="0020254E" w:rsidRPr="00653DCF">
        <w:rPr>
          <w:color w:val="auto"/>
          <w:lang w:val="hr-HR"/>
        </w:rPr>
        <w:t>.</w:t>
      </w:r>
      <w:r w:rsidR="00E87B0B" w:rsidRPr="00653DCF">
        <w:rPr>
          <w:color w:val="auto"/>
          <w:lang w:val="hr-HR"/>
        </w:rPr>
        <w:t xml:space="preserve"> </w:t>
      </w:r>
      <w:r w:rsidRPr="00653DCF">
        <w:rPr>
          <w:color w:val="auto"/>
          <w:lang w:val="hr-HR"/>
        </w:rPr>
        <w:t xml:space="preserve">jest da Banka, na datum ili prije datuma koji pada 5 (pet) radnih dana prije planiranog datuma isplate (a u slučaju odgode u </w:t>
      </w:r>
      <w:r w:rsidR="00E87B0B" w:rsidRPr="00653DCF">
        <w:rPr>
          <w:color w:val="auto"/>
          <w:lang w:val="hr-HR"/>
        </w:rPr>
        <w:t xml:space="preserve">skladu s člankom </w:t>
      </w:r>
      <w:r w:rsidR="00E87B0B" w:rsidRPr="00653DCF">
        <w:rPr>
          <w:color w:val="auto"/>
          <w:lang w:val="hr-HR"/>
        </w:rPr>
        <w:fldChar w:fldCharType="begin"/>
      </w:r>
      <w:r w:rsidR="00E87B0B" w:rsidRPr="00653DCF">
        <w:rPr>
          <w:color w:val="auto"/>
          <w:lang w:val="hr-HR"/>
        </w:rPr>
        <w:instrText xml:space="preserve"> REF _Ref511814886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1.5</w:t>
      </w:r>
      <w:r w:rsidR="00E87B0B" w:rsidRPr="00653DCF">
        <w:rPr>
          <w:color w:val="auto"/>
          <w:lang w:val="hr-HR"/>
        </w:rPr>
        <w:fldChar w:fldCharType="end"/>
      </w:r>
      <w:r w:rsidR="004A1AF8" w:rsidRPr="00653DCF">
        <w:rPr>
          <w:color w:val="auto"/>
          <w:lang w:val="hr-HR"/>
        </w:rPr>
        <w:t xml:space="preserve">., </w:t>
      </w:r>
      <w:r w:rsidR="0020254E" w:rsidRPr="00653DCF">
        <w:rPr>
          <w:color w:val="auto"/>
          <w:lang w:val="hr-HR"/>
        </w:rPr>
        <w:t xml:space="preserve">prije </w:t>
      </w:r>
      <w:r w:rsidR="00E87B0B" w:rsidRPr="00653DCF">
        <w:rPr>
          <w:color w:val="auto"/>
          <w:lang w:val="hr-HR"/>
        </w:rPr>
        <w:t>zatraženog datuma odgode isplate</w:t>
      </w:r>
      <w:r w:rsidR="0020254E" w:rsidRPr="00653DCF">
        <w:rPr>
          <w:color w:val="auto"/>
          <w:lang w:val="hr-HR"/>
        </w:rPr>
        <w:t>,</w:t>
      </w:r>
      <w:r w:rsidR="00E87B0B" w:rsidRPr="00653DCF">
        <w:rPr>
          <w:color w:val="auto"/>
          <w:lang w:val="hr-HR"/>
        </w:rPr>
        <w:t xml:space="preserve"> odnosno </w:t>
      </w:r>
      <w:r w:rsidR="004A1AF8" w:rsidRPr="00653DCF">
        <w:rPr>
          <w:color w:val="auto"/>
          <w:lang w:val="hr-HR"/>
        </w:rPr>
        <w:t>ugovorenog datuma odgode isplate, ovisno o slučaju</w:t>
      </w:r>
      <w:r w:rsidR="00E87B0B" w:rsidRPr="00653DCF">
        <w:rPr>
          <w:color w:val="auto"/>
          <w:lang w:val="hr-HR"/>
        </w:rPr>
        <w:t>)</w:t>
      </w:r>
      <w:r w:rsidR="004A1AF8" w:rsidRPr="00653DCF">
        <w:rPr>
          <w:color w:val="auto"/>
          <w:lang w:val="hr-HR"/>
        </w:rPr>
        <w:t xml:space="preserve">, </w:t>
      </w:r>
      <w:r w:rsidR="00065A60" w:rsidRPr="00653DCF">
        <w:rPr>
          <w:color w:val="auto"/>
          <w:lang w:val="hr-HR"/>
        </w:rPr>
        <w:t>za</w:t>
      </w:r>
      <w:r w:rsidR="004A1AF8" w:rsidRPr="00653DCF">
        <w:rPr>
          <w:color w:val="auto"/>
          <w:lang w:val="hr-HR"/>
        </w:rPr>
        <w:t xml:space="preserve">primi sljedeće dokumente ili </w:t>
      </w:r>
      <w:r w:rsidR="00D40C2A" w:rsidRPr="00653DCF">
        <w:rPr>
          <w:color w:val="auto"/>
          <w:lang w:val="hr-HR"/>
        </w:rPr>
        <w:t>dokaze</w:t>
      </w:r>
      <w:r w:rsidR="004A1AF8" w:rsidRPr="00653DCF">
        <w:rPr>
          <w:color w:val="auto"/>
          <w:lang w:val="hr-HR"/>
        </w:rPr>
        <w:t xml:space="preserve"> </w:t>
      </w:r>
      <w:r w:rsidR="0093328D" w:rsidRPr="00653DCF">
        <w:rPr>
          <w:color w:val="auto"/>
          <w:lang w:val="hr-HR"/>
        </w:rPr>
        <w:t>za predloženu tranšu</w:t>
      </w:r>
      <w:r w:rsidR="00D77857" w:rsidRPr="00653DCF">
        <w:rPr>
          <w:color w:val="auto"/>
          <w:lang w:val="hr-HR"/>
        </w:rPr>
        <w:t xml:space="preserve"> koji su za nju oblikom i sadržajem</w:t>
      </w:r>
      <w:r w:rsidR="00A55473" w:rsidRPr="00653DCF">
        <w:rPr>
          <w:color w:val="auto"/>
          <w:lang w:val="hr-HR"/>
        </w:rPr>
        <w:t xml:space="preserve"> zadovoljavajući</w:t>
      </w:r>
      <w:r w:rsidR="00E87B0B" w:rsidRPr="00653DCF">
        <w:rPr>
          <w:color w:val="auto"/>
          <w:lang w:val="hr-HR"/>
        </w:rPr>
        <w:t>:</w:t>
      </w:r>
    </w:p>
    <w:p w14:paraId="701A99F0" w14:textId="313EFAE4" w:rsidR="007A2A6F" w:rsidRPr="00653DCF" w:rsidRDefault="00E87B0B">
      <w:pPr>
        <w:pStyle w:val="NoIndentEIB"/>
        <w:numPr>
          <w:ilvl w:val="0"/>
          <w:numId w:val="38"/>
        </w:numPr>
        <w:rPr>
          <w:color w:val="auto"/>
          <w:lang w:val="hr-HR"/>
        </w:rPr>
      </w:pPr>
      <w:r w:rsidRPr="00653DCF">
        <w:rPr>
          <w:color w:val="auto"/>
          <w:lang w:val="hr-HR"/>
        </w:rPr>
        <w:t xml:space="preserve">dokaz da je </w:t>
      </w:r>
      <w:r w:rsidR="007B48FA" w:rsidRPr="00653DCF">
        <w:rPr>
          <w:color w:val="auto"/>
          <w:lang w:val="hr-HR"/>
        </w:rPr>
        <w:t>Z</w:t>
      </w:r>
      <w:r w:rsidRPr="00653DCF">
        <w:rPr>
          <w:color w:val="auto"/>
          <w:lang w:val="hr-HR"/>
        </w:rPr>
        <w:t xml:space="preserve">ajmoprimac dobio sva </w:t>
      </w:r>
      <w:r w:rsidR="00821961" w:rsidRPr="00653DCF">
        <w:rPr>
          <w:color w:val="auto"/>
          <w:lang w:val="hr-HR"/>
        </w:rPr>
        <w:t>ovlaštenja</w:t>
      </w:r>
      <w:r w:rsidRPr="00653DCF">
        <w:rPr>
          <w:color w:val="auto"/>
          <w:lang w:val="hr-HR"/>
        </w:rPr>
        <w:t xml:space="preserve"> potrebna </w:t>
      </w:r>
      <w:r w:rsidR="007B48FA" w:rsidRPr="00653DCF">
        <w:rPr>
          <w:color w:val="auto"/>
          <w:lang w:val="hr-HR"/>
        </w:rPr>
        <w:t>za ovaj Projekt</w:t>
      </w:r>
      <w:r w:rsidRPr="00653DCF">
        <w:rPr>
          <w:color w:val="auto"/>
          <w:lang w:val="hr-HR"/>
        </w:rPr>
        <w:t>;</w:t>
      </w:r>
    </w:p>
    <w:p w14:paraId="02319CE2" w14:textId="6CECA1E9" w:rsidR="007A2A6F" w:rsidRPr="00653DCF" w:rsidRDefault="00E87B0B">
      <w:pPr>
        <w:pStyle w:val="NoIndentEIB"/>
        <w:numPr>
          <w:ilvl w:val="0"/>
          <w:numId w:val="38"/>
        </w:numPr>
        <w:rPr>
          <w:color w:val="auto"/>
          <w:lang w:val="hr-HR"/>
        </w:rPr>
      </w:pPr>
      <w:bookmarkStart w:id="116" w:name="_Ref508888635"/>
      <w:r w:rsidRPr="00653DCF">
        <w:rPr>
          <w:color w:val="auto"/>
          <w:lang w:val="hr-HR"/>
        </w:rPr>
        <w:lastRenderedPageBreak/>
        <w:t xml:space="preserve">pravno mišljenje, na engleskom jeziku, </w:t>
      </w:r>
      <w:r w:rsidR="00EB626E" w:rsidRPr="00653DCF">
        <w:rPr>
          <w:color w:val="auto"/>
          <w:lang w:val="hr-HR"/>
        </w:rPr>
        <w:t xml:space="preserve">izdano od strane </w:t>
      </w:r>
      <w:r w:rsidR="00E454A0" w:rsidRPr="00653DCF">
        <w:rPr>
          <w:color w:val="auto"/>
          <w:lang w:val="hr-HR"/>
        </w:rPr>
        <w:t>ministra</w:t>
      </w:r>
      <w:r w:rsidRPr="00653DCF">
        <w:rPr>
          <w:color w:val="auto"/>
          <w:lang w:val="hr-HR"/>
        </w:rPr>
        <w:t xml:space="preserve"> pravosuđa Republike Hrvatske</w:t>
      </w:r>
      <w:r w:rsidR="00E454A0" w:rsidRPr="00653DCF">
        <w:rPr>
          <w:color w:val="auto"/>
          <w:lang w:val="hr-HR"/>
        </w:rPr>
        <w:t>,</w:t>
      </w:r>
      <w:r w:rsidRPr="00653DCF">
        <w:rPr>
          <w:color w:val="auto"/>
          <w:lang w:val="hr-HR"/>
        </w:rPr>
        <w:t xml:space="preserve"> o </w:t>
      </w:r>
      <w:r w:rsidR="00E21907" w:rsidRPr="00653DCF">
        <w:rPr>
          <w:color w:val="auto"/>
          <w:lang w:val="hr-HR"/>
        </w:rPr>
        <w:t xml:space="preserve">tome da je ovaj Ugovor valjano potpisan od strane Zajmoprimca </w:t>
      </w:r>
      <w:r w:rsidRPr="00653DCF">
        <w:rPr>
          <w:color w:val="auto"/>
          <w:lang w:val="hr-HR"/>
        </w:rPr>
        <w:t xml:space="preserve">te </w:t>
      </w:r>
      <w:r w:rsidR="00E21907" w:rsidRPr="00653DCF">
        <w:rPr>
          <w:color w:val="auto"/>
          <w:lang w:val="hr-HR"/>
        </w:rPr>
        <w:t xml:space="preserve">da je </w:t>
      </w:r>
      <w:r w:rsidR="007217CF" w:rsidRPr="00653DCF">
        <w:rPr>
          <w:color w:val="auto"/>
          <w:lang w:val="hr-HR"/>
        </w:rPr>
        <w:t xml:space="preserve">valjan i </w:t>
      </w:r>
      <w:r w:rsidR="00EB4920" w:rsidRPr="00653DCF">
        <w:rPr>
          <w:color w:val="auto"/>
          <w:lang w:val="hr-HR"/>
        </w:rPr>
        <w:t xml:space="preserve">obvezujući </w:t>
      </w:r>
      <w:r w:rsidR="007217CF" w:rsidRPr="00653DCF">
        <w:rPr>
          <w:color w:val="auto"/>
          <w:lang w:val="hr-HR"/>
        </w:rPr>
        <w:t xml:space="preserve">u skladu sa </w:t>
      </w:r>
      <w:r w:rsidR="00710C4F" w:rsidRPr="00653DCF">
        <w:rPr>
          <w:color w:val="auto"/>
          <w:lang w:val="hr-HR"/>
        </w:rPr>
        <w:t>pravom</w:t>
      </w:r>
      <w:r w:rsidR="007217CF" w:rsidRPr="00653DCF">
        <w:rPr>
          <w:color w:val="auto"/>
          <w:lang w:val="hr-HR"/>
        </w:rPr>
        <w:t xml:space="preserve"> </w:t>
      </w:r>
      <w:r w:rsidR="00E21907" w:rsidRPr="00653DCF">
        <w:rPr>
          <w:color w:val="auto"/>
          <w:lang w:val="hr-HR"/>
        </w:rPr>
        <w:t>Republike Hrvatske</w:t>
      </w:r>
      <w:r w:rsidRPr="00653DCF">
        <w:rPr>
          <w:color w:val="auto"/>
          <w:lang w:val="hr-HR"/>
        </w:rPr>
        <w:t xml:space="preserve">, u bitnome u obliku navedenom u </w:t>
      </w:r>
      <w:r w:rsidR="004450B3" w:rsidRPr="00653DCF">
        <w:rPr>
          <w:color w:val="auto"/>
          <w:lang w:val="hr-HR"/>
        </w:rPr>
        <w:t xml:space="preserve">Dodatku </w:t>
      </w:r>
      <w:r w:rsidRPr="00653DCF">
        <w:rPr>
          <w:color w:val="auto"/>
          <w:lang w:val="hr-HR"/>
        </w:rPr>
        <w:t>I</w:t>
      </w:r>
      <w:bookmarkEnd w:id="116"/>
      <w:r w:rsidR="00C54E51" w:rsidRPr="00653DCF">
        <w:rPr>
          <w:color w:val="auto"/>
          <w:lang w:val="hr-HR"/>
        </w:rPr>
        <w:t>; i</w:t>
      </w:r>
    </w:p>
    <w:p w14:paraId="4D0C50C5" w14:textId="019337F9" w:rsidR="00C54E51" w:rsidRPr="00653DCF" w:rsidRDefault="00C54E51">
      <w:pPr>
        <w:pStyle w:val="NoIndentEIB"/>
        <w:numPr>
          <w:ilvl w:val="0"/>
          <w:numId w:val="38"/>
        </w:numPr>
        <w:rPr>
          <w:color w:val="auto"/>
          <w:lang w:val="hr-HR"/>
        </w:rPr>
      </w:pPr>
      <w:r w:rsidRPr="00653DCF">
        <w:rPr>
          <w:color w:val="auto"/>
          <w:lang w:val="hr-HR"/>
        </w:rPr>
        <w:t>dokaz da je Ugovor o projektu uredno potpisan i na snazi.</w:t>
      </w:r>
    </w:p>
    <w:p w14:paraId="55D21F72" w14:textId="710FD3EC" w:rsidR="007A2A6F" w:rsidRPr="00653DCF" w:rsidRDefault="00E87B0B" w:rsidP="00B73D6F">
      <w:pPr>
        <w:pStyle w:val="Heading3"/>
        <w:ind w:left="851"/>
        <w:rPr>
          <w:color w:val="auto"/>
          <w:lang w:val="hr-HR"/>
        </w:rPr>
      </w:pPr>
      <w:bookmarkStart w:id="117" w:name="_Toc440722183"/>
      <w:bookmarkStart w:id="118" w:name="_Toc440722375"/>
      <w:bookmarkStart w:id="119" w:name="_Toc440722565"/>
      <w:bookmarkStart w:id="120" w:name="_Toc440894441"/>
      <w:bookmarkStart w:id="121" w:name="_Toc440722184"/>
      <w:bookmarkStart w:id="122" w:name="_Toc440722376"/>
      <w:bookmarkStart w:id="123" w:name="_Toc440722566"/>
      <w:bookmarkStart w:id="124" w:name="_Toc440894442"/>
      <w:bookmarkStart w:id="125" w:name="_Toc440722185"/>
      <w:bookmarkStart w:id="126" w:name="_Toc440722377"/>
      <w:bookmarkStart w:id="127" w:name="_Toc440722567"/>
      <w:bookmarkStart w:id="128" w:name="_Toc440894443"/>
      <w:bookmarkEnd w:id="117"/>
      <w:bookmarkEnd w:id="118"/>
      <w:bookmarkEnd w:id="119"/>
      <w:bookmarkEnd w:id="120"/>
      <w:bookmarkEnd w:id="121"/>
      <w:bookmarkEnd w:id="122"/>
      <w:bookmarkEnd w:id="123"/>
      <w:bookmarkEnd w:id="124"/>
      <w:bookmarkEnd w:id="125"/>
      <w:bookmarkEnd w:id="126"/>
      <w:bookmarkEnd w:id="127"/>
      <w:bookmarkEnd w:id="128"/>
      <w:r w:rsidRPr="00653DCF">
        <w:rPr>
          <w:color w:val="auto"/>
          <w:lang w:val="hr-HR"/>
        </w:rPr>
        <w:t>Drug</w:t>
      </w:r>
      <w:r w:rsidR="0083546C" w:rsidRPr="00653DCF">
        <w:rPr>
          <w:color w:val="auto"/>
          <w:lang w:val="hr-HR"/>
        </w:rPr>
        <w:t>a</w:t>
      </w:r>
      <w:r w:rsidRPr="00653DCF">
        <w:rPr>
          <w:color w:val="auto"/>
          <w:lang w:val="hr-HR"/>
        </w:rPr>
        <w:t xml:space="preserve"> </w:t>
      </w:r>
      <w:r w:rsidR="00F90797" w:rsidRPr="00653DCF">
        <w:rPr>
          <w:color w:val="auto"/>
          <w:lang w:val="hr-HR"/>
        </w:rPr>
        <w:t>tranša i tranše koje slijede nakon nje</w:t>
      </w:r>
    </w:p>
    <w:p w14:paraId="790D4A3A" w14:textId="716B127C" w:rsidR="007A2A6F" w:rsidRPr="00653DCF" w:rsidRDefault="008916C2">
      <w:pPr>
        <w:rPr>
          <w:color w:val="auto"/>
          <w:lang w:val="hr-HR"/>
        </w:rPr>
      </w:pPr>
      <w:bookmarkStart w:id="129" w:name="_Toc150257381"/>
      <w:r w:rsidRPr="00653DCF">
        <w:rPr>
          <w:color w:val="auto"/>
          <w:lang w:val="hr-HR"/>
        </w:rPr>
        <w:t xml:space="preserve">Uvjet za isplatu druge tranše </w:t>
      </w:r>
      <w:r w:rsidR="00F704AD" w:rsidRPr="00653DCF">
        <w:rPr>
          <w:color w:val="auto"/>
          <w:lang w:val="hr-HR"/>
        </w:rPr>
        <w:t xml:space="preserve">i tranši koje slijede nakon nje </w:t>
      </w:r>
      <w:r w:rsidRPr="00653DCF">
        <w:rPr>
          <w:color w:val="auto"/>
          <w:lang w:val="hr-HR"/>
        </w:rPr>
        <w:t xml:space="preserve">u skladu s člankom </w:t>
      </w:r>
      <w:r w:rsidRPr="00653DCF">
        <w:rPr>
          <w:color w:val="auto"/>
          <w:lang w:val="hr-HR"/>
        </w:rPr>
        <w:fldChar w:fldCharType="begin"/>
      </w:r>
      <w:r w:rsidRPr="00653DCF">
        <w:rPr>
          <w:color w:val="auto"/>
          <w:lang w:val="hr-HR"/>
        </w:rPr>
        <w:instrText xml:space="preserve"> REF _Ref426951249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1.2</w:t>
      </w:r>
      <w:r w:rsidRPr="00653DCF">
        <w:rPr>
          <w:color w:val="auto"/>
          <w:lang w:val="hr-HR"/>
        </w:rPr>
        <w:fldChar w:fldCharType="end"/>
      </w:r>
      <w:r w:rsidR="00AF0BEF" w:rsidRPr="00653DCF">
        <w:rPr>
          <w:color w:val="auto"/>
          <w:lang w:val="hr-HR"/>
        </w:rPr>
        <w:t>.</w:t>
      </w:r>
      <w:r w:rsidRPr="00653DCF">
        <w:rPr>
          <w:color w:val="auto"/>
          <w:lang w:val="hr-HR"/>
        </w:rPr>
        <w:t xml:space="preserve"> jest da Banka, na datum ili prije datuma koji pada 5 (pet) radnih dana prije planiranog datuma isplate (a u slučaju odgode u skladu s člankom </w:t>
      </w:r>
      <w:r w:rsidRPr="00653DCF">
        <w:rPr>
          <w:color w:val="auto"/>
          <w:lang w:val="hr-HR"/>
        </w:rPr>
        <w:fldChar w:fldCharType="begin"/>
      </w:r>
      <w:r w:rsidRPr="00653DCF">
        <w:rPr>
          <w:color w:val="auto"/>
          <w:lang w:val="hr-HR"/>
        </w:rPr>
        <w:instrText xml:space="preserve"> REF _Ref511814886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1.5</w:t>
      </w:r>
      <w:r w:rsidRPr="00653DCF">
        <w:rPr>
          <w:color w:val="auto"/>
          <w:lang w:val="hr-HR"/>
        </w:rPr>
        <w:fldChar w:fldCharType="end"/>
      </w:r>
      <w:r w:rsidRPr="00653DCF">
        <w:rPr>
          <w:color w:val="auto"/>
          <w:lang w:val="hr-HR"/>
        </w:rPr>
        <w:t xml:space="preserve">., </w:t>
      </w:r>
      <w:r w:rsidR="00AF0BEF" w:rsidRPr="00653DCF">
        <w:rPr>
          <w:color w:val="auto"/>
          <w:lang w:val="hr-HR"/>
        </w:rPr>
        <w:t xml:space="preserve">prije </w:t>
      </w:r>
      <w:r w:rsidRPr="00653DCF">
        <w:rPr>
          <w:color w:val="auto"/>
          <w:lang w:val="hr-HR"/>
        </w:rPr>
        <w:t>zatraženog datuma odgode isplate</w:t>
      </w:r>
      <w:r w:rsidR="00AF0BEF" w:rsidRPr="00653DCF">
        <w:rPr>
          <w:color w:val="auto"/>
          <w:lang w:val="hr-HR"/>
        </w:rPr>
        <w:t>,</w:t>
      </w:r>
      <w:r w:rsidRPr="00653DCF">
        <w:rPr>
          <w:color w:val="auto"/>
          <w:lang w:val="hr-HR"/>
        </w:rPr>
        <w:t xml:space="preserve"> odnosno ugovorenog datuma odgode isplate, ovisno o slučaju), </w:t>
      </w:r>
      <w:r w:rsidR="00A97F29" w:rsidRPr="00653DCF">
        <w:rPr>
          <w:color w:val="auto"/>
          <w:lang w:val="hr-HR"/>
        </w:rPr>
        <w:t>za</w:t>
      </w:r>
      <w:r w:rsidRPr="00653DCF">
        <w:rPr>
          <w:color w:val="auto"/>
          <w:lang w:val="hr-HR"/>
        </w:rPr>
        <w:t>primi sljedeće dokumente ili dokaze za predloženu tranšu</w:t>
      </w:r>
      <w:r w:rsidR="00AF0BEF" w:rsidRPr="00653DCF">
        <w:rPr>
          <w:color w:val="auto"/>
          <w:lang w:val="hr-HR"/>
        </w:rPr>
        <w:t>,</w:t>
      </w:r>
      <w:r w:rsidRPr="00653DCF">
        <w:rPr>
          <w:color w:val="auto"/>
          <w:lang w:val="hr-HR"/>
        </w:rPr>
        <w:t xml:space="preserve"> </w:t>
      </w:r>
      <w:r w:rsidR="00B12F11" w:rsidRPr="00653DCF">
        <w:rPr>
          <w:color w:val="auto"/>
          <w:lang w:val="hr-HR"/>
        </w:rPr>
        <w:t>u pisanom obliku</w:t>
      </w:r>
      <w:r w:rsidR="00AF0BEF" w:rsidRPr="00653DCF">
        <w:rPr>
          <w:color w:val="auto"/>
          <w:lang w:val="hr-HR"/>
        </w:rPr>
        <w:t>,</w:t>
      </w:r>
      <w:r w:rsidR="002F6319" w:rsidRPr="00653DCF">
        <w:rPr>
          <w:color w:val="auto"/>
          <w:lang w:val="hr-HR"/>
        </w:rPr>
        <w:t xml:space="preserve"> koji su za nju oblikom i sadržajem zadovoljavajući</w:t>
      </w:r>
      <w:r w:rsidRPr="00653DCF">
        <w:rPr>
          <w:color w:val="auto"/>
          <w:lang w:val="hr-HR"/>
        </w:rPr>
        <w:t>:</w:t>
      </w:r>
      <w:bookmarkEnd w:id="129"/>
    </w:p>
    <w:p w14:paraId="0DE58FE7" w14:textId="239FB219" w:rsidR="007A2A6F" w:rsidRPr="00653DCF" w:rsidRDefault="00E87B0B">
      <w:pPr>
        <w:ind w:left="1436" w:hanging="580"/>
        <w:rPr>
          <w:color w:val="auto"/>
          <w:lang w:val="hr-HR"/>
        </w:rPr>
      </w:pPr>
      <w:bookmarkStart w:id="130" w:name="_Toc150257382"/>
      <w:r w:rsidRPr="00653DCF">
        <w:rPr>
          <w:color w:val="auto"/>
          <w:lang w:val="hr-HR"/>
        </w:rPr>
        <w:t>(a)</w:t>
      </w:r>
      <w:r w:rsidRPr="00653DCF">
        <w:rPr>
          <w:color w:val="auto"/>
          <w:lang w:val="hr-HR"/>
        </w:rPr>
        <w:tab/>
      </w:r>
      <w:r w:rsidR="00777C9C" w:rsidRPr="00653DCF">
        <w:rPr>
          <w:color w:val="auto"/>
          <w:lang w:val="hr-HR"/>
        </w:rPr>
        <w:t xml:space="preserve">da je </w:t>
      </w:r>
      <w:r w:rsidR="00246F0D" w:rsidRPr="00653DCF">
        <w:rPr>
          <w:color w:val="auto"/>
          <w:lang w:val="hr-HR"/>
        </w:rPr>
        <w:t>najmanje 80</w:t>
      </w:r>
      <w:r w:rsidRPr="00653DCF">
        <w:rPr>
          <w:color w:val="auto"/>
          <w:lang w:val="hr-HR"/>
        </w:rPr>
        <w:t xml:space="preserve">% (osamdeset posto) zajma dodijeljeno </w:t>
      </w:r>
      <w:r w:rsidR="00590E4A" w:rsidRPr="00653DCF">
        <w:rPr>
          <w:color w:val="auto"/>
          <w:lang w:val="hr-HR"/>
        </w:rPr>
        <w:t>investicijskom projektu/</w:t>
      </w:r>
      <w:r w:rsidR="00985EE8" w:rsidRPr="00653DCF">
        <w:rPr>
          <w:color w:val="auto"/>
          <w:lang w:val="hr-HR"/>
        </w:rPr>
        <w:t xml:space="preserve">investicijskim </w:t>
      </w:r>
      <w:r w:rsidR="00590E4A" w:rsidRPr="00653DCF">
        <w:rPr>
          <w:color w:val="auto"/>
          <w:lang w:val="hr-HR"/>
        </w:rPr>
        <w:t xml:space="preserve">projektima </w:t>
      </w:r>
      <w:r w:rsidR="00EC4558" w:rsidRPr="00653DCF">
        <w:rPr>
          <w:color w:val="auto"/>
          <w:lang w:val="hr-HR"/>
        </w:rPr>
        <w:t>u skladu s pismom</w:t>
      </w:r>
      <w:r w:rsidR="00985EE8" w:rsidRPr="00653DCF">
        <w:rPr>
          <w:color w:val="auto"/>
          <w:lang w:val="hr-HR"/>
        </w:rPr>
        <w:t>/pismima</w:t>
      </w:r>
      <w:r w:rsidR="00EC4558" w:rsidRPr="00653DCF">
        <w:rPr>
          <w:color w:val="auto"/>
          <w:lang w:val="hr-HR"/>
        </w:rPr>
        <w:t xml:space="preserve"> o dodjeli sredstava</w:t>
      </w:r>
      <w:r w:rsidRPr="00653DCF">
        <w:rPr>
          <w:color w:val="auto"/>
          <w:lang w:val="hr-HR"/>
        </w:rPr>
        <w:t xml:space="preserve">; </w:t>
      </w:r>
      <w:bookmarkEnd w:id="130"/>
      <w:r w:rsidR="00C54E51" w:rsidRPr="00653DCF">
        <w:rPr>
          <w:color w:val="auto"/>
          <w:lang w:val="hr-HR"/>
        </w:rPr>
        <w:t>i</w:t>
      </w:r>
    </w:p>
    <w:p w14:paraId="1DC43C60" w14:textId="4863312B" w:rsidR="007817FC" w:rsidRPr="00653DCF" w:rsidRDefault="00E87B0B" w:rsidP="00C54E51">
      <w:pPr>
        <w:ind w:left="1436" w:hanging="580"/>
        <w:rPr>
          <w:color w:val="auto"/>
          <w:lang w:val="hr-HR"/>
        </w:rPr>
      </w:pPr>
      <w:bookmarkStart w:id="131" w:name="_Toc150257383"/>
      <w:r w:rsidRPr="00653DCF">
        <w:rPr>
          <w:color w:val="auto"/>
          <w:lang w:val="hr-HR"/>
        </w:rPr>
        <w:t>(b)</w:t>
      </w:r>
      <w:r w:rsidRPr="00653DCF">
        <w:rPr>
          <w:color w:val="auto"/>
          <w:lang w:val="hr-HR"/>
        </w:rPr>
        <w:tab/>
      </w:r>
      <w:r w:rsidR="00D40AA2" w:rsidRPr="00653DCF">
        <w:rPr>
          <w:color w:val="auto"/>
          <w:lang w:val="hr-HR"/>
        </w:rPr>
        <w:t>da je</w:t>
      </w:r>
      <w:r w:rsidR="00FE47D5" w:rsidRPr="00653DCF">
        <w:rPr>
          <w:color w:val="auto"/>
          <w:lang w:val="hr-HR"/>
        </w:rPr>
        <w:t xml:space="preserve"> </w:t>
      </w:r>
      <w:r w:rsidR="0078490E" w:rsidRPr="00653DCF">
        <w:rPr>
          <w:color w:val="auto"/>
          <w:lang w:val="hr-HR"/>
        </w:rPr>
        <w:t xml:space="preserve">najmanje </w:t>
      </w:r>
      <w:r w:rsidR="00246F0D" w:rsidRPr="00653DCF">
        <w:rPr>
          <w:color w:val="auto"/>
          <w:lang w:val="hr-HR"/>
        </w:rPr>
        <w:t>50</w:t>
      </w:r>
      <w:r w:rsidRPr="00653DCF">
        <w:rPr>
          <w:color w:val="auto"/>
          <w:lang w:val="hr-HR"/>
        </w:rPr>
        <w:t xml:space="preserve">% (pedeset posto) zajma </w:t>
      </w:r>
      <w:r w:rsidR="0078490E" w:rsidRPr="00653DCF">
        <w:rPr>
          <w:color w:val="auto"/>
          <w:lang w:val="hr-HR"/>
        </w:rPr>
        <w:t xml:space="preserve">isplaćeno </w:t>
      </w:r>
      <w:r w:rsidRPr="00653DCF">
        <w:rPr>
          <w:color w:val="auto"/>
          <w:lang w:val="hr-HR"/>
        </w:rPr>
        <w:t>za izdatke nastale u vezi s</w:t>
      </w:r>
      <w:r w:rsidR="001B1BBD" w:rsidRPr="00653DCF">
        <w:rPr>
          <w:color w:val="auto"/>
          <w:lang w:val="hr-HR"/>
        </w:rPr>
        <w:t xml:space="preserve"> investicijsk</w:t>
      </w:r>
      <w:r w:rsidR="00FC7DA7" w:rsidRPr="00653DCF">
        <w:rPr>
          <w:color w:val="auto"/>
          <w:lang w:val="hr-HR"/>
        </w:rPr>
        <w:t>im</w:t>
      </w:r>
      <w:r w:rsidR="001B1BBD" w:rsidRPr="00653DCF">
        <w:rPr>
          <w:color w:val="auto"/>
          <w:lang w:val="hr-HR"/>
        </w:rPr>
        <w:t xml:space="preserve"> projekt</w:t>
      </w:r>
      <w:r w:rsidR="00FC7DA7" w:rsidRPr="00653DCF">
        <w:rPr>
          <w:color w:val="auto"/>
          <w:lang w:val="hr-HR"/>
        </w:rPr>
        <w:t>om</w:t>
      </w:r>
      <w:r w:rsidR="001B1BBD" w:rsidRPr="00653DCF">
        <w:rPr>
          <w:color w:val="auto"/>
          <w:lang w:val="hr-HR"/>
        </w:rPr>
        <w:t xml:space="preserve">/investicijskim projektima </w:t>
      </w:r>
      <w:r w:rsidR="00EC4558" w:rsidRPr="00653DCF">
        <w:rPr>
          <w:color w:val="auto"/>
          <w:lang w:val="hr-HR"/>
        </w:rPr>
        <w:t>u skladu s pismom</w:t>
      </w:r>
      <w:r w:rsidR="00FC7DA7" w:rsidRPr="00653DCF">
        <w:rPr>
          <w:color w:val="auto"/>
          <w:lang w:val="hr-HR"/>
        </w:rPr>
        <w:t>/pismima</w:t>
      </w:r>
      <w:r w:rsidR="00EC4558" w:rsidRPr="00653DCF">
        <w:rPr>
          <w:color w:val="auto"/>
          <w:lang w:val="hr-HR"/>
        </w:rPr>
        <w:t xml:space="preserve"> o dodjeli sredstav</w:t>
      </w:r>
      <w:bookmarkEnd w:id="131"/>
      <w:r w:rsidR="00C54E51" w:rsidRPr="00653DCF">
        <w:rPr>
          <w:color w:val="auto"/>
          <w:lang w:val="hr-HR"/>
        </w:rPr>
        <w:t>a.</w:t>
      </w:r>
      <w:bookmarkStart w:id="132" w:name="_Ref426640216"/>
      <w:bookmarkStart w:id="133" w:name="_Toc475441113"/>
      <w:bookmarkStart w:id="134" w:name="_Toc498018608"/>
      <w:bookmarkStart w:id="135" w:name="_Toc508120467"/>
      <w:bookmarkStart w:id="136" w:name="_Ref508980433"/>
      <w:bookmarkStart w:id="137" w:name="_Toc126080659"/>
      <w:bookmarkStart w:id="138" w:name="_Toc126080791"/>
    </w:p>
    <w:p w14:paraId="04568C44" w14:textId="67DB289C" w:rsidR="007A2A6F" w:rsidRPr="00653DCF" w:rsidRDefault="00E87B0B" w:rsidP="00B73D6F">
      <w:pPr>
        <w:pStyle w:val="Heading3"/>
        <w:ind w:left="851"/>
        <w:rPr>
          <w:color w:val="auto"/>
          <w:lang w:val="hr-HR"/>
        </w:rPr>
      </w:pPr>
      <w:r w:rsidRPr="00653DCF">
        <w:rPr>
          <w:color w:val="auto"/>
          <w:lang w:val="hr-HR"/>
        </w:rPr>
        <w:t xml:space="preserve">Sve </w:t>
      </w:r>
      <w:bookmarkEnd w:id="132"/>
      <w:bookmarkEnd w:id="133"/>
      <w:bookmarkEnd w:id="134"/>
      <w:bookmarkEnd w:id="135"/>
      <w:bookmarkEnd w:id="136"/>
      <w:bookmarkEnd w:id="137"/>
      <w:bookmarkEnd w:id="138"/>
      <w:r w:rsidR="0083546C" w:rsidRPr="00653DCF">
        <w:rPr>
          <w:color w:val="auto"/>
          <w:lang w:val="hr-HR"/>
        </w:rPr>
        <w:t>tranše</w:t>
      </w:r>
    </w:p>
    <w:p w14:paraId="074FBDB6" w14:textId="161E6F5E" w:rsidR="007A2A6F" w:rsidRPr="00653DCF" w:rsidRDefault="00E87B0B">
      <w:pPr>
        <w:rPr>
          <w:color w:val="auto"/>
          <w:lang w:val="hr-HR"/>
        </w:rPr>
      </w:pPr>
      <w:r w:rsidRPr="00653DCF">
        <w:rPr>
          <w:color w:val="auto"/>
          <w:lang w:val="hr-HR"/>
        </w:rPr>
        <w:t>Isplata svake tranše u skladu s</w:t>
      </w:r>
      <w:r w:rsidR="004C7FFA" w:rsidRPr="00653DCF">
        <w:rPr>
          <w:color w:val="auto"/>
          <w:lang w:val="hr-HR"/>
        </w:rPr>
        <w:t xml:space="preserve"> člankom</w:t>
      </w:r>
      <w:r w:rsidRPr="00653DCF">
        <w:rPr>
          <w:color w:val="auto"/>
          <w:lang w:val="hr-HR"/>
        </w:rPr>
        <w:t xml:space="preserve"> </w:t>
      </w:r>
      <w:r w:rsidRPr="00653DCF">
        <w:rPr>
          <w:color w:val="auto"/>
          <w:lang w:val="hr-HR"/>
        </w:rPr>
        <w:fldChar w:fldCharType="begin"/>
      </w:r>
      <w:r w:rsidRPr="00653DCF">
        <w:rPr>
          <w:color w:val="auto"/>
          <w:lang w:val="hr-HR"/>
        </w:rPr>
        <w:instrText xml:space="preserve"> REF _Ref426951605 \n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1.2</w:t>
      </w:r>
      <w:r w:rsidRPr="00653DCF">
        <w:rPr>
          <w:color w:val="auto"/>
          <w:lang w:val="hr-HR"/>
        </w:rPr>
        <w:fldChar w:fldCharType="end"/>
      </w:r>
      <w:r w:rsidR="00F72714" w:rsidRPr="00653DCF">
        <w:rPr>
          <w:color w:val="auto"/>
          <w:lang w:val="hr-HR"/>
        </w:rPr>
        <w:t>.</w:t>
      </w:r>
      <w:r w:rsidRPr="00653DCF">
        <w:rPr>
          <w:color w:val="auto"/>
          <w:lang w:val="hr-HR"/>
        </w:rPr>
        <w:t>, uključujući prvu</w:t>
      </w:r>
      <w:r w:rsidR="004C7FFA" w:rsidRPr="00653DCF">
        <w:rPr>
          <w:color w:val="auto"/>
          <w:lang w:val="hr-HR"/>
        </w:rPr>
        <w:t xml:space="preserve"> tranšu</w:t>
      </w:r>
      <w:r w:rsidRPr="00653DCF">
        <w:rPr>
          <w:color w:val="auto"/>
          <w:lang w:val="hr-HR"/>
        </w:rPr>
        <w:t>, podliježe sljedećim uvjetima:</w:t>
      </w:r>
    </w:p>
    <w:p w14:paraId="192D9AA7" w14:textId="14827851" w:rsidR="007A2A6F" w:rsidRDefault="00E87B0B">
      <w:pPr>
        <w:pStyle w:val="NoIndentEIB"/>
        <w:numPr>
          <w:ilvl w:val="0"/>
          <w:numId w:val="17"/>
        </w:numPr>
        <w:rPr>
          <w:color w:val="auto"/>
          <w:lang w:val="hr-HR"/>
        </w:rPr>
      </w:pPr>
      <w:r w:rsidRPr="00653DCF">
        <w:rPr>
          <w:color w:val="auto"/>
          <w:lang w:val="hr-HR"/>
        </w:rPr>
        <w:t xml:space="preserve">da Banka </w:t>
      </w:r>
      <w:r w:rsidR="00867346" w:rsidRPr="00653DCF">
        <w:rPr>
          <w:color w:val="auto"/>
          <w:lang w:val="hr-HR"/>
        </w:rPr>
        <w:t xml:space="preserve">za predloženu tranšu </w:t>
      </w:r>
      <w:r w:rsidR="003E511B" w:rsidRPr="00653DCF">
        <w:rPr>
          <w:color w:val="auto"/>
          <w:lang w:val="hr-HR"/>
        </w:rPr>
        <w:t>za</w:t>
      </w:r>
      <w:r w:rsidR="00867346" w:rsidRPr="00653DCF">
        <w:rPr>
          <w:color w:val="auto"/>
          <w:lang w:val="hr-HR"/>
        </w:rPr>
        <w:t>primi</w:t>
      </w:r>
      <w:r w:rsidRPr="00653DCF">
        <w:rPr>
          <w:color w:val="auto"/>
          <w:lang w:val="hr-HR"/>
        </w:rPr>
        <w:t>, na datum ili prije datuma koji pada 5 (pet) radnih dana prije planiranog datuma isplate (</w:t>
      </w:r>
      <w:r w:rsidR="00415906" w:rsidRPr="00653DCF">
        <w:rPr>
          <w:color w:val="auto"/>
          <w:lang w:val="hr-HR"/>
        </w:rPr>
        <w:t xml:space="preserve">a u slučaju odgode u skladu s člankom </w:t>
      </w:r>
      <w:r w:rsidR="00415906" w:rsidRPr="00653DCF">
        <w:rPr>
          <w:color w:val="auto"/>
          <w:lang w:val="hr-HR"/>
        </w:rPr>
        <w:fldChar w:fldCharType="begin"/>
      </w:r>
      <w:r w:rsidR="00415906" w:rsidRPr="00653DCF">
        <w:rPr>
          <w:color w:val="auto"/>
          <w:lang w:val="hr-HR"/>
        </w:rPr>
        <w:instrText xml:space="preserve"> REF _Ref511814886 \r \h </w:instrText>
      </w:r>
      <w:r w:rsidR="00085636" w:rsidRPr="00653DCF">
        <w:rPr>
          <w:color w:val="auto"/>
          <w:lang w:val="hr-HR"/>
        </w:rPr>
        <w:instrText xml:space="preserve"> \* MERGEFORMAT </w:instrText>
      </w:r>
      <w:r w:rsidR="00415906" w:rsidRPr="00653DCF">
        <w:rPr>
          <w:color w:val="auto"/>
          <w:lang w:val="hr-HR"/>
        </w:rPr>
      </w:r>
      <w:r w:rsidR="00415906" w:rsidRPr="00653DCF">
        <w:rPr>
          <w:color w:val="auto"/>
          <w:lang w:val="hr-HR"/>
        </w:rPr>
        <w:fldChar w:fldCharType="separate"/>
      </w:r>
      <w:r w:rsidR="00E5391B">
        <w:rPr>
          <w:color w:val="auto"/>
          <w:lang w:val="hr-HR"/>
        </w:rPr>
        <w:t>1.5</w:t>
      </w:r>
      <w:r w:rsidR="00415906" w:rsidRPr="00653DCF">
        <w:rPr>
          <w:color w:val="auto"/>
          <w:lang w:val="hr-HR"/>
        </w:rPr>
        <w:fldChar w:fldCharType="end"/>
      </w:r>
      <w:r w:rsidR="00415906" w:rsidRPr="00653DCF">
        <w:rPr>
          <w:color w:val="auto"/>
          <w:lang w:val="hr-HR"/>
        </w:rPr>
        <w:t xml:space="preserve">., </w:t>
      </w:r>
      <w:r w:rsidR="00F72714" w:rsidRPr="00653DCF">
        <w:rPr>
          <w:color w:val="auto"/>
          <w:lang w:val="hr-HR"/>
        </w:rPr>
        <w:t xml:space="preserve">prije </w:t>
      </w:r>
      <w:r w:rsidR="004D7CE1" w:rsidRPr="00653DCF">
        <w:rPr>
          <w:color w:val="auto"/>
          <w:lang w:val="hr-HR"/>
        </w:rPr>
        <w:t xml:space="preserve">zatraženog datuma odgode isplate ili ugovorenog datuma odgode isplate, </w:t>
      </w:r>
      <w:r w:rsidR="00415906" w:rsidRPr="00653DCF">
        <w:rPr>
          <w:color w:val="auto"/>
          <w:lang w:val="hr-HR"/>
        </w:rPr>
        <w:t>ovisno o slučaju</w:t>
      </w:r>
      <w:r w:rsidRPr="00653DCF">
        <w:rPr>
          <w:color w:val="auto"/>
          <w:lang w:val="hr-HR"/>
        </w:rPr>
        <w:t>), sljedeć</w:t>
      </w:r>
      <w:r w:rsidR="0007462F" w:rsidRPr="00653DCF">
        <w:rPr>
          <w:color w:val="auto"/>
          <w:lang w:val="hr-HR"/>
        </w:rPr>
        <w:t>e</w:t>
      </w:r>
      <w:r w:rsidRPr="00653DCF">
        <w:rPr>
          <w:color w:val="auto"/>
          <w:lang w:val="hr-HR"/>
        </w:rPr>
        <w:t xml:space="preserve"> </w:t>
      </w:r>
      <w:r w:rsidR="00B1721F" w:rsidRPr="00653DCF">
        <w:rPr>
          <w:color w:val="auto"/>
          <w:lang w:val="hr-HR"/>
        </w:rPr>
        <w:t>dokumente</w:t>
      </w:r>
      <w:r w:rsidRPr="00653DCF">
        <w:rPr>
          <w:color w:val="auto"/>
          <w:lang w:val="hr-HR"/>
        </w:rPr>
        <w:t xml:space="preserve"> ili dokaz</w:t>
      </w:r>
      <w:r w:rsidR="0007462F" w:rsidRPr="00653DCF">
        <w:rPr>
          <w:color w:val="auto"/>
          <w:lang w:val="hr-HR"/>
        </w:rPr>
        <w:t>e</w:t>
      </w:r>
      <w:r w:rsidR="00B1721F" w:rsidRPr="00653DCF">
        <w:rPr>
          <w:color w:val="auto"/>
          <w:lang w:val="hr-HR"/>
        </w:rPr>
        <w:t xml:space="preserve"> koji su za nju oblikom i sadržajem zadovoljavajući</w:t>
      </w:r>
      <w:r w:rsidRPr="00653DCF">
        <w:rPr>
          <w:color w:val="auto"/>
          <w:lang w:val="hr-HR"/>
        </w:rPr>
        <w:t>:</w:t>
      </w:r>
    </w:p>
    <w:p w14:paraId="3401D397" w14:textId="77777777" w:rsidR="00042353" w:rsidRPr="00653DCF" w:rsidRDefault="00042353" w:rsidP="00042353">
      <w:pPr>
        <w:pStyle w:val="NoIndentEIB"/>
        <w:rPr>
          <w:color w:val="auto"/>
          <w:lang w:val="hr-HR"/>
        </w:rPr>
      </w:pPr>
    </w:p>
    <w:p w14:paraId="6EA92B58" w14:textId="282A6291" w:rsidR="007A2A6F" w:rsidRPr="00653DCF" w:rsidRDefault="00E87B0B">
      <w:pPr>
        <w:pStyle w:val="NoIndentEIB"/>
        <w:numPr>
          <w:ilvl w:val="1"/>
          <w:numId w:val="17"/>
        </w:numPr>
        <w:rPr>
          <w:color w:val="auto"/>
          <w:lang w:val="hr-HR"/>
        </w:rPr>
      </w:pPr>
      <w:r w:rsidRPr="00653DCF">
        <w:rPr>
          <w:color w:val="auto"/>
          <w:lang w:val="hr-HR"/>
        </w:rPr>
        <w:t xml:space="preserve">dokaz da je </w:t>
      </w:r>
      <w:r w:rsidR="00316592" w:rsidRPr="00653DCF">
        <w:rPr>
          <w:color w:val="auto"/>
          <w:lang w:val="hr-HR"/>
        </w:rPr>
        <w:t>Z</w:t>
      </w:r>
      <w:r w:rsidRPr="00653DCF">
        <w:rPr>
          <w:color w:val="auto"/>
          <w:lang w:val="hr-HR"/>
        </w:rPr>
        <w:t xml:space="preserve">ajmoprimac </w:t>
      </w:r>
      <w:r w:rsidR="00062800" w:rsidRPr="00653DCF">
        <w:rPr>
          <w:color w:val="auto"/>
          <w:lang w:val="hr-HR"/>
        </w:rPr>
        <w:t xml:space="preserve">pribavio </w:t>
      </w:r>
      <w:r w:rsidRPr="00653DCF">
        <w:rPr>
          <w:color w:val="auto"/>
          <w:lang w:val="hr-HR"/>
        </w:rPr>
        <w:t xml:space="preserve">sva potrebna </w:t>
      </w:r>
      <w:r w:rsidR="00316592" w:rsidRPr="00653DCF">
        <w:rPr>
          <w:color w:val="auto"/>
          <w:lang w:val="hr-HR"/>
        </w:rPr>
        <w:t xml:space="preserve">ovlaštenja </w:t>
      </w:r>
      <w:r w:rsidRPr="00653DCF">
        <w:rPr>
          <w:color w:val="auto"/>
          <w:lang w:val="hr-HR"/>
        </w:rPr>
        <w:t xml:space="preserve">u vezi s </w:t>
      </w:r>
      <w:r w:rsidR="00F72714" w:rsidRPr="00653DCF">
        <w:rPr>
          <w:color w:val="auto"/>
          <w:lang w:val="hr-HR"/>
        </w:rPr>
        <w:t>uzimanjem</w:t>
      </w:r>
      <w:r w:rsidRPr="00653DCF">
        <w:rPr>
          <w:color w:val="auto"/>
          <w:lang w:val="hr-HR"/>
        </w:rPr>
        <w:t xml:space="preserve"> kredita u skladu s uvjetima</w:t>
      </w:r>
      <w:r w:rsidR="00062800" w:rsidRPr="00653DCF">
        <w:rPr>
          <w:color w:val="auto"/>
          <w:lang w:val="hr-HR"/>
        </w:rPr>
        <w:t xml:space="preserve"> ovog Ugovora</w:t>
      </w:r>
      <w:r w:rsidRPr="00653DCF">
        <w:rPr>
          <w:color w:val="auto"/>
          <w:lang w:val="hr-HR"/>
        </w:rPr>
        <w:t xml:space="preserve">, uključujući uvjete </w:t>
      </w:r>
      <w:r w:rsidR="00666259" w:rsidRPr="00653DCF">
        <w:rPr>
          <w:color w:val="auto"/>
          <w:lang w:val="hr-HR"/>
        </w:rPr>
        <w:t xml:space="preserve">iz </w:t>
      </w:r>
      <w:r w:rsidRPr="00653DCF">
        <w:rPr>
          <w:color w:val="auto"/>
          <w:lang w:val="hr-HR"/>
        </w:rPr>
        <w:t>relevantne obavijesti o isplati;</w:t>
      </w:r>
    </w:p>
    <w:p w14:paraId="0592C09A" w14:textId="7BF0C99E" w:rsidR="007A2A6F" w:rsidRPr="00653DCF" w:rsidRDefault="00E87B0B">
      <w:pPr>
        <w:pStyle w:val="NoIndentEIB"/>
        <w:numPr>
          <w:ilvl w:val="1"/>
          <w:numId w:val="17"/>
        </w:numPr>
        <w:rPr>
          <w:color w:val="auto"/>
          <w:lang w:val="hr-HR"/>
        </w:rPr>
      </w:pPr>
      <w:r w:rsidRPr="00653DCF">
        <w:rPr>
          <w:color w:val="auto"/>
          <w:lang w:val="hr-HR"/>
        </w:rPr>
        <w:t xml:space="preserve">potvrdu </w:t>
      </w:r>
      <w:r w:rsidR="00EB2F7C" w:rsidRPr="00653DCF">
        <w:rPr>
          <w:color w:val="auto"/>
          <w:lang w:val="hr-HR"/>
        </w:rPr>
        <w:t>Z</w:t>
      </w:r>
      <w:r w:rsidRPr="00653DCF">
        <w:rPr>
          <w:color w:val="auto"/>
          <w:lang w:val="hr-HR"/>
        </w:rPr>
        <w:t xml:space="preserve">ajmoprimca </w:t>
      </w:r>
      <w:r w:rsidR="00D45B55" w:rsidRPr="00653DCF">
        <w:rPr>
          <w:color w:val="auto"/>
          <w:lang w:val="hr-HR"/>
        </w:rPr>
        <w:t>na obrascu iz</w:t>
      </w:r>
      <w:r w:rsidR="00A01CB6" w:rsidRPr="00653DCF">
        <w:rPr>
          <w:color w:val="auto"/>
          <w:lang w:val="hr-HR"/>
        </w:rPr>
        <w:t xml:space="preserve"> Priloga E.1</w:t>
      </w:r>
      <w:r w:rsidR="009D0CD2" w:rsidRPr="00653DCF">
        <w:rPr>
          <w:color w:val="auto"/>
          <w:lang w:val="hr-HR"/>
        </w:rPr>
        <w:t>, koj</w:t>
      </w:r>
      <w:r w:rsidR="008145C3" w:rsidRPr="00653DCF">
        <w:rPr>
          <w:color w:val="auto"/>
          <w:lang w:val="hr-HR"/>
        </w:rPr>
        <w:t xml:space="preserve">u su potpisali </w:t>
      </w:r>
      <w:r w:rsidR="009D0CD2" w:rsidRPr="00653DCF">
        <w:rPr>
          <w:color w:val="auto"/>
          <w:lang w:val="hr-HR"/>
        </w:rPr>
        <w:t>predstavni</w:t>
      </w:r>
      <w:r w:rsidR="008145C3" w:rsidRPr="00653DCF">
        <w:rPr>
          <w:color w:val="auto"/>
          <w:lang w:val="hr-HR"/>
        </w:rPr>
        <w:t>ci</w:t>
      </w:r>
      <w:r w:rsidR="009D0CD2" w:rsidRPr="00653DCF">
        <w:rPr>
          <w:color w:val="auto"/>
          <w:lang w:val="hr-HR"/>
        </w:rPr>
        <w:t xml:space="preserve"> Zajmoprimca </w:t>
      </w:r>
      <w:r w:rsidR="008145C3" w:rsidRPr="00653DCF">
        <w:rPr>
          <w:color w:val="auto"/>
          <w:lang w:val="hr-HR"/>
        </w:rPr>
        <w:t xml:space="preserve">ovlašteni </w:t>
      </w:r>
      <w:r w:rsidRPr="00653DCF">
        <w:rPr>
          <w:color w:val="auto"/>
          <w:lang w:val="hr-HR"/>
        </w:rPr>
        <w:t xml:space="preserve">u skladu s općim pravilima </w:t>
      </w:r>
      <w:r w:rsidR="00EB2F7C" w:rsidRPr="00653DCF">
        <w:rPr>
          <w:color w:val="auto"/>
          <w:lang w:val="hr-HR"/>
        </w:rPr>
        <w:t xml:space="preserve">za zastupanje </w:t>
      </w:r>
      <w:r w:rsidR="008145C3" w:rsidRPr="00653DCF">
        <w:rPr>
          <w:color w:val="auto"/>
          <w:lang w:val="hr-HR"/>
        </w:rPr>
        <w:t xml:space="preserve">koja se </w:t>
      </w:r>
      <w:r w:rsidRPr="00653DCF">
        <w:rPr>
          <w:color w:val="auto"/>
          <w:lang w:val="hr-HR"/>
        </w:rPr>
        <w:t xml:space="preserve">primjenjuju na </w:t>
      </w:r>
      <w:r w:rsidR="00EB2F7C" w:rsidRPr="00653DCF">
        <w:rPr>
          <w:color w:val="auto"/>
          <w:lang w:val="hr-HR"/>
        </w:rPr>
        <w:t>Z</w:t>
      </w:r>
      <w:r w:rsidRPr="00653DCF">
        <w:rPr>
          <w:color w:val="auto"/>
          <w:lang w:val="hr-HR"/>
        </w:rPr>
        <w:t>ajmoprimca</w:t>
      </w:r>
      <w:r w:rsidR="00EB2F7C" w:rsidRPr="00653DCF">
        <w:rPr>
          <w:color w:val="auto"/>
          <w:lang w:val="hr-HR"/>
        </w:rPr>
        <w:t xml:space="preserve">, </w:t>
      </w:r>
      <w:r w:rsidR="008145C3" w:rsidRPr="00653DCF">
        <w:rPr>
          <w:color w:val="auto"/>
          <w:lang w:val="hr-HR"/>
        </w:rPr>
        <w:t xml:space="preserve">a </w:t>
      </w:r>
      <w:r w:rsidR="00D40C2A" w:rsidRPr="00653DCF">
        <w:rPr>
          <w:color w:val="auto"/>
          <w:lang w:val="hr-HR"/>
        </w:rPr>
        <w:t>koja</w:t>
      </w:r>
      <w:r w:rsidR="00E54661" w:rsidRPr="00653DCF">
        <w:rPr>
          <w:color w:val="auto"/>
          <w:lang w:val="hr-HR"/>
        </w:rPr>
        <w:t xml:space="preserve"> ne nosi </w:t>
      </w:r>
      <w:r w:rsidR="00086137" w:rsidRPr="00653DCF">
        <w:rPr>
          <w:color w:val="auto"/>
          <w:lang w:val="hr-HR"/>
        </w:rPr>
        <w:t>datum</w:t>
      </w:r>
      <w:r w:rsidR="00E54661" w:rsidRPr="00653DCF">
        <w:rPr>
          <w:color w:val="auto"/>
          <w:lang w:val="hr-HR"/>
        </w:rPr>
        <w:t xml:space="preserve"> stariji od </w:t>
      </w:r>
      <w:r w:rsidRPr="00653DCF">
        <w:rPr>
          <w:color w:val="auto"/>
          <w:lang w:val="hr-HR"/>
        </w:rPr>
        <w:t xml:space="preserve">30 (trideset) dana prije planiranog datuma isplate </w:t>
      </w:r>
      <w:r w:rsidR="00E54661" w:rsidRPr="00653DCF">
        <w:rPr>
          <w:color w:val="auto"/>
          <w:lang w:val="hr-HR"/>
        </w:rPr>
        <w:t xml:space="preserve">(a u slučaju odgode iz članka 1.5., </w:t>
      </w:r>
      <w:r w:rsidR="00C0368A" w:rsidRPr="00653DCF">
        <w:rPr>
          <w:color w:val="auto"/>
          <w:lang w:val="hr-HR"/>
        </w:rPr>
        <w:t xml:space="preserve">prije </w:t>
      </w:r>
      <w:r w:rsidR="00E54661" w:rsidRPr="00653DCF">
        <w:rPr>
          <w:color w:val="auto"/>
          <w:lang w:val="hr-HR"/>
        </w:rPr>
        <w:t xml:space="preserve">zatraženog datuma odgode isplate ili </w:t>
      </w:r>
      <w:r w:rsidR="00D40C2A" w:rsidRPr="00653DCF">
        <w:rPr>
          <w:color w:val="auto"/>
          <w:lang w:val="hr-HR"/>
        </w:rPr>
        <w:t>ugovorenog datuma odgode isplate, ovisno o slučaju);</w:t>
      </w:r>
    </w:p>
    <w:p w14:paraId="2B6807AE" w14:textId="7CD9E9DD" w:rsidR="007A2A6F" w:rsidRPr="00653DCF" w:rsidRDefault="00714ADC">
      <w:pPr>
        <w:pStyle w:val="NoIndentEIB"/>
        <w:numPr>
          <w:ilvl w:val="1"/>
          <w:numId w:val="17"/>
        </w:numPr>
        <w:rPr>
          <w:color w:val="auto"/>
          <w:lang w:val="hr-HR"/>
        </w:rPr>
      </w:pPr>
      <w:r w:rsidRPr="00653DCF">
        <w:rPr>
          <w:color w:val="auto"/>
          <w:lang w:val="hr-HR"/>
        </w:rPr>
        <w:t>prim</w:t>
      </w:r>
      <w:r w:rsidR="00023BC9" w:rsidRPr="00653DCF">
        <w:rPr>
          <w:color w:val="auto"/>
          <w:lang w:val="hr-HR"/>
        </w:rPr>
        <w:t>j</w:t>
      </w:r>
      <w:r w:rsidRPr="00653DCF">
        <w:rPr>
          <w:color w:val="auto"/>
          <w:lang w:val="hr-HR"/>
        </w:rPr>
        <w:t xml:space="preserve">erak bilo kojeg drugog ovlaštenja ili </w:t>
      </w:r>
      <w:r w:rsidR="00E87B0B" w:rsidRPr="00653DCF">
        <w:rPr>
          <w:color w:val="auto"/>
          <w:lang w:val="hr-HR"/>
        </w:rPr>
        <w:t xml:space="preserve">dokumenta, mišljenja ili </w:t>
      </w:r>
      <w:r w:rsidRPr="00653DCF">
        <w:rPr>
          <w:color w:val="auto"/>
          <w:lang w:val="hr-HR"/>
        </w:rPr>
        <w:t xml:space="preserve">uvjerenja o </w:t>
      </w:r>
      <w:r w:rsidR="0021698C" w:rsidRPr="00653DCF">
        <w:rPr>
          <w:color w:val="auto"/>
          <w:lang w:val="hr-HR"/>
        </w:rPr>
        <w:t>kojemu</w:t>
      </w:r>
      <w:r w:rsidRPr="00653DCF">
        <w:rPr>
          <w:color w:val="auto"/>
          <w:lang w:val="hr-HR"/>
        </w:rPr>
        <w:t xml:space="preserve"> je </w:t>
      </w:r>
      <w:r w:rsidR="00E87B0B" w:rsidRPr="00653DCF">
        <w:rPr>
          <w:color w:val="auto"/>
          <w:lang w:val="hr-HR"/>
        </w:rPr>
        <w:t xml:space="preserve">Banka </w:t>
      </w:r>
      <w:r w:rsidRPr="00653DCF">
        <w:rPr>
          <w:color w:val="auto"/>
          <w:lang w:val="hr-HR"/>
        </w:rPr>
        <w:t xml:space="preserve">obavijestila </w:t>
      </w:r>
      <w:r w:rsidR="00E87B0B" w:rsidRPr="00653DCF">
        <w:rPr>
          <w:color w:val="auto"/>
          <w:lang w:val="hr-HR"/>
        </w:rPr>
        <w:t xml:space="preserve">Zajmoprimca </w:t>
      </w:r>
      <w:r w:rsidRPr="00653DCF">
        <w:rPr>
          <w:color w:val="auto"/>
          <w:lang w:val="hr-HR"/>
        </w:rPr>
        <w:t xml:space="preserve">da je potreban ili </w:t>
      </w:r>
      <w:r w:rsidR="00E87B0B" w:rsidRPr="00653DCF">
        <w:rPr>
          <w:color w:val="auto"/>
          <w:lang w:val="hr-HR"/>
        </w:rPr>
        <w:t>poželj</w:t>
      </w:r>
      <w:r w:rsidRPr="00653DCF">
        <w:rPr>
          <w:color w:val="auto"/>
          <w:lang w:val="hr-HR"/>
        </w:rPr>
        <w:t>a</w:t>
      </w:r>
      <w:r w:rsidR="00E87B0B" w:rsidRPr="00653DCF">
        <w:rPr>
          <w:color w:val="auto"/>
          <w:lang w:val="hr-HR"/>
        </w:rPr>
        <w:t>n u vezi s</w:t>
      </w:r>
      <w:r w:rsidRPr="00653DCF">
        <w:rPr>
          <w:color w:val="auto"/>
          <w:lang w:val="hr-HR"/>
        </w:rPr>
        <w:t>a</w:t>
      </w:r>
      <w:r w:rsidR="00E87B0B" w:rsidRPr="00653DCF">
        <w:rPr>
          <w:color w:val="auto"/>
          <w:lang w:val="hr-HR"/>
        </w:rPr>
        <w:t xml:space="preserve"> sklapanjem i </w:t>
      </w:r>
      <w:r w:rsidRPr="00653DCF">
        <w:rPr>
          <w:color w:val="auto"/>
          <w:lang w:val="hr-HR"/>
        </w:rPr>
        <w:t>izvršenjem ovog Ugovor</w:t>
      </w:r>
      <w:r w:rsidR="005E2524" w:rsidRPr="00653DCF">
        <w:rPr>
          <w:color w:val="auto"/>
          <w:lang w:val="hr-HR"/>
        </w:rPr>
        <w:t>a te transakcija koje se u njemu razmatraju</w:t>
      </w:r>
      <w:r w:rsidR="00923CEA" w:rsidRPr="00653DCF">
        <w:rPr>
          <w:color w:val="auto"/>
          <w:lang w:val="hr-HR"/>
        </w:rPr>
        <w:t xml:space="preserve">, ili vezano za </w:t>
      </w:r>
      <w:r w:rsidR="005E2524" w:rsidRPr="00653DCF">
        <w:rPr>
          <w:color w:val="auto"/>
          <w:lang w:val="hr-HR"/>
        </w:rPr>
        <w:t>zakonitost</w:t>
      </w:r>
      <w:r w:rsidR="00B60596" w:rsidRPr="00653DCF">
        <w:rPr>
          <w:color w:val="auto"/>
          <w:lang w:val="hr-HR"/>
        </w:rPr>
        <w:t xml:space="preserve">, valjanost, obvezujući učinak ili provedivost </w:t>
      </w:r>
      <w:r w:rsidR="00CC19B1" w:rsidRPr="00653DCF">
        <w:rPr>
          <w:color w:val="auto"/>
          <w:lang w:val="hr-HR"/>
        </w:rPr>
        <w:t xml:space="preserve">ovog </w:t>
      </w:r>
      <w:r w:rsidR="00B60596" w:rsidRPr="00653DCF">
        <w:rPr>
          <w:color w:val="auto"/>
          <w:lang w:val="hr-HR"/>
        </w:rPr>
        <w:t>Ugovora</w:t>
      </w:r>
      <w:r w:rsidR="00E87B0B" w:rsidRPr="00653DCF">
        <w:rPr>
          <w:color w:val="auto"/>
          <w:lang w:val="hr-HR"/>
        </w:rPr>
        <w:t>; i</w:t>
      </w:r>
    </w:p>
    <w:p w14:paraId="261A5A7F" w14:textId="185D23E6" w:rsidR="00984F7A" w:rsidRPr="00653DCF" w:rsidRDefault="00D6396E">
      <w:pPr>
        <w:widowControl w:val="0"/>
        <w:numPr>
          <w:ilvl w:val="1"/>
          <w:numId w:val="17"/>
        </w:numPr>
        <w:rPr>
          <w:color w:val="auto"/>
          <w:lang w:val="hr-HR"/>
        </w:rPr>
      </w:pPr>
      <w:r w:rsidRPr="00653DCF">
        <w:rPr>
          <w:color w:val="auto"/>
          <w:lang w:val="hr-HR"/>
        </w:rPr>
        <w:t xml:space="preserve">u odnosu na </w:t>
      </w:r>
      <w:r w:rsidR="00984F7A" w:rsidRPr="00653DCF">
        <w:rPr>
          <w:color w:val="auto"/>
          <w:lang w:val="hr-HR"/>
        </w:rPr>
        <w:t>bilo koji investicijski projekt koji se treba financirati zatraženom tranšom</w:t>
      </w:r>
      <w:r w:rsidR="009C373E" w:rsidRPr="00653DCF">
        <w:rPr>
          <w:color w:val="auto"/>
          <w:lang w:val="hr-HR"/>
        </w:rPr>
        <w:t xml:space="preserve">, a za koji je izgledno da će </w:t>
      </w:r>
      <w:r w:rsidR="006358C4" w:rsidRPr="00653DCF">
        <w:rPr>
          <w:color w:val="auto"/>
          <w:lang w:val="hr-HR"/>
        </w:rPr>
        <w:t xml:space="preserve">trošak </w:t>
      </w:r>
      <w:r w:rsidR="009C373E" w:rsidRPr="00653DCF">
        <w:rPr>
          <w:color w:val="auto"/>
          <w:lang w:val="hr-HR"/>
        </w:rPr>
        <w:t>sveukupno iznositi ili će prelaziti</w:t>
      </w:r>
      <w:r w:rsidR="00984F7A" w:rsidRPr="00653DCF">
        <w:rPr>
          <w:color w:val="auto"/>
          <w:lang w:val="hr-HR"/>
        </w:rPr>
        <w:t xml:space="preserve"> </w:t>
      </w:r>
      <w:r w:rsidR="006358C4" w:rsidRPr="00653DCF">
        <w:rPr>
          <w:color w:val="auto"/>
          <w:lang w:val="hr-HR"/>
        </w:rPr>
        <w:t xml:space="preserve">iznos </w:t>
      </w:r>
      <w:r w:rsidR="009C373E" w:rsidRPr="00653DCF">
        <w:rPr>
          <w:color w:val="auto"/>
          <w:lang w:val="hr-HR"/>
        </w:rPr>
        <w:t>50.000.000 EUR (pedeset milijuna eura)</w:t>
      </w:r>
      <w:r w:rsidR="00F61899" w:rsidRPr="00653DCF">
        <w:rPr>
          <w:color w:val="auto"/>
          <w:lang w:val="hr-HR"/>
        </w:rPr>
        <w:t xml:space="preserve">, </w:t>
      </w:r>
      <w:r w:rsidR="003611C9" w:rsidRPr="00653DCF">
        <w:rPr>
          <w:color w:val="auto"/>
          <w:lang w:val="hr-HR"/>
        </w:rPr>
        <w:t>bilo koj</w:t>
      </w:r>
      <w:r w:rsidR="00AF3E90" w:rsidRPr="00653DCF">
        <w:rPr>
          <w:color w:val="auto"/>
          <w:lang w:val="hr-HR"/>
        </w:rPr>
        <w:t>u</w:t>
      </w:r>
      <w:r w:rsidR="003611C9" w:rsidRPr="00653DCF">
        <w:rPr>
          <w:color w:val="auto"/>
          <w:lang w:val="hr-HR"/>
        </w:rPr>
        <w:t xml:space="preserve"> dokumentacij</w:t>
      </w:r>
      <w:r w:rsidR="00AF3E90" w:rsidRPr="00653DCF">
        <w:rPr>
          <w:color w:val="auto"/>
          <w:lang w:val="hr-HR"/>
        </w:rPr>
        <w:t>u</w:t>
      </w:r>
      <w:r w:rsidR="003611C9" w:rsidRPr="00653DCF">
        <w:rPr>
          <w:color w:val="auto"/>
          <w:lang w:val="hr-HR"/>
        </w:rPr>
        <w:t xml:space="preserve"> koju je Banka pojedinačno naznačila </w:t>
      </w:r>
      <w:r w:rsidR="0021698C" w:rsidRPr="00653DCF">
        <w:rPr>
          <w:color w:val="auto"/>
          <w:lang w:val="hr-HR"/>
        </w:rPr>
        <w:t>Zajmoprimcu</w:t>
      </w:r>
      <w:r w:rsidR="003611C9" w:rsidRPr="00653DCF">
        <w:rPr>
          <w:color w:val="auto"/>
          <w:lang w:val="hr-HR"/>
        </w:rPr>
        <w:t xml:space="preserve">, a </w:t>
      </w:r>
      <w:r w:rsidR="00F61899" w:rsidRPr="00653DCF">
        <w:rPr>
          <w:color w:val="auto"/>
          <w:lang w:val="hr-HR"/>
        </w:rPr>
        <w:t xml:space="preserve">koju Banka može smatrati potrebnom kako bi neovisno </w:t>
      </w:r>
      <w:r w:rsidR="001F7734" w:rsidRPr="00653DCF">
        <w:rPr>
          <w:color w:val="auto"/>
          <w:lang w:val="hr-HR"/>
        </w:rPr>
        <w:t>pr</w:t>
      </w:r>
      <w:r w:rsidR="00F61899" w:rsidRPr="00653DCF">
        <w:rPr>
          <w:color w:val="auto"/>
          <w:lang w:val="hr-HR"/>
        </w:rPr>
        <w:t>ocijenila bilo koji takav investicijski projekt</w:t>
      </w:r>
      <w:r w:rsidR="00496958" w:rsidRPr="00653DCF">
        <w:rPr>
          <w:color w:val="auto"/>
          <w:lang w:val="hr-HR"/>
        </w:rPr>
        <w:t xml:space="preserve"> te pribavila odobrenje </w:t>
      </w:r>
      <w:r w:rsidR="00B85C59" w:rsidRPr="00653DCF">
        <w:rPr>
          <w:color w:val="auto"/>
          <w:lang w:val="hr-HR"/>
        </w:rPr>
        <w:t xml:space="preserve">upravljačkih tijela </w:t>
      </w:r>
      <w:r w:rsidR="00B85C59" w:rsidRPr="00653DCF">
        <w:rPr>
          <w:color w:val="auto"/>
          <w:lang w:val="hr-HR"/>
        </w:rPr>
        <w:lastRenderedPageBreak/>
        <w:t>Banke</w:t>
      </w:r>
      <w:r w:rsidR="00496958" w:rsidRPr="00653DCF">
        <w:rPr>
          <w:color w:val="auto"/>
          <w:lang w:val="hr-HR"/>
        </w:rPr>
        <w:t xml:space="preserve">; i </w:t>
      </w:r>
    </w:p>
    <w:p w14:paraId="31284ADB" w14:textId="6AA071FB" w:rsidR="00984F7A" w:rsidRPr="00653DCF" w:rsidRDefault="00D6396E">
      <w:pPr>
        <w:widowControl w:val="0"/>
        <w:numPr>
          <w:ilvl w:val="1"/>
          <w:numId w:val="17"/>
        </w:numPr>
        <w:rPr>
          <w:color w:val="auto"/>
          <w:lang w:val="hr-HR"/>
        </w:rPr>
      </w:pPr>
      <w:r w:rsidRPr="00653DCF">
        <w:rPr>
          <w:color w:val="auto"/>
          <w:lang w:val="hr-HR"/>
        </w:rPr>
        <w:t xml:space="preserve">u odnosu na </w:t>
      </w:r>
      <w:r w:rsidR="002B78F4" w:rsidRPr="00653DCF">
        <w:rPr>
          <w:color w:val="auto"/>
          <w:lang w:val="hr-HR"/>
        </w:rPr>
        <w:t xml:space="preserve">bilo koju tranšu koja se koristi za </w:t>
      </w:r>
      <w:r w:rsidR="0021698C" w:rsidRPr="00653DCF">
        <w:rPr>
          <w:color w:val="auto"/>
          <w:lang w:val="hr-HR"/>
        </w:rPr>
        <w:t>financiranje</w:t>
      </w:r>
      <w:r w:rsidR="002B78F4" w:rsidRPr="00653DCF">
        <w:rPr>
          <w:color w:val="auto"/>
          <w:lang w:val="hr-HR"/>
        </w:rPr>
        <w:t xml:space="preserve"> </w:t>
      </w:r>
      <w:r w:rsidR="0021698C" w:rsidRPr="00653DCF">
        <w:rPr>
          <w:color w:val="auto"/>
          <w:lang w:val="hr-HR"/>
        </w:rPr>
        <w:t>investicijskih</w:t>
      </w:r>
      <w:r w:rsidR="002B78F4" w:rsidRPr="00653DCF">
        <w:rPr>
          <w:color w:val="auto"/>
          <w:lang w:val="hr-HR"/>
        </w:rPr>
        <w:t xml:space="preserve"> projekata vezano za </w:t>
      </w:r>
      <w:r w:rsidR="00E629E5" w:rsidRPr="00653DCF">
        <w:rPr>
          <w:color w:val="auto"/>
          <w:lang w:val="hr-HR"/>
        </w:rPr>
        <w:t xml:space="preserve">željeznička vozila ili </w:t>
      </w:r>
      <w:r w:rsidR="00581DCF" w:rsidRPr="00653DCF">
        <w:rPr>
          <w:color w:val="auto"/>
          <w:lang w:val="hr-HR"/>
        </w:rPr>
        <w:t xml:space="preserve">održavanje </w:t>
      </w:r>
      <w:r w:rsidRPr="00653DCF">
        <w:rPr>
          <w:color w:val="auto"/>
          <w:lang w:val="hr-HR"/>
        </w:rPr>
        <w:t xml:space="preserve">objekata </w:t>
      </w:r>
      <w:r w:rsidR="00E629E5" w:rsidRPr="00653DCF">
        <w:rPr>
          <w:color w:val="auto"/>
          <w:lang w:val="hr-HR"/>
        </w:rPr>
        <w:t xml:space="preserve">koji </w:t>
      </w:r>
      <w:r w:rsidR="00783DDB" w:rsidRPr="00653DCF">
        <w:rPr>
          <w:color w:val="auto"/>
          <w:lang w:val="hr-HR"/>
        </w:rPr>
        <w:t xml:space="preserve">se smatraju potrebnim </w:t>
      </w:r>
      <w:r w:rsidR="00E629E5" w:rsidRPr="00653DCF">
        <w:rPr>
          <w:color w:val="auto"/>
          <w:lang w:val="hr-HR"/>
        </w:rPr>
        <w:t xml:space="preserve">za </w:t>
      </w:r>
      <w:r w:rsidR="00023BC9" w:rsidRPr="00653DCF">
        <w:rPr>
          <w:color w:val="auto"/>
          <w:lang w:val="hr-HR"/>
        </w:rPr>
        <w:t xml:space="preserve">pružanje usluga putničkog prijevoza </w:t>
      </w:r>
      <w:r w:rsidR="001F7734" w:rsidRPr="00653DCF">
        <w:rPr>
          <w:color w:val="auto"/>
          <w:lang w:val="hr-HR"/>
        </w:rPr>
        <w:t xml:space="preserve">od strane </w:t>
      </w:r>
      <w:r w:rsidR="00BE4880" w:rsidRPr="00653DCF">
        <w:rPr>
          <w:color w:val="auto"/>
          <w:lang w:val="hr-HR"/>
        </w:rPr>
        <w:t>HŽPP-a</w:t>
      </w:r>
      <w:r w:rsidR="00023BC9" w:rsidRPr="00653DCF">
        <w:rPr>
          <w:color w:val="auto"/>
          <w:lang w:val="hr-HR"/>
        </w:rPr>
        <w:t xml:space="preserve">, </w:t>
      </w:r>
      <w:r w:rsidR="002E5DCD" w:rsidRPr="00653DCF">
        <w:rPr>
          <w:color w:val="auto"/>
          <w:lang w:val="hr-HR"/>
        </w:rPr>
        <w:t>primjerak važećeg ugovora o javnim uslugama ili ekvivalenta takvog ugovora</w:t>
      </w:r>
      <w:r w:rsidR="0024177B" w:rsidRPr="00653DCF">
        <w:rPr>
          <w:color w:val="auto"/>
          <w:lang w:val="hr-HR"/>
        </w:rPr>
        <w:t xml:space="preserve"> te bilo </w:t>
      </w:r>
      <w:r w:rsidR="0046275B" w:rsidRPr="00653DCF">
        <w:rPr>
          <w:color w:val="auto"/>
          <w:lang w:val="hr-HR"/>
        </w:rPr>
        <w:t xml:space="preserve">koje </w:t>
      </w:r>
      <w:r w:rsidR="0024177B" w:rsidRPr="00653DCF">
        <w:rPr>
          <w:color w:val="auto"/>
          <w:lang w:val="hr-HR"/>
        </w:rPr>
        <w:t>druge dokaze</w:t>
      </w:r>
      <w:r w:rsidR="0046275B" w:rsidRPr="00653DCF">
        <w:rPr>
          <w:color w:val="auto"/>
          <w:lang w:val="hr-HR"/>
        </w:rPr>
        <w:t xml:space="preserve"> koji mogu biti potrebni </w:t>
      </w:r>
      <w:r w:rsidR="00AE57C1" w:rsidRPr="00653DCF">
        <w:rPr>
          <w:color w:val="auto"/>
          <w:lang w:val="hr-HR"/>
        </w:rPr>
        <w:t xml:space="preserve">o tome </w:t>
      </w:r>
      <w:r w:rsidR="0024177B" w:rsidRPr="00653DCF">
        <w:rPr>
          <w:color w:val="auto"/>
          <w:lang w:val="hr-HR"/>
        </w:rPr>
        <w:t xml:space="preserve">da nema otvorenih pitanja vezano za </w:t>
      </w:r>
      <w:r w:rsidR="00AE57C1" w:rsidRPr="00653DCF">
        <w:rPr>
          <w:color w:val="auto"/>
          <w:lang w:val="hr-HR"/>
        </w:rPr>
        <w:t xml:space="preserve">pitanja državnih potpora </w:t>
      </w:r>
      <w:r w:rsidR="0046275B" w:rsidRPr="00653DCF">
        <w:rPr>
          <w:color w:val="auto"/>
          <w:lang w:val="hr-HR"/>
        </w:rPr>
        <w:t xml:space="preserve">u </w:t>
      </w:r>
      <w:r w:rsidR="00FB25FC" w:rsidRPr="00653DCF">
        <w:rPr>
          <w:color w:val="auto"/>
          <w:lang w:val="hr-HR"/>
        </w:rPr>
        <w:t>vezi s takvim investicijskim projektima</w:t>
      </w:r>
      <w:r w:rsidR="0046275B" w:rsidRPr="00653DCF">
        <w:rPr>
          <w:color w:val="auto"/>
          <w:lang w:val="hr-HR"/>
        </w:rPr>
        <w:t>;</w:t>
      </w:r>
    </w:p>
    <w:p w14:paraId="3541793C" w14:textId="1A6889EB" w:rsidR="005D354A" w:rsidRPr="00653DCF" w:rsidRDefault="00FB25FC" w:rsidP="00505CC7">
      <w:pPr>
        <w:pStyle w:val="NoIndentEIB"/>
        <w:numPr>
          <w:ilvl w:val="0"/>
          <w:numId w:val="17"/>
        </w:numPr>
        <w:rPr>
          <w:color w:val="auto"/>
          <w:lang w:val="hr-HR"/>
        </w:rPr>
      </w:pPr>
      <w:r w:rsidRPr="00653DCF">
        <w:rPr>
          <w:color w:val="auto"/>
          <w:lang w:val="hr-HR"/>
        </w:rPr>
        <w:t xml:space="preserve">na </w:t>
      </w:r>
      <w:r w:rsidR="00E87B0B" w:rsidRPr="00653DCF">
        <w:rPr>
          <w:color w:val="auto"/>
          <w:lang w:val="hr-HR"/>
        </w:rPr>
        <w:t>planirani datum isplate (</w:t>
      </w:r>
      <w:r w:rsidR="005D354A" w:rsidRPr="00653DCF">
        <w:rPr>
          <w:color w:val="auto"/>
          <w:lang w:val="hr-HR"/>
        </w:rPr>
        <w:t xml:space="preserve">a u slučaju odgode u skladu s člankom </w:t>
      </w:r>
      <w:r w:rsidR="005D354A" w:rsidRPr="00653DCF">
        <w:rPr>
          <w:color w:val="auto"/>
          <w:lang w:val="hr-HR"/>
        </w:rPr>
        <w:fldChar w:fldCharType="begin"/>
      </w:r>
      <w:r w:rsidR="005D354A" w:rsidRPr="00653DCF">
        <w:rPr>
          <w:color w:val="auto"/>
          <w:lang w:val="hr-HR"/>
        </w:rPr>
        <w:instrText xml:space="preserve"> REF _Ref511814886 \r \h </w:instrText>
      </w:r>
      <w:r w:rsidR="00A641E1" w:rsidRPr="00653DCF">
        <w:rPr>
          <w:color w:val="auto"/>
          <w:lang w:val="hr-HR"/>
        </w:rPr>
        <w:instrText xml:space="preserve"> \* MERGEFORMAT </w:instrText>
      </w:r>
      <w:r w:rsidR="005D354A" w:rsidRPr="00653DCF">
        <w:rPr>
          <w:color w:val="auto"/>
          <w:lang w:val="hr-HR"/>
        </w:rPr>
      </w:r>
      <w:r w:rsidR="005D354A" w:rsidRPr="00653DCF">
        <w:rPr>
          <w:color w:val="auto"/>
          <w:lang w:val="hr-HR"/>
        </w:rPr>
        <w:fldChar w:fldCharType="separate"/>
      </w:r>
      <w:r w:rsidR="00E5391B">
        <w:rPr>
          <w:color w:val="auto"/>
          <w:lang w:val="hr-HR"/>
        </w:rPr>
        <w:t>1.5</w:t>
      </w:r>
      <w:r w:rsidR="005D354A" w:rsidRPr="00653DCF">
        <w:rPr>
          <w:color w:val="auto"/>
          <w:lang w:val="hr-HR"/>
        </w:rPr>
        <w:fldChar w:fldCharType="end"/>
      </w:r>
      <w:r w:rsidR="005D354A" w:rsidRPr="00653DCF">
        <w:rPr>
          <w:color w:val="auto"/>
          <w:lang w:val="hr-HR"/>
        </w:rPr>
        <w:t xml:space="preserve">., zatraženi datum odgode isplate </w:t>
      </w:r>
      <w:r w:rsidR="006E04D2" w:rsidRPr="00653DCF">
        <w:rPr>
          <w:color w:val="auto"/>
          <w:lang w:val="hr-HR"/>
        </w:rPr>
        <w:t xml:space="preserve">ili </w:t>
      </w:r>
      <w:r w:rsidR="005D354A" w:rsidRPr="00653DCF">
        <w:rPr>
          <w:color w:val="auto"/>
          <w:lang w:val="hr-HR"/>
        </w:rPr>
        <w:t>ugovoreni datum odgode isplate, ovisno o slučaju)</w:t>
      </w:r>
      <w:r w:rsidR="00007293" w:rsidRPr="00653DCF">
        <w:rPr>
          <w:color w:val="auto"/>
          <w:lang w:val="hr-HR"/>
        </w:rPr>
        <w:t xml:space="preserve"> za predloženu tranšu:</w:t>
      </w:r>
    </w:p>
    <w:p w14:paraId="57C3D8B7" w14:textId="3889E981" w:rsidR="007A2A6F" w:rsidRPr="00653DCF" w:rsidRDefault="001F12CE">
      <w:pPr>
        <w:pStyle w:val="NoIndentEIB"/>
        <w:numPr>
          <w:ilvl w:val="1"/>
          <w:numId w:val="17"/>
        </w:numPr>
        <w:rPr>
          <w:color w:val="auto"/>
          <w:lang w:val="hr-HR"/>
        </w:rPr>
      </w:pPr>
      <w:r w:rsidRPr="00653DCF">
        <w:rPr>
          <w:color w:val="auto"/>
          <w:lang w:val="hr-HR"/>
        </w:rPr>
        <w:t xml:space="preserve">da su </w:t>
      </w:r>
      <w:r w:rsidR="00E87B0B" w:rsidRPr="00653DCF">
        <w:rPr>
          <w:color w:val="auto"/>
          <w:lang w:val="hr-HR"/>
        </w:rPr>
        <w:t xml:space="preserve">izjave i jamstva koja se ponavljaju u skladu s člankom </w:t>
      </w:r>
      <w:r w:rsidR="00E87B0B" w:rsidRPr="00653DCF">
        <w:rPr>
          <w:color w:val="auto"/>
          <w:lang w:val="hr-HR"/>
        </w:rPr>
        <w:fldChar w:fldCharType="begin"/>
      </w:r>
      <w:r w:rsidR="00E87B0B" w:rsidRPr="00653DCF">
        <w:rPr>
          <w:color w:val="auto"/>
          <w:lang w:val="hr-HR"/>
        </w:rPr>
        <w:instrText xml:space="preserve"> REF _Ref62665226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6.10</w:t>
      </w:r>
      <w:r w:rsidR="00E87B0B" w:rsidRPr="00653DCF">
        <w:rPr>
          <w:color w:val="auto"/>
          <w:lang w:val="hr-HR"/>
        </w:rPr>
        <w:fldChar w:fldCharType="end"/>
      </w:r>
      <w:r w:rsidR="00E63CE9" w:rsidRPr="00653DCF">
        <w:rPr>
          <w:color w:val="auto"/>
          <w:lang w:val="hr-HR"/>
        </w:rPr>
        <w:t>.</w:t>
      </w:r>
      <w:r w:rsidR="00E87B0B" w:rsidRPr="00653DCF">
        <w:rPr>
          <w:color w:val="auto"/>
          <w:lang w:val="hr-HR"/>
        </w:rPr>
        <w:t xml:space="preserve"> točna u svim bitnim aspektima; i</w:t>
      </w:r>
    </w:p>
    <w:p w14:paraId="0F5DD207" w14:textId="5CE98A00" w:rsidR="007A2A6F" w:rsidRPr="00653DCF" w:rsidRDefault="001F12CE">
      <w:pPr>
        <w:pStyle w:val="NoIndentEIB"/>
        <w:numPr>
          <w:ilvl w:val="1"/>
          <w:numId w:val="17"/>
        </w:numPr>
        <w:rPr>
          <w:color w:val="auto"/>
          <w:lang w:val="hr-HR"/>
        </w:rPr>
      </w:pPr>
      <w:r w:rsidRPr="00653DCF">
        <w:rPr>
          <w:color w:val="auto"/>
          <w:lang w:val="hr-HR"/>
        </w:rPr>
        <w:t xml:space="preserve">da </w:t>
      </w:r>
      <w:r w:rsidR="0045471E" w:rsidRPr="00653DCF">
        <w:rPr>
          <w:color w:val="auto"/>
          <w:lang w:val="hr-HR"/>
        </w:rPr>
        <w:t xml:space="preserve">nisu nastupili </w:t>
      </w:r>
      <w:r w:rsidR="00E87B0B" w:rsidRPr="00653DCF">
        <w:rPr>
          <w:color w:val="auto"/>
          <w:lang w:val="hr-HR"/>
        </w:rPr>
        <w:t xml:space="preserve">nijedan događaj </w:t>
      </w:r>
      <w:r w:rsidRPr="00653DCF">
        <w:rPr>
          <w:color w:val="auto"/>
          <w:lang w:val="hr-HR"/>
        </w:rPr>
        <w:t>niti</w:t>
      </w:r>
      <w:r w:rsidR="00E87B0B" w:rsidRPr="00653DCF">
        <w:rPr>
          <w:color w:val="auto"/>
          <w:lang w:val="hr-HR"/>
        </w:rPr>
        <w:t xml:space="preserve"> </w:t>
      </w:r>
      <w:r w:rsidR="00212883" w:rsidRPr="00653DCF">
        <w:rPr>
          <w:color w:val="auto"/>
          <w:lang w:val="hr-HR"/>
        </w:rPr>
        <w:t xml:space="preserve">okolnost </w:t>
      </w:r>
      <w:r w:rsidR="00640CDA" w:rsidRPr="00653DCF">
        <w:rPr>
          <w:color w:val="auto"/>
          <w:lang w:val="hr-HR"/>
        </w:rPr>
        <w:t>koji</w:t>
      </w:r>
      <w:r w:rsidR="00CD2B06" w:rsidRPr="00653DCF">
        <w:rPr>
          <w:color w:val="auto"/>
          <w:lang w:val="hr-HR"/>
        </w:rPr>
        <w:t xml:space="preserve"> predstavlja</w:t>
      </w:r>
      <w:r w:rsidR="00640CDA" w:rsidRPr="00653DCF">
        <w:rPr>
          <w:color w:val="auto"/>
          <w:lang w:val="hr-HR"/>
        </w:rPr>
        <w:t>ju</w:t>
      </w:r>
      <w:r w:rsidR="0045471E" w:rsidRPr="00653DCF">
        <w:rPr>
          <w:color w:val="auto"/>
          <w:lang w:val="hr-HR"/>
        </w:rPr>
        <w:t>,</w:t>
      </w:r>
      <w:r w:rsidR="00CD2B06" w:rsidRPr="00653DCF">
        <w:rPr>
          <w:color w:val="auto"/>
          <w:lang w:val="hr-HR"/>
        </w:rPr>
        <w:t xml:space="preserve"> </w:t>
      </w:r>
      <w:r w:rsidR="00E87B0B" w:rsidRPr="00653DCF">
        <w:rPr>
          <w:color w:val="auto"/>
          <w:lang w:val="hr-HR"/>
        </w:rPr>
        <w:t xml:space="preserve">ili </w:t>
      </w:r>
      <w:r w:rsidR="00CD2B06" w:rsidRPr="00653DCF">
        <w:rPr>
          <w:color w:val="auto"/>
          <w:lang w:val="hr-HR"/>
        </w:rPr>
        <w:t xml:space="preserve">bi s vremenom ili </w:t>
      </w:r>
      <w:r w:rsidR="002013AA" w:rsidRPr="00653DCF">
        <w:rPr>
          <w:color w:val="auto"/>
          <w:lang w:val="hr-HR"/>
        </w:rPr>
        <w:t xml:space="preserve">davanjem obavijesti </w:t>
      </w:r>
      <w:r w:rsidR="00AA5241" w:rsidRPr="00653DCF">
        <w:rPr>
          <w:color w:val="auto"/>
          <w:lang w:val="hr-HR"/>
        </w:rPr>
        <w:t xml:space="preserve">ili </w:t>
      </w:r>
      <w:r w:rsidR="003832B7" w:rsidRPr="00653DCF">
        <w:rPr>
          <w:color w:val="auto"/>
          <w:lang w:val="hr-HR"/>
        </w:rPr>
        <w:t xml:space="preserve">donošenjem bilo kojeg </w:t>
      </w:r>
      <w:r w:rsidR="00387BB0" w:rsidRPr="00653DCF">
        <w:rPr>
          <w:color w:val="auto"/>
          <w:lang w:val="hr-HR"/>
        </w:rPr>
        <w:t>određivanja</w:t>
      </w:r>
      <w:r w:rsidR="000C458A" w:rsidRPr="00653DCF">
        <w:rPr>
          <w:color w:val="auto"/>
          <w:lang w:val="hr-HR"/>
        </w:rPr>
        <w:t xml:space="preserve"> </w:t>
      </w:r>
      <w:r w:rsidR="003832B7" w:rsidRPr="00653DCF">
        <w:rPr>
          <w:color w:val="auto"/>
          <w:lang w:val="hr-HR"/>
        </w:rPr>
        <w:t xml:space="preserve">prema ovom Ugovoru </w:t>
      </w:r>
      <w:r w:rsidR="00E87B0B" w:rsidRPr="00653DCF">
        <w:rPr>
          <w:color w:val="auto"/>
          <w:lang w:val="hr-HR"/>
        </w:rPr>
        <w:t>(ili bilo koje kombinacije navedenoga)</w:t>
      </w:r>
      <w:r w:rsidR="0045471E" w:rsidRPr="00653DCF">
        <w:rPr>
          <w:color w:val="auto"/>
          <w:lang w:val="hr-HR"/>
        </w:rPr>
        <w:t>,</w:t>
      </w:r>
      <w:r w:rsidR="00E87B0B" w:rsidRPr="00653DCF">
        <w:rPr>
          <w:color w:val="auto"/>
          <w:lang w:val="hr-HR"/>
        </w:rPr>
        <w:t xml:space="preserve"> </w:t>
      </w:r>
      <w:r w:rsidR="00640CDA" w:rsidRPr="00653DCF">
        <w:rPr>
          <w:color w:val="auto"/>
          <w:lang w:val="hr-HR"/>
        </w:rPr>
        <w:t>predstavljali</w:t>
      </w:r>
      <w:r w:rsidR="00E87B0B" w:rsidRPr="00653DCF">
        <w:rPr>
          <w:color w:val="auto"/>
          <w:lang w:val="hr-HR"/>
        </w:rPr>
        <w:t xml:space="preserve">: </w:t>
      </w:r>
    </w:p>
    <w:p w14:paraId="1D4F1F73" w14:textId="233841DF" w:rsidR="007A2A6F" w:rsidRPr="00653DCF" w:rsidRDefault="00E87B0B">
      <w:pPr>
        <w:pStyle w:val="NoIndentEIB"/>
        <w:numPr>
          <w:ilvl w:val="2"/>
          <w:numId w:val="17"/>
        </w:numPr>
        <w:ind w:hanging="652"/>
        <w:rPr>
          <w:color w:val="auto"/>
          <w:lang w:val="hr-HR"/>
        </w:rPr>
      </w:pPr>
      <w:r w:rsidRPr="00653DCF">
        <w:rPr>
          <w:color w:val="auto"/>
          <w:lang w:val="hr-HR"/>
        </w:rPr>
        <w:t xml:space="preserve">događaj </w:t>
      </w:r>
      <w:r w:rsidR="003832B7" w:rsidRPr="00653DCF">
        <w:rPr>
          <w:color w:val="auto"/>
          <w:lang w:val="hr-HR"/>
        </w:rPr>
        <w:t xml:space="preserve">neispunjenja </w:t>
      </w:r>
      <w:r w:rsidRPr="00653DCF">
        <w:rPr>
          <w:color w:val="auto"/>
          <w:lang w:val="hr-HR"/>
        </w:rPr>
        <w:t xml:space="preserve">obveza; ili </w:t>
      </w:r>
    </w:p>
    <w:p w14:paraId="78AE6887" w14:textId="447CDA97" w:rsidR="007A2A6F" w:rsidRPr="00653DCF" w:rsidRDefault="00E87B0B">
      <w:pPr>
        <w:pStyle w:val="NoIndentEIB"/>
        <w:numPr>
          <w:ilvl w:val="2"/>
          <w:numId w:val="17"/>
        </w:numPr>
        <w:ind w:hanging="652"/>
        <w:rPr>
          <w:color w:val="auto"/>
          <w:lang w:val="hr-HR"/>
        </w:rPr>
      </w:pPr>
      <w:r w:rsidRPr="00653DCF">
        <w:rPr>
          <w:color w:val="auto"/>
          <w:lang w:val="hr-HR"/>
        </w:rPr>
        <w:t xml:space="preserve">događaj </w:t>
      </w:r>
      <w:r w:rsidR="003832B7" w:rsidRPr="00653DCF">
        <w:rPr>
          <w:color w:val="auto"/>
          <w:lang w:val="hr-HR"/>
        </w:rPr>
        <w:t>prijevremene otplate</w:t>
      </w:r>
      <w:r w:rsidR="00FE45D4" w:rsidRPr="00653DCF">
        <w:rPr>
          <w:color w:val="auto"/>
          <w:lang w:val="hr-HR"/>
        </w:rPr>
        <w:t>.</w:t>
      </w:r>
      <w:r w:rsidRPr="00653DCF">
        <w:rPr>
          <w:color w:val="auto"/>
          <w:lang w:val="hr-HR"/>
        </w:rPr>
        <w:t xml:space="preserve"> </w:t>
      </w:r>
    </w:p>
    <w:p w14:paraId="7DB6FB41" w14:textId="36F714EC" w:rsidR="007A2A6F" w:rsidRPr="00653DCF" w:rsidRDefault="00FE45D4">
      <w:pPr>
        <w:ind w:left="1990"/>
        <w:rPr>
          <w:color w:val="auto"/>
          <w:lang w:val="hr-HR"/>
        </w:rPr>
      </w:pPr>
      <w:r w:rsidRPr="00653DCF">
        <w:rPr>
          <w:color w:val="auto"/>
          <w:lang w:val="hr-HR"/>
        </w:rPr>
        <w:t xml:space="preserve">Također, </w:t>
      </w:r>
      <w:r w:rsidR="005347EF" w:rsidRPr="00653DCF">
        <w:rPr>
          <w:color w:val="auto"/>
          <w:lang w:val="hr-HR"/>
        </w:rPr>
        <w:t xml:space="preserve">da se takav događaj ili okolnost </w:t>
      </w:r>
      <w:r w:rsidR="000C458A" w:rsidRPr="00653DCF">
        <w:rPr>
          <w:color w:val="auto"/>
          <w:lang w:val="hr-HR"/>
        </w:rPr>
        <w:t>ne nastavlja</w:t>
      </w:r>
      <w:r w:rsidR="00640CDA" w:rsidRPr="00653DCF">
        <w:rPr>
          <w:color w:val="auto"/>
          <w:lang w:val="hr-HR"/>
        </w:rPr>
        <w:t>ju</w:t>
      </w:r>
      <w:r w:rsidR="000C458A" w:rsidRPr="00653DCF">
        <w:rPr>
          <w:color w:val="auto"/>
          <w:lang w:val="hr-HR"/>
        </w:rPr>
        <w:t xml:space="preserve"> neispravljen</w:t>
      </w:r>
      <w:r w:rsidR="00875CE5" w:rsidRPr="00653DCF">
        <w:rPr>
          <w:color w:val="auto"/>
          <w:lang w:val="hr-HR"/>
        </w:rPr>
        <w:t>o ili neotklonjeno</w:t>
      </w:r>
      <w:r w:rsidR="004D7CE1" w:rsidRPr="00653DCF">
        <w:rPr>
          <w:color w:val="auto"/>
          <w:lang w:val="hr-HR"/>
        </w:rPr>
        <w:t xml:space="preserve"> </w:t>
      </w:r>
      <w:r w:rsidR="001C7A78" w:rsidRPr="00653DCF">
        <w:rPr>
          <w:color w:val="auto"/>
          <w:lang w:val="hr-HR"/>
        </w:rPr>
        <w:t>te da</w:t>
      </w:r>
      <w:r w:rsidR="00640CDA" w:rsidRPr="00653DCF">
        <w:rPr>
          <w:color w:val="auto"/>
          <w:lang w:val="hr-HR"/>
        </w:rPr>
        <w:t xml:space="preserve"> takav događaj ili okolnost</w:t>
      </w:r>
      <w:r w:rsidR="001C7A78" w:rsidRPr="00653DCF">
        <w:rPr>
          <w:color w:val="auto"/>
          <w:lang w:val="hr-HR"/>
        </w:rPr>
        <w:t xml:space="preserve"> neće proizaći </w:t>
      </w:r>
      <w:r w:rsidR="004D7CE1" w:rsidRPr="00653DCF">
        <w:rPr>
          <w:color w:val="auto"/>
          <w:lang w:val="hr-HR"/>
        </w:rPr>
        <w:t>iz isplate predložene tranše</w:t>
      </w:r>
      <w:r w:rsidR="00E87B0B" w:rsidRPr="00653DCF">
        <w:rPr>
          <w:color w:val="auto"/>
          <w:lang w:val="hr-HR"/>
        </w:rPr>
        <w:t>.</w:t>
      </w:r>
    </w:p>
    <w:p w14:paraId="6FD1F0A2" w14:textId="77777777" w:rsidR="007A2A6F" w:rsidRPr="00653DCF" w:rsidRDefault="00E87B0B" w:rsidP="00B73D6F">
      <w:pPr>
        <w:pStyle w:val="Heading2"/>
        <w:ind w:left="851"/>
        <w:rPr>
          <w:color w:val="auto"/>
          <w:lang w:val="hr-HR"/>
        </w:rPr>
      </w:pPr>
      <w:bookmarkStart w:id="139" w:name="_Ref426952473"/>
      <w:bookmarkStart w:id="140" w:name="_Ref426975357"/>
      <w:bookmarkStart w:id="141" w:name="_Toc475441117"/>
      <w:bookmarkStart w:id="142" w:name="_Toc498018612"/>
      <w:bookmarkStart w:id="143" w:name="_Toc508120471"/>
      <w:bookmarkStart w:id="144" w:name="_Ref508627965"/>
      <w:bookmarkStart w:id="145" w:name="_Ref508628864"/>
      <w:bookmarkStart w:id="146" w:name="_Ref508628878"/>
      <w:bookmarkStart w:id="147" w:name="_Ref508628930"/>
      <w:bookmarkStart w:id="148" w:name="_Ref511814886"/>
      <w:bookmarkStart w:id="149" w:name="_Ref511816249"/>
      <w:bookmarkStart w:id="150" w:name="_Toc126080663"/>
      <w:bookmarkStart w:id="151" w:name="_Toc126080795"/>
      <w:r w:rsidRPr="00653DCF">
        <w:rPr>
          <w:color w:val="auto"/>
          <w:lang w:val="hr-HR"/>
        </w:rPr>
        <w:t>Odgoda isplate</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64097900" w14:textId="77777777" w:rsidR="007A2A6F" w:rsidRPr="00653DCF" w:rsidRDefault="00E87B0B" w:rsidP="00B73D6F">
      <w:pPr>
        <w:pStyle w:val="Heading3"/>
        <w:ind w:left="851"/>
        <w:rPr>
          <w:color w:val="auto"/>
          <w:lang w:val="hr-HR"/>
        </w:rPr>
      </w:pPr>
      <w:bookmarkStart w:id="152" w:name="_Ref426951970"/>
      <w:bookmarkStart w:id="153" w:name="_Toc475441118"/>
      <w:bookmarkStart w:id="154" w:name="_Toc498018613"/>
      <w:bookmarkStart w:id="155" w:name="_Toc508120472"/>
      <w:bookmarkStart w:id="156" w:name="_Toc126080664"/>
      <w:bookmarkStart w:id="157" w:name="_Toc126080796"/>
      <w:r w:rsidRPr="00653DCF">
        <w:rPr>
          <w:color w:val="auto"/>
          <w:lang w:val="hr-HR"/>
        </w:rPr>
        <w:t>Razlozi za odgodu</w:t>
      </w:r>
      <w:bookmarkEnd w:id="152"/>
      <w:bookmarkEnd w:id="153"/>
      <w:bookmarkEnd w:id="154"/>
      <w:bookmarkEnd w:id="155"/>
      <w:bookmarkEnd w:id="156"/>
      <w:bookmarkEnd w:id="157"/>
    </w:p>
    <w:p w14:paraId="5A73E278" w14:textId="0917C35B" w:rsidR="007A2A6F" w:rsidRPr="00653DCF" w:rsidRDefault="00E87B0B" w:rsidP="00B73D6F">
      <w:pPr>
        <w:pStyle w:val="Heading4"/>
        <w:ind w:left="851"/>
        <w:rPr>
          <w:color w:val="auto"/>
          <w:lang w:val="hr-HR"/>
        </w:rPr>
      </w:pPr>
      <w:bookmarkStart w:id="158" w:name="_Ref498641917"/>
      <w:r w:rsidRPr="00653DCF">
        <w:rPr>
          <w:color w:val="auto"/>
          <w:lang w:val="hr-HR"/>
        </w:rPr>
        <w:t xml:space="preserve">Zahtjev </w:t>
      </w:r>
      <w:bookmarkEnd w:id="158"/>
      <w:r w:rsidR="006D17F5" w:rsidRPr="00653DCF">
        <w:rPr>
          <w:color w:val="auto"/>
          <w:lang w:val="hr-HR"/>
        </w:rPr>
        <w:t>ZAJMOPRIMCA</w:t>
      </w:r>
    </w:p>
    <w:p w14:paraId="2AC3FDE5" w14:textId="4D3C0365" w:rsidR="007A2A6F" w:rsidRPr="00653DCF" w:rsidRDefault="00E87B0B">
      <w:pPr>
        <w:pStyle w:val="NoIndentEIB"/>
        <w:numPr>
          <w:ilvl w:val="0"/>
          <w:numId w:val="39"/>
        </w:numPr>
        <w:rPr>
          <w:color w:val="auto"/>
          <w:lang w:val="hr-HR"/>
        </w:rPr>
      </w:pPr>
      <w:r w:rsidRPr="00653DCF">
        <w:rPr>
          <w:color w:val="auto"/>
          <w:lang w:val="hr-HR"/>
        </w:rPr>
        <w:t xml:space="preserve">Zajmoprimac može Banci </w:t>
      </w:r>
      <w:r w:rsidR="003A6A40" w:rsidRPr="00653DCF">
        <w:rPr>
          <w:color w:val="auto"/>
          <w:lang w:val="hr-HR"/>
        </w:rPr>
        <w:t xml:space="preserve">poslati </w:t>
      </w:r>
      <w:r w:rsidRPr="00653DCF">
        <w:rPr>
          <w:color w:val="auto"/>
          <w:lang w:val="hr-HR"/>
        </w:rPr>
        <w:t xml:space="preserve">pisani zahtjev </w:t>
      </w:r>
      <w:r w:rsidR="003A6A40" w:rsidRPr="00653DCF">
        <w:rPr>
          <w:color w:val="auto"/>
          <w:lang w:val="hr-HR"/>
        </w:rPr>
        <w:t>kojim zahtijeva odgodu isplate najavljene tranše. Banka pisani zahtjev mora primiti najmanje 5 (pet) radnih dana prije planiranog datuma isplate najavljene tranše i u njemu je potrebno navesti</w:t>
      </w:r>
      <w:r w:rsidRPr="00653DCF">
        <w:rPr>
          <w:color w:val="auto"/>
          <w:lang w:val="hr-HR"/>
        </w:rPr>
        <w:t>:</w:t>
      </w:r>
    </w:p>
    <w:p w14:paraId="3BF00E09" w14:textId="757665C4" w:rsidR="007A2A6F" w:rsidRPr="00653DCF" w:rsidRDefault="00E87B0B">
      <w:pPr>
        <w:pStyle w:val="NoIndentEIB"/>
        <w:numPr>
          <w:ilvl w:val="1"/>
          <w:numId w:val="39"/>
        </w:numPr>
        <w:rPr>
          <w:color w:val="auto"/>
          <w:lang w:val="hr-HR"/>
        </w:rPr>
      </w:pPr>
      <w:r w:rsidRPr="00653DCF">
        <w:rPr>
          <w:color w:val="auto"/>
          <w:lang w:val="hr-HR"/>
        </w:rPr>
        <w:t xml:space="preserve">želi li </w:t>
      </w:r>
      <w:r w:rsidR="003A6A40" w:rsidRPr="00653DCF">
        <w:rPr>
          <w:color w:val="auto"/>
          <w:lang w:val="hr-HR"/>
        </w:rPr>
        <w:t>Z</w:t>
      </w:r>
      <w:r w:rsidRPr="00653DCF">
        <w:rPr>
          <w:color w:val="auto"/>
          <w:lang w:val="hr-HR"/>
        </w:rPr>
        <w:t xml:space="preserve">ajmoprimac u cijelosti ili djelomično odgoditi isplatu i, ako djelomično, iznos </w:t>
      </w:r>
      <w:r w:rsidR="00472188" w:rsidRPr="00653DCF">
        <w:rPr>
          <w:color w:val="auto"/>
          <w:lang w:val="hr-HR"/>
        </w:rPr>
        <w:t>odgođene isplate</w:t>
      </w:r>
      <w:r w:rsidRPr="00653DCF">
        <w:rPr>
          <w:color w:val="auto"/>
          <w:lang w:val="hr-HR"/>
        </w:rPr>
        <w:t>; i</w:t>
      </w:r>
    </w:p>
    <w:p w14:paraId="035752EE" w14:textId="22966996" w:rsidR="007A2A6F" w:rsidRPr="00653DCF" w:rsidRDefault="00E87B0B">
      <w:pPr>
        <w:pStyle w:val="NoIndentEIB"/>
        <w:numPr>
          <w:ilvl w:val="1"/>
          <w:numId w:val="39"/>
        </w:numPr>
        <w:rPr>
          <w:color w:val="auto"/>
          <w:lang w:val="hr-HR"/>
        </w:rPr>
      </w:pPr>
      <w:bookmarkStart w:id="159" w:name="_Ref500763915"/>
      <w:r w:rsidRPr="00653DCF">
        <w:rPr>
          <w:color w:val="auto"/>
          <w:lang w:val="hr-HR"/>
        </w:rPr>
        <w:t xml:space="preserve">datum do kojeg bi </w:t>
      </w:r>
      <w:r w:rsidR="00472188" w:rsidRPr="00653DCF">
        <w:rPr>
          <w:color w:val="auto"/>
          <w:lang w:val="hr-HR"/>
        </w:rPr>
        <w:t>Z</w:t>
      </w:r>
      <w:r w:rsidRPr="00653DCF">
        <w:rPr>
          <w:color w:val="auto"/>
          <w:lang w:val="hr-HR"/>
        </w:rPr>
        <w:t>ajmoprimac želio odgoditi isplatu prethodno navedenog iznosa („</w:t>
      </w:r>
      <w:r w:rsidR="00472188" w:rsidRPr="00653DCF">
        <w:rPr>
          <w:b/>
          <w:color w:val="auto"/>
          <w:lang w:val="hr-HR"/>
        </w:rPr>
        <w:t>z</w:t>
      </w:r>
      <w:r w:rsidRPr="00653DCF">
        <w:rPr>
          <w:b/>
          <w:color w:val="auto"/>
          <w:lang w:val="hr-HR"/>
        </w:rPr>
        <w:t xml:space="preserve">atraženi datum </w:t>
      </w:r>
      <w:r w:rsidR="00472188" w:rsidRPr="00653DCF">
        <w:rPr>
          <w:b/>
          <w:color w:val="auto"/>
          <w:lang w:val="hr-HR"/>
        </w:rPr>
        <w:t xml:space="preserve">odgođene </w:t>
      </w:r>
      <w:r w:rsidRPr="00653DCF">
        <w:rPr>
          <w:b/>
          <w:color w:val="auto"/>
          <w:lang w:val="hr-HR"/>
        </w:rPr>
        <w:t>isplate</w:t>
      </w:r>
      <w:r w:rsidRPr="00653DCF">
        <w:rPr>
          <w:color w:val="auto"/>
          <w:lang w:val="hr-HR"/>
        </w:rPr>
        <w:t>”), koji mora biti datum</w:t>
      </w:r>
      <w:r w:rsidR="001A5948" w:rsidRPr="00653DCF">
        <w:rPr>
          <w:color w:val="auto"/>
          <w:lang w:val="hr-HR"/>
        </w:rPr>
        <w:t xml:space="preserve"> koji pada najkasnije</w:t>
      </w:r>
      <w:r w:rsidRPr="00653DCF">
        <w:rPr>
          <w:color w:val="auto"/>
          <w:lang w:val="hr-HR"/>
        </w:rPr>
        <w:t>:</w:t>
      </w:r>
      <w:bookmarkEnd w:id="159"/>
    </w:p>
    <w:p w14:paraId="481517E7" w14:textId="1FFF1B28" w:rsidR="007A2A6F" w:rsidRPr="00653DCF" w:rsidRDefault="00E87B0B">
      <w:pPr>
        <w:pStyle w:val="NoIndentEIB"/>
        <w:numPr>
          <w:ilvl w:val="2"/>
          <w:numId w:val="39"/>
        </w:numPr>
        <w:rPr>
          <w:color w:val="auto"/>
          <w:lang w:val="hr-HR"/>
        </w:rPr>
      </w:pPr>
      <w:r w:rsidRPr="00653DCF">
        <w:rPr>
          <w:color w:val="auto"/>
          <w:lang w:val="hr-HR"/>
        </w:rPr>
        <w:t xml:space="preserve">6 (šest) mjeseci od planiranog datuma isplate; </w:t>
      </w:r>
    </w:p>
    <w:p w14:paraId="6C42CF88" w14:textId="4EEB2A05" w:rsidR="007A2A6F" w:rsidRPr="00653DCF" w:rsidRDefault="00E87B0B">
      <w:pPr>
        <w:pStyle w:val="NoIndentEIB"/>
        <w:numPr>
          <w:ilvl w:val="2"/>
          <w:numId w:val="39"/>
        </w:numPr>
        <w:rPr>
          <w:color w:val="auto"/>
          <w:lang w:val="hr-HR"/>
        </w:rPr>
      </w:pPr>
      <w:r w:rsidRPr="00653DCF">
        <w:rPr>
          <w:color w:val="auto"/>
          <w:lang w:val="hr-HR"/>
        </w:rPr>
        <w:t>30 (trideset) dana prije prvog datuma otplate; i</w:t>
      </w:r>
    </w:p>
    <w:p w14:paraId="5A2093B5" w14:textId="17FF94AF" w:rsidR="007A2A6F" w:rsidRPr="00653DCF" w:rsidRDefault="005C088C">
      <w:pPr>
        <w:pStyle w:val="NoIndentEIB"/>
        <w:numPr>
          <w:ilvl w:val="2"/>
          <w:numId w:val="39"/>
        </w:numPr>
        <w:rPr>
          <w:color w:val="auto"/>
          <w:lang w:val="hr-HR"/>
        </w:rPr>
      </w:pPr>
      <w:r w:rsidRPr="00653DCF">
        <w:rPr>
          <w:color w:val="auto"/>
          <w:lang w:val="hr-HR"/>
        </w:rPr>
        <w:t xml:space="preserve">na </w:t>
      </w:r>
      <w:r w:rsidR="00475541" w:rsidRPr="00653DCF">
        <w:rPr>
          <w:color w:val="auto"/>
          <w:lang w:val="hr-HR"/>
        </w:rPr>
        <w:t>rok raspoloživosti sredstava</w:t>
      </w:r>
      <w:r w:rsidR="00E87B0B" w:rsidRPr="00653DCF">
        <w:rPr>
          <w:color w:val="auto"/>
          <w:lang w:val="hr-HR"/>
        </w:rPr>
        <w:t>.</w:t>
      </w:r>
    </w:p>
    <w:p w14:paraId="2ECF77F9" w14:textId="42F7C355" w:rsidR="007A2A6F" w:rsidRPr="00653DCF" w:rsidRDefault="00E87B0B">
      <w:pPr>
        <w:pStyle w:val="NoIndentEIB"/>
        <w:numPr>
          <w:ilvl w:val="0"/>
          <w:numId w:val="39"/>
        </w:numPr>
        <w:rPr>
          <w:color w:val="auto"/>
          <w:lang w:val="hr-HR"/>
        </w:rPr>
      </w:pPr>
      <w:r w:rsidRPr="00653DCF">
        <w:rPr>
          <w:color w:val="auto"/>
          <w:lang w:val="hr-HR"/>
        </w:rPr>
        <w:t>Po primitku takvog pisanog zahtjeva</w:t>
      </w:r>
      <w:r w:rsidR="005C088C" w:rsidRPr="00653DCF">
        <w:rPr>
          <w:color w:val="auto"/>
          <w:lang w:val="hr-HR"/>
        </w:rPr>
        <w:t>,</w:t>
      </w:r>
      <w:r w:rsidRPr="00653DCF">
        <w:rPr>
          <w:color w:val="auto"/>
          <w:lang w:val="hr-HR"/>
        </w:rPr>
        <w:t xml:space="preserve"> Banka </w:t>
      </w:r>
      <w:r w:rsidR="00863176" w:rsidRPr="00653DCF">
        <w:rPr>
          <w:color w:val="auto"/>
          <w:lang w:val="hr-HR"/>
        </w:rPr>
        <w:t>će odgoditi isplatu relevantnog iznosa</w:t>
      </w:r>
      <w:r w:rsidRPr="00653DCF">
        <w:rPr>
          <w:color w:val="auto"/>
          <w:lang w:val="hr-HR"/>
        </w:rPr>
        <w:t xml:space="preserve"> do zatraženog datuma </w:t>
      </w:r>
      <w:r w:rsidR="00E547CE" w:rsidRPr="00653DCF">
        <w:rPr>
          <w:color w:val="auto"/>
          <w:lang w:val="hr-HR"/>
        </w:rPr>
        <w:t xml:space="preserve">odgođene </w:t>
      </w:r>
      <w:r w:rsidRPr="00653DCF">
        <w:rPr>
          <w:color w:val="auto"/>
          <w:lang w:val="hr-HR"/>
        </w:rPr>
        <w:t>isplate.</w:t>
      </w:r>
    </w:p>
    <w:p w14:paraId="683A508A" w14:textId="025B8211" w:rsidR="007A2A6F" w:rsidRPr="00653DCF" w:rsidRDefault="00E87B0B" w:rsidP="00B73D6F">
      <w:pPr>
        <w:pStyle w:val="Heading4"/>
        <w:ind w:left="851"/>
        <w:rPr>
          <w:color w:val="auto"/>
          <w:lang w:val="hr-HR"/>
        </w:rPr>
      </w:pPr>
      <w:bookmarkStart w:id="160" w:name="_Ref498641988"/>
      <w:r w:rsidRPr="00653DCF">
        <w:rPr>
          <w:color w:val="auto"/>
          <w:lang w:val="hr-HR"/>
        </w:rPr>
        <w:t xml:space="preserve">Neispunjenje uvjeta </w:t>
      </w:r>
      <w:r w:rsidR="00F71B57" w:rsidRPr="00653DCF">
        <w:rPr>
          <w:color w:val="auto"/>
          <w:lang w:val="hr-HR"/>
        </w:rPr>
        <w:t xml:space="preserve">ZA </w:t>
      </w:r>
      <w:r w:rsidRPr="00653DCF">
        <w:rPr>
          <w:color w:val="auto"/>
          <w:lang w:val="hr-HR"/>
        </w:rPr>
        <w:t>isplat</w:t>
      </w:r>
      <w:bookmarkEnd w:id="160"/>
      <w:r w:rsidR="00F71B57" w:rsidRPr="00653DCF">
        <w:rPr>
          <w:color w:val="auto"/>
          <w:lang w:val="hr-HR"/>
        </w:rPr>
        <w:t>u</w:t>
      </w:r>
    </w:p>
    <w:p w14:paraId="2030AA1B" w14:textId="48E832D7" w:rsidR="007A2A6F" w:rsidRPr="00653DCF" w:rsidRDefault="00E87B0B">
      <w:pPr>
        <w:pStyle w:val="NoIndentEIB"/>
        <w:numPr>
          <w:ilvl w:val="0"/>
          <w:numId w:val="47"/>
        </w:numPr>
        <w:rPr>
          <w:color w:val="auto"/>
          <w:lang w:val="hr-HR"/>
        </w:rPr>
      </w:pPr>
      <w:r w:rsidRPr="00653DCF">
        <w:rPr>
          <w:color w:val="auto"/>
          <w:lang w:val="hr-HR"/>
        </w:rPr>
        <w:t xml:space="preserve">Isplata </w:t>
      </w:r>
      <w:r w:rsidR="004D4DB1" w:rsidRPr="00653DCF">
        <w:rPr>
          <w:color w:val="auto"/>
          <w:lang w:val="hr-HR"/>
        </w:rPr>
        <w:t>najavljene</w:t>
      </w:r>
      <w:r w:rsidR="006529FE" w:rsidRPr="00653DCF">
        <w:rPr>
          <w:color w:val="auto"/>
          <w:lang w:val="hr-HR"/>
        </w:rPr>
        <w:t xml:space="preserve"> </w:t>
      </w:r>
      <w:r w:rsidRPr="00653DCF">
        <w:rPr>
          <w:color w:val="auto"/>
          <w:lang w:val="hr-HR"/>
        </w:rPr>
        <w:t xml:space="preserve">tranše odgađa se ako </w:t>
      </w:r>
      <w:r w:rsidR="00350222" w:rsidRPr="00653DCF">
        <w:rPr>
          <w:color w:val="auto"/>
          <w:lang w:val="hr-HR"/>
        </w:rPr>
        <w:t>nije ispunjen bilo koji od uvjeta za isplatu</w:t>
      </w:r>
      <w:r w:rsidR="00B96F63" w:rsidRPr="00653DCF">
        <w:rPr>
          <w:color w:val="auto"/>
          <w:lang w:val="hr-HR"/>
        </w:rPr>
        <w:t xml:space="preserve"> takve najavljene tranše iz članka </w:t>
      </w:r>
      <w:r w:rsidRPr="00653DCF">
        <w:rPr>
          <w:color w:val="auto"/>
          <w:lang w:val="hr-HR"/>
        </w:rPr>
        <w:fldChar w:fldCharType="begin"/>
      </w:r>
      <w:r w:rsidRPr="00653DCF">
        <w:rPr>
          <w:color w:val="auto"/>
          <w:lang w:val="hr-HR"/>
        </w:rPr>
        <w:instrText xml:space="preserve"> REF _Ref426639107 \r \h  \* MERGEFORMAT </w:instrText>
      </w:r>
      <w:r w:rsidRPr="00653DCF">
        <w:rPr>
          <w:color w:val="auto"/>
          <w:lang w:val="hr-HR"/>
        </w:rPr>
      </w:r>
      <w:r w:rsidRPr="00653DCF">
        <w:rPr>
          <w:color w:val="auto"/>
          <w:lang w:val="hr-HR"/>
        </w:rPr>
        <w:fldChar w:fldCharType="separate"/>
      </w:r>
      <w:r w:rsidR="00E5391B">
        <w:rPr>
          <w:color w:val="auto"/>
          <w:lang w:val="hr-HR"/>
        </w:rPr>
        <w:t>1.4</w:t>
      </w:r>
      <w:r w:rsidRPr="00653DCF">
        <w:rPr>
          <w:color w:val="auto"/>
          <w:lang w:val="hr-HR"/>
        </w:rPr>
        <w:fldChar w:fldCharType="end"/>
      </w:r>
      <w:r w:rsidR="00B96F63" w:rsidRPr="00653DCF">
        <w:rPr>
          <w:color w:val="auto"/>
          <w:lang w:val="hr-HR"/>
        </w:rPr>
        <w:t>.</w:t>
      </w:r>
      <w:r w:rsidR="00F71B57" w:rsidRPr="00653DCF">
        <w:rPr>
          <w:color w:val="auto"/>
          <w:lang w:val="hr-HR"/>
        </w:rPr>
        <w:t xml:space="preserve"> na oba od sljedećih datuma</w:t>
      </w:r>
      <w:r w:rsidRPr="00653DCF">
        <w:rPr>
          <w:color w:val="auto"/>
          <w:lang w:val="hr-HR"/>
        </w:rPr>
        <w:t>:</w:t>
      </w:r>
    </w:p>
    <w:p w14:paraId="05FA9DD6" w14:textId="22331CE7" w:rsidR="007A2A6F" w:rsidRPr="00653DCF" w:rsidRDefault="00E87B0B">
      <w:pPr>
        <w:pStyle w:val="NoIndentEIB"/>
        <w:numPr>
          <w:ilvl w:val="1"/>
          <w:numId w:val="47"/>
        </w:numPr>
        <w:rPr>
          <w:color w:val="auto"/>
          <w:lang w:val="hr-HR"/>
        </w:rPr>
      </w:pPr>
      <w:r w:rsidRPr="00653DCF">
        <w:rPr>
          <w:color w:val="auto"/>
          <w:lang w:val="hr-HR"/>
        </w:rPr>
        <w:t>na datum određen za ispunjenje takvog uvjeta iz članka</w:t>
      </w:r>
      <w:r w:rsidR="00A1449B" w:rsidRPr="00653DCF">
        <w:rPr>
          <w:color w:val="auto"/>
          <w:lang w:val="hr-HR"/>
        </w:rPr>
        <w:t xml:space="preserve"> </w:t>
      </w:r>
      <w:r w:rsidRPr="00653DCF">
        <w:rPr>
          <w:color w:val="auto"/>
          <w:lang w:val="hr-HR"/>
        </w:rPr>
        <w:fldChar w:fldCharType="begin"/>
      </w:r>
      <w:r w:rsidRPr="00653DCF">
        <w:rPr>
          <w:color w:val="auto"/>
          <w:lang w:val="hr-HR"/>
        </w:rPr>
        <w:instrText xml:space="preserve"> REF _Ref426639107 \r \h  \* MERGEFORMAT </w:instrText>
      </w:r>
      <w:r w:rsidRPr="00653DCF">
        <w:rPr>
          <w:color w:val="auto"/>
          <w:lang w:val="hr-HR"/>
        </w:rPr>
      </w:r>
      <w:r w:rsidRPr="00653DCF">
        <w:rPr>
          <w:color w:val="auto"/>
          <w:lang w:val="hr-HR"/>
        </w:rPr>
        <w:fldChar w:fldCharType="separate"/>
      </w:r>
      <w:r w:rsidR="00E5391B">
        <w:rPr>
          <w:color w:val="auto"/>
          <w:lang w:val="hr-HR"/>
        </w:rPr>
        <w:t>1.4</w:t>
      </w:r>
      <w:r w:rsidRPr="00653DCF">
        <w:rPr>
          <w:color w:val="auto"/>
          <w:lang w:val="hr-HR"/>
        </w:rPr>
        <w:fldChar w:fldCharType="end"/>
      </w:r>
      <w:r w:rsidR="00433357" w:rsidRPr="00653DCF">
        <w:rPr>
          <w:color w:val="auto"/>
          <w:lang w:val="hr-HR"/>
        </w:rPr>
        <w:t>.</w:t>
      </w:r>
      <w:r w:rsidRPr="00653DCF">
        <w:rPr>
          <w:color w:val="auto"/>
          <w:lang w:val="hr-HR"/>
        </w:rPr>
        <w:t xml:space="preserve">; i </w:t>
      </w:r>
    </w:p>
    <w:p w14:paraId="7A85CDEA" w14:textId="30272DBB" w:rsidR="007A2A6F" w:rsidRPr="00653DCF" w:rsidRDefault="00E87B0B">
      <w:pPr>
        <w:pStyle w:val="NoIndentEIB"/>
        <w:numPr>
          <w:ilvl w:val="1"/>
          <w:numId w:val="47"/>
        </w:numPr>
        <w:rPr>
          <w:color w:val="auto"/>
          <w:lang w:val="hr-HR"/>
        </w:rPr>
      </w:pPr>
      <w:r w:rsidRPr="00653DCF">
        <w:rPr>
          <w:color w:val="auto"/>
          <w:lang w:val="hr-HR"/>
        </w:rPr>
        <w:lastRenderedPageBreak/>
        <w:t xml:space="preserve">na </w:t>
      </w:r>
      <w:r w:rsidR="00A1449B" w:rsidRPr="00653DCF">
        <w:rPr>
          <w:color w:val="auto"/>
          <w:lang w:val="hr-HR"/>
        </w:rPr>
        <w:t xml:space="preserve">planirani </w:t>
      </w:r>
      <w:r w:rsidRPr="00653DCF">
        <w:rPr>
          <w:color w:val="auto"/>
          <w:lang w:val="hr-HR"/>
        </w:rPr>
        <w:t>datum isplate (ili</w:t>
      </w:r>
      <w:r w:rsidR="00A6665F" w:rsidRPr="00653DCF">
        <w:rPr>
          <w:color w:val="auto"/>
          <w:lang w:val="hr-HR"/>
        </w:rPr>
        <w:t xml:space="preserve"> očekivani datum isplate u slučaju prethodne odgode planiranog datuma isplate</w:t>
      </w:r>
      <w:r w:rsidRPr="00653DCF">
        <w:rPr>
          <w:color w:val="auto"/>
          <w:lang w:val="hr-HR"/>
        </w:rPr>
        <w:t>).</w:t>
      </w:r>
    </w:p>
    <w:p w14:paraId="7A398C88" w14:textId="0E11B247" w:rsidR="007A2A6F" w:rsidRPr="00653DCF" w:rsidRDefault="00E87B0B">
      <w:pPr>
        <w:pStyle w:val="NoIndentEIB"/>
        <w:numPr>
          <w:ilvl w:val="0"/>
          <w:numId w:val="47"/>
        </w:numPr>
        <w:rPr>
          <w:color w:val="auto"/>
          <w:lang w:val="hr-HR"/>
        </w:rPr>
      </w:pPr>
      <w:bookmarkStart w:id="161" w:name="_Ref500775309"/>
      <w:r w:rsidRPr="00653DCF">
        <w:rPr>
          <w:color w:val="auto"/>
          <w:lang w:val="hr-HR"/>
        </w:rPr>
        <w:t xml:space="preserve">Banka i Zajmoprimac dogovaraju datum do kojeg će isplata takve </w:t>
      </w:r>
      <w:r w:rsidR="0061426E" w:rsidRPr="00653DCF">
        <w:rPr>
          <w:color w:val="auto"/>
          <w:lang w:val="hr-HR"/>
        </w:rPr>
        <w:t>najavljene</w:t>
      </w:r>
      <w:r w:rsidRPr="00653DCF">
        <w:rPr>
          <w:color w:val="auto"/>
          <w:lang w:val="hr-HR"/>
        </w:rPr>
        <w:t xml:space="preserve"> tranše biti odgođena („</w:t>
      </w:r>
      <w:r w:rsidRPr="00653DCF">
        <w:rPr>
          <w:b/>
          <w:bCs/>
          <w:color w:val="auto"/>
          <w:lang w:val="hr-HR"/>
        </w:rPr>
        <w:t>dogovoreni datum</w:t>
      </w:r>
      <w:r w:rsidR="006529FE" w:rsidRPr="00653DCF">
        <w:rPr>
          <w:b/>
          <w:bCs/>
          <w:color w:val="auto"/>
          <w:lang w:val="hr-HR"/>
        </w:rPr>
        <w:t xml:space="preserve"> odgođene</w:t>
      </w:r>
      <w:r w:rsidR="006529FE" w:rsidRPr="00653DCF">
        <w:rPr>
          <w:color w:val="auto"/>
          <w:lang w:val="hr-HR"/>
        </w:rPr>
        <w:t xml:space="preserve"> </w:t>
      </w:r>
      <w:r w:rsidRPr="00653DCF">
        <w:rPr>
          <w:b/>
          <w:color w:val="auto"/>
          <w:lang w:val="hr-HR"/>
        </w:rPr>
        <w:t>isplate</w:t>
      </w:r>
      <w:r w:rsidRPr="00653DCF">
        <w:rPr>
          <w:color w:val="auto"/>
          <w:lang w:val="hr-HR"/>
        </w:rPr>
        <w:t>”</w:t>
      </w:r>
      <w:r w:rsidRPr="00653DCF">
        <w:rPr>
          <w:bCs/>
          <w:color w:val="auto"/>
          <w:lang w:val="hr-HR"/>
        </w:rPr>
        <w:t>)</w:t>
      </w:r>
      <w:r w:rsidRPr="00653DCF">
        <w:rPr>
          <w:b/>
          <w:bCs/>
          <w:color w:val="auto"/>
          <w:lang w:val="hr-HR"/>
        </w:rPr>
        <w:t>,</w:t>
      </w:r>
      <w:r w:rsidRPr="00653DCF">
        <w:rPr>
          <w:color w:val="auto"/>
          <w:lang w:val="hr-HR"/>
        </w:rPr>
        <w:t xml:space="preserve"> koji mora biti datum koji pada:</w:t>
      </w:r>
      <w:bookmarkEnd w:id="161"/>
    </w:p>
    <w:p w14:paraId="0CD12749" w14:textId="1A6777A5" w:rsidR="007A2A6F" w:rsidRPr="00653DCF" w:rsidRDefault="00BC72D2">
      <w:pPr>
        <w:pStyle w:val="NoIndentEIB"/>
        <w:numPr>
          <w:ilvl w:val="1"/>
          <w:numId w:val="40"/>
        </w:numPr>
        <w:rPr>
          <w:color w:val="auto"/>
          <w:lang w:val="hr-HR"/>
        </w:rPr>
      </w:pPr>
      <w:r w:rsidRPr="00653DCF">
        <w:rPr>
          <w:color w:val="auto"/>
          <w:lang w:val="hr-HR"/>
        </w:rPr>
        <w:t>n</w:t>
      </w:r>
      <w:r w:rsidR="002035DB" w:rsidRPr="00653DCF">
        <w:rPr>
          <w:color w:val="auto"/>
          <w:lang w:val="hr-HR"/>
        </w:rPr>
        <w:t xml:space="preserve">ajmanje </w:t>
      </w:r>
      <w:r w:rsidR="00E87B0B" w:rsidRPr="00653DCF">
        <w:rPr>
          <w:color w:val="auto"/>
          <w:lang w:val="hr-HR"/>
        </w:rPr>
        <w:t xml:space="preserve">5 (pet) radnih dana nakon ispunjenja svih uvjeta </w:t>
      </w:r>
      <w:r w:rsidR="002035DB" w:rsidRPr="00653DCF">
        <w:rPr>
          <w:color w:val="auto"/>
          <w:lang w:val="hr-HR"/>
        </w:rPr>
        <w:t xml:space="preserve">za </w:t>
      </w:r>
      <w:r w:rsidR="00E87B0B" w:rsidRPr="00653DCF">
        <w:rPr>
          <w:color w:val="auto"/>
          <w:lang w:val="hr-HR"/>
        </w:rPr>
        <w:t>isplat</w:t>
      </w:r>
      <w:r w:rsidR="002035DB" w:rsidRPr="00653DCF">
        <w:rPr>
          <w:color w:val="auto"/>
          <w:lang w:val="hr-HR"/>
        </w:rPr>
        <w:t>u</w:t>
      </w:r>
      <w:r w:rsidR="00E87B0B" w:rsidRPr="00653DCF">
        <w:rPr>
          <w:color w:val="auto"/>
          <w:lang w:val="hr-HR"/>
        </w:rPr>
        <w:t>; i</w:t>
      </w:r>
    </w:p>
    <w:p w14:paraId="4EDCC1F5" w14:textId="16DAA6C7" w:rsidR="007A2A6F" w:rsidRPr="00653DCF" w:rsidRDefault="00E87B0B">
      <w:pPr>
        <w:pStyle w:val="NoIndentEIB"/>
        <w:numPr>
          <w:ilvl w:val="1"/>
          <w:numId w:val="40"/>
        </w:numPr>
        <w:rPr>
          <w:color w:val="auto"/>
          <w:lang w:val="hr-HR"/>
        </w:rPr>
      </w:pPr>
      <w:r w:rsidRPr="00653DCF">
        <w:rPr>
          <w:color w:val="auto"/>
          <w:lang w:val="hr-HR"/>
        </w:rPr>
        <w:t xml:space="preserve">ne kasnije od </w:t>
      </w:r>
      <w:r w:rsidR="002035DB" w:rsidRPr="00653DCF">
        <w:rPr>
          <w:color w:val="auto"/>
          <w:lang w:val="hr-HR"/>
        </w:rPr>
        <w:t>roka raspoloživosti sredstava</w:t>
      </w:r>
      <w:r w:rsidRPr="00653DCF">
        <w:rPr>
          <w:color w:val="auto"/>
          <w:lang w:val="hr-HR"/>
        </w:rPr>
        <w:t>.</w:t>
      </w:r>
    </w:p>
    <w:p w14:paraId="0609B4D1" w14:textId="7C2D9134" w:rsidR="007A2A6F" w:rsidRPr="00653DCF" w:rsidRDefault="00E87B0B">
      <w:pPr>
        <w:pStyle w:val="NoIndentEIB"/>
        <w:numPr>
          <w:ilvl w:val="0"/>
          <w:numId w:val="47"/>
        </w:numPr>
        <w:rPr>
          <w:color w:val="auto"/>
          <w:lang w:val="hr-HR"/>
        </w:rPr>
      </w:pPr>
      <w:r w:rsidRPr="00653DCF">
        <w:rPr>
          <w:color w:val="auto"/>
          <w:lang w:val="hr-HR"/>
        </w:rPr>
        <w:t>Ne dovodeći u pitanje pravo Banke da obustavi i/ili otkaže neisplaćeni dio kredita u cijelosti ili djelomično u skladu s člankom</w:t>
      </w:r>
      <w:r w:rsidR="002F68DC" w:rsidRPr="00653DCF">
        <w:rPr>
          <w:color w:val="auto"/>
          <w:lang w:val="hr-HR"/>
        </w:rPr>
        <w:t xml:space="preserve"> </w:t>
      </w:r>
      <w:r w:rsidRPr="00653DCF">
        <w:rPr>
          <w:color w:val="auto"/>
          <w:lang w:val="hr-HR"/>
        </w:rPr>
        <w:fldChar w:fldCharType="begin"/>
      </w:r>
      <w:r w:rsidRPr="00653DCF">
        <w:rPr>
          <w:color w:val="auto"/>
          <w:lang w:val="hr-HR"/>
        </w:rPr>
        <w:instrText xml:space="preserve"> REF _Ref426951939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1.6.B</w:t>
      </w:r>
      <w:r w:rsidRPr="00653DCF">
        <w:rPr>
          <w:color w:val="auto"/>
          <w:lang w:val="hr-HR"/>
        </w:rPr>
        <w:fldChar w:fldCharType="end"/>
      </w:r>
      <w:r w:rsidRPr="00653DCF">
        <w:rPr>
          <w:color w:val="auto"/>
          <w:lang w:val="hr-HR"/>
        </w:rPr>
        <w:t xml:space="preserve">, Banka </w:t>
      </w:r>
      <w:r w:rsidR="002F68DC" w:rsidRPr="00653DCF">
        <w:rPr>
          <w:color w:val="auto"/>
          <w:lang w:val="hr-HR"/>
        </w:rPr>
        <w:t xml:space="preserve">će odgoditi </w:t>
      </w:r>
      <w:r w:rsidRPr="00653DCF">
        <w:rPr>
          <w:color w:val="auto"/>
          <w:lang w:val="hr-HR"/>
        </w:rPr>
        <w:t xml:space="preserve">isplatu takve </w:t>
      </w:r>
      <w:r w:rsidR="002F68DC" w:rsidRPr="00653DCF">
        <w:rPr>
          <w:color w:val="auto"/>
          <w:lang w:val="hr-HR"/>
        </w:rPr>
        <w:t xml:space="preserve">najavljene </w:t>
      </w:r>
      <w:r w:rsidRPr="00653DCF">
        <w:rPr>
          <w:color w:val="auto"/>
          <w:lang w:val="hr-HR"/>
        </w:rPr>
        <w:t xml:space="preserve">tranše do dogovorenog </w:t>
      </w:r>
      <w:r w:rsidR="002F68DC" w:rsidRPr="00653DCF">
        <w:rPr>
          <w:color w:val="auto"/>
          <w:lang w:val="hr-HR"/>
        </w:rPr>
        <w:t>datuma odgođene isplate</w:t>
      </w:r>
      <w:r w:rsidRPr="00653DCF">
        <w:rPr>
          <w:color w:val="auto"/>
          <w:lang w:val="hr-HR"/>
        </w:rPr>
        <w:t>.</w:t>
      </w:r>
    </w:p>
    <w:p w14:paraId="3D6A5D1D" w14:textId="0666705B" w:rsidR="007A2A6F" w:rsidRPr="00653DCF" w:rsidRDefault="002F68DC" w:rsidP="00B73D6F">
      <w:pPr>
        <w:pStyle w:val="Heading4"/>
        <w:ind w:left="851"/>
        <w:rPr>
          <w:color w:val="auto"/>
          <w:lang w:val="hr-HR"/>
        </w:rPr>
      </w:pPr>
      <w:r w:rsidRPr="00653DCF">
        <w:rPr>
          <w:color w:val="auto"/>
          <w:lang w:val="hr-HR"/>
        </w:rPr>
        <w:t>NAKNADA ZA ODGODU</w:t>
      </w:r>
    </w:p>
    <w:p w14:paraId="3482FB4D" w14:textId="2D2A127A" w:rsidR="007A2A6F" w:rsidRPr="00653DCF" w:rsidRDefault="00E87B0B" w:rsidP="00FA322D">
      <w:pPr>
        <w:pStyle w:val="NoIndentEIB"/>
        <w:ind w:left="851"/>
        <w:rPr>
          <w:color w:val="auto"/>
          <w:lang w:val="hr-HR"/>
        </w:rPr>
      </w:pPr>
      <w:r w:rsidRPr="00653DCF">
        <w:rPr>
          <w:color w:val="auto"/>
          <w:lang w:val="hr-HR"/>
        </w:rPr>
        <w:t xml:space="preserve">Ako </w:t>
      </w:r>
      <w:r w:rsidR="00FA322D" w:rsidRPr="00653DCF">
        <w:rPr>
          <w:color w:val="auto"/>
          <w:lang w:val="hr-HR"/>
        </w:rPr>
        <w:t>se</w:t>
      </w:r>
      <w:r w:rsidRPr="00653DCF">
        <w:rPr>
          <w:color w:val="auto"/>
          <w:lang w:val="hr-HR"/>
        </w:rPr>
        <w:t xml:space="preserve"> isplata </w:t>
      </w:r>
      <w:r w:rsidR="00FA322D" w:rsidRPr="00653DCF">
        <w:rPr>
          <w:color w:val="auto"/>
          <w:lang w:val="hr-HR"/>
        </w:rPr>
        <w:t>najavljene</w:t>
      </w:r>
      <w:r w:rsidRPr="00653DCF">
        <w:rPr>
          <w:color w:val="auto"/>
          <w:lang w:val="hr-HR"/>
        </w:rPr>
        <w:t xml:space="preserve"> tranše </w:t>
      </w:r>
      <w:r w:rsidR="001F44E5" w:rsidRPr="00653DCF">
        <w:rPr>
          <w:color w:val="auto"/>
          <w:lang w:val="hr-HR"/>
        </w:rPr>
        <w:t>odgađa</w:t>
      </w:r>
      <w:r w:rsidR="00FA322D" w:rsidRPr="00653DCF">
        <w:rPr>
          <w:color w:val="auto"/>
          <w:lang w:val="hr-HR"/>
        </w:rPr>
        <w:t xml:space="preserve"> </w:t>
      </w:r>
      <w:r w:rsidRPr="00653DCF">
        <w:rPr>
          <w:color w:val="auto"/>
          <w:lang w:val="hr-HR"/>
        </w:rPr>
        <w:t xml:space="preserve">u skladu </w:t>
      </w:r>
      <w:r w:rsidR="009651D1" w:rsidRPr="00653DCF">
        <w:rPr>
          <w:color w:val="auto"/>
          <w:lang w:val="hr-HR"/>
        </w:rPr>
        <w:t xml:space="preserve">s gore navedenim </w:t>
      </w:r>
      <w:r w:rsidR="00FA322D" w:rsidRPr="00653DCF">
        <w:rPr>
          <w:color w:val="auto"/>
          <w:lang w:val="hr-HR"/>
        </w:rPr>
        <w:t xml:space="preserve">člancima </w:t>
      </w:r>
      <w:r w:rsidRPr="00653DCF">
        <w:rPr>
          <w:color w:val="auto"/>
          <w:lang w:val="hr-HR"/>
        </w:rPr>
        <w:fldChar w:fldCharType="begin"/>
      </w:r>
      <w:r w:rsidRPr="00653DCF">
        <w:rPr>
          <w:color w:val="auto"/>
          <w:lang w:val="hr-HR"/>
        </w:rPr>
        <w:instrText xml:space="preserve"> REF _Ref498641917 \w \h  \* MERGEFORMAT </w:instrText>
      </w:r>
      <w:r w:rsidRPr="00653DCF">
        <w:rPr>
          <w:color w:val="auto"/>
          <w:lang w:val="hr-HR"/>
        </w:rPr>
      </w:r>
      <w:r w:rsidRPr="00653DCF">
        <w:rPr>
          <w:color w:val="auto"/>
          <w:lang w:val="hr-HR"/>
        </w:rPr>
        <w:fldChar w:fldCharType="separate"/>
      </w:r>
      <w:r w:rsidR="00E5391B">
        <w:rPr>
          <w:color w:val="auto"/>
          <w:lang w:val="hr-HR"/>
        </w:rPr>
        <w:t>1.5.A(1)</w:t>
      </w:r>
      <w:r w:rsidRPr="00653DCF">
        <w:rPr>
          <w:color w:val="auto"/>
          <w:lang w:val="hr-HR"/>
        </w:rPr>
        <w:fldChar w:fldCharType="end"/>
      </w:r>
      <w:r w:rsidRPr="00653DCF">
        <w:rPr>
          <w:color w:val="auto"/>
          <w:lang w:val="hr-HR"/>
        </w:rPr>
        <w:t xml:space="preserve"> ili </w:t>
      </w:r>
      <w:r w:rsidRPr="00653DCF">
        <w:rPr>
          <w:color w:val="auto"/>
          <w:lang w:val="hr-HR"/>
        </w:rPr>
        <w:fldChar w:fldCharType="begin"/>
      </w:r>
      <w:r w:rsidRPr="00653DCF">
        <w:rPr>
          <w:color w:val="auto"/>
          <w:lang w:val="hr-HR"/>
        </w:rPr>
        <w:instrText xml:space="preserve"> REF _Ref498641988 \w \h  \* MERGEFORMAT </w:instrText>
      </w:r>
      <w:r w:rsidRPr="00653DCF">
        <w:rPr>
          <w:color w:val="auto"/>
          <w:lang w:val="hr-HR"/>
        </w:rPr>
      </w:r>
      <w:r w:rsidRPr="00653DCF">
        <w:rPr>
          <w:color w:val="auto"/>
          <w:lang w:val="hr-HR"/>
        </w:rPr>
        <w:fldChar w:fldCharType="separate"/>
      </w:r>
      <w:r w:rsidR="00E5391B">
        <w:rPr>
          <w:color w:val="auto"/>
          <w:lang w:val="hr-HR"/>
        </w:rPr>
        <w:t>1.5.A(2)</w:t>
      </w:r>
      <w:r w:rsidRPr="00653DCF">
        <w:rPr>
          <w:color w:val="auto"/>
          <w:lang w:val="hr-HR"/>
        </w:rPr>
        <w:fldChar w:fldCharType="end"/>
      </w:r>
      <w:r w:rsidRPr="00653DCF">
        <w:rPr>
          <w:color w:val="auto"/>
          <w:lang w:val="hr-HR"/>
        </w:rPr>
        <w:t xml:space="preserve">, Zajmoprimac </w:t>
      </w:r>
      <w:r w:rsidR="00A568DA" w:rsidRPr="00653DCF">
        <w:rPr>
          <w:color w:val="auto"/>
          <w:lang w:val="hr-HR"/>
        </w:rPr>
        <w:t xml:space="preserve">je dužan </w:t>
      </w:r>
      <w:r w:rsidRPr="00653DCF">
        <w:rPr>
          <w:color w:val="auto"/>
          <w:lang w:val="hr-HR"/>
        </w:rPr>
        <w:t>platiti naknadu za odgodu.</w:t>
      </w:r>
    </w:p>
    <w:p w14:paraId="1FEF83AE" w14:textId="4D7A0ECA" w:rsidR="007A2A6F" w:rsidRPr="00653DCF" w:rsidRDefault="00E87B0B" w:rsidP="00B73D6F">
      <w:pPr>
        <w:pStyle w:val="Heading3"/>
        <w:ind w:left="851"/>
        <w:rPr>
          <w:color w:val="auto"/>
          <w:lang w:val="hr-HR"/>
        </w:rPr>
      </w:pPr>
      <w:bookmarkStart w:id="162" w:name="_Ref426952204"/>
      <w:bookmarkStart w:id="163" w:name="_Toc475441119"/>
      <w:bookmarkStart w:id="164" w:name="_Toc498018614"/>
      <w:bookmarkStart w:id="165" w:name="_Toc508120473"/>
      <w:bookmarkStart w:id="166" w:name="_Toc126080665"/>
      <w:bookmarkStart w:id="167" w:name="_Toc126080797"/>
      <w:r w:rsidRPr="00653DCF">
        <w:rPr>
          <w:color w:val="auto"/>
          <w:lang w:val="hr-HR"/>
        </w:rPr>
        <w:t>Otkazivanje isplate odgođen</w:t>
      </w:r>
      <w:r w:rsidR="009651D1" w:rsidRPr="00653DCF">
        <w:rPr>
          <w:color w:val="auto"/>
          <w:lang w:val="hr-HR"/>
        </w:rPr>
        <w:t>e</w:t>
      </w:r>
      <w:r w:rsidRPr="00653DCF">
        <w:rPr>
          <w:color w:val="auto"/>
          <w:lang w:val="hr-HR"/>
        </w:rPr>
        <w:t xml:space="preserve"> za 6 (šest) mjeseci</w:t>
      </w:r>
      <w:bookmarkEnd w:id="162"/>
      <w:bookmarkEnd w:id="163"/>
      <w:bookmarkEnd w:id="164"/>
      <w:bookmarkEnd w:id="165"/>
      <w:bookmarkEnd w:id="166"/>
      <w:bookmarkEnd w:id="167"/>
    </w:p>
    <w:p w14:paraId="429B615C" w14:textId="7694D03B" w:rsidR="007A2A6F" w:rsidRPr="00653DCF" w:rsidRDefault="00E87B0B">
      <w:pPr>
        <w:rPr>
          <w:color w:val="auto"/>
          <w:lang w:val="hr-HR"/>
        </w:rPr>
      </w:pPr>
      <w:r w:rsidRPr="00653DCF">
        <w:rPr>
          <w:color w:val="auto"/>
          <w:lang w:val="hr-HR"/>
        </w:rPr>
        <w:t xml:space="preserve">Ako je isplata odgođena </w:t>
      </w:r>
      <w:r w:rsidR="004E3FA2" w:rsidRPr="00653DCF">
        <w:rPr>
          <w:color w:val="auto"/>
          <w:lang w:val="hr-HR"/>
        </w:rPr>
        <w:t xml:space="preserve">ukupno </w:t>
      </w:r>
      <w:r w:rsidRPr="00653DCF">
        <w:rPr>
          <w:color w:val="auto"/>
          <w:lang w:val="hr-HR"/>
        </w:rPr>
        <w:t>za više od 6 (šest) mjeseci u skladu s člankom</w:t>
      </w:r>
      <w:r w:rsidR="004E3FA2" w:rsidRPr="00653DCF">
        <w:rPr>
          <w:color w:val="auto"/>
          <w:lang w:val="hr-HR"/>
        </w:rPr>
        <w:t xml:space="preserve"> </w:t>
      </w:r>
      <w:r w:rsidRPr="00653DCF">
        <w:rPr>
          <w:color w:val="auto"/>
          <w:lang w:val="hr-HR"/>
        </w:rPr>
        <w:fldChar w:fldCharType="begin"/>
      </w:r>
      <w:r w:rsidRPr="00653DCF">
        <w:rPr>
          <w:color w:val="auto"/>
          <w:lang w:val="hr-HR"/>
        </w:rPr>
        <w:instrText xml:space="preserve"> REF _Ref426951970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1.5.A</w:t>
      </w:r>
      <w:r w:rsidRPr="00653DCF">
        <w:rPr>
          <w:color w:val="auto"/>
          <w:lang w:val="hr-HR"/>
        </w:rPr>
        <w:fldChar w:fldCharType="end"/>
      </w:r>
      <w:r w:rsidRPr="00653DCF">
        <w:rPr>
          <w:color w:val="auto"/>
          <w:lang w:val="hr-HR"/>
        </w:rPr>
        <w:t>, Banka može</w:t>
      </w:r>
      <w:r w:rsidR="00E6614F" w:rsidRPr="00653DCF">
        <w:rPr>
          <w:color w:val="auto"/>
          <w:lang w:val="hr-HR"/>
        </w:rPr>
        <w:t>,</w:t>
      </w:r>
      <w:r w:rsidRPr="00653DCF">
        <w:rPr>
          <w:color w:val="auto"/>
          <w:lang w:val="hr-HR"/>
        </w:rPr>
        <w:t xml:space="preserve"> pisanim putem</w:t>
      </w:r>
      <w:r w:rsidR="00E6614F" w:rsidRPr="00653DCF">
        <w:rPr>
          <w:color w:val="auto"/>
          <w:lang w:val="hr-HR"/>
        </w:rPr>
        <w:t>,</w:t>
      </w:r>
      <w:r w:rsidRPr="00653DCF">
        <w:rPr>
          <w:color w:val="auto"/>
          <w:lang w:val="hr-HR"/>
        </w:rPr>
        <w:t xml:space="preserve"> obavijestiti Zajmoprimca da </w:t>
      </w:r>
      <w:r w:rsidR="004E3FA2" w:rsidRPr="00653DCF">
        <w:rPr>
          <w:color w:val="auto"/>
          <w:lang w:val="hr-HR"/>
        </w:rPr>
        <w:t xml:space="preserve">se </w:t>
      </w:r>
      <w:r w:rsidRPr="00653DCF">
        <w:rPr>
          <w:color w:val="auto"/>
          <w:lang w:val="hr-HR"/>
        </w:rPr>
        <w:t xml:space="preserve">takva isplata </w:t>
      </w:r>
      <w:r w:rsidR="004E3FA2" w:rsidRPr="00653DCF">
        <w:rPr>
          <w:color w:val="auto"/>
          <w:lang w:val="hr-HR"/>
        </w:rPr>
        <w:t xml:space="preserve">otkazuje, a otkazivanje ima učinak na datum </w:t>
      </w:r>
      <w:r w:rsidR="00E6614F" w:rsidRPr="00653DCF">
        <w:rPr>
          <w:color w:val="auto"/>
          <w:lang w:val="hr-HR"/>
        </w:rPr>
        <w:t>davanja</w:t>
      </w:r>
      <w:r w:rsidR="00463C65" w:rsidRPr="00653DCF">
        <w:rPr>
          <w:color w:val="auto"/>
          <w:lang w:val="hr-HR"/>
        </w:rPr>
        <w:t xml:space="preserve"> takve</w:t>
      </w:r>
      <w:r w:rsidR="00E6614F" w:rsidRPr="00653DCF">
        <w:rPr>
          <w:color w:val="auto"/>
          <w:lang w:val="hr-HR"/>
        </w:rPr>
        <w:t xml:space="preserve"> </w:t>
      </w:r>
      <w:r w:rsidR="004E3FA2" w:rsidRPr="00653DCF">
        <w:rPr>
          <w:color w:val="auto"/>
          <w:lang w:val="hr-HR"/>
        </w:rPr>
        <w:t>pisane obavijesti</w:t>
      </w:r>
      <w:r w:rsidRPr="00653DCF">
        <w:rPr>
          <w:color w:val="auto"/>
          <w:lang w:val="hr-HR"/>
        </w:rPr>
        <w:t xml:space="preserve">. Iznos isplate koji Banka </w:t>
      </w:r>
      <w:r w:rsidR="004E3FA2" w:rsidRPr="00653DCF">
        <w:rPr>
          <w:color w:val="auto"/>
          <w:lang w:val="hr-HR"/>
        </w:rPr>
        <w:t xml:space="preserve">otkazuje </w:t>
      </w:r>
      <w:r w:rsidRPr="00653DCF">
        <w:rPr>
          <w:color w:val="auto"/>
          <w:lang w:val="hr-HR"/>
        </w:rPr>
        <w:t xml:space="preserve">u skladu s ovim člankom </w:t>
      </w:r>
      <w:r w:rsidRPr="00653DCF">
        <w:rPr>
          <w:color w:val="auto"/>
          <w:lang w:val="hr-HR"/>
        </w:rPr>
        <w:fldChar w:fldCharType="begin"/>
      </w:r>
      <w:r w:rsidRPr="00653DCF">
        <w:rPr>
          <w:color w:val="auto"/>
          <w:lang w:val="hr-HR"/>
        </w:rPr>
        <w:instrText xml:space="preserve"> REF _Ref426952204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1.5.B</w:t>
      </w:r>
      <w:r w:rsidRPr="00653DCF">
        <w:rPr>
          <w:color w:val="auto"/>
          <w:lang w:val="hr-HR"/>
        </w:rPr>
        <w:fldChar w:fldCharType="end"/>
      </w:r>
      <w:r w:rsidRPr="00653DCF">
        <w:rPr>
          <w:color w:val="auto"/>
          <w:lang w:val="hr-HR"/>
        </w:rPr>
        <w:t xml:space="preserve"> ostaje na raspolaganju za isplatu u skladu s člankom</w:t>
      </w:r>
      <w:r w:rsidR="004E3FA2" w:rsidRPr="00653DCF">
        <w:rPr>
          <w:color w:val="auto"/>
          <w:lang w:val="hr-HR"/>
        </w:rPr>
        <w:t xml:space="preserve"> </w:t>
      </w:r>
      <w:r w:rsidRPr="00653DCF">
        <w:rPr>
          <w:color w:val="auto"/>
          <w:lang w:val="hr-HR"/>
        </w:rPr>
        <w:fldChar w:fldCharType="begin"/>
      </w:r>
      <w:r w:rsidRPr="00653DCF">
        <w:rPr>
          <w:color w:val="auto"/>
          <w:lang w:val="hr-HR"/>
        </w:rPr>
        <w:instrText xml:space="preserve"> REF _Ref426951992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1.2</w:t>
      </w:r>
      <w:r w:rsidRPr="00653DCF">
        <w:rPr>
          <w:color w:val="auto"/>
          <w:lang w:val="hr-HR"/>
        </w:rPr>
        <w:fldChar w:fldCharType="end"/>
      </w:r>
      <w:r w:rsidRPr="00653DCF">
        <w:rPr>
          <w:color w:val="auto"/>
          <w:lang w:val="hr-HR"/>
        </w:rPr>
        <w:t>.</w:t>
      </w:r>
    </w:p>
    <w:p w14:paraId="5DF2D445" w14:textId="0DADF5BC" w:rsidR="007A2A6F" w:rsidRPr="00653DCF" w:rsidRDefault="00E87B0B" w:rsidP="00B73D6F">
      <w:pPr>
        <w:pStyle w:val="Heading2"/>
        <w:ind w:left="851"/>
        <w:rPr>
          <w:color w:val="auto"/>
          <w:lang w:val="hr-HR"/>
        </w:rPr>
      </w:pPr>
      <w:bookmarkStart w:id="168" w:name="_Ref426952415"/>
      <w:bookmarkStart w:id="169" w:name="_Ref426952486"/>
      <w:bookmarkStart w:id="170" w:name="_Ref426975375"/>
      <w:bookmarkStart w:id="171" w:name="_Toc475441120"/>
      <w:bookmarkStart w:id="172" w:name="_Toc498018615"/>
      <w:bookmarkStart w:id="173" w:name="_Toc508120474"/>
      <w:bookmarkStart w:id="174" w:name="_Toc126080666"/>
      <w:bookmarkStart w:id="175" w:name="_Toc126080798"/>
      <w:r w:rsidRPr="00653DCF">
        <w:rPr>
          <w:color w:val="auto"/>
          <w:lang w:val="hr-HR"/>
        </w:rPr>
        <w:t xml:space="preserve">Otkazivanje i </w:t>
      </w:r>
      <w:bookmarkEnd w:id="168"/>
      <w:bookmarkEnd w:id="169"/>
      <w:bookmarkEnd w:id="170"/>
      <w:bookmarkEnd w:id="171"/>
      <w:bookmarkEnd w:id="172"/>
      <w:bookmarkEnd w:id="173"/>
      <w:bookmarkEnd w:id="174"/>
      <w:bookmarkEnd w:id="175"/>
      <w:r w:rsidR="00B55320" w:rsidRPr="00653DCF">
        <w:rPr>
          <w:color w:val="auto"/>
          <w:lang w:val="hr-HR"/>
        </w:rPr>
        <w:t>obustava</w:t>
      </w:r>
    </w:p>
    <w:p w14:paraId="47C650B4" w14:textId="7728F821" w:rsidR="007A2A6F" w:rsidRPr="00653DCF" w:rsidRDefault="00E87B0B" w:rsidP="00B73D6F">
      <w:pPr>
        <w:pStyle w:val="Heading3"/>
        <w:ind w:left="851"/>
        <w:rPr>
          <w:color w:val="auto"/>
          <w:lang w:val="hr-HR"/>
        </w:rPr>
      </w:pPr>
      <w:bookmarkStart w:id="176" w:name="_Ref426952067"/>
      <w:bookmarkStart w:id="177" w:name="_Toc475441121"/>
      <w:bookmarkStart w:id="178" w:name="_Toc498018616"/>
      <w:bookmarkStart w:id="179" w:name="_Toc508120475"/>
      <w:bookmarkStart w:id="180" w:name="_Toc126080667"/>
      <w:bookmarkStart w:id="181" w:name="_Toc126080799"/>
      <w:r w:rsidRPr="00653DCF">
        <w:rPr>
          <w:color w:val="auto"/>
          <w:lang w:val="hr-HR"/>
        </w:rPr>
        <w:t xml:space="preserve">Pravo </w:t>
      </w:r>
      <w:r w:rsidR="00B55320" w:rsidRPr="00653DCF">
        <w:rPr>
          <w:color w:val="auto"/>
          <w:lang w:val="hr-HR"/>
        </w:rPr>
        <w:t xml:space="preserve">Zajmoprimca </w:t>
      </w:r>
      <w:r w:rsidRPr="00653DCF">
        <w:rPr>
          <w:color w:val="auto"/>
          <w:lang w:val="hr-HR"/>
        </w:rPr>
        <w:t>na otkazivanje</w:t>
      </w:r>
      <w:bookmarkEnd w:id="176"/>
      <w:bookmarkEnd w:id="177"/>
      <w:bookmarkEnd w:id="178"/>
      <w:bookmarkEnd w:id="179"/>
      <w:bookmarkEnd w:id="180"/>
      <w:bookmarkEnd w:id="181"/>
    </w:p>
    <w:p w14:paraId="7ECF4912" w14:textId="54397FA0" w:rsidR="007A2A6F" w:rsidRPr="00653DCF" w:rsidRDefault="00E87B0B">
      <w:pPr>
        <w:pStyle w:val="NoIndentEIB"/>
        <w:numPr>
          <w:ilvl w:val="0"/>
          <w:numId w:val="41"/>
        </w:numPr>
        <w:rPr>
          <w:color w:val="auto"/>
          <w:lang w:val="hr-HR"/>
        </w:rPr>
      </w:pPr>
      <w:r w:rsidRPr="00653DCF">
        <w:rPr>
          <w:color w:val="auto"/>
          <w:lang w:val="hr-HR"/>
        </w:rPr>
        <w:t>Zajmoprimac može Banci poslati pisan</w:t>
      </w:r>
      <w:r w:rsidR="00B55320" w:rsidRPr="00653DCF">
        <w:rPr>
          <w:color w:val="auto"/>
          <w:lang w:val="hr-HR"/>
        </w:rPr>
        <w:t xml:space="preserve">u obavijest kojom </w:t>
      </w:r>
      <w:r w:rsidRPr="00653DCF">
        <w:rPr>
          <w:color w:val="auto"/>
          <w:lang w:val="hr-HR"/>
        </w:rPr>
        <w:t xml:space="preserve">traži </w:t>
      </w:r>
      <w:r w:rsidR="008F1863" w:rsidRPr="00653DCF">
        <w:rPr>
          <w:color w:val="auto"/>
          <w:lang w:val="hr-HR"/>
        </w:rPr>
        <w:t>otkazivanje neisplaćenog kredita ili jednog njegovog dijela</w:t>
      </w:r>
      <w:r w:rsidRPr="00653DCF">
        <w:rPr>
          <w:color w:val="auto"/>
          <w:lang w:val="hr-HR"/>
        </w:rPr>
        <w:t xml:space="preserve">. </w:t>
      </w:r>
    </w:p>
    <w:p w14:paraId="1E12E9FA" w14:textId="46301407" w:rsidR="007A2A6F" w:rsidRPr="00653DCF" w:rsidRDefault="00E87B0B">
      <w:pPr>
        <w:pStyle w:val="NoIndentEIB"/>
        <w:numPr>
          <w:ilvl w:val="0"/>
          <w:numId w:val="41"/>
        </w:numPr>
        <w:rPr>
          <w:color w:val="auto"/>
          <w:lang w:val="hr-HR"/>
        </w:rPr>
      </w:pPr>
      <w:r w:rsidRPr="00653DCF">
        <w:rPr>
          <w:color w:val="auto"/>
          <w:lang w:val="hr-HR"/>
        </w:rPr>
        <w:t>U svojoj pisanoj obavijesti</w:t>
      </w:r>
      <w:r w:rsidR="009646D9" w:rsidRPr="00653DCF">
        <w:rPr>
          <w:color w:val="auto"/>
          <w:lang w:val="hr-HR"/>
        </w:rPr>
        <w:t>,</w:t>
      </w:r>
      <w:r w:rsidRPr="00653DCF">
        <w:rPr>
          <w:color w:val="auto"/>
          <w:lang w:val="hr-HR"/>
        </w:rPr>
        <w:t xml:space="preserve"> </w:t>
      </w:r>
      <w:r w:rsidR="00E1471B" w:rsidRPr="00653DCF">
        <w:rPr>
          <w:color w:val="auto"/>
          <w:lang w:val="hr-HR"/>
        </w:rPr>
        <w:t>Z</w:t>
      </w:r>
      <w:r w:rsidRPr="00653DCF">
        <w:rPr>
          <w:color w:val="auto"/>
          <w:lang w:val="hr-HR"/>
        </w:rPr>
        <w:t>ajmoprimac:</w:t>
      </w:r>
    </w:p>
    <w:p w14:paraId="56A6D477" w14:textId="67502C8A" w:rsidR="007A2A6F" w:rsidRPr="00653DCF" w:rsidRDefault="00E87B0B">
      <w:pPr>
        <w:pStyle w:val="NoIndentEIB"/>
        <w:numPr>
          <w:ilvl w:val="1"/>
          <w:numId w:val="41"/>
        </w:numPr>
        <w:rPr>
          <w:color w:val="auto"/>
          <w:lang w:val="hr-HR"/>
        </w:rPr>
      </w:pPr>
      <w:bookmarkStart w:id="182" w:name="_Ref500775714"/>
      <w:r w:rsidRPr="00653DCF">
        <w:rPr>
          <w:color w:val="auto"/>
          <w:lang w:val="hr-HR"/>
        </w:rPr>
        <w:t xml:space="preserve">mora navesti hoće li kredit biti </w:t>
      </w:r>
      <w:r w:rsidR="00D60EF7" w:rsidRPr="00653DCF">
        <w:rPr>
          <w:color w:val="auto"/>
          <w:lang w:val="hr-HR"/>
        </w:rPr>
        <w:t xml:space="preserve">otkazan </w:t>
      </w:r>
      <w:r w:rsidRPr="00653DCF">
        <w:rPr>
          <w:color w:val="auto"/>
          <w:lang w:val="hr-HR"/>
        </w:rPr>
        <w:t xml:space="preserve">u cijelosti ili djelomično te, ako djelomično, </w:t>
      </w:r>
      <w:r w:rsidR="00D60EF7" w:rsidRPr="00653DCF">
        <w:rPr>
          <w:color w:val="auto"/>
          <w:lang w:val="hr-HR"/>
        </w:rPr>
        <w:t xml:space="preserve">naznačiti </w:t>
      </w:r>
      <w:r w:rsidRPr="00653DCF">
        <w:rPr>
          <w:color w:val="auto"/>
          <w:lang w:val="hr-HR"/>
        </w:rPr>
        <w:t xml:space="preserve">iznos kredita koji treba </w:t>
      </w:r>
      <w:r w:rsidR="00D60EF7" w:rsidRPr="00653DCF">
        <w:rPr>
          <w:color w:val="auto"/>
          <w:lang w:val="hr-HR"/>
        </w:rPr>
        <w:t>otkazati</w:t>
      </w:r>
      <w:r w:rsidRPr="00653DCF">
        <w:rPr>
          <w:color w:val="auto"/>
          <w:lang w:val="hr-HR"/>
        </w:rPr>
        <w:t xml:space="preserve">; i </w:t>
      </w:r>
      <w:bookmarkEnd w:id="182"/>
    </w:p>
    <w:p w14:paraId="3AB5F4EA" w14:textId="5ED7EF17" w:rsidR="007A2A6F" w:rsidRPr="00653DCF" w:rsidRDefault="00E87B0B">
      <w:pPr>
        <w:pStyle w:val="NoIndentEIB"/>
        <w:numPr>
          <w:ilvl w:val="1"/>
          <w:numId w:val="41"/>
        </w:numPr>
        <w:rPr>
          <w:color w:val="auto"/>
          <w:lang w:val="hr-HR"/>
        </w:rPr>
      </w:pPr>
      <w:bookmarkStart w:id="183" w:name="_Ref500775716"/>
      <w:r w:rsidRPr="00653DCF">
        <w:rPr>
          <w:color w:val="auto"/>
          <w:lang w:val="hr-HR"/>
        </w:rPr>
        <w:t xml:space="preserve">ne smije </w:t>
      </w:r>
      <w:r w:rsidR="00837423" w:rsidRPr="00653DCF">
        <w:rPr>
          <w:color w:val="auto"/>
          <w:lang w:val="hr-HR"/>
        </w:rPr>
        <w:t>za</w:t>
      </w:r>
      <w:r w:rsidRPr="00653DCF">
        <w:rPr>
          <w:color w:val="auto"/>
          <w:lang w:val="hr-HR"/>
        </w:rPr>
        <w:t xml:space="preserve">tražiti </w:t>
      </w:r>
      <w:r w:rsidR="00837423" w:rsidRPr="00653DCF">
        <w:rPr>
          <w:color w:val="auto"/>
          <w:lang w:val="hr-HR"/>
        </w:rPr>
        <w:t>otkazivanje</w:t>
      </w:r>
      <w:r w:rsidRPr="00653DCF">
        <w:rPr>
          <w:color w:val="auto"/>
          <w:lang w:val="hr-HR"/>
        </w:rPr>
        <w:t>:</w:t>
      </w:r>
    </w:p>
    <w:p w14:paraId="2165132C" w14:textId="645C3158" w:rsidR="007A2A6F" w:rsidRPr="00653DCF" w:rsidRDefault="00837423">
      <w:pPr>
        <w:pStyle w:val="NoIndentEIB"/>
        <w:numPr>
          <w:ilvl w:val="2"/>
          <w:numId w:val="41"/>
        </w:numPr>
        <w:rPr>
          <w:color w:val="auto"/>
          <w:lang w:val="hr-HR"/>
        </w:rPr>
      </w:pPr>
      <w:r w:rsidRPr="00653DCF">
        <w:rPr>
          <w:color w:val="auto"/>
          <w:lang w:val="hr-HR"/>
        </w:rPr>
        <w:t xml:space="preserve">najavljene tranše čiji planirani datum </w:t>
      </w:r>
      <w:r w:rsidR="009646D9" w:rsidRPr="00653DCF">
        <w:rPr>
          <w:color w:val="auto"/>
          <w:lang w:val="hr-HR"/>
        </w:rPr>
        <w:t>isplate</w:t>
      </w:r>
      <w:r w:rsidRPr="00653DCF">
        <w:rPr>
          <w:color w:val="auto"/>
          <w:lang w:val="hr-HR"/>
        </w:rPr>
        <w:t xml:space="preserve"> pada unutar </w:t>
      </w:r>
      <w:r w:rsidR="00E87B0B" w:rsidRPr="00653DCF">
        <w:rPr>
          <w:color w:val="auto"/>
          <w:lang w:val="hr-HR"/>
        </w:rPr>
        <w:t xml:space="preserve">5 (pet) radnih dana od datuma </w:t>
      </w:r>
      <w:r w:rsidRPr="00653DCF">
        <w:rPr>
          <w:color w:val="auto"/>
          <w:lang w:val="hr-HR"/>
        </w:rPr>
        <w:t xml:space="preserve">te </w:t>
      </w:r>
      <w:r w:rsidR="00176033" w:rsidRPr="00653DCF">
        <w:rPr>
          <w:color w:val="auto"/>
          <w:lang w:val="hr-HR"/>
        </w:rPr>
        <w:t xml:space="preserve">pisane </w:t>
      </w:r>
      <w:r w:rsidR="00E87B0B" w:rsidRPr="00653DCF">
        <w:rPr>
          <w:color w:val="auto"/>
          <w:lang w:val="hr-HR"/>
        </w:rPr>
        <w:t xml:space="preserve">obavijesti; ili </w:t>
      </w:r>
    </w:p>
    <w:p w14:paraId="5931BF5B" w14:textId="1C007528" w:rsidR="007A2A6F" w:rsidRPr="00653DCF" w:rsidRDefault="00E87B0B">
      <w:pPr>
        <w:pStyle w:val="NoIndentEIB"/>
        <w:numPr>
          <w:ilvl w:val="2"/>
          <w:numId w:val="41"/>
        </w:numPr>
        <w:rPr>
          <w:color w:val="auto"/>
          <w:lang w:val="hr-HR"/>
        </w:rPr>
      </w:pPr>
      <w:r w:rsidRPr="00653DCF">
        <w:rPr>
          <w:color w:val="auto"/>
          <w:lang w:val="hr-HR"/>
        </w:rPr>
        <w:t>tranš</w:t>
      </w:r>
      <w:r w:rsidR="00176033" w:rsidRPr="00653DCF">
        <w:rPr>
          <w:color w:val="auto"/>
          <w:lang w:val="hr-HR"/>
        </w:rPr>
        <w:t>e</w:t>
      </w:r>
      <w:r w:rsidRPr="00653DCF">
        <w:rPr>
          <w:color w:val="auto"/>
          <w:lang w:val="hr-HR"/>
        </w:rPr>
        <w:t xml:space="preserve"> </w:t>
      </w:r>
      <w:r w:rsidR="00176033" w:rsidRPr="00653DCF">
        <w:rPr>
          <w:color w:val="auto"/>
          <w:lang w:val="hr-HR"/>
        </w:rPr>
        <w:t>u vezi s kojom je dostavljen zahtjev za isplatu, ali Banka nije izdala obavijest o isplati</w:t>
      </w:r>
      <w:r w:rsidRPr="00653DCF">
        <w:rPr>
          <w:color w:val="auto"/>
          <w:lang w:val="hr-HR"/>
        </w:rPr>
        <w:t>.</w:t>
      </w:r>
      <w:bookmarkEnd w:id="183"/>
    </w:p>
    <w:p w14:paraId="6486F600" w14:textId="0F09B6D0" w:rsidR="007A2A6F" w:rsidRPr="00653DCF" w:rsidRDefault="00E87B0B">
      <w:pPr>
        <w:pStyle w:val="NoIndentEIB"/>
        <w:numPr>
          <w:ilvl w:val="0"/>
          <w:numId w:val="41"/>
        </w:numPr>
        <w:rPr>
          <w:color w:val="auto"/>
          <w:lang w:val="hr-HR"/>
        </w:rPr>
      </w:pPr>
      <w:r w:rsidRPr="00653DCF">
        <w:rPr>
          <w:color w:val="auto"/>
          <w:lang w:val="hr-HR"/>
        </w:rPr>
        <w:t>Po primitku takve pisane obavijesti</w:t>
      </w:r>
      <w:r w:rsidR="00526732" w:rsidRPr="00653DCF">
        <w:rPr>
          <w:color w:val="auto"/>
          <w:lang w:val="hr-HR"/>
        </w:rPr>
        <w:t>,</w:t>
      </w:r>
      <w:r w:rsidRPr="00653DCF">
        <w:rPr>
          <w:color w:val="auto"/>
          <w:lang w:val="hr-HR"/>
        </w:rPr>
        <w:t xml:space="preserve"> Banka će </w:t>
      </w:r>
      <w:r w:rsidR="00CC2F09" w:rsidRPr="00653DCF">
        <w:rPr>
          <w:color w:val="auto"/>
          <w:lang w:val="hr-HR"/>
        </w:rPr>
        <w:t xml:space="preserve">s trenutačnim učinkom </w:t>
      </w:r>
      <w:r w:rsidRPr="00653DCF">
        <w:rPr>
          <w:color w:val="auto"/>
          <w:lang w:val="hr-HR"/>
        </w:rPr>
        <w:t xml:space="preserve">otkazati </w:t>
      </w:r>
      <w:r w:rsidR="008669F2" w:rsidRPr="00653DCF">
        <w:rPr>
          <w:color w:val="auto"/>
          <w:lang w:val="hr-HR"/>
        </w:rPr>
        <w:t>iznos neisplaćenog kredita za koji se traži otkazivanje</w:t>
      </w:r>
      <w:r w:rsidRPr="00653DCF">
        <w:rPr>
          <w:color w:val="auto"/>
          <w:lang w:val="hr-HR"/>
        </w:rPr>
        <w:t xml:space="preserve">. </w:t>
      </w:r>
    </w:p>
    <w:p w14:paraId="28984614" w14:textId="21B15B46" w:rsidR="007A2A6F" w:rsidRPr="00653DCF" w:rsidRDefault="00E87B0B" w:rsidP="00B73D6F">
      <w:pPr>
        <w:pStyle w:val="Heading3"/>
        <w:ind w:left="851"/>
        <w:rPr>
          <w:color w:val="auto"/>
          <w:lang w:val="hr-HR"/>
        </w:rPr>
      </w:pPr>
      <w:bookmarkStart w:id="184" w:name="_Ref426950906"/>
      <w:bookmarkStart w:id="185" w:name="_Ref426951939"/>
      <w:bookmarkStart w:id="186" w:name="_Toc475441122"/>
      <w:bookmarkStart w:id="187" w:name="_Toc498018617"/>
      <w:bookmarkStart w:id="188" w:name="_Toc508120476"/>
      <w:bookmarkStart w:id="189" w:name="_Toc126080668"/>
      <w:bookmarkStart w:id="190" w:name="_Toc126080800"/>
      <w:r w:rsidRPr="00653DCF">
        <w:rPr>
          <w:color w:val="auto"/>
          <w:lang w:val="hr-HR"/>
        </w:rPr>
        <w:t xml:space="preserve">Pravo </w:t>
      </w:r>
      <w:r w:rsidR="009C7F9C" w:rsidRPr="00653DCF">
        <w:rPr>
          <w:color w:val="auto"/>
          <w:lang w:val="hr-HR"/>
        </w:rPr>
        <w:t>B</w:t>
      </w:r>
      <w:r w:rsidRPr="00653DCF">
        <w:rPr>
          <w:color w:val="auto"/>
          <w:lang w:val="hr-HR"/>
        </w:rPr>
        <w:t xml:space="preserve">anke </w:t>
      </w:r>
      <w:r w:rsidR="00470F5F" w:rsidRPr="00653DCF">
        <w:rPr>
          <w:color w:val="auto"/>
          <w:lang w:val="hr-HR"/>
        </w:rPr>
        <w:t>na obustavu i otkazivanje</w:t>
      </w:r>
      <w:bookmarkEnd w:id="184"/>
      <w:bookmarkEnd w:id="185"/>
      <w:bookmarkEnd w:id="186"/>
      <w:bookmarkEnd w:id="187"/>
      <w:bookmarkEnd w:id="188"/>
      <w:bookmarkEnd w:id="189"/>
      <w:bookmarkEnd w:id="190"/>
    </w:p>
    <w:p w14:paraId="74C52C34" w14:textId="78218068" w:rsidR="007A2A6F" w:rsidRDefault="00E87B0B" w:rsidP="006010BF">
      <w:pPr>
        <w:pStyle w:val="NoIndentEIB"/>
        <w:numPr>
          <w:ilvl w:val="0"/>
          <w:numId w:val="63"/>
        </w:numPr>
        <w:rPr>
          <w:color w:val="auto"/>
          <w:lang w:val="hr-HR"/>
        </w:rPr>
      </w:pPr>
      <w:r w:rsidRPr="00653DCF">
        <w:rPr>
          <w:color w:val="auto"/>
          <w:lang w:val="hr-HR"/>
        </w:rPr>
        <w:t xml:space="preserve">U bilo kojem trenutku nakon </w:t>
      </w:r>
      <w:r w:rsidR="00470F5F" w:rsidRPr="00653DCF">
        <w:rPr>
          <w:color w:val="auto"/>
          <w:lang w:val="hr-HR"/>
        </w:rPr>
        <w:t>nastupa</w:t>
      </w:r>
      <w:r w:rsidRPr="00653DCF">
        <w:rPr>
          <w:color w:val="auto"/>
          <w:lang w:val="hr-HR"/>
        </w:rPr>
        <w:t xml:space="preserve"> sljedećih događaja, Banka pisanim putem </w:t>
      </w:r>
      <w:r w:rsidR="007F589C" w:rsidRPr="00653DCF">
        <w:rPr>
          <w:color w:val="auto"/>
          <w:lang w:val="hr-HR"/>
        </w:rPr>
        <w:t xml:space="preserve">može </w:t>
      </w:r>
      <w:r w:rsidRPr="00653DCF">
        <w:rPr>
          <w:color w:val="auto"/>
          <w:lang w:val="hr-HR"/>
        </w:rPr>
        <w:t xml:space="preserve">obavijestiti Zajmoprimca da </w:t>
      </w:r>
      <w:r w:rsidR="007F589C" w:rsidRPr="00653DCF">
        <w:rPr>
          <w:color w:val="auto"/>
          <w:lang w:val="hr-HR"/>
        </w:rPr>
        <w:t xml:space="preserve">se </w:t>
      </w:r>
      <w:r w:rsidRPr="00653DCF">
        <w:rPr>
          <w:color w:val="auto"/>
          <w:lang w:val="hr-HR"/>
        </w:rPr>
        <w:t xml:space="preserve">neisplaćeni dio kredita </w:t>
      </w:r>
      <w:r w:rsidR="007F589C" w:rsidRPr="00653DCF">
        <w:rPr>
          <w:color w:val="auto"/>
          <w:lang w:val="hr-HR"/>
        </w:rPr>
        <w:t xml:space="preserve">obustavlja </w:t>
      </w:r>
      <w:r w:rsidRPr="00653DCF">
        <w:rPr>
          <w:color w:val="auto"/>
          <w:lang w:val="hr-HR"/>
        </w:rPr>
        <w:t xml:space="preserve">i/ili (osim u slučaju nastanka događaja narušavanja tržišta) </w:t>
      </w:r>
      <w:r w:rsidR="007F589C" w:rsidRPr="00653DCF">
        <w:rPr>
          <w:color w:val="auto"/>
          <w:lang w:val="hr-HR"/>
        </w:rPr>
        <w:t>otkazuje</w:t>
      </w:r>
      <w:r w:rsidR="000532FB" w:rsidRPr="00653DCF">
        <w:rPr>
          <w:color w:val="auto"/>
          <w:lang w:val="hr-HR"/>
        </w:rPr>
        <w:t>,</w:t>
      </w:r>
      <w:r w:rsidR="007F589C" w:rsidRPr="00653DCF">
        <w:rPr>
          <w:color w:val="auto"/>
          <w:lang w:val="hr-HR"/>
        </w:rPr>
        <w:t xml:space="preserve"> u cijelosti ili </w:t>
      </w:r>
      <w:r w:rsidRPr="00653DCF">
        <w:rPr>
          <w:color w:val="auto"/>
          <w:lang w:val="hr-HR"/>
        </w:rPr>
        <w:t>djelomično:</w:t>
      </w:r>
    </w:p>
    <w:p w14:paraId="38481EFA" w14:textId="780273F3" w:rsidR="00042353" w:rsidRDefault="00042353" w:rsidP="00042353">
      <w:pPr>
        <w:pStyle w:val="NoIndentEIB"/>
        <w:rPr>
          <w:color w:val="auto"/>
          <w:lang w:val="hr-HR"/>
        </w:rPr>
      </w:pPr>
    </w:p>
    <w:p w14:paraId="112733E1" w14:textId="77777777" w:rsidR="00042353" w:rsidRPr="00653DCF" w:rsidRDefault="00042353" w:rsidP="00042353">
      <w:pPr>
        <w:pStyle w:val="NoIndentEIB"/>
        <w:rPr>
          <w:color w:val="auto"/>
          <w:lang w:val="hr-HR"/>
        </w:rPr>
      </w:pPr>
    </w:p>
    <w:p w14:paraId="4B3DB6E8" w14:textId="05C559D1" w:rsidR="007A2A6F" w:rsidRPr="00653DCF" w:rsidRDefault="007F589C" w:rsidP="006010BF">
      <w:pPr>
        <w:pStyle w:val="NoIndentEIB"/>
        <w:numPr>
          <w:ilvl w:val="1"/>
          <w:numId w:val="63"/>
        </w:numPr>
        <w:rPr>
          <w:color w:val="auto"/>
          <w:lang w:val="hr-HR"/>
        </w:rPr>
      </w:pPr>
      <w:r w:rsidRPr="00653DCF">
        <w:rPr>
          <w:color w:val="auto"/>
          <w:lang w:val="hr-HR"/>
        </w:rPr>
        <w:lastRenderedPageBreak/>
        <w:t>d</w:t>
      </w:r>
      <w:r w:rsidR="00E87B0B" w:rsidRPr="00653DCF">
        <w:rPr>
          <w:color w:val="auto"/>
          <w:lang w:val="hr-HR"/>
        </w:rPr>
        <w:t>ogađaj</w:t>
      </w:r>
      <w:r w:rsidRPr="00653DCF">
        <w:rPr>
          <w:color w:val="auto"/>
          <w:lang w:val="hr-HR"/>
        </w:rPr>
        <w:t xml:space="preserve"> prijevremene otplate</w:t>
      </w:r>
      <w:r w:rsidR="00E87B0B" w:rsidRPr="00653DCF">
        <w:rPr>
          <w:color w:val="auto"/>
          <w:lang w:val="hr-HR"/>
        </w:rPr>
        <w:t>;</w:t>
      </w:r>
    </w:p>
    <w:p w14:paraId="199ED167" w14:textId="1955B4D5" w:rsidR="007A2A6F" w:rsidRPr="00653DCF" w:rsidRDefault="00E87B0B" w:rsidP="006010BF">
      <w:pPr>
        <w:pStyle w:val="NoIndentEIB"/>
        <w:numPr>
          <w:ilvl w:val="1"/>
          <w:numId w:val="63"/>
        </w:numPr>
        <w:rPr>
          <w:color w:val="auto"/>
          <w:lang w:val="hr-HR"/>
        </w:rPr>
      </w:pPr>
      <w:r w:rsidRPr="00653DCF">
        <w:rPr>
          <w:color w:val="auto"/>
          <w:lang w:val="hr-HR"/>
        </w:rPr>
        <w:t xml:space="preserve">događaj </w:t>
      </w:r>
      <w:r w:rsidR="007F589C" w:rsidRPr="00653DCF">
        <w:rPr>
          <w:color w:val="auto"/>
          <w:lang w:val="hr-HR"/>
        </w:rPr>
        <w:t>neispunjenja</w:t>
      </w:r>
      <w:r w:rsidRPr="00653DCF">
        <w:rPr>
          <w:color w:val="auto"/>
          <w:lang w:val="hr-HR"/>
        </w:rPr>
        <w:t xml:space="preserve"> obveza;</w:t>
      </w:r>
    </w:p>
    <w:p w14:paraId="120DAF50" w14:textId="3E0F9BCF" w:rsidR="00FA2B2B" w:rsidRPr="00653DCF" w:rsidRDefault="00E87B0B" w:rsidP="006010BF">
      <w:pPr>
        <w:pStyle w:val="NoIndentEIB"/>
        <w:numPr>
          <w:ilvl w:val="1"/>
          <w:numId w:val="63"/>
        </w:numPr>
        <w:rPr>
          <w:color w:val="auto"/>
          <w:lang w:val="hr-HR"/>
        </w:rPr>
      </w:pPr>
      <w:r w:rsidRPr="00653DCF">
        <w:rPr>
          <w:color w:val="auto"/>
          <w:lang w:val="hr-HR"/>
        </w:rPr>
        <w:t xml:space="preserve">događaj ili okolnost koja bi s </w:t>
      </w:r>
      <w:r w:rsidR="00FA2B2B" w:rsidRPr="00653DCF">
        <w:rPr>
          <w:color w:val="auto"/>
          <w:lang w:val="hr-HR"/>
        </w:rPr>
        <w:t>vremenom ili davanjem obavijesti</w:t>
      </w:r>
      <w:r w:rsidR="00EE3465" w:rsidRPr="00653DCF">
        <w:rPr>
          <w:color w:val="auto"/>
          <w:lang w:val="hr-HR"/>
        </w:rPr>
        <w:t xml:space="preserve"> ili donošenjem bilo kojeg </w:t>
      </w:r>
      <w:r w:rsidR="009B5A46" w:rsidRPr="00653DCF">
        <w:rPr>
          <w:color w:val="auto"/>
          <w:lang w:val="hr-HR"/>
        </w:rPr>
        <w:t>određivanja</w:t>
      </w:r>
      <w:r w:rsidR="00EE3465" w:rsidRPr="00653DCF">
        <w:rPr>
          <w:color w:val="auto"/>
          <w:lang w:val="hr-HR"/>
        </w:rPr>
        <w:t xml:space="preserve"> na temelju ovog Ugovora (ili bilo koje kombinacije navedenog)</w:t>
      </w:r>
      <w:r w:rsidR="00FA2B2B" w:rsidRPr="00653DCF">
        <w:rPr>
          <w:color w:val="auto"/>
          <w:lang w:val="hr-HR"/>
        </w:rPr>
        <w:t xml:space="preserve"> predstavljali događaj prijevremene otplate ili događaj neispunjenja obveza</w:t>
      </w:r>
      <w:r w:rsidR="00EE3465" w:rsidRPr="00653DCF">
        <w:rPr>
          <w:color w:val="auto"/>
          <w:lang w:val="hr-HR"/>
        </w:rPr>
        <w:t>; ili</w:t>
      </w:r>
      <w:r w:rsidR="00FA2B2B" w:rsidRPr="00653DCF">
        <w:rPr>
          <w:color w:val="auto"/>
          <w:lang w:val="hr-HR"/>
        </w:rPr>
        <w:t xml:space="preserve"> </w:t>
      </w:r>
    </w:p>
    <w:p w14:paraId="037519DF" w14:textId="5DF4BF99" w:rsidR="007A2A6F" w:rsidRPr="00653DCF" w:rsidRDefault="00E87B0B" w:rsidP="006010BF">
      <w:pPr>
        <w:pStyle w:val="NoIndentEIB"/>
        <w:numPr>
          <w:ilvl w:val="1"/>
          <w:numId w:val="63"/>
        </w:numPr>
        <w:rPr>
          <w:color w:val="auto"/>
          <w:lang w:val="hr-HR"/>
        </w:rPr>
      </w:pPr>
      <w:r w:rsidRPr="00653DCF">
        <w:rPr>
          <w:color w:val="auto"/>
          <w:lang w:val="hr-HR"/>
        </w:rPr>
        <w:t>događaj narušavanja tržišta</w:t>
      </w:r>
      <w:r w:rsidR="00C21406" w:rsidRPr="00653DCF">
        <w:rPr>
          <w:color w:val="auto"/>
          <w:lang w:val="hr-HR"/>
        </w:rPr>
        <w:t>,</w:t>
      </w:r>
      <w:r w:rsidRPr="00653DCF">
        <w:rPr>
          <w:color w:val="auto"/>
          <w:lang w:val="hr-HR"/>
        </w:rPr>
        <w:t xml:space="preserve"> pod uvjetom da Banka nije izdala obavijest o isplati.</w:t>
      </w:r>
    </w:p>
    <w:p w14:paraId="3E6E29BF" w14:textId="2D81D607" w:rsidR="007A2A6F" w:rsidRPr="00653DCF" w:rsidRDefault="00E87B0B" w:rsidP="006010BF">
      <w:pPr>
        <w:pStyle w:val="NoIndentEIB"/>
        <w:numPr>
          <w:ilvl w:val="0"/>
          <w:numId w:val="63"/>
        </w:numPr>
        <w:rPr>
          <w:color w:val="auto"/>
          <w:lang w:val="hr-HR"/>
        </w:rPr>
      </w:pPr>
      <w:r w:rsidRPr="00653DCF">
        <w:rPr>
          <w:color w:val="auto"/>
          <w:lang w:val="hr-HR"/>
        </w:rPr>
        <w:t xml:space="preserve">Na </w:t>
      </w:r>
      <w:r w:rsidR="001D6182" w:rsidRPr="00653DCF">
        <w:rPr>
          <w:color w:val="auto"/>
          <w:lang w:val="hr-HR"/>
        </w:rPr>
        <w:t>datum</w:t>
      </w:r>
      <w:r w:rsidRPr="00653DCF">
        <w:rPr>
          <w:color w:val="auto"/>
          <w:lang w:val="hr-HR"/>
        </w:rPr>
        <w:t xml:space="preserve"> takve pisane obavijesti Banke</w:t>
      </w:r>
      <w:r w:rsidR="001F44E5" w:rsidRPr="00653DCF">
        <w:rPr>
          <w:color w:val="auto"/>
          <w:lang w:val="hr-HR"/>
        </w:rPr>
        <w:t>,</w:t>
      </w:r>
      <w:r w:rsidRPr="00653DCF">
        <w:rPr>
          <w:color w:val="auto"/>
          <w:lang w:val="hr-HR"/>
        </w:rPr>
        <w:t xml:space="preserve"> relevantni dio kredita </w:t>
      </w:r>
      <w:r w:rsidR="008B77DE" w:rsidRPr="00653DCF">
        <w:rPr>
          <w:color w:val="auto"/>
          <w:lang w:val="hr-HR"/>
        </w:rPr>
        <w:t xml:space="preserve">obustavit </w:t>
      </w:r>
      <w:r w:rsidRPr="00653DCF">
        <w:rPr>
          <w:color w:val="auto"/>
          <w:lang w:val="hr-HR"/>
        </w:rPr>
        <w:t xml:space="preserve">će se i/ili </w:t>
      </w:r>
      <w:r w:rsidR="001F44E5" w:rsidRPr="00653DCF">
        <w:rPr>
          <w:color w:val="auto"/>
          <w:lang w:val="hr-HR"/>
        </w:rPr>
        <w:t xml:space="preserve">otkazati </w:t>
      </w:r>
      <w:r w:rsidRPr="00653DCF">
        <w:rPr>
          <w:color w:val="auto"/>
          <w:lang w:val="hr-HR"/>
        </w:rPr>
        <w:t xml:space="preserve">s </w:t>
      </w:r>
      <w:r w:rsidR="001F44E5" w:rsidRPr="00653DCF">
        <w:rPr>
          <w:color w:val="auto"/>
          <w:lang w:val="hr-HR"/>
        </w:rPr>
        <w:t xml:space="preserve">trenutačnim </w:t>
      </w:r>
      <w:r w:rsidRPr="00653DCF">
        <w:rPr>
          <w:color w:val="auto"/>
          <w:lang w:val="hr-HR"/>
        </w:rPr>
        <w:t xml:space="preserve">učinkom. Svaka </w:t>
      </w:r>
      <w:r w:rsidR="00125D16" w:rsidRPr="00653DCF">
        <w:rPr>
          <w:color w:val="auto"/>
          <w:lang w:val="hr-HR"/>
        </w:rPr>
        <w:t xml:space="preserve">takva </w:t>
      </w:r>
      <w:r w:rsidRPr="00653DCF">
        <w:rPr>
          <w:color w:val="auto"/>
          <w:lang w:val="hr-HR"/>
        </w:rPr>
        <w:t xml:space="preserve">obustava </w:t>
      </w:r>
      <w:r w:rsidR="001F44E5" w:rsidRPr="00653DCF">
        <w:rPr>
          <w:color w:val="auto"/>
          <w:lang w:val="hr-HR"/>
        </w:rPr>
        <w:t xml:space="preserve">traje </w:t>
      </w:r>
      <w:r w:rsidRPr="00653DCF">
        <w:rPr>
          <w:color w:val="auto"/>
          <w:lang w:val="hr-HR"/>
        </w:rPr>
        <w:t xml:space="preserve">sve dok Banka ne okonča </w:t>
      </w:r>
      <w:r w:rsidR="001F44E5" w:rsidRPr="00653DCF">
        <w:rPr>
          <w:color w:val="auto"/>
          <w:lang w:val="hr-HR"/>
        </w:rPr>
        <w:t xml:space="preserve">obustavu </w:t>
      </w:r>
      <w:r w:rsidRPr="00653DCF">
        <w:rPr>
          <w:color w:val="auto"/>
          <w:lang w:val="hr-HR"/>
        </w:rPr>
        <w:t xml:space="preserve">ili </w:t>
      </w:r>
      <w:r w:rsidR="007377A0" w:rsidRPr="00653DCF">
        <w:rPr>
          <w:color w:val="auto"/>
          <w:lang w:val="hr-HR"/>
        </w:rPr>
        <w:t xml:space="preserve">ne </w:t>
      </w:r>
      <w:r w:rsidR="001F44E5" w:rsidRPr="00653DCF">
        <w:rPr>
          <w:color w:val="auto"/>
          <w:lang w:val="hr-HR"/>
        </w:rPr>
        <w:t xml:space="preserve">otkaže obustavljeni </w:t>
      </w:r>
      <w:r w:rsidRPr="00653DCF">
        <w:rPr>
          <w:color w:val="auto"/>
          <w:lang w:val="hr-HR"/>
        </w:rPr>
        <w:t>iznos.</w:t>
      </w:r>
    </w:p>
    <w:p w14:paraId="234464E5" w14:textId="77777777" w:rsidR="007A2A6F" w:rsidRPr="00653DCF" w:rsidRDefault="00E87B0B" w:rsidP="00B73D6F">
      <w:pPr>
        <w:pStyle w:val="Heading3"/>
        <w:ind w:left="851"/>
        <w:rPr>
          <w:color w:val="auto"/>
          <w:lang w:val="hr-HR"/>
        </w:rPr>
      </w:pPr>
      <w:bookmarkStart w:id="191" w:name="_Toc475441123"/>
      <w:bookmarkStart w:id="192" w:name="_Toc498018618"/>
      <w:bookmarkStart w:id="193" w:name="_Toc508120477"/>
      <w:bookmarkStart w:id="194" w:name="_Toc126080669"/>
      <w:bookmarkStart w:id="195" w:name="_Toc126080801"/>
      <w:r w:rsidRPr="00653DCF">
        <w:rPr>
          <w:color w:val="auto"/>
          <w:lang w:val="hr-HR"/>
        </w:rPr>
        <w:t>Naknada za obustavu i otkazivanje tranše</w:t>
      </w:r>
      <w:bookmarkEnd w:id="191"/>
      <w:bookmarkEnd w:id="192"/>
      <w:bookmarkEnd w:id="193"/>
      <w:bookmarkEnd w:id="194"/>
      <w:bookmarkEnd w:id="195"/>
    </w:p>
    <w:p w14:paraId="11DF7D3C" w14:textId="62C5A42F" w:rsidR="007A2A6F" w:rsidRPr="00653DCF" w:rsidRDefault="00743B99" w:rsidP="00B73D6F">
      <w:pPr>
        <w:pStyle w:val="Heading4"/>
        <w:ind w:left="851"/>
        <w:rPr>
          <w:color w:val="auto"/>
          <w:lang w:val="hr-HR"/>
        </w:rPr>
      </w:pPr>
      <w:r w:rsidRPr="00653DCF">
        <w:rPr>
          <w:color w:val="auto"/>
          <w:lang w:val="hr-HR"/>
        </w:rPr>
        <w:t>OBUSTAVA</w:t>
      </w:r>
    </w:p>
    <w:p w14:paraId="028EAF86" w14:textId="13F88A3A" w:rsidR="00D32A75" w:rsidRPr="00653DCF" w:rsidRDefault="00E87B0B">
      <w:pPr>
        <w:rPr>
          <w:color w:val="auto"/>
          <w:lang w:val="hr-HR"/>
        </w:rPr>
      </w:pPr>
      <w:r w:rsidRPr="00653DCF">
        <w:rPr>
          <w:color w:val="auto"/>
          <w:lang w:val="hr-HR"/>
        </w:rPr>
        <w:t xml:space="preserve">Ako Banka obustavi </w:t>
      </w:r>
      <w:r w:rsidR="00D32A75" w:rsidRPr="00653DCF">
        <w:rPr>
          <w:color w:val="auto"/>
          <w:lang w:val="hr-HR"/>
        </w:rPr>
        <w:t>najavljenu</w:t>
      </w:r>
      <w:r w:rsidRPr="00653DCF">
        <w:rPr>
          <w:color w:val="auto"/>
          <w:lang w:val="hr-HR"/>
        </w:rPr>
        <w:t xml:space="preserve"> tranšu</w:t>
      </w:r>
      <w:r w:rsidR="00D32A75" w:rsidRPr="00653DCF">
        <w:rPr>
          <w:color w:val="auto"/>
          <w:lang w:val="hr-HR"/>
        </w:rPr>
        <w:t>, bilo nakon nastanka događaja prijevremene otplate uz naknadu</w:t>
      </w:r>
      <w:r w:rsidR="00B5262C" w:rsidRPr="00653DCF">
        <w:rPr>
          <w:color w:val="auto"/>
          <w:lang w:val="hr-HR"/>
        </w:rPr>
        <w:t xml:space="preserve"> ili događaja neispunjenja obveza</w:t>
      </w:r>
      <w:r w:rsidR="00BC2A1B" w:rsidRPr="00653DCF">
        <w:rPr>
          <w:color w:val="auto"/>
          <w:lang w:val="hr-HR"/>
        </w:rPr>
        <w:t xml:space="preserve"> ili nekog događaja ili okolnosti </w:t>
      </w:r>
      <w:r w:rsidR="00176077" w:rsidRPr="00653DCF">
        <w:rPr>
          <w:color w:val="auto"/>
          <w:lang w:val="hr-HR"/>
        </w:rPr>
        <w:t>koji bi</w:t>
      </w:r>
      <w:r w:rsidR="00BC2A1B" w:rsidRPr="00653DCF">
        <w:rPr>
          <w:color w:val="auto"/>
          <w:lang w:val="hr-HR"/>
        </w:rPr>
        <w:t xml:space="preserve"> (</w:t>
      </w:r>
      <w:r w:rsidR="003F11EB" w:rsidRPr="00653DCF">
        <w:rPr>
          <w:color w:val="auto"/>
          <w:lang w:val="hr-HR"/>
        </w:rPr>
        <w:t xml:space="preserve">s vremenom ili davanjem obavijesti ili donošenjem bilo kojeg </w:t>
      </w:r>
      <w:r w:rsidR="009B5A46" w:rsidRPr="00653DCF">
        <w:rPr>
          <w:color w:val="auto"/>
          <w:lang w:val="hr-HR"/>
        </w:rPr>
        <w:t>određivanja</w:t>
      </w:r>
      <w:r w:rsidR="003F11EB" w:rsidRPr="00653DCF">
        <w:rPr>
          <w:color w:val="auto"/>
          <w:lang w:val="hr-HR"/>
        </w:rPr>
        <w:t xml:space="preserve"> na temelju ovog Ugovora</w:t>
      </w:r>
      <w:r w:rsidR="00391DAE" w:rsidRPr="00653DCF">
        <w:rPr>
          <w:color w:val="auto"/>
          <w:lang w:val="hr-HR"/>
        </w:rPr>
        <w:t xml:space="preserve"> ili bilo koj</w:t>
      </w:r>
      <w:r w:rsidR="003F11EB" w:rsidRPr="00653DCF">
        <w:rPr>
          <w:color w:val="auto"/>
          <w:lang w:val="hr-HR"/>
        </w:rPr>
        <w:t>e</w:t>
      </w:r>
      <w:r w:rsidR="00391DAE" w:rsidRPr="00653DCF">
        <w:rPr>
          <w:color w:val="auto"/>
          <w:lang w:val="hr-HR"/>
        </w:rPr>
        <w:t xml:space="preserve"> kombinacij</w:t>
      </w:r>
      <w:r w:rsidR="003F11EB" w:rsidRPr="00653DCF">
        <w:rPr>
          <w:color w:val="auto"/>
          <w:lang w:val="hr-HR"/>
        </w:rPr>
        <w:t>e</w:t>
      </w:r>
      <w:r w:rsidR="00391DAE" w:rsidRPr="00653DCF">
        <w:rPr>
          <w:color w:val="auto"/>
          <w:lang w:val="hr-HR"/>
        </w:rPr>
        <w:t xml:space="preserve"> navedenoga) predstavljal</w:t>
      </w:r>
      <w:r w:rsidR="00C04025" w:rsidRPr="00653DCF">
        <w:rPr>
          <w:color w:val="auto"/>
          <w:lang w:val="hr-HR"/>
        </w:rPr>
        <w:t>i</w:t>
      </w:r>
      <w:r w:rsidR="00391DAE" w:rsidRPr="00653DCF">
        <w:rPr>
          <w:color w:val="auto"/>
          <w:lang w:val="hr-HR"/>
        </w:rPr>
        <w:t xml:space="preserve"> događaj prijevremene otplate uz naknadu ili događaj neispunjenja obveza</w:t>
      </w:r>
      <w:r w:rsidR="00B5262C" w:rsidRPr="00653DCF">
        <w:rPr>
          <w:color w:val="auto"/>
          <w:lang w:val="hr-HR"/>
        </w:rPr>
        <w:t xml:space="preserve">, Zajmoprimac je dužan platiti Banci naknadu za odgodu </w:t>
      </w:r>
      <w:r w:rsidR="00F41ECE" w:rsidRPr="00653DCF">
        <w:rPr>
          <w:color w:val="auto"/>
          <w:lang w:val="hr-HR"/>
        </w:rPr>
        <w:t>obračunatu</w:t>
      </w:r>
      <w:r w:rsidR="00B5262C" w:rsidRPr="00653DCF">
        <w:rPr>
          <w:color w:val="auto"/>
          <w:lang w:val="hr-HR"/>
        </w:rPr>
        <w:t xml:space="preserve"> na iznos </w:t>
      </w:r>
      <w:r w:rsidR="00411162" w:rsidRPr="00653DCF">
        <w:rPr>
          <w:color w:val="auto"/>
          <w:lang w:val="hr-HR"/>
        </w:rPr>
        <w:t>takve najavljene tranše</w:t>
      </w:r>
      <w:r w:rsidR="00B5262C" w:rsidRPr="00653DCF">
        <w:rPr>
          <w:color w:val="auto"/>
          <w:lang w:val="hr-HR"/>
        </w:rPr>
        <w:t>.</w:t>
      </w:r>
    </w:p>
    <w:p w14:paraId="777644C7" w14:textId="77777777" w:rsidR="007A2A6F" w:rsidRPr="00653DCF" w:rsidRDefault="00E87B0B" w:rsidP="00B73D6F">
      <w:pPr>
        <w:pStyle w:val="Heading4"/>
        <w:ind w:left="851"/>
        <w:rPr>
          <w:color w:val="auto"/>
          <w:lang w:val="hr-HR"/>
        </w:rPr>
      </w:pPr>
      <w:bookmarkStart w:id="196" w:name="_Ref486412104"/>
      <w:r w:rsidRPr="00653DCF">
        <w:rPr>
          <w:color w:val="auto"/>
          <w:lang w:val="hr-HR"/>
        </w:rPr>
        <w:t>Otkazivanje</w:t>
      </w:r>
      <w:bookmarkStart w:id="197" w:name="_Ref430856115"/>
      <w:bookmarkEnd w:id="196"/>
    </w:p>
    <w:p w14:paraId="0F3971E5" w14:textId="6E5F21B0" w:rsidR="007A2A6F" w:rsidRPr="00653DCF" w:rsidRDefault="00E87B0B">
      <w:pPr>
        <w:pStyle w:val="NoIndentEIB"/>
        <w:numPr>
          <w:ilvl w:val="0"/>
          <w:numId w:val="18"/>
        </w:numPr>
        <w:rPr>
          <w:color w:val="auto"/>
          <w:lang w:val="hr-HR"/>
        </w:rPr>
      </w:pPr>
      <w:bookmarkStart w:id="198" w:name="_Ref511815887"/>
      <w:r w:rsidRPr="00653DCF">
        <w:rPr>
          <w:color w:val="auto"/>
          <w:lang w:val="hr-HR"/>
        </w:rPr>
        <w:t xml:space="preserve">Ako </w:t>
      </w:r>
      <w:r w:rsidR="003F11EB" w:rsidRPr="00653DCF">
        <w:rPr>
          <w:color w:val="auto"/>
          <w:lang w:val="hr-HR"/>
        </w:rPr>
        <w:t>najavljen</w:t>
      </w:r>
      <w:r w:rsidR="009110B9" w:rsidRPr="00653DCF">
        <w:rPr>
          <w:color w:val="auto"/>
          <w:lang w:val="hr-HR"/>
        </w:rPr>
        <w:t>u</w:t>
      </w:r>
      <w:r w:rsidR="003F11EB" w:rsidRPr="00653DCF">
        <w:rPr>
          <w:color w:val="auto"/>
          <w:lang w:val="hr-HR"/>
        </w:rPr>
        <w:t xml:space="preserve"> </w:t>
      </w:r>
      <w:r w:rsidRPr="00653DCF">
        <w:rPr>
          <w:color w:val="auto"/>
          <w:lang w:val="hr-HR"/>
        </w:rPr>
        <w:t>tranš</w:t>
      </w:r>
      <w:r w:rsidR="009110B9" w:rsidRPr="00653DCF">
        <w:rPr>
          <w:color w:val="auto"/>
          <w:lang w:val="hr-HR"/>
        </w:rPr>
        <w:t>u</w:t>
      </w:r>
      <w:r w:rsidRPr="00653DCF">
        <w:rPr>
          <w:color w:val="auto"/>
          <w:lang w:val="hr-HR"/>
        </w:rPr>
        <w:t xml:space="preserve"> </w:t>
      </w:r>
      <w:r w:rsidR="009110B9" w:rsidRPr="00653DCF">
        <w:rPr>
          <w:color w:val="auto"/>
          <w:lang w:val="hr-HR"/>
        </w:rPr>
        <w:t xml:space="preserve">koja se otkazuje </w:t>
      </w:r>
      <w:r w:rsidR="00123416" w:rsidRPr="00653DCF">
        <w:rPr>
          <w:color w:val="auto"/>
          <w:lang w:val="hr-HR"/>
        </w:rPr>
        <w:t>(„</w:t>
      </w:r>
      <w:r w:rsidR="00123416" w:rsidRPr="00653DCF">
        <w:rPr>
          <w:b/>
          <w:color w:val="auto"/>
          <w:lang w:val="hr-HR"/>
        </w:rPr>
        <w:t>otkazana tranša</w:t>
      </w:r>
      <w:r w:rsidR="00123416" w:rsidRPr="00653DCF">
        <w:rPr>
          <w:color w:val="auto"/>
          <w:lang w:val="hr-HR"/>
        </w:rPr>
        <w:t>”)</w:t>
      </w:r>
      <w:r w:rsidR="00DF373C" w:rsidRPr="00653DCF">
        <w:rPr>
          <w:color w:val="auto"/>
          <w:lang w:val="hr-HR"/>
        </w:rPr>
        <w:t>, a</w:t>
      </w:r>
      <w:r w:rsidR="00123416" w:rsidRPr="00653DCF">
        <w:rPr>
          <w:b/>
          <w:bCs/>
          <w:color w:val="auto"/>
          <w:lang w:val="hr-HR"/>
        </w:rPr>
        <w:t xml:space="preserve"> </w:t>
      </w:r>
      <w:r w:rsidRPr="00653DCF">
        <w:rPr>
          <w:color w:val="auto"/>
          <w:lang w:val="hr-HR"/>
        </w:rPr>
        <w:t xml:space="preserve">koja je tranša s fiksnom </w:t>
      </w:r>
      <w:r w:rsidR="00320F2C" w:rsidRPr="00653DCF">
        <w:rPr>
          <w:color w:val="auto"/>
          <w:lang w:val="hr-HR"/>
        </w:rPr>
        <w:t>kamatnom stopom</w:t>
      </w:r>
      <w:r w:rsidR="00DF373C" w:rsidRPr="00653DCF">
        <w:rPr>
          <w:color w:val="auto"/>
          <w:lang w:val="hr-HR"/>
        </w:rPr>
        <w:t>, otkazuje</w:t>
      </w:r>
      <w:r w:rsidRPr="00653DCF">
        <w:rPr>
          <w:color w:val="auto"/>
          <w:lang w:val="hr-HR"/>
        </w:rPr>
        <w:t>:</w:t>
      </w:r>
      <w:bookmarkEnd w:id="198"/>
    </w:p>
    <w:p w14:paraId="29D30B60" w14:textId="579C7303" w:rsidR="007A2A6F" w:rsidRPr="00653DCF" w:rsidRDefault="00320F2C">
      <w:pPr>
        <w:pStyle w:val="NoIndentEIB"/>
        <w:numPr>
          <w:ilvl w:val="0"/>
          <w:numId w:val="48"/>
        </w:numPr>
        <w:rPr>
          <w:color w:val="auto"/>
          <w:lang w:val="hr-HR"/>
        </w:rPr>
      </w:pPr>
      <w:r w:rsidRPr="00653DCF">
        <w:rPr>
          <w:color w:val="auto"/>
          <w:lang w:val="hr-HR"/>
        </w:rPr>
        <w:t>Zajmoprimac,</w:t>
      </w:r>
      <w:r w:rsidR="00E87B0B" w:rsidRPr="00653DCF">
        <w:rPr>
          <w:color w:val="auto"/>
          <w:lang w:val="hr-HR"/>
        </w:rPr>
        <w:t xml:space="preserve"> u skladu s člankom</w:t>
      </w:r>
      <w:r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_Ref426952067 \r \h  \* MERGEFORMAT </w:instrText>
      </w:r>
      <w:r w:rsidR="00E87B0B" w:rsidRPr="00653DCF">
        <w:rPr>
          <w:color w:val="auto"/>
          <w:lang w:val="hr-HR"/>
        </w:rPr>
      </w:r>
      <w:r w:rsidR="00E87B0B" w:rsidRPr="00653DCF">
        <w:rPr>
          <w:color w:val="auto"/>
          <w:lang w:val="hr-HR"/>
        </w:rPr>
        <w:fldChar w:fldCharType="separate"/>
      </w:r>
      <w:r w:rsidR="00E5391B">
        <w:rPr>
          <w:color w:val="auto"/>
          <w:lang w:val="hr-HR"/>
        </w:rPr>
        <w:t>1.6.A</w:t>
      </w:r>
      <w:r w:rsidR="00E87B0B" w:rsidRPr="00653DCF">
        <w:rPr>
          <w:color w:val="auto"/>
          <w:lang w:val="hr-HR"/>
        </w:rPr>
        <w:fldChar w:fldCharType="end"/>
      </w:r>
      <w:r w:rsidR="00E87B0B" w:rsidRPr="00653DCF">
        <w:rPr>
          <w:color w:val="auto"/>
          <w:lang w:val="hr-HR"/>
        </w:rPr>
        <w:t xml:space="preserve">; </w:t>
      </w:r>
      <w:bookmarkEnd w:id="197"/>
      <w:r w:rsidR="00E87B0B" w:rsidRPr="00653DCF">
        <w:rPr>
          <w:color w:val="auto"/>
          <w:lang w:val="hr-HR"/>
        </w:rPr>
        <w:t>ili</w:t>
      </w:r>
    </w:p>
    <w:p w14:paraId="206829A9" w14:textId="24A87251" w:rsidR="007A2A6F" w:rsidRPr="00653DCF" w:rsidRDefault="00E87B0B" w:rsidP="00B604A4">
      <w:pPr>
        <w:pStyle w:val="NoIndentEIB"/>
        <w:numPr>
          <w:ilvl w:val="0"/>
          <w:numId w:val="48"/>
        </w:numPr>
        <w:rPr>
          <w:color w:val="auto"/>
          <w:lang w:val="hr-HR"/>
        </w:rPr>
      </w:pPr>
      <w:r w:rsidRPr="00653DCF">
        <w:rPr>
          <w:color w:val="auto"/>
          <w:lang w:val="hr-HR"/>
        </w:rPr>
        <w:t>Bank</w:t>
      </w:r>
      <w:r w:rsidR="00320F2C" w:rsidRPr="00653DCF">
        <w:rPr>
          <w:color w:val="auto"/>
          <w:lang w:val="hr-HR"/>
        </w:rPr>
        <w:t xml:space="preserve">a, nakon događaja prijevremene otplate uz naknadu </w:t>
      </w:r>
      <w:r w:rsidR="00176077" w:rsidRPr="00653DCF">
        <w:rPr>
          <w:color w:val="auto"/>
          <w:lang w:val="hr-HR"/>
        </w:rPr>
        <w:t xml:space="preserve">ili događaja ili okolnosti koji bi </w:t>
      </w:r>
      <w:r w:rsidR="00C04025" w:rsidRPr="00653DCF">
        <w:rPr>
          <w:color w:val="auto"/>
          <w:lang w:val="hr-HR"/>
        </w:rPr>
        <w:t xml:space="preserve">(s vremenom ili davanjem obavijesti ili donošenjem bilo kojeg </w:t>
      </w:r>
      <w:r w:rsidR="009B5A46" w:rsidRPr="00653DCF">
        <w:rPr>
          <w:color w:val="auto"/>
          <w:lang w:val="hr-HR"/>
        </w:rPr>
        <w:t>određivanja</w:t>
      </w:r>
      <w:r w:rsidR="00C04025" w:rsidRPr="00653DCF">
        <w:rPr>
          <w:color w:val="auto"/>
          <w:lang w:val="hr-HR"/>
        </w:rPr>
        <w:t xml:space="preserve"> na temelju ovog Ugovora ili bilo koje kombinacije navedenoga)</w:t>
      </w:r>
      <w:r w:rsidR="00B604A4" w:rsidRPr="00653DCF">
        <w:rPr>
          <w:color w:val="auto"/>
          <w:lang w:val="hr-HR"/>
        </w:rPr>
        <w:t xml:space="preserve"> predstavljali </w:t>
      </w:r>
      <w:r w:rsidR="00E45D49" w:rsidRPr="00653DCF">
        <w:rPr>
          <w:color w:val="auto"/>
          <w:lang w:val="hr-HR"/>
        </w:rPr>
        <w:t>događaj</w:t>
      </w:r>
      <w:r w:rsidR="00B604A4" w:rsidRPr="00653DCF">
        <w:rPr>
          <w:color w:val="auto"/>
          <w:lang w:val="hr-HR"/>
        </w:rPr>
        <w:t xml:space="preserve"> prijevremene otplate uz naknadu ili na temelju članka </w:t>
      </w:r>
      <w:r w:rsidRPr="00653DCF">
        <w:rPr>
          <w:color w:val="auto"/>
          <w:lang w:val="hr-HR"/>
        </w:rPr>
        <w:fldChar w:fldCharType="begin"/>
      </w:r>
      <w:r w:rsidRPr="00653DCF">
        <w:rPr>
          <w:color w:val="auto"/>
          <w:lang w:val="hr-HR"/>
        </w:rPr>
        <w:instrText xml:space="preserve"> REF _Ref426952204 \r \h  \* MERGEFORMAT </w:instrText>
      </w:r>
      <w:r w:rsidRPr="00653DCF">
        <w:rPr>
          <w:color w:val="auto"/>
          <w:lang w:val="hr-HR"/>
        </w:rPr>
      </w:r>
      <w:r w:rsidRPr="00653DCF">
        <w:rPr>
          <w:color w:val="auto"/>
          <w:lang w:val="hr-HR"/>
        </w:rPr>
        <w:fldChar w:fldCharType="separate"/>
      </w:r>
      <w:r w:rsidR="00E5391B">
        <w:rPr>
          <w:color w:val="auto"/>
          <w:lang w:val="hr-HR"/>
        </w:rPr>
        <w:t>1.5.B</w:t>
      </w:r>
      <w:r w:rsidRPr="00653DCF">
        <w:rPr>
          <w:color w:val="auto"/>
          <w:lang w:val="hr-HR"/>
        </w:rPr>
        <w:fldChar w:fldCharType="end"/>
      </w:r>
      <w:r w:rsidRPr="00653DCF">
        <w:rPr>
          <w:color w:val="auto"/>
          <w:lang w:val="hr-HR"/>
        </w:rPr>
        <w:t>,</w:t>
      </w:r>
    </w:p>
    <w:p w14:paraId="24B7D48A" w14:textId="63E25A18" w:rsidR="007A2A6F" w:rsidRPr="00653DCF" w:rsidRDefault="00B604A4">
      <w:pPr>
        <w:ind w:left="1418"/>
        <w:rPr>
          <w:color w:val="auto"/>
          <w:lang w:val="hr-HR"/>
        </w:rPr>
      </w:pPr>
      <w:r w:rsidRPr="00653DCF">
        <w:rPr>
          <w:color w:val="auto"/>
          <w:lang w:val="hr-HR"/>
        </w:rPr>
        <w:t>Z</w:t>
      </w:r>
      <w:r w:rsidR="00E87B0B" w:rsidRPr="00653DCF">
        <w:rPr>
          <w:color w:val="auto"/>
          <w:lang w:val="hr-HR"/>
        </w:rPr>
        <w:t xml:space="preserve">ajmoprimac </w:t>
      </w:r>
      <w:r w:rsidR="000E7E84" w:rsidRPr="00653DCF">
        <w:rPr>
          <w:color w:val="auto"/>
          <w:lang w:val="hr-HR"/>
        </w:rPr>
        <w:t>je dužan Banci platiti naknadu za takvu otkazanu tranšu</w:t>
      </w:r>
      <w:r w:rsidR="00E87B0B" w:rsidRPr="00653DCF">
        <w:rPr>
          <w:color w:val="auto"/>
          <w:lang w:val="hr-HR"/>
        </w:rPr>
        <w:t xml:space="preserve">. </w:t>
      </w:r>
    </w:p>
    <w:p w14:paraId="31D38B47" w14:textId="7098D6F4" w:rsidR="007A2A6F" w:rsidRPr="00653DCF" w:rsidRDefault="00E87B0B">
      <w:pPr>
        <w:pStyle w:val="NoIndentEIB"/>
        <w:numPr>
          <w:ilvl w:val="0"/>
          <w:numId w:val="18"/>
        </w:numPr>
        <w:rPr>
          <w:color w:val="auto"/>
          <w:lang w:val="hr-HR"/>
        </w:rPr>
      </w:pPr>
      <w:r w:rsidRPr="00653DCF">
        <w:rPr>
          <w:color w:val="auto"/>
          <w:lang w:val="hr-HR"/>
        </w:rPr>
        <w:t xml:space="preserve">Takva </w:t>
      </w:r>
      <w:r w:rsidR="000E7E84" w:rsidRPr="00653DCF">
        <w:rPr>
          <w:color w:val="auto"/>
          <w:lang w:val="hr-HR"/>
        </w:rPr>
        <w:t>naknada će biti</w:t>
      </w:r>
      <w:r w:rsidRPr="00653DCF">
        <w:rPr>
          <w:color w:val="auto"/>
          <w:lang w:val="hr-HR"/>
        </w:rPr>
        <w:t>:</w:t>
      </w:r>
    </w:p>
    <w:p w14:paraId="6EB3752E" w14:textId="57FDCAD9" w:rsidR="007A2A6F" w:rsidRPr="00653DCF" w:rsidRDefault="00B632E1" w:rsidP="00DA3B64">
      <w:pPr>
        <w:pStyle w:val="NoIndentEIB"/>
        <w:numPr>
          <w:ilvl w:val="1"/>
          <w:numId w:val="18"/>
        </w:numPr>
        <w:rPr>
          <w:color w:val="auto"/>
          <w:lang w:val="hr-HR"/>
        </w:rPr>
      </w:pPr>
      <w:r w:rsidRPr="00653DCF">
        <w:rPr>
          <w:color w:val="auto"/>
          <w:lang w:val="hr-HR"/>
        </w:rPr>
        <w:t>o</w:t>
      </w:r>
      <w:r w:rsidR="000E7E84" w:rsidRPr="00653DCF">
        <w:rPr>
          <w:color w:val="auto"/>
          <w:lang w:val="hr-HR"/>
        </w:rPr>
        <w:t xml:space="preserve">bračunata </w:t>
      </w:r>
      <w:r w:rsidR="00311B4E" w:rsidRPr="00653DCF">
        <w:rPr>
          <w:color w:val="auto"/>
          <w:lang w:val="hr-HR"/>
        </w:rPr>
        <w:t xml:space="preserve">uz </w:t>
      </w:r>
      <w:r w:rsidR="00E45D49" w:rsidRPr="00653DCF">
        <w:rPr>
          <w:color w:val="auto"/>
          <w:lang w:val="hr-HR"/>
        </w:rPr>
        <w:t>pretpostavku</w:t>
      </w:r>
      <w:r w:rsidR="00311B4E" w:rsidRPr="00653DCF">
        <w:rPr>
          <w:color w:val="auto"/>
          <w:lang w:val="hr-HR"/>
        </w:rPr>
        <w:t xml:space="preserve"> da je otkazana tranša bila isplaćena ili otplaćena na planirani datum </w:t>
      </w:r>
      <w:r w:rsidR="00E45D49" w:rsidRPr="00653DCF">
        <w:rPr>
          <w:color w:val="auto"/>
          <w:lang w:val="hr-HR"/>
        </w:rPr>
        <w:t>isplate</w:t>
      </w:r>
      <w:r w:rsidR="00311B4E" w:rsidRPr="00653DCF">
        <w:rPr>
          <w:color w:val="auto"/>
          <w:lang w:val="hr-HR"/>
        </w:rPr>
        <w:t xml:space="preserve"> ili, </w:t>
      </w:r>
      <w:r w:rsidR="00246A6B" w:rsidRPr="00653DCF">
        <w:rPr>
          <w:color w:val="auto"/>
          <w:lang w:val="hr-HR"/>
        </w:rPr>
        <w:t xml:space="preserve">ako je isplata tranše trenutačno odgođena ili obustavljena, na datum obavijesti o otkazivanju; </w:t>
      </w:r>
      <w:r w:rsidR="00E87B0B" w:rsidRPr="00653DCF">
        <w:rPr>
          <w:color w:val="auto"/>
          <w:lang w:val="hr-HR"/>
        </w:rPr>
        <w:t>i</w:t>
      </w:r>
    </w:p>
    <w:p w14:paraId="2447E462" w14:textId="4999D70D" w:rsidR="007A2A6F" w:rsidRPr="00653DCF" w:rsidRDefault="00E87B0B">
      <w:pPr>
        <w:pStyle w:val="NoIndentEIB"/>
        <w:numPr>
          <w:ilvl w:val="1"/>
          <w:numId w:val="18"/>
        </w:numPr>
        <w:rPr>
          <w:color w:val="auto"/>
          <w:lang w:val="hr-HR"/>
        </w:rPr>
      </w:pPr>
      <w:r w:rsidRPr="00653DCF">
        <w:rPr>
          <w:color w:val="auto"/>
          <w:lang w:val="hr-HR"/>
        </w:rPr>
        <w:t>u iznosu koji je Banka priopćila Zajmoprimcu kao sadašnju vrijednost (</w:t>
      </w:r>
      <w:r w:rsidR="0079137C" w:rsidRPr="00653DCF">
        <w:rPr>
          <w:color w:val="auto"/>
          <w:lang w:val="hr-HR"/>
        </w:rPr>
        <w:t>obračunatu na datum otkazivanja</w:t>
      </w:r>
      <w:r w:rsidRPr="00653DCF">
        <w:rPr>
          <w:color w:val="auto"/>
          <w:lang w:val="hr-HR"/>
        </w:rPr>
        <w:t>)</w:t>
      </w:r>
      <w:r w:rsidR="003B3744" w:rsidRPr="00653DCF">
        <w:rPr>
          <w:color w:val="auto"/>
          <w:lang w:val="hr-HR"/>
        </w:rPr>
        <w:t xml:space="preserve"> razlike, ako takva postoji, između</w:t>
      </w:r>
      <w:r w:rsidRPr="00653DCF">
        <w:rPr>
          <w:color w:val="auto"/>
          <w:lang w:val="hr-HR"/>
        </w:rPr>
        <w:t>:</w:t>
      </w:r>
    </w:p>
    <w:p w14:paraId="0CDEACC9" w14:textId="57CEB3C9" w:rsidR="003B3744" w:rsidRPr="00653DCF" w:rsidRDefault="00E87B0B">
      <w:pPr>
        <w:pStyle w:val="NoIndentEIB"/>
        <w:numPr>
          <w:ilvl w:val="2"/>
          <w:numId w:val="18"/>
        </w:numPr>
        <w:rPr>
          <w:color w:val="auto"/>
          <w:lang w:val="hr-HR"/>
        </w:rPr>
      </w:pPr>
      <w:r w:rsidRPr="00653DCF">
        <w:rPr>
          <w:color w:val="auto"/>
          <w:lang w:val="hr-HR"/>
        </w:rPr>
        <w:t>kamat</w:t>
      </w:r>
      <w:r w:rsidR="003B610A" w:rsidRPr="00653DCF">
        <w:rPr>
          <w:color w:val="auto"/>
          <w:lang w:val="hr-HR"/>
        </w:rPr>
        <w:t xml:space="preserve">e </w:t>
      </w:r>
      <w:r w:rsidR="003B3744" w:rsidRPr="00653DCF">
        <w:rPr>
          <w:color w:val="auto"/>
          <w:lang w:val="hr-HR"/>
        </w:rPr>
        <w:t xml:space="preserve">koja bi se od tog trenutka obračunala </w:t>
      </w:r>
      <w:r w:rsidR="00C80872" w:rsidRPr="00653DCF">
        <w:rPr>
          <w:color w:val="auto"/>
          <w:lang w:val="hr-HR"/>
        </w:rPr>
        <w:t xml:space="preserve">za otkazanu tranšu </w:t>
      </w:r>
      <w:r w:rsidR="00504749" w:rsidRPr="00653DCF">
        <w:rPr>
          <w:color w:val="auto"/>
          <w:lang w:val="hr-HR"/>
        </w:rPr>
        <w:t xml:space="preserve">tijekom razdoblja od datuma </w:t>
      </w:r>
      <w:r w:rsidR="00B50345" w:rsidRPr="00653DCF">
        <w:rPr>
          <w:color w:val="auto"/>
          <w:lang w:val="hr-HR"/>
        </w:rPr>
        <w:t xml:space="preserve">otkazivanja na temelju ovog </w:t>
      </w:r>
      <w:r w:rsidR="00504749" w:rsidRPr="00653DCF">
        <w:rPr>
          <w:color w:val="auto"/>
          <w:lang w:val="hr-HR"/>
        </w:rPr>
        <w:t>člank</w:t>
      </w:r>
      <w:r w:rsidR="00B50345" w:rsidRPr="00653DCF">
        <w:rPr>
          <w:color w:val="auto"/>
          <w:lang w:val="hr-HR"/>
        </w:rPr>
        <w:t>a</w:t>
      </w:r>
      <w:r w:rsidR="00504749" w:rsidRPr="00653DCF">
        <w:rPr>
          <w:color w:val="auto"/>
          <w:lang w:val="hr-HR"/>
        </w:rPr>
        <w:t xml:space="preserve"> </w:t>
      </w:r>
      <w:r w:rsidR="00504749" w:rsidRPr="00653DCF">
        <w:rPr>
          <w:color w:val="auto"/>
          <w:lang w:val="hr-HR"/>
        </w:rPr>
        <w:fldChar w:fldCharType="begin"/>
      </w:r>
      <w:r w:rsidR="00504749" w:rsidRPr="00653DCF">
        <w:rPr>
          <w:color w:val="auto"/>
          <w:lang w:val="hr-HR"/>
        </w:rPr>
        <w:instrText xml:space="preserve"> REF _Ref486412104 \r \h </w:instrText>
      </w:r>
      <w:r w:rsidR="00A641E1" w:rsidRPr="00653DCF">
        <w:rPr>
          <w:color w:val="auto"/>
          <w:lang w:val="hr-HR"/>
        </w:rPr>
        <w:instrText xml:space="preserve"> \* MERGEFORMAT </w:instrText>
      </w:r>
      <w:r w:rsidR="00504749" w:rsidRPr="00653DCF">
        <w:rPr>
          <w:color w:val="auto"/>
          <w:lang w:val="hr-HR"/>
        </w:rPr>
      </w:r>
      <w:r w:rsidR="00504749" w:rsidRPr="00653DCF">
        <w:rPr>
          <w:color w:val="auto"/>
          <w:lang w:val="hr-HR"/>
        </w:rPr>
        <w:fldChar w:fldCharType="separate"/>
      </w:r>
      <w:r w:rsidR="00E5391B">
        <w:rPr>
          <w:color w:val="auto"/>
          <w:lang w:val="hr-HR"/>
        </w:rPr>
        <w:t>1.6.C(2)</w:t>
      </w:r>
      <w:r w:rsidR="00504749" w:rsidRPr="00653DCF">
        <w:rPr>
          <w:color w:val="auto"/>
          <w:lang w:val="hr-HR"/>
        </w:rPr>
        <w:fldChar w:fldCharType="end"/>
      </w:r>
      <w:r w:rsidR="00504749" w:rsidRPr="00653DCF">
        <w:rPr>
          <w:color w:val="auto"/>
          <w:lang w:val="hr-HR"/>
        </w:rPr>
        <w:t xml:space="preserve">., do datuma revizije/konverzije kamatne stope, ako </w:t>
      </w:r>
      <w:r w:rsidR="006D52FC" w:rsidRPr="00653DCF">
        <w:rPr>
          <w:color w:val="auto"/>
          <w:lang w:val="hr-HR"/>
        </w:rPr>
        <w:t xml:space="preserve">takav </w:t>
      </w:r>
      <w:r w:rsidR="00504749" w:rsidRPr="00653DCF">
        <w:rPr>
          <w:color w:val="auto"/>
          <w:lang w:val="hr-HR"/>
        </w:rPr>
        <w:t>postoji</w:t>
      </w:r>
      <w:r w:rsidR="00C66FD6" w:rsidRPr="00653DCF">
        <w:rPr>
          <w:color w:val="auto"/>
          <w:lang w:val="hr-HR"/>
        </w:rPr>
        <w:t>,</w:t>
      </w:r>
      <w:r w:rsidR="00504749" w:rsidRPr="00653DCF">
        <w:rPr>
          <w:color w:val="auto"/>
          <w:lang w:val="hr-HR"/>
        </w:rPr>
        <w:t xml:space="preserve"> ili </w:t>
      </w:r>
      <w:r w:rsidR="00C66FD6" w:rsidRPr="00653DCF">
        <w:rPr>
          <w:color w:val="auto"/>
          <w:lang w:val="hr-HR"/>
        </w:rPr>
        <w:t xml:space="preserve">datuma dospijeća, da nije došlo do </w:t>
      </w:r>
      <w:r w:rsidR="006D52FC" w:rsidRPr="00653DCF">
        <w:rPr>
          <w:color w:val="auto"/>
          <w:lang w:val="hr-HR"/>
        </w:rPr>
        <w:t>otkazivanja</w:t>
      </w:r>
      <w:r w:rsidR="00C52C1F" w:rsidRPr="00653DCF">
        <w:rPr>
          <w:color w:val="auto"/>
          <w:lang w:val="hr-HR"/>
        </w:rPr>
        <w:t>;</w:t>
      </w:r>
      <w:r w:rsidR="00C66FD6" w:rsidRPr="00653DCF">
        <w:rPr>
          <w:color w:val="auto"/>
          <w:lang w:val="hr-HR"/>
        </w:rPr>
        <w:t xml:space="preserve"> i </w:t>
      </w:r>
    </w:p>
    <w:p w14:paraId="33382C62" w14:textId="073257F2" w:rsidR="007A2A6F" w:rsidRPr="00653DCF" w:rsidRDefault="00E87B0B">
      <w:pPr>
        <w:pStyle w:val="NoIndentEIB"/>
        <w:numPr>
          <w:ilvl w:val="2"/>
          <w:numId w:val="18"/>
        </w:numPr>
        <w:rPr>
          <w:color w:val="auto"/>
          <w:lang w:val="hr-HR"/>
        </w:rPr>
      </w:pPr>
      <w:r w:rsidRPr="00653DCF">
        <w:rPr>
          <w:color w:val="auto"/>
          <w:lang w:val="hr-HR"/>
        </w:rPr>
        <w:t>kamate koje bi se tako obračunal</w:t>
      </w:r>
      <w:r w:rsidR="00C66FD6" w:rsidRPr="00653DCF">
        <w:rPr>
          <w:color w:val="auto"/>
          <w:lang w:val="hr-HR"/>
        </w:rPr>
        <w:t xml:space="preserve">a tijekom tog razdoblja da se </w:t>
      </w:r>
      <w:r w:rsidR="00E81BCD" w:rsidRPr="00653DCF">
        <w:rPr>
          <w:color w:val="auto"/>
          <w:lang w:val="hr-HR"/>
        </w:rPr>
        <w:t>obračunava</w:t>
      </w:r>
      <w:r w:rsidR="00C66FD6" w:rsidRPr="00653DCF">
        <w:rPr>
          <w:color w:val="auto"/>
          <w:lang w:val="hr-HR"/>
        </w:rPr>
        <w:t xml:space="preserve"> po stopi </w:t>
      </w:r>
      <w:r w:rsidR="00445ECD" w:rsidRPr="00653DCF">
        <w:rPr>
          <w:color w:val="auto"/>
          <w:lang w:val="hr-HR"/>
        </w:rPr>
        <w:t xml:space="preserve">ponovnog angažmana EIB-a, umanjeno za </w:t>
      </w:r>
      <w:r w:rsidR="00246F0D" w:rsidRPr="00653DCF">
        <w:rPr>
          <w:color w:val="auto"/>
          <w:lang w:val="hr-HR"/>
        </w:rPr>
        <w:t>0,19</w:t>
      </w:r>
      <w:r w:rsidRPr="00653DCF">
        <w:rPr>
          <w:color w:val="auto"/>
          <w:lang w:val="hr-HR"/>
        </w:rPr>
        <w:t>% (</w:t>
      </w:r>
      <w:r w:rsidR="00445ECD" w:rsidRPr="00653DCF">
        <w:rPr>
          <w:color w:val="auto"/>
          <w:lang w:val="hr-HR"/>
        </w:rPr>
        <w:t xml:space="preserve">devetnaest </w:t>
      </w:r>
      <w:r w:rsidRPr="00653DCF">
        <w:rPr>
          <w:color w:val="auto"/>
          <w:lang w:val="hr-HR"/>
        </w:rPr>
        <w:t>baznih bodova).</w:t>
      </w:r>
    </w:p>
    <w:p w14:paraId="72B98A09" w14:textId="6005EC9D" w:rsidR="007A2A6F" w:rsidRPr="00653DCF" w:rsidRDefault="00E87B0B">
      <w:pPr>
        <w:pStyle w:val="NoIndentEIB"/>
        <w:ind w:left="1423"/>
        <w:rPr>
          <w:color w:val="auto"/>
          <w:lang w:val="hr-HR"/>
        </w:rPr>
      </w:pPr>
      <w:r w:rsidRPr="00653DCF">
        <w:rPr>
          <w:color w:val="auto"/>
          <w:lang w:val="hr-HR"/>
        </w:rPr>
        <w:lastRenderedPageBreak/>
        <w:t xml:space="preserve">Navedena sadašnja vrijednost </w:t>
      </w:r>
      <w:r w:rsidR="008D2C8C" w:rsidRPr="00653DCF">
        <w:rPr>
          <w:color w:val="auto"/>
          <w:lang w:val="hr-HR"/>
        </w:rPr>
        <w:t>obračunava</w:t>
      </w:r>
      <w:r w:rsidRPr="00653DCF">
        <w:rPr>
          <w:color w:val="auto"/>
          <w:lang w:val="hr-HR"/>
        </w:rPr>
        <w:t xml:space="preserve"> se po diskontnoj stopi koja je jednaka stopi </w:t>
      </w:r>
      <w:r w:rsidR="00445ECD" w:rsidRPr="00653DCF">
        <w:rPr>
          <w:color w:val="auto"/>
          <w:lang w:val="hr-HR"/>
        </w:rPr>
        <w:t xml:space="preserve">ponovnog angažmana EIB-a </w:t>
      </w:r>
      <w:r w:rsidR="003F17FF" w:rsidRPr="00653DCF">
        <w:rPr>
          <w:color w:val="auto"/>
          <w:lang w:val="hr-HR"/>
        </w:rPr>
        <w:t xml:space="preserve">koja se </w:t>
      </w:r>
      <w:r w:rsidRPr="00653DCF">
        <w:rPr>
          <w:color w:val="auto"/>
          <w:lang w:val="hr-HR"/>
        </w:rPr>
        <w:t xml:space="preserve">primjenjuje na svaki relevantni datum plaćanja </w:t>
      </w:r>
      <w:r w:rsidR="00453F9F" w:rsidRPr="00653DCF">
        <w:rPr>
          <w:color w:val="auto"/>
          <w:lang w:val="hr-HR"/>
        </w:rPr>
        <w:t xml:space="preserve">te </w:t>
      </w:r>
      <w:r w:rsidRPr="00653DCF">
        <w:rPr>
          <w:color w:val="auto"/>
          <w:lang w:val="hr-HR"/>
        </w:rPr>
        <w:t xml:space="preserve">tranše. </w:t>
      </w:r>
      <w:bookmarkStart w:id="199" w:name="_Ref511815888"/>
    </w:p>
    <w:p w14:paraId="0C00DAE9" w14:textId="2EF462BB" w:rsidR="007A2A6F" w:rsidRPr="00653DCF" w:rsidRDefault="00E87B0B">
      <w:pPr>
        <w:pStyle w:val="NoIndentEIB"/>
        <w:numPr>
          <w:ilvl w:val="0"/>
          <w:numId w:val="18"/>
        </w:numPr>
        <w:rPr>
          <w:color w:val="auto"/>
          <w:lang w:val="hr-HR"/>
        </w:rPr>
      </w:pPr>
      <w:r w:rsidRPr="00653DCF">
        <w:rPr>
          <w:color w:val="auto"/>
          <w:lang w:val="hr-HR"/>
        </w:rPr>
        <w:t xml:space="preserve">Ako Banka otkaže bilo koju </w:t>
      </w:r>
      <w:r w:rsidR="003F17FF" w:rsidRPr="00653DCF">
        <w:rPr>
          <w:color w:val="auto"/>
          <w:lang w:val="hr-HR"/>
        </w:rPr>
        <w:t xml:space="preserve">najavljenu </w:t>
      </w:r>
      <w:r w:rsidRPr="00653DCF">
        <w:rPr>
          <w:color w:val="auto"/>
          <w:lang w:val="hr-HR"/>
        </w:rPr>
        <w:t xml:space="preserve">tranšu nakon nastanka događaja </w:t>
      </w:r>
      <w:r w:rsidR="003F17FF" w:rsidRPr="00653DCF">
        <w:rPr>
          <w:color w:val="auto"/>
          <w:lang w:val="hr-HR"/>
        </w:rPr>
        <w:t xml:space="preserve">neispunjenja </w:t>
      </w:r>
      <w:r w:rsidRPr="00653DCF">
        <w:rPr>
          <w:color w:val="auto"/>
          <w:lang w:val="hr-HR"/>
        </w:rPr>
        <w:t xml:space="preserve">obveza, Zajmoprimac će </w:t>
      </w:r>
      <w:r w:rsidR="00CD6CDC" w:rsidRPr="00653DCF">
        <w:rPr>
          <w:color w:val="auto"/>
          <w:lang w:val="hr-HR"/>
        </w:rPr>
        <w:t xml:space="preserve">isplatiti naknadu Banci </w:t>
      </w:r>
      <w:r w:rsidRPr="00653DCF">
        <w:rPr>
          <w:color w:val="auto"/>
          <w:lang w:val="hr-HR"/>
        </w:rPr>
        <w:t>u skladu s člankom</w:t>
      </w:r>
      <w:r w:rsidR="001640A9" w:rsidRPr="00653DCF">
        <w:rPr>
          <w:color w:val="auto"/>
          <w:lang w:val="hr-HR"/>
        </w:rPr>
        <w:t> </w:t>
      </w:r>
      <w:bookmarkEnd w:id="199"/>
      <w:r w:rsidR="00511BCC" w:rsidRPr="00653DCF">
        <w:rPr>
          <w:color w:val="auto"/>
          <w:lang w:val="hr-HR"/>
        </w:rPr>
        <w:t>10.3.</w:t>
      </w:r>
    </w:p>
    <w:p w14:paraId="4268F02C" w14:textId="77777777" w:rsidR="007A2A6F" w:rsidRPr="00653DCF" w:rsidRDefault="00E87B0B" w:rsidP="00B73D6F">
      <w:pPr>
        <w:pStyle w:val="Heading2"/>
        <w:ind w:left="851"/>
        <w:rPr>
          <w:color w:val="auto"/>
          <w:lang w:val="hr-HR"/>
        </w:rPr>
      </w:pPr>
      <w:bookmarkStart w:id="200" w:name="_Toc475441124"/>
      <w:bookmarkStart w:id="201" w:name="_Toc498018619"/>
      <w:bookmarkStart w:id="202" w:name="_Toc508120478"/>
      <w:bookmarkStart w:id="203" w:name="_Toc126080670"/>
      <w:bookmarkStart w:id="204" w:name="_Toc126080802"/>
      <w:r w:rsidRPr="00653DCF">
        <w:rPr>
          <w:color w:val="auto"/>
          <w:lang w:val="hr-HR"/>
        </w:rPr>
        <w:t>Otkazivanje nakon isteka kredita</w:t>
      </w:r>
      <w:bookmarkEnd w:id="200"/>
      <w:bookmarkEnd w:id="201"/>
      <w:bookmarkEnd w:id="202"/>
      <w:bookmarkEnd w:id="203"/>
      <w:bookmarkEnd w:id="204"/>
    </w:p>
    <w:p w14:paraId="621E5182" w14:textId="72703393" w:rsidR="00B05831" w:rsidRPr="00653DCF" w:rsidRDefault="00B05831">
      <w:pPr>
        <w:rPr>
          <w:color w:val="auto"/>
          <w:lang w:val="hr-HR"/>
        </w:rPr>
      </w:pPr>
      <w:r w:rsidRPr="00653DCF">
        <w:rPr>
          <w:color w:val="auto"/>
          <w:lang w:val="hr-HR"/>
        </w:rPr>
        <w:t xml:space="preserve">Na dan nakon isteka roka raspoloživosti sredstava te ako Banka nije </w:t>
      </w:r>
      <w:r w:rsidR="008D2C8C" w:rsidRPr="00653DCF">
        <w:rPr>
          <w:color w:val="auto"/>
          <w:lang w:val="hr-HR"/>
        </w:rPr>
        <w:t xml:space="preserve">drukčije </w:t>
      </w:r>
      <w:r w:rsidR="00214269" w:rsidRPr="00653DCF">
        <w:rPr>
          <w:color w:val="auto"/>
          <w:lang w:val="hr-HR"/>
        </w:rPr>
        <w:t>obavijestila Zajmoprimca u pisanom obliku</w:t>
      </w:r>
      <w:r w:rsidRPr="00653DCF">
        <w:rPr>
          <w:color w:val="auto"/>
          <w:lang w:val="hr-HR"/>
        </w:rPr>
        <w:t xml:space="preserve">, bilo koji dio kredita za koji nije podnesen zahtjev za isplatu u skladu s člankom </w:t>
      </w:r>
      <w:r w:rsidRPr="00653DCF">
        <w:rPr>
          <w:color w:val="auto"/>
          <w:lang w:val="hr-HR"/>
        </w:rPr>
        <w:fldChar w:fldCharType="begin"/>
      </w:r>
      <w:r w:rsidRPr="00653DCF">
        <w:rPr>
          <w:color w:val="auto"/>
          <w:lang w:val="hr-HR"/>
        </w:rPr>
        <w:instrText xml:space="preserve"> REF _Ref426638944 \r \h  \* MERGEFORMAT </w:instrText>
      </w:r>
      <w:r w:rsidRPr="00653DCF">
        <w:rPr>
          <w:color w:val="auto"/>
          <w:lang w:val="hr-HR"/>
        </w:rPr>
      </w:r>
      <w:r w:rsidRPr="00653DCF">
        <w:rPr>
          <w:color w:val="auto"/>
          <w:lang w:val="hr-HR"/>
        </w:rPr>
        <w:fldChar w:fldCharType="separate"/>
      </w:r>
      <w:r w:rsidR="00E5391B">
        <w:rPr>
          <w:color w:val="auto"/>
          <w:lang w:val="hr-HR"/>
        </w:rPr>
        <w:t>1.2.B</w:t>
      </w:r>
      <w:r w:rsidRPr="00653DCF">
        <w:rPr>
          <w:color w:val="auto"/>
          <w:lang w:val="hr-HR"/>
        </w:rPr>
        <w:fldChar w:fldCharType="end"/>
      </w:r>
      <w:r w:rsidR="00FB4A5E" w:rsidRPr="00653DCF">
        <w:rPr>
          <w:color w:val="auto"/>
          <w:lang w:val="hr-HR"/>
        </w:rPr>
        <w:t xml:space="preserve"> automatski se otkazuje, bez bilo koje daljnje obavijesti Banke </w:t>
      </w:r>
      <w:r w:rsidR="00E45D49" w:rsidRPr="00653DCF">
        <w:rPr>
          <w:color w:val="auto"/>
          <w:lang w:val="hr-HR"/>
        </w:rPr>
        <w:t>Zajmoprimcu</w:t>
      </w:r>
      <w:r w:rsidR="00FB4A5E" w:rsidRPr="00653DCF">
        <w:rPr>
          <w:color w:val="auto"/>
          <w:lang w:val="hr-HR"/>
        </w:rPr>
        <w:t xml:space="preserve"> i bez nastanka obveze za bilo koju od strana</w:t>
      </w:r>
      <w:r w:rsidR="00AA279F" w:rsidRPr="00653DCF">
        <w:rPr>
          <w:color w:val="auto"/>
          <w:lang w:val="hr-HR"/>
        </w:rPr>
        <w:t>ka</w:t>
      </w:r>
      <w:r w:rsidR="00FB4A5E" w:rsidRPr="00653DCF">
        <w:rPr>
          <w:color w:val="auto"/>
          <w:lang w:val="hr-HR"/>
        </w:rPr>
        <w:t>.</w:t>
      </w:r>
    </w:p>
    <w:p w14:paraId="4FA02BBA" w14:textId="40C1B09F" w:rsidR="007A2A6F" w:rsidRPr="00653DCF" w:rsidRDefault="00E87B0B" w:rsidP="00B73D6F">
      <w:pPr>
        <w:pStyle w:val="Heading2"/>
        <w:ind w:left="851"/>
        <w:rPr>
          <w:color w:val="auto"/>
          <w:lang w:val="hr-HR"/>
        </w:rPr>
      </w:pPr>
      <w:bookmarkStart w:id="205" w:name="_Toc508120479"/>
      <w:bookmarkStart w:id="206" w:name="_Toc126080671"/>
      <w:bookmarkStart w:id="207" w:name="_Toc126080803"/>
      <w:r w:rsidRPr="00653DCF">
        <w:rPr>
          <w:color w:val="auto"/>
          <w:lang w:val="hr-HR"/>
        </w:rPr>
        <w:t xml:space="preserve">Dospjeli iznosi na temelju članaka </w:t>
      </w:r>
      <w:r w:rsidRPr="00653DCF">
        <w:rPr>
          <w:color w:val="auto"/>
          <w:lang w:val="hr-HR"/>
        </w:rPr>
        <w:fldChar w:fldCharType="begin"/>
      </w:r>
      <w:r w:rsidRPr="00653DCF">
        <w:rPr>
          <w:color w:val="auto"/>
          <w:lang w:val="hr-HR"/>
        </w:rPr>
        <w:instrText xml:space="preserve"> REF _Ref508628930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1.5</w:t>
      </w:r>
      <w:r w:rsidRPr="00653DCF">
        <w:rPr>
          <w:color w:val="auto"/>
          <w:lang w:val="hr-HR"/>
        </w:rPr>
        <w:fldChar w:fldCharType="end"/>
      </w:r>
      <w:r w:rsidRPr="00653DCF">
        <w:rPr>
          <w:color w:val="auto"/>
          <w:lang w:val="hr-HR"/>
        </w:rPr>
        <w:t xml:space="preserve"> i </w:t>
      </w:r>
      <w:r w:rsidRPr="00653DCF">
        <w:rPr>
          <w:color w:val="auto"/>
          <w:lang w:val="hr-HR"/>
        </w:rPr>
        <w:fldChar w:fldCharType="begin"/>
      </w:r>
      <w:r w:rsidRPr="00653DCF">
        <w:rPr>
          <w:color w:val="auto"/>
          <w:lang w:val="hr-HR"/>
        </w:rPr>
        <w:instrText xml:space="preserve"> REF _Ref426952415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1.6</w:t>
      </w:r>
      <w:bookmarkEnd w:id="205"/>
      <w:bookmarkEnd w:id="206"/>
      <w:bookmarkEnd w:id="207"/>
      <w:r w:rsidRPr="00653DCF">
        <w:rPr>
          <w:color w:val="auto"/>
          <w:lang w:val="hr-HR"/>
        </w:rPr>
        <w:fldChar w:fldCharType="end"/>
      </w:r>
    </w:p>
    <w:p w14:paraId="4FABBA5E" w14:textId="32B88195" w:rsidR="007A2A6F" w:rsidRPr="00653DCF" w:rsidRDefault="00E87B0B">
      <w:pPr>
        <w:rPr>
          <w:color w:val="auto"/>
          <w:lang w:val="hr-HR"/>
        </w:rPr>
      </w:pPr>
      <w:r w:rsidRPr="00653DCF">
        <w:rPr>
          <w:color w:val="auto"/>
          <w:lang w:val="hr-HR"/>
        </w:rPr>
        <w:t xml:space="preserve">Dospjeli iznosi u skladu s člancima </w:t>
      </w:r>
      <w:r w:rsidRPr="00653DCF">
        <w:rPr>
          <w:color w:val="auto"/>
          <w:lang w:val="hr-HR"/>
        </w:rPr>
        <w:fldChar w:fldCharType="begin"/>
      </w:r>
      <w:r w:rsidRPr="00653DCF">
        <w:rPr>
          <w:color w:val="auto"/>
          <w:lang w:val="hr-HR"/>
        </w:rPr>
        <w:instrText xml:space="preserve"> REF _Ref508628864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1.5</w:t>
      </w:r>
      <w:r w:rsidRPr="00653DCF">
        <w:rPr>
          <w:color w:val="auto"/>
          <w:lang w:val="hr-HR"/>
        </w:rPr>
        <w:fldChar w:fldCharType="end"/>
      </w:r>
      <w:r w:rsidR="00C9381F" w:rsidRPr="00653DCF">
        <w:rPr>
          <w:color w:val="auto"/>
          <w:lang w:val="hr-HR"/>
        </w:rPr>
        <w:t>.</w:t>
      </w:r>
      <w:r w:rsidRPr="00653DCF">
        <w:rPr>
          <w:color w:val="auto"/>
          <w:lang w:val="hr-HR"/>
        </w:rPr>
        <w:t xml:space="preserve"> i </w:t>
      </w:r>
      <w:r w:rsidRPr="00653DCF">
        <w:rPr>
          <w:color w:val="auto"/>
          <w:lang w:val="hr-HR"/>
        </w:rPr>
        <w:fldChar w:fldCharType="begin"/>
      </w:r>
      <w:r w:rsidRPr="00653DCF">
        <w:rPr>
          <w:color w:val="auto"/>
          <w:lang w:val="hr-HR"/>
        </w:rPr>
        <w:instrText xml:space="preserve"> REF _Ref426952486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1.6</w:t>
      </w:r>
      <w:r w:rsidRPr="00653DCF">
        <w:rPr>
          <w:color w:val="auto"/>
          <w:lang w:val="hr-HR"/>
        </w:rPr>
        <w:fldChar w:fldCharType="end"/>
      </w:r>
      <w:r w:rsidR="00C9381F" w:rsidRPr="00653DCF">
        <w:rPr>
          <w:color w:val="auto"/>
          <w:lang w:val="hr-HR"/>
        </w:rPr>
        <w:t>.</w:t>
      </w:r>
      <w:r w:rsidRPr="00653DCF">
        <w:rPr>
          <w:color w:val="auto"/>
          <w:lang w:val="hr-HR"/>
        </w:rPr>
        <w:t xml:space="preserve"> plativi su:</w:t>
      </w:r>
    </w:p>
    <w:p w14:paraId="1EAB7165" w14:textId="4E595235" w:rsidR="007A2A6F" w:rsidRPr="00653DCF" w:rsidRDefault="00E87B0B" w:rsidP="006010BF">
      <w:pPr>
        <w:pStyle w:val="NoIndentEIB"/>
        <w:numPr>
          <w:ilvl w:val="0"/>
          <w:numId w:val="73"/>
        </w:numPr>
        <w:rPr>
          <w:color w:val="auto"/>
          <w:lang w:val="hr-HR"/>
        </w:rPr>
      </w:pPr>
      <w:r w:rsidRPr="00653DCF">
        <w:rPr>
          <w:color w:val="auto"/>
          <w:lang w:val="hr-HR"/>
        </w:rPr>
        <w:t xml:space="preserve">u EUR; i </w:t>
      </w:r>
    </w:p>
    <w:p w14:paraId="4EBA503E" w14:textId="49DC4D0B" w:rsidR="007A2A6F" w:rsidRPr="00653DCF" w:rsidRDefault="00E87B0B" w:rsidP="006010BF">
      <w:pPr>
        <w:pStyle w:val="NoIndentEIB"/>
        <w:numPr>
          <w:ilvl w:val="0"/>
          <w:numId w:val="73"/>
        </w:numPr>
        <w:rPr>
          <w:color w:val="auto"/>
          <w:lang w:val="hr-HR"/>
        </w:rPr>
      </w:pPr>
      <w:r w:rsidRPr="00653DCF">
        <w:rPr>
          <w:color w:val="auto"/>
          <w:lang w:val="hr-HR"/>
        </w:rPr>
        <w:t>u roku od 15 (petnaest) dana od primitka zahtjeva Banke od strane Zajmoprimca ili u bilo kojem duljem roku navedenom u zahtjevu Banke.</w:t>
      </w:r>
    </w:p>
    <w:p w14:paraId="0501A9B3" w14:textId="21DBC8B7" w:rsidR="007A2A6F" w:rsidRPr="00653DCF" w:rsidRDefault="00E87B0B" w:rsidP="00B73D6F">
      <w:pPr>
        <w:pStyle w:val="Heading2"/>
        <w:ind w:left="851"/>
        <w:rPr>
          <w:color w:val="auto"/>
          <w:lang w:val="hr-HR"/>
        </w:rPr>
      </w:pPr>
      <w:bookmarkStart w:id="208" w:name="_Ref440726568"/>
      <w:bookmarkStart w:id="209" w:name="_Ref440876190"/>
      <w:bookmarkStart w:id="210" w:name="_Ref440876230"/>
      <w:bookmarkStart w:id="211" w:name="_Ref440876248"/>
      <w:bookmarkStart w:id="212" w:name="_Ref440876261"/>
      <w:bookmarkStart w:id="213" w:name="_Toc475441126"/>
      <w:bookmarkStart w:id="214" w:name="_Toc498018621"/>
      <w:bookmarkStart w:id="215" w:name="_Toc508120480"/>
      <w:bookmarkStart w:id="216" w:name="_Toc126080672"/>
      <w:bookmarkStart w:id="217" w:name="_Toc126080804"/>
      <w:r w:rsidRPr="00653DCF">
        <w:rPr>
          <w:color w:val="auto"/>
          <w:lang w:val="hr-HR"/>
        </w:rPr>
        <w:t xml:space="preserve">Dodjela i preraspodjela kredita ili </w:t>
      </w:r>
      <w:bookmarkEnd w:id="208"/>
      <w:bookmarkEnd w:id="209"/>
      <w:bookmarkEnd w:id="210"/>
      <w:bookmarkEnd w:id="211"/>
      <w:bookmarkEnd w:id="212"/>
      <w:bookmarkEnd w:id="213"/>
      <w:bookmarkEnd w:id="214"/>
      <w:bookmarkEnd w:id="215"/>
      <w:bookmarkEnd w:id="216"/>
      <w:bookmarkEnd w:id="217"/>
      <w:r w:rsidR="00C503E7" w:rsidRPr="00653DCF">
        <w:rPr>
          <w:color w:val="auto"/>
          <w:lang w:val="hr-HR"/>
        </w:rPr>
        <w:t>zajma</w:t>
      </w:r>
      <w:r w:rsidRPr="00653DCF">
        <w:rPr>
          <w:color w:val="auto"/>
          <w:lang w:val="hr-HR"/>
        </w:rPr>
        <w:t xml:space="preserve"> </w:t>
      </w:r>
    </w:p>
    <w:p w14:paraId="2BD7EE5A" w14:textId="3803E192" w:rsidR="007A2A6F" w:rsidRPr="00653DCF" w:rsidRDefault="00E87B0B" w:rsidP="00B73D6F">
      <w:pPr>
        <w:pStyle w:val="Heading3"/>
        <w:ind w:left="851"/>
        <w:rPr>
          <w:color w:val="auto"/>
          <w:lang w:val="hr-HR"/>
        </w:rPr>
      </w:pPr>
      <w:bookmarkStart w:id="218" w:name="_Ref440723950"/>
      <w:bookmarkStart w:id="219" w:name="_Ref440726785"/>
      <w:bookmarkStart w:id="220" w:name="_Toc475441127"/>
      <w:bookmarkStart w:id="221" w:name="_Toc498018622"/>
      <w:bookmarkStart w:id="222" w:name="_Toc508120481"/>
      <w:bookmarkStart w:id="223" w:name="_Toc126080673"/>
      <w:bookmarkStart w:id="224" w:name="_Toc126080805"/>
      <w:r w:rsidRPr="00653DCF">
        <w:rPr>
          <w:color w:val="auto"/>
          <w:lang w:val="hr-HR"/>
        </w:rPr>
        <w:t>Postupak dodjele</w:t>
      </w:r>
      <w:bookmarkEnd w:id="218"/>
      <w:bookmarkEnd w:id="219"/>
      <w:bookmarkEnd w:id="220"/>
      <w:bookmarkEnd w:id="221"/>
      <w:bookmarkEnd w:id="222"/>
      <w:bookmarkEnd w:id="223"/>
      <w:bookmarkEnd w:id="224"/>
      <w:r w:rsidR="005D5AFE" w:rsidRPr="00653DCF">
        <w:rPr>
          <w:color w:val="auto"/>
          <w:lang w:val="hr-HR"/>
        </w:rPr>
        <w:t xml:space="preserve"> sredstava</w:t>
      </w:r>
    </w:p>
    <w:p w14:paraId="15DFC0A0" w14:textId="130F11F0" w:rsidR="007A2A6F" w:rsidRPr="00653DCF" w:rsidRDefault="00E87B0B">
      <w:pPr>
        <w:widowControl w:val="0"/>
        <w:rPr>
          <w:color w:val="auto"/>
          <w:lang w:val="hr-HR"/>
        </w:rPr>
      </w:pPr>
      <w:r w:rsidRPr="00653DCF">
        <w:rPr>
          <w:color w:val="auto"/>
          <w:lang w:val="hr-HR"/>
        </w:rPr>
        <w:t xml:space="preserve">Između datuma </w:t>
      </w:r>
      <w:r w:rsidR="008F1230" w:rsidRPr="00653DCF">
        <w:rPr>
          <w:color w:val="auto"/>
          <w:lang w:val="hr-HR"/>
        </w:rPr>
        <w:t>ovog Ugovora</w:t>
      </w:r>
      <w:r w:rsidRPr="00653DCF">
        <w:rPr>
          <w:color w:val="auto"/>
          <w:lang w:val="hr-HR"/>
        </w:rPr>
        <w:t xml:space="preserve"> i datuma koji pada 3 (tri) mjeseca prije </w:t>
      </w:r>
      <w:r w:rsidR="004A3D96" w:rsidRPr="00653DCF">
        <w:rPr>
          <w:color w:val="auto"/>
          <w:lang w:val="hr-HR"/>
        </w:rPr>
        <w:t>roka</w:t>
      </w:r>
      <w:r w:rsidR="008F1230" w:rsidRPr="00653DCF">
        <w:rPr>
          <w:color w:val="auto"/>
          <w:lang w:val="hr-HR"/>
        </w:rPr>
        <w:t xml:space="preserve"> raspoloživosti sredstava </w:t>
      </w:r>
      <w:r w:rsidRPr="00653DCF">
        <w:rPr>
          <w:color w:val="auto"/>
          <w:lang w:val="hr-HR"/>
        </w:rPr>
        <w:t>(</w:t>
      </w:r>
      <w:r w:rsidRPr="00653DCF">
        <w:rPr>
          <w:rStyle w:val="BoldEIB"/>
          <w:color w:val="auto"/>
          <w:lang w:val="hr-HR"/>
        </w:rPr>
        <w:t>„razdoblje dodjele</w:t>
      </w:r>
      <w:r w:rsidRPr="00653DCF">
        <w:rPr>
          <w:color w:val="auto"/>
          <w:lang w:val="hr-HR"/>
        </w:rPr>
        <w:t xml:space="preserve">”) </w:t>
      </w:r>
      <w:r w:rsidR="00287CB4" w:rsidRPr="00653DCF">
        <w:rPr>
          <w:color w:val="auto"/>
          <w:lang w:val="hr-HR"/>
        </w:rPr>
        <w:t>Zajmoprimac (</w:t>
      </w:r>
      <w:r w:rsidR="00DF33A7" w:rsidRPr="00653DCF">
        <w:rPr>
          <w:color w:val="auto"/>
          <w:lang w:val="hr-HR"/>
        </w:rPr>
        <w:t>koji djeluje</w:t>
      </w:r>
      <w:r w:rsidR="00287CB4" w:rsidRPr="00653DCF">
        <w:rPr>
          <w:color w:val="auto"/>
          <w:lang w:val="hr-HR"/>
        </w:rPr>
        <w:t xml:space="preserve"> putem </w:t>
      </w:r>
      <w:r w:rsidR="00720D24" w:rsidRPr="00653DCF">
        <w:rPr>
          <w:color w:val="auto"/>
          <w:lang w:val="hr-HR"/>
        </w:rPr>
        <w:t>Nositelj</w:t>
      </w:r>
      <w:r w:rsidR="00287CB4" w:rsidRPr="00653DCF">
        <w:rPr>
          <w:color w:val="auto"/>
          <w:lang w:val="hr-HR"/>
        </w:rPr>
        <w:t>a)</w:t>
      </w:r>
      <w:r w:rsidR="00720D24" w:rsidRPr="00653DCF">
        <w:rPr>
          <w:color w:val="auto"/>
          <w:lang w:val="hr-HR"/>
        </w:rPr>
        <w:t xml:space="preserve"> </w:t>
      </w:r>
      <w:r w:rsidRPr="00653DCF">
        <w:rPr>
          <w:color w:val="auto"/>
          <w:lang w:val="hr-HR"/>
        </w:rPr>
        <w:t xml:space="preserve">može Banci podnijeti zahtjev za dodjelu </w:t>
      </w:r>
      <w:r w:rsidR="004A3D96" w:rsidRPr="00653DCF">
        <w:rPr>
          <w:color w:val="auto"/>
          <w:lang w:val="hr-HR"/>
        </w:rPr>
        <w:t xml:space="preserve">sredstava </w:t>
      </w:r>
      <w:r w:rsidRPr="00653DCF">
        <w:rPr>
          <w:color w:val="auto"/>
          <w:lang w:val="hr-HR"/>
        </w:rPr>
        <w:t>(dalje u tekstu</w:t>
      </w:r>
      <w:r w:rsidR="0029787E">
        <w:rPr>
          <w:color w:val="auto"/>
          <w:lang w:val="hr-HR"/>
        </w:rPr>
        <w:t>:</w:t>
      </w:r>
      <w:r w:rsidRPr="00653DCF">
        <w:rPr>
          <w:color w:val="auto"/>
          <w:lang w:val="hr-HR"/>
        </w:rPr>
        <w:t xml:space="preserve"> „</w:t>
      </w:r>
      <w:r w:rsidRPr="00653DCF">
        <w:rPr>
          <w:b/>
          <w:bCs/>
          <w:color w:val="auto"/>
          <w:lang w:val="hr-HR"/>
        </w:rPr>
        <w:t>zahtjev za</w:t>
      </w:r>
      <w:r w:rsidR="00611F3F" w:rsidRPr="00653DCF">
        <w:rPr>
          <w:color w:val="auto"/>
          <w:lang w:val="hr-HR"/>
        </w:rPr>
        <w:t xml:space="preserve"> </w:t>
      </w:r>
      <w:r w:rsidRPr="00653DCF">
        <w:rPr>
          <w:rStyle w:val="BoldEIB"/>
          <w:color w:val="auto"/>
          <w:lang w:val="hr-HR"/>
        </w:rPr>
        <w:t>dodjelu</w:t>
      </w:r>
      <w:r w:rsidR="004A3D96" w:rsidRPr="00653DCF">
        <w:rPr>
          <w:rStyle w:val="BoldEIB"/>
          <w:color w:val="auto"/>
          <w:lang w:val="hr-HR"/>
        </w:rPr>
        <w:t xml:space="preserve"> sredstava</w:t>
      </w:r>
      <w:r w:rsidRPr="00653DCF">
        <w:rPr>
          <w:rStyle w:val="BoldEIB"/>
          <w:b w:val="0"/>
          <w:bCs/>
          <w:color w:val="auto"/>
          <w:lang w:val="hr-HR"/>
        </w:rPr>
        <w:t>”</w:t>
      </w:r>
      <w:r w:rsidRPr="00653DCF">
        <w:rPr>
          <w:color w:val="auto"/>
          <w:lang w:val="hr-HR"/>
        </w:rPr>
        <w:t xml:space="preserve">). Kako bi </w:t>
      </w:r>
      <w:r w:rsidR="005A101D" w:rsidRPr="00653DCF">
        <w:rPr>
          <w:color w:val="auto"/>
          <w:lang w:val="hr-HR"/>
        </w:rPr>
        <w:t xml:space="preserve">udovoljio uvjetima </w:t>
      </w:r>
      <w:r w:rsidRPr="00653DCF">
        <w:rPr>
          <w:color w:val="auto"/>
          <w:lang w:val="hr-HR"/>
        </w:rPr>
        <w:t xml:space="preserve">za financiranje u skladu s ovim </w:t>
      </w:r>
      <w:r w:rsidR="004A3D96" w:rsidRPr="00653DCF">
        <w:rPr>
          <w:color w:val="auto"/>
          <w:lang w:val="hr-HR"/>
        </w:rPr>
        <w:t>Ugovorom</w:t>
      </w:r>
      <w:r w:rsidRPr="00653DCF">
        <w:rPr>
          <w:color w:val="auto"/>
          <w:lang w:val="hr-HR"/>
        </w:rPr>
        <w:t xml:space="preserve">, svaki </w:t>
      </w:r>
      <w:r w:rsidR="004A3D96" w:rsidRPr="00653DCF">
        <w:rPr>
          <w:color w:val="auto"/>
          <w:lang w:val="hr-HR"/>
        </w:rPr>
        <w:t xml:space="preserve">investicijski projekt </w:t>
      </w:r>
      <w:r w:rsidRPr="00653DCF">
        <w:rPr>
          <w:color w:val="auto"/>
          <w:lang w:val="hr-HR"/>
        </w:rPr>
        <w:t xml:space="preserve">mora ispunjavati kriterije prihvatljivosti Banke i biti u skladu s </w:t>
      </w:r>
      <w:r w:rsidR="004A3D96" w:rsidRPr="00653DCF">
        <w:rPr>
          <w:color w:val="auto"/>
          <w:lang w:val="hr-HR"/>
        </w:rPr>
        <w:t>t</w:t>
      </w:r>
      <w:r w:rsidRPr="00653DCF">
        <w:rPr>
          <w:color w:val="auto"/>
          <w:lang w:val="hr-HR"/>
        </w:rPr>
        <w:t>ehničkim opisom (</w:t>
      </w:r>
      <w:r w:rsidR="00DB753F" w:rsidRPr="00653DCF">
        <w:rPr>
          <w:color w:val="auto"/>
          <w:lang w:val="hr-HR"/>
        </w:rPr>
        <w:t xml:space="preserve">Prilog </w:t>
      </w:r>
      <w:r w:rsidRPr="00653DCF">
        <w:rPr>
          <w:color w:val="auto"/>
          <w:lang w:val="hr-HR"/>
        </w:rPr>
        <w:t xml:space="preserve">A). </w:t>
      </w:r>
    </w:p>
    <w:p w14:paraId="43ED6A01" w14:textId="0B4F3E6A" w:rsidR="007A2A6F" w:rsidRPr="00653DCF" w:rsidRDefault="00E87B0B" w:rsidP="00B73D6F">
      <w:pPr>
        <w:pStyle w:val="Heading3"/>
        <w:ind w:left="851"/>
        <w:rPr>
          <w:color w:val="auto"/>
          <w:lang w:val="hr-HR"/>
        </w:rPr>
      </w:pPr>
      <w:bookmarkStart w:id="225" w:name="_Ref440724023"/>
      <w:bookmarkStart w:id="226" w:name="_Ref440724838"/>
      <w:bookmarkStart w:id="227" w:name="_Ref440725059"/>
      <w:bookmarkStart w:id="228" w:name="_Ref440725461"/>
      <w:bookmarkStart w:id="229" w:name="_Ref440726796"/>
      <w:bookmarkStart w:id="230" w:name="_Toc475441128"/>
      <w:bookmarkStart w:id="231" w:name="_Toc498018623"/>
      <w:bookmarkStart w:id="232" w:name="_Toc508120482"/>
      <w:bookmarkStart w:id="233" w:name="_Toc126080674"/>
      <w:bookmarkStart w:id="234" w:name="_Toc126080806"/>
      <w:r w:rsidRPr="00653DCF">
        <w:rPr>
          <w:color w:val="auto"/>
          <w:lang w:val="hr-HR"/>
        </w:rPr>
        <w:t>Zahtjev za dodjelu</w:t>
      </w:r>
      <w:bookmarkEnd w:id="225"/>
      <w:bookmarkEnd w:id="226"/>
      <w:bookmarkEnd w:id="227"/>
      <w:bookmarkEnd w:id="228"/>
      <w:bookmarkEnd w:id="229"/>
      <w:bookmarkEnd w:id="230"/>
      <w:bookmarkEnd w:id="231"/>
      <w:bookmarkEnd w:id="232"/>
      <w:bookmarkEnd w:id="233"/>
      <w:bookmarkEnd w:id="234"/>
      <w:r w:rsidR="005D5AFE" w:rsidRPr="00653DCF">
        <w:rPr>
          <w:color w:val="auto"/>
          <w:lang w:val="hr-HR"/>
        </w:rPr>
        <w:t xml:space="preserve"> sredstava</w:t>
      </w:r>
    </w:p>
    <w:p w14:paraId="060884D4" w14:textId="7520EA25" w:rsidR="007A2A6F" w:rsidRPr="00653DCF" w:rsidRDefault="00287CB4">
      <w:pPr>
        <w:widowControl w:val="0"/>
        <w:numPr>
          <w:ilvl w:val="0"/>
          <w:numId w:val="52"/>
        </w:numPr>
        <w:rPr>
          <w:color w:val="auto"/>
          <w:lang w:val="hr-HR"/>
        </w:rPr>
      </w:pPr>
      <w:r w:rsidRPr="00653DCF">
        <w:rPr>
          <w:color w:val="auto"/>
          <w:lang w:val="hr-HR"/>
        </w:rPr>
        <w:t>Zajmoprimac (</w:t>
      </w:r>
      <w:r w:rsidR="00DF33A7" w:rsidRPr="00653DCF">
        <w:rPr>
          <w:color w:val="auto"/>
          <w:lang w:val="hr-HR"/>
        </w:rPr>
        <w:t>koji djeluje</w:t>
      </w:r>
      <w:r w:rsidRPr="00653DCF">
        <w:rPr>
          <w:color w:val="auto"/>
          <w:lang w:val="hr-HR"/>
        </w:rPr>
        <w:t xml:space="preserve"> putem Nositelja) </w:t>
      </w:r>
      <w:r w:rsidR="00E87B0B" w:rsidRPr="00653DCF">
        <w:rPr>
          <w:color w:val="auto"/>
          <w:lang w:val="hr-HR"/>
        </w:rPr>
        <w:t>može Banci podnijeti jedan ili više zahtjeva za dodjelu sredstava na temelju ovog Ugovora.</w:t>
      </w:r>
    </w:p>
    <w:p w14:paraId="01257B68" w14:textId="75B6A0CF" w:rsidR="007A2A6F" w:rsidRPr="00653DCF" w:rsidRDefault="00E87B0B">
      <w:pPr>
        <w:widowControl w:val="0"/>
        <w:numPr>
          <w:ilvl w:val="0"/>
          <w:numId w:val="52"/>
        </w:numPr>
        <w:rPr>
          <w:color w:val="auto"/>
          <w:lang w:val="hr-HR"/>
        </w:rPr>
      </w:pPr>
      <w:bookmarkStart w:id="235" w:name="_Ref496703779"/>
      <w:r w:rsidRPr="00653DCF">
        <w:rPr>
          <w:color w:val="auto"/>
          <w:lang w:val="hr-HR"/>
        </w:rPr>
        <w:t xml:space="preserve">Raspoloživost </w:t>
      </w:r>
      <w:r w:rsidR="005E4E29" w:rsidRPr="00653DCF">
        <w:rPr>
          <w:rFonts w:cs="Arial"/>
          <w:color w:val="auto"/>
          <w:lang w:val="hr-HR"/>
        </w:rPr>
        <w:t>sredstava</w:t>
      </w:r>
      <w:r w:rsidRPr="00653DCF">
        <w:rPr>
          <w:rFonts w:cs="Arial"/>
          <w:color w:val="auto"/>
          <w:lang w:val="hr-HR"/>
        </w:rPr>
        <w:t xml:space="preserve"> EIB-a </w:t>
      </w:r>
      <w:r w:rsidRPr="00653DCF">
        <w:rPr>
          <w:color w:val="auto"/>
          <w:lang w:val="hr-HR"/>
        </w:rPr>
        <w:t xml:space="preserve">u odnosu na bilo koji </w:t>
      </w:r>
      <w:r w:rsidR="00C7679F" w:rsidRPr="00653DCF">
        <w:rPr>
          <w:color w:val="auto"/>
          <w:lang w:val="hr-HR"/>
        </w:rPr>
        <w:t>investicijski projekt</w:t>
      </w:r>
      <w:r w:rsidRPr="00653DCF">
        <w:rPr>
          <w:color w:val="auto"/>
          <w:lang w:val="hr-HR"/>
        </w:rPr>
        <w:t xml:space="preserve"> </w:t>
      </w:r>
      <w:r w:rsidR="00435129" w:rsidRPr="00653DCF">
        <w:rPr>
          <w:color w:val="auto"/>
          <w:lang w:val="hr-HR"/>
        </w:rPr>
        <w:t>uspostavlja</w:t>
      </w:r>
      <w:r w:rsidRPr="00653DCF">
        <w:rPr>
          <w:color w:val="auto"/>
          <w:lang w:val="hr-HR"/>
        </w:rPr>
        <w:t xml:space="preserve"> se uzastopnim dodjelama </w:t>
      </w:r>
      <w:r w:rsidR="003C7BE9" w:rsidRPr="00653DCF">
        <w:rPr>
          <w:color w:val="auto"/>
          <w:lang w:val="hr-HR"/>
        </w:rPr>
        <w:t xml:space="preserve">sredstava </w:t>
      </w:r>
      <w:r w:rsidRPr="00653DCF">
        <w:rPr>
          <w:rFonts w:cs="Arial"/>
          <w:color w:val="auto"/>
          <w:lang w:val="hr-HR"/>
        </w:rPr>
        <w:t>EIB-a</w:t>
      </w:r>
      <w:r w:rsidRPr="00653DCF">
        <w:rPr>
          <w:color w:val="auto"/>
          <w:lang w:val="hr-HR"/>
        </w:rPr>
        <w:t xml:space="preserve"> prihvatljivim </w:t>
      </w:r>
      <w:r w:rsidR="003C7BE9" w:rsidRPr="00653DCF">
        <w:rPr>
          <w:color w:val="auto"/>
          <w:lang w:val="hr-HR"/>
        </w:rPr>
        <w:t xml:space="preserve">investicijskim projektima </w:t>
      </w:r>
      <w:r w:rsidRPr="00653DCF">
        <w:rPr>
          <w:color w:val="auto"/>
          <w:lang w:val="hr-HR"/>
        </w:rPr>
        <w:t xml:space="preserve">koje </w:t>
      </w:r>
      <w:r w:rsidR="006A57B8" w:rsidRPr="00653DCF">
        <w:rPr>
          <w:color w:val="auto"/>
          <w:lang w:val="hr-HR"/>
        </w:rPr>
        <w:t>vrši</w:t>
      </w:r>
      <w:r w:rsidRPr="00653DCF">
        <w:rPr>
          <w:color w:val="auto"/>
          <w:lang w:val="hr-HR"/>
        </w:rPr>
        <w:t xml:space="preserve"> Banka u skladu s postupkom opisanim u ovom članku </w:t>
      </w:r>
      <w:r w:rsidRPr="00653DCF">
        <w:rPr>
          <w:color w:val="auto"/>
          <w:lang w:val="hr-HR"/>
        </w:rPr>
        <w:fldChar w:fldCharType="begin"/>
      </w:r>
      <w:r w:rsidRPr="00653DCF">
        <w:rPr>
          <w:color w:val="auto"/>
          <w:lang w:val="hr-HR"/>
        </w:rPr>
        <w:instrText xml:space="preserve"> REF _Ref440726568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1.9</w:t>
      </w:r>
      <w:r w:rsidRPr="00653DCF">
        <w:rPr>
          <w:color w:val="auto"/>
          <w:lang w:val="hr-HR"/>
        </w:rPr>
        <w:fldChar w:fldCharType="end"/>
      </w:r>
      <w:r w:rsidR="006A57B8" w:rsidRPr="00653DCF">
        <w:rPr>
          <w:color w:val="auto"/>
          <w:lang w:val="hr-HR"/>
        </w:rPr>
        <w:t>.</w:t>
      </w:r>
      <w:r w:rsidRPr="00653DCF">
        <w:rPr>
          <w:color w:val="auto"/>
          <w:lang w:val="hr-HR"/>
        </w:rPr>
        <w:t xml:space="preserve"> i </w:t>
      </w:r>
      <w:r w:rsidR="00377DC5" w:rsidRPr="00653DCF">
        <w:rPr>
          <w:color w:val="auto"/>
          <w:lang w:val="hr-HR"/>
        </w:rPr>
        <w:t xml:space="preserve">u </w:t>
      </w:r>
      <w:r w:rsidRPr="00653DCF">
        <w:rPr>
          <w:color w:val="auto"/>
          <w:lang w:val="hr-HR"/>
        </w:rPr>
        <w:t>odjeljcima od A.1.1. do A.1.4. Priloga</w:t>
      </w:r>
      <w:r w:rsidR="00377DC5" w:rsidRPr="00653DCF">
        <w:rPr>
          <w:color w:val="auto"/>
          <w:lang w:val="hr-HR"/>
        </w:rPr>
        <w:t xml:space="preserve"> </w:t>
      </w:r>
      <w:bookmarkStart w:id="236" w:name="_Ref440725465"/>
      <w:bookmarkEnd w:id="235"/>
      <w:r w:rsidR="00A01CB6" w:rsidRPr="00653DCF">
        <w:rPr>
          <w:color w:val="auto"/>
          <w:lang w:val="hr-HR"/>
        </w:rPr>
        <w:t>A.1.</w:t>
      </w:r>
    </w:p>
    <w:p w14:paraId="7F670286" w14:textId="1F75AB55" w:rsidR="007A2A6F" w:rsidRPr="00653DCF" w:rsidRDefault="00E87B0B">
      <w:pPr>
        <w:widowControl w:val="0"/>
        <w:numPr>
          <w:ilvl w:val="0"/>
          <w:numId w:val="52"/>
        </w:numPr>
        <w:rPr>
          <w:color w:val="auto"/>
          <w:lang w:val="hr-HR"/>
        </w:rPr>
      </w:pPr>
      <w:bookmarkStart w:id="237" w:name="_Ref498017617"/>
      <w:r w:rsidRPr="00653DCF">
        <w:rPr>
          <w:color w:val="auto"/>
          <w:lang w:val="hr-HR"/>
        </w:rPr>
        <w:t xml:space="preserve">Svaki zahtjev za dodjelu sredstava za </w:t>
      </w:r>
      <w:r w:rsidR="00377DC5" w:rsidRPr="00653DCF">
        <w:rPr>
          <w:color w:val="auto"/>
          <w:lang w:val="hr-HR"/>
        </w:rPr>
        <w:t xml:space="preserve">investicijski projekt </w:t>
      </w:r>
      <w:r w:rsidRPr="00653DCF">
        <w:rPr>
          <w:color w:val="auto"/>
          <w:lang w:val="hr-HR"/>
        </w:rPr>
        <w:t xml:space="preserve">koji će se sufinancirati iz fondova </w:t>
      </w:r>
      <w:r w:rsidR="00377DC5" w:rsidRPr="00653DCF">
        <w:rPr>
          <w:color w:val="auto"/>
          <w:lang w:val="hr-HR"/>
        </w:rPr>
        <w:t xml:space="preserve">Europske unije </w:t>
      </w:r>
      <w:r w:rsidRPr="00653DCF">
        <w:rPr>
          <w:color w:val="auto"/>
          <w:lang w:val="hr-HR"/>
        </w:rPr>
        <w:t xml:space="preserve">mora se dostaviti zajedno s dokazima </w:t>
      </w:r>
      <w:r w:rsidR="00401B43" w:rsidRPr="00653DCF">
        <w:rPr>
          <w:color w:val="auto"/>
          <w:lang w:val="hr-HR"/>
        </w:rPr>
        <w:t xml:space="preserve">o dostupnosti fondova Europske unije </w:t>
      </w:r>
      <w:r w:rsidRPr="00653DCF">
        <w:rPr>
          <w:color w:val="auto"/>
          <w:lang w:val="hr-HR"/>
        </w:rPr>
        <w:t xml:space="preserve">za sufinanciranje takvog </w:t>
      </w:r>
      <w:r w:rsidR="00401B43" w:rsidRPr="00653DCF">
        <w:rPr>
          <w:color w:val="auto"/>
          <w:lang w:val="hr-HR"/>
        </w:rPr>
        <w:t>investicijskog projekta</w:t>
      </w:r>
      <w:r w:rsidRPr="00653DCF">
        <w:rPr>
          <w:color w:val="auto"/>
          <w:lang w:val="hr-HR"/>
        </w:rPr>
        <w:t>.</w:t>
      </w:r>
      <w:bookmarkEnd w:id="237"/>
    </w:p>
    <w:p w14:paraId="4C2DD4DF" w14:textId="517EB8DF" w:rsidR="007A2A6F" w:rsidRPr="00653DCF" w:rsidRDefault="00E87B0B">
      <w:pPr>
        <w:widowControl w:val="0"/>
        <w:numPr>
          <w:ilvl w:val="0"/>
          <w:numId w:val="52"/>
        </w:numPr>
        <w:rPr>
          <w:color w:val="auto"/>
          <w:lang w:val="hr-HR"/>
        </w:rPr>
      </w:pPr>
      <w:bookmarkStart w:id="238" w:name="_Ref508526992"/>
      <w:r w:rsidRPr="00653DCF">
        <w:rPr>
          <w:color w:val="auto"/>
          <w:lang w:val="hr-HR"/>
        </w:rPr>
        <w:t xml:space="preserve">Banka će </w:t>
      </w:r>
      <w:r w:rsidR="00401B43" w:rsidRPr="00653DCF">
        <w:rPr>
          <w:color w:val="auto"/>
          <w:lang w:val="hr-HR"/>
        </w:rPr>
        <w:t xml:space="preserve">ima </w:t>
      </w:r>
      <w:r w:rsidRPr="00653DCF">
        <w:rPr>
          <w:color w:val="auto"/>
          <w:lang w:val="hr-HR"/>
        </w:rPr>
        <w:t xml:space="preserve">potpuno diskrecijsko pravo </w:t>
      </w:r>
      <w:r w:rsidR="00F11BA3" w:rsidRPr="00653DCF">
        <w:rPr>
          <w:color w:val="auto"/>
          <w:lang w:val="hr-HR"/>
        </w:rPr>
        <w:t xml:space="preserve">odlučiti </w:t>
      </w:r>
      <w:r w:rsidRPr="00653DCF">
        <w:rPr>
          <w:color w:val="auto"/>
          <w:lang w:val="hr-HR"/>
        </w:rPr>
        <w:t xml:space="preserve">hoće li odobriti </w:t>
      </w:r>
      <w:r w:rsidR="00F11BA3" w:rsidRPr="00653DCF">
        <w:rPr>
          <w:color w:val="auto"/>
          <w:lang w:val="hr-HR"/>
        </w:rPr>
        <w:t xml:space="preserve">ili odbiti </w:t>
      </w:r>
      <w:r w:rsidRPr="00653DCF">
        <w:rPr>
          <w:color w:val="auto"/>
          <w:lang w:val="hr-HR"/>
        </w:rPr>
        <w:t xml:space="preserve">zahtjev za dodjelu </w:t>
      </w:r>
      <w:r w:rsidR="00F11BA3" w:rsidRPr="00653DCF">
        <w:rPr>
          <w:color w:val="auto"/>
          <w:lang w:val="hr-HR"/>
        </w:rPr>
        <w:t xml:space="preserve">sredstava </w:t>
      </w:r>
      <w:r w:rsidRPr="00653DCF">
        <w:rPr>
          <w:color w:val="auto"/>
          <w:lang w:val="hr-HR"/>
        </w:rPr>
        <w:t xml:space="preserve">koji je podnio </w:t>
      </w:r>
      <w:r w:rsidR="00287CB4" w:rsidRPr="00653DCF">
        <w:rPr>
          <w:color w:val="auto"/>
          <w:lang w:val="hr-HR"/>
        </w:rPr>
        <w:t>Zajmoprimac (</w:t>
      </w:r>
      <w:r w:rsidR="00DF33A7" w:rsidRPr="00653DCF">
        <w:rPr>
          <w:color w:val="auto"/>
          <w:lang w:val="hr-HR"/>
        </w:rPr>
        <w:t xml:space="preserve">koji djeluje </w:t>
      </w:r>
      <w:r w:rsidR="00287CB4" w:rsidRPr="00653DCF">
        <w:rPr>
          <w:color w:val="auto"/>
          <w:lang w:val="hr-HR"/>
        </w:rPr>
        <w:t xml:space="preserve">putem Nositelja) </w:t>
      </w:r>
      <w:r w:rsidRPr="00653DCF">
        <w:rPr>
          <w:color w:val="auto"/>
          <w:lang w:val="hr-HR"/>
        </w:rPr>
        <w:t xml:space="preserve">nakon </w:t>
      </w:r>
      <w:r w:rsidR="00F11BA3" w:rsidRPr="00653DCF">
        <w:rPr>
          <w:color w:val="auto"/>
          <w:lang w:val="hr-HR"/>
        </w:rPr>
        <w:t xml:space="preserve">što </w:t>
      </w:r>
      <w:r w:rsidR="00B914EB" w:rsidRPr="00653DCF">
        <w:rPr>
          <w:color w:val="auto"/>
          <w:lang w:val="hr-HR"/>
        </w:rPr>
        <w:t xml:space="preserve">izvrši pregled takvog </w:t>
      </w:r>
      <w:r w:rsidR="00F11BA3" w:rsidRPr="00653DCF">
        <w:rPr>
          <w:color w:val="auto"/>
          <w:lang w:val="hr-HR"/>
        </w:rPr>
        <w:t>investicijsk</w:t>
      </w:r>
      <w:r w:rsidR="00B914EB" w:rsidRPr="00653DCF">
        <w:rPr>
          <w:color w:val="auto"/>
          <w:lang w:val="hr-HR"/>
        </w:rPr>
        <w:t>og projekta onako kako to Banka smatra potrebnim</w:t>
      </w:r>
      <w:r w:rsidRPr="00653DCF">
        <w:rPr>
          <w:color w:val="auto"/>
          <w:lang w:val="hr-HR"/>
        </w:rPr>
        <w:t>. Banka će, u slučaju odobrenja zahtjeva za dodjelu</w:t>
      </w:r>
      <w:r w:rsidR="00B914EB" w:rsidRPr="00653DCF">
        <w:rPr>
          <w:color w:val="auto"/>
          <w:lang w:val="hr-HR"/>
        </w:rPr>
        <w:t xml:space="preserve"> sredstava</w:t>
      </w:r>
      <w:r w:rsidRPr="00653DCF">
        <w:rPr>
          <w:color w:val="auto"/>
          <w:lang w:val="hr-HR"/>
        </w:rPr>
        <w:t>, izdati pismo</w:t>
      </w:r>
      <w:r w:rsidR="00287977" w:rsidRPr="00653DCF">
        <w:rPr>
          <w:color w:val="auto"/>
          <w:lang w:val="hr-HR"/>
        </w:rPr>
        <w:t>/a</w:t>
      </w:r>
      <w:r w:rsidRPr="00653DCF">
        <w:rPr>
          <w:color w:val="auto"/>
          <w:lang w:val="hr-HR"/>
        </w:rPr>
        <w:t xml:space="preserve"> o dodjeli </w:t>
      </w:r>
      <w:r w:rsidR="00BE50C6" w:rsidRPr="00653DCF">
        <w:rPr>
          <w:color w:val="auto"/>
          <w:lang w:val="hr-HR"/>
        </w:rPr>
        <w:t xml:space="preserve">sredstava </w:t>
      </w:r>
      <w:r w:rsidRPr="00653DCF">
        <w:rPr>
          <w:color w:val="auto"/>
          <w:lang w:val="hr-HR"/>
        </w:rPr>
        <w:t>(„</w:t>
      </w:r>
      <w:r w:rsidR="00BE50C6" w:rsidRPr="00653DCF">
        <w:rPr>
          <w:b/>
          <w:color w:val="auto"/>
          <w:lang w:val="hr-HR"/>
        </w:rPr>
        <w:t>p</w:t>
      </w:r>
      <w:r w:rsidRPr="00653DCF">
        <w:rPr>
          <w:b/>
          <w:color w:val="auto"/>
          <w:lang w:val="hr-HR"/>
        </w:rPr>
        <w:t>ismo o dodjeli</w:t>
      </w:r>
      <w:r w:rsidR="00BE50C6" w:rsidRPr="00653DCF">
        <w:rPr>
          <w:b/>
          <w:color w:val="auto"/>
          <w:lang w:val="hr-HR"/>
        </w:rPr>
        <w:t xml:space="preserve"> sredstava</w:t>
      </w:r>
      <w:r w:rsidRPr="00653DCF">
        <w:rPr>
          <w:color w:val="auto"/>
          <w:lang w:val="hr-HR"/>
        </w:rPr>
        <w:t xml:space="preserve">”), u kojem će obavijestiti </w:t>
      </w:r>
      <w:r w:rsidR="00287CB4" w:rsidRPr="00653DCF">
        <w:rPr>
          <w:color w:val="auto"/>
          <w:lang w:val="hr-HR"/>
        </w:rPr>
        <w:t xml:space="preserve">Zajmoprimca (putem Nositelja) </w:t>
      </w:r>
      <w:r w:rsidRPr="00653DCF">
        <w:rPr>
          <w:color w:val="auto"/>
          <w:lang w:val="hr-HR"/>
        </w:rPr>
        <w:t xml:space="preserve">o svom odobrenju </w:t>
      </w:r>
      <w:r w:rsidR="0014426A" w:rsidRPr="00653DCF">
        <w:rPr>
          <w:color w:val="auto"/>
          <w:lang w:val="hr-HR"/>
        </w:rPr>
        <w:t>prijavljenog investicijskog projekta/</w:t>
      </w:r>
      <w:r w:rsidR="00BE50C6" w:rsidRPr="00653DCF">
        <w:rPr>
          <w:color w:val="auto"/>
          <w:lang w:val="hr-HR"/>
        </w:rPr>
        <w:t>prijavljenih investicijskih projekata</w:t>
      </w:r>
      <w:r w:rsidR="00241A47" w:rsidRPr="00653DCF">
        <w:rPr>
          <w:color w:val="auto"/>
          <w:lang w:val="hr-HR"/>
        </w:rPr>
        <w:t>,</w:t>
      </w:r>
      <w:r w:rsidR="00BE50C6" w:rsidRPr="00653DCF">
        <w:rPr>
          <w:color w:val="auto"/>
          <w:lang w:val="hr-HR"/>
        </w:rPr>
        <w:t xml:space="preserve"> uz navođenje iznosa </w:t>
      </w:r>
      <w:r w:rsidR="005E4E29" w:rsidRPr="00653DCF">
        <w:rPr>
          <w:color w:val="auto"/>
          <w:lang w:val="hr-HR"/>
        </w:rPr>
        <w:t>sredstava</w:t>
      </w:r>
      <w:r w:rsidR="001F674A" w:rsidRPr="00653DCF">
        <w:rPr>
          <w:color w:val="auto"/>
          <w:lang w:val="hr-HR"/>
        </w:rPr>
        <w:t xml:space="preserve"> </w:t>
      </w:r>
      <w:r w:rsidRPr="00653DCF">
        <w:rPr>
          <w:color w:val="auto"/>
          <w:lang w:val="hr-HR"/>
        </w:rPr>
        <w:t xml:space="preserve">EIB-a </w:t>
      </w:r>
      <w:r w:rsidR="002579D8" w:rsidRPr="00653DCF">
        <w:rPr>
          <w:color w:val="auto"/>
          <w:lang w:val="hr-HR"/>
        </w:rPr>
        <w:t xml:space="preserve">dodijeljenih </w:t>
      </w:r>
      <w:r w:rsidRPr="00653DCF">
        <w:rPr>
          <w:color w:val="auto"/>
          <w:lang w:val="hr-HR"/>
        </w:rPr>
        <w:t xml:space="preserve">svakom takvom </w:t>
      </w:r>
      <w:r w:rsidR="001F674A" w:rsidRPr="00653DCF">
        <w:rPr>
          <w:color w:val="auto"/>
          <w:lang w:val="hr-HR"/>
        </w:rPr>
        <w:t xml:space="preserve">investicijskom </w:t>
      </w:r>
      <w:r w:rsidR="001F674A" w:rsidRPr="00653DCF">
        <w:rPr>
          <w:color w:val="auto"/>
          <w:lang w:val="hr-HR"/>
        </w:rPr>
        <w:lastRenderedPageBreak/>
        <w:t>projektu</w:t>
      </w:r>
      <w:r w:rsidRPr="00653DCF">
        <w:rPr>
          <w:color w:val="auto"/>
          <w:lang w:val="hr-HR"/>
        </w:rPr>
        <w:t>.</w:t>
      </w:r>
      <w:bookmarkEnd w:id="236"/>
      <w:bookmarkEnd w:id="238"/>
    </w:p>
    <w:p w14:paraId="154C44BC" w14:textId="556DFCC9" w:rsidR="007A2A6F" w:rsidRPr="00653DCF" w:rsidRDefault="00E87B0B" w:rsidP="00B73D6F">
      <w:pPr>
        <w:pStyle w:val="Heading3"/>
        <w:ind w:left="851"/>
        <w:rPr>
          <w:color w:val="auto"/>
          <w:lang w:val="hr-HR"/>
        </w:rPr>
      </w:pPr>
      <w:bookmarkStart w:id="239" w:name="_Ref440876210"/>
      <w:bookmarkStart w:id="240" w:name="_Toc475441129"/>
      <w:bookmarkStart w:id="241" w:name="_Toc498018624"/>
      <w:bookmarkStart w:id="242" w:name="_Toc508120483"/>
      <w:bookmarkStart w:id="243" w:name="_Toc126080675"/>
      <w:bookmarkStart w:id="244" w:name="_Toc126080807"/>
      <w:r w:rsidRPr="00653DCF">
        <w:rPr>
          <w:color w:val="auto"/>
          <w:lang w:val="hr-HR"/>
        </w:rPr>
        <w:t>Preraspodjela</w:t>
      </w:r>
      <w:bookmarkEnd w:id="239"/>
      <w:bookmarkEnd w:id="240"/>
      <w:bookmarkEnd w:id="241"/>
      <w:bookmarkEnd w:id="242"/>
      <w:bookmarkEnd w:id="243"/>
      <w:bookmarkEnd w:id="244"/>
      <w:r w:rsidR="001F674A" w:rsidRPr="00653DCF">
        <w:rPr>
          <w:color w:val="auto"/>
          <w:lang w:val="hr-HR"/>
        </w:rPr>
        <w:t xml:space="preserve"> dodijeljenih sredstava</w:t>
      </w:r>
    </w:p>
    <w:p w14:paraId="0EF05EFE" w14:textId="746C6181" w:rsidR="007A2A6F" w:rsidRPr="00653DCF" w:rsidRDefault="00E87B0B" w:rsidP="00B73D6F">
      <w:pPr>
        <w:pStyle w:val="Heading4"/>
        <w:ind w:left="851"/>
        <w:rPr>
          <w:color w:val="auto"/>
          <w:lang w:val="hr-HR"/>
        </w:rPr>
      </w:pPr>
      <w:bookmarkStart w:id="245" w:name="_Toc505173429"/>
      <w:bookmarkStart w:id="246" w:name="_Ref440876311"/>
      <w:bookmarkStart w:id="247" w:name="_Toc475441130"/>
      <w:bookmarkStart w:id="248" w:name="_Toc498018625"/>
      <w:bookmarkStart w:id="249" w:name="_Toc508120484"/>
      <w:r w:rsidRPr="00653DCF">
        <w:rPr>
          <w:color w:val="auto"/>
          <w:lang w:val="hr-HR"/>
        </w:rPr>
        <w:t xml:space="preserve">PRERASPODJELA </w:t>
      </w:r>
      <w:r w:rsidR="00C41D4E" w:rsidRPr="00653DCF">
        <w:rPr>
          <w:color w:val="auto"/>
          <w:lang w:val="hr-HR"/>
        </w:rPr>
        <w:t xml:space="preserve">DODIJELJENIH SREDSTAVA </w:t>
      </w:r>
      <w:r w:rsidRPr="00653DCF">
        <w:rPr>
          <w:color w:val="auto"/>
          <w:lang w:val="hr-HR"/>
        </w:rPr>
        <w:t xml:space="preserve">NA ZAHTJEV </w:t>
      </w:r>
      <w:bookmarkEnd w:id="245"/>
      <w:r w:rsidR="00287CB4" w:rsidRPr="00653DCF">
        <w:rPr>
          <w:color w:val="auto"/>
          <w:lang w:val="hr-HR"/>
        </w:rPr>
        <w:t xml:space="preserve">ZAJMOPRIMCA (PUTEM </w:t>
      </w:r>
      <w:r w:rsidR="006A1AF1" w:rsidRPr="00653DCF">
        <w:rPr>
          <w:color w:val="auto"/>
          <w:lang w:val="hr-HR"/>
        </w:rPr>
        <w:t>NOSITELJA</w:t>
      </w:r>
      <w:r w:rsidR="00287CB4" w:rsidRPr="00653DCF">
        <w:rPr>
          <w:color w:val="auto"/>
          <w:lang w:val="hr-HR"/>
        </w:rPr>
        <w:t>)</w:t>
      </w:r>
    </w:p>
    <w:p w14:paraId="3678EA93" w14:textId="24D4CB66" w:rsidR="007A2A6F" w:rsidRPr="00653DCF" w:rsidRDefault="00E87B0B">
      <w:pPr>
        <w:rPr>
          <w:color w:val="auto"/>
          <w:lang w:val="hr-HR"/>
        </w:rPr>
      </w:pPr>
      <w:r w:rsidRPr="00653DCF">
        <w:rPr>
          <w:color w:val="auto"/>
          <w:lang w:val="hr-HR"/>
        </w:rPr>
        <w:t xml:space="preserve">Do datuma koji pada 3 (tri) mjeseca prije </w:t>
      </w:r>
      <w:r w:rsidR="001A3E8D" w:rsidRPr="00653DCF">
        <w:rPr>
          <w:color w:val="auto"/>
          <w:lang w:val="hr-HR"/>
        </w:rPr>
        <w:t>roka raspoloživosti sredstava</w:t>
      </w:r>
      <w:r w:rsidR="002579D8" w:rsidRPr="00653DCF">
        <w:rPr>
          <w:color w:val="auto"/>
          <w:lang w:val="hr-HR"/>
        </w:rPr>
        <w:t>,</w:t>
      </w:r>
      <w:r w:rsidR="001A3E8D" w:rsidRPr="00653DCF">
        <w:rPr>
          <w:color w:val="auto"/>
          <w:lang w:val="hr-HR"/>
        </w:rPr>
        <w:t xml:space="preserve"> </w:t>
      </w:r>
      <w:r w:rsidR="00287CB4" w:rsidRPr="00653DCF">
        <w:rPr>
          <w:color w:val="auto"/>
          <w:lang w:val="hr-HR"/>
        </w:rPr>
        <w:t>Zajmoprimac (</w:t>
      </w:r>
      <w:r w:rsidR="00DF33A7" w:rsidRPr="00653DCF">
        <w:rPr>
          <w:color w:val="auto"/>
          <w:lang w:val="hr-HR"/>
        </w:rPr>
        <w:t xml:space="preserve">koji djeluje </w:t>
      </w:r>
      <w:r w:rsidR="00287CB4" w:rsidRPr="00653DCF">
        <w:rPr>
          <w:color w:val="auto"/>
          <w:lang w:val="hr-HR"/>
        </w:rPr>
        <w:t xml:space="preserve">putem Nositelja) </w:t>
      </w:r>
      <w:r w:rsidRPr="00653DCF">
        <w:rPr>
          <w:color w:val="auto"/>
          <w:lang w:val="hr-HR"/>
        </w:rPr>
        <w:t xml:space="preserve">može, </w:t>
      </w:r>
      <w:r w:rsidR="00555EA8" w:rsidRPr="00653DCF">
        <w:rPr>
          <w:color w:val="auto"/>
          <w:lang w:val="hr-HR"/>
        </w:rPr>
        <w:t xml:space="preserve">uz pridržavanje postupka opisanog </w:t>
      </w:r>
      <w:r w:rsidRPr="00653DCF">
        <w:rPr>
          <w:color w:val="auto"/>
          <w:lang w:val="hr-HR"/>
        </w:rPr>
        <w:t xml:space="preserve">člancima </w:t>
      </w:r>
      <w:r w:rsidRPr="00653DCF">
        <w:rPr>
          <w:color w:val="auto"/>
          <w:lang w:val="hr-HR"/>
        </w:rPr>
        <w:fldChar w:fldCharType="begin"/>
      </w:r>
      <w:r w:rsidRPr="00653DCF">
        <w:rPr>
          <w:color w:val="auto"/>
          <w:lang w:val="hr-HR"/>
        </w:rPr>
        <w:instrText xml:space="preserve"> REF _Ref440723950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1.9.A</w:t>
      </w:r>
      <w:r w:rsidRPr="00653DCF">
        <w:rPr>
          <w:color w:val="auto"/>
          <w:lang w:val="hr-HR"/>
        </w:rPr>
        <w:fldChar w:fldCharType="end"/>
      </w:r>
      <w:r w:rsidRPr="00653DCF">
        <w:rPr>
          <w:color w:val="auto"/>
          <w:lang w:val="hr-HR"/>
        </w:rPr>
        <w:t xml:space="preserve"> i</w:t>
      </w:r>
      <w:r w:rsidR="00555EA8" w:rsidRPr="00653DCF">
        <w:rPr>
          <w:color w:val="auto"/>
          <w:lang w:val="hr-HR"/>
        </w:rPr>
        <w:t xml:space="preserve"> </w:t>
      </w:r>
      <w:r w:rsidRPr="00653DCF">
        <w:rPr>
          <w:color w:val="auto"/>
          <w:lang w:val="hr-HR"/>
        </w:rPr>
        <w:fldChar w:fldCharType="begin"/>
      </w:r>
      <w:r w:rsidRPr="00653DCF">
        <w:rPr>
          <w:color w:val="auto"/>
          <w:lang w:val="hr-HR"/>
        </w:rPr>
        <w:instrText xml:space="preserve"> REF _Ref440724023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1.9.B</w:t>
      </w:r>
      <w:r w:rsidRPr="00653DCF">
        <w:rPr>
          <w:color w:val="auto"/>
          <w:lang w:val="hr-HR"/>
        </w:rPr>
        <w:fldChar w:fldCharType="end"/>
      </w:r>
      <w:r w:rsidRPr="00653DCF">
        <w:rPr>
          <w:color w:val="auto"/>
          <w:lang w:val="hr-HR"/>
        </w:rPr>
        <w:t xml:space="preserve">, zatražiti od Banke preraspodjelu bilo kojeg </w:t>
      </w:r>
      <w:r w:rsidR="00555EA8" w:rsidRPr="00653DCF">
        <w:rPr>
          <w:color w:val="auto"/>
          <w:lang w:val="hr-HR"/>
        </w:rPr>
        <w:t xml:space="preserve">dijela već dodijeljenih </w:t>
      </w:r>
      <w:r w:rsidR="005E4E29" w:rsidRPr="00653DCF">
        <w:rPr>
          <w:color w:val="auto"/>
          <w:lang w:val="hr-HR"/>
        </w:rPr>
        <w:t>sredstava</w:t>
      </w:r>
      <w:r w:rsidR="00555EA8" w:rsidRPr="00653DCF">
        <w:rPr>
          <w:color w:val="auto"/>
          <w:lang w:val="hr-HR"/>
        </w:rPr>
        <w:t xml:space="preserve"> </w:t>
      </w:r>
      <w:r w:rsidRPr="00653DCF">
        <w:rPr>
          <w:color w:val="auto"/>
          <w:lang w:val="hr-HR"/>
        </w:rPr>
        <w:t xml:space="preserve">EIB-a. Zahtjev </w:t>
      </w:r>
      <w:r w:rsidR="006A1AF1" w:rsidRPr="00653DCF">
        <w:rPr>
          <w:color w:val="auto"/>
          <w:lang w:val="hr-HR"/>
        </w:rPr>
        <w:t>Nositelja</w:t>
      </w:r>
      <w:r w:rsidRPr="00653DCF">
        <w:rPr>
          <w:color w:val="auto"/>
          <w:lang w:val="hr-HR"/>
        </w:rPr>
        <w:t xml:space="preserve"> trebao bi sadržavati razloge </w:t>
      </w:r>
      <w:r w:rsidR="00C44526" w:rsidRPr="00653DCF">
        <w:rPr>
          <w:color w:val="auto"/>
          <w:lang w:val="hr-HR"/>
        </w:rPr>
        <w:t xml:space="preserve">zbog kojih se traži </w:t>
      </w:r>
      <w:r w:rsidR="002579D8" w:rsidRPr="00653DCF">
        <w:rPr>
          <w:color w:val="auto"/>
          <w:lang w:val="hr-HR"/>
        </w:rPr>
        <w:t xml:space="preserve">takva </w:t>
      </w:r>
      <w:r w:rsidR="00C44526" w:rsidRPr="00653DCF">
        <w:rPr>
          <w:color w:val="auto"/>
          <w:lang w:val="hr-HR"/>
        </w:rPr>
        <w:t>preraspodjela sredstava</w:t>
      </w:r>
      <w:r w:rsidRPr="00653DCF">
        <w:rPr>
          <w:color w:val="auto"/>
          <w:lang w:val="hr-HR"/>
        </w:rPr>
        <w:t>.</w:t>
      </w:r>
    </w:p>
    <w:p w14:paraId="57CBDB00" w14:textId="4C04B2EE" w:rsidR="007A2A6F" w:rsidRPr="00653DCF" w:rsidRDefault="00E87B0B" w:rsidP="00B73D6F">
      <w:pPr>
        <w:pStyle w:val="Heading4"/>
        <w:ind w:left="851"/>
        <w:rPr>
          <w:color w:val="auto"/>
          <w:lang w:val="hr-HR"/>
        </w:rPr>
      </w:pPr>
      <w:bookmarkStart w:id="250" w:name="_Toc505173430"/>
      <w:r w:rsidRPr="00653DCF">
        <w:rPr>
          <w:color w:val="auto"/>
          <w:lang w:val="hr-HR"/>
        </w:rPr>
        <w:t xml:space="preserve">PRERASPODJELA </w:t>
      </w:r>
      <w:r w:rsidR="00C41D4E" w:rsidRPr="00653DCF">
        <w:rPr>
          <w:color w:val="auto"/>
          <w:lang w:val="hr-HR"/>
        </w:rPr>
        <w:t xml:space="preserve">DODIJELJENIH SREDSTAVA </w:t>
      </w:r>
      <w:r w:rsidRPr="00653DCF">
        <w:rPr>
          <w:color w:val="auto"/>
          <w:lang w:val="hr-HR"/>
        </w:rPr>
        <w:t>NA ZAHTJEV BANKE</w:t>
      </w:r>
      <w:bookmarkEnd w:id="250"/>
    </w:p>
    <w:p w14:paraId="429D616C" w14:textId="1A6BCB1E" w:rsidR="007A2A6F" w:rsidRPr="00653DCF" w:rsidRDefault="00287CB4">
      <w:pPr>
        <w:widowControl w:val="0"/>
        <w:rPr>
          <w:color w:val="auto"/>
          <w:lang w:val="hr-HR"/>
        </w:rPr>
      </w:pPr>
      <w:r w:rsidRPr="00653DCF">
        <w:rPr>
          <w:color w:val="auto"/>
          <w:lang w:val="hr-HR"/>
        </w:rPr>
        <w:t>Zajmoprimac</w:t>
      </w:r>
      <w:r w:rsidR="00E87B0B" w:rsidRPr="00653DCF">
        <w:rPr>
          <w:color w:val="auto"/>
          <w:lang w:val="hr-HR"/>
        </w:rPr>
        <w:t xml:space="preserve"> će predložiti preraspodjelu </w:t>
      </w:r>
      <w:r w:rsidR="002579D8" w:rsidRPr="00653DCF">
        <w:rPr>
          <w:color w:val="auto"/>
          <w:lang w:val="hr-HR"/>
        </w:rPr>
        <w:t xml:space="preserve">bilo </w:t>
      </w:r>
      <w:r w:rsidR="00CB36AC" w:rsidRPr="00653DCF">
        <w:rPr>
          <w:color w:val="auto"/>
          <w:lang w:val="hr-HR"/>
        </w:rPr>
        <w:t xml:space="preserve">kojeg dijela </w:t>
      </w:r>
      <w:r w:rsidR="005E4E29" w:rsidRPr="00653DCF">
        <w:rPr>
          <w:color w:val="auto"/>
          <w:lang w:val="hr-HR"/>
        </w:rPr>
        <w:t>sredstava</w:t>
      </w:r>
      <w:r w:rsidR="00E87B0B" w:rsidRPr="00653DCF">
        <w:rPr>
          <w:color w:val="auto"/>
          <w:lang w:val="hr-HR"/>
        </w:rPr>
        <w:t xml:space="preserve"> EIB-a </w:t>
      </w:r>
      <w:r w:rsidR="00CB36AC" w:rsidRPr="00653DCF">
        <w:rPr>
          <w:color w:val="auto"/>
          <w:lang w:val="hr-HR"/>
        </w:rPr>
        <w:t xml:space="preserve">dodijeljenih </w:t>
      </w:r>
      <w:r w:rsidR="00E87B0B" w:rsidRPr="00653DCF">
        <w:rPr>
          <w:color w:val="auto"/>
          <w:lang w:val="hr-HR"/>
        </w:rPr>
        <w:t xml:space="preserve">u skladu s člankom </w:t>
      </w:r>
      <w:r w:rsidR="00E87B0B" w:rsidRPr="00653DCF">
        <w:rPr>
          <w:color w:val="auto"/>
          <w:lang w:val="hr-HR"/>
        </w:rPr>
        <w:fldChar w:fldCharType="begin"/>
      </w:r>
      <w:r w:rsidR="00E87B0B" w:rsidRPr="00653DCF">
        <w:rPr>
          <w:color w:val="auto"/>
          <w:lang w:val="hr-HR"/>
        </w:rPr>
        <w:instrText xml:space="preserve"> REF _Ref440724023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1.9.B</w:t>
      </w:r>
      <w:r w:rsidR="00E87B0B" w:rsidRPr="00653DCF">
        <w:rPr>
          <w:color w:val="auto"/>
          <w:lang w:val="hr-HR"/>
        </w:rPr>
        <w:fldChar w:fldCharType="end"/>
      </w:r>
      <w:r w:rsidR="00001511" w:rsidRPr="00653DCF">
        <w:rPr>
          <w:color w:val="auto"/>
          <w:lang w:val="hr-HR"/>
        </w:rPr>
        <w:t xml:space="preserve"> </w:t>
      </w:r>
      <w:r w:rsidR="00E87B0B" w:rsidRPr="00653DCF">
        <w:rPr>
          <w:color w:val="auto"/>
          <w:lang w:val="hr-HR"/>
        </w:rPr>
        <w:t xml:space="preserve">ako bilo koji </w:t>
      </w:r>
      <w:r w:rsidR="00001511" w:rsidRPr="00653DCF">
        <w:rPr>
          <w:color w:val="auto"/>
          <w:lang w:val="hr-HR"/>
        </w:rPr>
        <w:t>investicijski projekt</w:t>
      </w:r>
      <w:r w:rsidR="00CB36AC" w:rsidRPr="00653DCF">
        <w:rPr>
          <w:color w:val="auto"/>
          <w:lang w:val="hr-HR"/>
        </w:rPr>
        <w:t>,</w:t>
      </w:r>
      <w:r w:rsidR="00001511" w:rsidRPr="00653DCF">
        <w:rPr>
          <w:color w:val="auto"/>
          <w:lang w:val="hr-HR"/>
        </w:rPr>
        <w:t xml:space="preserve"> </w:t>
      </w:r>
      <w:r w:rsidR="00E87B0B" w:rsidRPr="00653DCF">
        <w:rPr>
          <w:color w:val="auto"/>
          <w:lang w:val="hr-HR"/>
        </w:rPr>
        <w:t xml:space="preserve">koji </w:t>
      </w:r>
      <w:r w:rsidR="00C77D1E" w:rsidRPr="00653DCF">
        <w:rPr>
          <w:color w:val="auto"/>
          <w:lang w:val="hr-HR"/>
        </w:rPr>
        <w:t>u skladu s</w:t>
      </w:r>
      <w:r w:rsidR="00E87B0B" w:rsidRPr="00653DCF">
        <w:rPr>
          <w:color w:val="auto"/>
          <w:lang w:val="hr-HR"/>
        </w:rPr>
        <w:t xml:space="preserve"> </w:t>
      </w:r>
      <w:r w:rsidR="00C77D1E" w:rsidRPr="00653DCF">
        <w:rPr>
          <w:color w:val="auto"/>
          <w:lang w:val="hr-HR"/>
        </w:rPr>
        <w:t xml:space="preserve">pismom </w:t>
      </w:r>
      <w:r w:rsidR="00E87B0B" w:rsidRPr="00653DCF">
        <w:rPr>
          <w:color w:val="auto"/>
          <w:lang w:val="hr-HR"/>
        </w:rPr>
        <w:t xml:space="preserve">o dodjeli sredstava Banke, prema mišljenju Banke nije prihvatljiv </w:t>
      </w:r>
      <w:r w:rsidR="0001270A" w:rsidRPr="00653DCF">
        <w:rPr>
          <w:color w:val="auto"/>
          <w:lang w:val="hr-HR"/>
        </w:rPr>
        <w:t xml:space="preserve">ili postane neprihvatljiv </w:t>
      </w:r>
      <w:r w:rsidR="00E87B0B" w:rsidRPr="00653DCF">
        <w:rPr>
          <w:color w:val="auto"/>
          <w:lang w:val="hr-HR"/>
        </w:rPr>
        <w:t xml:space="preserve">za financiranje od strane Banke u skladu sa Statutom, politikama ili smjernicama Banke ili na temelju članka 309. Ugovora o funkcioniranju Europske unije. Banka će svoje mišljenje </w:t>
      </w:r>
      <w:r w:rsidR="002D36E6" w:rsidRPr="00653DCF">
        <w:rPr>
          <w:color w:val="auto"/>
          <w:lang w:val="hr-HR"/>
        </w:rPr>
        <w:t xml:space="preserve">o tome </w:t>
      </w:r>
      <w:r w:rsidR="001B47D6" w:rsidRPr="00653DCF">
        <w:rPr>
          <w:color w:val="auto"/>
          <w:lang w:val="hr-HR"/>
        </w:rPr>
        <w:t>Nositelju</w:t>
      </w:r>
      <w:r w:rsidR="00E87B0B" w:rsidRPr="00653DCF">
        <w:rPr>
          <w:color w:val="auto"/>
          <w:lang w:val="hr-HR"/>
        </w:rPr>
        <w:t xml:space="preserve"> </w:t>
      </w:r>
      <w:r w:rsidR="00CB36AC" w:rsidRPr="00653DCF">
        <w:rPr>
          <w:color w:val="auto"/>
          <w:lang w:val="hr-HR"/>
        </w:rPr>
        <w:t xml:space="preserve">dostaviti </w:t>
      </w:r>
      <w:r w:rsidR="00E87B0B" w:rsidRPr="00653DCF">
        <w:rPr>
          <w:color w:val="auto"/>
          <w:lang w:val="hr-HR"/>
        </w:rPr>
        <w:t>u pisanom obliku.</w:t>
      </w:r>
    </w:p>
    <w:p w14:paraId="2AAF3E95" w14:textId="22EB877A" w:rsidR="007A2A6F" w:rsidRPr="00653DCF" w:rsidRDefault="00E87B0B" w:rsidP="00B73D6F">
      <w:pPr>
        <w:pStyle w:val="Heading4"/>
        <w:ind w:left="851"/>
        <w:rPr>
          <w:color w:val="auto"/>
          <w:lang w:val="hr-HR"/>
        </w:rPr>
      </w:pPr>
      <w:bookmarkStart w:id="251" w:name="_Toc505173431"/>
      <w:r w:rsidRPr="00653DCF">
        <w:rPr>
          <w:color w:val="auto"/>
          <w:lang w:val="hr-HR"/>
        </w:rPr>
        <w:t>POSTUPCI PRERASPODJELE</w:t>
      </w:r>
      <w:bookmarkEnd w:id="251"/>
      <w:r w:rsidRPr="00653DCF">
        <w:rPr>
          <w:color w:val="auto"/>
          <w:lang w:val="hr-HR"/>
        </w:rPr>
        <w:t xml:space="preserve"> </w:t>
      </w:r>
      <w:r w:rsidR="00C41D4E" w:rsidRPr="00653DCF">
        <w:rPr>
          <w:color w:val="auto"/>
          <w:lang w:val="hr-HR"/>
        </w:rPr>
        <w:t>SREDSTAVA</w:t>
      </w:r>
    </w:p>
    <w:p w14:paraId="2000A582" w14:textId="5E756E01" w:rsidR="007A2A6F" w:rsidRPr="00653DCF" w:rsidRDefault="00E87B0B">
      <w:pPr>
        <w:widowControl w:val="0"/>
        <w:rPr>
          <w:color w:val="auto"/>
          <w:lang w:val="hr-HR"/>
        </w:rPr>
      </w:pPr>
      <w:r w:rsidRPr="00653DCF">
        <w:rPr>
          <w:color w:val="auto"/>
          <w:lang w:val="hr-HR"/>
        </w:rPr>
        <w:t xml:space="preserve">Banka će provesti svaki takav pregled ili procjenu na temelju informacija ili dokumenata koje </w:t>
      </w:r>
      <w:r w:rsidR="00127BA4" w:rsidRPr="00653DCF">
        <w:rPr>
          <w:color w:val="auto"/>
          <w:lang w:val="hr-HR"/>
        </w:rPr>
        <w:t xml:space="preserve">opravdano može </w:t>
      </w:r>
      <w:r w:rsidR="002D36E6" w:rsidRPr="00653DCF">
        <w:rPr>
          <w:color w:val="auto"/>
          <w:lang w:val="hr-HR"/>
        </w:rPr>
        <w:t xml:space="preserve">zatražiti </w:t>
      </w:r>
      <w:r w:rsidRPr="00653DCF">
        <w:rPr>
          <w:color w:val="auto"/>
          <w:lang w:val="hr-HR"/>
        </w:rPr>
        <w:t xml:space="preserve">od </w:t>
      </w:r>
      <w:r w:rsidR="002F2CDF" w:rsidRPr="00653DCF">
        <w:rPr>
          <w:color w:val="auto"/>
          <w:lang w:val="hr-HR"/>
        </w:rPr>
        <w:t xml:space="preserve">Zajmoprimca ili </w:t>
      </w:r>
      <w:r w:rsidR="001B47D6" w:rsidRPr="00653DCF">
        <w:rPr>
          <w:color w:val="auto"/>
          <w:lang w:val="hr-HR"/>
        </w:rPr>
        <w:t>Nositelja</w:t>
      </w:r>
      <w:r w:rsidRPr="00653DCF">
        <w:rPr>
          <w:color w:val="auto"/>
          <w:lang w:val="hr-HR"/>
        </w:rPr>
        <w:t xml:space="preserve"> u vezi s financiranjem, nabavom, provedbom, poslovanjem i ekološkim ili socijalnim učinkom</w:t>
      </w:r>
      <w:r w:rsidR="00C032C9" w:rsidRPr="00653DCF">
        <w:rPr>
          <w:color w:val="auto"/>
          <w:lang w:val="hr-HR"/>
        </w:rPr>
        <w:t xml:space="preserve"> investicijskog projekta predloženog za preraspodjelu sredstava</w:t>
      </w:r>
      <w:r w:rsidRPr="00653DCF">
        <w:rPr>
          <w:color w:val="auto"/>
          <w:lang w:val="hr-HR"/>
        </w:rPr>
        <w:t xml:space="preserve">. </w:t>
      </w:r>
    </w:p>
    <w:p w14:paraId="53DA3BB9" w14:textId="5ED161D2" w:rsidR="007A2A6F" w:rsidRPr="00653DCF" w:rsidRDefault="00C032C9">
      <w:pPr>
        <w:widowControl w:val="0"/>
        <w:rPr>
          <w:color w:val="auto"/>
          <w:lang w:val="hr-HR"/>
        </w:rPr>
      </w:pPr>
      <w:r w:rsidRPr="00653DCF">
        <w:rPr>
          <w:color w:val="auto"/>
          <w:lang w:val="hr-HR"/>
        </w:rPr>
        <w:t xml:space="preserve">U slučaju odobrenja, </w:t>
      </w:r>
      <w:r w:rsidR="00E87B0B" w:rsidRPr="00653DCF">
        <w:rPr>
          <w:color w:val="auto"/>
          <w:lang w:val="hr-HR"/>
        </w:rPr>
        <w:t xml:space="preserve">Banka će izdati </w:t>
      </w:r>
      <w:r w:rsidRPr="00653DCF">
        <w:rPr>
          <w:color w:val="auto"/>
          <w:lang w:val="hr-HR"/>
        </w:rPr>
        <w:t>p</w:t>
      </w:r>
      <w:r w:rsidR="00E87B0B" w:rsidRPr="00653DCF">
        <w:rPr>
          <w:color w:val="auto"/>
          <w:lang w:val="hr-HR"/>
        </w:rPr>
        <w:t>ismo o dodjeli sredstava.</w:t>
      </w:r>
    </w:p>
    <w:p w14:paraId="48C5663C" w14:textId="1F8F1209" w:rsidR="007A2A6F" w:rsidRPr="00653DCF" w:rsidRDefault="003D033E" w:rsidP="003D033E">
      <w:pPr>
        <w:pStyle w:val="Heading1"/>
        <w:numPr>
          <w:ilvl w:val="0"/>
          <w:numId w:val="0"/>
        </w:numPr>
        <w:rPr>
          <w:color w:val="auto"/>
          <w:lang w:val="hr-HR"/>
        </w:rPr>
      </w:pPr>
      <w:bookmarkStart w:id="252" w:name="_Toc475441131"/>
      <w:bookmarkStart w:id="253" w:name="_Toc498018626"/>
      <w:bookmarkStart w:id="254" w:name="_Toc508120485"/>
      <w:bookmarkStart w:id="255" w:name="_Toc126080677"/>
      <w:bookmarkStart w:id="256" w:name="_Toc126080809"/>
      <w:bookmarkEnd w:id="246"/>
      <w:bookmarkEnd w:id="247"/>
      <w:bookmarkEnd w:id="248"/>
      <w:bookmarkEnd w:id="249"/>
      <w:bookmarkEnd w:id="252"/>
      <w:bookmarkEnd w:id="253"/>
      <w:bookmarkEnd w:id="254"/>
      <w:bookmarkEnd w:id="255"/>
      <w:bookmarkEnd w:id="256"/>
      <w:r>
        <w:rPr>
          <w:color w:val="auto"/>
          <w:lang w:val="hr-HR"/>
        </w:rPr>
        <w:t>ČLANAK 2</w:t>
      </w:r>
      <w:r w:rsidR="003C1F51">
        <w:rPr>
          <w:color w:val="auto"/>
          <w:lang w:val="hr-HR"/>
        </w:rPr>
        <w:t>.</w:t>
      </w:r>
    </w:p>
    <w:p w14:paraId="57EFD78C" w14:textId="77777777" w:rsidR="007A2A6F" w:rsidRPr="00653DCF" w:rsidRDefault="00E87B0B">
      <w:pPr>
        <w:pStyle w:val="ArticleTitleEIB"/>
        <w:rPr>
          <w:color w:val="auto"/>
          <w:lang w:val="hr-HR"/>
        </w:rPr>
      </w:pPr>
      <w:r w:rsidRPr="00653DCF">
        <w:rPr>
          <w:color w:val="auto"/>
          <w:lang w:val="hr-HR"/>
        </w:rPr>
        <w:t>Zajam</w:t>
      </w:r>
    </w:p>
    <w:p w14:paraId="425CFCDB" w14:textId="77777777" w:rsidR="003D033E" w:rsidRPr="003D033E" w:rsidRDefault="003D033E" w:rsidP="003D033E">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bookmarkStart w:id="257" w:name="_Toc475441132"/>
      <w:bookmarkStart w:id="258" w:name="_Toc498018627"/>
      <w:bookmarkStart w:id="259" w:name="_Toc508120486"/>
      <w:bookmarkStart w:id="260" w:name="_Toc126080678"/>
      <w:bookmarkStart w:id="261" w:name="_Toc126080810"/>
    </w:p>
    <w:p w14:paraId="272D0834" w14:textId="487B6EF8" w:rsidR="007A2A6F" w:rsidRPr="00653DCF" w:rsidRDefault="00E87B0B" w:rsidP="003D033E">
      <w:pPr>
        <w:pStyle w:val="Heading2"/>
        <w:ind w:left="851"/>
        <w:rPr>
          <w:lang w:val="hr-HR"/>
        </w:rPr>
      </w:pPr>
      <w:r w:rsidRPr="00653DCF">
        <w:rPr>
          <w:lang w:val="hr-HR"/>
        </w:rPr>
        <w:t xml:space="preserve">Iznos </w:t>
      </w:r>
      <w:bookmarkEnd w:id="257"/>
      <w:bookmarkEnd w:id="258"/>
      <w:bookmarkEnd w:id="259"/>
      <w:bookmarkEnd w:id="260"/>
      <w:bookmarkEnd w:id="261"/>
      <w:r w:rsidR="008B11A3" w:rsidRPr="00653DCF">
        <w:rPr>
          <w:lang w:val="hr-HR"/>
        </w:rPr>
        <w:t>zajma</w:t>
      </w:r>
    </w:p>
    <w:p w14:paraId="05A06D6A" w14:textId="48334B6F" w:rsidR="007A2A6F" w:rsidRPr="00653DCF" w:rsidRDefault="00E87B0B">
      <w:pPr>
        <w:rPr>
          <w:color w:val="auto"/>
          <w:lang w:val="hr-HR"/>
        </w:rPr>
      </w:pPr>
      <w:r w:rsidRPr="00653DCF">
        <w:rPr>
          <w:color w:val="auto"/>
          <w:lang w:val="hr-HR"/>
        </w:rPr>
        <w:t xml:space="preserve">Zajam </w:t>
      </w:r>
      <w:r w:rsidR="000B4E86" w:rsidRPr="00653DCF">
        <w:rPr>
          <w:color w:val="auto"/>
          <w:lang w:val="hr-HR"/>
        </w:rPr>
        <w:t xml:space="preserve">obuhvaća ukupni iznos tranši koje Banka isplati u sklopu kredita, potvrđen od strane Banke u skladu s člankom </w:t>
      </w:r>
      <w:r w:rsidRPr="00653DCF">
        <w:rPr>
          <w:color w:val="auto"/>
          <w:lang w:val="hr-HR"/>
        </w:rPr>
        <w:fldChar w:fldCharType="begin"/>
      </w:r>
      <w:r w:rsidRPr="00653DCF">
        <w:rPr>
          <w:color w:val="auto"/>
          <w:lang w:val="hr-HR"/>
        </w:rPr>
        <w:instrText xml:space="preserve"> REF _Ref426952530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2.3</w:t>
      </w:r>
      <w:r w:rsidRPr="00653DCF">
        <w:rPr>
          <w:color w:val="auto"/>
          <w:lang w:val="hr-HR"/>
        </w:rPr>
        <w:fldChar w:fldCharType="end"/>
      </w:r>
      <w:r w:rsidRPr="00653DCF">
        <w:rPr>
          <w:color w:val="auto"/>
          <w:lang w:val="hr-HR"/>
        </w:rPr>
        <w:t>.</w:t>
      </w:r>
    </w:p>
    <w:p w14:paraId="769229A9" w14:textId="34AA9C1B" w:rsidR="007A2A6F" w:rsidRPr="00653DCF" w:rsidRDefault="00E87B0B" w:rsidP="00613099">
      <w:pPr>
        <w:pStyle w:val="Heading2"/>
        <w:ind w:left="851"/>
        <w:rPr>
          <w:color w:val="auto"/>
          <w:lang w:val="hr-HR"/>
        </w:rPr>
      </w:pPr>
      <w:bookmarkStart w:id="262" w:name="_Toc126080679"/>
      <w:bookmarkStart w:id="263" w:name="_Toc126080811"/>
      <w:bookmarkStart w:id="264" w:name="_Toc475441133"/>
      <w:bookmarkStart w:id="265" w:name="_Toc498018628"/>
      <w:bookmarkStart w:id="266" w:name="_Toc508120487"/>
      <w:r w:rsidRPr="00653DCF">
        <w:rPr>
          <w:color w:val="auto"/>
          <w:lang w:val="hr-HR"/>
        </w:rPr>
        <w:t>Valuta plaćanja</w:t>
      </w:r>
      <w:bookmarkEnd w:id="262"/>
      <w:bookmarkEnd w:id="263"/>
      <w:r w:rsidRPr="00653DCF">
        <w:rPr>
          <w:color w:val="auto"/>
          <w:lang w:val="hr-HR"/>
        </w:rPr>
        <w:t xml:space="preserve"> </w:t>
      </w:r>
      <w:bookmarkEnd w:id="264"/>
      <w:bookmarkEnd w:id="265"/>
      <w:bookmarkEnd w:id="266"/>
    </w:p>
    <w:p w14:paraId="60553466" w14:textId="6A79BCFE" w:rsidR="007A2A6F" w:rsidRPr="00653DCF" w:rsidRDefault="00E87B0B">
      <w:pPr>
        <w:rPr>
          <w:color w:val="auto"/>
          <w:lang w:val="hr-HR"/>
        </w:rPr>
      </w:pPr>
      <w:r w:rsidRPr="00653DCF">
        <w:rPr>
          <w:color w:val="auto"/>
          <w:lang w:val="hr-HR"/>
        </w:rPr>
        <w:t xml:space="preserve">Zajmoprimac </w:t>
      </w:r>
      <w:r w:rsidR="0099792B" w:rsidRPr="00653DCF">
        <w:rPr>
          <w:color w:val="auto"/>
          <w:lang w:val="hr-HR"/>
        </w:rPr>
        <w:t xml:space="preserve">plaća kamate, glavnicu i ostale naknade plative u vezi sa svakom tranšom u valuti u kojoj je </w:t>
      </w:r>
      <w:r w:rsidR="00DB581D" w:rsidRPr="00653DCF">
        <w:rPr>
          <w:color w:val="auto"/>
          <w:lang w:val="hr-HR"/>
        </w:rPr>
        <w:t xml:space="preserve">ta </w:t>
      </w:r>
      <w:r w:rsidR="0099792B" w:rsidRPr="00653DCF">
        <w:rPr>
          <w:color w:val="auto"/>
          <w:lang w:val="hr-HR"/>
        </w:rPr>
        <w:t>tranša isplaćena</w:t>
      </w:r>
      <w:r w:rsidRPr="00653DCF">
        <w:rPr>
          <w:color w:val="auto"/>
          <w:lang w:val="hr-HR"/>
        </w:rPr>
        <w:t>.</w:t>
      </w:r>
    </w:p>
    <w:p w14:paraId="3FC81E92" w14:textId="74522238" w:rsidR="007A2A6F" w:rsidRPr="00653DCF" w:rsidRDefault="000608CA">
      <w:pPr>
        <w:rPr>
          <w:color w:val="auto"/>
          <w:lang w:val="hr-HR"/>
        </w:rPr>
      </w:pPr>
      <w:r w:rsidRPr="00653DCF">
        <w:rPr>
          <w:color w:val="auto"/>
          <w:lang w:val="hr-HR"/>
        </w:rPr>
        <w:t>Sva druga plaćanja, ako ih bude, izvršavaju se u valuti koju odredi Banka s obzirom na valutu izdatka koji će se nadoknaditi navedenim plaćanjem</w:t>
      </w:r>
      <w:r w:rsidR="00E87B0B" w:rsidRPr="00653DCF">
        <w:rPr>
          <w:color w:val="auto"/>
          <w:lang w:val="hr-HR"/>
        </w:rPr>
        <w:t>.</w:t>
      </w:r>
    </w:p>
    <w:p w14:paraId="7B49A7FE" w14:textId="77777777" w:rsidR="007A2A6F" w:rsidRPr="00653DCF" w:rsidRDefault="00E87B0B" w:rsidP="00613099">
      <w:pPr>
        <w:pStyle w:val="Heading2"/>
        <w:ind w:left="851"/>
        <w:rPr>
          <w:color w:val="auto"/>
          <w:lang w:val="hr-HR"/>
        </w:rPr>
      </w:pPr>
      <w:bookmarkStart w:id="267" w:name="_Ref426952530"/>
      <w:bookmarkStart w:id="268" w:name="_Ref426982329"/>
      <w:bookmarkStart w:id="269" w:name="_Toc475441134"/>
      <w:bookmarkStart w:id="270" w:name="_Toc498018629"/>
      <w:bookmarkStart w:id="271" w:name="_Toc508120488"/>
      <w:bookmarkStart w:id="272" w:name="_Toc126080680"/>
      <w:bookmarkStart w:id="273" w:name="_Toc126080812"/>
      <w:r w:rsidRPr="00653DCF">
        <w:rPr>
          <w:color w:val="auto"/>
          <w:lang w:val="hr-HR"/>
        </w:rPr>
        <w:t>Potvrda Banke</w:t>
      </w:r>
      <w:bookmarkEnd w:id="267"/>
      <w:bookmarkEnd w:id="268"/>
      <w:bookmarkEnd w:id="269"/>
      <w:bookmarkEnd w:id="270"/>
      <w:bookmarkEnd w:id="271"/>
      <w:bookmarkEnd w:id="272"/>
      <w:bookmarkEnd w:id="273"/>
    </w:p>
    <w:p w14:paraId="53BEBD20" w14:textId="56A58526" w:rsidR="007A2A6F" w:rsidRPr="00653DCF" w:rsidRDefault="00DC3A81">
      <w:pPr>
        <w:rPr>
          <w:color w:val="auto"/>
          <w:lang w:val="hr-HR"/>
        </w:rPr>
      </w:pPr>
      <w:r w:rsidRPr="00653DCF">
        <w:rPr>
          <w:color w:val="auto"/>
          <w:lang w:val="hr-HR"/>
        </w:rPr>
        <w:t xml:space="preserve">Najkasnije u roku od 10 (deset) kalendarskih dana nakon planiranog datuma isplate za </w:t>
      </w:r>
      <w:r w:rsidR="00E87B0B" w:rsidRPr="00653DCF">
        <w:rPr>
          <w:color w:val="auto"/>
          <w:lang w:val="hr-HR"/>
        </w:rPr>
        <w:t>konkretnu</w:t>
      </w:r>
      <w:r w:rsidRPr="00653DCF">
        <w:rPr>
          <w:color w:val="auto"/>
          <w:lang w:val="hr-HR"/>
        </w:rPr>
        <w:t xml:space="preserve"> tranšu, </w:t>
      </w:r>
      <w:r w:rsidR="00E87B0B" w:rsidRPr="00653DCF">
        <w:rPr>
          <w:color w:val="auto"/>
          <w:lang w:val="hr-HR"/>
        </w:rPr>
        <w:t>Banka će Zajmoprimcu</w:t>
      </w:r>
      <w:r w:rsidR="00707AB2" w:rsidRPr="00653DCF">
        <w:rPr>
          <w:color w:val="auto"/>
          <w:lang w:val="hr-HR"/>
        </w:rPr>
        <w:t>, po potrebi,</w:t>
      </w:r>
      <w:r w:rsidR="00E87B0B" w:rsidRPr="00653DCF">
        <w:rPr>
          <w:color w:val="auto"/>
          <w:lang w:val="hr-HR"/>
        </w:rPr>
        <w:t xml:space="preserve"> dostaviti </w:t>
      </w:r>
      <w:r w:rsidR="00BF48AC" w:rsidRPr="00653DCF">
        <w:rPr>
          <w:color w:val="auto"/>
          <w:lang w:val="hr-HR"/>
        </w:rPr>
        <w:t xml:space="preserve">plan otplate zajma </w:t>
      </w:r>
      <w:r w:rsidR="005144A9" w:rsidRPr="00653DCF">
        <w:rPr>
          <w:color w:val="auto"/>
          <w:lang w:val="hr-HR"/>
        </w:rPr>
        <w:t xml:space="preserve">iz </w:t>
      </w:r>
      <w:r w:rsidR="00E87B0B" w:rsidRPr="00653DCF">
        <w:rPr>
          <w:color w:val="auto"/>
          <w:lang w:val="hr-HR"/>
        </w:rPr>
        <w:t xml:space="preserve">članka </w:t>
      </w:r>
      <w:r w:rsidR="00E87B0B" w:rsidRPr="00653DCF">
        <w:rPr>
          <w:color w:val="auto"/>
          <w:lang w:val="hr-HR"/>
        </w:rPr>
        <w:fldChar w:fldCharType="begin"/>
      </w:r>
      <w:r w:rsidR="00E87B0B" w:rsidRPr="00653DCF">
        <w:rPr>
          <w:color w:val="auto"/>
          <w:lang w:val="hr-HR"/>
        </w:rPr>
        <w:instrText xml:space="preserve"> REF _Ref426952561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4</w:t>
      </w:r>
      <w:r w:rsidR="00E87B0B" w:rsidRPr="00653DCF">
        <w:rPr>
          <w:color w:val="auto"/>
          <w:lang w:val="hr-HR"/>
        </w:rPr>
        <w:fldChar w:fldCharType="end"/>
      </w:r>
      <w:r w:rsidR="005144A9" w:rsidRPr="00653DCF">
        <w:rPr>
          <w:color w:val="auto"/>
          <w:lang w:val="hr-HR"/>
        </w:rPr>
        <w:t xml:space="preserve">., koji </w:t>
      </w:r>
      <w:r w:rsidR="00C02C13" w:rsidRPr="00653DCF">
        <w:rPr>
          <w:color w:val="auto"/>
          <w:lang w:val="hr-HR"/>
        </w:rPr>
        <w:t xml:space="preserve">sadrži </w:t>
      </w:r>
      <w:r w:rsidR="005144A9" w:rsidRPr="00653DCF">
        <w:rPr>
          <w:color w:val="auto"/>
          <w:lang w:val="hr-HR"/>
        </w:rPr>
        <w:t>datum isplate, valutu</w:t>
      </w:r>
      <w:r w:rsidR="00AE5A5B" w:rsidRPr="00653DCF">
        <w:rPr>
          <w:color w:val="auto"/>
          <w:lang w:val="hr-HR"/>
        </w:rPr>
        <w:t xml:space="preserve">, isplaćeni iznos, rokove otplate i kamatnu stopu </w:t>
      </w:r>
      <w:r w:rsidR="00D40054" w:rsidRPr="00653DCF">
        <w:rPr>
          <w:color w:val="auto"/>
          <w:lang w:val="hr-HR"/>
        </w:rPr>
        <w:t>za svaku tranšu</w:t>
      </w:r>
      <w:r w:rsidR="00E87B0B" w:rsidRPr="00653DCF">
        <w:rPr>
          <w:color w:val="auto"/>
          <w:lang w:val="hr-HR"/>
        </w:rPr>
        <w:t xml:space="preserve">. </w:t>
      </w:r>
    </w:p>
    <w:p w14:paraId="2314CB21" w14:textId="4D57CF84" w:rsidR="007A2A6F" w:rsidRPr="00653DCF" w:rsidRDefault="003D033E" w:rsidP="003D033E">
      <w:pPr>
        <w:pStyle w:val="Heading1"/>
        <w:numPr>
          <w:ilvl w:val="0"/>
          <w:numId w:val="0"/>
        </w:numPr>
        <w:rPr>
          <w:color w:val="auto"/>
          <w:lang w:val="hr-HR"/>
        </w:rPr>
      </w:pPr>
      <w:bookmarkStart w:id="274" w:name="_Toc475441135"/>
      <w:bookmarkStart w:id="275" w:name="_Toc498018630"/>
      <w:bookmarkStart w:id="276" w:name="_Toc508120489"/>
      <w:bookmarkStart w:id="277" w:name="_Toc126080681"/>
      <w:bookmarkStart w:id="278" w:name="_Toc126080813"/>
      <w:bookmarkStart w:id="279" w:name="_Ref426714819"/>
      <w:bookmarkEnd w:id="274"/>
      <w:bookmarkEnd w:id="275"/>
      <w:bookmarkEnd w:id="276"/>
      <w:bookmarkEnd w:id="277"/>
      <w:bookmarkEnd w:id="278"/>
      <w:r>
        <w:rPr>
          <w:color w:val="auto"/>
          <w:lang w:val="hr-HR"/>
        </w:rPr>
        <w:lastRenderedPageBreak/>
        <w:t>ČLANAK 3</w:t>
      </w:r>
      <w:r w:rsidR="003C1F51">
        <w:rPr>
          <w:color w:val="auto"/>
          <w:lang w:val="hr-HR"/>
        </w:rPr>
        <w:t>.</w:t>
      </w:r>
    </w:p>
    <w:bookmarkEnd w:id="279"/>
    <w:p w14:paraId="6FC18355" w14:textId="772B9EF9" w:rsidR="007A2A6F" w:rsidRPr="00653DCF" w:rsidRDefault="00297322">
      <w:pPr>
        <w:pStyle w:val="ArticleTitleEIB"/>
        <w:rPr>
          <w:color w:val="auto"/>
          <w:lang w:val="hr-HR"/>
        </w:rPr>
      </w:pPr>
      <w:r w:rsidRPr="00653DCF">
        <w:rPr>
          <w:color w:val="auto"/>
          <w:lang w:val="hr-HR"/>
        </w:rPr>
        <w:t>Kamata</w:t>
      </w:r>
    </w:p>
    <w:p w14:paraId="66B60747" w14:textId="77777777" w:rsidR="003D033E" w:rsidRPr="003D033E" w:rsidRDefault="003D033E" w:rsidP="003D033E">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bookmarkStart w:id="280" w:name="_Ref426639513"/>
      <w:bookmarkStart w:id="281" w:name="_Toc475441136"/>
      <w:bookmarkStart w:id="282" w:name="_Toc498018631"/>
      <w:bookmarkStart w:id="283" w:name="_Toc508120490"/>
      <w:bookmarkStart w:id="284" w:name="_Toc126080682"/>
      <w:bookmarkStart w:id="285" w:name="_Toc126080814"/>
    </w:p>
    <w:p w14:paraId="6DD8459E" w14:textId="2EB16680" w:rsidR="007A2A6F" w:rsidRPr="00653DCF" w:rsidRDefault="00E87B0B" w:rsidP="003D033E">
      <w:pPr>
        <w:pStyle w:val="Heading2"/>
        <w:ind w:left="851"/>
        <w:rPr>
          <w:lang w:val="hr-HR"/>
        </w:rPr>
      </w:pPr>
      <w:r w:rsidRPr="00653DCF">
        <w:rPr>
          <w:lang w:val="hr-HR"/>
        </w:rPr>
        <w:t>Kamatna stopa</w:t>
      </w:r>
      <w:bookmarkEnd w:id="280"/>
      <w:bookmarkEnd w:id="281"/>
      <w:bookmarkEnd w:id="282"/>
      <w:bookmarkEnd w:id="283"/>
      <w:bookmarkEnd w:id="284"/>
      <w:bookmarkEnd w:id="285"/>
    </w:p>
    <w:p w14:paraId="4C573D8A" w14:textId="2913E688" w:rsidR="007A2A6F" w:rsidRPr="00653DCF" w:rsidRDefault="00E87B0B" w:rsidP="00613099">
      <w:pPr>
        <w:pStyle w:val="Heading3"/>
        <w:ind w:left="851"/>
        <w:rPr>
          <w:color w:val="auto"/>
          <w:lang w:val="hr-HR"/>
        </w:rPr>
      </w:pPr>
      <w:r w:rsidRPr="00653DCF">
        <w:rPr>
          <w:color w:val="auto"/>
          <w:lang w:val="hr-HR"/>
        </w:rPr>
        <w:t>Tranše s fiksnom kamatnom stopom</w:t>
      </w:r>
    </w:p>
    <w:p w14:paraId="4C3F34F4" w14:textId="4881BCC3" w:rsidR="000A41DB" w:rsidRPr="00653DCF" w:rsidRDefault="00E87B0B" w:rsidP="00201921">
      <w:pPr>
        <w:rPr>
          <w:color w:val="auto"/>
          <w:lang w:val="hr-HR"/>
        </w:rPr>
      </w:pPr>
      <w:r w:rsidRPr="00653DCF">
        <w:rPr>
          <w:color w:val="auto"/>
          <w:lang w:val="hr-HR"/>
        </w:rPr>
        <w:t xml:space="preserve">Zajmoprimac </w:t>
      </w:r>
      <w:r w:rsidR="008733AB" w:rsidRPr="00653DCF">
        <w:rPr>
          <w:color w:val="auto"/>
          <w:lang w:val="hr-HR"/>
        </w:rPr>
        <w:t>je dužan platiti kamatu na ne</w:t>
      </w:r>
      <w:r w:rsidR="00201921" w:rsidRPr="00653DCF">
        <w:rPr>
          <w:color w:val="auto"/>
          <w:lang w:val="hr-HR"/>
        </w:rPr>
        <w:t xml:space="preserve">podmireni </w:t>
      </w:r>
      <w:r w:rsidRPr="00653DCF">
        <w:rPr>
          <w:color w:val="auto"/>
          <w:lang w:val="hr-HR"/>
        </w:rPr>
        <w:t xml:space="preserve">iznos svake tranše </w:t>
      </w:r>
      <w:r w:rsidR="00201921" w:rsidRPr="00653DCF">
        <w:rPr>
          <w:color w:val="auto"/>
          <w:lang w:val="hr-HR"/>
        </w:rPr>
        <w:t xml:space="preserve">s </w:t>
      </w:r>
      <w:r w:rsidRPr="00653DCF">
        <w:rPr>
          <w:color w:val="auto"/>
          <w:lang w:val="hr-HR"/>
        </w:rPr>
        <w:t>fiksn</w:t>
      </w:r>
      <w:r w:rsidR="00201921" w:rsidRPr="00653DCF">
        <w:rPr>
          <w:color w:val="auto"/>
          <w:lang w:val="hr-HR"/>
        </w:rPr>
        <w:t>om</w:t>
      </w:r>
      <w:r w:rsidRPr="00653DCF">
        <w:rPr>
          <w:color w:val="auto"/>
          <w:lang w:val="hr-HR"/>
        </w:rPr>
        <w:t xml:space="preserve"> </w:t>
      </w:r>
      <w:r w:rsidR="00201921" w:rsidRPr="00653DCF">
        <w:rPr>
          <w:color w:val="auto"/>
          <w:lang w:val="hr-HR"/>
        </w:rPr>
        <w:t>kamatnom stopom</w:t>
      </w:r>
      <w:r w:rsidR="000A41DB" w:rsidRPr="00653DCF">
        <w:rPr>
          <w:color w:val="auto"/>
          <w:lang w:val="hr-HR"/>
        </w:rPr>
        <w:t xml:space="preserve"> po fiksnoj kamatnoj stopi </w:t>
      </w:r>
      <w:r w:rsidR="006C0909" w:rsidRPr="00653DCF">
        <w:rPr>
          <w:color w:val="auto"/>
          <w:lang w:val="hr-HR"/>
        </w:rPr>
        <w:t xml:space="preserve">tromjesečno, polugodišnje ili godišnje </w:t>
      </w:r>
      <w:r w:rsidR="00746E69" w:rsidRPr="00653DCF">
        <w:rPr>
          <w:color w:val="auto"/>
          <w:lang w:val="hr-HR"/>
        </w:rPr>
        <w:t>unazad</w:t>
      </w:r>
      <w:r w:rsidR="00946AFE" w:rsidRPr="00653DCF">
        <w:rPr>
          <w:color w:val="auto"/>
          <w:lang w:val="hr-HR"/>
        </w:rPr>
        <w:t>, na relevantne datume plaćanja, kako je utvrđeno u obavijesti o isplati, počevši s prvim takvim datumom plaćanja</w:t>
      </w:r>
      <w:r w:rsidR="001C60D1" w:rsidRPr="00653DCF">
        <w:rPr>
          <w:color w:val="auto"/>
          <w:lang w:val="hr-HR"/>
        </w:rPr>
        <w:t xml:space="preserve"> nakon datuma isplate tranše. Ako je razdoblje od datuma isplate do prvog datuma plaćanja 15 (petnaest) dana ili manje, tada se plaćanje obračunate kamate tijekom takvog razdoblja odgađa </w:t>
      </w:r>
      <w:r w:rsidR="002C54FC" w:rsidRPr="00653DCF">
        <w:rPr>
          <w:color w:val="auto"/>
          <w:lang w:val="hr-HR"/>
        </w:rPr>
        <w:t>do</w:t>
      </w:r>
      <w:r w:rsidR="001C60D1" w:rsidRPr="00653DCF">
        <w:rPr>
          <w:color w:val="auto"/>
          <w:lang w:val="hr-HR"/>
        </w:rPr>
        <w:t xml:space="preserve"> sljedeć</w:t>
      </w:r>
      <w:r w:rsidR="00F61F5D" w:rsidRPr="00653DCF">
        <w:rPr>
          <w:color w:val="auto"/>
          <w:lang w:val="hr-HR"/>
        </w:rPr>
        <w:t>eg</w:t>
      </w:r>
      <w:r w:rsidR="001C60D1" w:rsidRPr="00653DCF">
        <w:rPr>
          <w:color w:val="auto"/>
          <w:lang w:val="hr-HR"/>
        </w:rPr>
        <w:t xml:space="preserve"> datum</w:t>
      </w:r>
      <w:r w:rsidR="00F61F5D" w:rsidRPr="00653DCF">
        <w:rPr>
          <w:color w:val="auto"/>
          <w:lang w:val="hr-HR"/>
        </w:rPr>
        <w:t>a</w:t>
      </w:r>
      <w:r w:rsidR="001C60D1" w:rsidRPr="00653DCF">
        <w:rPr>
          <w:color w:val="auto"/>
          <w:lang w:val="hr-HR"/>
        </w:rPr>
        <w:t xml:space="preserve"> plaćanja.</w:t>
      </w:r>
    </w:p>
    <w:p w14:paraId="4BE97284" w14:textId="06A224B3" w:rsidR="007A2A6F" w:rsidRPr="00653DCF" w:rsidRDefault="00DD3AA2">
      <w:pPr>
        <w:rPr>
          <w:color w:val="auto"/>
          <w:lang w:val="hr-HR"/>
        </w:rPr>
      </w:pPr>
      <w:r w:rsidRPr="00653DCF">
        <w:rPr>
          <w:color w:val="auto"/>
          <w:lang w:val="hr-HR"/>
        </w:rPr>
        <w:t>Kamata</w:t>
      </w:r>
      <w:r w:rsidR="00E87B0B" w:rsidRPr="00653DCF">
        <w:rPr>
          <w:color w:val="auto"/>
          <w:lang w:val="hr-HR"/>
        </w:rPr>
        <w:t xml:space="preserve"> se </w:t>
      </w:r>
      <w:r w:rsidR="001C60D1" w:rsidRPr="00653DCF">
        <w:rPr>
          <w:color w:val="auto"/>
          <w:lang w:val="hr-HR"/>
        </w:rPr>
        <w:t xml:space="preserve">obračunava </w:t>
      </w:r>
      <w:r w:rsidR="00E87B0B" w:rsidRPr="00653DCF">
        <w:rPr>
          <w:color w:val="auto"/>
          <w:lang w:val="hr-HR"/>
        </w:rPr>
        <w:t>na temelju članka</w:t>
      </w:r>
      <w:r w:rsidR="009D0EDA" w:rsidRPr="00653DCF">
        <w:rPr>
          <w:color w:val="auto"/>
        </w:rPr>
        <w:t xml:space="preserve"> 5.1(a).</w:t>
      </w:r>
      <w:r w:rsidR="009D0EDA" w:rsidRPr="00653DCF">
        <w:rPr>
          <w:color w:val="auto"/>
          <w:lang w:val="hr-HR"/>
        </w:rPr>
        <w:t xml:space="preserve"> </w:t>
      </w:r>
    </w:p>
    <w:p w14:paraId="55DB17B4" w14:textId="4C06DF0F" w:rsidR="007A2A6F" w:rsidRPr="00653DCF" w:rsidRDefault="00E87B0B" w:rsidP="00613099">
      <w:pPr>
        <w:pStyle w:val="Heading3"/>
        <w:ind w:left="851"/>
        <w:rPr>
          <w:color w:val="auto"/>
          <w:lang w:val="hr-HR"/>
        </w:rPr>
      </w:pPr>
      <w:r w:rsidRPr="00653DCF">
        <w:rPr>
          <w:color w:val="auto"/>
          <w:lang w:val="hr-HR"/>
        </w:rPr>
        <w:t>Tranše s promjenjivom kamatnom stopom</w:t>
      </w:r>
    </w:p>
    <w:p w14:paraId="5E4BDB70" w14:textId="2511D5F4" w:rsidR="00A374D2" w:rsidRPr="00653DCF" w:rsidRDefault="00E87B0B">
      <w:pPr>
        <w:rPr>
          <w:color w:val="auto"/>
          <w:lang w:val="hr-HR"/>
        </w:rPr>
      </w:pPr>
      <w:r w:rsidRPr="00653DCF">
        <w:rPr>
          <w:color w:val="auto"/>
          <w:lang w:val="hr-HR"/>
        </w:rPr>
        <w:t xml:space="preserve">Zajmoprimac </w:t>
      </w:r>
      <w:r w:rsidR="00A374D2" w:rsidRPr="00653DCF">
        <w:rPr>
          <w:color w:val="auto"/>
          <w:lang w:val="hr-HR"/>
        </w:rPr>
        <w:t xml:space="preserve">je dužan platiti kamatu na nepodmireni iznos svake tranše s promjenjivom kamatnom stopom po </w:t>
      </w:r>
      <w:r w:rsidR="002C54FC" w:rsidRPr="00653DCF">
        <w:rPr>
          <w:color w:val="auto"/>
          <w:lang w:val="hr-HR"/>
        </w:rPr>
        <w:t>promjenjivom</w:t>
      </w:r>
      <w:r w:rsidR="00A374D2" w:rsidRPr="00653DCF">
        <w:rPr>
          <w:color w:val="auto"/>
          <w:lang w:val="hr-HR"/>
        </w:rPr>
        <w:t xml:space="preserve"> kamatnoj stopi</w:t>
      </w:r>
      <w:r w:rsidR="00007400" w:rsidRPr="00653DCF">
        <w:rPr>
          <w:color w:val="auto"/>
          <w:lang w:val="hr-HR"/>
        </w:rPr>
        <w:t xml:space="preserve"> tromjesečno, polugodišnje ili godišnje unazad, na relevantne datume plaćanja kako je utvrđeno u obavijesti o isplati, počevši s prvim takvim datumom plaćanja </w:t>
      </w:r>
      <w:r w:rsidR="00F61F5D" w:rsidRPr="00653DCF">
        <w:rPr>
          <w:color w:val="auto"/>
          <w:lang w:val="hr-HR"/>
        </w:rPr>
        <w:t xml:space="preserve">nakon datuma isplate tranše. Ako je razdoblje od datuma isplate do prvog datuma plaćanja </w:t>
      </w:r>
      <w:r w:rsidR="00007400" w:rsidRPr="00653DCF">
        <w:rPr>
          <w:color w:val="auto"/>
          <w:lang w:val="hr-HR"/>
        </w:rPr>
        <w:t xml:space="preserve">15 (petnaest) dana </w:t>
      </w:r>
      <w:r w:rsidR="00F61F5D" w:rsidRPr="00653DCF">
        <w:rPr>
          <w:color w:val="auto"/>
          <w:lang w:val="hr-HR"/>
        </w:rPr>
        <w:t>ili manje, tada se plaćanje obračunate kamate tijekom takvog razdoblja odgađa do sljedećeg datuma plaćanja.</w:t>
      </w:r>
    </w:p>
    <w:p w14:paraId="38C1C5B6" w14:textId="74719566" w:rsidR="00556C08" w:rsidRPr="00653DCF" w:rsidRDefault="00556C08">
      <w:pPr>
        <w:rPr>
          <w:color w:val="auto"/>
          <w:lang w:val="hr-HR"/>
        </w:rPr>
      </w:pPr>
      <w:r w:rsidRPr="00653DCF">
        <w:rPr>
          <w:color w:val="auto"/>
          <w:lang w:val="hr-HR"/>
        </w:rPr>
        <w:t xml:space="preserve">Banka će </w:t>
      </w:r>
      <w:r w:rsidR="002C54FC" w:rsidRPr="00653DCF">
        <w:rPr>
          <w:color w:val="auto"/>
          <w:lang w:val="hr-HR"/>
        </w:rPr>
        <w:t>Zajmoprimca</w:t>
      </w:r>
      <w:r w:rsidRPr="00653DCF">
        <w:rPr>
          <w:color w:val="auto"/>
          <w:lang w:val="hr-HR"/>
        </w:rPr>
        <w:t xml:space="preserve"> obavijestiti o promjenjivoj kamatnoj stopi u roku od 10 (deset) dana </w:t>
      </w:r>
      <w:r w:rsidR="002C54FC" w:rsidRPr="00653DCF">
        <w:rPr>
          <w:color w:val="auto"/>
          <w:lang w:val="hr-HR"/>
        </w:rPr>
        <w:t>nakon</w:t>
      </w:r>
      <w:r w:rsidRPr="00653DCF">
        <w:rPr>
          <w:color w:val="auto"/>
          <w:lang w:val="hr-HR"/>
        </w:rPr>
        <w:t xml:space="preserve"> početka svakog referentnog razdoblja promjenjive kamatne stope.</w:t>
      </w:r>
    </w:p>
    <w:p w14:paraId="6D61DECD" w14:textId="3BBC6C56" w:rsidR="007A2A6F" w:rsidRPr="00653DCF" w:rsidRDefault="00E87B0B">
      <w:pPr>
        <w:rPr>
          <w:color w:val="auto"/>
          <w:lang w:val="hr-HR"/>
        </w:rPr>
      </w:pPr>
      <w:r w:rsidRPr="00653DCF">
        <w:rPr>
          <w:color w:val="auto"/>
          <w:lang w:val="hr-HR"/>
        </w:rPr>
        <w:t>Ako</w:t>
      </w:r>
      <w:r w:rsidR="00C80E81" w:rsidRPr="00653DCF">
        <w:rPr>
          <w:color w:val="auto"/>
          <w:lang w:val="hr-HR"/>
        </w:rPr>
        <w:t>,</w:t>
      </w:r>
      <w:r w:rsidRPr="00653DCF">
        <w:rPr>
          <w:color w:val="auto"/>
          <w:lang w:val="hr-HR"/>
        </w:rPr>
        <w:t xml:space="preserve"> u skladu s člancima </w:t>
      </w:r>
      <w:r w:rsidRPr="00653DCF">
        <w:rPr>
          <w:color w:val="auto"/>
          <w:lang w:val="hr-HR"/>
        </w:rPr>
        <w:fldChar w:fldCharType="begin"/>
      </w:r>
      <w:r w:rsidRPr="00653DCF">
        <w:rPr>
          <w:color w:val="auto"/>
          <w:lang w:val="hr-HR"/>
        </w:rPr>
        <w:instrText xml:space="preserve"> REF _Ref511816249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1.5</w:t>
      </w:r>
      <w:r w:rsidRPr="00653DCF">
        <w:rPr>
          <w:color w:val="auto"/>
          <w:lang w:val="hr-HR"/>
        </w:rPr>
        <w:fldChar w:fldCharType="end"/>
      </w:r>
      <w:r w:rsidR="00556C08" w:rsidRPr="00653DCF">
        <w:rPr>
          <w:color w:val="auto"/>
          <w:lang w:val="hr-HR"/>
        </w:rPr>
        <w:t>.</w:t>
      </w:r>
      <w:r w:rsidRPr="00653DCF">
        <w:rPr>
          <w:color w:val="auto"/>
          <w:lang w:val="hr-HR"/>
        </w:rPr>
        <w:t xml:space="preserve"> i </w:t>
      </w:r>
      <w:r w:rsidRPr="00653DCF">
        <w:rPr>
          <w:color w:val="auto"/>
          <w:lang w:val="hr-HR"/>
        </w:rPr>
        <w:fldChar w:fldCharType="begin"/>
      </w:r>
      <w:r w:rsidRPr="00653DCF">
        <w:rPr>
          <w:color w:val="auto"/>
          <w:lang w:val="hr-HR"/>
        </w:rPr>
        <w:instrText xml:space="preserve"> REF _Ref426975375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1.6</w:t>
      </w:r>
      <w:r w:rsidRPr="00653DCF">
        <w:rPr>
          <w:color w:val="auto"/>
          <w:lang w:val="hr-HR"/>
        </w:rPr>
        <w:fldChar w:fldCharType="end"/>
      </w:r>
      <w:r w:rsidR="00556C08" w:rsidRPr="00653DCF">
        <w:rPr>
          <w:color w:val="auto"/>
          <w:lang w:val="hr-HR"/>
        </w:rPr>
        <w:t>.</w:t>
      </w:r>
      <w:r w:rsidR="00C80E81" w:rsidRPr="00653DCF">
        <w:rPr>
          <w:color w:val="auto"/>
          <w:lang w:val="hr-HR"/>
        </w:rPr>
        <w:t>,</w:t>
      </w:r>
      <w:r w:rsidRPr="00653DCF">
        <w:rPr>
          <w:color w:val="auto"/>
          <w:lang w:val="hr-HR"/>
        </w:rPr>
        <w:t xml:space="preserve"> isplata bilo koje tranše s promjenjivom kamatnom stopom </w:t>
      </w:r>
      <w:r w:rsidR="005A04EA" w:rsidRPr="00653DCF">
        <w:rPr>
          <w:color w:val="auto"/>
          <w:lang w:val="hr-HR"/>
        </w:rPr>
        <w:t xml:space="preserve">uslijedi </w:t>
      </w:r>
      <w:r w:rsidRPr="00653DCF">
        <w:rPr>
          <w:color w:val="auto"/>
          <w:lang w:val="hr-HR"/>
        </w:rPr>
        <w:t xml:space="preserve">nakon planiranog datuma isplate, </w:t>
      </w:r>
      <w:r w:rsidR="00556C08" w:rsidRPr="00653DCF">
        <w:rPr>
          <w:color w:val="auto"/>
          <w:lang w:val="hr-HR"/>
        </w:rPr>
        <w:t xml:space="preserve">primjenjuje se </w:t>
      </w:r>
      <w:r w:rsidRPr="00653DCF">
        <w:rPr>
          <w:color w:val="auto"/>
          <w:lang w:val="hr-HR"/>
        </w:rPr>
        <w:t xml:space="preserve">EURIBOR </w:t>
      </w:r>
      <w:r w:rsidR="00352905" w:rsidRPr="00653DCF">
        <w:rPr>
          <w:color w:val="auto"/>
          <w:lang w:val="hr-HR"/>
        </w:rPr>
        <w:t xml:space="preserve">primjenjiv na prvo </w:t>
      </w:r>
      <w:r w:rsidRPr="00653DCF">
        <w:rPr>
          <w:color w:val="auto"/>
          <w:lang w:val="hr-HR"/>
        </w:rPr>
        <w:t xml:space="preserve">referentno razdoblje promjenjive </w:t>
      </w:r>
      <w:r w:rsidR="00352905" w:rsidRPr="00653DCF">
        <w:rPr>
          <w:color w:val="auto"/>
          <w:lang w:val="hr-HR"/>
        </w:rPr>
        <w:t xml:space="preserve">kamatne </w:t>
      </w:r>
      <w:r w:rsidRPr="00653DCF">
        <w:rPr>
          <w:color w:val="auto"/>
          <w:lang w:val="hr-HR"/>
        </w:rPr>
        <w:t>stope</w:t>
      </w:r>
      <w:r w:rsidR="002A4DB5" w:rsidRPr="00653DCF">
        <w:rPr>
          <w:color w:val="auto"/>
          <w:lang w:val="hr-HR"/>
        </w:rPr>
        <w:t xml:space="preserve"> u skladu s </w:t>
      </w:r>
      <w:r w:rsidR="00A01CB6" w:rsidRPr="00653DCF">
        <w:rPr>
          <w:color w:val="auto"/>
          <w:lang w:val="hr-HR"/>
        </w:rPr>
        <w:t xml:space="preserve">Prilogom B </w:t>
      </w:r>
      <w:r w:rsidR="002A4DB5" w:rsidRPr="00653DCF">
        <w:rPr>
          <w:color w:val="auto"/>
          <w:lang w:val="hr-HR"/>
        </w:rPr>
        <w:t xml:space="preserve">vezano za </w:t>
      </w:r>
      <w:r w:rsidR="00E201A9" w:rsidRPr="00653DCF">
        <w:rPr>
          <w:color w:val="auto"/>
          <w:lang w:val="hr-HR"/>
        </w:rPr>
        <w:t xml:space="preserve">referentno razdoblje promjenjive kamatne stope </w:t>
      </w:r>
      <w:r w:rsidRPr="00653DCF">
        <w:rPr>
          <w:color w:val="auto"/>
          <w:lang w:val="hr-HR"/>
        </w:rPr>
        <w:t>koje počinje na datum isplate, a ne na planirani datum isplate.</w:t>
      </w:r>
    </w:p>
    <w:p w14:paraId="5EAD6019" w14:textId="2AE47B0B" w:rsidR="007A2A6F" w:rsidRPr="00653DCF" w:rsidRDefault="00DD3AA2">
      <w:pPr>
        <w:rPr>
          <w:color w:val="auto"/>
          <w:lang w:val="hr-HR"/>
        </w:rPr>
      </w:pPr>
      <w:r w:rsidRPr="00653DCF">
        <w:rPr>
          <w:color w:val="auto"/>
          <w:lang w:val="hr-HR"/>
        </w:rPr>
        <w:t>Kamata</w:t>
      </w:r>
      <w:r w:rsidR="00E87B0B" w:rsidRPr="00653DCF">
        <w:rPr>
          <w:color w:val="auto"/>
          <w:lang w:val="hr-HR"/>
        </w:rPr>
        <w:t xml:space="preserve"> se </w:t>
      </w:r>
      <w:r w:rsidR="00E201A9" w:rsidRPr="00653DCF">
        <w:rPr>
          <w:color w:val="auto"/>
          <w:lang w:val="hr-HR"/>
        </w:rPr>
        <w:t xml:space="preserve">obračunava </w:t>
      </w:r>
      <w:r w:rsidR="00E87B0B" w:rsidRPr="00653DCF">
        <w:rPr>
          <w:color w:val="auto"/>
          <w:lang w:val="hr-HR"/>
        </w:rPr>
        <w:t>za svako referentno razdoblje promjenjive kamatne stope na temelju članka</w:t>
      </w:r>
      <w:r w:rsidR="002C54FC" w:rsidRPr="00653DCF">
        <w:rPr>
          <w:color w:val="auto"/>
          <w:lang w:val="hr-HR"/>
        </w:rPr>
        <w:t xml:space="preserve"> </w:t>
      </w:r>
      <w:r w:rsidR="007029EA" w:rsidRPr="00653DCF">
        <w:rPr>
          <w:color w:val="auto"/>
          <w:lang w:val="hr-HR"/>
        </w:rPr>
        <w:t>5.1(b)</w:t>
      </w:r>
      <w:r w:rsidR="00790CB1" w:rsidRPr="00653DCF">
        <w:rPr>
          <w:color w:val="auto"/>
          <w:lang w:val="hr-HR"/>
        </w:rPr>
        <w:t>.</w:t>
      </w:r>
    </w:p>
    <w:p w14:paraId="3C4C8210" w14:textId="5E090162" w:rsidR="007A2A6F" w:rsidRPr="00653DCF" w:rsidRDefault="00E87B0B" w:rsidP="00613099">
      <w:pPr>
        <w:pStyle w:val="Heading3"/>
        <w:ind w:left="851"/>
        <w:rPr>
          <w:color w:val="auto"/>
          <w:lang w:val="hr-HR"/>
        </w:rPr>
      </w:pPr>
      <w:bookmarkStart w:id="286" w:name="_Ref487637399"/>
      <w:bookmarkStart w:id="287" w:name="_Toc475441139"/>
      <w:bookmarkStart w:id="288" w:name="_Toc498018634"/>
      <w:bookmarkStart w:id="289" w:name="_Toc508120493"/>
      <w:bookmarkStart w:id="290" w:name="_Toc126080685"/>
      <w:bookmarkStart w:id="291" w:name="_Toc126080817"/>
      <w:r w:rsidRPr="00653DCF">
        <w:rPr>
          <w:color w:val="auto"/>
          <w:lang w:val="hr-HR"/>
        </w:rPr>
        <w:t xml:space="preserve">Revizija ili </w:t>
      </w:r>
      <w:r w:rsidR="000F6FB8" w:rsidRPr="00653DCF">
        <w:rPr>
          <w:color w:val="auto"/>
          <w:lang w:val="hr-HR"/>
        </w:rPr>
        <w:t>konverzija tranši</w:t>
      </w:r>
      <w:bookmarkEnd w:id="286"/>
      <w:bookmarkEnd w:id="287"/>
      <w:bookmarkEnd w:id="288"/>
      <w:bookmarkEnd w:id="289"/>
      <w:bookmarkEnd w:id="290"/>
      <w:bookmarkEnd w:id="291"/>
    </w:p>
    <w:p w14:paraId="5E2677A0" w14:textId="41EF7E99" w:rsidR="007A2A6F" w:rsidRPr="00653DCF" w:rsidRDefault="00D84FFF">
      <w:pPr>
        <w:rPr>
          <w:color w:val="auto"/>
          <w:lang w:val="hr-HR"/>
        </w:rPr>
      </w:pPr>
      <w:r w:rsidRPr="00653DCF">
        <w:rPr>
          <w:color w:val="auto"/>
          <w:lang w:val="hr-HR"/>
        </w:rPr>
        <w:t>Kada Z</w:t>
      </w:r>
      <w:r w:rsidR="00E87B0B" w:rsidRPr="00653DCF">
        <w:rPr>
          <w:color w:val="auto"/>
          <w:lang w:val="hr-HR"/>
        </w:rPr>
        <w:t xml:space="preserve">ajmoprimac iskoristi mogućnost revidiranja ili konverzije </w:t>
      </w:r>
      <w:r w:rsidRPr="00653DCF">
        <w:rPr>
          <w:color w:val="auto"/>
          <w:lang w:val="hr-HR"/>
        </w:rPr>
        <w:t xml:space="preserve">osnovice </w:t>
      </w:r>
      <w:r w:rsidR="00E87B0B" w:rsidRPr="00653DCF">
        <w:rPr>
          <w:color w:val="auto"/>
          <w:lang w:val="hr-HR"/>
        </w:rPr>
        <w:t xml:space="preserve">kamatne </w:t>
      </w:r>
      <w:r w:rsidRPr="00653DCF">
        <w:rPr>
          <w:color w:val="auto"/>
          <w:lang w:val="hr-HR"/>
        </w:rPr>
        <w:t>sto</w:t>
      </w:r>
      <w:r w:rsidR="009A6A41" w:rsidRPr="00653DCF">
        <w:rPr>
          <w:color w:val="auto"/>
          <w:lang w:val="hr-HR"/>
        </w:rPr>
        <w:t>p</w:t>
      </w:r>
      <w:r w:rsidRPr="00653DCF">
        <w:rPr>
          <w:color w:val="auto"/>
          <w:lang w:val="hr-HR"/>
        </w:rPr>
        <w:t xml:space="preserve">e </w:t>
      </w:r>
      <w:r w:rsidR="00E87B0B" w:rsidRPr="00653DCF">
        <w:rPr>
          <w:color w:val="auto"/>
          <w:lang w:val="hr-HR"/>
        </w:rPr>
        <w:t xml:space="preserve">tranše, </w:t>
      </w:r>
      <w:r w:rsidR="009A6A41" w:rsidRPr="00653DCF">
        <w:rPr>
          <w:color w:val="auto"/>
          <w:lang w:val="hr-HR"/>
        </w:rPr>
        <w:t>dužan je, od efektivnog datuma revizije/konverzije kamatne stope (u skladu s postupkom utvrđenim u</w:t>
      </w:r>
      <w:r w:rsidR="00A01CB6" w:rsidRPr="00653DCF">
        <w:rPr>
          <w:color w:val="auto"/>
          <w:lang w:val="hr-HR"/>
        </w:rPr>
        <w:t xml:space="preserve"> Prilogu D</w:t>
      </w:r>
      <w:r w:rsidR="00685FD3" w:rsidRPr="00653DCF">
        <w:rPr>
          <w:color w:val="auto"/>
          <w:lang w:val="hr-HR"/>
        </w:rPr>
        <w:t>)</w:t>
      </w:r>
      <w:r w:rsidR="009A6A41" w:rsidRPr="00653DCF">
        <w:rPr>
          <w:color w:val="auto"/>
          <w:lang w:val="hr-HR"/>
        </w:rPr>
        <w:t>, platiti kamatu po stopi određenoj u skladu s odredbama</w:t>
      </w:r>
      <w:r w:rsidR="00A01CB6" w:rsidRPr="00653DCF">
        <w:rPr>
          <w:color w:val="auto"/>
          <w:lang w:val="hr-HR"/>
        </w:rPr>
        <w:t xml:space="preserve"> Priloga D</w:t>
      </w:r>
      <w:r w:rsidR="00E87B0B" w:rsidRPr="00653DCF">
        <w:rPr>
          <w:color w:val="auto"/>
          <w:lang w:val="hr-HR"/>
        </w:rPr>
        <w:t>.</w:t>
      </w:r>
    </w:p>
    <w:p w14:paraId="04C830D6" w14:textId="77777777" w:rsidR="007A2A6F" w:rsidRPr="00653DCF" w:rsidRDefault="00E87B0B" w:rsidP="00613099">
      <w:pPr>
        <w:pStyle w:val="Heading2"/>
        <w:ind w:left="851"/>
        <w:rPr>
          <w:color w:val="auto"/>
          <w:lang w:val="hr-HR"/>
        </w:rPr>
      </w:pPr>
      <w:bookmarkStart w:id="292" w:name="_Ref426981814"/>
      <w:bookmarkStart w:id="293" w:name="_Toc475441140"/>
      <w:bookmarkStart w:id="294" w:name="_Toc498018635"/>
      <w:bookmarkStart w:id="295" w:name="_Toc508120494"/>
      <w:bookmarkStart w:id="296" w:name="_Toc126080686"/>
      <w:bookmarkStart w:id="297" w:name="_Toc126080818"/>
      <w:r w:rsidRPr="00653DCF">
        <w:rPr>
          <w:color w:val="auto"/>
          <w:lang w:val="hr-HR"/>
        </w:rPr>
        <w:t>Kamate na dospjele iznose</w:t>
      </w:r>
      <w:bookmarkEnd w:id="292"/>
      <w:bookmarkEnd w:id="293"/>
      <w:bookmarkEnd w:id="294"/>
      <w:bookmarkEnd w:id="295"/>
      <w:bookmarkEnd w:id="296"/>
      <w:bookmarkEnd w:id="297"/>
    </w:p>
    <w:p w14:paraId="0F0630F3" w14:textId="0C689468" w:rsidR="007A2A6F" w:rsidRPr="00653DCF" w:rsidRDefault="00E87B0B">
      <w:pPr>
        <w:pStyle w:val="NoIndentEIB"/>
        <w:ind w:left="856"/>
        <w:rPr>
          <w:color w:val="auto"/>
          <w:lang w:val="hr-HR"/>
        </w:rPr>
      </w:pPr>
      <w:r w:rsidRPr="00653DCF">
        <w:rPr>
          <w:color w:val="auto"/>
          <w:lang w:val="hr-HR"/>
        </w:rPr>
        <w:t xml:space="preserve">Ne dovodeći u pitanje </w:t>
      </w:r>
      <w:r w:rsidRPr="00653DCF">
        <w:rPr>
          <w:color w:val="auto"/>
          <w:lang w:val="hr-HR"/>
        </w:rPr>
        <w:fldChar w:fldCharType="begin"/>
      </w:r>
      <w:r w:rsidRPr="00653DCF">
        <w:rPr>
          <w:color w:val="auto"/>
          <w:lang w:val="hr-HR"/>
        </w:rPr>
        <w:instrText xml:space="preserve"> REF _Ref426981731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0</w:t>
      </w:r>
      <w:r w:rsidRPr="00653DCF">
        <w:rPr>
          <w:color w:val="auto"/>
          <w:lang w:val="hr-HR"/>
        </w:rPr>
        <w:fldChar w:fldCharType="end"/>
      </w:r>
      <w:r w:rsidR="00D42057" w:rsidRPr="00653DCF">
        <w:rPr>
          <w:color w:val="auto"/>
          <w:lang w:val="hr-HR"/>
        </w:rPr>
        <w:t>.</w:t>
      </w:r>
      <w:r w:rsidRPr="00653DCF">
        <w:rPr>
          <w:color w:val="auto"/>
          <w:lang w:val="hr-HR"/>
        </w:rPr>
        <w:t xml:space="preserve"> i iznimno od članka</w:t>
      </w:r>
      <w:r w:rsidR="00D42057" w:rsidRPr="00653DCF">
        <w:rPr>
          <w:color w:val="auto"/>
          <w:lang w:val="hr-HR"/>
        </w:rPr>
        <w:t xml:space="preserve"> </w:t>
      </w:r>
      <w:r w:rsidRPr="00653DCF">
        <w:rPr>
          <w:color w:val="auto"/>
          <w:lang w:val="hr-HR"/>
        </w:rPr>
        <w:fldChar w:fldCharType="begin"/>
      </w:r>
      <w:r w:rsidRPr="00653DCF">
        <w:rPr>
          <w:color w:val="auto"/>
          <w:lang w:val="hr-HR"/>
        </w:rPr>
        <w:instrText xml:space="preserve"> REF _Ref426639513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članak 3</w:t>
      </w:r>
      <w:r w:rsidRPr="00653DCF">
        <w:rPr>
          <w:color w:val="auto"/>
          <w:lang w:val="hr-HR"/>
        </w:rPr>
        <w:fldChar w:fldCharType="end"/>
      </w:r>
      <w:r w:rsidR="00D42057" w:rsidRPr="00653DCF">
        <w:rPr>
          <w:color w:val="auto"/>
          <w:lang w:val="hr-HR"/>
        </w:rPr>
        <w:t>.</w:t>
      </w:r>
      <w:r w:rsidRPr="00653DCF">
        <w:rPr>
          <w:color w:val="auto"/>
          <w:lang w:val="hr-HR"/>
        </w:rPr>
        <w:t xml:space="preserve">, ako Zajmoprimac ne plati bilo koji iznos koji </w:t>
      </w:r>
      <w:r w:rsidR="00D42057" w:rsidRPr="00653DCF">
        <w:rPr>
          <w:color w:val="auto"/>
          <w:lang w:val="hr-HR"/>
        </w:rPr>
        <w:t xml:space="preserve">treba platiti na </w:t>
      </w:r>
      <w:r w:rsidRPr="00653DCF">
        <w:rPr>
          <w:color w:val="auto"/>
          <w:lang w:val="hr-HR"/>
        </w:rPr>
        <w:t>temelju ovog Ugovora na datum dospijeća, kamat</w:t>
      </w:r>
      <w:r w:rsidR="00D42057" w:rsidRPr="00653DCF">
        <w:rPr>
          <w:color w:val="auto"/>
          <w:lang w:val="hr-HR"/>
        </w:rPr>
        <w:t>a</w:t>
      </w:r>
      <w:r w:rsidRPr="00653DCF">
        <w:rPr>
          <w:color w:val="auto"/>
          <w:lang w:val="hr-HR"/>
        </w:rPr>
        <w:t xml:space="preserve"> se obračunava na </w:t>
      </w:r>
      <w:r w:rsidR="009B00FC" w:rsidRPr="00653DCF">
        <w:rPr>
          <w:color w:val="auto"/>
          <w:lang w:val="hr-HR"/>
        </w:rPr>
        <w:t xml:space="preserve">sve nepodmirene iznose </w:t>
      </w:r>
      <w:r w:rsidR="00834A55" w:rsidRPr="00653DCF">
        <w:rPr>
          <w:color w:val="auto"/>
          <w:lang w:val="hr-HR"/>
        </w:rPr>
        <w:t>koji</w:t>
      </w:r>
      <w:r w:rsidR="009B00FC" w:rsidRPr="00653DCF">
        <w:rPr>
          <w:color w:val="auto"/>
          <w:lang w:val="hr-HR"/>
        </w:rPr>
        <w:t xml:space="preserve"> se moraju platiti u skladu s uvjetima </w:t>
      </w:r>
      <w:r w:rsidRPr="00653DCF">
        <w:rPr>
          <w:color w:val="auto"/>
          <w:lang w:val="hr-HR"/>
        </w:rPr>
        <w:t xml:space="preserve">ovog Ugovora od datuma dospijeća do datuma </w:t>
      </w:r>
      <w:r w:rsidR="009B00FC" w:rsidRPr="00653DCF">
        <w:rPr>
          <w:color w:val="auto"/>
          <w:lang w:val="hr-HR"/>
        </w:rPr>
        <w:t>stvarnog plaćanja po godišnjoj stopi koja je jednaka</w:t>
      </w:r>
      <w:r w:rsidRPr="00653DCF">
        <w:rPr>
          <w:color w:val="auto"/>
          <w:lang w:val="hr-HR"/>
        </w:rPr>
        <w:t>:</w:t>
      </w:r>
    </w:p>
    <w:p w14:paraId="7B909E62" w14:textId="57C525F5" w:rsidR="007A2A6F" w:rsidRPr="00653DCF" w:rsidRDefault="00E87B0B">
      <w:pPr>
        <w:pStyle w:val="NoIndentEIB"/>
        <w:numPr>
          <w:ilvl w:val="0"/>
          <w:numId w:val="19"/>
        </w:numPr>
        <w:rPr>
          <w:color w:val="auto"/>
          <w:lang w:val="hr-HR"/>
        </w:rPr>
      </w:pPr>
      <w:bookmarkStart w:id="298" w:name="_Ref496704021"/>
      <w:r w:rsidRPr="00653DCF">
        <w:rPr>
          <w:color w:val="auto"/>
          <w:lang w:val="hr-HR"/>
        </w:rPr>
        <w:t xml:space="preserve">za </w:t>
      </w:r>
      <w:r w:rsidR="00834A55" w:rsidRPr="00653DCF">
        <w:rPr>
          <w:color w:val="auto"/>
          <w:lang w:val="hr-HR"/>
        </w:rPr>
        <w:t>nepodmirena</w:t>
      </w:r>
      <w:r w:rsidR="00ED7610" w:rsidRPr="00653DCF">
        <w:rPr>
          <w:color w:val="auto"/>
          <w:lang w:val="hr-HR"/>
        </w:rPr>
        <w:t xml:space="preserve"> dugovanja koja se odnose na tranše s promjenjivom kamatnom stopom, važećoj promjenjivoj kamatnoj stopi uvećanoj za </w:t>
      </w:r>
      <w:r w:rsidR="00246F0D" w:rsidRPr="00653DCF">
        <w:rPr>
          <w:color w:val="auto"/>
          <w:lang w:val="hr-HR"/>
        </w:rPr>
        <w:t>2</w:t>
      </w:r>
      <w:r w:rsidRPr="00653DCF">
        <w:rPr>
          <w:color w:val="auto"/>
          <w:lang w:val="hr-HR"/>
        </w:rPr>
        <w:t>% (200 baznih bodova);</w:t>
      </w:r>
      <w:bookmarkEnd w:id="298"/>
      <w:r w:rsidRPr="00653DCF">
        <w:rPr>
          <w:color w:val="auto"/>
          <w:lang w:val="hr-HR"/>
        </w:rPr>
        <w:t xml:space="preserve"> </w:t>
      </w:r>
    </w:p>
    <w:p w14:paraId="3A5C6FE1" w14:textId="06C8527D" w:rsidR="007A2A6F" w:rsidRPr="00653DCF" w:rsidRDefault="00E87B0B">
      <w:pPr>
        <w:pStyle w:val="NoIndentEIB"/>
        <w:numPr>
          <w:ilvl w:val="0"/>
          <w:numId w:val="19"/>
        </w:numPr>
        <w:rPr>
          <w:color w:val="auto"/>
          <w:lang w:val="hr-HR"/>
        </w:rPr>
      </w:pPr>
      <w:bookmarkStart w:id="299" w:name="_Ref126083079"/>
      <w:bookmarkStart w:id="300" w:name="_Ref496704028"/>
      <w:r w:rsidRPr="00653DCF">
        <w:rPr>
          <w:color w:val="auto"/>
          <w:lang w:val="hr-HR"/>
        </w:rPr>
        <w:lastRenderedPageBreak/>
        <w:t xml:space="preserve">za </w:t>
      </w:r>
      <w:r w:rsidR="00025907" w:rsidRPr="00653DCF">
        <w:rPr>
          <w:color w:val="auto"/>
          <w:lang w:val="hr-HR"/>
        </w:rPr>
        <w:t xml:space="preserve">nepodmirena dugovanja koja se odnose na tranše s fiksnom kamatnom stopom, </w:t>
      </w:r>
      <w:r w:rsidR="004B114C" w:rsidRPr="00653DCF">
        <w:rPr>
          <w:color w:val="auto"/>
          <w:lang w:val="hr-HR"/>
        </w:rPr>
        <w:t>onoga što je od sljedeće dvije stvari više</w:t>
      </w:r>
      <w:r w:rsidRPr="00653DCF">
        <w:rPr>
          <w:color w:val="auto"/>
          <w:lang w:val="hr-HR"/>
        </w:rPr>
        <w:t>:</w:t>
      </w:r>
      <w:bookmarkEnd w:id="299"/>
    </w:p>
    <w:p w14:paraId="5A420317" w14:textId="0E03B79B" w:rsidR="007A2A6F" w:rsidRPr="00653DCF" w:rsidRDefault="00142AFD">
      <w:pPr>
        <w:pStyle w:val="NoIndentEIB"/>
        <w:numPr>
          <w:ilvl w:val="1"/>
          <w:numId w:val="19"/>
        </w:numPr>
        <w:rPr>
          <w:color w:val="auto"/>
          <w:lang w:val="hr-HR"/>
        </w:rPr>
      </w:pPr>
      <w:r w:rsidRPr="00653DCF">
        <w:rPr>
          <w:color w:val="auto"/>
          <w:lang w:val="hr-HR"/>
        </w:rPr>
        <w:t>važeć</w:t>
      </w:r>
      <w:r w:rsidR="00E0505B" w:rsidRPr="00653DCF">
        <w:rPr>
          <w:color w:val="auto"/>
          <w:lang w:val="hr-HR"/>
        </w:rPr>
        <w:t>oj</w:t>
      </w:r>
      <w:r w:rsidR="00025907" w:rsidRPr="00653DCF">
        <w:rPr>
          <w:color w:val="auto"/>
          <w:lang w:val="hr-HR"/>
        </w:rPr>
        <w:t xml:space="preserve"> </w:t>
      </w:r>
      <w:r w:rsidR="00E87B0B" w:rsidRPr="00653DCF">
        <w:rPr>
          <w:color w:val="auto"/>
          <w:lang w:val="hr-HR"/>
        </w:rPr>
        <w:t>fiksn</w:t>
      </w:r>
      <w:r w:rsidR="000B6271" w:rsidRPr="00653DCF">
        <w:rPr>
          <w:color w:val="auto"/>
          <w:lang w:val="hr-HR"/>
        </w:rPr>
        <w:t>oj</w:t>
      </w:r>
      <w:r w:rsidR="00E87B0B" w:rsidRPr="00653DCF">
        <w:rPr>
          <w:color w:val="auto"/>
          <w:lang w:val="hr-HR"/>
        </w:rPr>
        <w:t xml:space="preserve"> </w:t>
      </w:r>
      <w:r w:rsidR="009544EC" w:rsidRPr="00653DCF">
        <w:rPr>
          <w:color w:val="auto"/>
          <w:lang w:val="hr-HR"/>
        </w:rPr>
        <w:t>kamatn</w:t>
      </w:r>
      <w:r w:rsidR="000B6271" w:rsidRPr="00653DCF">
        <w:rPr>
          <w:color w:val="auto"/>
          <w:lang w:val="hr-HR"/>
        </w:rPr>
        <w:t>oj</w:t>
      </w:r>
      <w:r w:rsidR="009544EC" w:rsidRPr="00653DCF">
        <w:rPr>
          <w:color w:val="auto"/>
          <w:lang w:val="hr-HR"/>
        </w:rPr>
        <w:t xml:space="preserve"> </w:t>
      </w:r>
      <w:r w:rsidR="00E87B0B" w:rsidRPr="00653DCF">
        <w:rPr>
          <w:color w:val="auto"/>
          <w:lang w:val="hr-HR"/>
        </w:rPr>
        <w:t>stop</w:t>
      </w:r>
      <w:r w:rsidR="000B6271" w:rsidRPr="00653DCF">
        <w:rPr>
          <w:color w:val="auto"/>
          <w:lang w:val="hr-HR"/>
        </w:rPr>
        <w:t>i,</w:t>
      </w:r>
      <w:r w:rsidR="00E87B0B" w:rsidRPr="00653DCF">
        <w:rPr>
          <w:color w:val="auto"/>
          <w:lang w:val="hr-HR"/>
        </w:rPr>
        <w:t xml:space="preserve"> uvećan</w:t>
      </w:r>
      <w:r w:rsidR="000B6271" w:rsidRPr="00653DCF">
        <w:rPr>
          <w:color w:val="auto"/>
          <w:lang w:val="hr-HR"/>
        </w:rPr>
        <w:t>oj</w:t>
      </w:r>
      <w:r w:rsidR="00246F0D" w:rsidRPr="00653DCF">
        <w:rPr>
          <w:color w:val="auto"/>
          <w:lang w:val="hr-HR"/>
        </w:rPr>
        <w:t xml:space="preserve"> za 2</w:t>
      </w:r>
      <w:r w:rsidR="00E87B0B" w:rsidRPr="00653DCF">
        <w:rPr>
          <w:color w:val="auto"/>
          <w:lang w:val="hr-HR"/>
        </w:rPr>
        <w:t xml:space="preserve">% (200 baznih bodova); ili </w:t>
      </w:r>
    </w:p>
    <w:p w14:paraId="76191A12" w14:textId="5D40C6F1" w:rsidR="007A2A6F" w:rsidRPr="00653DCF" w:rsidRDefault="00E87B0B">
      <w:pPr>
        <w:pStyle w:val="NoIndentEIB"/>
        <w:numPr>
          <w:ilvl w:val="1"/>
          <w:numId w:val="19"/>
        </w:numPr>
        <w:rPr>
          <w:color w:val="auto"/>
          <w:lang w:val="hr-HR"/>
        </w:rPr>
      </w:pPr>
      <w:r w:rsidRPr="00653DCF">
        <w:rPr>
          <w:color w:val="auto"/>
          <w:lang w:val="hr-HR"/>
        </w:rPr>
        <w:t>EURIBOR</w:t>
      </w:r>
      <w:r w:rsidR="009544EC" w:rsidRPr="00653DCF">
        <w:rPr>
          <w:color w:val="auto"/>
          <w:lang w:val="hr-HR"/>
        </w:rPr>
        <w:t>-</w:t>
      </w:r>
      <w:r w:rsidR="000B6271" w:rsidRPr="00653DCF">
        <w:rPr>
          <w:color w:val="auto"/>
          <w:lang w:val="hr-HR"/>
        </w:rPr>
        <w:t>u</w:t>
      </w:r>
      <w:r w:rsidRPr="00653DCF">
        <w:rPr>
          <w:color w:val="auto"/>
          <w:lang w:val="hr-HR"/>
        </w:rPr>
        <w:t xml:space="preserve"> (</w:t>
      </w:r>
      <w:r w:rsidR="001367B4" w:rsidRPr="00653DCF">
        <w:rPr>
          <w:color w:val="auto"/>
          <w:lang w:val="hr-HR"/>
        </w:rPr>
        <w:t>jednomjesečno</w:t>
      </w:r>
      <w:r w:rsidR="000B6271" w:rsidRPr="00653DCF">
        <w:rPr>
          <w:color w:val="auto"/>
          <w:lang w:val="hr-HR"/>
        </w:rPr>
        <w:t>m</w:t>
      </w:r>
      <w:r w:rsidRPr="00653DCF">
        <w:rPr>
          <w:color w:val="auto"/>
          <w:lang w:val="hr-HR"/>
        </w:rPr>
        <w:t>)</w:t>
      </w:r>
      <w:r w:rsidR="000B6271" w:rsidRPr="00653DCF">
        <w:rPr>
          <w:color w:val="auto"/>
          <w:lang w:val="hr-HR"/>
        </w:rPr>
        <w:t>,</w:t>
      </w:r>
      <w:r w:rsidRPr="00653DCF">
        <w:rPr>
          <w:color w:val="auto"/>
          <w:lang w:val="hr-HR"/>
        </w:rPr>
        <w:t xml:space="preserve"> </w:t>
      </w:r>
      <w:r w:rsidR="00EA6E09" w:rsidRPr="00653DCF">
        <w:rPr>
          <w:color w:val="auto"/>
          <w:lang w:val="hr-HR"/>
        </w:rPr>
        <w:t>uvećano</w:t>
      </w:r>
      <w:r w:rsidR="000B6271" w:rsidRPr="00653DCF">
        <w:rPr>
          <w:color w:val="auto"/>
          <w:lang w:val="hr-HR"/>
        </w:rPr>
        <w:t>m za</w:t>
      </w:r>
      <w:r w:rsidR="00EA6E09" w:rsidRPr="00653DCF">
        <w:rPr>
          <w:color w:val="auto"/>
          <w:lang w:val="hr-HR"/>
        </w:rPr>
        <w:t xml:space="preserve"> </w:t>
      </w:r>
      <w:r w:rsidR="00246F0D" w:rsidRPr="00653DCF">
        <w:rPr>
          <w:color w:val="auto"/>
          <w:lang w:val="hr-HR"/>
        </w:rPr>
        <w:t>2</w:t>
      </w:r>
      <w:r w:rsidRPr="00653DCF">
        <w:rPr>
          <w:color w:val="auto"/>
          <w:lang w:val="hr-HR"/>
        </w:rPr>
        <w:t>% (200 baznih bodova); i</w:t>
      </w:r>
      <w:bookmarkEnd w:id="300"/>
    </w:p>
    <w:p w14:paraId="3C0A2A23" w14:textId="5918A9CA" w:rsidR="007A2A6F" w:rsidRPr="00653DCF" w:rsidRDefault="00E87B0B">
      <w:pPr>
        <w:pStyle w:val="NoIndentEIB"/>
        <w:numPr>
          <w:ilvl w:val="0"/>
          <w:numId w:val="19"/>
        </w:numPr>
        <w:rPr>
          <w:color w:val="auto"/>
          <w:lang w:val="hr-HR"/>
        </w:rPr>
      </w:pPr>
      <w:bookmarkStart w:id="301" w:name="_Ref126076030"/>
      <w:r w:rsidRPr="00653DCF">
        <w:rPr>
          <w:color w:val="auto"/>
          <w:lang w:val="hr-HR"/>
        </w:rPr>
        <w:t xml:space="preserve">za </w:t>
      </w:r>
      <w:r w:rsidR="009544EC" w:rsidRPr="00653DCF">
        <w:rPr>
          <w:color w:val="auto"/>
          <w:lang w:val="hr-HR"/>
        </w:rPr>
        <w:t>nepodmirena dugova</w:t>
      </w:r>
      <w:r w:rsidR="004D7C40" w:rsidRPr="00653DCF">
        <w:rPr>
          <w:color w:val="auto"/>
          <w:lang w:val="hr-HR"/>
        </w:rPr>
        <w:t xml:space="preserve">nja, osim onih navedenih u </w:t>
      </w:r>
      <w:r w:rsidR="00660248" w:rsidRPr="00653DCF">
        <w:rPr>
          <w:color w:val="auto"/>
          <w:lang w:val="hr-HR"/>
        </w:rPr>
        <w:t>gore navedenim</w:t>
      </w:r>
      <w:r w:rsidR="004D7C40" w:rsidRPr="00653DCF">
        <w:rPr>
          <w:color w:val="auto"/>
          <w:lang w:val="hr-HR"/>
        </w:rPr>
        <w:t xml:space="preserve"> </w:t>
      </w:r>
      <w:r w:rsidRPr="00653DCF">
        <w:rPr>
          <w:color w:val="auto"/>
          <w:lang w:val="hr-HR"/>
        </w:rPr>
        <w:t>točkama (a) ili (b), EURIBOR</w:t>
      </w:r>
      <w:r w:rsidR="004D7C40" w:rsidRPr="00653DCF">
        <w:rPr>
          <w:color w:val="auto"/>
          <w:lang w:val="hr-HR"/>
        </w:rPr>
        <w:t>-</w:t>
      </w:r>
      <w:r w:rsidR="00660248" w:rsidRPr="00653DCF">
        <w:rPr>
          <w:color w:val="auto"/>
          <w:lang w:val="hr-HR"/>
        </w:rPr>
        <w:t>u</w:t>
      </w:r>
      <w:r w:rsidRPr="00653DCF">
        <w:rPr>
          <w:color w:val="auto"/>
          <w:lang w:val="hr-HR"/>
        </w:rPr>
        <w:t xml:space="preserve"> (</w:t>
      </w:r>
      <w:r w:rsidR="00660248" w:rsidRPr="00653DCF">
        <w:rPr>
          <w:color w:val="auto"/>
          <w:lang w:val="hr-HR"/>
        </w:rPr>
        <w:t>jednomjesečnom</w:t>
      </w:r>
      <w:r w:rsidRPr="00653DCF">
        <w:rPr>
          <w:color w:val="auto"/>
          <w:lang w:val="hr-HR"/>
        </w:rPr>
        <w:t>)</w:t>
      </w:r>
      <w:r w:rsidR="00660248" w:rsidRPr="00653DCF">
        <w:rPr>
          <w:color w:val="auto"/>
          <w:lang w:val="hr-HR"/>
        </w:rPr>
        <w:t>,</w:t>
      </w:r>
      <w:r w:rsidRPr="00653DCF">
        <w:rPr>
          <w:color w:val="auto"/>
          <w:lang w:val="hr-HR"/>
        </w:rPr>
        <w:t xml:space="preserve"> uvećan</w:t>
      </w:r>
      <w:r w:rsidR="004D7C40" w:rsidRPr="00653DCF">
        <w:rPr>
          <w:color w:val="auto"/>
          <w:lang w:val="hr-HR"/>
        </w:rPr>
        <w:t>o</w:t>
      </w:r>
      <w:r w:rsidR="00660248" w:rsidRPr="00653DCF">
        <w:rPr>
          <w:color w:val="auto"/>
          <w:lang w:val="hr-HR"/>
        </w:rPr>
        <w:t>m</w:t>
      </w:r>
      <w:r w:rsidR="00246F0D" w:rsidRPr="00653DCF">
        <w:rPr>
          <w:color w:val="auto"/>
          <w:lang w:val="hr-HR"/>
        </w:rPr>
        <w:t xml:space="preserve"> za 2</w:t>
      </w:r>
      <w:r w:rsidRPr="00653DCF">
        <w:rPr>
          <w:color w:val="auto"/>
          <w:lang w:val="hr-HR"/>
        </w:rPr>
        <w:t>% (200 baznih bodova),</w:t>
      </w:r>
      <w:bookmarkEnd w:id="301"/>
    </w:p>
    <w:p w14:paraId="34584F87" w14:textId="7883B357" w:rsidR="007A2A6F" w:rsidRPr="00653DCF" w:rsidRDefault="00660248">
      <w:pPr>
        <w:rPr>
          <w:color w:val="auto"/>
          <w:lang w:val="hr-HR"/>
        </w:rPr>
      </w:pPr>
      <w:r w:rsidRPr="00653DCF">
        <w:rPr>
          <w:color w:val="auto"/>
          <w:lang w:val="hr-HR"/>
        </w:rPr>
        <w:t>a</w:t>
      </w:r>
      <w:r w:rsidR="00E87B0B" w:rsidRPr="00653DCF">
        <w:rPr>
          <w:color w:val="auto"/>
          <w:lang w:val="hr-HR"/>
        </w:rPr>
        <w:t xml:space="preserve"> </w:t>
      </w:r>
      <w:r w:rsidR="00EA6E09" w:rsidRPr="00653DCF">
        <w:rPr>
          <w:color w:val="auto"/>
          <w:lang w:val="hr-HR"/>
        </w:rPr>
        <w:t xml:space="preserve">koja se </w:t>
      </w:r>
      <w:r w:rsidR="00E87B0B" w:rsidRPr="00653DCF">
        <w:rPr>
          <w:color w:val="auto"/>
          <w:lang w:val="hr-HR"/>
        </w:rPr>
        <w:t xml:space="preserve">plaća u skladu sa zahtjevom Banke. </w:t>
      </w:r>
      <w:r w:rsidR="00EA6E09" w:rsidRPr="00653DCF">
        <w:rPr>
          <w:color w:val="auto"/>
          <w:lang w:val="hr-HR"/>
        </w:rPr>
        <w:t xml:space="preserve">U svrhu utvrđivanja </w:t>
      </w:r>
      <w:r w:rsidR="00E87B0B" w:rsidRPr="00653DCF">
        <w:rPr>
          <w:color w:val="auto"/>
          <w:lang w:val="hr-HR"/>
        </w:rPr>
        <w:t xml:space="preserve">EURIBOR-a </w:t>
      </w:r>
      <w:r w:rsidR="0030389E" w:rsidRPr="00653DCF">
        <w:rPr>
          <w:color w:val="auto"/>
          <w:lang w:val="hr-HR"/>
        </w:rPr>
        <w:t xml:space="preserve">u vezi s ovim člankom </w:t>
      </w:r>
      <w:r w:rsidR="00E87B0B" w:rsidRPr="00653DCF">
        <w:rPr>
          <w:color w:val="auto"/>
          <w:lang w:val="hr-HR"/>
        </w:rPr>
        <w:fldChar w:fldCharType="begin"/>
      </w:r>
      <w:r w:rsidR="00E87B0B" w:rsidRPr="00653DCF">
        <w:rPr>
          <w:color w:val="auto"/>
          <w:lang w:val="hr-HR"/>
        </w:rPr>
        <w:instrText xml:space="preserve"> REF _Ref426981814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3.2</w:t>
      </w:r>
      <w:r w:rsidR="00E87B0B" w:rsidRPr="00653DCF">
        <w:rPr>
          <w:color w:val="auto"/>
          <w:lang w:val="hr-HR"/>
        </w:rPr>
        <w:fldChar w:fldCharType="end"/>
      </w:r>
      <w:r w:rsidR="0030389E" w:rsidRPr="00653DCF">
        <w:rPr>
          <w:color w:val="auto"/>
          <w:lang w:val="hr-HR"/>
        </w:rPr>
        <w:t xml:space="preserve">. točka </w:t>
      </w:r>
      <w:r w:rsidR="00E87B0B" w:rsidRPr="00653DCF">
        <w:rPr>
          <w:color w:val="auto"/>
          <w:lang w:val="hr-HR"/>
        </w:rPr>
        <w:fldChar w:fldCharType="begin"/>
      </w:r>
      <w:r w:rsidR="00E87B0B" w:rsidRPr="00653DCF">
        <w:rPr>
          <w:color w:val="auto"/>
          <w:lang w:val="hr-HR"/>
        </w:rPr>
        <w:instrText xml:space="preserve"> REF _Ref126083079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(b)</w:t>
      </w:r>
      <w:r w:rsidR="00E87B0B" w:rsidRPr="00653DCF">
        <w:rPr>
          <w:color w:val="auto"/>
          <w:lang w:val="hr-HR"/>
        </w:rPr>
        <w:fldChar w:fldCharType="end"/>
      </w:r>
      <w:r w:rsidR="00E87B0B" w:rsidRPr="00653DCF">
        <w:rPr>
          <w:color w:val="auto"/>
          <w:lang w:val="hr-HR"/>
        </w:rPr>
        <w:t xml:space="preserve"> i</w:t>
      </w:r>
      <w:r w:rsidR="0030389E"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_Ref126076030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(c)</w:t>
      </w:r>
      <w:r w:rsidR="00E87B0B" w:rsidRPr="00653DCF">
        <w:rPr>
          <w:color w:val="auto"/>
          <w:lang w:val="hr-HR"/>
        </w:rPr>
        <w:fldChar w:fldCharType="end"/>
      </w:r>
      <w:r w:rsidR="00E87B0B" w:rsidRPr="00653DCF">
        <w:rPr>
          <w:color w:val="auto"/>
          <w:lang w:val="hr-HR"/>
        </w:rPr>
        <w:t xml:space="preserve">, relevantna razdoblja u </w:t>
      </w:r>
      <w:r w:rsidR="00EC70DE" w:rsidRPr="00653DCF">
        <w:rPr>
          <w:color w:val="auto"/>
          <w:lang w:val="hr-HR"/>
        </w:rPr>
        <w:t xml:space="preserve">okviru </w:t>
      </w:r>
      <w:r w:rsidR="00834A55" w:rsidRPr="00653DCF">
        <w:rPr>
          <w:color w:val="auto"/>
          <w:lang w:val="hr-HR"/>
        </w:rPr>
        <w:t>značenja</w:t>
      </w:r>
      <w:r w:rsidR="00EC70DE" w:rsidRPr="00653DCF">
        <w:rPr>
          <w:color w:val="auto"/>
          <w:lang w:val="hr-HR"/>
        </w:rPr>
        <w:t xml:space="preserve"> </w:t>
      </w:r>
      <w:r w:rsidR="00A01CB6" w:rsidRPr="00653DCF">
        <w:rPr>
          <w:color w:val="auto"/>
          <w:lang w:val="hr-HR"/>
        </w:rPr>
        <w:t xml:space="preserve">Priloga B </w:t>
      </w:r>
      <w:r w:rsidR="00EC70DE" w:rsidRPr="00653DCF">
        <w:rPr>
          <w:color w:val="auto"/>
          <w:lang w:val="hr-HR"/>
        </w:rPr>
        <w:t xml:space="preserve">jesu </w:t>
      </w:r>
      <w:r w:rsidR="00E87B0B" w:rsidRPr="00653DCF">
        <w:rPr>
          <w:color w:val="auto"/>
          <w:lang w:val="hr-HR"/>
        </w:rPr>
        <w:t xml:space="preserve">uzastopna razdoblja </w:t>
      </w:r>
      <w:r w:rsidR="00EC70DE" w:rsidRPr="00653DCF">
        <w:rPr>
          <w:color w:val="auto"/>
          <w:lang w:val="hr-HR"/>
        </w:rPr>
        <w:t xml:space="preserve">u trajanju </w:t>
      </w:r>
      <w:r w:rsidR="00E87B0B" w:rsidRPr="00653DCF">
        <w:rPr>
          <w:color w:val="auto"/>
          <w:lang w:val="hr-HR"/>
        </w:rPr>
        <w:t>od 1 (jednog) mjeseca</w:t>
      </w:r>
      <w:r w:rsidR="00EC70DE" w:rsidRPr="00653DCF">
        <w:rPr>
          <w:color w:val="auto"/>
          <w:lang w:val="hr-HR"/>
        </w:rPr>
        <w:t xml:space="preserve">, počevši s datumom </w:t>
      </w:r>
      <w:r w:rsidR="00E87B0B" w:rsidRPr="00653DCF">
        <w:rPr>
          <w:color w:val="auto"/>
          <w:lang w:val="hr-HR"/>
        </w:rPr>
        <w:t xml:space="preserve">dospijeća. </w:t>
      </w:r>
    </w:p>
    <w:p w14:paraId="6CFF5575" w14:textId="3591A8E2" w:rsidR="007A2A6F" w:rsidRPr="00653DCF" w:rsidRDefault="00894B85" w:rsidP="00370CF0">
      <w:pPr>
        <w:rPr>
          <w:color w:val="auto"/>
          <w:lang w:val="hr-HR"/>
        </w:rPr>
      </w:pPr>
      <w:r w:rsidRPr="00653DCF">
        <w:rPr>
          <w:color w:val="auto"/>
          <w:lang w:val="hr-HR"/>
        </w:rPr>
        <w:t xml:space="preserve">Neplaćena, ali dospjela kamata može biti kapitalizirana u skladu </w:t>
      </w:r>
      <w:r w:rsidR="00C20629" w:rsidRPr="00653DCF">
        <w:rPr>
          <w:color w:val="auto"/>
          <w:lang w:val="hr-HR"/>
        </w:rPr>
        <w:t>s člankom 1154.</w:t>
      </w:r>
      <w:r w:rsidR="00E87B0B" w:rsidRPr="00653DCF">
        <w:rPr>
          <w:color w:val="auto"/>
          <w:lang w:val="hr-HR"/>
        </w:rPr>
        <w:t xml:space="preserve"> luksemburškog Građanskog zakonika. </w:t>
      </w:r>
      <w:r w:rsidR="00C20629" w:rsidRPr="00653DCF">
        <w:rPr>
          <w:color w:val="auto"/>
          <w:lang w:val="hr-HR"/>
        </w:rPr>
        <w:t>Radi otklanjanja dvojbe</w:t>
      </w:r>
      <w:r w:rsidR="003E0F0E" w:rsidRPr="00653DCF">
        <w:rPr>
          <w:color w:val="auto"/>
          <w:lang w:val="hr-HR"/>
        </w:rPr>
        <w:t xml:space="preserve">, do kapitalizacije kamate dolazi samo za kamatu koja je dospjela, ali nije plaćena za razdoblje duže od jedne godine. </w:t>
      </w:r>
      <w:r w:rsidR="00B00B64" w:rsidRPr="00653DCF">
        <w:rPr>
          <w:color w:val="auto"/>
          <w:lang w:val="hr-HR"/>
        </w:rPr>
        <w:t xml:space="preserve">Zajmoprimac ovim unaprijed </w:t>
      </w:r>
      <w:r w:rsidR="00660248" w:rsidRPr="00653DCF">
        <w:rPr>
          <w:color w:val="auto"/>
          <w:lang w:val="hr-HR"/>
        </w:rPr>
        <w:t>dogovara</w:t>
      </w:r>
      <w:r w:rsidR="00B00B64" w:rsidRPr="00653DCF">
        <w:rPr>
          <w:color w:val="auto"/>
          <w:lang w:val="hr-HR"/>
        </w:rPr>
        <w:t xml:space="preserve"> da je izvršio </w:t>
      </w:r>
      <w:r w:rsidR="00CC24F0" w:rsidRPr="00653DCF">
        <w:rPr>
          <w:color w:val="auto"/>
          <w:lang w:val="hr-HR"/>
        </w:rPr>
        <w:t>ukamaćivanje neplaćene kamate dospjele za razdoblje duže od jedne godine</w:t>
      </w:r>
      <w:r w:rsidR="001861E6" w:rsidRPr="00653DCF">
        <w:rPr>
          <w:color w:val="auto"/>
          <w:lang w:val="hr-HR"/>
        </w:rPr>
        <w:t xml:space="preserve"> i da će od kapitalizacije takva neplaćena kamata stvarati kamatu </w:t>
      </w:r>
      <w:r w:rsidR="00370CF0" w:rsidRPr="00653DCF">
        <w:rPr>
          <w:color w:val="auto"/>
          <w:lang w:val="hr-HR"/>
        </w:rPr>
        <w:t xml:space="preserve">po kamatnoj stopi utvrđenoj u ovom članku </w:t>
      </w:r>
      <w:r w:rsidR="00E87B0B" w:rsidRPr="00653DCF">
        <w:rPr>
          <w:color w:val="auto"/>
          <w:lang w:val="hr-HR"/>
        </w:rPr>
        <w:fldChar w:fldCharType="begin"/>
      </w:r>
      <w:r w:rsidR="00E87B0B" w:rsidRPr="00653DCF">
        <w:rPr>
          <w:color w:val="auto"/>
          <w:lang w:val="hr-HR"/>
        </w:rPr>
        <w:instrText xml:space="preserve"> REF _Ref426981814 \r \h  \* MERGEFORMAT </w:instrText>
      </w:r>
      <w:r w:rsidR="00E87B0B" w:rsidRPr="00653DCF">
        <w:rPr>
          <w:color w:val="auto"/>
          <w:lang w:val="hr-HR"/>
        </w:rPr>
      </w:r>
      <w:r w:rsidR="00E87B0B" w:rsidRPr="00653DCF">
        <w:rPr>
          <w:color w:val="auto"/>
          <w:lang w:val="hr-HR"/>
        </w:rPr>
        <w:fldChar w:fldCharType="separate"/>
      </w:r>
      <w:r w:rsidR="00E5391B">
        <w:rPr>
          <w:color w:val="auto"/>
          <w:lang w:val="hr-HR"/>
        </w:rPr>
        <w:t>3.2</w:t>
      </w:r>
      <w:r w:rsidR="00E87B0B" w:rsidRPr="00653DCF">
        <w:rPr>
          <w:color w:val="auto"/>
          <w:lang w:val="hr-HR"/>
        </w:rPr>
        <w:fldChar w:fldCharType="end"/>
      </w:r>
      <w:r w:rsidR="00E87B0B" w:rsidRPr="00653DCF">
        <w:rPr>
          <w:color w:val="auto"/>
          <w:lang w:val="hr-HR"/>
        </w:rPr>
        <w:t>.</w:t>
      </w:r>
    </w:p>
    <w:p w14:paraId="7B6B5BCC" w14:textId="590C5E7A" w:rsidR="007A2A6F" w:rsidRPr="00653DCF" w:rsidRDefault="00E87B0B" w:rsidP="00613099">
      <w:pPr>
        <w:pStyle w:val="Heading2"/>
        <w:ind w:left="851"/>
        <w:rPr>
          <w:color w:val="auto"/>
          <w:lang w:val="hr-HR"/>
        </w:rPr>
      </w:pPr>
      <w:bookmarkStart w:id="302" w:name="_Toc475441141"/>
      <w:bookmarkStart w:id="303" w:name="_Toc498018636"/>
      <w:bookmarkStart w:id="304" w:name="_Ref430853841"/>
      <w:bookmarkStart w:id="305" w:name="_Toc508120495"/>
      <w:bookmarkStart w:id="306" w:name="_Toc126080687"/>
      <w:bookmarkStart w:id="307" w:name="_Toc126080819"/>
      <w:r w:rsidRPr="00653DCF">
        <w:rPr>
          <w:color w:val="auto"/>
          <w:lang w:val="hr-HR"/>
        </w:rPr>
        <w:t xml:space="preserve">Događaj </w:t>
      </w:r>
      <w:bookmarkEnd w:id="302"/>
      <w:bookmarkEnd w:id="303"/>
      <w:bookmarkEnd w:id="304"/>
      <w:bookmarkEnd w:id="305"/>
      <w:bookmarkEnd w:id="306"/>
      <w:bookmarkEnd w:id="307"/>
      <w:r w:rsidR="00370CF0" w:rsidRPr="00653DCF">
        <w:rPr>
          <w:color w:val="auto"/>
          <w:lang w:val="hr-HR"/>
        </w:rPr>
        <w:t>narušavanja tržišta</w:t>
      </w:r>
    </w:p>
    <w:p w14:paraId="60ADA295" w14:textId="77777777" w:rsidR="007A2A6F" w:rsidRPr="00653DCF" w:rsidRDefault="00E87B0B">
      <w:pPr>
        <w:pStyle w:val="NoIndentEIB"/>
        <w:numPr>
          <w:ilvl w:val="0"/>
          <w:numId w:val="20"/>
        </w:numPr>
        <w:rPr>
          <w:color w:val="auto"/>
          <w:lang w:val="hr-HR"/>
        </w:rPr>
      </w:pPr>
      <w:bookmarkStart w:id="308" w:name="_Ref523227281"/>
      <w:r w:rsidRPr="00653DCF">
        <w:rPr>
          <w:color w:val="auto"/>
          <w:lang w:val="hr-HR"/>
        </w:rPr>
        <w:t>Ako u bilo kojem trenutku:</w:t>
      </w:r>
      <w:bookmarkEnd w:id="308"/>
    </w:p>
    <w:p w14:paraId="0043298A" w14:textId="48534D3B" w:rsidR="007A2A6F" w:rsidRPr="00653DCF" w:rsidRDefault="00EF6B1D">
      <w:pPr>
        <w:pStyle w:val="NoIndentEIB"/>
        <w:numPr>
          <w:ilvl w:val="1"/>
          <w:numId w:val="20"/>
        </w:numPr>
        <w:rPr>
          <w:color w:val="auto"/>
          <w:lang w:val="hr-HR"/>
        </w:rPr>
      </w:pPr>
      <w:r w:rsidRPr="00653DCF">
        <w:rPr>
          <w:color w:val="auto"/>
          <w:lang w:val="hr-HR"/>
        </w:rPr>
        <w:t>i</w:t>
      </w:r>
      <w:r w:rsidR="002A19DB" w:rsidRPr="00653DCF">
        <w:rPr>
          <w:color w:val="auto"/>
          <w:lang w:val="hr-HR"/>
        </w:rPr>
        <w:t>zmeđu</w:t>
      </w:r>
      <w:r w:rsidR="005E4925" w:rsidRPr="00653DCF">
        <w:rPr>
          <w:color w:val="auto"/>
          <w:lang w:val="hr-HR"/>
        </w:rPr>
        <w:t xml:space="preserve"> datuma na koji Banka izda obavijest o isplati u vezi s </w:t>
      </w:r>
      <w:r w:rsidR="00A5584A" w:rsidRPr="00653DCF">
        <w:rPr>
          <w:color w:val="auto"/>
          <w:lang w:val="hr-HR"/>
        </w:rPr>
        <w:t xml:space="preserve">nekom </w:t>
      </w:r>
      <w:r w:rsidR="005E4925" w:rsidRPr="00653DCF">
        <w:rPr>
          <w:color w:val="auto"/>
          <w:lang w:val="hr-HR"/>
        </w:rPr>
        <w:t>tranšom</w:t>
      </w:r>
      <w:r w:rsidR="00E87B0B" w:rsidRPr="00653DCF">
        <w:rPr>
          <w:color w:val="auto"/>
          <w:lang w:val="hr-HR"/>
        </w:rPr>
        <w:t xml:space="preserve">; </w:t>
      </w:r>
      <w:r w:rsidR="005E4925" w:rsidRPr="00653DCF">
        <w:rPr>
          <w:color w:val="auto"/>
          <w:lang w:val="hr-HR"/>
        </w:rPr>
        <w:t>i</w:t>
      </w:r>
      <w:r w:rsidR="00E87B0B" w:rsidRPr="00653DCF">
        <w:rPr>
          <w:color w:val="auto"/>
          <w:lang w:val="hr-HR"/>
        </w:rPr>
        <w:t xml:space="preserve"> </w:t>
      </w:r>
    </w:p>
    <w:p w14:paraId="39A933F3" w14:textId="5C1CC22F" w:rsidR="007A2A6F" w:rsidRPr="00653DCF" w:rsidRDefault="00EF6B1D">
      <w:pPr>
        <w:pStyle w:val="NoIndentEIB"/>
        <w:numPr>
          <w:ilvl w:val="1"/>
          <w:numId w:val="20"/>
        </w:numPr>
        <w:rPr>
          <w:color w:val="auto"/>
          <w:lang w:val="hr-HR"/>
        </w:rPr>
      </w:pPr>
      <w:r w:rsidRPr="00653DCF">
        <w:rPr>
          <w:color w:val="auto"/>
          <w:lang w:val="hr-HR"/>
        </w:rPr>
        <w:t>d</w:t>
      </w:r>
      <w:r w:rsidR="005E4925" w:rsidRPr="00653DCF">
        <w:rPr>
          <w:color w:val="auto"/>
          <w:lang w:val="hr-HR"/>
        </w:rPr>
        <w:t xml:space="preserve">atuma koji pada </w:t>
      </w:r>
      <w:r w:rsidR="00E87B0B" w:rsidRPr="00653DCF">
        <w:rPr>
          <w:color w:val="auto"/>
          <w:lang w:val="hr-HR"/>
        </w:rPr>
        <w:t xml:space="preserve">30 (trideset) kalendarskih </w:t>
      </w:r>
      <w:r w:rsidR="005E4925" w:rsidRPr="00653DCF">
        <w:rPr>
          <w:color w:val="auto"/>
          <w:lang w:val="hr-HR"/>
        </w:rPr>
        <w:t xml:space="preserve">prije planiranog datuma isplate za tranše koje se isplaćuju u </w:t>
      </w:r>
      <w:r w:rsidRPr="00653DCF">
        <w:rPr>
          <w:color w:val="auto"/>
          <w:lang w:val="hr-HR"/>
        </w:rPr>
        <w:t>eurima</w:t>
      </w:r>
      <w:r w:rsidR="00E87B0B" w:rsidRPr="00653DCF">
        <w:rPr>
          <w:color w:val="auto"/>
          <w:lang w:val="hr-HR"/>
        </w:rPr>
        <w:t xml:space="preserve">; </w:t>
      </w:r>
      <w:r w:rsidR="00DA5982" w:rsidRPr="00653DCF">
        <w:rPr>
          <w:color w:val="auto"/>
          <w:lang w:val="hr-HR"/>
        </w:rPr>
        <w:t xml:space="preserve">nastupi događaj narušavanja tržišta, Banka može </w:t>
      </w:r>
      <w:r w:rsidR="00E87B0B" w:rsidRPr="00653DCF">
        <w:rPr>
          <w:color w:val="auto"/>
          <w:lang w:val="hr-HR"/>
        </w:rPr>
        <w:t>obavijestiti Zajmoprimca da</w:t>
      </w:r>
      <w:r w:rsidR="00DA5982" w:rsidRPr="00653DCF">
        <w:rPr>
          <w:color w:val="auto"/>
          <w:lang w:val="hr-HR"/>
        </w:rPr>
        <w:t xml:space="preserve"> </w:t>
      </w:r>
      <w:r w:rsidRPr="00653DCF">
        <w:rPr>
          <w:color w:val="auto"/>
          <w:lang w:val="hr-HR"/>
        </w:rPr>
        <w:t>aktivira</w:t>
      </w:r>
      <w:r w:rsidR="00DA5982" w:rsidRPr="00653DCF">
        <w:rPr>
          <w:color w:val="auto"/>
          <w:lang w:val="hr-HR"/>
        </w:rPr>
        <w:t xml:space="preserve"> ovaj članak</w:t>
      </w:r>
      <w:r w:rsidR="00E87B0B"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_Ref430853841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3.3</w:t>
      </w:r>
      <w:r w:rsidR="00E87B0B" w:rsidRPr="00653DCF">
        <w:rPr>
          <w:color w:val="auto"/>
          <w:lang w:val="hr-HR"/>
        </w:rPr>
        <w:fldChar w:fldCharType="end"/>
      </w:r>
      <w:r w:rsidR="00E87B0B" w:rsidRPr="00653DCF">
        <w:rPr>
          <w:color w:val="auto"/>
          <w:lang w:val="hr-HR"/>
        </w:rPr>
        <w:t>.</w:t>
      </w:r>
    </w:p>
    <w:p w14:paraId="415EB49B" w14:textId="4532756D" w:rsidR="00134A30" w:rsidRPr="00653DCF" w:rsidRDefault="00134A30">
      <w:pPr>
        <w:pStyle w:val="NoIndentEIB"/>
        <w:numPr>
          <w:ilvl w:val="0"/>
          <w:numId w:val="20"/>
        </w:numPr>
        <w:rPr>
          <w:color w:val="auto"/>
          <w:lang w:val="hr-HR"/>
        </w:rPr>
      </w:pPr>
      <w:bookmarkStart w:id="309" w:name="_Ref430856306"/>
      <w:r w:rsidRPr="00653DCF">
        <w:rPr>
          <w:color w:val="auto"/>
          <w:lang w:val="hr-HR"/>
        </w:rPr>
        <w:t>Kamatna stopa koja se primjenjuje na takvu najavljenu tranšu do datuma dospijeća ili do datuma revizije/konverzije kamatne stope, ako postoji, bit će kamatna stopa (izra</w:t>
      </w:r>
      <w:r w:rsidR="00EF6B1D" w:rsidRPr="00653DCF">
        <w:rPr>
          <w:color w:val="auto"/>
          <w:lang w:val="hr-HR"/>
        </w:rPr>
        <w:t>ž</w:t>
      </w:r>
      <w:r w:rsidRPr="00653DCF">
        <w:rPr>
          <w:color w:val="auto"/>
          <w:lang w:val="hr-HR"/>
        </w:rPr>
        <w:t xml:space="preserve">ena kao </w:t>
      </w:r>
      <w:r w:rsidR="00225A11" w:rsidRPr="00653DCF">
        <w:rPr>
          <w:color w:val="auto"/>
          <w:lang w:val="hr-HR"/>
        </w:rPr>
        <w:t xml:space="preserve">godišnja postotna stopa) za koju Banka odredi da je ukupan trošak Banke za financiranje relevantne tranše, </w:t>
      </w:r>
      <w:r w:rsidR="00EF6B1D" w:rsidRPr="00653DCF">
        <w:rPr>
          <w:color w:val="auto"/>
          <w:lang w:val="hr-HR"/>
        </w:rPr>
        <w:t xml:space="preserve">a </w:t>
      </w:r>
      <w:r w:rsidR="00225A11" w:rsidRPr="00653DCF">
        <w:rPr>
          <w:color w:val="auto"/>
          <w:lang w:val="hr-HR"/>
        </w:rPr>
        <w:t xml:space="preserve">koja se temelji na tada </w:t>
      </w:r>
      <w:r w:rsidR="009B53F6" w:rsidRPr="00653DCF">
        <w:rPr>
          <w:color w:val="auto"/>
          <w:lang w:val="hr-HR"/>
        </w:rPr>
        <w:t xml:space="preserve">primjenjivoj interno određenoj referentnoj stopi banke ili alternativnoj metodi određivanja stope koju razumno </w:t>
      </w:r>
      <w:r w:rsidR="00B74514" w:rsidRPr="00653DCF">
        <w:rPr>
          <w:color w:val="auto"/>
          <w:lang w:val="hr-HR"/>
        </w:rPr>
        <w:t>odredi</w:t>
      </w:r>
      <w:r w:rsidR="009B53F6" w:rsidRPr="00653DCF">
        <w:rPr>
          <w:color w:val="auto"/>
          <w:lang w:val="hr-HR"/>
        </w:rPr>
        <w:t xml:space="preserve"> Banka.</w:t>
      </w:r>
    </w:p>
    <w:p w14:paraId="29413C51" w14:textId="34E71C74" w:rsidR="007A2A6F" w:rsidRPr="00653DCF" w:rsidRDefault="00E87B0B">
      <w:pPr>
        <w:pStyle w:val="NoIndentEIB"/>
        <w:numPr>
          <w:ilvl w:val="0"/>
          <w:numId w:val="20"/>
        </w:numPr>
        <w:rPr>
          <w:color w:val="auto"/>
          <w:lang w:val="hr-HR"/>
        </w:rPr>
      </w:pPr>
      <w:r w:rsidRPr="00653DCF">
        <w:rPr>
          <w:color w:val="auto"/>
          <w:lang w:val="hr-HR"/>
        </w:rPr>
        <w:t xml:space="preserve">Zajmoprimac ima pravo </w:t>
      </w:r>
      <w:r w:rsidR="009B53F6" w:rsidRPr="00653DCF">
        <w:rPr>
          <w:color w:val="auto"/>
          <w:lang w:val="hr-HR"/>
        </w:rPr>
        <w:t xml:space="preserve">pisanim putem </w:t>
      </w:r>
      <w:r w:rsidRPr="00653DCF">
        <w:rPr>
          <w:color w:val="auto"/>
          <w:lang w:val="hr-HR"/>
        </w:rPr>
        <w:t xml:space="preserve">odbiti takvu isplatu u roku navedenom u obavijesti </w:t>
      </w:r>
      <w:r w:rsidR="00B74514" w:rsidRPr="00653DCF">
        <w:rPr>
          <w:color w:val="auto"/>
          <w:lang w:val="hr-HR"/>
        </w:rPr>
        <w:t>te snositi</w:t>
      </w:r>
      <w:r w:rsidRPr="00653DCF">
        <w:rPr>
          <w:color w:val="auto"/>
          <w:lang w:val="hr-HR"/>
        </w:rPr>
        <w:t xml:space="preserve"> </w:t>
      </w:r>
      <w:r w:rsidR="009B53F6" w:rsidRPr="00653DCF">
        <w:rPr>
          <w:color w:val="auto"/>
          <w:lang w:val="hr-HR"/>
        </w:rPr>
        <w:t xml:space="preserve">naknade nastale kao rezultat toga, ako postoje, </w:t>
      </w:r>
      <w:r w:rsidRPr="00653DCF">
        <w:rPr>
          <w:color w:val="auto"/>
          <w:lang w:val="hr-HR"/>
        </w:rPr>
        <w:t>u kojem slučaju Banka neće izvršiti isplatu, a odgovarajući dio kredita ostaje na raspolaganju za isplatu u skladu s člankom</w:t>
      </w:r>
      <w:r w:rsidR="009B53F6" w:rsidRPr="00653DCF">
        <w:rPr>
          <w:color w:val="auto"/>
          <w:lang w:val="hr-HR"/>
        </w:rPr>
        <w:t xml:space="preserve"> </w:t>
      </w:r>
      <w:r w:rsidRPr="00653DCF">
        <w:rPr>
          <w:color w:val="auto"/>
          <w:lang w:val="hr-HR"/>
        </w:rPr>
        <w:fldChar w:fldCharType="begin"/>
      </w:r>
      <w:r w:rsidRPr="00653DCF">
        <w:rPr>
          <w:color w:val="auto"/>
          <w:lang w:val="hr-HR"/>
        </w:rPr>
        <w:instrText xml:space="preserve"> REF _Ref426722606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1.2</w:t>
      </w:r>
      <w:r w:rsidRPr="00653DCF">
        <w:rPr>
          <w:color w:val="auto"/>
          <w:lang w:val="hr-HR"/>
        </w:rPr>
        <w:fldChar w:fldCharType="end"/>
      </w:r>
      <w:r w:rsidRPr="00653DCF">
        <w:rPr>
          <w:color w:val="auto"/>
          <w:lang w:val="hr-HR"/>
        </w:rPr>
        <w:t xml:space="preserve">. </w:t>
      </w:r>
    </w:p>
    <w:p w14:paraId="39D6D8B4" w14:textId="46ED198C" w:rsidR="007A2A6F" w:rsidRDefault="00E87B0B">
      <w:pPr>
        <w:pStyle w:val="NoIndentEIB"/>
        <w:numPr>
          <w:ilvl w:val="0"/>
          <w:numId w:val="20"/>
        </w:numPr>
        <w:rPr>
          <w:color w:val="auto"/>
          <w:lang w:val="hr-HR"/>
        </w:rPr>
      </w:pPr>
      <w:r w:rsidRPr="00653DCF">
        <w:rPr>
          <w:color w:val="auto"/>
          <w:lang w:val="hr-HR"/>
        </w:rPr>
        <w:t xml:space="preserve">Ako Zajmoprimac ne odbije isplatu na vrijeme, </w:t>
      </w:r>
      <w:r w:rsidR="009B53F6" w:rsidRPr="00653DCF">
        <w:rPr>
          <w:color w:val="auto"/>
          <w:lang w:val="hr-HR"/>
        </w:rPr>
        <w:t>stran</w:t>
      </w:r>
      <w:r w:rsidR="00E12432" w:rsidRPr="00653DCF">
        <w:rPr>
          <w:color w:val="auto"/>
          <w:lang w:val="hr-HR"/>
        </w:rPr>
        <w:t>k</w:t>
      </w:r>
      <w:r w:rsidR="009B53F6" w:rsidRPr="00653DCF">
        <w:rPr>
          <w:color w:val="auto"/>
          <w:lang w:val="hr-HR"/>
        </w:rPr>
        <w:t>e</w:t>
      </w:r>
      <w:r w:rsidRPr="00653DCF">
        <w:rPr>
          <w:color w:val="auto"/>
          <w:lang w:val="hr-HR"/>
        </w:rPr>
        <w:t xml:space="preserve"> su suglasne da će isplata u </w:t>
      </w:r>
      <w:r w:rsidR="00B74514" w:rsidRPr="00653DCF">
        <w:rPr>
          <w:color w:val="auto"/>
          <w:lang w:val="hr-HR"/>
        </w:rPr>
        <w:t xml:space="preserve">eurima </w:t>
      </w:r>
      <w:r w:rsidRPr="00653DCF">
        <w:rPr>
          <w:color w:val="auto"/>
          <w:lang w:val="hr-HR"/>
        </w:rPr>
        <w:t xml:space="preserve">i njezini uvjeti </w:t>
      </w:r>
      <w:r w:rsidR="00B74514" w:rsidRPr="00653DCF">
        <w:rPr>
          <w:color w:val="auto"/>
          <w:lang w:val="hr-HR"/>
        </w:rPr>
        <w:t xml:space="preserve">biti </w:t>
      </w:r>
      <w:r w:rsidRPr="00653DCF">
        <w:rPr>
          <w:color w:val="auto"/>
          <w:lang w:val="hr-HR"/>
        </w:rPr>
        <w:t xml:space="preserve">u potpunosti obvezujući za obje </w:t>
      </w:r>
      <w:r w:rsidR="009B53F6" w:rsidRPr="00653DCF">
        <w:rPr>
          <w:color w:val="auto"/>
          <w:lang w:val="hr-HR"/>
        </w:rPr>
        <w:t>stran</w:t>
      </w:r>
      <w:r w:rsidR="00E12432" w:rsidRPr="00653DCF">
        <w:rPr>
          <w:color w:val="auto"/>
          <w:lang w:val="hr-HR"/>
        </w:rPr>
        <w:t>k</w:t>
      </w:r>
      <w:r w:rsidR="009B53F6" w:rsidRPr="00653DCF">
        <w:rPr>
          <w:color w:val="auto"/>
          <w:lang w:val="hr-HR"/>
        </w:rPr>
        <w:t>e</w:t>
      </w:r>
      <w:r w:rsidRPr="00653DCF">
        <w:rPr>
          <w:color w:val="auto"/>
          <w:lang w:val="hr-HR"/>
        </w:rPr>
        <w:t>.</w:t>
      </w:r>
      <w:bookmarkEnd w:id="309"/>
      <w:r w:rsidRPr="00653DCF">
        <w:rPr>
          <w:color w:val="auto"/>
          <w:lang w:val="hr-HR"/>
        </w:rPr>
        <w:t xml:space="preserve"> </w:t>
      </w:r>
    </w:p>
    <w:p w14:paraId="10F9DB2A" w14:textId="77777777" w:rsidR="00E87E1C" w:rsidRPr="00653DCF" w:rsidRDefault="00E87E1C" w:rsidP="00E87E1C">
      <w:pPr>
        <w:pStyle w:val="NoIndentEIB"/>
        <w:rPr>
          <w:color w:val="auto"/>
          <w:lang w:val="hr-HR"/>
        </w:rPr>
      </w:pPr>
    </w:p>
    <w:p w14:paraId="761D8983" w14:textId="398BA831" w:rsidR="007A2A6F" w:rsidRPr="00653DCF" w:rsidRDefault="002A19DB">
      <w:pPr>
        <w:pStyle w:val="NoIndentEIB"/>
        <w:numPr>
          <w:ilvl w:val="0"/>
          <w:numId w:val="20"/>
        </w:numPr>
        <w:rPr>
          <w:color w:val="auto"/>
          <w:lang w:val="hr-HR"/>
        </w:rPr>
      </w:pPr>
      <w:r w:rsidRPr="00653DCF">
        <w:rPr>
          <w:color w:val="auto"/>
          <w:lang w:val="hr-HR"/>
        </w:rPr>
        <w:t xml:space="preserve">Kamatna marža ili fiksna kamatna stopa o kojoj je Banka prethodno </w:t>
      </w:r>
      <w:r w:rsidR="005E473C" w:rsidRPr="00653DCF">
        <w:rPr>
          <w:color w:val="auto"/>
          <w:lang w:val="hr-HR"/>
        </w:rPr>
        <w:t>dala obavijest u</w:t>
      </w:r>
      <w:r w:rsidRPr="00653DCF">
        <w:rPr>
          <w:color w:val="auto"/>
          <w:lang w:val="hr-HR"/>
        </w:rPr>
        <w:t xml:space="preserve"> obavijesti o isplati više nije primjenjiva</w:t>
      </w:r>
      <w:r w:rsidR="00E87B0B" w:rsidRPr="00653DCF">
        <w:rPr>
          <w:color w:val="auto"/>
          <w:lang w:val="hr-HR"/>
        </w:rPr>
        <w:t xml:space="preserve">. </w:t>
      </w:r>
    </w:p>
    <w:p w14:paraId="66315482" w14:textId="76414078" w:rsidR="007A2A6F" w:rsidRPr="00653DCF" w:rsidRDefault="003D033E" w:rsidP="003D033E">
      <w:pPr>
        <w:pStyle w:val="ARTICLE1"/>
        <w:numPr>
          <w:ilvl w:val="0"/>
          <w:numId w:val="0"/>
        </w:numPr>
        <w:rPr>
          <w:color w:val="auto"/>
        </w:rPr>
      </w:pPr>
      <w:bookmarkStart w:id="310" w:name="_Toc440722213"/>
      <w:bookmarkStart w:id="311" w:name="_Toc440722405"/>
      <w:bookmarkStart w:id="312" w:name="_Toc440722595"/>
      <w:bookmarkStart w:id="313" w:name="_Toc440894471"/>
      <w:bookmarkStart w:id="314" w:name="_Toc440722214"/>
      <w:bookmarkStart w:id="315" w:name="_Toc440722406"/>
      <w:bookmarkStart w:id="316" w:name="_Toc440722596"/>
      <w:bookmarkStart w:id="317" w:name="_Toc440894472"/>
      <w:bookmarkStart w:id="318" w:name="_Toc475441142"/>
      <w:bookmarkStart w:id="319" w:name="_Toc498018637"/>
      <w:bookmarkStart w:id="320" w:name="_Toc508120496"/>
      <w:bookmarkStart w:id="321" w:name="_Toc126080688"/>
      <w:bookmarkStart w:id="322" w:name="_Toc126080820"/>
      <w:bookmarkStart w:id="323" w:name="_Ref427037135"/>
      <w:bookmarkEnd w:id="310"/>
      <w:bookmarkEnd w:id="311"/>
      <w:bookmarkEnd w:id="312"/>
      <w:bookmarkEnd w:id="313"/>
      <w:bookmarkEnd w:id="314"/>
      <w:bookmarkEnd w:id="315"/>
      <w:bookmarkEnd w:id="316"/>
      <w:bookmarkEnd w:id="317"/>
      <w:bookmarkEnd w:id="318"/>
      <w:bookmarkEnd w:id="319"/>
      <w:bookmarkEnd w:id="320"/>
      <w:bookmarkEnd w:id="321"/>
      <w:bookmarkEnd w:id="322"/>
      <w:r>
        <w:rPr>
          <w:color w:val="auto"/>
        </w:rPr>
        <w:lastRenderedPageBreak/>
        <w:t>ČLANAK 4</w:t>
      </w:r>
      <w:r w:rsidR="00181BE2">
        <w:rPr>
          <w:color w:val="auto"/>
        </w:rPr>
        <w:t>.</w:t>
      </w:r>
    </w:p>
    <w:bookmarkEnd w:id="323"/>
    <w:p w14:paraId="0D83F671" w14:textId="0CC2E93F" w:rsidR="007A2A6F" w:rsidRPr="00653DCF" w:rsidRDefault="00E87B0B">
      <w:pPr>
        <w:pStyle w:val="ArticleTitleEIB"/>
        <w:rPr>
          <w:color w:val="auto"/>
        </w:rPr>
      </w:pPr>
      <w:r w:rsidRPr="00653DCF">
        <w:rPr>
          <w:color w:val="auto"/>
        </w:rPr>
        <w:t>Otplat</w:t>
      </w:r>
      <w:r w:rsidR="002C6693" w:rsidRPr="00653DCF">
        <w:rPr>
          <w:color w:val="auto"/>
        </w:rPr>
        <w:t>a</w:t>
      </w:r>
    </w:p>
    <w:p w14:paraId="659EB14A" w14:textId="77777777" w:rsidR="003D033E" w:rsidRPr="003D033E" w:rsidRDefault="003D033E" w:rsidP="003D033E">
      <w:pPr>
        <w:pStyle w:val="ListParagraph"/>
        <w:keepNext/>
        <w:keepLines/>
        <w:numPr>
          <w:ilvl w:val="0"/>
          <w:numId w:val="62"/>
        </w:numPr>
        <w:spacing w:before="360"/>
        <w:contextualSpacing w:val="0"/>
        <w:jc w:val="center"/>
        <w:outlineLvl w:val="0"/>
        <w:rPr>
          <w:rFonts w:eastAsiaTheme="majorEastAsia" w:cstheme="majorBidi"/>
          <w:b/>
          <w:caps/>
          <w:vanish/>
          <w:u w:val="single"/>
        </w:rPr>
      </w:pPr>
      <w:bookmarkStart w:id="324" w:name="_Ref426715009"/>
      <w:bookmarkStart w:id="325" w:name="_Ref426722492"/>
      <w:bookmarkStart w:id="326" w:name="_Ref426951000"/>
      <w:bookmarkStart w:id="327" w:name="_Ref426952561"/>
      <w:bookmarkStart w:id="328" w:name="_Toc475441143"/>
      <w:bookmarkStart w:id="329" w:name="_Toc498018638"/>
      <w:bookmarkStart w:id="330" w:name="_Toc508120497"/>
      <w:bookmarkStart w:id="331" w:name="_Toc126080689"/>
      <w:bookmarkStart w:id="332" w:name="_Toc126080821"/>
    </w:p>
    <w:p w14:paraId="1A920028" w14:textId="3EF8B0AD" w:rsidR="007A2A6F" w:rsidRPr="00653DCF" w:rsidRDefault="002C6693" w:rsidP="003D033E">
      <w:pPr>
        <w:pStyle w:val="Heading2"/>
        <w:ind w:left="851"/>
      </w:pPr>
      <w:r w:rsidRPr="00653DCF">
        <w:t>Redovna</w:t>
      </w:r>
      <w:r w:rsidR="00E87B0B" w:rsidRPr="00653DCF">
        <w:t xml:space="preserve"> otplata</w:t>
      </w:r>
      <w:bookmarkEnd w:id="324"/>
      <w:bookmarkEnd w:id="325"/>
      <w:bookmarkEnd w:id="326"/>
      <w:bookmarkEnd w:id="327"/>
      <w:bookmarkEnd w:id="328"/>
      <w:bookmarkEnd w:id="329"/>
      <w:bookmarkEnd w:id="330"/>
      <w:bookmarkEnd w:id="331"/>
      <w:bookmarkEnd w:id="332"/>
    </w:p>
    <w:p w14:paraId="13A98454" w14:textId="73BD5402" w:rsidR="007A2A6F" w:rsidRPr="00653DCF" w:rsidRDefault="00E87B0B" w:rsidP="00613099">
      <w:pPr>
        <w:pStyle w:val="Heading3"/>
        <w:ind w:left="851"/>
        <w:rPr>
          <w:color w:val="auto"/>
        </w:rPr>
      </w:pPr>
      <w:r w:rsidRPr="00653DCF">
        <w:rPr>
          <w:color w:val="auto"/>
        </w:rPr>
        <w:t xml:space="preserve">Otplata </w:t>
      </w:r>
      <w:r w:rsidR="004B5A99" w:rsidRPr="00653DCF">
        <w:rPr>
          <w:color w:val="auto"/>
        </w:rPr>
        <w:t xml:space="preserve">u </w:t>
      </w:r>
      <w:r w:rsidR="00253FFD" w:rsidRPr="00653DCF">
        <w:rPr>
          <w:color w:val="auto"/>
        </w:rPr>
        <w:t>obrocima</w:t>
      </w:r>
    </w:p>
    <w:p w14:paraId="5D33906A" w14:textId="7E339A31" w:rsidR="007A2A6F" w:rsidRPr="00653DCF" w:rsidRDefault="006448AD">
      <w:pPr>
        <w:pStyle w:val="NoIndentEIB"/>
        <w:numPr>
          <w:ilvl w:val="0"/>
          <w:numId w:val="21"/>
        </w:numPr>
        <w:rPr>
          <w:color w:val="auto"/>
        </w:rPr>
      </w:pPr>
      <w:r w:rsidRPr="00653DCF">
        <w:rPr>
          <w:color w:val="auto"/>
        </w:rPr>
        <w:t xml:space="preserve">Zajmoprimac je dužan otplatiti svaku tranšu u obrocima na datume otplate utvrđene u </w:t>
      </w:r>
      <w:r w:rsidR="008648F5" w:rsidRPr="00653DCF">
        <w:rPr>
          <w:color w:val="auto"/>
        </w:rPr>
        <w:t>relevantnoj</w:t>
      </w:r>
      <w:r w:rsidRPr="00653DCF">
        <w:rPr>
          <w:color w:val="auto"/>
        </w:rPr>
        <w:t xml:space="preserve"> obavijesti o isplati</w:t>
      </w:r>
      <w:r w:rsidR="008648F5" w:rsidRPr="00653DCF">
        <w:rPr>
          <w:color w:val="auto"/>
        </w:rPr>
        <w:t>,</w:t>
      </w:r>
      <w:r w:rsidRPr="00653DCF">
        <w:rPr>
          <w:color w:val="auto"/>
        </w:rPr>
        <w:t xml:space="preserve"> u skladu s uvjetima plana otplate zajma koji se dostavlja </w:t>
      </w:r>
      <w:r w:rsidR="008648F5" w:rsidRPr="00653DCF">
        <w:rPr>
          <w:color w:val="auto"/>
        </w:rPr>
        <w:t xml:space="preserve">na temelju članka </w:t>
      </w:r>
      <w:r w:rsidR="00E87B0B" w:rsidRPr="00653DCF">
        <w:rPr>
          <w:color w:val="auto"/>
        </w:rPr>
        <w:fldChar w:fldCharType="begin"/>
      </w:r>
      <w:r w:rsidR="00E87B0B" w:rsidRPr="00653DCF">
        <w:rPr>
          <w:color w:val="auto"/>
        </w:rPr>
        <w:instrText xml:space="preserve"> REF _Ref426982329 \r \h  \* MERGEFORMAT </w:instrText>
      </w:r>
      <w:r w:rsidR="00E87B0B" w:rsidRPr="00653DCF">
        <w:rPr>
          <w:color w:val="auto"/>
        </w:rPr>
      </w:r>
      <w:r w:rsidR="00E87B0B" w:rsidRPr="00653DCF">
        <w:rPr>
          <w:color w:val="auto"/>
        </w:rPr>
        <w:fldChar w:fldCharType="separate"/>
      </w:r>
      <w:r w:rsidR="00E5391B">
        <w:rPr>
          <w:color w:val="auto"/>
        </w:rPr>
        <w:t>2.3</w:t>
      </w:r>
      <w:r w:rsidR="00E87B0B" w:rsidRPr="00653DCF">
        <w:rPr>
          <w:color w:val="auto"/>
        </w:rPr>
        <w:fldChar w:fldCharType="end"/>
      </w:r>
      <w:r w:rsidR="00E87B0B" w:rsidRPr="00653DCF">
        <w:rPr>
          <w:color w:val="auto"/>
        </w:rPr>
        <w:t xml:space="preserve">. </w:t>
      </w:r>
    </w:p>
    <w:p w14:paraId="1E38253A" w14:textId="15363703" w:rsidR="007A2A6F" w:rsidRPr="00653DCF" w:rsidRDefault="00E87B0B">
      <w:pPr>
        <w:pStyle w:val="NoIndentEIB"/>
        <w:numPr>
          <w:ilvl w:val="0"/>
          <w:numId w:val="21"/>
        </w:numPr>
        <w:rPr>
          <w:color w:val="auto"/>
        </w:rPr>
      </w:pPr>
      <w:r w:rsidRPr="00653DCF">
        <w:rPr>
          <w:color w:val="auto"/>
        </w:rPr>
        <w:t>Svak</w:t>
      </w:r>
      <w:r w:rsidR="006448AD" w:rsidRPr="00653DCF">
        <w:rPr>
          <w:color w:val="auto"/>
        </w:rPr>
        <w:t>i plan otplate sastavlja se na temelju sljedećih pretpostavki</w:t>
      </w:r>
      <w:r w:rsidRPr="00653DCF">
        <w:rPr>
          <w:color w:val="auto"/>
        </w:rPr>
        <w:t>:</w:t>
      </w:r>
    </w:p>
    <w:p w14:paraId="6AF8D911" w14:textId="14B45750" w:rsidR="007A2A6F" w:rsidRPr="00653DCF" w:rsidRDefault="00770A09">
      <w:pPr>
        <w:pStyle w:val="NoIndentEIB"/>
        <w:numPr>
          <w:ilvl w:val="1"/>
          <w:numId w:val="21"/>
        </w:numPr>
        <w:rPr>
          <w:color w:val="auto"/>
        </w:rPr>
      </w:pPr>
      <w:r w:rsidRPr="00653DCF">
        <w:rPr>
          <w:color w:val="auto"/>
        </w:rPr>
        <w:t xml:space="preserve">da se, </w:t>
      </w:r>
      <w:r w:rsidR="00CE645B" w:rsidRPr="00653DCF">
        <w:rPr>
          <w:color w:val="auto"/>
        </w:rPr>
        <w:t xml:space="preserve">u slučaju tranše s fiksnom kamatnom stopom bez datuma revizije/konverzije kamatne stope, otplata </w:t>
      </w:r>
      <w:r w:rsidRPr="00653DCF">
        <w:rPr>
          <w:color w:val="auto"/>
        </w:rPr>
        <w:t>vrši</w:t>
      </w:r>
      <w:r w:rsidR="00CE645B" w:rsidRPr="00653DCF">
        <w:rPr>
          <w:color w:val="auto"/>
        </w:rPr>
        <w:t xml:space="preserve"> u jednakim </w:t>
      </w:r>
      <w:r w:rsidR="006360A2" w:rsidRPr="00653DCF">
        <w:rPr>
          <w:color w:val="auto"/>
        </w:rPr>
        <w:t xml:space="preserve">tromjesečnim, </w:t>
      </w:r>
      <w:r w:rsidR="00CE645B" w:rsidRPr="00653DCF">
        <w:rPr>
          <w:color w:val="auto"/>
        </w:rPr>
        <w:t xml:space="preserve">polugodišnjim </w:t>
      </w:r>
      <w:r w:rsidR="006360A2" w:rsidRPr="00653DCF">
        <w:rPr>
          <w:color w:val="auto"/>
        </w:rPr>
        <w:t xml:space="preserve">ili godišnjim </w:t>
      </w:r>
      <w:r w:rsidR="00CE645B" w:rsidRPr="00653DCF">
        <w:rPr>
          <w:color w:val="auto"/>
        </w:rPr>
        <w:t xml:space="preserve">obrocima glavnice </w:t>
      </w:r>
      <w:r w:rsidR="00E87B0B" w:rsidRPr="00653DCF">
        <w:rPr>
          <w:color w:val="auto"/>
        </w:rPr>
        <w:t>i</w:t>
      </w:r>
      <w:r w:rsidR="00445595" w:rsidRPr="00653DCF">
        <w:rPr>
          <w:color w:val="auto"/>
        </w:rPr>
        <w:t>li konstantnim obrocima glavnice i</w:t>
      </w:r>
      <w:r w:rsidR="00E87B0B" w:rsidRPr="00653DCF">
        <w:rPr>
          <w:color w:val="auto"/>
        </w:rPr>
        <w:t xml:space="preserve"> kamata;</w:t>
      </w:r>
    </w:p>
    <w:p w14:paraId="67AC4773" w14:textId="4CABBB0F" w:rsidR="007A2A6F" w:rsidRPr="00653DCF" w:rsidRDefault="00770A09">
      <w:pPr>
        <w:pStyle w:val="NoIndentEIB"/>
        <w:numPr>
          <w:ilvl w:val="1"/>
          <w:numId w:val="21"/>
        </w:numPr>
        <w:rPr>
          <w:color w:val="auto"/>
        </w:rPr>
      </w:pPr>
      <w:bookmarkStart w:id="333" w:name="_Ref426715353"/>
      <w:r w:rsidRPr="00653DCF">
        <w:rPr>
          <w:color w:val="auto"/>
        </w:rPr>
        <w:t xml:space="preserve">da se, </w:t>
      </w:r>
      <w:r w:rsidR="00DC2808" w:rsidRPr="00653DCF">
        <w:rPr>
          <w:color w:val="auto"/>
        </w:rPr>
        <w:t xml:space="preserve">u slučaju tranše s fiksnom kamatnom stopom s datumom revizije/konverzije kamatne stope ili tranše s promjenjivom kamatnom stopom, otplata </w:t>
      </w:r>
      <w:r w:rsidRPr="00653DCF">
        <w:rPr>
          <w:color w:val="auto"/>
        </w:rPr>
        <w:t>vrši</w:t>
      </w:r>
      <w:r w:rsidR="00DC2808" w:rsidRPr="00653DCF">
        <w:rPr>
          <w:color w:val="auto"/>
        </w:rPr>
        <w:t xml:space="preserve"> u jednakim </w:t>
      </w:r>
      <w:r w:rsidR="007A5C03" w:rsidRPr="00653DCF">
        <w:rPr>
          <w:color w:val="auto"/>
        </w:rPr>
        <w:t xml:space="preserve">tromjesečnim, </w:t>
      </w:r>
      <w:r w:rsidR="00DC2808" w:rsidRPr="00653DCF">
        <w:rPr>
          <w:color w:val="auto"/>
        </w:rPr>
        <w:t xml:space="preserve">polugodišnjim </w:t>
      </w:r>
      <w:r w:rsidR="007A5C03" w:rsidRPr="00653DCF">
        <w:rPr>
          <w:color w:val="auto"/>
        </w:rPr>
        <w:t xml:space="preserve">ili godišnjim </w:t>
      </w:r>
      <w:r w:rsidR="00DC2808" w:rsidRPr="00653DCF">
        <w:rPr>
          <w:color w:val="auto"/>
        </w:rPr>
        <w:t>obrocima glavnice</w:t>
      </w:r>
      <w:r w:rsidR="00E87B0B" w:rsidRPr="00653DCF">
        <w:rPr>
          <w:color w:val="auto"/>
        </w:rPr>
        <w:t>;</w:t>
      </w:r>
      <w:bookmarkEnd w:id="333"/>
    </w:p>
    <w:p w14:paraId="573E04BB" w14:textId="68ACF7C7" w:rsidR="007A2A6F" w:rsidRPr="00653DCF" w:rsidRDefault="006360A2">
      <w:pPr>
        <w:pStyle w:val="NoIndentEIB"/>
        <w:numPr>
          <w:ilvl w:val="1"/>
          <w:numId w:val="21"/>
        </w:numPr>
        <w:rPr>
          <w:color w:val="auto"/>
        </w:rPr>
      </w:pPr>
      <w:r w:rsidRPr="00653DCF">
        <w:rPr>
          <w:color w:val="auto"/>
        </w:rPr>
        <w:t xml:space="preserve">da je prvi </w:t>
      </w:r>
      <w:r w:rsidR="00E87B0B" w:rsidRPr="00653DCF">
        <w:rPr>
          <w:color w:val="auto"/>
        </w:rPr>
        <w:t xml:space="preserve">datum otplate svake tranše </w:t>
      </w:r>
      <w:r w:rsidRPr="00653DCF">
        <w:rPr>
          <w:color w:val="auto"/>
        </w:rPr>
        <w:t xml:space="preserve">datum plaćanja koji pada najranije </w:t>
      </w:r>
      <w:r w:rsidR="00E87B0B" w:rsidRPr="00653DCF">
        <w:rPr>
          <w:color w:val="auto"/>
        </w:rPr>
        <w:t>30 (trideset) dana od planiranog datuma isplate</w:t>
      </w:r>
      <w:r w:rsidRPr="00653DCF">
        <w:rPr>
          <w:color w:val="auto"/>
        </w:rPr>
        <w:t xml:space="preserve"> i najkasnije na prvi datum plaćanja koji neposredno slijedi </w:t>
      </w:r>
      <w:r w:rsidR="00954612" w:rsidRPr="00653DCF">
        <w:rPr>
          <w:color w:val="auto"/>
        </w:rPr>
        <w:t>iza 5. (pete) godišnjice planiranog datuma isplate</w:t>
      </w:r>
      <w:r w:rsidR="000D0D7C" w:rsidRPr="00653DCF">
        <w:rPr>
          <w:color w:val="auto"/>
        </w:rPr>
        <w:t xml:space="preserve"> te</w:t>
      </w:r>
      <w:r w:rsidR="00954612" w:rsidRPr="00653DCF">
        <w:rPr>
          <w:color w:val="auto"/>
        </w:rPr>
        <w:t xml:space="preserve"> tranše; i</w:t>
      </w:r>
    </w:p>
    <w:p w14:paraId="014860BD" w14:textId="319913A1" w:rsidR="007A2A6F" w:rsidRPr="00653DCF" w:rsidRDefault="00ED35C6">
      <w:pPr>
        <w:pStyle w:val="NoIndentEIB"/>
        <w:numPr>
          <w:ilvl w:val="1"/>
          <w:numId w:val="21"/>
        </w:numPr>
        <w:rPr>
          <w:color w:val="auto"/>
          <w:lang w:val="hr-HR"/>
        </w:rPr>
      </w:pPr>
      <w:bookmarkStart w:id="334" w:name="_Ref430852342"/>
      <w:r w:rsidRPr="00653DCF">
        <w:rPr>
          <w:color w:val="auto"/>
          <w:lang w:val="hr-HR"/>
        </w:rPr>
        <w:t xml:space="preserve">da je posljednji datum </w:t>
      </w:r>
      <w:r w:rsidR="00E87B0B" w:rsidRPr="00653DCF">
        <w:rPr>
          <w:color w:val="auto"/>
          <w:lang w:val="hr-HR"/>
        </w:rPr>
        <w:t xml:space="preserve">otplate svake tranše </w:t>
      </w:r>
      <w:r w:rsidRPr="00653DCF">
        <w:rPr>
          <w:color w:val="auto"/>
          <w:lang w:val="hr-HR"/>
        </w:rPr>
        <w:t xml:space="preserve">datum plaćanja koji pada najranije </w:t>
      </w:r>
      <w:r w:rsidR="00E87B0B" w:rsidRPr="00653DCF">
        <w:rPr>
          <w:color w:val="auto"/>
          <w:lang w:val="hr-HR"/>
        </w:rPr>
        <w:t xml:space="preserve">4 (četiri) godine, a najkasnije 30 (trideset) godina </w:t>
      </w:r>
      <w:r w:rsidRPr="00653DCF">
        <w:rPr>
          <w:color w:val="auto"/>
          <w:lang w:val="hr-HR"/>
        </w:rPr>
        <w:t xml:space="preserve">nakon </w:t>
      </w:r>
      <w:r w:rsidR="00E87B0B" w:rsidRPr="00653DCF">
        <w:rPr>
          <w:color w:val="auto"/>
          <w:lang w:val="hr-HR"/>
        </w:rPr>
        <w:t>planiranog datuma isplate.</w:t>
      </w:r>
      <w:bookmarkEnd w:id="334"/>
      <w:r w:rsidR="00E87B0B" w:rsidRPr="00653DCF">
        <w:rPr>
          <w:color w:val="auto"/>
          <w:lang w:val="hr-HR"/>
        </w:rPr>
        <w:t xml:space="preserve"> </w:t>
      </w:r>
    </w:p>
    <w:p w14:paraId="5E0CA85B" w14:textId="040B6BF3" w:rsidR="007A2A6F" w:rsidRPr="00653DCF" w:rsidRDefault="00253FFD" w:rsidP="00613099">
      <w:pPr>
        <w:pStyle w:val="Heading3"/>
        <w:ind w:left="851"/>
        <w:rPr>
          <w:color w:val="auto"/>
          <w:lang w:val="hr-HR"/>
        </w:rPr>
      </w:pPr>
      <w:r w:rsidRPr="00653DCF">
        <w:rPr>
          <w:color w:val="auto"/>
          <w:lang w:val="hr-HR"/>
        </w:rPr>
        <w:t>Jedan obrok</w:t>
      </w:r>
    </w:p>
    <w:p w14:paraId="5E75AE04" w14:textId="7732A4CB" w:rsidR="007A2A6F" w:rsidRPr="00653DCF" w:rsidRDefault="00E87B0B">
      <w:pPr>
        <w:pStyle w:val="NoIndentEIB"/>
        <w:ind w:left="856"/>
        <w:rPr>
          <w:color w:val="auto"/>
          <w:lang w:val="hr-HR"/>
        </w:rPr>
      </w:pPr>
      <w:r w:rsidRPr="00653DCF">
        <w:rPr>
          <w:color w:val="auto"/>
          <w:lang w:val="hr-HR"/>
        </w:rPr>
        <w:t xml:space="preserve">Alternativno, Zajmoprimac će otplatiti tranšu u jednom obroku na </w:t>
      </w:r>
      <w:r w:rsidR="00923765" w:rsidRPr="00653DCF">
        <w:rPr>
          <w:color w:val="auto"/>
          <w:lang w:val="hr-HR"/>
        </w:rPr>
        <w:t>jedinstveni</w:t>
      </w:r>
      <w:r w:rsidRPr="00653DCF">
        <w:rPr>
          <w:color w:val="auto"/>
          <w:lang w:val="hr-HR"/>
        </w:rPr>
        <w:t xml:space="preserve"> datum otplate naveden u </w:t>
      </w:r>
      <w:r w:rsidR="008E7EFF" w:rsidRPr="00653DCF">
        <w:rPr>
          <w:color w:val="auto"/>
          <w:lang w:val="hr-HR"/>
        </w:rPr>
        <w:t>o</w:t>
      </w:r>
      <w:r w:rsidRPr="00653DCF">
        <w:rPr>
          <w:color w:val="auto"/>
          <w:lang w:val="hr-HR"/>
        </w:rPr>
        <w:t>bavijesti o isplati</w:t>
      </w:r>
      <w:r w:rsidR="008E7EFF" w:rsidRPr="00653DCF">
        <w:rPr>
          <w:color w:val="auto"/>
          <w:lang w:val="hr-HR"/>
        </w:rPr>
        <w:t xml:space="preserve"> koji ne pada ranije od </w:t>
      </w:r>
      <w:r w:rsidRPr="00653DCF">
        <w:rPr>
          <w:color w:val="auto"/>
          <w:lang w:val="hr-HR"/>
        </w:rPr>
        <w:t xml:space="preserve">3 (tri) godine ili </w:t>
      </w:r>
      <w:r w:rsidR="008E7EFF" w:rsidRPr="00653DCF">
        <w:rPr>
          <w:color w:val="auto"/>
          <w:lang w:val="hr-HR"/>
        </w:rPr>
        <w:t xml:space="preserve">kasnije od </w:t>
      </w:r>
      <w:r w:rsidRPr="00653DCF">
        <w:rPr>
          <w:color w:val="auto"/>
          <w:lang w:val="hr-HR"/>
        </w:rPr>
        <w:t>17 (sedamnaest) godina od planiranog datuma isplate.</w:t>
      </w:r>
    </w:p>
    <w:p w14:paraId="6CCDCD02" w14:textId="2E5EC8C9" w:rsidR="007A2A6F" w:rsidRPr="00653DCF" w:rsidRDefault="004B34A0" w:rsidP="00613099">
      <w:pPr>
        <w:pStyle w:val="Heading2"/>
        <w:ind w:left="851"/>
        <w:rPr>
          <w:color w:val="auto"/>
          <w:lang w:val="hr-HR"/>
        </w:rPr>
      </w:pPr>
      <w:r w:rsidRPr="00653DCF">
        <w:rPr>
          <w:color w:val="auto"/>
          <w:lang w:val="hr-HR"/>
        </w:rPr>
        <w:t>Dobrovoljna prijevremena otplata</w:t>
      </w:r>
    </w:p>
    <w:p w14:paraId="2E3EB466" w14:textId="0FBFB325" w:rsidR="007A2A6F" w:rsidRPr="00653DCF" w:rsidRDefault="004B34A0" w:rsidP="00613099">
      <w:pPr>
        <w:pStyle w:val="Heading3"/>
        <w:ind w:left="851"/>
        <w:rPr>
          <w:color w:val="auto"/>
          <w:lang w:val="hr-HR"/>
        </w:rPr>
      </w:pPr>
      <w:r w:rsidRPr="00653DCF">
        <w:rPr>
          <w:color w:val="auto"/>
          <w:lang w:val="hr-HR"/>
        </w:rPr>
        <w:t>Mogućnost prijevremene otplate</w:t>
      </w:r>
    </w:p>
    <w:p w14:paraId="369B6B79" w14:textId="12D4FF9E" w:rsidR="007A2A6F" w:rsidRPr="00653DCF" w:rsidRDefault="00E87B0B">
      <w:pPr>
        <w:rPr>
          <w:color w:val="auto"/>
          <w:lang w:val="hr-HR"/>
        </w:rPr>
      </w:pPr>
      <w:r w:rsidRPr="00653DCF">
        <w:rPr>
          <w:color w:val="auto"/>
          <w:lang w:val="hr-HR"/>
        </w:rPr>
        <w:t>U skladu s člancima</w:t>
      </w:r>
      <w:r w:rsidR="005E61E6" w:rsidRPr="00653DCF">
        <w:rPr>
          <w:color w:val="auto"/>
          <w:lang w:val="hr-HR"/>
        </w:rPr>
        <w:t xml:space="preserve"> </w:t>
      </w:r>
      <w:r w:rsidRPr="00653DCF">
        <w:rPr>
          <w:color w:val="auto"/>
          <w:lang w:val="hr-HR"/>
        </w:rPr>
        <w:fldChar w:fldCharType="begin"/>
      </w:r>
      <w:r w:rsidRPr="00653DCF">
        <w:rPr>
          <w:color w:val="auto"/>
          <w:lang w:val="hr-HR"/>
        </w:rPr>
        <w:instrText xml:space="preserve"> REF _Ref426982374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4.2.B</w:t>
      </w:r>
      <w:r w:rsidRPr="00653DCF">
        <w:rPr>
          <w:color w:val="auto"/>
          <w:lang w:val="hr-HR"/>
        </w:rPr>
        <w:fldChar w:fldCharType="end"/>
      </w:r>
      <w:r w:rsidR="00C667FF" w:rsidRPr="00653DCF">
        <w:rPr>
          <w:color w:val="auto"/>
          <w:lang w:val="hr-HR"/>
        </w:rPr>
        <w:t>, 4.2.</w:t>
      </w:r>
      <w:r w:rsidR="001640A9" w:rsidRPr="00653DCF">
        <w:rPr>
          <w:color w:val="auto"/>
        </w:rPr>
        <w:t>C</w:t>
      </w:r>
      <w:r w:rsidRPr="00653DCF">
        <w:rPr>
          <w:color w:val="auto"/>
          <w:lang w:val="hr-HR"/>
        </w:rPr>
        <w:t xml:space="preserve"> i</w:t>
      </w:r>
      <w:r w:rsidR="005E61E6" w:rsidRPr="00653DCF">
        <w:rPr>
          <w:color w:val="auto"/>
          <w:lang w:val="hr-HR"/>
        </w:rPr>
        <w:t xml:space="preserve"> </w:t>
      </w:r>
      <w:r w:rsidRPr="00653DCF">
        <w:rPr>
          <w:color w:val="auto"/>
          <w:lang w:val="hr-HR"/>
        </w:rPr>
        <w:fldChar w:fldCharType="begin"/>
      </w:r>
      <w:r w:rsidRPr="00653DCF">
        <w:rPr>
          <w:color w:val="auto"/>
          <w:lang w:val="hr-HR"/>
        </w:rPr>
        <w:instrText xml:space="preserve"> REF _Ref426982424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4.4</w:t>
      </w:r>
      <w:r w:rsidRPr="00653DCF">
        <w:rPr>
          <w:color w:val="auto"/>
          <w:lang w:val="hr-HR"/>
        </w:rPr>
        <w:fldChar w:fldCharType="end"/>
      </w:r>
      <w:r w:rsidR="00685FD3" w:rsidRPr="00653DCF">
        <w:rPr>
          <w:color w:val="auto"/>
          <w:lang w:val="hr-HR"/>
        </w:rPr>
        <w:t>.</w:t>
      </w:r>
      <w:r w:rsidRPr="00653DCF">
        <w:rPr>
          <w:color w:val="auto"/>
          <w:lang w:val="hr-HR"/>
        </w:rPr>
        <w:t xml:space="preserve">, Zajmoprimac može </w:t>
      </w:r>
      <w:r w:rsidR="005E61E6" w:rsidRPr="00653DCF">
        <w:rPr>
          <w:color w:val="auto"/>
          <w:lang w:val="hr-HR"/>
        </w:rPr>
        <w:t xml:space="preserve">prijevremeno otplatiti cjelokupan ili djelomičan iznos bilo koje tranše </w:t>
      </w:r>
      <w:r w:rsidRPr="00653DCF">
        <w:rPr>
          <w:color w:val="auto"/>
          <w:lang w:val="hr-HR"/>
        </w:rPr>
        <w:t xml:space="preserve">ili </w:t>
      </w:r>
      <w:r w:rsidR="00542523" w:rsidRPr="00653DCF">
        <w:rPr>
          <w:color w:val="auto"/>
          <w:lang w:val="hr-HR"/>
        </w:rPr>
        <w:t xml:space="preserve">jedan </w:t>
      </w:r>
      <w:r w:rsidRPr="00653DCF">
        <w:rPr>
          <w:color w:val="auto"/>
          <w:lang w:val="hr-HR"/>
        </w:rPr>
        <w:t xml:space="preserve">njezin dio, zajedno s </w:t>
      </w:r>
      <w:r w:rsidR="00C564E5" w:rsidRPr="00653DCF">
        <w:rPr>
          <w:color w:val="auto"/>
          <w:lang w:val="hr-HR"/>
        </w:rPr>
        <w:t xml:space="preserve">obračunatom kamatom i naknadama, ako postoje, na način da </w:t>
      </w:r>
      <w:r w:rsidR="005B6046" w:rsidRPr="00653DCF">
        <w:rPr>
          <w:color w:val="auto"/>
          <w:lang w:val="hr-HR"/>
        </w:rPr>
        <w:t xml:space="preserve">vezano za to prethodno </w:t>
      </w:r>
      <w:r w:rsidR="00C564E5" w:rsidRPr="00653DCF">
        <w:rPr>
          <w:color w:val="auto"/>
          <w:lang w:val="hr-HR"/>
        </w:rPr>
        <w:t>dostavi zahtjev za prijevremenu otplatu</w:t>
      </w:r>
      <w:r w:rsidR="00542523" w:rsidRPr="00653DCF">
        <w:rPr>
          <w:color w:val="auto"/>
          <w:lang w:val="hr-HR"/>
        </w:rPr>
        <w:t xml:space="preserve"> i to</w:t>
      </w:r>
      <w:r w:rsidR="00C564E5" w:rsidRPr="00653DCF">
        <w:rPr>
          <w:color w:val="auto"/>
          <w:lang w:val="hr-HR"/>
        </w:rPr>
        <w:t xml:space="preserve"> najmanje </w:t>
      </w:r>
      <w:r w:rsidRPr="00653DCF">
        <w:rPr>
          <w:color w:val="auto"/>
          <w:lang w:val="hr-HR"/>
        </w:rPr>
        <w:t>30 (trideset) kalendarskih dana</w:t>
      </w:r>
      <w:r w:rsidR="00454D5F" w:rsidRPr="00653DCF">
        <w:rPr>
          <w:color w:val="auto"/>
          <w:lang w:val="hr-HR"/>
        </w:rPr>
        <w:t xml:space="preserve">, u kojem </w:t>
      </w:r>
      <w:r w:rsidR="00542523" w:rsidRPr="00653DCF">
        <w:rPr>
          <w:color w:val="auto"/>
          <w:lang w:val="hr-HR"/>
        </w:rPr>
        <w:t>navodi</w:t>
      </w:r>
      <w:r w:rsidRPr="00653DCF">
        <w:rPr>
          <w:color w:val="auto"/>
          <w:lang w:val="hr-HR"/>
        </w:rPr>
        <w:t>:</w:t>
      </w:r>
    </w:p>
    <w:p w14:paraId="0376C033" w14:textId="653B60A9" w:rsidR="007A2A6F" w:rsidRPr="00653DCF" w:rsidRDefault="00E87B0B">
      <w:pPr>
        <w:pStyle w:val="NoIndentEIB"/>
        <w:numPr>
          <w:ilvl w:val="0"/>
          <w:numId w:val="49"/>
        </w:numPr>
        <w:rPr>
          <w:color w:val="auto"/>
          <w:lang w:val="hr-HR"/>
        </w:rPr>
      </w:pPr>
      <w:r w:rsidRPr="00653DCF">
        <w:rPr>
          <w:color w:val="auto"/>
          <w:lang w:val="hr-HR"/>
        </w:rPr>
        <w:t xml:space="preserve">iznos </w:t>
      </w:r>
      <w:r w:rsidR="00454D5F" w:rsidRPr="00653DCF">
        <w:rPr>
          <w:color w:val="auto"/>
          <w:lang w:val="hr-HR"/>
        </w:rPr>
        <w:t>prijevremene otplate</w:t>
      </w:r>
      <w:r w:rsidRPr="00653DCF">
        <w:rPr>
          <w:color w:val="auto"/>
          <w:lang w:val="hr-HR"/>
        </w:rPr>
        <w:t xml:space="preserve">; </w:t>
      </w:r>
    </w:p>
    <w:p w14:paraId="7DB823B0" w14:textId="22EB1513" w:rsidR="007A2A6F" w:rsidRPr="00653DCF" w:rsidRDefault="00454D5F">
      <w:pPr>
        <w:pStyle w:val="NoIndentEIB"/>
        <w:numPr>
          <w:ilvl w:val="0"/>
          <w:numId w:val="49"/>
        </w:numPr>
        <w:rPr>
          <w:color w:val="auto"/>
          <w:lang w:val="hr-HR"/>
        </w:rPr>
      </w:pPr>
      <w:r w:rsidRPr="00653DCF">
        <w:rPr>
          <w:color w:val="auto"/>
          <w:lang w:val="hr-HR"/>
        </w:rPr>
        <w:t xml:space="preserve">datum prijevremene otplate koji </w:t>
      </w:r>
      <w:r w:rsidR="00243C3D" w:rsidRPr="00653DCF">
        <w:rPr>
          <w:color w:val="auto"/>
          <w:lang w:val="hr-HR"/>
        </w:rPr>
        <w:t>je</w:t>
      </w:r>
      <w:r w:rsidRPr="00653DCF">
        <w:rPr>
          <w:color w:val="auto"/>
          <w:lang w:val="hr-HR"/>
        </w:rPr>
        <w:t xml:space="preserve"> </w:t>
      </w:r>
      <w:r w:rsidR="00243C3D" w:rsidRPr="00653DCF">
        <w:rPr>
          <w:color w:val="auto"/>
          <w:lang w:val="hr-HR"/>
        </w:rPr>
        <w:t xml:space="preserve">ujedno i </w:t>
      </w:r>
      <w:r w:rsidR="00E87B0B" w:rsidRPr="00653DCF">
        <w:rPr>
          <w:color w:val="auto"/>
          <w:lang w:val="hr-HR"/>
        </w:rPr>
        <w:t>datum plaćanja;</w:t>
      </w:r>
    </w:p>
    <w:p w14:paraId="1C3E1BDD" w14:textId="5B5D8BB6" w:rsidR="007A2A6F" w:rsidRPr="00653DCF" w:rsidRDefault="00FD0729">
      <w:pPr>
        <w:pStyle w:val="NoIndentEIB"/>
        <w:numPr>
          <w:ilvl w:val="0"/>
          <w:numId w:val="49"/>
        </w:numPr>
        <w:rPr>
          <w:color w:val="auto"/>
          <w:lang w:val="hr-HR"/>
        </w:rPr>
      </w:pPr>
      <w:r w:rsidRPr="00653DCF">
        <w:rPr>
          <w:color w:val="auto"/>
          <w:lang w:val="hr-HR"/>
        </w:rPr>
        <w:t>prema potrebi</w:t>
      </w:r>
      <w:r w:rsidR="00E87B0B" w:rsidRPr="00653DCF">
        <w:rPr>
          <w:color w:val="auto"/>
          <w:lang w:val="hr-HR"/>
        </w:rPr>
        <w:t xml:space="preserve">, </w:t>
      </w:r>
      <w:r w:rsidRPr="00653DCF">
        <w:rPr>
          <w:color w:val="auto"/>
          <w:lang w:val="hr-HR"/>
        </w:rPr>
        <w:t xml:space="preserve">izbor </w:t>
      </w:r>
      <w:r w:rsidR="00E87B0B" w:rsidRPr="00653DCF">
        <w:rPr>
          <w:color w:val="auto"/>
          <w:lang w:val="hr-HR"/>
        </w:rPr>
        <w:t xml:space="preserve">načina primjene iznosa </w:t>
      </w:r>
      <w:r w:rsidRPr="00653DCF">
        <w:rPr>
          <w:color w:val="auto"/>
          <w:lang w:val="hr-HR"/>
        </w:rPr>
        <w:t xml:space="preserve">prijevremene otplate </w:t>
      </w:r>
      <w:r w:rsidR="00E87B0B" w:rsidRPr="00653DCF">
        <w:rPr>
          <w:color w:val="auto"/>
          <w:lang w:val="hr-HR"/>
        </w:rPr>
        <w:t>u skladu s člankom</w:t>
      </w:r>
      <w:r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_Ref426982926 \w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5.5.C</w:t>
      </w:r>
      <w:r w:rsidR="00E87B0B" w:rsidRPr="00653DCF">
        <w:rPr>
          <w:color w:val="auto"/>
          <w:lang w:val="hr-HR"/>
        </w:rPr>
        <w:fldChar w:fldCharType="end"/>
      </w:r>
      <w:r w:rsidR="00E87B0B" w:rsidRPr="00653DCF">
        <w:rPr>
          <w:color w:val="auto"/>
          <w:lang w:val="hr-HR"/>
        </w:rPr>
        <w:fldChar w:fldCharType="begin"/>
      </w:r>
      <w:r w:rsidR="00E87B0B" w:rsidRPr="00653DCF">
        <w:rPr>
          <w:color w:val="auto"/>
          <w:lang w:val="hr-HR"/>
        </w:rPr>
        <w:instrText xml:space="preserve"> REF _Ref426982918 \w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(a)</w:t>
      </w:r>
      <w:r w:rsidR="00E87B0B" w:rsidRPr="00653DCF">
        <w:rPr>
          <w:color w:val="auto"/>
          <w:lang w:val="hr-HR"/>
        </w:rPr>
        <w:fldChar w:fldCharType="end"/>
      </w:r>
      <w:r w:rsidR="00E87B0B" w:rsidRPr="00653DCF">
        <w:rPr>
          <w:color w:val="auto"/>
          <w:lang w:val="hr-HR"/>
        </w:rPr>
        <w:t>; i</w:t>
      </w:r>
    </w:p>
    <w:p w14:paraId="15BFA99B" w14:textId="7573EB51" w:rsidR="007A2A6F" w:rsidRPr="00653DCF" w:rsidRDefault="00E87B0B">
      <w:pPr>
        <w:pStyle w:val="NoIndentEIB"/>
        <w:numPr>
          <w:ilvl w:val="0"/>
          <w:numId w:val="49"/>
        </w:numPr>
        <w:rPr>
          <w:color w:val="auto"/>
          <w:lang w:val="hr-HR"/>
        </w:rPr>
      </w:pPr>
      <w:r w:rsidRPr="00653DCF">
        <w:rPr>
          <w:color w:val="auto"/>
          <w:lang w:val="hr-HR"/>
        </w:rPr>
        <w:t xml:space="preserve">broj </w:t>
      </w:r>
      <w:r w:rsidR="00F50E89" w:rsidRPr="00653DCF">
        <w:rPr>
          <w:color w:val="auto"/>
          <w:lang w:val="hr-HR"/>
        </w:rPr>
        <w:t>U</w:t>
      </w:r>
      <w:r w:rsidRPr="00653DCF">
        <w:rPr>
          <w:color w:val="auto"/>
          <w:lang w:val="hr-HR"/>
        </w:rPr>
        <w:t xml:space="preserve">govora. </w:t>
      </w:r>
    </w:p>
    <w:p w14:paraId="74DA5B40" w14:textId="009D3DAF" w:rsidR="007A2A6F" w:rsidRPr="00653DCF" w:rsidRDefault="00E87B0B">
      <w:pPr>
        <w:rPr>
          <w:color w:val="auto"/>
          <w:lang w:val="hr-HR"/>
        </w:rPr>
      </w:pPr>
      <w:r w:rsidRPr="00653DCF">
        <w:rPr>
          <w:color w:val="auto"/>
          <w:lang w:val="hr-HR"/>
        </w:rPr>
        <w:t xml:space="preserve">Zahtjev za </w:t>
      </w:r>
      <w:r w:rsidR="00FD0729" w:rsidRPr="00653DCF">
        <w:rPr>
          <w:color w:val="auto"/>
          <w:lang w:val="hr-HR"/>
        </w:rPr>
        <w:t>prijevremenu otplatu</w:t>
      </w:r>
      <w:r w:rsidRPr="00653DCF">
        <w:rPr>
          <w:color w:val="auto"/>
          <w:lang w:val="hr-HR"/>
        </w:rPr>
        <w:t xml:space="preserve"> je neopoziv.</w:t>
      </w:r>
    </w:p>
    <w:p w14:paraId="77EB8C13" w14:textId="3253596E" w:rsidR="007A2A6F" w:rsidRPr="00653DCF" w:rsidRDefault="00FD0729" w:rsidP="00613099">
      <w:pPr>
        <w:pStyle w:val="Heading3"/>
        <w:ind w:left="851"/>
        <w:rPr>
          <w:color w:val="auto"/>
          <w:lang w:val="hr-HR"/>
        </w:rPr>
      </w:pPr>
      <w:bookmarkStart w:id="335" w:name="_Ref426952119"/>
      <w:bookmarkStart w:id="336" w:name="_Ref426982374"/>
      <w:bookmarkStart w:id="337" w:name="_Ref426983534"/>
      <w:bookmarkStart w:id="338" w:name="_Ref427037095"/>
      <w:bookmarkStart w:id="339" w:name="_Ref427039046"/>
      <w:bookmarkStart w:id="340" w:name="_Ref427039245"/>
      <w:bookmarkStart w:id="341" w:name="_Toc475441146"/>
      <w:bookmarkStart w:id="342" w:name="_Toc498018641"/>
      <w:bookmarkStart w:id="343" w:name="_Toc508120502"/>
      <w:bookmarkStart w:id="344" w:name="_Toc126080692"/>
      <w:bookmarkStart w:id="345" w:name="_Toc126080824"/>
      <w:r w:rsidRPr="00653DCF">
        <w:rPr>
          <w:color w:val="auto"/>
          <w:lang w:val="hr-HR"/>
        </w:rPr>
        <w:lastRenderedPageBreak/>
        <w:t>Naknada za prijevremenu otplatu</w:t>
      </w:r>
      <w:bookmarkEnd w:id="335"/>
      <w:bookmarkEnd w:id="336"/>
      <w:bookmarkEnd w:id="337"/>
      <w:bookmarkEnd w:id="338"/>
      <w:bookmarkEnd w:id="339"/>
      <w:bookmarkEnd w:id="340"/>
      <w:bookmarkEnd w:id="341"/>
      <w:bookmarkEnd w:id="342"/>
      <w:bookmarkEnd w:id="343"/>
      <w:bookmarkEnd w:id="344"/>
      <w:bookmarkEnd w:id="345"/>
    </w:p>
    <w:p w14:paraId="2269AF6A" w14:textId="77777777" w:rsidR="007A2A6F" w:rsidRPr="00653DCF" w:rsidRDefault="00E87B0B" w:rsidP="00613099">
      <w:pPr>
        <w:pStyle w:val="Heading4"/>
        <w:ind w:left="851"/>
        <w:rPr>
          <w:color w:val="auto"/>
          <w:lang w:val="hr-HR"/>
        </w:rPr>
      </w:pPr>
      <w:r w:rsidRPr="00653DCF">
        <w:rPr>
          <w:color w:val="auto"/>
          <w:lang w:val="hr-HR"/>
        </w:rPr>
        <w:t>Tranša s fiksnom kamatnom stopom</w:t>
      </w:r>
    </w:p>
    <w:p w14:paraId="4B7B2862" w14:textId="70783744" w:rsidR="007A2A6F" w:rsidRPr="00653DCF" w:rsidRDefault="00E87B0B">
      <w:pPr>
        <w:rPr>
          <w:color w:val="auto"/>
          <w:lang w:val="hr-HR"/>
        </w:rPr>
      </w:pPr>
      <w:r w:rsidRPr="00653DCF">
        <w:rPr>
          <w:color w:val="auto"/>
          <w:lang w:val="hr-HR"/>
        </w:rPr>
        <w:t>U skladu s</w:t>
      </w:r>
      <w:r w:rsidR="00B8533B" w:rsidRPr="00653DCF">
        <w:rPr>
          <w:color w:val="auto"/>
          <w:lang w:val="hr-HR"/>
        </w:rPr>
        <w:t xml:space="preserve"> člankom</w:t>
      </w:r>
      <w:r w:rsidRPr="00653DCF">
        <w:rPr>
          <w:color w:val="auto"/>
          <w:lang w:val="hr-HR"/>
        </w:rPr>
        <w:t xml:space="preserve"> </w:t>
      </w:r>
      <w:r w:rsidRPr="00653DCF">
        <w:rPr>
          <w:color w:val="auto"/>
          <w:lang w:val="hr-HR"/>
        </w:rPr>
        <w:fldChar w:fldCharType="begin"/>
      </w:r>
      <w:r w:rsidRPr="00653DCF">
        <w:rPr>
          <w:color w:val="auto"/>
          <w:lang w:val="hr-HR"/>
        </w:rPr>
        <w:instrText xml:space="preserve"> REF _Ref508700864 \n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4.2.B(3)</w:t>
      </w:r>
      <w:r w:rsidRPr="00653DCF">
        <w:rPr>
          <w:color w:val="auto"/>
          <w:lang w:val="hr-HR"/>
        </w:rPr>
        <w:fldChar w:fldCharType="end"/>
      </w:r>
      <w:r w:rsidRPr="00653DCF">
        <w:rPr>
          <w:color w:val="auto"/>
          <w:lang w:val="hr-HR"/>
        </w:rPr>
        <w:t xml:space="preserve"> </w:t>
      </w:r>
      <w:r w:rsidR="00FD0729" w:rsidRPr="00653DCF">
        <w:rPr>
          <w:color w:val="auto"/>
          <w:lang w:val="hr-HR"/>
        </w:rPr>
        <w:t xml:space="preserve">u nastavku, </w:t>
      </w:r>
      <w:r w:rsidRPr="00653DCF">
        <w:rPr>
          <w:color w:val="auto"/>
          <w:lang w:val="hr-HR"/>
        </w:rPr>
        <w:t xml:space="preserve">ako Zajmoprimac </w:t>
      </w:r>
      <w:r w:rsidR="00FD0729" w:rsidRPr="00653DCF">
        <w:rPr>
          <w:color w:val="auto"/>
          <w:lang w:val="hr-HR"/>
        </w:rPr>
        <w:t>prijevremeno otplaćuje tranšu s fiksnom kamatnom stopom, plaća Banci na datum prijevremene otplate naknadu za prijevremenu otplatu koja se odnosu na tranšu s fiksnom kamatnom stopom koja se prijevremeno o</w:t>
      </w:r>
      <w:r w:rsidR="00EF701D" w:rsidRPr="00653DCF">
        <w:rPr>
          <w:color w:val="auto"/>
          <w:lang w:val="hr-HR"/>
        </w:rPr>
        <w:t>tplaćuje</w:t>
      </w:r>
      <w:r w:rsidRPr="00653DCF">
        <w:rPr>
          <w:color w:val="auto"/>
          <w:lang w:val="hr-HR"/>
        </w:rPr>
        <w:t>.</w:t>
      </w:r>
    </w:p>
    <w:p w14:paraId="4EC91E41" w14:textId="77777777" w:rsidR="007A2A6F" w:rsidRPr="00653DCF" w:rsidRDefault="00E87B0B" w:rsidP="00613099">
      <w:pPr>
        <w:pStyle w:val="Heading4"/>
        <w:ind w:left="851"/>
        <w:rPr>
          <w:color w:val="auto"/>
          <w:lang w:val="hr-HR"/>
        </w:rPr>
      </w:pPr>
      <w:r w:rsidRPr="00653DCF">
        <w:rPr>
          <w:color w:val="auto"/>
          <w:lang w:val="hr-HR"/>
        </w:rPr>
        <w:t>Tranša s promjenjivom kamatnom stopom</w:t>
      </w:r>
    </w:p>
    <w:p w14:paraId="149A779C" w14:textId="791C733C" w:rsidR="007A2A6F" w:rsidRPr="00653DCF" w:rsidRDefault="00E87B0B">
      <w:pPr>
        <w:rPr>
          <w:color w:val="auto"/>
          <w:lang w:val="hr-HR"/>
        </w:rPr>
      </w:pPr>
      <w:r w:rsidRPr="00653DCF">
        <w:rPr>
          <w:color w:val="auto"/>
          <w:lang w:val="hr-HR"/>
        </w:rPr>
        <w:t xml:space="preserve">U skladu s člankom </w:t>
      </w:r>
      <w:r w:rsidRPr="00653DCF">
        <w:rPr>
          <w:color w:val="auto"/>
          <w:lang w:val="hr-HR"/>
        </w:rPr>
        <w:fldChar w:fldCharType="begin"/>
      </w:r>
      <w:r w:rsidRPr="00653DCF">
        <w:rPr>
          <w:color w:val="auto"/>
          <w:lang w:val="hr-HR"/>
        </w:rPr>
        <w:instrText xml:space="preserve"> REF _Ref508700864 \n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4.2.B(3)</w:t>
      </w:r>
      <w:r w:rsidRPr="00653DCF">
        <w:rPr>
          <w:color w:val="auto"/>
          <w:lang w:val="hr-HR"/>
        </w:rPr>
        <w:fldChar w:fldCharType="end"/>
      </w:r>
      <w:r w:rsidRPr="00653DCF">
        <w:rPr>
          <w:color w:val="auto"/>
          <w:lang w:val="hr-HR"/>
        </w:rPr>
        <w:t xml:space="preserve"> </w:t>
      </w:r>
      <w:r w:rsidR="005A40C8" w:rsidRPr="00653DCF">
        <w:rPr>
          <w:color w:val="auto"/>
          <w:lang w:val="hr-HR"/>
        </w:rPr>
        <w:t xml:space="preserve">u </w:t>
      </w:r>
      <w:r w:rsidRPr="00653DCF">
        <w:rPr>
          <w:color w:val="auto"/>
          <w:lang w:val="hr-HR"/>
        </w:rPr>
        <w:t xml:space="preserve">nastavku, Zajmoprimac može </w:t>
      </w:r>
      <w:r w:rsidR="00EF701D" w:rsidRPr="00653DCF">
        <w:rPr>
          <w:color w:val="auto"/>
          <w:lang w:val="hr-HR"/>
        </w:rPr>
        <w:t>prijevremeno otplatiti tranšu</w:t>
      </w:r>
      <w:r w:rsidRPr="00653DCF">
        <w:rPr>
          <w:color w:val="auto"/>
          <w:lang w:val="hr-HR"/>
        </w:rPr>
        <w:t xml:space="preserve"> </w:t>
      </w:r>
      <w:r w:rsidR="00EF701D" w:rsidRPr="00653DCF">
        <w:rPr>
          <w:color w:val="auto"/>
          <w:lang w:val="hr-HR"/>
        </w:rPr>
        <w:t>s promjenjivom kamatnom stopom bez n</w:t>
      </w:r>
      <w:r w:rsidR="0046486F" w:rsidRPr="00653DCF">
        <w:rPr>
          <w:color w:val="auto"/>
          <w:lang w:val="hr-HR"/>
        </w:rPr>
        <w:t>aknade</w:t>
      </w:r>
      <w:r w:rsidRPr="00653DCF">
        <w:rPr>
          <w:color w:val="auto"/>
          <w:lang w:val="hr-HR"/>
        </w:rPr>
        <w:t>.</w:t>
      </w:r>
    </w:p>
    <w:p w14:paraId="04EB66E7" w14:textId="635C6921" w:rsidR="007A2A6F" w:rsidRPr="00653DCF" w:rsidRDefault="00E87B0B" w:rsidP="00613099">
      <w:pPr>
        <w:pStyle w:val="Heading4"/>
        <w:ind w:left="851"/>
        <w:rPr>
          <w:color w:val="auto"/>
          <w:lang w:val="hr-HR"/>
        </w:rPr>
      </w:pPr>
      <w:bookmarkStart w:id="346" w:name="_Ref508700864"/>
      <w:r w:rsidRPr="00653DCF">
        <w:rPr>
          <w:color w:val="auto"/>
          <w:lang w:val="hr-HR"/>
        </w:rPr>
        <w:t>REVIZIJA/</w:t>
      </w:r>
      <w:bookmarkEnd w:id="346"/>
      <w:r w:rsidR="00E6591E" w:rsidRPr="00653DCF">
        <w:rPr>
          <w:color w:val="auto"/>
          <w:lang w:val="hr-HR"/>
        </w:rPr>
        <w:t>konverzija</w:t>
      </w:r>
    </w:p>
    <w:p w14:paraId="55D76D7B" w14:textId="66589A70" w:rsidR="007A2A6F" w:rsidRPr="00653DCF" w:rsidRDefault="00ED51D3">
      <w:pPr>
        <w:rPr>
          <w:color w:val="auto"/>
          <w:lang w:val="hr-HR"/>
        </w:rPr>
      </w:pPr>
      <w:r w:rsidRPr="00653DCF">
        <w:rPr>
          <w:color w:val="auto"/>
          <w:lang w:val="hr-HR"/>
        </w:rPr>
        <w:t xml:space="preserve">Prijevremena otplata tranše </w:t>
      </w:r>
      <w:r w:rsidR="00E87B0B" w:rsidRPr="00653DCF">
        <w:rPr>
          <w:color w:val="auto"/>
          <w:lang w:val="hr-HR"/>
        </w:rPr>
        <w:t xml:space="preserve">na datum revizije/konverzije kamata može se izvršiti bez naknade, osim </w:t>
      </w:r>
      <w:r w:rsidR="006324A0" w:rsidRPr="00653DCF">
        <w:rPr>
          <w:color w:val="auto"/>
          <w:lang w:val="hr-HR"/>
        </w:rPr>
        <w:t>u slučaju da je Z</w:t>
      </w:r>
      <w:r w:rsidR="00E87B0B" w:rsidRPr="00653DCF">
        <w:rPr>
          <w:color w:val="auto"/>
          <w:lang w:val="hr-HR"/>
        </w:rPr>
        <w:t>ajmoprimac prihvatio</w:t>
      </w:r>
      <w:r w:rsidR="00560BB7" w:rsidRPr="00653DCF">
        <w:rPr>
          <w:color w:val="auto"/>
          <w:lang w:val="hr-HR"/>
        </w:rPr>
        <w:t>,</w:t>
      </w:r>
      <w:r w:rsidR="00E87B0B" w:rsidRPr="00653DCF">
        <w:rPr>
          <w:color w:val="auto"/>
          <w:lang w:val="hr-HR"/>
        </w:rPr>
        <w:t xml:space="preserve"> u skladu s</w:t>
      </w:r>
      <w:r w:rsidR="002954DD" w:rsidRPr="00653DCF">
        <w:rPr>
          <w:color w:val="auto"/>
          <w:lang w:val="hr-HR"/>
        </w:rPr>
        <w:t xml:space="preserve"> Prilogom D</w:t>
      </w:r>
      <w:r w:rsidR="00560BB7" w:rsidRPr="00653DCF">
        <w:rPr>
          <w:color w:val="auto"/>
          <w:lang w:val="hr-HR"/>
        </w:rPr>
        <w:t>,</w:t>
      </w:r>
      <w:r w:rsidR="00E87B0B" w:rsidRPr="00653DCF">
        <w:rPr>
          <w:color w:val="auto"/>
          <w:lang w:val="hr-HR"/>
        </w:rPr>
        <w:t xml:space="preserve"> </w:t>
      </w:r>
      <w:r w:rsidR="00F46FDD" w:rsidRPr="00653DCF">
        <w:rPr>
          <w:color w:val="auto"/>
          <w:lang w:val="hr-HR"/>
        </w:rPr>
        <w:t>fiksnu kamatnu stopu u okviru prijedloga revizije</w:t>
      </w:r>
      <w:r w:rsidR="00E87B0B" w:rsidRPr="00653DCF">
        <w:rPr>
          <w:color w:val="auto"/>
          <w:lang w:val="hr-HR"/>
        </w:rPr>
        <w:t>/konverzij</w:t>
      </w:r>
      <w:r w:rsidR="00F46FDD" w:rsidRPr="00653DCF">
        <w:rPr>
          <w:color w:val="auto"/>
          <w:lang w:val="hr-HR"/>
        </w:rPr>
        <w:t>e</w:t>
      </w:r>
      <w:r w:rsidR="00E87B0B" w:rsidRPr="00653DCF">
        <w:rPr>
          <w:color w:val="auto"/>
          <w:lang w:val="hr-HR"/>
        </w:rPr>
        <w:t xml:space="preserve"> </w:t>
      </w:r>
      <w:r w:rsidR="00F46FDD" w:rsidRPr="00653DCF">
        <w:rPr>
          <w:color w:val="auto"/>
          <w:lang w:val="hr-HR"/>
        </w:rPr>
        <w:t>kamatne stope</w:t>
      </w:r>
      <w:r w:rsidR="00E87B0B" w:rsidRPr="00653DCF">
        <w:rPr>
          <w:color w:val="auto"/>
          <w:lang w:val="hr-HR"/>
        </w:rPr>
        <w:t>.</w:t>
      </w:r>
    </w:p>
    <w:p w14:paraId="448FDF0D" w14:textId="3ABB5704" w:rsidR="007A2A6F" w:rsidRPr="00653DCF" w:rsidRDefault="00140E17" w:rsidP="00613099">
      <w:pPr>
        <w:pStyle w:val="Heading3"/>
        <w:ind w:left="851"/>
        <w:rPr>
          <w:color w:val="auto"/>
          <w:lang w:val="hr-HR"/>
        </w:rPr>
      </w:pPr>
      <w:r w:rsidRPr="00653DCF">
        <w:rPr>
          <w:color w:val="auto"/>
          <w:lang w:val="hr-HR"/>
        </w:rPr>
        <w:t>Načini prijevremene otplate</w:t>
      </w:r>
    </w:p>
    <w:p w14:paraId="5E6CC79E" w14:textId="176C2BD2" w:rsidR="007A2A6F" w:rsidRPr="00653DCF" w:rsidRDefault="00E87B0B">
      <w:pPr>
        <w:rPr>
          <w:color w:val="auto"/>
          <w:lang w:val="hr-HR"/>
        </w:rPr>
      </w:pPr>
      <w:r w:rsidRPr="00653DCF">
        <w:rPr>
          <w:color w:val="auto"/>
          <w:lang w:val="hr-HR"/>
        </w:rPr>
        <w:t xml:space="preserve">Nakon što Zajmoprimac </w:t>
      </w:r>
      <w:r w:rsidR="00140E17" w:rsidRPr="00653DCF">
        <w:rPr>
          <w:color w:val="auto"/>
          <w:lang w:val="hr-HR"/>
        </w:rPr>
        <w:t xml:space="preserve">dostavi </w:t>
      </w:r>
      <w:r w:rsidRPr="00653DCF">
        <w:rPr>
          <w:color w:val="auto"/>
          <w:lang w:val="hr-HR"/>
        </w:rPr>
        <w:t xml:space="preserve">Banci zahtjev za </w:t>
      </w:r>
      <w:r w:rsidR="00140E17" w:rsidRPr="00653DCF">
        <w:rPr>
          <w:color w:val="auto"/>
          <w:lang w:val="hr-HR"/>
        </w:rPr>
        <w:t>prijevremenu otplatu</w:t>
      </w:r>
      <w:r w:rsidRPr="00653DCF">
        <w:rPr>
          <w:color w:val="auto"/>
          <w:lang w:val="hr-HR"/>
        </w:rPr>
        <w:t xml:space="preserve">, Banka Zajmoprimcu </w:t>
      </w:r>
      <w:r w:rsidR="00140E17" w:rsidRPr="00653DCF">
        <w:rPr>
          <w:color w:val="auto"/>
          <w:lang w:val="hr-HR"/>
        </w:rPr>
        <w:t>izdaje o</w:t>
      </w:r>
      <w:r w:rsidRPr="00653DCF">
        <w:rPr>
          <w:color w:val="auto"/>
          <w:lang w:val="hr-HR"/>
        </w:rPr>
        <w:t>bavijest o prijevremeno</w:t>
      </w:r>
      <w:r w:rsidR="00140E17" w:rsidRPr="00653DCF">
        <w:rPr>
          <w:color w:val="auto"/>
          <w:lang w:val="hr-HR"/>
        </w:rPr>
        <w:t xml:space="preserve">j otplati </w:t>
      </w:r>
      <w:r w:rsidRPr="00653DCF">
        <w:rPr>
          <w:color w:val="auto"/>
          <w:lang w:val="hr-HR"/>
        </w:rPr>
        <w:t xml:space="preserve">najkasnije 15 (petnaest) dana prije datuma </w:t>
      </w:r>
      <w:r w:rsidR="006C4CEC" w:rsidRPr="00653DCF">
        <w:rPr>
          <w:color w:val="auto"/>
          <w:lang w:val="hr-HR"/>
        </w:rPr>
        <w:t>prijevremene otplate</w:t>
      </w:r>
      <w:r w:rsidRPr="00653DCF">
        <w:rPr>
          <w:color w:val="auto"/>
          <w:lang w:val="hr-HR"/>
        </w:rPr>
        <w:t xml:space="preserve">. U </w:t>
      </w:r>
      <w:r w:rsidR="004341F8" w:rsidRPr="00653DCF">
        <w:rPr>
          <w:color w:val="auto"/>
          <w:lang w:val="hr-HR"/>
        </w:rPr>
        <w:t xml:space="preserve">toj </w:t>
      </w:r>
      <w:r w:rsidR="006C4CEC" w:rsidRPr="00653DCF">
        <w:rPr>
          <w:color w:val="auto"/>
          <w:lang w:val="hr-HR"/>
        </w:rPr>
        <w:t>o</w:t>
      </w:r>
      <w:r w:rsidRPr="00653DCF">
        <w:rPr>
          <w:color w:val="auto"/>
          <w:lang w:val="hr-HR"/>
        </w:rPr>
        <w:t xml:space="preserve">bavijesti o </w:t>
      </w:r>
      <w:r w:rsidR="006C4CEC" w:rsidRPr="00653DCF">
        <w:rPr>
          <w:color w:val="auto"/>
          <w:lang w:val="hr-HR"/>
        </w:rPr>
        <w:t xml:space="preserve">prijevremenoj otplati </w:t>
      </w:r>
      <w:r w:rsidRPr="00653DCF">
        <w:rPr>
          <w:color w:val="auto"/>
          <w:lang w:val="hr-HR"/>
        </w:rPr>
        <w:t xml:space="preserve">navodi se iznos </w:t>
      </w:r>
      <w:r w:rsidR="006C4CEC" w:rsidRPr="00653DCF">
        <w:rPr>
          <w:color w:val="auto"/>
          <w:lang w:val="hr-HR"/>
        </w:rPr>
        <w:t>prijevremene otplate</w:t>
      </w:r>
      <w:r w:rsidRPr="00653DCF">
        <w:rPr>
          <w:color w:val="auto"/>
          <w:lang w:val="hr-HR"/>
        </w:rPr>
        <w:t xml:space="preserve">, </w:t>
      </w:r>
      <w:r w:rsidR="006C4CEC" w:rsidRPr="00653DCF">
        <w:rPr>
          <w:color w:val="auto"/>
          <w:lang w:val="hr-HR"/>
        </w:rPr>
        <w:t xml:space="preserve">dospjela </w:t>
      </w:r>
      <w:r w:rsidRPr="00653DCF">
        <w:rPr>
          <w:color w:val="auto"/>
          <w:lang w:val="hr-HR"/>
        </w:rPr>
        <w:t>kamat</w:t>
      </w:r>
      <w:r w:rsidR="006C4CEC" w:rsidRPr="00653DCF">
        <w:rPr>
          <w:color w:val="auto"/>
          <w:lang w:val="hr-HR"/>
        </w:rPr>
        <w:t xml:space="preserve">a </w:t>
      </w:r>
      <w:r w:rsidR="001D3C7C" w:rsidRPr="00653DCF">
        <w:rPr>
          <w:color w:val="auto"/>
          <w:lang w:val="hr-HR"/>
        </w:rPr>
        <w:t xml:space="preserve">obračunata </w:t>
      </w:r>
      <w:r w:rsidR="006C4CEC" w:rsidRPr="00653DCF">
        <w:rPr>
          <w:color w:val="auto"/>
          <w:lang w:val="hr-HR"/>
        </w:rPr>
        <w:t>na taj iznos</w:t>
      </w:r>
      <w:r w:rsidRPr="00653DCF">
        <w:rPr>
          <w:color w:val="auto"/>
          <w:lang w:val="hr-HR"/>
        </w:rPr>
        <w:t xml:space="preserve">, naknada za </w:t>
      </w:r>
      <w:r w:rsidR="006C4CEC" w:rsidRPr="00653DCF">
        <w:rPr>
          <w:color w:val="auto"/>
          <w:lang w:val="hr-HR"/>
        </w:rPr>
        <w:t xml:space="preserve">prijevremenu otplatu koju treba platiti u skladu </w:t>
      </w:r>
      <w:r w:rsidRPr="00653DCF">
        <w:rPr>
          <w:color w:val="auto"/>
          <w:lang w:val="hr-HR"/>
        </w:rPr>
        <w:t xml:space="preserve">s člankom </w:t>
      </w:r>
      <w:r w:rsidRPr="00653DCF">
        <w:rPr>
          <w:color w:val="auto"/>
          <w:lang w:val="hr-HR"/>
        </w:rPr>
        <w:fldChar w:fldCharType="begin"/>
      </w:r>
      <w:r w:rsidRPr="00653DCF">
        <w:rPr>
          <w:color w:val="auto"/>
          <w:lang w:val="hr-HR"/>
        </w:rPr>
        <w:instrText xml:space="preserve"> REF _Ref426983534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4.2.B</w:t>
      </w:r>
      <w:r w:rsidRPr="00653DCF">
        <w:rPr>
          <w:color w:val="auto"/>
          <w:lang w:val="hr-HR"/>
        </w:rPr>
        <w:fldChar w:fldCharType="end"/>
      </w:r>
      <w:r w:rsidRPr="00653DCF">
        <w:rPr>
          <w:color w:val="auto"/>
          <w:lang w:val="hr-HR"/>
        </w:rPr>
        <w:t xml:space="preserve"> ili, ovisno o slučaju, </w:t>
      </w:r>
      <w:r w:rsidR="006C4CEC" w:rsidRPr="00653DCF">
        <w:rPr>
          <w:color w:val="auto"/>
          <w:lang w:val="hr-HR"/>
        </w:rPr>
        <w:t xml:space="preserve">ako </w:t>
      </w:r>
      <w:r w:rsidR="001D3C7C" w:rsidRPr="00653DCF">
        <w:rPr>
          <w:color w:val="auto"/>
          <w:lang w:val="hr-HR"/>
        </w:rPr>
        <w:t>takve dospjele naknade nema</w:t>
      </w:r>
      <w:r w:rsidR="006C4CEC" w:rsidRPr="00653DCF">
        <w:rPr>
          <w:color w:val="auto"/>
          <w:lang w:val="hr-HR"/>
        </w:rPr>
        <w:t xml:space="preserve">, način </w:t>
      </w:r>
      <w:r w:rsidRPr="00653DCF">
        <w:rPr>
          <w:color w:val="auto"/>
          <w:lang w:val="hr-HR"/>
        </w:rPr>
        <w:t xml:space="preserve">primjene iznosa </w:t>
      </w:r>
      <w:r w:rsidR="00C17E59" w:rsidRPr="00653DCF">
        <w:rPr>
          <w:color w:val="auto"/>
          <w:lang w:val="hr-HR"/>
        </w:rPr>
        <w:t>prijevremene otplate, a</w:t>
      </w:r>
      <w:r w:rsidRPr="00653DCF">
        <w:rPr>
          <w:color w:val="auto"/>
          <w:lang w:val="hr-HR"/>
        </w:rPr>
        <w:t xml:space="preserve"> ako </w:t>
      </w:r>
      <w:r w:rsidR="00C17E59" w:rsidRPr="00653DCF">
        <w:rPr>
          <w:color w:val="auto"/>
          <w:lang w:val="hr-HR"/>
        </w:rPr>
        <w:t xml:space="preserve">je naknada za prijevremenu otplatu primjenjiva, rok do kojeg </w:t>
      </w:r>
      <w:r w:rsidRPr="00653DCF">
        <w:rPr>
          <w:color w:val="auto"/>
          <w:lang w:val="hr-HR"/>
        </w:rPr>
        <w:t xml:space="preserve">Zajmoprimac može prihvatiti </w:t>
      </w:r>
      <w:r w:rsidR="00C17E59" w:rsidRPr="00653DCF">
        <w:rPr>
          <w:color w:val="auto"/>
          <w:lang w:val="hr-HR"/>
        </w:rPr>
        <w:t>o</w:t>
      </w:r>
      <w:r w:rsidRPr="00653DCF">
        <w:rPr>
          <w:color w:val="auto"/>
          <w:lang w:val="hr-HR"/>
        </w:rPr>
        <w:t xml:space="preserve">bavijest o </w:t>
      </w:r>
      <w:r w:rsidR="00C17E59" w:rsidRPr="00653DCF">
        <w:rPr>
          <w:color w:val="auto"/>
          <w:lang w:val="hr-HR"/>
        </w:rPr>
        <w:t>prijevremenoj otplati</w:t>
      </w:r>
      <w:r w:rsidRPr="00653DCF">
        <w:rPr>
          <w:color w:val="auto"/>
          <w:lang w:val="hr-HR"/>
        </w:rPr>
        <w:t>.</w:t>
      </w:r>
    </w:p>
    <w:p w14:paraId="0E32E6B2" w14:textId="3636BCE3" w:rsidR="007A2A6F" w:rsidRPr="00653DCF" w:rsidRDefault="00E87B0B">
      <w:pPr>
        <w:rPr>
          <w:color w:val="auto"/>
          <w:lang w:val="hr-HR"/>
        </w:rPr>
      </w:pPr>
      <w:r w:rsidRPr="00653DCF">
        <w:rPr>
          <w:color w:val="auto"/>
          <w:lang w:val="hr-HR"/>
        </w:rPr>
        <w:t xml:space="preserve">Ako Zajmoprimac prihvati </w:t>
      </w:r>
      <w:r w:rsidR="00C17E59" w:rsidRPr="00653DCF">
        <w:rPr>
          <w:color w:val="auto"/>
          <w:lang w:val="hr-HR"/>
        </w:rPr>
        <w:t>o</w:t>
      </w:r>
      <w:r w:rsidRPr="00653DCF">
        <w:rPr>
          <w:color w:val="auto"/>
          <w:lang w:val="hr-HR"/>
        </w:rPr>
        <w:t xml:space="preserve">bavijest o </w:t>
      </w:r>
      <w:r w:rsidR="00C17E59" w:rsidRPr="00653DCF">
        <w:rPr>
          <w:color w:val="auto"/>
          <w:lang w:val="hr-HR"/>
        </w:rPr>
        <w:t xml:space="preserve">prijevremenoj otplati </w:t>
      </w:r>
      <w:r w:rsidRPr="00653DCF">
        <w:rPr>
          <w:color w:val="auto"/>
          <w:lang w:val="hr-HR"/>
        </w:rPr>
        <w:t xml:space="preserve">najkasnije do roka </w:t>
      </w:r>
      <w:r w:rsidR="00A168F8" w:rsidRPr="00653DCF">
        <w:rPr>
          <w:color w:val="auto"/>
          <w:lang w:val="hr-HR"/>
        </w:rPr>
        <w:t>naznačenog</w:t>
      </w:r>
      <w:r w:rsidRPr="00653DCF">
        <w:rPr>
          <w:color w:val="auto"/>
          <w:lang w:val="hr-HR"/>
        </w:rPr>
        <w:t xml:space="preserve"> u </w:t>
      </w:r>
      <w:r w:rsidR="00C17E59" w:rsidRPr="00653DCF">
        <w:rPr>
          <w:color w:val="auto"/>
          <w:lang w:val="hr-HR"/>
        </w:rPr>
        <w:t>o</w:t>
      </w:r>
      <w:r w:rsidRPr="00653DCF">
        <w:rPr>
          <w:color w:val="auto"/>
          <w:lang w:val="hr-HR"/>
        </w:rPr>
        <w:t xml:space="preserve">bavijesti o </w:t>
      </w:r>
      <w:r w:rsidR="00C17E59" w:rsidRPr="00653DCF">
        <w:rPr>
          <w:color w:val="auto"/>
          <w:lang w:val="hr-HR"/>
        </w:rPr>
        <w:t>prijevremenoj otplati</w:t>
      </w:r>
      <w:r w:rsidR="00A168F8" w:rsidRPr="00653DCF">
        <w:rPr>
          <w:color w:val="auto"/>
          <w:lang w:val="hr-HR"/>
        </w:rPr>
        <w:t xml:space="preserve"> (ako je takav rok naznačen)</w:t>
      </w:r>
      <w:r w:rsidRPr="00653DCF">
        <w:rPr>
          <w:color w:val="auto"/>
          <w:lang w:val="hr-HR"/>
        </w:rPr>
        <w:t xml:space="preserve">, </w:t>
      </w:r>
      <w:r w:rsidR="00C17E59" w:rsidRPr="00653DCF">
        <w:rPr>
          <w:color w:val="auto"/>
          <w:lang w:val="hr-HR"/>
        </w:rPr>
        <w:t>Z</w:t>
      </w:r>
      <w:r w:rsidRPr="00653DCF">
        <w:rPr>
          <w:color w:val="auto"/>
          <w:lang w:val="hr-HR"/>
        </w:rPr>
        <w:t xml:space="preserve">ajmoprimac </w:t>
      </w:r>
      <w:r w:rsidR="00C17E59" w:rsidRPr="00653DCF">
        <w:rPr>
          <w:color w:val="auto"/>
          <w:lang w:val="hr-HR"/>
        </w:rPr>
        <w:t xml:space="preserve">je dužan </w:t>
      </w:r>
      <w:r w:rsidRPr="00653DCF">
        <w:rPr>
          <w:color w:val="auto"/>
          <w:lang w:val="hr-HR"/>
        </w:rPr>
        <w:t xml:space="preserve">izvršiti </w:t>
      </w:r>
      <w:r w:rsidR="00C17E59" w:rsidRPr="00653DCF">
        <w:rPr>
          <w:color w:val="auto"/>
          <w:lang w:val="hr-HR"/>
        </w:rPr>
        <w:t>prijevremenu otplatu</w:t>
      </w:r>
      <w:r w:rsidRPr="00653DCF">
        <w:rPr>
          <w:color w:val="auto"/>
          <w:lang w:val="hr-HR"/>
        </w:rPr>
        <w:t xml:space="preserve">. U </w:t>
      </w:r>
      <w:r w:rsidR="00C17E59" w:rsidRPr="00653DCF">
        <w:rPr>
          <w:color w:val="auto"/>
          <w:lang w:val="hr-HR"/>
        </w:rPr>
        <w:t xml:space="preserve">svim ostalim slučajevima, </w:t>
      </w:r>
      <w:r w:rsidRPr="00653DCF">
        <w:rPr>
          <w:color w:val="auto"/>
          <w:lang w:val="hr-HR"/>
        </w:rPr>
        <w:t xml:space="preserve">Zajmoprimac ne </w:t>
      </w:r>
      <w:r w:rsidR="00C17E59" w:rsidRPr="00653DCF">
        <w:rPr>
          <w:color w:val="auto"/>
          <w:lang w:val="hr-HR"/>
        </w:rPr>
        <w:t>smije izvršiti prijevremenu otplatu</w:t>
      </w:r>
      <w:r w:rsidRPr="00653DCF">
        <w:rPr>
          <w:color w:val="auto"/>
          <w:lang w:val="hr-HR"/>
        </w:rPr>
        <w:t>.</w:t>
      </w:r>
    </w:p>
    <w:p w14:paraId="51C8FC86" w14:textId="5F97981A" w:rsidR="007A2A6F" w:rsidRPr="00653DCF" w:rsidRDefault="00E87B0B">
      <w:pPr>
        <w:rPr>
          <w:color w:val="auto"/>
          <w:lang w:val="hr-HR"/>
        </w:rPr>
      </w:pPr>
      <w:r w:rsidRPr="00653DCF">
        <w:rPr>
          <w:color w:val="auto"/>
          <w:lang w:val="hr-HR"/>
        </w:rPr>
        <w:t xml:space="preserve">Zajmoprimac </w:t>
      </w:r>
      <w:r w:rsidR="00C17E59" w:rsidRPr="00653DCF">
        <w:rPr>
          <w:color w:val="auto"/>
          <w:lang w:val="hr-HR"/>
        </w:rPr>
        <w:t>je dužan</w:t>
      </w:r>
      <w:r w:rsidR="004703EC" w:rsidRPr="00653DCF">
        <w:rPr>
          <w:color w:val="auto"/>
          <w:lang w:val="hr-HR"/>
        </w:rPr>
        <w:t>,</w:t>
      </w:r>
      <w:r w:rsidR="00C17E59" w:rsidRPr="00653DCF">
        <w:rPr>
          <w:color w:val="auto"/>
          <w:lang w:val="hr-HR"/>
        </w:rPr>
        <w:t xml:space="preserve"> </w:t>
      </w:r>
      <w:r w:rsidRPr="00653DCF">
        <w:rPr>
          <w:color w:val="auto"/>
          <w:lang w:val="hr-HR"/>
        </w:rPr>
        <w:t xml:space="preserve">uz plaćanje iznosa </w:t>
      </w:r>
      <w:r w:rsidR="00C17E59" w:rsidRPr="00653DCF">
        <w:rPr>
          <w:color w:val="auto"/>
          <w:lang w:val="hr-HR"/>
        </w:rPr>
        <w:t xml:space="preserve">prijevremene </w:t>
      </w:r>
      <w:r w:rsidR="00BC706D" w:rsidRPr="00653DCF">
        <w:rPr>
          <w:color w:val="auto"/>
          <w:lang w:val="hr-HR"/>
        </w:rPr>
        <w:t>otplate</w:t>
      </w:r>
      <w:r w:rsidR="004703EC" w:rsidRPr="00653DCF">
        <w:rPr>
          <w:color w:val="auto"/>
          <w:lang w:val="hr-HR"/>
        </w:rPr>
        <w:t>,</w:t>
      </w:r>
      <w:r w:rsidR="00C17E59" w:rsidRPr="00653DCF">
        <w:rPr>
          <w:color w:val="auto"/>
          <w:lang w:val="hr-HR"/>
        </w:rPr>
        <w:t xml:space="preserve"> </w:t>
      </w:r>
      <w:r w:rsidRPr="00653DCF">
        <w:rPr>
          <w:color w:val="auto"/>
          <w:lang w:val="hr-HR"/>
        </w:rPr>
        <w:t xml:space="preserve">platiti </w:t>
      </w:r>
      <w:r w:rsidR="00C17E59" w:rsidRPr="00653DCF">
        <w:rPr>
          <w:color w:val="auto"/>
          <w:lang w:val="hr-HR"/>
        </w:rPr>
        <w:t xml:space="preserve">i </w:t>
      </w:r>
      <w:r w:rsidRPr="00653DCF">
        <w:rPr>
          <w:color w:val="auto"/>
          <w:lang w:val="hr-HR"/>
        </w:rPr>
        <w:t>obračunatu kamatu</w:t>
      </w:r>
      <w:r w:rsidR="00C17E59" w:rsidRPr="00653DCF">
        <w:rPr>
          <w:color w:val="auto"/>
          <w:lang w:val="hr-HR"/>
        </w:rPr>
        <w:t xml:space="preserve"> i </w:t>
      </w:r>
      <w:r w:rsidRPr="00653DCF">
        <w:rPr>
          <w:color w:val="auto"/>
          <w:lang w:val="hr-HR"/>
        </w:rPr>
        <w:t xml:space="preserve">naknadu za prijevremenu otplatu koja dospijeva na iznos </w:t>
      </w:r>
      <w:r w:rsidR="00EF4C8A" w:rsidRPr="00653DCF">
        <w:rPr>
          <w:color w:val="auto"/>
          <w:lang w:val="hr-HR"/>
        </w:rPr>
        <w:t>prijevremene otplate</w:t>
      </w:r>
      <w:r w:rsidRPr="00653DCF">
        <w:rPr>
          <w:color w:val="auto"/>
          <w:lang w:val="hr-HR"/>
        </w:rPr>
        <w:t xml:space="preserve">, kako je navedeno u </w:t>
      </w:r>
      <w:r w:rsidR="00EF4C8A" w:rsidRPr="00653DCF">
        <w:rPr>
          <w:color w:val="auto"/>
          <w:lang w:val="hr-HR"/>
        </w:rPr>
        <w:t>o</w:t>
      </w:r>
      <w:r w:rsidRPr="00653DCF">
        <w:rPr>
          <w:color w:val="auto"/>
          <w:lang w:val="hr-HR"/>
        </w:rPr>
        <w:t xml:space="preserve">bavijesti o </w:t>
      </w:r>
      <w:r w:rsidR="00EF4C8A" w:rsidRPr="00653DCF">
        <w:rPr>
          <w:color w:val="auto"/>
          <w:lang w:val="hr-HR"/>
        </w:rPr>
        <w:t xml:space="preserve">prijevremenoj otplati </w:t>
      </w:r>
      <w:r w:rsidR="004703EC" w:rsidRPr="00653DCF">
        <w:rPr>
          <w:color w:val="auto"/>
          <w:lang w:val="hr-HR"/>
        </w:rPr>
        <w:t>te</w:t>
      </w:r>
      <w:r w:rsidRPr="00653DCF">
        <w:rPr>
          <w:color w:val="auto"/>
          <w:lang w:val="hr-HR"/>
        </w:rPr>
        <w:t xml:space="preserve"> naknadu iz članka</w:t>
      </w:r>
      <w:r w:rsidR="00EF4C8A" w:rsidRPr="00653DCF">
        <w:rPr>
          <w:color w:val="auto"/>
          <w:lang w:val="hr-HR"/>
        </w:rPr>
        <w:t xml:space="preserve"> </w:t>
      </w:r>
      <w:r w:rsidRPr="00653DCF">
        <w:rPr>
          <w:color w:val="auto"/>
          <w:lang w:val="hr-HR"/>
        </w:rPr>
        <w:fldChar w:fldCharType="begin"/>
      </w:r>
      <w:r w:rsidRPr="00653DCF">
        <w:rPr>
          <w:color w:val="auto"/>
          <w:lang w:val="hr-HR"/>
        </w:rPr>
        <w:instrText xml:space="preserve"> REF _Ref514250499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4.2.D</w:t>
      </w:r>
      <w:r w:rsidRPr="00653DCF">
        <w:rPr>
          <w:color w:val="auto"/>
          <w:lang w:val="hr-HR"/>
        </w:rPr>
        <w:fldChar w:fldCharType="end"/>
      </w:r>
      <w:r w:rsidRPr="00653DCF">
        <w:rPr>
          <w:color w:val="auto"/>
          <w:lang w:val="hr-HR"/>
        </w:rPr>
        <w:t xml:space="preserve">, ako </w:t>
      </w:r>
      <w:r w:rsidR="003C60EC" w:rsidRPr="00653DCF">
        <w:rPr>
          <w:color w:val="auto"/>
          <w:lang w:val="hr-HR"/>
        </w:rPr>
        <w:t>je primjenjivo</w:t>
      </w:r>
      <w:r w:rsidRPr="00653DCF">
        <w:rPr>
          <w:color w:val="auto"/>
          <w:lang w:val="hr-HR"/>
        </w:rPr>
        <w:t>.</w:t>
      </w:r>
    </w:p>
    <w:p w14:paraId="268C93EC" w14:textId="10F2E5BF" w:rsidR="007A2A6F" w:rsidRPr="00653DCF" w:rsidRDefault="00E87B0B" w:rsidP="00613099">
      <w:pPr>
        <w:pStyle w:val="Heading3"/>
        <w:ind w:left="851"/>
        <w:rPr>
          <w:color w:val="auto"/>
          <w:lang w:val="hr-HR"/>
        </w:rPr>
      </w:pPr>
      <w:bookmarkStart w:id="347" w:name="_Toc508120504"/>
      <w:bookmarkStart w:id="348" w:name="_Ref511718302"/>
      <w:bookmarkStart w:id="349" w:name="_Ref514250499"/>
      <w:bookmarkStart w:id="350" w:name="_Toc126080694"/>
      <w:bookmarkStart w:id="351" w:name="_Toc126080826"/>
      <w:r w:rsidRPr="00653DCF">
        <w:rPr>
          <w:color w:val="auto"/>
          <w:lang w:val="hr-HR"/>
        </w:rPr>
        <w:t xml:space="preserve">Administrativna </w:t>
      </w:r>
      <w:bookmarkEnd w:id="347"/>
      <w:bookmarkEnd w:id="348"/>
      <w:bookmarkEnd w:id="349"/>
      <w:bookmarkEnd w:id="350"/>
      <w:bookmarkEnd w:id="351"/>
      <w:r w:rsidR="003C60EC" w:rsidRPr="00653DCF">
        <w:rPr>
          <w:color w:val="auto"/>
          <w:lang w:val="hr-HR"/>
        </w:rPr>
        <w:t>pristojba</w:t>
      </w:r>
    </w:p>
    <w:p w14:paraId="7A138625" w14:textId="39F92C37" w:rsidR="007A2A6F" w:rsidRPr="00653DCF" w:rsidRDefault="00E87B0B">
      <w:pPr>
        <w:rPr>
          <w:color w:val="auto"/>
          <w:lang w:val="hr-HR"/>
        </w:rPr>
      </w:pPr>
      <w:r w:rsidRPr="00653DCF">
        <w:rPr>
          <w:color w:val="auto"/>
          <w:lang w:val="hr-HR"/>
        </w:rPr>
        <w:t xml:space="preserve">Ako Zajmoprimac unaprijed </w:t>
      </w:r>
      <w:r w:rsidR="003C60EC" w:rsidRPr="00653DCF">
        <w:rPr>
          <w:color w:val="auto"/>
          <w:lang w:val="hr-HR"/>
        </w:rPr>
        <w:t>ot</w:t>
      </w:r>
      <w:r w:rsidRPr="00653DCF">
        <w:rPr>
          <w:color w:val="auto"/>
          <w:lang w:val="hr-HR"/>
        </w:rPr>
        <w:t xml:space="preserve">plati tranšu na </w:t>
      </w:r>
      <w:r w:rsidR="000431EC" w:rsidRPr="00653DCF">
        <w:rPr>
          <w:color w:val="auto"/>
          <w:lang w:val="hr-HR"/>
        </w:rPr>
        <w:t xml:space="preserve">neki drugi </w:t>
      </w:r>
      <w:r w:rsidRPr="00653DCF">
        <w:rPr>
          <w:color w:val="auto"/>
          <w:lang w:val="hr-HR"/>
        </w:rPr>
        <w:t xml:space="preserve">datum koji nije relevantan datum plaćanja ili ako Banka iznimno prihvati, isključivo po vlastitom nahođenju, zahtjev za </w:t>
      </w:r>
      <w:r w:rsidR="000431EC" w:rsidRPr="00653DCF">
        <w:rPr>
          <w:color w:val="auto"/>
          <w:lang w:val="hr-HR"/>
        </w:rPr>
        <w:t xml:space="preserve">plaćanje uz prethodnu obavijest u roku kraćem od </w:t>
      </w:r>
      <w:r w:rsidRPr="00653DCF">
        <w:rPr>
          <w:color w:val="auto"/>
          <w:lang w:val="hr-HR"/>
        </w:rPr>
        <w:t xml:space="preserve">kraćem od 30 (trideset) kalendarskih dana, Zajmoprimac </w:t>
      </w:r>
      <w:r w:rsidR="00BC706D" w:rsidRPr="00653DCF">
        <w:rPr>
          <w:color w:val="auto"/>
          <w:lang w:val="hr-HR"/>
        </w:rPr>
        <w:t xml:space="preserve">je </w:t>
      </w:r>
      <w:r w:rsidRPr="00653DCF">
        <w:rPr>
          <w:color w:val="auto"/>
          <w:lang w:val="hr-HR"/>
        </w:rPr>
        <w:t xml:space="preserve">Banci </w:t>
      </w:r>
      <w:r w:rsidR="00BC706D" w:rsidRPr="00653DCF">
        <w:rPr>
          <w:color w:val="auto"/>
          <w:lang w:val="hr-HR"/>
        </w:rPr>
        <w:t xml:space="preserve">dužan </w:t>
      </w:r>
      <w:r w:rsidRPr="00653DCF">
        <w:rPr>
          <w:color w:val="auto"/>
          <w:lang w:val="hr-HR"/>
        </w:rPr>
        <w:t xml:space="preserve">platiti administrativnu </w:t>
      </w:r>
      <w:r w:rsidR="00BC706D" w:rsidRPr="00653DCF">
        <w:rPr>
          <w:color w:val="auto"/>
          <w:lang w:val="hr-HR"/>
        </w:rPr>
        <w:t xml:space="preserve">pristojbu </w:t>
      </w:r>
      <w:r w:rsidRPr="00653DCF">
        <w:rPr>
          <w:color w:val="auto"/>
          <w:lang w:val="hr-HR"/>
        </w:rPr>
        <w:t xml:space="preserve">u iznosu </w:t>
      </w:r>
      <w:r w:rsidR="00BC706D" w:rsidRPr="00653DCF">
        <w:rPr>
          <w:color w:val="auto"/>
          <w:lang w:val="hr-HR"/>
        </w:rPr>
        <w:t xml:space="preserve">o kojem će </w:t>
      </w:r>
      <w:r w:rsidRPr="00653DCF">
        <w:rPr>
          <w:color w:val="auto"/>
          <w:lang w:val="hr-HR"/>
        </w:rPr>
        <w:t xml:space="preserve">Banka </w:t>
      </w:r>
      <w:r w:rsidR="00BC706D" w:rsidRPr="00653DCF">
        <w:rPr>
          <w:color w:val="auto"/>
          <w:lang w:val="hr-HR"/>
        </w:rPr>
        <w:t>obavijestiti Zajmoprimca</w:t>
      </w:r>
      <w:r w:rsidRPr="00653DCF">
        <w:rPr>
          <w:color w:val="auto"/>
          <w:lang w:val="hr-HR"/>
        </w:rPr>
        <w:t>.</w:t>
      </w:r>
    </w:p>
    <w:p w14:paraId="5A0E293C" w14:textId="52507C69" w:rsidR="007A2A6F" w:rsidRPr="00653DCF" w:rsidRDefault="00E87B0B" w:rsidP="00613099">
      <w:pPr>
        <w:pStyle w:val="Heading2"/>
        <w:ind w:left="851"/>
        <w:rPr>
          <w:color w:val="auto"/>
          <w:lang w:val="hr-HR"/>
        </w:rPr>
      </w:pPr>
      <w:bookmarkStart w:id="352" w:name="_Toc475441148"/>
      <w:bookmarkStart w:id="353" w:name="_Toc498018643"/>
      <w:bookmarkStart w:id="354" w:name="_Toc508120505"/>
      <w:bookmarkStart w:id="355" w:name="_Toc126080695"/>
      <w:bookmarkStart w:id="356" w:name="_Toc126080827"/>
      <w:r w:rsidRPr="00653DCF">
        <w:rPr>
          <w:color w:val="auto"/>
          <w:lang w:val="hr-HR"/>
        </w:rPr>
        <w:t>Obvezn</w:t>
      </w:r>
      <w:r w:rsidR="00146FE2" w:rsidRPr="00653DCF">
        <w:rPr>
          <w:color w:val="auto"/>
          <w:lang w:val="hr-HR"/>
        </w:rPr>
        <w:t>a</w:t>
      </w:r>
      <w:r w:rsidRPr="00653DCF">
        <w:rPr>
          <w:color w:val="auto"/>
          <w:lang w:val="hr-HR"/>
        </w:rPr>
        <w:t xml:space="preserve"> </w:t>
      </w:r>
      <w:bookmarkEnd w:id="352"/>
      <w:bookmarkEnd w:id="353"/>
      <w:bookmarkEnd w:id="354"/>
      <w:r w:rsidR="00BC706D" w:rsidRPr="00653DCF">
        <w:rPr>
          <w:color w:val="auto"/>
          <w:lang w:val="hr-HR"/>
        </w:rPr>
        <w:t>prijevremena otplata i otkaz</w:t>
      </w:r>
      <w:bookmarkEnd w:id="355"/>
      <w:bookmarkEnd w:id="356"/>
      <w:r w:rsidRPr="00653DCF">
        <w:rPr>
          <w:color w:val="auto"/>
          <w:lang w:val="hr-HR"/>
        </w:rPr>
        <w:t xml:space="preserve"> </w:t>
      </w:r>
    </w:p>
    <w:p w14:paraId="6C50BCEF" w14:textId="4E37AD6E" w:rsidR="007A2A6F" w:rsidRPr="00653DCF" w:rsidRDefault="00BC706D" w:rsidP="00613099">
      <w:pPr>
        <w:pStyle w:val="Heading3"/>
        <w:ind w:left="851"/>
        <w:rPr>
          <w:color w:val="auto"/>
          <w:lang w:val="hr-HR"/>
        </w:rPr>
      </w:pPr>
      <w:r w:rsidRPr="00653DCF">
        <w:rPr>
          <w:color w:val="auto"/>
          <w:lang w:val="hr-HR"/>
        </w:rPr>
        <w:t>Događaji prijevremene otplate</w:t>
      </w:r>
    </w:p>
    <w:p w14:paraId="706D0A5E" w14:textId="3797F499" w:rsidR="007A2A6F" w:rsidRPr="00653DCF" w:rsidRDefault="00E87B0B" w:rsidP="00613099">
      <w:pPr>
        <w:pStyle w:val="Heading4"/>
        <w:ind w:left="851"/>
        <w:rPr>
          <w:color w:val="auto"/>
          <w:lang w:val="hr-HR"/>
        </w:rPr>
      </w:pPr>
      <w:bookmarkStart w:id="357" w:name="_Ref61510621"/>
      <w:r w:rsidRPr="00653DCF">
        <w:rPr>
          <w:color w:val="auto"/>
          <w:lang w:val="hr-HR"/>
        </w:rPr>
        <w:t xml:space="preserve">Događaj </w:t>
      </w:r>
      <w:bookmarkEnd w:id="357"/>
      <w:r w:rsidR="00C90942" w:rsidRPr="00653DCF">
        <w:rPr>
          <w:color w:val="auto"/>
          <w:lang w:val="hr-HR"/>
        </w:rPr>
        <w:t>SMANJENJA TROŠKOVA PROJEKTA</w:t>
      </w:r>
    </w:p>
    <w:p w14:paraId="6EC39838" w14:textId="45FF12ED" w:rsidR="00146FE2" w:rsidRPr="00653DCF" w:rsidRDefault="008743BF">
      <w:pPr>
        <w:widowControl w:val="0"/>
        <w:numPr>
          <w:ilvl w:val="0"/>
          <w:numId w:val="53"/>
        </w:numPr>
        <w:rPr>
          <w:color w:val="auto"/>
          <w:lang w:val="hr-HR"/>
        </w:rPr>
      </w:pPr>
      <w:r w:rsidRPr="00653DCF">
        <w:rPr>
          <w:color w:val="auto"/>
          <w:lang w:val="hr-HR"/>
        </w:rPr>
        <w:t xml:space="preserve">Ako nastupi događaj smanjenja troškova Projekta ili je vjerojatno da će takav događaj nastupiti, </w:t>
      </w:r>
      <w:r w:rsidR="00DF33A7" w:rsidRPr="00653DCF">
        <w:rPr>
          <w:color w:val="auto"/>
          <w:lang w:val="hr-HR"/>
        </w:rPr>
        <w:t>Zajmoprimac (koji djeluje</w:t>
      </w:r>
      <w:r w:rsidR="00204F3B" w:rsidRPr="00653DCF">
        <w:rPr>
          <w:color w:val="auto"/>
          <w:lang w:val="hr-HR"/>
        </w:rPr>
        <w:t xml:space="preserve"> putem Nositelja) </w:t>
      </w:r>
      <w:r w:rsidR="00146FE2" w:rsidRPr="00653DCF">
        <w:rPr>
          <w:color w:val="auto"/>
          <w:lang w:val="hr-HR"/>
        </w:rPr>
        <w:t xml:space="preserve">će </w:t>
      </w:r>
      <w:r w:rsidRPr="00653DCF">
        <w:rPr>
          <w:color w:val="auto"/>
          <w:lang w:val="hr-HR"/>
        </w:rPr>
        <w:t xml:space="preserve">o tome </w:t>
      </w:r>
      <w:r w:rsidR="00146FE2" w:rsidRPr="00653DCF">
        <w:rPr>
          <w:color w:val="auto"/>
          <w:lang w:val="hr-HR"/>
        </w:rPr>
        <w:t xml:space="preserve">odmah obavijestiti Banku. Bilo kada </w:t>
      </w:r>
      <w:r w:rsidRPr="00653DCF">
        <w:rPr>
          <w:color w:val="auto"/>
          <w:lang w:val="hr-HR"/>
        </w:rPr>
        <w:t xml:space="preserve">nakon nastupa </w:t>
      </w:r>
      <w:r w:rsidR="00146FE2" w:rsidRPr="00653DCF">
        <w:rPr>
          <w:color w:val="auto"/>
          <w:lang w:val="hr-HR"/>
        </w:rPr>
        <w:t xml:space="preserve">događaja smanjenja troškova Projekta, Banka </w:t>
      </w:r>
      <w:r w:rsidRPr="00653DCF">
        <w:rPr>
          <w:color w:val="auto"/>
          <w:lang w:val="hr-HR"/>
        </w:rPr>
        <w:t>može, uz davanje obavijesti Zajmoprimcu</w:t>
      </w:r>
      <w:r w:rsidR="00517F49" w:rsidRPr="00653DCF">
        <w:rPr>
          <w:color w:val="auto"/>
          <w:lang w:val="hr-HR"/>
        </w:rPr>
        <w:t xml:space="preserve"> i Nos</w:t>
      </w:r>
      <w:r w:rsidR="00E22DEA" w:rsidRPr="00653DCF">
        <w:rPr>
          <w:color w:val="auto"/>
          <w:lang w:val="hr-HR"/>
        </w:rPr>
        <w:t>i</w:t>
      </w:r>
      <w:r w:rsidR="00517F49" w:rsidRPr="00653DCF">
        <w:rPr>
          <w:color w:val="auto"/>
          <w:lang w:val="hr-HR"/>
        </w:rPr>
        <w:t>telju</w:t>
      </w:r>
      <w:r w:rsidRPr="00653DCF">
        <w:rPr>
          <w:color w:val="auto"/>
          <w:lang w:val="hr-HR"/>
        </w:rPr>
        <w:t xml:space="preserve">, </w:t>
      </w:r>
      <w:r w:rsidRPr="00653DCF">
        <w:rPr>
          <w:color w:val="auto"/>
          <w:lang w:val="hr-HR"/>
        </w:rPr>
        <w:lastRenderedPageBreak/>
        <w:t xml:space="preserve">otkazati neisplaćen dio kredita i/ili zatražiti prijevremenu otplatu preostalog dijela zajma do iznosa za koji </w:t>
      </w:r>
      <w:r w:rsidR="005E4E29" w:rsidRPr="00653DCF">
        <w:rPr>
          <w:color w:val="auto"/>
          <w:lang w:val="hr-HR"/>
        </w:rPr>
        <w:t>sredstva</w:t>
      </w:r>
      <w:r w:rsidRPr="00653DCF">
        <w:rPr>
          <w:color w:val="auto"/>
          <w:lang w:val="hr-HR"/>
        </w:rPr>
        <w:t xml:space="preserve"> EIB-a premašuju limite iz točke (c) u nastavku, zajedno s obračunatom kamatom i svim drugim obračunatim i neplaćenim iznosima na temelju</w:t>
      </w:r>
      <w:r w:rsidR="005463AC" w:rsidRPr="00653DCF">
        <w:rPr>
          <w:color w:val="auto"/>
          <w:lang w:val="hr-HR"/>
        </w:rPr>
        <w:t xml:space="preserve"> ovog</w:t>
      </w:r>
      <w:r w:rsidRPr="00653DCF">
        <w:rPr>
          <w:color w:val="auto"/>
          <w:lang w:val="hr-HR"/>
        </w:rPr>
        <w:t xml:space="preserve"> Ugovora</w:t>
      </w:r>
      <w:r w:rsidR="007F2C2C" w:rsidRPr="00653DCF">
        <w:rPr>
          <w:color w:val="auto"/>
          <w:lang w:val="hr-HR"/>
        </w:rPr>
        <w:t>, a</w:t>
      </w:r>
      <w:r w:rsidRPr="00653DCF">
        <w:rPr>
          <w:color w:val="auto"/>
          <w:lang w:val="hr-HR"/>
        </w:rPr>
        <w:t xml:space="preserve"> u vezi s dijelom nepodmirenog zajma koji treba prijevremeno otplatiti.</w:t>
      </w:r>
    </w:p>
    <w:p w14:paraId="241975E1" w14:textId="2C93EE9E" w:rsidR="008743BF" w:rsidRPr="00653DCF" w:rsidRDefault="00E87B0B">
      <w:pPr>
        <w:widowControl w:val="0"/>
        <w:numPr>
          <w:ilvl w:val="0"/>
          <w:numId w:val="53"/>
        </w:numPr>
        <w:rPr>
          <w:color w:val="auto"/>
          <w:lang w:val="hr-HR"/>
        </w:rPr>
      </w:pPr>
      <w:r w:rsidRPr="00653DCF">
        <w:rPr>
          <w:color w:val="auto"/>
          <w:lang w:val="hr-HR"/>
        </w:rPr>
        <w:t xml:space="preserve">Zajmoprimac </w:t>
      </w:r>
      <w:r w:rsidR="008743BF" w:rsidRPr="00653DCF">
        <w:rPr>
          <w:color w:val="auto"/>
          <w:lang w:val="hr-HR"/>
        </w:rPr>
        <w:t>je dužan izvršiti plaćanje zatraženog iznosa na datum koji navede Banka, s tim da takav datum bude datum koji pada najmanje 30 (trideset) dana od datuma zahtjeva.</w:t>
      </w:r>
    </w:p>
    <w:p w14:paraId="3382128B" w14:textId="1DB7B286" w:rsidR="007A2A6F" w:rsidRPr="00653DCF" w:rsidRDefault="00E87B0B">
      <w:pPr>
        <w:widowControl w:val="0"/>
        <w:numPr>
          <w:ilvl w:val="0"/>
          <w:numId w:val="53"/>
        </w:numPr>
        <w:rPr>
          <w:color w:val="auto"/>
          <w:lang w:val="hr-HR"/>
        </w:rPr>
      </w:pPr>
      <w:r w:rsidRPr="00653DCF">
        <w:rPr>
          <w:color w:val="auto"/>
          <w:lang w:val="hr-HR"/>
        </w:rPr>
        <w:t>Za potrebe ovog članka</w:t>
      </w:r>
      <w:r w:rsidR="00AD7AF1" w:rsidRPr="00653DCF">
        <w:rPr>
          <w:color w:val="auto"/>
          <w:lang w:val="hr-HR"/>
        </w:rPr>
        <w:t>,</w:t>
      </w:r>
      <w:r w:rsidRPr="00653DCF">
        <w:rPr>
          <w:color w:val="auto"/>
          <w:lang w:val="hr-HR"/>
        </w:rPr>
        <w:t xml:space="preserve"> „</w:t>
      </w:r>
      <w:r w:rsidR="00695923" w:rsidRPr="00653DCF">
        <w:rPr>
          <w:b/>
          <w:color w:val="auto"/>
          <w:lang w:val="hr-HR"/>
        </w:rPr>
        <w:t>d</w:t>
      </w:r>
      <w:r w:rsidRPr="00653DCF">
        <w:rPr>
          <w:b/>
          <w:color w:val="auto"/>
          <w:lang w:val="hr-HR"/>
        </w:rPr>
        <w:t xml:space="preserve">ogađaj smanjenja troškova </w:t>
      </w:r>
      <w:r w:rsidR="00695923" w:rsidRPr="00653DCF">
        <w:rPr>
          <w:b/>
          <w:color w:val="auto"/>
          <w:lang w:val="hr-HR"/>
        </w:rPr>
        <w:t>P</w:t>
      </w:r>
      <w:r w:rsidRPr="00653DCF">
        <w:rPr>
          <w:b/>
          <w:color w:val="auto"/>
          <w:lang w:val="hr-HR"/>
        </w:rPr>
        <w:t>rojekta</w:t>
      </w:r>
      <w:r w:rsidRPr="00653DCF">
        <w:rPr>
          <w:color w:val="auto"/>
          <w:lang w:val="hr-HR"/>
        </w:rPr>
        <w:t xml:space="preserve">” znači da ukupni trošak </w:t>
      </w:r>
      <w:r w:rsidR="00695923" w:rsidRPr="00653DCF">
        <w:rPr>
          <w:color w:val="auto"/>
          <w:lang w:val="hr-HR"/>
        </w:rPr>
        <w:t>P</w:t>
      </w:r>
      <w:r w:rsidRPr="00653DCF">
        <w:rPr>
          <w:color w:val="auto"/>
          <w:lang w:val="hr-HR"/>
        </w:rPr>
        <w:t>rojekta padne ispod iznosa navedenog u uvodnoj izjavi (b)</w:t>
      </w:r>
      <w:r w:rsidR="00695923" w:rsidRPr="00653DCF">
        <w:rPr>
          <w:color w:val="auto"/>
          <w:lang w:val="hr-HR"/>
        </w:rPr>
        <w:t>,</w:t>
      </w:r>
      <w:r w:rsidRPr="00653DCF">
        <w:rPr>
          <w:color w:val="auto"/>
          <w:lang w:val="hr-HR"/>
        </w:rPr>
        <w:t xml:space="preserve"> </w:t>
      </w:r>
      <w:r w:rsidR="0072671D" w:rsidRPr="00653DCF">
        <w:rPr>
          <w:color w:val="auto"/>
          <w:lang w:val="hr-HR"/>
        </w:rPr>
        <w:t>na način</w:t>
      </w:r>
      <w:r w:rsidRPr="00653DCF">
        <w:rPr>
          <w:color w:val="auto"/>
          <w:lang w:val="hr-HR"/>
        </w:rPr>
        <w:t xml:space="preserve"> da iznos </w:t>
      </w:r>
      <w:r w:rsidR="005E4E29" w:rsidRPr="00653DCF">
        <w:rPr>
          <w:color w:val="auto"/>
          <w:lang w:val="hr-HR"/>
        </w:rPr>
        <w:t>sredstava</w:t>
      </w:r>
      <w:r w:rsidR="00695923" w:rsidRPr="00653DCF">
        <w:rPr>
          <w:color w:val="auto"/>
          <w:lang w:val="hr-HR"/>
        </w:rPr>
        <w:t xml:space="preserve"> </w:t>
      </w:r>
      <w:r w:rsidRPr="00653DCF">
        <w:rPr>
          <w:color w:val="auto"/>
          <w:lang w:val="hr-HR"/>
        </w:rPr>
        <w:t>EIB-a premašuje:</w:t>
      </w:r>
    </w:p>
    <w:p w14:paraId="176A1228" w14:textId="06837B53" w:rsidR="007A2A6F" w:rsidRPr="00653DCF" w:rsidRDefault="00246F0D">
      <w:pPr>
        <w:widowControl w:val="0"/>
        <w:numPr>
          <w:ilvl w:val="1"/>
          <w:numId w:val="53"/>
        </w:numPr>
        <w:rPr>
          <w:color w:val="auto"/>
          <w:lang w:val="hr-HR"/>
        </w:rPr>
      </w:pPr>
      <w:r w:rsidRPr="00653DCF">
        <w:rPr>
          <w:color w:val="auto"/>
          <w:lang w:val="hr-HR"/>
        </w:rPr>
        <w:t>50</w:t>
      </w:r>
      <w:r w:rsidR="00E87B0B" w:rsidRPr="00653DCF">
        <w:rPr>
          <w:color w:val="auto"/>
          <w:lang w:val="hr-HR"/>
        </w:rPr>
        <w:t xml:space="preserve">% (pedeset posto) </w:t>
      </w:r>
      <w:r w:rsidR="00BC5DC9" w:rsidRPr="00653DCF">
        <w:rPr>
          <w:color w:val="auto"/>
          <w:lang w:val="hr-HR"/>
        </w:rPr>
        <w:t xml:space="preserve">takvog </w:t>
      </w:r>
      <w:r w:rsidR="00E87B0B" w:rsidRPr="00653DCF">
        <w:rPr>
          <w:color w:val="auto"/>
          <w:lang w:val="hr-HR"/>
        </w:rPr>
        <w:t xml:space="preserve">ukupnog troška </w:t>
      </w:r>
      <w:r w:rsidR="00695923" w:rsidRPr="00653DCF">
        <w:rPr>
          <w:color w:val="auto"/>
          <w:lang w:val="hr-HR"/>
        </w:rPr>
        <w:t>P</w:t>
      </w:r>
      <w:r w:rsidR="00E87B0B" w:rsidRPr="00653DCF">
        <w:rPr>
          <w:color w:val="auto"/>
          <w:lang w:val="hr-HR"/>
        </w:rPr>
        <w:t xml:space="preserve">rojekta </w:t>
      </w:r>
      <w:r w:rsidR="00695923" w:rsidRPr="00653DCF">
        <w:rPr>
          <w:color w:val="auto"/>
          <w:lang w:val="hr-HR"/>
        </w:rPr>
        <w:t xml:space="preserve">za koji </w:t>
      </w:r>
      <w:r w:rsidR="00E87B0B" w:rsidRPr="00653DCF">
        <w:rPr>
          <w:color w:val="auto"/>
          <w:lang w:val="hr-HR"/>
        </w:rPr>
        <w:t xml:space="preserve">je Banka dodijelila </w:t>
      </w:r>
      <w:r w:rsidR="001100D2" w:rsidRPr="00653DCF">
        <w:rPr>
          <w:color w:val="auto"/>
          <w:lang w:val="hr-HR"/>
        </w:rPr>
        <w:t xml:space="preserve">Projektu </w:t>
      </w:r>
      <w:r w:rsidR="00695923" w:rsidRPr="00653DCF">
        <w:rPr>
          <w:color w:val="auto"/>
          <w:lang w:val="hr-HR"/>
        </w:rPr>
        <w:t xml:space="preserve">sredstva </w:t>
      </w:r>
      <w:r w:rsidR="00E87B0B" w:rsidRPr="00653DCF">
        <w:rPr>
          <w:color w:val="auto"/>
          <w:lang w:val="hr-HR"/>
        </w:rPr>
        <w:t>na temelju bilo kojeg pisma</w:t>
      </w:r>
      <w:r w:rsidR="00DB09CA" w:rsidRPr="00653DCF">
        <w:rPr>
          <w:color w:val="auto"/>
          <w:lang w:val="hr-HR"/>
        </w:rPr>
        <w:t>/</w:t>
      </w:r>
      <w:r w:rsidR="001100D2" w:rsidRPr="00653DCF">
        <w:rPr>
          <w:color w:val="auto"/>
          <w:lang w:val="hr-HR"/>
        </w:rPr>
        <w:t xml:space="preserve">bilo kojih pisama </w:t>
      </w:r>
      <w:r w:rsidR="00E87B0B" w:rsidRPr="00653DCF">
        <w:rPr>
          <w:color w:val="auto"/>
          <w:lang w:val="hr-HR"/>
        </w:rPr>
        <w:t>o dodjeli</w:t>
      </w:r>
      <w:r w:rsidR="00695923" w:rsidRPr="00653DCF">
        <w:rPr>
          <w:color w:val="auto"/>
          <w:lang w:val="hr-HR"/>
        </w:rPr>
        <w:t xml:space="preserve"> sredstava</w:t>
      </w:r>
      <w:r w:rsidR="00E87B0B" w:rsidRPr="00653DCF">
        <w:rPr>
          <w:color w:val="auto"/>
          <w:lang w:val="hr-HR"/>
        </w:rPr>
        <w:t>;</w:t>
      </w:r>
    </w:p>
    <w:p w14:paraId="2BD148A1" w14:textId="6C3190E7" w:rsidR="007A2A6F" w:rsidRPr="00653DCF" w:rsidRDefault="00E87B0B">
      <w:pPr>
        <w:widowControl w:val="0"/>
        <w:numPr>
          <w:ilvl w:val="1"/>
          <w:numId w:val="53"/>
        </w:numPr>
        <w:rPr>
          <w:color w:val="auto"/>
          <w:lang w:val="hr-HR"/>
        </w:rPr>
      </w:pPr>
      <w:r w:rsidRPr="00653DCF">
        <w:rPr>
          <w:color w:val="auto"/>
          <w:lang w:val="hr-HR"/>
        </w:rPr>
        <w:t xml:space="preserve">kada se </w:t>
      </w:r>
      <w:r w:rsidR="00695923" w:rsidRPr="00653DCF">
        <w:rPr>
          <w:color w:val="auto"/>
          <w:lang w:val="hr-HR"/>
        </w:rPr>
        <w:t xml:space="preserve">zbroji </w:t>
      </w:r>
      <w:r w:rsidRPr="00653DCF">
        <w:rPr>
          <w:color w:val="auto"/>
          <w:lang w:val="hr-HR"/>
        </w:rPr>
        <w:t xml:space="preserve">s </w:t>
      </w:r>
      <w:r w:rsidR="00695923" w:rsidRPr="00653DCF">
        <w:rPr>
          <w:color w:val="auto"/>
          <w:lang w:val="hr-HR"/>
        </w:rPr>
        <w:t>iznosom bilo kojeg drugog EU fonda iz kojeg su Pro</w:t>
      </w:r>
      <w:r w:rsidR="00246F0D" w:rsidRPr="00653DCF">
        <w:rPr>
          <w:color w:val="auto"/>
          <w:lang w:val="hr-HR"/>
        </w:rPr>
        <w:t>jektu dodijeljena sredstava, 90</w:t>
      </w:r>
      <w:r w:rsidRPr="00653DCF">
        <w:rPr>
          <w:color w:val="auto"/>
          <w:lang w:val="hr-HR"/>
        </w:rPr>
        <w:t xml:space="preserve">% (devet posto) </w:t>
      </w:r>
      <w:r w:rsidR="00AC50F0" w:rsidRPr="00653DCF">
        <w:rPr>
          <w:color w:val="auto"/>
          <w:lang w:val="hr-HR"/>
        </w:rPr>
        <w:t xml:space="preserve">takvog </w:t>
      </w:r>
      <w:r w:rsidRPr="00653DCF">
        <w:rPr>
          <w:color w:val="auto"/>
          <w:lang w:val="hr-HR"/>
        </w:rPr>
        <w:t xml:space="preserve">ukupnog troška </w:t>
      </w:r>
      <w:r w:rsidR="00695923" w:rsidRPr="00653DCF">
        <w:rPr>
          <w:color w:val="auto"/>
          <w:lang w:val="hr-HR"/>
        </w:rPr>
        <w:t>P</w:t>
      </w:r>
      <w:r w:rsidRPr="00653DCF">
        <w:rPr>
          <w:color w:val="auto"/>
          <w:lang w:val="hr-HR"/>
        </w:rPr>
        <w:t>rojekta koj</w:t>
      </w:r>
      <w:r w:rsidR="009302FF" w:rsidRPr="00653DCF">
        <w:rPr>
          <w:color w:val="auto"/>
          <w:lang w:val="hr-HR"/>
        </w:rPr>
        <w:t>i</w:t>
      </w:r>
      <w:r w:rsidRPr="00653DCF">
        <w:rPr>
          <w:color w:val="auto"/>
          <w:lang w:val="hr-HR"/>
        </w:rPr>
        <w:t xml:space="preserve"> je Banka dodijelila </w:t>
      </w:r>
      <w:r w:rsidR="00695923" w:rsidRPr="00653DCF">
        <w:rPr>
          <w:color w:val="auto"/>
          <w:lang w:val="hr-HR"/>
        </w:rPr>
        <w:t>P</w:t>
      </w:r>
      <w:r w:rsidRPr="00653DCF">
        <w:rPr>
          <w:color w:val="auto"/>
          <w:lang w:val="hr-HR"/>
        </w:rPr>
        <w:t>rojektu na temelju bilo kojeg pisma</w:t>
      </w:r>
      <w:r w:rsidR="009302FF" w:rsidRPr="00653DCF">
        <w:rPr>
          <w:color w:val="auto"/>
          <w:lang w:val="hr-HR"/>
        </w:rPr>
        <w:t xml:space="preserve">/bilo kojih pisama </w:t>
      </w:r>
      <w:r w:rsidRPr="00653DCF">
        <w:rPr>
          <w:color w:val="auto"/>
          <w:lang w:val="hr-HR"/>
        </w:rPr>
        <w:t>o dodjeli</w:t>
      </w:r>
      <w:r w:rsidR="00695923" w:rsidRPr="00653DCF">
        <w:rPr>
          <w:color w:val="auto"/>
          <w:lang w:val="hr-HR"/>
        </w:rPr>
        <w:t xml:space="preserve"> sredstava</w:t>
      </w:r>
      <w:r w:rsidRPr="00653DCF">
        <w:rPr>
          <w:color w:val="auto"/>
          <w:lang w:val="hr-HR"/>
        </w:rPr>
        <w:t>; ili</w:t>
      </w:r>
    </w:p>
    <w:p w14:paraId="645B9AF1" w14:textId="72741B72" w:rsidR="007A2A6F" w:rsidRPr="00653DCF" w:rsidRDefault="00246F0D">
      <w:pPr>
        <w:widowControl w:val="0"/>
        <w:numPr>
          <w:ilvl w:val="1"/>
          <w:numId w:val="53"/>
        </w:numPr>
        <w:rPr>
          <w:color w:val="auto"/>
          <w:lang w:val="hr-HR"/>
        </w:rPr>
      </w:pPr>
      <w:r w:rsidRPr="00653DCF">
        <w:rPr>
          <w:color w:val="auto"/>
          <w:lang w:val="hr-HR"/>
        </w:rPr>
        <w:t>100</w:t>
      </w:r>
      <w:r w:rsidR="00E87B0B" w:rsidRPr="00653DCF">
        <w:rPr>
          <w:color w:val="auto"/>
          <w:lang w:val="hr-HR"/>
        </w:rPr>
        <w:t xml:space="preserve">% (sto posto) </w:t>
      </w:r>
      <w:r w:rsidR="00695923" w:rsidRPr="00653DCF">
        <w:rPr>
          <w:color w:val="auto"/>
          <w:lang w:val="hr-HR"/>
        </w:rPr>
        <w:t>prihvatljivih troškova ulaganja u odnosu na Projekt (onako kako s</w:t>
      </w:r>
      <w:r w:rsidR="00AD7AF1" w:rsidRPr="00653DCF">
        <w:rPr>
          <w:color w:val="auto"/>
          <w:lang w:val="hr-HR"/>
        </w:rPr>
        <w:t>u ti</w:t>
      </w:r>
      <w:r w:rsidR="00695923" w:rsidRPr="00653DCF">
        <w:rPr>
          <w:color w:val="auto"/>
          <w:lang w:val="hr-HR"/>
        </w:rPr>
        <w:t xml:space="preserve"> troškovi definirani u tehničkom opisu)</w:t>
      </w:r>
      <w:r w:rsidR="00E87B0B" w:rsidRPr="00653DCF">
        <w:rPr>
          <w:color w:val="auto"/>
          <w:lang w:val="hr-HR"/>
        </w:rPr>
        <w:t>.</w:t>
      </w:r>
    </w:p>
    <w:p w14:paraId="2C4F80DA" w14:textId="4224F725" w:rsidR="007A2A6F" w:rsidRPr="00653DCF" w:rsidRDefault="00E87B0B" w:rsidP="00613099">
      <w:pPr>
        <w:pStyle w:val="Heading4"/>
        <w:ind w:left="851"/>
        <w:rPr>
          <w:color w:val="auto"/>
          <w:lang w:val="hr-HR"/>
        </w:rPr>
      </w:pPr>
      <w:bookmarkStart w:id="358" w:name="_Ref508811751"/>
      <w:r w:rsidRPr="00653DCF">
        <w:rPr>
          <w:color w:val="auto"/>
          <w:lang w:val="hr-HR"/>
        </w:rPr>
        <w:t>Događaj</w:t>
      </w:r>
      <w:bookmarkEnd w:id="358"/>
      <w:r w:rsidR="00695923" w:rsidRPr="00653DCF">
        <w:rPr>
          <w:color w:val="auto"/>
          <w:lang w:val="hr-HR"/>
        </w:rPr>
        <w:t xml:space="preserve"> promjene zakona</w:t>
      </w:r>
    </w:p>
    <w:p w14:paraId="4D91007D" w14:textId="727AE150" w:rsidR="00452E94" w:rsidRPr="00653DCF" w:rsidRDefault="00E87B0B" w:rsidP="006010BF">
      <w:pPr>
        <w:widowControl w:val="0"/>
        <w:numPr>
          <w:ilvl w:val="0"/>
          <w:numId w:val="66"/>
        </w:numPr>
        <w:rPr>
          <w:color w:val="auto"/>
          <w:lang w:val="hr-HR"/>
        </w:rPr>
      </w:pPr>
      <w:r w:rsidRPr="00653DCF">
        <w:rPr>
          <w:color w:val="auto"/>
          <w:lang w:val="hr-HR"/>
        </w:rPr>
        <w:t xml:space="preserve">Zajmoprimac </w:t>
      </w:r>
      <w:r w:rsidR="00452E94" w:rsidRPr="00653DCF">
        <w:rPr>
          <w:color w:val="auto"/>
          <w:lang w:val="hr-HR"/>
        </w:rPr>
        <w:t xml:space="preserve">je dužan </w:t>
      </w:r>
      <w:r w:rsidRPr="00653DCF">
        <w:rPr>
          <w:color w:val="auto"/>
          <w:lang w:val="hr-HR"/>
        </w:rPr>
        <w:t xml:space="preserve">će odmah obavijestiti Banku ako </w:t>
      </w:r>
      <w:r w:rsidR="00452E94" w:rsidRPr="00653DCF">
        <w:rPr>
          <w:color w:val="auto"/>
          <w:lang w:val="hr-HR"/>
        </w:rPr>
        <w:t xml:space="preserve">nastupi događaj promjene zakona ili je vjerojatno da će </w:t>
      </w:r>
      <w:r w:rsidR="007474ED" w:rsidRPr="00653DCF">
        <w:rPr>
          <w:color w:val="auto"/>
          <w:lang w:val="hr-HR"/>
        </w:rPr>
        <w:t>takav događaj nastupiti</w:t>
      </w:r>
      <w:r w:rsidR="00452E94" w:rsidRPr="00653DCF">
        <w:rPr>
          <w:color w:val="auto"/>
          <w:lang w:val="hr-HR"/>
        </w:rPr>
        <w:t xml:space="preserve">. U </w:t>
      </w:r>
      <w:r w:rsidR="007474ED" w:rsidRPr="00653DCF">
        <w:rPr>
          <w:color w:val="auto"/>
          <w:lang w:val="hr-HR"/>
        </w:rPr>
        <w:t xml:space="preserve">tom </w:t>
      </w:r>
      <w:r w:rsidR="00452E94" w:rsidRPr="00653DCF">
        <w:rPr>
          <w:color w:val="auto"/>
          <w:lang w:val="hr-HR"/>
        </w:rPr>
        <w:t xml:space="preserve">slučaju, ili ako Banka ima opravdan razlog vjerovati da je nastupio ili da će nastupiti događaj promjene zakona, Banka može zahtijevati da se Zajmoprimac s njom </w:t>
      </w:r>
      <w:r w:rsidR="002F488A" w:rsidRPr="00653DCF">
        <w:rPr>
          <w:color w:val="auto"/>
          <w:lang w:val="hr-HR"/>
        </w:rPr>
        <w:t>o tome po</w:t>
      </w:r>
      <w:r w:rsidR="00452E94" w:rsidRPr="00653DCF">
        <w:rPr>
          <w:color w:val="auto"/>
          <w:lang w:val="hr-HR"/>
        </w:rPr>
        <w:t xml:space="preserve">savjetuje. Takvo će se savjetovanje održati u roku od 30 (trideset) dana od datuma </w:t>
      </w:r>
      <w:r w:rsidR="00FA1F49" w:rsidRPr="00653DCF">
        <w:rPr>
          <w:color w:val="auto"/>
          <w:lang w:val="hr-HR"/>
        </w:rPr>
        <w:t xml:space="preserve">takvog </w:t>
      </w:r>
      <w:r w:rsidR="00452E94" w:rsidRPr="00653DCF">
        <w:rPr>
          <w:color w:val="auto"/>
          <w:lang w:val="hr-HR"/>
        </w:rPr>
        <w:t xml:space="preserve">zahtjeva Banke. Ako nakon isteka roka od 30 dana od takvog zahtjeva </w:t>
      </w:r>
      <w:r w:rsidR="00FA1F49" w:rsidRPr="00653DCF">
        <w:rPr>
          <w:color w:val="auto"/>
          <w:lang w:val="hr-HR"/>
        </w:rPr>
        <w:t xml:space="preserve">Banke </w:t>
      </w:r>
      <w:r w:rsidR="00452E94" w:rsidRPr="00653DCF">
        <w:rPr>
          <w:color w:val="auto"/>
          <w:lang w:val="hr-HR"/>
        </w:rPr>
        <w:t>za savjetovanje Banka bude smatrala:</w:t>
      </w:r>
    </w:p>
    <w:p w14:paraId="309C14E6" w14:textId="15D7A841" w:rsidR="007A2A6F" w:rsidRPr="00653DCF" w:rsidRDefault="00452E94" w:rsidP="006010BF">
      <w:pPr>
        <w:widowControl w:val="0"/>
        <w:numPr>
          <w:ilvl w:val="1"/>
          <w:numId w:val="66"/>
        </w:numPr>
        <w:rPr>
          <w:color w:val="auto"/>
          <w:lang w:val="hr-HR"/>
        </w:rPr>
      </w:pPr>
      <w:r w:rsidRPr="00653DCF">
        <w:rPr>
          <w:color w:val="auto"/>
          <w:lang w:val="hr-HR"/>
        </w:rPr>
        <w:t xml:space="preserve">da bi </w:t>
      </w:r>
      <w:r w:rsidR="00E87B0B" w:rsidRPr="00653DCF">
        <w:rPr>
          <w:color w:val="auto"/>
          <w:lang w:val="hr-HR"/>
        </w:rPr>
        <w:t xml:space="preserve">takav događaj promjene zakona značajno narušio sposobnost </w:t>
      </w:r>
      <w:r w:rsidRPr="00653DCF">
        <w:rPr>
          <w:color w:val="auto"/>
          <w:lang w:val="hr-HR"/>
        </w:rPr>
        <w:t>Z</w:t>
      </w:r>
      <w:r w:rsidR="00E87B0B" w:rsidRPr="00653DCF">
        <w:rPr>
          <w:color w:val="auto"/>
          <w:lang w:val="hr-HR"/>
        </w:rPr>
        <w:t xml:space="preserve">ajmoprimca da </w:t>
      </w:r>
      <w:r w:rsidRPr="00653DCF">
        <w:rPr>
          <w:color w:val="auto"/>
          <w:lang w:val="hr-HR"/>
        </w:rPr>
        <w:t xml:space="preserve">ispunjava </w:t>
      </w:r>
      <w:r w:rsidR="00E87B0B" w:rsidRPr="00653DCF">
        <w:rPr>
          <w:color w:val="auto"/>
          <w:lang w:val="hr-HR"/>
        </w:rPr>
        <w:t>svoje obveze iz ovog Ugovora; i</w:t>
      </w:r>
    </w:p>
    <w:p w14:paraId="26644BA1" w14:textId="2CC89812" w:rsidR="007A2A6F" w:rsidRPr="00653DCF" w:rsidRDefault="00452E94" w:rsidP="006010BF">
      <w:pPr>
        <w:widowControl w:val="0"/>
        <w:numPr>
          <w:ilvl w:val="1"/>
          <w:numId w:val="66"/>
        </w:numPr>
        <w:rPr>
          <w:color w:val="auto"/>
          <w:lang w:val="hr-HR"/>
        </w:rPr>
      </w:pPr>
      <w:r w:rsidRPr="00653DCF">
        <w:rPr>
          <w:color w:val="auto"/>
          <w:lang w:val="hr-HR"/>
        </w:rPr>
        <w:t xml:space="preserve">se </w:t>
      </w:r>
      <w:r w:rsidR="00E87B0B" w:rsidRPr="00653DCF">
        <w:rPr>
          <w:color w:val="auto"/>
          <w:lang w:val="hr-HR"/>
        </w:rPr>
        <w:t xml:space="preserve">učinci takvog događaja promjene zakona ne mogu ublažiti </w:t>
      </w:r>
      <w:r w:rsidRPr="00653DCF">
        <w:rPr>
          <w:color w:val="auto"/>
          <w:lang w:val="hr-HR"/>
        </w:rPr>
        <w:t xml:space="preserve">na </w:t>
      </w:r>
      <w:r w:rsidR="00FA1F49" w:rsidRPr="00653DCF">
        <w:rPr>
          <w:color w:val="auto"/>
          <w:lang w:val="hr-HR"/>
        </w:rPr>
        <w:t>za Banku zadovoljavajući način</w:t>
      </w:r>
      <w:r w:rsidR="00E87B0B" w:rsidRPr="00653DCF">
        <w:rPr>
          <w:color w:val="auto"/>
          <w:lang w:val="hr-HR"/>
        </w:rPr>
        <w:t xml:space="preserve">, </w:t>
      </w:r>
    </w:p>
    <w:p w14:paraId="010EF2AE" w14:textId="3888864C" w:rsidR="007A2A6F" w:rsidRPr="00653DCF" w:rsidRDefault="00452E94">
      <w:pPr>
        <w:ind w:left="1418"/>
        <w:rPr>
          <w:color w:val="auto"/>
          <w:lang w:val="hr-HR"/>
        </w:rPr>
      </w:pPr>
      <w:r w:rsidRPr="00653DCF">
        <w:rPr>
          <w:color w:val="auto"/>
          <w:lang w:val="hr-HR"/>
        </w:rPr>
        <w:t>B</w:t>
      </w:r>
      <w:r w:rsidR="00E87B0B" w:rsidRPr="00653DCF">
        <w:rPr>
          <w:color w:val="auto"/>
          <w:lang w:val="hr-HR"/>
        </w:rPr>
        <w:t>anka može</w:t>
      </w:r>
      <w:r w:rsidR="00FA1F49" w:rsidRPr="00653DCF">
        <w:rPr>
          <w:color w:val="auto"/>
          <w:lang w:val="hr-HR"/>
        </w:rPr>
        <w:t xml:space="preserve">, uz davanje obavijesti </w:t>
      </w:r>
      <w:r w:rsidR="00E87B0B" w:rsidRPr="00653DCF">
        <w:rPr>
          <w:color w:val="auto"/>
          <w:lang w:val="hr-HR"/>
        </w:rPr>
        <w:t>Zajmoprimcu</w:t>
      </w:r>
      <w:r w:rsidR="00FA1F49" w:rsidRPr="00653DCF">
        <w:rPr>
          <w:color w:val="auto"/>
          <w:lang w:val="hr-HR"/>
        </w:rPr>
        <w:t>,</w:t>
      </w:r>
      <w:r w:rsidR="00E87B0B" w:rsidRPr="00653DCF">
        <w:rPr>
          <w:color w:val="auto"/>
          <w:lang w:val="hr-HR"/>
        </w:rPr>
        <w:t xml:space="preserve"> otkazati neisplaćeni dio kredita i/ili zatražiti prijevremenu otplatu nepodmirenog </w:t>
      </w:r>
      <w:r w:rsidR="004F4640" w:rsidRPr="00653DCF">
        <w:rPr>
          <w:color w:val="auto"/>
          <w:lang w:val="hr-HR"/>
        </w:rPr>
        <w:t xml:space="preserve">dijela </w:t>
      </w:r>
      <w:r w:rsidR="00E87B0B" w:rsidRPr="00653DCF">
        <w:rPr>
          <w:color w:val="auto"/>
          <w:lang w:val="hr-HR"/>
        </w:rPr>
        <w:t xml:space="preserve">zajma, zajedno s </w:t>
      </w:r>
      <w:r w:rsidRPr="00653DCF">
        <w:rPr>
          <w:color w:val="auto"/>
          <w:lang w:val="hr-HR"/>
        </w:rPr>
        <w:t xml:space="preserve">obračunatom kamatom </w:t>
      </w:r>
      <w:r w:rsidR="00E87B0B" w:rsidRPr="00653DCF">
        <w:rPr>
          <w:color w:val="auto"/>
          <w:lang w:val="hr-HR"/>
        </w:rPr>
        <w:t xml:space="preserve">i svim ostalim obračunatim i nepodmirenim iznosima </w:t>
      </w:r>
      <w:r w:rsidRPr="00653DCF">
        <w:rPr>
          <w:color w:val="auto"/>
          <w:lang w:val="hr-HR"/>
        </w:rPr>
        <w:t>prema ovom Ugovoru</w:t>
      </w:r>
      <w:r w:rsidR="00E87B0B" w:rsidRPr="00653DCF">
        <w:rPr>
          <w:color w:val="auto"/>
          <w:lang w:val="hr-HR"/>
        </w:rPr>
        <w:t xml:space="preserve">. </w:t>
      </w:r>
    </w:p>
    <w:p w14:paraId="3580BBA1" w14:textId="79C2F118" w:rsidR="007A2A6F" w:rsidRPr="00653DCF" w:rsidRDefault="00E87B0B" w:rsidP="006010BF">
      <w:pPr>
        <w:widowControl w:val="0"/>
        <w:numPr>
          <w:ilvl w:val="0"/>
          <w:numId w:val="66"/>
        </w:numPr>
        <w:rPr>
          <w:color w:val="auto"/>
          <w:lang w:val="hr-HR"/>
        </w:rPr>
      </w:pPr>
      <w:r w:rsidRPr="00653DCF">
        <w:rPr>
          <w:color w:val="auto"/>
          <w:lang w:val="hr-HR"/>
        </w:rPr>
        <w:t xml:space="preserve">Zajmoprimac će izvršiti plaćanje </w:t>
      </w:r>
      <w:r w:rsidR="00452E94" w:rsidRPr="00653DCF">
        <w:rPr>
          <w:color w:val="auto"/>
          <w:lang w:val="hr-HR"/>
        </w:rPr>
        <w:t xml:space="preserve">zatraženog </w:t>
      </w:r>
      <w:r w:rsidRPr="00653DCF">
        <w:rPr>
          <w:color w:val="auto"/>
          <w:lang w:val="hr-HR"/>
        </w:rPr>
        <w:t xml:space="preserve">iznosa na datum koji odredi Banka, a taj datum </w:t>
      </w:r>
      <w:r w:rsidR="00452E94" w:rsidRPr="00653DCF">
        <w:rPr>
          <w:color w:val="auto"/>
          <w:lang w:val="hr-HR"/>
        </w:rPr>
        <w:t xml:space="preserve">neće biti ranije </w:t>
      </w:r>
      <w:r w:rsidRPr="00653DCF">
        <w:rPr>
          <w:color w:val="auto"/>
          <w:lang w:val="hr-HR"/>
        </w:rPr>
        <w:t xml:space="preserve">od 30 (trideset) dana od dana podnošenja </w:t>
      </w:r>
      <w:r w:rsidR="00CA6A22" w:rsidRPr="00653DCF">
        <w:rPr>
          <w:color w:val="auto"/>
          <w:lang w:val="hr-HR"/>
        </w:rPr>
        <w:t xml:space="preserve">takvog </w:t>
      </w:r>
      <w:r w:rsidRPr="00653DCF">
        <w:rPr>
          <w:color w:val="auto"/>
          <w:lang w:val="hr-HR"/>
        </w:rPr>
        <w:t>zahtjeva.</w:t>
      </w:r>
    </w:p>
    <w:p w14:paraId="26AACEBB" w14:textId="2EAF03BB" w:rsidR="007A2A6F" w:rsidRPr="00653DCF" w:rsidRDefault="00E87B0B" w:rsidP="006010BF">
      <w:pPr>
        <w:widowControl w:val="0"/>
        <w:numPr>
          <w:ilvl w:val="0"/>
          <w:numId w:val="66"/>
        </w:numPr>
        <w:rPr>
          <w:color w:val="auto"/>
          <w:lang w:val="hr-HR"/>
        </w:rPr>
      </w:pPr>
      <w:r w:rsidRPr="00653DCF">
        <w:rPr>
          <w:color w:val="auto"/>
          <w:lang w:val="hr-HR"/>
        </w:rPr>
        <w:t>Za potrebe ovog članka</w:t>
      </w:r>
      <w:r w:rsidR="00452E94" w:rsidRPr="00653DCF">
        <w:rPr>
          <w:color w:val="auto"/>
          <w:lang w:val="hr-HR"/>
        </w:rPr>
        <w:t>,</w:t>
      </w:r>
      <w:r w:rsidRPr="00653DCF">
        <w:rPr>
          <w:color w:val="auto"/>
          <w:lang w:val="hr-HR"/>
        </w:rPr>
        <w:t xml:space="preserve"> „</w:t>
      </w:r>
      <w:r w:rsidR="00452E94" w:rsidRPr="00653DCF">
        <w:rPr>
          <w:rStyle w:val="BoldEIB"/>
          <w:color w:val="auto"/>
          <w:lang w:val="hr-HR"/>
        </w:rPr>
        <w:t>d</w:t>
      </w:r>
      <w:r w:rsidRPr="00653DCF">
        <w:rPr>
          <w:rStyle w:val="BoldEIB"/>
          <w:color w:val="auto"/>
          <w:lang w:val="hr-HR"/>
        </w:rPr>
        <w:t>ogađaj promjene zakona</w:t>
      </w:r>
      <w:r w:rsidRPr="00653DCF">
        <w:rPr>
          <w:color w:val="auto"/>
          <w:lang w:val="hr-HR"/>
        </w:rPr>
        <w:t xml:space="preserve">” znači donošenje, proglašenje, izvršenje ili </w:t>
      </w:r>
      <w:r w:rsidR="00D755AA" w:rsidRPr="00653DCF">
        <w:rPr>
          <w:color w:val="auto"/>
          <w:lang w:val="hr-HR"/>
        </w:rPr>
        <w:t>potvrđivanje</w:t>
      </w:r>
      <w:r w:rsidRPr="00653DCF">
        <w:rPr>
          <w:color w:val="auto"/>
          <w:lang w:val="hr-HR"/>
        </w:rPr>
        <w:t xml:space="preserve"> ili bilo </w:t>
      </w:r>
      <w:r w:rsidR="00452E94" w:rsidRPr="00653DCF">
        <w:rPr>
          <w:color w:val="auto"/>
          <w:lang w:val="hr-HR"/>
        </w:rPr>
        <w:t>koja</w:t>
      </w:r>
      <w:r w:rsidRPr="00653DCF">
        <w:rPr>
          <w:color w:val="auto"/>
          <w:lang w:val="hr-HR"/>
        </w:rPr>
        <w:t xml:space="preserve"> </w:t>
      </w:r>
      <w:r w:rsidR="004425A8" w:rsidRPr="00653DCF">
        <w:rPr>
          <w:color w:val="auto"/>
          <w:lang w:val="hr-HR"/>
        </w:rPr>
        <w:t>izmjena ili dopuna</w:t>
      </w:r>
      <w:r w:rsidRPr="00653DCF">
        <w:rPr>
          <w:color w:val="auto"/>
          <w:lang w:val="hr-HR"/>
        </w:rPr>
        <w:t xml:space="preserve"> bilo kojeg zakona, pravila ili propisa (ili u primjeni ili službenom tumačenju bilo kojeg zakona, pravila ili propisa) koja nastupi nakon datuma ovog Ugovora</w:t>
      </w:r>
      <w:r w:rsidR="00C2603C" w:rsidRPr="00653DCF">
        <w:rPr>
          <w:color w:val="auto"/>
          <w:lang w:val="hr-HR"/>
        </w:rPr>
        <w:t>, a</w:t>
      </w:r>
      <w:r w:rsidRPr="00653DCF">
        <w:rPr>
          <w:color w:val="auto"/>
          <w:lang w:val="hr-HR"/>
        </w:rPr>
        <w:t xml:space="preserve"> koja bi mogla narušiti sposobnost Zajmoprimca da izvršava svoje obveze </w:t>
      </w:r>
      <w:r w:rsidR="00C2603C" w:rsidRPr="00653DCF">
        <w:rPr>
          <w:color w:val="auto"/>
          <w:lang w:val="hr-HR"/>
        </w:rPr>
        <w:t>prema ovom Ugovoru</w:t>
      </w:r>
      <w:r w:rsidRPr="00653DCF">
        <w:rPr>
          <w:color w:val="auto"/>
          <w:lang w:val="hr-HR"/>
        </w:rPr>
        <w:t>.</w:t>
      </w:r>
    </w:p>
    <w:p w14:paraId="01C9A691" w14:textId="2BFD3214" w:rsidR="007A2A6F" w:rsidRPr="00653DCF" w:rsidRDefault="009C13BF" w:rsidP="00613099">
      <w:pPr>
        <w:pStyle w:val="Heading4"/>
        <w:ind w:left="851"/>
        <w:rPr>
          <w:color w:val="auto"/>
        </w:rPr>
      </w:pPr>
      <w:bookmarkStart w:id="359" w:name="_Ref426714565"/>
      <w:bookmarkStart w:id="360" w:name="_Ref61439290"/>
      <w:bookmarkEnd w:id="359"/>
      <w:r w:rsidRPr="00653DCF">
        <w:rPr>
          <w:color w:val="auto"/>
        </w:rPr>
        <w:lastRenderedPageBreak/>
        <w:t>NEZAKONIT</w:t>
      </w:r>
      <w:r w:rsidR="00DB7220" w:rsidRPr="00653DCF">
        <w:rPr>
          <w:color w:val="auto"/>
        </w:rPr>
        <w:t xml:space="preserve">I </w:t>
      </w:r>
      <w:r w:rsidR="00E87B0B" w:rsidRPr="00653DCF">
        <w:rPr>
          <w:color w:val="auto"/>
        </w:rPr>
        <w:t>Događaj</w:t>
      </w:r>
      <w:bookmarkEnd w:id="360"/>
    </w:p>
    <w:p w14:paraId="23F219CC" w14:textId="1E2B5E8E" w:rsidR="007A2A6F" w:rsidRPr="00653DCF" w:rsidRDefault="00E87B0B" w:rsidP="006010BF">
      <w:pPr>
        <w:widowControl w:val="0"/>
        <w:numPr>
          <w:ilvl w:val="0"/>
          <w:numId w:val="67"/>
        </w:numPr>
        <w:rPr>
          <w:color w:val="auto"/>
        </w:rPr>
      </w:pPr>
      <w:r w:rsidRPr="00653DCF">
        <w:rPr>
          <w:color w:val="auto"/>
        </w:rPr>
        <w:t xml:space="preserve">Nakon što </w:t>
      </w:r>
      <w:r w:rsidR="00CA6A22" w:rsidRPr="00653DCF">
        <w:rPr>
          <w:color w:val="auto"/>
        </w:rPr>
        <w:t xml:space="preserve">postane svjesna nekog </w:t>
      </w:r>
      <w:r w:rsidR="00DB7220" w:rsidRPr="00653DCF">
        <w:rPr>
          <w:color w:val="auto"/>
        </w:rPr>
        <w:t xml:space="preserve">nezakonitog </w:t>
      </w:r>
      <w:r w:rsidRPr="00653DCF">
        <w:rPr>
          <w:color w:val="auto"/>
        </w:rPr>
        <w:t xml:space="preserve">događaja: </w:t>
      </w:r>
    </w:p>
    <w:p w14:paraId="207F65D3" w14:textId="0944984B" w:rsidR="007A2A6F" w:rsidRPr="00653DCF" w:rsidRDefault="00715687" w:rsidP="006010BF">
      <w:pPr>
        <w:widowControl w:val="0"/>
        <w:numPr>
          <w:ilvl w:val="1"/>
          <w:numId w:val="67"/>
        </w:numPr>
        <w:rPr>
          <w:color w:val="auto"/>
        </w:rPr>
      </w:pPr>
      <w:r w:rsidRPr="00653DCF">
        <w:rPr>
          <w:color w:val="auto"/>
        </w:rPr>
        <w:t>B</w:t>
      </w:r>
      <w:r w:rsidR="00E87B0B" w:rsidRPr="00653DCF">
        <w:rPr>
          <w:color w:val="auto"/>
        </w:rPr>
        <w:t xml:space="preserve">anka će </w:t>
      </w:r>
      <w:r w:rsidR="00E25469" w:rsidRPr="00653DCF">
        <w:rPr>
          <w:color w:val="auto"/>
        </w:rPr>
        <w:t xml:space="preserve">o tome </w:t>
      </w:r>
      <w:r w:rsidR="00E87B0B" w:rsidRPr="00653DCF">
        <w:rPr>
          <w:color w:val="auto"/>
        </w:rPr>
        <w:t>odmah obavijestiti Zajmoprimca; i</w:t>
      </w:r>
    </w:p>
    <w:p w14:paraId="0012F622" w14:textId="18E73D02" w:rsidR="007A2A6F" w:rsidRPr="00653DCF" w:rsidRDefault="00715687" w:rsidP="006010BF">
      <w:pPr>
        <w:widowControl w:val="0"/>
        <w:numPr>
          <w:ilvl w:val="1"/>
          <w:numId w:val="67"/>
        </w:numPr>
        <w:rPr>
          <w:color w:val="auto"/>
        </w:rPr>
      </w:pPr>
      <w:r w:rsidRPr="00653DCF">
        <w:rPr>
          <w:color w:val="auto"/>
        </w:rPr>
        <w:t>B</w:t>
      </w:r>
      <w:r w:rsidR="00E87B0B" w:rsidRPr="00653DCF">
        <w:rPr>
          <w:color w:val="auto"/>
        </w:rPr>
        <w:t xml:space="preserve">anka može odmah (A) </w:t>
      </w:r>
      <w:r w:rsidRPr="00653DCF">
        <w:rPr>
          <w:color w:val="auto"/>
        </w:rPr>
        <w:t xml:space="preserve">obustaviti </w:t>
      </w:r>
      <w:r w:rsidR="00E87B0B" w:rsidRPr="00653DCF">
        <w:rPr>
          <w:color w:val="auto"/>
        </w:rPr>
        <w:t xml:space="preserve">ili otkazati neisplaćeni dio kredita i/ili (B) </w:t>
      </w:r>
      <w:r w:rsidRPr="00653DCF">
        <w:rPr>
          <w:color w:val="auto"/>
        </w:rPr>
        <w:t>zahtijevati</w:t>
      </w:r>
      <w:r w:rsidR="00E87B0B" w:rsidRPr="00653DCF">
        <w:rPr>
          <w:color w:val="auto"/>
        </w:rPr>
        <w:t xml:space="preserve"> prijevremenu otplatu nepodmirenog </w:t>
      </w:r>
      <w:r w:rsidRPr="00653DCF">
        <w:rPr>
          <w:color w:val="auto"/>
        </w:rPr>
        <w:t>zajma</w:t>
      </w:r>
      <w:r w:rsidR="00E87B0B" w:rsidRPr="00653DCF">
        <w:rPr>
          <w:color w:val="auto"/>
        </w:rPr>
        <w:t xml:space="preserve">, zajedno s </w:t>
      </w:r>
      <w:r w:rsidRPr="00653DCF">
        <w:rPr>
          <w:color w:val="auto"/>
        </w:rPr>
        <w:t xml:space="preserve">obračunatom kamatom </w:t>
      </w:r>
      <w:r w:rsidR="00E87B0B" w:rsidRPr="00653DCF">
        <w:rPr>
          <w:color w:val="auto"/>
        </w:rPr>
        <w:t xml:space="preserve">i svim ostalim obračunatim i nepodmirenim iznosima na temelju ovog Ugovora na datum koji Banka </w:t>
      </w:r>
      <w:r w:rsidRPr="00653DCF">
        <w:rPr>
          <w:color w:val="auto"/>
        </w:rPr>
        <w:t xml:space="preserve">navede </w:t>
      </w:r>
      <w:r w:rsidR="00E87B0B" w:rsidRPr="00653DCF">
        <w:rPr>
          <w:color w:val="auto"/>
        </w:rPr>
        <w:t>u svojoj obavijesti Zajmoprimcu.</w:t>
      </w:r>
    </w:p>
    <w:p w14:paraId="3007B8DB" w14:textId="3738C5E6" w:rsidR="007A2A6F" w:rsidRPr="00653DCF" w:rsidRDefault="00E87B0B" w:rsidP="006010BF">
      <w:pPr>
        <w:widowControl w:val="0"/>
        <w:numPr>
          <w:ilvl w:val="0"/>
          <w:numId w:val="67"/>
        </w:numPr>
        <w:rPr>
          <w:color w:val="auto"/>
        </w:rPr>
      </w:pPr>
      <w:r w:rsidRPr="00653DCF">
        <w:rPr>
          <w:color w:val="auto"/>
        </w:rPr>
        <w:t>Za potrebe ovog članka, „</w:t>
      </w:r>
      <w:r w:rsidR="00DB7220" w:rsidRPr="00653DCF">
        <w:rPr>
          <w:rStyle w:val="BoldEIB"/>
          <w:color w:val="auto"/>
        </w:rPr>
        <w:t>nezakoniti događaj</w:t>
      </w:r>
      <w:r w:rsidRPr="00653DCF">
        <w:rPr>
          <w:color w:val="auto"/>
        </w:rPr>
        <w:t xml:space="preserve">” znači da </w:t>
      </w:r>
      <w:r w:rsidR="00715687" w:rsidRPr="00653DCF">
        <w:rPr>
          <w:color w:val="auto"/>
        </w:rPr>
        <w:t xml:space="preserve">za Banku u bilo kojoj </w:t>
      </w:r>
      <w:r w:rsidR="00142AFD" w:rsidRPr="00653DCF">
        <w:rPr>
          <w:color w:val="auto"/>
        </w:rPr>
        <w:t>primjenjivoj</w:t>
      </w:r>
      <w:r w:rsidR="00715687" w:rsidRPr="00653DCF">
        <w:rPr>
          <w:color w:val="auto"/>
        </w:rPr>
        <w:t xml:space="preserve"> </w:t>
      </w:r>
      <w:r w:rsidR="008A7F25" w:rsidRPr="00653DCF">
        <w:rPr>
          <w:color w:val="auto"/>
        </w:rPr>
        <w:t>sudskoj nadležnosti</w:t>
      </w:r>
      <w:r w:rsidR="00715687" w:rsidRPr="00653DCF">
        <w:rPr>
          <w:color w:val="auto"/>
        </w:rPr>
        <w:t xml:space="preserve"> postane nezakonito ili u suprotnosti s bilo kojim sankcijama</w:t>
      </w:r>
      <w:r w:rsidRPr="00653DCF">
        <w:rPr>
          <w:color w:val="auto"/>
        </w:rPr>
        <w:t>, da Banka:</w:t>
      </w:r>
    </w:p>
    <w:p w14:paraId="334B7B89" w14:textId="2BDE493B" w:rsidR="007A2A6F" w:rsidRPr="00653DCF" w:rsidRDefault="00E87B0B" w:rsidP="006010BF">
      <w:pPr>
        <w:widowControl w:val="0"/>
        <w:numPr>
          <w:ilvl w:val="1"/>
          <w:numId w:val="67"/>
        </w:numPr>
        <w:rPr>
          <w:color w:val="auto"/>
        </w:rPr>
      </w:pPr>
      <w:r w:rsidRPr="00653DCF">
        <w:rPr>
          <w:color w:val="auto"/>
        </w:rPr>
        <w:t xml:space="preserve">izvršava bilo koju od svojih obveza predviđenih </w:t>
      </w:r>
      <w:r w:rsidR="00E80D0E" w:rsidRPr="00653DCF">
        <w:rPr>
          <w:color w:val="auto"/>
        </w:rPr>
        <w:t xml:space="preserve">ovim </w:t>
      </w:r>
      <w:r w:rsidRPr="00653DCF">
        <w:rPr>
          <w:color w:val="auto"/>
        </w:rPr>
        <w:t>Ugovor</w:t>
      </w:r>
      <w:r w:rsidR="00E80D0E" w:rsidRPr="00653DCF">
        <w:rPr>
          <w:color w:val="auto"/>
        </w:rPr>
        <w:t>om</w:t>
      </w:r>
      <w:r w:rsidRPr="00653DCF">
        <w:rPr>
          <w:color w:val="auto"/>
        </w:rPr>
        <w:t xml:space="preserve">; ili </w:t>
      </w:r>
    </w:p>
    <w:p w14:paraId="71CEF64E" w14:textId="056FE48C" w:rsidR="007A2A6F" w:rsidRPr="00653DCF" w:rsidRDefault="00104264" w:rsidP="006010BF">
      <w:pPr>
        <w:widowControl w:val="0"/>
        <w:numPr>
          <w:ilvl w:val="1"/>
          <w:numId w:val="67"/>
        </w:numPr>
        <w:rPr>
          <w:color w:val="auto"/>
        </w:rPr>
      </w:pPr>
      <w:r w:rsidRPr="00653DCF">
        <w:rPr>
          <w:color w:val="auto"/>
        </w:rPr>
        <w:t xml:space="preserve">financira ili održava </w:t>
      </w:r>
      <w:r w:rsidR="00064F15" w:rsidRPr="00653DCF">
        <w:rPr>
          <w:color w:val="auto"/>
        </w:rPr>
        <w:t>zajam</w:t>
      </w:r>
      <w:r w:rsidR="00E87B0B" w:rsidRPr="00653DCF">
        <w:rPr>
          <w:color w:val="auto"/>
        </w:rPr>
        <w:t>.</w:t>
      </w:r>
    </w:p>
    <w:p w14:paraId="68E3102D" w14:textId="240F71BA" w:rsidR="007A2A6F" w:rsidRPr="00653DCF" w:rsidRDefault="00E87B0B" w:rsidP="00613099">
      <w:pPr>
        <w:pStyle w:val="Heading4"/>
        <w:ind w:left="851"/>
        <w:rPr>
          <w:color w:val="auto"/>
        </w:rPr>
      </w:pPr>
      <w:bookmarkStart w:id="361" w:name="_Ref475522371"/>
      <w:bookmarkStart w:id="362" w:name="_Ref508568963"/>
      <w:bookmarkStart w:id="363" w:name="_Ref426715123"/>
      <w:bookmarkStart w:id="364" w:name="_Ref427243721"/>
      <w:bookmarkEnd w:id="361"/>
      <w:bookmarkEnd w:id="362"/>
      <w:r w:rsidRPr="00653DCF">
        <w:rPr>
          <w:color w:val="auto"/>
        </w:rPr>
        <w:t xml:space="preserve">Događaj </w:t>
      </w:r>
      <w:r w:rsidR="000214A6" w:rsidRPr="00653DCF">
        <w:rPr>
          <w:color w:val="auto"/>
        </w:rPr>
        <w:t>NEISKORIŠTAVANJA SREDSTAVA</w:t>
      </w:r>
    </w:p>
    <w:p w14:paraId="1E8C580B" w14:textId="52182B66" w:rsidR="007A2A6F" w:rsidRPr="00653DCF" w:rsidRDefault="00E87B0B">
      <w:pPr>
        <w:widowControl w:val="0"/>
        <w:numPr>
          <w:ilvl w:val="0"/>
          <w:numId w:val="54"/>
        </w:numPr>
        <w:rPr>
          <w:color w:val="auto"/>
          <w:lang w:val="hr-HR"/>
        </w:rPr>
      </w:pPr>
      <w:r w:rsidRPr="00653DCF">
        <w:rPr>
          <w:color w:val="auto"/>
        </w:rPr>
        <w:t xml:space="preserve">Ako je na kraju razdoblja dodjele </w:t>
      </w:r>
      <w:r w:rsidR="000214A6" w:rsidRPr="00653DCF">
        <w:rPr>
          <w:color w:val="auto"/>
        </w:rPr>
        <w:t xml:space="preserve">sredstava </w:t>
      </w:r>
      <w:r w:rsidRPr="00653DCF">
        <w:rPr>
          <w:color w:val="auto"/>
        </w:rPr>
        <w:t xml:space="preserve">došlo do </w:t>
      </w:r>
      <w:r w:rsidR="000214A6" w:rsidRPr="00653DCF">
        <w:rPr>
          <w:color w:val="auto"/>
        </w:rPr>
        <w:t>nastupa događaja neiskorištavanja</w:t>
      </w:r>
      <w:r w:rsidR="008A7F25" w:rsidRPr="00653DCF">
        <w:rPr>
          <w:color w:val="auto"/>
        </w:rPr>
        <w:t xml:space="preserve"> sredstava</w:t>
      </w:r>
      <w:r w:rsidR="000214A6" w:rsidRPr="00653DCF">
        <w:rPr>
          <w:color w:val="auto"/>
        </w:rPr>
        <w:t xml:space="preserve"> </w:t>
      </w:r>
      <w:r w:rsidR="000214A6" w:rsidRPr="00653DCF">
        <w:rPr>
          <w:color w:val="auto"/>
          <w:lang w:val="hr-HR"/>
        </w:rPr>
        <w:t xml:space="preserve">ili se takav događaj </w:t>
      </w:r>
      <w:r w:rsidR="008A7F25" w:rsidRPr="00653DCF">
        <w:rPr>
          <w:color w:val="auto"/>
          <w:lang w:val="hr-HR"/>
        </w:rPr>
        <w:t>nastavi</w:t>
      </w:r>
      <w:r w:rsidR="003F34D6" w:rsidRPr="00653DCF">
        <w:rPr>
          <w:color w:val="auto"/>
          <w:lang w:val="hr-HR"/>
        </w:rPr>
        <w:t xml:space="preserve"> bez da ga se ispravi</w:t>
      </w:r>
      <w:r w:rsidRPr="00653DCF">
        <w:rPr>
          <w:color w:val="auto"/>
          <w:lang w:val="hr-HR"/>
        </w:rPr>
        <w:t xml:space="preserve">, Banka može, razmjerno iznosu koji nije bio </w:t>
      </w:r>
      <w:r w:rsidR="000214A6" w:rsidRPr="00653DCF">
        <w:rPr>
          <w:color w:val="auto"/>
          <w:lang w:val="hr-HR"/>
        </w:rPr>
        <w:t xml:space="preserve">dodijeljen </w:t>
      </w:r>
      <w:r w:rsidRPr="00653DCF">
        <w:rPr>
          <w:color w:val="auto"/>
          <w:lang w:val="hr-HR"/>
        </w:rPr>
        <w:t xml:space="preserve">ili </w:t>
      </w:r>
      <w:r w:rsidR="000214A6" w:rsidRPr="00653DCF">
        <w:rPr>
          <w:color w:val="auto"/>
          <w:lang w:val="hr-HR"/>
        </w:rPr>
        <w:t xml:space="preserve">preraspodijeljen </w:t>
      </w:r>
      <w:r w:rsidRPr="00653DCF">
        <w:rPr>
          <w:color w:val="auto"/>
          <w:lang w:val="hr-HR"/>
        </w:rPr>
        <w:t xml:space="preserve">u skladu s člankom </w:t>
      </w:r>
      <w:r w:rsidRPr="00653DCF">
        <w:rPr>
          <w:color w:val="auto"/>
          <w:lang w:val="hr-HR"/>
        </w:rPr>
        <w:fldChar w:fldCharType="begin"/>
      </w:r>
      <w:r w:rsidRPr="00653DCF">
        <w:rPr>
          <w:color w:val="auto"/>
          <w:lang w:val="hr-HR"/>
        </w:rPr>
        <w:instrText xml:space="preserve"> REF _Ref440726568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1.9</w:t>
      </w:r>
      <w:r w:rsidRPr="00653DCF">
        <w:rPr>
          <w:color w:val="auto"/>
          <w:lang w:val="hr-HR"/>
        </w:rPr>
        <w:fldChar w:fldCharType="end"/>
      </w:r>
      <w:r w:rsidR="000214A6" w:rsidRPr="00653DCF">
        <w:rPr>
          <w:color w:val="auto"/>
          <w:lang w:val="hr-HR"/>
        </w:rPr>
        <w:t>.</w:t>
      </w:r>
      <w:r w:rsidR="008A7F25" w:rsidRPr="00653DCF">
        <w:rPr>
          <w:color w:val="auto"/>
          <w:lang w:val="hr-HR"/>
        </w:rPr>
        <w:t>,</w:t>
      </w:r>
      <w:r w:rsidR="000214A6" w:rsidRPr="00653DCF">
        <w:rPr>
          <w:color w:val="auto"/>
          <w:lang w:val="hr-HR"/>
        </w:rPr>
        <w:t xml:space="preserve"> davanjem obavijesti </w:t>
      </w:r>
      <w:r w:rsidRPr="00653DCF">
        <w:rPr>
          <w:color w:val="auto"/>
          <w:lang w:val="hr-HR"/>
        </w:rPr>
        <w:t xml:space="preserve">Zajmoprimcu otkazati neisplaćeni dio kredita i/ili zatražiti </w:t>
      </w:r>
      <w:r w:rsidR="008A7F25" w:rsidRPr="00653DCF">
        <w:rPr>
          <w:color w:val="auto"/>
          <w:lang w:val="hr-HR"/>
        </w:rPr>
        <w:t xml:space="preserve">trenutačnu </w:t>
      </w:r>
      <w:r w:rsidRPr="00653DCF">
        <w:rPr>
          <w:color w:val="auto"/>
          <w:lang w:val="hr-HR"/>
        </w:rPr>
        <w:t>prijevremenu otplatu nepodmirenog zajma zajedno s</w:t>
      </w:r>
      <w:r w:rsidR="000214A6" w:rsidRPr="00653DCF">
        <w:rPr>
          <w:color w:val="auto"/>
          <w:lang w:val="hr-HR"/>
        </w:rPr>
        <w:t xml:space="preserve"> obračunatom kamatom i svim </w:t>
      </w:r>
      <w:r w:rsidRPr="00653DCF">
        <w:rPr>
          <w:color w:val="auto"/>
          <w:lang w:val="hr-HR"/>
        </w:rPr>
        <w:t>drugim obračunatim i nepodmirenim iznosima na temelju ovog Ugovora</w:t>
      </w:r>
      <w:r w:rsidR="008A7F25" w:rsidRPr="00653DCF">
        <w:rPr>
          <w:color w:val="auto"/>
          <w:lang w:val="hr-HR"/>
        </w:rPr>
        <w:t xml:space="preserve">, </w:t>
      </w:r>
      <w:r w:rsidRPr="00653DCF">
        <w:rPr>
          <w:color w:val="auto"/>
          <w:lang w:val="hr-HR"/>
        </w:rPr>
        <w:t xml:space="preserve">na datum koji Banka </w:t>
      </w:r>
      <w:r w:rsidR="000214A6" w:rsidRPr="00653DCF">
        <w:rPr>
          <w:color w:val="auto"/>
          <w:lang w:val="hr-HR"/>
        </w:rPr>
        <w:t>navede u svojoj obavijesti Zajmoprimcu</w:t>
      </w:r>
      <w:r w:rsidRPr="00653DCF">
        <w:rPr>
          <w:color w:val="auto"/>
          <w:lang w:val="hr-HR"/>
        </w:rPr>
        <w:t>.</w:t>
      </w:r>
    </w:p>
    <w:p w14:paraId="283DD474" w14:textId="45DBB22E" w:rsidR="007A2A6F" w:rsidRPr="00653DCF" w:rsidRDefault="00E87B0B">
      <w:pPr>
        <w:widowControl w:val="0"/>
        <w:numPr>
          <w:ilvl w:val="0"/>
          <w:numId w:val="54"/>
        </w:numPr>
        <w:rPr>
          <w:color w:val="auto"/>
          <w:lang w:val="hr-HR"/>
        </w:rPr>
      </w:pPr>
      <w:r w:rsidRPr="00653DCF">
        <w:rPr>
          <w:color w:val="auto"/>
          <w:lang w:val="hr-HR"/>
        </w:rPr>
        <w:t>Za potrebe ovog članka,</w:t>
      </w:r>
      <w:r w:rsidR="000214A6" w:rsidRPr="00653DCF">
        <w:rPr>
          <w:color w:val="auto"/>
          <w:lang w:val="hr-HR"/>
        </w:rPr>
        <w:t xml:space="preserve"> „</w:t>
      </w:r>
      <w:r w:rsidR="000214A6" w:rsidRPr="00653DCF">
        <w:rPr>
          <w:b/>
          <w:bCs/>
          <w:color w:val="auto"/>
          <w:lang w:val="hr-HR"/>
        </w:rPr>
        <w:t>događaj neiskorištavanja sredstava</w:t>
      </w:r>
      <w:r w:rsidR="000214A6" w:rsidRPr="00653DCF">
        <w:rPr>
          <w:color w:val="auto"/>
          <w:lang w:val="hr-HR"/>
        </w:rPr>
        <w:t xml:space="preserve">“ </w:t>
      </w:r>
      <w:r w:rsidR="000214A6" w:rsidRPr="00653DCF">
        <w:rPr>
          <w:rStyle w:val="BoldEIB"/>
          <w:b w:val="0"/>
          <w:bCs/>
          <w:color w:val="auto"/>
          <w:lang w:val="hr-HR"/>
        </w:rPr>
        <w:t>znači</w:t>
      </w:r>
      <w:r w:rsidR="000214A6" w:rsidRPr="00653DCF">
        <w:rPr>
          <w:rStyle w:val="BoldEIB"/>
          <w:color w:val="auto"/>
          <w:lang w:val="hr-HR"/>
        </w:rPr>
        <w:t xml:space="preserve"> </w:t>
      </w:r>
      <w:r w:rsidRPr="00653DCF">
        <w:rPr>
          <w:color w:val="auto"/>
          <w:lang w:val="hr-HR"/>
        </w:rPr>
        <w:t xml:space="preserve">da: </w:t>
      </w:r>
    </w:p>
    <w:p w14:paraId="5B07DDAA" w14:textId="06CCB618" w:rsidR="007A2A6F" w:rsidRPr="00653DCF" w:rsidRDefault="000214A6">
      <w:pPr>
        <w:widowControl w:val="0"/>
        <w:numPr>
          <w:ilvl w:val="1"/>
          <w:numId w:val="54"/>
        </w:numPr>
        <w:rPr>
          <w:color w:val="auto"/>
          <w:lang w:val="hr-HR"/>
        </w:rPr>
      </w:pPr>
      <w:r w:rsidRPr="00653DCF">
        <w:rPr>
          <w:color w:val="auto"/>
          <w:lang w:val="hr-HR"/>
        </w:rPr>
        <w:t xml:space="preserve">bilo koji </w:t>
      </w:r>
      <w:r w:rsidR="00E87B0B" w:rsidRPr="00653DCF">
        <w:rPr>
          <w:color w:val="auto"/>
          <w:lang w:val="hr-HR"/>
        </w:rPr>
        <w:t xml:space="preserve">dio </w:t>
      </w:r>
      <w:r w:rsidR="005E4E29" w:rsidRPr="00653DCF">
        <w:rPr>
          <w:color w:val="auto"/>
          <w:lang w:val="hr-HR"/>
        </w:rPr>
        <w:t>sredstava</w:t>
      </w:r>
      <w:r w:rsidRPr="00653DCF">
        <w:rPr>
          <w:color w:val="auto"/>
          <w:lang w:val="hr-HR"/>
        </w:rPr>
        <w:t xml:space="preserve"> </w:t>
      </w:r>
      <w:r w:rsidR="00E87B0B" w:rsidRPr="00653DCF">
        <w:rPr>
          <w:color w:val="auto"/>
          <w:lang w:val="hr-HR"/>
        </w:rPr>
        <w:t xml:space="preserve">EIB-a nije dodijeljen </w:t>
      </w:r>
      <w:r w:rsidR="00A25334" w:rsidRPr="00653DCF">
        <w:rPr>
          <w:color w:val="auto"/>
          <w:lang w:val="hr-HR"/>
        </w:rPr>
        <w:t>bilo kojem</w:t>
      </w:r>
      <w:r w:rsidR="00E81428" w:rsidRPr="00653DCF">
        <w:rPr>
          <w:color w:val="auto"/>
          <w:lang w:val="hr-HR"/>
        </w:rPr>
        <w:t xml:space="preserve"> </w:t>
      </w:r>
      <w:r w:rsidRPr="00653DCF">
        <w:rPr>
          <w:color w:val="auto"/>
          <w:lang w:val="hr-HR"/>
        </w:rPr>
        <w:t xml:space="preserve">investicijskom projektu </w:t>
      </w:r>
      <w:r w:rsidR="00E47E33" w:rsidRPr="00653DCF">
        <w:rPr>
          <w:color w:val="auto"/>
          <w:lang w:val="hr-HR"/>
        </w:rPr>
        <w:t>u skladu s pismom</w:t>
      </w:r>
      <w:r w:rsidR="00A25334" w:rsidRPr="00653DCF">
        <w:rPr>
          <w:color w:val="auto"/>
          <w:lang w:val="hr-HR"/>
        </w:rPr>
        <w:t>/pismima</w:t>
      </w:r>
      <w:r w:rsidR="00E47E33" w:rsidRPr="00653DCF">
        <w:rPr>
          <w:color w:val="auto"/>
          <w:lang w:val="hr-HR"/>
        </w:rPr>
        <w:t xml:space="preserve"> </w:t>
      </w:r>
      <w:r w:rsidR="00E87B0B" w:rsidRPr="00653DCF">
        <w:rPr>
          <w:color w:val="auto"/>
          <w:lang w:val="hr-HR"/>
        </w:rPr>
        <w:t>o dodjeli sredstava i u skladu s člankom</w:t>
      </w:r>
      <w:r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_Ref440726568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1.9</w:t>
      </w:r>
      <w:r w:rsidR="00E87B0B" w:rsidRPr="00653DCF">
        <w:rPr>
          <w:color w:val="auto"/>
          <w:lang w:val="hr-HR"/>
        </w:rPr>
        <w:fldChar w:fldCharType="end"/>
      </w:r>
      <w:r w:rsidRPr="00653DCF">
        <w:rPr>
          <w:color w:val="auto"/>
          <w:lang w:val="hr-HR"/>
        </w:rPr>
        <w:t>.</w:t>
      </w:r>
      <w:r w:rsidR="00E87B0B" w:rsidRPr="00653DCF">
        <w:rPr>
          <w:color w:val="auto"/>
          <w:lang w:val="hr-HR"/>
        </w:rPr>
        <w:t xml:space="preserve">; ili </w:t>
      </w:r>
    </w:p>
    <w:p w14:paraId="0915F9D5" w14:textId="200D1E92" w:rsidR="007A2A6F" w:rsidRPr="00653DCF" w:rsidRDefault="000214A6">
      <w:pPr>
        <w:widowControl w:val="0"/>
        <w:numPr>
          <w:ilvl w:val="1"/>
          <w:numId w:val="54"/>
        </w:numPr>
        <w:rPr>
          <w:color w:val="auto"/>
          <w:lang w:val="hr-HR"/>
        </w:rPr>
      </w:pPr>
      <w:r w:rsidRPr="00653DCF">
        <w:rPr>
          <w:color w:val="auto"/>
          <w:lang w:val="hr-HR"/>
        </w:rPr>
        <w:t xml:space="preserve">bilo koja preraspodjela sredstava </w:t>
      </w:r>
      <w:r w:rsidR="00E87B0B" w:rsidRPr="00653DCF">
        <w:rPr>
          <w:color w:val="auto"/>
          <w:lang w:val="hr-HR"/>
        </w:rPr>
        <w:t xml:space="preserve">u skladu s člankom </w:t>
      </w:r>
      <w:r w:rsidR="00E87B0B" w:rsidRPr="00653DCF">
        <w:rPr>
          <w:color w:val="auto"/>
          <w:lang w:val="hr-HR"/>
        </w:rPr>
        <w:fldChar w:fldCharType="begin"/>
      </w:r>
      <w:r w:rsidR="00E87B0B" w:rsidRPr="00653DCF">
        <w:rPr>
          <w:color w:val="auto"/>
          <w:lang w:val="hr-HR"/>
        </w:rPr>
        <w:instrText xml:space="preserve"> REF _Ref440876210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1.9.C</w:t>
      </w:r>
      <w:r w:rsidR="00E87B0B" w:rsidRPr="00653DCF">
        <w:rPr>
          <w:color w:val="auto"/>
          <w:lang w:val="hr-HR"/>
        </w:rPr>
        <w:fldChar w:fldCharType="end"/>
      </w:r>
      <w:r w:rsidR="00E87B0B" w:rsidRPr="00653DCF">
        <w:rPr>
          <w:color w:val="auto"/>
          <w:lang w:val="hr-HR"/>
        </w:rPr>
        <w:t xml:space="preserve"> nije moguća ili je moguća samo djelomično.</w:t>
      </w:r>
    </w:p>
    <w:p w14:paraId="091A5D9D" w14:textId="6A5FAA31" w:rsidR="007A2A6F" w:rsidRPr="00653DCF" w:rsidRDefault="000214A6" w:rsidP="00613099">
      <w:pPr>
        <w:pStyle w:val="Heading4"/>
        <w:ind w:left="851"/>
        <w:rPr>
          <w:color w:val="auto"/>
          <w:lang w:val="hr-HR"/>
        </w:rPr>
      </w:pPr>
      <w:r w:rsidRPr="00653DCF">
        <w:rPr>
          <w:color w:val="auto"/>
          <w:lang w:val="hr-HR"/>
        </w:rPr>
        <w:t xml:space="preserve">DOGAĐAJ </w:t>
      </w:r>
      <w:r w:rsidR="001E1FB4" w:rsidRPr="00653DCF">
        <w:rPr>
          <w:color w:val="auto"/>
          <w:lang w:val="hr-HR"/>
        </w:rPr>
        <w:t>KOJI UTJEČE</w:t>
      </w:r>
      <w:r w:rsidRPr="00653DCF">
        <w:rPr>
          <w:color w:val="auto"/>
          <w:lang w:val="hr-HR"/>
        </w:rPr>
        <w:t xml:space="preserve"> NA INVESTICIJSKI PROJEKT </w:t>
      </w:r>
    </w:p>
    <w:p w14:paraId="53860BAD" w14:textId="0C18C6E3" w:rsidR="007A2A6F" w:rsidRPr="00653DCF" w:rsidRDefault="001E1FB4">
      <w:pPr>
        <w:widowControl w:val="0"/>
        <w:numPr>
          <w:ilvl w:val="0"/>
          <w:numId w:val="55"/>
        </w:numPr>
        <w:rPr>
          <w:color w:val="auto"/>
          <w:lang w:val="hr-HR"/>
        </w:rPr>
      </w:pPr>
      <w:r w:rsidRPr="00653DCF">
        <w:rPr>
          <w:color w:val="auto"/>
          <w:lang w:val="hr-HR"/>
        </w:rPr>
        <w:t xml:space="preserve">Zajmoprimac ili </w:t>
      </w:r>
      <w:r w:rsidR="00517F49" w:rsidRPr="00653DCF">
        <w:rPr>
          <w:color w:val="auto"/>
          <w:lang w:val="hr-HR"/>
        </w:rPr>
        <w:t>Nositelj</w:t>
      </w:r>
      <w:r w:rsidR="00E87B0B" w:rsidRPr="00653DCF">
        <w:rPr>
          <w:color w:val="auto"/>
          <w:lang w:val="hr-HR"/>
        </w:rPr>
        <w:t xml:space="preserve"> će odmah obavijestiti Banku ako </w:t>
      </w:r>
      <w:r w:rsidR="009F12DD" w:rsidRPr="00653DCF">
        <w:rPr>
          <w:color w:val="auto"/>
          <w:lang w:val="hr-HR"/>
        </w:rPr>
        <w:t xml:space="preserve">nastupi </w:t>
      </w:r>
      <w:r w:rsidR="00E87B0B" w:rsidRPr="00653DCF">
        <w:rPr>
          <w:color w:val="auto"/>
          <w:lang w:val="hr-HR"/>
        </w:rPr>
        <w:t xml:space="preserve">događaj </w:t>
      </w:r>
      <w:r w:rsidRPr="00653DCF">
        <w:rPr>
          <w:color w:val="auto"/>
          <w:lang w:val="hr-HR"/>
        </w:rPr>
        <w:t>koji utječe</w:t>
      </w:r>
      <w:r w:rsidR="00FA32B8" w:rsidRPr="00653DCF">
        <w:rPr>
          <w:color w:val="auto"/>
          <w:lang w:val="hr-HR"/>
        </w:rPr>
        <w:t xml:space="preserve"> na </w:t>
      </w:r>
      <w:r w:rsidR="006F50F3" w:rsidRPr="00653DCF">
        <w:rPr>
          <w:color w:val="auto"/>
          <w:lang w:val="hr-HR"/>
        </w:rPr>
        <w:t xml:space="preserve">neki </w:t>
      </w:r>
      <w:r w:rsidR="00FA32B8" w:rsidRPr="00653DCF">
        <w:rPr>
          <w:color w:val="auto"/>
          <w:lang w:val="hr-HR"/>
        </w:rPr>
        <w:t>investicijski projekt</w:t>
      </w:r>
      <w:r w:rsidR="00E87B0B" w:rsidRPr="00653DCF">
        <w:rPr>
          <w:color w:val="auto"/>
          <w:lang w:val="hr-HR"/>
        </w:rPr>
        <w:t xml:space="preserve">. </w:t>
      </w:r>
    </w:p>
    <w:p w14:paraId="32582E3F" w14:textId="2586B048" w:rsidR="004B388D" w:rsidRPr="00653DCF" w:rsidRDefault="00E87B0B" w:rsidP="001E1FB4">
      <w:pPr>
        <w:widowControl w:val="0"/>
        <w:numPr>
          <w:ilvl w:val="0"/>
          <w:numId w:val="55"/>
        </w:numPr>
        <w:rPr>
          <w:color w:val="auto"/>
          <w:lang w:val="hr-HR"/>
        </w:rPr>
      </w:pPr>
      <w:r w:rsidRPr="00653DCF">
        <w:rPr>
          <w:color w:val="auto"/>
          <w:lang w:val="hr-HR"/>
        </w:rPr>
        <w:t xml:space="preserve">Ako </w:t>
      </w:r>
      <w:r w:rsidR="001E1FB4" w:rsidRPr="00653DCF">
        <w:rPr>
          <w:color w:val="auto"/>
          <w:lang w:val="hr-HR"/>
        </w:rPr>
        <w:t>Zajmoprimac ili Nositelj</w:t>
      </w:r>
      <w:r w:rsidR="00517F49" w:rsidRPr="00653DCF">
        <w:rPr>
          <w:color w:val="auto"/>
          <w:lang w:val="hr-HR"/>
        </w:rPr>
        <w:t xml:space="preserve"> </w:t>
      </w:r>
      <w:r w:rsidRPr="00653DCF">
        <w:rPr>
          <w:color w:val="auto"/>
          <w:lang w:val="hr-HR"/>
        </w:rPr>
        <w:t xml:space="preserve">obavijesti Banku </w:t>
      </w:r>
      <w:r w:rsidR="004B388D" w:rsidRPr="00653DCF">
        <w:rPr>
          <w:color w:val="auto"/>
          <w:lang w:val="hr-HR"/>
        </w:rPr>
        <w:t xml:space="preserve">da je nastupio događaj </w:t>
      </w:r>
      <w:r w:rsidR="001E1FB4" w:rsidRPr="00653DCF">
        <w:rPr>
          <w:color w:val="auto"/>
          <w:lang w:val="hr-HR"/>
        </w:rPr>
        <w:t>koji utječe</w:t>
      </w:r>
      <w:r w:rsidR="004B388D" w:rsidRPr="00653DCF">
        <w:rPr>
          <w:color w:val="auto"/>
          <w:lang w:val="hr-HR"/>
        </w:rPr>
        <w:t xml:space="preserve"> na </w:t>
      </w:r>
      <w:r w:rsidR="006F50F3" w:rsidRPr="00653DCF">
        <w:rPr>
          <w:color w:val="auto"/>
          <w:lang w:val="hr-HR"/>
        </w:rPr>
        <w:t xml:space="preserve">neki </w:t>
      </w:r>
      <w:r w:rsidR="004B388D" w:rsidRPr="00653DCF">
        <w:rPr>
          <w:color w:val="auto"/>
          <w:lang w:val="hr-HR"/>
        </w:rPr>
        <w:t xml:space="preserve">investicijski projekt ili ako Banka sazna za bilo koji događaj </w:t>
      </w:r>
      <w:r w:rsidR="001E1FB4" w:rsidRPr="00653DCF">
        <w:rPr>
          <w:color w:val="auto"/>
          <w:lang w:val="hr-HR"/>
        </w:rPr>
        <w:t>koji utječe</w:t>
      </w:r>
      <w:r w:rsidR="004B388D" w:rsidRPr="00653DCF">
        <w:rPr>
          <w:color w:val="auto"/>
          <w:lang w:val="hr-HR"/>
        </w:rPr>
        <w:t xml:space="preserve"> na </w:t>
      </w:r>
      <w:r w:rsidR="006F50F3" w:rsidRPr="00653DCF">
        <w:rPr>
          <w:color w:val="auto"/>
          <w:lang w:val="hr-HR"/>
        </w:rPr>
        <w:t xml:space="preserve">neki </w:t>
      </w:r>
      <w:r w:rsidR="004B388D" w:rsidRPr="00653DCF">
        <w:rPr>
          <w:color w:val="auto"/>
          <w:lang w:val="hr-HR"/>
        </w:rPr>
        <w:t>investicijski projekt i o tome obavijesti Zajmoprimca</w:t>
      </w:r>
      <w:r w:rsidR="00517F49" w:rsidRPr="00653DCF">
        <w:rPr>
          <w:color w:val="auto"/>
          <w:lang w:val="hr-HR"/>
        </w:rPr>
        <w:t xml:space="preserve"> i Nositelja</w:t>
      </w:r>
      <w:r w:rsidR="004B388D" w:rsidRPr="00653DCF">
        <w:rPr>
          <w:color w:val="auto"/>
          <w:lang w:val="hr-HR"/>
        </w:rPr>
        <w:t xml:space="preserve">, </w:t>
      </w:r>
      <w:r w:rsidR="001E1FB4" w:rsidRPr="00653DCF">
        <w:rPr>
          <w:color w:val="auto"/>
          <w:lang w:val="hr-HR"/>
        </w:rPr>
        <w:t>Zajmoprimac</w:t>
      </w:r>
      <w:r w:rsidR="00517F49" w:rsidRPr="00653DCF">
        <w:rPr>
          <w:color w:val="auto"/>
          <w:lang w:val="hr-HR"/>
        </w:rPr>
        <w:t xml:space="preserve"> </w:t>
      </w:r>
      <w:r w:rsidR="004B388D" w:rsidRPr="00653DCF">
        <w:rPr>
          <w:color w:val="auto"/>
          <w:lang w:val="hr-HR"/>
        </w:rPr>
        <w:t>je dužan, u roku od 60 (šezdeset) dana nakon davanja ili primanja obavijesti o tome, napraviti sljedeće:</w:t>
      </w:r>
    </w:p>
    <w:p w14:paraId="43EF0AC4" w14:textId="02D395D8" w:rsidR="007A2A6F" w:rsidRPr="00653DCF" w:rsidRDefault="00E87B0B">
      <w:pPr>
        <w:widowControl w:val="0"/>
        <w:numPr>
          <w:ilvl w:val="1"/>
          <w:numId w:val="56"/>
        </w:numPr>
        <w:rPr>
          <w:color w:val="auto"/>
          <w:lang w:val="hr-HR"/>
        </w:rPr>
      </w:pPr>
      <w:r w:rsidRPr="00653DCF">
        <w:rPr>
          <w:color w:val="auto"/>
          <w:lang w:val="hr-HR"/>
        </w:rPr>
        <w:t>poduzeti korake za ispravljanje</w:t>
      </w:r>
      <w:r w:rsidR="004B388D" w:rsidRPr="00653DCF">
        <w:rPr>
          <w:color w:val="auto"/>
          <w:lang w:val="hr-HR"/>
        </w:rPr>
        <w:t xml:space="preserve"> </w:t>
      </w:r>
      <w:r w:rsidRPr="00653DCF">
        <w:rPr>
          <w:color w:val="auto"/>
          <w:lang w:val="hr-HR"/>
        </w:rPr>
        <w:t>događaja iz točke (a)</w:t>
      </w:r>
      <w:r w:rsidR="004B388D" w:rsidRPr="00653DCF">
        <w:rPr>
          <w:color w:val="auto"/>
          <w:lang w:val="hr-HR"/>
        </w:rPr>
        <w:t xml:space="preserve"> na način zadovoljavajući za Banku</w:t>
      </w:r>
      <w:r w:rsidRPr="00653DCF">
        <w:rPr>
          <w:color w:val="auto"/>
          <w:lang w:val="hr-HR"/>
        </w:rPr>
        <w:t xml:space="preserve">; i/ili </w:t>
      </w:r>
    </w:p>
    <w:p w14:paraId="447CD4F9" w14:textId="5403ECA9" w:rsidR="007A2A6F" w:rsidRPr="00653DCF" w:rsidRDefault="00E87B0B">
      <w:pPr>
        <w:widowControl w:val="0"/>
        <w:numPr>
          <w:ilvl w:val="1"/>
          <w:numId w:val="56"/>
        </w:numPr>
        <w:rPr>
          <w:color w:val="auto"/>
          <w:lang w:val="hr-HR"/>
        </w:rPr>
      </w:pPr>
      <w:r w:rsidRPr="00653DCF">
        <w:rPr>
          <w:color w:val="auto"/>
          <w:lang w:val="hr-HR"/>
        </w:rPr>
        <w:t xml:space="preserve">zatražiti od Banke </w:t>
      </w:r>
      <w:r w:rsidR="004B388D" w:rsidRPr="00653DCF">
        <w:rPr>
          <w:color w:val="auto"/>
          <w:lang w:val="hr-HR"/>
        </w:rPr>
        <w:t xml:space="preserve">preraspodjelu bilo kojeg dijela kredita ili </w:t>
      </w:r>
      <w:r w:rsidR="005E4E29" w:rsidRPr="00653DCF">
        <w:rPr>
          <w:color w:val="auto"/>
          <w:lang w:val="hr-HR"/>
        </w:rPr>
        <w:t>sredstava</w:t>
      </w:r>
      <w:r w:rsidR="004B388D" w:rsidRPr="00653DCF">
        <w:rPr>
          <w:color w:val="auto"/>
          <w:lang w:val="hr-HR"/>
        </w:rPr>
        <w:t xml:space="preserve"> EIB-a koji su dodijeljeni za </w:t>
      </w:r>
      <w:r w:rsidR="00AE7800" w:rsidRPr="00653DCF">
        <w:rPr>
          <w:color w:val="auto"/>
          <w:lang w:val="hr-HR"/>
        </w:rPr>
        <w:t xml:space="preserve">taj </w:t>
      </w:r>
      <w:r w:rsidR="004B388D" w:rsidRPr="00653DCF">
        <w:rPr>
          <w:color w:val="auto"/>
          <w:lang w:val="hr-HR"/>
        </w:rPr>
        <w:t xml:space="preserve">investicijski projekt na </w:t>
      </w:r>
      <w:r w:rsidR="00740C03" w:rsidRPr="00653DCF">
        <w:rPr>
          <w:color w:val="auto"/>
          <w:lang w:val="hr-HR"/>
        </w:rPr>
        <w:t xml:space="preserve">neki </w:t>
      </w:r>
      <w:r w:rsidR="004B388D" w:rsidRPr="00653DCF">
        <w:rPr>
          <w:color w:val="auto"/>
          <w:lang w:val="hr-HR"/>
        </w:rPr>
        <w:t xml:space="preserve">drugi prihvatljiv investicijski projekt u </w:t>
      </w:r>
      <w:r w:rsidRPr="00653DCF">
        <w:rPr>
          <w:color w:val="auto"/>
          <w:lang w:val="hr-HR"/>
        </w:rPr>
        <w:t xml:space="preserve">skladu s </w:t>
      </w:r>
      <w:r w:rsidR="004B388D" w:rsidRPr="00653DCF">
        <w:rPr>
          <w:color w:val="auto"/>
          <w:lang w:val="hr-HR"/>
        </w:rPr>
        <w:t xml:space="preserve">člankom </w:t>
      </w:r>
      <w:r w:rsidRPr="00653DCF">
        <w:rPr>
          <w:color w:val="auto"/>
          <w:lang w:val="hr-HR"/>
        </w:rPr>
        <w:fldChar w:fldCharType="begin"/>
      </w:r>
      <w:r w:rsidRPr="00653DCF">
        <w:rPr>
          <w:color w:val="auto"/>
          <w:lang w:val="hr-HR"/>
        </w:rPr>
        <w:instrText xml:space="preserve"> REF _Ref440876210 \r \h  \* MERGEFORMAT </w:instrText>
      </w:r>
      <w:r w:rsidRPr="00653DCF">
        <w:rPr>
          <w:color w:val="auto"/>
          <w:lang w:val="hr-HR"/>
        </w:rPr>
      </w:r>
      <w:r w:rsidRPr="00653DCF">
        <w:rPr>
          <w:color w:val="auto"/>
          <w:lang w:val="hr-HR"/>
        </w:rPr>
        <w:fldChar w:fldCharType="separate"/>
      </w:r>
      <w:r w:rsidR="00E5391B">
        <w:rPr>
          <w:color w:val="auto"/>
          <w:lang w:val="hr-HR"/>
        </w:rPr>
        <w:t>1.9.C</w:t>
      </w:r>
      <w:r w:rsidRPr="00653DCF">
        <w:rPr>
          <w:color w:val="auto"/>
          <w:lang w:val="hr-HR"/>
        </w:rPr>
        <w:fldChar w:fldCharType="end"/>
      </w:r>
      <w:r w:rsidR="004B388D" w:rsidRPr="00653DCF">
        <w:rPr>
          <w:color w:val="auto"/>
          <w:lang w:val="hr-HR"/>
        </w:rPr>
        <w:t>.</w:t>
      </w:r>
    </w:p>
    <w:p w14:paraId="04033126" w14:textId="457B113E" w:rsidR="007A2A6F" w:rsidRPr="00653DCF" w:rsidRDefault="004B388D">
      <w:pPr>
        <w:widowControl w:val="0"/>
        <w:ind w:left="1423"/>
        <w:rPr>
          <w:color w:val="auto"/>
          <w:lang w:val="hr-HR"/>
        </w:rPr>
      </w:pPr>
      <w:r w:rsidRPr="00653DCF">
        <w:rPr>
          <w:color w:val="auto"/>
          <w:lang w:val="hr-HR"/>
        </w:rPr>
        <w:t>U</w:t>
      </w:r>
      <w:r w:rsidR="00E87B0B" w:rsidRPr="00653DCF">
        <w:rPr>
          <w:color w:val="auto"/>
          <w:lang w:val="hr-HR"/>
        </w:rPr>
        <w:t xml:space="preserve"> protivnom, Banka može </w:t>
      </w:r>
      <w:r w:rsidRPr="00653DCF">
        <w:rPr>
          <w:color w:val="auto"/>
          <w:lang w:val="hr-HR"/>
        </w:rPr>
        <w:t xml:space="preserve">u dodatnoj obavijesti </w:t>
      </w:r>
      <w:r w:rsidR="00E87B0B" w:rsidRPr="00653DCF">
        <w:rPr>
          <w:color w:val="auto"/>
          <w:lang w:val="hr-HR"/>
        </w:rPr>
        <w:t xml:space="preserve">Zajmoprimcu zatražiti </w:t>
      </w:r>
      <w:r w:rsidRPr="00653DCF">
        <w:rPr>
          <w:color w:val="auto"/>
          <w:lang w:val="hr-HR"/>
        </w:rPr>
        <w:t xml:space="preserve">od Zajmoprimca da izvrši prijevremenu otplatu nepodmirenog zajma </w:t>
      </w:r>
      <w:r w:rsidR="00E87B0B" w:rsidRPr="00653DCF">
        <w:rPr>
          <w:color w:val="auto"/>
          <w:lang w:val="hr-HR"/>
        </w:rPr>
        <w:t xml:space="preserve">u iznosu koji je izvorno dodijeljen </w:t>
      </w:r>
      <w:r w:rsidRPr="00653DCF">
        <w:rPr>
          <w:color w:val="auto"/>
          <w:lang w:val="hr-HR"/>
        </w:rPr>
        <w:t xml:space="preserve">investicijskom projektu </w:t>
      </w:r>
      <w:r w:rsidR="00AE1DC8" w:rsidRPr="00653DCF">
        <w:rPr>
          <w:color w:val="auto"/>
          <w:lang w:val="hr-HR"/>
        </w:rPr>
        <w:t>na koji takav događaj utječe</w:t>
      </w:r>
      <w:r w:rsidR="002374AC" w:rsidRPr="00653DCF">
        <w:rPr>
          <w:color w:val="auto"/>
          <w:lang w:val="hr-HR"/>
        </w:rPr>
        <w:t xml:space="preserve">, i to </w:t>
      </w:r>
      <w:r w:rsidRPr="00653DCF">
        <w:rPr>
          <w:color w:val="auto"/>
          <w:lang w:val="hr-HR"/>
        </w:rPr>
        <w:t xml:space="preserve">na datum koji Banka navede u svojoj obavijesti </w:t>
      </w:r>
      <w:r w:rsidR="00E87B0B" w:rsidRPr="00653DCF">
        <w:rPr>
          <w:color w:val="auto"/>
          <w:lang w:val="hr-HR"/>
        </w:rPr>
        <w:t>Zajmoprimcu.</w:t>
      </w:r>
    </w:p>
    <w:p w14:paraId="11273AA7" w14:textId="1A147BC6" w:rsidR="007A2A6F" w:rsidRPr="00653DCF" w:rsidRDefault="00E87B0B">
      <w:pPr>
        <w:widowControl w:val="0"/>
        <w:numPr>
          <w:ilvl w:val="0"/>
          <w:numId w:val="55"/>
        </w:numPr>
        <w:rPr>
          <w:color w:val="auto"/>
          <w:lang w:val="hr-HR"/>
        </w:rPr>
      </w:pPr>
      <w:bookmarkStart w:id="365" w:name="_Ref497990074"/>
      <w:r w:rsidRPr="00653DCF">
        <w:rPr>
          <w:color w:val="auto"/>
          <w:lang w:val="hr-HR"/>
        </w:rPr>
        <w:lastRenderedPageBreak/>
        <w:t xml:space="preserve">Za potrebe ovog Ugovora: </w:t>
      </w:r>
    </w:p>
    <w:p w14:paraId="146E4743" w14:textId="52218A57" w:rsidR="007A2A6F" w:rsidRPr="00653DCF" w:rsidRDefault="00E87B0B">
      <w:pPr>
        <w:widowControl w:val="0"/>
        <w:numPr>
          <w:ilvl w:val="1"/>
          <w:numId w:val="55"/>
        </w:numPr>
        <w:rPr>
          <w:color w:val="auto"/>
          <w:lang w:val="hr-HR"/>
        </w:rPr>
      </w:pPr>
      <w:r w:rsidRPr="00653DCF">
        <w:rPr>
          <w:rStyle w:val="BoldEIB"/>
          <w:b w:val="0"/>
          <w:color w:val="auto"/>
          <w:lang w:val="hr-HR"/>
        </w:rPr>
        <w:t>„</w:t>
      </w:r>
      <w:r w:rsidR="00FA32B8" w:rsidRPr="00653DCF">
        <w:rPr>
          <w:rStyle w:val="BoldEIB"/>
          <w:color w:val="auto"/>
          <w:lang w:val="hr-HR"/>
        </w:rPr>
        <w:t xml:space="preserve">investicijski projekt na koji </w:t>
      </w:r>
      <w:r w:rsidR="001327D5" w:rsidRPr="00653DCF">
        <w:rPr>
          <w:rStyle w:val="BoldEIB"/>
          <w:color w:val="auto"/>
          <w:lang w:val="hr-HR"/>
        </w:rPr>
        <w:t xml:space="preserve">događaj </w:t>
      </w:r>
      <w:r w:rsidR="00FA32B8" w:rsidRPr="00653DCF">
        <w:rPr>
          <w:rStyle w:val="BoldEIB"/>
          <w:color w:val="auto"/>
          <w:lang w:val="hr-HR"/>
        </w:rPr>
        <w:t>utječe</w:t>
      </w:r>
      <w:r w:rsidRPr="00653DCF">
        <w:rPr>
          <w:rStyle w:val="BoldEIB"/>
          <w:b w:val="0"/>
          <w:color w:val="auto"/>
          <w:lang w:val="hr-HR"/>
        </w:rPr>
        <w:t xml:space="preserve">” znači </w:t>
      </w:r>
      <w:r w:rsidR="00FA32B8" w:rsidRPr="00653DCF">
        <w:rPr>
          <w:rStyle w:val="BoldEIB"/>
          <w:b w:val="0"/>
          <w:color w:val="auto"/>
          <w:lang w:val="hr-HR"/>
        </w:rPr>
        <w:t xml:space="preserve">investicijski projekt na koji </w:t>
      </w:r>
      <w:r w:rsidR="004B388D" w:rsidRPr="00653DCF">
        <w:rPr>
          <w:rStyle w:val="BoldEIB"/>
          <w:b w:val="0"/>
          <w:color w:val="auto"/>
          <w:lang w:val="hr-HR"/>
        </w:rPr>
        <w:t xml:space="preserve">utječe </w:t>
      </w:r>
      <w:r w:rsidR="002374AC" w:rsidRPr="00653DCF">
        <w:rPr>
          <w:rStyle w:val="BoldEIB"/>
          <w:b w:val="0"/>
          <w:color w:val="auto"/>
          <w:lang w:val="hr-HR"/>
        </w:rPr>
        <w:t xml:space="preserve">takav </w:t>
      </w:r>
      <w:r w:rsidR="00FA32B8" w:rsidRPr="00653DCF">
        <w:rPr>
          <w:rStyle w:val="BoldEIB"/>
          <w:b w:val="0"/>
          <w:color w:val="auto"/>
          <w:lang w:val="hr-HR"/>
        </w:rPr>
        <w:t>događaj</w:t>
      </w:r>
      <w:r w:rsidRPr="00653DCF">
        <w:rPr>
          <w:rStyle w:val="BoldEIB"/>
          <w:b w:val="0"/>
          <w:color w:val="auto"/>
          <w:lang w:val="hr-HR"/>
        </w:rPr>
        <w:t>;</w:t>
      </w:r>
    </w:p>
    <w:p w14:paraId="46BB1D87" w14:textId="4E7D4CFC" w:rsidR="007A2A6F" w:rsidRPr="00653DCF" w:rsidRDefault="00E87B0B">
      <w:pPr>
        <w:widowControl w:val="0"/>
        <w:numPr>
          <w:ilvl w:val="1"/>
          <w:numId w:val="55"/>
        </w:numPr>
        <w:rPr>
          <w:color w:val="auto"/>
          <w:lang w:val="hr-HR"/>
        </w:rPr>
      </w:pPr>
      <w:r w:rsidRPr="00653DCF">
        <w:rPr>
          <w:color w:val="auto"/>
          <w:lang w:val="hr-HR"/>
        </w:rPr>
        <w:t>„</w:t>
      </w:r>
      <w:r w:rsidR="00FA32B8" w:rsidRPr="00653DCF">
        <w:rPr>
          <w:b/>
          <w:bCs/>
          <w:color w:val="auto"/>
          <w:lang w:val="hr-HR"/>
        </w:rPr>
        <w:t xml:space="preserve">događaj </w:t>
      </w:r>
      <w:r w:rsidR="004B46D4" w:rsidRPr="00653DCF">
        <w:rPr>
          <w:b/>
          <w:bCs/>
          <w:color w:val="auto"/>
          <w:lang w:val="hr-HR"/>
        </w:rPr>
        <w:t>koji utječe</w:t>
      </w:r>
      <w:r w:rsidR="00FA32B8" w:rsidRPr="00653DCF">
        <w:rPr>
          <w:b/>
          <w:bCs/>
          <w:color w:val="auto"/>
          <w:lang w:val="hr-HR"/>
        </w:rPr>
        <w:t xml:space="preserve"> na investicijski projekt</w:t>
      </w:r>
      <w:r w:rsidRPr="00653DCF">
        <w:rPr>
          <w:color w:val="auto"/>
          <w:lang w:val="hr-HR"/>
        </w:rPr>
        <w:t>” znači:</w:t>
      </w:r>
    </w:p>
    <w:p w14:paraId="304CCFF6" w14:textId="448E329B" w:rsidR="007A2A6F" w:rsidRPr="00653DCF" w:rsidRDefault="00741C8B">
      <w:pPr>
        <w:widowControl w:val="0"/>
        <w:numPr>
          <w:ilvl w:val="2"/>
          <w:numId w:val="55"/>
        </w:numPr>
        <w:rPr>
          <w:color w:val="auto"/>
          <w:lang w:val="hr-HR"/>
        </w:rPr>
      </w:pPr>
      <w:r w:rsidRPr="00653DCF">
        <w:rPr>
          <w:color w:val="auto"/>
          <w:lang w:val="hr-HR"/>
        </w:rPr>
        <w:t xml:space="preserve">da </w:t>
      </w:r>
      <w:r w:rsidR="004B388D" w:rsidRPr="00653DCF">
        <w:rPr>
          <w:color w:val="auto"/>
          <w:lang w:val="hr-HR"/>
        </w:rPr>
        <w:t>Z</w:t>
      </w:r>
      <w:r w:rsidR="00E87B0B" w:rsidRPr="00653DCF">
        <w:rPr>
          <w:color w:val="auto"/>
          <w:lang w:val="hr-HR"/>
        </w:rPr>
        <w:t xml:space="preserve">ajmoprimac, </w:t>
      </w:r>
      <w:r w:rsidR="004B388D" w:rsidRPr="00653DCF">
        <w:rPr>
          <w:color w:val="auto"/>
          <w:lang w:val="hr-HR"/>
        </w:rPr>
        <w:t xml:space="preserve">Nositelj </w:t>
      </w:r>
      <w:r w:rsidR="00E87B0B" w:rsidRPr="00653DCF">
        <w:rPr>
          <w:color w:val="auto"/>
          <w:lang w:val="hr-HR"/>
        </w:rPr>
        <w:t xml:space="preserve">ili </w:t>
      </w:r>
      <w:r w:rsidR="004B388D" w:rsidRPr="00653DCF">
        <w:rPr>
          <w:color w:val="auto"/>
          <w:lang w:val="hr-HR"/>
        </w:rPr>
        <w:t>P</w:t>
      </w:r>
      <w:r w:rsidR="00E87B0B" w:rsidRPr="00653DCF">
        <w:rPr>
          <w:color w:val="auto"/>
          <w:lang w:val="hr-HR"/>
        </w:rPr>
        <w:t>rojektno društvo</w:t>
      </w:r>
      <w:r w:rsidR="004B388D" w:rsidRPr="00653DCF">
        <w:rPr>
          <w:color w:val="auto"/>
          <w:lang w:val="hr-HR"/>
        </w:rPr>
        <w:t>, u odnosu na bilo koji investicijski projekt</w:t>
      </w:r>
      <w:r w:rsidR="003C5DFE" w:rsidRPr="00653DCF">
        <w:rPr>
          <w:color w:val="auto"/>
          <w:lang w:val="hr-HR"/>
        </w:rPr>
        <w:t>,</w:t>
      </w:r>
      <w:r w:rsidR="004B388D" w:rsidRPr="00653DCF">
        <w:rPr>
          <w:color w:val="auto"/>
          <w:lang w:val="hr-HR"/>
        </w:rPr>
        <w:t xml:space="preserve"> </w:t>
      </w:r>
      <w:r w:rsidR="003C5DFE" w:rsidRPr="00653DCF">
        <w:rPr>
          <w:color w:val="auto"/>
          <w:lang w:val="hr-HR"/>
        </w:rPr>
        <w:t xml:space="preserve">nisu postupili </w:t>
      </w:r>
      <w:r w:rsidR="00E87B0B" w:rsidRPr="00653DCF">
        <w:rPr>
          <w:color w:val="auto"/>
          <w:lang w:val="hr-HR"/>
        </w:rPr>
        <w:t xml:space="preserve">u skladu s ekološkim i socijalnim </w:t>
      </w:r>
      <w:r w:rsidR="00754123" w:rsidRPr="00653DCF">
        <w:rPr>
          <w:color w:val="auto"/>
          <w:lang w:val="hr-HR"/>
        </w:rPr>
        <w:t>zakonima</w:t>
      </w:r>
      <w:r w:rsidR="00B95C7B" w:rsidRPr="00653DCF">
        <w:rPr>
          <w:color w:val="auto"/>
          <w:lang w:val="hr-HR"/>
        </w:rPr>
        <w:t xml:space="preserve"> ili pravom </w:t>
      </w:r>
      <w:r w:rsidR="00E87B0B" w:rsidRPr="00653DCF">
        <w:rPr>
          <w:color w:val="auto"/>
          <w:lang w:val="hr-HR"/>
        </w:rPr>
        <w:t>Europske unije i Republike Hrvatske u vezi s državnim potporama ili javnom nabavom;</w:t>
      </w:r>
    </w:p>
    <w:p w14:paraId="4482486B" w14:textId="11CE3DAF" w:rsidR="007A2A6F" w:rsidRPr="00653DCF" w:rsidRDefault="00741C8B">
      <w:pPr>
        <w:widowControl w:val="0"/>
        <w:numPr>
          <w:ilvl w:val="2"/>
          <w:numId w:val="55"/>
        </w:numPr>
        <w:rPr>
          <w:color w:val="auto"/>
          <w:lang w:val="hr-HR"/>
        </w:rPr>
      </w:pPr>
      <w:r w:rsidRPr="00653DCF">
        <w:rPr>
          <w:color w:val="auto"/>
          <w:lang w:val="hr-HR"/>
        </w:rPr>
        <w:t xml:space="preserve">da je, vezano za bilo koji investicijski projekt, nastupio </w:t>
      </w:r>
      <w:r w:rsidR="00E87B0B" w:rsidRPr="00653DCF">
        <w:rPr>
          <w:color w:val="auto"/>
          <w:lang w:val="hr-HR"/>
        </w:rPr>
        <w:t>događaj povezan s fondovima EU-a ili je vjerojatno da će</w:t>
      </w:r>
      <w:r w:rsidRPr="00653DCF">
        <w:rPr>
          <w:color w:val="auto"/>
          <w:lang w:val="hr-HR"/>
        </w:rPr>
        <w:t xml:space="preserve"> takav događaj nastupiti</w:t>
      </w:r>
      <w:r w:rsidR="00E87B0B" w:rsidRPr="00653DCF">
        <w:rPr>
          <w:color w:val="auto"/>
          <w:lang w:val="hr-HR"/>
        </w:rPr>
        <w:t>;</w:t>
      </w:r>
    </w:p>
    <w:p w14:paraId="5520FCD9" w14:textId="5190D502" w:rsidR="007A2A6F" w:rsidRPr="00653DCF" w:rsidRDefault="00741C8B">
      <w:pPr>
        <w:widowControl w:val="0"/>
        <w:numPr>
          <w:ilvl w:val="2"/>
          <w:numId w:val="55"/>
        </w:numPr>
        <w:rPr>
          <w:color w:val="auto"/>
          <w:lang w:val="hr-HR"/>
        </w:rPr>
      </w:pPr>
      <w:r w:rsidRPr="00653DCF">
        <w:rPr>
          <w:color w:val="auto"/>
          <w:lang w:val="hr-HR"/>
        </w:rPr>
        <w:t>da je B</w:t>
      </w:r>
      <w:r w:rsidR="00E87B0B" w:rsidRPr="00653DCF">
        <w:rPr>
          <w:color w:val="auto"/>
          <w:lang w:val="hr-HR"/>
        </w:rPr>
        <w:t xml:space="preserve">anka je izdala </w:t>
      </w:r>
      <w:r w:rsidRPr="00653DCF">
        <w:rPr>
          <w:color w:val="auto"/>
          <w:lang w:val="hr-HR"/>
        </w:rPr>
        <w:t>p</w:t>
      </w:r>
      <w:r w:rsidR="00E87B0B" w:rsidRPr="00653DCF">
        <w:rPr>
          <w:color w:val="auto"/>
          <w:lang w:val="hr-HR"/>
        </w:rPr>
        <w:t xml:space="preserve">ismo o dodjeli sredstava za </w:t>
      </w:r>
      <w:r w:rsidRPr="00653DCF">
        <w:rPr>
          <w:color w:val="auto"/>
          <w:lang w:val="hr-HR"/>
        </w:rPr>
        <w:t xml:space="preserve">investicijski projekt </w:t>
      </w:r>
      <w:r w:rsidR="00E87B0B" w:rsidRPr="00653DCF">
        <w:rPr>
          <w:color w:val="auto"/>
          <w:lang w:val="hr-HR"/>
        </w:rPr>
        <w:t xml:space="preserve">koji, </w:t>
      </w:r>
      <w:r w:rsidR="00AC11D4" w:rsidRPr="00653DCF">
        <w:rPr>
          <w:color w:val="auto"/>
          <w:lang w:val="hr-HR"/>
        </w:rPr>
        <w:t xml:space="preserve">suprotno od izjave </w:t>
      </w:r>
      <w:r w:rsidR="001E1FB4" w:rsidRPr="00653DCF">
        <w:rPr>
          <w:color w:val="auto"/>
          <w:lang w:val="hr-HR"/>
        </w:rPr>
        <w:t xml:space="preserve">Zajmoprimca i/ili </w:t>
      </w:r>
      <w:r w:rsidR="00517F49" w:rsidRPr="00653DCF">
        <w:rPr>
          <w:color w:val="auto"/>
          <w:lang w:val="hr-HR"/>
        </w:rPr>
        <w:t>Nositelj</w:t>
      </w:r>
      <w:r w:rsidR="00AC11D4" w:rsidRPr="00653DCF">
        <w:rPr>
          <w:color w:val="auto"/>
          <w:lang w:val="hr-HR"/>
        </w:rPr>
        <w:t>a</w:t>
      </w:r>
      <w:r w:rsidR="00E87B0B" w:rsidRPr="00653DCF">
        <w:rPr>
          <w:color w:val="auto"/>
          <w:lang w:val="hr-HR"/>
        </w:rPr>
        <w:t xml:space="preserve"> </w:t>
      </w:r>
      <w:r w:rsidR="00F24EB0" w:rsidRPr="00653DCF">
        <w:rPr>
          <w:color w:val="auto"/>
          <w:lang w:val="hr-HR"/>
        </w:rPr>
        <w:t xml:space="preserve">dane </w:t>
      </w:r>
      <w:r w:rsidR="00E87B0B" w:rsidRPr="00653DCF">
        <w:rPr>
          <w:color w:val="auto"/>
          <w:lang w:val="hr-HR"/>
        </w:rPr>
        <w:t>uz bilo koji zahtjev za dodjelu</w:t>
      </w:r>
      <w:r w:rsidRPr="00653DCF">
        <w:rPr>
          <w:color w:val="auto"/>
          <w:lang w:val="hr-HR"/>
        </w:rPr>
        <w:t xml:space="preserve"> sredstava</w:t>
      </w:r>
      <w:r w:rsidR="00F24EB0" w:rsidRPr="00653DCF">
        <w:rPr>
          <w:color w:val="auto"/>
          <w:lang w:val="hr-HR"/>
        </w:rPr>
        <w:t xml:space="preserve"> za taj projekt</w:t>
      </w:r>
      <w:r w:rsidR="00E87B0B" w:rsidRPr="00653DCF">
        <w:rPr>
          <w:color w:val="auto"/>
          <w:lang w:val="hr-HR"/>
        </w:rPr>
        <w:t xml:space="preserve">, podliježe odgovarajućim postupcima procjene utjecaja na okoliš; ili </w:t>
      </w:r>
    </w:p>
    <w:p w14:paraId="5008F7BE" w14:textId="32762CEF" w:rsidR="007A2A6F" w:rsidRPr="00653DCF" w:rsidRDefault="00741C8B">
      <w:pPr>
        <w:widowControl w:val="0"/>
        <w:numPr>
          <w:ilvl w:val="2"/>
          <w:numId w:val="55"/>
        </w:numPr>
        <w:rPr>
          <w:color w:val="auto"/>
          <w:lang w:val="hr-HR"/>
        </w:rPr>
      </w:pPr>
      <w:r w:rsidRPr="00653DCF">
        <w:rPr>
          <w:color w:val="auto"/>
          <w:lang w:val="hr-HR"/>
        </w:rPr>
        <w:t xml:space="preserve">da je </w:t>
      </w:r>
      <w:r w:rsidR="001E1FB4" w:rsidRPr="00653DCF">
        <w:rPr>
          <w:color w:val="auto"/>
          <w:lang w:val="hr-HR"/>
        </w:rPr>
        <w:t xml:space="preserve">Zajmoprimac ili </w:t>
      </w:r>
      <w:r w:rsidR="007F5A15" w:rsidRPr="00653DCF">
        <w:rPr>
          <w:color w:val="auto"/>
          <w:lang w:val="hr-HR"/>
        </w:rPr>
        <w:t xml:space="preserve">Nositelj </w:t>
      </w:r>
      <w:r w:rsidR="00E87B0B" w:rsidRPr="00653DCF">
        <w:rPr>
          <w:color w:val="auto"/>
          <w:lang w:val="hr-HR"/>
        </w:rPr>
        <w:t xml:space="preserve">primijenio </w:t>
      </w:r>
      <w:r w:rsidRPr="00653DCF">
        <w:rPr>
          <w:color w:val="auto"/>
          <w:lang w:val="hr-HR"/>
        </w:rPr>
        <w:t xml:space="preserve">sredstva </w:t>
      </w:r>
      <w:r w:rsidR="000826D1" w:rsidRPr="00653DCF">
        <w:rPr>
          <w:color w:val="auto"/>
          <w:lang w:val="hr-HR"/>
        </w:rPr>
        <w:t xml:space="preserve">dobivena </w:t>
      </w:r>
      <w:r w:rsidR="00E87B0B" w:rsidRPr="00653DCF">
        <w:rPr>
          <w:color w:val="auto"/>
          <w:lang w:val="hr-HR"/>
        </w:rPr>
        <w:t xml:space="preserve">od </w:t>
      </w:r>
      <w:r w:rsidR="005E4E29" w:rsidRPr="00653DCF">
        <w:rPr>
          <w:color w:val="auto"/>
          <w:lang w:val="hr-HR"/>
        </w:rPr>
        <w:t>sredstava</w:t>
      </w:r>
      <w:r w:rsidR="00E87B0B" w:rsidRPr="00653DCF">
        <w:rPr>
          <w:color w:val="auto"/>
          <w:lang w:val="hr-HR"/>
        </w:rPr>
        <w:t xml:space="preserve"> EIB-a za financiranje </w:t>
      </w:r>
      <w:r w:rsidR="002C45E8" w:rsidRPr="00653DCF">
        <w:rPr>
          <w:color w:val="auto"/>
          <w:lang w:val="hr-HR"/>
        </w:rPr>
        <w:t xml:space="preserve">nekog </w:t>
      </w:r>
      <w:r w:rsidRPr="00653DCF">
        <w:rPr>
          <w:color w:val="auto"/>
          <w:lang w:val="hr-HR"/>
        </w:rPr>
        <w:t xml:space="preserve">investicijskog projekta za koji, ako je to </w:t>
      </w:r>
      <w:r w:rsidR="00E87B0B" w:rsidRPr="00653DCF">
        <w:rPr>
          <w:color w:val="auto"/>
          <w:lang w:val="hr-HR"/>
        </w:rPr>
        <w:t xml:space="preserve">primjenjivo, </w:t>
      </w:r>
      <w:r w:rsidRPr="00653DCF">
        <w:rPr>
          <w:color w:val="auto"/>
          <w:lang w:val="hr-HR"/>
        </w:rPr>
        <w:t xml:space="preserve">nisu provedeni </w:t>
      </w:r>
      <w:r w:rsidR="00E87B0B" w:rsidRPr="00653DCF">
        <w:rPr>
          <w:color w:val="auto"/>
          <w:lang w:val="hr-HR"/>
        </w:rPr>
        <w:t>relevantni postupci procjene utjecaja na okoliš ili procjen</w:t>
      </w:r>
      <w:r w:rsidR="000826D1" w:rsidRPr="00653DCF">
        <w:rPr>
          <w:color w:val="auto"/>
          <w:lang w:val="hr-HR"/>
        </w:rPr>
        <w:t>e</w:t>
      </w:r>
      <w:r w:rsidR="00E87B0B" w:rsidRPr="00653DCF">
        <w:rPr>
          <w:color w:val="auto"/>
          <w:lang w:val="hr-HR"/>
        </w:rPr>
        <w:t xml:space="preserve"> biološke raznolikosti u skladu s Direktivom o pticama i/ili Direktivom o staništima; i </w:t>
      </w:r>
    </w:p>
    <w:p w14:paraId="0981265F" w14:textId="0A2751A8" w:rsidR="007A2A6F" w:rsidRPr="00653DCF" w:rsidRDefault="00E87B0B">
      <w:pPr>
        <w:widowControl w:val="0"/>
        <w:numPr>
          <w:ilvl w:val="1"/>
          <w:numId w:val="55"/>
        </w:numPr>
        <w:rPr>
          <w:color w:val="auto"/>
          <w:lang w:val="hr-HR"/>
        </w:rPr>
      </w:pPr>
      <w:r w:rsidRPr="00653DCF">
        <w:rPr>
          <w:color w:val="auto"/>
          <w:lang w:val="hr-HR"/>
        </w:rPr>
        <w:t>„</w:t>
      </w:r>
      <w:r w:rsidRPr="00653DCF">
        <w:rPr>
          <w:b/>
          <w:bCs/>
          <w:color w:val="auto"/>
          <w:lang w:val="hr-HR"/>
        </w:rPr>
        <w:t xml:space="preserve">događaj </w:t>
      </w:r>
      <w:r w:rsidR="00762731" w:rsidRPr="00653DCF">
        <w:rPr>
          <w:b/>
          <w:bCs/>
          <w:color w:val="auto"/>
          <w:lang w:val="hr-HR"/>
        </w:rPr>
        <w:t>vezano za fondove EU-a</w:t>
      </w:r>
      <w:r w:rsidRPr="00653DCF">
        <w:rPr>
          <w:color w:val="auto"/>
          <w:lang w:val="hr-HR"/>
        </w:rPr>
        <w:t xml:space="preserve">” znači bilo što od sljedećeg </w:t>
      </w:r>
      <w:r w:rsidR="00743A03" w:rsidRPr="00653DCF">
        <w:rPr>
          <w:color w:val="auto"/>
          <w:lang w:val="hr-HR"/>
        </w:rPr>
        <w:t xml:space="preserve">koje je </w:t>
      </w:r>
      <w:r w:rsidRPr="00653DCF">
        <w:rPr>
          <w:color w:val="auto"/>
          <w:lang w:val="hr-HR"/>
        </w:rPr>
        <w:t>(</w:t>
      </w:r>
      <w:r w:rsidR="00743A03" w:rsidRPr="00653DCF">
        <w:rPr>
          <w:color w:val="auto"/>
          <w:lang w:val="hr-HR"/>
        </w:rPr>
        <w:t>u izravnoj ili neizravnoj</w:t>
      </w:r>
      <w:r w:rsidRPr="00653DCF">
        <w:rPr>
          <w:color w:val="auto"/>
          <w:lang w:val="hr-HR"/>
        </w:rPr>
        <w:t xml:space="preserve">) u vezi s bilo kojim </w:t>
      </w:r>
      <w:r w:rsidR="00762731" w:rsidRPr="00653DCF">
        <w:rPr>
          <w:color w:val="auto"/>
          <w:lang w:val="hr-HR"/>
        </w:rPr>
        <w:t>investicijskim projektom</w:t>
      </w:r>
      <w:r w:rsidRPr="00653DCF">
        <w:rPr>
          <w:color w:val="auto"/>
          <w:lang w:val="hr-HR"/>
        </w:rPr>
        <w:t>:</w:t>
      </w:r>
      <w:bookmarkEnd w:id="365"/>
    </w:p>
    <w:p w14:paraId="3AA9BA64" w14:textId="6180294B" w:rsidR="007A2A6F" w:rsidRPr="00653DCF" w:rsidRDefault="002C3E2C">
      <w:pPr>
        <w:widowControl w:val="0"/>
        <w:numPr>
          <w:ilvl w:val="2"/>
          <w:numId w:val="55"/>
        </w:numPr>
        <w:rPr>
          <w:color w:val="auto"/>
          <w:lang w:val="hr-HR"/>
        </w:rPr>
      </w:pPr>
      <w:r w:rsidRPr="00653DCF">
        <w:rPr>
          <w:color w:val="auto"/>
          <w:lang w:val="hr-HR"/>
        </w:rPr>
        <w:t>da je Z</w:t>
      </w:r>
      <w:r w:rsidR="00E87B0B" w:rsidRPr="00653DCF">
        <w:rPr>
          <w:color w:val="auto"/>
          <w:lang w:val="hr-HR"/>
        </w:rPr>
        <w:t xml:space="preserve">ajmoprimac dužan vratiti ili </w:t>
      </w:r>
      <w:r w:rsidRPr="00653DCF">
        <w:rPr>
          <w:color w:val="auto"/>
          <w:lang w:val="hr-HR"/>
        </w:rPr>
        <w:t xml:space="preserve">otplatiti </w:t>
      </w:r>
      <w:r w:rsidR="00E87B0B" w:rsidRPr="00653DCF">
        <w:rPr>
          <w:color w:val="auto"/>
          <w:lang w:val="hr-HR"/>
        </w:rPr>
        <w:t xml:space="preserve">bilo </w:t>
      </w:r>
      <w:r w:rsidR="007C4E76" w:rsidRPr="00653DCF">
        <w:rPr>
          <w:color w:val="auto"/>
          <w:lang w:val="hr-HR"/>
        </w:rPr>
        <w:t>koju uplatu</w:t>
      </w:r>
      <w:r w:rsidR="00E87B0B" w:rsidRPr="00653DCF">
        <w:rPr>
          <w:color w:val="auto"/>
          <w:lang w:val="hr-HR"/>
        </w:rPr>
        <w:t xml:space="preserve"> iz fondova EU-a u cijelosti ili djelomično kao rezultat povrata, financijskog ispravka ili sličnih postupaka pokrenutih zbog nepravilnosti u vezi s </w:t>
      </w:r>
      <w:r w:rsidR="007C4E76" w:rsidRPr="00653DCF">
        <w:rPr>
          <w:color w:val="auto"/>
          <w:lang w:val="hr-HR"/>
        </w:rPr>
        <w:t xml:space="preserve">takvom uplatom dobivenom </w:t>
      </w:r>
      <w:r w:rsidR="00E87B0B" w:rsidRPr="00653DCF">
        <w:rPr>
          <w:color w:val="auto"/>
          <w:lang w:val="hr-HR"/>
        </w:rPr>
        <w:t xml:space="preserve">iz fondova EU-a iz razloga koji se mogu pripisati Zajmoprimcu; ili </w:t>
      </w:r>
    </w:p>
    <w:p w14:paraId="1C606ACB" w14:textId="71A99B71" w:rsidR="007A2A6F" w:rsidRPr="00653DCF" w:rsidRDefault="00E87B0B">
      <w:pPr>
        <w:widowControl w:val="0"/>
        <w:numPr>
          <w:ilvl w:val="2"/>
          <w:numId w:val="55"/>
        </w:numPr>
        <w:rPr>
          <w:color w:val="auto"/>
          <w:lang w:val="hr-HR"/>
        </w:rPr>
      </w:pPr>
      <w:r w:rsidRPr="00653DCF">
        <w:rPr>
          <w:color w:val="auto"/>
          <w:lang w:val="hr-HR"/>
        </w:rPr>
        <w:t xml:space="preserve">osim </w:t>
      </w:r>
      <w:r w:rsidR="002C3E2C" w:rsidRPr="00653DCF">
        <w:rPr>
          <w:color w:val="auto"/>
          <w:lang w:val="hr-HR"/>
        </w:rPr>
        <w:t xml:space="preserve">iz </w:t>
      </w:r>
      <w:r w:rsidRPr="00653DCF">
        <w:rPr>
          <w:color w:val="auto"/>
          <w:lang w:val="hr-HR"/>
        </w:rPr>
        <w:t xml:space="preserve">razloga navedenih u prethodnoj točki (1), </w:t>
      </w:r>
      <w:r w:rsidR="002C3E2C" w:rsidRPr="00653DCF">
        <w:rPr>
          <w:color w:val="auto"/>
          <w:lang w:val="hr-HR"/>
        </w:rPr>
        <w:t xml:space="preserve">da su </w:t>
      </w:r>
      <w:r w:rsidRPr="00653DCF">
        <w:rPr>
          <w:color w:val="auto"/>
          <w:lang w:val="hr-HR"/>
        </w:rPr>
        <w:t xml:space="preserve">fondovi EU-a </w:t>
      </w:r>
      <w:r w:rsidR="002C3E2C" w:rsidRPr="00653DCF">
        <w:rPr>
          <w:color w:val="auto"/>
          <w:lang w:val="hr-HR"/>
        </w:rPr>
        <w:t xml:space="preserve">prestali </w:t>
      </w:r>
      <w:r w:rsidRPr="00653DCF">
        <w:rPr>
          <w:color w:val="auto"/>
          <w:lang w:val="hr-HR"/>
        </w:rPr>
        <w:t xml:space="preserve">biti dostupni ili su u cijelosti ili djelomično </w:t>
      </w:r>
      <w:r w:rsidR="007C4E76" w:rsidRPr="00653DCF">
        <w:rPr>
          <w:color w:val="auto"/>
          <w:lang w:val="hr-HR"/>
        </w:rPr>
        <w:t>obustavljeni</w:t>
      </w:r>
      <w:r w:rsidRPr="00653DCF">
        <w:rPr>
          <w:color w:val="auto"/>
          <w:lang w:val="hr-HR"/>
        </w:rPr>
        <w:t xml:space="preserve">, a </w:t>
      </w:r>
      <w:r w:rsidR="001E1FB4" w:rsidRPr="00653DCF">
        <w:rPr>
          <w:color w:val="auto"/>
          <w:lang w:val="hr-HR"/>
        </w:rPr>
        <w:t xml:space="preserve">Zajmoprimac ili </w:t>
      </w:r>
      <w:r w:rsidR="007F5A15" w:rsidRPr="00653DCF">
        <w:rPr>
          <w:color w:val="auto"/>
          <w:lang w:val="hr-HR"/>
        </w:rPr>
        <w:t>Nositelj</w:t>
      </w:r>
      <w:r w:rsidRPr="00653DCF">
        <w:rPr>
          <w:color w:val="auto"/>
          <w:lang w:val="hr-HR"/>
        </w:rPr>
        <w:t xml:space="preserve"> nije osigurao financiranje takvog </w:t>
      </w:r>
      <w:r w:rsidR="007C4E76" w:rsidRPr="00653DCF">
        <w:rPr>
          <w:color w:val="auto"/>
          <w:lang w:val="hr-HR"/>
        </w:rPr>
        <w:t xml:space="preserve">investicijskog projekta </w:t>
      </w:r>
      <w:r w:rsidRPr="00653DCF">
        <w:rPr>
          <w:color w:val="auto"/>
          <w:lang w:val="hr-HR"/>
        </w:rPr>
        <w:t xml:space="preserve">iz drugih sredstava na </w:t>
      </w:r>
      <w:r w:rsidR="007C4E76" w:rsidRPr="00653DCF">
        <w:rPr>
          <w:color w:val="auto"/>
          <w:lang w:val="hr-HR"/>
        </w:rPr>
        <w:t>način zadovoljavajući za Banku.</w:t>
      </w:r>
    </w:p>
    <w:p w14:paraId="54375BBD" w14:textId="12123E8F" w:rsidR="007A2A6F" w:rsidRPr="00653DCF" w:rsidRDefault="00E87B0B">
      <w:pPr>
        <w:widowControl w:val="0"/>
        <w:numPr>
          <w:ilvl w:val="0"/>
          <w:numId w:val="55"/>
        </w:numPr>
        <w:rPr>
          <w:color w:val="auto"/>
          <w:lang w:val="hr-HR"/>
        </w:rPr>
      </w:pPr>
      <w:r w:rsidRPr="00653DCF">
        <w:rPr>
          <w:color w:val="auto"/>
          <w:lang w:val="hr-HR"/>
        </w:rPr>
        <w:t xml:space="preserve">U slučaju zamjene bilo kojeg </w:t>
      </w:r>
      <w:r w:rsidR="00726FF8" w:rsidRPr="00653DCF">
        <w:rPr>
          <w:color w:val="auto"/>
          <w:lang w:val="hr-HR"/>
        </w:rPr>
        <w:t xml:space="preserve">investicijskog projekta na koji </w:t>
      </w:r>
      <w:r w:rsidR="00BB66E5" w:rsidRPr="00653DCF">
        <w:rPr>
          <w:color w:val="auto"/>
          <w:lang w:val="hr-HR"/>
        </w:rPr>
        <w:t xml:space="preserve">događaj </w:t>
      </w:r>
      <w:r w:rsidR="00726FF8" w:rsidRPr="00653DCF">
        <w:rPr>
          <w:color w:val="auto"/>
          <w:lang w:val="hr-HR"/>
        </w:rPr>
        <w:t>utječe nekim drugim investicijskim projektom</w:t>
      </w:r>
      <w:r w:rsidRPr="00653DCF">
        <w:rPr>
          <w:color w:val="auto"/>
          <w:lang w:val="hr-HR"/>
        </w:rPr>
        <w:t xml:space="preserve">, ne </w:t>
      </w:r>
      <w:r w:rsidR="00726FF8" w:rsidRPr="00653DCF">
        <w:rPr>
          <w:color w:val="auto"/>
          <w:lang w:val="hr-HR"/>
        </w:rPr>
        <w:t xml:space="preserve">primjenjuju se rokovi za dodjelu sredstava iz članka </w:t>
      </w:r>
      <w:r w:rsidRPr="00653DCF">
        <w:rPr>
          <w:color w:val="auto"/>
          <w:lang w:val="hr-HR"/>
        </w:rPr>
        <w:fldChar w:fldCharType="begin"/>
      </w:r>
      <w:r w:rsidRPr="00653DCF">
        <w:rPr>
          <w:color w:val="auto"/>
          <w:lang w:val="hr-HR"/>
        </w:rPr>
        <w:instrText xml:space="preserve"> REF _Ref440726568 \r \h  \* MERGEFORMAT </w:instrText>
      </w:r>
      <w:r w:rsidRPr="00653DCF">
        <w:rPr>
          <w:color w:val="auto"/>
          <w:lang w:val="hr-HR"/>
        </w:rPr>
      </w:r>
      <w:r w:rsidRPr="00653DCF">
        <w:rPr>
          <w:color w:val="auto"/>
          <w:lang w:val="hr-HR"/>
        </w:rPr>
        <w:fldChar w:fldCharType="separate"/>
      </w:r>
      <w:r w:rsidR="00E5391B">
        <w:rPr>
          <w:color w:val="auto"/>
          <w:lang w:val="hr-HR"/>
        </w:rPr>
        <w:t>1.9</w:t>
      </w:r>
      <w:r w:rsidRPr="00653DCF">
        <w:rPr>
          <w:color w:val="auto"/>
          <w:lang w:val="hr-HR"/>
        </w:rPr>
        <w:fldChar w:fldCharType="end"/>
      </w:r>
      <w:r w:rsidR="00726FF8" w:rsidRPr="00653DCF">
        <w:rPr>
          <w:color w:val="auto"/>
          <w:lang w:val="hr-HR"/>
        </w:rPr>
        <w:t>.</w:t>
      </w:r>
      <w:r w:rsidRPr="00653DCF">
        <w:rPr>
          <w:color w:val="auto"/>
          <w:lang w:val="hr-HR"/>
        </w:rPr>
        <w:t xml:space="preserve"> </w:t>
      </w:r>
      <w:r w:rsidR="0079495F" w:rsidRPr="00653DCF">
        <w:rPr>
          <w:color w:val="auto"/>
          <w:lang w:val="hr-HR"/>
        </w:rPr>
        <w:t>Zajmoprimac ili Nositelj</w:t>
      </w:r>
      <w:r w:rsidRPr="00653DCF">
        <w:rPr>
          <w:color w:val="auto"/>
          <w:lang w:val="hr-HR"/>
        </w:rPr>
        <w:t xml:space="preserve"> će Banci dostaviti popis takvih zamjena u obliku koji je </w:t>
      </w:r>
      <w:r w:rsidR="00726FF8" w:rsidRPr="00653DCF">
        <w:rPr>
          <w:color w:val="auto"/>
          <w:lang w:val="hr-HR"/>
        </w:rPr>
        <w:t>zadovoljavajući za Banku</w:t>
      </w:r>
      <w:r w:rsidRPr="00653DCF">
        <w:rPr>
          <w:color w:val="auto"/>
          <w:lang w:val="hr-HR"/>
        </w:rPr>
        <w:t>.</w:t>
      </w:r>
      <w:bookmarkEnd w:id="363"/>
      <w:bookmarkEnd w:id="364"/>
    </w:p>
    <w:p w14:paraId="34E0E3CA" w14:textId="3A8018F1" w:rsidR="007A2A6F" w:rsidRPr="00653DCF" w:rsidRDefault="00726FF8" w:rsidP="00613099">
      <w:pPr>
        <w:pStyle w:val="Heading3"/>
        <w:ind w:left="851"/>
        <w:rPr>
          <w:color w:val="auto"/>
          <w:lang w:val="hr-HR"/>
        </w:rPr>
      </w:pPr>
      <w:bookmarkStart w:id="366" w:name="_Toc440722225"/>
      <w:bookmarkStart w:id="367" w:name="_Toc440722417"/>
      <w:bookmarkStart w:id="368" w:name="_Toc440722607"/>
      <w:bookmarkStart w:id="369" w:name="_Toc440894483"/>
      <w:bookmarkStart w:id="370" w:name="_Toc440722226"/>
      <w:bookmarkStart w:id="371" w:name="_Toc440722418"/>
      <w:bookmarkStart w:id="372" w:name="_Toc440722608"/>
      <w:bookmarkStart w:id="373" w:name="_Toc440894484"/>
      <w:bookmarkEnd w:id="366"/>
      <w:bookmarkEnd w:id="367"/>
      <w:bookmarkEnd w:id="368"/>
      <w:bookmarkEnd w:id="369"/>
      <w:bookmarkEnd w:id="370"/>
      <w:bookmarkEnd w:id="371"/>
      <w:bookmarkEnd w:id="372"/>
      <w:bookmarkEnd w:id="373"/>
      <w:r w:rsidRPr="00653DCF">
        <w:rPr>
          <w:color w:val="auto"/>
          <w:lang w:val="hr-HR"/>
        </w:rPr>
        <w:t>Načini prijevremene otplate</w:t>
      </w:r>
    </w:p>
    <w:p w14:paraId="2C1F3F0D" w14:textId="5D9C15F0" w:rsidR="0069237D" w:rsidRPr="00653DCF" w:rsidRDefault="00A91458">
      <w:pPr>
        <w:rPr>
          <w:color w:val="auto"/>
          <w:lang w:val="hr-HR"/>
        </w:rPr>
      </w:pPr>
      <w:r w:rsidRPr="00653DCF">
        <w:rPr>
          <w:color w:val="auto"/>
          <w:lang w:val="hr-HR"/>
        </w:rPr>
        <w:t xml:space="preserve">Svaki iznos </w:t>
      </w:r>
      <w:r w:rsidR="0069237D" w:rsidRPr="00653DCF">
        <w:rPr>
          <w:color w:val="auto"/>
          <w:lang w:val="hr-HR"/>
        </w:rPr>
        <w:t xml:space="preserve">koji Banka </w:t>
      </w:r>
      <w:r w:rsidR="0016755E" w:rsidRPr="00653DCF">
        <w:rPr>
          <w:color w:val="auto"/>
          <w:lang w:val="hr-HR"/>
        </w:rPr>
        <w:t>potražuje</w:t>
      </w:r>
      <w:r w:rsidRPr="00653DCF">
        <w:rPr>
          <w:color w:val="auto"/>
          <w:lang w:val="hr-HR"/>
        </w:rPr>
        <w:t xml:space="preserve"> </w:t>
      </w:r>
      <w:r w:rsidR="0069237D" w:rsidRPr="00653DCF">
        <w:rPr>
          <w:color w:val="auto"/>
          <w:lang w:val="hr-HR"/>
        </w:rPr>
        <w:t>u skladu s člankom 4.3.A.</w:t>
      </w:r>
      <w:r w:rsidRPr="00653DCF">
        <w:rPr>
          <w:color w:val="auto"/>
          <w:lang w:val="hr-HR"/>
        </w:rPr>
        <w:t xml:space="preserve">, kao i sve </w:t>
      </w:r>
      <w:r w:rsidR="00A948BC" w:rsidRPr="00653DCF">
        <w:rPr>
          <w:color w:val="auto"/>
          <w:lang w:val="hr-HR"/>
        </w:rPr>
        <w:t>obračunate</w:t>
      </w:r>
      <w:r w:rsidRPr="00653DCF">
        <w:rPr>
          <w:color w:val="auto"/>
          <w:lang w:val="hr-HR"/>
        </w:rPr>
        <w:t xml:space="preserve"> kamate ili ostale dospjele ili nepodmirene iznose prema ovom Ugovoru</w:t>
      </w:r>
      <w:r w:rsidR="0069237D" w:rsidRPr="00653DCF">
        <w:rPr>
          <w:color w:val="auto"/>
          <w:lang w:val="hr-HR"/>
        </w:rPr>
        <w:t xml:space="preserve">, uključujući, bez ograničenja, </w:t>
      </w:r>
      <w:r w:rsidRPr="00653DCF">
        <w:rPr>
          <w:color w:val="auto"/>
          <w:lang w:val="hr-HR"/>
        </w:rPr>
        <w:t xml:space="preserve">i sve dospjele naknade na temelju </w:t>
      </w:r>
      <w:r w:rsidR="00D14C62" w:rsidRPr="00653DCF">
        <w:rPr>
          <w:color w:val="auto"/>
          <w:lang w:val="hr-HR"/>
        </w:rPr>
        <w:t>člank</w:t>
      </w:r>
      <w:r w:rsidRPr="00653DCF">
        <w:rPr>
          <w:color w:val="auto"/>
          <w:lang w:val="hr-HR"/>
        </w:rPr>
        <w:t>a</w:t>
      </w:r>
      <w:r w:rsidR="00D14C62" w:rsidRPr="00653DCF">
        <w:rPr>
          <w:color w:val="auto"/>
          <w:lang w:val="hr-HR"/>
        </w:rPr>
        <w:t xml:space="preserve"> 4.3.C., </w:t>
      </w:r>
      <w:r w:rsidRPr="00653DCF">
        <w:rPr>
          <w:color w:val="auto"/>
          <w:lang w:val="hr-HR"/>
        </w:rPr>
        <w:t xml:space="preserve">plaćaju se na datum koji </w:t>
      </w:r>
      <w:r w:rsidR="00D80512" w:rsidRPr="00653DCF">
        <w:rPr>
          <w:color w:val="auto"/>
          <w:lang w:val="hr-HR"/>
        </w:rPr>
        <w:t xml:space="preserve">Banka </w:t>
      </w:r>
      <w:r w:rsidRPr="00653DCF">
        <w:rPr>
          <w:color w:val="auto"/>
          <w:lang w:val="hr-HR"/>
        </w:rPr>
        <w:t>navede u svojoj obavijesti o zahtjevu.</w:t>
      </w:r>
    </w:p>
    <w:p w14:paraId="49605BEE" w14:textId="016529F1" w:rsidR="007A2A6F" w:rsidRPr="00653DCF" w:rsidRDefault="00A91458" w:rsidP="00613099">
      <w:pPr>
        <w:pStyle w:val="Heading3"/>
        <w:ind w:left="851"/>
        <w:rPr>
          <w:color w:val="auto"/>
          <w:lang w:val="hr-HR"/>
        </w:rPr>
      </w:pPr>
      <w:r w:rsidRPr="00653DCF">
        <w:rPr>
          <w:color w:val="auto"/>
          <w:lang w:val="hr-HR"/>
        </w:rPr>
        <w:lastRenderedPageBreak/>
        <w:t>Naknada za prijevremenu otplatu</w:t>
      </w:r>
    </w:p>
    <w:p w14:paraId="029AAD6D" w14:textId="47212670" w:rsidR="007A2A6F" w:rsidRPr="00653DCF" w:rsidRDefault="00E87B0B" w:rsidP="007555BC">
      <w:pPr>
        <w:pStyle w:val="Heading4"/>
        <w:ind w:left="851"/>
        <w:rPr>
          <w:color w:val="auto"/>
          <w:lang w:val="hr-HR"/>
        </w:rPr>
      </w:pPr>
      <w:r w:rsidRPr="00653DCF">
        <w:rPr>
          <w:color w:val="auto"/>
          <w:lang w:val="hr-HR"/>
        </w:rPr>
        <w:t xml:space="preserve">Tranša </w:t>
      </w:r>
      <w:r w:rsidR="00DA5F1A" w:rsidRPr="00653DCF">
        <w:rPr>
          <w:color w:val="auto"/>
          <w:lang w:val="hr-HR"/>
        </w:rPr>
        <w:t>S FIKSNOM KAMATNOM STOPOM</w:t>
      </w:r>
    </w:p>
    <w:p w14:paraId="7AF770C9" w14:textId="08E77D32" w:rsidR="002D740E" w:rsidRPr="00653DCF" w:rsidRDefault="002D740E">
      <w:pPr>
        <w:rPr>
          <w:color w:val="auto"/>
          <w:lang w:val="hr-HR"/>
        </w:rPr>
      </w:pPr>
      <w:r w:rsidRPr="00653DCF">
        <w:rPr>
          <w:color w:val="auto"/>
          <w:lang w:val="hr-HR"/>
        </w:rPr>
        <w:t xml:space="preserve">Ako Zajmoprimac prijevremeno </w:t>
      </w:r>
      <w:r w:rsidR="00671169" w:rsidRPr="00653DCF">
        <w:rPr>
          <w:color w:val="auto"/>
          <w:lang w:val="hr-HR"/>
        </w:rPr>
        <w:t xml:space="preserve">otplaćuje tranšu </w:t>
      </w:r>
      <w:r w:rsidR="00924CE0" w:rsidRPr="00653DCF">
        <w:rPr>
          <w:color w:val="auto"/>
          <w:lang w:val="hr-HR"/>
        </w:rPr>
        <w:t>s fiksnom kamatnom stopom</w:t>
      </w:r>
      <w:r w:rsidR="00671169" w:rsidRPr="00653DCF">
        <w:rPr>
          <w:color w:val="auto"/>
          <w:lang w:val="hr-HR"/>
        </w:rPr>
        <w:t>,</w:t>
      </w:r>
      <w:r w:rsidR="00924CE0" w:rsidRPr="00653DCF">
        <w:rPr>
          <w:color w:val="auto"/>
          <w:lang w:val="hr-HR"/>
        </w:rPr>
        <w:t xml:space="preserve"> u slučaju događaja prijevremene otplate uz naknadu Zajmoprimac </w:t>
      </w:r>
      <w:r w:rsidR="00671169" w:rsidRPr="00653DCF">
        <w:rPr>
          <w:color w:val="auto"/>
          <w:lang w:val="hr-HR"/>
        </w:rPr>
        <w:t>je dužan</w:t>
      </w:r>
      <w:r w:rsidR="00AC3F07" w:rsidRPr="00653DCF">
        <w:rPr>
          <w:color w:val="auto"/>
          <w:lang w:val="hr-HR"/>
        </w:rPr>
        <w:t>, na datum prijevremene otplate,</w:t>
      </w:r>
      <w:r w:rsidR="00671169" w:rsidRPr="00653DCF">
        <w:rPr>
          <w:color w:val="auto"/>
          <w:lang w:val="hr-HR"/>
        </w:rPr>
        <w:t xml:space="preserve"> </w:t>
      </w:r>
      <w:r w:rsidR="00AC3F07" w:rsidRPr="00653DCF">
        <w:rPr>
          <w:color w:val="auto"/>
          <w:lang w:val="hr-HR"/>
        </w:rPr>
        <w:t xml:space="preserve">platiti Banci </w:t>
      </w:r>
      <w:r w:rsidR="00671169" w:rsidRPr="00653DCF">
        <w:rPr>
          <w:color w:val="auto"/>
          <w:lang w:val="hr-HR"/>
        </w:rPr>
        <w:t xml:space="preserve">naknadu za prijevremenu otplatu vezano za tranšu s fiksnom kamatnom stopom koja se </w:t>
      </w:r>
      <w:r w:rsidR="00ED5232" w:rsidRPr="00653DCF">
        <w:rPr>
          <w:color w:val="auto"/>
          <w:lang w:val="hr-HR"/>
        </w:rPr>
        <w:t xml:space="preserve">prijevremeno </w:t>
      </w:r>
      <w:r w:rsidR="00671169" w:rsidRPr="00653DCF">
        <w:rPr>
          <w:color w:val="auto"/>
          <w:lang w:val="hr-HR"/>
        </w:rPr>
        <w:t>otplaćuje.</w:t>
      </w:r>
    </w:p>
    <w:p w14:paraId="512C85F5" w14:textId="0A104423" w:rsidR="007A2A6F" w:rsidRPr="00653DCF" w:rsidRDefault="00ED5232" w:rsidP="00613099">
      <w:pPr>
        <w:pStyle w:val="Heading4"/>
        <w:ind w:left="851"/>
        <w:rPr>
          <w:color w:val="auto"/>
          <w:lang w:val="hr-HR"/>
        </w:rPr>
      </w:pPr>
      <w:r w:rsidRPr="00653DCF">
        <w:rPr>
          <w:color w:val="auto"/>
          <w:lang w:val="hr-HR"/>
        </w:rPr>
        <w:t>TRANŠA S PROMJENJIVOM KAMATNOM STOPOM</w:t>
      </w:r>
    </w:p>
    <w:p w14:paraId="26CD10D0" w14:textId="7E41310D" w:rsidR="007A2A6F" w:rsidRPr="00653DCF" w:rsidRDefault="00E87B0B">
      <w:pPr>
        <w:rPr>
          <w:color w:val="auto"/>
          <w:lang w:val="hr-HR"/>
        </w:rPr>
      </w:pPr>
      <w:r w:rsidRPr="00653DCF">
        <w:rPr>
          <w:color w:val="auto"/>
          <w:lang w:val="hr-HR"/>
        </w:rPr>
        <w:t xml:space="preserve">Zajmoprimac može </w:t>
      </w:r>
      <w:r w:rsidR="00C42B66" w:rsidRPr="00653DCF">
        <w:rPr>
          <w:color w:val="auto"/>
          <w:lang w:val="hr-HR"/>
        </w:rPr>
        <w:t>bez naknade prijevremeno otplatiti tranšu s promjenjivom kamatnom stopom</w:t>
      </w:r>
      <w:r w:rsidRPr="00653DCF">
        <w:rPr>
          <w:color w:val="auto"/>
          <w:lang w:val="hr-HR"/>
        </w:rPr>
        <w:t>.</w:t>
      </w:r>
    </w:p>
    <w:p w14:paraId="55BEF047" w14:textId="77777777" w:rsidR="007A2A6F" w:rsidRPr="00653DCF" w:rsidRDefault="00E87B0B" w:rsidP="00613099">
      <w:pPr>
        <w:pStyle w:val="Heading2"/>
        <w:ind w:left="851"/>
        <w:rPr>
          <w:color w:val="auto"/>
          <w:lang w:val="hr-HR"/>
        </w:rPr>
      </w:pPr>
      <w:bookmarkStart w:id="374" w:name="_Ref426982424"/>
      <w:bookmarkStart w:id="375" w:name="_Ref427036978"/>
      <w:bookmarkStart w:id="376" w:name="_Toc475441152"/>
      <w:bookmarkStart w:id="377" w:name="_Toc498018647"/>
      <w:bookmarkStart w:id="378" w:name="_Toc508120509"/>
      <w:bookmarkStart w:id="379" w:name="_Toc126080699"/>
      <w:bookmarkStart w:id="380" w:name="_Toc126080831"/>
      <w:r w:rsidRPr="00653DCF">
        <w:rPr>
          <w:color w:val="auto"/>
          <w:lang w:val="hr-HR"/>
        </w:rPr>
        <w:t>Općenito</w:t>
      </w:r>
      <w:bookmarkEnd w:id="374"/>
      <w:bookmarkEnd w:id="375"/>
      <w:bookmarkEnd w:id="376"/>
      <w:bookmarkEnd w:id="377"/>
      <w:bookmarkEnd w:id="378"/>
      <w:bookmarkEnd w:id="379"/>
      <w:bookmarkEnd w:id="380"/>
    </w:p>
    <w:p w14:paraId="1914C9CF" w14:textId="0DDF1E03" w:rsidR="007A2A6F" w:rsidRPr="00653DCF" w:rsidRDefault="0059081C" w:rsidP="00613099">
      <w:pPr>
        <w:pStyle w:val="Heading3"/>
        <w:ind w:left="851"/>
        <w:rPr>
          <w:color w:val="auto"/>
          <w:lang w:val="hr-HR"/>
        </w:rPr>
      </w:pPr>
      <w:bookmarkStart w:id="381" w:name="_Toc508120510"/>
      <w:bookmarkStart w:id="382" w:name="_Toc126080700"/>
      <w:bookmarkStart w:id="383" w:name="_Toc126080832"/>
      <w:r w:rsidRPr="00653DCF">
        <w:rPr>
          <w:color w:val="auto"/>
          <w:lang w:val="hr-HR"/>
        </w:rPr>
        <w:t xml:space="preserve">Bez dovođenja u </w:t>
      </w:r>
      <w:r w:rsidR="0096176F" w:rsidRPr="00653DCF">
        <w:rPr>
          <w:color w:val="auto"/>
          <w:lang w:val="hr-HR"/>
        </w:rPr>
        <w:t xml:space="preserve">pitanje članka </w:t>
      </w:r>
      <w:r w:rsidR="00E87B0B" w:rsidRPr="00653DCF">
        <w:rPr>
          <w:color w:val="auto"/>
          <w:lang w:val="hr-HR"/>
        </w:rPr>
        <w:t>10.</w:t>
      </w:r>
      <w:bookmarkEnd w:id="381"/>
      <w:bookmarkEnd w:id="382"/>
      <w:bookmarkEnd w:id="383"/>
    </w:p>
    <w:p w14:paraId="4D8EC0E5" w14:textId="3D7A6143" w:rsidR="007A2A6F" w:rsidRPr="00653DCF" w:rsidRDefault="0096176F">
      <w:pPr>
        <w:rPr>
          <w:color w:val="auto"/>
          <w:lang w:val="hr-HR"/>
        </w:rPr>
      </w:pPr>
      <w:r w:rsidRPr="00653DCF">
        <w:rPr>
          <w:color w:val="auto"/>
          <w:lang w:val="hr-HR"/>
        </w:rPr>
        <w:t xml:space="preserve">Ovaj </w:t>
      </w:r>
      <w:r w:rsidR="00E87B0B" w:rsidRPr="00653DCF">
        <w:rPr>
          <w:color w:val="auto"/>
          <w:lang w:val="hr-HR"/>
        </w:rPr>
        <w:fldChar w:fldCharType="begin"/>
      </w:r>
      <w:r w:rsidR="00E87B0B" w:rsidRPr="00653DCF">
        <w:rPr>
          <w:color w:val="auto"/>
          <w:lang w:val="hr-HR"/>
        </w:rPr>
        <w:instrText xml:space="preserve"> REF _Ref427037135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0</w:t>
      </w:r>
      <w:r w:rsidR="00E87B0B" w:rsidRPr="00653DCF">
        <w:rPr>
          <w:color w:val="auto"/>
          <w:lang w:val="hr-HR"/>
        </w:rPr>
        <w:fldChar w:fldCharType="end"/>
      </w:r>
      <w:r w:rsidRPr="00653DCF">
        <w:rPr>
          <w:color w:val="auto"/>
          <w:lang w:val="hr-HR"/>
        </w:rPr>
        <w:t>.</w:t>
      </w:r>
      <w:r w:rsidR="00E87B0B" w:rsidRPr="00653DCF">
        <w:rPr>
          <w:color w:val="auto"/>
          <w:lang w:val="hr-HR"/>
        </w:rPr>
        <w:t xml:space="preserve"> </w:t>
      </w:r>
      <w:r w:rsidR="00A97897" w:rsidRPr="00653DCF">
        <w:rPr>
          <w:color w:val="auto"/>
          <w:lang w:val="hr-HR"/>
        </w:rPr>
        <w:t xml:space="preserve">ne </w:t>
      </w:r>
      <w:r w:rsidR="00E87B0B" w:rsidRPr="00653DCF">
        <w:rPr>
          <w:color w:val="auto"/>
          <w:lang w:val="hr-HR"/>
        </w:rPr>
        <w:t>dovodi u pitanje</w:t>
      </w:r>
      <w:r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_Ref426981731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0</w:t>
      </w:r>
      <w:r w:rsidR="00E87B0B" w:rsidRPr="00653DCF">
        <w:rPr>
          <w:color w:val="auto"/>
          <w:lang w:val="hr-HR"/>
        </w:rPr>
        <w:fldChar w:fldCharType="end"/>
      </w:r>
      <w:r w:rsidR="00E87B0B" w:rsidRPr="00653DCF">
        <w:rPr>
          <w:color w:val="auto"/>
          <w:lang w:val="hr-HR"/>
        </w:rPr>
        <w:t>.</w:t>
      </w:r>
    </w:p>
    <w:p w14:paraId="788B01F5" w14:textId="77777777" w:rsidR="007A2A6F" w:rsidRPr="00653DCF" w:rsidRDefault="00E87B0B" w:rsidP="00613099">
      <w:pPr>
        <w:pStyle w:val="Heading3"/>
        <w:ind w:left="851"/>
        <w:rPr>
          <w:color w:val="auto"/>
          <w:lang w:val="hr-HR"/>
        </w:rPr>
      </w:pPr>
      <w:bookmarkStart w:id="384" w:name="_Toc508120511"/>
      <w:bookmarkStart w:id="385" w:name="_Toc126080701"/>
      <w:bookmarkStart w:id="386" w:name="_Toc126080833"/>
      <w:r w:rsidRPr="00653DCF">
        <w:rPr>
          <w:color w:val="auto"/>
          <w:lang w:val="hr-HR"/>
        </w:rPr>
        <w:t>Bez ponovnog pozajmljivanja</w:t>
      </w:r>
      <w:bookmarkEnd w:id="384"/>
      <w:bookmarkEnd w:id="385"/>
      <w:bookmarkEnd w:id="386"/>
    </w:p>
    <w:p w14:paraId="07D6FC02" w14:textId="27B68AAB" w:rsidR="007A2A6F" w:rsidRPr="00653DCF" w:rsidRDefault="00E87B0B">
      <w:pPr>
        <w:rPr>
          <w:color w:val="auto"/>
          <w:lang w:val="hr-HR"/>
        </w:rPr>
      </w:pPr>
      <w:r w:rsidRPr="00653DCF">
        <w:rPr>
          <w:color w:val="auto"/>
          <w:lang w:val="hr-HR"/>
        </w:rPr>
        <w:t xml:space="preserve">Otplaćeni ili </w:t>
      </w:r>
      <w:r w:rsidR="0059081C" w:rsidRPr="00653DCF">
        <w:rPr>
          <w:color w:val="auto"/>
          <w:lang w:val="hr-HR"/>
        </w:rPr>
        <w:t xml:space="preserve">prijevremeno </w:t>
      </w:r>
      <w:r w:rsidR="006559DB" w:rsidRPr="00653DCF">
        <w:rPr>
          <w:color w:val="auto"/>
          <w:lang w:val="hr-HR"/>
        </w:rPr>
        <w:t>otplaćen</w:t>
      </w:r>
      <w:r w:rsidR="0059081C" w:rsidRPr="00653DCF">
        <w:rPr>
          <w:color w:val="auto"/>
          <w:lang w:val="hr-HR"/>
        </w:rPr>
        <w:t xml:space="preserve"> iznos ne može se ponovno pozajmiti</w:t>
      </w:r>
      <w:r w:rsidRPr="00653DCF">
        <w:rPr>
          <w:color w:val="auto"/>
          <w:lang w:val="hr-HR"/>
        </w:rPr>
        <w:t>.</w:t>
      </w:r>
    </w:p>
    <w:p w14:paraId="5D8E90B2" w14:textId="311E170F" w:rsidR="007A2A6F" w:rsidRPr="00653DCF" w:rsidRDefault="003D033E" w:rsidP="003D033E">
      <w:pPr>
        <w:pStyle w:val="Heading1"/>
        <w:numPr>
          <w:ilvl w:val="0"/>
          <w:numId w:val="0"/>
        </w:numPr>
        <w:rPr>
          <w:color w:val="auto"/>
          <w:lang w:val="hr-HR"/>
        </w:rPr>
      </w:pPr>
      <w:bookmarkStart w:id="387" w:name="_Toc475441153"/>
      <w:bookmarkStart w:id="388" w:name="_Toc498018648"/>
      <w:bookmarkStart w:id="389" w:name="_Toc508120512"/>
      <w:bookmarkStart w:id="390" w:name="_Toc126080702"/>
      <w:bookmarkStart w:id="391" w:name="_Toc126080834"/>
      <w:bookmarkEnd w:id="387"/>
      <w:bookmarkEnd w:id="388"/>
      <w:bookmarkEnd w:id="389"/>
      <w:bookmarkEnd w:id="390"/>
      <w:bookmarkEnd w:id="391"/>
      <w:r>
        <w:rPr>
          <w:color w:val="auto"/>
          <w:lang w:val="hr-HR"/>
        </w:rPr>
        <w:t>ČLANAK 5</w:t>
      </w:r>
      <w:r w:rsidR="009C2330">
        <w:rPr>
          <w:color w:val="auto"/>
          <w:lang w:val="hr-HR"/>
        </w:rPr>
        <w:t>.</w:t>
      </w:r>
    </w:p>
    <w:p w14:paraId="4151F0CE" w14:textId="77777777" w:rsidR="007A2A6F" w:rsidRPr="00653DCF" w:rsidRDefault="00E87B0B">
      <w:pPr>
        <w:pStyle w:val="ArticleTitleEIB"/>
        <w:rPr>
          <w:color w:val="auto"/>
          <w:lang w:val="hr-HR"/>
        </w:rPr>
      </w:pPr>
      <w:r w:rsidRPr="00653DCF">
        <w:rPr>
          <w:color w:val="auto"/>
          <w:lang w:val="hr-HR"/>
        </w:rPr>
        <w:t>Plaćanja</w:t>
      </w:r>
    </w:p>
    <w:p w14:paraId="5AD1518F" w14:textId="77777777" w:rsidR="003D033E" w:rsidRPr="003D033E" w:rsidRDefault="003D033E" w:rsidP="003D033E">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p>
    <w:p w14:paraId="7F8FD723" w14:textId="74E6F1A6" w:rsidR="007A2A6F" w:rsidRPr="00653DCF" w:rsidRDefault="00B7231D" w:rsidP="003D033E">
      <w:pPr>
        <w:pStyle w:val="Heading2"/>
        <w:ind w:left="851"/>
        <w:rPr>
          <w:lang w:val="hr-HR"/>
        </w:rPr>
      </w:pPr>
      <w:r w:rsidRPr="00653DCF">
        <w:rPr>
          <w:lang w:val="hr-HR"/>
        </w:rPr>
        <w:t>Pravila računanja dana</w:t>
      </w:r>
    </w:p>
    <w:p w14:paraId="4D94F357" w14:textId="1A81D17C" w:rsidR="00FC55DE" w:rsidRPr="00653DCF" w:rsidRDefault="00E87B0B">
      <w:pPr>
        <w:rPr>
          <w:color w:val="auto"/>
          <w:lang w:val="hr-HR"/>
        </w:rPr>
      </w:pPr>
      <w:r w:rsidRPr="00653DCF">
        <w:rPr>
          <w:color w:val="auto"/>
          <w:lang w:val="hr-HR"/>
        </w:rPr>
        <w:t xml:space="preserve">Svi iznosi </w:t>
      </w:r>
      <w:r w:rsidR="00FC55DE" w:rsidRPr="00653DCF">
        <w:rPr>
          <w:color w:val="auto"/>
          <w:lang w:val="hr-HR"/>
        </w:rPr>
        <w:t xml:space="preserve">koji se na temelju kamata, naknada ili </w:t>
      </w:r>
      <w:r w:rsidR="0068594A" w:rsidRPr="00653DCF">
        <w:rPr>
          <w:color w:val="auto"/>
          <w:lang w:val="hr-HR"/>
        </w:rPr>
        <w:t xml:space="preserve">naknada za odgodu </w:t>
      </w:r>
      <w:r w:rsidR="00246B73" w:rsidRPr="00653DCF">
        <w:rPr>
          <w:color w:val="auto"/>
          <w:lang w:val="hr-HR"/>
        </w:rPr>
        <w:t xml:space="preserve">potražuju </w:t>
      </w:r>
      <w:r w:rsidR="00FC55DE" w:rsidRPr="00653DCF">
        <w:rPr>
          <w:color w:val="auto"/>
          <w:lang w:val="hr-HR"/>
        </w:rPr>
        <w:t xml:space="preserve">od Zajmoprimca prema ovom Ugovoru, i koji se </w:t>
      </w:r>
      <w:r w:rsidR="00A97897" w:rsidRPr="00653DCF">
        <w:rPr>
          <w:color w:val="auto"/>
          <w:lang w:val="hr-HR"/>
        </w:rPr>
        <w:t>obračunavaju</w:t>
      </w:r>
      <w:r w:rsidR="00FC55DE" w:rsidRPr="00653DCF">
        <w:rPr>
          <w:color w:val="auto"/>
          <w:lang w:val="hr-HR"/>
        </w:rPr>
        <w:t xml:space="preserve"> za neki dio godine, određuju se uz primjenu sljedećih pravila:</w:t>
      </w:r>
    </w:p>
    <w:p w14:paraId="365656D3" w14:textId="2207AC77" w:rsidR="00B93D8F" w:rsidRPr="00653DCF" w:rsidRDefault="00FA255A">
      <w:pPr>
        <w:pStyle w:val="NoIndentEIB"/>
        <w:numPr>
          <w:ilvl w:val="0"/>
          <w:numId w:val="22"/>
        </w:numPr>
        <w:rPr>
          <w:color w:val="auto"/>
          <w:lang w:val="hr-HR"/>
        </w:rPr>
      </w:pPr>
      <w:bookmarkStart w:id="392" w:name="_Ref426952723"/>
      <w:r w:rsidRPr="00653DCF">
        <w:rPr>
          <w:color w:val="auto"/>
          <w:lang w:val="hr-HR"/>
        </w:rPr>
        <w:t>za tranšu s fiksnom kamatnom stopom</w:t>
      </w:r>
      <w:r w:rsidR="00B93D8F" w:rsidRPr="00653DCF">
        <w:rPr>
          <w:color w:val="auto"/>
          <w:lang w:val="hr-HR"/>
        </w:rPr>
        <w:t>, računa se godina od 360 (tristo šezdeset) dana i mjesec od 30 (trideset) dana; i</w:t>
      </w:r>
    </w:p>
    <w:p w14:paraId="20999F89" w14:textId="274096FB" w:rsidR="007A2A6F" w:rsidRPr="00653DCF" w:rsidRDefault="00A97897">
      <w:pPr>
        <w:pStyle w:val="NoIndentEIB"/>
        <w:numPr>
          <w:ilvl w:val="0"/>
          <w:numId w:val="22"/>
        </w:numPr>
        <w:rPr>
          <w:color w:val="auto"/>
          <w:lang w:val="hr-HR"/>
        </w:rPr>
      </w:pPr>
      <w:bookmarkStart w:id="393" w:name="_Ref426981522"/>
      <w:bookmarkEnd w:id="392"/>
      <w:r w:rsidRPr="00653DCF">
        <w:rPr>
          <w:color w:val="auto"/>
          <w:lang w:val="hr-HR"/>
        </w:rPr>
        <w:t xml:space="preserve">za </w:t>
      </w:r>
      <w:r w:rsidR="00E87B0B" w:rsidRPr="00653DCF">
        <w:rPr>
          <w:color w:val="auto"/>
          <w:lang w:val="hr-HR"/>
        </w:rPr>
        <w:t>tranš</w:t>
      </w:r>
      <w:r w:rsidRPr="00653DCF">
        <w:rPr>
          <w:color w:val="auto"/>
          <w:lang w:val="hr-HR"/>
        </w:rPr>
        <w:t>u s promjenjivom kamatnom stopom</w:t>
      </w:r>
      <w:r w:rsidR="00E87B0B" w:rsidRPr="00653DCF">
        <w:rPr>
          <w:color w:val="auto"/>
          <w:lang w:val="hr-HR"/>
        </w:rPr>
        <w:t xml:space="preserve">, </w:t>
      </w:r>
      <w:r w:rsidR="00755ED5" w:rsidRPr="00653DCF">
        <w:rPr>
          <w:color w:val="auto"/>
          <w:lang w:val="hr-HR"/>
        </w:rPr>
        <w:t xml:space="preserve">računa se </w:t>
      </w:r>
      <w:r w:rsidR="00E87B0B" w:rsidRPr="00653DCF">
        <w:rPr>
          <w:color w:val="auto"/>
          <w:lang w:val="hr-HR"/>
        </w:rPr>
        <w:t xml:space="preserve">godina od 360 (tristo šezdeset) dana za </w:t>
      </w:r>
      <w:r w:rsidRPr="00653DCF">
        <w:rPr>
          <w:color w:val="auto"/>
          <w:lang w:val="hr-HR"/>
        </w:rPr>
        <w:t>euro</w:t>
      </w:r>
      <w:r w:rsidR="00E87B0B" w:rsidRPr="00653DCF">
        <w:rPr>
          <w:color w:val="auto"/>
          <w:lang w:val="hr-HR"/>
        </w:rPr>
        <w:t xml:space="preserve"> i broj dana koji </w:t>
      </w:r>
      <w:bookmarkEnd w:id="393"/>
      <w:r w:rsidR="00883CE9" w:rsidRPr="00653DCF">
        <w:rPr>
          <w:color w:val="auto"/>
          <w:lang w:val="hr-HR"/>
        </w:rPr>
        <w:t>su protekli.</w:t>
      </w:r>
    </w:p>
    <w:p w14:paraId="408A0297" w14:textId="77777777" w:rsidR="007A2A6F" w:rsidRPr="00653DCF" w:rsidRDefault="00E87B0B" w:rsidP="00613099">
      <w:pPr>
        <w:pStyle w:val="Heading2"/>
        <w:ind w:left="851"/>
        <w:rPr>
          <w:color w:val="auto"/>
          <w:lang w:val="hr-HR"/>
        </w:rPr>
      </w:pPr>
      <w:bookmarkStart w:id="394" w:name="_Toc440722232"/>
      <w:bookmarkStart w:id="395" w:name="_Toc440722424"/>
      <w:bookmarkStart w:id="396" w:name="_Toc440722614"/>
      <w:bookmarkStart w:id="397" w:name="_Toc440894490"/>
      <w:bookmarkStart w:id="398" w:name="_Ref487642630"/>
      <w:bookmarkStart w:id="399" w:name="_Toc475441155"/>
      <w:bookmarkStart w:id="400" w:name="_Toc498018650"/>
      <w:bookmarkStart w:id="401" w:name="_Toc508120514"/>
      <w:bookmarkStart w:id="402" w:name="_Toc126080704"/>
      <w:bookmarkStart w:id="403" w:name="_Toc126080836"/>
      <w:bookmarkEnd w:id="394"/>
      <w:bookmarkEnd w:id="395"/>
      <w:bookmarkEnd w:id="396"/>
      <w:bookmarkEnd w:id="397"/>
      <w:r w:rsidRPr="00653DCF">
        <w:rPr>
          <w:color w:val="auto"/>
          <w:lang w:val="hr-HR"/>
        </w:rPr>
        <w:t>Vrijeme i mjesto plaćanja</w:t>
      </w:r>
      <w:bookmarkEnd w:id="398"/>
      <w:bookmarkEnd w:id="399"/>
      <w:bookmarkEnd w:id="400"/>
      <w:bookmarkEnd w:id="401"/>
      <w:bookmarkEnd w:id="402"/>
      <w:bookmarkEnd w:id="403"/>
    </w:p>
    <w:p w14:paraId="0CDC3A4B" w14:textId="602B2AC5" w:rsidR="003E3F17" w:rsidRPr="00653DCF" w:rsidRDefault="003E3F17">
      <w:pPr>
        <w:pStyle w:val="NoIndentEIB"/>
        <w:numPr>
          <w:ilvl w:val="0"/>
          <w:numId w:val="42"/>
        </w:numPr>
        <w:rPr>
          <w:color w:val="auto"/>
          <w:lang w:val="hr-HR"/>
        </w:rPr>
      </w:pPr>
      <w:r w:rsidRPr="00653DCF">
        <w:rPr>
          <w:color w:val="auto"/>
          <w:lang w:val="hr-HR"/>
        </w:rPr>
        <w:t xml:space="preserve">Ako nije </w:t>
      </w:r>
      <w:r w:rsidR="007F074D" w:rsidRPr="00653DCF">
        <w:rPr>
          <w:color w:val="auto"/>
          <w:lang w:val="hr-HR"/>
        </w:rPr>
        <w:t xml:space="preserve">drukčije navedeno u ovom Ugovoru ili </w:t>
      </w:r>
      <w:r w:rsidR="00883CE9" w:rsidRPr="00653DCF">
        <w:rPr>
          <w:color w:val="auto"/>
          <w:lang w:val="hr-HR"/>
        </w:rPr>
        <w:t xml:space="preserve">u </w:t>
      </w:r>
      <w:r w:rsidR="007F074D" w:rsidRPr="00653DCF">
        <w:rPr>
          <w:color w:val="auto"/>
          <w:lang w:val="hr-HR"/>
        </w:rPr>
        <w:t>zahtjevu Banke, svi iznosi, osim iznosa kamate, naknade i glavnice, trebaju se platiti u roku od 15 (petnaest) dana nakon što Zajmoprimac zaprimi zahtjev Banke.</w:t>
      </w:r>
    </w:p>
    <w:p w14:paraId="4AD6ACFF" w14:textId="52E4B66E" w:rsidR="007A2A6F" w:rsidRPr="00653DCF" w:rsidRDefault="00B47566" w:rsidP="00DA3B64">
      <w:pPr>
        <w:pStyle w:val="NoIndentEIB"/>
        <w:numPr>
          <w:ilvl w:val="0"/>
          <w:numId w:val="42"/>
        </w:numPr>
        <w:rPr>
          <w:color w:val="auto"/>
          <w:lang w:val="hr-HR"/>
        </w:rPr>
      </w:pPr>
      <w:r w:rsidRPr="00653DCF">
        <w:rPr>
          <w:color w:val="auto"/>
          <w:lang w:val="hr-HR"/>
        </w:rPr>
        <w:t xml:space="preserve">Svaki iznos koji je Zajmoprimac dužan platiti </w:t>
      </w:r>
      <w:r w:rsidR="006E2103" w:rsidRPr="00653DCF">
        <w:rPr>
          <w:color w:val="auto"/>
          <w:lang w:val="hr-HR"/>
        </w:rPr>
        <w:t xml:space="preserve">prema </w:t>
      </w:r>
      <w:r w:rsidRPr="00653DCF">
        <w:rPr>
          <w:color w:val="auto"/>
          <w:lang w:val="hr-HR"/>
        </w:rPr>
        <w:t>ovom Ugovoru plaća se na odgovarajući račun o kojem će Banka obavijestiti Zajmoprimca. Banka o tom računu obavještava najmanje 15 (petnaest) dana prije datuma dospijeća prve uplate Zajmoprimca</w:t>
      </w:r>
      <w:r w:rsidR="004B2DA9" w:rsidRPr="00653DCF">
        <w:rPr>
          <w:color w:val="auto"/>
          <w:lang w:val="hr-HR"/>
        </w:rPr>
        <w:t xml:space="preserve">, te o svakoj promjeni računa </w:t>
      </w:r>
      <w:r w:rsidR="006E2103" w:rsidRPr="00653DCF">
        <w:rPr>
          <w:color w:val="auto"/>
          <w:lang w:val="hr-HR"/>
        </w:rPr>
        <w:t xml:space="preserve">obavještava </w:t>
      </w:r>
      <w:r w:rsidR="004B2DA9" w:rsidRPr="00653DCF">
        <w:rPr>
          <w:color w:val="auto"/>
          <w:lang w:val="hr-HR"/>
        </w:rPr>
        <w:t xml:space="preserve">najmanje 15 (petnaest) dana prije datuma prve uplate na koju se </w:t>
      </w:r>
      <w:r w:rsidR="006E2103" w:rsidRPr="00653DCF">
        <w:rPr>
          <w:color w:val="auto"/>
          <w:lang w:val="hr-HR"/>
        </w:rPr>
        <w:t xml:space="preserve">ta </w:t>
      </w:r>
      <w:r w:rsidR="004B2DA9" w:rsidRPr="00653DCF">
        <w:rPr>
          <w:color w:val="auto"/>
          <w:lang w:val="hr-HR"/>
        </w:rPr>
        <w:t>promjena odnosi. Ova</w:t>
      </w:r>
      <w:r w:rsidR="006E2103" w:rsidRPr="00653DCF">
        <w:rPr>
          <w:color w:val="auto"/>
          <w:lang w:val="hr-HR"/>
        </w:rPr>
        <w:t>j</w:t>
      </w:r>
      <w:r w:rsidR="004B2DA9" w:rsidRPr="00653DCF">
        <w:rPr>
          <w:color w:val="auto"/>
          <w:lang w:val="hr-HR"/>
        </w:rPr>
        <w:t xml:space="preserve"> rok za obavijest ne odnosi se na uplate iz </w:t>
      </w:r>
      <w:r w:rsidR="00E87B0B" w:rsidRPr="00653DCF">
        <w:rPr>
          <w:color w:val="auto"/>
          <w:lang w:val="hr-HR"/>
        </w:rPr>
        <w:fldChar w:fldCharType="begin"/>
      </w:r>
      <w:r w:rsidR="00E87B0B" w:rsidRPr="00653DCF">
        <w:rPr>
          <w:color w:val="auto"/>
          <w:lang w:val="hr-HR"/>
        </w:rPr>
        <w:instrText xml:space="preserve"> REF _Ref426981731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0</w:t>
      </w:r>
      <w:r w:rsidR="00E87B0B" w:rsidRPr="00653DCF">
        <w:rPr>
          <w:color w:val="auto"/>
          <w:lang w:val="hr-HR"/>
        </w:rPr>
        <w:fldChar w:fldCharType="end"/>
      </w:r>
      <w:r w:rsidR="00E87B0B" w:rsidRPr="00653DCF">
        <w:rPr>
          <w:color w:val="auto"/>
          <w:lang w:val="hr-HR"/>
        </w:rPr>
        <w:t>.</w:t>
      </w:r>
    </w:p>
    <w:p w14:paraId="28B79698" w14:textId="26ABC919" w:rsidR="007A2A6F" w:rsidRPr="00653DCF" w:rsidRDefault="00E87B0B">
      <w:pPr>
        <w:pStyle w:val="NoIndentEIB"/>
        <w:numPr>
          <w:ilvl w:val="0"/>
          <w:numId w:val="42"/>
        </w:numPr>
        <w:rPr>
          <w:color w:val="auto"/>
          <w:lang w:val="hr-HR"/>
        </w:rPr>
      </w:pPr>
      <w:r w:rsidRPr="00653DCF">
        <w:rPr>
          <w:color w:val="auto"/>
          <w:lang w:val="hr-HR"/>
        </w:rPr>
        <w:t xml:space="preserve">Zajmoprimac </w:t>
      </w:r>
      <w:r w:rsidR="004B2DA9" w:rsidRPr="00653DCF">
        <w:rPr>
          <w:color w:val="auto"/>
          <w:lang w:val="hr-HR"/>
        </w:rPr>
        <w:t>u podacima o plaćanju za svaku uplatu koju izvrši na temelju ovog Ugovora</w:t>
      </w:r>
      <w:r w:rsidR="003D2DC4" w:rsidRPr="00653DCF">
        <w:rPr>
          <w:color w:val="auto"/>
          <w:lang w:val="hr-HR"/>
        </w:rPr>
        <w:t xml:space="preserve"> navodi broj Ugovora</w:t>
      </w:r>
      <w:r w:rsidRPr="00653DCF">
        <w:rPr>
          <w:color w:val="auto"/>
          <w:lang w:val="hr-HR"/>
        </w:rPr>
        <w:t>.</w:t>
      </w:r>
    </w:p>
    <w:p w14:paraId="26190489" w14:textId="1C364915" w:rsidR="007A2A6F" w:rsidRPr="00653DCF" w:rsidRDefault="00BB0C2A" w:rsidP="003D2DC4">
      <w:pPr>
        <w:pStyle w:val="NoIndentEIB"/>
        <w:numPr>
          <w:ilvl w:val="0"/>
          <w:numId w:val="42"/>
        </w:numPr>
        <w:rPr>
          <w:color w:val="auto"/>
          <w:lang w:val="hr-HR"/>
        </w:rPr>
      </w:pPr>
      <w:r w:rsidRPr="00653DCF">
        <w:rPr>
          <w:color w:val="auto"/>
          <w:lang w:val="hr-HR"/>
        </w:rPr>
        <w:t xml:space="preserve">Iznos koji je Zajmoprimac dužan platiti smatra se plaćenim onda kada ga </w:t>
      </w:r>
      <w:r w:rsidR="00E87B0B" w:rsidRPr="00653DCF">
        <w:rPr>
          <w:color w:val="auto"/>
          <w:lang w:val="hr-HR"/>
        </w:rPr>
        <w:t xml:space="preserve">Banka </w:t>
      </w:r>
      <w:r w:rsidR="003D2DC4" w:rsidRPr="00653DCF">
        <w:rPr>
          <w:color w:val="auto"/>
          <w:lang w:val="hr-HR"/>
        </w:rPr>
        <w:t>za</w:t>
      </w:r>
      <w:r w:rsidR="00E87B0B" w:rsidRPr="00653DCF">
        <w:rPr>
          <w:color w:val="auto"/>
          <w:lang w:val="hr-HR"/>
        </w:rPr>
        <w:t xml:space="preserve">primi. </w:t>
      </w:r>
    </w:p>
    <w:p w14:paraId="28CFC1E7" w14:textId="68DCDED6" w:rsidR="007A2A6F" w:rsidRPr="00653DCF" w:rsidRDefault="00E87B0B">
      <w:pPr>
        <w:pStyle w:val="NoIndentEIB"/>
        <w:numPr>
          <w:ilvl w:val="0"/>
          <w:numId w:val="42"/>
        </w:numPr>
        <w:rPr>
          <w:color w:val="auto"/>
          <w:lang w:val="hr-HR"/>
        </w:rPr>
      </w:pPr>
      <w:bookmarkStart w:id="404" w:name="_Ref487642617"/>
      <w:r w:rsidRPr="00653DCF">
        <w:rPr>
          <w:color w:val="auto"/>
          <w:lang w:val="hr-HR"/>
        </w:rPr>
        <w:lastRenderedPageBreak/>
        <w:t xml:space="preserve">Sve isplate </w:t>
      </w:r>
      <w:r w:rsidR="00F420DF" w:rsidRPr="00653DCF">
        <w:rPr>
          <w:color w:val="auto"/>
          <w:lang w:val="hr-HR"/>
        </w:rPr>
        <w:t xml:space="preserve">Banke i plaćanja prema Banci na temelju ovog Ugovora izvršavaju se </w:t>
      </w:r>
      <w:r w:rsidR="000630B5" w:rsidRPr="00653DCF">
        <w:rPr>
          <w:color w:val="auto"/>
          <w:lang w:val="hr-HR"/>
        </w:rPr>
        <w:t xml:space="preserve">na račun </w:t>
      </w:r>
      <w:bookmarkEnd w:id="404"/>
      <w:r w:rsidR="000630B5" w:rsidRPr="00653DCF">
        <w:rPr>
          <w:color w:val="auto"/>
          <w:lang w:val="hr-HR"/>
        </w:rPr>
        <w:t xml:space="preserve">za isplatu (za </w:t>
      </w:r>
      <w:r w:rsidR="009C1AD0" w:rsidRPr="00653DCF">
        <w:rPr>
          <w:color w:val="auto"/>
          <w:lang w:val="hr-HR"/>
        </w:rPr>
        <w:t xml:space="preserve">isplate </w:t>
      </w:r>
      <w:r w:rsidR="000630B5" w:rsidRPr="00653DCF">
        <w:rPr>
          <w:color w:val="auto"/>
          <w:lang w:val="hr-HR"/>
        </w:rPr>
        <w:t xml:space="preserve">od strane Banke) i na </w:t>
      </w:r>
      <w:r w:rsidR="009C1AD0" w:rsidRPr="00653DCF">
        <w:rPr>
          <w:color w:val="auto"/>
          <w:lang w:val="hr-HR"/>
        </w:rPr>
        <w:t>račun za plaćanja (za plaćanja prema Banci).</w:t>
      </w:r>
    </w:p>
    <w:p w14:paraId="454E955B" w14:textId="2404081F" w:rsidR="007A2A6F" w:rsidRPr="00653DCF" w:rsidRDefault="009C1AD0" w:rsidP="00613099">
      <w:pPr>
        <w:pStyle w:val="Heading2"/>
        <w:ind w:left="851"/>
        <w:rPr>
          <w:color w:val="auto"/>
          <w:lang w:val="hr-HR"/>
        </w:rPr>
      </w:pPr>
      <w:r w:rsidRPr="00653DCF">
        <w:rPr>
          <w:color w:val="auto"/>
          <w:lang w:val="hr-HR"/>
        </w:rPr>
        <w:t>Zabrana prijeboja od strane Zajmoprimca</w:t>
      </w:r>
    </w:p>
    <w:p w14:paraId="72C4A71C" w14:textId="05405D7C" w:rsidR="007A2A6F" w:rsidRPr="00653DCF" w:rsidRDefault="00CA1C26">
      <w:pPr>
        <w:rPr>
          <w:color w:val="auto"/>
          <w:lang w:val="hr-HR"/>
        </w:rPr>
      </w:pPr>
      <w:r w:rsidRPr="00653DCF">
        <w:rPr>
          <w:color w:val="auto"/>
          <w:lang w:val="hr-HR"/>
        </w:rPr>
        <w:t xml:space="preserve">Sva plaćanja koja Zajmoprimac treba izvršiti na temelju ovog Ugovora obračunavaju se i provode bez (odnosno bez ikakvih odbitaka </w:t>
      </w:r>
      <w:r w:rsidR="00D304CF" w:rsidRPr="00653DCF">
        <w:rPr>
          <w:color w:val="auto"/>
          <w:lang w:val="hr-HR"/>
        </w:rPr>
        <w:t>na ime) prijeboja ili protutražbine.</w:t>
      </w:r>
    </w:p>
    <w:p w14:paraId="7D4BE251" w14:textId="3F9833E2" w:rsidR="007A2A6F" w:rsidRPr="00653DCF" w:rsidRDefault="00D304CF" w:rsidP="00613099">
      <w:pPr>
        <w:pStyle w:val="Heading2"/>
        <w:ind w:left="851"/>
        <w:rPr>
          <w:color w:val="auto"/>
          <w:lang w:val="hr-HR"/>
        </w:rPr>
      </w:pPr>
      <w:bookmarkStart w:id="405" w:name="_Ref426591406"/>
      <w:bookmarkStart w:id="406" w:name="_Toc475441157"/>
      <w:bookmarkStart w:id="407" w:name="_Toc498018652"/>
      <w:bookmarkStart w:id="408" w:name="_Toc508120516"/>
      <w:bookmarkStart w:id="409" w:name="_Toc126080706"/>
      <w:bookmarkStart w:id="410" w:name="_Toc126080838"/>
      <w:r w:rsidRPr="00653DCF">
        <w:rPr>
          <w:color w:val="auto"/>
          <w:lang w:val="hr-HR"/>
        </w:rPr>
        <w:t>Narušavanja sustava plaćanja</w:t>
      </w:r>
      <w:bookmarkEnd w:id="405"/>
      <w:bookmarkEnd w:id="406"/>
      <w:bookmarkEnd w:id="407"/>
      <w:bookmarkEnd w:id="408"/>
      <w:bookmarkEnd w:id="409"/>
      <w:bookmarkEnd w:id="410"/>
    </w:p>
    <w:p w14:paraId="63363516" w14:textId="053276D4" w:rsidR="007A2A6F" w:rsidRPr="00653DCF" w:rsidRDefault="00E87B0B">
      <w:pPr>
        <w:rPr>
          <w:color w:val="auto"/>
          <w:lang w:val="hr-HR"/>
        </w:rPr>
      </w:pPr>
      <w:r w:rsidRPr="00653DCF">
        <w:rPr>
          <w:color w:val="auto"/>
          <w:lang w:val="hr-HR"/>
        </w:rPr>
        <w:t xml:space="preserve">Ako Banka utvrdi (prema </w:t>
      </w:r>
      <w:r w:rsidR="00E557EB" w:rsidRPr="00653DCF">
        <w:rPr>
          <w:color w:val="auto"/>
          <w:lang w:val="hr-HR"/>
        </w:rPr>
        <w:t>vlastitoj procjeni</w:t>
      </w:r>
      <w:r w:rsidRPr="00653DCF">
        <w:rPr>
          <w:color w:val="auto"/>
          <w:lang w:val="hr-HR"/>
        </w:rPr>
        <w:t xml:space="preserve">) da je </w:t>
      </w:r>
      <w:r w:rsidR="00E557EB" w:rsidRPr="00653DCF">
        <w:rPr>
          <w:color w:val="auto"/>
          <w:lang w:val="hr-HR"/>
        </w:rPr>
        <w:t xml:space="preserve">nastupio događaj narušavanja ili Zajmoprimac </w:t>
      </w:r>
      <w:r w:rsidRPr="00653DCF">
        <w:rPr>
          <w:color w:val="auto"/>
          <w:lang w:val="hr-HR"/>
        </w:rPr>
        <w:t xml:space="preserve">obavijesti Banku da je </w:t>
      </w:r>
      <w:r w:rsidR="00E557EB" w:rsidRPr="00653DCF">
        <w:rPr>
          <w:color w:val="auto"/>
          <w:lang w:val="hr-HR"/>
        </w:rPr>
        <w:t>nastupio događaj narušavanja</w:t>
      </w:r>
      <w:r w:rsidR="00671E88" w:rsidRPr="00653DCF">
        <w:rPr>
          <w:color w:val="auto"/>
          <w:lang w:val="hr-HR"/>
        </w:rPr>
        <w:t>:</w:t>
      </w:r>
    </w:p>
    <w:p w14:paraId="319F69FB" w14:textId="66C65250" w:rsidR="007A2A6F" w:rsidRPr="00653DCF" w:rsidRDefault="00E829AD">
      <w:pPr>
        <w:pStyle w:val="NoIndentEIB"/>
        <w:numPr>
          <w:ilvl w:val="0"/>
          <w:numId w:val="23"/>
        </w:numPr>
        <w:rPr>
          <w:color w:val="auto"/>
          <w:lang w:val="hr-HR"/>
        </w:rPr>
      </w:pPr>
      <w:bookmarkStart w:id="411" w:name="_Ref508890546"/>
      <w:r w:rsidRPr="00653DCF">
        <w:rPr>
          <w:color w:val="auto"/>
          <w:lang w:val="hr-HR"/>
        </w:rPr>
        <w:t>B</w:t>
      </w:r>
      <w:r w:rsidR="00E87B0B" w:rsidRPr="00653DCF">
        <w:rPr>
          <w:color w:val="auto"/>
          <w:lang w:val="hr-HR"/>
        </w:rPr>
        <w:t xml:space="preserve">anka </w:t>
      </w:r>
      <w:r w:rsidRPr="00653DCF">
        <w:rPr>
          <w:color w:val="auto"/>
          <w:lang w:val="hr-HR"/>
        </w:rPr>
        <w:t xml:space="preserve">se </w:t>
      </w:r>
      <w:r w:rsidR="00E87B0B" w:rsidRPr="00653DCF">
        <w:rPr>
          <w:color w:val="auto"/>
          <w:lang w:val="hr-HR"/>
        </w:rPr>
        <w:t xml:space="preserve">može, i </w:t>
      </w:r>
      <w:r w:rsidRPr="00653DCF">
        <w:rPr>
          <w:color w:val="auto"/>
          <w:lang w:val="hr-HR"/>
        </w:rPr>
        <w:t xml:space="preserve">mora ako to zatraži Zajmoprimac, </w:t>
      </w:r>
      <w:r w:rsidR="002E6411" w:rsidRPr="00653DCF">
        <w:rPr>
          <w:color w:val="auto"/>
          <w:lang w:val="hr-HR"/>
        </w:rPr>
        <w:t>po</w:t>
      </w:r>
      <w:r w:rsidRPr="00653DCF">
        <w:rPr>
          <w:color w:val="auto"/>
          <w:lang w:val="hr-HR"/>
        </w:rPr>
        <w:t>savjetovati sa Zajmoprimcem u</w:t>
      </w:r>
      <w:r w:rsidR="005A625E" w:rsidRPr="00653DCF">
        <w:rPr>
          <w:color w:val="auto"/>
          <w:lang w:val="hr-HR"/>
        </w:rPr>
        <w:t xml:space="preserve"> cilju postizanja suglasnosti o promjenama u izvršavanju ili provedbi</w:t>
      </w:r>
      <w:r w:rsidR="00B65478" w:rsidRPr="00653DCF">
        <w:rPr>
          <w:color w:val="auto"/>
          <w:lang w:val="hr-HR"/>
        </w:rPr>
        <w:t xml:space="preserve"> ovog Ugovora </w:t>
      </w:r>
      <w:r w:rsidR="00C11CFD" w:rsidRPr="00653DCF">
        <w:rPr>
          <w:color w:val="auto"/>
          <w:lang w:val="hr-HR"/>
        </w:rPr>
        <w:t>ako to</w:t>
      </w:r>
      <w:r w:rsidR="00AC6839" w:rsidRPr="00653DCF">
        <w:rPr>
          <w:color w:val="auto"/>
          <w:lang w:val="hr-HR"/>
        </w:rPr>
        <w:t xml:space="preserve"> </w:t>
      </w:r>
      <w:r w:rsidR="00B65478" w:rsidRPr="00653DCF">
        <w:rPr>
          <w:color w:val="auto"/>
          <w:lang w:val="hr-HR"/>
        </w:rPr>
        <w:t>Banka bude smatrala potrebnim u danim okolnostima</w:t>
      </w:r>
      <w:r w:rsidR="00E87B0B" w:rsidRPr="00653DCF">
        <w:rPr>
          <w:color w:val="auto"/>
          <w:lang w:val="hr-HR"/>
        </w:rPr>
        <w:t>;</w:t>
      </w:r>
      <w:bookmarkEnd w:id="411"/>
      <w:r w:rsidR="00E87B0B" w:rsidRPr="00653DCF">
        <w:rPr>
          <w:color w:val="auto"/>
          <w:lang w:val="hr-HR"/>
        </w:rPr>
        <w:t xml:space="preserve"> </w:t>
      </w:r>
    </w:p>
    <w:p w14:paraId="4BB1859E" w14:textId="3BA3477B" w:rsidR="007A2A6F" w:rsidRPr="00653DCF" w:rsidRDefault="00971508">
      <w:pPr>
        <w:pStyle w:val="NoIndentEIB"/>
        <w:numPr>
          <w:ilvl w:val="0"/>
          <w:numId w:val="23"/>
        </w:numPr>
        <w:rPr>
          <w:color w:val="auto"/>
          <w:lang w:val="hr-HR"/>
        </w:rPr>
      </w:pPr>
      <w:r w:rsidRPr="00653DCF">
        <w:rPr>
          <w:color w:val="auto"/>
          <w:lang w:val="hr-HR"/>
        </w:rPr>
        <w:t>B</w:t>
      </w:r>
      <w:r w:rsidR="00E87B0B" w:rsidRPr="00653DCF">
        <w:rPr>
          <w:color w:val="auto"/>
          <w:lang w:val="hr-HR"/>
        </w:rPr>
        <w:t xml:space="preserve">anka </w:t>
      </w:r>
      <w:r w:rsidR="003D58DE" w:rsidRPr="00653DCF">
        <w:rPr>
          <w:color w:val="auto"/>
          <w:lang w:val="hr-HR"/>
        </w:rPr>
        <w:t xml:space="preserve">se </w:t>
      </w:r>
      <w:r w:rsidRPr="00653DCF">
        <w:rPr>
          <w:color w:val="auto"/>
          <w:lang w:val="hr-HR"/>
        </w:rPr>
        <w:t xml:space="preserve">neće biti obvezna </w:t>
      </w:r>
      <w:r w:rsidR="003D58DE" w:rsidRPr="00653DCF">
        <w:rPr>
          <w:color w:val="auto"/>
          <w:lang w:val="hr-HR"/>
        </w:rPr>
        <w:t>po</w:t>
      </w:r>
      <w:r w:rsidRPr="00653DCF">
        <w:rPr>
          <w:color w:val="auto"/>
          <w:lang w:val="hr-HR"/>
        </w:rPr>
        <w:t xml:space="preserve">savjetovati sa Zajmoprimcem </w:t>
      </w:r>
      <w:r w:rsidR="00AC6839" w:rsidRPr="00653DCF">
        <w:rPr>
          <w:color w:val="auto"/>
          <w:lang w:val="hr-HR"/>
        </w:rPr>
        <w:t xml:space="preserve">vezano za bilo koje </w:t>
      </w:r>
      <w:r w:rsidRPr="00653DCF">
        <w:rPr>
          <w:color w:val="auto"/>
          <w:lang w:val="hr-HR"/>
        </w:rPr>
        <w:t>promjen</w:t>
      </w:r>
      <w:r w:rsidR="00AC6839" w:rsidRPr="00653DCF">
        <w:rPr>
          <w:color w:val="auto"/>
          <w:lang w:val="hr-HR"/>
        </w:rPr>
        <w:t>e</w:t>
      </w:r>
      <w:r w:rsidRPr="00653DCF">
        <w:rPr>
          <w:color w:val="auto"/>
          <w:lang w:val="hr-HR"/>
        </w:rPr>
        <w:t xml:space="preserve"> </w:t>
      </w:r>
      <w:r w:rsidR="0089671F" w:rsidRPr="00653DCF">
        <w:rPr>
          <w:color w:val="auto"/>
          <w:lang w:val="hr-HR"/>
        </w:rPr>
        <w:t>spomenut</w:t>
      </w:r>
      <w:r w:rsidR="00AC6839" w:rsidRPr="00653DCF">
        <w:rPr>
          <w:color w:val="auto"/>
          <w:lang w:val="hr-HR"/>
        </w:rPr>
        <w:t>e</w:t>
      </w:r>
      <w:r w:rsidR="0089671F" w:rsidRPr="00653DCF">
        <w:rPr>
          <w:color w:val="auto"/>
          <w:lang w:val="hr-HR"/>
        </w:rPr>
        <w:t xml:space="preserve"> u </w:t>
      </w:r>
      <w:r w:rsidR="00912DC4" w:rsidRPr="00653DCF">
        <w:rPr>
          <w:color w:val="auto"/>
          <w:lang w:val="hr-HR"/>
        </w:rPr>
        <w:t xml:space="preserve">stavku </w:t>
      </w:r>
      <w:r w:rsidR="0089671F" w:rsidRPr="00653DCF">
        <w:rPr>
          <w:color w:val="auto"/>
          <w:lang w:val="hr-HR"/>
        </w:rPr>
        <w:t xml:space="preserve">(a) ako, po </w:t>
      </w:r>
      <w:r w:rsidR="00AC6839" w:rsidRPr="00653DCF">
        <w:rPr>
          <w:color w:val="auto"/>
          <w:lang w:val="hr-HR"/>
        </w:rPr>
        <w:t xml:space="preserve">njenom </w:t>
      </w:r>
      <w:r w:rsidR="0089671F" w:rsidRPr="00653DCF">
        <w:rPr>
          <w:color w:val="auto"/>
          <w:lang w:val="hr-HR"/>
        </w:rPr>
        <w:t>mišljenju, to ne bude izvedivo u dan</w:t>
      </w:r>
      <w:r w:rsidR="00821B87" w:rsidRPr="00653DCF">
        <w:rPr>
          <w:color w:val="auto"/>
          <w:lang w:val="hr-HR"/>
        </w:rPr>
        <w:t>i</w:t>
      </w:r>
      <w:r w:rsidR="0089671F" w:rsidRPr="00653DCF">
        <w:rPr>
          <w:color w:val="auto"/>
          <w:lang w:val="hr-HR"/>
        </w:rPr>
        <w:t xml:space="preserve">m okolnostima </w:t>
      </w:r>
      <w:r w:rsidR="00AC6839" w:rsidRPr="00653DCF">
        <w:rPr>
          <w:color w:val="auto"/>
          <w:lang w:val="hr-HR"/>
        </w:rPr>
        <w:t xml:space="preserve">i </w:t>
      </w:r>
      <w:r w:rsidR="00821B87" w:rsidRPr="00653DCF">
        <w:rPr>
          <w:color w:val="auto"/>
          <w:lang w:val="hr-HR"/>
        </w:rPr>
        <w:t xml:space="preserve">ni u kojem slučaju neće imati </w:t>
      </w:r>
      <w:r w:rsidR="00912DC4" w:rsidRPr="00653DCF">
        <w:rPr>
          <w:color w:val="auto"/>
          <w:lang w:val="hr-HR"/>
        </w:rPr>
        <w:t xml:space="preserve">bilo kakvu </w:t>
      </w:r>
      <w:r w:rsidR="00821B87" w:rsidRPr="00653DCF">
        <w:rPr>
          <w:color w:val="auto"/>
          <w:lang w:val="hr-HR"/>
        </w:rPr>
        <w:t xml:space="preserve">obvezu </w:t>
      </w:r>
      <w:r w:rsidR="00DD32BF" w:rsidRPr="00653DCF">
        <w:rPr>
          <w:color w:val="auto"/>
          <w:lang w:val="hr-HR"/>
        </w:rPr>
        <w:t>suglasiti se s takvim promjenama</w:t>
      </w:r>
      <w:r w:rsidR="00821B87" w:rsidRPr="00653DCF">
        <w:rPr>
          <w:color w:val="auto"/>
          <w:lang w:val="hr-HR"/>
        </w:rPr>
        <w:t xml:space="preserve">; i </w:t>
      </w:r>
    </w:p>
    <w:p w14:paraId="745FEA84" w14:textId="09F4EA8D" w:rsidR="007A2A6F" w:rsidRPr="00653DCF" w:rsidRDefault="00821B87" w:rsidP="004F4F1D">
      <w:pPr>
        <w:pStyle w:val="NoIndentEIB"/>
        <w:numPr>
          <w:ilvl w:val="0"/>
          <w:numId w:val="23"/>
        </w:numPr>
        <w:rPr>
          <w:color w:val="auto"/>
          <w:lang w:val="hr-HR"/>
        </w:rPr>
      </w:pPr>
      <w:r w:rsidRPr="00653DCF">
        <w:rPr>
          <w:color w:val="auto"/>
          <w:lang w:val="hr-HR"/>
        </w:rPr>
        <w:t>B</w:t>
      </w:r>
      <w:r w:rsidR="00AC6839" w:rsidRPr="00653DCF">
        <w:rPr>
          <w:color w:val="auto"/>
          <w:lang w:val="hr-HR"/>
        </w:rPr>
        <w:t>anka</w:t>
      </w:r>
      <w:r w:rsidRPr="00653DCF">
        <w:rPr>
          <w:color w:val="auto"/>
          <w:lang w:val="hr-HR"/>
        </w:rPr>
        <w:t xml:space="preserve"> neće biti odgovorna ni za kakve štete, troškove ili gubitke koji nastanu </w:t>
      </w:r>
      <w:r w:rsidR="00AC6839" w:rsidRPr="00653DCF">
        <w:rPr>
          <w:color w:val="auto"/>
          <w:lang w:val="hr-HR"/>
        </w:rPr>
        <w:t xml:space="preserve">uslijed </w:t>
      </w:r>
      <w:r w:rsidRPr="00653DCF">
        <w:rPr>
          <w:color w:val="auto"/>
          <w:lang w:val="hr-HR"/>
        </w:rPr>
        <w:t xml:space="preserve">događaja </w:t>
      </w:r>
      <w:r w:rsidR="004F4F1D" w:rsidRPr="00653DCF">
        <w:rPr>
          <w:color w:val="auto"/>
          <w:lang w:val="hr-HR"/>
        </w:rPr>
        <w:t>narušavanja</w:t>
      </w:r>
      <w:r w:rsidRPr="00653DCF">
        <w:rPr>
          <w:color w:val="auto"/>
          <w:lang w:val="hr-HR"/>
        </w:rPr>
        <w:t xml:space="preserve"> </w:t>
      </w:r>
      <w:r w:rsidR="004F4F1D" w:rsidRPr="00653DCF">
        <w:rPr>
          <w:color w:val="auto"/>
          <w:lang w:val="hr-HR"/>
        </w:rPr>
        <w:t xml:space="preserve">ili </w:t>
      </w:r>
      <w:r w:rsidR="00AC6839" w:rsidRPr="00653DCF">
        <w:rPr>
          <w:color w:val="auto"/>
          <w:lang w:val="hr-HR"/>
        </w:rPr>
        <w:t xml:space="preserve">vezano </w:t>
      </w:r>
      <w:r w:rsidR="004F4F1D" w:rsidRPr="00653DCF">
        <w:rPr>
          <w:color w:val="auto"/>
          <w:lang w:val="hr-HR"/>
        </w:rPr>
        <w:t xml:space="preserve">za poduzimanje ili nepoduzimanje bilo </w:t>
      </w:r>
      <w:r w:rsidR="00AC6839" w:rsidRPr="00653DCF">
        <w:rPr>
          <w:color w:val="auto"/>
          <w:lang w:val="hr-HR"/>
        </w:rPr>
        <w:t xml:space="preserve">kakvih radnji </w:t>
      </w:r>
      <w:r w:rsidR="004F4F1D" w:rsidRPr="00653DCF">
        <w:rPr>
          <w:color w:val="auto"/>
          <w:lang w:val="hr-HR"/>
        </w:rPr>
        <w:t xml:space="preserve">na temelju ili u vezi s ovim člankom </w:t>
      </w:r>
      <w:r w:rsidR="00E87B0B" w:rsidRPr="00653DCF">
        <w:rPr>
          <w:color w:val="auto"/>
          <w:lang w:val="hr-HR"/>
        </w:rPr>
        <w:fldChar w:fldCharType="begin"/>
      </w:r>
      <w:r w:rsidR="00E87B0B" w:rsidRPr="00653DCF">
        <w:rPr>
          <w:color w:val="auto"/>
          <w:lang w:val="hr-HR"/>
        </w:rPr>
        <w:instrText xml:space="preserve"> REF _Ref426591406 \r \h  \* MERGEFORMAT </w:instrText>
      </w:r>
      <w:r w:rsidR="00E87B0B" w:rsidRPr="00653DCF">
        <w:rPr>
          <w:color w:val="auto"/>
          <w:lang w:val="hr-HR"/>
        </w:rPr>
      </w:r>
      <w:r w:rsidR="00E87B0B" w:rsidRPr="00653DCF">
        <w:rPr>
          <w:color w:val="auto"/>
          <w:lang w:val="hr-HR"/>
        </w:rPr>
        <w:fldChar w:fldCharType="separate"/>
      </w:r>
      <w:r w:rsidR="00E5391B">
        <w:rPr>
          <w:color w:val="auto"/>
          <w:lang w:val="hr-HR"/>
        </w:rPr>
        <w:t>5.4</w:t>
      </w:r>
      <w:r w:rsidR="00E87B0B" w:rsidRPr="00653DCF">
        <w:rPr>
          <w:color w:val="auto"/>
          <w:lang w:val="hr-HR"/>
        </w:rPr>
        <w:fldChar w:fldCharType="end"/>
      </w:r>
      <w:r w:rsidR="00E87B0B" w:rsidRPr="00653DCF">
        <w:rPr>
          <w:color w:val="auto"/>
          <w:lang w:val="hr-HR"/>
        </w:rPr>
        <w:t xml:space="preserve">. </w:t>
      </w:r>
    </w:p>
    <w:p w14:paraId="1EB4CE47" w14:textId="5CF958B2" w:rsidR="007A2A6F" w:rsidRPr="00653DCF" w:rsidRDefault="00AB43B7" w:rsidP="00613099">
      <w:pPr>
        <w:pStyle w:val="Heading2"/>
        <w:ind w:left="851"/>
        <w:rPr>
          <w:color w:val="auto"/>
          <w:lang w:val="hr-HR"/>
        </w:rPr>
      </w:pPr>
      <w:bookmarkStart w:id="412" w:name="_Toc475441158"/>
      <w:bookmarkStart w:id="413" w:name="_Toc498018653"/>
      <w:bookmarkStart w:id="414" w:name="_Toc508120517"/>
      <w:bookmarkStart w:id="415" w:name="_Toc126080707"/>
      <w:bookmarkStart w:id="416" w:name="_Toc126080839"/>
      <w:r w:rsidRPr="00653DCF">
        <w:rPr>
          <w:color w:val="auto"/>
          <w:lang w:val="hr-HR"/>
        </w:rPr>
        <w:t>Raspodjela</w:t>
      </w:r>
      <w:r w:rsidR="00E87B0B" w:rsidRPr="00653DCF">
        <w:rPr>
          <w:color w:val="auto"/>
          <w:lang w:val="hr-HR"/>
        </w:rPr>
        <w:t xml:space="preserve"> primljenih </w:t>
      </w:r>
      <w:bookmarkEnd w:id="412"/>
      <w:bookmarkEnd w:id="413"/>
      <w:bookmarkEnd w:id="414"/>
      <w:bookmarkEnd w:id="415"/>
      <w:bookmarkEnd w:id="416"/>
      <w:r w:rsidRPr="00653DCF">
        <w:rPr>
          <w:color w:val="auto"/>
          <w:lang w:val="hr-HR"/>
        </w:rPr>
        <w:t>sredstava</w:t>
      </w:r>
    </w:p>
    <w:p w14:paraId="195A4B18" w14:textId="77777777" w:rsidR="007A2A6F" w:rsidRPr="00653DCF" w:rsidRDefault="00E87B0B" w:rsidP="00613099">
      <w:pPr>
        <w:pStyle w:val="Heading3"/>
        <w:ind w:left="851"/>
        <w:rPr>
          <w:color w:val="auto"/>
          <w:lang w:val="hr-HR"/>
        </w:rPr>
      </w:pPr>
      <w:bookmarkStart w:id="417" w:name="_Toc475441159"/>
      <w:bookmarkStart w:id="418" w:name="_Toc498018654"/>
      <w:bookmarkStart w:id="419" w:name="_Toc508120518"/>
      <w:bookmarkStart w:id="420" w:name="_Toc126080708"/>
      <w:bookmarkStart w:id="421" w:name="_Toc126080840"/>
      <w:r w:rsidRPr="00653DCF">
        <w:rPr>
          <w:color w:val="auto"/>
          <w:lang w:val="hr-HR"/>
        </w:rPr>
        <w:t>Općenito</w:t>
      </w:r>
      <w:bookmarkEnd w:id="417"/>
      <w:bookmarkEnd w:id="418"/>
      <w:bookmarkEnd w:id="419"/>
      <w:bookmarkEnd w:id="420"/>
      <w:bookmarkEnd w:id="421"/>
    </w:p>
    <w:p w14:paraId="37FF8E44" w14:textId="4B706EC8" w:rsidR="007A2A6F" w:rsidRPr="00653DCF" w:rsidRDefault="00E87B0B">
      <w:pPr>
        <w:rPr>
          <w:color w:val="auto"/>
          <w:lang w:val="hr-HR"/>
        </w:rPr>
      </w:pPr>
      <w:r w:rsidRPr="00653DCF">
        <w:rPr>
          <w:color w:val="auto"/>
          <w:lang w:val="hr-HR"/>
        </w:rPr>
        <w:t xml:space="preserve">Iznosi </w:t>
      </w:r>
      <w:r w:rsidR="00BE45B4" w:rsidRPr="00653DCF">
        <w:rPr>
          <w:color w:val="auto"/>
          <w:lang w:val="hr-HR"/>
        </w:rPr>
        <w:t>za</w:t>
      </w:r>
      <w:r w:rsidRPr="00653DCF">
        <w:rPr>
          <w:color w:val="auto"/>
          <w:lang w:val="hr-HR"/>
        </w:rPr>
        <w:t xml:space="preserve">primljeni od Zajmoprimca ispunjavaju </w:t>
      </w:r>
      <w:r w:rsidR="00AB43B7" w:rsidRPr="00653DCF">
        <w:rPr>
          <w:color w:val="auto"/>
          <w:lang w:val="hr-HR"/>
        </w:rPr>
        <w:t xml:space="preserve">njegove </w:t>
      </w:r>
      <w:r w:rsidRPr="00653DCF">
        <w:rPr>
          <w:color w:val="auto"/>
          <w:lang w:val="hr-HR"/>
        </w:rPr>
        <w:t xml:space="preserve">obveze plaćanja samo ako su </w:t>
      </w:r>
      <w:r w:rsidR="00A632F1" w:rsidRPr="00653DCF">
        <w:rPr>
          <w:color w:val="auto"/>
          <w:lang w:val="hr-HR"/>
        </w:rPr>
        <w:t>za</w:t>
      </w:r>
      <w:r w:rsidRPr="00653DCF">
        <w:rPr>
          <w:color w:val="auto"/>
          <w:lang w:val="hr-HR"/>
        </w:rPr>
        <w:t xml:space="preserve">primljeni u skladu s uvjetima ovog Ugovora. </w:t>
      </w:r>
    </w:p>
    <w:p w14:paraId="6201A988" w14:textId="77777777" w:rsidR="007A2A6F" w:rsidRPr="00653DCF" w:rsidRDefault="00E87B0B" w:rsidP="00613099">
      <w:pPr>
        <w:pStyle w:val="Heading3"/>
        <w:ind w:left="851"/>
        <w:rPr>
          <w:color w:val="auto"/>
          <w:lang w:val="hr-HR"/>
        </w:rPr>
      </w:pPr>
      <w:bookmarkStart w:id="422" w:name="_Toc475441160"/>
      <w:bookmarkStart w:id="423" w:name="_Toc498018655"/>
      <w:bookmarkStart w:id="424" w:name="_Toc508120519"/>
      <w:bookmarkStart w:id="425" w:name="_Toc126080709"/>
      <w:bookmarkStart w:id="426" w:name="_Toc126080841"/>
      <w:r w:rsidRPr="00653DCF">
        <w:rPr>
          <w:color w:val="auto"/>
          <w:lang w:val="hr-HR"/>
        </w:rPr>
        <w:t>Djelomična plaćanja</w:t>
      </w:r>
      <w:bookmarkEnd w:id="422"/>
      <w:bookmarkEnd w:id="423"/>
      <w:bookmarkEnd w:id="424"/>
      <w:bookmarkEnd w:id="425"/>
      <w:bookmarkEnd w:id="426"/>
    </w:p>
    <w:p w14:paraId="74D1B6A5" w14:textId="02172502" w:rsidR="007A2A6F" w:rsidRPr="00653DCF" w:rsidRDefault="00E87B0B" w:rsidP="00E9487A">
      <w:pPr>
        <w:rPr>
          <w:color w:val="auto"/>
          <w:lang w:val="hr-HR"/>
        </w:rPr>
      </w:pPr>
      <w:r w:rsidRPr="00653DCF">
        <w:rPr>
          <w:color w:val="auto"/>
          <w:lang w:val="hr-HR"/>
        </w:rPr>
        <w:t>Ako Banka primi uplatu</w:t>
      </w:r>
      <w:r w:rsidR="00111437" w:rsidRPr="00653DCF">
        <w:rPr>
          <w:color w:val="auto"/>
          <w:lang w:val="hr-HR"/>
        </w:rPr>
        <w:t xml:space="preserve"> </w:t>
      </w:r>
      <w:r w:rsidR="00471CD1" w:rsidRPr="00653DCF">
        <w:rPr>
          <w:color w:val="auto"/>
          <w:lang w:val="hr-HR"/>
        </w:rPr>
        <w:t xml:space="preserve">iznosa koji nije dovoljan za otplatu </w:t>
      </w:r>
      <w:r w:rsidRPr="00653DCF">
        <w:rPr>
          <w:color w:val="auto"/>
          <w:lang w:val="hr-HR"/>
        </w:rPr>
        <w:t xml:space="preserve">svih </w:t>
      </w:r>
      <w:r w:rsidR="007A18CF" w:rsidRPr="00653DCF">
        <w:rPr>
          <w:color w:val="auto"/>
          <w:lang w:val="hr-HR"/>
        </w:rPr>
        <w:t>u tom trenutku</w:t>
      </w:r>
      <w:r w:rsidR="00824DEA" w:rsidRPr="00653DCF">
        <w:rPr>
          <w:color w:val="auto"/>
          <w:lang w:val="hr-HR"/>
        </w:rPr>
        <w:t xml:space="preserve"> </w:t>
      </w:r>
      <w:r w:rsidR="007C0ADA" w:rsidRPr="00653DCF">
        <w:rPr>
          <w:color w:val="auto"/>
          <w:lang w:val="hr-HR"/>
        </w:rPr>
        <w:t xml:space="preserve">dospjelih </w:t>
      </w:r>
      <w:r w:rsidRPr="00653DCF">
        <w:rPr>
          <w:color w:val="auto"/>
          <w:lang w:val="hr-HR"/>
        </w:rPr>
        <w:t xml:space="preserve">iznosa koje je Zajmoprimac dužan platiti na temelju ovog Ugovora, Banka će tu uplatu </w:t>
      </w:r>
      <w:r w:rsidR="007A18CF" w:rsidRPr="00653DCF">
        <w:rPr>
          <w:color w:val="auto"/>
          <w:lang w:val="hr-HR"/>
        </w:rPr>
        <w:t xml:space="preserve">upotrijebiti </w:t>
      </w:r>
      <w:r w:rsidR="00E9487A" w:rsidRPr="00653DCF">
        <w:rPr>
          <w:color w:val="auto"/>
          <w:lang w:val="hr-HR"/>
        </w:rPr>
        <w:t xml:space="preserve">na niže naveden način i </w:t>
      </w:r>
      <w:r w:rsidR="00362189" w:rsidRPr="00653DCF">
        <w:rPr>
          <w:color w:val="auto"/>
          <w:lang w:val="hr-HR"/>
        </w:rPr>
        <w:t xml:space="preserve">prema niže navedenom </w:t>
      </w:r>
      <w:r w:rsidR="007A18CF" w:rsidRPr="00653DCF">
        <w:rPr>
          <w:color w:val="auto"/>
          <w:lang w:val="hr-HR"/>
        </w:rPr>
        <w:t>redoslijedu</w:t>
      </w:r>
      <w:r w:rsidRPr="00653DCF">
        <w:rPr>
          <w:color w:val="auto"/>
          <w:lang w:val="hr-HR"/>
        </w:rPr>
        <w:t>:</w:t>
      </w:r>
    </w:p>
    <w:p w14:paraId="2C58DBE4" w14:textId="34097E8A" w:rsidR="007A2A6F" w:rsidRPr="00653DCF" w:rsidRDefault="00416023">
      <w:pPr>
        <w:pStyle w:val="NoIndentEIB"/>
        <w:numPr>
          <w:ilvl w:val="0"/>
          <w:numId w:val="24"/>
        </w:numPr>
        <w:rPr>
          <w:color w:val="auto"/>
          <w:lang w:val="hr-HR"/>
        </w:rPr>
      </w:pPr>
      <w:r w:rsidRPr="00653DCF">
        <w:rPr>
          <w:color w:val="auto"/>
          <w:lang w:val="hr-HR"/>
        </w:rPr>
        <w:t>u</w:t>
      </w:r>
      <w:r w:rsidR="00616B18" w:rsidRPr="00653DCF">
        <w:rPr>
          <w:color w:val="auto"/>
          <w:lang w:val="hr-HR"/>
        </w:rPr>
        <w:t xml:space="preserve"> </w:t>
      </w:r>
      <w:r w:rsidR="001B4CCA" w:rsidRPr="00653DCF">
        <w:rPr>
          <w:color w:val="auto"/>
          <w:lang w:val="hr-HR"/>
        </w:rPr>
        <w:t xml:space="preserve">razmjernom </w:t>
      </w:r>
      <w:r w:rsidR="00D67805" w:rsidRPr="00653DCF">
        <w:rPr>
          <w:color w:val="auto"/>
          <w:lang w:val="hr-HR"/>
        </w:rPr>
        <w:t xml:space="preserve">plaćanju </w:t>
      </w:r>
      <w:r w:rsidR="00616B18" w:rsidRPr="00653DCF">
        <w:rPr>
          <w:color w:val="auto"/>
          <w:lang w:val="hr-HR"/>
        </w:rPr>
        <w:t xml:space="preserve">i za </w:t>
      </w:r>
      <w:r w:rsidR="004E0008" w:rsidRPr="00653DCF">
        <w:rPr>
          <w:color w:val="auto"/>
          <w:lang w:val="hr-HR"/>
        </w:rPr>
        <w:t>razmjerno plaćanj</w:t>
      </w:r>
      <w:r w:rsidR="00616B18" w:rsidRPr="00653DCF">
        <w:rPr>
          <w:color w:val="auto"/>
          <w:lang w:val="hr-HR"/>
        </w:rPr>
        <w:t>e</w:t>
      </w:r>
      <w:r w:rsidR="004E0008" w:rsidRPr="00653DCF">
        <w:rPr>
          <w:color w:val="auto"/>
          <w:lang w:val="hr-HR"/>
        </w:rPr>
        <w:t xml:space="preserve"> svake </w:t>
      </w:r>
      <w:r w:rsidR="00A85430" w:rsidRPr="00653DCF">
        <w:rPr>
          <w:color w:val="auto"/>
          <w:lang w:val="hr-HR"/>
        </w:rPr>
        <w:t>od neplaćenih naknada, troškova, naknada</w:t>
      </w:r>
      <w:r w:rsidR="007E0D64" w:rsidRPr="00653DCF">
        <w:rPr>
          <w:color w:val="auto"/>
          <w:lang w:val="hr-HR"/>
        </w:rPr>
        <w:t xml:space="preserve"> za prijevremenu otplatu i izdataka </w:t>
      </w:r>
      <w:r w:rsidR="004E0008" w:rsidRPr="00653DCF">
        <w:rPr>
          <w:color w:val="auto"/>
          <w:lang w:val="hr-HR"/>
        </w:rPr>
        <w:t>koji se duguju na temelju ovog Ugovora</w:t>
      </w:r>
      <w:r w:rsidR="00E87B0B" w:rsidRPr="00653DCF">
        <w:rPr>
          <w:color w:val="auto"/>
          <w:lang w:val="hr-HR"/>
        </w:rPr>
        <w:t>;</w:t>
      </w:r>
    </w:p>
    <w:p w14:paraId="67F88EB8" w14:textId="2A5E1C7D" w:rsidR="007A2A6F" w:rsidRPr="00653DCF" w:rsidRDefault="00416023">
      <w:pPr>
        <w:pStyle w:val="NoIndentEIB"/>
        <w:numPr>
          <w:ilvl w:val="0"/>
          <w:numId w:val="24"/>
        </w:numPr>
        <w:rPr>
          <w:color w:val="auto"/>
          <w:lang w:val="hr-HR"/>
        </w:rPr>
      </w:pPr>
      <w:r w:rsidRPr="00653DCF">
        <w:rPr>
          <w:color w:val="auto"/>
          <w:lang w:val="hr-HR"/>
        </w:rPr>
        <w:t xml:space="preserve">u </w:t>
      </w:r>
      <w:r w:rsidR="00D67805" w:rsidRPr="00653DCF">
        <w:rPr>
          <w:color w:val="auto"/>
          <w:lang w:val="hr-HR"/>
        </w:rPr>
        <w:t xml:space="preserve">plaćanju ili za </w:t>
      </w:r>
      <w:r w:rsidRPr="00653DCF">
        <w:rPr>
          <w:color w:val="auto"/>
          <w:lang w:val="hr-HR"/>
        </w:rPr>
        <w:t>plaćanj</w:t>
      </w:r>
      <w:r w:rsidR="00D67805" w:rsidRPr="00653DCF">
        <w:rPr>
          <w:color w:val="auto"/>
          <w:lang w:val="hr-HR"/>
        </w:rPr>
        <w:t>e</w:t>
      </w:r>
      <w:r w:rsidRPr="00653DCF">
        <w:rPr>
          <w:color w:val="auto"/>
          <w:lang w:val="hr-HR"/>
        </w:rPr>
        <w:t xml:space="preserve"> obračunate kamate koja je dospjela</w:t>
      </w:r>
      <w:r w:rsidR="00547729" w:rsidRPr="00653DCF">
        <w:rPr>
          <w:color w:val="auto"/>
          <w:lang w:val="hr-HR"/>
        </w:rPr>
        <w:t xml:space="preserve"> na temelju ovog Ugovora</w:t>
      </w:r>
      <w:r w:rsidRPr="00653DCF">
        <w:rPr>
          <w:color w:val="auto"/>
          <w:lang w:val="hr-HR"/>
        </w:rPr>
        <w:t>, ali nije plaćena</w:t>
      </w:r>
      <w:r w:rsidR="00E87B0B" w:rsidRPr="00653DCF">
        <w:rPr>
          <w:color w:val="auto"/>
          <w:lang w:val="hr-HR"/>
        </w:rPr>
        <w:t>;</w:t>
      </w:r>
    </w:p>
    <w:p w14:paraId="45882154" w14:textId="0CE6C7A5" w:rsidR="007A2A6F" w:rsidRPr="00653DCF" w:rsidRDefault="00416023">
      <w:pPr>
        <w:pStyle w:val="NoIndentEIB"/>
        <w:numPr>
          <w:ilvl w:val="0"/>
          <w:numId w:val="24"/>
        </w:numPr>
        <w:rPr>
          <w:color w:val="auto"/>
          <w:lang w:val="hr-HR"/>
        </w:rPr>
      </w:pPr>
      <w:r w:rsidRPr="00653DCF">
        <w:rPr>
          <w:color w:val="auto"/>
          <w:lang w:val="hr-HR"/>
        </w:rPr>
        <w:t>u plaćanju</w:t>
      </w:r>
      <w:r w:rsidR="00D67805" w:rsidRPr="00653DCF">
        <w:rPr>
          <w:color w:val="auto"/>
          <w:lang w:val="hr-HR"/>
        </w:rPr>
        <w:t xml:space="preserve"> ili </w:t>
      </w:r>
      <w:r w:rsidRPr="00653DCF">
        <w:rPr>
          <w:color w:val="auto"/>
          <w:lang w:val="hr-HR"/>
        </w:rPr>
        <w:t xml:space="preserve">za plaćanje dospjelog iznosa glavnice </w:t>
      </w:r>
      <w:r w:rsidR="00547729" w:rsidRPr="00653DCF">
        <w:rPr>
          <w:color w:val="auto"/>
          <w:lang w:val="hr-HR"/>
        </w:rPr>
        <w:t xml:space="preserve">na temelju ovog Ugovora </w:t>
      </w:r>
      <w:r w:rsidRPr="00653DCF">
        <w:rPr>
          <w:color w:val="auto"/>
          <w:lang w:val="hr-HR"/>
        </w:rPr>
        <w:t>koji nije plaćen</w:t>
      </w:r>
      <w:r w:rsidR="00E87B0B" w:rsidRPr="00653DCF">
        <w:rPr>
          <w:color w:val="auto"/>
          <w:lang w:val="hr-HR"/>
        </w:rPr>
        <w:t>; i</w:t>
      </w:r>
    </w:p>
    <w:p w14:paraId="1273705B" w14:textId="6124C5A6" w:rsidR="007A2A6F" w:rsidRPr="00653DCF" w:rsidRDefault="00416023">
      <w:pPr>
        <w:pStyle w:val="NoIndentEIB"/>
        <w:numPr>
          <w:ilvl w:val="0"/>
          <w:numId w:val="24"/>
        </w:numPr>
        <w:rPr>
          <w:color w:val="auto"/>
          <w:lang w:val="hr-HR"/>
        </w:rPr>
      </w:pPr>
      <w:r w:rsidRPr="00653DCF">
        <w:rPr>
          <w:color w:val="auto"/>
          <w:lang w:val="hr-HR"/>
        </w:rPr>
        <w:t xml:space="preserve">u plaćanju i za plaćanje bilo kojeg drugog dospjelog iznosa </w:t>
      </w:r>
      <w:r w:rsidR="00547729" w:rsidRPr="00653DCF">
        <w:rPr>
          <w:color w:val="auto"/>
          <w:lang w:val="hr-HR"/>
        </w:rPr>
        <w:t xml:space="preserve">na temelju ovog Ugovora </w:t>
      </w:r>
      <w:r w:rsidRPr="00653DCF">
        <w:rPr>
          <w:color w:val="auto"/>
          <w:lang w:val="hr-HR"/>
        </w:rPr>
        <w:t>koji nije plaćen</w:t>
      </w:r>
      <w:r w:rsidR="00E87B0B" w:rsidRPr="00653DCF">
        <w:rPr>
          <w:color w:val="auto"/>
          <w:lang w:val="hr-HR"/>
        </w:rPr>
        <w:t>.</w:t>
      </w:r>
    </w:p>
    <w:p w14:paraId="71AA088E" w14:textId="0D16F5C9" w:rsidR="007A2A6F" w:rsidRPr="00653DCF" w:rsidRDefault="00767AB7" w:rsidP="00613099">
      <w:pPr>
        <w:pStyle w:val="Heading3"/>
        <w:ind w:left="851"/>
        <w:rPr>
          <w:color w:val="auto"/>
          <w:lang w:val="hr-HR"/>
        </w:rPr>
      </w:pPr>
      <w:bookmarkStart w:id="427" w:name="_Ref426982926"/>
      <w:bookmarkStart w:id="428" w:name="_Toc475441161"/>
      <w:bookmarkStart w:id="429" w:name="_Toc498018656"/>
      <w:bookmarkStart w:id="430" w:name="_Toc508120520"/>
      <w:bookmarkStart w:id="431" w:name="_Toc126080710"/>
      <w:bookmarkStart w:id="432" w:name="_Toc126080842"/>
      <w:r w:rsidRPr="00653DCF">
        <w:rPr>
          <w:color w:val="auto"/>
          <w:lang w:val="hr-HR"/>
        </w:rPr>
        <w:t>Raspodjela iznosa koji se odnose na tranše</w:t>
      </w:r>
      <w:bookmarkEnd w:id="427"/>
      <w:bookmarkEnd w:id="428"/>
      <w:bookmarkEnd w:id="429"/>
      <w:bookmarkEnd w:id="430"/>
      <w:bookmarkEnd w:id="431"/>
      <w:bookmarkEnd w:id="432"/>
    </w:p>
    <w:p w14:paraId="231723F4" w14:textId="77777777" w:rsidR="007A2A6F" w:rsidRPr="00653DCF" w:rsidRDefault="00E87B0B">
      <w:pPr>
        <w:pStyle w:val="NoIndentEIB"/>
        <w:numPr>
          <w:ilvl w:val="0"/>
          <w:numId w:val="25"/>
        </w:numPr>
        <w:rPr>
          <w:color w:val="auto"/>
          <w:lang w:val="hr-HR"/>
        </w:rPr>
      </w:pPr>
      <w:bookmarkStart w:id="433" w:name="_Ref426982918"/>
      <w:r w:rsidRPr="00653DCF">
        <w:rPr>
          <w:color w:val="auto"/>
          <w:lang w:val="hr-HR"/>
        </w:rPr>
        <w:t>U slučaju:</w:t>
      </w:r>
      <w:bookmarkEnd w:id="433"/>
    </w:p>
    <w:p w14:paraId="49CAFE90" w14:textId="6B4781E9" w:rsidR="007A2A6F" w:rsidRPr="00653DCF" w:rsidRDefault="00E87B0B">
      <w:pPr>
        <w:pStyle w:val="NoIndentEIB"/>
        <w:numPr>
          <w:ilvl w:val="1"/>
          <w:numId w:val="25"/>
        </w:numPr>
        <w:rPr>
          <w:color w:val="auto"/>
          <w:lang w:val="hr-HR"/>
        </w:rPr>
      </w:pPr>
      <w:bookmarkStart w:id="434" w:name="_Ref437267220"/>
      <w:r w:rsidRPr="00653DCF">
        <w:rPr>
          <w:color w:val="auto"/>
          <w:lang w:val="hr-HR"/>
        </w:rPr>
        <w:lastRenderedPageBreak/>
        <w:t>djelomičn</w:t>
      </w:r>
      <w:r w:rsidR="001B4CCA" w:rsidRPr="00653DCF">
        <w:rPr>
          <w:color w:val="auto"/>
          <w:lang w:val="hr-HR"/>
        </w:rPr>
        <w:t>e</w:t>
      </w:r>
      <w:r w:rsidRPr="00653DCF">
        <w:rPr>
          <w:color w:val="auto"/>
          <w:lang w:val="hr-HR"/>
        </w:rPr>
        <w:t xml:space="preserve"> dobrovoljn</w:t>
      </w:r>
      <w:r w:rsidR="00BE4594" w:rsidRPr="00653DCF">
        <w:rPr>
          <w:color w:val="auto"/>
          <w:lang w:val="hr-HR"/>
        </w:rPr>
        <w:t>e</w:t>
      </w:r>
      <w:r w:rsidRPr="00653DCF">
        <w:rPr>
          <w:color w:val="auto"/>
          <w:lang w:val="hr-HR"/>
        </w:rPr>
        <w:t xml:space="preserve"> </w:t>
      </w:r>
      <w:r w:rsidR="00767AB7" w:rsidRPr="00653DCF">
        <w:rPr>
          <w:color w:val="auto"/>
          <w:lang w:val="hr-HR"/>
        </w:rPr>
        <w:t xml:space="preserve">prijevremene otplate </w:t>
      </w:r>
      <w:r w:rsidRPr="00653DCF">
        <w:rPr>
          <w:color w:val="auto"/>
          <w:lang w:val="hr-HR"/>
        </w:rPr>
        <w:t xml:space="preserve">tranše koja podliježe otplati u nekoliko obroka, iznos </w:t>
      </w:r>
      <w:r w:rsidR="00954C84" w:rsidRPr="00653DCF">
        <w:rPr>
          <w:color w:val="auto"/>
          <w:lang w:val="hr-HR"/>
        </w:rPr>
        <w:t xml:space="preserve">prijevremene otplate </w:t>
      </w:r>
      <w:r w:rsidRPr="00653DCF">
        <w:rPr>
          <w:color w:val="auto"/>
          <w:lang w:val="hr-HR"/>
        </w:rPr>
        <w:t xml:space="preserve">primjenjuje se razmjerno </w:t>
      </w:r>
      <w:r w:rsidR="00954C84" w:rsidRPr="00653DCF">
        <w:rPr>
          <w:color w:val="auto"/>
          <w:lang w:val="hr-HR"/>
        </w:rPr>
        <w:t xml:space="preserve">na </w:t>
      </w:r>
      <w:r w:rsidR="007C1227" w:rsidRPr="00653DCF">
        <w:rPr>
          <w:color w:val="auto"/>
          <w:lang w:val="hr-HR"/>
        </w:rPr>
        <w:t>svaku</w:t>
      </w:r>
      <w:r w:rsidR="00954C84" w:rsidRPr="00653DCF">
        <w:rPr>
          <w:color w:val="auto"/>
          <w:lang w:val="hr-HR"/>
        </w:rPr>
        <w:t xml:space="preserve"> preostalu ratu ili, na </w:t>
      </w:r>
      <w:r w:rsidRPr="00653DCF">
        <w:rPr>
          <w:color w:val="auto"/>
          <w:lang w:val="hr-HR"/>
        </w:rPr>
        <w:t>zahtjev Zajmoprimca, obrnutom redoslijed</w:t>
      </w:r>
      <w:r w:rsidR="00954C84" w:rsidRPr="00653DCF">
        <w:rPr>
          <w:color w:val="auto"/>
          <w:lang w:val="hr-HR"/>
        </w:rPr>
        <w:t>om</w:t>
      </w:r>
      <w:r w:rsidRPr="00653DCF">
        <w:rPr>
          <w:color w:val="auto"/>
          <w:lang w:val="hr-HR"/>
        </w:rPr>
        <w:t xml:space="preserve"> dospijeća; ili</w:t>
      </w:r>
      <w:bookmarkEnd w:id="434"/>
    </w:p>
    <w:p w14:paraId="0B94B9A0" w14:textId="7E355F09" w:rsidR="007A2A6F" w:rsidRPr="00653DCF" w:rsidRDefault="00E87B0B">
      <w:pPr>
        <w:pStyle w:val="NoIndentEIB"/>
        <w:numPr>
          <w:ilvl w:val="1"/>
          <w:numId w:val="25"/>
        </w:numPr>
        <w:rPr>
          <w:color w:val="auto"/>
          <w:lang w:val="hr-HR"/>
        </w:rPr>
      </w:pPr>
      <w:r w:rsidRPr="00653DCF">
        <w:rPr>
          <w:color w:val="auto"/>
          <w:lang w:val="hr-HR"/>
        </w:rPr>
        <w:t>djelomičn</w:t>
      </w:r>
      <w:r w:rsidR="00453561" w:rsidRPr="00653DCF">
        <w:rPr>
          <w:color w:val="auto"/>
          <w:lang w:val="hr-HR"/>
        </w:rPr>
        <w:t>e</w:t>
      </w:r>
      <w:r w:rsidRPr="00653DCF">
        <w:rPr>
          <w:color w:val="auto"/>
          <w:lang w:val="hr-HR"/>
        </w:rPr>
        <w:t xml:space="preserve"> </w:t>
      </w:r>
      <w:r w:rsidR="00453561" w:rsidRPr="00653DCF">
        <w:rPr>
          <w:color w:val="auto"/>
          <w:lang w:val="hr-HR"/>
        </w:rPr>
        <w:t xml:space="preserve">obvezne prijevremene otplate tranše </w:t>
      </w:r>
      <w:r w:rsidRPr="00653DCF">
        <w:rPr>
          <w:color w:val="auto"/>
          <w:lang w:val="hr-HR"/>
        </w:rPr>
        <w:t xml:space="preserve">koja podliježe otplati u nekoliko obroka, </w:t>
      </w:r>
      <w:r w:rsidR="00453561" w:rsidRPr="00653DCF">
        <w:rPr>
          <w:color w:val="auto"/>
          <w:lang w:val="hr-HR"/>
        </w:rPr>
        <w:t xml:space="preserve">primjenjuje se iznos prijevremene otplate za smanjenje </w:t>
      </w:r>
      <w:r w:rsidRPr="00653DCF">
        <w:rPr>
          <w:color w:val="auto"/>
          <w:lang w:val="hr-HR"/>
        </w:rPr>
        <w:t>nepodmirenih obroka obrnutom redoslijedom dospijeća.</w:t>
      </w:r>
    </w:p>
    <w:p w14:paraId="63A1E466" w14:textId="36E5A0F2" w:rsidR="007A2A6F" w:rsidRPr="00653DCF" w:rsidRDefault="00E87B0B">
      <w:pPr>
        <w:pStyle w:val="NoIndentEIB"/>
        <w:numPr>
          <w:ilvl w:val="0"/>
          <w:numId w:val="25"/>
        </w:numPr>
        <w:rPr>
          <w:color w:val="auto"/>
          <w:lang w:val="hr-HR"/>
        </w:rPr>
      </w:pPr>
      <w:r w:rsidRPr="00653DCF">
        <w:rPr>
          <w:color w:val="auto"/>
          <w:lang w:val="hr-HR"/>
        </w:rPr>
        <w:t xml:space="preserve">Iznosi koje Banka primi na temelju zahtjeva iz članka </w:t>
      </w:r>
      <w:r w:rsidRPr="00653DCF">
        <w:rPr>
          <w:color w:val="auto"/>
          <w:lang w:val="hr-HR"/>
        </w:rPr>
        <w:fldChar w:fldCharType="begin"/>
      </w:r>
      <w:r w:rsidRPr="00653DCF">
        <w:rPr>
          <w:color w:val="auto"/>
          <w:lang w:val="hr-HR"/>
        </w:rPr>
        <w:instrText xml:space="preserve"> REF _Ref426625279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članak 10</w:t>
      </w:r>
      <w:r w:rsidRPr="00653DCF">
        <w:rPr>
          <w:color w:val="auto"/>
          <w:lang w:val="hr-HR"/>
        </w:rPr>
        <w:fldChar w:fldCharType="end"/>
      </w:r>
      <w:r w:rsidR="007C1227" w:rsidRPr="00653DCF">
        <w:rPr>
          <w:color w:val="auto"/>
          <w:lang w:val="hr-HR"/>
        </w:rPr>
        <w:t xml:space="preserve">., a koji se koriste za otplatu tranše, umanjuju preostale obroke obrnutim redoslijedom </w:t>
      </w:r>
      <w:r w:rsidRPr="00653DCF">
        <w:rPr>
          <w:color w:val="auto"/>
          <w:lang w:val="hr-HR"/>
        </w:rPr>
        <w:t xml:space="preserve">dospijeća. Banka može </w:t>
      </w:r>
      <w:r w:rsidR="007C1227" w:rsidRPr="00653DCF">
        <w:rPr>
          <w:color w:val="auto"/>
          <w:lang w:val="hr-HR"/>
        </w:rPr>
        <w:t xml:space="preserve">upotrijebiti </w:t>
      </w:r>
      <w:r w:rsidRPr="00653DCF">
        <w:rPr>
          <w:color w:val="auto"/>
          <w:lang w:val="hr-HR"/>
        </w:rPr>
        <w:t xml:space="preserve">iznose </w:t>
      </w:r>
      <w:r w:rsidR="0026257C" w:rsidRPr="00653DCF">
        <w:rPr>
          <w:color w:val="auto"/>
          <w:lang w:val="hr-HR"/>
        </w:rPr>
        <w:t xml:space="preserve">primljene </w:t>
      </w:r>
      <w:r w:rsidR="007C1227" w:rsidRPr="00653DCF">
        <w:rPr>
          <w:color w:val="auto"/>
          <w:lang w:val="hr-HR"/>
        </w:rPr>
        <w:t xml:space="preserve">između </w:t>
      </w:r>
      <w:r w:rsidR="0026257C" w:rsidRPr="00653DCF">
        <w:rPr>
          <w:color w:val="auto"/>
          <w:lang w:val="hr-HR"/>
        </w:rPr>
        <w:t xml:space="preserve">bilo kojih </w:t>
      </w:r>
      <w:r w:rsidR="007C1227" w:rsidRPr="00653DCF">
        <w:rPr>
          <w:color w:val="auto"/>
          <w:lang w:val="hr-HR"/>
        </w:rPr>
        <w:t xml:space="preserve">tranši po </w:t>
      </w:r>
      <w:r w:rsidRPr="00653DCF">
        <w:rPr>
          <w:color w:val="auto"/>
          <w:lang w:val="hr-HR"/>
        </w:rPr>
        <w:t>vlastitom nahođenju.</w:t>
      </w:r>
    </w:p>
    <w:p w14:paraId="54C3FC83" w14:textId="4CB8C8C5" w:rsidR="007A2A6F" w:rsidRPr="00653DCF" w:rsidRDefault="00E87B0B">
      <w:pPr>
        <w:pStyle w:val="NoIndentEIB"/>
        <w:numPr>
          <w:ilvl w:val="0"/>
          <w:numId w:val="25"/>
        </w:numPr>
        <w:rPr>
          <w:color w:val="auto"/>
          <w:lang w:val="hr-HR"/>
        </w:rPr>
      </w:pPr>
      <w:r w:rsidRPr="00653DCF">
        <w:rPr>
          <w:color w:val="auto"/>
          <w:lang w:val="hr-HR"/>
        </w:rPr>
        <w:t xml:space="preserve">U slučaju primitka iznosa </w:t>
      </w:r>
      <w:r w:rsidR="007C1227" w:rsidRPr="00653DCF">
        <w:rPr>
          <w:color w:val="auto"/>
          <w:lang w:val="hr-HR"/>
        </w:rPr>
        <w:t xml:space="preserve">za koje se ne može </w:t>
      </w:r>
      <w:r w:rsidRPr="00653DCF">
        <w:rPr>
          <w:color w:val="auto"/>
          <w:lang w:val="hr-HR"/>
        </w:rPr>
        <w:t xml:space="preserve">utvrditi </w:t>
      </w:r>
      <w:r w:rsidR="007C1227" w:rsidRPr="00653DCF">
        <w:rPr>
          <w:color w:val="auto"/>
          <w:lang w:val="hr-HR"/>
        </w:rPr>
        <w:t xml:space="preserve">da se odnose na neku </w:t>
      </w:r>
      <w:r w:rsidRPr="00653DCF">
        <w:rPr>
          <w:color w:val="auto"/>
          <w:lang w:val="hr-HR"/>
        </w:rPr>
        <w:t xml:space="preserve">određenu tranšu i </w:t>
      </w:r>
      <w:r w:rsidR="007C1227" w:rsidRPr="00653DCF">
        <w:rPr>
          <w:color w:val="auto"/>
          <w:lang w:val="hr-HR"/>
        </w:rPr>
        <w:t xml:space="preserve">za koje ne postoji </w:t>
      </w:r>
      <w:r w:rsidR="00580227" w:rsidRPr="00653DCF">
        <w:rPr>
          <w:color w:val="auto"/>
          <w:lang w:val="hr-HR"/>
        </w:rPr>
        <w:t xml:space="preserve">dogovor </w:t>
      </w:r>
      <w:r w:rsidRPr="00653DCF">
        <w:rPr>
          <w:color w:val="auto"/>
          <w:lang w:val="hr-HR"/>
        </w:rPr>
        <w:t xml:space="preserve">između Banke i Zajmoprimca o njihovoj primjeni, Banka </w:t>
      </w:r>
      <w:r w:rsidR="007C1227" w:rsidRPr="00653DCF">
        <w:rPr>
          <w:color w:val="auto"/>
          <w:lang w:val="hr-HR"/>
        </w:rPr>
        <w:t>može te iznose</w:t>
      </w:r>
      <w:r w:rsidR="00BA2651" w:rsidRPr="00653DCF">
        <w:rPr>
          <w:color w:val="auto"/>
          <w:lang w:val="hr-HR"/>
        </w:rPr>
        <w:t xml:space="preserve"> primljene</w:t>
      </w:r>
      <w:r w:rsidR="007C1227" w:rsidRPr="00653DCF">
        <w:rPr>
          <w:color w:val="auto"/>
          <w:lang w:val="hr-HR"/>
        </w:rPr>
        <w:t xml:space="preserve"> između tranši </w:t>
      </w:r>
      <w:r w:rsidR="002D4F88" w:rsidRPr="00653DCF">
        <w:rPr>
          <w:color w:val="auto"/>
          <w:lang w:val="hr-HR"/>
        </w:rPr>
        <w:t xml:space="preserve">upotrijebiti </w:t>
      </w:r>
      <w:r w:rsidR="007C1227" w:rsidRPr="00653DCF">
        <w:rPr>
          <w:color w:val="auto"/>
          <w:lang w:val="hr-HR"/>
        </w:rPr>
        <w:t xml:space="preserve">po </w:t>
      </w:r>
      <w:r w:rsidRPr="00653DCF">
        <w:rPr>
          <w:color w:val="auto"/>
          <w:lang w:val="hr-HR"/>
        </w:rPr>
        <w:t>vlastitom nahođenju.</w:t>
      </w:r>
    </w:p>
    <w:p w14:paraId="7DBB1729" w14:textId="515B8CEA" w:rsidR="007A2A6F" w:rsidRPr="00653DCF" w:rsidRDefault="003D033E" w:rsidP="003D033E">
      <w:pPr>
        <w:pStyle w:val="Heading1"/>
        <w:numPr>
          <w:ilvl w:val="0"/>
          <w:numId w:val="0"/>
        </w:numPr>
        <w:rPr>
          <w:color w:val="auto"/>
          <w:lang w:val="hr-HR"/>
        </w:rPr>
      </w:pPr>
      <w:bookmarkStart w:id="435" w:name="_Toc475441162"/>
      <w:bookmarkStart w:id="436" w:name="_Toc498018657"/>
      <w:bookmarkStart w:id="437" w:name="_Toc508120521"/>
      <w:bookmarkStart w:id="438" w:name="_Toc126080711"/>
      <w:bookmarkStart w:id="439" w:name="_Toc126080843"/>
      <w:bookmarkStart w:id="440" w:name="_Ref427037555"/>
      <w:bookmarkEnd w:id="435"/>
      <w:bookmarkEnd w:id="436"/>
      <w:bookmarkEnd w:id="437"/>
      <w:bookmarkEnd w:id="438"/>
      <w:bookmarkEnd w:id="439"/>
      <w:r>
        <w:rPr>
          <w:color w:val="auto"/>
          <w:lang w:val="hr-HR"/>
        </w:rPr>
        <w:t>ČLANAK 6</w:t>
      </w:r>
      <w:r w:rsidR="009C2330">
        <w:rPr>
          <w:color w:val="auto"/>
          <w:lang w:val="hr-HR"/>
        </w:rPr>
        <w:t>.</w:t>
      </w:r>
    </w:p>
    <w:bookmarkEnd w:id="440"/>
    <w:p w14:paraId="0D747D7A" w14:textId="5BCAA20D" w:rsidR="007A2A6F" w:rsidRPr="00653DCF" w:rsidRDefault="00BA782E">
      <w:pPr>
        <w:pStyle w:val="ArticleTitleEIB"/>
        <w:rPr>
          <w:color w:val="auto"/>
          <w:lang w:val="hr-HR"/>
        </w:rPr>
      </w:pPr>
      <w:r w:rsidRPr="00653DCF">
        <w:rPr>
          <w:color w:val="auto"/>
          <w:lang w:val="hr-HR"/>
        </w:rPr>
        <w:t>Obveze i izjave Zajmoprimca</w:t>
      </w:r>
    </w:p>
    <w:p w14:paraId="48FE7548" w14:textId="47720A05" w:rsidR="007A2A6F" w:rsidRPr="00653DCF" w:rsidRDefault="00E87B0B">
      <w:pPr>
        <w:rPr>
          <w:color w:val="auto"/>
          <w:lang w:val="hr-HR"/>
        </w:rPr>
      </w:pPr>
      <w:r w:rsidRPr="00653DCF">
        <w:rPr>
          <w:color w:val="auto"/>
          <w:lang w:val="hr-HR"/>
        </w:rPr>
        <w:t xml:space="preserve">Obveze u </w:t>
      </w:r>
      <w:r w:rsidR="00BA782E" w:rsidRPr="00653DCF">
        <w:rPr>
          <w:color w:val="auto"/>
          <w:lang w:val="hr-HR"/>
        </w:rPr>
        <w:t>ovom</w:t>
      </w:r>
      <w:r w:rsidRPr="00653DCF">
        <w:rPr>
          <w:color w:val="auto"/>
          <w:lang w:val="hr-HR"/>
        </w:rPr>
        <w:t xml:space="preserve"> </w:t>
      </w:r>
      <w:r w:rsidRPr="00653DCF">
        <w:rPr>
          <w:color w:val="auto"/>
          <w:lang w:val="hr-HR"/>
        </w:rPr>
        <w:fldChar w:fldCharType="begin"/>
      </w:r>
      <w:r w:rsidRPr="00653DCF">
        <w:rPr>
          <w:color w:val="auto"/>
          <w:lang w:val="hr-HR"/>
        </w:rPr>
        <w:instrText xml:space="preserve"> REF _Ref427037555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0</w:t>
      </w:r>
      <w:r w:rsidRPr="00653DCF">
        <w:rPr>
          <w:color w:val="auto"/>
          <w:lang w:val="hr-HR"/>
        </w:rPr>
        <w:fldChar w:fldCharType="end"/>
      </w:r>
      <w:r w:rsidR="00BA782E" w:rsidRPr="00653DCF">
        <w:rPr>
          <w:color w:val="auto"/>
          <w:lang w:val="hr-HR"/>
        </w:rPr>
        <w:t>.</w:t>
      </w:r>
      <w:r w:rsidRPr="00653DCF">
        <w:rPr>
          <w:color w:val="auto"/>
          <w:lang w:val="hr-HR"/>
        </w:rPr>
        <w:t xml:space="preserve"> </w:t>
      </w:r>
      <w:r w:rsidR="001D1ABF" w:rsidRPr="00653DCF">
        <w:rPr>
          <w:color w:val="auto"/>
          <w:lang w:val="hr-HR"/>
        </w:rPr>
        <w:t xml:space="preserve">su </w:t>
      </w:r>
      <w:r w:rsidRPr="00653DCF">
        <w:rPr>
          <w:color w:val="auto"/>
          <w:lang w:val="hr-HR"/>
        </w:rPr>
        <w:t xml:space="preserve">na snazi od </w:t>
      </w:r>
      <w:r w:rsidR="00BA782E" w:rsidRPr="00653DCF">
        <w:rPr>
          <w:color w:val="auto"/>
          <w:lang w:val="hr-HR"/>
        </w:rPr>
        <w:t xml:space="preserve">datuma </w:t>
      </w:r>
      <w:r w:rsidR="00B13DB7" w:rsidRPr="00653DCF">
        <w:rPr>
          <w:color w:val="auto"/>
          <w:lang w:val="hr-HR"/>
        </w:rPr>
        <w:t xml:space="preserve">sklapanja </w:t>
      </w:r>
      <w:r w:rsidRPr="00653DCF">
        <w:rPr>
          <w:color w:val="auto"/>
          <w:lang w:val="hr-HR"/>
        </w:rPr>
        <w:t xml:space="preserve">ovog Ugovora sve dok bilo koji iznos </w:t>
      </w:r>
      <w:r w:rsidR="00B13DB7" w:rsidRPr="00653DCF">
        <w:rPr>
          <w:color w:val="auto"/>
          <w:lang w:val="hr-HR"/>
        </w:rPr>
        <w:t>bude neotplaćen prema ovom Ugovoru ili sve dok kredit bude na snazi</w:t>
      </w:r>
      <w:r w:rsidRPr="00653DCF">
        <w:rPr>
          <w:color w:val="auto"/>
          <w:lang w:val="hr-HR"/>
        </w:rPr>
        <w:t>.</w:t>
      </w:r>
    </w:p>
    <w:p w14:paraId="222AFF76" w14:textId="77777777" w:rsidR="003D033E" w:rsidRPr="003D033E" w:rsidRDefault="003D033E" w:rsidP="003D033E">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bookmarkStart w:id="441" w:name="_Ref427245298"/>
      <w:bookmarkStart w:id="442" w:name="_Toc475441163"/>
      <w:bookmarkStart w:id="443" w:name="_Toc498018658"/>
      <w:bookmarkStart w:id="444" w:name="_Toc508120523"/>
      <w:bookmarkStart w:id="445" w:name="_Toc126080713"/>
      <w:bookmarkStart w:id="446" w:name="_Toc126080845"/>
    </w:p>
    <w:p w14:paraId="6AB34CFD" w14:textId="53B6AD81" w:rsidR="007A2A6F" w:rsidRPr="00653DCF" w:rsidRDefault="00E87B0B" w:rsidP="003D033E">
      <w:pPr>
        <w:pStyle w:val="Heading2"/>
        <w:ind w:left="851"/>
        <w:rPr>
          <w:lang w:val="hr-HR"/>
        </w:rPr>
      </w:pPr>
      <w:r w:rsidRPr="00653DCF">
        <w:rPr>
          <w:lang w:val="hr-HR"/>
        </w:rPr>
        <w:t xml:space="preserve">Korištenje </w:t>
      </w:r>
      <w:r w:rsidR="00B13DB7" w:rsidRPr="00653DCF">
        <w:rPr>
          <w:lang w:val="hr-HR"/>
        </w:rPr>
        <w:t>zajma</w:t>
      </w:r>
      <w:r w:rsidRPr="00653DCF">
        <w:rPr>
          <w:lang w:val="hr-HR"/>
        </w:rPr>
        <w:t xml:space="preserve"> i dostupnost drugih sredstava</w:t>
      </w:r>
      <w:bookmarkEnd w:id="441"/>
      <w:bookmarkEnd w:id="442"/>
      <w:bookmarkEnd w:id="443"/>
      <w:bookmarkEnd w:id="444"/>
      <w:bookmarkEnd w:id="445"/>
      <w:bookmarkEnd w:id="446"/>
    </w:p>
    <w:p w14:paraId="7B9D8031" w14:textId="032F4744" w:rsidR="007A2A6F" w:rsidRPr="00653DCF" w:rsidRDefault="00E87B0B">
      <w:pPr>
        <w:rPr>
          <w:color w:val="auto"/>
          <w:lang w:val="hr-HR"/>
        </w:rPr>
      </w:pPr>
      <w:r w:rsidRPr="00653DCF">
        <w:rPr>
          <w:color w:val="auto"/>
          <w:lang w:val="hr-HR"/>
        </w:rPr>
        <w:t xml:space="preserve">Zajmoprimac </w:t>
      </w:r>
      <w:r w:rsidR="007F5A15" w:rsidRPr="00653DCF">
        <w:rPr>
          <w:color w:val="auto"/>
          <w:lang w:val="hr-HR"/>
        </w:rPr>
        <w:t xml:space="preserve">i Nositelj dužni su </w:t>
      </w:r>
      <w:r w:rsidR="00D42D31" w:rsidRPr="00653DCF">
        <w:rPr>
          <w:color w:val="auto"/>
          <w:lang w:val="hr-HR"/>
        </w:rPr>
        <w:t>koristiti</w:t>
      </w:r>
      <w:r w:rsidR="005B3D88" w:rsidRPr="00653DCF">
        <w:rPr>
          <w:color w:val="auto"/>
          <w:lang w:val="hr-HR"/>
        </w:rPr>
        <w:t xml:space="preserve"> sva sre</w:t>
      </w:r>
      <w:r w:rsidR="00CB7BC1" w:rsidRPr="00653DCF">
        <w:rPr>
          <w:color w:val="auto"/>
          <w:lang w:val="hr-HR"/>
        </w:rPr>
        <w:t>d</w:t>
      </w:r>
      <w:r w:rsidR="005B3D88" w:rsidRPr="00653DCF">
        <w:rPr>
          <w:color w:val="auto"/>
          <w:lang w:val="hr-HR"/>
        </w:rPr>
        <w:t xml:space="preserve">stva </w:t>
      </w:r>
      <w:r w:rsidR="0053465E" w:rsidRPr="00653DCF">
        <w:rPr>
          <w:color w:val="auto"/>
          <w:lang w:val="hr-HR"/>
        </w:rPr>
        <w:t xml:space="preserve">posuđena </w:t>
      </w:r>
      <w:r w:rsidR="005B3D88" w:rsidRPr="00653DCF">
        <w:rPr>
          <w:color w:val="auto"/>
          <w:lang w:val="hr-HR"/>
        </w:rPr>
        <w:t>prema ovom Ugovoru</w:t>
      </w:r>
      <w:r w:rsidR="00B5664A" w:rsidRPr="00653DCF">
        <w:rPr>
          <w:color w:val="auto"/>
          <w:lang w:val="hr-HR"/>
        </w:rPr>
        <w:t xml:space="preserve"> u svrhu </w:t>
      </w:r>
      <w:r w:rsidR="001843F8" w:rsidRPr="00653DCF">
        <w:rPr>
          <w:color w:val="auto"/>
          <w:lang w:val="hr-HR"/>
        </w:rPr>
        <w:t xml:space="preserve">provođenja </w:t>
      </w:r>
      <w:r w:rsidR="00B5664A" w:rsidRPr="00653DCF">
        <w:rPr>
          <w:color w:val="auto"/>
          <w:lang w:val="hr-HR"/>
        </w:rPr>
        <w:t>Projekta</w:t>
      </w:r>
      <w:r w:rsidR="00CF6640" w:rsidRPr="00653DCF">
        <w:rPr>
          <w:color w:val="auto"/>
          <w:lang w:val="hr-HR"/>
        </w:rPr>
        <w:t xml:space="preserve">, </w:t>
      </w:r>
      <w:r w:rsidR="001843F8" w:rsidRPr="00653DCF">
        <w:rPr>
          <w:color w:val="auto"/>
          <w:lang w:val="hr-HR"/>
        </w:rPr>
        <w:t xml:space="preserve">odnosno </w:t>
      </w:r>
      <w:r w:rsidR="004548F7" w:rsidRPr="00653DCF">
        <w:rPr>
          <w:color w:val="auto"/>
          <w:lang w:val="hr-HR"/>
        </w:rPr>
        <w:t>dužni su</w:t>
      </w:r>
      <w:r w:rsidR="00C705CC" w:rsidRPr="00653DCF">
        <w:rPr>
          <w:color w:val="auto"/>
          <w:lang w:val="hr-HR"/>
        </w:rPr>
        <w:t xml:space="preserve"> </w:t>
      </w:r>
      <w:r w:rsidR="00D257C9" w:rsidRPr="00653DCF">
        <w:rPr>
          <w:color w:val="auto"/>
          <w:lang w:val="hr-HR"/>
        </w:rPr>
        <w:t xml:space="preserve">se </w:t>
      </w:r>
      <w:r w:rsidR="00C705CC" w:rsidRPr="00653DCF">
        <w:rPr>
          <w:color w:val="auto"/>
          <w:lang w:val="hr-HR"/>
        </w:rPr>
        <w:t xml:space="preserve">pobrinuti </w:t>
      </w:r>
      <w:r w:rsidR="005B3D88" w:rsidRPr="00653DCF">
        <w:rPr>
          <w:color w:val="auto"/>
          <w:lang w:val="hr-HR"/>
        </w:rPr>
        <w:t xml:space="preserve">da </w:t>
      </w:r>
      <w:r w:rsidR="001843F8" w:rsidRPr="00653DCF">
        <w:rPr>
          <w:color w:val="auto"/>
          <w:lang w:val="hr-HR"/>
        </w:rPr>
        <w:t xml:space="preserve">to </w:t>
      </w:r>
      <w:r w:rsidR="006C75B1" w:rsidRPr="00653DCF">
        <w:rPr>
          <w:color w:val="auto"/>
          <w:lang w:val="hr-HR"/>
        </w:rPr>
        <w:t xml:space="preserve">isto </w:t>
      </w:r>
      <w:r w:rsidR="005B3D88" w:rsidRPr="00653DCF">
        <w:rPr>
          <w:color w:val="auto"/>
          <w:lang w:val="hr-HR"/>
        </w:rPr>
        <w:t xml:space="preserve">napravi </w:t>
      </w:r>
      <w:r w:rsidR="006C75B1" w:rsidRPr="00653DCF">
        <w:rPr>
          <w:color w:val="auto"/>
          <w:lang w:val="hr-HR"/>
        </w:rPr>
        <w:t xml:space="preserve">i </w:t>
      </w:r>
      <w:r w:rsidR="00CF6640" w:rsidRPr="00653DCF">
        <w:rPr>
          <w:color w:val="auto"/>
          <w:lang w:val="hr-HR"/>
        </w:rPr>
        <w:t xml:space="preserve">svako </w:t>
      </w:r>
      <w:r w:rsidR="00C72DBE" w:rsidRPr="00653DCF">
        <w:rPr>
          <w:color w:val="auto"/>
          <w:lang w:val="hr-HR"/>
        </w:rPr>
        <w:t>P</w:t>
      </w:r>
      <w:r w:rsidR="00CF6640" w:rsidRPr="00653DCF">
        <w:rPr>
          <w:color w:val="auto"/>
          <w:lang w:val="hr-HR"/>
        </w:rPr>
        <w:t>rojektno društvo</w:t>
      </w:r>
      <w:r w:rsidRPr="00653DCF">
        <w:rPr>
          <w:color w:val="auto"/>
          <w:lang w:val="hr-HR"/>
        </w:rPr>
        <w:t>.</w:t>
      </w:r>
    </w:p>
    <w:p w14:paraId="644BC26C" w14:textId="31D8634D" w:rsidR="007A2A6F" w:rsidRPr="00653DCF" w:rsidRDefault="001A00B6">
      <w:pPr>
        <w:rPr>
          <w:color w:val="auto"/>
          <w:lang w:val="hr-HR"/>
        </w:rPr>
      </w:pPr>
      <w:r w:rsidRPr="00653DCF">
        <w:rPr>
          <w:color w:val="auto"/>
          <w:lang w:val="hr-HR"/>
        </w:rPr>
        <w:t>Zajmoprimac i Nositelj</w:t>
      </w:r>
      <w:r w:rsidR="00E87B0B" w:rsidRPr="00653DCF">
        <w:rPr>
          <w:color w:val="auto"/>
          <w:lang w:val="hr-HR"/>
        </w:rPr>
        <w:t xml:space="preserve"> </w:t>
      </w:r>
      <w:r w:rsidRPr="00653DCF">
        <w:rPr>
          <w:color w:val="auto"/>
          <w:lang w:val="hr-HR"/>
        </w:rPr>
        <w:t>su dužni</w:t>
      </w:r>
      <w:r w:rsidR="00B5664A" w:rsidRPr="00653DCF">
        <w:rPr>
          <w:color w:val="auto"/>
          <w:lang w:val="hr-HR"/>
        </w:rPr>
        <w:t xml:space="preserve"> osigurati </w:t>
      </w:r>
      <w:r w:rsidR="00DB6F7E" w:rsidRPr="00653DCF">
        <w:rPr>
          <w:color w:val="auto"/>
          <w:lang w:val="hr-HR"/>
        </w:rPr>
        <w:t xml:space="preserve">da </w:t>
      </w:r>
      <w:r w:rsidR="00B5664A" w:rsidRPr="00653DCF">
        <w:rPr>
          <w:color w:val="auto"/>
          <w:lang w:val="hr-HR"/>
        </w:rPr>
        <w:t>na raspolaganju</w:t>
      </w:r>
      <w:r w:rsidR="00565A6D" w:rsidRPr="00653DCF">
        <w:rPr>
          <w:color w:val="auto"/>
          <w:lang w:val="hr-HR"/>
        </w:rPr>
        <w:t xml:space="preserve"> </w:t>
      </w:r>
      <w:r w:rsidR="00CB7BC1" w:rsidRPr="00653DCF">
        <w:rPr>
          <w:color w:val="auto"/>
          <w:lang w:val="hr-HR"/>
        </w:rPr>
        <w:t>ima</w:t>
      </w:r>
      <w:r w:rsidRPr="00653DCF">
        <w:rPr>
          <w:color w:val="auto"/>
          <w:lang w:val="hr-HR"/>
        </w:rPr>
        <w:t>ju</w:t>
      </w:r>
      <w:r w:rsidR="00CB7BC1" w:rsidRPr="00653DCF">
        <w:rPr>
          <w:color w:val="auto"/>
          <w:lang w:val="hr-HR"/>
        </w:rPr>
        <w:t xml:space="preserve"> i </w:t>
      </w:r>
      <w:r w:rsidR="00565A6D" w:rsidRPr="00653DCF">
        <w:rPr>
          <w:color w:val="auto"/>
          <w:lang w:val="hr-HR"/>
        </w:rPr>
        <w:t xml:space="preserve">druga sredstva navedena u uvodnoj odredbi </w:t>
      </w:r>
      <w:r w:rsidR="00E87B0B" w:rsidRPr="00653DCF">
        <w:rPr>
          <w:color w:val="auto"/>
          <w:lang w:val="hr-HR"/>
        </w:rPr>
        <w:fldChar w:fldCharType="begin"/>
      </w:r>
      <w:r w:rsidR="00E87B0B" w:rsidRPr="00653DCF">
        <w:rPr>
          <w:color w:val="auto"/>
          <w:lang w:val="hr-HR"/>
        </w:rPr>
        <w:instrText xml:space="preserve"> REF _Ref430937797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(b)</w:t>
      </w:r>
      <w:r w:rsidR="00E87B0B" w:rsidRPr="00653DCF">
        <w:rPr>
          <w:color w:val="auto"/>
          <w:lang w:val="hr-HR"/>
        </w:rPr>
        <w:fldChar w:fldCharType="end"/>
      </w:r>
      <w:r w:rsidR="00E87B0B" w:rsidRPr="00653DCF">
        <w:rPr>
          <w:color w:val="auto"/>
          <w:lang w:val="hr-HR"/>
        </w:rPr>
        <w:t xml:space="preserve"> </w:t>
      </w:r>
      <w:r w:rsidR="00565A6D" w:rsidRPr="00653DCF">
        <w:rPr>
          <w:color w:val="auto"/>
          <w:lang w:val="hr-HR"/>
        </w:rPr>
        <w:t>te da se ta sredstva utroše</w:t>
      </w:r>
      <w:r w:rsidR="00DB6F7E" w:rsidRPr="00653DCF">
        <w:rPr>
          <w:color w:val="auto"/>
          <w:lang w:val="hr-HR"/>
        </w:rPr>
        <w:t xml:space="preserve"> za financiranje Projekta</w:t>
      </w:r>
      <w:r w:rsidR="007D7B3C" w:rsidRPr="00653DCF">
        <w:rPr>
          <w:color w:val="auto"/>
          <w:lang w:val="hr-HR"/>
        </w:rPr>
        <w:t>, u onoj mjeri u kojoj je to potrebno</w:t>
      </w:r>
      <w:r w:rsidR="00E87B0B" w:rsidRPr="00653DCF">
        <w:rPr>
          <w:color w:val="auto"/>
          <w:lang w:val="hr-HR"/>
        </w:rPr>
        <w:t>.</w:t>
      </w:r>
    </w:p>
    <w:p w14:paraId="496E955B" w14:textId="778C029D" w:rsidR="007A2A6F" w:rsidRPr="00653DCF" w:rsidRDefault="00690D99" w:rsidP="00613099">
      <w:pPr>
        <w:pStyle w:val="Heading2"/>
        <w:ind w:left="851"/>
        <w:rPr>
          <w:color w:val="auto"/>
          <w:lang w:val="hr-HR"/>
        </w:rPr>
      </w:pPr>
      <w:bookmarkStart w:id="447" w:name="_Ref427251876"/>
      <w:bookmarkStart w:id="448" w:name="_Toc475441164"/>
      <w:bookmarkStart w:id="449" w:name="_Toc498018659"/>
      <w:bookmarkStart w:id="450" w:name="_Toc508120524"/>
      <w:bookmarkStart w:id="451" w:name="_Toc126080714"/>
      <w:bookmarkStart w:id="452" w:name="_Toc126080846"/>
      <w:r w:rsidRPr="00653DCF">
        <w:rPr>
          <w:color w:val="auto"/>
          <w:lang w:val="hr-HR"/>
        </w:rPr>
        <w:t>Dovršenje P</w:t>
      </w:r>
      <w:r w:rsidR="00E87B0B" w:rsidRPr="00653DCF">
        <w:rPr>
          <w:color w:val="auto"/>
          <w:lang w:val="hr-HR"/>
        </w:rPr>
        <w:t>rojekta</w:t>
      </w:r>
      <w:bookmarkEnd w:id="447"/>
      <w:bookmarkEnd w:id="448"/>
      <w:bookmarkEnd w:id="449"/>
      <w:bookmarkEnd w:id="450"/>
      <w:bookmarkEnd w:id="451"/>
      <w:bookmarkEnd w:id="452"/>
    </w:p>
    <w:p w14:paraId="3264A205" w14:textId="548EB822" w:rsidR="007A2A6F" w:rsidRPr="00653DCF" w:rsidRDefault="001A00B6">
      <w:pPr>
        <w:rPr>
          <w:color w:val="auto"/>
          <w:lang w:val="hr-HR"/>
        </w:rPr>
      </w:pPr>
      <w:r w:rsidRPr="00653DCF">
        <w:rPr>
          <w:color w:val="auto"/>
          <w:lang w:val="hr-HR"/>
        </w:rPr>
        <w:t>Zajmoprimac (</w:t>
      </w:r>
      <w:r w:rsidR="00DF33A7" w:rsidRPr="00653DCF">
        <w:rPr>
          <w:color w:val="auto"/>
          <w:lang w:val="hr-HR"/>
        </w:rPr>
        <w:t xml:space="preserve">koji djeluje </w:t>
      </w:r>
      <w:r w:rsidRPr="00653DCF">
        <w:rPr>
          <w:color w:val="auto"/>
          <w:lang w:val="hr-HR"/>
        </w:rPr>
        <w:t xml:space="preserve">putem </w:t>
      </w:r>
      <w:r w:rsidR="007F5A15" w:rsidRPr="00653DCF">
        <w:rPr>
          <w:color w:val="auto"/>
          <w:lang w:val="hr-HR"/>
        </w:rPr>
        <w:t>Nositelj</w:t>
      </w:r>
      <w:r w:rsidRPr="00653DCF">
        <w:rPr>
          <w:color w:val="auto"/>
          <w:lang w:val="hr-HR"/>
        </w:rPr>
        <w:t>a)</w:t>
      </w:r>
      <w:r w:rsidR="00E87B0B" w:rsidRPr="00653DCF">
        <w:rPr>
          <w:color w:val="auto"/>
          <w:lang w:val="hr-HR"/>
        </w:rPr>
        <w:t xml:space="preserve"> </w:t>
      </w:r>
      <w:r w:rsidR="00690D99" w:rsidRPr="00653DCF">
        <w:rPr>
          <w:color w:val="auto"/>
          <w:lang w:val="hr-HR"/>
        </w:rPr>
        <w:t xml:space="preserve">je dužan osigurati da </w:t>
      </w:r>
      <w:r w:rsidR="00D82CF0" w:rsidRPr="00653DCF">
        <w:rPr>
          <w:color w:val="auto"/>
          <w:lang w:val="hr-HR"/>
        </w:rPr>
        <w:t xml:space="preserve">svako </w:t>
      </w:r>
      <w:r w:rsidR="00C72DBE" w:rsidRPr="00653DCF">
        <w:rPr>
          <w:color w:val="auto"/>
          <w:lang w:val="hr-HR"/>
        </w:rPr>
        <w:t>P</w:t>
      </w:r>
      <w:r w:rsidR="00D82CF0" w:rsidRPr="00653DCF">
        <w:rPr>
          <w:color w:val="auto"/>
          <w:lang w:val="hr-HR"/>
        </w:rPr>
        <w:t xml:space="preserve">rojektno društvo </w:t>
      </w:r>
      <w:r w:rsidR="000A4029" w:rsidRPr="00653DCF">
        <w:rPr>
          <w:color w:val="auto"/>
          <w:lang w:val="hr-HR"/>
        </w:rPr>
        <w:t>provodi Projekt</w:t>
      </w:r>
      <w:r w:rsidR="00141685" w:rsidRPr="00653DCF">
        <w:rPr>
          <w:color w:val="auto"/>
          <w:lang w:val="hr-HR"/>
        </w:rPr>
        <w:t xml:space="preserve"> </w:t>
      </w:r>
      <w:r w:rsidR="00E7291A" w:rsidRPr="00653DCF">
        <w:rPr>
          <w:color w:val="auto"/>
          <w:lang w:val="hr-HR"/>
        </w:rPr>
        <w:t xml:space="preserve">u skladu s tehničkim opisom, koji se povremeno može mijenjati uz </w:t>
      </w:r>
      <w:r w:rsidR="007D7B3C" w:rsidRPr="00653DCF">
        <w:rPr>
          <w:color w:val="auto"/>
          <w:lang w:val="hr-HR"/>
        </w:rPr>
        <w:t>odobrenje</w:t>
      </w:r>
      <w:r w:rsidR="00E7291A" w:rsidRPr="00653DCF">
        <w:rPr>
          <w:color w:val="auto"/>
          <w:lang w:val="hr-HR"/>
        </w:rPr>
        <w:t xml:space="preserve"> Banke, </w:t>
      </w:r>
      <w:r w:rsidR="001843F8" w:rsidRPr="00653DCF">
        <w:rPr>
          <w:color w:val="auto"/>
          <w:lang w:val="hr-HR"/>
        </w:rPr>
        <w:t xml:space="preserve">te da </w:t>
      </w:r>
      <w:r w:rsidR="007D7B3C" w:rsidRPr="00653DCF">
        <w:rPr>
          <w:color w:val="auto"/>
          <w:lang w:val="hr-HR"/>
        </w:rPr>
        <w:t xml:space="preserve">ga </w:t>
      </w:r>
      <w:r w:rsidR="001843F8" w:rsidRPr="00653DCF">
        <w:rPr>
          <w:color w:val="auto"/>
          <w:lang w:val="hr-HR"/>
        </w:rPr>
        <w:t xml:space="preserve">dovrši do roka </w:t>
      </w:r>
      <w:r w:rsidR="00EC217F" w:rsidRPr="00653DCF">
        <w:rPr>
          <w:color w:val="auto"/>
          <w:lang w:val="hr-HR"/>
        </w:rPr>
        <w:t xml:space="preserve">dovršetka </w:t>
      </w:r>
      <w:r w:rsidR="001843F8" w:rsidRPr="00653DCF">
        <w:rPr>
          <w:color w:val="auto"/>
          <w:lang w:val="hr-HR"/>
        </w:rPr>
        <w:t xml:space="preserve">navedenog u </w:t>
      </w:r>
      <w:r w:rsidR="000A4029" w:rsidRPr="00653DCF">
        <w:rPr>
          <w:color w:val="auto"/>
          <w:lang w:val="hr-HR"/>
        </w:rPr>
        <w:t>t</w:t>
      </w:r>
      <w:r w:rsidR="001843F8" w:rsidRPr="00653DCF">
        <w:rPr>
          <w:color w:val="auto"/>
          <w:lang w:val="hr-HR"/>
        </w:rPr>
        <w:t>ehničkom opisu</w:t>
      </w:r>
      <w:r w:rsidR="00E87B0B" w:rsidRPr="00653DCF">
        <w:rPr>
          <w:color w:val="auto"/>
          <w:lang w:val="hr-HR"/>
        </w:rPr>
        <w:t>.</w:t>
      </w:r>
    </w:p>
    <w:p w14:paraId="59A86B1D" w14:textId="0B472CFF" w:rsidR="007A2A6F" w:rsidRPr="00653DCF" w:rsidRDefault="00E87B0B" w:rsidP="00613099">
      <w:pPr>
        <w:pStyle w:val="Heading2"/>
        <w:ind w:left="851"/>
        <w:rPr>
          <w:color w:val="auto"/>
          <w:lang w:val="hr-HR"/>
        </w:rPr>
      </w:pPr>
      <w:bookmarkStart w:id="453" w:name="_Toc475441165"/>
      <w:bookmarkStart w:id="454" w:name="_Toc498018660"/>
      <w:bookmarkStart w:id="455" w:name="_Toc508120525"/>
      <w:bookmarkStart w:id="456" w:name="_Toc126080715"/>
      <w:bookmarkStart w:id="457" w:name="_Toc126080847"/>
      <w:r w:rsidRPr="00653DCF">
        <w:rPr>
          <w:color w:val="auto"/>
          <w:lang w:val="hr-HR"/>
        </w:rPr>
        <w:t xml:space="preserve">Povećanje </w:t>
      </w:r>
      <w:r w:rsidR="002B628A" w:rsidRPr="00653DCF">
        <w:rPr>
          <w:color w:val="auto"/>
          <w:lang w:val="hr-HR"/>
        </w:rPr>
        <w:t xml:space="preserve">troška </w:t>
      </w:r>
      <w:r w:rsidR="0079416C" w:rsidRPr="00653DCF">
        <w:rPr>
          <w:color w:val="auto"/>
          <w:lang w:val="hr-HR"/>
        </w:rPr>
        <w:t>P</w:t>
      </w:r>
      <w:r w:rsidRPr="00653DCF">
        <w:rPr>
          <w:color w:val="auto"/>
          <w:lang w:val="hr-HR"/>
        </w:rPr>
        <w:t>rojekta</w:t>
      </w:r>
      <w:bookmarkEnd w:id="453"/>
      <w:bookmarkEnd w:id="454"/>
      <w:bookmarkEnd w:id="455"/>
      <w:bookmarkEnd w:id="456"/>
      <w:bookmarkEnd w:id="457"/>
    </w:p>
    <w:p w14:paraId="2D221473" w14:textId="524F33E4" w:rsidR="007A2A6F" w:rsidRPr="00653DCF" w:rsidRDefault="00E87B0B" w:rsidP="0079416C">
      <w:pPr>
        <w:rPr>
          <w:color w:val="auto"/>
          <w:lang w:val="hr-HR"/>
        </w:rPr>
      </w:pPr>
      <w:r w:rsidRPr="00653DCF">
        <w:rPr>
          <w:color w:val="auto"/>
          <w:lang w:val="hr-HR"/>
        </w:rPr>
        <w:t xml:space="preserve">Ako </w:t>
      </w:r>
      <w:r w:rsidR="0079416C" w:rsidRPr="00653DCF">
        <w:rPr>
          <w:color w:val="auto"/>
          <w:lang w:val="hr-HR"/>
        </w:rPr>
        <w:t xml:space="preserve">ukupan trošak Projekta </w:t>
      </w:r>
      <w:r w:rsidR="009745DF" w:rsidRPr="00653DCF">
        <w:rPr>
          <w:color w:val="auto"/>
          <w:lang w:val="hr-HR"/>
        </w:rPr>
        <w:t xml:space="preserve">premaši </w:t>
      </w:r>
      <w:r w:rsidR="0079416C" w:rsidRPr="00653DCF">
        <w:rPr>
          <w:color w:val="auto"/>
          <w:lang w:val="hr-HR"/>
        </w:rPr>
        <w:t xml:space="preserve">procijenjenu vrijednost navedenu u uvodnoj izjavi </w:t>
      </w:r>
      <w:r w:rsidRPr="00653DCF">
        <w:rPr>
          <w:color w:val="auto"/>
          <w:lang w:val="hr-HR"/>
        </w:rPr>
        <w:fldChar w:fldCharType="begin"/>
      </w:r>
      <w:r w:rsidRPr="00653DCF">
        <w:rPr>
          <w:color w:val="auto"/>
          <w:lang w:val="hr-HR"/>
        </w:rPr>
        <w:instrText xml:space="preserve"> REF _Ref430937797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(b)</w:t>
      </w:r>
      <w:r w:rsidRPr="00653DCF">
        <w:rPr>
          <w:color w:val="auto"/>
          <w:lang w:val="hr-HR"/>
        </w:rPr>
        <w:fldChar w:fldCharType="end"/>
      </w:r>
      <w:r w:rsidRPr="00653DCF">
        <w:rPr>
          <w:color w:val="auto"/>
          <w:lang w:val="hr-HR"/>
        </w:rPr>
        <w:t xml:space="preserve">, </w:t>
      </w:r>
      <w:r w:rsidR="001A00B6" w:rsidRPr="00653DCF">
        <w:rPr>
          <w:color w:val="auto"/>
          <w:lang w:val="hr-HR"/>
        </w:rPr>
        <w:t>Zajmoprimac (</w:t>
      </w:r>
      <w:r w:rsidR="00DF33A7" w:rsidRPr="00653DCF">
        <w:rPr>
          <w:color w:val="auto"/>
          <w:lang w:val="hr-HR"/>
        </w:rPr>
        <w:t xml:space="preserve">koji djeluje </w:t>
      </w:r>
      <w:r w:rsidR="001A00B6" w:rsidRPr="00653DCF">
        <w:rPr>
          <w:color w:val="auto"/>
          <w:lang w:val="hr-HR"/>
        </w:rPr>
        <w:t>putem Nositelja)</w:t>
      </w:r>
      <w:r w:rsidRPr="00653DCF">
        <w:rPr>
          <w:color w:val="auto"/>
          <w:lang w:val="hr-HR"/>
        </w:rPr>
        <w:t xml:space="preserve"> će</w:t>
      </w:r>
      <w:r w:rsidR="00925504" w:rsidRPr="00653DCF">
        <w:rPr>
          <w:color w:val="auto"/>
          <w:lang w:val="hr-HR"/>
        </w:rPr>
        <w:t xml:space="preserve"> ishoditi</w:t>
      </w:r>
      <w:r w:rsidR="009745DF" w:rsidRPr="00653DCF">
        <w:rPr>
          <w:color w:val="auto"/>
          <w:lang w:val="hr-HR"/>
        </w:rPr>
        <w:t xml:space="preserve"> sredstva za financiranje </w:t>
      </w:r>
      <w:r w:rsidR="002B628A" w:rsidRPr="00653DCF">
        <w:rPr>
          <w:color w:val="auto"/>
          <w:lang w:val="hr-HR"/>
        </w:rPr>
        <w:t xml:space="preserve">takvog </w:t>
      </w:r>
      <w:r w:rsidR="009745DF" w:rsidRPr="00653DCF">
        <w:rPr>
          <w:color w:val="auto"/>
          <w:lang w:val="hr-HR"/>
        </w:rPr>
        <w:t xml:space="preserve">povećanja </w:t>
      </w:r>
      <w:r w:rsidR="002B628A" w:rsidRPr="00653DCF">
        <w:rPr>
          <w:color w:val="auto"/>
          <w:lang w:val="hr-HR"/>
        </w:rPr>
        <w:t>troška</w:t>
      </w:r>
      <w:r w:rsidRPr="00653DCF">
        <w:rPr>
          <w:color w:val="auto"/>
          <w:lang w:val="hr-HR"/>
        </w:rPr>
        <w:t xml:space="preserve">, </w:t>
      </w:r>
      <w:r w:rsidRPr="00653DCF">
        <w:rPr>
          <w:rFonts w:cs="Arial"/>
          <w:color w:val="auto"/>
          <w:lang w:val="hr-HR"/>
        </w:rPr>
        <w:t xml:space="preserve">ili će </w:t>
      </w:r>
      <w:r w:rsidR="00925504" w:rsidRPr="00653DCF">
        <w:rPr>
          <w:rFonts w:cs="Arial"/>
          <w:color w:val="auto"/>
          <w:lang w:val="hr-HR"/>
        </w:rPr>
        <w:t xml:space="preserve">biti dužan osigurati da </w:t>
      </w:r>
      <w:r w:rsidR="009745DF" w:rsidRPr="00653DCF">
        <w:rPr>
          <w:rFonts w:cs="Arial"/>
          <w:color w:val="auto"/>
          <w:lang w:val="hr-HR"/>
        </w:rPr>
        <w:t xml:space="preserve">ih </w:t>
      </w:r>
      <w:r w:rsidR="00925504" w:rsidRPr="00653DCF">
        <w:rPr>
          <w:rFonts w:cs="Arial"/>
          <w:color w:val="auto"/>
          <w:lang w:val="hr-HR"/>
        </w:rPr>
        <w:t xml:space="preserve">odgovarajuće </w:t>
      </w:r>
      <w:r w:rsidR="00C72DBE" w:rsidRPr="00653DCF">
        <w:rPr>
          <w:rFonts w:cs="Arial"/>
          <w:color w:val="auto"/>
          <w:lang w:val="hr-HR"/>
        </w:rPr>
        <w:t>P</w:t>
      </w:r>
      <w:r w:rsidR="00925504" w:rsidRPr="00653DCF">
        <w:rPr>
          <w:rFonts w:cs="Arial"/>
          <w:color w:val="auto"/>
          <w:lang w:val="hr-HR"/>
        </w:rPr>
        <w:t>rojektno društvo ishodi</w:t>
      </w:r>
      <w:r w:rsidR="009745DF" w:rsidRPr="00653DCF">
        <w:rPr>
          <w:rFonts w:cs="Arial"/>
          <w:color w:val="auto"/>
          <w:lang w:val="hr-HR"/>
        </w:rPr>
        <w:t>,</w:t>
      </w:r>
      <w:r w:rsidR="00925504" w:rsidRPr="00653DCF">
        <w:rPr>
          <w:rFonts w:cs="Arial"/>
          <w:color w:val="auto"/>
          <w:lang w:val="hr-HR"/>
        </w:rPr>
        <w:t xml:space="preserve"> </w:t>
      </w:r>
      <w:r w:rsidR="00822770" w:rsidRPr="00653DCF">
        <w:rPr>
          <w:rFonts w:cs="Arial"/>
          <w:color w:val="auto"/>
          <w:lang w:val="hr-HR"/>
        </w:rPr>
        <w:t xml:space="preserve">a </w:t>
      </w:r>
      <w:r w:rsidR="009745DF" w:rsidRPr="00653DCF">
        <w:rPr>
          <w:color w:val="auto"/>
          <w:lang w:val="hr-HR"/>
        </w:rPr>
        <w:t xml:space="preserve">bez obraćanja </w:t>
      </w:r>
      <w:r w:rsidRPr="00653DCF">
        <w:rPr>
          <w:color w:val="auto"/>
          <w:lang w:val="hr-HR"/>
        </w:rPr>
        <w:t>Banci</w:t>
      </w:r>
      <w:r w:rsidR="00B626D4" w:rsidRPr="00653DCF">
        <w:rPr>
          <w:color w:val="auto"/>
          <w:lang w:val="hr-HR"/>
        </w:rPr>
        <w:t xml:space="preserve"> za pomoć</w:t>
      </w:r>
      <w:r w:rsidR="009745DF" w:rsidRPr="00653DCF">
        <w:rPr>
          <w:color w:val="auto"/>
          <w:lang w:val="hr-HR"/>
        </w:rPr>
        <w:t xml:space="preserve">, kako bi se Projekt dovršio </w:t>
      </w:r>
      <w:r w:rsidRPr="00653DCF">
        <w:rPr>
          <w:color w:val="auto"/>
          <w:lang w:val="hr-HR"/>
        </w:rPr>
        <w:t xml:space="preserve">u skladu s </w:t>
      </w:r>
      <w:r w:rsidR="00B626D4" w:rsidRPr="00653DCF">
        <w:rPr>
          <w:color w:val="auto"/>
          <w:lang w:val="hr-HR"/>
        </w:rPr>
        <w:t>t</w:t>
      </w:r>
      <w:r w:rsidRPr="00653DCF">
        <w:rPr>
          <w:color w:val="auto"/>
          <w:lang w:val="hr-HR"/>
        </w:rPr>
        <w:t>ehničkim opisom. Planov</w:t>
      </w:r>
      <w:r w:rsidR="00B626D4" w:rsidRPr="00653DCF">
        <w:rPr>
          <w:color w:val="auto"/>
          <w:lang w:val="hr-HR"/>
        </w:rPr>
        <w:t>e</w:t>
      </w:r>
      <w:r w:rsidRPr="00653DCF">
        <w:rPr>
          <w:color w:val="auto"/>
          <w:lang w:val="hr-HR"/>
        </w:rPr>
        <w:t xml:space="preserve"> </w:t>
      </w:r>
      <w:r w:rsidR="00B626D4" w:rsidRPr="00653DCF">
        <w:rPr>
          <w:color w:val="auto"/>
          <w:lang w:val="hr-HR"/>
        </w:rPr>
        <w:t xml:space="preserve">financiranja </w:t>
      </w:r>
      <w:r w:rsidR="001D0AF1" w:rsidRPr="00653DCF">
        <w:rPr>
          <w:color w:val="auto"/>
          <w:lang w:val="hr-HR"/>
        </w:rPr>
        <w:t>takvog</w:t>
      </w:r>
      <w:r w:rsidR="009745DF" w:rsidRPr="00653DCF">
        <w:rPr>
          <w:color w:val="auto"/>
          <w:lang w:val="hr-HR"/>
        </w:rPr>
        <w:t xml:space="preserve"> </w:t>
      </w:r>
      <w:r w:rsidR="00B626D4" w:rsidRPr="00653DCF">
        <w:rPr>
          <w:color w:val="auto"/>
          <w:lang w:val="hr-HR"/>
        </w:rPr>
        <w:t xml:space="preserve">povećanja </w:t>
      </w:r>
      <w:r w:rsidR="001D0AF1" w:rsidRPr="00653DCF">
        <w:rPr>
          <w:color w:val="auto"/>
          <w:lang w:val="hr-HR"/>
        </w:rPr>
        <w:t xml:space="preserve">troška </w:t>
      </w:r>
      <w:r w:rsidR="00B626D4" w:rsidRPr="00653DCF">
        <w:rPr>
          <w:color w:val="auto"/>
          <w:lang w:val="hr-HR"/>
        </w:rPr>
        <w:t xml:space="preserve">potrebno </w:t>
      </w:r>
      <w:r w:rsidR="009745DF" w:rsidRPr="00653DCF">
        <w:rPr>
          <w:color w:val="auto"/>
          <w:lang w:val="hr-HR"/>
        </w:rPr>
        <w:t xml:space="preserve">je </w:t>
      </w:r>
      <w:r w:rsidR="000F1EC7" w:rsidRPr="00653DCF">
        <w:rPr>
          <w:color w:val="auto"/>
          <w:lang w:val="hr-HR"/>
        </w:rPr>
        <w:t xml:space="preserve">odmah </w:t>
      </w:r>
      <w:r w:rsidR="00FB6CEE" w:rsidRPr="00653DCF">
        <w:rPr>
          <w:color w:val="auto"/>
          <w:lang w:val="hr-HR"/>
        </w:rPr>
        <w:t xml:space="preserve">priopćiti </w:t>
      </w:r>
      <w:r w:rsidR="00B626D4" w:rsidRPr="00653DCF">
        <w:rPr>
          <w:color w:val="auto"/>
          <w:lang w:val="hr-HR"/>
        </w:rPr>
        <w:t>Banci</w:t>
      </w:r>
      <w:r w:rsidRPr="00653DCF">
        <w:rPr>
          <w:color w:val="auto"/>
          <w:lang w:val="hr-HR"/>
        </w:rPr>
        <w:t>.</w:t>
      </w:r>
    </w:p>
    <w:p w14:paraId="0F773C3F" w14:textId="50B8CFCA" w:rsidR="007A2A6F" w:rsidRPr="00653DCF" w:rsidRDefault="00E87B0B" w:rsidP="00613099">
      <w:pPr>
        <w:pStyle w:val="Heading2"/>
        <w:ind w:left="851"/>
        <w:rPr>
          <w:color w:val="auto"/>
          <w:lang w:val="hr-HR"/>
        </w:rPr>
      </w:pPr>
      <w:bookmarkStart w:id="458" w:name="_Toc475441166"/>
      <w:bookmarkStart w:id="459" w:name="_Toc498018661"/>
      <w:bookmarkStart w:id="460" w:name="_Toc508120526"/>
      <w:bookmarkStart w:id="461" w:name="_Ref61446109"/>
      <w:bookmarkStart w:id="462" w:name="_Toc126080716"/>
      <w:bookmarkStart w:id="463" w:name="_Toc126080848"/>
      <w:r w:rsidRPr="00653DCF">
        <w:rPr>
          <w:color w:val="auto"/>
          <w:lang w:val="hr-HR"/>
        </w:rPr>
        <w:t>Postupak nabave</w:t>
      </w:r>
      <w:bookmarkEnd w:id="458"/>
      <w:bookmarkEnd w:id="459"/>
      <w:bookmarkEnd w:id="460"/>
      <w:bookmarkEnd w:id="461"/>
      <w:bookmarkEnd w:id="462"/>
      <w:bookmarkEnd w:id="463"/>
    </w:p>
    <w:p w14:paraId="6FB3BBBE" w14:textId="6205DE40" w:rsidR="007A2A6F" w:rsidRPr="00653DCF" w:rsidRDefault="00050318" w:rsidP="006010BF">
      <w:pPr>
        <w:pStyle w:val="NoIndentEIB"/>
        <w:numPr>
          <w:ilvl w:val="0"/>
          <w:numId w:val="68"/>
        </w:numPr>
        <w:rPr>
          <w:color w:val="auto"/>
          <w:lang w:val="hr-HR"/>
        </w:rPr>
      </w:pPr>
      <w:bookmarkStart w:id="464" w:name="_Ref61446040"/>
      <w:r w:rsidRPr="00653DCF">
        <w:rPr>
          <w:color w:val="auto"/>
          <w:lang w:val="hr-HR"/>
        </w:rPr>
        <w:t>Zajmoprimac i Nositelj</w:t>
      </w:r>
      <w:r w:rsidR="00E87B0B" w:rsidRPr="00653DCF">
        <w:rPr>
          <w:color w:val="auto"/>
          <w:lang w:val="hr-HR"/>
        </w:rPr>
        <w:t xml:space="preserve"> će</w:t>
      </w:r>
      <w:r w:rsidR="00915A87" w:rsidRPr="00653DCF">
        <w:rPr>
          <w:color w:val="auto"/>
          <w:lang w:val="hr-HR"/>
        </w:rPr>
        <w:t xml:space="preserve"> nabavljati radove, usluge ili robu za Projekt ili će osigurati da to napravi svako </w:t>
      </w:r>
      <w:r w:rsidR="00C72DBE" w:rsidRPr="00653DCF">
        <w:rPr>
          <w:color w:val="auto"/>
          <w:lang w:val="hr-HR"/>
        </w:rPr>
        <w:t>P</w:t>
      </w:r>
      <w:r w:rsidR="00943660" w:rsidRPr="00653DCF">
        <w:rPr>
          <w:color w:val="auto"/>
          <w:lang w:val="hr-HR"/>
        </w:rPr>
        <w:t>rojektno</w:t>
      </w:r>
      <w:r w:rsidR="00915A87" w:rsidRPr="00653DCF">
        <w:rPr>
          <w:color w:val="auto"/>
          <w:lang w:val="hr-HR"/>
        </w:rPr>
        <w:t xml:space="preserve"> društvo. Nabava će se vršiti</w:t>
      </w:r>
      <w:r w:rsidR="00E87B0B" w:rsidRPr="00653DCF">
        <w:rPr>
          <w:color w:val="auto"/>
          <w:lang w:val="hr-HR"/>
        </w:rPr>
        <w:t xml:space="preserve">: </w:t>
      </w:r>
      <w:bookmarkEnd w:id="464"/>
    </w:p>
    <w:p w14:paraId="7B8609E9" w14:textId="78313B2B" w:rsidR="007A2A6F" w:rsidRPr="00653DCF" w:rsidRDefault="00E87B0B" w:rsidP="006010BF">
      <w:pPr>
        <w:pStyle w:val="NoIndentEIB"/>
        <w:numPr>
          <w:ilvl w:val="1"/>
          <w:numId w:val="68"/>
        </w:numPr>
        <w:rPr>
          <w:color w:val="auto"/>
          <w:lang w:val="hr-HR"/>
        </w:rPr>
      </w:pPr>
      <w:bookmarkStart w:id="465" w:name="_Ref61446030"/>
      <w:r w:rsidRPr="00653DCF">
        <w:rPr>
          <w:color w:val="auto"/>
          <w:lang w:val="hr-HR"/>
        </w:rPr>
        <w:lastRenderedPageBreak/>
        <w:t xml:space="preserve">u skladu s pravom </w:t>
      </w:r>
      <w:r w:rsidR="00705F3F" w:rsidRPr="00653DCF">
        <w:rPr>
          <w:color w:val="auto"/>
          <w:lang w:val="hr-HR"/>
        </w:rPr>
        <w:t>EU-a</w:t>
      </w:r>
      <w:r w:rsidR="00CD0965" w:rsidRPr="00653DCF">
        <w:rPr>
          <w:color w:val="auto"/>
          <w:lang w:val="hr-HR"/>
        </w:rPr>
        <w:t xml:space="preserve"> općenito, a osobito u skladu s relevantnim direktivama </w:t>
      </w:r>
      <w:r w:rsidRPr="00653DCF">
        <w:rPr>
          <w:color w:val="auto"/>
          <w:lang w:val="hr-HR"/>
        </w:rPr>
        <w:t xml:space="preserve">Europske unije o nabavi, ako </w:t>
      </w:r>
      <w:r w:rsidR="00456184" w:rsidRPr="00653DCF">
        <w:rPr>
          <w:color w:val="auto"/>
          <w:lang w:val="hr-HR"/>
        </w:rPr>
        <w:t xml:space="preserve">su </w:t>
      </w:r>
      <w:r w:rsidRPr="00653DCF">
        <w:rPr>
          <w:color w:val="auto"/>
          <w:lang w:val="hr-HR"/>
        </w:rPr>
        <w:t>primjenjive;</w:t>
      </w:r>
      <w:bookmarkEnd w:id="465"/>
    </w:p>
    <w:p w14:paraId="7D0CC38A" w14:textId="0FDD4510" w:rsidR="007A2A6F" w:rsidRPr="00653DCF" w:rsidRDefault="006B6F54" w:rsidP="006010BF">
      <w:pPr>
        <w:pStyle w:val="NoIndentEIB"/>
        <w:numPr>
          <w:ilvl w:val="1"/>
          <w:numId w:val="68"/>
        </w:numPr>
        <w:rPr>
          <w:color w:val="auto"/>
          <w:lang w:val="hr-HR"/>
        </w:rPr>
      </w:pPr>
      <w:bookmarkStart w:id="466" w:name="_Ref61446035"/>
      <w:r w:rsidRPr="00653DCF">
        <w:rPr>
          <w:color w:val="auto"/>
          <w:lang w:val="hr-HR"/>
        </w:rPr>
        <w:t>u skladu s takvim postupcima nabave koji, prema mišljenju Banke, na zadovoljavajući način udovoljavaju kriterijima ekonomičnosti i učinkovitosti te načelu transparentnosti, jednakog postupanja i nediskriminacije u odnosu na državnu pripadnost</w:t>
      </w:r>
      <w:r w:rsidR="005C6267" w:rsidRPr="00653DCF">
        <w:rPr>
          <w:color w:val="auto"/>
          <w:lang w:val="hr-HR"/>
        </w:rPr>
        <w:t xml:space="preserve"> </w:t>
      </w:r>
      <w:r w:rsidR="00650A14" w:rsidRPr="00653DCF">
        <w:rPr>
          <w:color w:val="auto"/>
          <w:lang w:val="hr-HR"/>
        </w:rPr>
        <w:t xml:space="preserve">ako se radi o javnim ugovorima </w:t>
      </w:r>
      <w:r w:rsidR="00404529" w:rsidRPr="00653DCF">
        <w:rPr>
          <w:color w:val="auto"/>
          <w:lang w:val="hr-HR"/>
        </w:rPr>
        <w:t xml:space="preserve">na koje se ne primjenjuju direktive </w:t>
      </w:r>
      <w:r w:rsidR="00650A14" w:rsidRPr="00653DCF">
        <w:rPr>
          <w:color w:val="auto"/>
          <w:lang w:val="hr-HR"/>
        </w:rPr>
        <w:t>Europske unije o nabavi</w:t>
      </w:r>
      <w:r w:rsidR="00E87B0B" w:rsidRPr="00653DCF">
        <w:rPr>
          <w:color w:val="auto"/>
          <w:lang w:val="hr-HR"/>
        </w:rPr>
        <w:t>; ili</w:t>
      </w:r>
      <w:bookmarkEnd w:id="466"/>
    </w:p>
    <w:p w14:paraId="6C4F06C3" w14:textId="3BFB072D" w:rsidR="007A2A6F" w:rsidRPr="00653DCF" w:rsidRDefault="005C6267" w:rsidP="006010BF">
      <w:pPr>
        <w:pStyle w:val="NoIndentEIB"/>
        <w:numPr>
          <w:ilvl w:val="1"/>
          <w:numId w:val="68"/>
        </w:numPr>
        <w:rPr>
          <w:color w:val="auto"/>
          <w:lang w:val="hr-HR"/>
        </w:rPr>
      </w:pPr>
      <w:r w:rsidRPr="00653DCF">
        <w:rPr>
          <w:color w:val="auto"/>
          <w:lang w:val="hr-HR"/>
        </w:rPr>
        <w:t xml:space="preserve">u skladu s takvim postupcima nabave koji, prema mišljenju Banke, na zadovoljavajući način udovoljavaju kriterijima ekonomičnosti i učinkovitosti </w:t>
      </w:r>
      <w:r w:rsidR="00FE4A0A" w:rsidRPr="00653DCF">
        <w:rPr>
          <w:color w:val="auto"/>
          <w:lang w:val="hr-HR"/>
        </w:rPr>
        <w:t xml:space="preserve">ako se radi o ugovorima koji </w:t>
      </w:r>
      <w:r w:rsidR="00952D69" w:rsidRPr="00653DCF">
        <w:rPr>
          <w:color w:val="auto"/>
          <w:lang w:val="hr-HR"/>
        </w:rPr>
        <w:t xml:space="preserve">nisu </w:t>
      </w:r>
      <w:r w:rsidR="006269D5" w:rsidRPr="00653DCF">
        <w:rPr>
          <w:color w:val="auto"/>
          <w:lang w:val="hr-HR"/>
        </w:rPr>
        <w:t>javn</w:t>
      </w:r>
      <w:r w:rsidR="00952D69" w:rsidRPr="00653DCF">
        <w:rPr>
          <w:color w:val="auto"/>
          <w:lang w:val="hr-HR"/>
        </w:rPr>
        <w:t>i</w:t>
      </w:r>
      <w:r w:rsidR="006269D5" w:rsidRPr="00653DCF">
        <w:rPr>
          <w:color w:val="auto"/>
          <w:lang w:val="hr-HR"/>
        </w:rPr>
        <w:t xml:space="preserve"> </w:t>
      </w:r>
      <w:r w:rsidR="00FE4A0A" w:rsidRPr="00653DCF">
        <w:rPr>
          <w:color w:val="auto"/>
          <w:lang w:val="hr-HR"/>
        </w:rPr>
        <w:t>ugovor</w:t>
      </w:r>
      <w:r w:rsidR="00952D69" w:rsidRPr="00653DCF">
        <w:rPr>
          <w:color w:val="auto"/>
          <w:lang w:val="hr-HR"/>
        </w:rPr>
        <w:t>i</w:t>
      </w:r>
      <w:r w:rsidR="00FE4A0A" w:rsidRPr="00653DCF">
        <w:rPr>
          <w:color w:val="auto"/>
          <w:lang w:val="hr-HR"/>
        </w:rPr>
        <w:t xml:space="preserve"> </w:t>
      </w:r>
      <w:r w:rsidR="00F83949" w:rsidRPr="00653DCF">
        <w:rPr>
          <w:color w:val="auto"/>
          <w:lang w:val="hr-HR"/>
        </w:rPr>
        <w:t xml:space="preserve">na koje se </w:t>
      </w:r>
      <w:r w:rsidR="00F311E5" w:rsidRPr="00653DCF">
        <w:rPr>
          <w:color w:val="auto"/>
          <w:lang w:val="hr-HR"/>
        </w:rPr>
        <w:t xml:space="preserve">ne </w:t>
      </w:r>
      <w:r w:rsidR="00F83949" w:rsidRPr="00653DCF">
        <w:rPr>
          <w:color w:val="auto"/>
          <w:lang w:val="hr-HR"/>
        </w:rPr>
        <w:t xml:space="preserve">primjenjuju </w:t>
      </w:r>
      <w:r w:rsidR="00FE4A0A" w:rsidRPr="00653DCF">
        <w:rPr>
          <w:color w:val="auto"/>
          <w:lang w:val="hr-HR"/>
        </w:rPr>
        <w:t>direktiv</w:t>
      </w:r>
      <w:r w:rsidR="00F83949" w:rsidRPr="00653DCF">
        <w:rPr>
          <w:color w:val="auto"/>
          <w:lang w:val="hr-HR"/>
        </w:rPr>
        <w:t>e</w:t>
      </w:r>
      <w:r w:rsidR="00FE4A0A" w:rsidRPr="00653DCF">
        <w:rPr>
          <w:color w:val="auto"/>
          <w:lang w:val="hr-HR"/>
        </w:rPr>
        <w:t xml:space="preserve"> Europske unije o nabavi</w:t>
      </w:r>
      <w:r w:rsidR="00E87B0B" w:rsidRPr="00653DCF">
        <w:rPr>
          <w:color w:val="auto"/>
          <w:lang w:val="hr-HR"/>
        </w:rPr>
        <w:t>.</w:t>
      </w:r>
    </w:p>
    <w:p w14:paraId="652A6B17" w14:textId="5D51D503" w:rsidR="007A2A6F" w:rsidRPr="00653DCF" w:rsidRDefault="00E87B0B" w:rsidP="006010BF">
      <w:pPr>
        <w:pStyle w:val="NoIndentEIB"/>
        <w:numPr>
          <w:ilvl w:val="0"/>
          <w:numId w:val="68"/>
        </w:numPr>
        <w:rPr>
          <w:color w:val="auto"/>
          <w:lang w:val="hr-HR"/>
        </w:rPr>
      </w:pPr>
      <w:r w:rsidRPr="00653DCF">
        <w:rPr>
          <w:color w:val="auto"/>
          <w:lang w:val="hr-HR"/>
        </w:rPr>
        <w:t xml:space="preserve">U slučajevima </w:t>
      </w:r>
      <w:r w:rsidR="00C62016" w:rsidRPr="00653DCF">
        <w:rPr>
          <w:color w:val="auto"/>
          <w:lang w:val="hr-HR"/>
        </w:rPr>
        <w:t xml:space="preserve">navedenim u točkama </w:t>
      </w:r>
      <w:r w:rsidRPr="00653DCF">
        <w:rPr>
          <w:color w:val="auto"/>
          <w:lang w:val="hr-HR"/>
        </w:rPr>
        <w:fldChar w:fldCharType="begin"/>
      </w:r>
      <w:r w:rsidRPr="00653DCF">
        <w:rPr>
          <w:color w:val="auto"/>
          <w:lang w:val="hr-HR"/>
        </w:rPr>
        <w:instrText xml:space="preserve"> REF _Ref61446030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(a)(i)</w:t>
      </w:r>
      <w:r w:rsidRPr="00653DCF">
        <w:rPr>
          <w:color w:val="auto"/>
          <w:lang w:val="hr-HR"/>
        </w:rPr>
        <w:fldChar w:fldCharType="end"/>
      </w:r>
      <w:r w:rsidR="00C62016" w:rsidRPr="00653DCF">
        <w:rPr>
          <w:color w:val="auto"/>
          <w:lang w:val="hr-HR"/>
        </w:rPr>
        <w:t xml:space="preserve"> i</w:t>
      </w:r>
      <w:r w:rsidRPr="00653DCF">
        <w:rPr>
          <w:color w:val="auto"/>
          <w:lang w:val="hr-HR"/>
        </w:rPr>
        <w:t xml:space="preserve"> </w:t>
      </w:r>
      <w:r w:rsidRPr="00653DCF">
        <w:rPr>
          <w:color w:val="auto"/>
          <w:lang w:val="hr-HR"/>
        </w:rPr>
        <w:fldChar w:fldCharType="begin"/>
      </w:r>
      <w:r w:rsidRPr="00653DCF">
        <w:rPr>
          <w:color w:val="auto"/>
          <w:lang w:val="hr-HR"/>
        </w:rPr>
        <w:instrText xml:space="preserve"> REF _Ref61446035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(a)(ii)</w:t>
      </w:r>
      <w:r w:rsidRPr="00653DCF">
        <w:rPr>
          <w:color w:val="auto"/>
          <w:lang w:val="hr-HR"/>
        </w:rPr>
        <w:fldChar w:fldCharType="end"/>
      </w:r>
      <w:r w:rsidRPr="00653DCF">
        <w:rPr>
          <w:color w:val="auto"/>
          <w:lang w:val="hr-HR"/>
        </w:rPr>
        <w:t xml:space="preserve"> </w:t>
      </w:r>
      <w:r w:rsidR="00C62016" w:rsidRPr="00653DCF">
        <w:rPr>
          <w:color w:val="auto"/>
          <w:lang w:val="hr-HR"/>
        </w:rPr>
        <w:t>gore</w:t>
      </w:r>
      <w:r w:rsidRPr="00653DCF">
        <w:rPr>
          <w:color w:val="auto"/>
          <w:lang w:val="hr-HR"/>
        </w:rPr>
        <w:t xml:space="preserve">, </w:t>
      </w:r>
      <w:r w:rsidR="00050318" w:rsidRPr="00653DCF">
        <w:rPr>
          <w:color w:val="auto"/>
          <w:lang w:val="hr-HR"/>
        </w:rPr>
        <w:t xml:space="preserve">Zajmoprimac i </w:t>
      </w:r>
      <w:r w:rsidR="00A75CFC" w:rsidRPr="00653DCF">
        <w:rPr>
          <w:color w:val="auto"/>
          <w:lang w:val="hr-HR"/>
        </w:rPr>
        <w:t>Nositelj</w:t>
      </w:r>
      <w:r w:rsidRPr="00653DCF">
        <w:rPr>
          <w:color w:val="auto"/>
          <w:lang w:val="hr-HR"/>
        </w:rPr>
        <w:t xml:space="preserve"> ili </w:t>
      </w:r>
      <w:r w:rsidR="00C72DBE" w:rsidRPr="00653DCF">
        <w:rPr>
          <w:color w:val="auto"/>
          <w:lang w:val="hr-HR"/>
        </w:rPr>
        <w:t>P</w:t>
      </w:r>
      <w:r w:rsidRPr="00653DCF">
        <w:rPr>
          <w:color w:val="auto"/>
          <w:lang w:val="hr-HR"/>
        </w:rPr>
        <w:t xml:space="preserve">rojektno društvo </w:t>
      </w:r>
      <w:r w:rsidR="00256DD8" w:rsidRPr="00653DCF">
        <w:rPr>
          <w:color w:val="auto"/>
          <w:lang w:val="hr-HR"/>
        </w:rPr>
        <w:t xml:space="preserve">zatražit će da ponuđač, u </w:t>
      </w:r>
      <w:r w:rsidRPr="00653DCF">
        <w:rPr>
          <w:color w:val="auto"/>
          <w:lang w:val="hr-HR"/>
        </w:rPr>
        <w:t xml:space="preserve">natječajnoj dokumentaciji ili drugoj referentnoj dokumentaciji za </w:t>
      </w:r>
      <w:r w:rsidR="00256DD8" w:rsidRPr="00653DCF">
        <w:rPr>
          <w:color w:val="auto"/>
          <w:lang w:val="hr-HR"/>
        </w:rPr>
        <w:t xml:space="preserve">postupke </w:t>
      </w:r>
      <w:r w:rsidRPr="00653DCF">
        <w:rPr>
          <w:color w:val="auto"/>
          <w:lang w:val="hr-HR"/>
        </w:rPr>
        <w:t xml:space="preserve">nabave navedene u </w:t>
      </w:r>
      <w:r w:rsidR="00015D6A" w:rsidRPr="00653DCF">
        <w:rPr>
          <w:color w:val="auto"/>
          <w:lang w:val="hr-HR"/>
        </w:rPr>
        <w:t xml:space="preserve">gornjoj točki </w:t>
      </w:r>
      <w:r w:rsidRPr="00653DCF">
        <w:rPr>
          <w:color w:val="auto"/>
          <w:lang w:val="hr-HR"/>
        </w:rPr>
        <w:fldChar w:fldCharType="begin"/>
      </w:r>
      <w:r w:rsidRPr="00653DCF">
        <w:rPr>
          <w:color w:val="auto"/>
          <w:lang w:val="hr-HR"/>
        </w:rPr>
        <w:instrText xml:space="preserve"> REF _Ref61446109 \n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6.4</w:t>
      </w:r>
      <w:r w:rsidRPr="00653DCF">
        <w:rPr>
          <w:color w:val="auto"/>
          <w:lang w:val="hr-HR"/>
        </w:rPr>
        <w:fldChar w:fldCharType="end"/>
      </w:r>
      <w:r w:rsidRPr="00653DCF">
        <w:rPr>
          <w:color w:val="auto"/>
          <w:lang w:val="hr-HR"/>
        </w:rPr>
        <w:fldChar w:fldCharType="begin"/>
      </w:r>
      <w:r w:rsidRPr="00653DCF">
        <w:rPr>
          <w:color w:val="auto"/>
          <w:lang w:val="hr-HR"/>
        </w:rPr>
        <w:instrText xml:space="preserve"> REF _Ref61446040 \n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(a)</w:t>
      </w:r>
      <w:r w:rsidRPr="00653DCF">
        <w:rPr>
          <w:color w:val="auto"/>
          <w:lang w:val="hr-HR"/>
        </w:rPr>
        <w:fldChar w:fldCharType="end"/>
      </w:r>
      <w:r w:rsidR="000F5035" w:rsidRPr="00653DCF">
        <w:rPr>
          <w:color w:val="auto"/>
          <w:lang w:val="hr-HR"/>
        </w:rPr>
        <w:t>, da</w:t>
      </w:r>
      <w:r w:rsidR="00C31578" w:rsidRPr="00653DCF">
        <w:rPr>
          <w:color w:val="auto"/>
          <w:lang w:val="hr-HR"/>
        </w:rPr>
        <w:t>de</w:t>
      </w:r>
      <w:r w:rsidR="000F5035" w:rsidRPr="00653DCF">
        <w:rPr>
          <w:color w:val="auto"/>
          <w:lang w:val="hr-HR"/>
        </w:rPr>
        <w:t xml:space="preserve"> izjavu </w:t>
      </w:r>
      <w:r w:rsidRPr="00653DCF">
        <w:rPr>
          <w:color w:val="auto"/>
          <w:lang w:val="hr-HR"/>
        </w:rPr>
        <w:t xml:space="preserve">podliježe </w:t>
      </w:r>
      <w:r w:rsidR="000F5035" w:rsidRPr="00653DCF">
        <w:rPr>
          <w:color w:val="auto"/>
          <w:lang w:val="hr-HR"/>
        </w:rPr>
        <w:t xml:space="preserve">li </w:t>
      </w:r>
      <w:r w:rsidRPr="00653DCF">
        <w:rPr>
          <w:color w:val="auto"/>
          <w:lang w:val="hr-HR"/>
        </w:rPr>
        <w:t xml:space="preserve">bilo </w:t>
      </w:r>
      <w:r w:rsidR="006759D9" w:rsidRPr="00653DCF">
        <w:rPr>
          <w:color w:val="auto"/>
          <w:lang w:val="hr-HR"/>
        </w:rPr>
        <w:t>kojoj</w:t>
      </w:r>
      <w:r w:rsidR="000F5035" w:rsidRPr="00653DCF">
        <w:rPr>
          <w:color w:val="auto"/>
          <w:lang w:val="hr-HR"/>
        </w:rPr>
        <w:t xml:space="preserve"> odluci o izuzeću ili privremeno</w:t>
      </w:r>
      <w:r w:rsidR="000E01F6" w:rsidRPr="00653DCF">
        <w:rPr>
          <w:color w:val="auto"/>
          <w:lang w:val="hr-HR"/>
        </w:rPr>
        <w:t>m</w:t>
      </w:r>
      <w:r w:rsidR="000F5035" w:rsidRPr="00653DCF">
        <w:rPr>
          <w:color w:val="auto"/>
          <w:lang w:val="hr-HR"/>
        </w:rPr>
        <w:t xml:space="preserve"> </w:t>
      </w:r>
      <w:r w:rsidR="00DE5E54" w:rsidRPr="00653DCF">
        <w:rPr>
          <w:color w:val="auto"/>
          <w:lang w:val="hr-HR"/>
        </w:rPr>
        <w:t>isključenju</w:t>
      </w:r>
      <w:r w:rsidR="000F5035" w:rsidRPr="00653DCF">
        <w:rPr>
          <w:color w:val="auto"/>
          <w:lang w:val="hr-HR"/>
        </w:rPr>
        <w:t xml:space="preserve"> u skladu s politikom izuzeća</w:t>
      </w:r>
      <w:r w:rsidRPr="00653DCF">
        <w:rPr>
          <w:color w:val="auto"/>
          <w:lang w:val="hr-HR"/>
        </w:rPr>
        <w:t>.</w:t>
      </w:r>
    </w:p>
    <w:p w14:paraId="4E6909D7" w14:textId="0AD70C0E" w:rsidR="007A2A6F" w:rsidRPr="00653DCF" w:rsidRDefault="00E87B0B" w:rsidP="006010BF">
      <w:pPr>
        <w:pStyle w:val="NoIndentEIB"/>
        <w:numPr>
          <w:ilvl w:val="0"/>
          <w:numId w:val="68"/>
        </w:numPr>
        <w:rPr>
          <w:color w:val="auto"/>
          <w:lang w:val="hr-HR"/>
        </w:rPr>
      </w:pPr>
      <w:r w:rsidRPr="00653DCF">
        <w:rPr>
          <w:color w:val="auto"/>
          <w:lang w:val="hr-HR"/>
        </w:rPr>
        <w:t xml:space="preserve">Ako </w:t>
      </w:r>
      <w:r w:rsidR="004A3380" w:rsidRPr="00653DCF">
        <w:rPr>
          <w:color w:val="auto"/>
          <w:lang w:val="hr-HR"/>
        </w:rPr>
        <w:t>ponuđač</w:t>
      </w:r>
      <w:r w:rsidR="00C76784" w:rsidRPr="00653DCF">
        <w:rPr>
          <w:color w:val="auto"/>
          <w:lang w:val="hr-HR"/>
        </w:rPr>
        <w:t>, prije dodjele ugovora,</w:t>
      </w:r>
      <w:r w:rsidR="004A3380" w:rsidRPr="00653DCF">
        <w:rPr>
          <w:color w:val="auto"/>
          <w:lang w:val="hr-HR"/>
        </w:rPr>
        <w:t xml:space="preserve"> </w:t>
      </w:r>
      <w:r w:rsidR="00050318" w:rsidRPr="00653DCF">
        <w:rPr>
          <w:color w:val="auto"/>
          <w:lang w:val="hr-HR"/>
        </w:rPr>
        <w:t>Zajmoprimcu ili Nositelju</w:t>
      </w:r>
      <w:r w:rsidR="004A3380" w:rsidRPr="00653DCF">
        <w:rPr>
          <w:color w:val="auto"/>
          <w:lang w:val="hr-HR"/>
        </w:rPr>
        <w:t xml:space="preserve"> ili</w:t>
      </w:r>
      <w:r w:rsidR="00C72DBE" w:rsidRPr="00653DCF">
        <w:rPr>
          <w:color w:val="auto"/>
          <w:lang w:val="hr-HR"/>
        </w:rPr>
        <w:t xml:space="preserve"> P</w:t>
      </w:r>
      <w:r w:rsidRPr="00653DCF">
        <w:rPr>
          <w:color w:val="auto"/>
          <w:lang w:val="hr-HR"/>
        </w:rPr>
        <w:t xml:space="preserve">rojektnom društvu </w:t>
      </w:r>
      <w:r w:rsidR="005F3403" w:rsidRPr="00653DCF">
        <w:rPr>
          <w:color w:val="auto"/>
          <w:lang w:val="hr-HR"/>
        </w:rPr>
        <w:t xml:space="preserve">izjavi da podliježe bilo kojoj odluci o izuzeću ili </w:t>
      </w:r>
      <w:r w:rsidR="00F9071D" w:rsidRPr="00653DCF">
        <w:rPr>
          <w:color w:val="auto"/>
          <w:lang w:val="hr-HR"/>
        </w:rPr>
        <w:t xml:space="preserve">privremenom </w:t>
      </w:r>
      <w:r w:rsidR="004608C2" w:rsidRPr="00653DCF">
        <w:rPr>
          <w:color w:val="auto"/>
          <w:lang w:val="hr-HR"/>
        </w:rPr>
        <w:t>isključenju</w:t>
      </w:r>
      <w:r w:rsidR="00F9071D" w:rsidRPr="00653DCF">
        <w:rPr>
          <w:color w:val="auto"/>
          <w:lang w:val="hr-HR"/>
        </w:rPr>
        <w:t xml:space="preserve"> </w:t>
      </w:r>
      <w:r w:rsidR="00FD42C0" w:rsidRPr="00653DCF">
        <w:rPr>
          <w:color w:val="auto"/>
          <w:lang w:val="hr-HR"/>
        </w:rPr>
        <w:t xml:space="preserve">koje </w:t>
      </w:r>
      <w:r w:rsidR="00DE5E54" w:rsidRPr="00653DCF">
        <w:rPr>
          <w:color w:val="auto"/>
          <w:lang w:val="hr-HR"/>
        </w:rPr>
        <w:t xml:space="preserve">je predviđeno politikom </w:t>
      </w:r>
      <w:r w:rsidR="00051865" w:rsidRPr="00653DCF">
        <w:rPr>
          <w:color w:val="auto"/>
          <w:lang w:val="hr-HR"/>
        </w:rPr>
        <w:t>izuzeća</w:t>
      </w:r>
      <w:r w:rsidRPr="00653DCF">
        <w:rPr>
          <w:color w:val="auto"/>
          <w:lang w:val="hr-HR"/>
        </w:rPr>
        <w:t xml:space="preserve">, </w:t>
      </w:r>
      <w:r w:rsidR="00050318" w:rsidRPr="00653DCF">
        <w:rPr>
          <w:color w:val="auto"/>
          <w:lang w:val="hr-HR"/>
        </w:rPr>
        <w:t>Zajmoprimac ili Nositelj</w:t>
      </w:r>
      <w:r w:rsidRPr="00653DCF">
        <w:rPr>
          <w:color w:val="auto"/>
          <w:lang w:val="hr-HR"/>
        </w:rPr>
        <w:t xml:space="preserve"> ili </w:t>
      </w:r>
      <w:r w:rsidR="00C72DBE" w:rsidRPr="00653DCF">
        <w:rPr>
          <w:color w:val="auto"/>
          <w:lang w:val="hr-HR"/>
        </w:rPr>
        <w:t>P</w:t>
      </w:r>
      <w:r w:rsidRPr="00653DCF">
        <w:rPr>
          <w:color w:val="auto"/>
          <w:lang w:val="hr-HR"/>
        </w:rPr>
        <w:t>rojektno društvo surađivat</w:t>
      </w:r>
      <w:r w:rsidR="005F3403" w:rsidRPr="00653DCF">
        <w:rPr>
          <w:color w:val="auto"/>
          <w:lang w:val="hr-HR"/>
        </w:rPr>
        <w:t xml:space="preserve"> će s Bankom </w:t>
      </w:r>
      <w:r w:rsidRPr="00653DCF">
        <w:rPr>
          <w:color w:val="auto"/>
          <w:lang w:val="hr-HR"/>
        </w:rPr>
        <w:t xml:space="preserve">u dobroj vjeri </w:t>
      </w:r>
      <w:r w:rsidR="005F3403" w:rsidRPr="00653DCF">
        <w:rPr>
          <w:color w:val="auto"/>
          <w:lang w:val="hr-HR"/>
        </w:rPr>
        <w:t xml:space="preserve">te će </w:t>
      </w:r>
      <w:r w:rsidR="00C76784" w:rsidRPr="00653DCF">
        <w:rPr>
          <w:color w:val="auto"/>
          <w:lang w:val="hr-HR"/>
        </w:rPr>
        <w:t>nastojati</w:t>
      </w:r>
      <w:r w:rsidRPr="00653DCF">
        <w:rPr>
          <w:color w:val="auto"/>
          <w:lang w:val="hr-HR"/>
        </w:rPr>
        <w:t xml:space="preserve">: </w:t>
      </w:r>
    </w:p>
    <w:p w14:paraId="5F92B4A6" w14:textId="539C4A0F" w:rsidR="007A2A6F" w:rsidRPr="00653DCF" w:rsidRDefault="00E87B0B" w:rsidP="006010BF">
      <w:pPr>
        <w:pStyle w:val="NoIndentEIB"/>
        <w:numPr>
          <w:ilvl w:val="1"/>
          <w:numId w:val="68"/>
        </w:numPr>
        <w:rPr>
          <w:color w:val="auto"/>
          <w:lang w:val="hr-HR"/>
        </w:rPr>
      </w:pPr>
      <w:r w:rsidRPr="00653DCF">
        <w:rPr>
          <w:color w:val="auto"/>
          <w:lang w:val="hr-HR"/>
        </w:rPr>
        <w:t xml:space="preserve">postići </w:t>
      </w:r>
      <w:r w:rsidR="001C5636" w:rsidRPr="00653DCF">
        <w:rPr>
          <w:color w:val="auto"/>
          <w:lang w:val="hr-HR"/>
        </w:rPr>
        <w:t>izuzeće</w:t>
      </w:r>
      <w:r w:rsidRPr="00653DCF">
        <w:rPr>
          <w:color w:val="auto"/>
          <w:lang w:val="hr-HR"/>
        </w:rPr>
        <w:t xml:space="preserve"> takvog </w:t>
      </w:r>
      <w:r w:rsidR="001C5636" w:rsidRPr="00653DCF">
        <w:rPr>
          <w:color w:val="auto"/>
          <w:lang w:val="hr-HR"/>
        </w:rPr>
        <w:t xml:space="preserve">ponuđača </w:t>
      </w:r>
      <w:r w:rsidRPr="00653DCF">
        <w:rPr>
          <w:color w:val="auto"/>
          <w:lang w:val="hr-HR"/>
        </w:rPr>
        <w:t xml:space="preserve">u skladu s primjenjivim pravom tako da </w:t>
      </w:r>
      <w:r w:rsidR="001C5636" w:rsidRPr="00653DCF">
        <w:rPr>
          <w:color w:val="auto"/>
          <w:lang w:val="hr-HR"/>
        </w:rPr>
        <w:t xml:space="preserve">ponuđač </w:t>
      </w:r>
      <w:r w:rsidRPr="00653DCF">
        <w:rPr>
          <w:color w:val="auto"/>
          <w:lang w:val="hr-HR"/>
        </w:rPr>
        <w:t xml:space="preserve">ne sudjeluje u </w:t>
      </w:r>
      <w:r w:rsidR="001C5636" w:rsidRPr="00653DCF">
        <w:rPr>
          <w:color w:val="auto"/>
          <w:lang w:val="hr-HR"/>
        </w:rPr>
        <w:t>P</w:t>
      </w:r>
      <w:r w:rsidRPr="00653DCF">
        <w:rPr>
          <w:color w:val="auto"/>
          <w:lang w:val="hr-HR"/>
        </w:rPr>
        <w:t xml:space="preserve">rojektu ili, ako takvo </w:t>
      </w:r>
      <w:r w:rsidR="001C5636" w:rsidRPr="00653DCF">
        <w:rPr>
          <w:color w:val="auto"/>
          <w:lang w:val="hr-HR"/>
        </w:rPr>
        <w:t xml:space="preserve">izuzeće </w:t>
      </w:r>
      <w:r w:rsidRPr="00653DCF">
        <w:rPr>
          <w:color w:val="auto"/>
          <w:lang w:val="hr-HR"/>
        </w:rPr>
        <w:t xml:space="preserve">nije moguće; </w:t>
      </w:r>
    </w:p>
    <w:p w14:paraId="2B56A32F" w14:textId="69225510" w:rsidR="007A2A6F" w:rsidRPr="00653DCF" w:rsidRDefault="00142356" w:rsidP="006010BF">
      <w:pPr>
        <w:pStyle w:val="NoIndentEIB"/>
        <w:numPr>
          <w:ilvl w:val="1"/>
          <w:numId w:val="68"/>
        </w:numPr>
        <w:rPr>
          <w:color w:val="auto"/>
          <w:lang w:val="hr-HR"/>
        </w:rPr>
      </w:pPr>
      <w:r w:rsidRPr="00653DCF">
        <w:rPr>
          <w:color w:val="auto"/>
          <w:lang w:val="hr-HR"/>
        </w:rPr>
        <w:t xml:space="preserve">preraspodijeliti </w:t>
      </w:r>
      <w:r w:rsidR="00E87B0B" w:rsidRPr="00653DCF">
        <w:rPr>
          <w:color w:val="auto"/>
          <w:lang w:val="hr-HR"/>
        </w:rPr>
        <w:t xml:space="preserve">opseg </w:t>
      </w:r>
      <w:r w:rsidRPr="00653DCF">
        <w:rPr>
          <w:color w:val="auto"/>
          <w:lang w:val="hr-HR"/>
        </w:rPr>
        <w:t>P</w:t>
      </w:r>
      <w:r w:rsidR="00E87B0B" w:rsidRPr="00653DCF">
        <w:rPr>
          <w:color w:val="auto"/>
          <w:lang w:val="hr-HR"/>
        </w:rPr>
        <w:t xml:space="preserve">rojekta tako da se </w:t>
      </w:r>
      <w:r w:rsidRPr="00653DCF">
        <w:rPr>
          <w:color w:val="auto"/>
          <w:lang w:val="hr-HR"/>
        </w:rPr>
        <w:t xml:space="preserve">sredstva iz zajma ne </w:t>
      </w:r>
      <w:r w:rsidR="00E87B0B" w:rsidRPr="00653DCF">
        <w:rPr>
          <w:color w:val="auto"/>
          <w:lang w:val="hr-HR"/>
        </w:rPr>
        <w:t xml:space="preserve">primjenjuju </w:t>
      </w:r>
      <w:r w:rsidRPr="00653DCF">
        <w:rPr>
          <w:color w:val="auto"/>
          <w:lang w:val="hr-HR"/>
        </w:rPr>
        <w:t xml:space="preserve">ni na koje radove ili </w:t>
      </w:r>
      <w:r w:rsidR="00E87B0B" w:rsidRPr="00653DCF">
        <w:rPr>
          <w:color w:val="auto"/>
          <w:lang w:val="hr-HR"/>
        </w:rPr>
        <w:t xml:space="preserve">usluge u okviru bilo kojeg ugovora sklopljenog s tim </w:t>
      </w:r>
      <w:r w:rsidR="00943660" w:rsidRPr="00653DCF">
        <w:rPr>
          <w:color w:val="auto"/>
          <w:lang w:val="hr-HR"/>
        </w:rPr>
        <w:t>ponuđačem</w:t>
      </w:r>
      <w:r w:rsidR="00E87B0B" w:rsidRPr="00653DCF">
        <w:rPr>
          <w:color w:val="auto"/>
          <w:lang w:val="hr-HR"/>
        </w:rPr>
        <w:t>, osim ako s Bankom</w:t>
      </w:r>
      <w:r w:rsidR="00822D0A" w:rsidRPr="00653DCF">
        <w:rPr>
          <w:color w:val="auto"/>
          <w:lang w:val="hr-HR"/>
        </w:rPr>
        <w:t xml:space="preserve"> o tome</w:t>
      </w:r>
      <w:r w:rsidR="00E87B0B" w:rsidRPr="00653DCF">
        <w:rPr>
          <w:color w:val="auto"/>
          <w:lang w:val="hr-HR"/>
        </w:rPr>
        <w:t xml:space="preserve"> </w:t>
      </w:r>
      <w:r w:rsidR="00943660" w:rsidRPr="00653DCF">
        <w:rPr>
          <w:color w:val="auto"/>
          <w:lang w:val="hr-HR"/>
        </w:rPr>
        <w:t>nije postignut drukčiji dogovor</w:t>
      </w:r>
      <w:r w:rsidR="00E87B0B" w:rsidRPr="00653DCF">
        <w:rPr>
          <w:color w:val="auto"/>
          <w:lang w:val="hr-HR"/>
        </w:rPr>
        <w:t>.</w:t>
      </w:r>
    </w:p>
    <w:p w14:paraId="2EC36ACA" w14:textId="2C2B4AE9" w:rsidR="007A2A6F" w:rsidRPr="00653DCF" w:rsidRDefault="00893EE4" w:rsidP="00613099">
      <w:pPr>
        <w:pStyle w:val="Heading2"/>
        <w:ind w:left="851"/>
        <w:rPr>
          <w:color w:val="auto"/>
          <w:lang w:val="hr-HR"/>
        </w:rPr>
      </w:pPr>
      <w:bookmarkStart w:id="467" w:name="_Ref426951419"/>
      <w:bookmarkStart w:id="468" w:name="_Ref426951473"/>
      <w:bookmarkStart w:id="469" w:name="_Ref427037730"/>
      <w:bookmarkStart w:id="470" w:name="_Ref427037908"/>
      <w:bookmarkStart w:id="471" w:name="_Ref427039514"/>
      <w:bookmarkStart w:id="472" w:name="_Ref427039786"/>
      <w:bookmarkStart w:id="473" w:name="_Ref427039815"/>
      <w:bookmarkStart w:id="474" w:name="_Toc475441167"/>
      <w:bookmarkStart w:id="475" w:name="_Toc498018662"/>
      <w:bookmarkStart w:id="476" w:name="_Ref427242093"/>
      <w:bookmarkStart w:id="477" w:name="_Toc508120527"/>
      <w:bookmarkStart w:id="478" w:name="_Toc126080717"/>
      <w:bookmarkStart w:id="479" w:name="_Toc126080849"/>
      <w:r w:rsidRPr="00653DCF">
        <w:rPr>
          <w:color w:val="auto"/>
          <w:lang w:val="hr-HR"/>
        </w:rPr>
        <w:t>Stalne obveze u Projektu</w:t>
      </w:r>
      <w:bookmarkEnd w:id="467"/>
      <w:bookmarkEnd w:id="468"/>
      <w:bookmarkEnd w:id="469"/>
      <w:bookmarkEnd w:id="470"/>
      <w:bookmarkEnd w:id="471"/>
      <w:bookmarkEnd w:id="472"/>
      <w:bookmarkEnd w:id="473"/>
      <w:bookmarkEnd w:id="474"/>
      <w:bookmarkEnd w:id="475"/>
      <w:bookmarkEnd w:id="476"/>
      <w:bookmarkEnd w:id="477"/>
      <w:bookmarkEnd w:id="478"/>
      <w:bookmarkEnd w:id="479"/>
    </w:p>
    <w:p w14:paraId="19E49C47" w14:textId="6122AC5F" w:rsidR="007A2A6F" w:rsidRPr="00653DCF" w:rsidRDefault="00345C62">
      <w:pPr>
        <w:rPr>
          <w:color w:val="auto"/>
          <w:lang w:val="hr-HR"/>
        </w:rPr>
      </w:pPr>
      <w:r w:rsidRPr="00653DCF">
        <w:rPr>
          <w:color w:val="auto"/>
          <w:lang w:val="hr-HR"/>
        </w:rPr>
        <w:t xml:space="preserve">Zajmoprimac </w:t>
      </w:r>
      <w:r w:rsidR="00893EE4" w:rsidRPr="00653DCF">
        <w:rPr>
          <w:color w:val="auto"/>
          <w:lang w:val="hr-HR"/>
        </w:rPr>
        <w:t>je dužan</w:t>
      </w:r>
      <w:r w:rsidR="002A4C89" w:rsidRPr="00653DCF">
        <w:rPr>
          <w:color w:val="auto"/>
          <w:lang w:val="hr-HR"/>
        </w:rPr>
        <w:t xml:space="preserve"> pobrinuti se</w:t>
      </w:r>
      <w:r w:rsidR="00E87B0B" w:rsidRPr="00653DCF">
        <w:rPr>
          <w:rFonts w:cs="Arial"/>
          <w:color w:val="auto"/>
          <w:lang w:val="hr-HR"/>
        </w:rPr>
        <w:t xml:space="preserve">, ili </w:t>
      </w:r>
      <w:r w:rsidR="00586369" w:rsidRPr="00653DCF">
        <w:rPr>
          <w:rFonts w:cs="Arial"/>
          <w:color w:val="auto"/>
          <w:lang w:val="hr-HR"/>
        </w:rPr>
        <w:t xml:space="preserve">treba osigurati </w:t>
      </w:r>
      <w:r w:rsidR="00910227" w:rsidRPr="00653DCF">
        <w:rPr>
          <w:rFonts w:cs="Arial"/>
          <w:color w:val="auto"/>
          <w:lang w:val="hr-HR"/>
        </w:rPr>
        <w:t xml:space="preserve">da </w:t>
      </w:r>
      <w:r w:rsidR="00A03AFC" w:rsidRPr="00653DCF">
        <w:rPr>
          <w:rFonts w:cs="Arial"/>
          <w:color w:val="auto"/>
          <w:lang w:val="hr-HR"/>
        </w:rPr>
        <w:t>se</w:t>
      </w:r>
      <w:r w:rsidR="00517744" w:rsidRPr="00653DCF">
        <w:rPr>
          <w:rFonts w:cs="Arial"/>
          <w:color w:val="auto"/>
          <w:lang w:val="hr-HR"/>
        </w:rPr>
        <w:t xml:space="preserve"> Nositelj i</w:t>
      </w:r>
      <w:r w:rsidR="00A03AFC" w:rsidRPr="00653DCF">
        <w:rPr>
          <w:rFonts w:cs="Arial"/>
          <w:color w:val="auto"/>
          <w:lang w:val="hr-HR"/>
        </w:rPr>
        <w:t xml:space="preserve"> </w:t>
      </w:r>
      <w:r w:rsidR="00910227" w:rsidRPr="00653DCF">
        <w:rPr>
          <w:rFonts w:cs="Arial"/>
          <w:color w:val="auto"/>
          <w:lang w:val="hr-HR"/>
        </w:rPr>
        <w:t xml:space="preserve">svako </w:t>
      </w:r>
      <w:r w:rsidR="009E600E" w:rsidRPr="00653DCF">
        <w:rPr>
          <w:rFonts w:cs="Arial"/>
          <w:color w:val="auto"/>
          <w:lang w:val="hr-HR"/>
        </w:rPr>
        <w:t>Projektno društvo pobrin</w:t>
      </w:r>
      <w:r w:rsidR="00517744" w:rsidRPr="00653DCF">
        <w:rPr>
          <w:rFonts w:cs="Arial"/>
          <w:color w:val="auto"/>
          <w:lang w:val="hr-HR"/>
        </w:rPr>
        <w:t>u</w:t>
      </w:r>
      <w:r w:rsidR="009E600E" w:rsidRPr="00653DCF">
        <w:rPr>
          <w:rFonts w:cs="Arial"/>
          <w:color w:val="auto"/>
          <w:lang w:val="hr-HR"/>
        </w:rPr>
        <w:t>, o niže navedenom</w:t>
      </w:r>
      <w:r w:rsidR="00E87B0B" w:rsidRPr="00653DCF">
        <w:rPr>
          <w:color w:val="auto"/>
          <w:lang w:val="hr-HR"/>
        </w:rPr>
        <w:t>:</w:t>
      </w:r>
    </w:p>
    <w:p w14:paraId="724C21E9" w14:textId="2127F8AE" w:rsidR="007A2A6F" w:rsidRPr="00653DCF" w:rsidRDefault="00586369">
      <w:pPr>
        <w:pStyle w:val="NoIndentEIB"/>
        <w:numPr>
          <w:ilvl w:val="0"/>
          <w:numId w:val="26"/>
        </w:numPr>
        <w:rPr>
          <w:color w:val="auto"/>
          <w:lang w:val="hr-HR"/>
        </w:rPr>
      </w:pPr>
      <w:r w:rsidRPr="00653DCF">
        <w:rPr>
          <w:rStyle w:val="BoldEIB"/>
          <w:color w:val="auto"/>
          <w:lang w:val="hr-HR"/>
        </w:rPr>
        <w:t>o</w:t>
      </w:r>
      <w:r w:rsidR="00E87B0B" w:rsidRPr="00653DCF">
        <w:rPr>
          <w:rStyle w:val="BoldEIB"/>
          <w:color w:val="auto"/>
          <w:lang w:val="hr-HR"/>
        </w:rPr>
        <w:t>državanje</w:t>
      </w:r>
      <w:r w:rsidR="00E87B0B" w:rsidRPr="00653DCF">
        <w:rPr>
          <w:color w:val="auto"/>
          <w:lang w:val="hr-HR"/>
        </w:rPr>
        <w:t xml:space="preserve">: održavati, popravljati, </w:t>
      </w:r>
      <w:r w:rsidR="009C0F91" w:rsidRPr="00653DCF">
        <w:rPr>
          <w:color w:val="auto"/>
          <w:lang w:val="hr-HR"/>
        </w:rPr>
        <w:t xml:space="preserve">servisirati </w:t>
      </w:r>
      <w:r w:rsidR="00E87B0B" w:rsidRPr="00653DCF">
        <w:rPr>
          <w:color w:val="auto"/>
          <w:lang w:val="hr-HR"/>
        </w:rPr>
        <w:t xml:space="preserve">i obnavljati svu imovinu koja </w:t>
      </w:r>
      <w:r w:rsidR="00CA02A1" w:rsidRPr="00653DCF">
        <w:rPr>
          <w:color w:val="auto"/>
          <w:lang w:val="hr-HR"/>
        </w:rPr>
        <w:t xml:space="preserve">je dio Projekta </w:t>
      </w:r>
      <w:r w:rsidR="009C0F91" w:rsidRPr="00653DCF">
        <w:rPr>
          <w:color w:val="auto"/>
          <w:lang w:val="hr-HR"/>
        </w:rPr>
        <w:t xml:space="preserve">u onoj mjeri u </w:t>
      </w:r>
      <w:r w:rsidR="00507207" w:rsidRPr="00653DCF">
        <w:rPr>
          <w:color w:val="auto"/>
          <w:lang w:val="hr-HR"/>
        </w:rPr>
        <w:t>kojoj</w:t>
      </w:r>
      <w:r w:rsidR="009C0F91" w:rsidRPr="00653DCF">
        <w:rPr>
          <w:color w:val="auto"/>
          <w:lang w:val="hr-HR"/>
        </w:rPr>
        <w:t xml:space="preserve"> je to potrebno da </w:t>
      </w:r>
      <w:r w:rsidR="00CA02A1" w:rsidRPr="00653DCF">
        <w:rPr>
          <w:color w:val="auto"/>
          <w:lang w:val="hr-HR"/>
        </w:rPr>
        <w:t xml:space="preserve">ta imovina </w:t>
      </w:r>
      <w:r w:rsidR="009C0F91" w:rsidRPr="00653DCF">
        <w:rPr>
          <w:color w:val="auto"/>
          <w:lang w:val="hr-HR"/>
        </w:rPr>
        <w:t xml:space="preserve">bude u ispravnom </w:t>
      </w:r>
      <w:r w:rsidR="007847D7" w:rsidRPr="00653DCF">
        <w:rPr>
          <w:color w:val="auto"/>
          <w:lang w:val="hr-HR"/>
        </w:rPr>
        <w:t xml:space="preserve">radnom </w:t>
      </w:r>
      <w:r w:rsidR="009C0F91" w:rsidRPr="00653DCF">
        <w:rPr>
          <w:color w:val="auto"/>
          <w:lang w:val="hr-HR"/>
        </w:rPr>
        <w:t>stanju</w:t>
      </w:r>
      <w:r w:rsidR="00E87B0B" w:rsidRPr="00653DCF">
        <w:rPr>
          <w:color w:val="auto"/>
          <w:lang w:val="hr-HR"/>
        </w:rPr>
        <w:t>;</w:t>
      </w:r>
    </w:p>
    <w:p w14:paraId="2D85BFC0" w14:textId="715EF4B4" w:rsidR="00FA7478" w:rsidRPr="00653DCF" w:rsidRDefault="007847D7">
      <w:pPr>
        <w:pStyle w:val="NoIndentEIB"/>
        <w:numPr>
          <w:ilvl w:val="0"/>
          <w:numId w:val="26"/>
        </w:numPr>
        <w:rPr>
          <w:color w:val="auto"/>
          <w:lang w:val="hr-HR"/>
        </w:rPr>
      </w:pPr>
      <w:bookmarkStart w:id="480" w:name="_Ref426951370"/>
      <w:r w:rsidRPr="00653DCF">
        <w:rPr>
          <w:rStyle w:val="BoldEIB"/>
          <w:color w:val="auto"/>
          <w:lang w:val="hr-HR"/>
        </w:rPr>
        <w:t>s</w:t>
      </w:r>
      <w:r w:rsidR="00E87B0B" w:rsidRPr="00653DCF">
        <w:rPr>
          <w:rStyle w:val="BoldEIB"/>
          <w:color w:val="auto"/>
          <w:lang w:val="hr-HR"/>
        </w:rPr>
        <w:t xml:space="preserve">redstva </w:t>
      </w:r>
      <w:r w:rsidR="008F3193" w:rsidRPr="00653DCF">
        <w:rPr>
          <w:rStyle w:val="BoldEIB"/>
          <w:color w:val="auto"/>
          <w:lang w:val="hr-HR"/>
        </w:rPr>
        <w:t>P</w:t>
      </w:r>
      <w:r w:rsidR="00E87B0B" w:rsidRPr="00653DCF">
        <w:rPr>
          <w:rStyle w:val="BoldEIB"/>
          <w:color w:val="auto"/>
          <w:lang w:val="hr-HR"/>
        </w:rPr>
        <w:t>rojekta</w:t>
      </w:r>
      <w:r w:rsidR="00E87B0B" w:rsidRPr="00653DCF">
        <w:rPr>
          <w:color w:val="auto"/>
          <w:lang w:val="hr-HR"/>
        </w:rPr>
        <w:t xml:space="preserve">: </w:t>
      </w:r>
      <w:r w:rsidR="00D65643" w:rsidRPr="00653DCF">
        <w:rPr>
          <w:color w:val="auto"/>
          <w:lang w:val="hr-HR"/>
        </w:rPr>
        <w:t xml:space="preserve">osim </w:t>
      </w:r>
      <w:r w:rsidR="008F3193" w:rsidRPr="00653DCF">
        <w:rPr>
          <w:color w:val="auto"/>
          <w:lang w:val="hr-HR"/>
        </w:rPr>
        <w:t xml:space="preserve">u slučaju da je </w:t>
      </w:r>
      <w:r w:rsidR="00D65643" w:rsidRPr="00653DCF">
        <w:rPr>
          <w:color w:val="auto"/>
          <w:lang w:val="hr-HR"/>
        </w:rPr>
        <w:t xml:space="preserve">Banka prethodno dala svoju pisanu suglasnost, </w:t>
      </w:r>
      <w:r w:rsidR="00E87B0B" w:rsidRPr="00653DCF">
        <w:rPr>
          <w:color w:val="auto"/>
          <w:lang w:val="hr-HR"/>
        </w:rPr>
        <w:t>zadrž</w:t>
      </w:r>
      <w:r w:rsidR="00D65643" w:rsidRPr="00653DCF">
        <w:rPr>
          <w:color w:val="auto"/>
          <w:lang w:val="hr-HR"/>
        </w:rPr>
        <w:t>ati</w:t>
      </w:r>
      <w:r w:rsidR="00E87B0B" w:rsidRPr="00653DCF">
        <w:rPr>
          <w:color w:val="auto"/>
          <w:lang w:val="hr-HR"/>
        </w:rPr>
        <w:t xml:space="preserve"> vlasništvo </w:t>
      </w:r>
      <w:r w:rsidR="00BB48B2" w:rsidRPr="00653DCF">
        <w:rPr>
          <w:color w:val="auto"/>
          <w:lang w:val="hr-HR"/>
        </w:rPr>
        <w:t xml:space="preserve">i posjed </w:t>
      </w:r>
      <w:r w:rsidR="00E87B0B" w:rsidRPr="00653DCF">
        <w:rPr>
          <w:color w:val="auto"/>
          <w:lang w:val="hr-HR"/>
        </w:rPr>
        <w:t xml:space="preserve">nad </w:t>
      </w:r>
      <w:r w:rsidR="00FA7478" w:rsidRPr="00653DCF">
        <w:rPr>
          <w:color w:val="auto"/>
          <w:lang w:val="hr-HR"/>
        </w:rPr>
        <w:t>cjelokupnom imovinom ili značajnim dijelom cjelokupne imovine Projekt</w:t>
      </w:r>
      <w:r w:rsidR="00996F36" w:rsidRPr="00653DCF">
        <w:rPr>
          <w:color w:val="auto"/>
          <w:lang w:val="hr-HR"/>
        </w:rPr>
        <w:t>a</w:t>
      </w:r>
      <w:r w:rsidR="000D39F1" w:rsidRPr="00653DCF">
        <w:rPr>
          <w:color w:val="auto"/>
          <w:lang w:val="hr-HR"/>
        </w:rPr>
        <w:t xml:space="preserve"> ili, prema potrebi, zamijeniti i obnoviti tu imovinu i voditi Projekt tako da </w:t>
      </w:r>
      <w:r w:rsidR="008F3193" w:rsidRPr="00653DCF">
        <w:rPr>
          <w:color w:val="auto"/>
          <w:lang w:val="hr-HR"/>
        </w:rPr>
        <w:t xml:space="preserve">nastavi funkcionirati </w:t>
      </w:r>
      <w:r w:rsidR="000D39F1" w:rsidRPr="00653DCF">
        <w:rPr>
          <w:color w:val="auto"/>
          <w:lang w:val="hr-HR"/>
        </w:rPr>
        <w:t>u skladu sa svojom izvornom namjenom</w:t>
      </w:r>
      <w:r w:rsidR="005D3EF9" w:rsidRPr="00653DCF">
        <w:rPr>
          <w:color w:val="auto"/>
          <w:lang w:val="hr-HR"/>
        </w:rPr>
        <w:t>; Banka može uskratiti svoju suglasnost jedino ako predložen</w:t>
      </w:r>
      <w:r w:rsidR="004818C1" w:rsidRPr="00653DCF">
        <w:rPr>
          <w:color w:val="auto"/>
          <w:lang w:val="hr-HR"/>
        </w:rPr>
        <w:t xml:space="preserve">a radnja </w:t>
      </w:r>
      <w:r w:rsidR="005D3EF9" w:rsidRPr="00653DCF">
        <w:rPr>
          <w:color w:val="auto"/>
          <w:lang w:val="hr-HR"/>
        </w:rPr>
        <w:t>dovede u pitanje interese Banke kao zajmodavca u odnosu na Zajmoprimca</w:t>
      </w:r>
      <w:r w:rsidR="00137313" w:rsidRPr="00653DCF">
        <w:rPr>
          <w:color w:val="auto"/>
          <w:lang w:val="hr-HR"/>
        </w:rPr>
        <w:t xml:space="preserve"> ili do toga da Projekt </w:t>
      </w:r>
      <w:r w:rsidR="004818C1" w:rsidRPr="00653DCF">
        <w:rPr>
          <w:color w:val="auto"/>
          <w:lang w:val="hr-HR"/>
        </w:rPr>
        <w:t xml:space="preserve">postane </w:t>
      </w:r>
      <w:r w:rsidR="00137313" w:rsidRPr="00653DCF">
        <w:rPr>
          <w:color w:val="auto"/>
          <w:lang w:val="hr-HR"/>
        </w:rPr>
        <w:t xml:space="preserve">neprihvatljiv za financiranje od strane Banke </w:t>
      </w:r>
      <w:r w:rsidR="004818C1" w:rsidRPr="00653DCF">
        <w:rPr>
          <w:color w:val="auto"/>
          <w:lang w:val="hr-HR"/>
        </w:rPr>
        <w:t xml:space="preserve">na temelju </w:t>
      </w:r>
      <w:r w:rsidR="001E5679" w:rsidRPr="00653DCF">
        <w:rPr>
          <w:color w:val="auto"/>
          <w:lang w:val="hr-HR"/>
        </w:rPr>
        <w:t xml:space="preserve">njezina </w:t>
      </w:r>
      <w:r w:rsidR="004818C1" w:rsidRPr="00653DCF">
        <w:rPr>
          <w:color w:val="auto"/>
          <w:lang w:val="hr-HR"/>
        </w:rPr>
        <w:t xml:space="preserve">Statuta </w:t>
      </w:r>
      <w:r w:rsidR="00137313" w:rsidRPr="00653DCF">
        <w:rPr>
          <w:color w:val="auto"/>
          <w:lang w:val="hr-HR"/>
        </w:rPr>
        <w:t>ili na temelju članka 309. Ugovora o funkcioniranju Europske unije;</w:t>
      </w:r>
    </w:p>
    <w:p w14:paraId="29E73C68" w14:textId="3B407D8C" w:rsidR="007A2A6F" w:rsidRPr="00653DCF" w:rsidRDefault="001E5679">
      <w:pPr>
        <w:pStyle w:val="NoIndentEIB"/>
        <w:numPr>
          <w:ilvl w:val="0"/>
          <w:numId w:val="26"/>
        </w:numPr>
        <w:rPr>
          <w:color w:val="auto"/>
          <w:lang w:val="hr-HR"/>
        </w:rPr>
      </w:pPr>
      <w:bookmarkStart w:id="481" w:name="_Ref426951506"/>
      <w:bookmarkEnd w:id="480"/>
      <w:r w:rsidRPr="00653DCF">
        <w:rPr>
          <w:rStyle w:val="BoldEIB"/>
          <w:color w:val="auto"/>
          <w:lang w:val="hr-HR"/>
        </w:rPr>
        <w:t>o</w:t>
      </w:r>
      <w:r w:rsidR="00E87B0B" w:rsidRPr="00653DCF">
        <w:rPr>
          <w:rStyle w:val="BoldEIB"/>
          <w:color w:val="auto"/>
          <w:lang w:val="hr-HR"/>
        </w:rPr>
        <w:t>siguranje</w:t>
      </w:r>
      <w:r w:rsidR="00E87B0B" w:rsidRPr="00653DCF">
        <w:rPr>
          <w:color w:val="auto"/>
          <w:lang w:val="hr-HR"/>
        </w:rPr>
        <w:t>: osigurati da su svi radovi i imovina koji su dio Projekta adekvatno osigurani u skladu sa standardnom praksom za slične radove i imovinu od javnog interesa;</w:t>
      </w:r>
      <w:bookmarkEnd w:id="481"/>
    </w:p>
    <w:p w14:paraId="270536D4" w14:textId="72A4528F" w:rsidR="007A2A6F" w:rsidRPr="00653DCF" w:rsidRDefault="003C2E89">
      <w:pPr>
        <w:pStyle w:val="NoIndentEIB"/>
        <w:numPr>
          <w:ilvl w:val="0"/>
          <w:numId w:val="26"/>
        </w:numPr>
        <w:rPr>
          <w:color w:val="auto"/>
          <w:lang w:val="hr-HR"/>
        </w:rPr>
      </w:pPr>
      <w:r w:rsidRPr="00653DCF">
        <w:rPr>
          <w:rStyle w:val="BoldEIB"/>
          <w:color w:val="auto"/>
          <w:lang w:val="hr-HR"/>
        </w:rPr>
        <w:t>p</w:t>
      </w:r>
      <w:r w:rsidR="00E87B0B" w:rsidRPr="00653DCF">
        <w:rPr>
          <w:rStyle w:val="BoldEIB"/>
          <w:color w:val="auto"/>
          <w:lang w:val="hr-HR"/>
        </w:rPr>
        <w:t>rava i dozvole</w:t>
      </w:r>
      <w:r w:rsidR="00E87B0B" w:rsidRPr="00653DCF">
        <w:rPr>
          <w:color w:val="auto"/>
          <w:lang w:val="hr-HR"/>
        </w:rPr>
        <w:t xml:space="preserve">: </w:t>
      </w:r>
      <w:r w:rsidRPr="00653DCF">
        <w:rPr>
          <w:color w:val="auto"/>
          <w:lang w:val="hr-HR"/>
        </w:rPr>
        <w:t>održavati na snazi</w:t>
      </w:r>
      <w:r w:rsidR="00E87B0B" w:rsidRPr="00653DCF">
        <w:rPr>
          <w:color w:val="auto"/>
          <w:lang w:val="hr-HR"/>
        </w:rPr>
        <w:t xml:space="preserve"> sva prava puta ili korištenja i sva </w:t>
      </w:r>
      <w:r w:rsidR="004D18F1" w:rsidRPr="00653DCF">
        <w:rPr>
          <w:color w:val="auto"/>
          <w:lang w:val="hr-HR"/>
        </w:rPr>
        <w:t xml:space="preserve">ovlaštenja nužna za </w:t>
      </w:r>
      <w:r w:rsidR="00E87B0B" w:rsidRPr="00653DCF">
        <w:rPr>
          <w:color w:val="auto"/>
          <w:lang w:val="hr-HR"/>
        </w:rPr>
        <w:t>provedbu i rad Projekta;</w:t>
      </w:r>
    </w:p>
    <w:p w14:paraId="0E151CB7" w14:textId="1500FBB6" w:rsidR="007A2A6F" w:rsidRPr="00653DCF" w:rsidRDefault="004D18F1">
      <w:pPr>
        <w:pStyle w:val="NoIndentEIB"/>
        <w:numPr>
          <w:ilvl w:val="0"/>
          <w:numId w:val="26"/>
        </w:numPr>
        <w:rPr>
          <w:color w:val="auto"/>
          <w:lang w:val="hr-HR"/>
        </w:rPr>
      </w:pPr>
      <w:bookmarkStart w:id="482" w:name="_Ref427037950"/>
      <w:r w:rsidRPr="00653DCF">
        <w:rPr>
          <w:rStyle w:val="BoldEIB"/>
          <w:color w:val="auto"/>
          <w:lang w:val="hr-HR"/>
        </w:rPr>
        <w:t>o</w:t>
      </w:r>
      <w:r w:rsidR="00E87B0B" w:rsidRPr="00653DCF">
        <w:rPr>
          <w:rStyle w:val="BoldEIB"/>
          <w:color w:val="auto"/>
          <w:lang w:val="hr-HR"/>
        </w:rPr>
        <w:t>koliš i socijalna pitanja</w:t>
      </w:r>
      <w:r w:rsidR="00E87B0B" w:rsidRPr="00653DCF">
        <w:rPr>
          <w:color w:val="auto"/>
          <w:lang w:val="hr-HR"/>
        </w:rPr>
        <w:t>:</w:t>
      </w:r>
      <w:bookmarkEnd w:id="482"/>
      <w:r w:rsidR="00E87B0B" w:rsidRPr="00653DCF">
        <w:rPr>
          <w:color w:val="auto"/>
          <w:lang w:val="hr-HR"/>
        </w:rPr>
        <w:t xml:space="preserve"> </w:t>
      </w:r>
    </w:p>
    <w:p w14:paraId="5AFB46B6" w14:textId="4F16D622" w:rsidR="007A2A6F" w:rsidRPr="00653DCF" w:rsidRDefault="00E87B0B">
      <w:pPr>
        <w:pStyle w:val="NoIndentEIB"/>
        <w:numPr>
          <w:ilvl w:val="1"/>
          <w:numId w:val="26"/>
        </w:numPr>
        <w:rPr>
          <w:color w:val="auto"/>
          <w:lang w:val="hr-HR"/>
        </w:rPr>
      </w:pPr>
      <w:r w:rsidRPr="00653DCF">
        <w:rPr>
          <w:color w:val="auto"/>
          <w:lang w:val="hr-HR"/>
        </w:rPr>
        <w:lastRenderedPageBreak/>
        <w:t xml:space="preserve">provoditi </w:t>
      </w:r>
      <w:r w:rsidR="00BB686F" w:rsidRPr="00653DCF">
        <w:rPr>
          <w:color w:val="auto"/>
          <w:lang w:val="hr-HR"/>
        </w:rPr>
        <w:t>Projekt i njim</w:t>
      </w:r>
      <w:r w:rsidR="00F615EF" w:rsidRPr="00653DCF">
        <w:rPr>
          <w:color w:val="auto"/>
          <w:lang w:val="hr-HR"/>
        </w:rPr>
        <w:t>e</w:t>
      </w:r>
      <w:r w:rsidR="00BB686F" w:rsidRPr="00653DCF">
        <w:rPr>
          <w:color w:val="auto"/>
          <w:lang w:val="hr-HR"/>
        </w:rPr>
        <w:t xml:space="preserve"> upravljati u bitnome u skladu </w:t>
      </w:r>
      <w:r w:rsidR="00907D66" w:rsidRPr="00653DCF">
        <w:rPr>
          <w:color w:val="auto"/>
          <w:lang w:val="hr-HR"/>
        </w:rPr>
        <w:t xml:space="preserve">s </w:t>
      </w:r>
      <w:r w:rsidR="00F615EF" w:rsidRPr="00653DCF">
        <w:rPr>
          <w:color w:val="auto"/>
          <w:lang w:val="hr-HR"/>
        </w:rPr>
        <w:t xml:space="preserve">propisima o zaštiti okoliša i socijalnim </w:t>
      </w:r>
      <w:r w:rsidR="00255E1A" w:rsidRPr="00653DCF">
        <w:rPr>
          <w:color w:val="auto"/>
          <w:lang w:val="hr-HR"/>
        </w:rPr>
        <w:t>pitanjima</w:t>
      </w:r>
      <w:r w:rsidR="00907D66" w:rsidRPr="00653DCF">
        <w:rPr>
          <w:color w:val="auto"/>
          <w:lang w:val="hr-HR"/>
        </w:rPr>
        <w:t>;</w:t>
      </w:r>
    </w:p>
    <w:p w14:paraId="74D490BA" w14:textId="7F60D339" w:rsidR="007A2A6F" w:rsidRPr="00653DCF" w:rsidRDefault="00DB46FA">
      <w:pPr>
        <w:pStyle w:val="NoIndentEIB"/>
        <w:numPr>
          <w:ilvl w:val="1"/>
          <w:numId w:val="26"/>
        </w:numPr>
        <w:rPr>
          <w:color w:val="auto"/>
          <w:lang w:val="hr-HR"/>
        </w:rPr>
      </w:pPr>
      <w:r w:rsidRPr="00653DCF">
        <w:rPr>
          <w:color w:val="auto"/>
          <w:lang w:val="hr-HR"/>
        </w:rPr>
        <w:t>pribaviti i održavati potrebn</w:t>
      </w:r>
      <w:r w:rsidR="008E400D" w:rsidRPr="00653DCF">
        <w:rPr>
          <w:color w:val="auto"/>
          <w:lang w:val="hr-HR"/>
        </w:rPr>
        <w:t>a</w:t>
      </w:r>
      <w:r w:rsidRPr="00653DCF">
        <w:rPr>
          <w:color w:val="auto"/>
          <w:lang w:val="hr-HR"/>
        </w:rPr>
        <w:t xml:space="preserve"> odobrenj</w:t>
      </w:r>
      <w:r w:rsidR="008E400D" w:rsidRPr="00653DCF">
        <w:rPr>
          <w:color w:val="auto"/>
          <w:lang w:val="hr-HR"/>
        </w:rPr>
        <w:t>a</w:t>
      </w:r>
      <w:r w:rsidRPr="00653DCF">
        <w:rPr>
          <w:color w:val="auto"/>
          <w:lang w:val="hr-HR"/>
        </w:rPr>
        <w:t xml:space="preserve"> vezano za okoliš i socijalna pitanja</w:t>
      </w:r>
      <w:r w:rsidR="00E87B0B" w:rsidRPr="00653DCF">
        <w:rPr>
          <w:color w:val="auto"/>
          <w:lang w:val="hr-HR"/>
        </w:rPr>
        <w:t xml:space="preserve">; </w:t>
      </w:r>
    </w:p>
    <w:p w14:paraId="19C11CE5" w14:textId="3E343400" w:rsidR="007A2A6F" w:rsidRPr="00653DCF" w:rsidRDefault="00E87B0B">
      <w:pPr>
        <w:pStyle w:val="NoIndentEIB"/>
        <w:numPr>
          <w:ilvl w:val="1"/>
          <w:numId w:val="26"/>
        </w:numPr>
        <w:rPr>
          <w:color w:val="auto"/>
          <w:lang w:val="hr-HR"/>
        </w:rPr>
      </w:pPr>
      <w:r w:rsidRPr="00653DCF">
        <w:rPr>
          <w:color w:val="auto"/>
          <w:lang w:val="hr-HR"/>
        </w:rPr>
        <w:t xml:space="preserve">pridržavati se svih takvih </w:t>
      </w:r>
      <w:r w:rsidR="00DB46FA" w:rsidRPr="00653DCF">
        <w:rPr>
          <w:color w:val="auto"/>
          <w:lang w:val="hr-HR"/>
        </w:rPr>
        <w:t>odobrenja vezano za okoliš i socijalna pitanja</w:t>
      </w:r>
      <w:r w:rsidRPr="00653DCF">
        <w:rPr>
          <w:color w:val="auto"/>
          <w:lang w:val="hr-HR"/>
        </w:rPr>
        <w:t>;</w:t>
      </w:r>
    </w:p>
    <w:p w14:paraId="7C687A84" w14:textId="4D8E0E70" w:rsidR="007A2A6F" w:rsidRPr="00653DCF" w:rsidRDefault="00E87B0B">
      <w:pPr>
        <w:pStyle w:val="NoIndentEIB"/>
        <w:numPr>
          <w:ilvl w:val="1"/>
          <w:numId w:val="26"/>
        </w:numPr>
        <w:rPr>
          <w:color w:val="auto"/>
          <w:lang w:val="hr-HR"/>
        </w:rPr>
      </w:pPr>
      <w:bookmarkStart w:id="483" w:name="_Ref442775307"/>
      <w:bookmarkStart w:id="484" w:name="_Ref508568839"/>
      <w:bookmarkStart w:id="485" w:name="_Ref427039857"/>
      <w:r w:rsidRPr="00653DCF">
        <w:rPr>
          <w:color w:val="auto"/>
          <w:lang w:val="hr-HR"/>
        </w:rPr>
        <w:t xml:space="preserve">osigurati da se, osim </w:t>
      </w:r>
      <w:r w:rsidR="004F15B6" w:rsidRPr="00653DCF">
        <w:rPr>
          <w:color w:val="auto"/>
          <w:lang w:val="hr-HR"/>
        </w:rPr>
        <w:t xml:space="preserve">u slučaju da su </w:t>
      </w:r>
      <w:r w:rsidR="00591BA0" w:rsidRPr="00653DCF">
        <w:rPr>
          <w:color w:val="auto"/>
          <w:lang w:val="hr-HR"/>
        </w:rPr>
        <w:t xml:space="preserve">Zajmoprimac ili </w:t>
      </w:r>
      <w:r w:rsidR="00A75CFC" w:rsidRPr="00653DCF">
        <w:rPr>
          <w:color w:val="auto"/>
          <w:lang w:val="hr-HR"/>
        </w:rPr>
        <w:t>Nositelj</w:t>
      </w:r>
      <w:r w:rsidRPr="00653DCF">
        <w:rPr>
          <w:color w:val="auto"/>
          <w:lang w:val="hr-HR"/>
        </w:rPr>
        <w:t xml:space="preserve"> ili </w:t>
      </w:r>
      <w:r w:rsidR="00C72DBE" w:rsidRPr="00653DCF">
        <w:rPr>
          <w:color w:val="auto"/>
          <w:lang w:val="hr-HR"/>
        </w:rPr>
        <w:t>P</w:t>
      </w:r>
      <w:r w:rsidRPr="00653DCF">
        <w:rPr>
          <w:color w:val="auto"/>
          <w:lang w:val="hr-HR"/>
        </w:rPr>
        <w:t xml:space="preserve">rojektno društvo dobili odgovarajuća </w:t>
      </w:r>
      <w:r w:rsidR="004F15B6" w:rsidRPr="00653DCF">
        <w:rPr>
          <w:color w:val="auto"/>
          <w:lang w:val="hr-HR"/>
        </w:rPr>
        <w:t xml:space="preserve">ovlaštenja </w:t>
      </w:r>
      <w:r w:rsidR="000C75D0" w:rsidRPr="00653DCF">
        <w:rPr>
          <w:color w:val="auto"/>
          <w:lang w:val="hr-HR"/>
        </w:rPr>
        <w:t xml:space="preserve">i da su javno objavili </w:t>
      </w:r>
      <w:r w:rsidRPr="00653DCF">
        <w:rPr>
          <w:color w:val="auto"/>
          <w:lang w:val="hr-HR"/>
        </w:rPr>
        <w:t xml:space="preserve">netehnički sažetak procjene utjecaja na okoliš, prihodi </w:t>
      </w:r>
      <w:r w:rsidR="005E4E29" w:rsidRPr="00653DCF">
        <w:rPr>
          <w:color w:val="auto"/>
          <w:lang w:val="hr-HR"/>
        </w:rPr>
        <w:t xml:space="preserve">iz sredstava </w:t>
      </w:r>
      <w:r w:rsidRPr="00653DCF">
        <w:rPr>
          <w:color w:val="auto"/>
          <w:lang w:val="hr-HR"/>
        </w:rPr>
        <w:t xml:space="preserve">EIB-a neće koristiti za financiranje </w:t>
      </w:r>
      <w:r w:rsidR="003D61D6" w:rsidRPr="00653DCF">
        <w:rPr>
          <w:color w:val="auto"/>
          <w:lang w:val="hr-HR"/>
        </w:rPr>
        <w:t xml:space="preserve">investicijskih projekata </w:t>
      </w:r>
      <w:r w:rsidRPr="00653DCF">
        <w:rPr>
          <w:color w:val="auto"/>
          <w:lang w:val="hr-HR"/>
        </w:rPr>
        <w:t xml:space="preserve">koji </w:t>
      </w:r>
      <w:r w:rsidR="003D61D6" w:rsidRPr="00653DCF">
        <w:rPr>
          <w:color w:val="auto"/>
          <w:lang w:val="hr-HR"/>
        </w:rPr>
        <w:t xml:space="preserve">podliježu </w:t>
      </w:r>
      <w:r w:rsidRPr="00653DCF">
        <w:rPr>
          <w:color w:val="auto"/>
          <w:lang w:val="hr-HR"/>
        </w:rPr>
        <w:t>relevantnom postupku procjene utjecaja na okoliš ili procjen</w:t>
      </w:r>
      <w:r w:rsidR="003D61D6" w:rsidRPr="00653DCF">
        <w:rPr>
          <w:color w:val="auto"/>
          <w:lang w:val="hr-HR"/>
        </w:rPr>
        <w:t>e</w:t>
      </w:r>
      <w:r w:rsidRPr="00653DCF">
        <w:rPr>
          <w:color w:val="auto"/>
          <w:lang w:val="hr-HR"/>
        </w:rPr>
        <w:t xml:space="preserve"> biološke raznolikosti u skladu s Direktivom o pticama i Direktivom o staništima;</w:t>
      </w:r>
      <w:bookmarkEnd w:id="483"/>
      <w:r w:rsidRPr="00653DCF">
        <w:rPr>
          <w:color w:val="auto"/>
          <w:lang w:val="hr-HR"/>
        </w:rPr>
        <w:t xml:space="preserve"> i</w:t>
      </w:r>
      <w:bookmarkEnd w:id="484"/>
    </w:p>
    <w:p w14:paraId="0AE510A0" w14:textId="377EC2BE" w:rsidR="00296C26" w:rsidRPr="00653DCF" w:rsidRDefault="003D61D6" w:rsidP="00DA3B64">
      <w:pPr>
        <w:pStyle w:val="NoIndentEIB"/>
        <w:numPr>
          <w:ilvl w:val="1"/>
          <w:numId w:val="26"/>
        </w:numPr>
        <w:rPr>
          <w:color w:val="auto"/>
          <w:lang w:val="hr-HR"/>
        </w:rPr>
      </w:pPr>
      <w:r w:rsidRPr="00653DCF">
        <w:rPr>
          <w:color w:val="auto"/>
          <w:lang w:val="hr-HR"/>
        </w:rPr>
        <w:t>pribaviti</w:t>
      </w:r>
      <w:r w:rsidR="00E87B0B" w:rsidRPr="00653DCF">
        <w:rPr>
          <w:color w:val="auto"/>
          <w:lang w:val="hr-HR"/>
        </w:rPr>
        <w:t xml:space="preserve"> i dostaviti Banci, </w:t>
      </w:r>
      <w:r w:rsidR="00767EE2" w:rsidRPr="00653DCF">
        <w:rPr>
          <w:color w:val="auto"/>
          <w:lang w:val="hr-HR"/>
        </w:rPr>
        <w:t>čim bude dostup</w:t>
      </w:r>
      <w:r w:rsidR="00910CFC" w:rsidRPr="00653DCF">
        <w:rPr>
          <w:color w:val="auto"/>
          <w:lang w:val="hr-HR"/>
        </w:rPr>
        <w:t>a</w:t>
      </w:r>
      <w:r w:rsidR="00767EE2" w:rsidRPr="00653DCF">
        <w:rPr>
          <w:color w:val="auto"/>
          <w:lang w:val="hr-HR"/>
        </w:rPr>
        <w:t xml:space="preserve">n, a najkasnije prije podnošenja izvješća o završetku Projekta (temeljem članka </w:t>
      </w:r>
      <w:r w:rsidR="00767EE2" w:rsidRPr="00653DCF">
        <w:rPr>
          <w:color w:val="auto"/>
          <w:lang w:val="hr-HR"/>
        </w:rPr>
        <w:fldChar w:fldCharType="begin"/>
      </w:r>
      <w:r w:rsidR="00767EE2" w:rsidRPr="00653DCF">
        <w:rPr>
          <w:color w:val="auto"/>
          <w:lang w:val="hr-HR"/>
        </w:rPr>
        <w:instrText xml:space="preserve"> REF _Ref427242000 \r \h  \* MERGEFORMAT </w:instrText>
      </w:r>
      <w:r w:rsidR="00767EE2" w:rsidRPr="00653DCF">
        <w:rPr>
          <w:color w:val="auto"/>
          <w:lang w:val="hr-HR"/>
        </w:rPr>
      </w:r>
      <w:r w:rsidR="00767EE2" w:rsidRPr="00653DCF">
        <w:rPr>
          <w:color w:val="auto"/>
          <w:lang w:val="hr-HR"/>
        </w:rPr>
        <w:fldChar w:fldCharType="separate"/>
      </w:r>
      <w:r w:rsidR="00E5391B">
        <w:rPr>
          <w:color w:val="auto"/>
          <w:lang w:val="hr-HR"/>
        </w:rPr>
        <w:t>članak 8</w:t>
      </w:r>
      <w:r w:rsidR="00767EE2" w:rsidRPr="00653DCF">
        <w:rPr>
          <w:color w:val="auto"/>
          <w:lang w:val="hr-HR"/>
        </w:rPr>
        <w:fldChar w:fldCharType="end"/>
      </w:r>
      <w:r w:rsidR="00767EE2" w:rsidRPr="00653DCF">
        <w:rPr>
          <w:color w:val="auto"/>
          <w:lang w:val="hr-HR"/>
        </w:rPr>
        <w:t xml:space="preserve">. točke </w:t>
      </w:r>
      <w:r w:rsidR="00767EE2" w:rsidRPr="00653DCF">
        <w:rPr>
          <w:color w:val="auto"/>
          <w:lang w:val="hr-HR"/>
        </w:rPr>
        <w:fldChar w:fldCharType="begin"/>
      </w:r>
      <w:r w:rsidR="00767EE2" w:rsidRPr="00653DCF">
        <w:rPr>
          <w:color w:val="auto"/>
          <w:lang w:val="hr-HR"/>
        </w:rPr>
        <w:instrText xml:space="preserve"> REF _Ref497992544 \r \h  \* MERGEFORMAT </w:instrText>
      </w:r>
      <w:r w:rsidR="00767EE2" w:rsidRPr="00653DCF">
        <w:rPr>
          <w:color w:val="auto"/>
          <w:lang w:val="hr-HR"/>
        </w:rPr>
      </w:r>
      <w:r w:rsidR="00767EE2" w:rsidRPr="00653DCF">
        <w:rPr>
          <w:color w:val="auto"/>
          <w:lang w:val="hr-HR"/>
        </w:rPr>
        <w:fldChar w:fldCharType="separate"/>
      </w:r>
      <w:r w:rsidR="00E5391B">
        <w:rPr>
          <w:color w:val="auto"/>
          <w:lang w:val="hr-HR"/>
        </w:rPr>
        <w:t>(a)(i)</w:t>
      </w:r>
      <w:r w:rsidR="00767EE2" w:rsidRPr="00653DCF">
        <w:rPr>
          <w:color w:val="auto"/>
          <w:lang w:val="hr-HR"/>
        </w:rPr>
        <w:fldChar w:fldCharType="end"/>
      </w:r>
      <w:r w:rsidR="00767EE2" w:rsidRPr="00653DCF">
        <w:rPr>
          <w:color w:val="auto"/>
          <w:lang w:val="hr-HR"/>
        </w:rPr>
        <w:t xml:space="preserve"> niže</w:t>
      </w:r>
      <w:r w:rsidR="00F304CA" w:rsidRPr="00653DCF">
        <w:rPr>
          <w:color w:val="auto"/>
          <w:lang w:val="hr-HR"/>
        </w:rPr>
        <w:t>)</w:t>
      </w:r>
      <w:r w:rsidR="00767EE2" w:rsidRPr="00653DCF">
        <w:rPr>
          <w:color w:val="auto"/>
          <w:lang w:val="hr-HR"/>
        </w:rPr>
        <w:t xml:space="preserve">, </w:t>
      </w:r>
      <w:r w:rsidR="00910CFC" w:rsidRPr="00653DCF">
        <w:rPr>
          <w:color w:val="auto"/>
          <w:lang w:val="hr-HR"/>
        </w:rPr>
        <w:t>certifikat</w:t>
      </w:r>
      <w:r w:rsidR="00F304CA" w:rsidRPr="00653DCF">
        <w:rPr>
          <w:color w:val="auto"/>
          <w:lang w:val="hr-HR"/>
        </w:rPr>
        <w:t>/</w:t>
      </w:r>
      <w:r w:rsidR="00910CFC" w:rsidRPr="00653DCF">
        <w:rPr>
          <w:color w:val="auto"/>
          <w:lang w:val="hr-HR"/>
        </w:rPr>
        <w:t xml:space="preserve">e o energetskoj učinkovitosti u skladu s </w:t>
      </w:r>
      <w:r w:rsidR="00103B52" w:rsidRPr="00653DCF">
        <w:rPr>
          <w:color w:val="auto"/>
          <w:lang w:val="hr-HR"/>
        </w:rPr>
        <w:t>Direktivom</w:t>
      </w:r>
      <w:r w:rsidR="00910CFC" w:rsidRPr="00653DCF">
        <w:rPr>
          <w:color w:val="auto"/>
          <w:lang w:val="hr-HR"/>
        </w:rPr>
        <w:t xml:space="preserve"> Vijeća o </w:t>
      </w:r>
      <w:r w:rsidR="0089008F" w:rsidRPr="00653DCF">
        <w:rPr>
          <w:color w:val="auto"/>
          <w:lang w:val="hr-HR"/>
        </w:rPr>
        <w:t xml:space="preserve">energetskoj učinkovitosti </w:t>
      </w:r>
      <w:r w:rsidR="00296C26" w:rsidRPr="00653DCF">
        <w:rPr>
          <w:color w:val="auto"/>
          <w:lang w:val="hr-HR"/>
        </w:rPr>
        <w:t>zgrada (Direktiva 2010/31/EU)</w:t>
      </w:r>
      <w:r w:rsidR="0089008F" w:rsidRPr="00653DCF">
        <w:rPr>
          <w:color w:val="auto"/>
          <w:lang w:val="hr-HR"/>
        </w:rPr>
        <w:t xml:space="preserve"> u vezi s bilo kojim investicijskim projektom koji uključuje bilo koju zgradu</w:t>
      </w:r>
      <w:r w:rsidR="00A401AE" w:rsidRPr="00653DCF">
        <w:rPr>
          <w:color w:val="auto"/>
          <w:lang w:val="hr-HR"/>
        </w:rPr>
        <w:t xml:space="preserve"> te dostaviti Banci sve odgovarajuće </w:t>
      </w:r>
      <w:r w:rsidR="00103B52" w:rsidRPr="00653DCF">
        <w:rPr>
          <w:color w:val="auto"/>
          <w:lang w:val="hr-HR"/>
        </w:rPr>
        <w:t>informacije</w:t>
      </w:r>
      <w:r w:rsidR="00A401AE" w:rsidRPr="00653DCF">
        <w:rPr>
          <w:color w:val="auto"/>
          <w:lang w:val="hr-HR"/>
        </w:rPr>
        <w:t xml:space="preserve"> koje </w:t>
      </w:r>
      <w:r w:rsidR="00F304CA" w:rsidRPr="00653DCF">
        <w:rPr>
          <w:color w:val="auto"/>
          <w:lang w:val="hr-HR"/>
        </w:rPr>
        <w:t xml:space="preserve">joj </w:t>
      </w:r>
      <w:r w:rsidR="00A401AE" w:rsidRPr="00653DCF">
        <w:rPr>
          <w:color w:val="auto"/>
          <w:lang w:val="hr-HR"/>
        </w:rPr>
        <w:t xml:space="preserve">mogu biti potrebne (uključujući </w:t>
      </w:r>
      <w:r w:rsidR="00D52DE0" w:rsidRPr="00653DCF">
        <w:rPr>
          <w:color w:val="auto"/>
          <w:lang w:val="hr-HR"/>
        </w:rPr>
        <w:t>pokazatelje</w:t>
      </w:r>
      <w:r w:rsidR="00896EB5" w:rsidRPr="00653DCF">
        <w:rPr>
          <w:color w:val="auto"/>
          <w:lang w:val="hr-HR"/>
        </w:rPr>
        <w:t xml:space="preserve"> vezano za energetsku učinkovitost </w:t>
      </w:r>
      <w:r w:rsidR="009360E2" w:rsidRPr="00653DCF">
        <w:rPr>
          <w:color w:val="auto"/>
          <w:lang w:val="hr-HR"/>
        </w:rPr>
        <w:t>za svaki od investicijskih projekata, ako su dostupni i za slučaj da je to primjenjivo);</w:t>
      </w:r>
    </w:p>
    <w:p w14:paraId="71F295B8" w14:textId="63BDD7BA" w:rsidR="007A2A6F" w:rsidRPr="00653DCF" w:rsidRDefault="00AA6F84">
      <w:pPr>
        <w:pStyle w:val="NoIndentEIB"/>
        <w:numPr>
          <w:ilvl w:val="0"/>
          <w:numId w:val="26"/>
        </w:numPr>
        <w:rPr>
          <w:color w:val="auto"/>
          <w:lang w:val="hr-HR"/>
        </w:rPr>
      </w:pPr>
      <w:bookmarkStart w:id="486" w:name="_Ref113555192"/>
      <w:bookmarkStart w:id="487" w:name="_Ref508630921"/>
      <w:r w:rsidRPr="00653DCF">
        <w:rPr>
          <w:rStyle w:val="BoldEIB"/>
          <w:color w:val="auto"/>
          <w:lang w:val="hr-HR"/>
        </w:rPr>
        <w:t>načelo savjesnosti i poštenja</w:t>
      </w:r>
      <w:r w:rsidR="00E87B0B" w:rsidRPr="00653DCF">
        <w:rPr>
          <w:color w:val="auto"/>
          <w:lang w:val="hr-HR"/>
        </w:rPr>
        <w:t>: u razumnom roku</w:t>
      </w:r>
      <w:bookmarkEnd w:id="485"/>
      <w:r w:rsidR="00093F72" w:rsidRPr="00653DCF">
        <w:rPr>
          <w:color w:val="auto"/>
          <w:lang w:val="hr-HR"/>
        </w:rPr>
        <w:t xml:space="preserve"> </w:t>
      </w:r>
      <w:r w:rsidR="00F81CD1" w:rsidRPr="00653DCF">
        <w:rPr>
          <w:color w:val="auto"/>
          <w:lang w:val="hr-HR"/>
        </w:rPr>
        <w:t>poduzeti odgovarajuće mjere vezano za</w:t>
      </w:r>
      <w:r w:rsidR="00E87B0B" w:rsidRPr="00653DCF">
        <w:rPr>
          <w:color w:val="auto"/>
          <w:lang w:val="hr-HR"/>
        </w:rPr>
        <w:t>:</w:t>
      </w:r>
      <w:bookmarkEnd w:id="486"/>
    </w:p>
    <w:p w14:paraId="7B3DA7D8" w14:textId="01747282" w:rsidR="007A2A6F" w:rsidRPr="00653DCF" w:rsidRDefault="00F81CD1">
      <w:pPr>
        <w:pStyle w:val="NoIndentEIB"/>
        <w:numPr>
          <w:ilvl w:val="1"/>
          <w:numId w:val="26"/>
        </w:numPr>
        <w:rPr>
          <w:color w:val="auto"/>
          <w:lang w:val="hr-HR"/>
        </w:rPr>
      </w:pPr>
      <w:r w:rsidRPr="00653DCF">
        <w:rPr>
          <w:color w:val="auto"/>
          <w:lang w:val="hr-HR"/>
        </w:rPr>
        <w:t xml:space="preserve">svakog od njihovih </w:t>
      </w:r>
      <w:r w:rsidR="00E87B0B" w:rsidRPr="00653DCF">
        <w:rPr>
          <w:color w:val="auto"/>
          <w:lang w:val="hr-HR"/>
        </w:rPr>
        <w:t>zaposlenika koji ima</w:t>
      </w:r>
      <w:r w:rsidR="00B53C56" w:rsidRPr="00653DCF">
        <w:rPr>
          <w:color w:val="auto"/>
          <w:lang w:val="hr-HR"/>
        </w:rPr>
        <w:t>ju</w:t>
      </w:r>
      <w:r w:rsidR="00E87B0B" w:rsidRPr="00653DCF">
        <w:rPr>
          <w:color w:val="auto"/>
          <w:lang w:val="hr-HR"/>
        </w:rPr>
        <w:t xml:space="preserve"> izravnu kontrolu i/ili ovlast odlučivanja </w:t>
      </w:r>
      <w:r w:rsidR="00892432" w:rsidRPr="00653DCF">
        <w:rPr>
          <w:color w:val="auto"/>
          <w:lang w:val="hr-HR"/>
        </w:rPr>
        <w:t>vezano za bilo koji investicijski projekt</w:t>
      </w:r>
      <w:r w:rsidR="00E87B0B" w:rsidRPr="00653DCF">
        <w:rPr>
          <w:color w:val="auto"/>
          <w:lang w:val="hr-HR"/>
        </w:rPr>
        <w:t xml:space="preserve">, kredit ili </w:t>
      </w:r>
      <w:r w:rsidR="00103B52" w:rsidRPr="00653DCF">
        <w:rPr>
          <w:color w:val="auto"/>
          <w:lang w:val="hr-HR"/>
        </w:rPr>
        <w:t>zajam</w:t>
      </w:r>
      <w:r w:rsidR="00E87B0B" w:rsidRPr="00653DCF">
        <w:rPr>
          <w:color w:val="auto"/>
          <w:lang w:val="hr-HR"/>
        </w:rPr>
        <w:t xml:space="preserve">; ili </w:t>
      </w:r>
    </w:p>
    <w:p w14:paraId="441B2531" w14:textId="091661F5" w:rsidR="007A2A6F" w:rsidRPr="00653DCF" w:rsidRDefault="00E87B0B">
      <w:pPr>
        <w:pStyle w:val="NoIndentEIB"/>
        <w:numPr>
          <w:ilvl w:val="1"/>
          <w:numId w:val="26"/>
        </w:numPr>
        <w:rPr>
          <w:color w:val="auto"/>
          <w:lang w:val="hr-HR"/>
        </w:rPr>
      </w:pPr>
      <w:r w:rsidRPr="00653DCF">
        <w:rPr>
          <w:color w:val="auto"/>
          <w:lang w:val="hr-HR"/>
        </w:rPr>
        <w:t>svak</w:t>
      </w:r>
      <w:r w:rsidR="00F81CD1" w:rsidRPr="00653DCF">
        <w:rPr>
          <w:color w:val="auto"/>
          <w:lang w:val="hr-HR"/>
        </w:rPr>
        <w:t>og</w:t>
      </w:r>
      <w:r w:rsidRPr="00653DCF">
        <w:rPr>
          <w:color w:val="auto"/>
          <w:lang w:val="hr-HR"/>
        </w:rPr>
        <w:t xml:space="preserve"> član</w:t>
      </w:r>
      <w:r w:rsidR="00B53C56" w:rsidRPr="00653DCF">
        <w:rPr>
          <w:color w:val="auto"/>
          <w:lang w:val="hr-HR"/>
        </w:rPr>
        <w:t>a</w:t>
      </w:r>
      <w:r w:rsidRPr="00653DCF">
        <w:rPr>
          <w:color w:val="auto"/>
          <w:lang w:val="hr-HR"/>
        </w:rPr>
        <w:t xml:space="preserve"> upravljačkih tijela </w:t>
      </w:r>
      <w:r w:rsidR="00C72DBE" w:rsidRPr="00653DCF">
        <w:rPr>
          <w:color w:val="auto"/>
          <w:lang w:val="hr-HR"/>
        </w:rPr>
        <w:t>P</w:t>
      </w:r>
      <w:r w:rsidR="00892432" w:rsidRPr="00653DCF">
        <w:rPr>
          <w:color w:val="auto"/>
          <w:lang w:val="hr-HR"/>
        </w:rPr>
        <w:t>rojektnog društva</w:t>
      </w:r>
      <w:r w:rsidRPr="00653DCF">
        <w:rPr>
          <w:color w:val="auto"/>
          <w:lang w:val="hr-HR"/>
        </w:rPr>
        <w:t xml:space="preserve">, </w:t>
      </w:r>
    </w:p>
    <w:p w14:paraId="207E3145" w14:textId="59A0F6FF" w:rsidR="007A2A6F" w:rsidRPr="00653DCF" w:rsidRDefault="00F81CD1">
      <w:pPr>
        <w:ind w:left="1423"/>
        <w:rPr>
          <w:color w:val="auto"/>
          <w:lang w:val="hr-HR"/>
        </w:rPr>
      </w:pPr>
      <w:r w:rsidRPr="00653DCF">
        <w:rPr>
          <w:color w:val="auto"/>
          <w:lang w:val="hr-HR"/>
        </w:rPr>
        <w:t xml:space="preserve">a </w:t>
      </w:r>
      <w:r w:rsidR="00E87B0B" w:rsidRPr="00653DCF">
        <w:rPr>
          <w:color w:val="auto"/>
          <w:lang w:val="hr-HR"/>
        </w:rPr>
        <w:t xml:space="preserve">koji </w:t>
      </w:r>
      <w:r w:rsidR="00B53C56" w:rsidRPr="00653DCF">
        <w:rPr>
          <w:color w:val="auto"/>
          <w:lang w:val="hr-HR"/>
        </w:rPr>
        <w:t xml:space="preserve">su </w:t>
      </w:r>
      <w:r w:rsidR="00E87B0B" w:rsidRPr="00653DCF">
        <w:rPr>
          <w:color w:val="auto"/>
          <w:lang w:val="hr-HR"/>
        </w:rPr>
        <w:t>pravomoćnom i neopozivom sudskom presudom osuđen</w:t>
      </w:r>
      <w:r w:rsidR="00B53C56" w:rsidRPr="00653DCF">
        <w:rPr>
          <w:color w:val="auto"/>
          <w:lang w:val="hr-HR"/>
        </w:rPr>
        <w:t>i</w:t>
      </w:r>
      <w:r w:rsidR="00E87B0B" w:rsidRPr="00653DCF">
        <w:rPr>
          <w:color w:val="auto"/>
          <w:lang w:val="hr-HR"/>
        </w:rPr>
        <w:t xml:space="preserve"> za nezakonitu </w:t>
      </w:r>
      <w:r w:rsidR="00E001B4" w:rsidRPr="00653DCF">
        <w:rPr>
          <w:color w:val="auto"/>
          <w:lang w:val="hr-HR"/>
        </w:rPr>
        <w:t>radnju</w:t>
      </w:r>
      <w:r w:rsidR="00FF333C" w:rsidRPr="00653DCF">
        <w:rPr>
          <w:color w:val="auto"/>
          <w:lang w:val="hr-HR"/>
        </w:rPr>
        <w:t xml:space="preserve"> </w:t>
      </w:r>
      <w:r w:rsidR="00B53C56" w:rsidRPr="00653DCF">
        <w:rPr>
          <w:color w:val="auto"/>
          <w:lang w:val="hr-HR"/>
        </w:rPr>
        <w:t xml:space="preserve">počinjenu tijekom </w:t>
      </w:r>
      <w:r w:rsidR="00E87B0B" w:rsidRPr="00653DCF">
        <w:rPr>
          <w:color w:val="auto"/>
          <w:lang w:val="hr-HR"/>
        </w:rPr>
        <w:t xml:space="preserve">obavljanja </w:t>
      </w:r>
      <w:r w:rsidR="00B53C56" w:rsidRPr="00653DCF">
        <w:rPr>
          <w:color w:val="auto"/>
          <w:lang w:val="hr-HR"/>
        </w:rPr>
        <w:t xml:space="preserve">njihovih </w:t>
      </w:r>
      <w:r w:rsidR="00E87B0B" w:rsidRPr="00653DCF">
        <w:rPr>
          <w:color w:val="auto"/>
          <w:lang w:val="hr-HR"/>
        </w:rPr>
        <w:t xml:space="preserve">profesionalnih dužnosti, </w:t>
      </w:r>
      <w:r w:rsidR="00820C23" w:rsidRPr="00653DCF">
        <w:rPr>
          <w:color w:val="auto"/>
          <w:lang w:val="hr-HR"/>
        </w:rPr>
        <w:t xml:space="preserve">kako bi se osiguralo da su ti članovi </w:t>
      </w:r>
      <w:r w:rsidR="00E87B0B" w:rsidRPr="00653DCF">
        <w:rPr>
          <w:color w:val="auto"/>
          <w:lang w:val="hr-HR"/>
        </w:rPr>
        <w:t>isključen</w:t>
      </w:r>
      <w:r w:rsidR="00820C23" w:rsidRPr="00653DCF">
        <w:rPr>
          <w:color w:val="auto"/>
          <w:lang w:val="hr-HR"/>
        </w:rPr>
        <w:t>i iz bilo kojih aktivnosti vezano za kredit</w:t>
      </w:r>
      <w:r w:rsidR="00E87B0B" w:rsidRPr="00653DCF">
        <w:rPr>
          <w:color w:val="auto"/>
          <w:lang w:val="hr-HR"/>
        </w:rPr>
        <w:t xml:space="preserve">, </w:t>
      </w:r>
      <w:r w:rsidR="00820C23" w:rsidRPr="00653DCF">
        <w:rPr>
          <w:color w:val="auto"/>
          <w:lang w:val="hr-HR"/>
        </w:rPr>
        <w:t xml:space="preserve">zajam </w:t>
      </w:r>
      <w:r w:rsidR="00E87B0B" w:rsidRPr="00653DCF">
        <w:rPr>
          <w:color w:val="auto"/>
          <w:lang w:val="hr-HR"/>
        </w:rPr>
        <w:t>ili bilo koji</w:t>
      </w:r>
      <w:r w:rsidR="00820C23" w:rsidRPr="00653DCF">
        <w:rPr>
          <w:color w:val="auto"/>
          <w:lang w:val="hr-HR"/>
        </w:rPr>
        <w:t xml:space="preserve"> investicijski projekt ili </w:t>
      </w:r>
      <w:r w:rsidR="00B70E7A" w:rsidRPr="00653DCF">
        <w:rPr>
          <w:color w:val="auto"/>
          <w:lang w:val="hr-HR"/>
        </w:rPr>
        <w:t>bilo koj</w:t>
      </w:r>
      <w:r w:rsidR="00507207" w:rsidRPr="00653DCF">
        <w:rPr>
          <w:color w:val="auto"/>
          <w:lang w:val="hr-HR"/>
        </w:rPr>
        <w:t>i drugi oblik financijskog zaduženja</w:t>
      </w:r>
      <w:r w:rsidR="00B70E7A" w:rsidRPr="00653DCF">
        <w:rPr>
          <w:color w:val="auto"/>
          <w:lang w:val="hr-HR"/>
        </w:rPr>
        <w:t xml:space="preserve"> Banke</w:t>
      </w:r>
      <w:r w:rsidR="00E87B0B" w:rsidRPr="00653DCF">
        <w:rPr>
          <w:color w:val="auto"/>
          <w:lang w:val="hr-HR"/>
        </w:rPr>
        <w:t>;</w:t>
      </w:r>
      <w:bookmarkEnd w:id="487"/>
    </w:p>
    <w:p w14:paraId="2434E0C3" w14:textId="0F6C325B" w:rsidR="007A2A6F" w:rsidRPr="00653DCF" w:rsidRDefault="00F2228D">
      <w:pPr>
        <w:pStyle w:val="NoIndentEIB"/>
        <w:numPr>
          <w:ilvl w:val="0"/>
          <w:numId w:val="26"/>
        </w:numPr>
        <w:rPr>
          <w:color w:val="auto"/>
          <w:lang w:val="hr-HR"/>
        </w:rPr>
      </w:pPr>
      <w:bookmarkStart w:id="488" w:name="_Ref442776433"/>
      <w:r w:rsidRPr="00653DCF">
        <w:rPr>
          <w:rStyle w:val="BoldEIB"/>
          <w:color w:val="auto"/>
          <w:lang w:val="hr-HR"/>
        </w:rPr>
        <w:t xml:space="preserve">pravo na reviziju </w:t>
      </w:r>
      <w:r w:rsidR="00AA6F84" w:rsidRPr="00653DCF">
        <w:rPr>
          <w:rStyle w:val="BoldEIB"/>
          <w:color w:val="auto"/>
          <w:lang w:val="hr-HR"/>
        </w:rPr>
        <w:t>savjesnosti i poštenja</w:t>
      </w:r>
      <w:r w:rsidR="00E87B0B" w:rsidRPr="00653DCF">
        <w:rPr>
          <w:color w:val="auto"/>
          <w:lang w:val="hr-HR"/>
        </w:rPr>
        <w:t xml:space="preserve">: </w:t>
      </w:r>
      <w:r w:rsidR="00471F0C" w:rsidRPr="00653DCF">
        <w:rPr>
          <w:color w:val="auto"/>
          <w:lang w:val="hr-HR"/>
        </w:rPr>
        <w:t>osigurati da svi ugovoru u sklopu</w:t>
      </w:r>
      <w:r w:rsidR="008B7A75" w:rsidRPr="00653DCF">
        <w:rPr>
          <w:color w:val="auto"/>
          <w:lang w:val="hr-HR"/>
        </w:rPr>
        <w:t xml:space="preserve"> </w:t>
      </w:r>
      <w:r w:rsidR="00654186" w:rsidRPr="00653DCF">
        <w:rPr>
          <w:color w:val="auto"/>
          <w:lang w:val="hr-HR"/>
        </w:rPr>
        <w:t>P</w:t>
      </w:r>
      <w:r w:rsidR="008B7A75" w:rsidRPr="00653DCF">
        <w:rPr>
          <w:color w:val="auto"/>
          <w:lang w:val="hr-HR"/>
        </w:rPr>
        <w:t>rojekta koji će se sklopiti nakon datuma potpisa ovog Ugovora u skladu s direktivama Europske unije o nabavi</w:t>
      </w:r>
      <w:r w:rsidR="00E87B0B" w:rsidRPr="00653DCF">
        <w:rPr>
          <w:color w:val="auto"/>
          <w:lang w:val="hr-HR"/>
        </w:rPr>
        <w:t xml:space="preserve"> </w:t>
      </w:r>
      <w:r w:rsidR="00654186" w:rsidRPr="00653DCF">
        <w:rPr>
          <w:color w:val="auto"/>
          <w:lang w:val="hr-HR"/>
        </w:rPr>
        <w:t>predvide</w:t>
      </w:r>
      <w:r w:rsidR="00E87B0B" w:rsidRPr="00653DCF">
        <w:rPr>
          <w:color w:val="auto"/>
          <w:lang w:val="hr-HR"/>
        </w:rPr>
        <w:t>:</w:t>
      </w:r>
      <w:bookmarkEnd w:id="488"/>
    </w:p>
    <w:p w14:paraId="1B9F5143" w14:textId="036F7652" w:rsidR="007A2A6F" w:rsidRPr="00653DCF" w:rsidRDefault="00850777">
      <w:pPr>
        <w:pStyle w:val="NoIndentEIB"/>
        <w:numPr>
          <w:ilvl w:val="1"/>
          <w:numId w:val="26"/>
        </w:numPr>
        <w:rPr>
          <w:color w:val="auto"/>
          <w:lang w:val="hr-HR"/>
        </w:rPr>
      </w:pPr>
      <w:r w:rsidRPr="00653DCF">
        <w:rPr>
          <w:color w:val="auto"/>
          <w:lang w:val="hr-HR"/>
        </w:rPr>
        <w:t>zahtjev</w:t>
      </w:r>
      <w:r w:rsidR="008B7A75" w:rsidRPr="00653DCF">
        <w:rPr>
          <w:color w:val="auto"/>
          <w:lang w:val="hr-HR"/>
        </w:rPr>
        <w:t xml:space="preserve"> </w:t>
      </w:r>
      <w:r w:rsidR="00E87B0B" w:rsidRPr="00653DCF">
        <w:rPr>
          <w:color w:val="auto"/>
          <w:lang w:val="hr-HR"/>
        </w:rPr>
        <w:t xml:space="preserve">da </w:t>
      </w:r>
      <w:r w:rsidR="00155885" w:rsidRPr="00653DCF">
        <w:rPr>
          <w:color w:val="auto"/>
          <w:lang w:val="hr-HR"/>
        </w:rPr>
        <w:t xml:space="preserve">konkretni </w:t>
      </w:r>
      <w:r w:rsidR="00F62448" w:rsidRPr="00653DCF">
        <w:rPr>
          <w:color w:val="auto"/>
          <w:lang w:val="hr-HR"/>
        </w:rPr>
        <w:t>podizvođač</w:t>
      </w:r>
      <w:r w:rsidR="00E87B0B" w:rsidRPr="00653DCF">
        <w:rPr>
          <w:color w:val="auto"/>
          <w:lang w:val="hr-HR"/>
        </w:rPr>
        <w:t xml:space="preserve"> odmah obavijesti Banku o </w:t>
      </w:r>
      <w:r w:rsidR="008B7A75" w:rsidRPr="00653DCF">
        <w:rPr>
          <w:color w:val="auto"/>
          <w:lang w:val="hr-HR"/>
        </w:rPr>
        <w:t>autentičnim navodima</w:t>
      </w:r>
      <w:r w:rsidR="00E87B0B" w:rsidRPr="00653DCF">
        <w:rPr>
          <w:color w:val="auto"/>
          <w:lang w:val="hr-HR"/>
        </w:rPr>
        <w:t xml:space="preserve">, </w:t>
      </w:r>
      <w:r w:rsidR="008B7A75" w:rsidRPr="00653DCF">
        <w:rPr>
          <w:color w:val="auto"/>
          <w:lang w:val="hr-HR"/>
        </w:rPr>
        <w:t xml:space="preserve">pritužbama ili informacijama u vezi s </w:t>
      </w:r>
      <w:r w:rsidR="00A555C8" w:rsidRPr="00653DCF">
        <w:rPr>
          <w:color w:val="auto"/>
          <w:lang w:val="hr-HR"/>
        </w:rPr>
        <w:t>nezakonitim</w:t>
      </w:r>
      <w:r w:rsidR="001E6887" w:rsidRPr="00653DCF">
        <w:rPr>
          <w:color w:val="auto"/>
          <w:lang w:val="hr-HR"/>
        </w:rPr>
        <w:t xml:space="preserve"> </w:t>
      </w:r>
      <w:r w:rsidR="00E001B4" w:rsidRPr="00653DCF">
        <w:rPr>
          <w:color w:val="auto"/>
          <w:lang w:val="hr-HR"/>
        </w:rPr>
        <w:t>radnjama</w:t>
      </w:r>
      <w:r w:rsidR="001E6887" w:rsidRPr="00653DCF">
        <w:rPr>
          <w:color w:val="auto"/>
          <w:lang w:val="hr-HR"/>
        </w:rPr>
        <w:t xml:space="preserve"> koj</w:t>
      </w:r>
      <w:r w:rsidR="00F62448" w:rsidRPr="00653DCF">
        <w:rPr>
          <w:color w:val="auto"/>
          <w:lang w:val="hr-HR"/>
        </w:rPr>
        <w:t>e</w:t>
      </w:r>
      <w:r w:rsidR="001E6887" w:rsidRPr="00653DCF">
        <w:rPr>
          <w:color w:val="auto"/>
          <w:lang w:val="hr-HR"/>
        </w:rPr>
        <w:t xml:space="preserve"> se odnose na bilo koji investicijski projekt</w:t>
      </w:r>
      <w:r w:rsidR="00E87B0B" w:rsidRPr="00653DCF">
        <w:rPr>
          <w:color w:val="auto"/>
          <w:lang w:val="hr-HR"/>
        </w:rPr>
        <w:t>;</w:t>
      </w:r>
    </w:p>
    <w:p w14:paraId="49FD4890" w14:textId="66C57E85" w:rsidR="007A2A6F" w:rsidRPr="00653DCF" w:rsidRDefault="00850777">
      <w:pPr>
        <w:pStyle w:val="NoIndentEIB"/>
        <w:numPr>
          <w:ilvl w:val="1"/>
          <w:numId w:val="26"/>
        </w:numPr>
        <w:rPr>
          <w:color w:val="auto"/>
          <w:lang w:val="hr-HR"/>
        </w:rPr>
      </w:pPr>
      <w:r w:rsidRPr="00653DCF">
        <w:rPr>
          <w:color w:val="auto"/>
          <w:lang w:val="hr-HR"/>
        </w:rPr>
        <w:t>zahtjev</w:t>
      </w:r>
      <w:r w:rsidR="001E6887" w:rsidRPr="00653DCF">
        <w:rPr>
          <w:color w:val="auto"/>
          <w:lang w:val="hr-HR"/>
        </w:rPr>
        <w:t xml:space="preserve"> da </w:t>
      </w:r>
      <w:r w:rsidR="00654186" w:rsidRPr="00653DCF">
        <w:rPr>
          <w:color w:val="auto"/>
          <w:lang w:val="hr-HR"/>
        </w:rPr>
        <w:t xml:space="preserve">konkretni </w:t>
      </w:r>
      <w:r w:rsidR="00F62448" w:rsidRPr="00653DCF">
        <w:rPr>
          <w:color w:val="auto"/>
          <w:lang w:val="hr-HR"/>
        </w:rPr>
        <w:t xml:space="preserve">podizvođač </w:t>
      </w:r>
      <w:r w:rsidR="00E00F3A" w:rsidRPr="00653DCF">
        <w:rPr>
          <w:color w:val="auto"/>
          <w:lang w:val="hr-HR"/>
        </w:rPr>
        <w:t xml:space="preserve">vodi knjige i evidencije o svim financijskim </w:t>
      </w:r>
      <w:r w:rsidR="00E87B0B" w:rsidRPr="00653DCF">
        <w:rPr>
          <w:color w:val="auto"/>
          <w:lang w:val="hr-HR"/>
        </w:rPr>
        <w:t xml:space="preserve">transakcijama i izdacima </w:t>
      </w:r>
      <w:r w:rsidR="00E00F3A" w:rsidRPr="00653DCF">
        <w:rPr>
          <w:color w:val="auto"/>
          <w:lang w:val="hr-HR"/>
        </w:rPr>
        <w:t xml:space="preserve">u vezi </w:t>
      </w:r>
      <w:r w:rsidR="00654186" w:rsidRPr="00653DCF">
        <w:rPr>
          <w:color w:val="auto"/>
          <w:lang w:val="hr-HR"/>
        </w:rPr>
        <w:t xml:space="preserve">s </w:t>
      </w:r>
      <w:r w:rsidR="006E2794" w:rsidRPr="00653DCF">
        <w:rPr>
          <w:color w:val="auto"/>
          <w:lang w:val="hr-HR"/>
        </w:rPr>
        <w:t>bilo kojim</w:t>
      </w:r>
      <w:r w:rsidR="00654186" w:rsidRPr="00653DCF">
        <w:rPr>
          <w:color w:val="auto"/>
          <w:lang w:val="hr-HR"/>
        </w:rPr>
        <w:t xml:space="preserve"> investicijskim projektom</w:t>
      </w:r>
      <w:r w:rsidR="00E87B0B" w:rsidRPr="00653DCF">
        <w:rPr>
          <w:color w:val="auto"/>
          <w:lang w:val="hr-HR"/>
        </w:rPr>
        <w:t>; i</w:t>
      </w:r>
    </w:p>
    <w:p w14:paraId="14D59242" w14:textId="5A9195F3" w:rsidR="007A2A6F" w:rsidRPr="00653DCF" w:rsidRDefault="00E87B0B">
      <w:pPr>
        <w:pStyle w:val="NoIndentEIB"/>
        <w:numPr>
          <w:ilvl w:val="1"/>
          <w:numId w:val="26"/>
        </w:numPr>
        <w:rPr>
          <w:color w:val="auto"/>
          <w:lang w:val="hr-HR"/>
        </w:rPr>
      </w:pPr>
      <w:r w:rsidRPr="00653DCF">
        <w:rPr>
          <w:color w:val="auto"/>
          <w:lang w:val="hr-HR"/>
        </w:rPr>
        <w:t xml:space="preserve">pravo Banke da, u vezi s navodnom nezakonitom </w:t>
      </w:r>
      <w:r w:rsidR="00E001B4" w:rsidRPr="00653DCF">
        <w:rPr>
          <w:color w:val="auto"/>
          <w:lang w:val="hr-HR"/>
        </w:rPr>
        <w:t>radnjom</w:t>
      </w:r>
      <w:r w:rsidRPr="00653DCF">
        <w:rPr>
          <w:color w:val="auto"/>
          <w:lang w:val="hr-HR"/>
        </w:rPr>
        <w:t xml:space="preserve">, pregleda knjige i evidencije </w:t>
      </w:r>
      <w:r w:rsidR="00A555C8" w:rsidRPr="00653DCF">
        <w:rPr>
          <w:color w:val="auto"/>
          <w:lang w:val="hr-HR"/>
        </w:rPr>
        <w:t xml:space="preserve">konkretnog </w:t>
      </w:r>
      <w:r w:rsidR="00775234" w:rsidRPr="00653DCF">
        <w:rPr>
          <w:color w:val="auto"/>
          <w:lang w:val="hr-HR"/>
        </w:rPr>
        <w:t>podizvođača</w:t>
      </w:r>
      <w:r w:rsidRPr="00653DCF">
        <w:rPr>
          <w:color w:val="auto"/>
          <w:lang w:val="hr-HR"/>
        </w:rPr>
        <w:t xml:space="preserve"> u vezi s bilo kojim </w:t>
      </w:r>
      <w:r w:rsidR="00A555C8" w:rsidRPr="00653DCF">
        <w:rPr>
          <w:color w:val="auto"/>
          <w:lang w:val="hr-HR"/>
        </w:rPr>
        <w:t xml:space="preserve">investicijskim projektom </w:t>
      </w:r>
      <w:r w:rsidRPr="00653DCF">
        <w:rPr>
          <w:color w:val="auto"/>
          <w:lang w:val="hr-HR"/>
        </w:rPr>
        <w:t xml:space="preserve">i </w:t>
      </w:r>
      <w:r w:rsidR="00A555C8" w:rsidRPr="00653DCF">
        <w:rPr>
          <w:color w:val="auto"/>
          <w:lang w:val="hr-HR"/>
        </w:rPr>
        <w:t xml:space="preserve">napravi </w:t>
      </w:r>
      <w:r w:rsidRPr="00653DCF">
        <w:rPr>
          <w:color w:val="auto"/>
          <w:lang w:val="hr-HR"/>
        </w:rPr>
        <w:t>preslik</w:t>
      </w:r>
      <w:r w:rsidR="00A555C8" w:rsidRPr="00653DCF">
        <w:rPr>
          <w:color w:val="auto"/>
          <w:lang w:val="hr-HR"/>
        </w:rPr>
        <w:t>u</w:t>
      </w:r>
      <w:r w:rsidRPr="00653DCF">
        <w:rPr>
          <w:color w:val="auto"/>
          <w:lang w:val="hr-HR"/>
        </w:rPr>
        <w:t xml:space="preserve"> dokumenata, </w:t>
      </w:r>
      <w:r w:rsidR="00A555C8" w:rsidRPr="00653DCF">
        <w:rPr>
          <w:color w:val="auto"/>
          <w:lang w:val="hr-HR"/>
        </w:rPr>
        <w:t>u mjeri u kojoj je to dozvoljeno zakonom</w:t>
      </w:r>
      <w:r w:rsidRPr="00653DCF">
        <w:rPr>
          <w:color w:val="auto"/>
          <w:lang w:val="hr-HR"/>
        </w:rPr>
        <w:t>;</w:t>
      </w:r>
    </w:p>
    <w:p w14:paraId="013E4345" w14:textId="69061CE6" w:rsidR="007A2A6F" w:rsidRPr="00653DCF" w:rsidRDefault="00A555C8">
      <w:pPr>
        <w:pStyle w:val="NoIndentEIB"/>
        <w:numPr>
          <w:ilvl w:val="0"/>
          <w:numId w:val="26"/>
        </w:numPr>
        <w:rPr>
          <w:color w:val="auto"/>
          <w:lang w:val="hr-HR"/>
        </w:rPr>
      </w:pPr>
      <w:r w:rsidRPr="00653DCF">
        <w:rPr>
          <w:b/>
          <w:color w:val="auto"/>
          <w:lang w:val="hr-HR"/>
        </w:rPr>
        <w:t>p</w:t>
      </w:r>
      <w:r w:rsidR="00E87B0B" w:rsidRPr="00653DCF">
        <w:rPr>
          <w:b/>
          <w:color w:val="auto"/>
          <w:lang w:val="hr-HR"/>
        </w:rPr>
        <w:t>ostupci dodjele</w:t>
      </w:r>
      <w:r w:rsidRPr="00653DCF">
        <w:rPr>
          <w:b/>
          <w:color w:val="auto"/>
          <w:lang w:val="hr-HR"/>
        </w:rPr>
        <w:t xml:space="preserve"> sredstava</w:t>
      </w:r>
      <w:r w:rsidR="00E87B0B" w:rsidRPr="00653DCF">
        <w:rPr>
          <w:color w:val="auto"/>
          <w:lang w:val="hr-HR"/>
        </w:rPr>
        <w:t xml:space="preserve">: </w:t>
      </w:r>
      <w:r w:rsidR="00775234" w:rsidRPr="00653DCF">
        <w:rPr>
          <w:color w:val="auto"/>
          <w:lang w:val="hr-HR"/>
        </w:rPr>
        <w:t xml:space="preserve">usklađenost </w:t>
      </w:r>
      <w:r w:rsidR="00E87B0B" w:rsidRPr="00653DCF">
        <w:rPr>
          <w:color w:val="auto"/>
          <w:lang w:val="hr-HR"/>
        </w:rPr>
        <w:t xml:space="preserve">s postupcima dodjele </w:t>
      </w:r>
      <w:r w:rsidRPr="00653DCF">
        <w:rPr>
          <w:color w:val="auto"/>
          <w:lang w:val="hr-HR"/>
        </w:rPr>
        <w:t xml:space="preserve">sredstava </w:t>
      </w:r>
      <w:r w:rsidR="00E87B0B" w:rsidRPr="00653DCF">
        <w:rPr>
          <w:color w:val="auto"/>
          <w:lang w:val="hr-HR"/>
        </w:rPr>
        <w:t xml:space="preserve">koji se primjenjuju na Projekt, </w:t>
      </w:r>
      <w:r w:rsidR="002C1CED" w:rsidRPr="00653DCF">
        <w:rPr>
          <w:color w:val="auto"/>
          <w:lang w:val="hr-HR"/>
        </w:rPr>
        <w:t xml:space="preserve">a koje Banka povremeno može mijenjati u skladu s člankom </w:t>
      </w:r>
      <w:r w:rsidR="00E87B0B" w:rsidRPr="00653DCF">
        <w:rPr>
          <w:color w:val="auto"/>
          <w:lang w:val="hr-HR"/>
        </w:rPr>
        <w:t>1.9. ovog Ugovora;</w:t>
      </w:r>
    </w:p>
    <w:p w14:paraId="4D5E5745" w14:textId="3C622275" w:rsidR="007A2A6F" w:rsidRPr="00653DCF" w:rsidRDefault="002C1CED">
      <w:pPr>
        <w:pStyle w:val="NoIndentEIB"/>
        <w:numPr>
          <w:ilvl w:val="0"/>
          <w:numId w:val="26"/>
        </w:numPr>
        <w:rPr>
          <w:color w:val="auto"/>
          <w:lang w:val="hr-HR"/>
        </w:rPr>
      </w:pPr>
      <w:bookmarkStart w:id="489" w:name="_Ref475522270"/>
      <w:r w:rsidRPr="00653DCF">
        <w:rPr>
          <w:b/>
          <w:color w:val="auto"/>
          <w:lang w:val="hr-HR"/>
        </w:rPr>
        <w:lastRenderedPageBreak/>
        <w:t>p</w:t>
      </w:r>
      <w:r w:rsidR="00E87B0B" w:rsidRPr="00653DCF">
        <w:rPr>
          <w:b/>
          <w:color w:val="auto"/>
          <w:lang w:val="hr-HR"/>
        </w:rPr>
        <w:t>raćenje dodjele</w:t>
      </w:r>
      <w:r w:rsidRPr="00653DCF">
        <w:rPr>
          <w:b/>
          <w:color w:val="auto"/>
          <w:lang w:val="hr-HR"/>
        </w:rPr>
        <w:t xml:space="preserve"> sredstava</w:t>
      </w:r>
      <w:r w:rsidR="00E87B0B" w:rsidRPr="00653DCF">
        <w:rPr>
          <w:color w:val="auto"/>
          <w:lang w:val="hr-HR"/>
        </w:rPr>
        <w:t xml:space="preserve">: osigurati da na kraju fizičke provedbe svih </w:t>
      </w:r>
      <w:r w:rsidR="0054368C" w:rsidRPr="00653DCF">
        <w:rPr>
          <w:color w:val="auto"/>
          <w:lang w:val="hr-HR"/>
        </w:rPr>
        <w:t xml:space="preserve">investicijskih projekata </w:t>
      </w:r>
      <w:r w:rsidR="00E87B0B" w:rsidRPr="00653DCF">
        <w:rPr>
          <w:color w:val="auto"/>
          <w:lang w:val="hr-HR"/>
        </w:rPr>
        <w:t xml:space="preserve">u okviru </w:t>
      </w:r>
      <w:r w:rsidR="0054368C" w:rsidRPr="00653DCF">
        <w:rPr>
          <w:color w:val="auto"/>
          <w:lang w:val="hr-HR"/>
        </w:rPr>
        <w:t>P</w:t>
      </w:r>
      <w:r w:rsidR="00E87B0B" w:rsidRPr="00653DCF">
        <w:rPr>
          <w:color w:val="auto"/>
          <w:lang w:val="hr-HR"/>
        </w:rPr>
        <w:t xml:space="preserve">rojekta iznos iz </w:t>
      </w:r>
      <w:r w:rsidR="005E4E29" w:rsidRPr="00653DCF">
        <w:rPr>
          <w:color w:val="auto"/>
          <w:lang w:val="hr-HR"/>
        </w:rPr>
        <w:t>sredstava</w:t>
      </w:r>
      <w:r w:rsidR="00E87B0B" w:rsidRPr="00653DCF">
        <w:rPr>
          <w:color w:val="auto"/>
          <w:lang w:val="hr-HR"/>
        </w:rPr>
        <w:t xml:space="preserve"> EIB-a isplaćen za takve </w:t>
      </w:r>
      <w:r w:rsidR="00BD4DEF" w:rsidRPr="00653DCF">
        <w:rPr>
          <w:color w:val="auto"/>
          <w:lang w:val="hr-HR"/>
        </w:rPr>
        <w:t xml:space="preserve">investicijske projekte </w:t>
      </w:r>
      <w:r w:rsidR="00E87B0B" w:rsidRPr="00653DCF">
        <w:rPr>
          <w:color w:val="auto"/>
          <w:lang w:val="hr-HR"/>
        </w:rPr>
        <w:t xml:space="preserve">ne premašuje iznos sredstava koje je Banka dodijelila u vezi sa svim takvim </w:t>
      </w:r>
      <w:r w:rsidR="00BD4DEF" w:rsidRPr="00653DCF">
        <w:rPr>
          <w:color w:val="auto"/>
          <w:lang w:val="hr-HR"/>
        </w:rPr>
        <w:t xml:space="preserve">investicijskim projektima </w:t>
      </w:r>
      <w:r w:rsidR="00E87B0B" w:rsidRPr="00653DCF">
        <w:rPr>
          <w:color w:val="auto"/>
          <w:lang w:val="hr-HR"/>
        </w:rPr>
        <w:t xml:space="preserve">na temelju pisama o dodjeli sredstava. </w:t>
      </w:r>
      <w:r w:rsidR="00591BA0" w:rsidRPr="00653DCF">
        <w:rPr>
          <w:color w:val="auto"/>
          <w:lang w:val="hr-HR"/>
        </w:rPr>
        <w:t>Zajmoprimac (</w:t>
      </w:r>
      <w:r w:rsidR="00DF33A7" w:rsidRPr="00653DCF">
        <w:rPr>
          <w:color w:val="auto"/>
          <w:lang w:val="hr-HR"/>
        </w:rPr>
        <w:t xml:space="preserve">koji djeluje </w:t>
      </w:r>
      <w:r w:rsidR="00591BA0" w:rsidRPr="00653DCF">
        <w:rPr>
          <w:color w:val="auto"/>
          <w:lang w:val="hr-HR"/>
        </w:rPr>
        <w:t xml:space="preserve">putem </w:t>
      </w:r>
      <w:r w:rsidR="00897354" w:rsidRPr="00653DCF">
        <w:rPr>
          <w:color w:val="auto"/>
          <w:lang w:val="hr-HR"/>
        </w:rPr>
        <w:t>Nositelj</w:t>
      </w:r>
      <w:r w:rsidR="00591BA0" w:rsidRPr="00653DCF">
        <w:rPr>
          <w:color w:val="auto"/>
          <w:lang w:val="hr-HR"/>
        </w:rPr>
        <w:t>a)</w:t>
      </w:r>
      <w:r w:rsidR="00E87B0B" w:rsidRPr="00653DCF">
        <w:rPr>
          <w:color w:val="auto"/>
          <w:lang w:val="hr-HR"/>
        </w:rPr>
        <w:t xml:space="preserve"> </w:t>
      </w:r>
      <w:r w:rsidR="00BD4DEF" w:rsidRPr="00653DCF">
        <w:rPr>
          <w:color w:val="auto"/>
          <w:lang w:val="hr-HR"/>
        </w:rPr>
        <w:t xml:space="preserve">je dužan odmah </w:t>
      </w:r>
      <w:r w:rsidR="00E87B0B" w:rsidRPr="00653DCF">
        <w:rPr>
          <w:color w:val="auto"/>
          <w:lang w:val="hr-HR"/>
        </w:rPr>
        <w:t xml:space="preserve">obavijestiti Banku </w:t>
      </w:r>
      <w:r w:rsidR="00BD4DEF" w:rsidRPr="00653DCF">
        <w:rPr>
          <w:color w:val="auto"/>
          <w:lang w:val="hr-HR"/>
        </w:rPr>
        <w:t xml:space="preserve">ako je </w:t>
      </w:r>
      <w:r w:rsidR="002D6BDF" w:rsidRPr="00653DCF">
        <w:rPr>
          <w:color w:val="auto"/>
          <w:lang w:val="hr-HR"/>
        </w:rPr>
        <w:t>provedba bilo kojeg investicijskog projekta za koji su dodijeljena sredstva obustavljena ili otkazana</w:t>
      </w:r>
      <w:r w:rsidR="00E87B0B" w:rsidRPr="00653DCF">
        <w:rPr>
          <w:color w:val="auto"/>
          <w:lang w:val="hr-HR"/>
        </w:rPr>
        <w:t>;</w:t>
      </w:r>
      <w:bookmarkEnd w:id="489"/>
    </w:p>
    <w:p w14:paraId="46E3A61E" w14:textId="770AA790" w:rsidR="00711082" w:rsidRPr="00653DCF" w:rsidRDefault="003D1DBB">
      <w:pPr>
        <w:pStyle w:val="NoIndentEIB"/>
        <w:widowControl w:val="0"/>
        <w:numPr>
          <w:ilvl w:val="0"/>
          <w:numId w:val="26"/>
        </w:numPr>
        <w:rPr>
          <w:color w:val="auto"/>
          <w:lang w:val="hr-HR"/>
        </w:rPr>
      </w:pPr>
      <w:bookmarkStart w:id="490" w:name="_Ref508569126"/>
      <w:bookmarkStart w:id="491" w:name="_Ref442775460"/>
      <w:r w:rsidRPr="00653DCF">
        <w:rPr>
          <w:b/>
          <w:color w:val="auto"/>
          <w:lang w:val="hr-HR"/>
        </w:rPr>
        <w:t>u</w:t>
      </w:r>
      <w:r w:rsidR="00E87B0B" w:rsidRPr="00653DCF">
        <w:rPr>
          <w:b/>
          <w:color w:val="auto"/>
          <w:lang w:val="hr-HR"/>
        </w:rPr>
        <w:t>govor o javnim uslugama</w:t>
      </w:r>
      <w:r w:rsidR="00E87B0B" w:rsidRPr="00653DCF">
        <w:rPr>
          <w:color w:val="auto"/>
          <w:lang w:val="hr-HR"/>
        </w:rPr>
        <w:t xml:space="preserve">: prije </w:t>
      </w:r>
      <w:r w:rsidR="00391C00" w:rsidRPr="00653DCF">
        <w:rPr>
          <w:color w:val="auto"/>
          <w:lang w:val="hr-HR"/>
        </w:rPr>
        <w:t xml:space="preserve">dodjele bilo kojih investicijskih projekata vezano za ulaganja u </w:t>
      </w:r>
      <w:r w:rsidR="00097CE0" w:rsidRPr="00653DCF">
        <w:rPr>
          <w:color w:val="auto"/>
          <w:lang w:val="hr-HR"/>
        </w:rPr>
        <w:t>željeznička vozila za prijevoz putnika ili tereta</w:t>
      </w:r>
      <w:r w:rsidR="00711082" w:rsidRPr="00653DCF">
        <w:rPr>
          <w:color w:val="auto"/>
          <w:lang w:val="hr-HR"/>
        </w:rPr>
        <w:t xml:space="preserve">, osigurati informacije vezano za </w:t>
      </w:r>
      <w:r w:rsidR="005332D7" w:rsidRPr="00653DCF">
        <w:rPr>
          <w:color w:val="auto"/>
          <w:lang w:val="hr-HR"/>
        </w:rPr>
        <w:t>operativne aranžmane, uključujući potvrdu usklađenosti ugovora o javnim uslugama koji je trenutačno na snazi i onih koji će uslijediti s Uredbom 1370/2007</w:t>
      </w:r>
      <w:r w:rsidR="002A1D5C" w:rsidRPr="00653DCF">
        <w:rPr>
          <w:color w:val="auto"/>
          <w:lang w:val="hr-HR"/>
        </w:rPr>
        <w:t xml:space="preserve"> Europske unije </w:t>
      </w:r>
      <w:r w:rsidR="00132A5D" w:rsidRPr="00653DCF">
        <w:rPr>
          <w:color w:val="auto"/>
          <w:lang w:val="hr-HR"/>
        </w:rPr>
        <w:t xml:space="preserve">vezano za </w:t>
      </w:r>
      <w:r w:rsidR="0020232A" w:rsidRPr="00653DCF">
        <w:rPr>
          <w:color w:val="auto"/>
          <w:lang w:val="hr-HR"/>
        </w:rPr>
        <w:t xml:space="preserve">javne natječaje za ugovore za pružanje usluga željezničkog prijevoza putnika. </w:t>
      </w:r>
      <w:r w:rsidR="00591BA0" w:rsidRPr="00653DCF">
        <w:rPr>
          <w:color w:val="auto"/>
          <w:lang w:val="hr-HR"/>
        </w:rPr>
        <w:t xml:space="preserve">Zajmoprimac ili </w:t>
      </w:r>
      <w:r w:rsidR="0020232A" w:rsidRPr="00653DCF">
        <w:rPr>
          <w:color w:val="auto"/>
          <w:lang w:val="hr-HR"/>
        </w:rPr>
        <w:t xml:space="preserve">Nositelj će odmah obavijestiti Banku o trenutačnim i budućim ugovorima za </w:t>
      </w:r>
      <w:r w:rsidR="00D40038" w:rsidRPr="00653DCF">
        <w:rPr>
          <w:color w:val="auto"/>
          <w:lang w:val="hr-HR"/>
        </w:rPr>
        <w:t>pružanje usluga putničkog prijevoza na državnoj razini, a poglavito o planiranim postupcima nabave</w:t>
      </w:r>
      <w:r w:rsidR="006220C8" w:rsidRPr="00653DCF">
        <w:rPr>
          <w:color w:val="auto"/>
          <w:lang w:val="hr-HR"/>
        </w:rPr>
        <w:t xml:space="preserve">, njihovim rezultatima i svim čimbenicima </w:t>
      </w:r>
      <w:r w:rsidR="00EB4C5B" w:rsidRPr="00653DCF">
        <w:rPr>
          <w:color w:val="auto"/>
          <w:lang w:val="hr-HR"/>
        </w:rPr>
        <w:t xml:space="preserve">sa znatnim utjecajem na </w:t>
      </w:r>
      <w:r w:rsidR="006220C8" w:rsidRPr="00653DCF">
        <w:rPr>
          <w:color w:val="auto"/>
          <w:lang w:val="hr-HR"/>
        </w:rPr>
        <w:t>vremenski okvir</w:t>
      </w:r>
      <w:r w:rsidR="008137E1" w:rsidRPr="00653DCF">
        <w:rPr>
          <w:color w:val="auto"/>
          <w:lang w:val="hr-HR"/>
        </w:rPr>
        <w:t xml:space="preserve">, sadržaj i ishod, </w:t>
      </w:r>
      <w:r w:rsidR="00BA634D" w:rsidRPr="00653DCF">
        <w:rPr>
          <w:color w:val="auto"/>
          <w:lang w:val="hr-HR"/>
        </w:rPr>
        <w:t>uključujući</w:t>
      </w:r>
      <w:r w:rsidR="008137E1" w:rsidRPr="00653DCF">
        <w:rPr>
          <w:color w:val="auto"/>
          <w:lang w:val="hr-HR"/>
        </w:rPr>
        <w:t xml:space="preserve">, ali ne ograničavajući se na, pravne postupke, izmjene </w:t>
      </w:r>
      <w:r w:rsidR="0018679F" w:rsidRPr="00653DCF">
        <w:rPr>
          <w:color w:val="auto"/>
          <w:lang w:val="hr-HR"/>
        </w:rPr>
        <w:t>planova</w:t>
      </w:r>
      <w:r w:rsidR="008137E1" w:rsidRPr="00653DCF">
        <w:rPr>
          <w:color w:val="auto"/>
          <w:lang w:val="hr-HR"/>
        </w:rPr>
        <w:t xml:space="preserve"> i ostale važne promjene;</w:t>
      </w:r>
    </w:p>
    <w:bookmarkEnd w:id="490"/>
    <w:bookmarkEnd w:id="491"/>
    <w:p w14:paraId="4A39447C" w14:textId="2358AA08" w:rsidR="007A2A6F" w:rsidRPr="00653DCF" w:rsidRDefault="00593072">
      <w:pPr>
        <w:pStyle w:val="NoIndentEIB"/>
        <w:widowControl w:val="0"/>
        <w:numPr>
          <w:ilvl w:val="0"/>
          <w:numId w:val="26"/>
        </w:numPr>
        <w:rPr>
          <w:color w:val="auto"/>
          <w:lang w:val="hr-HR"/>
        </w:rPr>
      </w:pPr>
      <w:r w:rsidRPr="00653DCF">
        <w:rPr>
          <w:rStyle w:val="BoldEIB"/>
          <w:color w:val="auto"/>
          <w:lang w:val="hr-HR"/>
        </w:rPr>
        <w:t>d</w:t>
      </w:r>
      <w:r w:rsidR="00E87B0B" w:rsidRPr="00653DCF">
        <w:rPr>
          <w:rStyle w:val="BoldEIB"/>
          <w:color w:val="auto"/>
          <w:lang w:val="hr-HR"/>
        </w:rPr>
        <w:t>ržavne potpore</w:t>
      </w:r>
      <w:r w:rsidR="00E87B0B" w:rsidRPr="00653DCF">
        <w:rPr>
          <w:color w:val="auto"/>
          <w:lang w:val="hr-HR"/>
        </w:rPr>
        <w:t xml:space="preserve">: provoditi i </w:t>
      </w:r>
      <w:r w:rsidR="00EB4C5B" w:rsidRPr="00653DCF">
        <w:rPr>
          <w:color w:val="auto"/>
          <w:lang w:val="hr-HR"/>
        </w:rPr>
        <w:t xml:space="preserve">upravljati </w:t>
      </w:r>
      <w:r w:rsidR="00E87B0B" w:rsidRPr="00653DCF">
        <w:rPr>
          <w:color w:val="auto"/>
          <w:lang w:val="hr-HR"/>
        </w:rPr>
        <w:t>Projekt</w:t>
      </w:r>
      <w:r w:rsidR="00EB4C5B" w:rsidRPr="00653DCF">
        <w:rPr>
          <w:color w:val="auto"/>
          <w:lang w:val="hr-HR"/>
        </w:rPr>
        <w:t>om</w:t>
      </w:r>
      <w:r w:rsidR="00E87B0B" w:rsidRPr="00653DCF">
        <w:rPr>
          <w:color w:val="auto"/>
          <w:lang w:val="hr-HR"/>
        </w:rPr>
        <w:t xml:space="preserve"> u skladu s bilo kojim zakonima Europske unije i Republike Hrvatske u odnosu na državne potpore</w:t>
      </w:r>
      <w:r w:rsidR="00EB4C5B" w:rsidRPr="00653DCF">
        <w:rPr>
          <w:color w:val="auto"/>
          <w:lang w:val="hr-HR"/>
        </w:rPr>
        <w:t>;</w:t>
      </w:r>
    </w:p>
    <w:p w14:paraId="1205346C" w14:textId="44A84C2D" w:rsidR="007A2A6F" w:rsidRPr="00653DCF" w:rsidRDefault="00536E86" w:rsidP="00DA3B64">
      <w:pPr>
        <w:pStyle w:val="NoIndentEIB"/>
        <w:numPr>
          <w:ilvl w:val="0"/>
          <w:numId w:val="26"/>
        </w:numPr>
        <w:rPr>
          <w:bCs/>
          <w:color w:val="auto"/>
          <w:lang w:val="hr-HR"/>
        </w:rPr>
      </w:pPr>
      <w:bookmarkStart w:id="492" w:name="_Ref442775404"/>
      <w:r w:rsidRPr="00653DCF">
        <w:rPr>
          <w:b/>
          <w:color w:val="auto"/>
          <w:lang w:val="hr-HR"/>
        </w:rPr>
        <w:t>i</w:t>
      </w:r>
      <w:r w:rsidR="00593072" w:rsidRPr="00653DCF">
        <w:rPr>
          <w:b/>
          <w:color w:val="auto"/>
          <w:lang w:val="hr-HR"/>
        </w:rPr>
        <w:t xml:space="preserve">zbjegavanje </w:t>
      </w:r>
      <w:r w:rsidR="00E87B0B" w:rsidRPr="00653DCF">
        <w:rPr>
          <w:b/>
          <w:color w:val="auto"/>
          <w:lang w:val="hr-HR"/>
        </w:rPr>
        <w:t>dvostrukog financiranja</w:t>
      </w:r>
      <w:r w:rsidR="00E87B0B" w:rsidRPr="00653DCF">
        <w:rPr>
          <w:color w:val="auto"/>
          <w:lang w:val="hr-HR"/>
        </w:rPr>
        <w:t>: osigurati da se nijedan</w:t>
      </w:r>
      <w:r w:rsidR="009A1D61" w:rsidRPr="00653DCF">
        <w:rPr>
          <w:color w:val="auto"/>
          <w:lang w:val="hr-HR"/>
        </w:rPr>
        <w:t xml:space="preserve"> investicijski projekt ne </w:t>
      </w:r>
      <w:r w:rsidR="00E87B0B" w:rsidRPr="00653DCF">
        <w:rPr>
          <w:color w:val="auto"/>
          <w:lang w:val="hr-HR"/>
        </w:rPr>
        <w:t xml:space="preserve">financira iz </w:t>
      </w:r>
      <w:r w:rsidR="005A4B68" w:rsidRPr="00653DCF">
        <w:rPr>
          <w:color w:val="auto"/>
          <w:lang w:val="hr-HR"/>
        </w:rPr>
        <w:t xml:space="preserve">sredstava </w:t>
      </w:r>
      <w:r w:rsidR="005919B3" w:rsidRPr="00653DCF">
        <w:rPr>
          <w:color w:val="auto"/>
          <w:lang w:val="hr-HR"/>
        </w:rPr>
        <w:t>bilo koje</w:t>
      </w:r>
      <w:r w:rsidR="004A1E7A" w:rsidRPr="00653DCF">
        <w:rPr>
          <w:color w:val="auto"/>
          <w:lang w:val="hr-HR"/>
        </w:rPr>
        <w:t>g</w:t>
      </w:r>
      <w:r w:rsidR="005919B3" w:rsidRPr="00653DCF">
        <w:rPr>
          <w:color w:val="auto"/>
          <w:lang w:val="hr-HR"/>
        </w:rPr>
        <w:t xml:space="preserve"> </w:t>
      </w:r>
      <w:r w:rsidR="00022AD6" w:rsidRPr="00653DCF">
        <w:rPr>
          <w:color w:val="auto"/>
          <w:lang w:val="hr-HR"/>
        </w:rPr>
        <w:t xml:space="preserve">ukupnog financijskog zaduženja koje </w:t>
      </w:r>
      <w:r w:rsidR="00E87B0B" w:rsidRPr="00653DCF">
        <w:rPr>
          <w:color w:val="auto"/>
          <w:lang w:val="hr-HR"/>
        </w:rPr>
        <w:t>Banka</w:t>
      </w:r>
      <w:r w:rsidR="005919B3" w:rsidRPr="00653DCF">
        <w:rPr>
          <w:color w:val="auto"/>
          <w:lang w:val="hr-HR"/>
        </w:rPr>
        <w:t xml:space="preserve"> stavi na raspolaganje Zajmoprimcu ili bilo kojem </w:t>
      </w:r>
      <w:r w:rsidR="00C72DBE" w:rsidRPr="00653DCF">
        <w:rPr>
          <w:color w:val="auto"/>
          <w:lang w:val="hr-HR"/>
        </w:rPr>
        <w:t>P</w:t>
      </w:r>
      <w:r w:rsidR="005919B3" w:rsidRPr="00653DCF">
        <w:rPr>
          <w:color w:val="auto"/>
          <w:lang w:val="hr-HR"/>
        </w:rPr>
        <w:t xml:space="preserve">rojektnom društvu, osim </w:t>
      </w:r>
      <w:r w:rsidR="00022AD6" w:rsidRPr="00653DCF">
        <w:rPr>
          <w:color w:val="auto"/>
          <w:lang w:val="hr-HR"/>
        </w:rPr>
        <w:t xml:space="preserve">iz </w:t>
      </w:r>
      <w:r w:rsidR="005E4E29" w:rsidRPr="00653DCF">
        <w:rPr>
          <w:color w:val="auto"/>
          <w:lang w:val="hr-HR"/>
        </w:rPr>
        <w:t>sredstava</w:t>
      </w:r>
      <w:r w:rsidR="00E87B0B" w:rsidRPr="00653DCF">
        <w:rPr>
          <w:color w:val="auto"/>
          <w:lang w:val="hr-HR"/>
        </w:rPr>
        <w:t xml:space="preserve"> EIB-a;</w:t>
      </w:r>
      <w:bookmarkEnd w:id="492"/>
      <w:r w:rsidR="00E87B0B" w:rsidRPr="00653DCF">
        <w:rPr>
          <w:color w:val="auto"/>
          <w:lang w:val="hr-HR"/>
        </w:rPr>
        <w:t xml:space="preserve"> i</w:t>
      </w:r>
    </w:p>
    <w:p w14:paraId="6CB8D1DF" w14:textId="0B1337BD" w:rsidR="007A2A6F" w:rsidRPr="00653DCF" w:rsidRDefault="00536E86">
      <w:pPr>
        <w:pStyle w:val="P68B1DB1-NoIndentEIB5"/>
        <w:numPr>
          <w:ilvl w:val="0"/>
          <w:numId w:val="26"/>
        </w:numPr>
        <w:rPr>
          <w:b w:val="0"/>
          <w:bCs/>
          <w:color w:val="auto"/>
          <w:lang w:val="hr-HR"/>
        </w:rPr>
      </w:pPr>
      <w:r w:rsidRPr="00653DCF">
        <w:rPr>
          <w:color w:val="auto"/>
          <w:lang w:val="hr-HR"/>
        </w:rPr>
        <w:t>f</w:t>
      </w:r>
      <w:r w:rsidR="00E87B0B" w:rsidRPr="00653DCF">
        <w:rPr>
          <w:color w:val="auto"/>
          <w:lang w:val="hr-HR"/>
        </w:rPr>
        <w:t xml:space="preserve">ondovi </w:t>
      </w:r>
      <w:r w:rsidR="00593072" w:rsidRPr="00653DCF">
        <w:rPr>
          <w:color w:val="auto"/>
          <w:lang w:val="hr-HR"/>
        </w:rPr>
        <w:t>Europske unije</w:t>
      </w:r>
      <w:r w:rsidR="00E87B0B" w:rsidRPr="00653DCF">
        <w:rPr>
          <w:b w:val="0"/>
          <w:bCs/>
          <w:color w:val="auto"/>
          <w:lang w:val="hr-HR"/>
        </w:rPr>
        <w:t xml:space="preserve">: </w:t>
      </w:r>
    </w:p>
    <w:p w14:paraId="09585286" w14:textId="1F5A4CC8" w:rsidR="007A2A6F" w:rsidRPr="00653DCF" w:rsidRDefault="00E87B0B">
      <w:pPr>
        <w:widowControl w:val="0"/>
        <w:numPr>
          <w:ilvl w:val="1"/>
          <w:numId w:val="60"/>
        </w:numPr>
        <w:rPr>
          <w:color w:val="auto"/>
          <w:lang w:val="hr-HR"/>
        </w:rPr>
      </w:pPr>
      <w:r w:rsidRPr="00653DCF">
        <w:rPr>
          <w:color w:val="auto"/>
          <w:lang w:val="hr-HR"/>
        </w:rPr>
        <w:t xml:space="preserve">ako </w:t>
      </w:r>
      <w:r w:rsidR="00D834FC" w:rsidRPr="00653DCF">
        <w:rPr>
          <w:color w:val="auto"/>
          <w:lang w:val="hr-HR"/>
        </w:rPr>
        <w:t>je dostupn</w:t>
      </w:r>
      <w:r w:rsidR="00827EF8" w:rsidRPr="00653DCF">
        <w:rPr>
          <w:color w:val="auto"/>
          <w:lang w:val="hr-HR"/>
        </w:rPr>
        <w:t>a</w:t>
      </w:r>
      <w:r w:rsidRPr="00653DCF">
        <w:rPr>
          <w:color w:val="auto"/>
          <w:lang w:val="hr-HR"/>
        </w:rPr>
        <w:t xml:space="preserve">, dostaviti Banci </w:t>
      </w:r>
      <w:r w:rsidR="00D834FC" w:rsidRPr="00653DCF">
        <w:rPr>
          <w:color w:val="auto"/>
          <w:lang w:val="hr-HR"/>
        </w:rPr>
        <w:t xml:space="preserve">na njen zahtjev </w:t>
      </w:r>
      <w:r w:rsidRPr="00653DCF">
        <w:rPr>
          <w:color w:val="auto"/>
          <w:lang w:val="hr-HR"/>
        </w:rPr>
        <w:t>ovjerenu presliku služben</w:t>
      </w:r>
      <w:r w:rsidR="00827EF8" w:rsidRPr="00653DCF">
        <w:rPr>
          <w:color w:val="auto"/>
          <w:lang w:val="hr-HR"/>
        </w:rPr>
        <w:t>e</w:t>
      </w:r>
      <w:r w:rsidRPr="00653DCF">
        <w:rPr>
          <w:color w:val="auto"/>
          <w:lang w:val="hr-HR"/>
        </w:rPr>
        <w:t xml:space="preserve"> </w:t>
      </w:r>
      <w:r w:rsidR="00827EF8" w:rsidRPr="00653DCF">
        <w:rPr>
          <w:color w:val="auto"/>
          <w:lang w:val="hr-HR"/>
        </w:rPr>
        <w:t xml:space="preserve">prijave </w:t>
      </w:r>
      <w:r w:rsidR="00F839F9" w:rsidRPr="00653DCF">
        <w:rPr>
          <w:color w:val="auto"/>
          <w:lang w:val="hr-HR"/>
        </w:rPr>
        <w:t>Zajmoprimca ili Nositelja</w:t>
      </w:r>
      <w:r w:rsidR="00827EF8" w:rsidRPr="00653DCF">
        <w:rPr>
          <w:color w:val="auto"/>
          <w:lang w:val="hr-HR"/>
        </w:rPr>
        <w:t xml:space="preserve"> ili </w:t>
      </w:r>
      <w:r w:rsidR="00C72DBE" w:rsidRPr="00653DCF">
        <w:rPr>
          <w:color w:val="auto"/>
          <w:lang w:val="hr-HR"/>
        </w:rPr>
        <w:t>P</w:t>
      </w:r>
      <w:r w:rsidR="00827EF8" w:rsidRPr="00653DCF">
        <w:rPr>
          <w:color w:val="auto"/>
          <w:lang w:val="hr-HR"/>
        </w:rPr>
        <w:t xml:space="preserve">rojektnog društva za fondove Europske unije vezano za bilo koji investicijski projekt te periodično obavještavati Banku </w:t>
      </w:r>
      <w:r w:rsidR="00C74496" w:rsidRPr="00653DCF">
        <w:rPr>
          <w:color w:val="auto"/>
          <w:lang w:val="hr-HR"/>
        </w:rPr>
        <w:t xml:space="preserve">o napretku postupka za dodjelu </w:t>
      </w:r>
      <w:r w:rsidRPr="00653DCF">
        <w:rPr>
          <w:color w:val="auto"/>
          <w:lang w:val="hr-HR"/>
        </w:rPr>
        <w:t xml:space="preserve">bespovratnih sredstava; i </w:t>
      </w:r>
    </w:p>
    <w:p w14:paraId="0C76DB3E" w14:textId="63B25028" w:rsidR="007A2A6F" w:rsidRPr="00653DCF" w:rsidRDefault="00E87B0B">
      <w:pPr>
        <w:widowControl w:val="0"/>
        <w:numPr>
          <w:ilvl w:val="1"/>
          <w:numId w:val="60"/>
        </w:numPr>
        <w:rPr>
          <w:color w:val="auto"/>
          <w:lang w:val="hr-HR"/>
        </w:rPr>
      </w:pPr>
      <w:r w:rsidRPr="00653DCF">
        <w:rPr>
          <w:color w:val="auto"/>
          <w:lang w:val="hr-HR"/>
        </w:rPr>
        <w:t xml:space="preserve">osigurati da se poštuju svi uvjeti u pogledu </w:t>
      </w:r>
      <w:r w:rsidR="00C74496" w:rsidRPr="00653DCF">
        <w:rPr>
          <w:color w:val="auto"/>
          <w:lang w:val="hr-HR"/>
        </w:rPr>
        <w:t xml:space="preserve">fondova Europske unije </w:t>
      </w:r>
      <w:r w:rsidRPr="00653DCF">
        <w:rPr>
          <w:color w:val="auto"/>
          <w:lang w:val="hr-HR"/>
        </w:rPr>
        <w:t>(</w:t>
      </w:r>
      <w:r w:rsidR="00C74496" w:rsidRPr="00653DCF">
        <w:rPr>
          <w:color w:val="auto"/>
          <w:lang w:val="hr-HR"/>
        </w:rPr>
        <w:t xml:space="preserve">kako </w:t>
      </w:r>
      <w:r w:rsidRPr="00653DCF">
        <w:rPr>
          <w:color w:val="auto"/>
          <w:lang w:val="hr-HR"/>
        </w:rPr>
        <w:t>ugovorni</w:t>
      </w:r>
      <w:r w:rsidR="00C74496" w:rsidRPr="00653DCF">
        <w:rPr>
          <w:color w:val="auto"/>
          <w:lang w:val="hr-HR"/>
        </w:rPr>
        <w:t>,</w:t>
      </w:r>
      <w:r w:rsidRPr="00653DCF">
        <w:rPr>
          <w:color w:val="auto"/>
          <w:lang w:val="hr-HR"/>
        </w:rPr>
        <w:t xml:space="preserve"> </w:t>
      </w:r>
      <w:r w:rsidR="00C74496" w:rsidRPr="00653DCF">
        <w:rPr>
          <w:color w:val="auto"/>
          <w:lang w:val="hr-HR"/>
        </w:rPr>
        <w:t xml:space="preserve">tako i </w:t>
      </w:r>
      <w:r w:rsidRPr="00653DCF">
        <w:rPr>
          <w:color w:val="auto"/>
          <w:lang w:val="hr-HR"/>
        </w:rPr>
        <w:t>zakonski).</w:t>
      </w:r>
    </w:p>
    <w:p w14:paraId="62EF9419" w14:textId="7C9A0151" w:rsidR="007A2A6F" w:rsidRPr="00653DCF" w:rsidRDefault="007967D6">
      <w:pPr>
        <w:pStyle w:val="NoIndentEIB"/>
        <w:numPr>
          <w:ilvl w:val="0"/>
          <w:numId w:val="26"/>
        </w:numPr>
        <w:rPr>
          <w:color w:val="auto"/>
          <w:lang w:val="hr-HR"/>
        </w:rPr>
      </w:pPr>
      <w:bookmarkStart w:id="493" w:name="_Ref496705741"/>
      <w:bookmarkStart w:id="494" w:name="_Toc508120528"/>
      <w:r w:rsidRPr="00653DCF">
        <w:rPr>
          <w:b/>
          <w:color w:val="auto"/>
          <w:lang w:val="hr-HR"/>
        </w:rPr>
        <w:t>parnice</w:t>
      </w:r>
      <w:r w:rsidR="00E87B0B" w:rsidRPr="00653DCF">
        <w:rPr>
          <w:color w:val="auto"/>
          <w:lang w:val="hr-HR"/>
        </w:rPr>
        <w:t xml:space="preserve">: osigurati da </w:t>
      </w:r>
      <w:r w:rsidR="00C72DBE" w:rsidRPr="00653DCF">
        <w:rPr>
          <w:color w:val="auto"/>
          <w:lang w:val="hr-HR"/>
        </w:rPr>
        <w:t>P</w:t>
      </w:r>
      <w:r w:rsidR="00E87B0B" w:rsidRPr="00653DCF">
        <w:rPr>
          <w:color w:val="auto"/>
          <w:lang w:val="hr-HR"/>
        </w:rPr>
        <w:t xml:space="preserve">rojektno društvo, </w:t>
      </w:r>
      <w:r w:rsidR="00714AE8" w:rsidRPr="00653DCF">
        <w:rPr>
          <w:color w:val="auto"/>
          <w:lang w:val="hr-HR"/>
        </w:rPr>
        <w:t xml:space="preserve">u onoj mjeri u kojoj je to zakonski dopušteno, obavještava </w:t>
      </w:r>
      <w:r w:rsidR="00F839F9" w:rsidRPr="00653DCF">
        <w:rPr>
          <w:color w:val="auto"/>
          <w:lang w:val="hr-HR"/>
        </w:rPr>
        <w:t>Zajmoprimca ili Nositelja</w:t>
      </w:r>
      <w:r w:rsidR="00E87B0B" w:rsidRPr="00653DCF">
        <w:rPr>
          <w:color w:val="auto"/>
          <w:lang w:val="hr-HR"/>
        </w:rPr>
        <w:t xml:space="preserve"> o svako</w:t>
      </w:r>
      <w:r w:rsidR="00714AE8" w:rsidRPr="00653DCF">
        <w:rPr>
          <w:color w:val="auto"/>
          <w:lang w:val="hr-HR"/>
        </w:rPr>
        <w:t xml:space="preserve">j </w:t>
      </w:r>
      <w:r w:rsidR="007379BF" w:rsidRPr="00653DCF">
        <w:rPr>
          <w:color w:val="auto"/>
          <w:lang w:val="hr-HR"/>
        </w:rPr>
        <w:t>značajnoj</w:t>
      </w:r>
      <w:r w:rsidR="00714AE8" w:rsidRPr="00653DCF">
        <w:rPr>
          <w:color w:val="auto"/>
          <w:lang w:val="hr-HR"/>
        </w:rPr>
        <w:t xml:space="preserve"> parnici</w:t>
      </w:r>
      <w:r w:rsidR="00E87B0B" w:rsidRPr="00653DCF">
        <w:rPr>
          <w:color w:val="auto"/>
          <w:lang w:val="hr-HR"/>
        </w:rPr>
        <w:t xml:space="preserve">, arbitraži, upravnom postupku ili istrazi koju provodi sud, uprava ili slično javno tijelo, a koja je, prema njegovim saznanjima i uvjerenjima, </w:t>
      </w:r>
      <w:r w:rsidR="00DA1AF9" w:rsidRPr="00653DCF">
        <w:rPr>
          <w:color w:val="auto"/>
          <w:lang w:val="hr-HR"/>
        </w:rPr>
        <w:t>u tijeku</w:t>
      </w:r>
      <w:r w:rsidR="00E87B0B" w:rsidRPr="00653DCF">
        <w:rPr>
          <w:color w:val="auto"/>
          <w:lang w:val="hr-HR"/>
        </w:rPr>
        <w:t xml:space="preserve">, </w:t>
      </w:r>
      <w:r w:rsidR="00DA1AF9" w:rsidRPr="00653DCF">
        <w:rPr>
          <w:color w:val="auto"/>
          <w:lang w:val="hr-HR"/>
        </w:rPr>
        <w:t xml:space="preserve">koja neposredno </w:t>
      </w:r>
      <w:r w:rsidR="00BA634D" w:rsidRPr="00653DCF">
        <w:rPr>
          <w:color w:val="auto"/>
          <w:lang w:val="hr-HR"/>
        </w:rPr>
        <w:t>predstoji</w:t>
      </w:r>
      <w:r w:rsidR="00DA1AF9" w:rsidRPr="00653DCF">
        <w:rPr>
          <w:color w:val="auto"/>
          <w:lang w:val="hr-HR"/>
        </w:rPr>
        <w:t xml:space="preserve"> ili koja se planira u odnosu na to </w:t>
      </w:r>
      <w:r w:rsidR="00C72DBE" w:rsidRPr="00653DCF">
        <w:rPr>
          <w:color w:val="auto"/>
          <w:lang w:val="hr-HR"/>
        </w:rPr>
        <w:t>P</w:t>
      </w:r>
      <w:r w:rsidR="00E87B0B" w:rsidRPr="00653DCF">
        <w:rPr>
          <w:color w:val="auto"/>
          <w:lang w:val="hr-HR"/>
        </w:rPr>
        <w:t>rojektno društv</w:t>
      </w:r>
      <w:r w:rsidR="00DA1AF9" w:rsidRPr="00653DCF">
        <w:rPr>
          <w:color w:val="auto"/>
          <w:lang w:val="hr-HR"/>
        </w:rPr>
        <w:t xml:space="preserve">o ili </w:t>
      </w:r>
      <w:r w:rsidR="00BA634D" w:rsidRPr="00653DCF">
        <w:rPr>
          <w:color w:val="auto"/>
          <w:lang w:val="hr-HR"/>
        </w:rPr>
        <w:t xml:space="preserve">društva koja kontroliraju to </w:t>
      </w:r>
      <w:r w:rsidR="00F33419" w:rsidRPr="00653DCF">
        <w:rPr>
          <w:color w:val="auto"/>
          <w:lang w:val="hr-HR"/>
        </w:rPr>
        <w:t>P</w:t>
      </w:r>
      <w:r w:rsidR="00BA634D" w:rsidRPr="00653DCF">
        <w:rPr>
          <w:color w:val="auto"/>
          <w:lang w:val="hr-HR"/>
        </w:rPr>
        <w:t xml:space="preserve">rojektno društvo ili </w:t>
      </w:r>
      <w:r w:rsidR="00E87B0B" w:rsidRPr="00653DCF">
        <w:rPr>
          <w:color w:val="auto"/>
          <w:lang w:val="hr-HR"/>
        </w:rPr>
        <w:t>članov</w:t>
      </w:r>
      <w:r w:rsidR="00FA4284" w:rsidRPr="00653DCF">
        <w:rPr>
          <w:color w:val="auto"/>
          <w:lang w:val="hr-HR"/>
        </w:rPr>
        <w:t>e</w:t>
      </w:r>
      <w:r w:rsidR="00E87B0B" w:rsidRPr="00653DCF">
        <w:rPr>
          <w:color w:val="auto"/>
          <w:lang w:val="hr-HR"/>
        </w:rPr>
        <w:t xml:space="preserve"> njegovih upravljačkih tijela</w:t>
      </w:r>
      <w:r w:rsidR="00BA634D" w:rsidRPr="00653DCF">
        <w:rPr>
          <w:color w:val="auto"/>
          <w:lang w:val="hr-HR"/>
        </w:rPr>
        <w:t>, a</w:t>
      </w:r>
      <w:r w:rsidR="00E87B0B" w:rsidRPr="00653DCF">
        <w:rPr>
          <w:color w:val="auto"/>
          <w:lang w:val="hr-HR"/>
        </w:rPr>
        <w:t xml:space="preserve"> u vezi s nezakonitim </w:t>
      </w:r>
      <w:r w:rsidR="00E001B4" w:rsidRPr="00653DCF">
        <w:rPr>
          <w:color w:val="auto"/>
          <w:lang w:val="hr-HR"/>
        </w:rPr>
        <w:t>radnjama</w:t>
      </w:r>
      <w:r w:rsidR="00E87B0B" w:rsidRPr="00653DCF">
        <w:rPr>
          <w:color w:val="auto"/>
          <w:lang w:val="hr-HR"/>
        </w:rPr>
        <w:t xml:space="preserve"> povezanima s bilo kojim </w:t>
      </w:r>
      <w:r w:rsidR="00BA634D" w:rsidRPr="00653DCF">
        <w:rPr>
          <w:color w:val="auto"/>
          <w:lang w:val="hr-HR"/>
        </w:rPr>
        <w:t>investicijskim projektom</w:t>
      </w:r>
      <w:r w:rsidR="00E87B0B" w:rsidRPr="00653DCF">
        <w:rPr>
          <w:color w:val="auto"/>
          <w:lang w:val="hr-HR"/>
        </w:rPr>
        <w:t>.</w:t>
      </w:r>
      <w:bookmarkEnd w:id="493"/>
    </w:p>
    <w:p w14:paraId="3B3185B9" w14:textId="70850237" w:rsidR="00F839F9" w:rsidRPr="00653DCF" w:rsidRDefault="00F839F9" w:rsidP="00F839F9">
      <w:pPr>
        <w:pStyle w:val="NoIndentEIB"/>
        <w:numPr>
          <w:ilvl w:val="0"/>
          <w:numId w:val="26"/>
        </w:numPr>
        <w:rPr>
          <w:color w:val="auto"/>
          <w:lang w:val="hr-HR"/>
        </w:rPr>
      </w:pPr>
      <w:r w:rsidRPr="00653DCF">
        <w:rPr>
          <w:b/>
          <w:color w:val="auto"/>
          <w:lang w:val="hr-HR"/>
        </w:rPr>
        <w:t>doprinos EIB-a:</w:t>
      </w:r>
      <w:r w:rsidRPr="00653DCF">
        <w:rPr>
          <w:color w:val="auto"/>
          <w:lang w:val="hr-HR"/>
        </w:rPr>
        <w:t xml:space="preserve"> informiranje javnosti o partnerstvu s Bankom u vezi s bilo kojim </w:t>
      </w:r>
      <w:r w:rsidR="00791428" w:rsidRPr="00653DCF">
        <w:rPr>
          <w:color w:val="auto"/>
          <w:lang w:val="hr-HR"/>
        </w:rPr>
        <w:t>investicijskim projektom</w:t>
      </w:r>
      <w:r w:rsidRPr="00653DCF">
        <w:rPr>
          <w:color w:val="auto"/>
          <w:lang w:val="hr-HR"/>
        </w:rPr>
        <w:t xml:space="preserve"> financiranim sredstvima EIB-a izdavanjem priopćenja za javnost, stavljanje</w:t>
      </w:r>
      <w:r w:rsidR="00BC2C31" w:rsidRPr="00653DCF">
        <w:rPr>
          <w:color w:val="auto"/>
          <w:lang w:val="hr-HR"/>
        </w:rPr>
        <w:t>m</w:t>
      </w:r>
      <w:r w:rsidRPr="00653DCF">
        <w:rPr>
          <w:color w:val="auto"/>
          <w:lang w:val="hr-HR"/>
        </w:rPr>
        <w:t xml:space="preserve"> popisa </w:t>
      </w:r>
      <w:r w:rsidR="00791428" w:rsidRPr="00653DCF">
        <w:rPr>
          <w:color w:val="auto"/>
          <w:lang w:val="hr-HR"/>
        </w:rPr>
        <w:t>investicijskih projekata</w:t>
      </w:r>
      <w:r w:rsidRPr="00653DCF">
        <w:rPr>
          <w:color w:val="auto"/>
          <w:lang w:val="hr-HR"/>
        </w:rPr>
        <w:t xml:space="preserve"> koji </w:t>
      </w:r>
      <w:r w:rsidR="00791428" w:rsidRPr="00653DCF">
        <w:rPr>
          <w:color w:val="auto"/>
          <w:lang w:val="hr-HR"/>
        </w:rPr>
        <w:t>se financiraju sredstvima EIB-a</w:t>
      </w:r>
      <w:r w:rsidR="000877D2" w:rsidRPr="00653DCF">
        <w:rPr>
          <w:color w:val="auto"/>
          <w:lang w:val="hr-HR"/>
        </w:rPr>
        <w:t xml:space="preserve"> na raspolaganje javnosti</w:t>
      </w:r>
      <w:r w:rsidR="00791428" w:rsidRPr="00653DCF">
        <w:rPr>
          <w:color w:val="auto"/>
          <w:lang w:val="hr-HR"/>
        </w:rPr>
        <w:t>, upućivanje</w:t>
      </w:r>
      <w:r w:rsidR="00BC2C31" w:rsidRPr="00653DCF">
        <w:rPr>
          <w:color w:val="auto"/>
          <w:lang w:val="hr-HR"/>
        </w:rPr>
        <w:t>m</w:t>
      </w:r>
      <w:r w:rsidR="00791428" w:rsidRPr="00653DCF">
        <w:rPr>
          <w:color w:val="auto"/>
          <w:lang w:val="hr-HR"/>
        </w:rPr>
        <w:t xml:space="preserve"> na Banku kao financijskog partnera na lokacijama investicijskih projekata, </w:t>
      </w:r>
      <w:r w:rsidRPr="00653DCF">
        <w:rPr>
          <w:color w:val="auto"/>
          <w:lang w:val="hr-HR"/>
        </w:rPr>
        <w:t>ili na dr</w:t>
      </w:r>
      <w:r w:rsidR="00791428" w:rsidRPr="00653DCF">
        <w:rPr>
          <w:color w:val="auto"/>
          <w:lang w:val="hr-HR"/>
        </w:rPr>
        <w:t>ugi prikladan način komuniciranje svog partnerstva s Bankom prema</w:t>
      </w:r>
      <w:r w:rsidRPr="00653DCF">
        <w:rPr>
          <w:color w:val="auto"/>
          <w:lang w:val="hr-HR"/>
        </w:rPr>
        <w:t xml:space="preserve"> javnosti.</w:t>
      </w:r>
    </w:p>
    <w:p w14:paraId="6058AE90" w14:textId="791F433B" w:rsidR="007A2A6F" w:rsidRPr="00653DCF" w:rsidRDefault="00E87B0B">
      <w:pPr>
        <w:pStyle w:val="P68B1DB1-NoIndentEIB6"/>
        <w:spacing w:before="240"/>
        <w:ind w:left="856"/>
        <w:rPr>
          <w:color w:val="auto"/>
          <w:lang w:val="hr-HR"/>
        </w:rPr>
      </w:pPr>
      <w:r w:rsidRPr="00653DCF">
        <w:rPr>
          <w:color w:val="auto"/>
          <w:lang w:val="hr-HR"/>
        </w:rPr>
        <w:t>B. OPĆE OBVEZE</w:t>
      </w:r>
      <w:bookmarkEnd w:id="494"/>
    </w:p>
    <w:p w14:paraId="1738777E" w14:textId="77777777" w:rsidR="007A2A6F" w:rsidRPr="00653DCF" w:rsidRDefault="00E87B0B" w:rsidP="00613099">
      <w:pPr>
        <w:pStyle w:val="Heading2"/>
        <w:ind w:left="851"/>
        <w:rPr>
          <w:color w:val="auto"/>
          <w:lang w:val="hr-HR"/>
        </w:rPr>
      </w:pPr>
      <w:bookmarkStart w:id="495" w:name="_Ref487684335"/>
      <w:bookmarkStart w:id="496" w:name="_Ref487684422"/>
      <w:bookmarkStart w:id="497" w:name="_Toc475441169"/>
      <w:bookmarkStart w:id="498" w:name="_Toc498018664"/>
      <w:bookmarkStart w:id="499" w:name="_Toc508120530"/>
      <w:bookmarkStart w:id="500" w:name="_Toc126080719"/>
      <w:bookmarkStart w:id="501" w:name="_Toc126080851"/>
      <w:r w:rsidRPr="00653DCF">
        <w:rPr>
          <w:color w:val="auto"/>
          <w:lang w:val="hr-HR"/>
        </w:rPr>
        <w:lastRenderedPageBreak/>
        <w:t>Usklađenost sa zakonima</w:t>
      </w:r>
      <w:bookmarkEnd w:id="495"/>
      <w:bookmarkEnd w:id="496"/>
      <w:bookmarkEnd w:id="497"/>
      <w:bookmarkEnd w:id="498"/>
      <w:bookmarkEnd w:id="499"/>
      <w:bookmarkEnd w:id="500"/>
      <w:bookmarkEnd w:id="501"/>
    </w:p>
    <w:p w14:paraId="682C4A98" w14:textId="1CC759D9" w:rsidR="007A2A6F" w:rsidRPr="00653DCF" w:rsidRDefault="00E87B0B" w:rsidP="0038567E">
      <w:pPr>
        <w:pStyle w:val="NoIndentEIB"/>
        <w:ind w:left="851"/>
        <w:rPr>
          <w:color w:val="auto"/>
          <w:lang w:val="hr-HR"/>
        </w:rPr>
      </w:pPr>
      <w:r w:rsidRPr="00653DCF">
        <w:rPr>
          <w:color w:val="auto"/>
          <w:lang w:val="hr-HR"/>
        </w:rPr>
        <w:t xml:space="preserve">Zajmoprimac i </w:t>
      </w:r>
      <w:r w:rsidR="009F3C11" w:rsidRPr="00653DCF">
        <w:rPr>
          <w:color w:val="auto"/>
          <w:lang w:val="hr-HR"/>
        </w:rPr>
        <w:t xml:space="preserve">Nositelj </w:t>
      </w:r>
      <w:r w:rsidR="00240B1E" w:rsidRPr="00653DCF">
        <w:rPr>
          <w:color w:val="auto"/>
          <w:lang w:val="hr-HR"/>
        </w:rPr>
        <w:t>dužni su</w:t>
      </w:r>
      <w:r w:rsidR="009F3C11" w:rsidRPr="00653DCF">
        <w:rPr>
          <w:color w:val="auto"/>
          <w:lang w:val="hr-HR"/>
        </w:rPr>
        <w:t xml:space="preserve"> pridržavat</w:t>
      </w:r>
      <w:r w:rsidR="00037E74" w:rsidRPr="00653DCF">
        <w:rPr>
          <w:color w:val="auto"/>
          <w:lang w:val="hr-HR"/>
        </w:rPr>
        <w:t>i</w:t>
      </w:r>
      <w:r w:rsidR="00240B1E" w:rsidRPr="00653DCF">
        <w:rPr>
          <w:color w:val="auto"/>
          <w:lang w:val="hr-HR"/>
        </w:rPr>
        <w:t xml:space="preserve"> se zakona te su dužni osigurati da </w:t>
      </w:r>
      <w:r w:rsidR="009F3C11" w:rsidRPr="00653DCF">
        <w:rPr>
          <w:color w:val="auto"/>
          <w:lang w:val="hr-HR"/>
        </w:rPr>
        <w:t xml:space="preserve">se svako </w:t>
      </w:r>
      <w:r w:rsidR="00C72DBE" w:rsidRPr="00653DCF">
        <w:rPr>
          <w:color w:val="auto"/>
          <w:lang w:val="hr-HR"/>
        </w:rPr>
        <w:t>P</w:t>
      </w:r>
      <w:r w:rsidR="009F3C11" w:rsidRPr="00653DCF">
        <w:rPr>
          <w:color w:val="auto"/>
          <w:lang w:val="hr-HR"/>
        </w:rPr>
        <w:t>rojektno društvo pridržava</w:t>
      </w:r>
      <w:r w:rsidR="0038567E" w:rsidRPr="00653DCF">
        <w:rPr>
          <w:color w:val="auto"/>
          <w:lang w:val="hr-HR"/>
        </w:rPr>
        <w:t xml:space="preserve"> i provjerava svoju </w:t>
      </w:r>
      <w:r w:rsidR="00027CD0" w:rsidRPr="00653DCF">
        <w:rPr>
          <w:color w:val="auto"/>
          <w:lang w:val="hr-HR"/>
        </w:rPr>
        <w:t>usklađenost</w:t>
      </w:r>
      <w:r w:rsidR="0038567E" w:rsidRPr="00653DCF">
        <w:rPr>
          <w:color w:val="auto"/>
          <w:lang w:val="hr-HR"/>
        </w:rPr>
        <w:t xml:space="preserve"> sa svim zakonima i </w:t>
      </w:r>
      <w:r w:rsidRPr="00653DCF">
        <w:rPr>
          <w:color w:val="auto"/>
          <w:lang w:val="hr-HR"/>
        </w:rPr>
        <w:t xml:space="preserve">propisima Republike Hrvatske i </w:t>
      </w:r>
      <w:r w:rsidR="00705F3F" w:rsidRPr="00653DCF">
        <w:rPr>
          <w:color w:val="auto"/>
          <w:lang w:val="hr-HR"/>
        </w:rPr>
        <w:t>pravom</w:t>
      </w:r>
      <w:r w:rsidR="000A4E9B" w:rsidRPr="00653DCF">
        <w:rPr>
          <w:color w:val="auto"/>
          <w:lang w:val="hr-HR"/>
        </w:rPr>
        <w:t xml:space="preserve"> </w:t>
      </w:r>
      <w:r w:rsidR="00705F3F" w:rsidRPr="00653DCF">
        <w:rPr>
          <w:color w:val="auto"/>
          <w:lang w:val="hr-HR"/>
        </w:rPr>
        <w:t xml:space="preserve">EU-a </w:t>
      </w:r>
      <w:r w:rsidR="000A4E9B" w:rsidRPr="00653DCF">
        <w:rPr>
          <w:color w:val="auto"/>
          <w:lang w:val="hr-HR"/>
        </w:rPr>
        <w:t>kojemu podliježe</w:t>
      </w:r>
      <w:r w:rsidRPr="00653DCF">
        <w:rPr>
          <w:color w:val="auto"/>
          <w:lang w:val="hr-HR"/>
        </w:rPr>
        <w:t xml:space="preserve">, uključujući, ali ne ograničavajući se na, </w:t>
      </w:r>
      <w:r w:rsidR="00610B65" w:rsidRPr="00653DCF">
        <w:rPr>
          <w:color w:val="auto"/>
          <w:lang w:val="hr-HR"/>
        </w:rPr>
        <w:t xml:space="preserve">zakone vezano za </w:t>
      </w:r>
      <w:r w:rsidRPr="00653DCF">
        <w:rPr>
          <w:color w:val="auto"/>
          <w:lang w:val="hr-HR"/>
        </w:rPr>
        <w:t>okoliš (uključujući klimatske promjene), socijalna pitanja, željeznički prijevoz, državne potpore i nabav</w:t>
      </w:r>
      <w:r w:rsidR="00621642" w:rsidRPr="00653DCF">
        <w:rPr>
          <w:color w:val="auto"/>
          <w:lang w:val="hr-HR"/>
        </w:rPr>
        <w:t>u</w:t>
      </w:r>
      <w:r w:rsidRPr="00653DCF">
        <w:rPr>
          <w:color w:val="auto"/>
          <w:lang w:val="hr-HR"/>
        </w:rPr>
        <w:t>.</w:t>
      </w:r>
    </w:p>
    <w:p w14:paraId="61CFAEF7" w14:textId="6300A85A" w:rsidR="007A2A6F" w:rsidRPr="00653DCF" w:rsidRDefault="00E87B0B" w:rsidP="00613099">
      <w:pPr>
        <w:pStyle w:val="Heading2"/>
        <w:ind w:left="851"/>
        <w:rPr>
          <w:color w:val="auto"/>
          <w:lang w:val="hr-HR"/>
        </w:rPr>
      </w:pPr>
      <w:bookmarkStart w:id="502" w:name="_Toc440722249"/>
      <w:bookmarkStart w:id="503" w:name="_Toc440722441"/>
      <w:bookmarkStart w:id="504" w:name="_Toc440722631"/>
      <w:bookmarkStart w:id="505" w:name="_Toc440894507"/>
      <w:bookmarkStart w:id="506" w:name="_Toc440722250"/>
      <w:bookmarkStart w:id="507" w:name="_Toc440722442"/>
      <w:bookmarkStart w:id="508" w:name="_Toc440722632"/>
      <w:bookmarkStart w:id="509" w:name="_Toc440894508"/>
      <w:bookmarkStart w:id="510" w:name="_Toc440722251"/>
      <w:bookmarkStart w:id="511" w:name="_Toc440722443"/>
      <w:bookmarkStart w:id="512" w:name="_Toc440722633"/>
      <w:bookmarkStart w:id="513" w:name="_Toc440894509"/>
      <w:bookmarkStart w:id="514" w:name="_Toc440722252"/>
      <w:bookmarkStart w:id="515" w:name="_Toc440722444"/>
      <w:bookmarkStart w:id="516" w:name="_Toc440722634"/>
      <w:bookmarkStart w:id="517" w:name="_Toc440894510"/>
      <w:bookmarkStart w:id="518" w:name="_Toc475441171"/>
      <w:bookmarkStart w:id="519" w:name="_Toc498018666"/>
      <w:bookmarkStart w:id="520" w:name="_Toc508120532"/>
      <w:bookmarkStart w:id="521" w:name="_Toc126080721"/>
      <w:bookmarkStart w:id="522" w:name="_Toc126080853"/>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653DCF">
        <w:rPr>
          <w:color w:val="auto"/>
          <w:lang w:val="hr-HR"/>
        </w:rPr>
        <w:t xml:space="preserve">Knjige i </w:t>
      </w:r>
      <w:bookmarkEnd w:id="518"/>
      <w:bookmarkEnd w:id="519"/>
      <w:bookmarkEnd w:id="520"/>
      <w:bookmarkEnd w:id="521"/>
      <w:bookmarkEnd w:id="522"/>
      <w:r w:rsidR="00AA6F84" w:rsidRPr="00653DCF">
        <w:rPr>
          <w:color w:val="auto"/>
          <w:lang w:val="hr-HR"/>
        </w:rPr>
        <w:t>evidencije</w:t>
      </w:r>
    </w:p>
    <w:p w14:paraId="3DFAF334" w14:textId="02B81A6D" w:rsidR="00AE6358" w:rsidRPr="00653DCF" w:rsidRDefault="00E87B0B">
      <w:pPr>
        <w:rPr>
          <w:color w:val="auto"/>
          <w:lang w:val="hr-HR"/>
        </w:rPr>
      </w:pPr>
      <w:bookmarkStart w:id="523" w:name="_Ref440879913"/>
      <w:r w:rsidRPr="00653DCF">
        <w:rPr>
          <w:color w:val="auto"/>
          <w:lang w:val="hr-HR"/>
        </w:rPr>
        <w:t xml:space="preserve">Zajmoprimac i </w:t>
      </w:r>
      <w:r w:rsidR="00AE6358" w:rsidRPr="00653DCF">
        <w:rPr>
          <w:color w:val="auto"/>
          <w:lang w:val="hr-HR"/>
        </w:rPr>
        <w:t>Nositelj su dužni</w:t>
      </w:r>
      <w:r w:rsidR="004872F4" w:rsidRPr="00653DCF">
        <w:rPr>
          <w:color w:val="auto"/>
          <w:lang w:val="hr-HR"/>
        </w:rPr>
        <w:t>,</w:t>
      </w:r>
      <w:r w:rsidR="00AE6358" w:rsidRPr="00653DCF">
        <w:rPr>
          <w:color w:val="auto"/>
          <w:lang w:val="hr-HR"/>
        </w:rPr>
        <w:t xml:space="preserve"> ili će osigurati da su Zajmoprimac, Nositelj i </w:t>
      </w:r>
      <w:r w:rsidR="000B069B" w:rsidRPr="00653DCF">
        <w:rPr>
          <w:color w:val="auto"/>
          <w:lang w:val="hr-HR"/>
        </w:rPr>
        <w:t xml:space="preserve">svako </w:t>
      </w:r>
      <w:r w:rsidR="00C72DBE" w:rsidRPr="00653DCF">
        <w:rPr>
          <w:color w:val="auto"/>
          <w:lang w:val="hr-HR"/>
        </w:rPr>
        <w:t>P</w:t>
      </w:r>
      <w:r w:rsidR="000B069B" w:rsidRPr="00653DCF">
        <w:rPr>
          <w:color w:val="auto"/>
          <w:lang w:val="hr-HR"/>
        </w:rPr>
        <w:t xml:space="preserve">rojektno društvo dužni voditi </w:t>
      </w:r>
      <w:r w:rsidR="00D5725B" w:rsidRPr="00653DCF">
        <w:rPr>
          <w:color w:val="auto"/>
          <w:lang w:val="hr-HR"/>
        </w:rPr>
        <w:t>i nastaviti voditi ispravne knjige i evidencije o računima</w:t>
      </w:r>
      <w:r w:rsidR="005E406A" w:rsidRPr="00653DCF">
        <w:rPr>
          <w:color w:val="auto"/>
          <w:lang w:val="hr-HR"/>
        </w:rPr>
        <w:t>,</w:t>
      </w:r>
      <w:r w:rsidR="00D5725B" w:rsidRPr="00653DCF">
        <w:rPr>
          <w:color w:val="auto"/>
          <w:lang w:val="hr-HR"/>
        </w:rPr>
        <w:t xml:space="preserve"> u kojima će biti provedena cjelokupna i točna knjiženja svih financijskih transakcija i imovine i poslovanja </w:t>
      </w:r>
      <w:r w:rsidR="00BA0797" w:rsidRPr="00653DCF">
        <w:rPr>
          <w:color w:val="auto"/>
          <w:lang w:val="hr-HR"/>
        </w:rPr>
        <w:t>konkretnog</w:t>
      </w:r>
      <w:r w:rsidR="00027CD0" w:rsidRPr="00653DCF">
        <w:rPr>
          <w:color w:val="auto"/>
          <w:lang w:val="hr-HR"/>
        </w:rPr>
        <w:t xml:space="preserve"> </w:t>
      </w:r>
      <w:r w:rsidR="00C72DBE" w:rsidRPr="00653DCF">
        <w:rPr>
          <w:color w:val="auto"/>
          <w:lang w:val="hr-HR"/>
        </w:rPr>
        <w:t>P</w:t>
      </w:r>
      <w:r w:rsidR="00027CD0" w:rsidRPr="00653DCF">
        <w:rPr>
          <w:color w:val="auto"/>
          <w:lang w:val="hr-HR"/>
        </w:rPr>
        <w:t>rojektnog društva, uključujući izdatke vezano za Projekt.</w:t>
      </w:r>
    </w:p>
    <w:p w14:paraId="606BFE32" w14:textId="26629E70" w:rsidR="007A2A6F" w:rsidRPr="00653DCF" w:rsidRDefault="004872F4" w:rsidP="00613099">
      <w:pPr>
        <w:pStyle w:val="Heading2"/>
        <w:ind w:left="851"/>
        <w:rPr>
          <w:color w:val="auto"/>
          <w:lang w:val="hr-HR"/>
        </w:rPr>
      </w:pPr>
      <w:bookmarkStart w:id="524" w:name="_Toc508120534"/>
      <w:bookmarkStart w:id="525" w:name="_Ref426640910"/>
      <w:bookmarkEnd w:id="523"/>
      <w:r w:rsidRPr="00653DCF">
        <w:rPr>
          <w:color w:val="auto"/>
          <w:lang w:val="hr-HR"/>
        </w:rPr>
        <w:t>Projektna dokumentacija</w:t>
      </w:r>
    </w:p>
    <w:p w14:paraId="17DC1DA5" w14:textId="2A14608F" w:rsidR="004872F4" w:rsidRPr="00653DCF" w:rsidRDefault="007C766F">
      <w:pPr>
        <w:rPr>
          <w:color w:val="auto"/>
          <w:lang w:val="hr-HR"/>
        </w:rPr>
      </w:pPr>
      <w:bookmarkStart w:id="526" w:name="_Toc508574774"/>
      <w:r w:rsidRPr="00653DCF">
        <w:rPr>
          <w:color w:val="auto"/>
          <w:lang w:val="hr-HR"/>
        </w:rPr>
        <w:t xml:space="preserve">Zajmoprimac i </w:t>
      </w:r>
      <w:r w:rsidR="004872F4" w:rsidRPr="00653DCF">
        <w:rPr>
          <w:color w:val="auto"/>
          <w:lang w:val="hr-HR"/>
        </w:rPr>
        <w:t>Nositelj</w:t>
      </w:r>
      <w:r w:rsidR="005403DF" w:rsidRPr="00653DCF">
        <w:rPr>
          <w:color w:val="auto"/>
          <w:lang w:val="hr-HR"/>
        </w:rPr>
        <w:t xml:space="preserve"> </w:t>
      </w:r>
      <w:r w:rsidRPr="00653DCF">
        <w:rPr>
          <w:color w:val="auto"/>
          <w:lang w:val="hr-HR"/>
        </w:rPr>
        <w:t xml:space="preserve">su </w:t>
      </w:r>
      <w:r w:rsidR="004872F4" w:rsidRPr="00653DCF">
        <w:rPr>
          <w:color w:val="auto"/>
          <w:lang w:val="hr-HR"/>
        </w:rPr>
        <w:t>duž</w:t>
      </w:r>
      <w:r w:rsidRPr="00653DCF">
        <w:rPr>
          <w:color w:val="auto"/>
          <w:lang w:val="hr-HR"/>
        </w:rPr>
        <w:t>ni</w:t>
      </w:r>
      <w:r w:rsidR="004872F4" w:rsidRPr="00653DCF">
        <w:rPr>
          <w:color w:val="auto"/>
          <w:lang w:val="hr-HR"/>
        </w:rPr>
        <w:t xml:space="preserve">, ili će osigurati da će svako </w:t>
      </w:r>
      <w:r w:rsidR="00C72DBE" w:rsidRPr="00653DCF">
        <w:rPr>
          <w:color w:val="auto"/>
          <w:lang w:val="hr-HR"/>
        </w:rPr>
        <w:t>P</w:t>
      </w:r>
      <w:r w:rsidR="004872F4" w:rsidRPr="00653DCF">
        <w:rPr>
          <w:color w:val="auto"/>
          <w:lang w:val="hr-HR"/>
        </w:rPr>
        <w:t xml:space="preserve">rojektno društvo </w:t>
      </w:r>
      <w:r w:rsidR="00052122" w:rsidRPr="00653DCF">
        <w:rPr>
          <w:color w:val="auto"/>
          <w:lang w:val="hr-HR"/>
        </w:rPr>
        <w:t xml:space="preserve">biti dužno, pohranjivati i ažurirati sve relevantne dokumente vezano za Projekt, poglavito </w:t>
      </w:r>
      <w:r w:rsidR="009E5AA3" w:rsidRPr="00653DCF">
        <w:rPr>
          <w:color w:val="auto"/>
          <w:lang w:val="hr-HR"/>
        </w:rPr>
        <w:t>studije</w:t>
      </w:r>
      <w:r w:rsidR="00052122" w:rsidRPr="00653DCF">
        <w:rPr>
          <w:color w:val="auto"/>
          <w:lang w:val="hr-HR"/>
        </w:rPr>
        <w:t xml:space="preserve"> o okolišu ko</w:t>
      </w:r>
      <w:r w:rsidR="00C60CFA" w:rsidRPr="00653DCF">
        <w:rPr>
          <w:color w:val="auto"/>
          <w:lang w:val="hr-HR"/>
        </w:rPr>
        <w:t>je</w:t>
      </w:r>
      <w:r w:rsidR="00052122" w:rsidRPr="00653DCF">
        <w:rPr>
          <w:color w:val="auto"/>
          <w:lang w:val="hr-HR"/>
        </w:rPr>
        <w:t xml:space="preserve"> se tiču </w:t>
      </w:r>
      <w:r w:rsidR="009E5AA3" w:rsidRPr="00653DCF">
        <w:rPr>
          <w:color w:val="auto"/>
          <w:lang w:val="hr-HR"/>
        </w:rPr>
        <w:t>procjene</w:t>
      </w:r>
      <w:r w:rsidR="00C60CFA" w:rsidRPr="00653DCF">
        <w:rPr>
          <w:color w:val="auto"/>
          <w:lang w:val="hr-HR"/>
        </w:rPr>
        <w:t xml:space="preserve">/procjena </w:t>
      </w:r>
      <w:r w:rsidR="009E5AA3" w:rsidRPr="00653DCF">
        <w:rPr>
          <w:color w:val="auto"/>
          <w:lang w:val="hr-HR"/>
        </w:rPr>
        <w:t>utjecaja na okoliš, netehnički sažetak procjene utjecaja na okoliš, procjenu o utjecaju na prirodu</w:t>
      </w:r>
      <w:r w:rsidR="0006317A" w:rsidRPr="00653DCF">
        <w:rPr>
          <w:color w:val="auto"/>
          <w:lang w:val="hr-HR"/>
        </w:rPr>
        <w:t>/</w:t>
      </w:r>
      <w:r w:rsidR="009E5AA3" w:rsidRPr="00653DCF">
        <w:rPr>
          <w:color w:val="auto"/>
          <w:lang w:val="hr-HR"/>
        </w:rPr>
        <w:t xml:space="preserve">bioraznolikost </w:t>
      </w:r>
      <w:r w:rsidR="0068157C" w:rsidRPr="00653DCF">
        <w:rPr>
          <w:color w:val="auto"/>
          <w:lang w:val="hr-HR"/>
        </w:rPr>
        <w:t>i slične dokumente koje pružaju dokaz o usklađenosti s Direktivom o pticama i Direktivom o staništima te će</w:t>
      </w:r>
      <w:r w:rsidR="00C60CFA" w:rsidRPr="00653DCF">
        <w:rPr>
          <w:color w:val="auto"/>
          <w:lang w:val="hr-HR"/>
        </w:rPr>
        <w:t>, na zahtjev Banke</w:t>
      </w:r>
      <w:r w:rsidR="0068157C" w:rsidRPr="00653DCF">
        <w:rPr>
          <w:color w:val="auto"/>
          <w:lang w:val="hr-HR"/>
        </w:rPr>
        <w:t xml:space="preserve"> bez odlaganja dostaviti bilo koju takvu dokumentaciju Banci.</w:t>
      </w:r>
    </w:p>
    <w:p w14:paraId="4B1BA87D" w14:textId="54FB3AB3" w:rsidR="007A2A6F" w:rsidRPr="00653DCF" w:rsidRDefault="00E87B0B" w:rsidP="00613099">
      <w:pPr>
        <w:pStyle w:val="Heading2"/>
        <w:shd w:val="clear" w:color="auto" w:fill="FFFFFF" w:themeFill="background1"/>
        <w:ind w:left="851"/>
        <w:rPr>
          <w:color w:val="auto"/>
          <w:lang w:val="hr-HR"/>
        </w:rPr>
      </w:pPr>
      <w:bookmarkStart w:id="527" w:name="_Ref42343344"/>
      <w:bookmarkStart w:id="528" w:name="_Toc126080723"/>
      <w:bookmarkStart w:id="529" w:name="_Toc126080855"/>
      <w:bookmarkStart w:id="530" w:name="_Toc475441173"/>
      <w:bookmarkStart w:id="531" w:name="_Toc498018668"/>
      <w:bookmarkEnd w:id="524"/>
      <w:bookmarkEnd w:id="526"/>
      <w:r w:rsidRPr="00653DCF">
        <w:rPr>
          <w:color w:val="auto"/>
          <w:lang w:val="hr-HR"/>
        </w:rPr>
        <w:t>Zaštita podataka</w:t>
      </w:r>
      <w:bookmarkEnd w:id="527"/>
      <w:bookmarkEnd w:id="528"/>
      <w:bookmarkEnd w:id="529"/>
      <w:r w:rsidRPr="00653DCF">
        <w:rPr>
          <w:color w:val="auto"/>
          <w:lang w:val="hr-HR"/>
        </w:rPr>
        <w:t xml:space="preserve"> </w:t>
      </w:r>
    </w:p>
    <w:p w14:paraId="073BD649" w14:textId="4465679C" w:rsidR="007A2A6F" w:rsidRPr="00653DCF" w:rsidRDefault="00E87B0B" w:rsidP="006010BF">
      <w:pPr>
        <w:pStyle w:val="NoIndentEIB"/>
        <w:numPr>
          <w:ilvl w:val="0"/>
          <w:numId w:val="69"/>
        </w:numPr>
        <w:rPr>
          <w:color w:val="auto"/>
          <w:lang w:val="hr-HR"/>
        </w:rPr>
      </w:pPr>
      <w:bookmarkStart w:id="532" w:name="_Ref18659440"/>
      <w:bookmarkStart w:id="533" w:name="_Toc508120535"/>
      <w:bookmarkStart w:id="534" w:name="_Ref508572905"/>
      <w:bookmarkStart w:id="535" w:name="_Ref508700908"/>
      <w:r w:rsidRPr="00653DCF">
        <w:rPr>
          <w:color w:val="auto"/>
          <w:lang w:val="hr-HR"/>
        </w:rPr>
        <w:t xml:space="preserve">Prilikom </w:t>
      </w:r>
      <w:r w:rsidR="00C7656F" w:rsidRPr="00653DCF">
        <w:rPr>
          <w:color w:val="auto"/>
          <w:lang w:val="hr-HR"/>
        </w:rPr>
        <w:t>o</w:t>
      </w:r>
      <w:r w:rsidR="00F52D05" w:rsidRPr="00653DCF">
        <w:rPr>
          <w:color w:val="auto"/>
          <w:lang w:val="hr-HR"/>
        </w:rPr>
        <w:t>bjavljivanja</w:t>
      </w:r>
      <w:r w:rsidRPr="00653DCF">
        <w:rPr>
          <w:color w:val="auto"/>
          <w:lang w:val="hr-HR"/>
        </w:rPr>
        <w:t xml:space="preserve"> podataka </w:t>
      </w:r>
      <w:r w:rsidR="00F14D7D" w:rsidRPr="00653DCF">
        <w:rPr>
          <w:color w:val="auto"/>
          <w:lang w:val="hr-HR"/>
        </w:rPr>
        <w:t xml:space="preserve">u vezi s ovim Ugovorom Banci </w:t>
      </w:r>
      <w:r w:rsidRPr="00653DCF">
        <w:rPr>
          <w:color w:val="auto"/>
          <w:lang w:val="hr-HR"/>
        </w:rPr>
        <w:t xml:space="preserve">(osim </w:t>
      </w:r>
      <w:r w:rsidR="008457F2" w:rsidRPr="00653DCF">
        <w:rPr>
          <w:color w:val="auto"/>
          <w:lang w:val="hr-HR"/>
        </w:rPr>
        <w:t xml:space="preserve">ako se radi samo o podacima za </w:t>
      </w:r>
      <w:r w:rsidRPr="00653DCF">
        <w:rPr>
          <w:color w:val="auto"/>
          <w:lang w:val="hr-HR"/>
        </w:rPr>
        <w:t xml:space="preserve">kontakt koji se odnose na članove osoblja Zajmoprimca, </w:t>
      </w:r>
      <w:r w:rsidR="00C7656F" w:rsidRPr="00653DCF">
        <w:rPr>
          <w:color w:val="auto"/>
          <w:lang w:val="hr-HR"/>
        </w:rPr>
        <w:t xml:space="preserve">Nositelja </w:t>
      </w:r>
      <w:r w:rsidRPr="00653DCF">
        <w:rPr>
          <w:color w:val="auto"/>
          <w:lang w:val="hr-HR"/>
        </w:rPr>
        <w:t xml:space="preserve">ili </w:t>
      </w:r>
      <w:r w:rsidR="00C72DBE" w:rsidRPr="00653DCF">
        <w:rPr>
          <w:color w:val="auto"/>
          <w:lang w:val="hr-HR"/>
        </w:rPr>
        <w:t>P</w:t>
      </w:r>
      <w:r w:rsidRPr="00653DCF">
        <w:rPr>
          <w:color w:val="auto"/>
          <w:lang w:val="hr-HR"/>
        </w:rPr>
        <w:t>rojektnog društva uključenog u upravljanje ovim Ugovorom („</w:t>
      </w:r>
      <w:r w:rsidRPr="00653DCF">
        <w:rPr>
          <w:b/>
          <w:bCs/>
          <w:color w:val="auto"/>
          <w:lang w:val="hr-HR"/>
        </w:rPr>
        <w:t>podaci za</w:t>
      </w:r>
      <w:r w:rsidR="00F14D7D" w:rsidRPr="00653DCF">
        <w:rPr>
          <w:color w:val="auto"/>
          <w:lang w:val="hr-HR"/>
        </w:rPr>
        <w:t xml:space="preserve"> </w:t>
      </w:r>
      <w:r w:rsidRPr="00653DCF">
        <w:rPr>
          <w:rStyle w:val="BoldEIB"/>
          <w:color w:val="auto"/>
          <w:lang w:val="hr-HR"/>
        </w:rPr>
        <w:t>kontakt”</w:t>
      </w:r>
      <w:r w:rsidRPr="00653DCF">
        <w:rPr>
          <w:color w:val="auto"/>
          <w:lang w:val="hr-HR"/>
        </w:rPr>
        <w:t xml:space="preserve">), Zajmoprimac </w:t>
      </w:r>
      <w:r w:rsidR="005403DF" w:rsidRPr="00653DCF">
        <w:rPr>
          <w:color w:val="auto"/>
          <w:lang w:val="hr-HR"/>
        </w:rPr>
        <w:t xml:space="preserve">i Nositelj </w:t>
      </w:r>
      <w:r w:rsidR="00EA6ADB" w:rsidRPr="00653DCF">
        <w:rPr>
          <w:color w:val="auto"/>
          <w:lang w:val="hr-HR"/>
        </w:rPr>
        <w:t xml:space="preserve">će po potrebi </w:t>
      </w:r>
      <w:r w:rsidR="006F6ED9" w:rsidRPr="00653DCF">
        <w:rPr>
          <w:color w:val="auto"/>
          <w:lang w:val="hr-HR"/>
        </w:rPr>
        <w:t>urediti</w:t>
      </w:r>
      <w:r w:rsidRPr="00653DCF">
        <w:rPr>
          <w:color w:val="auto"/>
          <w:lang w:val="hr-HR"/>
        </w:rPr>
        <w:t xml:space="preserve"> ili na drugi način izmijeniti te </w:t>
      </w:r>
      <w:r w:rsidR="00EA6ADB" w:rsidRPr="00653DCF">
        <w:rPr>
          <w:color w:val="auto"/>
          <w:lang w:val="hr-HR"/>
        </w:rPr>
        <w:t xml:space="preserve">informacije </w:t>
      </w:r>
      <w:r w:rsidRPr="00653DCF">
        <w:rPr>
          <w:color w:val="auto"/>
          <w:lang w:val="hr-HR"/>
        </w:rPr>
        <w:t xml:space="preserve">tako da </w:t>
      </w:r>
      <w:r w:rsidR="00F14D7D" w:rsidRPr="00653DCF">
        <w:rPr>
          <w:color w:val="auto"/>
          <w:lang w:val="hr-HR"/>
        </w:rPr>
        <w:t xml:space="preserve">one </w:t>
      </w:r>
      <w:r w:rsidRPr="00653DCF">
        <w:rPr>
          <w:color w:val="auto"/>
          <w:lang w:val="hr-HR"/>
        </w:rPr>
        <w:t xml:space="preserve">ne sadrže nikakve osobne podatke, osim ako </w:t>
      </w:r>
      <w:r w:rsidR="00EA6ADB" w:rsidRPr="00653DCF">
        <w:rPr>
          <w:color w:val="auto"/>
          <w:lang w:val="hr-HR"/>
        </w:rPr>
        <w:t xml:space="preserve">to </w:t>
      </w:r>
      <w:r w:rsidRPr="00653DCF">
        <w:rPr>
          <w:color w:val="auto"/>
          <w:lang w:val="hr-HR"/>
        </w:rPr>
        <w:t xml:space="preserve">ovaj Ugovor izričito </w:t>
      </w:r>
      <w:r w:rsidR="00D4302F" w:rsidRPr="00653DCF">
        <w:rPr>
          <w:color w:val="auto"/>
          <w:lang w:val="hr-HR"/>
        </w:rPr>
        <w:t xml:space="preserve">ne </w:t>
      </w:r>
      <w:r w:rsidRPr="00653DCF">
        <w:rPr>
          <w:color w:val="auto"/>
          <w:lang w:val="hr-HR"/>
        </w:rPr>
        <w:t xml:space="preserve">zahtijeva, ili Banka izričito </w:t>
      </w:r>
      <w:r w:rsidR="00D4302F" w:rsidRPr="00653DCF">
        <w:rPr>
          <w:color w:val="auto"/>
          <w:lang w:val="hr-HR"/>
        </w:rPr>
        <w:t xml:space="preserve">u pisanom obliku ne zahtijeva da se </w:t>
      </w:r>
      <w:r w:rsidR="007D719A" w:rsidRPr="00653DCF">
        <w:rPr>
          <w:color w:val="auto"/>
          <w:lang w:val="hr-HR"/>
        </w:rPr>
        <w:t>takve</w:t>
      </w:r>
      <w:r w:rsidR="00D4302F" w:rsidRPr="00653DCF">
        <w:rPr>
          <w:color w:val="auto"/>
          <w:lang w:val="hr-HR"/>
        </w:rPr>
        <w:t xml:space="preserve"> informacije u obliku osobnih podataka </w:t>
      </w:r>
      <w:r w:rsidR="00177BF2" w:rsidRPr="00653DCF">
        <w:rPr>
          <w:color w:val="auto"/>
          <w:lang w:val="hr-HR"/>
        </w:rPr>
        <w:t>obj</w:t>
      </w:r>
      <w:r w:rsidR="008D0224" w:rsidRPr="00653DCF">
        <w:rPr>
          <w:color w:val="auto"/>
          <w:lang w:val="hr-HR"/>
        </w:rPr>
        <w:t>ave</w:t>
      </w:r>
      <w:r w:rsidRPr="00653DCF">
        <w:rPr>
          <w:color w:val="auto"/>
          <w:lang w:val="hr-HR"/>
        </w:rPr>
        <w:t>.</w:t>
      </w:r>
    </w:p>
    <w:p w14:paraId="76D0B347" w14:textId="4CDC6946" w:rsidR="007A2A6F" w:rsidRPr="00653DCF" w:rsidRDefault="00E87B0B" w:rsidP="006010BF">
      <w:pPr>
        <w:pStyle w:val="NoIndentEIB"/>
        <w:numPr>
          <w:ilvl w:val="0"/>
          <w:numId w:val="69"/>
        </w:numPr>
        <w:rPr>
          <w:color w:val="auto"/>
          <w:lang w:val="hr-HR"/>
        </w:rPr>
      </w:pPr>
      <w:r w:rsidRPr="00653DCF">
        <w:rPr>
          <w:color w:val="auto"/>
          <w:lang w:val="hr-HR"/>
        </w:rPr>
        <w:t xml:space="preserve">Prije </w:t>
      </w:r>
      <w:r w:rsidR="006F6ED9" w:rsidRPr="00653DCF">
        <w:rPr>
          <w:color w:val="auto"/>
          <w:lang w:val="hr-HR"/>
        </w:rPr>
        <w:t>objavljivanja</w:t>
      </w:r>
      <w:r w:rsidR="00DE5893" w:rsidRPr="00653DCF">
        <w:rPr>
          <w:color w:val="auto"/>
          <w:lang w:val="hr-HR"/>
        </w:rPr>
        <w:t xml:space="preserve"> </w:t>
      </w:r>
      <w:r w:rsidRPr="00653DCF">
        <w:rPr>
          <w:color w:val="auto"/>
          <w:lang w:val="hr-HR"/>
        </w:rPr>
        <w:t xml:space="preserve">bilo </w:t>
      </w:r>
      <w:r w:rsidR="00DE5893" w:rsidRPr="00653DCF">
        <w:rPr>
          <w:color w:val="auto"/>
          <w:lang w:val="hr-HR"/>
        </w:rPr>
        <w:t xml:space="preserve">kojih </w:t>
      </w:r>
      <w:r w:rsidRPr="00653DCF">
        <w:rPr>
          <w:color w:val="auto"/>
          <w:lang w:val="hr-HR"/>
        </w:rPr>
        <w:t xml:space="preserve">osobnih podataka </w:t>
      </w:r>
      <w:r w:rsidR="00DE5893" w:rsidRPr="00653DCF">
        <w:rPr>
          <w:color w:val="auto"/>
          <w:lang w:val="hr-HR"/>
        </w:rPr>
        <w:t xml:space="preserve">u vezi s ovim Ugovorom Banci </w:t>
      </w:r>
      <w:r w:rsidRPr="00653DCF">
        <w:rPr>
          <w:color w:val="auto"/>
          <w:lang w:val="hr-HR"/>
        </w:rPr>
        <w:t>(osim podataka za kontakt), Zajmoprimac</w:t>
      </w:r>
      <w:r w:rsidR="005403DF" w:rsidRPr="00653DCF">
        <w:rPr>
          <w:color w:val="auto"/>
          <w:lang w:val="hr-HR"/>
        </w:rPr>
        <w:t xml:space="preserve"> i Nositelj</w:t>
      </w:r>
      <w:r w:rsidRPr="00653DCF">
        <w:rPr>
          <w:color w:val="auto"/>
          <w:lang w:val="hr-HR"/>
        </w:rPr>
        <w:t xml:space="preserve"> će osigurati da </w:t>
      </w:r>
      <w:r w:rsidR="00F61CD1" w:rsidRPr="00653DCF">
        <w:rPr>
          <w:color w:val="auto"/>
          <w:lang w:val="hr-HR"/>
        </w:rPr>
        <w:t xml:space="preserve">je svaki </w:t>
      </w:r>
      <w:r w:rsidR="00F66945" w:rsidRPr="00653DCF">
        <w:rPr>
          <w:color w:val="auto"/>
          <w:lang w:val="hr-HR"/>
        </w:rPr>
        <w:t>takav ispitanik</w:t>
      </w:r>
      <w:r w:rsidRPr="00653DCF">
        <w:rPr>
          <w:color w:val="auto"/>
          <w:lang w:val="hr-HR"/>
        </w:rPr>
        <w:t>:</w:t>
      </w:r>
      <w:bookmarkEnd w:id="532"/>
    </w:p>
    <w:p w14:paraId="3F7AA227" w14:textId="5362B389" w:rsidR="007A2A6F" w:rsidRPr="00653DCF" w:rsidRDefault="00E87B0B" w:rsidP="006010BF">
      <w:pPr>
        <w:pStyle w:val="NoIndentEIB"/>
        <w:numPr>
          <w:ilvl w:val="1"/>
          <w:numId w:val="69"/>
        </w:numPr>
        <w:rPr>
          <w:color w:val="auto"/>
          <w:lang w:val="hr-HR"/>
        </w:rPr>
      </w:pPr>
      <w:r w:rsidRPr="00653DCF">
        <w:rPr>
          <w:color w:val="auto"/>
          <w:lang w:val="hr-HR"/>
        </w:rPr>
        <w:t xml:space="preserve">obaviješten je o </w:t>
      </w:r>
      <w:r w:rsidR="00F52D05" w:rsidRPr="00653DCF">
        <w:rPr>
          <w:color w:val="auto"/>
          <w:lang w:val="hr-HR"/>
        </w:rPr>
        <w:t>objavljivanju</w:t>
      </w:r>
      <w:r w:rsidR="009434E5" w:rsidRPr="00653DCF">
        <w:rPr>
          <w:color w:val="auto"/>
          <w:lang w:val="hr-HR"/>
        </w:rPr>
        <w:t xml:space="preserve"> </w:t>
      </w:r>
      <w:r w:rsidR="001E29AD" w:rsidRPr="00653DCF">
        <w:rPr>
          <w:color w:val="auto"/>
          <w:lang w:val="hr-HR"/>
        </w:rPr>
        <w:t xml:space="preserve">takvih </w:t>
      </w:r>
      <w:r w:rsidRPr="00653DCF">
        <w:rPr>
          <w:color w:val="auto"/>
          <w:lang w:val="hr-HR"/>
        </w:rPr>
        <w:t xml:space="preserve">podataka Banci (uključujući kategorije osobnih podataka koje treba </w:t>
      </w:r>
      <w:r w:rsidR="00F52D05" w:rsidRPr="00653DCF">
        <w:rPr>
          <w:color w:val="auto"/>
          <w:lang w:val="hr-HR"/>
        </w:rPr>
        <w:t>objavit</w:t>
      </w:r>
      <w:r w:rsidR="007D719A" w:rsidRPr="00653DCF">
        <w:rPr>
          <w:color w:val="auto"/>
          <w:lang w:val="hr-HR"/>
        </w:rPr>
        <w:t>i</w:t>
      </w:r>
      <w:r w:rsidRPr="00653DCF">
        <w:rPr>
          <w:color w:val="auto"/>
          <w:lang w:val="hr-HR"/>
        </w:rPr>
        <w:t>); i</w:t>
      </w:r>
    </w:p>
    <w:p w14:paraId="5EAB99A4" w14:textId="6DBE641B" w:rsidR="007A2A6F" w:rsidRPr="00653DCF" w:rsidRDefault="00E87B0B" w:rsidP="006010BF">
      <w:pPr>
        <w:pStyle w:val="NoIndentEIB"/>
        <w:numPr>
          <w:ilvl w:val="1"/>
          <w:numId w:val="69"/>
        </w:numPr>
        <w:rPr>
          <w:color w:val="auto"/>
          <w:lang w:val="hr-HR"/>
        </w:rPr>
      </w:pPr>
      <w:r w:rsidRPr="00653DCF">
        <w:rPr>
          <w:color w:val="auto"/>
          <w:lang w:val="hr-HR"/>
        </w:rPr>
        <w:t xml:space="preserve">obaviješten o informacijama sadržanima u izjavi o zaštiti osobnih podataka Banke (ili </w:t>
      </w:r>
      <w:r w:rsidR="001E29AD" w:rsidRPr="00653DCF">
        <w:rPr>
          <w:color w:val="auto"/>
          <w:lang w:val="hr-HR"/>
        </w:rPr>
        <w:t xml:space="preserve">da </w:t>
      </w:r>
      <w:r w:rsidR="00F22001" w:rsidRPr="00653DCF">
        <w:rPr>
          <w:color w:val="auto"/>
          <w:lang w:val="hr-HR"/>
        </w:rPr>
        <w:t xml:space="preserve">mu </w:t>
      </w:r>
      <w:r w:rsidRPr="00653DCF">
        <w:rPr>
          <w:color w:val="auto"/>
          <w:lang w:val="hr-HR"/>
        </w:rPr>
        <w:t>je dana odgovarajuća poveznica na</w:t>
      </w:r>
      <w:r w:rsidR="00F22001" w:rsidRPr="00653DCF">
        <w:rPr>
          <w:color w:val="auto"/>
          <w:lang w:val="hr-HR"/>
        </w:rPr>
        <w:t xml:space="preserve"> tu izjavu</w:t>
      </w:r>
      <w:r w:rsidRPr="00653DCF">
        <w:rPr>
          <w:color w:val="auto"/>
          <w:lang w:val="hr-HR"/>
        </w:rPr>
        <w:t xml:space="preserve">) </w:t>
      </w:r>
      <w:r w:rsidR="00F22001" w:rsidRPr="00653DCF">
        <w:rPr>
          <w:color w:val="auto"/>
          <w:lang w:val="hr-HR"/>
        </w:rPr>
        <w:t xml:space="preserve">vezano za </w:t>
      </w:r>
      <w:r w:rsidRPr="00653DCF">
        <w:rPr>
          <w:color w:val="auto"/>
          <w:lang w:val="hr-HR"/>
        </w:rPr>
        <w:t>aktivnosti kreditiranja i ulaganja</w:t>
      </w:r>
      <w:r w:rsidR="00F22001" w:rsidRPr="00653DCF">
        <w:rPr>
          <w:color w:val="auto"/>
          <w:lang w:val="hr-HR"/>
        </w:rPr>
        <w:t xml:space="preserve"> Banke</w:t>
      </w:r>
      <w:r w:rsidRPr="00653DCF">
        <w:rPr>
          <w:color w:val="auto"/>
          <w:lang w:val="hr-HR"/>
        </w:rPr>
        <w:t xml:space="preserve">, kako je s vremena na vrijeme navedeno na </w:t>
      </w:r>
      <w:r w:rsidR="007D719A" w:rsidRPr="00653DCF">
        <w:rPr>
          <w:color w:val="auto"/>
          <w:lang w:val="hr-HR"/>
        </w:rPr>
        <w:t xml:space="preserve">poveznici </w:t>
      </w:r>
      <w:r w:rsidRPr="00653DCF">
        <w:rPr>
          <w:color w:val="auto"/>
          <w:lang w:val="hr-HR"/>
        </w:rPr>
        <w:t xml:space="preserve">https://www.eib.org/en/privacy/lending (ili </w:t>
      </w:r>
      <w:r w:rsidR="007D719A" w:rsidRPr="00653DCF">
        <w:rPr>
          <w:color w:val="auto"/>
          <w:lang w:val="hr-HR"/>
        </w:rPr>
        <w:t xml:space="preserve">na nekoj </w:t>
      </w:r>
      <w:r w:rsidRPr="00653DCF">
        <w:rPr>
          <w:color w:val="auto"/>
          <w:lang w:val="hr-HR"/>
        </w:rPr>
        <w:t>drugoj adresi o kojoj Banka može s vremena na vrijeme pisanim putem obavijestiti Zajmoprimca).</w:t>
      </w:r>
    </w:p>
    <w:p w14:paraId="58876C30" w14:textId="3400C972" w:rsidR="007A2A6F" w:rsidRPr="00653DCF" w:rsidRDefault="00E87B0B" w:rsidP="00613099">
      <w:pPr>
        <w:pStyle w:val="Heading2"/>
        <w:ind w:left="851"/>
        <w:rPr>
          <w:color w:val="auto"/>
          <w:lang w:val="hr-HR"/>
        </w:rPr>
      </w:pPr>
      <w:bookmarkStart w:id="536" w:name="_Ref62665226"/>
      <w:bookmarkStart w:id="537" w:name="_Toc126080725"/>
      <w:bookmarkStart w:id="538" w:name="_Toc126080857"/>
      <w:r w:rsidRPr="00653DCF">
        <w:rPr>
          <w:color w:val="auto"/>
          <w:lang w:val="hr-HR"/>
        </w:rPr>
        <w:t>Opć</w:t>
      </w:r>
      <w:r w:rsidR="007D719A" w:rsidRPr="00653DCF">
        <w:rPr>
          <w:color w:val="auto"/>
          <w:lang w:val="hr-HR"/>
        </w:rPr>
        <w:t>e</w:t>
      </w:r>
      <w:r w:rsidRPr="00653DCF">
        <w:rPr>
          <w:color w:val="auto"/>
          <w:lang w:val="hr-HR"/>
        </w:rPr>
        <w:t xml:space="preserve"> </w:t>
      </w:r>
      <w:r w:rsidR="007D719A" w:rsidRPr="00653DCF">
        <w:rPr>
          <w:color w:val="auto"/>
          <w:lang w:val="hr-HR"/>
        </w:rPr>
        <w:t xml:space="preserve">izjave </w:t>
      </w:r>
      <w:r w:rsidRPr="00653DCF">
        <w:rPr>
          <w:color w:val="auto"/>
          <w:lang w:val="hr-HR"/>
        </w:rPr>
        <w:t>i jamstva</w:t>
      </w:r>
      <w:bookmarkEnd w:id="525"/>
      <w:bookmarkEnd w:id="530"/>
      <w:bookmarkEnd w:id="531"/>
      <w:bookmarkEnd w:id="533"/>
      <w:bookmarkEnd w:id="534"/>
      <w:bookmarkEnd w:id="535"/>
      <w:bookmarkEnd w:id="536"/>
      <w:bookmarkEnd w:id="537"/>
      <w:bookmarkEnd w:id="538"/>
    </w:p>
    <w:p w14:paraId="5E4E4E05" w14:textId="4AF1D8A0" w:rsidR="007A2A6F" w:rsidRPr="00653DCF" w:rsidRDefault="00E87B0B">
      <w:pPr>
        <w:rPr>
          <w:color w:val="auto"/>
          <w:lang w:val="hr-HR"/>
        </w:rPr>
      </w:pPr>
      <w:r w:rsidRPr="00653DCF">
        <w:rPr>
          <w:color w:val="auto"/>
          <w:lang w:val="hr-HR"/>
        </w:rPr>
        <w:t xml:space="preserve">Zajmoprimac </w:t>
      </w:r>
      <w:r w:rsidR="005403DF" w:rsidRPr="00653DCF">
        <w:rPr>
          <w:color w:val="auto"/>
          <w:lang w:val="hr-HR"/>
        </w:rPr>
        <w:t xml:space="preserve">i Nositelj </w:t>
      </w:r>
      <w:r w:rsidR="00CB043F" w:rsidRPr="00653DCF">
        <w:rPr>
          <w:color w:val="auto"/>
          <w:lang w:val="hr-HR"/>
        </w:rPr>
        <w:t>izjavljuj</w:t>
      </w:r>
      <w:r w:rsidR="005403DF" w:rsidRPr="00653DCF">
        <w:rPr>
          <w:color w:val="auto"/>
          <w:lang w:val="hr-HR"/>
        </w:rPr>
        <w:t>u</w:t>
      </w:r>
      <w:r w:rsidRPr="00653DCF">
        <w:rPr>
          <w:color w:val="auto"/>
          <w:lang w:val="hr-HR"/>
        </w:rPr>
        <w:t xml:space="preserve"> i jamč</w:t>
      </w:r>
      <w:r w:rsidR="005403DF" w:rsidRPr="00653DCF">
        <w:rPr>
          <w:color w:val="auto"/>
          <w:lang w:val="hr-HR"/>
        </w:rPr>
        <w:t>e</w:t>
      </w:r>
      <w:r w:rsidRPr="00653DCF">
        <w:rPr>
          <w:color w:val="auto"/>
          <w:lang w:val="hr-HR"/>
        </w:rPr>
        <w:t xml:space="preserve"> Banci da:</w:t>
      </w:r>
    </w:p>
    <w:p w14:paraId="33828287" w14:textId="15822FA9" w:rsidR="00CB043F" w:rsidRPr="00653DCF" w:rsidRDefault="00040060">
      <w:pPr>
        <w:pStyle w:val="NoIndentEIB"/>
        <w:numPr>
          <w:ilvl w:val="0"/>
          <w:numId w:val="27"/>
        </w:numPr>
        <w:rPr>
          <w:color w:val="auto"/>
          <w:lang w:val="hr-HR"/>
        </w:rPr>
      </w:pPr>
      <w:r w:rsidRPr="00653DCF">
        <w:rPr>
          <w:color w:val="auto"/>
          <w:lang w:val="hr-HR"/>
        </w:rPr>
        <w:lastRenderedPageBreak/>
        <w:t>i</w:t>
      </w:r>
      <w:r w:rsidR="00CB043F" w:rsidRPr="00653DCF">
        <w:rPr>
          <w:color w:val="auto"/>
          <w:lang w:val="hr-HR"/>
        </w:rPr>
        <w:t>ma</w:t>
      </w:r>
      <w:r w:rsidR="00F44460" w:rsidRPr="00653DCF">
        <w:rPr>
          <w:color w:val="auto"/>
          <w:lang w:val="hr-HR"/>
        </w:rPr>
        <w:t>ju</w:t>
      </w:r>
      <w:r w:rsidR="00CB043F" w:rsidRPr="00653DCF">
        <w:rPr>
          <w:color w:val="auto"/>
          <w:lang w:val="hr-HR"/>
        </w:rPr>
        <w:t xml:space="preserve"> ovlast potpisati, ispuniti i izvršiti svoje obveze prema ovom Ugovoru i da su poduzete sve </w:t>
      </w:r>
      <w:r w:rsidR="00F44460" w:rsidRPr="00653DCF">
        <w:rPr>
          <w:color w:val="auto"/>
          <w:lang w:val="hr-HR"/>
        </w:rPr>
        <w:t xml:space="preserve">potrebne zakonske </w:t>
      </w:r>
      <w:r w:rsidR="00472D3B" w:rsidRPr="00653DCF">
        <w:rPr>
          <w:color w:val="auto"/>
          <w:lang w:val="hr-HR"/>
        </w:rPr>
        <w:t>aktivnosti kako bi se odobrilo potpisivanje i ispunjavanje</w:t>
      </w:r>
      <w:r w:rsidR="00CB043F" w:rsidRPr="00653DCF">
        <w:rPr>
          <w:color w:val="auto"/>
          <w:lang w:val="hr-HR"/>
        </w:rPr>
        <w:t xml:space="preserve"> </w:t>
      </w:r>
      <w:r w:rsidR="00203ADC" w:rsidRPr="00653DCF">
        <w:rPr>
          <w:color w:val="auto"/>
          <w:lang w:val="hr-HR"/>
        </w:rPr>
        <w:t>ovog</w:t>
      </w:r>
      <w:r w:rsidR="00472D3B" w:rsidRPr="00653DCF">
        <w:rPr>
          <w:color w:val="auto"/>
          <w:lang w:val="hr-HR"/>
        </w:rPr>
        <w:t xml:space="preserve"> Ugovora;</w:t>
      </w:r>
    </w:p>
    <w:p w14:paraId="11BD4A50" w14:textId="2F965B80" w:rsidR="007A2A6F" w:rsidRPr="00653DCF" w:rsidRDefault="00E87B0B">
      <w:pPr>
        <w:pStyle w:val="NoIndentEIB"/>
        <w:numPr>
          <w:ilvl w:val="0"/>
          <w:numId w:val="27"/>
        </w:numPr>
        <w:rPr>
          <w:color w:val="auto"/>
          <w:lang w:val="hr-HR"/>
        </w:rPr>
      </w:pPr>
      <w:r w:rsidRPr="00653DCF">
        <w:rPr>
          <w:color w:val="auto"/>
          <w:lang w:val="hr-HR"/>
        </w:rPr>
        <w:t xml:space="preserve">ovaj Ugovor </w:t>
      </w:r>
      <w:r w:rsidR="005E4DD1" w:rsidRPr="00653DCF">
        <w:rPr>
          <w:color w:val="auto"/>
          <w:lang w:val="hr-HR"/>
        </w:rPr>
        <w:t xml:space="preserve">za </w:t>
      </w:r>
      <w:r w:rsidR="00F44460" w:rsidRPr="00653DCF">
        <w:rPr>
          <w:color w:val="auto"/>
          <w:lang w:val="hr-HR"/>
        </w:rPr>
        <w:t xml:space="preserve">njih </w:t>
      </w:r>
      <w:r w:rsidR="005E4DD1" w:rsidRPr="00653DCF">
        <w:rPr>
          <w:color w:val="auto"/>
          <w:lang w:val="hr-HR"/>
        </w:rPr>
        <w:t>stvara pravno važeće, obvezujuće i izvršive obveze</w:t>
      </w:r>
      <w:r w:rsidRPr="00653DCF">
        <w:rPr>
          <w:color w:val="auto"/>
          <w:lang w:val="hr-HR"/>
        </w:rPr>
        <w:t>;</w:t>
      </w:r>
    </w:p>
    <w:p w14:paraId="25D8A7BF" w14:textId="6B6B19C2" w:rsidR="007A2A6F" w:rsidRPr="00653DCF" w:rsidRDefault="005E4DD1">
      <w:pPr>
        <w:pStyle w:val="NoIndentEIB"/>
        <w:numPr>
          <w:ilvl w:val="0"/>
          <w:numId w:val="27"/>
        </w:numPr>
        <w:rPr>
          <w:color w:val="auto"/>
          <w:lang w:val="hr-HR"/>
        </w:rPr>
      </w:pPr>
      <w:r w:rsidRPr="00653DCF">
        <w:rPr>
          <w:color w:val="auto"/>
          <w:lang w:val="hr-HR"/>
        </w:rPr>
        <w:t xml:space="preserve">potpisivanje </w:t>
      </w:r>
      <w:r w:rsidR="0057255F" w:rsidRPr="00653DCF">
        <w:rPr>
          <w:color w:val="auto"/>
          <w:lang w:val="hr-HR"/>
        </w:rPr>
        <w:t xml:space="preserve">ovog Ugovora </w:t>
      </w:r>
      <w:r w:rsidRPr="00653DCF">
        <w:rPr>
          <w:color w:val="auto"/>
          <w:lang w:val="hr-HR"/>
        </w:rPr>
        <w:t>te izvršavanje obveza prema i u skladu s odredbama ovog Ugovora nije i neće biti</w:t>
      </w:r>
      <w:r w:rsidR="00666D9E" w:rsidRPr="00653DCF">
        <w:rPr>
          <w:color w:val="auto"/>
          <w:lang w:val="hr-HR"/>
        </w:rPr>
        <w:t xml:space="preserve"> u suprotnosti sa</w:t>
      </w:r>
      <w:r w:rsidR="00E87B0B" w:rsidRPr="00653DCF">
        <w:rPr>
          <w:color w:val="auto"/>
          <w:lang w:val="hr-HR"/>
        </w:rPr>
        <w:t>:</w:t>
      </w:r>
    </w:p>
    <w:p w14:paraId="03A810B6" w14:textId="481A0AC9" w:rsidR="007A2A6F" w:rsidRPr="00653DCF" w:rsidRDefault="00666D9E">
      <w:pPr>
        <w:pStyle w:val="NoIndentEIB"/>
        <w:numPr>
          <w:ilvl w:val="1"/>
          <w:numId w:val="27"/>
        </w:numPr>
        <w:rPr>
          <w:color w:val="auto"/>
          <w:lang w:val="hr-HR"/>
        </w:rPr>
      </w:pPr>
      <w:r w:rsidRPr="00653DCF">
        <w:rPr>
          <w:color w:val="auto"/>
          <w:lang w:val="hr-HR"/>
        </w:rPr>
        <w:t xml:space="preserve">bilo kojim primjenjivim zakonom, statutom, pravilom ili propisom </w:t>
      </w:r>
      <w:r w:rsidR="00203ADC" w:rsidRPr="00653DCF">
        <w:rPr>
          <w:color w:val="auto"/>
          <w:lang w:val="hr-HR"/>
        </w:rPr>
        <w:t xml:space="preserve">ili bilo </w:t>
      </w:r>
      <w:r w:rsidR="00FB7030" w:rsidRPr="00653DCF">
        <w:rPr>
          <w:color w:val="auto"/>
          <w:lang w:val="hr-HR"/>
        </w:rPr>
        <w:t>kojom</w:t>
      </w:r>
      <w:r w:rsidR="00203ADC" w:rsidRPr="00653DCF">
        <w:rPr>
          <w:color w:val="auto"/>
          <w:lang w:val="hr-HR"/>
        </w:rPr>
        <w:t xml:space="preserve"> presudom, odlukom ili dozvolom kojima </w:t>
      </w:r>
      <w:r w:rsidR="00E87B0B" w:rsidRPr="00653DCF">
        <w:rPr>
          <w:color w:val="auto"/>
          <w:lang w:val="hr-HR"/>
        </w:rPr>
        <w:t>podlijež</w:t>
      </w:r>
      <w:r w:rsidR="0057255F" w:rsidRPr="00653DCF">
        <w:rPr>
          <w:color w:val="auto"/>
          <w:lang w:val="hr-HR"/>
        </w:rPr>
        <w:t>u</w:t>
      </w:r>
      <w:r w:rsidR="00E87B0B" w:rsidRPr="00653DCF">
        <w:rPr>
          <w:color w:val="auto"/>
          <w:lang w:val="hr-HR"/>
        </w:rPr>
        <w:t>;</w:t>
      </w:r>
    </w:p>
    <w:p w14:paraId="4A370FE5" w14:textId="3647E0ED" w:rsidR="007A2A6F" w:rsidRPr="00653DCF" w:rsidRDefault="00FB7030">
      <w:pPr>
        <w:pStyle w:val="NoIndentEIB"/>
        <w:numPr>
          <w:ilvl w:val="1"/>
          <w:numId w:val="27"/>
        </w:numPr>
        <w:rPr>
          <w:color w:val="auto"/>
          <w:lang w:val="hr-HR"/>
        </w:rPr>
      </w:pPr>
      <w:r w:rsidRPr="00653DCF">
        <w:rPr>
          <w:color w:val="auto"/>
          <w:lang w:val="hr-HR"/>
        </w:rPr>
        <w:t xml:space="preserve">bilo </w:t>
      </w:r>
      <w:r w:rsidR="000D4A93" w:rsidRPr="00653DCF">
        <w:rPr>
          <w:color w:val="auto"/>
          <w:lang w:val="hr-HR"/>
        </w:rPr>
        <w:t>kojim</w:t>
      </w:r>
      <w:r w:rsidRPr="00653DCF">
        <w:rPr>
          <w:color w:val="auto"/>
          <w:lang w:val="hr-HR"/>
        </w:rPr>
        <w:t xml:space="preserve"> </w:t>
      </w:r>
      <w:r w:rsidR="00E87B0B" w:rsidRPr="00653DCF">
        <w:rPr>
          <w:color w:val="auto"/>
          <w:lang w:val="hr-HR"/>
        </w:rPr>
        <w:t>sporazum</w:t>
      </w:r>
      <w:r w:rsidRPr="00653DCF">
        <w:rPr>
          <w:color w:val="auto"/>
          <w:lang w:val="hr-HR"/>
        </w:rPr>
        <w:t xml:space="preserve">om ili drugim instrumentom koji </w:t>
      </w:r>
      <w:r w:rsidR="00B0105E" w:rsidRPr="00653DCF">
        <w:rPr>
          <w:color w:val="auto"/>
          <w:lang w:val="hr-HR"/>
        </w:rPr>
        <w:t xml:space="preserve">su za njih </w:t>
      </w:r>
      <w:r w:rsidRPr="00653DCF">
        <w:rPr>
          <w:color w:val="auto"/>
          <w:lang w:val="hr-HR"/>
        </w:rPr>
        <w:t xml:space="preserve">obvezujući i za koji bi se moglo razumno očekivati </w:t>
      </w:r>
      <w:r w:rsidR="00E87B0B" w:rsidRPr="00653DCF">
        <w:rPr>
          <w:color w:val="auto"/>
          <w:lang w:val="hr-HR"/>
        </w:rPr>
        <w:t xml:space="preserve">da će imati značajan negativan učinak na </w:t>
      </w:r>
      <w:r w:rsidR="00B0105E" w:rsidRPr="00653DCF">
        <w:rPr>
          <w:color w:val="auto"/>
          <w:lang w:val="hr-HR"/>
        </w:rPr>
        <w:t xml:space="preserve">njihovu </w:t>
      </w:r>
      <w:r w:rsidR="00E87B0B" w:rsidRPr="00653DCF">
        <w:rPr>
          <w:color w:val="auto"/>
          <w:lang w:val="hr-HR"/>
        </w:rPr>
        <w:t xml:space="preserve">sposobnost izvršavanja obveza </w:t>
      </w:r>
      <w:r w:rsidR="009B28AA" w:rsidRPr="00653DCF">
        <w:rPr>
          <w:color w:val="auto"/>
          <w:lang w:val="hr-HR"/>
        </w:rPr>
        <w:t>prema ovom Ugovoru</w:t>
      </w:r>
      <w:r w:rsidR="00E87B0B" w:rsidRPr="00653DCF">
        <w:rPr>
          <w:color w:val="auto"/>
          <w:lang w:val="hr-HR"/>
        </w:rPr>
        <w:t>; i</w:t>
      </w:r>
    </w:p>
    <w:p w14:paraId="18C3805D" w14:textId="7E8CABA7" w:rsidR="007A2A6F" w:rsidRPr="00653DCF" w:rsidRDefault="009B28AA">
      <w:pPr>
        <w:pStyle w:val="NoIndentEIB"/>
        <w:numPr>
          <w:ilvl w:val="0"/>
          <w:numId w:val="27"/>
        </w:numPr>
        <w:rPr>
          <w:color w:val="auto"/>
          <w:lang w:val="hr-HR"/>
        </w:rPr>
      </w:pPr>
      <w:bookmarkStart w:id="539" w:name="_Ref427038100"/>
      <w:r w:rsidRPr="00653DCF">
        <w:rPr>
          <w:color w:val="auto"/>
          <w:lang w:val="hr-HR"/>
        </w:rPr>
        <w:t xml:space="preserve">nije bilo nikakve značajne negativne promjene od </w:t>
      </w:r>
      <w:r w:rsidR="00E87B0B" w:rsidRPr="00653DCF">
        <w:rPr>
          <w:color w:val="auto"/>
          <w:lang w:val="hr-HR"/>
        </w:rPr>
        <w:t>21. studenoga 2023.;</w:t>
      </w:r>
      <w:bookmarkEnd w:id="539"/>
    </w:p>
    <w:p w14:paraId="1F203685" w14:textId="2B1655AB" w:rsidR="007A2A6F" w:rsidRPr="00653DCF" w:rsidRDefault="0071018C">
      <w:pPr>
        <w:pStyle w:val="NoIndentEIB"/>
        <w:numPr>
          <w:ilvl w:val="0"/>
          <w:numId w:val="27"/>
        </w:numPr>
        <w:rPr>
          <w:color w:val="auto"/>
          <w:lang w:val="hr-HR"/>
        </w:rPr>
      </w:pPr>
      <w:r w:rsidRPr="00653DCF">
        <w:rPr>
          <w:color w:val="auto"/>
          <w:lang w:val="hr-HR"/>
        </w:rPr>
        <w:t xml:space="preserve">nikakav događaj ili okolnost koja predstavlja </w:t>
      </w:r>
      <w:r w:rsidR="00E87B0B" w:rsidRPr="00653DCF">
        <w:rPr>
          <w:color w:val="auto"/>
          <w:lang w:val="hr-HR"/>
        </w:rPr>
        <w:t xml:space="preserve">događaj neispunjavanja obveza nije </w:t>
      </w:r>
      <w:r w:rsidRPr="00653DCF">
        <w:rPr>
          <w:color w:val="auto"/>
          <w:lang w:val="hr-HR"/>
        </w:rPr>
        <w:t>nastupio i ne nastavlja se</w:t>
      </w:r>
      <w:r w:rsidR="00B0105E" w:rsidRPr="00653DCF">
        <w:rPr>
          <w:color w:val="auto"/>
          <w:lang w:val="hr-HR"/>
        </w:rPr>
        <w:t>, a da nije ispravljen</w:t>
      </w:r>
      <w:r w:rsidRPr="00653DCF">
        <w:rPr>
          <w:color w:val="auto"/>
          <w:lang w:val="hr-HR"/>
        </w:rPr>
        <w:t xml:space="preserve"> ili da se od njega nije odustalo</w:t>
      </w:r>
      <w:r w:rsidR="00E87B0B" w:rsidRPr="00653DCF">
        <w:rPr>
          <w:color w:val="auto"/>
          <w:lang w:val="hr-HR"/>
        </w:rPr>
        <w:t>;</w:t>
      </w:r>
    </w:p>
    <w:p w14:paraId="1610D5B8" w14:textId="795500E0" w:rsidR="00ED6E87" w:rsidRPr="00653DCF" w:rsidRDefault="007138EA">
      <w:pPr>
        <w:pStyle w:val="NoIndentEIB"/>
        <w:numPr>
          <w:ilvl w:val="0"/>
          <w:numId w:val="27"/>
        </w:numPr>
        <w:rPr>
          <w:color w:val="auto"/>
          <w:lang w:val="hr-HR"/>
        </w:rPr>
      </w:pPr>
      <w:r w:rsidRPr="00653DCF">
        <w:rPr>
          <w:color w:val="auto"/>
          <w:lang w:val="hr-HR"/>
        </w:rPr>
        <w:t>nijedna parnica</w:t>
      </w:r>
      <w:r w:rsidR="00E87B0B" w:rsidRPr="00653DCF">
        <w:rPr>
          <w:color w:val="auto"/>
          <w:lang w:val="hr-HR"/>
        </w:rPr>
        <w:t>, arbitraža, upravni postupak ili istraga u vezi s provedbom Projekta</w:t>
      </w:r>
      <w:r w:rsidR="002F03CB" w:rsidRPr="00653DCF">
        <w:rPr>
          <w:color w:val="auto"/>
          <w:lang w:val="hr-HR"/>
        </w:rPr>
        <w:t>,</w:t>
      </w:r>
      <w:r w:rsidR="00E87B0B" w:rsidRPr="00653DCF">
        <w:rPr>
          <w:color w:val="auto"/>
          <w:lang w:val="hr-HR"/>
        </w:rPr>
        <w:t xml:space="preserve"> </w:t>
      </w:r>
      <w:r w:rsidRPr="00653DCF">
        <w:rPr>
          <w:color w:val="auto"/>
          <w:lang w:val="hr-HR"/>
        </w:rPr>
        <w:t xml:space="preserve">po </w:t>
      </w:r>
      <w:r w:rsidR="00B0105E" w:rsidRPr="00653DCF">
        <w:rPr>
          <w:color w:val="auto"/>
          <w:lang w:val="hr-HR"/>
        </w:rPr>
        <w:t>njihovom</w:t>
      </w:r>
      <w:r w:rsidRPr="00653DCF">
        <w:rPr>
          <w:color w:val="auto"/>
          <w:lang w:val="hr-HR"/>
        </w:rPr>
        <w:t xml:space="preserve"> saznanju</w:t>
      </w:r>
      <w:r w:rsidR="002F03CB" w:rsidRPr="00653DCF">
        <w:rPr>
          <w:color w:val="auto"/>
          <w:lang w:val="hr-HR"/>
        </w:rPr>
        <w:t>,</w:t>
      </w:r>
      <w:r w:rsidRPr="00653DCF">
        <w:rPr>
          <w:color w:val="auto"/>
          <w:lang w:val="hr-HR"/>
        </w:rPr>
        <w:t xml:space="preserve"> nije u tijeku</w:t>
      </w:r>
      <w:r w:rsidR="00E87B0B" w:rsidRPr="00653DCF">
        <w:rPr>
          <w:color w:val="auto"/>
          <w:lang w:val="hr-HR"/>
        </w:rPr>
        <w:t xml:space="preserve"> pred bilo kojim sudom, arbitražnim tijelom ili agencijom</w:t>
      </w:r>
      <w:r w:rsidR="00661DE0" w:rsidRPr="00653DCF">
        <w:rPr>
          <w:color w:val="auto"/>
          <w:lang w:val="hr-HR"/>
        </w:rPr>
        <w:t xml:space="preserve">, a koja </w:t>
      </w:r>
      <w:r w:rsidR="005437CF" w:rsidRPr="00653DCF">
        <w:rPr>
          <w:color w:val="auto"/>
          <w:lang w:val="hr-HR"/>
        </w:rPr>
        <w:t>za ishod ima</w:t>
      </w:r>
      <w:r w:rsidR="00661DE0" w:rsidRPr="00653DCF">
        <w:rPr>
          <w:color w:val="auto"/>
          <w:lang w:val="hr-HR"/>
        </w:rPr>
        <w:t xml:space="preserve">, ili bi za ishod, u slučaju negativne odluke, mogla imati </w:t>
      </w:r>
      <w:r w:rsidR="000F068E" w:rsidRPr="00653DCF">
        <w:rPr>
          <w:color w:val="auto"/>
          <w:lang w:val="hr-HR"/>
        </w:rPr>
        <w:t xml:space="preserve">značajnu negativnu promjenu, te </w:t>
      </w:r>
      <w:r w:rsidR="002F03CB" w:rsidRPr="00653DCF">
        <w:rPr>
          <w:color w:val="auto"/>
          <w:lang w:val="hr-HR"/>
        </w:rPr>
        <w:t xml:space="preserve">da, </w:t>
      </w:r>
      <w:r w:rsidR="000F068E" w:rsidRPr="00653DCF">
        <w:rPr>
          <w:color w:val="auto"/>
          <w:lang w:val="hr-HR"/>
        </w:rPr>
        <w:t xml:space="preserve">u odnosu na Zajmoprimca </w:t>
      </w:r>
      <w:r w:rsidR="002F03CB" w:rsidRPr="00653DCF">
        <w:rPr>
          <w:color w:val="auto"/>
          <w:lang w:val="hr-HR"/>
        </w:rPr>
        <w:t xml:space="preserve">i </w:t>
      </w:r>
      <w:r w:rsidR="000F068E" w:rsidRPr="00653DCF">
        <w:rPr>
          <w:color w:val="auto"/>
          <w:lang w:val="hr-HR"/>
        </w:rPr>
        <w:t xml:space="preserve">u odnosu na </w:t>
      </w:r>
      <w:r w:rsidR="00C72DBE" w:rsidRPr="00653DCF">
        <w:rPr>
          <w:color w:val="auto"/>
          <w:lang w:val="hr-HR"/>
        </w:rPr>
        <w:t>P</w:t>
      </w:r>
      <w:r w:rsidR="000F068E" w:rsidRPr="00653DCF">
        <w:rPr>
          <w:color w:val="auto"/>
          <w:lang w:val="hr-HR"/>
        </w:rPr>
        <w:t>rojektno društvo n</w:t>
      </w:r>
      <w:r w:rsidR="00EF3EE1" w:rsidRPr="00653DCF">
        <w:rPr>
          <w:color w:val="auto"/>
          <w:lang w:val="hr-HR"/>
        </w:rPr>
        <w:t xml:space="preserve">ije donesena niti se može razumno očekivati da bi bila donesena nezadovoljavajuća presuda ili </w:t>
      </w:r>
      <w:r w:rsidR="007E3C63" w:rsidRPr="00653DCF">
        <w:rPr>
          <w:color w:val="auto"/>
          <w:lang w:val="hr-HR"/>
        </w:rPr>
        <w:t>pravorijek</w:t>
      </w:r>
      <w:r w:rsidR="00EF3EE1" w:rsidRPr="00653DCF">
        <w:rPr>
          <w:color w:val="auto"/>
          <w:lang w:val="hr-HR"/>
        </w:rPr>
        <w:t xml:space="preserve"> koja za ishod ima ili bi </w:t>
      </w:r>
      <w:r w:rsidR="007E3C63" w:rsidRPr="00653DCF">
        <w:rPr>
          <w:color w:val="auto"/>
          <w:lang w:val="hr-HR"/>
        </w:rPr>
        <w:t xml:space="preserve">za ishod </w:t>
      </w:r>
      <w:r w:rsidR="00EF3EE1" w:rsidRPr="00653DCF">
        <w:rPr>
          <w:color w:val="auto"/>
          <w:lang w:val="hr-HR"/>
        </w:rPr>
        <w:t>vjerojatno mogla imati</w:t>
      </w:r>
      <w:r w:rsidR="007E3C63" w:rsidRPr="00653DCF">
        <w:rPr>
          <w:color w:val="auto"/>
          <w:lang w:val="hr-HR"/>
        </w:rPr>
        <w:t xml:space="preserve"> značajnu negativnu promjenu;</w:t>
      </w:r>
    </w:p>
    <w:p w14:paraId="279ED3A6" w14:textId="175B6027" w:rsidR="007A2A6F" w:rsidRPr="00653DCF" w:rsidRDefault="00E87B0B">
      <w:pPr>
        <w:pStyle w:val="NoIndentEIB"/>
        <w:numPr>
          <w:ilvl w:val="0"/>
          <w:numId w:val="27"/>
        </w:numPr>
        <w:rPr>
          <w:color w:val="auto"/>
          <w:lang w:val="hr-HR"/>
        </w:rPr>
      </w:pPr>
      <w:r w:rsidRPr="00653DCF">
        <w:rPr>
          <w:color w:val="auto"/>
          <w:lang w:val="hr-HR"/>
        </w:rPr>
        <w:t xml:space="preserve">da </w:t>
      </w:r>
      <w:r w:rsidR="005437CF" w:rsidRPr="00653DCF">
        <w:rPr>
          <w:color w:val="auto"/>
          <w:lang w:val="hr-HR"/>
        </w:rPr>
        <w:t>su</w:t>
      </w:r>
      <w:r w:rsidRPr="00653DCF">
        <w:rPr>
          <w:color w:val="auto"/>
          <w:lang w:val="hr-HR"/>
        </w:rPr>
        <w:t xml:space="preserve"> </w:t>
      </w:r>
      <w:r w:rsidR="005437CF" w:rsidRPr="00653DCF">
        <w:rPr>
          <w:color w:val="auto"/>
          <w:lang w:val="hr-HR"/>
        </w:rPr>
        <w:t xml:space="preserve">pribavili </w:t>
      </w:r>
      <w:r w:rsidR="00576864" w:rsidRPr="00653DCF">
        <w:rPr>
          <w:color w:val="auto"/>
          <w:lang w:val="hr-HR"/>
        </w:rPr>
        <w:t xml:space="preserve">sva potrebna ovlaštenja u vezi s ovim </w:t>
      </w:r>
      <w:r w:rsidRPr="00653DCF">
        <w:rPr>
          <w:color w:val="auto"/>
          <w:lang w:val="hr-HR"/>
        </w:rPr>
        <w:t xml:space="preserve">Ugovorom kako bi zakonito </w:t>
      </w:r>
      <w:r w:rsidR="005437CF" w:rsidRPr="00653DCF">
        <w:rPr>
          <w:color w:val="auto"/>
          <w:lang w:val="hr-HR"/>
        </w:rPr>
        <w:t xml:space="preserve">ispunjavali </w:t>
      </w:r>
      <w:r w:rsidRPr="00653DCF">
        <w:rPr>
          <w:color w:val="auto"/>
          <w:lang w:val="hr-HR"/>
        </w:rPr>
        <w:t xml:space="preserve">svoje obveze iz ovog Ugovora, a </w:t>
      </w:r>
      <w:r w:rsidR="005437CF" w:rsidRPr="00653DCF">
        <w:rPr>
          <w:color w:val="auto"/>
          <w:lang w:val="hr-HR"/>
        </w:rPr>
        <w:t xml:space="preserve">da su </w:t>
      </w:r>
      <w:r w:rsidRPr="00653DCF">
        <w:rPr>
          <w:color w:val="auto"/>
          <w:lang w:val="hr-HR"/>
        </w:rPr>
        <w:t xml:space="preserve">Projekt i sva takva </w:t>
      </w:r>
      <w:r w:rsidR="008F585D" w:rsidRPr="00653DCF">
        <w:rPr>
          <w:color w:val="auto"/>
          <w:lang w:val="hr-HR"/>
        </w:rPr>
        <w:t>ovlaštenja na snazi i proizvode učinak i prihvatljiva su kao dokaz</w:t>
      </w:r>
      <w:r w:rsidRPr="00653DCF">
        <w:rPr>
          <w:color w:val="auto"/>
          <w:lang w:val="hr-HR"/>
        </w:rPr>
        <w:t>;</w:t>
      </w:r>
    </w:p>
    <w:p w14:paraId="51102570" w14:textId="6F56B413" w:rsidR="00963487" w:rsidRPr="00653DCF" w:rsidRDefault="005437CF">
      <w:pPr>
        <w:pStyle w:val="NoIndentEIB"/>
        <w:numPr>
          <w:ilvl w:val="0"/>
          <w:numId w:val="27"/>
        </w:numPr>
        <w:rPr>
          <w:color w:val="auto"/>
          <w:lang w:val="hr-HR"/>
        </w:rPr>
      </w:pPr>
      <w:r w:rsidRPr="00653DCF">
        <w:rPr>
          <w:color w:val="auto"/>
          <w:lang w:val="hr-HR"/>
        </w:rPr>
        <w:t xml:space="preserve">njihove </w:t>
      </w:r>
      <w:r w:rsidR="00E87B0B" w:rsidRPr="00653DCF">
        <w:rPr>
          <w:color w:val="auto"/>
          <w:lang w:val="hr-HR"/>
        </w:rPr>
        <w:t xml:space="preserve">obveze plaćanja </w:t>
      </w:r>
      <w:r w:rsidR="008F585D" w:rsidRPr="00653DCF">
        <w:rPr>
          <w:color w:val="auto"/>
          <w:lang w:val="hr-HR"/>
        </w:rPr>
        <w:t xml:space="preserve">prema ovom </w:t>
      </w:r>
      <w:r w:rsidR="00E87B0B" w:rsidRPr="00653DCF">
        <w:rPr>
          <w:color w:val="auto"/>
          <w:lang w:val="hr-HR"/>
        </w:rPr>
        <w:t>Ugovor</w:t>
      </w:r>
      <w:r w:rsidR="008F585D" w:rsidRPr="00653DCF">
        <w:rPr>
          <w:color w:val="auto"/>
          <w:lang w:val="hr-HR"/>
        </w:rPr>
        <w:t>u imaj barem jednak položaj (</w:t>
      </w:r>
      <w:r w:rsidR="00E87B0B" w:rsidRPr="00653DCF">
        <w:rPr>
          <w:rStyle w:val="ItalicEIB"/>
          <w:color w:val="auto"/>
          <w:lang w:val="hr-HR"/>
        </w:rPr>
        <w:t>pari passu</w:t>
      </w:r>
      <w:r w:rsidR="008F585D" w:rsidRPr="00653DCF">
        <w:rPr>
          <w:rStyle w:val="ItalicEIB"/>
          <w:i w:val="0"/>
          <w:iCs/>
          <w:color w:val="auto"/>
          <w:lang w:val="hr-HR"/>
        </w:rPr>
        <w:t>)</w:t>
      </w:r>
      <w:r w:rsidR="00E87B0B" w:rsidRPr="00653DCF">
        <w:rPr>
          <w:rStyle w:val="ItalicEIB"/>
          <w:color w:val="auto"/>
          <w:lang w:val="hr-HR"/>
        </w:rPr>
        <w:t xml:space="preserve"> </w:t>
      </w:r>
      <w:r w:rsidR="00E87B0B" w:rsidRPr="00653DCF">
        <w:rPr>
          <w:color w:val="auto"/>
          <w:lang w:val="hr-HR"/>
        </w:rPr>
        <w:t xml:space="preserve">u </w:t>
      </w:r>
      <w:r w:rsidR="00963487" w:rsidRPr="00653DCF">
        <w:rPr>
          <w:color w:val="auto"/>
          <w:lang w:val="hr-HR"/>
        </w:rPr>
        <w:t xml:space="preserve">pogledu plaćanja u odnosu na sve </w:t>
      </w:r>
      <w:r w:rsidR="000D4A93" w:rsidRPr="00653DCF">
        <w:rPr>
          <w:color w:val="auto"/>
          <w:lang w:val="hr-HR"/>
        </w:rPr>
        <w:t>druge</w:t>
      </w:r>
      <w:r w:rsidR="00963487" w:rsidRPr="00653DCF">
        <w:rPr>
          <w:color w:val="auto"/>
          <w:lang w:val="hr-HR"/>
        </w:rPr>
        <w:t xml:space="preserve"> sadašnje i buduće neosigurane obveze prema bilo kojem dužničkom instrumentu, osim obveza koje zakon koji se primjenjuje na trgovačka društva općenito tretira kao obvezujuće prioritetne;</w:t>
      </w:r>
    </w:p>
    <w:p w14:paraId="426DF096" w14:textId="5075A9BB" w:rsidR="009B1599" w:rsidRPr="00653DCF" w:rsidRDefault="005437CF">
      <w:pPr>
        <w:pStyle w:val="NoIndentEIB"/>
        <w:numPr>
          <w:ilvl w:val="0"/>
          <w:numId w:val="27"/>
        </w:numPr>
        <w:rPr>
          <w:color w:val="auto"/>
          <w:lang w:val="hr-HR"/>
        </w:rPr>
      </w:pPr>
      <w:r w:rsidRPr="00653DCF">
        <w:rPr>
          <w:color w:val="auto"/>
          <w:lang w:val="hr-HR"/>
        </w:rPr>
        <w:t xml:space="preserve">su </w:t>
      </w:r>
      <w:r w:rsidR="007263FD" w:rsidRPr="00653DCF">
        <w:rPr>
          <w:color w:val="auto"/>
          <w:lang w:val="hr-HR"/>
        </w:rPr>
        <w:t>usklađen</w:t>
      </w:r>
      <w:r w:rsidR="00782493" w:rsidRPr="00653DCF">
        <w:rPr>
          <w:color w:val="auto"/>
          <w:lang w:val="hr-HR"/>
        </w:rPr>
        <w:t>i</w:t>
      </w:r>
      <w:r w:rsidR="007263FD" w:rsidRPr="00653DCF">
        <w:rPr>
          <w:color w:val="auto"/>
          <w:lang w:val="hr-HR"/>
        </w:rPr>
        <w:t xml:space="preserve"> s </w:t>
      </w:r>
      <w:r w:rsidR="00E87B0B" w:rsidRPr="00653DCF">
        <w:rPr>
          <w:color w:val="auto"/>
          <w:lang w:val="hr-HR"/>
        </w:rPr>
        <w:t xml:space="preserve">člankom </w:t>
      </w:r>
      <w:r w:rsidR="00E87B0B" w:rsidRPr="00653DCF">
        <w:rPr>
          <w:color w:val="auto"/>
          <w:lang w:val="hr-HR"/>
        </w:rPr>
        <w:fldChar w:fldCharType="begin"/>
      </w:r>
      <w:r w:rsidR="00E87B0B" w:rsidRPr="00653DCF">
        <w:rPr>
          <w:color w:val="auto"/>
          <w:lang w:val="hr-HR"/>
        </w:rPr>
        <w:instrText xml:space="preserve"> REF _Ref427037908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6.5</w:t>
      </w:r>
      <w:r w:rsidR="00E87B0B" w:rsidRPr="00653DCF">
        <w:rPr>
          <w:color w:val="auto"/>
          <w:lang w:val="hr-HR"/>
        </w:rPr>
        <w:fldChar w:fldCharType="end"/>
      </w:r>
      <w:r w:rsidR="003B5810" w:rsidRPr="00653DCF">
        <w:rPr>
          <w:color w:val="auto"/>
          <w:lang w:val="hr-HR"/>
        </w:rPr>
        <w:t>.</w:t>
      </w:r>
      <w:r w:rsidR="00E87B0B" w:rsidRPr="00653DCF">
        <w:rPr>
          <w:color w:val="auto"/>
          <w:lang w:val="hr-HR"/>
        </w:rPr>
        <w:fldChar w:fldCharType="begin"/>
      </w:r>
      <w:r w:rsidR="00E87B0B" w:rsidRPr="00653DCF">
        <w:rPr>
          <w:color w:val="auto"/>
          <w:lang w:val="hr-HR"/>
        </w:rPr>
        <w:instrText xml:space="preserve"> REF _Ref427037950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(e)</w:t>
      </w:r>
      <w:r w:rsidR="00E87B0B" w:rsidRPr="00653DCF">
        <w:rPr>
          <w:color w:val="auto"/>
          <w:lang w:val="hr-HR"/>
        </w:rPr>
        <w:fldChar w:fldCharType="end"/>
      </w:r>
      <w:r w:rsidR="00E87B0B" w:rsidRPr="00653DCF">
        <w:rPr>
          <w:color w:val="auto"/>
          <w:lang w:val="hr-HR"/>
        </w:rPr>
        <w:t xml:space="preserve"> i</w:t>
      </w:r>
      <w:r w:rsidR="003B5810" w:rsidRPr="00653DCF">
        <w:rPr>
          <w:color w:val="auto"/>
          <w:lang w:val="hr-HR"/>
        </w:rPr>
        <w:t xml:space="preserve">, koliko </w:t>
      </w:r>
      <w:r w:rsidRPr="00653DCF">
        <w:rPr>
          <w:color w:val="auto"/>
          <w:lang w:val="hr-HR"/>
        </w:rPr>
        <w:t>im je poznato</w:t>
      </w:r>
      <w:r w:rsidR="003B5810" w:rsidRPr="00653DCF">
        <w:rPr>
          <w:color w:val="auto"/>
          <w:lang w:val="hr-HR"/>
        </w:rPr>
        <w:t xml:space="preserve"> </w:t>
      </w:r>
      <w:r w:rsidR="00E87B0B" w:rsidRPr="00653DCF">
        <w:rPr>
          <w:color w:val="auto"/>
          <w:lang w:val="hr-HR"/>
        </w:rPr>
        <w:t>(</w:t>
      </w:r>
      <w:r w:rsidR="003B5810" w:rsidRPr="00653DCF">
        <w:rPr>
          <w:color w:val="auto"/>
          <w:lang w:val="hr-HR"/>
        </w:rPr>
        <w:t xml:space="preserve">a nakon što </w:t>
      </w:r>
      <w:r w:rsidRPr="00653DCF">
        <w:rPr>
          <w:color w:val="auto"/>
          <w:lang w:val="hr-HR"/>
        </w:rPr>
        <w:t xml:space="preserve">su </w:t>
      </w:r>
      <w:r w:rsidR="003B5810" w:rsidRPr="00653DCF">
        <w:rPr>
          <w:color w:val="auto"/>
          <w:lang w:val="hr-HR"/>
        </w:rPr>
        <w:t>izvrši</w:t>
      </w:r>
      <w:r w:rsidRPr="00653DCF">
        <w:rPr>
          <w:color w:val="auto"/>
          <w:lang w:val="hr-HR"/>
        </w:rPr>
        <w:t>li</w:t>
      </w:r>
      <w:r w:rsidR="003B5810" w:rsidRPr="00653DCF">
        <w:rPr>
          <w:color w:val="auto"/>
          <w:lang w:val="hr-HR"/>
        </w:rPr>
        <w:t xml:space="preserve"> temeljit i pažljiv uvid</w:t>
      </w:r>
      <w:r w:rsidR="00E87B0B" w:rsidRPr="00653DCF">
        <w:rPr>
          <w:color w:val="auto"/>
          <w:lang w:val="hr-HR"/>
        </w:rPr>
        <w:t>)</w:t>
      </w:r>
      <w:r w:rsidR="003B5810" w:rsidRPr="00653DCF">
        <w:rPr>
          <w:color w:val="auto"/>
          <w:lang w:val="hr-HR"/>
        </w:rPr>
        <w:t>,</w:t>
      </w:r>
      <w:r w:rsidR="007263FD" w:rsidRPr="00653DCF">
        <w:rPr>
          <w:color w:val="auto"/>
          <w:lang w:val="hr-HR"/>
        </w:rPr>
        <w:t xml:space="preserve"> protiv </w:t>
      </w:r>
      <w:r w:rsidRPr="00653DCF">
        <w:rPr>
          <w:color w:val="auto"/>
          <w:lang w:val="hr-HR"/>
        </w:rPr>
        <w:t xml:space="preserve">njih </w:t>
      </w:r>
      <w:r w:rsidR="009B1599" w:rsidRPr="00653DCF">
        <w:rPr>
          <w:color w:val="auto"/>
          <w:lang w:val="hr-HR"/>
        </w:rPr>
        <w:t xml:space="preserve">nije pokrenuta </w:t>
      </w:r>
      <w:r w:rsidR="002C7BA4" w:rsidRPr="00653DCF">
        <w:rPr>
          <w:color w:val="auto"/>
          <w:lang w:val="hr-HR"/>
        </w:rPr>
        <w:t xml:space="preserve">niti prijeti </w:t>
      </w:r>
      <w:r w:rsidR="009B1599" w:rsidRPr="00653DCF">
        <w:rPr>
          <w:color w:val="auto"/>
          <w:lang w:val="hr-HR"/>
        </w:rPr>
        <w:t xml:space="preserve">nikakva značajna tužba koja </w:t>
      </w:r>
      <w:r w:rsidR="007263FD" w:rsidRPr="00653DCF">
        <w:rPr>
          <w:color w:val="auto"/>
          <w:lang w:val="hr-HR"/>
        </w:rPr>
        <w:t xml:space="preserve">bi se odnosila </w:t>
      </w:r>
      <w:r w:rsidR="009B1599" w:rsidRPr="00653DCF">
        <w:rPr>
          <w:color w:val="auto"/>
          <w:lang w:val="hr-HR"/>
        </w:rPr>
        <w:t xml:space="preserve">na pitanja okoliša ili socijalnih prava </w:t>
      </w:r>
      <w:r w:rsidR="002C7BA4" w:rsidRPr="00653DCF">
        <w:rPr>
          <w:color w:val="auto"/>
          <w:lang w:val="hr-HR"/>
        </w:rPr>
        <w:t>vezano za bilo koji investicijski projekt; i</w:t>
      </w:r>
    </w:p>
    <w:p w14:paraId="0F413AA0" w14:textId="2B5850B3" w:rsidR="007A2A6F" w:rsidRPr="00653DCF" w:rsidRDefault="00040060">
      <w:pPr>
        <w:pStyle w:val="NoIndentEIB"/>
        <w:numPr>
          <w:ilvl w:val="0"/>
          <w:numId w:val="27"/>
        </w:numPr>
        <w:rPr>
          <w:color w:val="auto"/>
          <w:lang w:val="hr-HR"/>
        </w:rPr>
      </w:pPr>
      <w:r w:rsidRPr="00653DCF">
        <w:rPr>
          <w:color w:val="auto"/>
          <w:lang w:val="hr-HR"/>
        </w:rPr>
        <w:t xml:space="preserve">su oni </w:t>
      </w:r>
      <w:r w:rsidR="0076605C" w:rsidRPr="00653DCF">
        <w:rPr>
          <w:color w:val="auto"/>
          <w:lang w:val="hr-HR"/>
        </w:rPr>
        <w:t>i sva</w:t>
      </w:r>
      <w:r w:rsidR="00446A09" w:rsidRPr="00653DCF">
        <w:rPr>
          <w:color w:val="auto"/>
          <w:lang w:val="hr-HR"/>
        </w:rPr>
        <w:t>ko Projektn</w:t>
      </w:r>
      <w:r w:rsidR="00FE47D5" w:rsidRPr="00653DCF">
        <w:rPr>
          <w:color w:val="auto"/>
          <w:lang w:val="hr-HR"/>
        </w:rPr>
        <w:t>o</w:t>
      </w:r>
      <w:r w:rsidR="00446A09" w:rsidRPr="00653DCF">
        <w:rPr>
          <w:color w:val="auto"/>
          <w:lang w:val="hr-HR"/>
        </w:rPr>
        <w:t xml:space="preserve"> društv</w:t>
      </w:r>
      <w:r w:rsidR="00FE47D5" w:rsidRPr="00653DCF">
        <w:rPr>
          <w:color w:val="auto"/>
          <w:lang w:val="hr-HR"/>
        </w:rPr>
        <w:t>o</w:t>
      </w:r>
      <w:r w:rsidR="0076605C" w:rsidRPr="00653DCF">
        <w:rPr>
          <w:color w:val="auto"/>
          <w:lang w:val="hr-HR"/>
        </w:rPr>
        <w:t xml:space="preserve"> usklađeni su sa svim obvezama vezano za ovaj </w:t>
      </w:r>
      <w:r w:rsidR="00E87B0B" w:rsidRPr="00653DCF">
        <w:rPr>
          <w:color w:val="auto"/>
          <w:lang w:val="hr-HR"/>
        </w:rPr>
        <w:fldChar w:fldCharType="begin"/>
      </w:r>
      <w:r w:rsidR="00E87B0B" w:rsidRPr="00653DCF">
        <w:rPr>
          <w:color w:val="auto"/>
          <w:lang w:val="hr-HR"/>
        </w:rPr>
        <w:instrText xml:space="preserve"> REF _Ref427037555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0</w:t>
      </w:r>
      <w:r w:rsidR="00E87B0B" w:rsidRPr="00653DCF">
        <w:rPr>
          <w:color w:val="auto"/>
          <w:lang w:val="hr-HR"/>
        </w:rPr>
        <w:fldChar w:fldCharType="end"/>
      </w:r>
      <w:r w:rsidR="00E87B0B" w:rsidRPr="00653DCF">
        <w:rPr>
          <w:color w:val="auto"/>
          <w:lang w:val="hr-HR"/>
        </w:rPr>
        <w:t>.</w:t>
      </w:r>
    </w:p>
    <w:p w14:paraId="425E494A" w14:textId="16D1BD0B" w:rsidR="003B2556" w:rsidRPr="00653DCF" w:rsidRDefault="003B2556">
      <w:pPr>
        <w:rPr>
          <w:color w:val="auto"/>
          <w:lang w:val="hr-HR"/>
        </w:rPr>
      </w:pPr>
      <w:r w:rsidRPr="00653DCF">
        <w:rPr>
          <w:color w:val="auto"/>
          <w:lang w:val="hr-HR"/>
        </w:rPr>
        <w:t xml:space="preserve">Prethodno navedene izjave i </w:t>
      </w:r>
      <w:r w:rsidR="000D4A93" w:rsidRPr="00653DCF">
        <w:rPr>
          <w:color w:val="auto"/>
          <w:lang w:val="hr-HR"/>
        </w:rPr>
        <w:t>jamstava</w:t>
      </w:r>
      <w:r w:rsidRPr="00653DCF">
        <w:rPr>
          <w:color w:val="auto"/>
          <w:lang w:val="hr-HR"/>
        </w:rPr>
        <w:t xml:space="preserve"> daju se na </w:t>
      </w:r>
      <w:r w:rsidR="00BD6F4D" w:rsidRPr="00653DCF">
        <w:rPr>
          <w:color w:val="auto"/>
          <w:lang w:val="hr-HR"/>
        </w:rPr>
        <w:t>datum</w:t>
      </w:r>
      <w:r w:rsidRPr="00653DCF">
        <w:rPr>
          <w:color w:val="auto"/>
          <w:lang w:val="hr-HR"/>
        </w:rPr>
        <w:t xml:space="preserve"> potpisa ovoga Ugovora </w:t>
      </w:r>
      <w:r w:rsidR="005B10BA" w:rsidRPr="00653DCF">
        <w:rPr>
          <w:color w:val="auto"/>
          <w:lang w:val="hr-HR"/>
        </w:rPr>
        <w:t>i smatraju se, osim izjava navedenih u prethodno</w:t>
      </w:r>
      <w:r w:rsidR="00104DD8" w:rsidRPr="00653DCF">
        <w:rPr>
          <w:color w:val="auto"/>
          <w:lang w:val="hr-HR"/>
        </w:rPr>
        <w:t>j točki</w:t>
      </w:r>
      <w:r w:rsidR="005B10BA" w:rsidRPr="00653DCF">
        <w:rPr>
          <w:color w:val="auto"/>
          <w:lang w:val="hr-HR"/>
        </w:rPr>
        <w:t xml:space="preserve"> </w:t>
      </w:r>
      <w:r w:rsidR="00104DD8" w:rsidRPr="00653DCF">
        <w:rPr>
          <w:color w:val="auto"/>
          <w:lang w:val="hr-HR"/>
        </w:rPr>
        <w:t>(</w:t>
      </w:r>
      <w:r w:rsidR="000D4A93" w:rsidRPr="00653DCF">
        <w:rPr>
          <w:color w:val="auto"/>
          <w:lang w:val="hr-HR"/>
        </w:rPr>
        <w:t>d)</w:t>
      </w:r>
      <w:r w:rsidR="005B10BA" w:rsidRPr="00653DCF">
        <w:rPr>
          <w:color w:val="auto"/>
          <w:lang w:val="hr-HR"/>
        </w:rPr>
        <w:t>, ponovljenima</w:t>
      </w:r>
      <w:r w:rsidR="00136495" w:rsidRPr="00653DCF">
        <w:rPr>
          <w:color w:val="auto"/>
          <w:lang w:val="hr-HR"/>
        </w:rPr>
        <w:t>, u odnosu na činjenice i okolnosti koje</w:t>
      </w:r>
      <w:r w:rsidR="00C25AD9" w:rsidRPr="00653DCF">
        <w:rPr>
          <w:color w:val="auto"/>
          <w:lang w:val="hr-HR"/>
        </w:rPr>
        <w:t xml:space="preserve"> su tada postojale,</w:t>
      </w:r>
      <w:r w:rsidR="005B10BA" w:rsidRPr="00653DCF">
        <w:rPr>
          <w:color w:val="auto"/>
          <w:lang w:val="hr-HR"/>
        </w:rPr>
        <w:t xml:space="preserve"> na datum </w:t>
      </w:r>
      <w:r w:rsidR="00C25AD9" w:rsidRPr="00653DCF">
        <w:rPr>
          <w:color w:val="auto"/>
          <w:lang w:val="hr-HR"/>
        </w:rPr>
        <w:t xml:space="preserve">svakog zahtjeva za </w:t>
      </w:r>
      <w:r w:rsidR="005B10BA" w:rsidRPr="00653DCF">
        <w:rPr>
          <w:color w:val="auto"/>
          <w:lang w:val="hr-HR"/>
        </w:rPr>
        <w:t xml:space="preserve">isplatu, datum </w:t>
      </w:r>
      <w:r w:rsidR="00C25AD9" w:rsidRPr="00653DCF">
        <w:rPr>
          <w:color w:val="auto"/>
          <w:lang w:val="hr-HR"/>
        </w:rPr>
        <w:t xml:space="preserve">svakog </w:t>
      </w:r>
      <w:r w:rsidR="00933CBC" w:rsidRPr="00653DCF">
        <w:rPr>
          <w:color w:val="auto"/>
          <w:lang w:val="hr-HR"/>
        </w:rPr>
        <w:t xml:space="preserve">izdavanja </w:t>
      </w:r>
      <w:r w:rsidR="00540E2D" w:rsidRPr="00653DCF">
        <w:rPr>
          <w:color w:val="auto"/>
          <w:lang w:val="hr-HR"/>
        </w:rPr>
        <w:t xml:space="preserve">bilo koje </w:t>
      </w:r>
      <w:r w:rsidR="00933CBC" w:rsidRPr="00653DCF">
        <w:rPr>
          <w:color w:val="auto"/>
          <w:lang w:val="hr-HR"/>
        </w:rPr>
        <w:t xml:space="preserve">potvrde o usklađenosti, </w:t>
      </w:r>
      <w:r w:rsidR="000D4A93" w:rsidRPr="00653DCF">
        <w:rPr>
          <w:color w:val="auto"/>
          <w:lang w:val="hr-HR"/>
        </w:rPr>
        <w:t xml:space="preserve">datum svake </w:t>
      </w:r>
      <w:r w:rsidR="00933CBC" w:rsidRPr="00653DCF">
        <w:rPr>
          <w:color w:val="auto"/>
          <w:lang w:val="hr-HR"/>
        </w:rPr>
        <w:t xml:space="preserve">isplate i datum </w:t>
      </w:r>
      <w:r w:rsidR="000D4A93" w:rsidRPr="00653DCF">
        <w:rPr>
          <w:color w:val="auto"/>
          <w:lang w:val="hr-HR"/>
        </w:rPr>
        <w:t xml:space="preserve">svakog </w:t>
      </w:r>
      <w:r w:rsidR="00933CBC" w:rsidRPr="00653DCF">
        <w:rPr>
          <w:color w:val="auto"/>
          <w:lang w:val="hr-HR"/>
        </w:rPr>
        <w:t>plaćanja.</w:t>
      </w:r>
      <w:r w:rsidRPr="00653DCF">
        <w:rPr>
          <w:color w:val="auto"/>
          <w:lang w:val="hr-HR"/>
        </w:rPr>
        <w:t xml:space="preserve"> </w:t>
      </w:r>
    </w:p>
    <w:p w14:paraId="4CD4ABE5" w14:textId="3D6736EC" w:rsidR="007A2A6F" w:rsidRPr="00653DCF" w:rsidRDefault="007E69A4" w:rsidP="007E69A4">
      <w:pPr>
        <w:pStyle w:val="Heading1"/>
        <w:numPr>
          <w:ilvl w:val="0"/>
          <w:numId w:val="0"/>
        </w:numPr>
        <w:rPr>
          <w:color w:val="auto"/>
          <w:lang w:val="hr-HR"/>
        </w:rPr>
      </w:pPr>
      <w:bookmarkStart w:id="540" w:name="_Toc475441174"/>
      <w:bookmarkStart w:id="541" w:name="_Toc498018669"/>
      <w:bookmarkStart w:id="542" w:name="_Toc508120536"/>
      <w:bookmarkStart w:id="543" w:name="_Toc126080726"/>
      <w:bookmarkStart w:id="544" w:name="_Toc126080858"/>
      <w:bookmarkStart w:id="545" w:name="_Ref426595472"/>
      <w:bookmarkEnd w:id="540"/>
      <w:bookmarkEnd w:id="541"/>
      <w:bookmarkEnd w:id="542"/>
      <w:bookmarkEnd w:id="543"/>
      <w:bookmarkEnd w:id="544"/>
      <w:r>
        <w:rPr>
          <w:color w:val="auto"/>
          <w:lang w:val="hr-HR"/>
        </w:rPr>
        <w:lastRenderedPageBreak/>
        <w:t>ČLANAK 7</w:t>
      </w:r>
      <w:r w:rsidR="009C2330">
        <w:rPr>
          <w:color w:val="auto"/>
          <w:lang w:val="hr-HR"/>
        </w:rPr>
        <w:t>.</w:t>
      </w:r>
    </w:p>
    <w:bookmarkEnd w:id="545"/>
    <w:p w14:paraId="15D356C5" w14:textId="11E059A2" w:rsidR="007A2A6F" w:rsidRPr="00653DCF" w:rsidRDefault="000D4A93">
      <w:pPr>
        <w:pStyle w:val="ArticleTitleEIB"/>
        <w:rPr>
          <w:color w:val="auto"/>
          <w:lang w:val="hr-HR"/>
        </w:rPr>
      </w:pPr>
      <w:r w:rsidRPr="00653DCF">
        <w:rPr>
          <w:color w:val="auto"/>
          <w:lang w:val="hr-HR"/>
        </w:rPr>
        <w:t>Osiguranje</w:t>
      </w:r>
    </w:p>
    <w:p w14:paraId="151BE692" w14:textId="432274E3" w:rsidR="007A2A6F" w:rsidRPr="00653DCF" w:rsidRDefault="00E87B0B">
      <w:pPr>
        <w:rPr>
          <w:color w:val="auto"/>
          <w:lang w:val="hr-HR"/>
        </w:rPr>
      </w:pPr>
      <w:r w:rsidRPr="00653DCF">
        <w:rPr>
          <w:color w:val="auto"/>
          <w:lang w:val="hr-HR"/>
        </w:rPr>
        <w:t xml:space="preserve">Obveze u </w:t>
      </w:r>
      <w:r w:rsidR="00BD4774" w:rsidRPr="00653DCF">
        <w:rPr>
          <w:color w:val="auto"/>
          <w:lang w:val="hr-HR"/>
        </w:rPr>
        <w:t>ovome</w:t>
      </w:r>
      <w:r w:rsidRPr="00653DCF">
        <w:rPr>
          <w:color w:val="auto"/>
          <w:lang w:val="hr-HR"/>
        </w:rPr>
        <w:t xml:space="preserve"> </w:t>
      </w:r>
      <w:r w:rsidRPr="00653DCF">
        <w:rPr>
          <w:color w:val="auto"/>
          <w:lang w:val="hr-HR"/>
        </w:rPr>
        <w:fldChar w:fldCharType="begin"/>
      </w:r>
      <w:r w:rsidRPr="00653DCF">
        <w:rPr>
          <w:color w:val="auto"/>
          <w:lang w:val="hr-HR"/>
        </w:rPr>
        <w:instrText xml:space="preserve"> REF _Ref426595472 \n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0</w:t>
      </w:r>
      <w:r w:rsidRPr="00653DCF">
        <w:rPr>
          <w:color w:val="auto"/>
          <w:lang w:val="hr-HR"/>
        </w:rPr>
        <w:fldChar w:fldCharType="end"/>
      </w:r>
      <w:r w:rsidR="00BD4774" w:rsidRPr="00653DCF">
        <w:rPr>
          <w:color w:val="auto"/>
          <w:lang w:val="hr-HR"/>
        </w:rPr>
        <w:t>.</w:t>
      </w:r>
      <w:r w:rsidRPr="00653DCF">
        <w:rPr>
          <w:color w:val="auto"/>
          <w:lang w:val="hr-HR"/>
        </w:rPr>
        <w:t xml:space="preserve"> ostaju na snazi od </w:t>
      </w:r>
      <w:r w:rsidR="00BD4774" w:rsidRPr="00653DCF">
        <w:rPr>
          <w:color w:val="auto"/>
          <w:lang w:val="hr-HR"/>
        </w:rPr>
        <w:t xml:space="preserve">datuma sklapanja ovog </w:t>
      </w:r>
      <w:r w:rsidRPr="00653DCF">
        <w:rPr>
          <w:color w:val="auto"/>
          <w:lang w:val="hr-HR"/>
        </w:rPr>
        <w:t xml:space="preserve">Ugovora sve dok bilo koji iznos </w:t>
      </w:r>
      <w:r w:rsidR="00BD4774" w:rsidRPr="00653DCF">
        <w:rPr>
          <w:color w:val="auto"/>
          <w:lang w:val="hr-HR"/>
        </w:rPr>
        <w:t>prema ovom Ugovoru ne bude otplaćen ili dok kredit ne bude na snazi</w:t>
      </w:r>
      <w:r w:rsidRPr="00653DCF">
        <w:rPr>
          <w:color w:val="auto"/>
          <w:lang w:val="hr-HR"/>
        </w:rPr>
        <w:t>.</w:t>
      </w:r>
    </w:p>
    <w:p w14:paraId="553A2932" w14:textId="77777777" w:rsidR="007E69A4" w:rsidRPr="007E69A4" w:rsidRDefault="007E69A4" w:rsidP="007E69A4">
      <w:pPr>
        <w:pStyle w:val="ListParagraph"/>
        <w:keepNext/>
        <w:keepLines/>
        <w:numPr>
          <w:ilvl w:val="0"/>
          <w:numId w:val="62"/>
        </w:numPr>
        <w:spacing w:before="360"/>
        <w:contextualSpacing w:val="0"/>
        <w:jc w:val="center"/>
        <w:outlineLvl w:val="0"/>
        <w:rPr>
          <w:rStyle w:val="ItalicEIB"/>
          <w:rFonts w:eastAsiaTheme="majorEastAsia" w:cstheme="majorBidi"/>
          <w:b/>
          <w:i w:val="0"/>
          <w:iCs/>
          <w:caps/>
          <w:vanish/>
          <w:color w:val="auto"/>
          <w:u w:val="single"/>
          <w:lang w:val="hr-HR"/>
        </w:rPr>
      </w:pPr>
      <w:bookmarkStart w:id="546" w:name="_Toc440722263"/>
      <w:bookmarkStart w:id="547" w:name="_Toc440722454"/>
      <w:bookmarkStart w:id="548" w:name="_Toc440722644"/>
      <w:bookmarkStart w:id="549" w:name="_Toc440894520"/>
      <w:bookmarkStart w:id="550" w:name="_Toc440722264"/>
      <w:bookmarkStart w:id="551" w:name="_Toc440722455"/>
      <w:bookmarkStart w:id="552" w:name="_Toc440722645"/>
      <w:bookmarkStart w:id="553" w:name="_Toc440894521"/>
      <w:bookmarkStart w:id="554" w:name="_Toc440722265"/>
      <w:bookmarkStart w:id="555" w:name="_Toc440722456"/>
      <w:bookmarkStart w:id="556" w:name="_Toc440722646"/>
      <w:bookmarkStart w:id="557" w:name="_Toc440894522"/>
      <w:bookmarkStart w:id="558" w:name="_Toc440722266"/>
      <w:bookmarkStart w:id="559" w:name="_Toc440722457"/>
      <w:bookmarkStart w:id="560" w:name="_Toc440722647"/>
      <w:bookmarkStart w:id="561" w:name="_Toc440894523"/>
      <w:bookmarkStart w:id="562" w:name="_Toc440722267"/>
      <w:bookmarkStart w:id="563" w:name="_Toc440722458"/>
      <w:bookmarkStart w:id="564" w:name="_Toc440722648"/>
      <w:bookmarkStart w:id="565" w:name="_Toc440894524"/>
      <w:bookmarkStart w:id="566" w:name="_Toc440722268"/>
      <w:bookmarkStart w:id="567" w:name="_Toc440722459"/>
      <w:bookmarkStart w:id="568" w:name="_Toc440722649"/>
      <w:bookmarkStart w:id="569" w:name="_Toc440894525"/>
      <w:bookmarkStart w:id="570" w:name="_Toc440722269"/>
      <w:bookmarkStart w:id="571" w:name="_Toc440722460"/>
      <w:bookmarkStart w:id="572" w:name="_Toc440722650"/>
      <w:bookmarkStart w:id="573" w:name="_Toc440894526"/>
      <w:bookmarkStart w:id="574" w:name="_Toc440722270"/>
      <w:bookmarkStart w:id="575" w:name="_Toc440722461"/>
      <w:bookmarkStart w:id="576" w:name="_Toc440722651"/>
      <w:bookmarkStart w:id="577" w:name="_Toc440894527"/>
      <w:bookmarkStart w:id="578" w:name="_Toc440722271"/>
      <w:bookmarkStart w:id="579" w:name="_Toc440722462"/>
      <w:bookmarkStart w:id="580" w:name="_Toc440722652"/>
      <w:bookmarkStart w:id="581" w:name="_Toc440894528"/>
      <w:bookmarkStart w:id="582" w:name="_Toc440722272"/>
      <w:bookmarkStart w:id="583" w:name="_Toc440722463"/>
      <w:bookmarkStart w:id="584" w:name="_Toc440722653"/>
      <w:bookmarkStart w:id="585" w:name="_Toc440894529"/>
      <w:bookmarkStart w:id="586" w:name="_Toc440722273"/>
      <w:bookmarkStart w:id="587" w:name="_Toc440722464"/>
      <w:bookmarkStart w:id="588" w:name="_Toc440722654"/>
      <w:bookmarkStart w:id="589" w:name="_Toc440894530"/>
      <w:bookmarkStart w:id="590" w:name="_Toc440722274"/>
      <w:bookmarkStart w:id="591" w:name="_Toc440722465"/>
      <w:bookmarkStart w:id="592" w:name="_Toc440722655"/>
      <w:bookmarkStart w:id="593" w:name="_Toc440894531"/>
      <w:bookmarkStart w:id="594" w:name="_Toc440722275"/>
      <w:bookmarkStart w:id="595" w:name="_Toc440722466"/>
      <w:bookmarkStart w:id="596" w:name="_Toc440722656"/>
      <w:bookmarkStart w:id="597" w:name="_Toc440894532"/>
      <w:bookmarkStart w:id="598" w:name="_Toc440722276"/>
      <w:bookmarkStart w:id="599" w:name="_Toc440722467"/>
      <w:bookmarkStart w:id="600" w:name="_Toc440722657"/>
      <w:bookmarkStart w:id="601" w:name="_Toc440894533"/>
      <w:bookmarkStart w:id="602" w:name="_Toc440722277"/>
      <w:bookmarkStart w:id="603" w:name="_Toc440722468"/>
      <w:bookmarkStart w:id="604" w:name="_Toc440722658"/>
      <w:bookmarkStart w:id="605" w:name="_Toc440894534"/>
      <w:bookmarkStart w:id="606" w:name="_Toc440722278"/>
      <w:bookmarkStart w:id="607" w:name="_Toc440722469"/>
      <w:bookmarkStart w:id="608" w:name="_Toc440722659"/>
      <w:bookmarkStart w:id="609" w:name="_Toc440894535"/>
      <w:bookmarkStart w:id="610" w:name="_Toc440722279"/>
      <w:bookmarkStart w:id="611" w:name="_Toc440722470"/>
      <w:bookmarkStart w:id="612" w:name="_Toc440722660"/>
      <w:bookmarkStart w:id="613" w:name="_Toc440894536"/>
      <w:bookmarkStart w:id="614" w:name="_Toc440722280"/>
      <w:bookmarkStart w:id="615" w:name="_Toc440722471"/>
      <w:bookmarkStart w:id="616" w:name="_Toc440722661"/>
      <w:bookmarkStart w:id="617" w:name="_Toc440894537"/>
      <w:bookmarkStart w:id="618" w:name="_Toc440722281"/>
      <w:bookmarkStart w:id="619" w:name="_Toc440722472"/>
      <w:bookmarkStart w:id="620" w:name="_Toc440722662"/>
      <w:bookmarkStart w:id="621" w:name="_Toc440894538"/>
      <w:bookmarkStart w:id="622" w:name="_Toc440722282"/>
      <w:bookmarkStart w:id="623" w:name="_Toc440722473"/>
      <w:bookmarkStart w:id="624" w:name="_Toc440722663"/>
      <w:bookmarkStart w:id="625" w:name="_Toc440894539"/>
      <w:bookmarkStart w:id="626" w:name="_Toc440722283"/>
      <w:bookmarkStart w:id="627" w:name="_Toc440722474"/>
      <w:bookmarkStart w:id="628" w:name="_Toc440722664"/>
      <w:bookmarkStart w:id="629" w:name="_Toc440894540"/>
      <w:bookmarkStart w:id="630" w:name="_Toc440722284"/>
      <w:bookmarkStart w:id="631" w:name="_Toc440722475"/>
      <w:bookmarkStart w:id="632" w:name="_Toc440722665"/>
      <w:bookmarkStart w:id="633" w:name="_Toc440894541"/>
      <w:bookmarkStart w:id="634" w:name="_Toc440722285"/>
      <w:bookmarkStart w:id="635" w:name="_Toc440722476"/>
      <w:bookmarkStart w:id="636" w:name="_Toc440722666"/>
      <w:bookmarkStart w:id="637" w:name="_Toc440894542"/>
      <w:bookmarkStart w:id="638" w:name="_Toc440722286"/>
      <w:bookmarkStart w:id="639" w:name="_Toc440722477"/>
      <w:bookmarkStart w:id="640" w:name="_Toc440722667"/>
      <w:bookmarkStart w:id="641" w:name="_Toc440894543"/>
      <w:bookmarkStart w:id="642" w:name="_Toc440722287"/>
      <w:bookmarkStart w:id="643" w:name="_Toc440722478"/>
      <w:bookmarkStart w:id="644" w:name="_Toc440722668"/>
      <w:bookmarkStart w:id="645" w:name="_Toc440894544"/>
      <w:bookmarkStart w:id="646" w:name="_Ref426640672"/>
      <w:bookmarkStart w:id="647" w:name="_Ref426641391"/>
      <w:bookmarkStart w:id="648" w:name="_Toc475441175"/>
      <w:bookmarkStart w:id="649" w:name="_Toc498018670"/>
      <w:bookmarkStart w:id="650" w:name="_Toc508120537"/>
      <w:bookmarkStart w:id="651" w:name="_Toc126080727"/>
      <w:bookmarkStart w:id="652" w:name="_Toc12608085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30B7FAD5" w14:textId="6625DA72" w:rsidR="007A2A6F" w:rsidRPr="00653DCF" w:rsidRDefault="00BD4774" w:rsidP="007E69A4">
      <w:pPr>
        <w:pStyle w:val="Heading2"/>
        <w:ind w:left="851"/>
        <w:rPr>
          <w:lang w:val="hr-HR"/>
        </w:rPr>
      </w:pPr>
      <w:r w:rsidRPr="00653DCF">
        <w:rPr>
          <w:rStyle w:val="ItalicEIB"/>
          <w:i w:val="0"/>
          <w:iCs/>
          <w:color w:val="auto"/>
          <w:lang w:val="hr-HR"/>
        </w:rPr>
        <w:t>Položaj jednakih prava (</w:t>
      </w:r>
      <w:r w:rsidRPr="00653DCF">
        <w:rPr>
          <w:rStyle w:val="ItalicEIB"/>
          <w:color w:val="auto"/>
          <w:lang w:val="hr-HR"/>
        </w:rPr>
        <w:t>p</w:t>
      </w:r>
      <w:r w:rsidR="00E87B0B" w:rsidRPr="00653DCF">
        <w:rPr>
          <w:rStyle w:val="ItalicEIB"/>
          <w:color w:val="auto"/>
          <w:lang w:val="hr-HR"/>
        </w:rPr>
        <w:t>ari passu</w:t>
      </w:r>
      <w:bookmarkEnd w:id="646"/>
      <w:bookmarkEnd w:id="647"/>
      <w:bookmarkEnd w:id="648"/>
      <w:bookmarkEnd w:id="649"/>
      <w:bookmarkEnd w:id="650"/>
      <w:bookmarkEnd w:id="651"/>
      <w:bookmarkEnd w:id="652"/>
      <w:r w:rsidRPr="00653DCF">
        <w:rPr>
          <w:lang w:val="hr-HR"/>
        </w:rPr>
        <w:t>)</w:t>
      </w:r>
    </w:p>
    <w:p w14:paraId="39103B33" w14:textId="31876B42" w:rsidR="00BD4774" w:rsidRPr="00653DCF" w:rsidRDefault="00E87B0B">
      <w:pPr>
        <w:rPr>
          <w:color w:val="auto"/>
          <w:lang w:val="hr-HR"/>
        </w:rPr>
      </w:pPr>
      <w:r w:rsidRPr="00653DCF">
        <w:rPr>
          <w:color w:val="auto"/>
          <w:lang w:val="hr-HR"/>
        </w:rPr>
        <w:t>Zajmoprimac</w:t>
      </w:r>
      <w:r w:rsidR="00BD4774" w:rsidRPr="00653DCF">
        <w:rPr>
          <w:color w:val="auto"/>
          <w:lang w:val="hr-HR"/>
        </w:rPr>
        <w:t xml:space="preserve"> osigurava da njegove obveze plaćanja prema ovom Ugovoru imaju i da će imati barem jednak položaj (</w:t>
      </w:r>
      <w:r w:rsidR="00BD4774" w:rsidRPr="00653DCF">
        <w:rPr>
          <w:i/>
          <w:iCs/>
          <w:color w:val="auto"/>
          <w:lang w:val="hr-HR"/>
        </w:rPr>
        <w:t>pari passu</w:t>
      </w:r>
      <w:r w:rsidR="00BD4774" w:rsidRPr="00653DCF">
        <w:rPr>
          <w:color w:val="auto"/>
          <w:lang w:val="hr-HR"/>
        </w:rPr>
        <w:t xml:space="preserve">) u pogledu plaćanja u odnosu na sve druge sadašnje i buduće neosigurane obveze prema bilo kojem njegovom dužničkom instrumentu, osim obveza koje zakon koji se primjenjuje na trgovačka društva </w:t>
      </w:r>
      <w:r w:rsidR="00A04BCD" w:rsidRPr="00653DCF">
        <w:rPr>
          <w:color w:val="auto"/>
          <w:lang w:val="hr-HR"/>
        </w:rPr>
        <w:t>opć</w:t>
      </w:r>
      <w:r w:rsidR="00BD4774" w:rsidRPr="00653DCF">
        <w:rPr>
          <w:color w:val="auto"/>
          <w:lang w:val="hr-HR"/>
        </w:rPr>
        <w:t>enito tretira kao obvezujuće prioritetne.</w:t>
      </w:r>
    </w:p>
    <w:p w14:paraId="4AD01DD8" w14:textId="4982B3FD" w:rsidR="00BD4774" w:rsidRPr="00653DCF" w:rsidRDefault="0077387F">
      <w:pPr>
        <w:rPr>
          <w:color w:val="auto"/>
          <w:lang w:val="hr-HR"/>
        </w:rPr>
      </w:pPr>
      <w:r w:rsidRPr="00653DCF">
        <w:rPr>
          <w:color w:val="auto"/>
          <w:lang w:val="hr-HR"/>
        </w:rPr>
        <w:t>Poglavito</w:t>
      </w:r>
      <w:r w:rsidR="00BD4774" w:rsidRPr="00653DCF">
        <w:rPr>
          <w:color w:val="auto"/>
          <w:lang w:val="hr-HR"/>
        </w:rPr>
        <w:t xml:space="preserve">, ako Banka podnese zahtjev u skladu s člankom 10.1. ili ako je događaj ili potencijalni događaj neispunjenja obveza prema bilo kojem neosiguranom i </w:t>
      </w:r>
      <w:r w:rsidR="0086633E" w:rsidRPr="00653DCF">
        <w:rPr>
          <w:color w:val="auto"/>
          <w:lang w:val="hr-HR"/>
        </w:rPr>
        <w:t>nepodređenom</w:t>
      </w:r>
      <w:r w:rsidR="00BD4774" w:rsidRPr="00653DCF">
        <w:rPr>
          <w:color w:val="auto"/>
          <w:lang w:val="hr-HR"/>
        </w:rPr>
        <w:t xml:space="preserve"> dužničkom instrumentu Zajmoprimca ili bilo koje njegove agencije ili njegovih sredstava nastupio i traje, Zajmoprimac neće</w:t>
      </w:r>
      <w:r w:rsidR="0086633E" w:rsidRPr="00653DCF">
        <w:rPr>
          <w:color w:val="auto"/>
          <w:lang w:val="hr-HR"/>
        </w:rPr>
        <w:t xml:space="preserve"> izvršiti (ni odobriti) plaćanje povezano s bilo kojim drugim takvim dužničkim instrumentom (neovisno o tome je li redovito raspoređen u planu otplate ili ne), a da istodobno ne plati, ili rasporedi na namjenski račun za plaćanje na sljedeći datum plaćanja, iznos udjela neotplaćeno duga prema ovom Ugovoru koji odgovara onom udjelu koji plaćanje prema takvom dužničkom instrumentu ima u ukupno neotplaćenom dugu prema tom instrumentu. U tu svrhu, svako plaćanje dužničkog instrumenta koje se izvrši iz sredstava izdanja drugog instrumenta, na koji su se velikim dijelom upisale za poravnanje iste osobe koje imaju potraživanja po dužničkom instrumentu, bit će odbijeno.</w:t>
      </w:r>
    </w:p>
    <w:p w14:paraId="25E7F97F" w14:textId="10B0A862" w:rsidR="0086633E" w:rsidRPr="00653DCF" w:rsidRDefault="00E87B0B">
      <w:pPr>
        <w:rPr>
          <w:color w:val="auto"/>
          <w:lang w:val="hr-HR"/>
        </w:rPr>
      </w:pPr>
      <w:r w:rsidRPr="00653DCF">
        <w:rPr>
          <w:color w:val="auto"/>
          <w:lang w:val="hr-HR"/>
        </w:rPr>
        <w:t>U ovom Ugovoru „</w:t>
      </w:r>
      <w:r w:rsidRPr="00653DCF">
        <w:rPr>
          <w:b/>
          <w:color w:val="auto"/>
          <w:lang w:val="hr-HR"/>
        </w:rPr>
        <w:t>dužnički instrument</w:t>
      </w:r>
      <w:r w:rsidRPr="00653DCF">
        <w:rPr>
          <w:bCs/>
          <w:color w:val="auto"/>
          <w:lang w:val="hr-HR"/>
        </w:rPr>
        <w:t>”</w:t>
      </w:r>
      <w:r w:rsidR="0086633E" w:rsidRPr="00653DCF">
        <w:rPr>
          <w:b/>
          <w:color w:val="auto"/>
          <w:lang w:val="hr-HR"/>
        </w:rPr>
        <w:t xml:space="preserve"> </w:t>
      </w:r>
      <w:r w:rsidRPr="00653DCF">
        <w:rPr>
          <w:color w:val="auto"/>
          <w:lang w:val="hr-HR"/>
        </w:rPr>
        <w:t xml:space="preserve">znači (a) instrument, uključujući </w:t>
      </w:r>
      <w:r w:rsidR="0086633E" w:rsidRPr="00653DCF">
        <w:rPr>
          <w:color w:val="auto"/>
          <w:lang w:val="hr-HR"/>
        </w:rPr>
        <w:t>svaku potvrdu o plaćenom računu ili bankovni izvadak, kojim se dokazuje ili koji stvar</w:t>
      </w:r>
      <w:r w:rsidR="00240FB4" w:rsidRPr="00653DCF">
        <w:rPr>
          <w:color w:val="auto"/>
          <w:lang w:val="hr-HR"/>
        </w:rPr>
        <w:t>a</w:t>
      </w:r>
      <w:r w:rsidR="0086633E" w:rsidRPr="00653DCF">
        <w:rPr>
          <w:color w:val="auto"/>
          <w:lang w:val="hr-HR"/>
        </w:rPr>
        <w:t xml:space="preserve"> obvezu otplate zajma, pologa, predujma ili sličnog produženja kredita (uključujući, bez ograničenja, bilo koje produženje kredita prema sporazumu o refinanciranju ili reprogramiranju), (b) obveza dokazana obveznicom, zadužnicom ili sličnim pisanim dokazom zaduženja, ili (c) jamstvo za obvezu koja proizlazi iz dužničkog instrumenta neke druge osobe.</w:t>
      </w:r>
    </w:p>
    <w:p w14:paraId="543B2571" w14:textId="60E09216" w:rsidR="007A2A6F" w:rsidRPr="00653DCF" w:rsidRDefault="00E87B0B" w:rsidP="00613099">
      <w:pPr>
        <w:pStyle w:val="Heading2"/>
        <w:ind w:left="851"/>
        <w:rPr>
          <w:color w:val="auto"/>
          <w:lang w:val="hr-HR"/>
        </w:rPr>
      </w:pPr>
      <w:bookmarkStart w:id="653" w:name="_Ref427039348"/>
      <w:bookmarkStart w:id="654" w:name="_Ref427245417"/>
      <w:r w:rsidRPr="00653DCF">
        <w:rPr>
          <w:color w:val="auto"/>
          <w:lang w:val="hr-HR"/>
        </w:rPr>
        <w:t xml:space="preserve">Dodatna </w:t>
      </w:r>
      <w:r w:rsidR="0086633E" w:rsidRPr="00653DCF">
        <w:rPr>
          <w:color w:val="auto"/>
          <w:lang w:val="hr-HR"/>
        </w:rPr>
        <w:t>osiguranja</w:t>
      </w:r>
    </w:p>
    <w:p w14:paraId="3E47766C" w14:textId="3892D204" w:rsidR="005A2F1C" w:rsidRPr="00653DCF" w:rsidRDefault="005A2F1C">
      <w:pPr>
        <w:widowControl w:val="0"/>
        <w:rPr>
          <w:color w:val="auto"/>
          <w:lang w:val="hr-HR"/>
        </w:rPr>
      </w:pPr>
      <w:r w:rsidRPr="00653DCF">
        <w:rPr>
          <w:color w:val="auto"/>
          <w:lang w:val="hr-HR"/>
        </w:rPr>
        <w:t xml:space="preserve">Ako Zajmoprimac trećoj strani </w:t>
      </w:r>
      <w:r w:rsidR="00FD2C35" w:rsidRPr="00653DCF">
        <w:rPr>
          <w:color w:val="auto"/>
          <w:lang w:val="hr-HR"/>
        </w:rPr>
        <w:t xml:space="preserve">dade </w:t>
      </w:r>
      <w:r w:rsidRPr="00653DCF">
        <w:rPr>
          <w:color w:val="auto"/>
          <w:lang w:val="hr-HR"/>
        </w:rPr>
        <w:t>osiguranje za izvršenje nekog dužničkog instrumenta ili prednost ili prioritet u vezi s njim, Zajmoprimac će, ako to bude zahtijevala Banka, Banci dati jednakovrijedno osiguranje za izvršenje svoj obveza prema ovom Ugovoru</w:t>
      </w:r>
      <w:r w:rsidR="00240FB4" w:rsidRPr="00653DCF">
        <w:rPr>
          <w:color w:val="auto"/>
          <w:lang w:val="hr-HR"/>
        </w:rPr>
        <w:t xml:space="preserve"> </w:t>
      </w:r>
      <w:r w:rsidRPr="00653DCF">
        <w:rPr>
          <w:color w:val="auto"/>
          <w:lang w:val="hr-HR"/>
        </w:rPr>
        <w:t xml:space="preserve">ili će </w:t>
      </w:r>
      <w:r w:rsidR="00240FB4" w:rsidRPr="00653DCF">
        <w:rPr>
          <w:color w:val="auto"/>
          <w:lang w:val="hr-HR"/>
        </w:rPr>
        <w:t xml:space="preserve">joj </w:t>
      </w:r>
      <w:r w:rsidRPr="00653DCF">
        <w:rPr>
          <w:color w:val="auto"/>
          <w:lang w:val="hr-HR"/>
        </w:rPr>
        <w:t>dati jednakovrijednu prednost ili prioritet.</w:t>
      </w:r>
    </w:p>
    <w:p w14:paraId="7B02525C" w14:textId="6086D4AF" w:rsidR="007A2A6F" w:rsidRPr="00653DCF" w:rsidRDefault="005A2F1C" w:rsidP="00613099">
      <w:pPr>
        <w:pStyle w:val="P68B1DB1-Heading27"/>
        <w:ind w:left="851"/>
        <w:rPr>
          <w:color w:val="auto"/>
          <w:lang w:val="hr-HR"/>
        </w:rPr>
      </w:pPr>
      <w:r w:rsidRPr="00653DCF">
        <w:rPr>
          <w:color w:val="auto"/>
          <w:lang w:val="hr-HR"/>
        </w:rPr>
        <w:t>Uvrštene klauzule</w:t>
      </w:r>
    </w:p>
    <w:p w14:paraId="498900C0" w14:textId="7D838856" w:rsidR="005A2F1C" w:rsidRPr="00653DCF" w:rsidRDefault="005A2F1C">
      <w:pPr>
        <w:pStyle w:val="P68B1DB1-Normal1"/>
        <w:widowControl w:val="0"/>
        <w:rPr>
          <w:color w:val="auto"/>
          <w:lang w:val="hr-HR"/>
        </w:rPr>
      </w:pPr>
      <w:r w:rsidRPr="00653DCF">
        <w:rPr>
          <w:color w:val="auto"/>
          <w:lang w:val="hr-HR"/>
        </w:rPr>
        <w:t>Ako Zajmoprimac s bilo kojim drugim srednjoročnim ili dugoročnim financijskim vjerovnikom sklopi sporazum o financiranju koji uključuje klauzulu o padu boniteta, odnosno obvezu ili drugu odredbu koja se odnosi na položaj jednakih prava (</w:t>
      </w:r>
      <w:r w:rsidRPr="00653DCF">
        <w:rPr>
          <w:i/>
          <w:iCs/>
          <w:color w:val="auto"/>
          <w:lang w:val="hr-HR"/>
        </w:rPr>
        <w:t>pari passu</w:t>
      </w:r>
      <w:r w:rsidRPr="00653DCF">
        <w:rPr>
          <w:color w:val="auto"/>
          <w:lang w:val="hr-HR"/>
        </w:rPr>
        <w:t>) ili odredbu o zajedničkoj odgovornosti zbog neplaćanja, ako je to primjenjivo, a koja je stroža od jednakovrijedne odrede prema ovom Ugovoru, Zajmoprimac je dužan o tome obavijestiti Banku i, na zahtjev Banke, potpisati sporazum kojim će ovaj Ugovor izmijeniti i dopuniti tako da osigurava jednakovrijednu odredbu u korist Banke.</w:t>
      </w:r>
    </w:p>
    <w:p w14:paraId="16C5C586" w14:textId="770B2102" w:rsidR="007A2A6F" w:rsidRPr="00653DCF" w:rsidRDefault="007E69A4" w:rsidP="007E69A4">
      <w:pPr>
        <w:pStyle w:val="Heading1"/>
        <w:numPr>
          <w:ilvl w:val="0"/>
          <w:numId w:val="0"/>
        </w:numPr>
        <w:rPr>
          <w:color w:val="auto"/>
          <w:lang w:val="hr-HR"/>
        </w:rPr>
      </w:pPr>
      <w:bookmarkStart w:id="655" w:name="_Toc475441178"/>
      <w:bookmarkStart w:id="656" w:name="_Toc498018673"/>
      <w:bookmarkStart w:id="657" w:name="_Toc508120540"/>
      <w:bookmarkStart w:id="658" w:name="_Toc126080730"/>
      <w:bookmarkStart w:id="659" w:name="_Toc126080862"/>
      <w:bookmarkEnd w:id="653"/>
      <w:bookmarkEnd w:id="654"/>
      <w:bookmarkEnd w:id="655"/>
      <w:bookmarkEnd w:id="656"/>
      <w:bookmarkEnd w:id="657"/>
      <w:bookmarkEnd w:id="658"/>
      <w:bookmarkEnd w:id="659"/>
      <w:r>
        <w:rPr>
          <w:color w:val="auto"/>
          <w:lang w:val="hr-HR"/>
        </w:rPr>
        <w:lastRenderedPageBreak/>
        <w:t>ČLANAK 8</w:t>
      </w:r>
      <w:r w:rsidR="009C2330">
        <w:rPr>
          <w:color w:val="auto"/>
          <w:lang w:val="hr-HR"/>
        </w:rPr>
        <w:t>.</w:t>
      </w:r>
    </w:p>
    <w:p w14:paraId="3C375E7A" w14:textId="77777777" w:rsidR="007A2A6F" w:rsidRPr="00653DCF" w:rsidRDefault="00E87B0B">
      <w:pPr>
        <w:pStyle w:val="ArticleTitleEIB"/>
        <w:rPr>
          <w:color w:val="auto"/>
          <w:lang w:val="hr-HR"/>
        </w:rPr>
      </w:pPr>
      <w:r w:rsidRPr="00653DCF">
        <w:rPr>
          <w:color w:val="auto"/>
          <w:lang w:val="hr-HR"/>
        </w:rPr>
        <w:t>Informacije i posjeti</w:t>
      </w:r>
    </w:p>
    <w:p w14:paraId="341ADF5F" w14:textId="77777777" w:rsidR="007E69A4" w:rsidRPr="007E69A4" w:rsidRDefault="007E69A4" w:rsidP="007E69A4">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bookmarkStart w:id="660" w:name="_Ref426640702"/>
      <w:bookmarkStart w:id="661" w:name="_Toc475441179"/>
      <w:bookmarkStart w:id="662" w:name="_Toc498018674"/>
      <w:bookmarkStart w:id="663" w:name="_Ref427242000"/>
      <w:bookmarkStart w:id="664" w:name="_Toc508120541"/>
      <w:bookmarkStart w:id="665" w:name="_Toc126080731"/>
      <w:bookmarkStart w:id="666" w:name="_Toc126080863"/>
    </w:p>
    <w:p w14:paraId="33303C06" w14:textId="1D3FCFFD" w:rsidR="007A2A6F" w:rsidRPr="00653DCF" w:rsidRDefault="00E87B0B" w:rsidP="007E69A4">
      <w:pPr>
        <w:pStyle w:val="Heading2"/>
        <w:ind w:left="851"/>
        <w:rPr>
          <w:lang w:val="hr-HR"/>
        </w:rPr>
      </w:pPr>
      <w:r w:rsidRPr="00653DCF">
        <w:rPr>
          <w:lang w:val="hr-HR"/>
        </w:rPr>
        <w:t xml:space="preserve">Informacije o </w:t>
      </w:r>
      <w:r w:rsidR="005A2F1C" w:rsidRPr="00653DCF">
        <w:rPr>
          <w:lang w:val="hr-HR"/>
        </w:rPr>
        <w:t>P</w:t>
      </w:r>
      <w:r w:rsidRPr="00653DCF">
        <w:rPr>
          <w:lang w:val="hr-HR"/>
        </w:rPr>
        <w:t>rojektu</w:t>
      </w:r>
      <w:bookmarkEnd w:id="660"/>
      <w:bookmarkEnd w:id="661"/>
      <w:bookmarkEnd w:id="662"/>
      <w:bookmarkEnd w:id="663"/>
      <w:bookmarkEnd w:id="664"/>
      <w:bookmarkEnd w:id="665"/>
      <w:bookmarkEnd w:id="666"/>
    </w:p>
    <w:p w14:paraId="5C7B7384" w14:textId="514535CC" w:rsidR="007A2A6F" w:rsidRPr="00653DCF" w:rsidRDefault="00E87B0B">
      <w:pPr>
        <w:rPr>
          <w:color w:val="auto"/>
          <w:lang w:val="hr-HR"/>
        </w:rPr>
      </w:pPr>
      <w:r w:rsidRPr="00653DCF">
        <w:rPr>
          <w:color w:val="auto"/>
          <w:lang w:val="hr-HR"/>
        </w:rPr>
        <w:t>Zajmoprimac će</w:t>
      </w:r>
      <w:r w:rsidR="00B45E82" w:rsidRPr="00653DCF">
        <w:rPr>
          <w:color w:val="auto"/>
          <w:lang w:val="hr-HR"/>
        </w:rPr>
        <w:t xml:space="preserve"> napraviti </w:t>
      </w:r>
      <w:r w:rsidR="00243D8C" w:rsidRPr="00653DCF">
        <w:rPr>
          <w:color w:val="auto"/>
          <w:lang w:val="hr-HR"/>
        </w:rPr>
        <w:t xml:space="preserve">kako je </w:t>
      </w:r>
      <w:r w:rsidR="0053006B" w:rsidRPr="00653DCF">
        <w:rPr>
          <w:color w:val="auto"/>
          <w:lang w:val="hr-HR"/>
        </w:rPr>
        <w:t>navedeno</w:t>
      </w:r>
      <w:r w:rsidR="00243D8C" w:rsidRPr="00653DCF">
        <w:rPr>
          <w:color w:val="auto"/>
          <w:lang w:val="hr-HR"/>
        </w:rPr>
        <w:t xml:space="preserve"> u nastavku </w:t>
      </w:r>
      <w:r w:rsidR="00240FB4" w:rsidRPr="00653DCF">
        <w:rPr>
          <w:color w:val="auto"/>
          <w:lang w:val="hr-HR"/>
        </w:rPr>
        <w:t xml:space="preserve">ili će osigurati da Nositelj ili Projektno društvo </w:t>
      </w:r>
      <w:r w:rsidR="00B45E82" w:rsidRPr="00653DCF">
        <w:rPr>
          <w:color w:val="auto"/>
          <w:lang w:val="hr-HR"/>
        </w:rPr>
        <w:t xml:space="preserve">naprave kako je navedeno u </w:t>
      </w:r>
      <w:r w:rsidR="00243D8C" w:rsidRPr="00653DCF">
        <w:rPr>
          <w:color w:val="auto"/>
          <w:lang w:val="hr-HR"/>
        </w:rPr>
        <w:t>nastavku</w:t>
      </w:r>
      <w:r w:rsidRPr="00653DCF">
        <w:rPr>
          <w:color w:val="auto"/>
          <w:lang w:val="hr-HR"/>
        </w:rPr>
        <w:t>:</w:t>
      </w:r>
    </w:p>
    <w:p w14:paraId="070B77C8" w14:textId="77777777" w:rsidR="007A2A6F" w:rsidRPr="00653DCF" w:rsidRDefault="00E87B0B">
      <w:pPr>
        <w:pStyle w:val="NoIndentEIB"/>
        <w:numPr>
          <w:ilvl w:val="0"/>
          <w:numId w:val="28"/>
        </w:numPr>
        <w:rPr>
          <w:color w:val="auto"/>
          <w:lang w:val="hr-HR"/>
        </w:rPr>
      </w:pPr>
      <w:bookmarkStart w:id="667" w:name="_Ref427251917"/>
      <w:r w:rsidRPr="00653DCF">
        <w:rPr>
          <w:color w:val="auto"/>
          <w:lang w:val="hr-HR"/>
        </w:rPr>
        <w:t>dostaviti Banci:</w:t>
      </w:r>
      <w:bookmarkEnd w:id="667"/>
    </w:p>
    <w:p w14:paraId="5DFEEB8D" w14:textId="7ACD77F2" w:rsidR="007A2A6F" w:rsidRPr="00653DCF" w:rsidRDefault="00E87B0B">
      <w:pPr>
        <w:pStyle w:val="NoIndentEIB"/>
        <w:numPr>
          <w:ilvl w:val="1"/>
          <w:numId w:val="28"/>
        </w:numPr>
        <w:rPr>
          <w:color w:val="auto"/>
          <w:lang w:val="hr-HR"/>
        </w:rPr>
      </w:pPr>
      <w:bookmarkStart w:id="668" w:name="_Ref497992544"/>
      <w:r w:rsidRPr="00653DCF">
        <w:rPr>
          <w:color w:val="auto"/>
          <w:lang w:val="hr-HR"/>
        </w:rPr>
        <w:t xml:space="preserve">informacije u sadržaju i obliku te u </w:t>
      </w:r>
      <w:r w:rsidR="00EC565A" w:rsidRPr="00653DCF">
        <w:rPr>
          <w:color w:val="auto"/>
          <w:lang w:val="hr-HR"/>
        </w:rPr>
        <w:t>rokovima</w:t>
      </w:r>
      <w:r w:rsidRPr="00653DCF">
        <w:rPr>
          <w:color w:val="auto"/>
          <w:lang w:val="hr-HR"/>
        </w:rPr>
        <w:t xml:space="preserve"> </w:t>
      </w:r>
      <w:r w:rsidR="00EC565A" w:rsidRPr="00653DCF">
        <w:rPr>
          <w:color w:val="auto"/>
          <w:lang w:val="hr-HR"/>
        </w:rPr>
        <w:t xml:space="preserve">navedenim </w:t>
      </w:r>
      <w:r w:rsidRPr="00653DCF">
        <w:rPr>
          <w:color w:val="auto"/>
          <w:lang w:val="hr-HR"/>
        </w:rPr>
        <w:t xml:space="preserve">u </w:t>
      </w:r>
      <w:r w:rsidR="00EC565A" w:rsidRPr="00653DCF">
        <w:rPr>
          <w:color w:val="auto"/>
          <w:lang w:val="hr-HR"/>
        </w:rPr>
        <w:t>Prilogu</w:t>
      </w:r>
      <w:r w:rsidRPr="00653DCF">
        <w:rPr>
          <w:color w:val="auto"/>
          <w:lang w:val="hr-HR"/>
        </w:rPr>
        <w:t xml:space="preserve"> </w:t>
      </w:r>
      <w:r w:rsidR="00AD1BEF" w:rsidRPr="00653DCF">
        <w:rPr>
          <w:color w:val="auto"/>
          <w:lang w:val="hr-HR"/>
        </w:rPr>
        <w:t>A.2</w:t>
      </w:r>
      <w:r w:rsidRPr="00653DCF">
        <w:rPr>
          <w:color w:val="auto"/>
          <w:lang w:val="hr-HR"/>
        </w:rPr>
        <w:t xml:space="preserve"> ili </w:t>
      </w:r>
      <w:r w:rsidR="00240FB4" w:rsidRPr="00653DCF">
        <w:rPr>
          <w:color w:val="auto"/>
          <w:lang w:val="hr-HR"/>
        </w:rPr>
        <w:t>drukčije kako s</w:t>
      </w:r>
      <w:r w:rsidR="00EA7503" w:rsidRPr="00653DCF">
        <w:rPr>
          <w:color w:val="auto"/>
          <w:lang w:val="hr-HR"/>
        </w:rPr>
        <w:t>e s</w:t>
      </w:r>
      <w:r w:rsidR="00240FB4" w:rsidRPr="00653DCF">
        <w:rPr>
          <w:color w:val="auto"/>
          <w:lang w:val="hr-HR"/>
        </w:rPr>
        <w:t xml:space="preserve"> vremena na vrijeme dogovore stran</w:t>
      </w:r>
      <w:r w:rsidR="00E12432" w:rsidRPr="00653DCF">
        <w:rPr>
          <w:color w:val="auto"/>
          <w:lang w:val="hr-HR"/>
        </w:rPr>
        <w:t>k</w:t>
      </w:r>
      <w:r w:rsidR="00240FB4" w:rsidRPr="00653DCF">
        <w:rPr>
          <w:color w:val="auto"/>
          <w:lang w:val="hr-HR"/>
        </w:rPr>
        <w:t>e ovog Ugovora</w:t>
      </w:r>
      <w:r w:rsidRPr="00653DCF">
        <w:rPr>
          <w:color w:val="auto"/>
          <w:lang w:val="hr-HR"/>
        </w:rPr>
        <w:t>; i</w:t>
      </w:r>
      <w:bookmarkEnd w:id="668"/>
      <w:r w:rsidRPr="00653DCF">
        <w:rPr>
          <w:color w:val="auto"/>
          <w:lang w:val="hr-HR"/>
        </w:rPr>
        <w:t xml:space="preserve"> </w:t>
      </w:r>
    </w:p>
    <w:p w14:paraId="179F6D65" w14:textId="441FA893" w:rsidR="007A2A6F" w:rsidRPr="00653DCF" w:rsidRDefault="00E87B0B">
      <w:pPr>
        <w:pStyle w:val="NoIndentEIB"/>
        <w:numPr>
          <w:ilvl w:val="1"/>
          <w:numId w:val="28"/>
        </w:numPr>
        <w:rPr>
          <w:color w:val="auto"/>
          <w:lang w:val="hr-HR"/>
        </w:rPr>
      </w:pPr>
      <w:r w:rsidRPr="00653DCF">
        <w:rPr>
          <w:color w:val="auto"/>
          <w:lang w:val="hr-HR"/>
        </w:rPr>
        <w:t xml:space="preserve">sve takve informacije ili </w:t>
      </w:r>
      <w:r w:rsidR="00EC565A" w:rsidRPr="00653DCF">
        <w:rPr>
          <w:color w:val="auto"/>
          <w:lang w:val="hr-HR"/>
        </w:rPr>
        <w:t xml:space="preserve">ostale </w:t>
      </w:r>
      <w:r w:rsidRPr="00653DCF">
        <w:rPr>
          <w:color w:val="auto"/>
          <w:lang w:val="hr-HR"/>
        </w:rPr>
        <w:t xml:space="preserve">dokumente koji se odnose na financiranje, nabavu, provedbu, </w:t>
      </w:r>
      <w:r w:rsidR="00EC565A" w:rsidRPr="00653DCF">
        <w:rPr>
          <w:color w:val="auto"/>
          <w:lang w:val="hr-HR"/>
        </w:rPr>
        <w:t xml:space="preserve">funkcioniranje i pitanja vezano za okoliš </w:t>
      </w:r>
      <w:r w:rsidRPr="00653DCF">
        <w:rPr>
          <w:color w:val="auto"/>
          <w:lang w:val="hr-HR"/>
        </w:rPr>
        <w:t xml:space="preserve">ili socijalna pitanja </w:t>
      </w:r>
      <w:r w:rsidR="00240FB4" w:rsidRPr="00653DCF">
        <w:rPr>
          <w:color w:val="auto"/>
          <w:lang w:val="hr-HR"/>
        </w:rPr>
        <w:t xml:space="preserve">o ili za </w:t>
      </w:r>
      <w:r w:rsidRPr="00653DCF">
        <w:rPr>
          <w:color w:val="auto"/>
          <w:lang w:val="hr-HR"/>
        </w:rPr>
        <w:t xml:space="preserve">bilo koji </w:t>
      </w:r>
      <w:r w:rsidR="00EC565A" w:rsidRPr="00653DCF">
        <w:rPr>
          <w:color w:val="auto"/>
          <w:lang w:val="hr-HR"/>
        </w:rPr>
        <w:t xml:space="preserve">investicijski projekt </w:t>
      </w:r>
      <w:r w:rsidRPr="00653DCF">
        <w:rPr>
          <w:color w:val="auto"/>
          <w:lang w:val="hr-HR"/>
        </w:rPr>
        <w:t xml:space="preserve">koji Banka može </w:t>
      </w:r>
      <w:r w:rsidR="00EC565A" w:rsidRPr="00653DCF">
        <w:rPr>
          <w:color w:val="auto"/>
          <w:lang w:val="hr-HR"/>
        </w:rPr>
        <w:t xml:space="preserve">opravdano </w:t>
      </w:r>
      <w:r w:rsidRPr="00653DCF">
        <w:rPr>
          <w:color w:val="auto"/>
          <w:lang w:val="hr-HR"/>
        </w:rPr>
        <w:t>zahtijevati u razumnom roku,</w:t>
      </w:r>
    </w:p>
    <w:p w14:paraId="5A34881E" w14:textId="49E633A4" w:rsidR="007A2A6F" w:rsidRPr="00653DCF" w:rsidRDefault="00240FB4">
      <w:pPr>
        <w:ind w:left="1418"/>
        <w:rPr>
          <w:color w:val="auto"/>
          <w:lang w:val="hr-HR"/>
        </w:rPr>
      </w:pPr>
      <w:r w:rsidRPr="00653DCF">
        <w:rPr>
          <w:color w:val="auto"/>
          <w:lang w:val="hr-HR"/>
        </w:rPr>
        <w:t xml:space="preserve">uz uvjet </w:t>
      </w:r>
      <w:r w:rsidR="00E87B0B" w:rsidRPr="00653DCF">
        <w:rPr>
          <w:color w:val="auto"/>
          <w:lang w:val="hr-HR"/>
        </w:rPr>
        <w:t>da</w:t>
      </w:r>
      <w:r w:rsidRPr="00653DCF">
        <w:rPr>
          <w:color w:val="auto"/>
          <w:lang w:val="hr-HR"/>
        </w:rPr>
        <w:t>,</w:t>
      </w:r>
      <w:r w:rsidR="00E87B0B" w:rsidRPr="00653DCF">
        <w:rPr>
          <w:color w:val="auto"/>
          <w:lang w:val="hr-HR"/>
        </w:rPr>
        <w:t xml:space="preserve"> ako takve informacije ili dokumenti </w:t>
      </w:r>
      <w:r w:rsidRPr="00653DCF">
        <w:rPr>
          <w:color w:val="auto"/>
          <w:lang w:val="hr-HR"/>
        </w:rPr>
        <w:t xml:space="preserve">ne budu </w:t>
      </w:r>
      <w:r w:rsidR="00EC565A" w:rsidRPr="00653DCF">
        <w:rPr>
          <w:color w:val="auto"/>
          <w:lang w:val="hr-HR"/>
        </w:rPr>
        <w:t xml:space="preserve">dostavljeni Banci </w:t>
      </w:r>
      <w:r w:rsidR="00E87B0B" w:rsidRPr="00653DCF">
        <w:rPr>
          <w:color w:val="auto"/>
          <w:lang w:val="hr-HR"/>
        </w:rPr>
        <w:t xml:space="preserve">na vrijeme, a Zajmoprimac ili </w:t>
      </w:r>
      <w:r w:rsidR="004B388D" w:rsidRPr="00653DCF">
        <w:rPr>
          <w:color w:val="auto"/>
          <w:lang w:val="hr-HR"/>
        </w:rPr>
        <w:t xml:space="preserve">Nositelj </w:t>
      </w:r>
      <w:r w:rsidR="00E87B0B" w:rsidRPr="00653DCF">
        <w:rPr>
          <w:color w:val="auto"/>
          <w:lang w:val="hr-HR"/>
        </w:rPr>
        <w:t xml:space="preserve">ili </w:t>
      </w:r>
      <w:r w:rsidRPr="00653DCF">
        <w:rPr>
          <w:color w:val="auto"/>
          <w:lang w:val="hr-HR"/>
        </w:rPr>
        <w:t>P</w:t>
      </w:r>
      <w:r w:rsidR="00E87B0B" w:rsidRPr="00653DCF">
        <w:rPr>
          <w:color w:val="auto"/>
          <w:lang w:val="hr-HR"/>
        </w:rPr>
        <w:t xml:space="preserve">rojektno društvo ne otklone </w:t>
      </w:r>
      <w:r w:rsidRPr="00653DCF">
        <w:rPr>
          <w:color w:val="auto"/>
          <w:lang w:val="hr-HR"/>
        </w:rPr>
        <w:t xml:space="preserve">takav </w:t>
      </w:r>
      <w:r w:rsidR="00E87B0B" w:rsidRPr="00653DCF">
        <w:rPr>
          <w:color w:val="auto"/>
          <w:lang w:val="hr-HR"/>
        </w:rPr>
        <w:t xml:space="preserve">propust u razumnom roku koji Banka </w:t>
      </w:r>
      <w:r w:rsidRPr="00653DCF">
        <w:rPr>
          <w:color w:val="auto"/>
          <w:lang w:val="hr-HR"/>
        </w:rPr>
        <w:t xml:space="preserve">odredi </w:t>
      </w:r>
      <w:r w:rsidR="00E87B0B" w:rsidRPr="00653DCF">
        <w:rPr>
          <w:color w:val="auto"/>
          <w:lang w:val="hr-HR"/>
        </w:rPr>
        <w:t xml:space="preserve">u pisanom obliku, Banka može ispraviti </w:t>
      </w:r>
      <w:r w:rsidRPr="00653DCF">
        <w:rPr>
          <w:color w:val="auto"/>
          <w:lang w:val="hr-HR"/>
        </w:rPr>
        <w:t xml:space="preserve">taj </w:t>
      </w:r>
      <w:r w:rsidR="00E87B0B" w:rsidRPr="00653DCF">
        <w:rPr>
          <w:color w:val="auto"/>
          <w:lang w:val="hr-HR"/>
        </w:rPr>
        <w:t xml:space="preserve">nedostatak u mjeri u kojoj je to izvedivo angažiranjem vlastitog osoblja ili konzultanta ili </w:t>
      </w:r>
      <w:r w:rsidR="00EC565A" w:rsidRPr="00653DCF">
        <w:rPr>
          <w:color w:val="auto"/>
          <w:lang w:val="hr-HR"/>
        </w:rPr>
        <w:t xml:space="preserve">neke treće strane </w:t>
      </w:r>
      <w:r w:rsidR="00E87B0B" w:rsidRPr="00653DCF">
        <w:rPr>
          <w:color w:val="auto"/>
          <w:lang w:val="hr-HR"/>
        </w:rPr>
        <w:t xml:space="preserve">na trošak Zajmoprimca, a Zajmoprimac ili </w:t>
      </w:r>
      <w:r w:rsidR="004B388D" w:rsidRPr="00653DCF">
        <w:rPr>
          <w:color w:val="auto"/>
          <w:lang w:val="hr-HR"/>
        </w:rPr>
        <w:t xml:space="preserve">Nositelj </w:t>
      </w:r>
      <w:r w:rsidR="00E87B0B" w:rsidRPr="00653DCF">
        <w:rPr>
          <w:color w:val="auto"/>
          <w:lang w:val="hr-HR"/>
        </w:rPr>
        <w:t xml:space="preserve">ili </w:t>
      </w:r>
      <w:r w:rsidRPr="00653DCF">
        <w:rPr>
          <w:color w:val="auto"/>
          <w:lang w:val="hr-HR"/>
        </w:rPr>
        <w:t>P</w:t>
      </w:r>
      <w:r w:rsidR="00E87B0B" w:rsidRPr="00653DCF">
        <w:rPr>
          <w:color w:val="auto"/>
          <w:lang w:val="hr-HR"/>
        </w:rPr>
        <w:t>rojektno</w:t>
      </w:r>
      <w:r w:rsidR="00BE4880" w:rsidRPr="00653DCF">
        <w:rPr>
          <w:color w:val="auto"/>
          <w:lang w:val="hr-HR"/>
        </w:rPr>
        <w:t xml:space="preserve"> društvo</w:t>
      </w:r>
      <w:r w:rsidR="00E87B0B" w:rsidRPr="00653DCF">
        <w:rPr>
          <w:color w:val="auto"/>
          <w:lang w:val="hr-HR"/>
        </w:rPr>
        <w:t xml:space="preserve"> </w:t>
      </w:r>
      <w:r w:rsidRPr="00653DCF">
        <w:rPr>
          <w:color w:val="auto"/>
          <w:lang w:val="hr-HR"/>
        </w:rPr>
        <w:t>će tim strana</w:t>
      </w:r>
      <w:r w:rsidR="00BE4880" w:rsidRPr="00653DCF">
        <w:rPr>
          <w:color w:val="auto"/>
          <w:lang w:val="hr-HR"/>
        </w:rPr>
        <w:t>ma</w:t>
      </w:r>
      <w:r w:rsidRPr="00653DCF">
        <w:rPr>
          <w:color w:val="auto"/>
          <w:lang w:val="hr-HR"/>
        </w:rPr>
        <w:t xml:space="preserve"> u tu svrhu pružiti svu potrebnu </w:t>
      </w:r>
      <w:r w:rsidR="00E87B0B" w:rsidRPr="00653DCF">
        <w:rPr>
          <w:color w:val="auto"/>
          <w:lang w:val="hr-HR"/>
        </w:rPr>
        <w:t>pomoć;</w:t>
      </w:r>
    </w:p>
    <w:p w14:paraId="2C56CB3B" w14:textId="072DF8A6" w:rsidR="007A2A6F" w:rsidRPr="00653DCF" w:rsidRDefault="00E87B0B">
      <w:pPr>
        <w:pStyle w:val="NoIndentEIB"/>
        <w:numPr>
          <w:ilvl w:val="0"/>
          <w:numId w:val="28"/>
        </w:numPr>
        <w:rPr>
          <w:color w:val="auto"/>
          <w:lang w:val="hr-HR"/>
        </w:rPr>
      </w:pPr>
      <w:r w:rsidRPr="00653DCF">
        <w:rPr>
          <w:color w:val="auto"/>
          <w:lang w:val="hr-HR"/>
        </w:rPr>
        <w:t>podnijeti na odobrenje Banci</w:t>
      </w:r>
      <w:r w:rsidR="00EC565A" w:rsidRPr="00653DCF">
        <w:rPr>
          <w:color w:val="auto"/>
          <w:lang w:val="hr-HR"/>
        </w:rPr>
        <w:t>,</w:t>
      </w:r>
      <w:r w:rsidRPr="00653DCF">
        <w:rPr>
          <w:color w:val="auto"/>
          <w:lang w:val="hr-HR"/>
        </w:rPr>
        <w:t xml:space="preserve"> bez odgode</w:t>
      </w:r>
      <w:r w:rsidR="00EC565A" w:rsidRPr="00653DCF">
        <w:rPr>
          <w:color w:val="auto"/>
          <w:lang w:val="hr-HR"/>
        </w:rPr>
        <w:t>,</w:t>
      </w:r>
      <w:r w:rsidRPr="00653DCF">
        <w:rPr>
          <w:color w:val="auto"/>
          <w:lang w:val="hr-HR"/>
        </w:rPr>
        <w:t xml:space="preserve"> </w:t>
      </w:r>
      <w:r w:rsidR="00EC565A" w:rsidRPr="00653DCF">
        <w:rPr>
          <w:color w:val="auto"/>
          <w:lang w:val="hr-HR"/>
        </w:rPr>
        <w:t xml:space="preserve">bilo koju značajnu izmjenu </w:t>
      </w:r>
      <w:r w:rsidRPr="00653DCF">
        <w:rPr>
          <w:color w:val="auto"/>
          <w:lang w:val="hr-HR"/>
        </w:rPr>
        <w:t xml:space="preserve">Projekta, također uzimajući u obzir </w:t>
      </w:r>
      <w:r w:rsidR="00DD2886" w:rsidRPr="00653DCF">
        <w:rPr>
          <w:color w:val="auto"/>
          <w:lang w:val="hr-HR"/>
        </w:rPr>
        <w:t xml:space="preserve">očitovanja prema Banci u vezi s </w:t>
      </w:r>
      <w:r w:rsidRPr="00653DCF">
        <w:rPr>
          <w:color w:val="auto"/>
          <w:lang w:val="hr-HR"/>
        </w:rPr>
        <w:t>Projektom prije potpisivanja ovog Ugovora, u odnosu na, između ostalog</w:t>
      </w:r>
      <w:r w:rsidR="00DD2886" w:rsidRPr="00653DCF">
        <w:rPr>
          <w:color w:val="auto"/>
          <w:lang w:val="hr-HR"/>
        </w:rPr>
        <w:t>a</w:t>
      </w:r>
      <w:r w:rsidRPr="00653DCF">
        <w:rPr>
          <w:color w:val="auto"/>
          <w:lang w:val="hr-HR"/>
        </w:rPr>
        <w:t xml:space="preserve">, cijenu, </w:t>
      </w:r>
      <w:r w:rsidR="00DD2886" w:rsidRPr="00653DCF">
        <w:rPr>
          <w:color w:val="auto"/>
          <w:lang w:val="hr-HR"/>
        </w:rPr>
        <w:t>nacrt</w:t>
      </w:r>
      <w:r w:rsidRPr="00653DCF">
        <w:rPr>
          <w:color w:val="auto"/>
          <w:lang w:val="hr-HR"/>
        </w:rPr>
        <w:t xml:space="preserve">, planove, </w:t>
      </w:r>
      <w:r w:rsidR="00DD2886" w:rsidRPr="00653DCF">
        <w:rPr>
          <w:color w:val="auto"/>
          <w:lang w:val="hr-HR"/>
        </w:rPr>
        <w:t xml:space="preserve">vremenski </w:t>
      </w:r>
      <w:r w:rsidRPr="00653DCF">
        <w:rPr>
          <w:color w:val="auto"/>
          <w:lang w:val="hr-HR"/>
        </w:rPr>
        <w:t xml:space="preserve">raspored ili program </w:t>
      </w:r>
      <w:r w:rsidR="00DD2886" w:rsidRPr="00653DCF">
        <w:rPr>
          <w:color w:val="auto"/>
          <w:lang w:val="hr-HR"/>
        </w:rPr>
        <w:t xml:space="preserve">izdataka odnosno </w:t>
      </w:r>
      <w:r w:rsidRPr="00653DCF">
        <w:rPr>
          <w:color w:val="auto"/>
          <w:lang w:val="hr-HR"/>
        </w:rPr>
        <w:t xml:space="preserve">plan financiranja </w:t>
      </w:r>
      <w:r w:rsidR="00DD2886" w:rsidRPr="00653DCF">
        <w:rPr>
          <w:color w:val="auto"/>
          <w:lang w:val="hr-HR"/>
        </w:rPr>
        <w:t xml:space="preserve">za </w:t>
      </w:r>
      <w:r w:rsidRPr="00653DCF">
        <w:rPr>
          <w:color w:val="auto"/>
          <w:lang w:val="hr-HR"/>
        </w:rPr>
        <w:t>Projekt;</w:t>
      </w:r>
    </w:p>
    <w:p w14:paraId="18BF523B" w14:textId="203147DC" w:rsidR="007A2A6F" w:rsidRPr="00653DCF" w:rsidRDefault="00E87B0B">
      <w:pPr>
        <w:pStyle w:val="NoIndentEIB"/>
        <w:numPr>
          <w:ilvl w:val="0"/>
          <w:numId w:val="28"/>
        </w:numPr>
        <w:rPr>
          <w:color w:val="auto"/>
          <w:lang w:val="hr-HR"/>
        </w:rPr>
      </w:pPr>
      <w:r w:rsidRPr="00653DCF">
        <w:rPr>
          <w:color w:val="auto"/>
          <w:lang w:val="hr-HR"/>
        </w:rPr>
        <w:t>odmah obavijestiti Banku</w:t>
      </w:r>
      <w:r w:rsidR="006A313B" w:rsidRPr="00653DCF">
        <w:rPr>
          <w:color w:val="auto"/>
          <w:lang w:val="hr-HR"/>
        </w:rPr>
        <w:t xml:space="preserve"> o niže navedenom</w:t>
      </w:r>
      <w:r w:rsidRPr="00653DCF">
        <w:rPr>
          <w:color w:val="auto"/>
          <w:lang w:val="hr-HR"/>
        </w:rPr>
        <w:t xml:space="preserve">, ili </w:t>
      </w:r>
      <w:r w:rsidR="00EE59FA" w:rsidRPr="00653DCF">
        <w:rPr>
          <w:color w:val="auto"/>
          <w:lang w:val="hr-HR"/>
        </w:rPr>
        <w:t xml:space="preserve">osigurati </w:t>
      </w:r>
      <w:r w:rsidRPr="00653DCF">
        <w:rPr>
          <w:color w:val="auto"/>
          <w:lang w:val="hr-HR"/>
        </w:rPr>
        <w:t xml:space="preserve">da </w:t>
      </w:r>
      <w:r w:rsidR="00CA3378" w:rsidRPr="00653DCF">
        <w:rPr>
          <w:color w:val="auto"/>
          <w:lang w:val="hr-HR"/>
        </w:rPr>
        <w:t>P</w:t>
      </w:r>
      <w:r w:rsidRPr="00653DCF">
        <w:rPr>
          <w:color w:val="auto"/>
          <w:lang w:val="hr-HR"/>
        </w:rPr>
        <w:t>rojektno društvo odmah obavijestiti Banku</w:t>
      </w:r>
      <w:r w:rsidR="006A313B" w:rsidRPr="00653DCF">
        <w:rPr>
          <w:color w:val="auto"/>
          <w:lang w:val="hr-HR"/>
        </w:rPr>
        <w:t xml:space="preserve"> o niže navedenom</w:t>
      </w:r>
      <w:r w:rsidRPr="00653DCF">
        <w:rPr>
          <w:color w:val="auto"/>
          <w:lang w:val="hr-HR"/>
        </w:rPr>
        <w:t xml:space="preserve">, čim </w:t>
      </w:r>
      <w:r w:rsidR="006765A3" w:rsidRPr="00653DCF">
        <w:rPr>
          <w:color w:val="auto"/>
          <w:lang w:val="hr-HR"/>
        </w:rPr>
        <w:t>za to sazna</w:t>
      </w:r>
      <w:r w:rsidR="006A313B" w:rsidRPr="00653DCF">
        <w:rPr>
          <w:color w:val="auto"/>
          <w:lang w:val="hr-HR"/>
        </w:rPr>
        <w:t>,</w:t>
      </w:r>
      <w:r w:rsidR="006765A3" w:rsidRPr="00653DCF">
        <w:rPr>
          <w:color w:val="auto"/>
          <w:lang w:val="hr-HR"/>
        </w:rPr>
        <w:t xml:space="preserve"> odnosno </w:t>
      </w:r>
      <w:r w:rsidR="006A313B" w:rsidRPr="00653DCF">
        <w:rPr>
          <w:color w:val="auto"/>
          <w:lang w:val="hr-HR"/>
        </w:rPr>
        <w:t xml:space="preserve">čim ga o tome obavijesti </w:t>
      </w:r>
      <w:r w:rsidR="00B14D7B" w:rsidRPr="00653DCF">
        <w:rPr>
          <w:color w:val="auto"/>
          <w:lang w:val="hr-HR"/>
        </w:rPr>
        <w:t>Projektno društvo</w:t>
      </w:r>
      <w:r w:rsidRPr="00653DCF">
        <w:rPr>
          <w:color w:val="auto"/>
          <w:lang w:val="hr-HR"/>
        </w:rPr>
        <w:t>:</w:t>
      </w:r>
    </w:p>
    <w:p w14:paraId="7EC252F5" w14:textId="3FB8703C" w:rsidR="007A2A6F" w:rsidRPr="00653DCF" w:rsidRDefault="00E87B0B">
      <w:pPr>
        <w:pStyle w:val="NoIndentEIB"/>
        <w:numPr>
          <w:ilvl w:val="1"/>
          <w:numId w:val="28"/>
        </w:numPr>
        <w:rPr>
          <w:color w:val="auto"/>
          <w:lang w:val="hr-HR"/>
        </w:rPr>
      </w:pPr>
      <w:r w:rsidRPr="00653DCF">
        <w:rPr>
          <w:color w:val="auto"/>
          <w:lang w:val="hr-HR"/>
        </w:rPr>
        <w:t>svak</w:t>
      </w:r>
      <w:r w:rsidR="006A313B" w:rsidRPr="00653DCF">
        <w:rPr>
          <w:color w:val="auto"/>
          <w:lang w:val="hr-HR"/>
        </w:rPr>
        <w:t>oj</w:t>
      </w:r>
      <w:r w:rsidRPr="00653DCF">
        <w:rPr>
          <w:color w:val="auto"/>
          <w:lang w:val="hr-HR"/>
        </w:rPr>
        <w:t xml:space="preserve"> </w:t>
      </w:r>
      <w:r w:rsidR="00096734" w:rsidRPr="00653DCF">
        <w:rPr>
          <w:color w:val="auto"/>
          <w:lang w:val="hr-HR"/>
        </w:rPr>
        <w:t xml:space="preserve">uloženoj tužbi ili protestu ili svakom </w:t>
      </w:r>
      <w:r w:rsidR="00276DA6" w:rsidRPr="00653DCF">
        <w:rPr>
          <w:color w:val="auto"/>
          <w:lang w:val="hr-HR"/>
        </w:rPr>
        <w:t xml:space="preserve">prigovoru </w:t>
      </w:r>
      <w:r w:rsidR="00102615" w:rsidRPr="00653DCF">
        <w:rPr>
          <w:color w:val="auto"/>
          <w:lang w:val="hr-HR"/>
        </w:rPr>
        <w:t xml:space="preserve">koji je podnijela bilo koja treća strana </w:t>
      </w:r>
      <w:r w:rsidR="00276DA6" w:rsidRPr="00653DCF">
        <w:rPr>
          <w:color w:val="auto"/>
          <w:lang w:val="hr-HR"/>
        </w:rPr>
        <w:t xml:space="preserve">ili </w:t>
      </w:r>
      <w:r w:rsidR="00102615" w:rsidRPr="00653DCF">
        <w:rPr>
          <w:color w:val="auto"/>
          <w:lang w:val="hr-HR"/>
        </w:rPr>
        <w:t xml:space="preserve">svakoj autentičnoj </w:t>
      </w:r>
      <w:r w:rsidRPr="00653DCF">
        <w:rPr>
          <w:color w:val="auto"/>
          <w:lang w:val="hr-HR"/>
        </w:rPr>
        <w:t>pritužb</w:t>
      </w:r>
      <w:r w:rsidR="00276DA6" w:rsidRPr="00653DCF">
        <w:rPr>
          <w:color w:val="auto"/>
          <w:lang w:val="hr-HR"/>
        </w:rPr>
        <w:t>i</w:t>
      </w:r>
      <w:r w:rsidRPr="00653DCF">
        <w:rPr>
          <w:color w:val="auto"/>
          <w:lang w:val="hr-HR"/>
        </w:rPr>
        <w:t xml:space="preserve"> koju </w:t>
      </w:r>
      <w:r w:rsidR="00102615" w:rsidRPr="00653DCF">
        <w:rPr>
          <w:color w:val="auto"/>
          <w:lang w:val="hr-HR"/>
        </w:rPr>
        <w:t xml:space="preserve">je primio </w:t>
      </w:r>
      <w:r w:rsidR="00FE47D5" w:rsidRPr="00653DCF">
        <w:rPr>
          <w:color w:val="auto"/>
          <w:lang w:val="hr-HR"/>
        </w:rPr>
        <w:t xml:space="preserve">Zajmoprimac ili Nositelj </w:t>
      </w:r>
      <w:r w:rsidRPr="00653DCF">
        <w:rPr>
          <w:color w:val="auto"/>
          <w:lang w:val="hr-HR"/>
        </w:rPr>
        <w:t xml:space="preserve">ili </w:t>
      </w:r>
      <w:r w:rsidR="00C27EE5" w:rsidRPr="00653DCF">
        <w:rPr>
          <w:color w:val="auto"/>
          <w:lang w:val="hr-HR"/>
        </w:rPr>
        <w:t>relevantno Projektno društvo</w:t>
      </w:r>
      <w:r w:rsidRPr="00653DCF">
        <w:rPr>
          <w:color w:val="auto"/>
          <w:lang w:val="hr-HR"/>
        </w:rPr>
        <w:t xml:space="preserve">, a koja je </w:t>
      </w:r>
      <w:r w:rsidR="00C27EE5" w:rsidRPr="00653DCF">
        <w:rPr>
          <w:color w:val="auto"/>
          <w:lang w:val="hr-HR"/>
        </w:rPr>
        <w:t xml:space="preserve">bitna </w:t>
      </w:r>
      <w:r w:rsidR="008C704F" w:rsidRPr="00653DCF">
        <w:rPr>
          <w:color w:val="auto"/>
          <w:lang w:val="hr-HR"/>
        </w:rPr>
        <w:t xml:space="preserve">ili </w:t>
      </w:r>
      <w:r w:rsidR="00F36901" w:rsidRPr="00653DCF">
        <w:rPr>
          <w:color w:val="auto"/>
          <w:lang w:val="hr-HR"/>
        </w:rPr>
        <w:t xml:space="preserve">o bilo kojem tužbenom zahtjevu za štetu uzrokovanu u okolišu ili </w:t>
      </w:r>
      <w:r w:rsidR="004328E8" w:rsidRPr="00653DCF">
        <w:rPr>
          <w:color w:val="auto"/>
          <w:lang w:val="hr-HR"/>
        </w:rPr>
        <w:t>vezano</w:t>
      </w:r>
      <w:r w:rsidR="00F36901" w:rsidRPr="00653DCF">
        <w:rPr>
          <w:color w:val="auto"/>
          <w:lang w:val="hr-HR"/>
        </w:rPr>
        <w:t xml:space="preserve"> za socijalna pitanja koji je, koliko je to njemu poznato</w:t>
      </w:r>
      <w:r w:rsidR="006B4529" w:rsidRPr="00653DCF">
        <w:rPr>
          <w:color w:val="auto"/>
          <w:lang w:val="hr-HR"/>
        </w:rPr>
        <w:t xml:space="preserve"> (ili koliko je poznato relevantnom Projektnom društvu)</w:t>
      </w:r>
      <w:r w:rsidRPr="00653DCF">
        <w:rPr>
          <w:color w:val="auto"/>
          <w:lang w:val="hr-HR"/>
        </w:rPr>
        <w:t xml:space="preserve"> pokrenuta, u tijeku ili </w:t>
      </w:r>
      <w:r w:rsidR="006B4529" w:rsidRPr="00653DCF">
        <w:rPr>
          <w:color w:val="auto"/>
          <w:lang w:val="hr-HR"/>
        </w:rPr>
        <w:t>za koju postoji rizik da će biti pokrenut</w:t>
      </w:r>
      <w:r w:rsidR="00EE6B30" w:rsidRPr="00653DCF">
        <w:rPr>
          <w:color w:val="auto"/>
          <w:lang w:val="hr-HR"/>
        </w:rPr>
        <w:t xml:space="preserve"> protiv njega, a tiče se pitanja okoliša, socijalnih pitanja ili bilo kojih drugih pitanja koja utječu na bilo koji investicijski projekt</w:t>
      </w:r>
      <w:r w:rsidRPr="00653DCF">
        <w:rPr>
          <w:color w:val="auto"/>
          <w:lang w:val="hr-HR"/>
        </w:rPr>
        <w:t xml:space="preserve">; </w:t>
      </w:r>
    </w:p>
    <w:p w14:paraId="7FF583AD" w14:textId="013B1041" w:rsidR="007A2A6F" w:rsidRPr="00653DCF" w:rsidRDefault="00EE6B30">
      <w:pPr>
        <w:pStyle w:val="NoIndentEIB"/>
        <w:numPr>
          <w:ilvl w:val="1"/>
          <w:numId w:val="28"/>
        </w:numPr>
        <w:rPr>
          <w:color w:val="auto"/>
          <w:lang w:val="hr-HR"/>
        </w:rPr>
      </w:pPr>
      <w:r w:rsidRPr="00653DCF">
        <w:rPr>
          <w:color w:val="auto"/>
          <w:lang w:val="hr-HR"/>
        </w:rPr>
        <w:t xml:space="preserve">svakoj činjenici </w:t>
      </w:r>
      <w:r w:rsidR="00D1133E" w:rsidRPr="00653DCF">
        <w:rPr>
          <w:color w:val="auto"/>
          <w:lang w:val="hr-HR"/>
        </w:rPr>
        <w:t xml:space="preserve">ili događaju koji su poznati </w:t>
      </w:r>
      <w:r w:rsidR="00E87B0B" w:rsidRPr="00653DCF">
        <w:rPr>
          <w:color w:val="auto"/>
          <w:lang w:val="hr-HR"/>
        </w:rPr>
        <w:t>Zajmoprimcu</w:t>
      </w:r>
      <w:r w:rsidR="00CC6786" w:rsidRPr="00653DCF">
        <w:rPr>
          <w:color w:val="auto"/>
          <w:lang w:val="hr-HR"/>
        </w:rPr>
        <w:t xml:space="preserve"> ili Nositelju</w:t>
      </w:r>
      <w:r w:rsidR="00E87B0B" w:rsidRPr="00653DCF">
        <w:rPr>
          <w:color w:val="auto"/>
          <w:lang w:val="hr-HR"/>
        </w:rPr>
        <w:t xml:space="preserve">, </w:t>
      </w:r>
      <w:r w:rsidR="00D1133E" w:rsidRPr="00653DCF">
        <w:rPr>
          <w:color w:val="auto"/>
          <w:lang w:val="hr-HR"/>
        </w:rPr>
        <w:t xml:space="preserve">a koji mogu značajno </w:t>
      </w:r>
      <w:r w:rsidR="00A3037B" w:rsidRPr="00653DCF">
        <w:rPr>
          <w:color w:val="auto"/>
          <w:lang w:val="hr-HR"/>
        </w:rPr>
        <w:t>štetiti ili utjecati na uvjete izvršenja ili funkcioniranja bilo kojeg investicijskog projekta</w:t>
      </w:r>
      <w:r w:rsidR="00E87B0B" w:rsidRPr="00653DCF">
        <w:rPr>
          <w:color w:val="auto"/>
          <w:lang w:val="hr-HR"/>
        </w:rPr>
        <w:t>;</w:t>
      </w:r>
    </w:p>
    <w:p w14:paraId="2E39EF7B" w14:textId="01310D89" w:rsidR="00FD12E2" w:rsidRPr="00653DCF" w:rsidRDefault="009A152D">
      <w:pPr>
        <w:pStyle w:val="NoIndentEIB"/>
        <w:numPr>
          <w:ilvl w:val="1"/>
          <w:numId w:val="28"/>
        </w:numPr>
        <w:rPr>
          <w:color w:val="auto"/>
          <w:lang w:val="hr-HR"/>
        </w:rPr>
      </w:pPr>
      <w:r w:rsidRPr="00653DCF">
        <w:rPr>
          <w:color w:val="auto"/>
          <w:lang w:val="hr-HR"/>
        </w:rPr>
        <w:t>svakoj nezgodi ili nesreći vezano za bilo koji investicijski projekt</w:t>
      </w:r>
      <w:r w:rsidR="00FD12E2" w:rsidRPr="00653DCF">
        <w:rPr>
          <w:color w:val="auto"/>
          <w:lang w:val="hr-HR"/>
        </w:rPr>
        <w:t xml:space="preserve"> koja ima ili koja može imati </w:t>
      </w:r>
      <w:r w:rsidR="004328E8" w:rsidRPr="00653DCF">
        <w:rPr>
          <w:color w:val="auto"/>
          <w:lang w:val="hr-HR"/>
        </w:rPr>
        <w:t>značajan</w:t>
      </w:r>
      <w:r w:rsidR="00FD12E2" w:rsidRPr="00653DCF">
        <w:rPr>
          <w:color w:val="auto"/>
          <w:lang w:val="hr-HR"/>
        </w:rPr>
        <w:t xml:space="preserve"> negativni učinak na okoliš ili socijalna pitanja</w:t>
      </w:r>
      <w:r w:rsidR="0053748D" w:rsidRPr="00653DCF">
        <w:rPr>
          <w:color w:val="auto"/>
          <w:lang w:val="hr-HR"/>
        </w:rPr>
        <w:t>;</w:t>
      </w:r>
    </w:p>
    <w:p w14:paraId="08C97BA9" w14:textId="6EC2F8D8" w:rsidR="007A2A6F" w:rsidRPr="00653DCF" w:rsidRDefault="0053748D">
      <w:pPr>
        <w:pStyle w:val="NoIndentEIB"/>
        <w:numPr>
          <w:ilvl w:val="1"/>
          <w:numId w:val="28"/>
        </w:numPr>
        <w:rPr>
          <w:color w:val="auto"/>
          <w:lang w:val="hr-HR"/>
        </w:rPr>
      </w:pPr>
      <w:r w:rsidRPr="00653DCF">
        <w:rPr>
          <w:color w:val="auto"/>
          <w:lang w:val="hr-HR"/>
        </w:rPr>
        <w:t xml:space="preserve">o </w:t>
      </w:r>
      <w:r w:rsidR="004328E8" w:rsidRPr="00653DCF">
        <w:rPr>
          <w:color w:val="auto"/>
          <w:lang w:val="hr-HR"/>
        </w:rPr>
        <w:t>autentičnim</w:t>
      </w:r>
      <w:r w:rsidRPr="00653DCF">
        <w:rPr>
          <w:color w:val="auto"/>
          <w:lang w:val="hr-HR"/>
        </w:rPr>
        <w:t xml:space="preserve"> navodima, pritužbama ili informacijama u vezi s kaznenim djelima </w:t>
      </w:r>
      <w:r w:rsidR="00FE427A" w:rsidRPr="00653DCF">
        <w:rPr>
          <w:color w:val="auto"/>
          <w:lang w:val="hr-HR"/>
        </w:rPr>
        <w:t>vezao za nezakonite radnje ili bilo koje sankcije Europske unije vezano za bilo koji investicijski projekt</w:t>
      </w:r>
      <w:r w:rsidR="00E87B0B" w:rsidRPr="00653DCF">
        <w:rPr>
          <w:color w:val="auto"/>
          <w:lang w:val="hr-HR"/>
        </w:rPr>
        <w:t xml:space="preserve">; </w:t>
      </w:r>
    </w:p>
    <w:p w14:paraId="5FE89055" w14:textId="52BE39D0" w:rsidR="007A2A6F" w:rsidRPr="00653DCF" w:rsidRDefault="00E87B0B">
      <w:pPr>
        <w:pStyle w:val="NoIndentEIB"/>
        <w:numPr>
          <w:ilvl w:val="1"/>
          <w:numId w:val="28"/>
        </w:numPr>
        <w:rPr>
          <w:color w:val="auto"/>
          <w:lang w:val="hr-HR"/>
        </w:rPr>
      </w:pPr>
      <w:r w:rsidRPr="00653DCF">
        <w:rPr>
          <w:color w:val="auto"/>
          <w:lang w:val="hr-HR"/>
        </w:rPr>
        <w:lastRenderedPageBreak/>
        <w:t xml:space="preserve">svako samoprijavljeno </w:t>
      </w:r>
      <w:r w:rsidR="00386B6B" w:rsidRPr="00653DCF">
        <w:rPr>
          <w:color w:val="auto"/>
          <w:lang w:val="hr-HR"/>
        </w:rPr>
        <w:t>izuzeće</w:t>
      </w:r>
      <w:r w:rsidRPr="00653DCF">
        <w:rPr>
          <w:color w:val="auto"/>
          <w:lang w:val="hr-HR"/>
        </w:rPr>
        <w:t xml:space="preserve"> </w:t>
      </w:r>
      <w:r w:rsidR="001D6F07" w:rsidRPr="00653DCF">
        <w:rPr>
          <w:color w:val="auto"/>
          <w:lang w:val="hr-HR"/>
        </w:rPr>
        <w:t xml:space="preserve">nekog od ponuđača do </w:t>
      </w:r>
      <w:r w:rsidRPr="00653DCF">
        <w:rPr>
          <w:color w:val="auto"/>
          <w:lang w:val="hr-HR"/>
        </w:rPr>
        <w:t xml:space="preserve">kojeg je došlo prije dodjele </w:t>
      </w:r>
      <w:r w:rsidR="001D6F07" w:rsidRPr="00653DCF">
        <w:rPr>
          <w:color w:val="auto"/>
          <w:lang w:val="hr-HR"/>
        </w:rPr>
        <w:t xml:space="preserve">nekog </w:t>
      </w:r>
      <w:r w:rsidRPr="00653DCF">
        <w:rPr>
          <w:color w:val="auto"/>
          <w:lang w:val="hr-HR"/>
        </w:rPr>
        <w:t xml:space="preserve">ugovora i koje je obuhvaćeno politikom </w:t>
      </w:r>
      <w:r w:rsidR="001D6F07" w:rsidRPr="00653DCF">
        <w:rPr>
          <w:color w:val="auto"/>
          <w:lang w:val="hr-HR"/>
        </w:rPr>
        <w:t>izuzeća</w:t>
      </w:r>
      <w:r w:rsidRPr="00653DCF">
        <w:rPr>
          <w:color w:val="auto"/>
          <w:lang w:val="hr-HR"/>
        </w:rPr>
        <w:t>;</w:t>
      </w:r>
    </w:p>
    <w:p w14:paraId="3499C6F4" w14:textId="4A0009C7" w:rsidR="007A2A6F" w:rsidRPr="00653DCF" w:rsidRDefault="00E87B0B">
      <w:pPr>
        <w:pStyle w:val="NoIndentEIB"/>
        <w:numPr>
          <w:ilvl w:val="1"/>
          <w:numId w:val="28"/>
        </w:numPr>
        <w:rPr>
          <w:color w:val="auto"/>
          <w:lang w:val="hr-HR"/>
        </w:rPr>
      </w:pPr>
      <w:r w:rsidRPr="00653DCF">
        <w:rPr>
          <w:color w:val="auto"/>
          <w:lang w:val="hr-HR"/>
        </w:rPr>
        <w:t>svak</w:t>
      </w:r>
      <w:r w:rsidR="009E7DF1" w:rsidRPr="00653DCF">
        <w:rPr>
          <w:color w:val="auto"/>
          <w:lang w:val="hr-HR"/>
        </w:rPr>
        <w:t>oj</w:t>
      </w:r>
      <w:r w:rsidRPr="00653DCF">
        <w:rPr>
          <w:color w:val="auto"/>
          <w:lang w:val="hr-HR"/>
        </w:rPr>
        <w:t xml:space="preserve"> </w:t>
      </w:r>
      <w:r w:rsidR="009E7DF1" w:rsidRPr="00653DCF">
        <w:rPr>
          <w:color w:val="auto"/>
          <w:lang w:val="hr-HR"/>
        </w:rPr>
        <w:t xml:space="preserve">bitnoj </w:t>
      </w:r>
      <w:r w:rsidRPr="00653DCF">
        <w:rPr>
          <w:color w:val="auto"/>
          <w:lang w:val="hr-HR"/>
        </w:rPr>
        <w:t xml:space="preserve">neusklađenost s primjenjivim </w:t>
      </w:r>
      <w:r w:rsidR="00B41F6B" w:rsidRPr="00653DCF">
        <w:rPr>
          <w:color w:val="auto"/>
          <w:lang w:val="hr-HR"/>
        </w:rPr>
        <w:t>propisima o</w:t>
      </w:r>
      <w:r w:rsidR="009E7DF1" w:rsidRPr="00653DCF">
        <w:rPr>
          <w:color w:val="auto"/>
          <w:lang w:val="hr-HR"/>
        </w:rPr>
        <w:t xml:space="preserve"> zaštit</w:t>
      </w:r>
      <w:r w:rsidR="00B41F6B" w:rsidRPr="00653DCF">
        <w:rPr>
          <w:color w:val="auto"/>
          <w:lang w:val="hr-HR"/>
        </w:rPr>
        <w:t>i</w:t>
      </w:r>
      <w:r w:rsidR="009E7DF1" w:rsidRPr="00653DCF">
        <w:rPr>
          <w:color w:val="auto"/>
          <w:lang w:val="hr-HR"/>
        </w:rPr>
        <w:t xml:space="preserve"> okoliša </w:t>
      </w:r>
      <w:r w:rsidRPr="00653DCF">
        <w:rPr>
          <w:color w:val="auto"/>
          <w:lang w:val="hr-HR"/>
        </w:rPr>
        <w:t xml:space="preserve">i socijalnim </w:t>
      </w:r>
      <w:r w:rsidR="00B41F6B" w:rsidRPr="00653DCF">
        <w:rPr>
          <w:color w:val="auto"/>
          <w:lang w:val="hr-HR"/>
        </w:rPr>
        <w:t>pitanjima</w:t>
      </w:r>
      <w:r w:rsidRPr="00653DCF">
        <w:rPr>
          <w:color w:val="auto"/>
          <w:lang w:val="hr-HR"/>
        </w:rPr>
        <w:t xml:space="preserve">; </w:t>
      </w:r>
    </w:p>
    <w:p w14:paraId="0A726033" w14:textId="1F66457E" w:rsidR="007A2A6F" w:rsidRPr="00653DCF" w:rsidRDefault="009E7DF1">
      <w:pPr>
        <w:pStyle w:val="NoIndentEIB"/>
        <w:numPr>
          <w:ilvl w:val="1"/>
          <w:numId w:val="28"/>
        </w:numPr>
        <w:rPr>
          <w:color w:val="auto"/>
          <w:lang w:val="hr-HR"/>
        </w:rPr>
      </w:pPr>
      <w:r w:rsidRPr="00653DCF">
        <w:rPr>
          <w:color w:val="auto"/>
          <w:lang w:val="hr-HR"/>
        </w:rPr>
        <w:t>svak</w:t>
      </w:r>
      <w:r w:rsidR="007C3C71" w:rsidRPr="00653DCF">
        <w:rPr>
          <w:color w:val="auto"/>
          <w:lang w:val="hr-HR"/>
        </w:rPr>
        <w:t>oj obustavi</w:t>
      </w:r>
      <w:r w:rsidR="00E87B0B" w:rsidRPr="00653DCF">
        <w:rPr>
          <w:color w:val="auto"/>
          <w:lang w:val="hr-HR"/>
        </w:rPr>
        <w:t>, opoziv</w:t>
      </w:r>
      <w:r w:rsidR="007C3C71" w:rsidRPr="00653DCF">
        <w:rPr>
          <w:color w:val="auto"/>
          <w:lang w:val="hr-HR"/>
        </w:rPr>
        <w:t>u</w:t>
      </w:r>
      <w:r w:rsidR="00E87B0B" w:rsidRPr="00653DCF">
        <w:rPr>
          <w:color w:val="auto"/>
          <w:lang w:val="hr-HR"/>
        </w:rPr>
        <w:t xml:space="preserve"> ili </w:t>
      </w:r>
      <w:r w:rsidR="007C3C71" w:rsidRPr="00653DCF">
        <w:rPr>
          <w:color w:val="auto"/>
          <w:lang w:val="hr-HR"/>
        </w:rPr>
        <w:t xml:space="preserve">bitnoj </w:t>
      </w:r>
      <w:r w:rsidR="00E87B0B" w:rsidRPr="00653DCF">
        <w:rPr>
          <w:color w:val="auto"/>
          <w:lang w:val="hr-HR"/>
        </w:rPr>
        <w:t>izmjen</w:t>
      </w:r>
      <w:r w:rsidR="007C3C71" w:rsidRPr="00653DCF">
        <w:rPr>
          <w:color w:val="auto"/>
          <w:lang w:val="hr-HR"/>
        </w:rPr>
        <w:t>i</w:t>
      </w:r>
      <w:r w:rsidR="00E87B0B" w:rsidRPr="00653DCF">
        <w:rPr>
          <w:color w:val="auto"/>
          <w:lang w:val="hr-HR"/>
        </w:rPr>
        <w:t xml:space="preserve"> bilo kakvog </w:t>
      </w:r>
      <w:r w:rsidR="007C3C71" w:rsidRPr="00653DCF">
        <w:rPr>
          <w:color w:val="auto"/>
          <w:lang w:val="hr-HR"/>
        </w:rPr>
        <w:t>ovlaštenja koje se odnosi na pitanja zaštite okoliša i socijalna pitanja</w:t>
      </w:r>
      <w:r w:rsidR="00E87B0B" w:rsidRPr="00653DCF">
        <w:rPr>
          <w:color w:val="auto"/>
          <w:lang w:val="hr-HR"/>
        </w:rPr>
        <w:t>; i</w:t>
      </w:r>
    </w:p>
    <w:p w14:paraId="1D3B2A10" w14:textId="2912B198" w:rsidR="007A2A6F" w:rsidRPr="00653DCF" w:rsidRDefault="007C3C71">
      <w:pPr>
        <w:pStyle w:val="NoIndentEIB"/>
        <w:numPr>
          <w:ilvl w:val="1"/>
          <w:numId w:val="28"/>
        </w:numPr>
        <w:rPr>
          <w:color w:val="auto"/>
          <w:lang w:val="hr-HR"/>
        </w:rPr>
      </w:pPr>
      <w:r w:rsidRPr="00653DCF">
        <w:rPr>
          <w:color w:val="auto"/>
          <w:lang w:val="hr-HR"/>
        </w:rPr>
        <w:t xml:space="preserve">svakoj obustavi ili </w:t>
      </w:r>
      <w:r w:rsidR="00BA4CC5" w:rsidRPr="00653DCF">
        <w:rPr>
          <w:color w:val="auto"/>
          <w:lang w:val="hr-HR"/>
        </w:rPr>
        <w:t>otkazu provedbe bilo kojeg od investicijskih projekata</w:t>
      </w:r>
      <w:r w:rsidR="00E87B0B" w:rsidRPr="00653DCF">
        <w:rPr>
          <w:color w:val="auto"/>
          <w:lang w:val="hr-HR"/>
        </w:rPr>
        <w:t>,</w:t>
      </w:r>
    </w:p>
    <w:p w14:paraId="60E14B08" w14:textId="7BF91CAF" w:rsidR="007A2A6F" w:rsidRPr="00653DCF" w:rsidRDefault="00BA4CC5">
      <w:pPr>
        <w:pStyle w:val="NoIndentEIB"/>
        <w:ind w:left="1423"/>
        <w:rPr>
          <w:color w:val="auto"/>
          <w:lang w:val="hr-HR"/>
        </w:rPr>
      </w:pPr>
      <w:r w:rsidRPr="00653DCF">
        <w:rPr>
          <w:color w:val="auto"/>
          <w:lang w:val="hr-HR"/>
        </w:rPr>
        <w:t xml:space="preserve">te će utvrditi </w:t>
      </w:r>
      <w:r w:rsidR="00306EE4" w:rsidRPr="00653DCF">
        <w:rPr>
          <w:color w:val="auto"/>
          <w:lang w:val="hr-HR"/>
        </w:rPr>
        <w:t xml:space="preserve">mjeru </w:t>
      </w:r>
      <w:r w:rsidR="00E87B0B" w:rsidRPr="00653DCF">
        <w:rPr>
          <w:color w:val="auto"/>
          <w:lang w:val="hr-HR"/>
        </w:rPr>
        <w:t>koj</w:t>
      </w:r>
      <w:r w:rsidR="00306EE4" w:rsidRPr="00653DCF">
        <w:rPr>
          <w:color w:val="auto"/>
          <w:lang w:val="hr-HR"/>
        </w:rPr>
        <w:t>u</w:t>
      </w:r>
      <w:r w:rsidR="00E87B0B" w:rsidRPr="00653DCF">
        <w:rPr>
          <w:color w:val="auto"/>
          <w:lang w:val="hr-HR"/>
        </w:rPr>
        <w:t xml:space="preserve"> treba poduzeti </w:t>
      </w:r>
      <w:r w:rsidRPr="00653DCF">
        <w:rPr>
          <w:color w:val="auto"/>
          <w:lang w:val="hr-HR"/>
        </w:rPr>
        <w:t>vezano za ta pitanja</w:t>
      </w:r>
      <w:r w:rsidR="00E87B0B" w:rsidRPr="00653DCF">
        <w:rPr>
          <w:color w:val="auto"/>
          <w:lang w:val="hr-HR"/>
        </w:rPr>
        <w:t xml:space="preserve">; </w:t>
      </w:r>
    </w:p>
    <w:p w14:paraId="01C97598" w14:textId="17537D0C" w:rsidR="007A2A6F" w:rsidRPr="00653DCF" w:rsidRDefault="00E87B0B">
      <w:pPr>
        <w:pStyle w:val="NoIndentEIB"/>
        <w:numPr>
          <w:ilvl w:val="0"/>
          <w:numId w:val="28"/>
        </w:numPr>
        <w:rPr>
          <w:color w:val="auto"/>
          <w:lang w:val="hr-HR"/>
        </w:rPr>
      </w:pPr>
      <w:r w:rsidRPr="00653DCF">
        <w:rPr>
          <w:color w:val="auto"/>
          <w:lang w:val="hr-HR"/>
        </w:rPr>
        <w:t>na kraju razdoblja dodjele</w:t>
      </w:r>
      <w:r w:rsidR="008C0AE3" w:rsidRPr="00653DCF">
        <w:rPr>
          <w:color w:val="auto"/>
          <w:lang w:val="hr-HR"/>
        </w:rPr>
        <w:t xml:space="preserve"> sredstava</w:t>
      </w:r>
      <w:r w:rsidRPr="00653DCF">
        <w:rPr>
          <w:color w:val="auto"/>
          <w:lang w:val="hr-HR"/>
        </w:rPr>
        <w:t xml:space="preserve">, dostaviti Banci dostatne dokaze i informacije u obliku zadovoljavajućem za Banku kojima se potvrđuje da </w:t>
      </w:r>
      <w:r w:rsidR="005E4E29" w:rsidRPr="00653DCF">
        <w:rPr>
          <w:color w:val="auto"/>
          <w:lang w:val="hr-HR"/>
        </w:rPr>
        <w:t>sredstva</w:t>
      </w:r>
      <w:r w:rsidR="008C0AE3" w:rsidRPr="00653DCF">
        <w:rPr>
          <w:color w:val="auto"/>
          <w:lang w:val="hr-HR"/>
        </w:rPr>
        <w:t xml:space="preserve"> </w:t>
      </w:r>
      <w:r w:rsidRPr="00653DCF">
        <w:rPr>
          <w:color w:val="auto"/>
          <w:lang w:val="hr-HR"/>
        </w:rPr>
        <w:t xml:space="preserve">EIB-a ne premašuju: </w:t>
      </w:r>
    </w:p>
    <w:p w14:paraId="28B0EA2A" w14:textId="5C73A0B6" w:rsidR="007A2A6F" w:rsidRPr="00653DCF" w:rsidRDefault="00246F0D">
      <w:pPr>
        <w:numPr>
          <w:ilvl w:val="1"/>
          <w:numId w:val="57"/>
        </w:numPr>
        <w:rPr>
          <w:color w:val="auto"/>
          <w:lang w:val="hr-HR"/>
        </w:rPr>
      </w:pPr>
      <w:r w:rsidRPr="00653DCF">
        <w:rPr>
          <w:color w:val="auto"/>
          <w:lang w:val="hr-HR"/>
        </w:rPr>
        <w:t>50</w:t>
      </w:r>
      <w:r w:rsidR="00E87B0B" w:rsidRPr="00653DCF">
        <w:rPr>
          <w:color w:val="auto"/>
          <w:lang w:val="hr-HR"/>
        </w:rPr>
        <w:t xml:space="preserve">% (pedeset posto) </w:t>
      </w:r>
      <w:r w:rsidR="00317EE0" w:rsidRPr="00653DCF">
        <w:rPr>
          <w:color w:val="auto"/>
          <w:lang w:val="hr-HR"/>
        </w:rPr>
        <w:t xml:space="preserve">od </w:t>
      </w:r>
      <w:r w:rsidR="00E87B0B" w:rsidRPr="00653DCF">
        <w:rPr>
          <w:color w:val="auto"/>
          <w:lang w:val="hr-HR"/>
        </w:rPr>
        <w:t xml:space="preserve">ukupnog troška </w:t>
      </w:r>
      <w:r w:rsidR="0009551D" w:rsidRPr="00653DCF">
        <w:rPr>
          <w:color w:val="auto"/>
          <w:lang w:val="hr-HR"/>
        </w:rPr>
        <w:t>P</w:t>
      </w:r>
      <w:r w:rsidR="00E87B0B" w:rsidRPr="00653DCF">
        <w:rPr>
          <w:color w:val="auto"/>
          <w:lang w:val="hr-HR"/>
        </w:rPr>
        <w:t xml:space="preserve">rojekta </w:t>
      </w:r>
      <w:r w:rsidR="00201CF4" w:rsidRPr="00653DCF">
        <w:rPr>
          <w:color w:val="auto"/>
          <w:lang w:val="hr-HR"/>
        </w:rPr>
        <w:t>koji je Banka dodijelila za Projekt u skladu s bilo kojim pismom</w:t>
      </w:r>
      <w:r w:rsidR="00A24AF2" w:rsidRPr="00653DCF">
        <w:rPr>
          <w:color w:val="auto"/>
          <w:lang w:val="hr-HR"/>
        </w:rPr>
        <w:t>/</w:t>
      </w:r>
      <w:r w:rsidR="00317EE0" w:rsidRPr="00653DCF">
        <w:rPr>
          <w:color w:val="auto"/>
          <w:lang w:val="hr-HR"/>
        </w:rPr>
        <w:t>pismima</w:t>
      </w:r>
      <w:r w:rsidR="00201CF4" w:rsidRPr="00653DCF">
        <w:rPr>
          <w:color w:val="auto"/>
          <w:lang w:val="hr-HR"/>
        </w:rPr>
        <w:t xml:space="preserve"> o dodjeli sredstava</w:t>
      </w:r>
      <w:r w:rsidR="00E87B0B" w:rsidRPr="00653DCF">
        <w:rPr>
          <w:color w:val="auto"/>
          <w:lang w:val="hr-HR"/>
        </w:rPr>
        <w:t xml:space="preserve">; ili </w:t>
      </w:r>
    </w:p>
    <w:p w14:paraId="3D82F2C1" w14:textId="708B642B" w:rsidR="007A2A6F" w:rsidRPr="00653DCF" w:rsidRDefault="00317EE0">
      <w:pPr>
        <w:numPr>
          <w:ilvl w:val="1"/>
          <w:numId w:val="57"/>
        </w:numPr>
        <w:rPr>
          <w:color w:val="auto"/>
          <w:lang w:val="hr-HR"/>
        </w:rPr>
      </w:pPr>
      <w:r w:rsidRPr="00653DCF">
        <w:rPr>
          <w:color w:val="auto"/>
          <w:lang w:val="hr-HR"/>
        </w:rPr>
        <w:t xml:space="preserve">zbrojeno </w:t>
      </w:r>
      <w:r w:rsidR="00E87B0B" w:rsidRPr="00653DCF">
        <w:rPr>
          <w:color w:val="auto"/>
          <w:lang w:val="hr-HR"/>
        </w:rPr>
        <w:t xml:space="preserve">s bilo kojim </w:t>
      </w:r>
      <w:r w:rsidR="00551772" w:rsidRPr="00653DCF">
        <w:rPr>
          <w:color w:val="auto"/>
          <w:lang w:val="hr-HR"/>
        </w:rPr>
        <w:t>fondovima Europske unije koji su dostupni za</w:t>
      </w:r>
      <w:r w:rsidRPr="00653DCF">
        <w:rPr>
          <w:color w:val="auto"/>
          <w:lang w:val="hr-HR"/>
        </w:rPr>
        <w:t xml:space="preserve"> Projekt</w:t>
      </w:r>
      <w:r w:rsidR="00246F0D" w:rsidRPr="00653DCF">
        <w:rPr>
          <w:color w:val="auto"/>
          <w:lang w:val="hr-HR"/>
        </w:rPr>
        <w:t>, 90</w:t>
      </w:r>
      <w:r w:rsidR="00E87B0B" w:rsidRPr="00653DCF">
        <w:rPr>
          <w:color w:val="auto"/>
          <w:lang w:val="hr-HR"/>
        </w:rPr>
        <w:t>% (</w:t>
      </w:r>
      <w:r w:rsidR="00C7500F" w:rsidRPr="00653DCF">
        <w:rPr>
          <w:color w:val="auto"/>
          <w:lang w:val="hr-HR"/>
        </w:rPr>
        <w:t xml:space="preserve">devedeset </w:t>
      </w:r>
      <w:r w:rsidR="00E87B0B" w:rsidRPr="00653DCF">
        <w:rPr>
          <w:color w:val="auto"/>
          <w:lang w:val="hr-HR"/>
        </w:rPr>
        <w:t xml:space="preserve">posto) </w:t>
      </w:r>
      <w:r w:rsidR="00C7500F" w:rsidRPr="00653DCF">
        <w:rPr>
          <w:color w:val="auto"/>
          <w:lang w:val="hr-HR"/>
        </w:rPr>
        <w:t xml:space="preserve">od </w:t>
      </w:r>
      <w:r w:rsidR="00E87B0B" w:rsidRPr="00653DCF">
        <w:rPr>
          <w:color w:val="auto"/>
          <w:lang w:val="hr-HR"/>
        </w:rPr>
        <w:t xml:space="preserve">ukupnog troška </w:t>
      </w:r>
      <w:r w:rsidR="00C7500F" w:rsidRPr="00653DCF">
        <w:rPr>
          <w:color w:val="auto"/>
          <w:lang w:val="hr-HR"/>
        </w:rPr>
        <w:t>P</w:t>
      </w:r>
      <w:r w:rsidR="00E87B0B" w:rsidRPr="00653DCF">
        <w:rPr>
          <w:color w:val="auto"/>
          <w:lang w:val="hr-HR"/>
        </w:rPr>
        <w:t xml:space="preserve">rojekta </w:t>
      </w:r>
      <w:r w:rsidR="00C7500F" w:rsidRPr="00653DCF">
        <w:rPr>
          <w:color w:val="auto"/>
          <w:lang w:val="hr-HR"/>
        </w:rPr>
        <w:t>u skladu s bilo kojim pismom</w:t>
      </w:r>
      <w:r w:rsidR="004D67B8" w:rsidRPr="00653DCF">
        <w:rPr>
          <w:color w:val="auto"/>
          <w:lang w:val="hr-HR"/>
        </w:rPr>
        <w:t>/</w:t>
      </w:r>
      <w:r w:rsidR="00C7500F" w:rsidRPr="00653DCF">
        <w:rPr>
          <w:color w:val="auto"/>
          <w:lang w:val="hr-HR"/>
        </w:rPr>
        <w:t>pismima o dodjeli sredstava</w:t>
      </w:r>
      <w:r w:rsidR="00E87B0B" w:rsidRPr="00653DCF">
        <w:rPr>
          <w:color w:val="auto"/>
          <w:lang w:val="hr-HR"/>
        </w:rPr>
        <w:t>;</w:t>
      </w:r>
    </w:p>
    <w:p w14:paraId="6A0DE238" w14:textId="140926DF" w:rsidR="007A2A6F" w:rsidRPr="00653DCF" w:rsidRDefault="00246F0D">
      <w:pPr>
        <w:numPr>
          <w:ilvl w:val="1"/>
          <w:numId w:val="57"/>
        </w:numPr>
        <w:rPr>
          <w:color w:val="auto"/>
          <w:lang w:val="hr-HR"/>
        </w:rPr>
      </w:pPr>
      <w:r w:rsidRPr="00653DCF">
        <w:rPr>
          <w:color w:val="auto"/>
          <w:lang w:val="hr-HR"/>
        </w:rPr>
        <w:t>100</w:t>
      </w:r>
      <w:r w:rsidR="00E87B0B" w:rsidRPr="00653DCF">
        <w:rPr>
          <w:color w:val="auto"/>
          <w:lang w:val="hr-HR"/>
        </w:rPr>
        <w:t xml:space="preserve">% (sto posto) prihvatljivih troškova ulaganja </w:t>
      </w:r>
      <w:r w:rsidR="00C02ED7" w:rsidRPr="00653DCF">
        <w:rPr>
          <w:color w:val="auto"/>
          <w:lang w:val="hr-HR"/>
        </w:rPr>
        <w:t xml:space="preserve">u odnosu na Projekt </w:t>
      </w:r>
      <w:r w:rsidR="00E87B0B" w:rsidRPr="00653DCF">
        <w:rPr>
          <w:color w:val="auto"/>
          <w:lang w:val="hr-HR"/>
        </w:rPr>
        <w:t>(</w:t>
      </w:r>
      <w:r w:rsidR="00C02ED7" w:rsidRPr="00653DCF">
        <w:rPr>
          <w:color w:val="auto"/>
          <w:lang w:val="hr-HR"/>
        </w:rPr>
        <w:t xml:space="preserve">onako kako su ti </w:t>
      </w:r>
      <w:r w:rsidR="00E87B0B" w:rsidRPr="00653DCF">
        <w:rPr>
          <w:color w:val="auto"/>
          <w:lang w:val="hr-HR"/>
        </w:rPr>
        <w:t xml:space="preserve">troškovi </w:t>
      </w:r>
      <w:r w:rsidR="002B76A7" w:rsidRPr="00653DCF">
        <w:rPr>
          <w:color w:val="auto"/>
          <w:lang w:val="hr-HR"/>
        </w:rPr>
        <w:t>navedeni</w:t>
      </w:r>
      <w:r w:rsidR="00C02ED7" w:rsidRPr="00653DCF">
        <w:rPr>
          <w:color w:val="auto"/>
          <w:lang w:val="hr-HR"/>
        </w:rPr>
        <w:t xml:space="preserve"> </w:t>
      </w:r>
      <w:r w:rsidR="00E87B0B" w:rsidRPr="00653DCF">
        <w:rPr>
          <w:color w:val="auto"/>
          <w:lang w:val="hr-HR"/>
        </w:rPr>
        <w:t xml:space="preserve">u </w:t>
      </w:r>
      <w:r w:rsidR="002B76A7" w:rsidRPr="00653DCF">
        <w:rPr>
          <w:color w:val="auto"/>
          <w:lang w:val="hr-HR"/>
        </w:rPr>
        <w:t>t</w:t>
      </w:r>
      <w:r w:rsidR="00E87B0B" w:rsidRPr="00653DCF">
        <w:rPr>
          <w:color w:val="auto"/>
          <w:lang w:val="hr-HR"/>
        </w:rPr>
        <w:t>ehničkom opisu);</w:t>
      </w:r>
    </w:p>
    <w:p w14:paraId="31AC5EED" w14:textId="7CA9F64F" w:rsidR="007A2A6F" w:rsidRPr="00653DCF" w:rsidRDefault="00E87B0B">
      <w:pPr>
        <w:pStyle w:val="NoIndentEIB"/>
        <w:numPr>
          <w:ilvl w:val="0"/>
          <w:numId w:val="28"/>
        </w:numPr>
        <w:rPr>
          <w:color w:val="auto"/>
          <w:lang w:val="hr-HR"/>
        </w:rPr>
      </w:pPr>
      <w:r w:rsidRPr="00653DCF">
        <w:rPr>
          <w:color w:val="auto"/>
          <w:lang w:val="hr-HR"/>
        </w:rPr>
        <w:t xml:space="preserve">na zahtjev Banke, </w:t>
      </w:r>
      <w:r w:rsidR="00A85BEC" w:rsidRPr="00653DCF">
        <w:rPr>
          <w:color w:val="auto"/>
          <w:lang w:val="hr-HR"/>
        </w:rPr>
        <w:t xml:space="preserve">odmah </w:t>
      </w:r>
      <w:r w:rsidRPr="00653DCF">
        <w:rPr>
          <w:color w:val="auto"/>
          <w:lang w:val="hr-HR"/>
        </w:rPr>
        <w:t>(</w:t>
      </w:r>
      <w:r w:rsidR="006A542C" w:rsidRPr="00653DCF">
        <w:rPr>
          <w:color w:val="auto"/>
          <w:lang w:val="hr-HR"/>
        </w:rPr>
        <w:t xml:space="preserve">a </w:t>
      </w:r>
      <w:r w:rsidRPr="00653DCF">
        <w:rPr>
          <w:color w:val="auto"/>
          <w:lang w:val="hr-HR"/>
        </w:rPr>
        <w:t xml:space="preserve">najkasnije u roku od 10 (deset) radnih dana) dostaviti Banci dokumente iz članka </w:t>
      </w:r>
      <w:r w:rsidRPr="00653DCF">
        <w:rPr>
          <w:color w:val="auto"/>
          <w:lang w:val="hr-HR"/>
        </w:rPr>
        <w:fldChar w:fldCharType="begin"/>
      </w:r>
      <w:r w:rsidRPr="00653DCF">
        <w:rPr>
          <w:color w:val="auto"/>
          <w:lang w:val="hr-HR"/>
        </w:rPr>
        <w:instrText xml:space="preserve"> REF _Ref427242093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6.5</w:t>
      </w:r>
      <w:r w:rsidRPr="00653DCF">
        <w:rPr>
          <w:color w:val="auto"/>
          <w:lang w:val="hr-HR"/>
        </w:rPr>
        <w:fldChar w:fldCharType="end"/>
      </w:r>
      <w:r w:rsidR="00A85BEC" w:rsidRPr="00653DCF">
        <w:rPr>
          <w:color w:val="auto"/>
          <w:lang w:val="hr-HR"/>
        </w:rPr>
        <w:t>.</w:t>
      </w:r>
      <w:r w:rsidRPr="00653DCF">
        <w:rPr>
          <w:color w:val="auto"/>
          <w:lang w:val="hr-HR"/>
        </w:rPr>
        <w:fldChar w:fldCharType="begin"/>
      </w:r>
      <w:r w:rsidRPr="00653DCF">
        <w:rPr>
          <w:color w:val="auto"/>
          <w:lang w:val="hr-HR"/>
        </w:rPr>
        <w:instrText xml:space="preserve"> REF _Ref508568839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(e)(iv)</w:t>
      </w:r>
      <w:r w:rsidRPr="00653DCF">
        <w:rPr>
          <w:color w:val="auto"/>
          <w:lang w:val="hr-HR"/>
        </w:rPr>
        <w:fldChar w:fldCharType="end"/>
      </w:r>
      <w:r w:rsidRPr="00653DCF">
        <w:rPr>
          <w:color w:val="auto"/>
          <w:lang w:val="hr-HR"/>
        </w:rPr>
        <w:t xml:space="preserve"> ili </w:t>
      </w:r>
      <w:r w:rsidR="00A85BEC" w:rsidRPr="00653DCF">
        <w:rPr>
          <w:color w:val="auto"/>
          <w:lang w:val="hr-HR"/>
        </w:rPr>
        <w:t xml:space="preserve">osigurati </w:t>
      </w:r>
      <w:r w:rsidRPr="00653DCF">
        <w:rPr>
          <w:color w:val="auto"/>
          <w:lang w:val="hr-HR"/>
        </w:rPr>
        <w:t>da odgovarajuće Projektno društvo odmah (</w:t>
      </w:r>
      <w:r w:rsidR="00A85BEC" w:rsidRPr="00653DCF">
        <w:rPr>
          <w:color w:val="auto"/>
          <w:lang w:val="hr-HR"/>
        </w:rPr>
        <w:t xml:space="preserve">a najkasnije </w:t>
      </w:r>
      <w:r w:rsidRPr="00653DCF">
        <w:rPr>
          <w:color w:val="auto"/>
          <w:lang w:val="hr-HR"/>
        </w:rPr>
        <w:t xml:space="preserve">u roku od 10 (deset) radnih dana) dostavi </w:t>
      </w:r>
      <w:r w:rsidR="00AE3DAF" w:rsidRPr="00653DCF">
        <w:rPr>
          <w:color w:val="auto"/>
          <w:lang w:val="hr-HR"/>
        </w:rPr>
        <w:t xml:space="preserve">Banci te </w:t>
      </w:r>
      <w:r w:rsidRPr="00653DCF">
        <w:rPr>
          <w:color w:val="auto"/>
          <w:lang w:val="hr-HR"/>
        </w:rPr>
        <w:t xml:space="preserve">dokumente; </w:t>
      </w:r>
    </w:p>
    <w:p w14:paraId="3CC2891B" w14:textId="29978434" w:rsidR="007A2A6F" w:rsidRPr="00653DCF" w:rsidRDefault="00E87B0B">
      <w:pPr>
        <w:pStyle w:val="NoIndentEIB"/>
        <w:numPr>
          <w:ilvl w:val="0"/>
          <w:numId w:val="28"/>
        </w:numPr>
        <w:rPr>
          <w:color w:val="auto"/>
          <w:lang w:val="hr-HR"/>
        </w:rPr>
      </w:pPr>
      <w:r w:rsidRPr="00653DCF">
        <w:rPr>
          <w:color w:val="auto"/>
          <w:lang w:val="hr-HR"/>
        </w:rPr>
        <w:t xml:space="preserve">najkasnije u roku od 5 (pet) dana nakon što </w:t>
      </w:r>
      <w:r w:rsidR="001D0505" w:rsidRPr="00653DCF">
        <w:rPr>
          <w:color w:val="auto"/>
          <w:lang w:val="hr-HR"/>
        </w:rPr>
        <w:t>Nositelj</w:t>
      </w:r>
      <w:r w:rsidRPr="00653DCF">
        <w:rPr>
          <w:color w:val="auto"/>
          <w:lang w:val="hr-HR"/>
        </w:rPr>
        <w:t xml:space="preserve"> </w:t>
      </w:r>
      <w:r w:rsidR="00237501" w:rsidRPr="00653DCF">
        <w:rPr>
          <w:color w:val="auto"/>
          <w:lang w:val="hr-HR"/>
        </w:rPr>
        <w:t xml:space="preserve">za to </w:t>
      </w:r>
      <w:r w:rsidRPr="00653DCF">
        <w:rPr>
          <w:color w:val="auto"/>
          <w:lang w:val="hr-HR"/>
        </w:rPr>
        <w:t xml:space="preserve">sazna, obavijestiti Banku o svakoj obustavi plaćanja Europske komisije u vezi s bilo kojim </w:t>
      </w:r>
      <w:r w:rsidR="00237501" w:rsidRPr="00653DCF">
        <w:rPr>
          <w:color w:val="auto"/>
          <w:lang w:val="hr-HR"/>
        </w:rPr>
        <w:t>investicijskim projektom</w:t>
      </w:r>
      <w:r w:rsidRPr="00653DCF">
        <w:rPr>
          <w:color w:val="auto"/>
          <w:lang w:val="hr-HR"/>
        </w:rPr>
        <w:t xml:space="preserve"> i/ili o svakom pokretanju postupka zbog povrede od strane Europske komisije ili sudskog postupka pred Sudom Europske unije zbog neusklađenosti s pravom EU-a u pogledu bilo kojeg </w:t>
      </w:r>
      <w:r w:rsidR="00237501" w:rsidRPr="00653DCF">
        <w:rPr>
          <w:color w:val="auto"/>
          <w:lang w:val="hr-HR"/>
        </w:rPr>
        <w:t>investicijskog projekta</w:t>
      </w:r>
      <w:r w:rsidRPr="00653DCF">
        <w:rPr>
          <w:color w:val="auto"/>
          <w:lang w:val="hr-HR"/>
        </w:rPr>
        <w:t>;</w:t>
      </w:r>
    </w:p>
    <w:p w14:paraId="0E12B6F0" w14:textId="68C0D3D6" w:rsidR="007A2A6F" w:rsidRPr="00653DCF" w:rsidRDefault="00D6370B">
      <w:pPr>
        <w:pStyle w:val="NoIndentEIB"/>
        <w:numPr>
          <w:ilvl w:val="0"/>
          <w:numId w:val="28"/>
        </w:numPr>
        <w:rPr>
          <w:color w:val="auto"/>
          <w:lang w:val="hr-HR"/>
        </w:rPr>
      </w:pPr>
      <w:r w:rsidRPr="00653DCF">
        <w:rPr>
          <w:color w:val="auto"/>
          <w:lang w:val="hr-HR"/>
        </w:rPr>
        <w:t>odmah o</w:t>
      </w:r>
      <w:r w:rsidR="00E87B0B" w:rsidRPr="00653DCF">
        <w:rPr>
          <w:color w:val="auto"/>
          <w:lang w:val="hr-HR"/>
        </w:rPr>
        <w:t>bavijestiti Banku o svim značajnim izmjenama strategije planiranja i razvoja Zajmoprimca i</w:t>
      </w:r>
      <w:r w:rsidR="00936442" w:rsidRPr="00653DCF">
        <w:rPr>
          <w:color w:val="auto"/>
          <w:lang w:val="hr-HR"/>
        </w:rPr>
        <w:t xml:space="preserve">li </w:t>
      </w:r>
      <w:r w:rsidR="00A421CD" w:rsidRPr="00653DCF">
        <w:rPr>
          <w:color w:val="auto"/>
          <w:lang w:val="hr-HR"/>
        </w:rPr>
        <w:t xml:space="preserve">Nositelja </w:t>
      </w:r>
      <w:r w:rsidR="00987967" w:rsidRPr="00653DCF">
        <w:rPr>
          <w:color w:val="auto"/>
          <w:lang w:val="hr-HR"/>
        </w:rPr>
        <w:t>te</w:t>
      </w:r>
      <w:r w:rsidR="00E87B0B" w:rsidRPr="00653DCF">
        <w:rPr>
          <w:color w:val="auto"/>
          <w:lang w:val="hr-HR"/>
        </w:rPr>
        <w:t xml:space="preserve">, ako </w:t>
      </w:r>
      <w:r w:rsidRPr="00653DCF">
        <w:rPr>
          <w:color w:val="auto"/>
          <w:lang w:val="hr-HR"/>
        </w:rPr>
        <w:t>to Banka zatraži</w:t>
      </w:r>
      <w:r w:rsidR="00E87B0B" w:rsidRPr="00653DCF">
        <w:rPr>
          <w:color w:val="auto"/>
          <w:lang w:val="hr-HR"/>
        </w:rPr>
        <w:t>, odmah dostaviti Banci primjerak svake takve izmjene ili bilo koje nove strategije, zajedno s</w:t>
      </w:r>
      <w:r w:rsidR="004A14B5" w:rsidRPr="00653DCF">
        <w:rPr>
          <w:color w:val="auto"/>
          <w:lang w:val="hr-HR"/>
        </w:rPr>
        <w:t xml:space="preserve">a svim </w:t>
      </w:r>
      <w:r w:rsidR="00E87B0B" w:rsidRPr="00653DCF">
        <w:rPr>
          <w:color w:val="auto"/>
          <w:lang w:val="hr-HR"/>
        </w:rPr>
        <w:t>relevantnim dokumentima;</w:t>
      </w:r>
    </w:p>
    <w:p w14:paraId="7F00DEC3" w14:textId="090953AB" w:rsidR="007A2A6F" w:rsidRPr="00653DCF" w:rsidRDefault="00E87B0B">
      <w:pPr>
        <w:pStyle w:val="NoIndentEIB"/>
        <w:numPr>
          <w:ilvl w:val="0"/>
          <w:numId w:val="28"/>
        </w:numPr>
        <w:rPr>
          <w:color w:val="auto"/>
          <w:lang w:val="hr-HR"/>
        </w:rPr>
      </w:pPr>
      <w:r w:rsidRPr="00653DCF">
        <w:rPr>
          <w:color w:val="auto"/>
          <w:lang w:val="hr-HR"/>
        </w:rPr>
        <w:t>odmah obavijestiti Banku</w:t>
      </w:r>
      <w:r w:rsidR="005E48E7" w:rsidRPr="00653DCF">
        <w:rPr>
          <w:color w:val="auto"/>
          <w:lang w:val="hr-HR"/>
        </w:rPr>
        <w:t>, u svrhe</w:t>
      </w:r>
      <w:r w:rsidRPr="00653DCF">
        <w:rPr>
          <w:color w:val="auto"/>
          <w:lang w:val="hr-HR"/>
        </w:rPr>
        <w:t xml:space="preserve"> članka </w:t>
      </w:r>
      <w:r w:rsidRPr="00653DCF">
        <w:rPr>
          <w:color w:val="auto"/>
          <w:lang w:val="hr-HR"/>
        </w:rPr>
        <w:fldChar w:fldCharType="begin"/>
      </w:r>
      <w:r w:rsidRPr="00653DCF">
        <w:rPr>
          <w:color w:val="auto"/>
          <w:lang w:val="hr-HR"/>
        </w:rPr>
        <w:instrText xml:space="preserve"> REF _Ref508568963 \r \h  \* MERGEFORMAT </w:instrText>
      </w:r>
      <w:r w:rsidRPr="00653DCF">
        <w:rPr>
          <w:color w:val="auto"/>
          <w:lang w:val="hr-HR"/>
        </w:rPr>
      </w:r>
      <w:r w:rsidRPr="00653DCF">
        <w:rPr>
          <w:color w:val="auto"/>
          <w:lang w:val="hr-HR"/>
        </w:rPr>
        <w:fldChar w:fldCharType="separate"/>
      </w:r>
      <w:r w:rsidR="00E5391B">
        <w:rPr>
          <w:color w:val="auto"/>
          <w:lang w:val="hr-HR"/>
        </w:rPr>
        <w:t>4.3.A(4)</w:t>
      </w:r>
      <w:r w:rsidRPr="00653DCF">
        <w:rPr>
          <w:color w:val="auto"/>
          <w:lang w:val="hr-HR"/>
        </w:rPr>
        <w:fldChar w:fldCharType="end"/>
      </w:r>
      <w:r w:rsidR="005E48E7" w:rsidRPr="00653DCF">
        <w:rPr>
          <w:color w:val="auto"/>
          <w:lang w:val="hr-HR"/>
        </w:rPr>
        <w:t>,</w:t>
      </w:r>
      <w:r w:rsidRPr="00653DCF">
        <w:rPr>
          <w:color w:val="auto"/>
          <w:lang w:val="hr-HR"/>
        </w:rPr>
        <w:t xml:space="preserve"> </w:t>
      </w:r>
      <w:r w:rsidR="005E48E7" w:rsidRPr="00653DCF">
        <w:rPr>
          <w:color w:val="auto"/>
          <w:lang w:val="hr-HR"/>
        </w:rPr>
        <w:t xml:space="preserve">ako </w:t>
      </w:r>
      <w:r w:rsidR="00992D82" w:rsidRPr="00653DCF">
        <w:rPr>
          <w:color w:val="auto"/>
          <w:lang w:val="hr-HR"/>
        </w:rPr>
        <w:t>sredstva</w:t>
      </w:r>
      <w:r w:rsidR="005E48E7" w:rsidRPr="00653DCF">
        <w:rPr>
          <w:color w:val="auto"/>
          <w:lang w:val="hr-HR"/>
        </w:rPr>
        <w:t xml:space="preserve"> </w:t>
      </w:r>
      <w:r w:rsidRPr="00653DCF">
        <w:rPr>
          <w:color w:val="auto"/>
          <w:lang w:val="hr-HR"/>
        </w:rPr>
        <w:t>EIB-a isplaćen</w:t>
      </w:r>
      <w:r w:rsidR="00992D82" w:rsidRPr="00653DCF">
        <w:rPr>
          <w:color w:val="auto"/>
          <w:lang w:val="hr-HR"/>
        </w:rPr>
        <w:t>a</w:t>
      </w:r>
      <w:r w:rsidRPr="00653DCF">
        <w:rPr>
          <w:color w:val="auto"/>
          <w:lang w:val="hr-HR"/>
        </w:rPr>
        <w:t xml:space="preserve"> za </w:t>
      </w:r>
      <w:r w:rsidR="005E48E7" w:rsidRPr="00653DCF">
        <w:rPr>
          <w:color w:val="auto"/>
          <w:lang w:val="hr-HR"/>
        </w:rPr>
        <w:t xml:space="preserve">investicijske projekte </w:t>
      </w:r>
      <w:r w:rsidRPr="00653DCF">
        <w:rPr>
          <w:color w:val="auto"/>
          <w:lang w:val="hr-HR"/>
        </w:rPr>
        <w:t xml:space="preserve">u okviru </w:t>
      </w:r>
      <w:r w:rsidR="0077319A" w:rsidRPr="00653DCF">
        <w:rPr>
          <w:color w:val="auto"/>
          <w:lang w:val="hr-HR"/>
        </w:rPr>
        <w:t xml:space="preserve">ovog </w:t>
      </w:r>
      <w:r w:rsidR="005E48E7" w:rsidRPr="00653DCF">
        <w:rPr>
          <w:color w:val="auto"/>
          <w:lang w:val="hr-HR"/>
        </w:rPr>
        <w:t>P</w:t>
      </w:r>
      <w:r w:rsidRPr="00653DCF">
        <w:rPr>
          <w:color w:val="auto"/>
          <w:lang w:val="hr-HR"/>
        </w:rPr>
        <w:t xml:space="preserve">rojekta </w:t>
      </w:r>
      <w:r w:rsidR="0077319A" w:rsidRPr="00653DCF">
        <w:rPr>
          <w:color w:val="auto"/>
          <w:lang w:val="hr-HR"/>
        </w:rPr>
        <w:t xml:space="preserve">premaše </w:t>
      </w:r>
      <w:r w:rsidRPr="00653DCF">
        <w:rPr>
          <w:color w:val="auto"/>
          <w:lang w:val="hr-HR"/>
        </w:rPr>
        <w:t xml:space="preserve">iznos sredstava koje </w:t>
      </w:r>
      <w:r w:rsidR="0077319A" w:rsidRPr="00653DCF">
        <w:rPr>
          <w:color w:val="auto"/>
          <w:lang w:val="hr-HR"/>
        </w:rPr>
        <w:t xml:space="preserve">je </w:t>
      </w:r>
      <w:r w:rsidRPr="00653DCF">
        <w:rPr>
          <w:color w:val="auto"/>
          <w:lang w:val="hr-HR"/>
        </w:rPr>
        <w:t xml:space="preserve">Banka </w:t>
      </w:r>
      <w:r w:rsidR="0077319A" w:rsidRPr="00653DCF">
        <w:rPr>
          <w:color w:val="auto"/>
          <w:lang w:val="hr-HR"/>
        </w:rPr>
        <w:t xml:space="preserve">dodijelila za te </w:t>
      </w:r>
      <w:r w:rsidR="00C06E65" w:rsidRPr="00653DCF">
        <w:rPr>
          <w:color w:val="auto"/>
          <w:lang w:val="hr-HR"/>
        </w:rPr>
        <w:t>investicijskim projekt</w:t>
      </w:r>
      <w:r w:rsidR="0077319A" w:rsidRPr="00653DCF">
        <w:rPr>
          <w:color w:val="auto"/>
          <w:lang w:val="hr-HR"/>
        </w:rPr>
        <w:t>e</w:t>
      </w:r>
      <w:r w:rsidR="00C06E65" w:rsidRPr="00653DCF">
        <w:rPr>
          <w:color w:val="auto"/>
          <w:lang w:val="hr-HR"/>
        </w:rPr>
        <w:t xml:space="preserve"> </w:t>
      </w:r>
      <w:r w:rsidRPr="00653DCF">
        <w:rPr>
          <w:color w:val="auto"/>
          <w:lang w:val="hr-HR"/>
        </w:rPr>
        <w:t>na temelju odgovarajuć</w:t>
      </w:r>
      <w:r w:rsidR="00C06E65" w:rsidRPr="00653DCF">
        <w:rPr>
          <w:color w:val="auto"/>
          <w:lang w:val="hr-HR"/>
        </w:rPr>
        <w:t>eg</w:t>
      </w:r>
      <w:r w:rsidR="003B068E" w:rsidRPr="00653DCF">
        <w:rPr>
          <w:color w:val="auto"/>
          <w:lang w:val="hr-HR"/>
        </w:rPr>
        <w:t>/</w:t>
      </w:r>
      <w:r w:rsidR="00C06E65" w:rsidRPr="00653DCF">
        <w:rPr>
          <w:color w:val="auto"/>
          <w:lang w:val="hr-HR"/>
        </w:rPr>
        <w:t>odgovarajućih pisma</w:t>
      </w:r>
      <w:r w:rsidR="003B068E" w:rsidRPr="00653DCF">
        <w:rPr>
          <w:color w:val="auto"/>
          <w:lang w:val="hr-HR"/>
        </w:rPr>
        <w:t>/pisama</w:t>
      </w:r>
      <w:r w:rsidR="00C06E65" w:rsidRPr="00653DCF">
        <w:rPr>
          <w:color w:val="auto"/>
          <w:lang w:val="hr-HR"/>
        </w:rPr>
        <w:t xml:space="preserve"> </w:t>
      </w:r>
      <w:r w:rsidRPr="00653DCF">
        <w:rPr>
          <w:color w:val="auto"/>
          <w:lang w:val="hr-HR"/>
        </w:rPr>
        <w:t>o dodjeli</w:t>
      </w:r>
      <w:r w:rsidR="0077319A" w:rsidRPr="00653DCF">
        <w:rPr>
          <w:color w:val="auto"/>
          <w:lang w:val="hr-HR"/>
        </w:rPr>
        <w:t xml:space="preserve"> sredstava</w:t>
      </w:r>
      <w:r w:rsidRPr="00653DCF">
        <w:rPr>
          <w:color w:val="auto"/>
          <w:lang w:val="hr-HR"/>
        </w:rPr>
        <w:t>;</w:t>
      </w:r>
    </w:p>
    <w:p w14:paraId="2C53819F" w14:textId="0987CA9A" w:rsidR="007A2A6F" w:rsidRPr="00653DCF" w:rsidRDefault="00E87B0B">
      <w:pPr>
        <w:pStyle w:val="NoIndentEIB"/>
        <w:numPr>
          <w:ilvl w:val="0"/>
          <w:numId w:val="28"/>
        </w:numPr>
        <w:rPr>
          <w:color w:val="auto"/>
          <w:lang w:val="hr-HR"/>
        </w:rPr>
      </w:pPr>
      <w:r w:rsidRPr="00653DCF">
        <w:rPr>
          <w:color w:val="auto"/>
          <w:lang w:val="hr-HR"/>
        </w:rPr>
        <w:t xml:space="preserve">odmah obavijestiti Banku o završetku i rezultatima </w:t>
      </w:r>
      <w:r w:rsidR="005247E6" w:rsidRPr="00653DCF">
        <w:rPr>
          <w:color w:val="auto"/>
          <w:lang w:val="hr-HR"/>
        </w:rPr>
        <w:t xml:space="preserve">postupka </w:t>
      </w:r>
      <w:r w:rsidRPr="00653DCF">
        <w:rPr>
          <w:color w:val="auto"/>
          <w:lang w:val="hr-HR"/>
        </w:rPr>
        <w:t xml:space="preserve">javne nabave, posebno </w:t>
      </w:r>
      <w:r w:rsidR="005247E6" w:rsidRPr="00653DCF">
        <w:rPr>
          <w:color w:val="auto"/>
          <w:lang w:val="hr-HR"/>
        </w:rPr>
        <w:t xml:space="preserve">vezano za </w:t>
      </w:r>
      <w:r w:rsidRPr="00653DCF">
        <w:rPr>
          <w:color w:val="auto"/>
          <w:lang w:val="hr-HR"/>
        </w:rPr>
        <w:t xml:space="preserve">ugovora o javnim željezničkim uslugama, </w:t>
      </w:r>
      <w:r w:rsidR="00A346E1" w:rsidRPr="00653DCF">
        <w:rPr>
          <w:color w:val="auto"/>
          <w:lang w:val="hr-HR"/>
        </w:rPr>
        <w:t xml:space="preserve">aranžmanima vezano za ugovor </w:t>
      </w:r>
      <w:r w:rsidRPr="00653DCF">
        <w:rPr>
          <w:color w:val="auto"/>
          <w:lang w:val="hr-HR"/>
        </w:rPr>
        <w:t xml:space="preserve">o javnim uslugama, uključujući potvrdu usklađenosti ugovora o javnim uslugama za pružanje usluga željezničkog prijevoza putnika s pravom </w:t>
      </w:r>
      <w:r w:rsidR="00037E74" w:rsidRPr="00653DCF">
        <w:rPr>
          <w:color w:val="auto"/>
          <w:lang w:val="hr-HR"/>
        </w:rPr>
        <w:t>EU-a</w:t>
      </w:r>
      <w:r w:rsidR="001D0376" w:rsidRPr="00653DCF">
        <w:rPr>
          <w:color w:val="auto"/>
          <w:lang w:val="hr-HR"/>
        </w:rPr>
        <w:t xml:space="preserve"> </w:t>
      </w:r>
      <w:r w:rsidRPr="00653DCF">
        <w:rPr>
          <w:color w:val="auto"/>
          <w:lang w:val="hr-HR"/>
        </w:rPr>
        <w:t xml:space="preserve">(uključujući </w:t>
      </w:r>
      <w:r w:rsidR="004E40B9" w:rsidRPr="00653DCF">
        <w:rPr>
          <w:color w:val="auto"/>
          <w:lang w:val="hr-HR"/>
        </w:rPr>
        <w:t xml:space="preserve">s tim povezane postupke </w:t>
      </w:r>
      <w:r w:rsidR="001D0376" w:rsidRPr="00653DCF">
        <w:rPr>
          <w:color w:val="auto"/>
          <w:lang w:val="hr-HR"/>
        </w:rPr>
        <w:t>javn</w:t>
      </w:r>
      <w:r w:rsidR="004E40B9" w:rsidRPr="00653DCF">
        <w:rPr>
          <w:color w:val="auto"/>
          <w:lang w:val="hr-HR"/>
        </w:rPr>
        <w:t>e</w:t>
      </w:r>
      <w:r w:rsidR="001D0376" w:rsidRPr="00653DCF">
        <w:rPr>
          <w:color w:val="auto"/>
          <w:lang w:val="hr-HR"/>
        </w:rPr>
        <w:t xml:space="preserve"> nabav</w:t>
      </w:r>
      <w:r w:rsidR="004E40B9" w:rsidRPr="00653DCF">
        <w:rPr>
          <w:color w:val="auto"/>
          <w:lang w:val="hr-HR"/>
        </w:rPr>
        <w:t>e</w:t>
      </w:r>
      <w:r w:rsidRPr="00653DCF">
        <w:rPr>
          <w:color w:val="auto"/>
          <w:lang w:val="hr-HR"/>
        </w:rPr>
        <w:t>), a posebno s Uredbom 1370/2007 EU;</w:t>
      </w:r>
    </w:p>
    <w:p w14:paraId="3BDF1F86" w14:textId="477045E5" w:rsidR="001140D2" w:rsidRPr="00653DCF" w:rsidRDefault="001140D2">
      <w:pPr>
        <w:pStyle w:val="NoIndentEIB"/>
        <w:numPr>
          <w:ilvl w:val="0"/>
          <w:numId w:val="28"/>
        </w:numPr>
        <w:rPr>
          <w:color w:val="auto"/>
          <w:lang w:val="hr-HR"/>
        </w:rPr>
      </w:pPr>
      <w:r w:rsidRPr="00653DCF">
        <w:rPr>
          <w:color w:val="auto"/>
          <w:lang w:val="hr-HR"/>
        </w:rPr>
        <w:t xml:space="preserve">u slučaju da je potpora za neki investicijski projekt prijavljena Europskoj komisiji, odmah obavijestiti Banku o </w:t>
      </w:r>
      <w:r w:rsidR="00E0441A" w:rsidRPr="00653DCF">
        <w:rPr>
          <w:color w:val="auto"/>
          <w:lang w:val="hr-HR"/>
        </w:rPr>
        <w:t xml:space="preserve">rezultatu te </w:t>
      </w:r>
      <w:r w:rsidRPr="00653DCF">
        <w:rPr>
          <w:color w:val="auto"/>
          <w:lang w:val="hr-HR"/>
        </w:rPr>
        <w:t>prijave</w:t>
      </w:r>
      <w:r w:rsidR="00EF070F" w:rsidRPr="00653DCF">
        <w:rPr>
          <w:color w:val="auto"/>
          <w:lang w:val="hr-HR"/>
        </w:rPr>
        <w:t xml:space="preserve"> i potencijalnim uvjetima koje je </w:t>
      </w:r>
      <w:r w:rsidR="00E31B35" w:rsidRPr="00653DCF">
        <w:rPr>
          <w:color w:val="auto"/>
          <w:lang w:val="hr-HR"/>
        </w:rPr>
        <w:t>Europska komisija</w:t>
      </w:r>
      <w:r w:rsidR="00E0441A" w:rsidRPr="00653DCF">
        <w:rPr>
          <w:color w:val="auto"/>
          <w:lang w:val="hr-HR"/>
        </w:rPr>
        <w:t xml:space="preserve"> odredila;</w:t>
      </w:r>
    </w:p>
    <w:p w14:paraId="3E086F30" w14:textId="2F0A1C38" w:rsidR="007A2A6F" w:rsidRPr="00653DCF" w:rsidRDefault="00A97ECF">
      <w:pPr>
        <w:pStyle w:val="NoIndentEIB"/>
        <w:numPr>
          <w:ilvl w:val="0"/>
          <w:numId w:val="28"/>
        </w:numPr>
        <w:rPr>
          <w:color w:val="auto"/>
          <w:lang w:val="hr-HR"/>
        </w:rPr>
      </w:pPr>
      <w:r w:rsidRPr="00653DCF">
        <w:rPr>
          <w:color w:val="auto"/>
          <w:lang w:val="hr-HR"/>
        </w:rPr>
        <w:lastRenderedPageBreak/>
        <w:t>dostaviti</w:t>
      </w:r>
      <w:r w:rsidR="00E87B0B" w:rsidRPr="00653DCF">
        <w:rPr>
          <w:color w:val="auto"/>
          <w:lang w:val="hr-HR"/>
        </w:rPr>
        <w:t xml:space="preserve">, ili </w:t>
      </w:r>
      <w:r w:rsidR="0018369F" w:rsidRPr="00653DCF">
        <w:rPr>
          <w:color w:val="auto"/>
          <w:lang w:val="hr-HR"/>
        </w:rPr>
        <w:t xml:space="preserve">osigurati da svako Projektno društvo </w:t>
      </w:r>
      <w:r w:rsidRPr="00653DCF">
        <w:rPr>
          <w:color w:val="auto"/>
          <w:lang w:val="hr-HR"/>
        </w:rPr>
        <w:t xml:space="preserve">dostavi </w:t>
      </w:r>
      <w:r w:rsidR="0018369F" w:rsidRPr="00653DCF">
        <w:rPr>
          <w:color w:val="auto"/>
          <w:lang w:val="hr-HR"/>
        </w:rPr>
        <w:t>Banci, ako to Banka zatraži</w:t>
      </w:r>
      <w:r w:rsidR="00E87B0B" w:rsidRPr="00653DCF">
        <w:rPr>
          <w:color w:val="auto"/>
          <w:lang w:val="hr-HR"/>
        </w:rPr>
        <w:t>:</w:t>
      </w:r>
    </w:p>
    <w:p w14:paraId="649E52E3" w14:textId="02486A3C" w:rsidR="007A2A6F" w:rsidRPr="00653DCF" w:rsidRDefault="00E87B0B">
      <w:pPr>
        <w:pStyle w:val="NoIndentEIB"/>
        <w:numPr>
          <w:ilvl w:val="1"/>
          <w:numId w:val="28"/>
        </w:numPr>
        <w:rPr>
          <w:color w:val="auto"/>
          <w:lang w:val="hr-HR"/>
        </w:rPr>
      </w:pPr>
      <w:r w:rsidRPr="00653DCF">
        <w:rPr>
          <w:color w:val="auto"/>
          <w:lang w:val="hr-HR"/>
        </w:rPr>
        <w:t>potvrdu svojih osiguravatelja kojom se dokazuje ispunjavanje zahtjeva iz članka</w:t>
      </w:r>
      <w:r w:rsidR="0018369F" w:rsidRPr="00653DCF">
        <w:rPr>
          <w:color w:val="auto"/>
          <w:lang w:val="hr-HR"/>
        </w:rPr>
        <w:t xml:space="preserve"> </w:t>
      </w:r>
      <w:r w:rsidRPr="00653DCF">
        <w:rPr>
          <w:color w:val="auto"/>
          <w:lang w:val="hr-HR"/>
        </w:rPr>
        <w:fldChar w:fldCharType="begin"/>
      </w:r>
      <w:r w:rsidRPr="00653DCF">
        <w:rPr>
          <w:color w:val="auto"/>
          <w:lang w:val="hr-HR"/>
        </w:rPr>
        <w:instrText xml:space="preserve"> REF _Ref427039514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6.5</w:t>
      </w:r>
      <w:r w:rsidRPr="00653DCF">
        <w:rPr>
          <w:color w:val="auto"/>
          <w:lang w:val="hr-HR"/>
        </w:rPr>
        <w:fldChar w:fldCharType="end"/>
      </w:r>
      <w:r w:rsidR="0018369F" w:rsidRPr="00653DCF">
        <w:rPr>
          <w:color w:val="auto"/>
          <w:lang w:val="hr-HR"/>
        </w:rPr>
        <w:t>.</w:t>
      </w:r>
      <w:r w:rsidRPr="00653DCF">
        <w:rPr>
          <w:color w:val="auto"/>
          <w:lang w:val="hr-HR"/>
        </w:rPr>
        <w:fldChar w:fldCharType="begin"/>
      </w:r>
      <w:r w:rsidRPr="00653DCF">
        <w:rPr>
          <w:color w:val="auto"/>
          <w:lang w:val="hr-HR"/>
        </w:rPr>
        <w:instrText xml:space="preserve"> REF _Ref426951506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(c)</w:t>
      </w:r>
      <w:r w:rsidRPr="00653DCF">
        <w:rPr>
          <w:color w:val="auto"/>
          <w:lang w:val="hr-HR"/>
        </w:rPr>
        <w:fldChar w:fldCharType="end"/>
      </w:r>
      <w:r w:rsidRPr="00653DCF">
        <w:rPr>
          <w:color w:val="auto"/>
          <w:lang w:val="hr-HR"/>
        </w:rPr>
        <w:t>;</w:t>
      </w:r>
    </w:p>
    <w:p w14:paraId="28DEAF20" w14:textId="39B167C3" w:rsidR="007A2A6F" w:rsidRPr="00653DCF" w:rsidRDefault="00A97ECF">
      <w:pPr>
        <w:pStyle w:val="NoIndentEIB"/>
        <w:numPr>
          <w:ilvl w:val="1"/>
          <w:numId w:val="28"/>
        </w:numPr>
        <w:rPr>
          <w:color w:val="auto"/>
          <w:lang w:val="hr-HR"/>
        </w:rPr>
      </w:pPr>
      <w:r w:rsidRPr="00653DCF">
        <w:rPr>
          <w:color w:val="auto"/>
          <w:lang w:val="hr-HR"/>
        </w:rPr>
        <w:t xml:space="preserve">godišnji popis </w:t>
      </w:r>
      <w:r w:rsidR="00E87B0B" w:rsidRPr="00653DCF">
        <w:rPr>
          <w:color w:val="auto"/>
          <w:lang w:val="hr-HR"/>
        </w:rPr>
        <w:t xml:space="preserve">važećih polica </w:t>
      </w:r>
      <w:r w:rsidRPr="00653DCF">
        <w:rPr>
          <w:color w:val="auto"/>
          <w:lang w:val="hr-HR"/>
        </w:rPr>
        <w:t xml:space="preserve">osiguranja </w:t>
      </w:r>
      <w:r w:rsidR="00E87B0B" w:rsidRPr="00653DCF">
        <w:rPr>
          <w:color w:val="auto"/>
          <w:lang w:val="hr-HR"/>
        </w:rPr>
        <w:t xml:space="preserve">koje </w:t>
      </w:r>
      <w:r w:rsidRPr="00653DCF">
        <w:rPr>
          <w:color w:val="auto"/>
          <w:lang w:val="hr-HR"/>
        </w:rPr>
        <w:t xml:space="preserve">pokrivaju osiguranu imovinu koja je dio </w:t>
      </w:r>
      <w:r w:rsidR="00E87B0B" w:rsidRPr="00653DCF">
        <w:rPr>
          <w:color w:val="auto"/>
          <w:lang w:val="hr-HR"/>
        </w:rPr>
        <w:t xml:space="preserve">Projekta, zajedno s potvrdom o </w:t>
      </w:r>
      <w:r w:rsidR="003943FC" w:rsidRPr="00653DCF">
        <w:rPr>
          <w:color w:val="auto"/>
          <w:lang w:val="hr-HR"/>
        </w:rPr>
        <w:t>uplatama tekućih premija</w:t>
      </w:r>
      <w:r w:rsidR="00E87B0B" w:rsidRPr="00653DCF">
        <w:rPr>
          <w:color w:val="auto"/>
          <w:lang w:val="hr-HR"/>
        </w:rPr>
        <w:t>;</w:t>
      </w:r>
    </w:p>
    <w:p w14:paraId="1707429C" w14:textId="3FB3283C" w:rsidR="007A2A6F" w:rsidRPr="00653DCF" w:rsidRDefault="00E87B0B">
      <w:pPr>
        <w:numPr>
          <w:ilvl w:val="1"/>
          <w:numId w:val="28"/>
        </w:numPr>
        <w:rPr>
          <w:color w:val="auto"/>
          <w:lang w:val="hr-HR"/>
        </w:rPr>
      </w:pPr>
      <w:bookmarkStart w:id="669" w:name="_Ref487647660"/>
      <w:r w:rsidRPr="00653DCF">
        <w:rPr>
          <w:color w:val="auto"/>
          <w:lang w:val="hr-HR"/>
        </w:rPr>
        <w:t xml:space="preserve">relevantne ažurirane informacije (ako postoje) o postupcima nabave </w:t>
      </w:r>
      <w:r w:rsidR="003943FC" w:rsidRPr="00653DCF">
        <w:rPr>
          <w:color w:val="auto"/>
          <w:lang w:val="hr-HR"/>
        </w:rPr>
        <w:t>unutar Projekta</w:t>
      </w:r>
      <w:r w:rsidRPr="00653DCF">
        <w:rPr>
          <w:color w:val="auto"/>
          <w:lang w:val="hr-HR"/>
        </w:rPr>
        <w:t>; i</w:t>
      </w:r>
    </w:p>
    <w:p w14:paraId="5E140CDB" w14:textId="7F538D82" w:rsidR="007A2A6F" w:rsidRPr="00653DCF" w:rsidRDefault="00E87B0B">
      <w:pPr>
        <w:numPr>
          <w:ilvl w:val="1"/>
          <w:numId w:val="28"/>
        </w:numPr>
        <w:rPr>
          <w:color w:val="auto"/>
          <w:lang w:val="hr-HR"/>
        </w:rPr>
      </w:pPr>
      <w:r w:rsidRPr="00653DCF">
        <w:rPr>
          <w:color w:val="auto"/>
          <w:lang w:val="hr-HR"/>
        </w:rPr>
        <w:t>dokaz o usklađenosti s obvezama iz članka</w:t>
      </w:r>
      <w:r w:rsidR="003943FC" w:rsidRPr="00653DCF">
        <w:rPr>
          <w:color w:val="auto"/>
          <w:lang w:val="hr-HR"/>
        </w:rPr>
        <w:t xml:space="preserve"> </w:t>
      </w:r>
      <w:r w:rsidRPr="00653DCF">
        <w:rPr>
          <w:color w:val="auto"/>
          <w:lang w:val="hr-HR"/>
        </w:rPr>
        <w:fldChar w:fldCharType="begin"/>
      </w:r>
      <w:r w:rsidRPr="00653DCF">
        <w:rPr>
          <w:color w:val="auto"/>
          <w:lang w:val="hr-HR"/>
        </w:rPr>
        <w:instrText xml:space="preserve"> REF _Ref427242093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6.5</w:t>
      </w:r>
      <w:r w:rsidRPr="00653DCF">
        <w:rPr>
          <w:color w:val="auto"/>
          <w:lang w:val="hr-HR"/>
        </w:rPr>
        <w:fldChar w:fldCharType="end"/>
      </w:r>
      <w:r w:rsidRPr="00653DCF">
        <w:rPr>
          <w:color w:val="auto"/>
          <w:lang w:val="hr-HR"/>
        </w:rPr>
        <w:t>.</w:t>
      </w:r>
    </w:p>
    <w:p w14:paraId="01F11E3E" w14:textId="063FA63D" w:rsidR="007A2A6F" w:rsidRPr="00653DCF" w:rsidRDefault="00E87B0B" w:rsidP="00613099">
      <w:pPr>
        <w:pStyle w:val="Heading2"/>
        <w:ind w:left="851"/>
        <w:rPr>
          <w:color w:val="auto"/>
          <w:lang w:val="hr-HR"/>
        </w:rPr>
      </w:pPr>
      <w:bookmarkStart w:id="670" w:name="_Ref440724597"/>
      <w:bookmarkStart w:id="671" w:name="_Ref440878655"/>
      <w:bookmarkStart w:id="672" w:name="_Ref440880255"/>
      <w:bookmarkStart w:id="673" w:name="_Toc475441180"/>
      <w:bookmarkStart w:id="674" w:name="_Toc498018675"/>
      <w:bookmarkStart w:id="675" w:name="_Toc508120542"/>
      <w:bookmarkStart w:id="676" w:name="_Ref508573467"/>
      <w:bookmarkStart w:id="677" w:name="_Ref511748107"/>
      <w:bookmarkStart w:id="678" w:name="_Toc126080732"/>
      <w:bookmarkStart w:id="679" w:name="_Toc126080864"/>
      <w:r w:rsidRPr="00653DCF">
        <w:rPr>
          <w:color w:val="auto"/>
          <w:lang w:val="hr-HR"/>
        </w:rPr>
        <w:t xml:space="preserve">Informacije o </w:t>
      </w:r>
      <w:r w:rsidR="00E67F9E" w:rsidRPr="00653DCF">
        <w:rPr>
          <w:color w:val="auto"/>
          <w:lang w:val="hr-HR"/>
        </w:rPr>
        <w:t>Z</w:t>
      </w:r>
      <w:r w:rsidRPr="00653DCF">
        <w:rPr>
          <w:color w:val="auto"/>
          <w:lang w:val="hr-HR"/>
        </w:rPr>
        <w:t>ajmoprimcu</w:t>
      </w:r>
      <w:bookmarkEnd w:id="670"/>
      <w:bookmarkEnd w:id="671"/>
      <w:bookmarkEnd w:id="672"/>
      <w:r w:rsidR="00203A36" w:rsidRPr="00653DCF">
        <w:rPr>
          <w:color w:val="auto"/>
          <w:lang w:val="hr-HR"/>
        </w:rPr>
        <w:t>, Nositelju</w:t>
      </w:r>
      <w:r w:rsidRPr="00653DCF">
        <w:rPr>
          <w:color w:val="auto"/>
          <w:lang w:val="hr-HR"/>
        </w:rPr>
        <w:t xml:space="preserve"> </w:t>
      </w:r>
      <w:bookmarkEnd w:id="669"/>
      <w:r w:rsidRPr="00653DCF">
        <w:rPr>
          <w:color w:val="auto"/>
          <w:lang w:val="hr-HR"/>
        </w:rPr>
        <w:t xml:space="preserve">i </w:t>
      </w:r>
      <w:r w:rsidR="00E67F9E" w:rsidRPr="00653DCF">
        <w:rPr>
          <w:color w:val="auto"/>
          <w:lang w:val="hr-HR"/>
        </w:rPr>
        <w:t>P</w:t>
      </w:r>
      <w:r w:rsidRPr="00653DCF">
        <w:rPr>
          <w:color w:val="auto"/>
          <w:lang w:val="hr-HR"/>
        </w:rPr>
        <w:t>rojektn</w:t>
      </w:r>
      <w:r w:rsidR="006F7EA1" w:rsidRPr="00653DCF">
        <w:rPr>
          <w:color w:val="auto"/>
          <w:lang w:val="hr-HR"/>
        </w:rPr>
        <w:t>o</w:t>
      </w:r>
      <w:r w:rsidRPr="00653DCF">
        <w:rPr>
          <w:color w:val="auto"/>
          <w:lang w:val="hr-HR"/>
        </w:rPr>
        <w:t>m društv</w:t>
      </w:r>
      <w:bookmarkEnd w:id="673"/>
      <w:bookmarkEnd w:id="674"/>
      <w:bookmarkEnd w:id="675"/>
      <w:bookmarkEnd w:id="676"/>
      <w:bookmarkEnd w:id="677"/>
      <w:bookmarkEnd w:id="678"/>
      <w:bookmarkEnd w:id="679"/>
      <w:r w:rsidR="006F7EA1" w:rsidRPr="00653DCF">
        <w:rPr>
          <w:color w:val="auto"/>
          <w:lang w:val="hr-HR"/>
        </w:rPr>
        <w:t>u</w:t>
      </w:r>
      <w:r w:rsidRPr="00653DCF">
        <w:rPr>
          <w:color w:val="auto"/>
          <w:lang w:val="hr-HR"/>
        </w:rPr>
        <w:t xml:space="preserve"> </w:t>
      </w:r>
    </w:p>
    <w:p w14:paraId="1A21EC2B" w14:textId="77777777" w:rsidR="007A2A6F" w:rsidRPr="00653DCF" w:rsidRDefault="00E87B0B">
      <w:pPr>
        <w:rPr>
          <w:color w:val="auto"/>
          <w:lang w:val="hr-HR"/>
        </w:rPr>
      </w:pPr>
      <w:r w:rsidRPr="00653DCF">
        <w:rPr>
          <w:color w:val="auto"/>
          <w:lang w:val="hr-HR"/>
        </w:rPr>
        <w:t>Zajmoprimac će:</w:t>
      </w:r>
    </w:p>
    <w:p w14:paraId="226DF794" w14:textId="77777777" w:rsidR="007A2A6F" w:rsidRPr="00653DCF" w:rsidRDefault="00E87B0B">
      <w:pPr>
        <w:pStyle w:val="NoIndentEIB"/>
        <w:numPr>
          <w:ilvl w:val="0"/>
          <w:numId w:val="29"/>
        </w:numPr>
        <w:rPr>
          <w:color w:val="auto"/>
          <w:lang w:val="hr-HR"/>
        </w:rPr>
      </w:pPr>
      <w:bookmarkStart w:id="680" w:name="_Ref487647651"/>
      <w:bookmarkStart w:id="681" w:name="_Ref442870521"/>
      <w:r w:rsidRPr="00653DCF">
        <w:rPr>
          <w:color w:val="auto"/>
          <w:lang w:val="hr-HR"/>
        </w:rPr>
        <w:t>dostaviti Banci:</w:t>
      </w:r>
      <w:bookmarkEnd w:id="680"/>
      <w:bookmarkEnd w:id="681"/>
    </w:p>
    <w:p w14:paraId="29A8225B" w14:textId="5150BC30" w:rsidR="007A2A6F" w:rsidRPr="00653DCF" w:rsidRDefault="00E87B0B">
      <w:pPr>
        <w:pStyle w:val="NoIndentEIB"/>
        <w:numPr>
          <w:ilvl w:val="1"/>
          <w:numId w:val="58"/>
        </w:numPr>
        <w:rPr>
          <w:color w:val="auto"/>
          <w:lang w:val="hr-HR"/>
        </w:rPr>
      </w:pPr>
      <w:r w:rsidRPr="00653DCF">
        <w:rPr>
          <w:color w:val="auto"/>
          <w:lang w:val="hr-HR"/>
        </w:rPr>
        <w:t>takve dodatne informacije, dokaze ili dokumente koji se odnose na:</w:t>
      </w:r>
    </w:p>
    <w:p w14:paraId="323AB40F" w14:textId="22286264" w:rsidR="007A2A6F" w:rsidRPr="00653DCF" w:rsidRDefault="006341B0">
      <w:pPr>
        <w:pStyle w:val="NoIndentEIB"/>
        <w:numPr>
          <w:ilvl w:val="2"/>
          <w:numId w:val="58"/>
        </w:numPr>
        <w:rPr>
          <w:color w:val="auto"/>
          <w:lang w:val="hr-HR"/>
        </w:rPr>
      </w:pPr>
      <w:r w:rsidRPr="00653DCF">
        <w:rPr>
          <w:color w:val="auto"/>
          <w:lang w:val="hr-HR"/>
        </w:rPr>
        <w:t>opće financijsko stanj</w:t>
      </w:r>
      <w:r w:rsidR="009E286E" w:rsidRPr="00653DCF">
        <w:rPr>
          <w:color w:val="auto"/>
          <w:lang w:val="hr-HR"/>
        </w:rPr>
        <w:t xml:space="preserve">e Zajmoprimca </w:t>
      </w:r>
      <w:r w:rsidR="00622643" w:rsidRPr="00653DCF">
        <w:rPr>
          <w:color w:val="auto"/>
          <w:lang w:val="hr-HR"/>
        </w:rPr>
        <w:t>i opće financijsko stanj</w:t>
      </w:r>
      <w:r w:rsidR="009E286E" w:rsidRPr="00653DCF">
        <w:rPr>
          <w:color w:val="auto"/>
          <w:lang w:val="hr-HR"/>
        </w:rPr>
        <w:t>e</w:t>
      </w:r>
      <w:r w:rsidR="00622643" w:rsidRPr="00653DCF">
        <w:rPr>
          <w:color w:val="auto"/>
          <w:lang w:val="hr-HR"/>
        </w:rPr>
        <w:t xml:space="preserve"> Projektnih društava koje Banka opravdano može zahtijevati</w:t>
      </w:r>
      <w:r w:rsidR="00E87B0B" w:rsidRPr="00653DCF">
        <w:rPr>
          <w:color w:val="auto"/>
          <w:lang w:val="hr-HR"/>
        </w:rPr>
        <w:t>; i</w:t>
      </w:r>
    </w:p>
    <w:p w14:paraId="111A635E" w14:textId="0383E275" w:rsidR="007A2A6F" w:rsidRPr="00653DCF" w:rsidRDefault="00A70F18">
      <w:pPr>
        <w:pStyle w:val="NoIndentEIB"/>
        <w:numPr>
          <w:ilvl w:val="2"/>
          <w:numId w:val="58"/>
        </w:numPr>
        <w:rPr>
          <w:color w:val="auto"/>
          <w:lang w:val="hr-HR"/>
        </w:rPr>
      </w:pPr>
      <w:r w:rsidRPr="00653DCF">
        <w:rPr>
          <w:color w:val="auto"/>
          <w:lang w:val="hr-HR"/>
        </w:rPr>
        <w:t xml:space="preserve">pitanja </w:t>
      </w:r>
      <w:r w:rsidR="00EA401F" w:rsidRPr="00653DCF">
        <w:rPr>
          <w:color w:val="auto"/>
          <w:lang w:val="hr-HR"/>
        </w:rPr>
        <w:t>usklađenost</w:t>
      </w:r>
      <w:r w:rsidR="009E286E" w:rsidRPr="00653DCF">
        <w:rPr>
          <w:color w:val="auto"/>
          <w:lang w:val="hr-HR"/>
        </w:rPr>
        <w:t>i</w:t>
      </w:r>
      <w:r w:rsidR="00EA401F" w:rsidRPr="00653DCF">
        <w:rPr>
          <w:color w:val="auto"/>
          <w:lang w:val="hr-HR"/>
        </w:rPr>
        <w:t xml:space="preserve"> </w:t>
      </w:r>
      <w:r w:rsidR="004C6391" w:rsidRPr="00653DCF">
        <w:rPr>
          <w:color w:val="auto"/>
          <w:lang w:val="hr-HR"/>
        </w:rPr>
        <w:t xml:space="preserve">vezano za </w:t>
      </w:r>
      <w:r w:rsidR="00E87B0B" w:rsidRPr="00653DCF">
        <w:rPr>
          <w:color w:val="auto"/>
          <w:lang w:val="hr-HR"/>
        </w:rPr>
        <w:t xml:space="preserve">dubinsku analizu </w:t>
      </w:r>
      <w:r w:rsidR="00435DC5" w:rsidRPr="00653DCF">
        <w:rPr>
          <w:color w:val="auto"/>
          <w:lang w:val="hr-HR"/>
        </w:rPr>
        <w:t>Zajmoprimc</w:t>
      </w:r>
      <w:r w:rsidR="004C6391" w:rsidRPr="00653DCF">
        <w:rPr>
          <w:color w:val="auto"/>
          <w:lang w:val="hr-HR"/>
        </w:rPr>
        <w:t>a</w:t>
      </w:r>
      <w:r w:rsidR="00435DC5" w:rsidRPr="00653DCF">
        <w:rPr>
          <w:color w:val="auto"/>
          <w:lang w:val="hr-HR"/>
        </w:rPr>
        <w:t xml:space="preserve"> ili </w:t>
      </w:r>
      <w:r w:rsidR="0059526B" w:rsidRPr="00653DCF">
        <w:rPr>
          <w:color w:val="auto"/>
          <w:lang w:val="hr-HR"/>
        </w:rPr>
        <w:t>Projektno</w:t>
      </w:r>
      <w:r w:rsidR="00490DD4" w:rsidRPr="00653DCF">
        <w:rPr>
          <w:color w:val="auto"/>
          <w:lang w:val="hr-HR"/>
        </w:rPr>
        <w:t>g</w:t>
      </w:r>
      <w:r w:rsidR="0059526B" w:rsidRPr="00653DCF">
        <w:rPr>
          <w:color w:val="auto"/>
          <w:lang w:val="hr-HR"/>
        </w:rPr>
        <w:t xml:space="preserve"> društv</w:t>
      </w:r>
      <w:r w:rsidR="00490DD4" w:rsidRPr="00653DCF">
        <w:rPr>
          <w:color w:val="auto"/>
          <w:lang w:val="hr-HR"/>
        </w:rPr>
        <w:t>a</w:t>
      </w:r>
      <w:r w:rsidR="0059526B" w:rsidRPr="00653DCF">
        <w:rPr>
          <w:color w:val="auto"/>
          <w:lang w:val="hr-HR"/>
        </w:rPr>
        <w:t xml:space="preserve"> </w:t>
      </w:r>
      <w:r w:rsidR="004C6391" w:rsidRPr="00653DCF">
        <w:rPr>
          <w:color w:val="auto"/>
          <w:lang w:val="hr-HR"/>
        </w:rPr>
        <w:t>koj</w:t>
      </w:r>
      <w:r w:rsidR="00490DD4" w:rsidRPr="00653DCF">
        <w:rPr>
          <w:color w:val="auto"/>
          <w:lang w:val="hr-HR"/>
        </w:rPr>
        <w:t>i</w:t>
      </w:r>
      <w:r w:rsidR="004C6391" w:rsidRPr="00653DCF">
        <w:rPr>
          <w:color w:val="auto"/>
          <w:lang w:val="hr-HR"/>
        </w:rPr>
        <w:t xml:space="preserve"> su potrebn</w:t>
      </w:r>
      <w:r w:rsidR="0011189D" w:rsidRPr="00653DCF">
        <w:rPr>
          <w:color w:val="auto"/>
          <w:lang w:val="hr-HR"/>
        </w:rPr>
        <w:t>i</w:t>
      </w:r>
      <w:r w:rsidR="004C6391" w:rsidRPr="00653DCF">
        <w:rPr>
          <w:color w:val="auto"/>
          <w:lang w:val="hr-HR"/>
        </w:rPr>
        <w:t xml:space="preserve"> Banci</w:t>
      </w:r>
      <w:r w:rsidR="00435DC5" w:rsidRPr="00653DCF">
        <w:rPr>
          <w:color w:val="auto"/>
          <w:lang w:val="hr-HR"/>
        </w:rPr>
        <w:t>, uključujući</w:t>
      </w:r>
      <w:r w:rsidR="00A91B98" w:rsidRPr="00653DCF">
        <w:rPr>
          <w:color w:val="auto"/>
          <w:lang w:val="hr-HR"/>
        </w:rPr>
        <w:t xml:space="preserve">, ali ne ograničavajući se na postupke vezano za </w:t>
      </w:r>
      <w:r w:rsidR="007B613E" w:rsidRPr="00653DCF">
        <w:rPr>
          <w:color w:val="auto"/>
          <w:lang w:val="hr-HR"/>
        </w:rPr>
        <w:t xml:space="preserve">načelo „upoznaj svog klijenta“ </w:t>
      </w:r>
      <w:r w:rsidR="00E87B0B" w:rsidRPr="00653DCF">
        <w:rPr>
          <w:color w:val="auto"/>
          <w:lang w:val="hr-HR"/>
        </w:rPr>
        <w:t>(</w:t>
      </w:r>
      <w:r w:rsidR="00E87B0B" w:rsidRPr="00653DCF">
        <w:rPr>
          <w:iCs/>
          <w:color w:val="auto"/>
          <w:lang w:val="hr-HR"/>
        </w:rPr>
        <w:t>KYC</w:t>
      </w:r>
      <w:r w:rsidR="007B613E" w:rsidRPr="00653DCF">
        <w:rPr>
          <w:iCs/>
          <w:color w:val="auto"/>
          <w:lang w:val="hr-HR"/>
        </w:rPr>
        <w:t>, eng.</w:t>
      </w:r>
      <w:r w:rsidR="007B613E" w:rsidRPr="00653DCF">
        <w:rPr>
          <w:i/>
          <w:color w:val="auto"/>
          <w:lang w:val="hr-HR"/>
        </w:rPr>
        <w:t xml:space="preserve"> „know your customer“)</w:t>
      </w:r>
      <w:r w:rsidR="00E87B0B" w:rsidRPr="00653DCF">
        <w:rPr>
          <w:color w:val="auto"/>
          <w:lang w:val="hr-HR"/>
        </w:rPr>
        <w:t xml:space="preserve"> ili slične postupke identifikacije i provjere,</w:t>
      </w:r>
    </w:p>
    <w:p w14:paraId="3C62BE4D" w14:textId="75B44A44" w:rsidR="007A2A6F" w:rsidRPr="00653DCF" w:rsidRDefault="00790BB8">
      <w:pPr>
        <w:pStyle w:val="NoIndentEIB"/>
        <w:ind w:left="1990"/>
        <w:rPr>
          <w:color w:val="auto"/>
          <w:lang w:val="hr-HR"/>
        </w:rPr>
      </w:pPr>
      <w:r w:rsidRPr="00653DCF">
        <w:rPr>
          <w:color w:val="auto"/>
          <w:lang w:val="hr-HR"/>
        </w:rPr>
        <w:t xml:space="preserve">a </w:t>
      </w:r>
      <w:r w:rsidR="00E87B0B" w:rsidRPr="00653DCF">
        <w:rPr>
          <w:color w:val="auto"/>
          <w:lang w:val="hr-HR"/>
        </w:rPr>
        <w:t xml:space="preserve">na zahtjev </w:t>
      </w:r>
      <w:r w:rsidR="009E286E" w:rsidRPr="00653DCF">
        <w:rPr>
          <w:color w:val="auto"/>
          <w:lang w:val="hr-HR"/>
        </w:rPr>
        <w:t xml:space="preserve">Banke </w:t>
      </w:r>
      <w:r w:rsidR="00E87B0B" w:rsidRPr="00653DCF">
        <w:rPr>
          <w:color w:val="auto"/>
          <w:lang w:val="hr-HR"/>
        </w:rPr>
        <w:t>i u razumnom roku; i</w:t>
      </w:r>
    </w:p>
    <w:p w14:paraId="246D17E4" w14:textId="26D71AF9" w:rsidR="007A2A6F" w:rsidRPr="00653DCF" w:rsidRDefault="00E87B0B">
      <w:pPr>
        <w:pStyle w:val="NoIndentEIB"/>
        <w:numPr>
          <w:ilvl w:val="0"/>
          <w:numId w:val="58"/>
        </w:numPr>
        <w:rPr>
          <w:color w:val="auto"/>
          <w:lang w:val="hr-HR"/>
        </w:rPr>
      </w:pPr>
      <w:r w:rsidRPr="00653DCF">
        <w:rPr>
          <w:color w:val="auto"/>
          <w:lang w:val="hr-HR"/>
        </w:rPr>
        <w:t>odmah obavijestiti Banku o:</w:t>
      </w:r>
    </w:p>
    <w:p w14:paraId="3EF9DCE2" w14:textId="2AC488FB" w:rsidR="007A2A6F" w:rsidRPr="00653DCF" w:rsidRDefault="00F53BBC">
      <w:pPr>
        <w:pStyle w:val="NoIndentEIB"/>
        <w:numPr>
          <w:ilvl w:val="1"/>
          <w:numId w:val="58"/>
        </w:numPr>
        <w:rPr>
          <w:color w:val="auto"/>
          <w:lang w:val="hr-HR"/>
        </w:rPr>
      </w:pPr>
      <w:r w:rsidRPr="00653DCF">
        <w:rPr>
          <w:color w:val="auto"/>
          <w:lang w:val="hr-HR"/>
        </w:rPr>
        <w:t xml:space="preserve">svakom događaju ili odluci </w:t>
      </w:r>
      <w:r w:rsidR="00E87B0B" w:rsidRPr="00653DCF">
        <w:rPr>
          <w:color w:val="auto"/>
          <w:lang w:val="hr-HR"/>
        </w:rPr>
        <w:t>koj</w:t>
      </w:r>
      <w:r w:rsidR="00F32135" w:rsidRPr="00653DCF">
        <w:rPr>
          <w:color w:val="auto"/>
          <w:lang w:val="hr-HR"/>
        </w:rPr>
        <w:t>i</w:t>
      </w:r>
      <w:r w:rsidR="00E87B0B" w:rsidRPr="00653DCF">
        <w:rPr>
          <w:color w:val="auto"/>
          <w:lang w:val="hr-HR"/>
        </w:rPr>
        <w:t xml:space="preserve"> </w:t>
      </w:r>
      <w:r w:rsidR="00F32135" w:rsidRPr="00653DCF">
        <w:rPr>
          <w:color w:val="auto"/>
          <w:lang w:val="hr-HR"/>
        </w:rPr>
        <w:t xml:space="preserve">predstavljaju ili bi mogli predstavljati </w:t>
      </w:r>
      <w:r w:rsidRPr="00653DCF">
        <w:rPr>
          <w:color w:val="auto"/>
          <w:lang w:val="hr-HR"/>
        </w:rPr>
        <w:t>događaj prijevremene otplate</w:t>
      </w:r>
      <w:r w:rsidR="00E87B0B" w:rsidRPr="00653DCF">
        <w:rPr>
          <w:color w:val="auto"/>
          <w:lang w:val="hr-HR"/>
        </w:rPr>
        <w:t>;</w:t>
      </w:r>
    </w:p>
    <w:p w14:paraId="4A077EB7" w14:textId="25630977" w:rsidR="00F2603B" w:rsidRPr="00653DCF" w:rsidRDefault="00BB6149">
      <w:pPr>
        <w:pStyle w:val="NoIndentEIB"/>
        <w:numPr>
          <w:ilvl w:val="1"/>
          <w:numId w:val="58"/>
        </w:numPr>
        <w:rPr>
          <w:color w:val="auto"/>
          <w:lang w:val="hr-HR"/>
        </w:rPr>
      </w:pPr>
      <w:r w:rsidRPr="00653DCF">
        <w:rPr>
          <w:color w:val="auto"/>
          <w:lang w:val="hr-HR"/>
        </w:rPr>
        <w:t>svakoj namjeri Zajmoprimca ili nekog Projektnog društva da odustane od vlasništva nad bilo kojim bitnim dijelom ovog Projekta;</w:t>
      </w:r>
    </w:p>
    <w:p w14:paraId="0776B3D7" w14:textId="387254DA" w:rsidR="00F32135" w:rsidRPr="00653DCF" w:rsidRDefault="00F32135">
      <w:pPr>
        <w:pStyle w:val="NoIndentEIB"/>
        <w:numPr>
          <w:ilvl w:val="1"/>
          <w:numId w:val="58"/>
        </w:numPr>
        <w:rPr>
          <w:color w:val="auto"/>
          <w:lang w:val="hr-HR"/>
        </w:rPr>
      </w:pPr>
      <w:r w:rsidRPr="00653DCF">
        <w:rPr>
          <w:color w:val="auto"/>
          <w:lang w:val="hr-HR"/>
        </w:rPr>
        <w:t xml:space="preserve">svakoj </w:t>
      </w:r>
      <w:r w:rsidR="00F2603B" w:rsidRPr="00653DCF">
        <w:rPr>
          <w:color w:val="auto"/>
          <w:lang w:val="hr-HR"/>
        </w:rPr>
        <w:t>namjeri</w:t>
      </w:r>
      <w:r w:rsidR="00F94224" w:rsidRPr="00653DCF">
        <w:rPr>
          <w:color w:val="auto"/>
          <w:lang w:val="hr-HR"/>
        </w:rPr>
        <w:t xml:space="preserve"> Zajmoprimca vezano za</w:t>
      </w:r>
      <w:r w:rsidR="00F2603B" w:rsidRPr="00653DCF">
        <w:rPr>
          <w:color w:val="auto"/>
          <w:lang w:val="hr-HR"/>
        </w:rPr>
        <w:t xml:space="preserve"> davanj</w:t>
      </w:r>
      <w:r w:rsidR="00F94224" w:rsidRPr="00653DCF">
        <w:rPr>
          <w:color w:val="auto"/>
          <w:lang w:val="hr-HR"/>
        </w:rPr>
        <w:t>e</w:t>
      </w:r>
      <w:r w:rsidR="00F2603B" w:rsidRPr="00653DCF">
        <w:rPr>
          <w:color w:val="auto"/>
          <w:lang w:val="hr-HR"/>
        </w:rPr>
        <w:t xml:space="preserve"> bilo kojeg osiguranja svojom imovinom </w:t>
      </w:r>
      <w:r w:rsidR="00C46E69" w:rsidRPr="00653DCF">
        <w:rPr>
          <w:color w:val="auto"/>
          <w:lang w:val="hr-HR"/>
        </w:rPr>
        <w:t>u korist neke treće strane;</w:t>
      </w:r>
    </w:p>
    <w:p w14:paraId="240DA0B2" w14:textId="3B8F3A63" w:rsidR="00C46E69" w:rsidRPr="00653DCF" w:rsidRDefault="00C46E69">
      <w:pPr>
        <w:pStyle w:val="NoIndentEIB"/>
        <w:numPr>
          <w:ilvl w:val="1"/>
          <w:numId w:val="58"/>
        </w:numPr>
        <w:rPr>
          <w:color w:val="auto"/>
          <w:lang w:val="hr-HR"/>
        </w:rPr>
      </w:pPr>
      <w:r w:rsidRPr="00653DCF">
        <w:rPr>
          <w:color w:val="auto"/>
          <w:lang w:val="hr-HR"/>
        </w:rPr>
        <w:t>svakoj činjenici ili događaju za koji se opravdano vjeruje da može u značajnoj mjeri spriječiti ispunjenje bilo koje obveze Zajmoprimca iz ovog Ugovora;</w:t>
      </w:r>
    </w:p>
    <w:p w14:paraId="2DB094D4" w14:textId="77869C0E" w:rsidR="00116BF2" w:rsidRPr="00653DCF" w:rsidRDefault="00116BF2">
      <w:pPr>
        <w:pStyle w:val="NoIndentEIB"/>
        <w:numPr>
          <w:ilvl w:val="1"/>
          <w:numId w:val="58"/>
        </w:numPr>
        <w:rPr>
          <w:color w:val="auto"/>
          <w:lang w:val="hr-HR"/>
        </w:rPr>
      </w:pPr>
      <w:r w:rsidRPr="00653DCF">
        <w:rPr>
          <w:color w:val="auto"/>
          <w:lang w:val="hr-HR"/>
        </w:rPr>
        <w:t>bilo kojem događaju neispunjenja obveza koji je nastao koji predstoji ili se očekuje;</w:t>
      </w:r>
    </w:p>
    <w:p w14:paraId="3D0A08EE" w14:textId="106E113A" w:rsidR="00116BF2" w:rsidRPr="00653DCF" w:rsidRDefault="00116BF2">
      <w:pPr>
        <w:pStyle w:val="NoIndentEIB"/>
        <w:numPr>
          <w:ilvl w:val="1"/>
          <w:numId w:val="58"/>
        </w:numPr>
        <w:rPr>
          <w:color w:val="auto"/>
          <w:lang w:val="hr-HR"/>
        </w:rPr>
      </w:pPr>
      <w:r w:rsidRPr="00653DCF">
        <w:rPr>
          <w:color w:val="auto"/>
          <w:lang w:val="hr-HR"/>
        </w:rPr>
        <w:t xml:space="preserve">osim u slučaju da je to zabranjeno zakonom, </w:t>
      </w:r>
      <w:r w:rsidR="000A2995" w:rsidRPr="00653DCF">
        <w:rPr>
          <w:color w:val="auto"/>
          <w:lang w:val="hr-HR"/>
        </w:rPr>
        <w:t xml:space="preserve">svim značajnim parnicama, arbitražama, upravnim </w:t>
      </w:r>
      <w:r w:rsidR="000627CF" w:rsidRPr="00653DCF">
        <w:rPr>
          <w:color w:val="auto"/>
          <w:lang w:val="hr-HR"/>
        </w:rPr>
        <w:t>postupcima</w:t>
      </w:r>
      <w:r w:rsidR="000A2995" w:rsidRPr="00653DCF">
        <w:rPr>
          <w:color w:val="auto"/>
          <w:lang w:val="hr-HR"/>
        </w:rPr>
        <w:t xml:space="preserve"> ili istragama koje provodi sud, upravno ili slično tijelo vlasti, a koje se, prema njegovom najboljem znanju i uvjerenju, provode, </w:t>
      </w:r>
      <w:r w:rsidR="00E61EEC" w:rsidRPr="00653DCF">
        <w:rPr>
          <w:color w:val="auto"/>
          <w:lang w:val="hr-HR"/>
        </w:rPr>
        <w:t>očekuju ili su u tijeku protiv (A) punomoćnika Zajmoprimca s ovlasti za nadzor</w:t>
      </w:r>
      <w:r w:rsidR="00F01DA6" w:rsidRPr="00653DCF">
        <w:rPr>
          <w:color w:val="auto"/>
          <w:lang w:val="hr-HR"/>
        </w:rPr>
        <w:t xml:space="preserve"> i/ili </w:t>
      </w:r>
      <w:r w:rsidR="000627CF" w:rsidRPr="00653DCF">
        <w:rPr>
          <w:color w:val="auto"/>
          <w:lang w:val="hr-HR"/>
        </w:rPr>
        <w:t>odlučivanje</w:t>
      </w:r>
      <w:r w:rsidR="00F01DA6" w:rsidRPr="00653DCF">
        <w:rPr>
          <w:color w:val="auto"/>
          <w:lang w:val="hr-HR"/>
        </w:rPr>
        <w:t xml:space="preserve"> u vezi sa zajmom ili Projektom ili (B) upravljačkih tijela ili punomoćnika Nositelja s ovlasti za nadzor i/ili donošenje odluka u vezi sa </w:t>
      </w:r>
      <w:r w:rsidR="000627CF" w:rsidRPr="00653DCF">
        <w:rPr>
          <w:color w:val="auto"/>
          <w:lang w:val="hr-HR"/>
        </w:rPr>
        <w:t>zajmom</w:t>
      </w:r>
      <w:r w:rsidR="00F01DA6" w:rsidRPr="00653DCF">
        <w:rPr>
          <w:color w:val="auto"/>
          <w:lang w:val="hr-HR"/>
        </w:rPr>
        <w:t xml:space="preserve"> ili Projektom ili (C) upravljačkih tijela bilo kojeg Projektnog društva vezano </w:t>
      </w:r>
      <w:r w:rsidR="000627CF" w:rsidRPr="00653DCF">
        <w:rPr>
          <w:color w:val="auto"/>
          <w:lang w:val="hr-HR"/>
        </w:rPr>
        <w:t>za nezakonite radnje u vezi s kreditom, zajmom ili bilo kojim investicijskim projektom;</w:t>
      </w:r>
    </w:p>
    <w:p w14:paraId="05634E4B" w14:textId="32447B5B" w:rsidR="007A2A6F" w:rsidRPr="00653DCF" w:rsidRDefault="00E71EA2">
      <w:pPr>
        <w:pStyle w:val="NoIndentEIB"/>
        <w:numPr>
          <w:ilvl w:val="1"/>
          <w:numId w:val="58"/>
        </w:numPr>
        <w:rPr>
          <w:color w:val="auto"/>
          <w:lang w:val="hr-HR"/>
        </w:rPr>
      </w:pPr>
      <w:r w:rsidRPr="00653DCF">
        <w:rPr>
          <w:color w:val="auto"/>
          <w:lang w:val="hr-HR"/>
        </w:rPr>
        <w:lastRenderedPageBreak/>
        <w:t xml:space="preserve">svim mjerama koje </w:t>
      </w:r>
      <w:r w:rsidR="00BB5534" w:rsidRPr="00653DCF">
        <w:rPr>
          <w:color w:val="auto"/>
          <w:lang w:val="hr-HR"/>
        </w:rPr>
        <w:t xml:space="preserve">Zajmoprimac, </w:t>
      </w:r>
      <w:r w:rsidR="00122722" w:rsidRPr="00653DCF">
        <w:rPr>
          <w:color w:val="auto"/>
          <w:lang w:val="hr-HR"/>
        </w:rPr>
        <w:t>Nositelj</w:t>
      </w:r>
      <w:r w:rsidRPr="00653DCF">
        <w:rPr>
          <w:color w:val="auto"/>
          <w:lang w:val="hr-HR"/>
        </w:rPr>
        <w:t xml:space="preserve"> ili </w:t>
      </w:r>
      <w:r w:rsidR="0023479B" w:rsidRPr="00653DCF">
        <w:rPr>
          <w:color w:val="auto"/>
          <w:lang w:val="hr-HR"/>
        </w:rPr>
        <w:t xml:space="preserve">bilo </w:t>
      </w:r>
      <w:r w:rsidR="009E0B85" w:rsidRPr="00653DCF">
        <w:rPr>
          <w:color w:val="auto"/>
          <w:lang w:val="hr-HR"/>
        </w:rPr>
        <w:t>koje</w:t>
      </w:r>
      <w:r w:rsidR="0023479B" w:rsidRPr="00653DCF">
        <w:rPr>
          <w:color w:val="auto"/>
          <w:lang w:val="hr-HR"/>
        </w:rPr>
        <w:t xml:space="preserve"> Projektno društvo </w:t>
      </w:r>
      <w:r w:rsidR="00122722" w:rsidRPr="00653DCF">
        <w:rPr>
          <w:color w:val="auto"/>
          <w:lang w:val="hr-HR"/>
        </w:rPr>
        <w:t xml:space="preserve">poduzmu </w:t>
      </w:r>
      <w:r w:rsidR="0023479B" w:rsidRPr="00653DCF">
        <w:rPr>
          <w:color w:val="auto"/>
          <w:lang w:val="hr-HR"/>
        </w:rPr>
        <w:t xml:space="preserve">u skladu s člankom </w:t>
      </w:r>
      <w:r w:rsidR="00E87B0B" w:rsidRPr="00653DCF">
        <w:rPr>
          <w:color w:val="auto"/>
          <w:lang w:val="hr-HR"/>
        </w:rPr>
        <w:fldChar w:fldCharType="begin"/>
      </w:r>
      <w:r w:rsidR="00E87B0B" w:rsidRPr="00653DCF">
        <w:rPr>
          <w:color w:val="auto"/>
          <w:lang w:val="hr-HR"/>
        </w:rPr>
        <w:instrText xml:space="preserve"> REF _Ref427242093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6.5</w:t>
      </w:r>
      <w:r w:rsidR="00E87B0B" w:rsidRPr="00653DCF">
        <w:rPr>
          <w:color w:val="auto"/>
          <w:lang w:val="hr-HR"/>
        </w:rPr>
        <w:fldChar w:fldCharType="end"/>
      </w:r>
      <w:r w:rsidR="0023479B" w:rsidRPr="00653DCF">
        <w:rPr>
          <w:color w:val="auto"/>
          <w:lang w:val="hr-HR"/>
        </w:rPr>
        <w:t>.</w:t>
      </w:r>
      <w:r w:rsidR="00E87B0B" w:rsidRPr="00653DCF">
        <w:rPr>
          <w:color w:val="auto"/>
          <w:lang w:val="hr-HR"/>
        </w:rPr>
        <w:fldChar w:fldCharType="begin"/>
      </w:r>
      <w:r w:rsidR="00E87B0B" w:rsidRPr="00653DCF">
        <w:rPr>
          <w:color w:val="auto"/>
          <w:lang w:val="hr-HR"/>
        </w:rPr>
        <w:instrText xml:space="preserve"> REF _Ref113555192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(f)</w:t>
      </w:r>
      <w:r w:rsidR="00E87B0B" w:rsidRPr="00653DCF">
        <w:rPr>
          <w:color w:val="auto"/>
          <w:lang w:val="hr-HR"/>
        </w:rPr>
        <w:fldChar w:fldCharType="end"/>
      </w:r>
      <w:r w:rsidR="00E87B0B" w:rsidRPr="00653DCF">
        <w:rPr>
          <w:color w:val="auto"/>
          <w:lang w:val="hr-HR"/>
        </w:rPr>
        <w:t xml:space="preserve"> </w:t>
      </w:r>
      <w:r w:rsidR="0023479B" w:rsidRPr="00653DCF">
        <w:rPr>
          <w:color w:val="auto"/>
          <w:lang w:val="hr-HR"/>
        </w:rPr>
        <w:t xml:space="preserve">ovog </w:t>
      </w:r>
      <w:r w:rsidR="00E87B0B" w:rsidRPr="00653DCF">
        <w:rPr>
          <w:color w:val="auto"/>
          <w:lang w:val="hr-HR"/>
        </w:rPr>
        <w:t>Ugovora;</w:t>
      </w:r>
    </w:p>
    <w:p w14:paraId="06BC5E97" w14:textId="0FFF2330" w:rsidR="007A2A6F" w:rsidRPr="00653DCF" w:rsidRDefault="00E87B0B">
      <w:pPr>
        <w:pStyle w:val="NoIndentEIB"/>
        <w:numPr>
          <w:ilvl w:val="1"/>
          <w:numId w:val="58"/>
        </w:numPr>
        <w:rPr>
          <w:color w:val="auto"/>
          <w:lang w:val="hr-HR"/>
        </w:rPr>
      </w:pPr>
      <w:r w:rsidRPr="00653DCF">
        <w:rPr>
          <w:color w:val="auto"/>
          <w:lang w:val="hr-HR"/>
        </w:rPr>
        <w:t xml:space="preserve">svim </w:t>
      </w:r>
      <w:r w:rsidR="00776094" w:rsidRPr="00653DCF">
        <w:rPr>
          <w:color w:val="auto"/>
          <w:lang w:val="hr-HR"/>
        </w:rPr>
        <w:t>autentičnim</w:t>
      </w:r>
      <w:r w:rsidRPr="00653DCF">
        <w:rPr>
          <w:color w:val="auto"/>
          <w:lang w:val="hr-HR"/>
        </w:rPr>
        <w:t xml:space="preserve"> </w:t>
      </w:r>
      <w:r w:rsidR="0023479B" w:rsidRPr="00653DCF">
        <w:rPr>
          <w:color w:val="auto"/>
          <w:lang w:val="hr-HR"/>
        </w:rPr>
        <w:t>navodima</w:t>
      </w:r>
      <w:r w:rsidR="003E388B" w:rsidRPr="00653DCF">
        <w:rPr>
          <w:color w:val="auto"/>
          <w:lang w:val="hr-HR"/>
        </w:rPr>
        <w:t xml:space="preserve">, pritužbama ili informacijama u vezi s nezakonitim radnjama koje se odnose na sredstva koja su stavljena na raspolaganje iz zajma ili </w:t>
      </w:r>
      <w:r w:rsidR="00B665CB" w:rsidRPr="00653DCF">
        <w:rPr>
          <w:color w:val="auto"/>
          <w:lang w:val="hr-HR"/>
        </w:rPr>
        <w:t>bilo kojeg investicijskog projekta</w:t>
      </w:r>
      <w:r w:rsidRPr="00653DCF">
        <w:rPr>
          <w:color w:val="auto"/>
          <w:lang w:val="hr-HR"/>
        </w:rPr>
        <w:t>;</w:t>
      </w:r>
    </w:p>
    <w:p w14:paraId="767EE18C" w14:textId="6390D0EB" w:rsidR="007A2A6F" w:rsidRPr="00653DCF" w:rsidRDefault="00B665CB">
      <w:pPr>
        <w:pStyle w:val="NoIndentEIB"/>
        <w:numPr>
          <w:ilvl w:val="1"/>
          <w:numId w:val="58"/>
        </w:numPr>
        <w:rPr>
          <w:color w:val="auto"/>
          <w:lang w:val="hr-HR"/>
        </w:rPr>
      </w:pPr>
      <w:r w:rsidRPr="00653DCF">
        <w:rPr>
          <w:color w:val="auto"/>
          <w:lang w:val="hr-HR"/>
        </w:rPr>
        <w:t xml:space="preserve">svim </w:t>
      </w:r>
      <w:r w:rsidR="008A3A0B" w:rsidRPr="00653DCF">
        <w:rPr>
          <w:color w:val="auto"/>
          <w:lang w:val="hr-HR"/>
        </w:rPr>
        <w:t xml:space="preserve">zahtjevima, </w:t>
      </w:r>
      <w:r w:rsidR="002D147F" w:rsidRPr="00653DCF">
        <w:rPr>
          <w:color w:val="auto"/>
          <w:lang w:val="hr-HR"/>
        </w:rPr>
        <w:t xml:space="preserve">tužbama, </w:t>
      </w:r>
      <w:r w:rsidR="008A3A0B" w:rsidRPr="00653DCF">
        <w:rPr>
          <w:color w:val="auto"/>
          <w:lang w:val="hr-HR"/>
        </w:rPr>
        <w:t xml:space="preserve">postupcima, službenim obavijestima ili istragama vezano za bilo koje sankcije Europske unije </w:t>
      </w:r>
      <w:r w:rsidR="009E0B85" w:rsidRPr="00653DCF">
        <w:rPr>
          <w:color w:val="auto"/>
          <w:lang w:val="hr-HR"/>
        </w:rPr>
        <w:t>vezano</w:t>
      </w:r>
      <w:r w:rsidR="008A3A0B" w:rsidRPr="00653DCF">
        <w:rPr>
          <w:color w:val="auto"/>
          <w:lang w:val="hr-HR"/>
        </w:rPr>
        <w:t xml:space="preserve"> za Zajmoprimca, Nositelja ili bilo koju relevantnu osobu</w:t>
      </w:r>
      <w:r w:rsidR="00E87B0B" w:rsidRPr="00653DCF">
        <w:rPr>
          <w:color w:val="auto"/>
          <w:lang w:val="hr-HR"/>
        </w:rPr>
        <w:t>.</w:t>
      </w:r>
    </w:p>
    <w:p w14:paraId="002453FB" w14:textId="696EC4B3" w:rsidR="007A2A6F" w:rsidRPr="00653DCF" w:rsidRDefault="00E87B0B" w:rsidP="00613099">
      <w:pPr>
        <w:pStyle w:val="Heading2"/>
        <w:ind w:left="851"/>
        <w:rPr>
          <w:color w:val="auto"/>
          <w:lang w:val="hr-HR"/>
        </w:rPr>
      </w:pPr>
      <w:bookmarkStart w:id="682" w:name="_Toc475441181"/>
      <w:bookmarkStart w:id="683" w:name="_Toc498018676"/>
      <w:bookmarkStart w:id="684" w:name="_Toc508120543"/>
      <w:bookmarkStart w:id="685" w:name="_Toc126080733"/>
      <w:bookmarkStart w:id="686" w:name="_Toc126080865"/>
      <w:r w:rsidRPr="00653DCF">
        <w:rPr>
          <w:color w:val="auto"/>
          <w:lang w:val="hr-HR"/>
        </w:rPr>
        <w:t xml:space="preserve">Posjeti </w:t>
      </w:r>
      <w:r w:rsidR="00FD1C81" w:rsidRPr="00653DCF">
        <w:rPr>
          <w:color w:val="auto"/>
          <w:lang w:val="hr-HR"/>
        </w:rPr>
        <w:t xml:space="preserve">od strane </w:t>
      </w:r>
      <w:r w:rsidRPr="00653DCF">
        <w:rPr>
          <w:color w:val="auto"/>
          <w:lang w:val="hr-HR"/>
        </w:rPr>
        <w:t>Banke</w:t>
      </w:r>
      <w:bookmarkEnd w:id="682"/>
      <w:bookmarkEnd w:id="683"/>
      <w:bookmarkEnd w:id="684"/>
      <w:bookmarkEnd w:id="685"/>
      <w:bookmarkEnd w:id="686"/>
    </w:p>
    <w:p w14:paraId="569E648B" w14:textId="6002B515" w:rsidR="009F7194" w:rsidRPr="00653DCF" w:rsidRDefault="00BB5534">
      <w:pPr>
        <w:rPr>
          <w:color w:val="auto"/>
          <w:lang w:val="hr-HR"/>
        </w:rPr>
      </w:pPr>
      <w:r w:rsidRPr="00653DCF">
        <w:rPr>
          <w:color w:val="auto"/>
          <w:lang w:val="hr-HR"/>
        </w:rPr>
        <w:t xml:space="preserve">Zajmoprimac i </w:t>
      </w:r>
      <w:r w:rsidR="005404D2" w:rsidRPr="00653DCF">
        <w:rPr>
          <w:color w:val="auto"/>
          <w:lang w:val="hr-HR"/>
        </w:rPr>
        <w:t>Nositelj</w:t>
      </w:r>
      <w:r w:rsidRPr="00653DCF">
        <w:rPr>
          <w:color w:val="auto"/>
          <w:lang w:val="hr-HR"/>
        </w:rPr>
        <w:t xml:space="preserve"> su dužni</w:t>
      </w:r>
      <w:r w:rsidR="00FD1C81" w:rsidRPr="00653DCF">
        <w:rPr>
          <w:color w:val="auto"/>
          <w:lang w:val="hr-HR"/>
        </w:rPr>
        <w:t xml:space="preserve"> dopustiti osobama koje odredi Banka, kao i osobama koje odrede druge </w:t>
      </w:r>
      <w:r w:rsidR="009E0B85" w:rsidRPr="00653DCF">
        <w:rPr>
          <w:color w:val="auto"/>
          <w:lang w:val="hr-HR"/>
        </w:rPr>
        <w:t>institucije</w:t>
      </w:r>
      <w:r w:rsidR="00FD1C81" w:rsidRPr="00653DCF">
        <w:rPr>
          <w:color w:val="auto"/>
          <w:lang w:val="hr-HR"/>
        </w:rPr>
        <w:t xml:space="preserve"> ili tijela Europske unije, kad </w:t>
      </w:r>
      <w:r w:rsidR="009F7194" w:rsidRPr="00653DCF">
        <w:rPr>
          <w:color w:val="auto"/>
          <w:lang w:val="hr-HR"/>
        </w:rPr>
        <w:t xml:space="preserve">je to potrebno zbog relevantnih </w:t>
      </w:r>
      <w:r w:rsidR="00FD1C81" w:rsidRPr="00653DCF">
        <w:rPr>
          <w:color w:val="auto"/>
          <w:lang w:val="hr-HR"/>
        </w:rPr>
        <w:t>obvezn</w:t>
      </w:r>
      <w:r w:rsidR="009F7194" w:rsidRPr="00653DCF">
        <w:rPr>
          <w:color w:val="auto"/>
          <w:lang w:val="hr-HR"/>
        </w:rPr>
        <w:t>ih</w:t>
      </w:r>
      <w:r w:rsidR="00FD1C81" w:rsidRPr="00653DCF">
        <w:rPr>
          <w:color w:val="auto"/>
          <w:lang w:val="hr-HR"/>
        </w:rPr>
        <w:t xml:space="preserve"> odredb</w:t>
      </w:r>
      <w:r w:rsidR="009F7194" w:rsidRPr="00653DCF">
        <w:rPr>
          <w:color w:val="auto"/>
          <w:lang w:val="hr-HR"/>
        </w:rPr>
        <w:t>i</w:t>
      </w:r>
      <w:r w:rsidR="00FD1C81" w:rsidRPr="00653DCF">
        <w:rPr>
          <w:color w:val="auto"/>
          <w:lang w:val="hr-HR"/>
        </w:rPr>
        <w:t xml:space="preserve"> prava </w:t>
      </w:r>
      <w:r w:rsidR="00037E74" w:rsidRPr="00653DCF">
        <w:rPr>
          <w:color w:val="auto"/>
          <w:lang w:val="hr-HR"/>
        </w:rPr>
        <w:t>EU-a</w:t>
      </w:r>
      <w:r w:rsidR="00FD1C81" w:rsidRPr="00653DCF">
        <w:rPr>
          <w:color w:val="auto"/>
          <w:lang w:val="hr-HR"/>
        </w:rPr>
        <w:t xml:space="preserve">, </w:t>
      </w:r>
      <w:r w:rsidRPr="00653DCF">
        <w:rPr>
          <w:color w:val="auto"/>
          <w:lang w:val="hr-HR"/>
        </w:rPr>
        <w:t>te su dužni</w:t>
      </w:r>
      <w:r w:rsidR="009F7194" w:rsidRPr="00653DCF">
        <w:rPr>
          <w:color w:val="auto"/>
          <w:lang w:val="hr-HR"/>
        </w:rPr>
        <w:t xml:space="preserve"> osigurati da bilo </w:t>
      </w:r>
      <w:r w:rsidR="009E0B85" w:rsidRPr="00653DCF">
        <w:rPr>
          <w:color w:val="auto"/>
          <w:lang w:val="hr-HR"/>
        </w:rPr>
        <w:t>koje</w:t>
      </w:r>
      <w:r w:rsidR="009F7194" w:rsidRPr="00653DCF">
        <w:rPr>
          <w:color w:val="auto"/>
          <w:lang w:val="hr-HR"/>
        </w:rPr>
        <w:t xml:space="preserve"> Projektno društvo dopusti</w:t>
      </w:r>
      <w:r w:rsidR="00703546" w:rsidRPr="00653DCF">
        <w:rPr>
          <w:color w:val="auto"/>
          <w:lang w:val="hr-HR"/>
        </w:rPr>
        <w:t>:</w:t>
      </w:r>
    </w:p>
    <w:p w14:paraId="4DEE6D84" w14:textId="4AE2DF70" w:rsidR="007A2A6F" w:rsidRPr="00653DCF" w:rsidRDefault="00703546">
      <w:pPr>
        <w:pStyle w:val="NoIndentEIB"/>
        <w:numPr>
          <w:ilvl w:val="0"/>
          <w:numId w:val="30"/>
        </w:numPr>
        <w:rPr>
          <w:color w:val="auto"/>
          <w:lang w:val="hr-HR"/>
        </w:rPr>
      </w:pPr>
      <w:r w:rsidRPr="00653DCF">
        <w:rPr>
          <w:color w:val="auto"/>
          <w:lang w:val="hr-HR"/>
        </w:rPr>
        <w:t>posjet lokacijama postrojenjima i radovima koje Projekt obuhvaća</w:t>
      </w:r>
      <w:r w:rsidR="00E87B0B" w:rsidRPr="00653DCF">
        <w:rPr>
          <w:color w:val="auto"/>
          <w:lang w:val="hr-HR"/>
        </w:rPr>
        <w:t>;</w:t>
      </w:r>
    </w:p>
    <w:p w14:paraId="12F9FADD" w14:textId="7137D9E2" w:rsidR="007A2A6F" w:rsidRPr="00653DCF" w:rsidRDefault="00130A26">
      <w:pPr>
        <w:pStyle w:val="NoIndentEIB"/>
        <w:numPr>
          <w:ilvl w:val="0"/>
          <w:numId w:val="30"/>
        </w:numPr>
        <w:rPr>
          <w:color w:val="auto"/>
          <w:lang w:val="hr-HR"/>
        </w:rPr>
      </w:pPr>
      <w:r w:rsidRPr="00653DCF">
        <w:rPr>
          <w:color w:val="auto"/>
          <w:lang w:val="hr-HR"/>
        </w:rPr>
        <w:t>razgovor s predstavnicima Zajmoprimca</w:t>
      </w:r>
      <w:r w:rsidR="005404D2" w:rsidRPr="00653DCF">
        <w:rPr>
          <w:color w:val="auto"/>
          <w:lang w:val="hr-HR"/>
        </w:rPr>
        <w:t>, Nositelja</w:t>
      </w:r>
      <w:r w:rsidRPr="00653DCF">
        <w:rPr>
          <w:color w:val="auto"/>
          <w:lang w:val="hr-HR"/>
        </w:rPr>
        <w:t xml:space="preserve"> i/ili Projektnog društva te neometane kontakte sa svim drugim osobama uključenim</w:t>
      </w:r>
      <w:r w:rsidR="007B7B19" w:rsidRPr="00653DCF">
        <w:rPr>
          <w:color w:val="auto"/>
          <w:lang w:val="hr-HR"/>
        </w:rPr>
        <w:t>a u Projekt ili kojih se Projekt tiče</w:t>
      </w:r>
      <w:r w:rsidR="00E87B0B" w:rsidRPr="00653DCF">
        <w:rPr>
          <w:color w:val="auto"/>
          <w:lang w:val="hr-HR"/>
        </w:rPr>
        <w:t>; i</w:t>
      </w:r>
    </w:p>
    <w:p w14:paraId="1B19B0E0" w14:textId="1355D9FE" w:rsidR="007A2A6F" w:rsidRPr="00653DCF" w:rsidRDefault="007B7B19">
      <w:pPr>
        <w:pStyle w:val="NoIndentEIB"/>
        <w:numPr>
          <w:ilvl w:val="0"/>
          <w:numId w:val="30"/>
        </w:numPr>
        <w:rPr>
          <w:color w:val="auto"/>
          <w:lang w:val="hr-HR"/>
        </w:rPr>
      </w:pPr>
      <w:r w:rsidRPr="00653DCF">
        <w:rPr>
          <w:color w:val="auto"/>
          <w:lang w:val="hr-HR"/>
        </w:rPr>
        <w:t xml:space="preserve">pregled </w:t>
      </w:r>
      <w:r w:rsidR="00FF6B2D" w:rsidRPr="00653DCF">
        <w:rPr>
          <w:color w:val="auto"/>
          <w:lang w:val="hr-HR"/>
        </w:rPr>
        <w:t>knjiga i evidencija Zajmoprimca</w:t>
      </w:r>
      <w:r w:rsidR="001E22EC" w:rsidRPr="00653DCF">
        <w:rPr>
          <w:color w:val="auto"/>
          <w:lang w:val="hr-HR"/>
        </w:rPr>
        <w:t>, Nositelja</w:t>
      </w:r>
      <w:r w:rsidR="00FF6B2D" w:rsidRPr="00653DCF">
        <w:rPr>
          <w:color w:val="auto"/>
          <w:lang w:val="hr-HR"/>
        </w:rPr>
        <w:t xml:space="preserve"> </w:t>
      </w:r>
      <w:r w:rsidR="00E87B0B" w:rsidRPr="00653DCF">
        <w:rPr>
          <w:color w:val="auto"/>
          <w:lang w:val="hr-HR"/>
        </w:rPr>
        <w:t xml:space="preserve">i/ili </w:t>
      </w:r>
      <w:r w:rsidR="00FF6B2D" w:rsidRPr="00653DCF">
        <w:rPr>
          <w:color w:val="auto"/>
          <w:lang w:val="hr-HR"/>
        </w:rPr>
        <w:t>P</w:t>
      </w:r>
      <w:r w:rsidR="00E87B0B" w:rsidRPr="00653DCF">
        <w:rPr>
          <w:color w:val="auto"/>
          <w:lang w:val="hr-HR"/>
        </w:rPr>
        <w:t xml:space="preserve">rojektnog društva </w:t>
      </w:r>
      <w:r w:rsidR="00FF6B2D" w:rsidRPr="00653DCF">
        <w:rPr>
          <w:color w:val="auto"/>
          <w:lang w:val="hr-HR"/>
        </w:rPr>
        <w:t xml:space="preserve">u vezi sa zajmom i </w:t>
      </w:r>
      <w:r w:rsidR="009E0B85" w:rsidRPr="00653DCF">
        <w:rPr>
          <w:color w:val="auto"/>
          <w:lang w:val="hr-HR"/>
        </w:rPr>
        <w:t>izvršenjem</w:t>
      </w:r>
      <w:r w:rsidR="00FF6B2D" w:rsidRPr="00653DCF">
        <w:rPr>
          <w:color w:val="auto"/>
          <w:lang w:val="hr-HR"/>
        </w:rPr>
        <w:t xml:space="preserve"> </w:t>
      </w:r>
      <w:r w:rsidR="001C28F4" w:rsidRPr="00653DCF">
        <w:rPr>
          <w:color w:val="auto"/>
          <w:lang w:val="hr-HR"/>
        </w:rPr>
        <w:t>Projekta te da mogu izraditi preslike odgovarajućih dokumenata u mjeri u kojoj je to dozvoljeno zakonom</w:t>
      </w:r>
      <w:r w:rsidR="00E87B0B" w:rsidRPr="00653DCF">
        <w:rPr>
          <w:color w:val="auto"/>
          <w:lang w:val="hr-HR"/>
        </w:rPr>
        <w:t>.</w:t>
      </w:r>
    </w:p>
    <w:p w14:paraId="02BF0A1E" w14:textId="7FFF775E" w:rsidR="007A2A6F" w:rsidRPr="00653DCF" w:rsidRDefault="00BB5534">
      <w:pPr>
        <w:rPr>
          <w:color w:val="auto"/>
          <w:lang w:val="hr-HR"/>
        </w:rPr>
      </w:pPr>
      <w:r w:rsidRPr="00653DCF">
        <w:rPr>
          <w:color w:val="auto"/>
          <w:lang w:val="hr-HR"/>
        </w:rPr>
        <w:t>Zajmoprimac (</w:t>
      </w:r>
      <w:r w:rsidR="00DF33A7" w:rsidRPr="00653DCF">
        <w:rPr>
          <w:color w:val="auto"/>
          <w:lang w:val="hr-HR"/>
        </w:rPr>
        <w:t>koji djeluje</w:t>
      </w:r>
      <w:r w:rsidRPr="00653DCF">
        <w:rPr>
          <w:color w:val="auto"/>
          <w:lang w:val="hr-HR"/>
        </w:rPr>
        <w:t xml:space="preserve"> putem </w:t>
      </w:r>
      <w:r w:rsidR="001E22EC" w:rsidRPr="00653DCF">
        <w:rPr>
          <w:color w:val="auto"/>
          <w:lang w:val="hr-HR"/>
        </w:rPr>
        <w:t>Nositelj</w:t>
      </w:r>
      <w:r w:rsidRPr="00653DCF">
        <w:rPr>
          <w:color w:val="auto"/>
          <w:lang w:val="hr-HR"/>
        </w:rPr>
        <w:t>a)</w:t>
      </w:r>
      <w:r w:rsidR="00E87B0B" w:rsidRPr="00653DCF">
        <w:rPr>
          <w:color w:val="auto"/>
          <w:lang w:val="hr-HR"/>
        </w:rPr>
        <w:t xml:space="preserve"> će Banci pružiti ili osigurati da Banka dobije svu potrebnu pomoć u svrhe opisane u ovom članku. </w:t>
      </w:r>
    </w:p>
    <w:p w14:paraId="27CDC58A" w14:textId="227E9AD6" w:rsidR="007A2A6F" w:rsidRPr="00653DCF" w:rsidRDefault="00BB5534">
      <w:pPr>
        <w:rPr>
          <w:color w:val="auto"/>
          <w:lang w:val="hr-HR"/>
        </w:rPr>
      </w:pPr>
      <w:r w:rsidRPr="00653DCF">
        <w:rPr>
          <w:color w:val="auto"/>
          <w:lang w:val="hr-HR"/>
        </w:rPr>
        <w:t xml:space="preserve">Zajmoprimac i </w:t>
      </w:r>
      <w:r w:rsidR="001E22EC" w:rsidRPr="00653DCF">
        <w:rPr>
          <w:color w:val="auto"/>
          <w:lang w:val="hr-HR"/>
        </w:rPr>
        <w:t xml:space="preserve">Nositelj </w:t>
      </w:r>
      <w:r w:rsidRPr="00653DCF">
        <w:rPr>
          <w:color w:val="auto"/>
          <w:lang w:val="hr-HR"/>
        </w:rPr>
        <w:t>potvrđuju</w:t>
      </w:r>
      <w:r w:rsidR="00E87B0B" w:rsidRPr="00653DCF">
        <w:rPr>
          <w:color w:val="auto"/>
          <w:lang w:val="hr-HR"/>
        </w:rPr>
        <w:t xml:space="preserve"> da Banka može </w:t>
      </w:r>
      <w:r w:rsidR="00D224FB" w:rsidRPr="00653DCF">
        <w:rPr>
          <w:color w:val="auto"/>
          <w:lang w:val="hr-HR"/>
        </w:rPr>
        <w:t xml:space="preserve">imati obvezu slanja informacija koje se odnose na </w:t>
      </w:r>
      <w:r w:rsidRPr="00653DCF">
        <w:rPr>
          <w:color w:val="auto"/>
          <w:lang w:val="hr-HR"/>
        </w:rPr>
        <w:t xml:space="preserve">Zajmoprimca i </w:t>
      </w:r>
      <w:r w:rsidR="00FE47D5" w:rsidRPr="00653DCF">
        <w:rPr>
          <w:color w:val="auto"/>
          <w:lang w:val="hr-HR"/>
        </w:rPr>
        <w:t xml:space="preserve">Nositelja </w:t>
      </w:r>
      <w:r w:rsidR="00E87B0B" w:rsidRPr="00653DCF">
        <w:rPr>
          <w:color w:val="auto"/>
          <w:lang w:val="hr-HR"/>
        </w:rPr>
        <w:t xml:space="preserve">i </w:t>
      </w:r>
      <w:r w:rsidRPr="00653DCF">
        <w:rPr>
          <w:color w:val="auto"/>
          <w:lang w:val="hr-HR"/>
        </w:rPr>
        <w:t xml:space="preserve">na </w:t>
      </w:r>
      <w:r w:rsidR="00E87B0B" w:rsidRPr="00653DCF">
        <w:rPr>
          <w:color w:val="auto"/>
          <w:lang w:val="hr-HR"/>
        </w:rPr>
        <w:t xml:space="preserve">Projekt bilo kojoj nadležnoj instituciji ili tijelu Europske unije u skladu s relevantnim obveznim odredbama prava </w:t>
      </w:r>
      <w:r w:rsidR="00037E74" w:rsidRPr="00653DCF">
        <w:rPr>
          <w:color w:val="auto"/>
          <w:lang w:val="hr-HR"/>
        </w:rPr>
        <w:t>EU-a</w:t>
      </w:r>
      <w:r w:rsidR="00E87B0B" w:rsidRPr="00653DCF">
        <w:rPr>
          <w:color w:val="auto"/>
          <w:lang w:val="hr-HR"/>
        </w:rPr>
        <w:t xml:space="preserve">. </w:t>
      </w:r>
    </w:p>
    <w:p w14:paraId="1C20112F" w14:textId="1C21BABC" w:rsidR="007A2A6F" w:rsidRPr="007E69A4" w:rsidRDefault="007E69A4" w:rsidP="007E69A4">
      <w:pPr>
        <w:pStyle w:val="ARTICLE"/>
      </w:pPr>
      <w:bookmarkStart w:id="687" w:name="_Toc475441182"/>
      <w:bookmarkStart w:id="688" w:name="_Toc498018677"/>
      <w:bookmarkStart w:id="689" w:name="_Toc508120544"/>
      <w:bookmarkStart w:id="690" w:name="_Toc126080734"/>
      <w:bookmarkStart w:id="691" w:name="_Toc126080866"/>
      <w:bookmarkEnd w:id="687"/>
      <w:bookmarkEnd w:id="688"/>
      <w:bookmarkEnd w:id="689"/>
      <w:bookmarkEnd w:id="690"/>
      <w:bookmarkEnd w:id="691"/>
      <w:r w:rsidRPr="007E69A4">
        <w:t>ČLANAK 9</w:t>
      </w:r>
      <w:r w:rsidR="009C2330">
        <w:t>.</w:t>
      </w:r>
    </w:p>
    <w:p w14:paraId="153FE795" w14:textId="5D1CD8A2" w:rsidR="007A2A6F" w:rsidRPr="00653DCF" w:rsidRDefault="009E0B85">
      <w:pPr>
        <w:pStyle w:val="ArticleTitleEIB"/>
        <w:rPr>
          <w:color w:val="auto"/>
          <w:lang w:val="hr-HR"/>
        </w:rPr>
      </w:pPr>
      <w:r w:rsidRPr="00653DCF">
        <w:rPr>
          <w:color w:val="auto"/>
          <w:lang w:val="hr-HR"/>
        </w:rPr>
        <w:t>Naknade i izdaci</w:t>
      </w:r>
    </w:p>
    <w:p w14:paraId="0E3DA532" w14:textId="77777777" w:rsidR="007E69A4" w:rsidRPr="007E69A4" w:rsidRDefault="007E69A4" w:rsidP="007E69A4">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bookmarkStart w:id="692" w:name="_Toc475441183"/>
      <w:bookmarkStart w:id="693" w:name="_Toc498018678"/>
      <w:bookmarkStart w:id="694" w:name="_Toc508120545"/>
      <w:bookmarkStart w:id="695" w:name="_Toc126080735"/>
      <w:bookmarkStart w:id="696" w:name="_Toc126080867"/>
    </w:p>
    <w:p w14:paraId="4FA3F8C0" w14:textId="46CBA9CB" w:rsidR="007A2A6F" w:rsidRPr="00653DCF" w:rsidRDefault="00E87B0B" w:rsidP="007E69A4">
      <w:pPr>
        <w:pStyle w:val="Heading2"/>
        <w:ind w:left="851"/>
        <w:rPr>
          <w:lang w:val="hr-HR"/>
        </w:rPr>
      </w:pPr>
      <w:r w:rsidRPr="00653DCF">
        <w:rPr>
          <w:lang w:val="hr-HR"/>
        </w:rPr>
        <w:t xml:space="preserve">Porezi, </w:t>
      </w:r>
      <w:r w:rsidR="009E0B85" w:rsidRPr="00653DCF">
        <w:rPr>
          <w:lang w:val="hr-HR"/>
        </w:rPr>
        <w:t>pristojbe</w:t>
      </w:r>
      <w:r w:rsidRPr="00653DCF">
        <w:rPr>
          <w:lang w:val="hr-HR"/>
        </w:rPr>
        <w:t xml:space="preserve"> i naknade</w:t>
      </w:r>
      <w:bookmarkEnd w:id="692"/>
      <w:bookmarkEnd w:id="693"/>
      <w:bookmarkEnd w:id="694"/>
      <w:bookmarkEnd w:id="695"/>
      <w:bookmarkEnd w:id="696"/>
    </w:p>
    <w:p w14:paraId="608AAB60" w14:textId="703FA595" w:rsidR="007A2A6F" w:rsidRPr="00653DCF" w:rsidRDefault="00166BC8">
      <w:pPr>
        <w:rPr>
          <w:color w:val="auto"/>
          <w:lang w:val="hr-HR"/>
        </w:rPr>
      </w:pPr>
      <w:r w:rsidRPr="00653DCF">
        <w:rPr>
          <w:color w:val="auto"/>
          <w:lang w:val="hr-HR"/>
        </w:rPr>
        <w:t xml:space="preserve">Zajmoprimac je dužan platiti sve poreze, pristojbe, naknade i ostala davanja bilo koje vrste, </w:t>
      </w:r>
      <w:r w:rsidR="00B531F6" w:rsidRPr="00653DCF">
        <w:rPr>
          <w:color w:val="auto"/>
          <w:lang w:val="hr-HR"/>
        </w:rPr>
        <w:t>uključujući</w:t>
      </w:r>
      <w:r w:rsidRPr="00653DCF">
        <w:rPr>
          <w:color w:val="auto"/>
          <w:lang w:val="hr-HR"/>
        </w:rPr>
        <w:t xml:space="preserve"> i administrativne pristojbe i naknade za registraciju, koji proizlaze iz izvršenja ili provedbe ovog Ugovora ili bilo kojeg povezanog dokumenta i izrade, zaključivanja, registracije ili provedbe osiguranja za zajam u mjeri u kojoj se to na njega primjenjuje.</w:t>
      </w:r>
    </w:p>
    <w:p w14:paraId="42DD629C" w14:textId="4268419C" w:rsidR="007A2A6F" w:rsidRPr="00653DCF" w:rsidRDefault="008B3383">
      <w:pPr>
        <w:rPr>
          <w:color w:val="auto"/>
          <w:lang w:val="hr-HR"/>
        </w:rPr>
      </w:pPr>
      <w:r w:rsidRPr="00653DCF">
        <w:rPr>
          <w:color w:val="auto"/>
          <w:lang w:val="hr-HR"/>
        </w:rPr>
        <w:t>Zajmoprimac je dužan platiti svu glavnicu, kamate, naknade i ostale iznose koji dospijevaju na temelju ovog Ugovora, i to bruto bez zadržavanja ili odbijanja državnih ili lokalnih davanja bilo koje vrste, propisane zakonom ili na temelju ugovora s nekim javnim tijelom ili drukčije. Ako je Zajmoprimac obvezan primijeniti takvo zadržavanje ili takav odbitak, uvećat će svoju isplatu Banci za iznos tako da nakon zadržavanja ili odbijanja neto iznos koji će Banka primiti bude jednak iznosu dugovanja</w:t>
      </w:r>
      <w:r w:rsidR="00E87B0B" w:rsidRPr="00653DCF">
        <w:rPr>
          <w:color w:val="auto"/>
          <w:lang w:val="hr-HR"/>
        </w:rPr>
        <w:t>.</w:t>
      </w:r>
    </w:p>
    <w:p w14:paraId="642EB87F" w14:textId="77777777" w:rsidR="007A2A6F" w:rsidRPr="00653DCF" w:rsidRDefault="00E87B0B" w:rsidP="00613099">
      <w:pPr>
        <w:pStyle w:val="Heading2"/>
        <w:ind w:left="851"/>
        <w:rPr>
          <w:color w:val="auto"/>
          <w:lang w:val="hr-HR"/>
        </w:rPr>
      </w:pPr>
      <w:bookmarkStart w:id="697" w:name="_Toc475441184"/>
      <w:bookmarkStart w:id="698" w:name="_Toc498018679"/>
      <w:bookmarkStart w:id="699" w:name="_Toc508120546"/>
      <w:bookmarkStart w:id="700" w:name="_Toc126080736"/>
      <w:bookmarkStart w:id="701" w:name="_Toc126080868"/>
      <w:r w:rsidRPr="00653DCF">
        <w:rPr>
          <w:color w:val="auto"/>
          <w:lang w:val="hr-HR"/>
        </w:rPr>
        <w:lastRenderedPageBreak/>
        <w:t>Ostali troškovi</w:t>
      </w:r>
      <w:bookmarkEnd w:id="697"/>
      <w:bookmarkEnd w:id="698"/>
      <w:bookmarkEnd w:id="699"/>
      <w:bookmarkEnd w:id="700"/>
      <w:bookmarkEnd w:id="701"/>
    </w:p>
    <w:p w14:paraId="50D9600C" w14:textId="5D646B25" w:rsidR="00990DFA" w:rsidRPr="00653DCF" w:rsidRDefault="00990DFA">
      <w:pPr>
        <w:rPr>
          <w:color w:val="auto"/>
          <w:lang w:val="hr-HR"/>
        </w:rPr>
      </w:pPr>
      <w:r w:rsidRPr="00653DCF">
        <w:rPr>
          <w:color w:val="auto"/>
          <w:lang w:val="hr-HR"/>
        </w:rPr>
        <w:t>Zajmoprimac snosi sve pristojbe, naknade i izdatke, uključujući profesionalne, bankovne ili tečajne naknade koje nastanu u vezi s pripremom, potpisivanjem, provedbom, prisilnim izvršenjem i raskidom ovog Ugovora ili bilo kojeg drugog povezanog dokumenta, izmjena i dopuna, dodatka ili odricanja u vezi s ovim Ugovorom ili bilo kojim povezanim dokumentom te prilikom izmjene i dopune, nastanka, upravljanja, prisilnog izvršenja i realizacije bilo kojeg instrumenta osiguranja za zajam.</w:t>
      </w:r>
    </w:p>
    <w:p w14:paraId="25C64CE4" w14:textId="2F2EBF16" w:rsidR="007A2A6F" w:rsidRPr="00653DCF" w:rsidRDefault="006E7A3D" w:rsidP="00613099">
      <w:pPr>
        <w:pStyle w:val="Heading2"/>
        <w:ind w:left="851"/>
        <w:rPr>
          <w:color w:val="auto"/>
          <w:lang w:val="hr-HR"/>
        </w:rPr>
      </w:pPr>
      <w:bookmarkStart w:id="702" w:name="_Toc475441185"/>
      <w:bookmarkStart w:id="703" w:name="_Toc498018680"/>
      <w:bookmarkStart w:id="704" w:name="_Toc508120547"/>
      <w:bookmarkStart w:id="705" w:name="_Toc126080737"/>
      <w:bookmarkStart w:id="706" w:name="_Toc126080869"/>
      <w:r w:rsidRPr="00653DCF">
        <w:rPr>
          <w:color w:val="auto"/>
          <w:lang w:val="hr-HR"/>
        </w:rPr>
        <w:t>Povećanje troškova</w:t>
      </w:r>
      <w:r w:rsidR="00E87B0B" w:rsidRPr="00653DCF">
        <w:rPr>
          <w:color w:val="auto"/>
          <w:lang w:val="hr-HR"/>
        </w:rPr>
        <w:t xml:space="preserve">, </w:t>
      </w:r>
      <w:r w:rsidRPr="00653DCF">
        <w:rPr>
          <w:color w:val="auto"/>
          <w:lang w:val="hr-HR"/>
        </w:rPr>
        <w:t>naknade</w:t>
      </w:r>
      <w:r w:rsidR="00E87B0B" w:rsidRPr="00653DCF">
        <w:rPr>
          <w:color w:val="auto"/>
          <w:lang w:val="hr-HR"/>
        </w:rPr>
        <w:t xml:space="preserve"> i prijeboj</w:t>
      </w:r>
      <w:bookmarkEnd w:id="702"/>
      <w:bookmarkEnd w:id="703"/>
      <w:bookmarkEnd w:id="704"/>
      <w:bookmarkEnd w:id="705"/>
      <w:bookmarkEnd w:id="706"/>
    </w:p>
    <w:p w14:paraId="42BB5962" w14:textId="74E1C8B4" w:rsidR="007A2A6F" w:rsidRPr="00653DCF" w:rsidRDefault="00613FE5">
      <w:pPr>
        <w:pStyle w:val="NoIndentEIB"/>
        <w:numPr>
          <w:ilvl w:val="0"/>
          <w:numId w:val="31"/>
        </w:numPr>
        <w:rPr>
          <w:color w:val="auto"/>
          <w:lang w:val="hr-HR"/>
        </w:rPr>
      </w:pPr>
      <w:r w:rsidRPr="00653DCF">
        <w:rPr>
          <w:color w:val="auto"/>
          <w:lang w:val="hr-HR"/>
        </w:rPr>
        <w:t>Zajmoprimac je dužan platiti Banci sve troškove ili izdatke koji nastanu za Banku ili koje ona pretrpi zbog uvođenja bilo kakve izmjene (ili u tumačenju, provođenju ili primjeni) bilo kojeg zakona ili propisa ili usklađenosti s bilo kojim zakonom ili propisom, do kojih dođe nakon datuma potpisivanja ovog Ugovora, u skladu s čime ili zbog čega je</w:t>
      </w:r>
      <w:r w:rsidR="00E87B0B" w:rsidRPr="00653DCF">
        <w:rPr>
          <w:color w:val="auto"/>
          <w:lang w:val="hr-HR"/>
        </w:rPr>
        <w:t>:</w:t>
      </w:r>
    </w:p>
    <w:p w14:paraId="555EDD82" w14:textId="5C718B1C" w:rsidR="007A2A6F" w:rsidRPr="00653DCF" w:rsidRDefault="00CC48EE">
      <w:pPr>
        <w:pStyle w:val="NoIndentEIB"/>
        <w:numPr>
          <w:ilvl w:val="1"/>
          <w:numId w:val="31"/>
        </w:numPr>
        <w:rPr>
          <w:color w:val="auto"/>
          <w:lang w:val="hr-HR"/>
        </w:rPr>
      </w:pPr>
      <w:r w:rsidRPr="00653DCF">
        <w:rPr>
          <w:color w:val="auto"/>
          <w:lang w:val="hr-HR"/>
        </w:rPr>
        <w:t>Banka obvezna snositi dodatne troškove kako bi financirala ili izvršavala svoje obveze na temelju ovog Ugovora, ili zbog čega je</w:t>
      </w:r>
      <w:r w:rsidR="00E87B0B" w:rsidRPr="00653DCF">
        <w:rPr>
          <w:color w:val="auto"/>
          <w:lang w:val="hr-HR"/>
        </w:rPr>
        <w:t xml:space="preserve">; </w:t>
      </w:r>
    </w:p>
    <w:p w14:paraId="43809B33" w14:textId="29926A9A" w:rsidR="007A2A6F" w:rsidRPr="00653DCF" w:rsidRDefault="00167E3E">
      <w:pPr>
        <w:pStyle w:val="NoIndentEIB"/>
        <w:numPr>
          <w:ilvl w:val="1"/>
          <w:numId w:val="31"/>
        </w:numPr>
        <w:rPr>
          <w:color w:val="auto"/>
          <w:lang w:val="hr-HR"/>
        </w:rPr>
      </w:pPr>
      <w:r w:rsidRPr="00653DCF">
        <w:rPr>
          <w:color w:val="auto"/>
          <w:lang w:val="hr-HR"/>
        </w:rPr>
        <w:t xml:space="preserve">bilo koji iznos koji se duguje Banci na temelju ovog Ugovora ili financijski prihod koji proizlazi iz </w:t>
      </w:r>
      <w:r w:rsidR="00241ED3" w:rsidRPr="00653DCF">
        <w:rPr>
          <w:color w:val="auto"/>
          <w:lang w:val="hr-HR"/>
        </w:rPr>
        <w:t>t</w:t>
      </w:r>
      <w:r w:rsidR="00EF0D74" w:rsidRPr="00653DCF">
        <w:rPr>
          <w:color w:val="auto"/>
          <w:lang w:val="hr-HR"/>
        </w:rPr>
        <w:t xml:space="preserve">oga što je Banka odobrila kredit </w:t>
      </w:r>
      <w:r w:rsidRPr="00653DCF">
        <w:rPr>
          <w:color w:val="auto"/>
          <w:lang w:val="hr-HR"/>
        </w:rPr>
        <w:t xml:space="preserve">ili </w:t>
      </w:r>
      <w:r w:rsidR="00EF0D74" w:rsidRPr="00653DCF">
        <w:rPr>
          <w:color w:val="auto"/>
          <w:lang w:val="hr-HR"/>
        </w:rPr>
        <w:t xml:space="preserve">zajam </w:t>
      </w:r>
      <w:r w:rsidRPr="00653DCF">
        <w:rPr>
          <w:color w:val="auto"/>
          <w:lang w:val="hr-HR"/>
        </w:rPr>
        <w:t>Zajmoprimcu smanjen ili ukinut</w:t>
      </w:r>
      <w:r w:rsidR="00E87B0B" w:rsidRPr="00653DCF">
        <w:rPr>
          <w:color w:val="auto"/>
          <w:lang w:val="hr-HR"/>
        </w:rPr>
        <w:t>.</w:t>
      </w:r>
    </w:p>
    <w:p w14:paraId="37CEBB3C" w14:textId="7EAAB60D" w:rsidR="007A2A6F" w:rsidRPr="00653DCF" w:rsidRDefault="00E87B0B">
      <w:pPr>
        <w:pStyle w:val="NoIndentEIB"/>
        <w:numPr>
          <w:ilvl w:val="0"/>
          <w:numId w:val="31"/>
        </w:numPr>
        <w:rPr>
          <w:color w:val="auto"/>
          <w:lang w:val="hr-HR"/>
        </w:rPr>
      </w:pPr>
      <w:r w:rsidRPr="00653DCF">
        <w:rPr>
          <w:color w:val="auto"/>
          <w:lang w:val="hr-HR"/>
        </w:rPr>
        <w:t>N</w:t>
      </w:r>
      <w:r w:rsidR="005B3709" w:rsidRPr="00653DCF">
        <w:rPr>
          <w:color w:val="auto"/>
          <w:lang w:val="hr-HR"/>
        </w:rPr>
        <w:t xml:space="preserve">e dovodeći u pitanje bilo koja druga prava Banke na temelju ovog Ugovora ili na temelju bilo kojeg drugog </w:t>
      </w:r>
      <w:r w:rsidR="00142AFD" w:rsidRPr="00653DCF">
        <w:rPr>
          <w:color w:val="auto"/>
          <w:lang w:val="hr-HR"/>
        </w:rPr>
        <w:t>primjenjivog</w:t>
      </w:r>
      <w:r w:rsidR="005B3709" w:rsidRPr="00653DCF">
        <w:rPr>
          <w:color w:val="auto"/>
          <w:lang w:val="hr-HR"/>
        </w:rPr>
        <w:t xml:space="preserve"> zakona, Zajmoprimac je dužan platiti naknadu Banci i smatrati Banku oslobođenom od odgovornosti za bilo koji gubitak koji nastane zbog potpunog ili djelomičnog plaćanja koje se odvija na način drukčiji od onoga koji je izričito naveden u ovom Ugovoru</w:t>
      </w:r>
      <w:r w:rsidRPr="00653DCF">
        <w:rPr>
          <w:color w:val="auto"/>
          <w:lang w:val="hr-HR"/>
        </w:rPr>
        <w:t>.</w:t>
      </w:r>
    </w:p>
    <w:p w14:paraId="10F1C01F" w14:textId="2468F482" w:rsidR="007A2A6F" w:rsidRPr="00653DCF" w:rsidRDefault="00B531F6">
      <w:pPr>
        <w:pStyle w:val="NoIndentEIB"/>
        <w:numPr>
          <w:ilvl w:val="0"/>
          <w:numId w:val="31"/>
        </w:numPr>
        <w:rPr>
          <w:color w:val="auto"/>
          <w:lang w:val="hr-HR"/>
        </w:rPr>
      </w:pPr>
      <w:r w:rsidRPr="00653DCF">
        <w:rPr>
          <w:color w:val="auto"/>
          <w:lang w:val="hr-HR"/>
        </w:rPr>
        <w:t>Banka može prebiti neku dospjelu obvezu Zajmoprimca prema ovom Ugovoru (u mjeri u kojoj je Banka stvarni vlasnik) s bilo kojom obvezom (neovisno o tome je li dospjela ili nije) koju Banka ima prema Zajmoprimcu, neovisno o mjestu plaćanja, poslovnici knjiženja ili valuti takve obveze. Ako su obveze u različitim valutama, Banka u svom redovitom poslovanju u svrhe prijeboja može konvertirati svaku takvu obvezu prema tržišnom deviznom tečaju. Ako je bilo koja od tih obveza nelikvidirana ili neutvrđena, Banka je može prebiti u iznosu koji u dobroj vjeri procijeni iznosom te obveze</w:t>
      </w:r>
      <w:r w:rsidR="00E87B0B" w:rsidRPr="00653DCF">
        <w:rPr>
          <w:color w:val="auto"/>
          <w:lang w:val="hr-HR"/>
        </w:rPr>
        <w:t>.</w:t>
      </w:r>
    </w:p>
    <w:p w14:paraId="0BFEDD5F" w14:textId="5AE32ECD" w:rsidR="007A2A6F" w:rsidRPr="00653DCF" w:rsidRDefault="007E69A4" w:rsidP="007E69A4">
      <w:pPr>
        <w:pStyle w:val="ARTICLE"/>
      </w:pPr>
      <w:bookmarkStart w:id="707" w:name="_Toc498018681"/>
      <w:bookmarkStart w:id="708" w:name="_Toc508120548"/>
      <w:bookmarkStart w:id="709" w:name="_Toc126080738"/>
      <w:bookmarkStart w:id="710" w:name="_Toc126080870"/>
      <w:bookmarkStart w:id="711" w:name="_Ref426981731"/>
      <w:bookmarkEnd w:id="707"/>
      <w:bookmarkEnd w:id="708"/>
      <w:bookmarkEnd w:id="709"/>
      <w:bookmarkEnd w:id="710"/>
      <w:r>
        <w:t>ČLANAK 10</w:t>
      </w:r>
      <w:r w:rsidR="009C2330">
        <w:t>.</w:t>
      </w:r>
    </w:p>
    <w:p w14:paraId="4B7F3325" w14:textId="0DC3F89D" w:rsidR="007A2A6F" w:rsidRPr="00653DCF" w:rsidRDefault="00E87B0B">
      <w:pPr>
        <w:pStyle w:val="ArticleTitleEIB"/>
        <w:rPr>
          <w:color w:val="auto"/>
          <w:lang w:val="hr-HR"/>
        </w:rPr>
      </w:pPr>
      <w:bookmarkStart w:id="712" w:name="_Toc475441186"/>
      <w:bookmarkEnd w:id="711"/>
      <w:bookmarkEnd w:id="712"/>
      <w:r w:rsidRPr="00653DCF">
        <w:rPr>
          <w:color w:val="auto"/>
          <w:lang w:val="hr-HR"/>
        </w:rPr>
        <w:t>Događaji neispunjavanja obveza</w:t>
      </w:r>
    </w:p>
    <w:p w14:paraId="6BD629BA" w14:textId="77777777" w:rsidR="007E69A4" w:rsidRPr="007E69A4" w:rsidRDefault="007E69A4" w:rsidP="007E69A4">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bookmarkStart w:id="713" w:name="_Ref426625279"/>
      <w:bookmarkStart w:id="714" w:name="_Toc475441187"/>
      <w:bookmarkStart w:id="715" w:name="_Toc498018682"/>
      <w:bookmarkStart w:id="716" w:name="_Toc508120549"/>
      <w:bookmarkStart w:id="717" w:name="_Toc126080739"/>
      <w:bookmarkStart w:id="718" w:name="_Toc126080871"/>
    </w:p>
    <w:p w14:paraId="69D9DDAB" w14:textId="7D34C0D2" w:rsidR="007A2A6F" w:rsidRPr="00653DCF" w:rsidRDefault="00E87B0B" w:rsidP="007E69A4">
      <w:pPr>
        <w:pStyle w:val="Heading2"/>
        <w:ind w:left="851"/>
        <w:rPr>
          <w:lang w:val="hr-HR"/>
        </w:rPr>
      </w:pPr>
      <w:r w:rsidRPr="00653DCF">
        <w:rPr>
          <w:lang w:val="hr-HR"/>
        </w:rPr>
        <w:t xml:space="preserve">Pravo </w:t>
      </w:r>
      <w:bookmarkEnd w:id="713"/>
      <w:bookmarkEnd w:id="714"/>
      <w:bookmarkEnd w:id="715"/>
      <w:bookmarkEnd w:id="716"/>
      <w:bookmarkEnd w:id="717"/>
      <w:bookmarkEnd w:id="718"/>
      <w:r w:rsidR="00B531F6" w:rsidRPr="00653DCF">
        <w:rPr>
          <w:lang w:val="hr-HR"/>
        </w:rPr>
        <w:t>traženja prijevremene otplate</w:t>
      </w:r>
    </w:p>
    <w:p w14:paraId="6619D10B" w14:textId="77CACE96" w:rsidR="007A2A6F" w:rsidRPr="00653DCF" w:rsidRDefault="005775C3">
      <w:pPr>
        <w:rPr>
          <w:color w:val="auto"/>
          <w:lang w:val="hr-HR"/>
        </w:rPr>
      </w:pPr>
      <w:r w:rsidRPr="00653DCF">
        <w:rPr>
          <w:color w:val="auto"/>
          <w:shd w:val="clear" w:color="auto" w:fill="FFFFFF"/>
          <w:lang w:val="hr-HR"/>
        </w:rPr>
        <w:t>Zajmoprimac je dužan odmah otplatiti sav nepodmireni zajam ili neki njegov dio (kako to zatraži Banka), uključujući zaračunatu kamatu i sve druge obračunate ili nepodmirene iznose iz ovog Ugovora, na pisani zahtjev Banke, u skladu sa sljedećim odredbama.</w:t>
      </w:r>
    </w:p>
    <w:p w14:paraId="077590BB" w14:textId="452B3FE1" w:rsidR="007A2A6F" w:rsidRPr="00653DCF" w:rsidRDefault="00801D73" w:rsidP="00613099">
      <w:pPr>
        <w:pStyle w:val="Heading3"/>
        <w:ind w:left="851"/>
        <w:rPr>
          <w:color w:val="auto"/>
          <w:lang w:val="hr-HR"/>
        </w:rPr>
      </w:pPr>
      <w:r w:rsidRPr="00653DCF">
        <w:rPr>
          <w:color w:val="auto"/>
          <w:lang w:val="hr-HR"/>
        </w:rPr>
        <w:t>Zahtjev bez odgode</w:t>
      </w:r>
    </w:p>
    <w:p w14:paraId="443E0178" w14:textId="524C69BB" w:rsidR="007A2A6F" w:rsidRPr="00653DCF" w:rsidRDefault="00B059AB">
      <w:pPr>
        <w:rPr>
          <w:color w:val="auto"/>
          <w:lang w:val="hr-HR"/>
        </w:rPr>
      </w:pPr>
      <w:r w:rsidRPr="00653DCF">
        <w:rPr>
          <w:color w:val="auto"/>
          <w:shd w:val="clear" w:color="auto" w:fill="FFFFFF"/>
          <w:lang w:val="hr-HR"/>
        </w:rPr>
        <w:t>Banka može takav zahtjev uložiti odmah, bez prethodne obavijesti (</w:t>
      </w:r>
      <w:r w:rsidRPr="00653DCF">
        <w:rPr>
          <w:rStyle w:val="ItalicEIB"/>
          <w:color w:val="auto"/>
          <w:lang w:val="hr-HR"/>
        </w:rPr>
        <w:t>mise en demeure préalable</w:t>
      </w:r>
      <w:r w:rsidRPr="00653DCF">
        <w:rPr>
          <w:rStyle w:val="ItalicEIB"/>
          <w:i w:val="0"/>
          <w:iCs/>
          <w:color w:val="auto"/>
          <w:lang w:val="hr-HR"/>
        </w:rPr>
        <w:t>)</w:t>
      </w:r>
      <w:r w:rsidRPr="00653DCF">
        <w:rPr>
          <w:rStyle w:val="kurziv"/>
          <w:rFonts w:ascii="Minion Pro" w:hAnsi="Minion Pro"/>
          <w:i/>
          <w:iCs/>
          <w:color w:val="auto"/>
          <w:bdr w:val="none" w:sz="0" w:space="0" w:color="auto" w:frame="1"/>
          <w:shd w:val="clear" w:color="auto" w:fill="FFFFFF"/>
          <w:lang w:val="hr-HR"/>
        </w:rPr>
        <w:t> </w:t>
      </w:r>
      <w:r w:rsidRPr="00653DCF">
        <w:rPr>
          <w:color w:val="auto"/>
          <w:shd w:val="clear" w:color="auto" w:fill="FFFFFF"/>
          <w:lang w:val="hr-HR"/>
        </w:rPr>
        <w:t>ili poduzimanja sudskih ili izvansudskih koraka</w:t>
      </w:r>
      <w:r w:rsidR="00E87B0B" w:rsidRPr="00653DCF">
        <w:rPr>
          <w:color w:val="auto"/>
          <w:lang w:val="hr-HR"/>
        </w:rPr>
        <w:t>:</w:t>
      </w:r>
    </w:p>
    <w:p w14:paraId="19CB2087" w14:textId="5C26709C" w:rsidR="007A2A6F" w:rsidRPr="00653DCF" w:rsidRDefault="00BF0F09">
      <w:pPr>
        <w:pStyle w:val="NoIndentEIB"/>
        <w:numPr>
          <w:ilvl w:val="0"/>
          <w:numId w:val="32"/>
        </w:numPr>
        <w:rPr>
          <w:color w:val="auto"/>
          <w:lang w:val="hr-HR"/>
        </w:rPr>
      </w:pPr>
      <w:r w:rsidRPr="00653DCF">
        <w:rPr>
          <w:color w:val="auto"/>
          <w:shd w:val="clear" w:color="auto" w:fill="FFFFFF"/>
          <w:lang w:val="hr-HR"/>
        </w:rPr>
        <w:lastRenderedPageBreak/>
        <w:t>ako Zajmoprimac na datum dospijeća ne plati bilo koji iznos koji treba platiti u skladu s ovim Ugovorom u mjestu i u valuti u kojoj je iskazan da ga treba platiti, osim ako</w:t>
      </w:r>
      <w:r w:rsidR="00E87B0B" w:rsidRPr="00653DCF">
        <w:rPr>
          <w:color w:val="auto"/>
          <w:lang w:val="hr-HR"/>
        </w:rPr>
        <w:t>:</w:t>
      </w:r>
    </w:p>
    <w:p w14:paraId="20AB9CE8" w14:textId="1039C413" w:rsidR="007A2A6F" w:rsidRPr="00653DCF" w:rsidRDefault="00CB4E3D">
      <w:pPr>
        <w:pStyle w:val="NoIndentEIB"/>
        <w:numPr>
          <w:ilvl w:val="1"/>
          <w:numId w:val="32"/>
        </w:numPr>
        <w:rPr>
          <w:color w:val="auto"/>
          <w:lang w:val="hr-HR"/>
        </w:rPr>
      </w:pPr>
      <w:r w:rsidRPr="00653DCF">
        <w:rPr>
          <w:color w:val="auto"/>
          <w:shd w:val="clear" w:color="auto" w:fill="FFFFFF"/>
          <w:lang w:val="hr-HR"/>
        </w:rPr>
        <w:t xml:space="preserve">je </w:t>
      </w:r>
      <w:r w:rsidR="00FE7634" w:rsidRPr="00653DCF">
        <w:rPr>
          <w:color w:val="auto"/>
          <w:shd w:val="clear" w:color="auto" w:fill="FFFFFF"/>
          <w:lang w:val="hr-HR"/>
        </w:rPr>
        <w:t>njegovo neplaćanje uzrokovano administrativnom ili tehničkom pogreškom ili događajem narušavanja</w:t>
      </w:r>
      <w:r w:rsidR="00E87B0B" w:rsidRPr="00653DCF">
        <w:rPr>
          <w:color w:val="auto"/>
          <w:lang w:val="hr-HR"/>
        </w:rPr>
        <w:t xml:space="preserve">; i </w:t>
      </w:r>
    </w:p>
    <w:p w14:paraId="72AF3D28" w14:textId="563C82C9" w:rsidR="007A2A6F" w:rsidRPr="00653DCF" w:rsidRDefault="00CB4E3D">
      <w:pPr>
        <w:pStyle w:val="NoIndentEIB"/>
        <w:numPr>
          <w:ilvl w:val="1"/>
          <w:numId w:val="32"/>
        </w:numPr>
        <w:rPr>
          <w:color w:val="auto"/>
          <w:lang w:val="hr-HR"/>
        </w:rPr>
      </w:pPr>
      <w:r w:rsidRPr="00653DCF">
        <w:rPr>
          <w:color w:val="auto"/>
          <w:shd w:val="clear" w:color="auto" w:fill="FFFFFF"/>
          <w:lang w:val="hr-HR"/>
        </w:rPr>
        <w:t xml:space="preserve">se </w:t>
      </w:r>
      <w:r w:rsidR="00EB7C10" w:rsidRPr="00653DCF">
        <w:rPr>
          <w:color w:val="auto"/>
          <w:shd w:val="clear" w:color="auto" w:fill="FFFFFF"/>
          <w:lang w:val="hr-HR"/>
        </w:rPr>
        <w:t>plaćanje</w:t>
      </w:r>
      <w:r w:rsidR="00FE7634" w:rsidRPr="00653DCF">
        <w:rPr>
          <w:color w:val="auto"/>
          <w:shd w:val="clear" w:color="auto" w:fill="FFFFFF"/>
          <w:lang w:val="hr-HR"/>
        </w:rPr>
        <w:t xml:space="preserve"> se izvrši u roku od 3 (tri) radna dana od njegova datuma dospijeća</w:t>
      </w:r>
      <w:r w:rsidR="00E87B0B" w:rsidRPr="00653DCF">
        <w:rPr>
          <w:color w:val="auto"/>
          <w:lang w:val="hr-HR"/>
        </w:rPr>
        <w:t>;</w:t>
      </w:r>
    </w:p>
    <w:p w14:paraId="47CA0F4F" w14:textId="1FE76DC2" w:rsidR="007A2A6F" w:rsidRPr="00653DCF" w:rsidRDefault="009B593A">
      <w:pPr>
        <w:pStyle w:val="NoIndentEIB"/>
        <w:numPr>
          <w:ilvl w:val="0"/>
          <w:numId w:val="32"/>
        </w:numPr>
        <w:rPr>
          <w:color w:val="auto"/>
          <w:lang w:val="hr-HR"/>
        </w:rPr>
      </w:pPr>
      <w:r w:rsidRPr="00653DCF">
        <w:rPr>
          <w:color w:val="auto"/>
          <w:shd w:val="clear" w:color="auto" w:fill="FFFFFF"/>
          <w:lang w:val="hr-HR"/>
        </w:rPr>
        <w:t xml:space="preserve">ako </w:t>
      </w:r>
      <w:r w:rsidR="00BE48E8" w:rsidRPr="00653DCF">
        <w:rPr>
          <w:color w:val="auto"/>
          <w:shd w:val="clear" w:color="auto" w:fill="FFFFFF"/>
          <w:lang w:val="hr-HR"/>
        </w:rPr>
        <w:t xml:space="preserve">su </w:t>
      </w:r>
      <w:r w:rsidRPr="00653DCF">
        <w:rPr>
          <w:color w:val="auto"/>
          <w:shd w:val="clear" w:color="auto" w:fill="FFFFFF"/>
          <w:lang w:val="hr-HR"/>
        </w:rPr>
        <w:t xml:space="preserve">bilo koja informacija ili dokument dostavljen Banci od ili u ime Zajmoprimca ili Nositelja ili </w:t>
      </w:r>
      <w:r w:rsidR="009D416F" w:rsidRPr="00653DCF">
        <w:rPr>
          <w:color w:val="auto"/>
          <w:shd w:val="clear" w:color="auto" w:fill="FFFFFF"/>
          <w:lang w:val="hr-HR"/>
        </w:rPr>
        <w:t xml:space="preserve">Projektnog društva ili </w:t>
      </w:r>
      <w:r w:rsidRPr="00653DCF">
        <w:rPr>
          <w:color w:val="auto"/>
          <w:shd w:val="clear" w:color="auto" w:fill="FFFFFF"/>
          <w:lang w:val="hr-HR"/>
        </w:rPr>
        <w:t>bilo koja izjava, jamstvo ili navod koje Zajmoprimac da ili se smatra da ih je Zajmoprimac dao u ovom Ugovoru</w:t>
      </w:r>
      <w:r w:rsidR="00995CE1" w:rsidRPr="00653DCF">
        <w:rPr>
          <w:color w:val="auto"/>
          <w:shd w:val="clear" w:color="auto" w:fill="FFFFFF"/>
          <w:lang w:val="hr-HR"/>
        </w:rPr>
        <w:t xml:space="preserve">, na temelju ovog </w:t>
      </w:r>
      <w:r w:rsidR="00245113" w:rsidRPr="00653DCF">
        <w:rPr>
          <w:color w:val="auto"/>
          <w:shd w:val="clear" w:color="auto" w:fill="FFFFFF"/>
          <w:lang w:val="hr-HR"/>
        </w:rPr>
        <w:t>U</w:t>
      </w:r>
      <w:r w:rsidR="00995CE1" w:rsidRPr="00653DCF">
        <w:rPr>
          <w:color w:val="auto"/>
          <w:shd w:val="clear" w:color="auto" w:fill="FFFFFF"/>
          <w:lang w:val="hr-HR"/>
        </w:rPr>
        <w:t xml:space="preserve">govora ili u svrhu sklapanja ovog Ugovora ili vezano za </w:t>
      </w:r>
      <w:r w:rsidR="00BE48E8" w:rsidRPr="00653DCF">
        <w:rPr>
          <w:color w:val="auto"/>
          <w:shd w:val="clear" w:color="auto" w:fill="FFFFFF"/>
          <w:lang w:val="hr-HR"/>
        </w:rPr>
        <w:t>pregovore ili ispunjavanje ovog Ugovora</w:t>
      </w:r>
      <w:r w:rsidRPr="00653DCF">
        <w:rPr>
          <w:color w:val="auto"/>
          <w:shd w:val="clear" w:color="auto" w:fill="FFFFFF"/>
          <w:lang w:val="hr-HR"/>
        </w:rPr>
        <w:t xml:space="preserve"> </w:t>
      </w:r>
      <w:r w:rsidR="00BE48E8" w:rsidRPr="00653DCF">
        <w:rPr>
          <w:color w:val="auto"/>
          <w:shd w:val="clear" w:color="auto" w:fill="FFFFFF"/>
          <w:lang w:val="hr-HR"/>
        </w:rPr>
        <w:t xml:space="preserve">netočni </w:t>
      </w:r>
      <w:r w:rsidRPr="00653DCF">
        <w:rPr>
          <w:color w:val="auto"/>
          <w:shd w:val="clear" w:color="auto" w:fill="FFFFFF"/>
          <w:lang w:val="hr-HR"/>
        </w:rPr>
        <w:t>ili se pokaže da su bili netočni, nepotpuni ili obmanjujući u bilo kojem značajnom pogledu</w:t>
      </w:r>
      <w:r w:rsidR="00E87B0B" w:rsidRPr="00653DCF">
        <w:rPr>
          <w:color w:val="auto"/>
          <w:lang w:val="hr-HR"/>
        </w:rPr>
        <w:t>;</w:t>
      </w:r>
    </w:p>
    <w:p w14:paraId="181285CA" w14:textId="00887D2F" w:rsidR="007A2A6F" w:rsidRPr="00653DCF" w:rsidRDefault="00473CAE">
      <w:pPr>
        <w:pStyle w:val="NoIndentEIB"/>
        <w:numPr>
          <w:ilvl w:val="0"/>
          <w:numId w:val="32"/>
        </w:numPr>
        <w:rPr>
          <w:color w:val="auto"/>
          <w:lang w:val="hr-HR"/>
        </w:rPr>
      </w:pPr>
      <w:r w:rsidRPr="00653DCF">
        <w:rPr>
          <w:color w:val="auto"/>
          <w:shd w:val="clear" w:color="auto" w:fill="FFFFFF"/>
          <w:lang w:val="hr-HR"/>
        </w:rPr>
        <w:t xml:space="preserve">ako se nakon neispunjavanja obveza u vezi s ovim Ugovorom od Zajmoprimca </w:t>
      </w:r>
      <w:r w:rsidR="00C32860" w:rsidRPr="00653DCF">
        <w:rPr>
          <w:color w:val="auto"/>
          <w:shd w:val="clear" w:color="auto" w:fill="FFFFFF"/>
          <w:lang w:val="hr-HR"/>
        </w:rPr>
        <w:t>zahtijeva</w:t>
      </w:r>
      <w:r w:rsidRPr="00653DCF">
        <w:rPr>
          <w:color w:val="auto"/>
          <w:shd w:val="clear" w:color="auto" w:fill="FFFFFF"/>
          <w:lang w:val="hr-HR"/>
        </w:rPr>
        <w:t xml:space="preserve"> ili se od njega može zahtijevati ili će</w:t>
      </w:r>
      <w:r w:rsidR="00C32860" w:rsidRPr="00653DCF">
        <w:rPr>
          <w:color w:val="auto"/>
          <w:shd w:val="clear" w:color="auto" w:fill="FFFFFF"/>
          <w:lang w:val="hr-HR"/>
        </w:rPr>
        <w:t xml:space="preserve"> se</w:t>
      </w:r>
      <w:r w:rsidRPr="00653DCF">
        <w:rPr>
          <w:color w:val="auto"/>
          <w:shd w:val="clear" w:color="auto" w:fill="FFFFFF"/>
          <w:lang w:val="hr-HR"/>
        </w:rPr>
        <w:t xml:space="preserve">, nakon isteka bilo kojeg važećeg ugovornog razdoblja počeka, </w:t>
      </w:r>
      <w:r w:rsidR="00C32860" w:rsidRPr="00653DCF">
        <w:rPr>
          <w:color w:val="auto"/>
          <w:shd w:val="clear" w:color="auto" w:fill="FFFFFF"/>
          <w:lang w:val="hr-HR"/>
        </w:rPr>
        <w:t xml:space="preserve">od njega zahtijevati ili moći </w:t>
      </w:r>
      <w:r w:rsidRPr="00653DCF">
        <w:rPr>
          <w:color w:val="auto"/>
          <w:shd w:val="clear" w:color="auto" w:fill="FFFFFF"/>
          <w:lang w:val="hr-HR"/>
        </w:rPr>
        <w:t>zahtijevati da prijevremeno otplati, podmiri, zatvori ili otkaže prije dospijeća takav drugi zajam ili obvezu koja proizlazi iz bilo koje financijske transakcije ili preuzete obveze u pogledu bilo kojeg zajma, ili obveze koja proizlazi iz bilo koje financijske transakcije koja se otkazuje ili obustavlja</w:t>
      </w:r>
      <w:r w:rsidR="00E87B0B" w:rsidRPr="00653DCF">
        <w:rPr>
          <w:color w:val="auto"/>
          <w:lang w:val="hr-HR"/>
        </w:rPr>
        <w:t>;</w:t>
      </w:r>
    </w:p>
    <w:p w14:paraId="33EB9157" w14:textId="0D174564" w:rsidR="007A2A6F" w:rsidRPr="00653DCF" w:rsidRDefault="00E87B0B">
      <w:pPr>
        <w:pStyle w:val="NoIndentEIB"/>
        <w:numPr>
          <w:ilvl w:val="0"/>
          <w:numId w:val="32"/>
        </w:numPr>
        <w:rPr>
          <w:color w:val="auto"/>
          <w:lang w:val="hr-HR"/>
        </w:rPr>
      </w:pPr>
      <w:r w:rsidRPr="00653DCF">
        <w:rPr>
          <w:color w:val="auto"/>
          <w:lang w:val="hr-HR"/>
        </w:rPr>
        <w:t xml:space="preserve">ako Zajmoprimac nije u mogućnosti </w:t>
      </w:r>
      <w:r w:rsidR="00FB3618" w:rsidRPr="00653DCF">
        <w:rPr>
          <w:color w:val="auto"/>
          <w:lang w:val="hr-HR"/>
        </w:rPr>
        <w:t xml:space="preserve">plaćati svoje </w:t>
      </w:r>
      <w:r w:rsidRPr="00653DCF">
        <w:rPr>
          <w:color w:val="auto"/>
          <w:lang w:val="hr-HR"/>
        </w:rPr>
        <w:t xml:space="preserve">dugove po dospijeću, ili </w:t>
      </w:r>
      <w:r w:rsidR="004A4FD2" w:rsidRPr="00653DCF">
        <w:rPr>
          <w:color w:val="auto"/>
          <w:lang w:val="hr-HR"/>
        </w:rPr>
        <w:t xml:space="preserve">obustavi </w:t>
      </w:r>
      <w:r w:rsidRPr="00653DCF">
        <w:rPr>
          <w:color w:val="auto"/>
          <w:lang w:val="hr-HR"/>
        </w:rPr>
        <w:t xml:space="preserve">svoje dugove, </w:t>
      </w:r>
      <w:r w:rsidR="007D1A12" w:rsidRPr="00653DCF">
        <w:rPr>
          <w:color w:val="auto"/>
          <w:lang w:val="hr-HR"/>
        </w:rPr>
        <w:t xml:space="preserve">ili ako sklopi, ili </w:t>
      </w:r>
      <w:r w:rsidR="00FB3618" w:rsidRPr="00653DCF">
        <w:rPr>
          <w:color w:val="auto"/>
          <w:lang w:val="hr-HR"/>
        </w:rPr>
        <w:t xml:space="preserve">ako </w:t>
      </w:r>
      <w:r w:rsidR="007D1A12" w:rsidRPr="00653DCF">
        <w:rPr>
          <w:color w:val="auto"/>
          <w:lang w:val="hr-HR"/>
        </w:rPr>
        <w:t xml:space="preserve">bez davanja prethodne pisane obavijesti Banci </w:t>
      </w:r>
      <w:r w:rsidR="00FB3618" w:rsidRPr="00653DCF">
        <w:rPr>
          <w:color w:val="auto"/>
          <w:lang w:val="hr-HR"/>
        </w:rPr>
        <w:t xml:space="preserve">pokuša sklopiti, </w:t>
      </w:r>
      <w:r w:rsidR="005E3640" w:rsidRPr="00653DCF">
        <w:rPr>
          <w:color w:val="auto"/>
          <w:lang w:val="hr-HR"/>
        </w:rPr>
        <w:t xml:space="preserve">nagodbu sa svojim vjerovnicima, uključujući moratorij ili, </w:t>
      </w:r>
      <w:r w:rsidR="00FB3618" w:rsidRPr="00653DCF">
        <w:rPr>
          <w:color w:val="auto"/>
          <w:lang w:val="hr-HR"/>
        </w:rPr>
        <w:t xml:space="preserve">zbog </w:t>
      </w:r>
      <w:r w:rsidR="005E3640" w:rsidRPr="00653DCF">
        <w:rPr>
          <w:color w:val="auto"/>
          <w:lang w:val="hr-HR"/>
        </w:rPr>
        <w:t>značajnih financijskih poteškoća</w:t>
      </w:r>
      <w:r w:rsidR="00913BAF" w:rsidRPr="00653DCF">
        <w:rPr>
          <w:color w:val="auto"/>
          <w:lang w:val="hr-HR"/>
        </w:rPr>
        <w:t xml:space="preserve"> započne pregovore s jednim ili više vjerovnika vezano za reprogramiranje bilo koje</w:t>
      </w:r>
      <w:r w:rsidR="00FB3618" w:rsidRPr="00653DCF">
        <w:rPr>
          <w:color w:val="auto"/>
          <w:lang w:val="hr-HR"/>
        </w:rPr>
        <w:t>g</w:t>
      </w:r>
      <w:r w:rsidR="00913BAF" w:rsidRPr="00653DCF">
        <w:rPr>
          <w:color w:val="auto"/>
          <w:lang w:val="hr-HR"/>
        </w:rPr>
        <w:t xml:space="preserve"> </w:t>
      </w:r>
      <w:r w:rsidR="00FB3618" w:rsidRPr="00653DCF">
        <w:rPr>
          <w:color w:val="auto"/>
          <w:lang w:val="hr-HR"/>
        </w:rPr>
        <w:t xml:space="preserve">od svojih financijskih zaduženja </w:t>
      </w:r>
      <w:r w:rsidR="00913BAF" w:rsidRPr="00653DCF">
        <w:rPr>
          <w:color w:val="auto"/>
          <w:lang w:val="hr-HR"/>
        </w:rPr>
        <w:t xml:space="preserve">(sklapanjem dobrovoljne nagodbe, </w:t>
      </w:r>
      <w:r w:rsidR="00FB3618" w:rsidRPr="00653DCF">
        <w:rPr>
          <w:color w:val="auto"/>
          <w:lang w:val="hr-HR"/>
        </w:rPr>
        <w:t>plana otplate ili na neki drugi način</w:t>
      </w:r>
      <w:r w:rsidRPr="00653DCF">
        <w:rPr>
          <w:color w:val="auto"/>
          <w:lang w:val="hr-HR"/>
        </w:rPr>
        <w:t>);</w:t>
      </w:r>
    </w:p>
    <w:p w14:paraId="7ED36C90" w14:textId="0BD1CFBD" w:rsidR="007A2A6F" w:rsidRPr="00653DCF" w:rsidRDefault="00835CD9">
      <w:pPr>
        <w:pStyle w:val="NoIndentEIB"/>
        <w:numPr>
          <w:ilvl w:val="0"/>
          <w:numId w:val="32"/>
        </w:numPr>
        <w:rPr>
          <w:color w:val="auto"/>
          <w:lang w:val="hr-HR"/>
        </w:rPr>
      </w:pPr>
      <w:r w:rsidRPr="00653DCF">
        <w:rPr>
          <w:color w:val="auto"/>
          <w:shd w:val="clear" w:color="auto" w:fill="FFFFFF"/>
          <w:lang w:val="hr-HR"/>
        </w:rPr>
        <w:t>ako Zajmoprimac propusti izvršiti neku obvezu u vezi s bilo kojim drugim zajmom koji mu je odobrila Banka ili financijskim instrumentom koji je zaključen s Bankom</w:t>
      </w:r>
      <w:r w:rsidR="000A1595" w:rsidRPr="00653DCF">
        <w:rPr>
          <w:color w:val="auto"/>
          <w:shd w:val="clear" w:color="auto" w:fill="FFFFFF"/>
          <w:lang w:val="hr-HR"/>
        </w:rPr>
        <w:t xml:space="preserve"> ili odobren iz sredstava Banke ili Europske unije</w:t>
      </w:r>
      <w:r w:rsidR="00E87B0B" w:rsidRPr="00653DCF">
        <w:rPr>
          <w:color w:val="auto"/>
          <w:lang w:val="hr-HR"/>
        </w:rPr>
        <w:t>;</w:t>
      </w:r>
    </w:p>
    <w:p w14:paraId="1D83AB11" w14:textId="034C9FB6" w:rsidR="007A2A6F" w:rsidRPr="00653DCF" w:rsidRDefault="00E87B0B">
      <w:pPr>
        <w:pStyle w:val="NoIndentEIB"/>
        <w:numPr>
          <w:ilvl w:val="0"/>
          <w:numId w:val="32"/>
        </w:numPr>
        <w:rPr>
          <w:color w:val="auto"/>
          <w:lang w:val="hr-HR"/>
        </w:rPr>
      </w:pPr>
      <w:r w:rsidRPr="00653DCF">
        <w:rPr>
          <w:color w:val="auto"/>
          <w:lang w:val="hr-HR"/>
        </w:rPr>
        <w:t xml:space="preserve">ako </w:t>
      </w:r>
      <w:r w:rsidR="000A1595" w:rsidRPr="00653DCF">
        <w:rPr>
          <w:color w:val="auto"/>
          <w:lang w:val="hr-HR"/>
        </w:rPr>
        <w:t>nastupi značajna negativna promjena</w:t>
      </w:r>
      <w:r w:rsidR="00813D95" w:rsidRPr="00653DCF">
        <w:rPr>
          <w:color w:val="auto"/>
          <w:lang w:val="hr-HR"/>
        </w:rPr>
        <w:t>,</w:t>
      </w:r>
      <w:r w:rsidRPr="00653DCF">
        <w:rPr>
          <w:color w:val="auto"/>
          <w:lang w:val="hr-HR"/>
        </w:rPr>
        <w:t xml:space="preserve"> u usporedbi sa stanjem </w:t>
      </w:r>
      <w:r w:rsidR="00813D95" w:rsidRPr="00653DCF">
        <w:rPr>
          <w:color w:val="auto"/>
          <w:lang w:val="hr-HR"/>
        </w:rPr>
        <w:t>Z</w:t>
      </w:r>
      <w:r w:rsidRPr="00653DCF">
        <w:rPr>
          <w:color w:val="auto"/>
          <w:lang w:val="hr-HR"/>
        </w:rPr>
        <w:t xml:space="preserve">ajmoprimca na </w:t>
      </w:r>
      <w:r w:rsidR="00813D95" w:rsidRPr="00653DCF">
        <w:rPr>
          <w:color w:val="auto"/>
          <w:lang w:val="hr-HR"/>
        </w:rPr>
        <w:t xml:space="preserve">datum sklapanja </w:t>
      </w:r>
      <w:r w:rsidRPr="00653DCF">
        <w:rPr>
          <w:color w:val="auto"/>
          <w:lang w:val="hr-HR"/>
        </w:rPr>
        <w:t>ovog Ugovora;</w:t>
      </w:r>
      <w:r w:rsidR="00813D95" w:rsidRPr="00653DCF">
        <w:rPr>
          <w:color w:val="auto"/>
          <w:lang w:val="hr-HR"/>
        </w:rPr>
        <w:t xml:space="preserve"> ili</w:t>
      </w:r>
    </w:p>
    <w:p w14:paraId="5F466698" w14:textId="104ADACD" w:rsidR="007A2A6F" w:rsidRPr="00653DCF" w:rsidRDefault="00BD35E0">
      <w:pPr>
        <w:pStyle w:val="NoIndentEIB"/>
        <w:numPr>
          <w:ilvl w:val="0"/>
          <w:numId w:val="32"/>
        </w:numPr>
        <w:rPr>
          <w:color w:val="auto"/>
          <w:lang w:val="hr-HR"/>
        </w:rPr>
      </w:pPr>
      <w:r w:rsidRPr="00653DCF">
        <w:rPr>
          <w:color w:val="auto"/>
          <w:shd w:val="clear" w:color="auto" w:fill="FFFFFF"/>
          <w:lang w:val="hr-HR"/>
        </w:rPr>
        <w:t>ako je protuzakonito ili postane protuzakonito za Zajmoprimca da izvršava bilo koje svoje obveze na temelju ovog Ugovora ili ovaj Ugovor nije pravovaljan u skladu s njegovim uvjetima ili Zajmoprimac tvrdi da nije pravovaljan u skladu s njegovim uvjetim</w:t>
      </w:r>
      <w:r w:rsidR="00E87B0B" w:rsidRPr="00653DCF">
        <w:rPr>
          <w:color w:val="auto"/>
          <w:lang w:val="hr-HR"/>
        </w:rPr>
        <w:t>a.</w:t>
      </w:r>
    </w:p>
    <w:p w14:paraId="2ADAB0A2" w14:textId="6CC62632" w:rsidR="007A2A6F" w:rsidRPr="00653DCF" w:rsidRDefault="00E87B0B" w:rsidP="00613099">
      <w:pPr>
        <w:pStyle w:val="Heading3"/>
        <w:ind w:left="851"/>
        <w:rPr>
          <w:color w:val="auto"/>
          <w:lang w:val="hr-HR"/>
        </w:rPr>
      </w:pPr>
      <w:bookmarkStart w:id="719" w:name="_Ref500771285"/>
      <w:bookmarkStart w:id="720" w:name="_Toc475441189"/>
      <w:bookmarkStart w:id="721" w:name="_Toc498018684"/>
      <w:bookmarkStart w:id="722" w:name="_Toc508120551"/>
      <w:bookmarkStart w:id="723" w:name="_Toc126080741"/>
      <w:bookmarkStart w:id="724" w:name="_Toc126080873"/>
      <w:r w:rsidRPr="00653DCF">
        <w:rPr>
          <w:color w:val="auto"/>
          <w:lang w:val="hr-HR"/>
        </w:rPr>
        <w:t xml:space="preserve">Zahtjev </w:t>
      </w:r>
      <w:bookmarkEnd w:id="719"/>
      <w:bookmarkEnd w:id="720"/>
      <w:bookmarkEnd w:id="721"/>
      <w:bookmarkEnd w:id="722"/>
      <w:bookmarkEnd w:id="723"/>
      <w:bookmarkEnd w:id="724"/>
      <w:r w:rsidR="00BD35E0" w:rsidRPr="00653DCF">
        <w:rPr>
          <w:color w:val="auto"/>
          <w:lang w:val="hr-HR"/>
        </w:rPr>
        <w:t>nakon opomene</w:t>
      </w:r>
    </w:p>
    <w:p w14:paraId="578CB723" w14:textId="3B30A30B" w:rsidR="000B7BF8" w:rsidRPr="00653DCF" w:rsidRDefault="000B7BF8">
      <w:pPr>
        <w:rPr>
          <w:color w:val="auto"/>
          <w:lang w:val="hr-HR"/>
        </w:rPr>
      </w:pPr>
      <w:r w:rsidRPr="00653DCF">
        <w:rPr>
          <w:color w:val="auto"/>
          <w:shd w:val="clear" w:color="auto" w:fill="FFFFFF"/>
          <w:lang w:val="hr-HR"/>
        </w:rPr>
        <w:t>Banka također može takav zahtjev uložiti odmah, bez prethodne obavijesti (</w:t>
      </w:r>
      <w:r w:rsidRPr="00653DCF">
        <w:rPr>
          <w:rStyle w:val="ItalicEIB"/>
          <w:color w:val="auto"/>
          <w:lang w:val="hr-HR"/>
        </w:rPr>
        <w:t>mise en demeure préalable</w:t>
      </w:r>
      <w:r w:rsidRPr="00653DCF">
        <w:rPr>
          <w:rStyle w:val="kurziv"/>
          <w:rFonts w:ascii="Minion Pro" w:hAnsi="Minion Pro"/>
          <w:i/>
          <w:iCs/>
          <w:color w:val="auto"/>
          <w:bdr w:val="none" w:sz="0" w:space="0" w:color="auto" w:frame="1"/>
          <w:shd w:val="clear" w:color="auto" w:fill="FFFFFF"/>
          <w:lang w:val="hr-HR"/>
        </w:rPr>
        <w:t>) </w:t>
      </w:r>
      <w:r w:rsidRPr="00653DCF">
        <w:rPr>
          <w:color w:val="auto"/>
          <w:shd w:val="clear" w:color="auto" w:fill="FFFFFF"/>
          <w:lang w:val="hr-HR"/>
        </w:rPr>
        <w:t>ili poduzimanja sudskih ili izvansudskih koraka (ne dovodeći u pitanje obavijesti navedene u nastavku):</w:t>
      </w:r>
    </w:p>
    <w:p w14:paraId="12139FA8" w14:textId="4F414822" w:rsidR="007A2A6F" w:rsidRPr="00653DCF" w:rsidRDefault="008925E6" w:rsidP="006010BF">
      <w:pPr>
        <w:pStyle w:val="NoIndentEIB"/>
        <w:numPr>
          <w:ilvl w:val="0"/>
          <w:numId w:val="71"/>
        </w:numPr>
        <w:rPr>
          <w:color w:val="auto"/>
          <w:lang w:val="hr-HR"/>
        </w:rPr>
      </w:pPr>
      <w:r w:rsidRPr="00653DCF">
        <w:rPr>
          <w:color w:val="auto"/>
          <w:shd w:val="clear" w:color="auto" w:fill="FFFFFF"/>
          <w:lang w:val="hr-HR"/>
        </w:rPr>
        <w:t xml:space="preserve">ako Zajmoprimac ne ispuni bilo koju odredbu ovog Ugovora (koja nije obveza navedena u </w:t>
      </w:r>
      <w:r w:rsidR="00E87B0B" w:rsidRPr="00653DCF">
        <w:rPr>
          <w:color w:val="auto"/>
          <w:lang w:val="hr-HR"/>
        </w:rPr>
        <w:t>članku</w:t>
      </w:r>
      <w:r w:rsidR="009D0EDA" w:rsidRPr="00653DCF">
        <w:rPr>
          <w:color w:val="auto"/>
          <w:lang w:val="hr-HR"/>
        </w:rPr>
        <w:t xml:space="preserve"> 10.1.A</w:t>
      </w:r>
      <w:r w:rsidR="00E87B0B" w:rsidRPr="00653DCF">
        <w:rPr>
          <w:color w:val="auto"/>
          <w:lang w:val="hr-HR"/>
        </w:rPr>
        <w:t>.); ili</w:t>
      </w:r>
    </w:p>
    <w:p w14:paraId="75DDEDB1" w14:textId="2516AFFB" w:rsidR="007A2A6F" w:rsidRPr="00653DCF" w:rsidRDefault="00B57B27" w:rsidP="006010BF">
      <w:pPr>
        <w:pStyle w:val="NoIndentEIB"/>
        <w:numPr>
          <w:ilvl w:val="0"/>
          <w:numId w:val="71"/>
        </w:numPr>
        <w:rPr>
          <w:color w:val="auto"/>
          <w:lang w:val="hr-HR"/>
        </w:rPr>
      </w:pPr>
      <w:r w:rsidRPr="00653DCF">
        <w:rPr>
          <w:color w:val="auto"/>
          <w:shd w:val="clear" w:color="auto" w:fill="FFFFFF"/>
          <w:lang w:val="hr-HR"/>
        </w:rPr>
        <w:t>ako se bilo koja činjenica povezana sa Zajmoprimcem ili Projektom navedena u uvodnim odredbama značajno promijeni i ne bude u bitnom dijelu ispravljena te ako ta promjena utječe na interese Banke kao zajmodavca prema Zajmoprimcu ili negativno utječe na provedbu ili funkcioniranje Projekta</w:t>
      </w:r>
      <w:r w:rsidR="00E87B0B" w:rsidRPr="00653DCF">
        <w:rPr>
          <w:color w:val="auto"/>
          <w:lang w:val="hr-HR"/>
        </w:rPr>
        <w:t>,</w:t>
      </w:r>
    </w:p>
    <w:p w14:paraId="5DF486ED" w14:textId="159278C6" w:rsidR="007A2A6F" w:rsidRPr="00653DCF" w:rsidRDefault="002716D8">
      <w:pPr>
        <w:rPr>
          <w:color w:val="auto"/>
          <w:lang w:val="hr-HR"/>
        </w:rPr>
      </w:pPr>
      <w:r w:rsidRPr="00653DCF">
        <w:rPr>
          <w:color w:val="auto"/>
          <w:shd w:val="clear" w:color="auto" w:fill="FFFFFF"/>
          <w:lang w:val="hr-HR"/>
        </w:rPr>
        <w:lastRenderedPageBreak/>
        <w:t>osim ako je neispunjenje ili okolnost koja je uzrokovala neispunjenje moguće ispraviti te se ispravi u razumnom roku navedenom u obavijesti koju Banka dostavi Zajmoprimcu</w:t>
      </w:r>
      <w:r w:rsidR="00E87B0B" w:rsidRPr="00653DCF">
        <w:rPr>
          <w:color w:val="auto"/>
          <w:lang w:val="hr-HR"/>
        </w:rPr>
        <w:t xml:space="preserve">. </w:t>
      </w:r>
    </w:p>
    <w:p w14:paraId="08E91408" w14:textId="51267907" w:rsidR="007A2A6F" w:rsidRPr="00653DCF" w:rsidRDefault="00E87B0B" w:rsidP="00613099">
      <w:pPr>
        <w:pStyle w:val="Heading2"/>
        <w:ind w:left="851"/>
        <w:rPr>
          <w:color w:val="auto"/>
          <w:lang w:val="hr-HR"/>
        </w:rPr>
      </w:pPr>
      <w:bookmarkStart w:id="725" w:name="_Toc475441190"/>
      <w:bookmarkStart w:id="726" w:name="_Toc498018685"/>
      <w:bookmarkStart w:id="727" w:name="_Toc508120552"/>
      <w:bookmarkStart w:id="728" w:name="_Toc126080742"/>
      <w:bookmarkStart w:id="729" w:name="_Toc126080874"/>
      <w:r w:rsidRPr="00653DCF">
        <w:rPr>
          <w:color w:val="auto"/>
          <w:lang w:val="hr-HR"/>
        </w:rPr>
        <w:t xml:space="preserve">Ostala </w:t>
      </w:r>
      <w:bookmarkEnd w:id="725"/>
      <w:bookmarkEnd w:id="726"/>
      <w:bookmarkEnd w:id="727"/>
      <w:bookmarkEnd w:id="728"/>
      <w:bookmarkEnd w:id="729"/>
      <w:r w:rsidR="002716D8" w:rsidRPr="00653DCF">
        <w:rPr>
          <w:color w:val="auto"/>
          <w:lang w:val="hr-HR"/>
        </w:rPr>
        <w:t>prava po zakonu</w:t>
      </w:r>
    </w:p>
    <w:p w14:paraId="70B239E4" w14:textId="2AB36BCB" w:rsidR="007A2A6F" w:rsidRPr="00653DCF" w:rsidRDefault="002716D8">
      <w:pPr>
        <w:rPr>
          <w:color w:val="auto"/>
          <w:lang w:val="hr-HR"/>
        </w:rPr>
      </w:pPr>
      <w:r w:rsidRPr="00653DCF">
        <w:rPr>
          <w:color w:val="auto"/>
          <w:lang w:val="hr-HR"/>
        </w:rPr>
        <w:t>Člankom</w:t>
      </w:r>
      <w:r w:rsidR="00E87B0B"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_Ref426625279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10</w:t>
      </w:r>
      <w:r w:rsidR="00E87B0B" w:rsidRPr="00653DCF">
        <w:rPr>
          <w:color w:val="auto"/>
          <w:lang w:val="hr-HR"/>
        </w:rPr>
        <w:fldChar w:fldCharType="end"/>
      </w:r>
      <w:r w:rsidRPr="00653DCF">
        <w:rPr>
          <w:color w:val="auto"/>
          <w:lang w:val="hr-HR"/>
        </w:rPr>
        <w:t>. ne</w:t>
      </w:r>
      <w:r w:rsidR="00E87B0B" w:rsidRPr="00653DCF">
        <w:rPr>
          <w:color w:val="auto"/>
          <w:lang w:val="hr-HR"/>
        </w:rPr>
        <w:t xml:space="preserve"> ograničava </w:t>
      </w:r>
      <w:r w:rsidRPr="00653DCF">
        <w:rPr>
          <w:color w:val="auto"/>
          <w:lang w:val="hr-HR"/>
        </w:rPr>
        <w:t xml:space="preserve">se neko drugo pravo Banke </w:t>
      </w:r>
      <w:r w:rsidR="00B1621D" w:rsidRPr="00653DCF">
        <w:rPr>
          <w:color w:val="auto"/>
          <w:lang w:val="hr-HR"/>
        </w:rPr>
        <w:t xml:space="preserve">koje ona ima po zakonu da zahtijeva prijevremenu otplatu </w:t>
      </w:r>
      <w:r w:rsidR="00E87B0B" w:rsidRPr="00653DCF">
        <w:rPr>
          <w:color w:val="auto"/>
          <w:lang w:val="hr-HR"/>
        </w:rPr>
        <w:t>nepodmirenog zajma.</w:t>
      </w:r>
    </w:p>
    <w:p w14:paraId="0063C882" w14:textId="00A36DD2" w:rsidR="007A2A6F" w:rsidRPr="00653DCF" w:rsidRDefault="00EB7C10" w:rsidP="00613099">
      <w:pPr>
        <w:pStyle w:val="Heading2"/>
        <w:ind w:left="851"/>
        <w:rPr>
          <w:color w:val="auto"/>
          <w:lang w:val="hr-HR"/>
        </w:rPr>
      </w:pPr>
      <w:r w:rsidRPr="00653DCF">
        <w:rPr>
          <w:color w:val="auto"/>
          <w:lang w:val="hr-HR"/>
        </w:rPr>
        <w:t>Naknade</w:t>
      </w:r>
    </w:p>
    <w:p w14:paraId="0F0FCD44" w14:textId="74DEC5BE" w:rsidR="007A2A6F" w:rsidRPr="00653DCF" w:rsidRDefault="00EB7C10" w:rsidP="00613099">
      <w:pPr>
        <w:pStyle w:val="Heading3"/>
        <w:ind w:left="851"/>
        <w:rPr>
          <w:color w:val="auto"/>
          <w:lang w:val="hr-HR"/>
        </w:rPr>
      </w:pPr>
      <w:r w:rsidRPr="00653DCF">
        <w:rPr>
          <w:color w:val="auto"/>
          <w:lang w:val="hr-HR"/>
        </w:rPr>
        <w:t>Tranša s fiksnom kamatnom stopom</w:t>
      </w:r>
    </w:p>
    <w:p w14:paraId="5DD10A6A" w14:textId="6801A4BC" w:rsidR="009F0EB1" w:rsidRPr="00653DCF" w:rsidRDefault="009F0EB1">
      <w:pPr>
        <w:rPr>
          <w:color w:val="auto"/>
          <w:shd w:val="clear" w:color="auto" w:fill="FFFFFF"/>
          <w:lang w:val="hr-HR"/>
        </w:rPr>
      </w:pPr>
      <w:r w:rsidRPr="00653DCF">
        <w:rPr>
          <w:color w:val="auto"/>
          <w:shd w:val="clear" w:color="auto" w:fill="FFFFFF"/>
          <w:lang w:val="hr-HR"/>
        </w:rPr>
        <w:t>U slučaju zahtjeva iz članka 10.1. u pogledu bilo koje tranše s fiksnom kamatnom stopom, Zajmoprimac je dužan Banci platiti traženi iznos zajedno s naknadom za prijevremenu otplatu na bilo koji iznos glavnice koji se treba prijevremeno otplatiti. Takva naknada (i) obračunava se od datuma dospijeća za plaćanje utvrđenom u obavijesti o zahtjevu Banke, a izračunava se kao da je prijevremena otplata izvršena na tako utvrđen datum i (ii) za iznos koji je Banka priopćila Zajmoprimcu kao sadašnju vrijednost (izračunatu na datum prijevremene otplate) razlike, ako takva postoji, između:</w:t>
      </w:r>
    </w:p>
    <w:p w14:paraId="486AF459" w14:textId="668CE4BF" w:rsidR="007A2A6F" w:rsidRPr="00653DCF" w:rsidRDefault="00DA322B">
      <w:pPr>
        <w:pStyle w:val="NoIndentEIB"/>
        <w:numPr>
          <w:ilvl w:val="0"/>
          <w:numId w:val="46"/>
        </w:numPr>
        <w:rPr>
          <w:color w:val="auto"/>
          <w:lang w:val="hr-HR"/>
        </w:rPr>
      </w:pPr>
      <w:r w:rsidRPr="00653DCF">
        <w:rPr>
          <w:color w:val="auto"/>
          <w:shd w:val="clear" w:color="auto" w:fill="FFFFFF"/>
          <w:lang w:val="hr-HR"/>
        </w:rPr>
        <w:t>kamate koja bi se od tog trenutka obračunala na iznos prijevremene otplate tijekom razdoblja od datuma prijevremene otplate do datuma revizije/konverzije kamatne stope, ako takva postoji, ili datuma dospijeća, da nije došlo do prijevremene otplate</w:t>
      </w:r>
      <w:r w:rsidR="00E87B0B" w:rsidRPr="00653DCF">
        <w:rPr>
          <w:color w:val="auto"/>
          <w:lang w:val="hr-HR"/>
        </w:rPr>
        <w:t xml:space="preserve">; </w:t>
      </w:r>
      <w:r w:rsidR="00BC07B9" w:rsidRPr="00653DCF">
        <w:rPr>
          <w:color w:val="auto"/>
          <w:lang w:val="hr-HR"/>
        </w:rPr>
        <w:t>i</w:t>
      </w:r>
    </w:p>
    <w:p w14:paraId="4A2CC2CA" w14:textId="19D6301A" w:rsidR="007A2A6F" w:rsidRPr="00653DCF" w:rsidRDefault="00BC07B9">
      <w:pPr>
        <w:pStyle w:val="NoIndentEIB"/>
        <w:numPr>
          <w:ilvl w:val="0"/>
          <w:numId w:val="46"/>
        </w:numPr>
        <w:rPr>
          <w:color w:val="auto"/>
          <w:lang w:val="hr-HR"/>
        </w:rPr>
      </w:pPr>
      <w:r w:rsidRPr="00653DCF">
        <w:rPr>
          <w:color w:val="auto"/>
          <w:shd w:val="clear" w:color="auto" w:fill="FFFFFF"/>
          <w:lang w:val="hr-HR"/>
        </w:rPr>
        <w:t>kamate koja bi se obračunala tijekom tog razdoblja da se izračunava po stopi ponovnog angažmana EIB-a, umanjeno za 0,19% (devetnaest baznih bodova)</w:t>
      </w:r>
      <w:r w:rsidR="00E87B0B" w:rsidRPr="00653DCF">
        <w:rPr>
          <w:color w:val="auto"/>
          <w:lang w:val="hr-HR"/>
        </w:rPr>
        <w:t>.</w:t>
      </w:r>
    </w:p>
    <w:p w14:paraId="6A951CD8" w14:textId="3E4AD6C1" w:rsidR="006231FD" w:rsidRPr="00653DCF" w:rsidRDefault="006231FD" w:rsidP="006231FD">
      <w:pPr>
        <w:pStyle w:val="t-9-8-bez-uvl"/>
        <w:shd w:val="clear" w:color="auto" w:fill="FFFFFF"/>
        <w:spacing w:before="0" w:beforeAutospacing="0" w:after="48" w:afterAutospacing="0"/>
        <w:ind w:left="851"/>
        <w:jc w:val="both"/>
        <w:textAlignment w:val="baseline"/>
        <w:rPr>
          <w:rFonts w:ascii="Arial" w:hAnsi="Arial" w:cs="Arial"/>
          <w:sz w:val="20"/>
          <w:szCs w:val="20"/>
          <w:lang w:val="hr-HR"/>
        </w:rPr>
      </w:pPr>
      <w:r w:rsidRPr="00653DCF">
        <w:rPr>
          <w:rFonts w:ascii="Arial" w:hAnsi="Arial" w:cs="Arial"/>
          <w:sz w:val="20"/>
          <w:szCs w:val="20"/>
          <w:lang w:val="hr-HR"/>
        </w:rPr>
        <w:t>Navedena sadašnja vrijednost izračunava se po diskontnoj stopi jednakoj stopi ponovnog angažmana, koja se primjenjuje na svaki relevantni datum plaćanja primjenjive tranše.</w:t>
      </w:r>
    </w:p>
    <w:p w14:paraId="64AFA8C9" w14:textId="188718E3" w:rsidR="007A2A6F" w:rsidRPr="00653DCF" w:rsidRDefault="00316C5D" w:rsidP="00613099">
      <w:pPr>
        <w:pStyle w:val="Heading3"/>
        <w:ind w:left="851"/>
        <w:rPr>
          <w:color w:val="auto"/>
          <w:lang w:val="hr-HR"/>
        </w:rPr>
      </w:pPr>
      <w:r w:rsidRPr="00653DCF">
        <w:rPr>
          <w:color w:val="auto"/>
          <w:lang w:val="hr-HR"/>
        </w:rPr>
        <w:t>Tranše s promjenjivom kamatnom stopom</w:t>
      </w:r>
    </w:p>
    <w:p w14:paraId="64EF5AC7" w14:textId="35429F55" w:rsidR="00A601DA" w:rsidRPr="00653DCF" w:rsidRDefault="00A601DA" w:rsidP="00A601DA">
      <w:pPr>
        <w:pStyle w:val="t-9-8-bez-uvl"/>
        <w:shd w:val="clear" w:color="auto" w:fill="FFFFFF"/>
        <w:spacing w:before="0" w:beforeAutospacing="0" w:after="48" w:afterAutospacing="0"/>
        <w:ind w:left="851"/>
        <w:jc w:val="both"/>
        <w:textAlignment w:val="baseline"/>
        <w:rPr>
          <w:rFonts w:ascii="Arial" w:hAnsi="Arial" w:cs="Arial"/>
          <w:sz w:val="20"/>
          <w:szCs w:val="20"/>
          <w:lang w:val="hr-HR"/>
        </w:rPr>
      </w:pPr>
      <w:r w:rsidRPr="00653DCF">
        <w:rPr>
          <w:rFonts w:ascii="Arial" w:hAnsi="Arial" w:cs="Arial"/>
          <w:sz w:val="20"/>
          <w:szCs w:val="20"/>
          <w:lang w:val="hr-HR"/>
        </w:rPr>
        <w:t xml:space="preserve">U slučaju zahtjeva iz članka </w:t>
      </w:r>
      <w:r w:rsidRPr="00653DCF">
        <w:rPr>
          <w:rFonts w:ascii="Arial" w:hAnsi="Arial" w:cs="Arial"/>
          <w:sz w:val="20"/>
          <w:szCs w:val="20"/>
          <w:lang w:val="hr-HR"/>
        </w:rPr>
        <w:fldChar w:fldCharType="begin"/>
      </w:r>
      <w:r w:rsidRPr="00653DCF">
        <w:rPr>
          <w:rFonts w:ascii="Arial" w:hAnsi="Arial" w:cs="Arial"/>
          <w:sz w:val="20"/>
          <w:szCs w:val="20"/>
          <w:lang w:val="hr-HR"/>
        </w:rPr>
        <w:instrText xml:space="preserve"> REF _Ref426625279 \r \h  \* MERGEFORMAT </w:instrText>
      </w:r>
      <w:r w:rsidRPr="00653DCF">
        <w:rPr>
          <w:rFonts w:ascii="Arial" w:hAnsi="Arial" w:cs="Arial"/>
          <w:sz w:val="20"/>
          <w:szCs w:val="20"/>
          <w:lang w:val="hr-HR"/>
        </w:rPr>
      </w:r>
      <w:r w:rsidRPr="00653DCF">
        <w:rPr>
          <w:rFonts w:ascii="Arial" w:hAnsi="Arial" w:cs="Arial"/>
          <w:sz w:val="20"/>
          <w:szCs w:val="20"/>
          <w:lang w:val="hr-HR"/>
        </w:rPr>
        <w:fldChar w:fldCharType="separate"/>
      </w:r>
      <w:r w:rsidR="00E5391B">
        <w:rPr>
          <w:rFonts w:ascii="Arial" w:hAnsi="Arial" w:cs="Arial"/>
          <w:sz w:val="20"/>
          <w:szCs w:val="20"/>
          <w:lang w:val="hr-HR"/>
        </w:rPr>
        <w:t>članak 10</w:t>
      </w:r>
      <w:r w:rsidRPr="00653DCF">
        <w:rPr>
          <w:rFonts w:ascii="Arial" w:hAnsi="Arial" w:cs="Arial"/>
          <w:sz w:val="20"/>
          <w:szCs w:val="20"/>
          <w:lang w:val="hr-HR"/>
        </w:rPr>
        <w:fldChar w:fldCharType="end"/>
      </w:r>
      <w:r w:rsidRPr="00653DCF">
        <w:rPr>
          <w:rFonts w:ascii="Arial" w:hAnsi="Arial" w:cs="Arial"/>
          <w:sz w:val="20"/>
          <w:szCs w:val="20"/>
          <w:lang w:val="hr-HR"/>
        </w:rPr>
        <w:t>. u pogledu tranše s promjenjivom kamatnom stopom, Zajmoprimac je dužan Banci platiti traženi iznos zajedno s iznosom jednakim sadašnjoj vrijednosti od 0,1</w:t>
      </w:r>
      <w:r w:rsidR="00EC01C2" w:rsidRPr="00653DCF">
        <w:rPr>
          <w:rFonts w:ascii="Arial" w:hAnsi="Arial" w:cs="Arial"/>
          <w:sz w:val="20"/>
          <w:szCs w:val="20"/>
          <w:lang w:val="hr-HR"/>
        </w:rPr>
        <w:t>9</w:t>
      </w:r>
      <w:r w:rsidRPr="00653DCF">
        <w:rPr>
          <w:rFonts w:ascii="Arial" w:hAnsi="Arial" w:cs="Arial"/>
          <w:sz w:val="20"/>
          <w:szCs w:val="20"/>
          <w:lang w:val="hr-HR"/>
        </w:rPr>
        <w:t>% (</w:t>
      </w:r>
      <w:r w:rsidR="00EC01C2" w:rsidRPr="00653DCF">
        <w:rPr>
          <w:rFonts w:ascii="Arial" w:hAnsi="Arial" w:cs="Arial"/>
          <w:sz w:val="20"/>
          <w:szCs w:val="20"/>
          <w:lang w:val="hr-HR"/>
        </w:rPr>
        <w:t xml:space="preserve">devetnaest </w:t>
      </w:r>
      <w:r w:rsidRPr="00653DCF">
        <w:rPr>
          <w:rFonts w:ascii="Arial" w:hAnsi="Arial" w:cs="Arial"/>
          <w:sz w:val="20"/>
          <w:szCs w:val="20"/>
          <w:lang w:val="hr-HR"/>
        </w:rPr>
        <w:t>baznih bodova) godišnje, izračunato i obračunato na iznos glavnice koja se prijevremeno otplaćuje, na isti način na koji bi kamata bila izračunata i obračunata da je taj iznos ostao nepodmiren u skladu s primjenjivim planom otplate tranše, do datuma revizije/konverzije kamatne stope, ako bi ga bilo, ili datuma dospijeća.</w:t>
      </w:r>
    </w:p>
    <w:p w14:paraId="59158177" w14:textId="77777777" w:rsidR="00A601DA" w:rsidRPr="00653DCF" w:rsidRDefault="00A601DA" w:rsidP="00A601DA">
      <w:pPr>
        <w:pStyle w:val="t-9-8-bez-uvl"/>
        <w:shd w:val="clear" w:color="auto" w:fill="FFFFFF"/>
        <w:spacing w:before="0" w:beforeAutospacing="0" w:after="48" w:afterAutospacing="0"/>
        <w:ind w:left="851"/>
        <w:jc w:val="both"/>
        <w:textAlignment w:val="baseline"/>
        <w:rPr>
          <w:rFonts w:ascii="Arial" w:hAnsi="Arial" w:cs="Arial"/>
          <w:sz w:val="20"/>
          <w:szCs w:val="20"/>
          <w:lang w:val="hr-HR"/>
        </w:rPr>
      </w:pPr>
    </w:p>
    <w:p w14:paraId="4D7A61BA" w14:textId="441AF428" w:rsidR="00A601DA" w:rsidRPr="00653DCF" w:rsidRDefault="00A601DA" w:rsidP="00A601DA">
      <w:pPr>
        <w:pStyle w:val="t-9-8-bez-uvl"/>
        <w:shd w:val="clear" w:color="auto" w:fill="FFFFFF"/>
        <w:spacing w:before="0" w:beforeAutospacing="0" w:after="48" w:afterAutospacing="0"/>
        <w:ind w:left="851"/>
        <w:jc w:val="both"/>
        <w:textAlignment w:val="baseline"/>
        <w:rPr>
          <w:rFonts w:ascii="Arial" w:hAnsi="Arial" w:cs="Arial"/>
          <w:sz w:val="20"/>
          <w:szCs w:val="20"/>
          <w:lang w:val="hr-HR"/>
        </w:rPr>
      </w:pPr>
      <w:r w:rsidRPr="00653DCF">
        <w:rPr>
          <w:rFonts w:ascii="Arial" w:hAnsi="Arial" w:cs="Arial"/>
          <w:sz w:val="20"/>
          <w:szCs w:val="20"/>
          <w:lang w:val="hr-HR"/>
        </w:rPr>
        <w:t>Vrijednost se izračunava po diskontnoj stopi jednakoj stopi ponovnog angažmana koja se primjenjuje na svaki relevantni datum plaćanja.</w:t>
      </w:r>
    </w:p>
    <w:p w14:paraId="39E80F72" w14:textId="77777777" w:rsidR="007A2A6F" w:rsidRPr="00653DCF" w:rsidRDefault="00E87B0B" w:rsidP="00613099">
      <w:pPr>
        <w:pStyle w:val="Heading3"/>
        <w:ind w:left="851"/>
        <w:rPr>
          <w:color w:val="auto"/>
          <w:lang w:val="hr-HR"/>
        </w:rPr>
      </w:pPr>
      <w:bookmarkStart w:id="730" w:name="_Toc475441194"/>
      <w:bookmarkStart w:id="731" w:name="_Toc498018689"/>
      <w:bookmarkStart w:id="732" w:name="_Toc508120556"/>
      <w:bookmarkStart w:id="733" w:name="_Toc126080746"/>
      <w:bookmarkStart w:id="734" w:name="_Toc126080878"/>
      <w:r w:rsidRPr="00653DCF">
        <w:rPr>
          <w:color w:val="auto"/>
          <w:lang w:val="hr-HR"/>
        </w:rPr>
        <w:t>Općenito</w:t>
      </w:r>
      <w:bookmarkEnd w:id="730"/>
      <w:bookmarkEnd w:id="731"/>
      <w:bookmarkEnd w:id="732"/>
      <w:bookmarkEnd w:id="733"/>
      <w:bookmarkEnd w:id="734"/>
    </w:p>
    <w:p w14:paraId="16A55CB6" w14:textId="048F13E5" w:rsidR="007A2A6F" w:rsidRPr="00653DCF" w:rsidRDefault="00E87B0B">
      <w:pPr>
        <w:rPr>
          <w:color w:val="auto"/>
          <w:lang w:val="hr-HR"/>
        </w:rPr>
      </w:pPr>
      <w:r w:rsidRPr="00653DCF">
        <w:rPr>
          <w:color w:val="auto"/>
          <w:lang w:val="hr-HR"/>
        </w:rPr>
        <w:t>Iznosi koje Zajmoprimac duguje u skladu s ovim člankom</w:t>
      </w:r>
      <w:r w:rsidR="001640A9" w:rsidRPr="00653DCF">
        <w:rPr>
          <w:color w:val="auto"/>
          <w:lang w:val="hr-HR"/>
        </w:rPr>
        <w:t> </w:t>
      </w:r>
      <w:r w:rsidR="009D0EDA" w:rsidRPr="00653DCF">
        <w:rPr>
          <w:color w:val="auto"/>
          <w:lang w:val="hr-HR"/>
        </w:rPr>
        <w:t>10.3</w:t>
      </w:r>
      <w:r w:rsidR="00A76C22" w:rsidRPr="00653DCF">
        <w:rPr>
          <w:color w:val="auto"/>
          <w:lang w:val="hr-HR"/>
        </w:rPr>
        <w:t>.</w:t>
      </w:r>
      <w:r w:rsidR="001640A9" w:rsidRPr="00653DCF">
        <w:rPr>
          <w:color w:val="auto"/>
          <w:lang w:val="hr-HR"/>
        </w:rPr>
        <w:t xml:space="preserve"> </w:t>
      </w:r>
      <w:r w:rsidR="00A601DA" w:rsidRPr="00653DCF">
        <w:rPr>
          <w:color w:val="auto"/>
          <w:lang w:val="hr-HR"/>
        </w:rPr>
        <w:t>dospijevaju na</w:t>
      </w:r>
      <w:r w:rsidR="00B663E8" w:rsidRPr="00653DCF">
        <w:rPr>
          <w:color w:val="auto"/>
          <w:lang w:val="hr-HR"/>
        </w:rPr>
        <w:t xml:space="preserve"> </w:t>
      </w:r>
      <w:r w:rsidR="00A601DA" w:rsidRPr="00653DCF">
        <w:rPr>
          <w:color w:val="auto"/>
          <w:lang w:val="hr-HR"/>
        </w:rPr>
        <w:t xml:space="preserve">naplatu na datum utvrđen </w:t>
      </w:r>
      <w:r w:rsidRPr="00653DCF">
        <w:rPr>
          <w:color w:val="auto"/>
          <w:lang w:val="hr-HR"/>
        </w:rPr>
        <w:t>u zahtjevu Banke.</w:t>
      </w:r>
    </w:p>
    <w:p w14:paraId="60E272DB" w14:textId="0214CAD0" w:rsidR="007A2A6F" w:rsidRPr="00653DCF" w:rsidRDefault="00A601DA" w:rsidP="00613099">
      <w:pPr>
        <w:pStyle w:val="Heading2"/>
        <w:ind w:left="851"/>
        <w:rPr>
          <w:color w:val="auto"/>
          <w:lang w:val="hr-HR"/>
        </w:rPr>
      </w:pPr>
      <w:r w:rsidRPr="00653DCF">
        <w:rPr>
          <w:color w:val="auto"/>
          <w:lang w:val="hr-HR"/>
        </w:rPr>
        <w:t>Neodricanje od prava</w:t>
      </w:r>
    </w:p>
    <w:p w14:paraId="6A5D12FF" w14:textId="3864A260" w:rsidR="007A2A6F" w:rsidRPr="00653DCF" w:rsidRDefault="00E144E4">
      <w:pPr>
        <w:rPr>
          <w:color w:val="auto"/>
          <w:lang w:val="hr-HR"/>
        </w:rPr>
      </w:pPr>
      <w:r w:rsidRPr="00653DCF">
        <w:rPr>
          <w:color w:val="auto"/>
          <w:shd w:val="clear" w:color="auto" w:fill="FFFFFF"/>
          <w:lang w:val="hr-HR"/>
        </w:rPr>
        <w:t xml:space="preserve">Nikakav propust ili kašnjenje Banke, odnosno jednokratno ili djelomično ostvarivanje njezinih prava ili pravne zaštite vezano za ovaj Ugovor ne smije se tumačiti kao </w:t>
      </w:r>
      <w:r w:rsidRPr="00653DCF">
        <w:rPr>
          <w:color w:val="auto"/>
          <w:shd w:val="clear" w:color="auto" w:fill="FFFFFF"/>
          <w:lang w:val="hr-HR"/>
        </w:rPr>
        <w:lastRenderedPageBreak/>
        <w:t xml:space="preserve">odricanje od takvog prava ili pravne zaštite. Prava i pravna zaštita predviđeni ovim Ugovorom kumulativne su naravi i ne isključuju nikakva zakonska prava i </w:t>
      </w:r>
      <w:r w:rsidR="00AF1020" w:rsidRPr="00653DCF">
        <w:rPr>
          <w:color w:val="auto"/>
          <w:shd w:val="clear" w:color="auto" w:fill="FFFFFF"/>
          <w:lang w:val="hr-HR"/>
        </w:rPr>
        <w:t xml:space="preserve">pravnu zaštitu </w:t>
      </w:r>
      <w:r w:rsidRPr="00653DCF">
        <w:rPr>
          <w:color w:val="auto"/>
          <w:shd w:val="clear" w:color="auto" w:fill="FFFFFF"/>
          <w:lang w:val="hr-HR"/>
        </w:rPr>
        <w:t>predviđene zakonom</w:t>
      </w:r>
      <w:r w:rsidR="00E87B0B" w:rsidRPr="00653DCF">
        <w:rPr>
          <w:color w:val="auto"/>
          <w:lang w:val="hr-HR"/>
        </w:rPr>
        <w:t>.</w:t>
      </w:r>
    </w:p>
    <w:p w14:paraId="3E036B76" w14:textId="51743BB4" w:rsidR="007A2A6F" w:rsidRPr="00653DCF" w:rsidRDefault="007E69A4" w:rsidP="007E69A4">
      <w:pPr>
        <w:pStyle w:val="Heading1"/>
        <w:numPr>
          <w:ilvl w:val="0"/>
          <w:numId w:val="0"/>
        </w:numPr>
        <w:rPr>
          <w:color w:val="auto"/>
          <w:lang w:val="hr-HR"/>
        </w:rPr>
      </w:pPr>
      <w:bookmarkStart w:id="735" w:name="_Toc498018691"/>
      <w:bookmarkStart w:id="736" w:name="_Toc508120558"/>
      <w:bookmarkStart w:id="737" w:name="_Toc126080748"/>
      <w:bookmarkStart w:id="738" w:name="_Toc126080880"/>
      <w:bookmarkEnd w:id="735"/>
      <w:bookmarkEnd w:id="736"/>
      <w:bookmarkEnd w:id="737"/>
      <w:bookmarkEnd w:id="738"/>
      <w:r>
        <w:rPr>
          <w:color w:val="auto"/>
          <w:lang w:val="hr-HR"/>
        </w:rPr>
        <w:t>ČLANAK 11</w:t>
      </w:r>
      <w:r w:rsidR="009C2330">
        <w:rPr>
          <w:color w:val="auto"/>
          <w:lang w:val="hr-HR"/>
        </w:rPr>
        <w:t>.</w:t>
      </w:r>
    </w:p>
    <w:p w14:paraId="243E501B" w14:textId="69D99483" w:rsidR="007A2A6F" w:rsidRPr="00653DCF" w:rsidRDefault="00AF1020">
      <w:pPr>
        <w:pStyle w:val="ArticleTitleEIB"/>
        <w:rPr>
          <w:color w:val="auto"/>
          <w:lang w:val="hr-HR"/>
        </w:rPr>
      </w:pPr>
      <w:bookmarkStart w:id="739" w:name="_Toc475441196"/>
      <w:bookmarkEnd w:id="739"/>
      <w:r w:rsidRPr="00653DCF">
        <w:rPr>
          <w:color w:val="auto"/>
          <w:lang w:val="hr-HR"/>
        </w:rPr>
        <w:t>Mjerodavno pravo i sudska nadležnost, razno</w:t>
      </w:r>
    </w:p>
    <w:p w14:paraId="7A068398" w14:textId="77777777" w:rsidR="007E69A4" w:rsidRPr="007E69A4" w:rsidRDefault="007E69A4" w:rsidP="007E69A4">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bookmarkStart w:id="740" w:name="_Toc475441197"/>
      <w:bookmarkStart w:id="741" w:name="_Toc498018692"/>
      <w:bookmarkStart w:id="742" w:name="_Toc508120559"/>
      <w:bookmarkStart w:id="743" w:name="_Toc126080749"/>
      <w:bookmarkStart w:id="744" w:name="_Toc126080881"/>
    </w:p>
    <w:p w14:paraId="0593E52B" w14:textId="6006A576" w:rsidR="007A2A6F" w:rsidRPr="00653DCF" w:rsidRDefault="00E87B0B" w:rsidP="007E69A4">
      <w:pPr>
        <w:pStyle w:val="Heading2"/>
        <w:ind w:left="851"/>
        <w:rPr>
          <w:lang w:val="hr-HR"/>
        </w:rPr>
      </w:pPr>
      <w:r w:rsidRPr="00653DCF">
        <w:rPr>
          <w:lang w:val="hr-HR"/>
        </w:rPr>
        <w:t>Mjerodavno pravo</w:t>
      </w:r>
      <w:bookmarkEnd w:id="740"/>
      <w:bookmarkEnd w:id="741"/>
      <w:bookmarkEnd w:id="742"/>
      <w:bookmarkEnd w:id="743"/>
      <w:bookmarkEnd w:id="744"/>
    </w:p>
    <w:p w14:paraId="15CB4F6E" w14:textId="0E8F287F" w:rsidR="007A2A6F" w:rsidRPr="00653DCF" w:rsidRDefault="00E87B0B">
      <w:pPr>
        <w:rPr>
          <w:color w:val="auto"/>
          <w:lang w:val="hr-HR"/>
        </w:rPr>
      </w:pPr>
      <w:r w:rsidRPr="00653DCF">
        <w:rPr>
          <w:color w:val="auto"/>
          <w:lang w:val="hr-HR"/>
        </w:rPr>
        <w:t xml:space="preserve">Ovaj Ugovor i sve </w:t>
      </w:r>
      <w:r w:rsidR="00336F78" w:rsidRPr="00653DCF">
        <w:rPr>
          <w:color w:val="auto"/>
          <w:lang w:val="hr-HR"/>
        </w:rPr>
        <w:t>neugovorne</w:t>
      </w:r>
      <w:r w:rsidRPr="00653DCF">
        <w:rPr>
          <w:color w:val="auto"/>
          <w:lang w:val="hr-HR"/>
        </w:rPr>
        <w:t xml:space="preserve"> obveze koje proizlaze iz </w:t>
      </w:r>
      <w:r w:rsidR="00166AF6" w:rsidRPr="00653DCF">
        <w:rPr>
          <w:color w:val="auto"/>
          <w:lang w:val="hr-HR"/>
        </w:rPr>
        <w:t>njega ili u vezi s njim mjerodavno je pravo Luksemburga</w:t>
      </w:r>
      <w:r w:rsidRPr="00653DCF">
        <w:rPr>
          <w:color w:val="auto"/>
          <w:lang w:val="hr-HR"/>
        </w:rPr>
        <w:t>.</w:t>
      </w:r>
    </w:p>
    <w:p w14:paraId="33B2FA44" w14:textId="6D17F346" w:rsidR="007A2A6F" w:rsidRPr="00653DCF" w:rsidRDefault="00142AFD" w:rsidP="00613099">
      <w:pPr>
        <w:pStyle w:val="Heading2"/>
        <w:ind w:left="851"/>
        <w:rPr>
          <w:color w:val="auto"/>
          <w:lang w:val="hr-HR"/>
        </w:rPr>
      </w:pPr>
      <w:bookmarkStart w:id="745" w:name="_Ref426625709"/>
      <w:bookmarkStart w:id="746" w:name="_Toc475441198"/>
      <w:bookmarkStart w:id="747" w:name="_Toc498018693"/>
      <w:bookmarkStart w:id="748" w:name="_Toc508120560"/>
      <w:bookmarkStart w:id="749" w:name="_Toc126080750"/>
      <w:bookmarkStart w:id="750" w:name="_Toc126080882"/>
      <w:r w:rsidRPr="00653DCF">
        <w:rPr>
          <w:color w:val="auto"/>
          <w:lang w:val="hr-HR"/>
        </w:rPr>
        <w:t>Sudska</w:t>
      </w:r>
      <w:r w:rsidR="00166AF6" w:rsidRPr="00653DCF">
        <w:rPr>
          <w:color w:val="auto"/>
          <w:lang w:val="hr-HR"/>
        </w:rPr>
        <w:t xml:space="preserve"> n</w:t>
      </w:r>
      <w:r w:rsidR="00E87B0B" w:rsidRPr="00653DCF">
        <w:rPr>
          <w:color w:val="auto"/>
          <w:lang w:val="hr-HR"/>
        </w:rPr>
        <w:t>adležnost</w:t>
      </w:r>
      <w:bookmarkEnd w:id="745"/>
      <w:bookmarkEnd w:id="746"/>
      <w:bookmarkEnd w:id="747"/>
      <w:bookmarkEnd w:id="748"/>
      <w:bookmarkEnd w:id="749"/>
      <w:bookmarkEnd w:id="750"/>
    </w:p>
    <w:p w14:paraId="24AA27A9" w14:textId="28D26BA4" w:rsidR="007A2A6F" w:rsidRPr="00653DCF" w:rsidRDefault="00E87B0B">
      <w:pPr>
        <w:pStyle w:val="NoIndentEIB"/>
        <w:numPr>
          <w:ilvl w:val="0"/>
          <w:numId w:val="33"/>
        </w:numPr>
        <w:rPr>
          <w:color w:val="auto"/>
          <w:lang w:val="hr-HR"/>
        </w:rPr>
      </w:pPr>
      <w:bookmarkStart w:id="751" w:name="_Ref427040265"/>
      <w:r w:rsidRPr="00653DCF">
        <w:rPr>
          <w:color w:val="auto"/>
          <w:lang w:val="hr-HR"/>
        </w:rPr>
        <w:t>Sud Europske unije ima isključivu nadležnost za rješavanje svih</w:t>
      </w:r>
      <w:r w:rsidR="00953DFB" w:rsidRPr="00653DCF">
        <w:rPr>
          <w:color w:val="auto"/>
          <w:lang w:val="hr-HR"/>
        </w:rPr>
        <w:t xml:space="preserve"> </w:t>
      </w:r>
      <w:r w:rsidRPr="00653DCF">
        <w:rPr>
          <w:bCs/>
          <w:color w:val="auto"/>
          <w:lang w:val="hr-HR"/>
        </w:rPr>
        <w:t>sporova</w:t>
      </w:r>
      <w:r w:rsidR="00953DFB" w:rsidRPr="00653DCF">
        <w:rPr>
          <w:color w:val="auto"/>
          <w:lang w:val="hr-HR"/>
        </w:rPr>
        <w:t xml:space="preserve"> </w:t>
      </w:r>
      <w:r w:rsidRPr="00653DCF">
        <w:rPr>
          <w:color w:val="auto"/>
          <w:lang w:val="hr-HR"/>
        </w:rPr>
        <w:t>(„</w:t>
      </w:r>
      <w:r w:rsidRPr="00653DCF">
        <w:rPr>
          <w:b/>
          <w:bCs/>
          <w:color w:val="auto"/>
          <w:lang w:val="hr-HR"/>
        </w:rPr>
        <w:t>spor</w:t>
      </w:r>
      <w:r w:rsidRPr="00653DCF">
        <w:rPr>
          <w:color w:val="auto"/>
          <w:lang w:val="hr-HR"/>
        </w:rPr>
        <w:t xml:space="preserve">”) koji </w:t>
      </w:r>
      <w:r w:rsidR="00953DFB" w:rsidRPr="00653DCF">
        <w:rPr>
          <w:color w:val="auto"/>
          <w:lang w:val="hr-HR"/>
        </w:rPr>
        <w:t>proizađu iz ovog Ugovora ili u vezi s ovim Ugovorom (uključujući spor koji se odnosi na postojanje, valjanost ili prestanak ovog Ugovora</w:t>
      </w:r>
      <w:r w:rsidR="00747E9B" w:rsidRPr="00653DCF">
        <w:rPr>
          <w:color w:val="auto"/>
          <w:lang w:val="hr-HR"/>
        </w:rPr>
        <w:t xml:space="preserve"> ili na posljedice njegove </w:t>
      </w:r>
      <w:r w:rsidR="00336F78" w:rsidRPr="00653DCF">
        <w:rPr>
          <w:color w:val="auto"/>
          <w:lang w:val="hr-HR"/>
        </w:rPr>
        <w:t>ništetnosti</w:t>
      </w:r>
      <w:r w:rsidR="00747E9B" w:rsidRPr="00653DCF">
        <w:rPr>
          <w:color w:val="auto"/>
          <w:lang w:val="hr-HR"/>
        </w:rPr>
        <w:t xml:space="preserve">) ili bilo koje </w:t>
      </w:r>
      <w:r w:rsidR="00336F78" w:rsidRPr="00653DCF">
        <w:rPr>
          <w:color w:val="auto"/>
          <w:lang w:val="hr-HR"/>
        </w:rPr>
        <w:t xml:space="preserve">neugovorne </w:t>
      </w:r>
      <w:r w:rsidR="00747E9B" w:rsidRPr="00653DCF">
        <w:rPr>
          <w:color w:val="auto"/>
          <w:lang w:val="hr-HR"/>
        </w:rPr>
        <w:t xml:space="preserve">obveze </w:t>
      </w:r>
      <w:r w:rsidR="00336F78" w:rsidRPr="00653DCF">
        <w:rPr>
          <w:color w:val="auto"/>
          <w:lang w:val="hr-HR"/>
        </w:rPr>
        <w:t>koja</w:t>
      </w:r>
      <w:r w:rsidR="00747E9B" w:rsidRPr="00653DCF">
        <w:rPr>
          <w:color w:val="auto"/>
          <w:lang w:val="hr-HR"/>
        </w:rPr>
        <w:t xml:space="preserve"> proizađe iz ovog Ugovora ili u vezi s ovim Ugovorom</w:t>
      </w:r>
      <w:r w:rsidRPr="00653DCF">
        <w:rPr>
          <w:color w:val="auto"/>
          <w:lang w:val="hr-HR"/>
        </w:rPr>
        <w:t>.</w:t>
      </w:r>
    </w:p>
    <w:p w14:paraId="46EFA260" w14:textId="24F723B9" w:rsidR="00256D95" w:rsidRPr="00653DCF" w:rsidRDefault="00747E9B">
      <w:pPr>
        <w:pStyle w:val="NoIndentEIB"/>
        <w:numPr>
          <w:ilvl w:val="0"/>
          <w:numId w:val="33"/>
        </w:numPr>
        <w:rPr>
          <w:color w:val="auto"/>
          <w:lang w:val="hr-HR"/>
        </w:rPr>
      </w:pPr>
      <w:r w:rsidRPr="00653DCF">
        <w:rPr>
          <w:color w:val="auto"/>
          <w:lang w:val="hr-HR"/>
        </w:rPr>
        <w:t>Stran</w:t>
      </w:r>
      <w:r w:rsidR="00AA279F" w:rsidRPr="00653DCF">
        <w:rPr>
          <w:color w:val="auto"/>
          <w:lang w:val="hr-HR"/>
        </w:rPr>
        <w:t>k</w:t>
      </w:r>
      <w:r w:rsidRPr="00653DCF">
        <w:rPr>
          <w:color w:val="auto"/>
          <w:lang w:val="hr-HR"/>
        </w:rPr>
        <w:t xml:space="preserve">e </w:t>
      </w:r>
      <w:r w:rsidR="00E87B0B" w:rsidRPr="00653DCF">
        <w:rPr>
          <w:color w:val="auto"/>
          <w:lang w:val="hr-HR"/>
        </w:rPr>
        <w:t xml:space="preserve">su suglasne da je Sud Europske unije </w:t>
      </w:r>
      <w:r w:rsidRPr="00653DCF">
        <w:rPr>
          <w:color w:val="auto"/>
          <w:lang w:val="hr-HR"/>
        </w:rPr>
        <w:t>najprimjereniji i</w:t>
      </w:r>
      <w:r w:rsidR="00E87B0B" w:rsidRPr="00653DCF">
        <w:rPr>
          <w:color w:val="auto"/>
          <w:lang w:val="hr-HR"/>
        </w:rPr>
        <w:t xml:space="preserve"> najprikladniji sud za rješavanje sporova </w:t>
      </w:r>
      <w:r w:rsidRPr="00653DCF">
        <w:rPr>
          <w:color w:val="auto"/>
          <w:lang w:val="hr-HR"/>
        </w:rPr>
        <w:t>među njima, i sukladno tome</w:t>
      </w:r>
      <w:r w:rsidR="00256D95" w:rsidRPr="00653DCF">
        <w:rPr>
          <w:color w:val="auto"/>
          <w:lang w:val="hr-HR"/>
        </w:rPr>
        <w:t>, neće to osporavati. Stran</w:t>
      </w:r>
      <w:r w:rsidR="00AA279F" w:rsidRPr="00653DCF">
        <w:rPr>
          <w:color w:val="auto"/>
          <w:lang w:val="hr-HR"/>
        </w:rPr>
        <w:t>k</w:t>
      </w:r>
      <w:r w:rsidR="00256D95" w:rsidRPr="00653DCF">
        <w:rPr>
          <w:color w:val="auto"/>
          <w:lang w:val="hr-HR"/>
        </w:rPr>
        <w:t>e ovog Ugovora ovime se</w:t>
      </w:r>
      <w:r w:rsidR="00854BFB" w:rsidRPr="00653DCF">
        <w:rPr>
          <w:color w:val="auto"/>
          <w:lang w:val="hr-HR"/>
        </w:rPr>
        <w:t xml:space="preserve"> posebno</w:t>
      </w:r>
      <w:r w:rsidR="00256D95" w:rsidRPr="00653DCF">
        <w:rPr>
          <w:color w:val="auto"/>
          <w:lang w:val="hr-HR"/>
        </w:rPr>
        <w:t xml:space="preserve"> odriču</w:t>
      </w:r>
      <w:r w:rsidR="000527AD" w:rsidRPr="00653DCF">
        <w:rPr>
          <w:color w:val="auto"/>
          <w:lang w:val="hr-HR"/>
        </w:rPr>
        <w:t xml:space="preserve"> bilo kojeg imuniteta ili prava na prigovor vezano za </w:t>
      </w:r>
      <w:r w:rsidR="00382B9E" w:rsidRPr="00653DCF">
        <w:rPr>
          <w:color w:val="auto"/>
          <w:lang w:val="hr-HR"/>
        </w:rPr>
        <w:t>sudsku</w:t>
      </w:r>
      <w:r w:rsidR="000527AD" w:rsidRPr="00653DCF">
        <w:rPr>
          <w:color w:val="auto"/>
          <w:lang w:val="hr-HR"/>
        </w:rPr>
        <w:t xml:space="preserve"> nadležnost </w:t>
      </w:r>
      <w:r w:rsidR="00382B9E" w:rsidRPr="00653DCF">
        <w:rPr>
          <w:color w:val="auto"/>
          <w:lang w:val="hr-HR"/>
        </w:rPr>
        <w:t>ovog suda</w:t>
      </w:r>
      <w:r w:rsidR="004402EF" w:rsidRPr="00653DCF">
        <w:rPr>
          <w:color w:val="auto"/>
          <w:lang w:val="hr-HR"/>
        </w:rPr>
        <w:t>.</w:t>
      </w:r>
      <w:r w:rsidR="00470515" w:rsidRPr="00653DCF">
        <w:rPr>
          <w:color w:val="auto"/>
          <w:lang w:val="hr-HR"/>
        </w:rPr>
        <w:t xml:space="preserve"> Bilo koja odluka suda</w:t>
      </w:r>
      <w:r w:rsidR="004402EF" w:rsidRPr="00653DCF">
        <w:rPr>
          <w:color w:val="auto"/>
          <w:lang w:val="hr-HR"/>
        </w:rPr>
        <w:t xml:space="preserve"> na temelju ovog članka bit će </w:t>
      </w:r>
      <w:r w:rsidR="00CB3D7B" w:rsidRPr="00653DCF">
        <w:rPr>
          <w:color w:val="auto"/>
          <w:lang w:val="hr-HR"/>
        </w:rPr>
        <w:t>konačna i obvezujuća za svaku od ugovornih strana</w:t>
      </w:r>
      <w:r w:rsidR="00AA279F" w:rsidRPr="00653DCF">
        <w:rPr>
          <w:color w:val="auto"/>
          <w:lang w:val="hr-HR"/>
        </w:rPr>
        <w:t>ka</w:t>
      </w:r>
      <w:r w:rsidR="00CB3D7B" w:rsidRPr="00653DCF">
        <w:rPr>
          <w:color w:val="auto"/>
          <w:lang w:val="hr-HR"/>
        </w:rPr>
        <w:t>, bez ikakvog ograničenja ili rezerve.</w:t>
      </w:r>
    </w:p>
    <w:p w14:paraId="14AEC858" w14:textId="50218386" w:rsidR="007A2A6F" w:rsidRPr="00653DCF" w:rsidRDefault="00E87B0B" w:rsidP="00613099">
      <w:pPr>
        <w:pStyle w:val="Heading2"/>
        <w:ind w:left="851"/>
        <w:rPr>
          <w:color w:val="auto"/>
          <w:lang w:val="hr-HR"/>
        </w:rPr>
      </w:pPr>
      <w:bookmarkStart w:id="752" w:name="_Toc440722312"/>
      <w:bookmarkStart w:id="753" w:name="_Toc440722503"/>
      <w:bookmarkStart w:id="754" w:name="_Toc440722693"/>
      <w:bookmarkStart w:id="755" w:name="_Toc440894569"/>
      <w:bookmarkStart w:id="756" w:name="_Toc440722313"/>
      <w:bookmarkStart w:id="757" w:name="_Toc440722504"/>
      <w:bookmarkStart w:id="758" w:name="_Toc440722694"/>
      <w:bookmarkStart w:id="759" w:name="_Toc440894570"/>
      <w:bookmarkStart w:id="760" w:name="_Toc440722314"/>
      <w:bookmarkStart w:id="761" w:name="_Toc440722505"/>
      <w:bookmarkStart w:id="762" w:name="_Toc440722695"/>
      <w:bookmarkStart w:id="763" w:name="_Toc440894571"/>
      <w:bookmarkStart w:id="764" w:name="_Toc475441199"/>
      <w:bookmarkStart w:id="765" w:name="_Toc498018694"/>
      <w:bookmarkStart w:id="766" w:name="_Toc508120561"/>
      <w:bookmarkStart w:id="767" w:name="_Toc126080751"/>
      <w:bookmarkStart w:id="768" w:name="_Toc126080883"/>
      <w:bookmarkEnd w:id="751"/>
      <w:bookmarkEnd w:id="752"/>
      <w:bookmarkEnd w:id="753"/>
      <w:bookmarkEnd w:id="754"/>
      <w:bookmarkEnd w:id="755"/>
      <w:bookmarkEnd w:id="756"/>
      <w:bookmarkEnd w:id="757"/>
      <w:bookmarkEnd w:id="758"/>
      <w:bookmarkEnd w:id="759"/>
      <w:bookmarkEnd w:id="760"/>
      <w:bookmarkEnd w:id="761"/>
      <w:bookmarkEnd w:id="762"/>
      <w:bookmarkEnd w:id="763"/>
      <w:r w:rsidRPr="00653DCF">
        <w:rPr>
          <w:color w:val="auto"/>
          <w:lang w:val="hr-HR"/>
        </w:rPr>
        <w:t xml:space="preserve">Mjesto </w:t>
      </w:r>
      <w:bookmarkEnd w:id="764"/>
      <w:bookmarkEnd w:id="765"/>
      <w:bookmarkEnd w:id="766"/>
      <w:bookmarkEnd w:id="767"/>
      <w:bookmarkEnd w:id="768"/>
      <w:r w:rsidR="00804C53" w:rsidRPr="00653DCF">
        <w:rPr>
          <w:color w:val="auto"/>
          <w:lang w:val="hr-HR"/>
        </w:rPr>
        <w:t>izvršenja</w:t>
      </w:r>
    </w:p>
    <w:p w14:paraId="1048A35A" w14:textId="5B6AA70B" w:rsidR="007A2A6F" w:rsidRPr="00653DCF" w:rsidRDefault="00E87B0B">
      <w:pPr>
        <w:rPr>
          <w:color w:val="auto"/>
          <w:lang w:val="hr-HR"/>
        </w:rPr>
      </w:pPr>
      <w:r w:rsidRPr="00653DCF">
        <w:rPr>
          <w:color w:val="auto"/>
          <w:lang w:val="hr-HR"/>
        </w:rPr>
        <w:t xml:space="preserve">Osim ako se Banka </w:t>
      </w:r>
      <w:r w:rsidR="003521BD" w:rsidRPr="00653DCF">
        <w:rPr>
          <w:color w:val="auto"/>
          <w:lang w:val="hr-HR"/>
        </w:rPr>
        <w:t xml:space="preserve">nije izričito drukčije dogovorila pisanim putem, mjesto </w:t>
      </w:r>
      <w:r w:rsidR="00AE1078" w:rsidRPr="00653DCF">
        <w:rPr>
          <w:color w:val="auto"/>
          <w:lang w:val="hr-HR"/>
        </w:rPr>
        <w:t xml:space="preserve">izvršenja na temelju ovog Ugovora, osim vezano za </w:t>
      </w:r>
      <w:r w:rsidR="005562B1" w:rsidRPr="00653DCF">
        <w:rPr>
          <w:color w:val="auto"/>
          <w:lang w:val="hr-HR"/>
        </w:rPr>
        <w:t>obveze vezane za Projekt,</w:t>
      </w:r>
      <w:r w:rsidR="00AE1078" w:rsidRPr="00653DCF">
        <w:rPr>
          <w:color w:val="auto"/>
          <w:lang w:val="hr-HR"/>
        </w:rPr>
        <w:t xml:space="preserve"> bit će sjedište Banke</w:t>
      </w:r>
      <w:r w:rsidRPr="00653DCF">
        <w:rPr>
          <w:color w:val="auto"/>
          <w:lang w:val="hr-HR"/>
        </w:rPr>
        <w:t>.</w:t>
      </w:r>
    </w:p>
    <w:p w14:paraId="4DAF5CD5" w14:textId="77777777" w:rsidR="007A2A6F" w:rsidRPr="00653DCF" w:rsidRDefault="00E87B0B" w:rsidP="00613099">
      <w:pPr>
        <w:pStyle w:val="Heading2"/>
        <w:ind w:left="851"/>
        <w:rPr>
          <w:color w:val="auto"/>
          <w:lang w:val="hr-HR"/>
        </w:rPr>
      </w:pPr>
      <w:bookmarkStart w:id="769" w:name="_Toc475441200"/>
      <w:bookmarkStart w:id="770" w:name="_Toc498018695"/>
      <w:bookmarkStart w:id="771" w:name="_Toc508120562"/>
      <w:bookmarkStart w:id="772" w:name="_Toc126080752"/>
      <w:bookmarkStart w:id="773" w:name="_Toc126080884"/>
      <w:r w:rsidRPr="00653DCF">
        <w:rPr>
          <w:color w:val="auto"/>
          <w:lang w:val="hr-HR"/>
        </w:rPr>
        <w:t>Dokaz o dospjelim iznosima</w:t>
      </w:r>
      <w:bookmarkEnd w:id="769"/>
      <w:bookmarkEnd w:id="770"/>
      <w:bookmarkEnd w:id="771"/>
      <w:bookmarkEnd w:id="772"/>
      <w:bookmarkEnd w:id="773"/>
    </w:p>
    <w:p w14:paraId="5B892680" w14:textId="0C012915" w:rsidR="007A2A6F" w:rsidRPr="00653DCF" w:rsidRDefault="00395495">
      <w:pPr>
        <w:rPr>
          <w:color w:val="auto"/>
          <w:lang w:val="hr-HR"/>
        </w:rPr>
      </w:pPr>
      <w:r w:rsidRPr="00653DCF">
        <w:rPr>
          <w:color w:val="auto"/>
          <w:shd w:val="clear" w:color="auto" w:fill="FFFFFF"/>
          <w:lang w:val="hr-HR"/>
        </w:rPr>
        <w:t>U svakom sudskom postupku koji proizlazi iz ovog Ugovora, potvrda Banke o nekom dospjelom iznosu ili omjeru koje treba platiti Banci na temelju ovog Ugovora, predstavlja, u nedostatku očite pogreške, </w:t>
      </w:r>
      <w:r w:rsidRPr="00653DCF">
        <w:rPr>
          <w:rStyle w:val="kurziv"/>
          <w:rFonts w:cs="Arial"/>
          <w:i/>
          <w:iCs/>
          <w:color w:val="auto"/>
          <w:bdr w:val="none" w:sz="0" w:space="0" w:color="auto" w:frame="1"/>
          <w:shd w:val="clear" w:color="auto" w:fill="FFFFFF"/>
          <w:lang w:val="hr-HR"/>
        </w:rPr>
        <w:t>prima facie </w:t>
      </w:r>
      <w:r w:rsidRPr="00653DCF">
        <w:rPr>
          <w:color w:val="auto"/>
          <w:shd w:val="clear" w:color="auto" w:fill="FFFFFF"/>
          <w:lang w:val="hr-HR"/>
        </w:rPr>
        <w:t>dokaz o takvom iznosu ili omjeru</w:t>
      </w:r>
      <w:r w:rsidR="00E87B0B" w:rsidRPr="00653DCF">
        <w:rPr>
          <w:color w:val="auto"/>
          <w:lang w:val="hr-HR"/>
        </w:rPr>
        <w:t>.</w:t>
      </w:r>
    </w:p>
    <w:p w14:paraId="3796F583" w14:textId="225E845A" w:rsidR="007A2A6F" w:rsidRPr="00653DCF" w:rsidRDefault="00F540D0" w:rsidP="00613099">
      <w:pPr>
        <w:pStyle w:val="Heading2"/>
        <w:ind w:left="851"/>
        <w:rPr>
          <w:color w:val="auto"/>
          <w:lang w:val="hr-HR"/>
        </w:rPr>
      </w:pPr>
      <w:bookmarkStart w:id="774" w:name="_Toc440722317"/>
      <w:bookmarkStart w:id="775" w:name="_Toc440722508"/>
      <w:bookmarkStart w:id="776" w:name="_Toc440722698"/>
      <w:bookmarkStart w:id="777" w:name="_Toc440894574"/>
      <w:bookmarkStart w:id="778" w:name="_Toc440722318"/>
      <w:bookmarkStart w:id="779" w:name="_Toc440722509"/>
      <w:bookmarkStart w:id="780" w:name="_Toc440722699"/>
      <w:bookmarkStart w:id="781" w:name="_Toc440894575"/>
      <w:bookmarkEnd w:id="774"/>
      <w:bookmarkEnd w:id="775"/>
      <w:bookmarkEnd w:id="776"/>
      <w:bookmarkEnd w:id="777"/>
      <w:bookmarkEnd w:id="778"/>
      <w:bookmarkEnd w:id="779"/>
      <w:bookmarkEnd w:id="780"/>
      <w:bookmarkEnd w:id="781"/>
      <w:r w:rsidRPr="00653DCF">
        <w:rPr>
          <w:color w:val="auto"/>
          <w:lang w:val="hr-HR"/>
        </w:rPr>
        <w:t>Cjelokupan sporazum</w:t>
      </w:r>
    </w:p>
    <w:p w14:paraId="3555637B" w14:textId="0CDFC3A7" w:rsidR="007A2A6F" w:rsidRPr="00653DCF" w:rsidRDefault="00F9731F">
      <w:pPr>
        <w:rPr>
          <w:color w:val="auto"/>
          <w:lang w:val="hr-HR"/>
        </w:rPr>
      </w:pPr>
      <w:r w:rsidRPr="00653DCF">
        <w:rPr>
          <w:color w:val="auto"/>
          <w:shd w:val="clear" w:color="auto" w:fill="FFFFFF"/>
          <w:lang w:val="hr-HR"/>
        </w:rPr>
        <w:t>Ovaj Ugovor predstavlja cjelokupan sporazum između Banke i Zajmoprimca u vezi s davanjem kredita na temelju ovog Ugovora i ukida sve prijašnje sporazume, neovisno o tome jesu li iskazani ili se podrazumijevaju, u pogledu istog pitanja</w:t>
      </w:r>
      <w:r w:rsidR="00E87B0B" w:rsidRPr="00653DCF">
        <w:rPr>
          <w:color w:val="auto"/>
          <w:lang w:val="hr-HR"/>
        </w:rPr>
        <w:t>.</w:t>
      </w:r>
    </w:p>
    <w:p w14:paraId="27D624B3" w14:textId="1E55EA8D" w:rsidR="007A2A6F" w:rsidRPr="00653DCF" w:rsidRDefault="00017EF2" w:rsidP="00613099">
      <w:pPr>
        <w:pStyle w:val="Heading2"/>
        <w:ind w:left="851"/>
        <w:rPr>
          <w:color w:val="auto"/>
          <w:lang w:val="hr-HR"/>
        </w:rPr>
      </w:pPr>
      <w:r w:rsidRPr="00653DCF">
        <w:rPr>
          <w:color w:val="auto"/>
          <w:lang w:val="hr-HR"/>
        </w:rPr>
        <w:t>Ništavost</w:t>
      </w:r>
    </w:p>
    <w:p w14:paraId="5D4AB7A6" w14:textId="3E949383" w:rsidR="007A2A6F" w:rsidRPr="00653DCF" w:rsidRDefault="00336F78">
      <w:pPr>
        <w:rPr>
          <w:color w:val="auto"/>
          <w:lang w:val="hr-HR"/>
        </w:rPr>
      </w:pPr>
      <w:r w:rsidRPr="00653DCF">
        <w:rPr>
          <w:color w:val="auto"/>
          <w:shd w:val="clear" w:color="auto" w:fill="FFFFFF"/>
          <w:lang w:val="hr-HR"/>
        </w:rPr>
        <w:t>A</w:t>
      </w:r>
      <w:r w:rsidR="00C373EC" w:rsidRPr="00653DCF">
        <w:rPr>
          <w:color w:val="auto"/>
          <w:shd w:val="clear" w:color="auto" w:fill="FFFFFF"/>
          <w:lang w:val="hr-HR"/>
        </w:rPr>
        <w:t>ko u bilo kojem trenutku bilo koja odredba ovog Ugovora jest ili postane nezakonita, ništava ili neizvršiva u bilo kojem pogledu, ili ovaj Ugovor ne proizvodi pravne učinke ili prestane proizvoditi pravne učinke u bilo kom pogledu, na temelju zakona bilo koje pravne nadležnosti, takva nezakonitost, ništavost, neizvršivost ili nepravovaljanost ne utječu na</w:t>
      </w:r>
      <w:r w:rsidR="00E87B0B" w:rsidRPr="00653DCF">
        <w:rPr>
          <w:color w:val="auto"/>
          <w:lang w:val="hr-HR"/>
        </w:rPr>
        <w:t xml:space="preserve">: </w:t>
      </w:r>
    </w:p>
    <w:p w14:paraId="1674463B" w14:textId="6BB3B431" w:rsidR="007A2A6F" w:rsidRPr="00653DCF" w:rsidRDefault="00D55FD0">
      <w:pPr>
        <w:pStyle w:val="NoIndentEIB"/>
        <w:numPr>
          <w:ilvl w:val="0"/>
          <w:numId w:val="34"/>
        </w:numPr>
        <w:rPr>
          <w:color w:val="auto"/>
          <w:lang w:val="hr-HR"/>
        </w:rPr>
      </w:pPr>
      <w:r w:rsidRPr="00653DCF">
        <w:rPr>
          <w:color w:val="auto"/>
          <w:shd w:val="clear" w:color="auto" w:fill="FFFFFF"/>
          <w:lang w:val="hr-HR"/>
        </w:rPr>
        <w:lastRenderedPageBreak/>
        <w:t>zakonitost, valjanost ili provedivost u toj pravnoj nadležnosti bilo koje druge odredbe ovog Ugovora ili pravovaljanosti u bilo kojem drugom pogledu ovog Ugovora u toj pravnoj nadležnosti</w:t>
      </w:r>
      <w:r w:rsidR="00E87B0B" w:rsidRPr="00653DCF">
        <w:rPr>
          <w:color w:val="auto"/>
          <w:lang w:val="hr-HR"/>
        </w:rPr>
        <w:t>; ili</w:t>
      </w:r>
    </w:p>
    <w:p w14:paraId="05B700A1" w14:textId="19608906" w:rsidR="007A2A6F" w:rsidRPr="00653DCF" w:rsidRDefault="00D55FD0">
      <w:pPr>
        <w:pStyle w:val="NoIndentEIB"/>
        <w:numPr>
          <w:ilvl w:val="0"/>
          <w:numId w:val="34"/>
        </w:numPr>
        <w:rPr>
          <w:color w:val="auto"/>
          <w:lang w:val="hr-HR"/>
        </w:rPr>
      </w:pPr>
      <w:r w:rsidRPr="00653DCF">
        <w:rPr>
          <w:color w:val="auto"/>
          <w:shd w:val="clear" w:color="auto" w:fill="FFFFFF"/>
          <w:lang w:val="hr-HR"/>
        </w:rPr>
        <w:t>zakonitost, valjanost ili provedivost u drugoj pravnoj nadležnosti te ili bilo koje druge odredbe ovog Ugovora ili pravovaljanost ovog Ugovora na temelju zakona takvih drugih pravnih nadležnosti</w:t>
      </w:r>
      <w:r w:rsidR="00E87B0B" w:rsidRPr="00653DCF">
        <w:rPr>
          <w:color w:val="auto"/>
          <w:lang w:val="hr-HR"/>
        </w:rPr>
        <w:t>.</w:t>
      </w:r>
    </w:p>
    <w:p w14:paraId="589FE6FF" w14:textId="0AEACC2F" w:rsidR="007A2A6F" w:rsidRPr="00653DCF" w:rsidRDefault="00D55FD0" w:rsidP="00613099">
      <w:pPr>
        <w:pStyle w:val="Heading2"/>
        <w:ind w:left="851"/>
        <w:rPr>
          <w:color w:val="auto"/>
          <w:lang w:val="hr-HR"/>
        </w:rPr>
      </w:pPr>
      <w:r w:rsidRPr="00653DCF">
        <w:rPr>
          <w:color w:val="auto"/>
          <w:lang w:val="hr-HR"/>
        </w:rPr>
        <w:t>Izmjene i dopune</w:t>
      </w:r>
    </w:p>
    <w:p w14:paraId="096D9B8F" w14:textId="7D290EF9" w:rsidR="007A2A6F" w:rsidRPr="00653DCF" w:rsidRDefault="00D55FD0">
      <w:pPr>
        <w:rPr>
          <w:color w:val="auto"/>
          <w:lang w:val="hr-HR"/>
        </w:rPr>
      </w:pPr>
      <w:r w:rsidRPr="00653DCF">
        <w:rPr>
          <w:color w:val="auto"/>
          <w:lang w:val="hr-HR"/>
        </w:rPr>
        <w:t xml:space="preserve">Sve izmjene i dopune ovog Ugovora bit će sastavljene u pisanom obliku te će ih </w:t>
      </w:r>
      <w:r w:rsidR="00337E01" w:rsidRPr="00653DCF">
        <w:rPr>
          <w:color w:val="auto"/>
          <w:lang w:val="hr-HR"/>
        </w:rPr>
        <w:t>stran</w:t>
      </w:r>
      <w:r w:rsidR="00E12432" w:rsidRPr="00653DCF">
        <w:rPr>
          <w:color w:val="auto"/>
          <w:lang w:val="hr-HR"/>
        </w:rPr>
        <w:t>k</w:t>
      </w:r>
      <w:r w:rsidR="00337E01" w:rsidRPr="00653DCF">
        <w:rPr>
          <w:color w:val="auto"/>
          <w:lang w:val="hr-HR"/>
        </w:rPr>
        <w:t>e potpisati</w:t>
      </w:r>
      <w:r w:rsidR="00E87B0B" w:rsidRPr="00653DCF">
        <w:rPr>
          <w:color w:val="auto"/>
          <w:lang w:val="hr-HR"/>
        </w:rPr>
        <w:t>.</w:t>
      </w:r>
    </w:p>
    <w:p w14:paraId="4CF56509" w14:textId="409624D8" w:rsidR="007A2A6F" w:rsidRPr="00653DCF" w:rsidRDefault="00337E01" w:rsidP="00613099">
      <w:pPr>
        <w:pStyle w:val="Heading2"/>
        <w:ind w:left="851"/>
        <w:rPr>
          <w:color w:val="auto"/>
          <w:lang w:val="hr-HR"/>
        </w:rPr>
      </w:pPr>
      <w:r w:rsidRPr="00653DCF">
        <w:rPr>
          <w:color w:val="auto"/>
          <w:lang w:val="hr-HR"/>
        </w:rPr>
        <w:t>Primjerci</w:t>
      </w:r>
    </w:p>
    <w:p w14:paraId="7F0E6C12" w14:textId="22098845" w:rsidR="007A2A6F" w:rsidRPr="00653DCF" w:rsidRDefault="00337E01">
      <w:pPr>
        <w:rPr>
          <w:color w:val="auto"/>
          <w:lang w:val="hr-HR"/>
        </w:rPr>
      </w:pPr>
      <w:r w:rsidRPr="00653DCF">
        <w:rPr>
          <w:color w:val="auto"/>
          <w:shd w:val="clear" w:color="auto" w:fill="FFFFFF"/>
          <w:lang w:val="hr-HR"/>
        </w:rPr>
        <w:t>Ovaj Ugovor može biti sastavljen u bilo kojem broju primjeraka, a svi uzeti zajedno čine jedan te isti instrument. Svaki primjerak je izvornik, ali svi primjerci zajedno čine jedan te isti instrument</w:t>
      </w:r>
      <w:r w:rsidR="00E87B0B" w:rsidRPr="00653DCF">
        <w:rPr>
          <w:color w:val="auto"/>
          <w:lang w:val="hr-HR"/>
        </w:rPr>
        <w:t>.</w:t>
      </w:r>
      <w:bookmarkStart w:id="782" w:name="_Toc498018700"/>
      <w:bookmarkEnd w:id="782"/>
    </w:p>
    <w:p w14:paraId="6754F6FB" w14:textId="0AFC6743" w:rsidR="007A2A6F" w:rsidRPr="00653DCF" w:rsidRDefault="007E69A4" w:rsidP="007E69A4">
      <w:pPr>
        <w:pStyle w:val="Heading1"/>
        <w:numPr>
          <w:ilvl w:val="0"/>
          <w:numId w:val="0"/>
        </w:numPr>
        <w:rPr>
          <w:color w:val="auto"/>
          <w:lang w:val="hr-HR"/>
        </w:rPr>
      </w:pPr>
      <w:bookmarkStart w:id="783" w:name="_Toc508120567"/>
      <w:bookmarkStart w:id="784" w:name="_Toc126080757"/>
      <w:bookmarkStart w:id="785" w:name="_Toc126080889"/>
      <w:bookmarkEnd w:id="783"/>
      <w:bookmarkEnd w:id="784"/>
      <w:bookmarkEnd w:id="785"/>
      <w:r>
        <w:rPr>
          <w:color w:val="auto"/>
          <w:lang w:val="hr-HR"/>
        </w:rPr>
        <w:t>ČLANAK 12</w:t>
      </w:r>
      <w:r w:rsidR="009C2330">
        <w:rPr>
          <w:color w:val="auto"/>
          <w:lang w:val="hr-HR"/>
        </w:rPr>
        <w:t>.</w:t>
      </w:r>
    </w:p>
    <w:p w14:paraId="4193F28B" w14:textId="0C5032EB" w:rsidR="007A2A6F" w:rsidRPr="00653DCF" w:rsidRDefault="00E87B0B">
      <w:pPr>
        <w:pStyle w:val="ArticleTitleEIB"/>
        <w:rPr>
          <w:color w:val="auto"/>
          <w:lang w:val="hr-HR"/>
        </w:rPr>
      </w:pPr>
      <w:bookmarkStart w:id="786" w:name="_Toc475441205"/>
      <w:bookmarkEnd w:id="786"/>
      <w:r w:rsidRPr="00653DCF">
        <w:rPr>
          <w:color w:val="auto"/>
          <w:lang w:val="hr-HR"/>
        </w:rPr>
        <w:t>Završne odredbe</w:t>
      </w:r>
    </w:p>
    <w:p w14:paraId="620E41E9" w14:textId="77777777" w:rsidR="007E69A4" w:rsidRPr="007E69A4" w:rsidRDefault="007E69A4" w:rsidP="007E69A4">
      <w:pPr>
        <w:pStyle w:val="ListParagraph"/>
        <w:keepNext/>
        <w:keepLines/>
        <w:numPr>
          <w:ilvl w:val="0"/>
          <w:numId w:val="62"/>
        </w:numPr>
        <w:spacing w:before="360"/>
        <w:contextualSpacing w:val="0"/>
        <w:jc w:val="center"/>
        <w:outlineLvl w:val="0"/>
        <w:rPr>
          <w:rFonts w:eastAsiaTheme="majorEastAsia" w:cstheme="majorBidi"/>
          <w:b/>
          <w:caps/>
          <w:vanish/>
          <w:u w:val="single"/>
          <w:lang w:val="hr-HR"/>
        </w:rPr>
      </w:pPr>
      <w:bookmarkStart w:id="787" w:name="_Ref487687478"/>
      <w:bookmarkStart w:id="788" w:name="_Toc508120568"/>
      <w:bookmarkStart w:id="789" w:name="_Toc126080758"/>
      <w:bookmarkStart w:id="790" w:name="_Toc126080890"/>
      <w:bookmarkStart w:id="791" w:name="_Toc475441206"/>
      <w:bookmarkStart w:id="792" w:name="_Toc498018701"/>
    </w:p>
    <w:p w14:paraId="63CCA5E5" w14:textId="36792F09" w:rsidR="007A2A6F" w:rsidRPr="00653DCF" w:rsidRDefault="00E87B0B" w:rsidP="007E69A4">
      <w:pPr>
        <w:pStyle w:val="Heading2"/>
        <w:ind w:left="851"/>
        <w:rPr>
          <w:lang w:val="hr-HR"/>
        </w:rPr>
      </w:pPr>
      <w:r w:rsidRPr="00653DCF">
        <w:rPr>
          <w:lang w:val="hr-HR"/>
        </w:rPr>
        <w:t>Obavijesti</w:t>
      </w:r>
      <w:bookmarkEnd w:id="787"/>
      <w:bookmarkEnd w:id="788"/>
      <w:bookmarkEnd w:id="789"/>
      <w:bookmarkEnd w:id="790"/>
      <w:r w:rsidRPr="00653DCF">
        <w:rPr>
          <w:lang w:val="hr-HR"/>
        </w:rPr>
        <w:t xml:space="preserve"> </w:t>
      </w:r>
      <w:bookmarkEnd w:id="791"/>
      <w:bookmarkEnd w:id="792"/>
    </w:p>
    <w:p w14:paraId="7F61AC4E" w14:textId="723C77BA" w:rsidR="003230DD" w:rsidRPr="00653DCF" w:rsidRDefault="003230DD" w:rsidP="003230DD">
      <w:pPr>
        <w:pStyle w:val="NoIndentEIB"/>
        <w:ind w:left="856"/>
        <w:rPr>
          <w:color w:val="auto"/>
          <w:lang w:val="hr-HR"/>
        </w:rPr>
      </w:pPr>
      <w:r w:rsidRPr="00653DCF">
        <w:rPr>
          <w:color w:val="auto"/>
          <w:lang w:val="hr-HR"/>
        </w:rPr>
        <w:t xml:space="preserve">U </w:t>
      </w:r>
      <w:r w:rsidR="00B663E8" w:rsidRPr="00653DCF">
        <w:rPr>
          <w:color w:val="auto"/>
          <w:lang w:val="hr-HR"/>
        </w:rPr>
        <w:t>svrhu</w:t>
      </w:r>
      <w:r w:rsidRPr="00653DCF">
        <w:rPr>
          <w:color w:val="auto"/>
          <w:lang w:val="hr-HR"/>
        </w:rPr>
        <w:t xml:space="preserve"> izbjegavanja bilo koje dvojbe, svaka obavijest i druga priopćenja od strane Banke prema Zajmoprimcu vezano za ovaj Ugovor slat će se Ministarstvu financija, uz kopiju Ministarstvu mora, prometa i infrastrukture, a svaka obavijest i druga priopćenja od strane Banke prema Nositelju vezano za ovaj Ugovor slat će se Ministarstvu </w:t>
      </w:r>
      <w:r w:rsidR="00A76C22" w:rsidRPr="00653DCF">
        <w:rPr>
          <w:color w:val="auto"/>
          <w:lang w:val="hr-HR"/>
        </w:rPr>
        <w:t>mora</w:t>
      </w:r>
      <w:r w:rsidRPr="00653DCF">
        <w:rPr>
          <w:color w:val="auto"/>
          <w:lang w:val="hr-HR"/>
        </w:rPr>
        <w:t>, prometa i infrastrukture, uz kopiju Ministarstvu financija.</w:t>
      </w:r>
    </w:p>
    <w:p w14:paraId="28BB43DE" w14:textId="6E3BC9E1" w:rsidR="003230DD" w:rsidRPr="00653DCF" w:rsidRDefault="003230DD" w:rsidP="003230DD">
      <w:pPr>
        <w:pStyle w:val="NoIndentEIB"/>
        <w:ind w:left="856"/>
        <w:rPr>
          <w:color w:val="auto"/>
          <w:lang w:val="hr-HR"/>
        </w:rPr>
      </w:pPr>
      <w:r w:rsidRPr="00653DCF">
        <w:rPr>
          <w:color w:val="auto"/>
          <w:lang w:val="hr-HR"/>
        </w:rPr>
        <w:t xml:space="preserve">U svrhu izbjegavanja bilo koje dvojbe, svaka obavijest i druga priopćenja od strane Nositelja prema Banci vezano za ovaj Ugovor slat će se putem Ministarstva financija ili uz slanje kopije Ministarstvu financija, a svaka obavijest i druga priopćenja od strane Zajmoprimca prema Banci vezano za ovaj Ugovor slat će se putem Ministarstva financija, uz slanje kopije Ministarstvu mora, prometa i infrastrukture. </w:t>
      </w:r>
    </w:p>
    <w:p w14:paraId="3D053582" w14:textId="77777777" w:rsidR="007A2A6F" w:rsidRPr="00653DCF" w:rsidRDefault="00E87B0B" w:rsidP="00613099">
      <w:pPr>
        <w:pStyle w:val="Heading3"/>
        <w:ind w:left="851"/>
        <w:rPr>
          <w:color w:val="auto"/>
          <w:lang w:val="hr-HR"/>
        </w:rPr>
      </w:pPr>
      <w:bookmarkStart w:id="793" w:name="_Toc475441207"/>
      <w:bookmarkStart w:id="794" w:name="_Toc498018702"/>
      <w:bookmarkStart w:id="795" w:name="_Toc508120569"/>
      <w:bookmarkStart w:id="796" w:name="_Toc126080759"/>
      <w:bookmarkStart w:id="797" w:name="_Toc126080891"/>
      <w:r w:rsidRPr="00653DCF">
        <w:rPr>
          <w:color w:val="auto"/>
          <w:lang w:val="hr-HR"/>
        </w:rPr>
        <w:t>Oblik obavijesti</w:t>
      </w:r>
      <w:bookmarkEnd w:id="793"/>
      <w:bookmarkEnd w:id="794"/>
      <w:bookmarkEnd w:id="795"/>
      <w:bookmarkEnd w:id="796"/>
      <w:bookmarkEnd w:id="797"/>
    </w:p>
    <w:p w14:paraId="710DAD05" w14:textId="6E184C19" w:rsidR="003F4837" w:rsidRPr="00653DCF" w:rsidRDefault="003F4837">
      <w:pPr>
        <w:pStyle w:val="NoIndentEIB"/>
        <w:numPr>
          <w:ilvl w:val="0"/>
          <w:numId w:val="43"/>
        </w:numPr>
        <w:rPr>
          <w:color w:val="auto"/>
          <w:lang w:val="hr-HR"/>
        </w:rPr>
      </w:pPr>
      <w:r w:rsidRPr="00653DCF">
        <w:rPr>
          <w:color w:val="auto"/>
          <w:lang w:val="hr-HR"/>
        </w:rPr>
        <w:t xml:space="preserve">Svaka obavijest ili drugo </w:t>
      </w:r>
      <w:r w:rsidR="00336F78" w:rsidRPr="00653DCF">
        <w:rPr>
          <w:color w:val="auto"/>
          <w:lang w:val="hr-HR"/>
        </w:rPr>
        <w:t>priopćenje</w:t>
      </w:r>
      <w:r w:rsidRPr="00653DCF">
        <w:rPr>
          <w:color w:val="auto"/>
          <w:lang w:val="hr-HR"/>
        </w:rPr>
        <w:t xml:space="preserve"> dano prema ovom Ugovoru mora biti u pisanom obliku, i osim ako nije </w:t>
      </w:r>
      <w:r w:rsidR="00336F78" w:rsidRPr="00653DCF">
        <w:rPr>
          <w:color w:val="auto"/>
          <w:lang w:val="hr-HR"/>
        </w:rPr>
        <w:t>drukčije</w:t>
      </w:r>
      <w:r w:rsidRPr="00653DCF">
        <w:rPr>
          <w:color w:val="auto"/>
          <w:lang w:val="hr-HR"/>
        </w:rPr>
        <w:t xml:space="preserve"> naznačeno, može se poslati pismom ili elektroničkom poštom.</w:t>
      </w:r>
    </w:p>
    <w:p w14:paraId="0C0619FC" w14:textId="4292EA28" w:rsidR="007A2A6F" w:rsidRPr="00653DCF" w:rsidRDefault="0036213A">
      <w:pPr>
        <w:pStyle w:val="NoIndentEIB"/>
        <w:numPr>
          <w:ilvl w:val="0"/>
          <w:numId w:val="43"/>
        </w:numPr>
        <w:rPr>
          <w:color w:val="auto"/>
          <w:lang w:val="hr-HR"/>
        </w:rPr>
      </w:pPr>
      <w:r w:rsidRPr="00653DCF">
        <w:rPr>
          <w:color w:val="auto"/>
          <w:shd w:val="clear" w:color="auto" w:fill="FFFFFF"/>
          <w:lang w:val="hr-HR"/>
        </w:rPr>
        <w:t>Obavijesti i ostala priopćenja, za koje se u ovom Ugovoru utvrđuju fiksni rokovi ili koje u sebi sadrže fiksne rokove koji obvezuju primatelje, šalju se osobnom dostavom, preporučenim pismom, ili elektroničkom poštom. Za takve obavijesti i priopćenja smatra se da ih je druga stran</w:t>
      </w:r>
      <w:r w:rsidR="00AA279F" w:rsidRPr="00653DCF">
        <w:rPr>
          <w:color w:val="auto"/>
          <w:shd w:val="clear" w:color="auto" w:fill="FFFFFF"/>
          <w:lang w:val="hr-HR"/>
        </w:rPr>
        <w:t>k</w:t>
      </w:r>
      <w:r w:rsidRPr="00653DCF">
        <w:rPr>
          <w:color w:val="auto"/>
          <w:shd w:val="clear" w:color="auto" w:fill="FFFFFF"/>
          <w:lang w:val="hr-HR"/>
        </w:rPr>
        <w:t>a primila</w:t>
      </w:r>
      <w:r w:rsidR="00E87B0B" w:rsidRPr="00653DCF">
        <w:rPr>
          <w:color w:val="auto"/>
          <w:lang w:val="hr-HR"/>
        </w:rPr>
        <w:t xml:space="preserve">: </w:t>
      </w:r>
    </w:p>
    <w:p w14:paraId="611F8CB2" w14:textId="4430B624" w:rsidR="007A2A6F" w:rsidRPr="00653DCF" w:rsidRDefault="00233837">
      <w:pPr>
        <w:pStyle w:val="NoIndentEIB"/>
        <w:numPr>
          <w:ilvl w:val="1"/>
          <w:numId w:val="32"/>
        </w:numPr>
        <w:rPr>
          <w:color w:val="auto"/>
          <w:lang w:val="hr-HR"/>
        </w:rPr>
      </w:pPr>
      <w:r w:rsidRPr="00653DCF">
        <w:rPr>
          <w:color w:val="auto"/>
          <w:shd w:val="clear" w:color="auto" w:fill="FFFFFF"/>
          <w:lang w:val="hr-HR"/>
        </w:rPr>
        <w:t>na datum dostave kad se radi o osobnoj dostavi ili preporučenom pismu</w:t>
      </w:r>
      <w:r w:rsidR="00E87B0B" w:rsidRPr="00653DCF">
        <w:rPr>
          <w:color w:val="auto"/>
          <w:lang w:val="hr-HR"/>
        </w:rPr>
        <w:t>;</w:t>
      </w:r>
    </w:p>
    <w:p w14:paraId="4EAD1841" w14:textId="24A826F0" w:rsidR="007A2A6F" w:rsidRPr="00653DCF" w:rsidRDefault="00E87B0B">
      <w:pPr>
        <w:pStyle w:val="NoIndentEIB"/>
        <w:numPr>
          <w:ilvl w:val="1"/>
          <w:numId w:val="32"/>
        </w:numPr>
        <w:rPr>
          <w:color w:val="auto"/>
          <w:lang w:val="hr-HR"/>
        </w:rPr>
      </w:pPr>
      <w:bookmarkStart w:id="798" w:name="_Ref4400881"/>
      <w:r w:rsidRPr="00653DCF">
        <w:rPr>
          <w:color w:val="auto"/>
          <w:lang w:val="hr-HR"/>
        </w:rPr>
        <w:t>u slučaju elektroničke pošte:</w:t>
      </w:r>
    </w:p>
    <w:p w14:paraId="7D162AF8" w14:textId="60B4A1A9" w:rsidR="007A2A6F" w:rsidRPr="00653DCF" w:rsidRDefault="00E87B0B">
      <w:pPr>
        <w:pStyle w:val="NoIndentEIB"/>
        <w:numPr>
          <w:ilvl w:val="2"/>
          <w:numId w:val="32"/>
        </w:numPr>
        <w:rPr>
          <w:color w:val="auto"/>
          <w:lang w:val="hr-HR"/>
        </w:rPr>
      </w:pPr>
      <w:r w:rsidRPr="00653DCF">
        <w:rPr>
          <w:color w:val="auto"/>
          <w:lang w:val="hr-HR"/>
        </w:rPr>
        <w:t xml:space="preserve">(osim obavijesti o isplati iz stavka u </w:t>
      </w:r>
      <w:r w:rsidRPr="00653DCF">
        <w:rPr>
          <w:color w:val="auto"/>
          <w:lang w:val="hr-HR"/>
        </w:rPr>
        <w:fldChar w:fldCharType="begin"/>
      </w:r>
      <w:r w:rsidRPr="00653DCF">
        <w:rPr>
          <w:color w:val="auto"/>
          <w:lang w:val="hr-HR"/>
        </w:rPr>
        <w:instrText xml:space="preserve"> REF _Ref61447421 \n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(2)</w:t>
      </w:r>
      <w:r w:rsidRPr="00653DCF">
        <w:rPr>
          <w:color w:val="auto"/>
          <w:lang w:val="hr-HR"/>
        </w:rPr>
        <w:fldChar w:fldCharType="end"/>
      </w:r>
      <w:r w:rsidRPr="00653DCF">
        <w:rPr>
          <w:color w:val="auto"/>
          <w:lang w:val="hr-HR"/>
        </w:rPr>
        <w:t xml:space="preserve"> nastavku), samo ako je takva elektronička pošta </w:t>
      </w:r>
      <w:bookmarkStart w:id="799" w:name="_Ref4677002"/>
      <w:bookmarkEnd w:id="798"/>
      <w:r w:rsidRPr="00653DCF">
        <w:rPr>
          <w:color w:val="auto"/>
          <w:lang w:val="hr-HR"/>
        </w:rPr>
        <w:t xml:space="preserve">stvarno primljena u čitljivom obliku i samo ako je </w:t>
      </w:r>
      <w:r w:rsidR="00E5133B" w:rsidRPr="00653DCF">
        <w:rPr>
          <w:color w:val="auto"/>
          <w:lang w:val="hr-HR"/>
        </w:rPr>
        <w:t xml:space="preserve">poslana onim adresatima koje je druga </w:t>
      </w:r>
      <w:r w:rsidR="00E101C3" w:rsidRPr="00653DCF">
        <w:rPr>
          <w:color w:val="auto"/>
          <w:lang w:val="hr-HR"/>
        </w:rPr>
        <w:t>stran</w:t>
      </w:r>
      <w:r w:rsidR="00AA279F" w:rsidRPr="00653DCF">
        <w:rPr>
          <w:color w:val="auto"/>
          <w:lang w:val="hr-HR"/>
        </w:rPr>
        <w:t>k</w:t>
      </w:r>
      <w:r w:rsidR="00E101C3" w:rsidRPr="00653DCF">
        <w:rPr>
          <w:color w:val="auto"/>
          <w:lang w:val="hr-HR"/>
        </w:rPr>
        <w:t xml:space="preserve">a </w:t>
      </w:r>
      <w:r w:rsidR="00E5133B" w:rsidRPr="00653DCF">
        <w:rPr>
          <w:color w:val="auto"/>
          <w:lang w:val="hr-HR"/>
        </w:rPr>
        <w:t xml:space="preserve">navela </w:t>
      </w:r>
      <w:r w:rsidR="00E101C3" w:rsidRPr="00653DCF">
        <w:rPr>
          <w:color w:val="auto"/>
          <w:lang w:val="hr-HR"/>
        </w:rPr>
        <w:t>za tu svrhu</w:t>
      </w:r>
      <w:bookmarkEnd w:id="799"/>
      <w:r w:rsidRPr="00653DCF">
        <w:rPr>
          <w:color w:val="auto"/>
          <w:lang w:val="hr-HR"/>
        </w:rPr>
        <w:t xml:space="preserve">; i </w:t>
      </w:r>
    </w:p>
    <w:p w14:paraId="58EDA499" w14:textId="71A82429" w:rsidR="007A2A6F" w:rsidRPr="00653DCF" w:rsidRDefault="0096654B">
      <w:pPr>
        <w:pStyle w:val="NoIndentEIB"/>
        <w:numPr>
          <w:ilvl w:val="2"/>
          <w:numId w:val="32"/>
        </w:numPr>
        <w:rPr>
          <w:color w:val="auto"/>
          <w:lang w:val="hr-HR"/>
        </w:rPr>
      </w:pPr>
      <w:bookmarkStart w:id="800" w:name="_Ref61447421"/>
      <w:r w:rsidRPr="00653DCF">
        <w:rPr>
          <w:color w:val="auto"/>
          <w:lang w:val="hr-HR"/>
        </w:rPr>
        <w:lastRenderedPageBreak/>
        <w:t>ako sadrži obavijest o isplati</w:t>
      </w:r>
      <w:r w:rsidR="00891240" w:rsidRPr="00653DCF">
        <w:rPr>
          <w:color w:val="auto"/>
          <w:lang w:val="hr-HR"/>
        </w:rPr>
        <w:t xml:space="preserve">, </w:t>
      </w:r>
      <w:r w:rsidR="0026481E" w:rsidRPr="00653DCF">
        <w:rPr>
          <w:color w:val="auto"/>
          <w:lang w:val="hr-HR"/>
        </w:rPr>
        <w:t xml:space="preserve">onda kada je </w:t>
      </w:r>
      <w:r w:rsidR="00E87B0B" w:rsidRPr="00653DCF">
        <w:rPr>
          <w:color w:val="auto"/>
          <w:lang w:val="hr-HR"/>
        </w:rPr>
        <w:t xml:space="preserve">Banka takvu elektroničku poštu </w:t>
      </w:r>
      <w:r w:rsidR="0026481E" w:rsidRPr="00653DCF">
        <w:rPr>
          <w:color w:val="auto"/>
          <w:lang w:val="hr-HR"/>
        </w:rPr>
        <w:t xml:space="preserve">poslala </w:t>
      </w:r>
      <w:r w:rsidR="00E87B0B" w:rsidRPr="00653DCF">
        <w:rPr>
          <w:color w:val="auto"/>
          <w:lang w:val="hr-HR"/>
        </w:rPr>
        <w:t>Zajmoprimcu.</w:t>
      </w:r>
      <w:bookmarkEnd w:id="800"/>
    </w:p>
    <w:p w14:paraId="6BD39BEA" w14:textId="55AD422F" w:rsidR="007A2A6F" w:rsidRPr="00653DCF" w:rsidRDefault="00192508">
      <w:pPr>
        <w:pStyle w:val="NoIndentEIB"/>
        <w:numPr>
          <w:ilvl w:val="0"/>
          <w:numId w:val="43"/>
        </w:numPr>
        <w:rPr>
          <w:color w:val="auto"/>
          <w:lang w:val="hr-HR"/>
        </w:rPr>
      </w:pPr>
      <w:r w:rsidRPr="00653DCF">
        <w:rPr>
          <w:color w:val="auto"/>
          <w:lang w:val="hr-HR"/>
        </w:rPr>
        <w:t xml:space="preserve">Svaka </w:t>
      </w:r>
      <w:r w:rsidR="00891240" w:rsidRPr="00653DCF">
        <w:rPr>
          <w:color w:val="auto"/>
          <w:lang w:val="hr-HR"/>
        </w:rPr>
        <w:t xml:space="preserve">obavijest koju </w:t>
      </w:r>
      <w:r w:rsidR="00E87B0B" w:rsidRPr="00653DCF">
        <w:rPr>
          <w:color w:val="auto"/>
          <w:lang w:val="hr-HR"/>
        </w:rPr>
        <w:t>Zajmoprimac dostavi Banci elektroničkom poštom</w:t>
      </w:r>
      <w:r w:rsidR="00891240" w:rsidRPr="00653DCF">
        <w:rPr>
          <w:color w:val="auto"/>
          <w:lang w:val="hr-HR"/>
        </w:rPr>
        <w:t xml:space="preserve"> </w:t>
      </w:r>
      <w:r w:rsidRPr="00653DCF">
        <w:rPr>
          <w:color w:val="auto"/>
          <w:lang w:val="hr-HR"/>
        </w:rPr>
        <w:t>treba</w:t>
      </w:r>
      <w:r w:rsidR="00E87B0B" w:rsidRPr="00653DCF">
        <w:rPr>
          <w:color w:val="auto"/>
          <w:lang w:val="hr-HR"/>
        </w:rPr>
        <w:t>:</w:t>
      </w:r>
    </w:p>
    <w:p w14:paraId="301158B8" w14:textId="0D45D32F" w:rsidR="007A2A6F" w:rsidRPr="00653DCF" w:rsidRDefault="0026481E">
      <w:pPr>
        <w:pStyle w:val="NoIndentEIB"/>
        <w:numPr>
          <w:ilvl w:val="1"/>
          <w:numId w:val="43"/>
        </w:numPr>
        <w:rPr>
          <w:color w:val="auto"/>
          <w:lang w:val="hr-HR"/>
        </w:rPr>
      </w:pPr>
      <w:r w:rsidRPr="00653DCF">
        <w:rPr>
          <w:color w:val="auto"/>
          <w:lang w:val="hr-HR"/>
        </w:rPr>
        <w:t xml:space="preserve">u predmetu </w:t>
      </w:r>
      <w:r w:rsidR="00192508" w:rsidRPr="00653DCF">
        <w:rPr>
          <w:color w:val="auto"/>
          <w:lang w:val="hr-HR"/>
        </w:rPr>
        <w:t xml:space="preserve">imati naveden </w:t>
      </w:r>
      <w:r w:rsidRPr="00653DCF">
        <w:rPr>
          <w:color w:val="auto"/>
          <w:lang w:val="hr-HR"/>
        </w:rPr>
        <w:t xml:space="preserve">broj </w:t>
      </w:r>
      <w:r w:rsidR="00891240" w:rsidRPr="00653DCF">
        <w:rPr>
          <w:color w:val="auto"/>
          <w:lang w:val="hr-HR"/>
        </w:rPr>
        <w:t>U</w:t>
      </w:r>
      <w:r w:rsidR="00E87B0B" w:rsidRPr="00653DCF">
        <w:rPr>
          <w:color w:val="auto"/>
          <w:lang w:val="hr-HR"/>
        </w:rPr>
        <w:t>govora; i</w:t>
      </w:r>
    </w:p>
    <w:p w14:paraId="7E7E45D5" w14:textId="0652C650" w:rsidR="00BF14FB" w:rsidRPr="00653DCF" w:rsidRDefault="008921FD">
      <w:pPr>
        <w:pStyle w:val="NoIndentEIB"/>
        <w:numPr>
          <w:ilvl w:val="1"/>
          <w:numId w:val="43"/>
        </w:numPr>
        <w:rPr>
          <w:color w:val="auto"/>
          <w:lang w:val="hr-HR"/>
        </w:rPr>
      </w:pPr>
      <w:r w:rsidRPr="00653DCF">
        <w:rPr>
          <w:color w:val="auto"/>
          <w:lang w:val="hr-HR"/>
        </w:rPr>
        <w:t xml:space="preserve">mora biti u obliku </w:t>
      </w:r>
      <w:r w:rsidR="00D563A8" w:rsidRPr="00653DCF">
        <w:rPr>
          <w:color w:val="auto"/>
          <w:lang w:val="hr-HR"/>
        </w:rPr>
        <w:t>elektroničke slike</w:t>
      </w:r>
      <w:r w:rsidR="00A95E1B" w:rsidRPr="00653DCF">
        <w:rPr>
          <w:color w:val="auto"/>
          <w:lang w:val="hr-HR"/>
        </w:rPr>
        <w:t xml:space="preserve"> obavijesti</w:t>
      </w:r>
      <w:r w:rsidR="00D563A8" w:rsidRPr="00653DCF">
        <w:rPr>
          <w:color w:val="auto"/>
          <w:lang w:val="hr-HR"/>
        </w:rPr>
        <w:t xml:space="preserve"> koja </w:t>
      </w:r>
      <w:r w:rsidRPr="00653DCF">
        <w:rPr>
          <w:color w:val="auto"/>
          <w:lang w:val="hr-HR"/>
        </w:rPr>
        <w:t>se ne može uređivati</w:t>
      </w:r>
      <w:r w:rsidR="00E87B0B" w:rsidRPr="00653DCF">
        <w:rPr>
          <w:color w:val="auto"/>
          <w:lang w:val="hr-HR"/>
        </w:rPr>
        <w:t xml:space="preserve"> (pdf, tif ili drugi uobičajeni format</w:t>
      </w:r>
      <w:r w:rsidRPr="00653DCF">
        <w:rPr>
          <w:color w:val="auto"/>
          <w:lang w:val="hr-HR"/>
        </w:rPr>
        <w:t>i</w:t>
      </w:r>
      <w:r w:rsidR="00E87B0B" w:rsidRPr="00653DCF">
        <w:rPr>
          <w:color w:val="auto"/>
          <w:lang w:val="hr-HR"/>
        </w:rPr>
        <w:t xml:space="preserve"> datoteka koji se ne </w:t>
      </w:r>
      <w:r w:rsidRPr="00653DCF">
        <w:rPr>
          <w:color w:val="auto"/>
          <w:lang w:val="hr-HR"/>
        </w:rPr>
        <w:t xml:space="preserve">mogu </w:t>
      </w:r>
      <w:r w:rsidR="00E87B0B" w:rsidRPr="00653DCF">
        <w:rPr>
          <w:color w:val="auto"/>
          <w:lang w:val="hr-HR"/>
        </w:rPr>
        <w:t>uređivati</w:t>
      </w:r>
      <w:r w:rsidR="00D563A8" w:rsidRPr="00653DCF">
        <w:rPr>
          <w:color w:val="auto"/>
          <w:lang w:val="hr-HR"/>
        </w:rPr>
        <w:t>, dogovorenom između strana</w:t>
      </w:r>
      <w:r w:rsidR="00E12432" w:rsidRPr="00653DCF">
        <w:rPr>
          <w:color w:val="auto"/>
          <w:lang w:val="hr-HR"/>
        </w:rPr>
        <w:t>ka</w:t>
      </w:r>
      <w:r w:rsidR="00D563A8" w:rsidRPr="00653DCF">
        <w:rPr>
          <w:color w:val="auto"/>
          <w:lang w:val="hr-HR"/>
        </w:rPr>
        <w:t>)</w:t>
      </w:r>
      <w:r w:rsidR="00A95E1B" w:rsidRPr="00653DCF">
        <w:rPr>
          <w:color w:val="auto"/>
          <w:lang w:val="hr-HR"/>
        </w:rPr>
        <w:t xml:space="preserve">, a </w:t>
      </w:r>
      <w:r w:rsidR="00C8527D" w:rsidRPr="00653DCF">
        <w:rPr>
          <w:color w:val="auto"/>
          <w:lang w:val="hr-HR"/>
        </w:rPr>
        <w:t xml:space="preserve">koju </w:t>
      </w:r>
      <w:r w:rsidR="00BF14FB" w:rsidRPr="00653DCF">
        <w:rPr>
          <w:color w:val="auto"/>
          <w:lang w:val="hr-HR"/>
        </w:rPr>
        <w:t xml:space="preserve">je potpisao </w:t>
      </w:r>
      <w:r w:rsidR="00C8527D" w:rsidRPr="00653DCF">
        <w:rPr>
          <w:color w:val="auto"/>
          <w:lang w:val="hr-HR"/>
        </w:rPr>
        <w:t xml:space="preserve">uredno ovlašten potpisnik </w:t>
      </w:r>
      <w:r w:rsidR="00BF14FB" w:rsidRPr="00653DCF">
        <w:rPr>
          <w:color w:val="auto"/>
          <w:lang w:val="hr-HR"/>
        </w:rPr>
        <w:t xml:space="preserve">Zajmoprimca </w:t>
      </w:r>
      <w:r w:rsidR="00C8527D" w:rsidRPr="00653DCF">
        <w:rPr>
          <w:color w:val="auto"/>
          <w:lang w:val="hr-HR"/>
        </w:rPr>
        <w:t xml:space="preserve">ili </w:t>
      </w:r>
      <w:r w:rsidR="00771672" w:rsidRPr="00653DCF">
        <w:rPr>
          <w:color w:val="auto"/>
          <w:lang w:val="hr-HR"/>
        </w:rPr>
        <w:t xml:space="preserve">dva ili više </w:t>
      </w:r>
      <w:r w:rsidR="00BF14FB" w:rsidRPr="00653DCF">
        <w:rPr>
          <w:color w:val="auto"/>
          <w:lang w:val="hr-HR"/>
        </w:rPr>
        <w:t xml:space="preserve">uredno </w:t>
      </w:r>
      <w:r w:rsidR="00771672" w:rsidRPr="00653DCF">
        <w:rPr>
          <w:color w:val="auto"/>
          <w:lang w:val="hr-HR"/>
        </w:rPr>
        <w:t xml:space="preserve">ovlaštenih potpisnika </w:t>
      </w:r>
      <w:r w:rsidR="00BF14FB" w:rsidRPr="00653DCF">
        <w:rPr>
          <w:color w:val="auto"/>
          <w:lang w:val="hr-HR"/>
        </w:rPr>
        <w:t xml:space="preserve">ako imaju </w:t>
      </w:r>
      <w:r w:rsidR="00F6097D" w:rsidRPr="00653DCF">
        <w:rPr>
          <w:color w:val="auto"/>
          <w:lang w:val="hr-HR"/>
        </w:rPr>
        <w:t xml:space="preserve">ovlaštenje </w:t>
      </w:r>
      <w:r w:rsidR="00BF14FB" w:rsidRPr="00653DCF">
        <w:rPr>
          <w:color w:val="auto"/>
          <w:lang w:val="hr-HR"/>
        </w:rPr>
        <w:t>za skupno potpisivanje</w:t>
      </w:r>
      <w:r w:rsidR="00F6097D" w:rsidRPr="00653DCF">
        <w:rPr>
          <w:color w:val="auto"/>
          <w:lang w:val="hr-HR"/>
        </w:rPr>
        <w:t xml:space="preserve">, što god </w:t>
      </w:r>
      <w:r w:rsidR="00A95E1B" w:rsidRPr="00653DCF">
        <w:rPr>
          <w:color w:val="auto"/>
          <w:lang w:val="hr-HR"/>
        </w:rPr>
        <w:t xml:space="preserve">da </w:t>
      </w:r>
      <w:r w:rsidR="00F6097D" w:rsidRPr="00653DCF">
        <w:rPr>
          <w:color w:val="auto"/>
          <w:lang w:val="hr-HR"/>
        </w:rPr>
        <w:t>je od toga primjenjivo, koja se šalje uz elektroničku poštu kao privitak.</w:t>
      </w:r>
      <w:r w:rsidR="00BF14FB" w:rsidRPr="00653DCF">
        <w:rPr>
          <w:color w:val="auto"/>
          <w:lang w:val="hr-HR"/>
        </w:rPr>
        <w:t xml:space="preserve"> </w:t>
      </w:r>
    </w:p>
    <w:p w14:paraId="2A4C7814" w14:textId="2D9C925E" w:rsidR="007A2A6F" w:rsidRPr="00653DCF" w:rsidRDefault="004D50FB">
      <w:pPr>
        <w:pStyle w:val="NoIndentEIB"/>
        <w:numPr>
          <w:ilvl w:val="0"/>
          <w:numId w:val="43"/>
        </w:numPr>
        <w:rPr>
          <w:color w:val="auto"/>
          <w:lang w:val="hr-HR"/>
        </w:rPr>
      </w:pPr>
      <w:r w:rsidRPr="00653DCF">
        <w:rPr>
          <w:color w:val="auto"/>
          <w:shd w:val="clear" w:color="auto" w:fill="FFFFFF"/>
          <w:lang w:val="hr-HR"/>
        </w:rPr>
        <w:t xml:space="preserve">Obavijesti koje daje Zajmoprimac u skladu s bilo kojom odredbom ovog Ugovora trebaju se, ako to </w:t>
      </w:r>
      <w:r w:rsidR="00143DF7" w:rsidRPr="00653DCF">
        <w:rPr>
          <w:color w:val="auto"/>
          <w:shd w:val="clear" w:color="auto" w:fill="FFFFFF"/>
          <w:lang w:val="hr-HR"/>
        </w:rPr>
        <w:t>za</w:t>
      </w:r>
      <w:r w:rsidRPr="00653DCF">
        <w:rPr>
          <w:color w:val="auto"/>
          <w:shd w:val="clear" w:color="auto" w:fill="FFFFFF"/>
          <w:lang w:val="hr-HR"/>
        </w:rPr>
        <w:t xml:space="preserve">traži Banka, dostaviti </w:t>
      </w:r>
      <w:r w:rsidR="00143DF7" w:rsidRPr="00653DCF">
        <w:rPr>
          <w:color w:val="auto"/>
          <w:shd w:val="clear" w:color="auto" w:fill="FFFFFF"/>
          <w:lang w:val="hr-HR"/>
        </w:rPr>
        <w:t xml:space="preserve">Banci </w:t>
      </w:r>
      <w:r w:rsidRPr="00653DCF">
        <w:rPr>
          <w:color w:val="auto"/>
          <w:shd w:val="clear" w:color="auto" w:fill="FFFFFF"/>
          <w:lang w:val="hr-HR"/>
        </w:rPr>
        <w:t>zajedno s prihvatljivim dokazima o ovlaštenju osobe ili osoba ovlaštenih za potpisivanje takve obavijesti u ime Zajmoprimca i s ovjerenim uzorkom potpisa takve osobe ili takvih osoba</w:t>
      </w:r>
      <w:r w:rsidR="00E87B0B" w:rsidRPr="00653DCF">
        <w:rPr>
          <w:color w:val="auto"/>
          <w:lang w:val="hr-HR"/>
        </w:rPr>
        <w:t>.</w:t>
      </w:r>
    </w:p>
    <w:p w14:paraId="7C8EA324" w14:textId="4FBEC358" w:rsidR="002B6AB6" w:rsidRPr="00653DCF" w:rsidRDefault="002B6AB6">
      <w:pPr>
        <w:pStyle w:val="NoIndentEIB"/>
        <w:numPr>
          <w:ilvl w:val="0"/>
          <w:numId w:val="43"/>
        </w:numPr>
        <w:rPr>
          <w:color w:val="auto"/>
          <w:lang w:val="hr-HR"/>
        </w:rPr>
      </w:pPr>
      <w:r w:rsidRPr="00653DCF">
        <w:rPr>
          <w:color w:val="auto"/>
          <w:shd w:val="clear" w:color="auto" w:fill="FFFFFF"/>
          <w:lang w:val="hr-HR"/>
        </w:rPr>
        <w:t>Bez utjecaja na valjanost obavijesti ili priopćenja koja se šalju elektroničkom poštom u skladu s člankom</w:t>
      </w:r>
      <w:r w:rsidRPr="00653DCF">
        <w:rPr>
          <w:color w:val="auto"/>
          <w:lang w:val="hr-HR"/>
        </w:rPr>
        <w:t xml:space="preserve"> </w:t>
      </w:r>
      <w:r w:rsidRPr="00653DCF">
        <w:rPr>
          <w:color w:val="auto"/>
          <w:lang w:val="hr-HR"/>
        </w:rPr>
        <w:fldChar w:fldCharType="begin"/>
      </w:r>
      <w:r w:rsidRPr="00653DCF">
        <w:rPr>
          <w:color w:val="auto"/>
          <w:lang w:val="hr-HR"/>
        </w:rPr>
        <w:instrText xml:space="preserve"> REF _Ref487687478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članak 12</w:t>
      </w:r>
      <w:r w:rsidRPr="00653DCF">
        <w:rPr>
          <w:color w:val="auto"/>
          <w:lang w:val="hr-HR"/>
        </w:rPr>
        <w:fldChar w:fldCharType="end"/>
      </w:r>
      <w:r w:rsidRPr="00653DCF">
        <w:rPr>
          <w:color w:val="auto"/>
          <w:lang w:val="hr-HR"/>
        </w:rPr>
        <w:t>.</w:t>
      </w:r>
      <w:r w:rsidRPr="00653DCF">
        <w:rPr>
          <w:color w:val="auto"/>
          <w:shd w:val="clear" w:color="auto" w:fill="FFFFFF"/>
          <w:lang w:val="hr-HR"/>
        </w:rPr>
        <w:t xml:space="preserve">, sljedeće obavijesti, priopćenja i dokumenti šalju se i preporučenom poštom </w:t>
      </w:r>
      <w:r w:rsidR="00567D5F" w:rsidRPr="00653DCF">
        <w:rPr>
          <w:color w:val="auto"/>
          <w:shd w:val="clear" w:color="auto" w:fill="FFFFFF"/>
          <w:lang w:val="hr-HR"/>
        </w:rPr>
        <w:t>relevantnoj</w:t>
      </w:r>
      <w:r w:rsidRPr="00653DCF">
        <w:rPr>
          <w:color w:val="auto"/>
          <w:shd w:val="clear" w:color="auto" w:fill="FFFFFF"/>
          <w:lang w:val="hr-HR"/>
        </w:rPr>
        <w:t xml:space="preserve"> </w:t>
      </w:r>
      <w:r w:rsidR="00A916C8" w:rsidRPr="00653DCF">
        <w:rPr>
          <w:color w:val="auto"/>
          <w:shd w:val="clear" w:color="auto" w:fill="FFFFFF"/>
          <w:lang w:val="hr-HR"/>
        </w:rPr>
        <w:t>stran</w:t>
      </w:r>
      <w:r w:rsidR="00AA279F" w:rsidRPr="00653DCF">
        <w:rPr>
          <w:color w:val="auto"/>
          <w:shd w:val="clear" w:color="auto" w:fill="FFFFFF"/>
          <w:lang w:val="hr-HR"/>
        </w:rPr>
        <w:t>k</w:t>
      </w:r>
      <w:r w:rsidR="00A916C8" w:rsidRPr="00653DCF">
        <w:rPr>
          <w:color w:val="auto"/>
          <w:shd w:val="clear" w:color="auto" w:fill="FFFFFF"/>
          <w:lang w:val="hr-HR"/>
        </w:rPr>
        <w:t xml:space="preserve">i </w:t>
      </w:r>
      <w:r w:rsidRPr="00653DCF">
        <w:rPr>
          <w:color w:val="auto"/>
          <w:shd w:val="clear" w:color="auto" w:fill="FFFFFF"/>
          <w:lang w:val="hr-HR"/>
        </w:rPr>
        <w:t>najkasnije sljedećeg radnog dana:</w:t>
      </w:r>
    </w:p>
    <w:p w14:paraId="7A71C415" w14:textId="68FA2F08" w:rsidR="007A2A6F" w:rsidRPr="00653DCF" w:rsidRDefault="00A916C8">
      <w:pPr>
        <w:pStyle w:val="NoIndentEIB"/>
        <w:numPr>
          <w:ilvl w:val="1"/>
          <w:numId w:val="43"/>
        </w:numPr>
        <w:rPr>
          <w:color w:val="auto"/>
          <w:lang w:val="hr-HR"/>
        </w:rPr>
      </w:pPr>
      <w:r w:rsidRPr="00653DCF">
        <w:rPr>
          <w:color w:val="auto"/>
          <w:lang w:val="hr-HR"/>
        </w:rPr>
        <w:t>z</w:t>
      </w:r>
      <w:r w:rsidR="00E87B0B" w:rsidRPr="00653DCF">
        <w:rPr>
          <w:color w:val="auto"/>
          <w:lang w:val="hr-HR"/>
        </w:rPr>
        <w:t>ahtjev za isplatu;</w:t>
      </w:r>
    </w:p>
    <w:p w14:paraId="797C63B8" w14:textId="41612FF5" w:rsidR="007A2A6F" w:rsidRPr="00653DCF" w:rsidRDefault="00A916C8">
      <w:pPr>
        <w:pStyle w:val="NoIndentEIB"/>
        <w:numPr>
          <w:ilvl w:val="1"/>
          <w:numId w:val="43"/>
        </w:numPr>
        <w:rPr>
          <w:color w:val="auto"/>
          <w:lang w:val="hr-HR"/>
        </w:rPr>
      </w:pPr>
      <w:r w:rsidRPr="00653DCF">
        <w:rPr>
          <w:color w:val="auto"/>
          <w:lang w:val="hr-HR"/>
        </w:rPr>
        <w:t xml:space="preserve">povlačenje </w:t>
      </w:r>
      <w:r w:rsidR="00E87B0B" w:rsidRPr="00653DCF">
        <w:rPr>
          <w:color w:val="auto"/>
          <w:lang w:val="hr-HR"/>
        </w:rPr>
        <w:t>zahtjeva za isplatu u skladu s člankom</w:t>
      </w:r>
      <w:r w:rsidRPr="00653DCF">
        <w:rPr>
          <w:color w:val="auto"/>
          <w:lang w:val="hr-HR"/>
        </w:rPr>
        <w:t xml:space="preserve"> </w:t>
      </w:r>
      <w:r w:rsidR="00E87B0B" w:rsidRPr="00653DCF">
        <w:rPr>
          <w:color w:val="auto"/>
          <w:lang w:val="hr-HR"/>
        </w:rPr>
        <w:fldChar w:fldCharType="begin"/>
      </w:r>
      <w:r w:rsidR="00E87B0B" w:rsidRPr="00653DCF">
        <w:rPr>
          <w:color w:val="auto"/>
          <w:lang w:val="hr-HR"/>
        </w:rPr>
        <w:instrText xml:space="preserve"> REF _Ref426713118 \r \h  \* MERGEFORMAT </w:instrText>
      </w:r>
      <w:r w:rsidR="00E87B0B" w:rsidRPr="00653DCF">
        <w:rPr>
          <w:color w:val="auto"/>
          <w:lang w:val="hr-HR"/>
        </w:rPr>
      </w:r>
      <w:r w:rsidR="00E87B0B" w:rsidRPr="00653DCF">
        <w:rPr>
          <w:color w:val="auto"/>
          <w:lang w:val="hr-HR"/>
        </w:rPr>
        <w:fldChar w:fldCharType="separate"/>
      </w:r>
      <w:r w:rsidR="00E5391B">
        <w:rPr>
          <w:color w:val="auto"/>
          <w:lang w:val="hr-HR"/>
        </w:rPr>
        <w:t>1.2.C</w:t>
      </w:r>
      <w:r w:rsidR="00E87B0B" w:rsidRPr="00653DCF">
        <w:rPr>
          <w:color w:val="auto"/>
          <w:lang w:val="hr-HR"/>
        </w:rPr>
        <w:fldChar w:fldCharType="end"/>
      </w:r>
      <w:r w:rsidR="00E87B0B" w:rsidRPr="00653DCF">
        <w:rPr>
          <w:color w:val="auto"/>
          <w:lang w:val="hr-HR"/>
        </w:rPr>
        <w:fldChar w:fldCharType="begin"/>
      </w:r>
      <w:r w:rsidR="00E87B0B" w:rsidRPr="00653DCF">
        <w:rPr>
          <w:color w:val="auto"/>
          <w:lang w:val="hr-HR"/>
        </w:rPr>
        <w:instrText xml:space="preserve"> REF _Ref466908822 \r \h  \* MERGEFORMAT </w:instrText>
      </w:r>
      <w:r w:rsidR="00E87B0B" w:rsidRPr="00653DCF">
        <w:rPr>
          <w:color w:val="auto"/>
          <w:lang w:val="hr-HR"/>
        </w:rPr>
      </w:r>
      <w:r w:rsidR="00E87B0B" w:rsidRPr="00653DCF">
        <w:rPr>
          <w:color w:val="auto"/>
          <w:lang w:val="hr-HR"/>
        </w:rPr>
        <w:fldChar w:fldCharType="separate"/>
      </w:r>
      <w:r w:rsidR="00E5391B">
        <w:rPr>
          <w:color w:val="auto"/>
          <w:lang w:val="hr-HR"/>
        </w:rPr>
        <w:t>(b)</w:t>
      </w:r>
      <w:r w:rsidR="00E87B0B" w:rsidRPr="00653DCF">
        <w:rPr>
          <w:color w:val="auto"/>
          <w:lang w:val="hr-HR"/>
        </w:rPr>
        <w:fldChar w:fldCharType="end"/>
      </w:r>
      <w:r w:rsidR="00E87B0B" w:rsidRPr="00653DCF">
        <w:rPr>
          <w:color w:val="auto"/>
          <w:lang w:val="hr-HR"/>
        </w:rPr>
        <w:t>;</w:t>
      </w:r>
    </w:p>
    <w:p w14:paraId="340A810E" w14:textId="164B5151" w:rsidR="007A2A6F" w:rsidRPr="00653DCF" w:rsidRDefault="005510E3">
      <w:pPr>
        <w:pStyle w:val="NoIndentEIB"/>
        <w:numPr>
          <w:ilvl w:val="1"/>
          <w:numId w:val="43"/>
        </w:numPr>
        <w:rPr>
          <w:color w:val="auto"/>
          <w:lang w:val="hr-HR"/>
        </w:rPr>
      </w:pPr>
      <w:r w:rsidRPr="00653DCF">
        <w:rPr>
          <w:color w:val="auto"/>
          <w:shd w:val="clear" w:color="auto" w:fill="FFFFFF"/>
          <w:lang w:val="hr-HR"/>
        </w:rPr>
        <w:t>sve obavijesti i priopćenja o odgodi, otkazivanju i obustavi isplate neke tranše, reviziji ili konverziji kamatne stope neke tranše, događaju narušavanja tržišta, zahtjevu za prijevremenu otplatu, obavijesti o prijevremenoj otplati, događaju neispunjenja obveza, zahtjevu za izvršenje prijevremenog plaćanja</w:t>
      </w:r>
      <w:r w:rsidR="00E87B0B" w:rsidRPr="00653DCF">
        <w:rPr>
          <w:color w:val="auto"/>
          <w:lang w:val="hr-HR"/>
        </w:rPr>
        <w:t>; i</w:t>
      </w:r>
    </w:p>
    <w:p w14:paraId="1205CFA1" w14:textId="744016B3" w:rsidR="007A2A6F" w:rsidRPr="00653DCF" w:rsidRDefault="00E87B0B">
      <w:pPr>
        <w:pStyle w:val="NoIndentEIB"/>
        <w:numPr>
          <w:ilvl w:val="1"/>
          <w:numId w:val="43"/>
        </w:numPr>
        <w:rPr>
          <w:color w:val="auto"/>
          <w:lang w:val="hr-HR"/>
        </w:rPr>
      </w:pPr>
      <w:r w:rsidRPr="00653DCF">
        <w:rPr>
          <w:color w:val="auto"/>
          <w:lang w:val="hr-HR"/>
        </w:rPr>
        <w:t xml:space="preserve">sve druge obavijesti, </w:t>
      </w:r>
      <w:r w:rsidR="009612D2" w:rsidRPr="00653DCF">
        <w:rPr>
          <w:color w:val="auto"/>
          <w:lang w:val="hr-HR"/>
        </w:rPr>
        <w:t>priopćenja</w:t>
      </w:r>
      <w:r w:rsidRPr="00653DCF">
        <w:rPr>
          <w:color w:val="auto"/>
          <w:lang w:val="hr-HR"/>
        </w:rPr>
        <w:t xml:space="preserve"> ili dokumenti koje Banka</w:t>
      </w:r>
      <w:r w:rsidR="009612D2" w:rsidRPr="00653DCF">
        <w:rPr>
          <w:color w:val="auto"/>
          <w:lang w:val="hr-HR"/>
        </w:rPr>
        <w:t xml:space="preserve"> zatraži</w:t>
      </w:r>
      <w:r w:rsidRPr="00653DCF">
        <w:rPr>
          <w:color w:val="auto"/>
          <w:lang w:val="hr-HR"/>
        </w:rPr>
        <w:t>.</w:t>
      </w:r>
    </w:p>
    <w:p w14:paraId="03FB094A" w14:textId="1041DC33" w:rsidR="007A2A6F" w:rsidRPr="00653DCF" w:rsidRDefault="009612D2">
      <w:pPr>
        <w:pStyle w:val="NoIndentEIB"/>
        <w:numPr>
          <w:ilvl w:val="0"/>
          <w:numId w:val="43"/>
        </w:numPr>
        <w:rPr>
          <w:color w:val="auto"/>
          <w:lang w:val="hr-HR"/>
        </w:rPr>
      </w:pPr>
      <w:r w:rsidRPr="00653DCF">
        <w:rPr>
          <w:color w:val="auto"/>
          <w:lang w:val="hr-HR"/>
        </w:rPr>
        <w:t>Stran</w:t>
      </w:r>
      <w:r w:rsidR="00E12432" w:rsidRPr="00653DCF">
        <w:rPr>
          <w:color w:val="auto"/>
          <w:lang w:val="hr-HR"/>
        </w:rPr>
        <w:t>k</w:t>
      </w:r>
      <w:r w:rsidRPr="00653DCF">
        <w:rPr>
          <w:color w:val="auto"/>
          <w:lang w:val="hr-HR"/>
        </w:rPr>
        <w:t>e</w:t>
      </w:r>
      <w:r w:rsidR="00E87B0B" w:rsidRPr="00653DCF">
        <w:rPr>
          <w:color w:val="auto"/>
          <w:lang w:val="hr-HR"/>
        </w:rPr>
        <w:t xml:space="preserve"> su suglasne da je svaka prethodno navedena komunikacija (uključujući elektroničku poštu) prihvaćeni oblik komunikacije, da predstavlja prihvatljive dokaze na sudu i da ima istu dokaznu vrijednost kao i </w:t>
      </w:r>
      <w:bookmarkStart w:id="801" w:name="_Hlk152545218"/>
      <w:r w:rsidR="00AE0CAA" w:rsidRPr="00653DCF">
        <w:rPr>
          <w:color w:val="auto"/>
          <w:lang w:val="hr-HR"/>
        </w:rPr>
        <w:t>vlastoručno potpisan</w:t>
      </w:r>
      <w:r w:rsidR="00DB69B8" w:rsidRPr="00653DCF">
        <w:rPr>
          <w:color w:val="auto"/>
          <w:lang w:val="hr-HR"/>
        </w:rPr>
        <w:t xml:space="preserve"> </w:t>
      </w:r>
      <w:r w:rsidR="0004158D" w:rsidRPr="00653DCF">
        <w:rPr>
          <w:color w:val="auto"/>
          <w:lang w:val="hr-HR"/>
        </w:rPr>
        <w:t xml:space="preserve">dogovor </w:t>
      </w:r>
      <w:r w:rsidR="00E87B0B" w:rsidRPr="00653DCF">
        <w:rPr>
          <w:color w:val="auto"/>
          <w:lang w:val="hr-HR"/>
        </w:rPr>
        <w:t>(</w:t>
      </w:r>
      <w:r w:rsidR="00E87B0B" w:rsidRPr="00653DCF">
        <w:rPr>
          <w:rStyle w:val="ItalicEIB"/>
          <w:color w:val="auto"/>
          <w:lang w:val="hr-HR"/>
        </w:rPr>
        <w:t>sous seing privé</w:t>
      </w:r>
      <w:r w:rsidR="00E87B0B" w:rsidRPr="00653DCF">
        <w:rPr>
          <w:color w:val="auto"/>
          <w:lang w:val="hr-HR"/>
        </w:rPr>
        <w:t>).</w:t>
      </w:r>
    </w:p>
    <w:p w14:paraId="50A01F64" w14:textId="77777777" w:rsidR="007A2A6F" w:rsidRPr="00653DCF" w:rsidRDefault="00E87B0B" w:rsidP="00613099">
      <w:pPr>
        <w:pStyle w:val="Heading3"/>
        <w:ind w:left="851"/>
        <w:rPr>
          <w:color w:val="auto"/>
          <w:lang w:val="hr-HR"/>
        </w:rPr>
      </w:pPr>
      <w:bookmarkStart w:id="802" w:name="_Toc508120570"/>
      <w:bookmarkStart w:id="803" w:name="_Ref54261324"/>
      <w:bookmarkStart w:id="804" w:name="_Toc126080760"/>
      <w:bookmarkStart w:id="805" w:name="_Toc126080892"/>
      <w:bookmarkEnd w:id="801"/>
      <w:r w:rsidRPr="00653DCF">
        <w:rPr>
          <w:color w:val="auto"/>
          <w:lang w:val="hr-HR"/>
        </w:rPr>
        <w:t>Adrese</w:t>
      </w:r>
      <w:bookmarkEnd w:id="802"/>
      <w:bookmarkEnd w:id="803"/>
      <w:bookmarkEnd w:id="804"/>
      <w:bookmarkEnd w:id="805"/>
    </w:p>
    <w:p w14:paraId="29E1326B" w14:textId="72FEEDC9" w:rsidR="007A2A6F" w:rsidRPr="00653DCF" w:rsidRDefault="00E87B0B">
      <w:pPr>
        <w:rPr>
          <w:color w:val="auto"/>
          <w:lang w:val="hr-HR"/>
        </w:rPr>
      </w:pPr>
      <w:r w:rsidRPr="00653DCF">
        <w:rPr>
          <w:color w:val="auto"/>
          <w:lang w:val="hr-HR"/>
        </w:rPr>
        <w:t xml:space="preserve">Adresa i adresa elektroničke pošte (i odjel </w:t>
      </w:r>
      <w:r w:rsidR="00737441" w:rsidRPr="00653DCF">
        <w:rPr>
          <w:color w:val="auto"/>
          <w:lang w:val="hr-HR"/>
        </w:rPr>
        <w:t>na čiju se pažnju priopćenje naslovljava</w:t>
      </w:r>
      <w:r w:rsidRPr="00653DCF">
        <w:rPr>
          <w:color w:val="auto"/>
          <w:lang w:val="hr-HR"/>
        </w:rPr>
        <w:t xml:space="preserve">) </w:t>
      </w:r>
      <w:r w:rsidR="00003107" w:rsidRPr="00653DCF">
        <w:rPr>
          <w:color w:val="auto"/>
          <w:lang w:val="hr-HR"/>
        </w:rPr>
        <w:t>za svaku od strana</w:t>
      </w:r>
      <w:r w:rsidR="00AA279F" w:rsidRPr="00653DCF">
        <w:rPr>
          <w:color w:val="auto"/>
          <w:lang w:val="hr-HR"/>
        </w:rPr>
        <w:t>ka</w:t>
      </w:r>
      <w:r w:rsidR="00003107" w:rsidRPr="00653DCF">
        <w:rPr>
          <w:color w:val="auto"/>
          <w:lang w:val="hr-HR"/>
        </w:rPr>
        <w:t xml:space="preserve"> za bilo koje priopćenje koje se daje ili dokument koji se šalje na temelju ovog Ugovora i u vezi s </w:t>
      </w:r>
      <w:r w:rsidR="005E59D4" w:rsidRPr="00653DCF">
        <w:rPr>
          <w:color w:val="auto"/>
          <w:lang w:val="hr-HR"/>
        </w:rPr>
        <w:t>ovim Ugovorom</w:t>
      </w:r>
      <w:r w:rsidR="00003107" w:rsidRPr="00653DCF">
        <w:rPr>
          <w:color w:val="auto"/>
          <w:lang w:val="hr-HR"/>
        </w:rPr>
        <w:t xml:space="preserve"> su</w:t>
      </w:r>
    </w:p>
    <w:tbl>
      <w:tblPr>
        <w:tblStyle w:val="TableEIB"/>
        <w:tblW w:w="0" w:type="auto"/>
        <w:tblLook w:val="04A0" w:firstRow="1" w:lastRow="0" w:firstColumn="1" w:lastColumn="0" w:noHBand="0" w:noVBand="1"/>
      </w:tblPr>
      <w:tblGrid>
        <w:gridCol w:w="2263"/>
        <w:gridCol w:w="5953"/>
      </w:tblGrid>
      <w:tr w:rsidR="007A2A6F" w:rsidRPr="00653DCF" w14:paraId="046A52E4" w14:textId="77777777">
        <w:tc>
          <w:tcPr>
            <w:tcW w:w="2263" w:type="dxa"/>
          </w:tcPr>
          <w:p w14:paraId="2FEC73CA" w14:textId="238CEEB8" w:rsidR="007A2A6F" w:rsidRPr="00653DCF" w:rsidRDefault="00E87B0B">
            <w:pPr>
              <w:ind w:left="0"/>
              <w:rPr>
                <w:color w:val="auto"/>
                <w:lang w:val="hr-HR"/>
              </w:rPr>
            </w:pPr>
            <w:r w:rsidRPr="00653DCF">
              <w:rPr>
                <w:color w:val="auto"/>
                <w:lang w:val="hr-HR"/>
              </w:rPr>
              <w:t>Za Banku:</w:t>
            </w:r>
          </w:p>
        </w:tc>
        <w:tc>
          <w:tcPr>
            <w:tcW w:w="5953" w:type="dxa"/>
          </w:tcPr>
          <w:p w14:paraId="318E095B" w14:textId="260E4F18" w:rsidR="007A2A6F" w:rsidRPr="00653DCF" w:rsidRDefault="00AA279F">
            <w:pPr>
              <w:ind w:left="0"/>
              <w:rPr>
                <w:color w:val="auto"/>
                <w:lang w:val="hr-HR"/>
              </w:rPr>
            </w:pPr>
            <w:r w:rsidRPr="00653DCF">
              <w:rPr>
                <w:color w:val="auto"/>
                <w:lang w:val="hr-HR"/>
              </w:rPr>
              <w:t>Na pažnju</w:t>
            </w:r>
            <w:r w:rsidR="00E87B0B" w:rsidRPr="00653DCF">
              <w:rPr>
                <w:color w:val="auto"/>
                <w:lang w:val="hr-HR"/>
              </w:rPr>
              <w:t xml:space="preserve">: </w:t>
            </w:r>
            <w:r w:rsidR="006C3C8C" w:rsidRPr="00653DCF">
              <w:rPr>
                <w:color w:val="auto"/>
                <w:lang w:val="hr-HR"/>
              </w:rPr>
              <w:t xml:space="preserve">Operations </w:t>
            </w:r>
          </w:p>
          <w:p w14:paraId="29ACD2D2" w14:textId="434A8958" w:rsidR="007A2A6F" w:rsidRPr="00653DCF" w:rsidRDefault="006C3C8C">
            <w:pPr>
              <w:ind w:left="0"/>
              <w:rPr>
                <w:color w:val="auto"/>
                <w:lang w:val="hr-HR"/>
              </w:rPr>
            </w:pPr>
            <w:r w:rsidRPr="00653DCF">
              <w:rPr>
                <w:color w:val="auto"/>
                <w:lang w:val="hr-HR"/>
              </w:rPr>
              <w:t>Adriatic Sea Department/Division for Croatia, Slovenia public sector &amp; corporate Adriatic Sea</w:t>
            </w:r>
          </w:p>
          <w:p w14:paraId="4613E949" w14:textId="042C4834" w:rsidR="007A2A6F" w:rsidRPr="00653DCF" w:rsidRDefault="00E87B0B">
            <w:pPr>
              <w:ind w:left="0"/>
              <w:rPr>
                <w:color w:val="auto"/>
                <w:lang w:val="hr-HR"/>
              </w:rPr>
            </w:pPr>
            <w:r w:rsidRPr="00653DCF">
              <w:rPr>
                <w:color w:val="auto"/>
                <w:lang w:val="hr-HR"/>
              </w:rPr>
              <w:t xml:space="preserve">100 </w:t>
            </w:r>
            <w:r w:rsidR="006C3C8C" w:rsidRPr="00653DCF">
              <w:rPr>
                <w:color w:val="auto"/>
                <w:lang w:val="hr-HR"/>
              </w:rPr>
              <w:t xml:space="preserve">boulevard </w:t>
            </w:r>
            <w:r w:rsidRPr="00653DCF">
              <w:rPr>
                <w:color w:val="auto"/>
                <w:lang w:val="hr-HR"/>
              </w:rPr>
              <w:t>Konrad Adenauer</w:t>
            </w:r>
          </w:p>
          <w:p w14:paraId="60BA7FAF" w14:textId="7A0697EB" w:rsidR="007A2A6F" w:rsidRPr="00653DCF" w:rsidRDefault="00E87B0B">
            <w:pPr>
              <w:ind w:left="0"/>
              <w:rPr>
                <w:color w:val="auto"/>
                <w:lang w:val="hr-HR"/>
              </w:rPr>
            </w:pPr>
            <w:r w:rsidRPr="00653DCF">
              <w:rPr>
                <w:color w:val="auto"/>
                <w:lang w:val="hr-HR"/>
              </w:rPr>
              <w:t>L-2950 Luxembourg</w:t>
            </w:r>
          </w:p>
          <w:p w14:paraId="367A7772" w14:textId="7F159102" w:rsidR="007A2A6F" w:rsidRPr="00653DCF" w:rsidRDefault="00E87B0B">
            <w:pPr>
              <w:ind w:left="0"/>
              <w:rPr>
                <w:color w:val="auto"/>
                <w:lang w:val="hr-HR"/>
              </w:rPr>
            </w:pPr>
            <w:r w:rsidRPr="00653DCF">
              <w:rPr>
                <w:color w:val="auto"/>
                <w:lang w:val="hr-HR"/>
              </w:rPr>
              <w:t xml:space="preserve">E-adresa: </w:t>
            </w:r>
            <w:hyperlink r:id="rId15" w:history="1">
              <w:r w:rsidR="00BD53DA" w:rsidRPr="00653DCF">
                <w:rPr>
                  <w:rStyle w:val="Hyperlink"/>
                  <w:color w:val="auto"/>
                  <w:lang w:val="hr-HR"/>
                </w:rPr>
                <w:t>contactline-95797@eib.org</w:t>
              </w:r>
            </w:hyperlink>
            <w:r w:rsidR="00BD53DA" w:rsidRPr="00653DCF">
              <w:rPr>
                <w:color w:val="auto"/>
                <w:lang w:val="hr-HR"/>
              </w:rPr>
              <w:t xml:space="preserve"> </w:t>
            </w:r>
          </w:p>
          <w:p w14:paraId="39156256" w14:textId="475F84E7" w:rsidR="007A2A6F" w:rsidRPr="00653DCF" w:rsidRDefault="007A2A6F">
            <w:pPr>
              <w:spacing w:after="0"/>
              <w:ind w:left="0"/>
              <w:rPr>
                <w:color w:val="auto"/>
                <w:lang w:val="hr-HR"/>
              </w:rPr>
            </w:pPr>
          </w:p>
        </w:tc>
      </w:tr>
      <w:tr w:rsidR="007A2A6F" w:rsidRPr="00653DCF" w14:paraId="0A3EB0AE" w14:textId="77777777">
        <w:tc>
          <w:tcPr>
            <w:tcW w:w="2263" w:type="dxa"/>
          </w:tcPr>
          <w:p w14:paraId="7DFA998A" w14:textId="48442E9D" w:rsidR="007A2A6F" w:rsidRPr="00653DCF" w:rsidRDefault="00A56CAB">
            <w:pPr>
              <w:ind w:left="0"/>
              <w:rPr>
                <w:color w:val="auto"/>
                <w:lang w:val="hr-HR"/>
              </w:rPr>
            </w:pPr>
            <w:r w:rsidRPr="00653DCF">
              <w:rPr>
                <w:color w:val="auto"/>
                <w:lang w:val="hr-HR"/>
              </w:rPr>
              <w:t xml:space="preserve">Za </w:t>
            </w:r>
            <w:r w:rsidR="00E87B0B" w:rsidRPr="00653DCF">
              <w:rPr>
                <w:color w:val="auto"/>
                <w:lang w:val="hr-HR"/>
              </w:rPr>
              <w:t>Zajmoprimca:</w:t>
            </w:r>
          </w:p>
        </w:tc>
        <w:tc>
          <w:tcPr>
            <w:tcW w:w="5953" w:type="dxa"/>
          </w:tcPr>
          <w:p w14:paraId="083EB798" w14:textId="28071428" w:rsidR="007A2A6F" w:rsidRPr="00653DCF" w:rsidRDefault="00AA279F">
            <w:pPr>
              <w:ind w:left="0"/>
              <w:rPr>
                <w:color w:val="auto"/>
                <w:lang w:val="hr-HR"/>
              </w:rPr>
            </w:pPr>
            <w:r w:rsidRPr="00653DCF">
              <w:rPr>
                <w:color w:val="auto"/>
                <w:lang w:val="hr-HR"/>
              </w:rPr>
              <w:t>Na pažnju</w:t>
            </w:r>
            <w:r w:rsidR="00E87B0B" w:rsidRPr="00653DCF">
              <w:rPr>
                <w:color w:val="auto"/>
                <w:lang w:val="hr-HR"/>
              </w:rPr>
              <w:t>: Ministarstvo financija</w:t>
            </w:r>
          </w:p>
          <w:p w14:paraId="352152EC" w14:textId="1DBC0185" w:rsidR="007A2A6F" w:rsidRPr="00653DCF" w:rsidRDefault="00E87B0B">
            <w:pPr>
              <w:ind w:left="0"/>
              <w:rPr>
                <w:color w:val="auto"/>
                <w:lang w:val="hr-HR"/>
              </w:rPr>
            </w:pPr>
            <w:r w:rsidRPr="00653DCF">
              <w:rPr>
                <w:color w:val="auto"/>
                <w:lang w:val="hr-HR"/>
              </w:rPr>
              <w:t>Katančićeva 5</w:t>
            </w:r>
          </w:p>
          <w:p w14:paraId="21E65E4A" w14:textId="6A1D57E0" w:rsidR="007A2A6F" w:rsidRPr="00653DCF" w:rsidRDefault="00E87B0B">
            <w:pPr>
              <w:ind w:left="0"/>
              <w:rPr>
                <w:color w:val="auto"/>
                <w:lang w:val="hr-HR"/>
              </w:rPr>
            </w:pPr>
            <w:r w:rsidRPr="00653DCF">
              <w:rPr>
                <w:color w:val="auto"/>
                <w:lang w:val="hr-HR"/>
              </w:rPr>
              <w:t>10</w:t>
            </w:r>
            <w:r w:rsidR="0004158D" w:rsidRPr="00653DCF">
              <w:rPr>
                <w:color w:val="auto"/>
                <w:lang w:val="hr-HR"/>
              </w:rPr>
              <w:t xml:space="preserve"> </w:t>
            </w:r>
            <w:r w:rsidRPr="00653DCF">
              <w:rPr>
                <w:color w:val="auto"/>
                <w:lang w:val="hr-HR"/>
              </w:rPr>
              <w:t>000 Zagreb</w:t>
            </w:r>
          </w:p>
          <w:p w14:paraId="081DF0FB" w14:textId="441BBD66" w:rsidR="007A2A6F" w:rsidRPr="00653DCF" w:rsidRDefault="00E87B0B">
            <w:pPr>
              <w:ind w:left="0"/>
              <w:rPr>
                <w:color w:val="auto"/>
                <w:lang w:val="hr-HR"/>
              </w:rPr>
            </w:pPr>
            <w:r w:rsidRPr="00653DCF">
              <w:rPr>
                <w:color w:val="auto"/>
                <w:lang w:val="hr-HR"/>
              </w:rPr>
              <w:t>Hrvatska</w:t>
            </w:r>
          </w:p>
          <w:p w14:paraId="05D400AB" w14:textId="77777777" w:rsidR="007A2A6F" w:rsidRPr="00653DCF" w:rsidRDefault="00E87B0B">
            <w:pPr>
              <w:ind w:left="0"/>
              <w:rPr>
                <w:color w:val="auto"/>
                <w:lang w:val="hr-HR"/>
              </w:rPr>
            </w:pPr>
            <w:r w:rsidRPr="00653DCF">
              <w:rPr>
                <w:color w:val="auto"/>
                <w:lang w:val="hr-HR"/>
              </w:rPr>
              <w:lastRenderedPageBreak/>
              <w:t xml:space="preserve">E-adresa: </w:t>
            </w:r>
            <w:hyperlink r:id="rId16" w:history="1">
              <w:r w:rsidR="00A56CAB" w:rsidRPr="00653DCF">
                <w:rPr>
                  <w:rStyle w:val="Hyperlink"/>
                  <w:color w:val="auto"/>
                  <w:lang w:val="hr-HR"/>
                </w:rPr>
                <w:t>kabinet@mfin.hr</w:t>
              </w:r>
            </w:hyperlink>
          </w:p>
          <w:p w14:paraId="11A1E0ED" w14:textId="1316C4E0" w:rsidR="00A56CAB" w:rsidRPr="00653DCF" w:rsidRDefault="00A56CAB">
            <w:pPr>
              <w:ind w:left="0"/>
              <w:rPr>
                <w:color w:val="auto"/>
                <w:lang w:val="hr-HR"/>
              </w:rPr>
            </w:pPr>
          </w:p>
        </w:tc>
      </w:tr>
      <w:tr w:rsidR="00A56CAB" w:rsidRPr="00653DCF" w14:paraId="3011B061" w14:textId="77777777">
        <w:tc>
          <w:tcPr>
            <w:tcW w:w="2263" w:type="dxa"/>
          </w:tcPr>
          <w:p w14:paraId="2273AD94" w14:textId="50324EBF" w:rsidR="00A56CAB" w:rsidRPr="00653DCF" w:rsidRDefault="00A56CAB">
            <w:pPr>
              <w:ind w:left="0"/>
              <w:rPr>
                <w:color w:val="auto"/>
                <w:lang w:val="hr-HR"/>
              </w:rPr>
            </w:pPr>
            <w:r w:rsidRPr="00653DCF">
              <w:rPr>
                <w:color w:val="auto"/>
                <w:lang w:val="hr-HR"/>
              </w:rPr>
              <w:lastRenderedPageBreak/>
              <w:t xml:space="preserve">Za Nositelja: </w:t>
            </w:r>
          </w:p>
        </w:tc>
        <w:tc>
          <w:tcPr>
            <w:tcW w:w="5953" w:type="dxa"/>
          </w:tcPr>
          <w:p w14:paraId="462287B0" w14:textId="703BF821" w:rsidR="00A56CAB" w:rsidRPr="00653DCF" w:rsidRDefault="00AA279F">
            <w:pPr>
              <w:ind w:left="0"/>
              <w:rPr>
                <w:color w:val="auto"/>
                <w:lang w:val="hr-HR"/>
              </w:rPr>
            </w:pPr>
            <w:r w:rsidRPr="00653DCF">
              <w:rPr>
                <w:color w:val="auto"/>
                <w:lang w:val="hr-HR"/>
              </w:rPr>
              <w:t>Na pažnju</w:t>
            </w:r>
            <w:r w:rsidR="00A56CAB" w:rsidRPr="00653DCF">
              <w:rPr>
                <w:color w:val="auto"/>
                <w:lang w:val="hr-HR"/>
              </w:rPr>
              <w:t>: Ministarstvo mora, prometa i infrastrukture</w:t>
            </w:r>
          </w:p>
          <w:p w14:paraId="60BFE0F5" w14:textId="77777777" w:rsidR="00A56CAB" w:rsidRPr="00653DCF" w:rsidRDefault="00A56CAB">
            <w:pPr>
              <w:ind w:left="0"/>
              <w:rPr>
                <w:color w:val="auto"/>
                <w:lang w:val="hr-HR"/>
              </w:rPr>
            </w:pPr>
            <w:r w:rsidRPr="00653DCF">
              <w:rPr>
                <w:color w:val="auto"/>
                <w:lang w:val="hr-HR"/>
              </w:rPr>
              <w:t>Prisavlje 14</w:t>
            </w:r>
          </w:p>
          <w:p w14:paraId="6FC1AF2B" w14:textId="02C10B63" w:rsidR="00A56CAB" w:rsidRPr="00653DCF" w:rsidRDefault="00A56CAB">
            <w:pPr>
              <w:ind w:left="0"/>
              <w:rPr>
                <w:color w:val="auto"/>
                <w:lang w:val="hr-HR"/>
              </w:rPr>
            </w:pPr>
            <w:r w:rsidRPr="00653DCF">
              <w:rPr>
                <w:color w:val="auto"/>
                <w:lang w:val="hr-HR"/>
              </w:rPr>
              <w:t>10</w:t>
            </w:r>
            <w:r w:rsidR="0004158D" w:rsidRPr="00653DCF">
              <w:rPr>
                <w:color w:val="auto"/>
                <w:lang w:val="hr-HR"/>
              </w:rPr>
              <w:t xml:space="preserve"> </w:t>
            </w:r>
            <w:r w:rsidRPr="00653DCF">
              <w:rPr>
                <w:color w:val="auto"/>
                <w:lang w:val="hr-HR"/>
              </w:rPr>
              <w:t>000 Zagreb</w:t>
            </w:r>
          </w:p>
          <w:p w14:paraId="15FA2502" w14:textId="77777777" w:rsidR="00A56CAB" w:rsidRPr="00653DCF" w:rsidRDefault="00A56CAB">
            <w:pPr>
              <w:ind w:left="0"/>
              <w:rPr>
                <w:color w:val="auto"/>
                <w:lang w:val="hr-HR"/>
              </w:rPr>
            </w:pPr>
            <w:r w:rsidRPr="00653DCF">
              <w:rPr>
                <w:color w:val="auto"/>
                <w:lang w:val="hr-HR"/>
              </w:rPr>
              <w:t>Hrvatska</w:t>
            </w:r>
          </w:p>
          <w:p w14:paraId="4AD6DE0F" w14:textId="6F21D109" w:rsidR="00A56CAB" w:rsidRPr="00653DCF" w:rsidRDefault="00A56CAB">
            <w:pPr>
              <w:ind w:left="0"/>
              <w:rPr>
                <w:color w:val="auto"/>
                <w:lang w:val="hr-HR"/>
              </w:rPr>
            </w:pPr>
            <w:r w:rsidRPr="00653DCF">
              <w:rPr>
                <w:color w:val="auto"/>
                <w:lang w:val="hr-HR"/>
              </w:rPr>
              <w:t xml:space="preserve">E-adresa: </w:t>
            </w:r>
            <w:hyperlink r:id="rId17" w:history="1">
              <w:r w:rsidRPr="00653DCF">
                <w:rPr>
                  <w:rStyle w:val="Hyperlink"/>
                  <w:color w:val="auto"/>
                  <w:lang w:val="hr-HR"/>
                </w:rPr>
                <w:t>ministar@mmpi.hr</w:t>
              </w:r>
            </w:hyperlink>
            <w:r w:rsidRPr="00653DCF">
              <w:rPr>
                <w:color w:val="auto"/>
                <w:lang w:val="hr-HR"/>
              </w:rPr>
              <w:t xml:space="preserve"> </w:t>
            </w:r>
          </w:p>
        </w:tc>
      </w:tr>
    </w:tbl>
    <w:p w14:paraId="0FF7D639" w14:textId="2A846B25" w:rsidR="007A2A6F" w:rsidRPr="00653DCF" w:rsidRDefault="00E87B0B" w:rsidP="00613099">
      <w:pPr>
        <w:pStyle w:val="Heading3"/>
        <w:ind w:left="851"/>
        <w:rPr>
          <w:color w:val="auto"/>
          <w:lang w:val="hr-HR"/>
        </w:rPr>
      </w:pPr>
      <w:bookmarkStart w:id="806" w:name="_Toc508120571"/>
      <w:bookmarkStart w:id="807" w:name="_Toc126080761"/>
      <w:bookmarkStart w:id="808" w:name="_Toc126080893"/>
      <w:r w:rsidRPr="00653DCF">
        <w:rPr>
          <w:color w:val="auto"/>
          <w:lang w:val="hr-HR"/>
        </w:rPr>
        <w:t xml:space="preserve">Obavijest o </w:t>
      </w:r>
      <w:bookmarkEnd w:id="806"/>
      <w:bookmarkEnd w:id="807"/>
      <w:bookmarkEnd w:id="808"/>
      <w:r w:rsidR="0065143C" w:rsidRPr="00653DCF">
        <w:rPr>
          <w:color w:val="auto"/>
          <w:lang w:val="hr-HR"/>
        </w:rPr>
        <w:t>podacima za kontakt</w:t>
      </w:r>
    </w:p>
    <w:p w14:paraId="31E21296" w14:textId="6F95BBD8" w:rsidR="007A2A6F" w:rsidRPr="00653DCF" w:rsidRDefault="00E87B0B">
      <w:pPr>
        <w:rPr>
          <w:color w:val="auto"/>
          <w:lang w:val="hr-HR"/>
        </w:rPr>
      </w:pPr>
      <w:r w:rsidRPr="00653DCF">
        <w:rPr>
          <w:color w:val="auto"/>
          <w:lang w:val="hr-HR"/>
        </w:rPr>
        <w:t xml:space="preserve">Banka i Zajmoprimac </w:t>
      </w:r>
      <w:r w:rsidR="0065143C" w:rsidRPr="00653DCF">
        <w:rPr>
          <w:color w:val="auto"/>
          <w:lang w:val="hr-HR"/>
        </w:rPr>
        <w:t>dužni su odmah obavijestiti drugu stran</w:t>
      </w:r>
      <w:r w:rsidR="004744CF" w:rsidRPr="00653DCF">
        <w:rPr>
          <w:color w:val="auto"/>
          <w:lang w:val="hr-HR"/>
        </w:rPr>
        <w:t>k</w:t>
      </w:r>
      <w:r w:rsidR="0065143C" w:rsidRPr="00653DCF">
        <w:rPr>
          <w:color w:val="auto"/>
          <w:lang w:val="hr-HR"/>
        </w:rPr>
        <w:t xml:space="preserve">u pisanim putem o svim promjenama njihovih </w:t>
      </w:r>
      <w:r w:rsidR="00A24018" w:rsidRPr="00653DCF">
        <w:rPr>
          <w:color w:val="auto"/>
          <w:lang w:val="hr-HR"/>
        </w:rPr>
        <w:t>relevantnih podataka za kontakt.</w:t>
      </w:r>
    </w:p>
    <w:p w14:paraId="48EFE214" w14:textId="77777777" w:rsidR="007A2A6F" w:rsidRPr="00653DCF" w:rsidRDefault="00E87B0B" w:rsidP="00613099">
      <w:pPr>
        <w:pStyle w:val="Heading2"/>
        <w:ind w:left="851"/>
        <w:rPr>
          <w:color w:val="auto"/>
          <w:lang w:val="hr-HR"/>
        </w:rPr>
      </w:pPr>
      <w:bookmarkStart w:id="809" w:name="_Toc508120572"/>
      <w:bookmarkStart w:id="810" w:name="_Toc126080762"/>
      <w:bookmarkStart w:id="811" w:name="_Toc126080894"/>
      <w:r w:rsidRPr="00653DCF">
        <w:rPr>
          <w:color w:val="auto"/>
          <w:lang w:val="hr-HR"/>
        </w:rPr>
        <w:t>Engleski jezik</w:t>
      </w:r>
      <w:bookmarkEnd w:id="809"/>
      <w:bookmarkEnd w:id="810"/>
      <w:bookmarkEnd w:id="811"/>
    </w:p>
    <w:p w14:paraId="35C0EE16" w14:textId="120C245D" w:rsidR="007A2A6F" w:rsidRPr="00653DCF" w:rsidRDefault="00E87B0B">
      <w:pPr>
        <w:pStyle w:val="NoIndentEIB"/>
        <w:numPr>
          <w:ilvl w:val="0"/>
          <w:numId w:val="44"/>
        </w:numPr>
        <w:rPr>
          <w:color w:val="auto"/>
          <w:lang w:val="hr-HR"/>
        </w:rPr>
      </w:pPr>
      <w:r w:rsidRPr="00653DCF">
        <w:rPr>
          <w:color w:val="auto"/>
          <w:lang w:val="hr-HR"/>
        </w:rPr>
        <w:t xml:space="preserve">Sve obavijesti ili </w:t>
      </w:r>
      <w:r w:rsidR="00A24018" w:rsidRPr="00653DCF">
        <w:rPr>
          <w:color w:val="auto"/>
          <w:lang w:val="hr-HR"/>
        </w:rPr>
        <w:t xml:space="preserve">priopćenja na temelju ovog Ugovora </w:t>
      </w:r>
      <w:r w:rsidRPr="00653DCF">
        <w:rPr>
          <w:color w:val="auto"/>
          <w:lang w:val="hr-HR"/>
        </w:rPr>
        <w:t xml:space="preserve">ili u vezi s </w:t>
      </w:r>
      <w:r w:rsidR="00A24018" w:rsidRPr="00653DCF">
        <w:rPr>
          <w:color w:val="auto"/>
          <w:lang w:val="hr-HR"/>
        </w:rPr>
        <w:t xml:space="preserve">ovim </w:t>
      </w:r>
      <w:r w:rsidR="005E59D4" w:rsidRPr="00653DCF">
        <w:rPr>
          <w:color w:val="auto"/>
          <w:lang w:val="hr-HR"/>
        </w:rPr>
        <w:t>Ugovorom</w:t>
      </w:r>
      <w:r w:rsidR="00A24018" w:rsidRPr="00653DCF">
        <w:rPr>
          <w:color w:val="auto"/>
          <w:lang w:val="hr-HR"/>
        </w:rPr>
        <w:t xml:space="preserve"> moraju biti</w:t>
      </w:r>
      <w:r w:rsidR="00B86732" w:rsidRPr="00653DCF">
        <w:rPr>
          <w:color w:val="auto"/>
          <w:lang w:val="hr-HR"/>
        </w:rPr>
        <w:t xml:space="preserve"> dostavljeni na engleskom </w:t>
      </w:r>
      <w:r w:rsidR="00B663E8" w:rsidRPr="00653DCF">
        <w:rPr>
          <w:color w:val="auto"/>
          <w:lang w:val="hr-HR"/>
        </w:rPr>
        <w:t>jeziku</w:t>
      </w:r>
      <w:r w:rsidRPr="00653DCF">
        <w:rPr>
          <w:color w:val="auto"/>
          <w:lang w:val="hr-HR"/>
        </w:rPr>
        <w:t>.</w:t>
      </w:r>
    </w:p>
    <w:p w14:paraId="457A8D25" w14:textId="26BED30C" w:rsidR="007A2A6F" w:rsidRPr="00653DCF" w:rsidRDefault="00E87B0B">
      <w:pPr>
        <w:pStyle w:val="NoIndentEIB"/>
        <w:numPr>
          <w:ilvl w:val="0"/>
          <w:numId w:val="44"/>
        </w:numPr>
        <w:rPr>
          <w:color w:val="auto"/>
          <w:lang w:val="hr-HR"/>
        </w:rPr>
      </w:pPr>
      <w:r w:rsidRPr="00653DCF">
        <w:rPr>
          <w:color w:val="auto"/>
          <w:lang w:val="hr-HR"/>
        </w:rPr>
        <w:t xml:space="preserve">Svi ostali dokumenti </w:t>
      </w:r>
      <w:r w:rsidR="00B86732" w:rsidRPr="00653DCF">
        <w:rPr>
          <w:color w:val="auto"/>
          <w:lang w:val="hr-HR"/>
        </w:rPr>
        <w:t xml:space="preserve">koji se dostavljaju </w:t>
      </w:r>
      <w:r w:rsidRPr="00653DCF">
        <w:rPr>
          <w:color w:val="auto"/>
          <w:lang w:val="hr-HR"/>
        </w:rPr>
        <w:t>na temelju ili u vezi s ovim Ugovorom moraju biti:</w:t>
      </w:r>
    </w:p>
    <w:p w14:paraId="0985A567" w14:textId="77777777" w:rsidR="007A2A6F" w:rsidRPr="00653DCF" w:rsidRDefault="00E87B0B">
      <w:pPr>
        <w:pStyle w:val="NoIndentEIB"/>
        <w:numPr>
          <w:ilvl w:val="1"/>
          <w:numId w:val="45"/>
        </w:numPr>
        <w:rPr>
          <w:color w:val="auto"/>
          <w:lang w:val="hr-HR"/>
        </w:rPr>
      </w:pPr>
      <w:r w:rsidRPr="00653DCF">
        <w:rPr>
          <w:color w:val="auto"/>
          <w:lang w:val="hr-HR"/>
        </w:rPr>
        <w:t>na engleskom jeziku; ili</w:t>
      </w:r>
    </w:p>
    <w:p w14:paraId="6727158A" w14:textId="3EF92246" w:rsidR="007A2A6F" w:rsidRPr="00653DCF" w:rsidRDefault="00E87B0B">
      <w:pPr>
        <w:pStyle w:val="NoIndentEIB"/>
        <w:numPr>
          <w:ilvl w:val="1"/>
          <w:numId w:val="45"/>
        </w:numPr>
        <w:rPr>
          <w:color w:val="auto"/>
          <w:lang w:val="hr-HR"/>
        </w:rPr>
      </w:pPr>
      <w:r w:rsidRPr="00653DCF">
        <w:rPr>
          <w:color w:val="auto"/>
          <w:lang w:val="hr-HR"/>
        </w:rPr>
        <w:t xml:space="preserve">ako </w:t>
      </w:r>
      <w:r w:rsidR="00D555B8" w:rsidRPr="00653DCF">
        <w:rPr>
          <w:color w:val="auto"/>
          <w:lang w:val="hr-HR"/>
        </w:rPr>
        <w:t xml:space="preserve">nisu na </w:t>
      </w:r>
      <w:r w:rsidRPr="00653DCF">
        <w:rPr>
          <w:color w:val="auto"/>
          <w:lang w:val="hr-HR"/>
        </w:rPr>
        <w:t>engleskom jeziku, i ako to Banka</w:t>
      </w:r>
      <w:r w:rsidR="002911B5" w:rsidRPr="00653DCF">
        <w:rPr>
          <w:color w:val="auto"/>
          <w:lang w:val="hr-HR"/>
        </w:rPr>
        <w:t xml:space="preserve"> zatraži</w:t>
      </w:r>
      <w:r w:rsidRPr="00653DCF">
        <w:rPr>
          <w:color w:val="auto"/>
          <w:lang w:val="hr-HR"/>
        </w:rPr>
        <w:t>, uz ovjereni prijevod na engleski jezik</w:t>
      </w:r>
      <w:r w:rsidR="002911B5" w:rsidRPr="00653DCF">
        <w:rPr>
          <w:color w:val="auto"/>
          <w:lang w:val="hr-HR"/>
        </w:rPr>
        <w:t xml:space="preserve">, </w:t>
      </w:r>
      <w:r w:rsidR="00091057" w:rsidRPr="00653DCF">
        <w:rPr>
          <w:color w:val="auto"/>
          <w:lang w:val="hr-HR"/>
        </w:rPr>
        <w:t xml:space="preserve">u kojem </w:t>
      </w:r>
      <w:r w:rsidRPr="00653DCF">
        <w:rPr>
          <w:color w:val="auto"/>
          <w:lang w:val="hr-HR"/>
        </w:rPr>
        <w:t>slučaju</w:t>
      </w:r>
      <w:r w:rsidR="002911B5" w:rsidRPr="00653DCF">
        <w:rPr>
          <w:color w:val="auto"/>
          <w:lang w:val="hr-HR"/>
        </w:rPr>
        <w:t xml:space="preserve"> prednost ima prijevod na englesk</w:t>
      </w:r>
      <w:r w:rsidR="00091057" w:rsidRPr="00653DCF">
        <w:rPr>
          <w:color w:val="auto"/>
          <w:lang w:val="hr-HR"/>
        </w:rPr>
        <w:t>i</w:t>
      </w:r>
      <w:r w:rsidR="002911B5" w:rsidRPr="00653DCF">
        <w:rPr>
          <w:color w:val="auto"/>
          <w:lang w:val="hr-HR"/>
        </w:rPr>
        <w:t xml:space="preserve"> jeziku</w:t>
      </w:r>
      <w:r w:rsidRPr="00653DCF">
        <w:rPr>
          <w:color w:val="auto"/>
          <w:lang w:val="hr-HR"/>
        </w:rPr>
        <w:t>.</w:t>
      </w:r>
    </w:p>
    <w:p w14:paraId="61724704" w14:textId="02F78203" w:rsidR="007A2A6F" w:rsidRPr="00653DCF" w:rsidRDefault="00E87B0B" w:rsidP="00613099">
      <w:pPr>
        <w:pStyle w:val="Heading2"/>
        <w:ind w:left="851"/>
        <w:rPr>
          <w:color w:val="auto"/>
          <w:lang w:val="hr-HR"/>
        </w:rPr>
      </w:pPr>
      <w:bookmarkStart w:id="812" w:name="_Toc475441209"/>
      <w:bookmarkStart w:id="813" w:name="_Toc498018704"/>
      <w:bookmarkStart w:id="814" w:name="_Toc508120573"/>
      <w:bookmarkStart w:id="815" w:name="_Toc126080763"/>
      <w:bookmarkStart w:id="816" w:name="_Toc126080895"/>
      <w:r w:rsidRPr="00653DCF">
        <w:rPr>
          <w:color w:val="auto"/>
          <w:lang w:val="hr-HR"/>
        </w:rPr>
        <w:t xml:space="preserve">Uvodne </w:t>
      </w:r>
      <w:r w:rsidR="00404DD3" w:rsidRPr="00653DCF">
        <w:rPr>
          <w:color w:val="auto"/>
          <w:lang w:val="hr-HR"/>
        </w:rPr>
        <w:t xml:space="preserve">odredbe, </w:t>
      </w:r>
      <w:bookmarkEnd w:id="812"/>
      <w:bookmarkEnd w:id="813"/>
      <w:bookmarkEnd w:id="814"/>
      <w:bookmarkEnd w:id="815"/>
      <w:bookmarkEnd w:id="816"/>
      <w:r w:rsidR="00404DD3" w:rsidRPr="00653DCF">
        <w:rPr>
          <w:color w:val="auto"/>
          <w:lang w:val="hr-HR"/>
        </w:rPr>
        <w:t>prilozi i dodaci</w:t>
      </w:r>
    </w:p>
    <w:p w14:paraId="4BC96B89" w14:textId="6947AA19" w:rsidR="007A2A6F" w:rsidRPr="00653DCF" w:rsidRDefault="00E87B0B">
      <w:pPr>
        <w:rPr>
          <w:color w:val="auto"/>
          <w:lang w:val="hr-HR"/>
        </w:rPr>
      </w:pPr>
      <w:r w:rsidRPr="00653DCF">
        <w:rPr>
          <w:color w:val="auto"/>
          <w:lang w:val="hr-HR"/>
        </w:rPr>
        <w:t xml:space="preserve">Uvodne </w:t>
      </w:r>
      <w:r w:rsidR="00404DD3" w:rsidRPr="00653DCF">
        <w:rPr>
          <w:color w:val="auto"/>
          <w:lang w:val="hr-HR"/>
        </w:rPr>
        <w:t xml:space="preserve">odredbe i sljedeći prilozi i dodaci čine sastavni dio </w:t>
      </w:r>
      <w:r w:rsidRPr="00653DCF">
        <w:rPr>
          <w:color w:val="auto"/>
          <w:lang w:val="hr-HR"/>
        </w:rPr>
        <w:t>ovog Ugovora:</w:t>
      </w:r>
    </w:p>
    <w:tbl>
      <w:tblPr>
        <w:tblStyle w:val="TableEIB"/>
        <w:tblW w:w="0" w:type="auto"/>
        <w:tblLook w:val="04A0" w:firstRow="1" w:lastRow="0" w:firstColumn="1" w:lastColumn="0" w:noHBand="0" w:noVBand="1"/>
      </w:tblPr>
      <w:tblGrid>
        <w:gridCol w:w="1630"/>
        <w:gridCol w:w="6586"/>
      </w:tblGrid>
      <w:tr w:rsidR="007A2A6F" w:rsidRPr="00653DCF" w14:paraId="72215692" w14:textId="77777777">
        <w:tc>
          <w:tcPr>
            <w:tcW w:w="1662" w:type="dxa"/>
          </w:tcPr>
          <w:p w14:paraId="72954BF3" w14:textId="7CCECFCD" w:rsidR="007A2A6F" w:rsidRPr="00653DCF" w:rsidRDefault="00E87B0B">
            <w:pPr>
              <w:ind w:left="0"/>
              <w:rPr>
                <w:color w:val="auto"/>
                <w:lang w:val="hr-HR"/>
              </w:rPr>
            </w:pPr>
            <w:r w:rsidRPr="00653DCF">
              <w:rPr>
                <w:color w:val="auto"/>
                <w:lang w:val="hr-HR"/>
              </w:rPr>
              <w:fldChar w:fldCharType="begin"/>
            </w:r>
            <w:r w:rsidRPr="00653DCF">
              <w:rPr>
                <w:color w:val="auto"/>
                <w:lang w:val="hr-HR"/>
              </w:rPr>
              <w:instrText xml:space="preserve"> REF _Ref509311180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Prilog A</w:t>
            </w:r>
            <w:r w:rsidRPr="00653DCF">
              <w:rPr>
                <w:color w:val="auto"/>
                <w:lang w:val="hr-HR"/>
              </w:rPr>
              <w:fldChar w:fldCharType="end"/>
            </w:r>
          </w:p>
        </w:tc>
        <w:tc>
          <w:tcPr>
            <w:tcW w:w="6770" w:type="dxa"/>
          </w:tcPr>
          <w:p w14:paraId="648F8D01" w14:textId="277C5C10" w:rsidR="007A2A6F" w:rsidRPr="00653DCF" w:rsidRDefault="00E87B0B">
            <w:pPr>
              <w:ind w:left="0"/>
              <w:rPr>
                <w:color w:val="auto"/>
                <w:lang w:val="hr-HR"/>
              </w:rPr>
            </w:pPr>
            <w:r w:rsidRPr="00653DCF">
              <w:rPr>
                <w:color w:val="auto"/>
                <w:lang w:val="hr-HR"/>
              </w:rPr>
              <w:fldChar w:fldCharType="begin"/>
            </w:r>
            <w:r w:rsidRPr="00653DCF">
              <w:rPr>
                <w:color w:val="auto"/>
                <w:lang w:val="hr-HR"/>
              </w:rPr>
              <w:instrText xml:space="preserve"> REF _Ref430854766 \h </w:instrText>
            </w:r>
            <w:r w:rsidR="006D0723"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sidRPr="00653DCF">
              <w:rPr>
                <w:color w:val="auto"/>
                <w:lang w:val="hr-HR"/>
              </w:rPr>
              <w:t xml:space="preserve">Specifikacija projekta i </w:t>
            </w:r>
            <w:r w:rsidRPr="00653DCF">
              <w:rPr>
                <w:color w:val="auto"/>
                <w:lang w:val="hr-HR"/>
              </w:rPr>
              <w:fldChar w:fldCharType="end"/>
            </w:r>
            <w:r w:rsidR="006D0723" w:rsidRPr="00653DCF">
              <w:rPr>
                <w:color w:val="auto"/>
                <w:lang w:val="hr-HR"/>
              </w:rPr>
              <w:t>izvještavanje</w:t>
            </w:r>
          </w:p>
        </w:tc>
      </w:tr>
      <w:tr w:rsidR="007A2A6F" w:rsidRPr="00653DCF" w14:paraId="283AC91A" w14:textId="77777777">
        <w:tc>
          <w:tcPr>
            <w:tcW w:w="1662" w:type="dxa"/>
          </w:tcPr>
          <w:p w14:paraId="04031EDF" w14:textId="2435DE66" w:rsidR="007A2A6F" w:rsidRPr="00653DCF" w:rsidRDefault="00E87B0B">
            <w:pPr>
              <w:ind w:left="0"/>
              <w:rPr>
                <w:color w:val="auto"/>
                <w:lang w:val="hr-HR"/>
              </w:rPr>
            </w:pPr>
            <w:r w:rsidRPr="00653DCF">
              <w:rPr>
                <w:color w:val="auto"/>
                <w:lang w:val="hr-HR"/>
              </w:rPr>
              <w:fldChar w:fldCharType="begin"/>
            </w:r>
            <w:r w:rsidRPr="00653DCF">
              <w:rPr>
                <w:color w:val="auto"/>
                <w:lang w:val="hr-HR"/>
              </w:rPr>
              <w:instrText xml:space="preserve"> REF _Ref426714274 \r \h  \* MERGEFORMAT </w:instrText>
            </w:r>
            <w:r w:rsidRPr="00653DCF">
              <w:rPr>
                <w:color w:val="auto"/>
                <w:lang w:val="hr-HR"/>
              </w:rPr>
            </w:r>
            <w:r w:rsidRPr="00653DCF">
              <w:rPr>
                <w:color w:val="auto"/>
                <w:lang w:val="hr-HR"/>
              </w:rPr>
              <w:fldChar w:fldCharType="separate"/>
            </w:r>
            <w:r w:rsidR="00E5391B">
              <w:rPr>
                <w:color w:val="auto"/>
                <w:lang w:val="hr-HR"/>
              </w:rPr>
              <w:t>Prilog B</w:t>
            </w:r>
            <w:r w:rsidRPr="00653DCF">
              <w:rPr>
                <w:color w:val="auto"/>
                <w:lang w:val="hr-HR"/>
              </w:rPr>
              <w:fldChar w:fldCharType="end"/>
            </w:r>
          </w:p>
        </w:tc>
        <w:tc>
          <w:tcPr>
            <w:tcW w:w="6770" w:type="dxa"/>
          </w:tcPr>
          <w:p w14:paraId="06C3FFD9" w14:textId="10FC94F1" w:rsidR="007A2A6F" w:rsidRPr="00653DCF" w:rsidRDefault="00E87B0B">
            <w:pPr>
              <w:pStyle w:val="P68B1DB1-SubSchedule1EIB8"/>
              <w:jc w:val="both"/>
              <w:rPr>
                <w:color w:val="auto"/>
                <w:lang w:val="hr-HR"/>
              </w:rPr>
            </w:pPr>
            <w:r w:rsidRPr="00653DCF">
              <w:rPr>
                <w:color w:val="auto"/>
                <w:lang w:val="hr-HR"/>
              </w:rPr>
              <w:fldChar w:fldCharType="begin"/>
            </w:r>
            <w:r w:rsidRPr="00653DCF">
              <w:rPr>
                <w:color w:val="auto"/>
                <w:lang w:val="hr-HR"/>
              </w:rPr>
              <w:instrText xml:space="preserve"> REF _Ref126266070 \h  \* MERGEFORMAT </w:instrText>
            </w:r>
            <w:r w:rsidRPr="00653DCF">
              <w:rPr>
                <w:color w:val="auto"/>
                <w:lang w:val="hr-HR"/>
              </w:rPr>
            </w:r>
            <w:r w:rsidRPr="00653DCF">
              <w:rPr>
                <w:color w:val="auto"/>
                <w:lang w:val="hr-HR"/>
              </w:rPr>
              <w:fldChar w:fldCharType="separate"/>
            </w:r>
            <w:r w:rsidR="00E5391B" w:rsidRPr="00653DCF">
              <w:rPr>
                <w:color w:val="auto"/>
                <w:lang w:val="hr-HR"/>
              </w:rPr>
              <w:t>Definicija EURIBOR-a</w:t>
            </w:r>
            <w:r w:rsidRPr="00653DCF">
              <w:rPr>
                <w:color w:val="auto"/>
                <w:lang w:val="hr-HR"/>
              </w:rPr>
              <w:fldChar w:fldCharType="end"/>
            </w:r>
          </w:p>
        </w:tc>
      </w:tr>
      <w:tr w:rsidR="007A2A6F" w:rsidRPr="00653DCF" w14:paraId="5551B487" w14:textId="77777777">
        <w:tc>
          <w:tcPr>
            <w:tcW w:w="1662" w:type="dxa"/>
          </w:tcPr>
          <w:p w14:paraId="7241B6CB" w14:textId="6E7BE6D7" w:rsidR="007A2A6F" w:rsidRPr="00653DCF" w:rsidRDefault="00652216">
            <w:pPr>
              <w:pStyle w:val="NoIndentEIB"/>
              <w:rPr>
                <w:color w:val="auto"/>
                <w:lang w:val="hr-HR"/>
              </w:rPr>
            </w:pPr>
            <w:r>
              <w:rPr>
                <w:color w:val="auto"/>
                <w:lang w:val="hr-HR"/>
              </w:rPr>
              <w:t>Prilog C</w:t>
            </w:r>
          </w:p>
        </w:tc>
        <w:tc>
          <w:tcPr>
            <w:tcW w:w="6770" w:type="dxa"/>
          </w:tcPr>
          <w:p w14:paraId="6F561ADE" w14:textId="49601AB1" w:rsidR="007A2A6F" w:rsidRPr="00653DCF" w:rsidRDefault="00652216">
            <w:pPr>
              <w:ind w:left="0"/>
              <w:rPr>
                <w:color w:val="auto"/>
                <w:lang w:val="hr-HR"/>
              </w:rPr>
            </w:pPr>
            <w:r>
              <w:rPr>
                <w:color w:val="auto"/>
                <w:lang w:val="hr-HR"/>
              </w:rPr>
              <w:t>Obrazac zahtjeva za isplatu (članak 1.2.B)</w:t>
            </w:r>
          </w:p>
        </w:tc>
      </w:tr>
      <w:tr w:rsidR="007A2A6F" w:rsidRPr="00653DCF" w14:paraId="5F106792" w14:textId="77777777">
        <w:tc>
          <w:tcPr>
            <w:tcW w:w="1662" w:type="dxa"/>
          </w:tcPr>
          <w:p w14:paraId="3A877EE0" w14:textId="79F33637" w:rsidR="007A2A6F" w:rsidRPr="00653DCF" w:rsidRDefault="00E87B0B">
            <w:pPr>
              <w:ind w:left="0"/>
              <w:rPr>
                <w:color w:val="auto"/>
                <w:lang w:val="hr-HR"/>
              </w:rPr>
            </w:pPr>
            <w:r w:rsidRPr="00653DCF">
              <w:rPr>
                <w:color w:val="auto"/>
                <w:lang w:val="hr-HR"/>
              </w:rPr>
              <w:fldChar w:fldCharType="begin"/>
            </w:r>
            <w:r w:rsidRPr="00653DCF">
              <w:rPr>
                <w:color w:val="auto"/>
                <w:lang w:val="hr-HR"/>
              </w:rPr>
              <w:instrText xml:space="preserve"> REF _Ref42343330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Prilog D</w:t>
            </w:r>
            <w:r w:rsidRPr="00653DCF">
              <w:rPr>
                <w:color w:val="auto"/>
                <w:lang w:val="hr-HR"/>
              </w:rPr>
              <w:fldChar w:fldCharType="end"/>
            </w:r>
          </w:p>
        </w:tc>
        <w:tc>
          <w:tcPr>
            <w:tcW w:w="6770" w:type="dxa"/>
          </w:tcPr>
          <w:p w14:paraId="7B1B3D6D" w14:textId="04E8D49D" w:rsidR="007A2A6F" w:rsidRPr="00653DCF" w:rsidRDefault="00E87B0B" w:rsidP="00444C69">
            <w:pPr>
              <w:ind w:left="0"/>
              <w:rPr>
                <w:color w:val="auto"/>
                <w:lang w:val="hr-HR"/>
              </w:rPr>
            </w:pPr>
            <w:r w:rsidRPr="00653DCF">
              <w:rPr>
                <w:color w:val="auto"/>
                <w:lang w:val="hr-HR"/>
              </w:rPr>
              <w:fldChar w:fldCharType="begin"/>
            </w:r>
            <w:r w:rsidRPr="00653DCF">
              <w:rPr>
                <w:color w:val="auto"/>
                <w:lang w:val="hr-HR"/>
              </w:rPr>
              <w:instrText xml:space="preserve"> REF _Ref432947288 \h </w:instrText>
            </w:r>
            <w:r w:rsidR="00444C69"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sidRPr="00E5391B">
              <w:rPr>
                <w:color w:val="auto"/>
                <w:lang w:val="hr-HR"/>
              </w:rPr>
              <w:t>Revizija i konverzija kamatne stope</w:t>
            </w:r>
            <w:r w:rsidRPr="00653DCF">
              <w:rPr>
                <w:color w:val="auto"/>
                <w:lang w:val="hr-HR"/>
              </w:rPr>
              <w:fldChar w:fldCharType="end"/>
            </w:r>
          </w:p>
        </w:tc>
      </w:tr>
      <w:tr w:rsidR="007A2A6F" w:rsidRPr="00653DCF" w14:paraId="5477D2E0" w14:textId="77777777">
        <w:tc>
          <w:tcPr>
            <w:tcW w:w="1662" w:type="dxa"/>
          </w:tcPr>
          <w:p w14:paraId="13623850" w14:textId="45C75BC6" w:rsidR="007A2A6F" w:rsidRPr="00653DCF" w:rsidRDefault="00E87B0B">
            <w:pPr>
              <w:ind w:left="0"/>
              <w:rPr>
                <w:color w:val="auto"/>
                <w:lang w:val="hr-HR"/>
              </w:rPr>
            </w:pPr>
            <w:r w:rsidRPr="00653DCF">
              <w:rPr>
                <w:color w:val="auto"/>
                <w:lang w:val="hr-HR"/>
              </w:rPr>
              <w:fldChar w:fldCharType="begin"/>
            </w:r>
            <w:r w:rsidRPr="00653DCF">
              <w:rPr>
                <w:color w:val="auto"/>
                <w:lang w:val="hr-HR"/>
              </w:rPr>
              <w:instrText xml:space="preserve"> REF _Ref426951651 \r \h  \* MERGEFORMAT </w:instrText>
            </w:r>
            <w:r w:rsidRPr="00653DCF">
              <w:rPr>
                <w:color w:val="auto"/>
                <w:lang w:val="hr-HR"/>
              </w:rPr>
            </w:r>
            <w:r w:rsidRPr="00653DCF">
              <w:rPr>
                <w:color w:val="auto"/>
                <w:lang w:val="hr-HR"/>
              </w:rPr>
              <w:fldChar w:fldCharType="separate"/>
            </w:r>
            <w:r w:rsidR="00E5391B">
              <w:rPr>
                <w:color w:val="auto"/>
                <w:lang w:val="hr-HR"/>
              </w:rPr>
              <w:t>Prilog E</w:t>
            </w:r>
            <w:r w:rsidRPr="00653DCF">
              <w:rPr>
                <w:color w:val="auto"/>
                <w:lang w:val="hr-HR"/>
              </w:rPr>
              <w:fldChar w:fldCharType="end"/>
            </w:r>
          </w:p>
        </w:tc>
        <w:tc>
          <w:tcPr>
            <w:tcW w:w="6770" w:type="dxa"/>
          </w:tcPr>
          <w:p w14:paraId="236428A4" w14:textId="6D913F5B" w:rsidR="007A2A6F" w:rsidRPr="00653DCF" w:rsidRDefault="00E87B0B">
            <w:pPr>
              <w:ind w:left="0"/>
              <w:rPr>
                <w:color w:val="auto"/>
                <w:lang w:val="hr-HR"/>
              </w:rPr>
            </w:pPr>
            <w:r w:rsidRPr="00653DCF">
              <w:rPr>
                <w:color w:val="auto"/>
                <w:lang w:val="hr-HR"/>
              </w:rPr>
              <w:fldChar w:fldCharType="begin"/>
            </w:r>
            <w:r w:rsidRPr="00653DCF">
              <w:rPr>
                <w:color w:val="auto"/>
                <w:lang w:val="hr-HR"/>
              </w:rPr>
              <w:instrText xml:space="preserve"> REF _Ref433629032 \h  \* MERGEFORMAT </w:instrText>
            </w:r>
            <w:r w:rsidRPr="00653DCF">
              <w:rPr>
                <w:color w:val="auto"/>
                <w:lang w:val="hr-HR"/>
              </w:rPr>
            </w:r>
            <w:r w:rsidRPr="00653DCF">
              <w:rPr>
                <w:color w:val="auto"/>
                <w:lang w:val="hr-HR"/>
              </w:rPr>
              <w:fldChar w:fldCharType="separate"/>
            </w:r>
            <w:r w:rsidR="00E5391B" w:rsidRPr="00653DCF">
              <w:rPr>
                <w:color w:val="auto"/>
                <w:lang w:val="hr-HR"/>
              </w:rPr>
              <w:t>Potvrde koje izdaje Zajmoprimac</w:t>
            </w:r>
            <w:r w:rsidRPr="00653DCF">
              <w:rPr>
                <w:color w:val="auto"/>
                <w:lang w:val="hr-HR"/>
              </w:rPr>
              <w:fldChar w:fldCharType="end"/>
            </w:r>
          </w:p>
        </w:tc>
      </w:tr>
    </w:tbl>
    <w:p w14:paraId="63362C59" w14:textId="77777777" w:rsidR="007A2A6F" w:rsidRPr="00653DCF" w:rsidRDefault="007A2A6F">
      <w:pPr>
        <w:rPr>
          <w:color w:val="auto"/>
          <w:lang w:val="hr-HR"/>
        </w:rPr>
      </w:pPr>
    </w:p>
    <w:p w14:paraId="553C8D4A" w14:textId="1021C3CD" w:rsidR="007A2A6F" w:rsidRPr="00653DCF" w:rsidRDefault="005E59D4">
      <w:pPr>
        <w:rPr>
          <w:color w:val="auto"/>
          <w:lang w:val="hr-HR"/>
        </w:rPr>
      </w:pPr>
      <w:r w:rsidRPr="00653DCF">
        <w:rPr>
          <w:color w:val="auto"/>
          <w:lang w:val="hr-HR"/>
        </w:rPr>
        <w:t>Prilažu se i sljedeći dodaci</w:t>
      </w:r>
      <w:r w:rsidR="00E87B0B" w:rsidRPr="00653DCF">
        <w:rPr>
          <w:color w:val="auto"/>
          <w:lang w:val="hr-HR"/>
        </w:rPr>
        <w:t>:</w:t>
      </w:r>
    </w:p>
    <w:tbl>
      <w:tblPr>
        <w:tblStyle w:val="TableEIB"/>
        <w:tblW w:w="0" w:type="auto"/>
        <w:tblLook w:val="04A0" w:firstRow="1" w:lastRow="0" w:firstColumn="1" w:lastColumn="0" w:noHBand="0" w:noVBand="1"/>
      </w:tblPr>
      <w:tblGrid>
        <w:gridCol w:w="1634"/>
        <w:gridCol w:w="6582"/>
      </w:tblGrid>
      <w:tr w:rsidR="00447410" w:rsidRPr="00653DCF" w14:paraId="52E3756C" w14:textId="77777777" w:rsidTr="00DA3B64">
        <w:tc>
          <w:tcPr>
            <w:tcW w:w="1634" w:type="dxa"/>
          </w:tcPr>
          <w:p w14:paraId="1EDCBFD5" w14:textId="2CECB48A" w:rsidR="00447410" w:rsidRPr="00653DCF" w:rsidRDefault="00CA26E3" w:rsidP="00DA3B64">
            <w:pPr>
              <w:ind w:left="0"/>
              <w:rPr>
                <w:color w:val="auto"/>
              </w:rPr>
            </w:pPr>
            <w:r w:rsidRPr="00653DCF">
              <w:rPr>
                <w:color w:val="auto"/>
              </w:rPr>
              <w:t>Dodatak I</w:t>
            </w:r>
          </w:p>
        </w:tc>
        <w:tc>
          <w:tcPr>
            <w:tcW w:w="6582" w:type="dxa"/>
          </w:tcPr>
          <w:p w14:paraId="15B81AA9" w14:textId="75876321" w:rsidR="00447410" w:rsidRPr="00653DCF" w:rsidRDefault="00447410" w:rsidP="00DA3B64">
            <w:pPr>
              <w:ind w:left="34"/>
              <w:rPr>
                <w:color w:val="auto"/>
              </w:rPr>
            </w:pPr>
            <w:r w:rsidRPr="00653DCF">
              <w:rPr>
                <w:color w:val="auto"/>
              </w:rPr>
              <w:t>Obrazac pravnog mišljenja ministra pravosuđa</w:t>
            </w:r>
          </w:p>
        </w:tc>
      </w:tr>
      <w:tr w:rsidR="00447410" w:rsidRPr="00653DCF" w14:paraId="272366B5" w14:textId="77777777" w:rsidTr="00DA3B64">
        <w:tc>
          <w:tcPr>
            <w:tcW w:w="1634" w:type="dxa"/>
          </w:tcPr>
          <w:p w14:paraId="7B1C9AA1" w14:textId="45654E58" w:rsidR="00447410" w:rsidRPr="00653DCF" w:rsidRDefault="00CA26E3" w:rsidP="00DA3B64">
            <w:pPr>
              <w:ind w:left="0"/>
              <w:rPr>
                <w:color w:val="auto"/>
              </w:rPr>
            </w:pPr>
            <w:r w:rsidRPr="00653DCF">
              <w:rPr>
                <w:color w:val="auto"/>
              </w:rPr>
              <w:t>Dodatak II</w:t>
            </w:r>
          </w:p>
        </w:tc>
        <w:tc>
          <w:tcPr>
            <w:tcW w:w="6582" w:type="dxa"/>
          </w:tcPr>
          <w:p w14:paraId="13650FFF" w14:textId="5B5362A4" w:rsidR="00447410" w:rsidRPr="00653DCF" w:rsidRDefault="00447410" w:rsidP="00DA3B64">
            <w:pPr>
              <w:ind w:left="34"/>
              <w:rPr>
                <w:color w:val="auto"/>
              </w:rPr>
            </w:pPr>
            <w:r w:rsidRPr="00653DCF">
              <w:rPr>
                <w:color w:val="auto"/>
              </w:rPr>
              <w:fldChar w:fldCharType="begin"/>
            </w:r>
            <w:r w:rsidRPr="00653DCF">
              <w:rPr>
                <w:color w:val="auto"/>
              </w:rPr>
              <w:instrText xml:space="preserve"> REF _Ref519592572 \h </w:instrText>
            </w:r>
            <w:r w:rsidR="00A641E1" w:rsidRPr="00653DCF">
              <w:rPr>
                <w:color w:val="auto"/>
              </w:rPr>
              <w:instrText xml:space="preserve"> \* MERGEFORMAT </w:instrText>
            </w:r>
            <w:r w:rsidRPr="00653DCF">
              <w:rPr>
                <w:color w:val="auto"/>
              </w:rPr>
            </w:r>
            <w:r w:rsidRPr="00653DCF">
              <w:rPr>
                <w:color w:val="auto"/>
              </w:rPr>
              <w:fldChar w:fldCharType="separate"/>
            </w:r>
            <w:r w:rsidR="00E5391B" w:rsidRPr="00653DCF">
              <w:rPr>
                <w:color w:val="auto"/>
              </w:rPr>
              <w:t>Obrazac A/B</w:t>
            </w:r>
            <w:r w:rsidRPr="00653DCF">
              <w:rPr>
                <w:color w:val="auto"/>
              </w:rPr>
              <w:fldChar w:fldCharType="end"/>
            </w:r>
          </w:p>
        </w:tc>
      </w:tr>
      <w:tr w:rsidR="007A2A6F" w:rsidRPr="00653DCF" w14:paraId="004BD553" w14:textId="77777777">
        <w:tc>
          <w:tcPr>
            <w:tcW w:w="1634" w:type="dxa"/>
          </w:tcPr>
          <w:p w14:paraId="79C8EEA1" w14:textId="752F94DA" w:rsidR="007A2A6F" w:rsidRPr="00653DCF" w:rsidRDefault="007A2A6F">
            <w:pPr>
              <w:ind w:left="0"/>
              <w:rPr>
                <w:color w:val="auto"/>
                <w:lang w:val="hr-HR"/>
              </w:rPr>
            </w:pPr>
          </w:p>
        </w:tc>
        <w:tc>
          <w:tcPr>
            <w:tcW w:w="6582" w:type="dxa"/>
          </w:tcPr>
          <w:p w14:paraId="027291B1" w14:textId="4E718CB3" w:rsidR="007A2A6F" w:rsidRPr="00653DCF" w:rsidRDefault="007A2A6F">
            <w:pPr>
              <w:ind w:left="34"/>
              <w:rPr>
                <w:color w:val="auto"/>
                <w:lang w:val="hr-HR"/>
              </w:rPr>
            </w:pPr>
          </w:p>
        </w:tc>
      </w:tr>
      <w:tr w:rsidR="007A2A6F" w:rsidRPr="00653DCF" w14:paraId="248BC0D4" w14:textId="77777777">
        <w:tc>
          <w:tcPr>
            <w:tcW w:w="1634" w:type="dxa"/>
          </w:tcPr>
          <w:p w14:paraId="22FDA0FF" w14:textId="4FD717D5" w:rsidR="007A2A6F" w:rsidRPr="00653DCF" w:rsidRDefault="007A2A6F">
            <w:pPr>
              <w:ind w:left="0"/>
              <w:rPr>
                <w:color w:val="auto"/>
                <w:lang w:val="hr-HR"/>
              </w:rPr>
            </w:pPr>
          </w:p>
        </w:tc>
        <w:tc>
          <w:tcPr>
            <w:tcW w:w="6582" w:type="dxa"/>
          </w:tcPr>
          <w:p w14:paraId="771610B4" w14:textId="3D6E69A1" w:rsidR="007A2A6F" w:rsidRPr="00653DCF" w:rsidRDefault="007A2A6F">
            <w:pPr>
              <w:ind w:left="34"/>
              <w:rPr>
                <w:color w:val="auto"/>
                <w:lang w:val="hr-HR"/>
              </w:rPr>
            </w:pPr>
          </w:p>
        </w:tc>
      </w:tr>
    </w:tbl>
    <w:p w14:paraId="398869F4" w14:textId="77777777" w:rsidR="007A2A6F" w:rsidRPr="00653DCF" w:rsidRDefault="00E87B0B" w:rsidP="00613099">
      <w:pPr>
        <w:pStyle w:val="Heading2"/>
        <w:ind w:left="851"/>
        <w:rPr>
          <w:color w:val="auto"/>
          <w:lang w:val="hr-HR"/>
        </w:rPr>
      </w:pPr>
      <w:bookmarkStart w:id="817" w:name="_Toc126080764"/>
      <w:bookmarkStart w:id="818" w:name="_Toc126080896"/>
      <w:r w:rsidRPr="00653DCF">
        <w:rPr>
          <w:color w:val="auto"/>
          <w:lang w:val="hr-HR"/>
        </w:rPr>
        <w:t>Stupanje na snagu</w:t>
      </w:r>
    </w:p>
    <w:p w14:paraId="1FF8884F" w14:textId="7534F18D" w:rsidR="007A2A6F" w:rsidRPr="00653DCF" w:rsidRDefault="00E87B0B">
      <w:pPr>
        <w:rPr>
          <w:color w:val="auto"/>
          <w:lang w:val="hr-HR"/>
        </w:rPr>
      </w:pPr>
      <w:r w:rsidRPr="00653DCF">
        <w:rPr>
          <w:color w:val="auto"/>
          <w:lang w:val="hr-HR"/>
        </w:rPr>
        <w:t xml:space="preserve">Ovaj Ugovor stupa na snagu </w:t>
      </w:r>
      <w:r w:rsidR="00BD6F4D" w:rsidRPr="00653DCF">
        <w:rPr>
          <w:color w:val="auto"/>
          <w:lang w:val="hr-HR"/>
        </w:rPr>
        <w:t>datumom</w:t>
      </w:r>
      <w:r w:rsidRPr="00653DCF">
        <w:rPr>
          <w:color w:val="auto"/>
          <w:lang w:val="hr-HR"/>
        </w:rPr>
        <w:t xml:space="preserve"> stupanja na snagu zakona o njegov</w:t>
      </w:r>
      <w:r w:rsidR="00444C69" w:rsidRPr="00653DCF">
        <w:rPr>
          <w:color w:val="auto"/>
          <w:lang w:val="hr-HR"/>
        </w:rPr>
        <w:t>om potvrđivanju.</w:t>
      </w:r>
    </w:p>
    <w:bookmarkEnd w:id="817"/>
    <w:bookmarkEnd w:id="818"/>
    <w:p w14:paraId="508366E6" w14:textId="05D7422D" w:rsidR="00C74E61" w:rsidRDefault="00C74E61">
      <w:pPr>
        <w:spacing w:after="200" w:line="276" w:lineRule="auto"/>
        <w:ind w:left="0"/>
        <w:jc w:val="left"/>
        <w:rPr>
          <w:rStyle w:val="BoldEIB"/>
          <w:b w:val="0"/>
          <w:color w:val="auto"/>
          <w:lang w:val="hr-HR"/>
        </w:rPr>
      </w:pPr>
      <w:r>
        <w:rPr>
          <w:rStyle w:val="BoldEIB"/>
          <w:b w:val="0"/>
          <w:color w:val="auto"/>
          <w:lang w:val="hr-HR"/>
        </w:rPr>
        <w:br w:type="page"/>
      </w:r>
    </w:p>
    <w:p w14:paraId="2E127797" w14:textId="77777777" w:rsidR="007A2A6F" w:rsidRPr="00653DCF" w:rsidRDefault="007A2A6F">
      <w:pPr>
        <w:rPr>
          <w:rStyle w:val="BoldEIB"/>
          <w:b w:val="0"/>
          <w:color w:val="auto"/>
          <w:lang w:val="hr-HR"/>
        </w:rPr>
        <w:sectPr w:rsidR="007A2A6F" w:rsidRPr="00653DCF" w:rsidSect="00F8695C">
          <w:footerReference w:type="first" r:id="rId18"/>
          <w:pgSz w:w="11906" w:h="16838"/>
          <w:pgMar w:top="1417" w:right="1417" w:bottom="1276" w:left="1417" w:header="708" w:footer="708" w:gutter="0"/>
          <w:cols w:space="708"/>
          <w:formProt w:val="0"/>
          <w:titlePg/>
          <w:docGrid w:linePitch="360"/>
        </w:sectPr>
      </w:pPr>
    </w:p>
    <w:p w14:paraId="19515299" w14:textId="4F019175" w:rsidR="007A2A6F" w:rsidRPr="00653DCF" w:rsidRDefault="00E87B0B">
      <w:pPr>
        <w:jc w:val="center"/>
        <w:rPr>
          <w:rStyle w:val="BoldEIB"/>
          <w:b w:val="0"/>
          <w:color w:val="auto"/>
          <w:lang w:val="hr-HR"/>
        </w:rPr>
      </w:pPr>
      <w:r w:rsidRPr="00653DCF">
        <w:rPr>
          <w:rStyle w:val="BoldEIB"/>
          <w:b w:val="0"/>
          <w:color w:val="auto"/>
          <w:lang w:val="hr-HR"/>
        </w:rPr>
        <w:lastRenderedPageBreak/>
        <w:t xml:space="preserve">Stranica s potpisom za </w:t>
      </w:r>
      <w:r w:rsidR="00F50E89" w:rsidRPr="00653DCF">
        <w:rPr>
          <w:color w:val="auto"/>
          <w:lang w:val="hr-HR"/>
        </w:rPr>
        <w:t>U</w:t>
      </w:r>
      <w:r w:rsidRPr="00653DCF">
        <w:rPr>
          <w:color w:val="auto"/>
          <w:lang w:val="hr-HR"/>
        </w:rPr>
        <w:t>govor</w:t>
      </w:r>
      <w:r w:rsidR="00F516DD" w:rsidRPr="00653DCF">
        <w:rPr>
          <w:color w:val="auto"/>
          <w:lang w:val="hr-HR"/>
        </w:rPr>
        <w:t xml:space="preserve"> broj</w:t>
      </w:r>
      <w:r w:rsidRPr="00653DCF">
        <w:rPr>
          <w:color w:val="auto"/>
          <w:lang w:val="hr-HR"/>
        </w:rPr>
        <w:t xml:space="preserve"> (FI br.) 95.797</w:t>
      </w:r>
    </w:p>
    <w:p w14:paraId="0CAB99C0" w14:textId="77777777" w:rsidR="007A2A6F" w:rsidRPr="00653DCF" w:rsidRDefault="007A2A6F">
      <w:pPr>
        <w:ind w:left="0"/>
        <w:rPr>
          <w:rStyle w:val="BoldEIB"/>
          <w:b w:val="0"/>
          <w:color w:val="auto"/>
          <w:lang w:val="hr-HR"/>
        </w:rPr>
      </w:pPr>
    </w:p>
    <w:p w14:paraId="121FF5FB" w14:textId="027D6350" w:rsidR="007A2A6F" w:rsidRPr="00653DCF" w:rsidRDefault="00E87B0B">
      <w:pPr>
        <w:rPr>
          <w:color w:val="auto"/>
          <w:lang w:val="hr-HR"/>
        </w:rPr>
      </w:pPr>
      <w:r w:rsidRPr="00653DCF">
        <w:rPr>
          <w:rStyle w:val="BoldEIB"/>
          <w:b w:val="0"/>
          <w:color w:val="auto"/>
          <w:lang w:val="hr-HR"/>
        </w:rPr>
        <w:t>Stran</w:t>
      </w:r>
      <w:r w:rsidR="00E12432" w:rsidRPr="00653DCF">
        <w:rPr>
          <w:rStyle w:val="BoldEIB"/>
          <w:b w:val="0"/>
          <w:color w:val="auto"/>
          <w:lang w:val="hr-HR"/>
        </w:rPr>
        <w:t>k</w:t>
      </w:r>
      <w:r w:rsidRPr="00653DCF">
        <w:rPr>
          <w:rStyle w:val="BoldEIB"/>
          <w:b w:val="0"/>
          <w:color w:val="auto"/>
          <w:lang w:val="hr-HR"/>
        </w:rPr>
        <w:t>e</w:t>
      </w:r>
      <w:r w:rsidR="00991A5E" w:rsidRPr="00653DCF">
        <w:rPr>
          <w:rStyle w:val="BoldEIB"/>
          <w:b w:val="0"/>
          <w:color w:val="auto"/>
          <w:lang w:val="hr-HR"/>
        </w:rPr>
        <w:t xml:space="preserve"> </w:t>
      </w:r>
      <w:r w:rsidRPr="00653DCF">
        <w:rPr>
          <w:color w:val="auto"/>
          <w:lang w:val="hr-HR"/>
        </w:rPr>
        <w:t xml:space="preserve">su </w:t>
      </w:r>
      <w:r w:rsidR="00991A5E" w:rsidRPr="00653DCF">
        <w:rPr>
          <w:color w:val="auto"/>
          <w:lang w:val="hr-HR"/>
        </w:rPr>
        <w:t xml:space="preserve">osigurale potpis </w:t>
      </w:r>
      <w:r w:rsidRPr="00653DCF">
        <w:rPr>
          <w:color w:val="auto"/>
          <w:lang w:val="hr-HR"/>
        </w:rPr>
        <w:t>ovog Ugovora na engleskom jeziku,</w:t>
      </w:r>
      <w:r w:rsidR="00BA7345" w:rsidRPr="00653DCF">
        <w:rPr>
          <w:color w:val="auto"/>
          <w:lang w:val="hr-HR"/>
        </w:rPr>
        <w:t xml:space="preserve"> </w:t>
      </w:r>
      <w:r w:rsidR="003278AD" w:rsidRPr="00653DCF">
        <w:rPr>
          <w:color w:val="auto"/>
          <w:lang w:val="hr-HR"/>
        </w:rPr>
        <w:t xml:space="preserve">uz razmjenu digitalnog primjerka </w:t>
      </w:r>
      <w:r w:rsidR="00E46404" w:rsidRPr="00653DCF">
        <w:rPr>
          <w:color w:val="auto"/>
          <w:lang w:val="hr-HR"/>
        </w:rPr>
        <w:t>uredno</w:t>
      </w:r>
      <w:r w:rsidR="003278AD" w:rsidRPr="00653DCF">
        <w:rPr>
          <w:color w:val="auto"/>
          <w:lang w:val="hr-HR"/>
        </w:rPr>
        <w:t xml:space="preserve"> potpisanog Ugovora </w:t>
      </w:r>
      <w:r w:rsidR="00E12432" w:rsidRPr="00653DCF">
        <w:rPr>
          <w:color w:val="auto"/>
          <w:lang w:val="hr-HR"/>
        </w:rPr>
        <w:t>obiju s</w:t>
      </w:r>
      <w:r w:rsidR="002E729E" w:rsidRPr="00653DCF">
        <w:rPr>
          <w:color w:val="auto"/>
          <w:lang w:val="hr-HR"/>
        </w:rPr>
        <w:t>trana</w:t>
      </w:r>
      <w:r w:rsidR="00E12432" w:rsidRPr="00653DCF">
        <w:rPr>
          <w:color w:val="auto"/>
          <w:lang w:val="hr-HR"/>
        </w:rPr>
        <w:t>ka</w:t>
      </w:r>
      <w:r w:rsidR="002E729E" w:rsidRPr="00653DCF">
        <w:rPr>
          <w:color w:val="auto"/>
          <w:lang w:val="hr-HR"/>
        </w:rPr>
        <w:t xml:space="preserve">, </w:t>
      </w:r>
      <w:r w:rsidR="003278AD" w:rsidRPr="00653DCF">
        <w:rPr>
          <w:color w:val="auto"/>
          <w:lang w:val="hr-HR"/>
        </w:rPr>
        <w:t>putem e-pošte</w:t>
      </w:r>
      <w:r w:rsidR="002E729E" w:rsidRPr="00653DCF">
        <w:rPr>
          <w:color w:val="auto"/>
          <w:lang w:val="hr-HR"/>
        </w:rPr>
        <w:t>.</w:t>
      </w:r>
    </w:p>
    <w:p w14:paraId="30F677EB" w14:textId="6E734338" w:rsidR="007A2A6F" w:rsidRPr="00653DCF" w:rsidRDefault="003278AD">
      <w:pPr>
        <w:rPr>
          <w:color w:val="auto"/>
          <w:lang w:val="hr-HR"/>
        </w:rPr>
      </w:pPr>
      <w:r w:rsidRPr="00653DCF">
        <w:rPr>
          <w:rStyle w:val="BoldEIB"/>
          <w:b w:val="0"/>
          <w:color w:val="auto"/>
          <w:lang w:val="hr-HR"/>
        </w:rPr>
        <w:t>Ne d</w:t>
      </w:r>
      <w:r w:rsidR="00972EFC" w:rsidRPr="00653DCF">
        <w:rPr>
          <w:rStyle w:val="BoldEIB"/>
          <w:b w:val="0"/>
          <w:color w:val="auto"/>
          <w:lang w:val="hr-HR"/>
        </w:rPr>
        <w:t>ovodeći u pitanje gore navedeno</w:t>
      </w:r>
      <w:r w:rsidRPr="00653DCF">
        <w:rPr>
          <w:rStyle w:val="BoldEIB"/>
          <w:b w:val="0"/>
          <w:color w:val="auto"/>
          <w:lang w:val="hr-HR"/>
        </w:rPr>
        <w:t xml:space="preserve"> te u svrhu vođenja evidencije </w:t>
      </w:r>
      <w:r w:rsidR="00391A5D" w:rsidRPr="00653DCF">
        <w:rPr>
          <w:rStyle w:val="BoldEIB"/>
          <w:b w:val="0"/>
          <w:color w:val="auto"/>
          <w:lang w:val="hr-HR"/>
        </w:rPr>
        <w:t>o potpisivanju</w:t>
      </w:r>
      <w:r w:rsidRPr="00653DCF">
        <w:rPr>
          <w:rStyle w:val="BoldEIB"/>
          <w:b w:val="0"/>
          <w:color w:val="auto"/>
          <w:lang w:val="hr-HR"/>
        </w:rPr>
        <w:t xml:space="preserve"> </w:t>
      </w:r>
      <w:r w:rsidR="00972EFC" w:rsidRPr="00653DCF">
        <w:rPr>
          <w:rStyle w:val="BoldEIB"/>
          <w:b w:val="0"/>
          <w:color w:val="auto"/>
          <w:lang w:val="hr-HR"/>
        </w:rPr>
        <w:t xml:space="preserve">ovog </w:t>
      </w:r>
      <w:r w:rsidRPr="00653DCF">
        <w:rPr>
          <w:rStyle w:val="BoldEIB"/>
          <w:b w:val="0"/>
          <w:color w:val="auto"/>
          <w:lang w:val="hr-HR"/>
        </w:rPr>
        <w:t xml:space="preserve">Ugovora, 3 (tri) </w:t>
      </w:r>
      <w:r w:rsidR="00A709DD" w:rsidRPr="00653DCF">
        <w:rPr>
          <w:rStyle w:val="BoldEIB"/>
          <w:b w:val="0"/>
          <w:color w:val="auto"/>
          <w:lang w:val="hr-HR"/>
        </w:rPr>
        <w:t xml:space="preserve">tiskana </w:t>
      </w:r>
      <w:r w:rsidRPr="00653DCF">
        <w:rPr>
          <w:rStyle w:val="BoldEIB"/>
          <w:b w:val="0"/>
          <w:color w:val="auto"/>
          <w:lang w:val="hr-HR"/>
        </w:rPr>
        <w:t>primjerka</w:t>
      </w:r>
      <w:r w:rsidR="00A709DD" w:rsidRPr="00653DCF">
        <w:rPr>
          <w:rStyle w:val="BoldEIB"/>
          <w:b w:val="0"/>
          <w:color w:val="auto"/>
          <w:lang w:val="hr-HR"/>
        </w:rPr>
        <w:t xml:space="preserve"> izvornika potpisana</w:t>
      </w:r>
      <w:r w:rsidRPr="00653DCF">
        <w:rPr>
          <w:rStyle w:val="BoldEIB"/>
          <w:b w:val="0"/>
          <w:color w:val="auto"/>
          <w:lang w:val="hr-HR"/>
        </w:rPr>
        <w:t xml:space="preserve"> </w:t>
      </w:r>
      <w:r w:rsidR="00A709DD" w:rsidRPr="00653DCF">
        <w:rPr>
          <w:rStyle w:val="BoldEIB"/>
          <w:b w:val="0"/>
          <w:color w:val="auto"/>
          <w:lang w:val="hr-HR"/>
        </w:rPr>
        <w:t>u ime</w:t>
      </w:r>
      <w:r w:rsidRPr="00653DCF">
        <w:rPr>
          <w:rStyle w:val="BoldEIB"/>
          <w:b w:val="0"/>
          <w:color w:val="auto"/>
          <w:lang w:val="hr-HR"/>
        </w:rPr>
        <w:t xml:space="preserve"> Banke, bit će poslana Zajmoprimcu, koji će </w:t>
      </w:r>
      <w:r w:rsidR="00706E23" w:rsidRPr="00653DCF">
        <w:rPr>
          <w:rStyle w:val="BoldEIB"/>
          <w:b w:val="0"/>
          <w:color w:val="auto"/>
          <w:lang w:val="hr-HR"/>
        </w:rPr>
        <w:t>potpisati</w:t>
      </w:r>
      <w:r w:rsidRPr="00653DCF">
        <w:rPr>
          <w:rStyle w:val="BoldEIB"/>
          <w:b w:val="0"/>
          <w:color w:val="auto"/>
          <w:lang w:val="hr-HR"/>
        </w:rPr>
        <w:t xml:space="preserve"> svaki izvornik. Primitak 2 (dva) </w:t>
      </w:r>
      <w:r w:rsidR="00706E23" w:rsidRPr="00653DCF">
        <w:rPr>
          <w:rStyle w:val="BoldEIB"/>
          <w:b w:val="0"/>
          <w:color w:val="auto"/>
          <w:lang w:val="hr-HR"/>
        </w:rPr>
        <w:t xml:space="preserve">izvornika </w:t>
      </w:r>
      <w:r w:rsidRPr="00653DCF">
        <w:rPr>
          <w:rStyle w:val="BoldEIB"/>
          <w:b w:val="0"/>
          <w:color w:val="auto"/>
          <w:lang w:val="hr-HR"/>
        </w:rPr>
        <w:t xml:space="preserve">ovog Ugovora od strane Banke </w:t>
      </w:r>
      <w:r w:rsidR="00706E23" w:rsidRPr="00653DCF">
        <w:rPr>
          <w:rStyle w:val="BoldEIB"/>
          <w:b w:val="0"/>
          <w:color w:val="auto"/>
          <w:lang w:val="hr-HR"/>
        </w:rPr>
        <w:t>smatrat će se</w:t>
      </w:r>
      <w:r w:rsidRPr="00653DCF">
        <w:rPr>
          <w:rStyle w:val="BoldEIB"/>
          <w:b w:val="0"/>
          <w:color w:val="auto"/>
          <w:lang w:val="hr-HR"/>
        </w:rPr>
        <w:t xml:space="preserve"> preduvjet</w:t>
      </w:r>
      <w:r w:rsidR="00706E23" w:rsidRPr="00653DCF">
        <w:rPr>
          <w:rStyle w:val="BoldEIB"/>
          <w:b w:val="0"/>
          <w:color w:val="auto"/>
          <w:lang w:val="hr-HR"/>
        </w:rPr>
        <w:t>om</w:t>
      </w:r>
      <w:r w:rsidRPr="00653DCF">
        <w:rPr>
          <w:rStyle w:val="BoldEIB"/>
          <w:b w:val="0"/>
          <w:color w:val="auto"/>
          <w:lang w:val="hr-HR"/>
        </w:rPr>
        <w:t xml:space="preserve"> za isplatu prve Tranše.</w:t>
      </w:r>
    </w:p>
    <w:p w14:paraId="4D505043" w14:textId="1D2401F8" w:rsidR="007A2A6F" w:rsidRPr="00653DCF" w:rsidRDefault="007A2A6F">
      <w:pPr>
        <w:rPr>
          <w:color w:val="auto"/>
          <w:lang w:val="hr-HR"/>
        </w:rPr>
      </w:pPr>
    </w:p>
    <w:p w14:paraId="55FDA829" w14:textId="77777777" w:rsidR="007A2A6F" w:rsidRPr="00653DCF" w:rsidRDefault="007A2A6F">
      <w:pPr>
        <w:widowControl w:val="0"/>
        <w:tabs>
          <w:tab w:val="left" w:pos="720"/>
          <w:tab w:val="left" w:pos="896"/>
        </w:tabs>
        <w:ind w:left="854"/>
        <w:rPr>
          <w:rFonts w:cs="Arial"/>
          <w:color w:val="auto"/>
          <w:lang w:val="hr-HR"/>
        </w:rPr>
      </w:pPr>
    </w:p>
    <w:p w14:paraId="5CA34423" w14:textId="64A93E6B" w:rsidR="007A2A6F" w:rsidRPr="00DA44A6" w:rsidRDefault="00E87B0B">
      <w:pPr>
        <w:pStyle w:val="P68B1DB1-Normal1"/>
        <w:widowControl w:val="0"/>
        <w:tabs>
          <w:tab w:val="left" w:pos="720"/>
          <w:tab w:val="left" w:pos="896"/>
        </w:tabs>
        <w:ind w:left="854"/>
        <w:rPr>
          <w:color w:val="auto"/>
          <w:lang w:val="hr-HR"/>
        </w:rPr>
      </w:pPr>
      <w:r w:rsidRPr="00DA44A6">
        <w:rPr>
          <w:color w:val="auto"/>
          <w:lang w:val="hr-HR"/>
        </w:rPr>
        <w:t xml:space="preserve">U Zagrebu, </w:t>
      </w:r>
      <w:r w:rsidR="00C80A8D">
        <w:rPr>
          <w:color w:val="auto"/>
          <w:lang w:val="hr-HR"/>
        </w:rPr>
        <w:t>17. siječnja</w:t>
      </w:r>
      <w:r w:rsidR="00661C3D" w:rsidRPr="00DA44A6">
        <w:rPr>
          <w:color w:val="auto"/>
          <w:lang w:val="hr-HR"/>
        </w:rPr>
        <w:t xml:space="preserve"> 2024.</w:t>
      </w:r>
      <w:r w:rsidRPr="00DA44A6">
        <w:rPr>
          <w:color w:val="auto"/>
          <w:lang w:val="hr-HR"/>
        </w:rPr>
        <w:t>, i</w:t>
      </w:r>
    </w:p>
    <w:p w14:paraId="7E79E893" w14:textId="4602FAFE" w:rsidR="007A2A6F" w:rsidRPr="00653DCF" w:rsidRDefault="00661C3D">
      <w:pPr>
        <w:pStyle w:val="P68B1DB1-Normal1"/>
        <w:widowControl w:val="0"/>
        <w:tabs>
          <w:tab w:val="left" w:pos="720"/>
          <w:tab w:val="left" w:pos="896"/>
        </w:tabs>
        <w:ind w:left="854"/>
        <w:rPr>
          <w:color w:val="auto"/>
          <w:lang w:val="hr-HR"/>
        </w:rPr>
      </w:pPr>
      <w:r w:rsidRPr="00DA44A6">
        <w:rPr>
          <w:color w:val="auto"/>
          <w:lang w:val="hr-HR"/>
        </w:rPr>
        <w:t>u</w:t>
      </w:r>
      <w:r w:rsidR="000F18C7">
        <w:rPr>
          <w:color w:val="auto"/>
          <w:lang w:val="hr-HR"/>
        </w:rPr>
        <w:t xml:space="preserve"> Luksemburgu,</w:t>
      </w:r>
      <w:r w:rsidR="004C7CC5">
        <w:rPr>
          <w:color w:val="auto"/>
          <w:lang w:val="hr-HR"/>
        </w:rPr>
        <w:t xml:space="preserve"> </w:t>
      </w:r>
      <w:r w:rsidR="00C80A8D">
        <w:rPr>
          <w:color w:val="auto"/>
          <w:lang w:val="hr-HR"/>
        </w:rPr>
        <w:t>22. siječnja</w:t>
      </w:r>
      <w:r w:rsidR="004C7CC5">
        <w:rPr>
          <w:color w:val="auto"/>
          <w:lang w:val="hr-HR"/>
        </w:rPr>
        <w:t xml:space="preserve"> </w:t>
      </w:r>
      <w:r w:rsidRPr="00DA44A6">
        <w:rPr>
          <w:color w:val="auto"/>
          <w:lang w:val="hr-HR"/>
        </w:rPr>
        <w:t xml:space="preserve">2024. </w:t>
      </w:r>
    </w:p>
    <w:tbl>
      <w:tblPr>
        <w:tblStyle w:val="TableEIB"/>
        <w:tblW w:w="0" w:type="auto"/>
        <w:tblLook w:val="04A0" w:firstRow="1" w:lastRow="0" w:firstColumn="1" w:lastColumn="0" w:noHBand="0" w:noVBand="1"/>
      </w:tblPr>
      <w:tblGrid>
        <w:gridCol w:w="2055"/>
        <w:gridCol w:w="2056"/>
        <w:gridCol w:w="4105"/>
      </w:tblGrid>
      <w:tr w:rsidR="007A2A6F" w:rsidRPr="00653DCF" w14:paraId="007C1938" w14:textId="77777777">
        <w:tc>
          <w:tcPr>
            <w:tcW w:w="2108" w:type="dxa"/>
          </w:tcPr>
          <w:p w14:paraId="0AE2F245" w14:textId="77777777" w:rsidR="007A2A6F" w:rsidRPr="00653DCF" w:rsidRDefault="007A2A6F">
            <w:pPr>
              <w:pStyle w:val="CenterEIB"/>
              <w:rPr>
                <w:color w:val="auto"/>
                <w:lang w:val="hr-HR"/>
              </w:rPr>
            </w:pPr>
          </w:p>
        </w:tc>
        <w:tc>
          <w:tcPr>
            <w:tcW w:w="2108" w:type="dxa"/>
          </w:tcPr>
          <w:p w14:paraId="3F74F884" w14:textId="77777777" w:rsidR="007A2A6F" w:rsidRPr="00653DCF" w:rsidRDefault="007A2A6F">
            <w:pPr>
              <w:pStyle w:val="CenterEIB"/>
              <w:rPr>
                <w:color w:val="auto"/>
                <w:lang w:val="hr-HR"/>
              </w:rPr>
            </w:pPr>
          </w:p>
        </w:tc>
        <w:tc>
          <w:tcPr>
            <w:tcW w:w="4216" w:type="dxa"/>
          </w:tcPr>
          <w:p w14:paraId="290775F2" w14:textId="77777777" w:rsidR="007A2A6F" w:rsidRPr="00653DCF" w:rsidRDefault="007A2A6F">
            <w:pPr>
              <w:pStyle w:val="CenterEIB"/>
              <w:rPr>
                <w:color w:val="auto"/>
                <w:lang w:val="hr-HR"/>
              </w:rPr>
            </w:pPr>
          </w:p>
          <w:p w14:paraId="056EA351" w14:textId="31BFE161" w:rsidR="007A2A6F" w:rsidRPr="00653DCF" w:rsidRDefault="007A2A6F">
            <w:pPr>
              <w:pStyle w:val="CenterEIB"/>
              <w:rPr>
                <w:color w:val="auto"/>
                <w:lang w:val="hr-HR"/>
              </w:rPr>
            </w:pPr>
          </w:p>
        </w:tc>
      </w:tr>
    </w:tbl>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378"/>
        <w:gridCol w:w="2005"/>
      </w:tblGrid>
      <w:tr w:rsidR="007A2A6F" w:rsidRPr="00653DCF" w14:paraId="6F801BE8" w14:textId="77777777" w:rsidTr="00661C3D">
        <w:tc>
          <w:tcPr>
            <w:tcW w:w="4111" w:type="dxa"/>
          </w:tcPr>
          <w:p w14:paraId="295DA006" w14:textId="77777777" w:rsidR="007A2A6F" w:rsidRPr="00653DCF" w:rsidRDefault="00E87B0B">
            <w:pPr>
              <w:tabs>
                <w:tab w:val="left" w:pos="2350"/>
              </w:tabs>
              <w:ind w:left="0" w:right="395"/>
              <w:jc w:val="center"/>
              <w:rPr>
                <w:color w:val="auto"/>
                <w:lang w:val="hr-HR"/>
              </w:rPr>
            </w:pPr>
            <w:bookmarkStart w:id="819" w:name="_Toc475441210"/>
            <w:bookmarkStart w:id="820" w:name="_Toc508120574"/>
            <w:bookmarkStart w:id="821" w:name="_Ref489008026"/>
            <w:bookmarkStart w:id="822" w:name="_Ref430854759"/>
            <w:bookmarkStart w:id="823" w:name="_Toc498018705"/>
            <w:bookmarkEnd w:id="819"/>
            <w:bookmarkEnd w:id="820"/>
            <w:r w:rsidRPr="00653DCF">
              <w:rPr>
                <w:color w:val="auto"/>
                <w:lang w:val="hr-HR"/>
              </w:rPr>
              <w:t>Potpisano za i u ime</w:t>
            </w:r>
          </w:p>
        </w:tc>
        <w:tc>
          <w:tcPr>
            <w:tcW w:w="4383" w:type="dxa"/>
            <w:gridSpan w:val="2"/>
          </w:tcPr>
          <w:p w14:paraId="07D0C772" w14:textId="77777777" w:rsidR="007A2A6F" w:rsidRPr="00653DCF" w:rsidRDefault="00E87B0B">
            <w:pPr>
              <w:tabs>
                <w:tab w:val="left" w:pos="2350"/>
              </w:tabs>
              <w:ind w:left="0" w:right="395"/>
              <w:jc w:val="center"/>
              <w:rPr>
                <w:color w:val="auto"/>
                <w:lang w:val="hr-HR"/>
              </w:rPr>
            </w:pPr>
            <w:r w:rsidRPr="00653DCF">
              <w:rPr>
                <w:color w:val="auto"/>
                <w:lang w:val="hr-HR"/>
              </w:rPr>
              <w:t>Potpisano za i u ime</w:t>
            </w:r>
          </w:p>
        </w:tc>
      </w:tr>
      <w:tr w:rsidR="007A2A6F" w:rsidRPr="00653DCF" w14:paraId="090C24A0" w14:textId="77777777" w:rsidTr="00661C3D">
        <w:tc>
          <w:tcPr>
            <w:tcW w:w="4111" w:type="dxa"/>
          </w:tcPr>
          <w:p w14:paraId="3BCD8249" w14:textId="77777777" w:rsidR="007A2A6F" w:rsidRPr="00653DCF" w:rsidRDefault="00E87B0B">
            <w:pPr>
              <w:tabs>
                <w:tab w:val="left" w:pos="2350"/>
              </w:tabs>
              <w:ind w:left="0" w:right="395"/>
              <w:jc w:val="center"/>
              <w:rPr>
                <w:color w:val="auto"/>
                <w:lang w:val="hr-HR"/>
              </w:rPr>
            </w:pPr>
            <w:r w:rsidRPr="00653DCF">
              <w:rPr>
                <w:color w:val="auto"/>
                <w:lang w:val="hr-HR"/>
              </w:rPr>
              <w:t>REPUBLIK</w:t>
            </w:r>
            <w:r w:rsidR="007E7E78" w:rsidRPr="00653DCF">
              <w:rPr>
                <w:color w:val="auto"/>
                <w:lang w:val="hr-HR"/>
              </w:rPr>
              <w:t>E</w:t>
            </w:r>
            <w:r w:rsidRPr="00653DCF">
              <w:rPr>
                <w:color w:val="auto"/>
                <w:lang w:val="hr-HR"/>
              </w:rPr>
              <w:t xml:space="preserve"> HRVATSK</w:t>
            </w:r>
            <w:r w:rsidR="007E7E78" w:rsidRPr="00653DCF">
              <w:rPr>
                <w:color w:val="auto"/>
                <w:lang w:val="hr-HR"/>
              </w:rPr>
              <w:t>E</w:t>
            </w:r>
          </w:p>
          <w:p w14:paraId="20BB75AA" w14:textId="303D5408" w:rsidR="00661C3D" w:rsidRPr="00653DCF" w:rsidRDefault="00661C3D">
            <w:pPr>
              <w:tabs>
                <w:tab w:val="left" w:pos="2350"/>
              </w:tabs>
              <w:ind w:left="0" w:right="395"/>
              <w:jc w:val="center"/>
              <w:rPr>
                <w:color w:val="auto"/>
                <w:lang w:val="hr-HR"/>
              </w:rPr>
            </w:pPr>
          </w:p>
        </w:tc>
        <w:tc>
          <w:tcPr>
            <w:tcW w:w="4383" w:type="dxa"/>
            <w:gridSpan w:val="2"/>
          </w:tcPr>
          <w:p w14:paraId="529DC144" w14:textId="457CA61F" w:rsidR="007A2A6F" w:rsidRPr="00653DCF" w:rsidRDefault="00661C3D">
            <w:pPr>
              <w:tabs>
                <w:tab w:val="left" w:pos="2350"/>
              </w:tabs>
              <w:ind w:left="0" w:right="395"/>
              <w:jc w:val="center"/>
              <w:rPr>
                <w:color w:val="auto"/>
                <w:lang w:val="hr-HR"/>
              </w:rPr>
            </w:pPr>
            <w:r w:rsidRPr="00653DCF">
              <w:rPr>
                <w:color w:val="auto"/>
                <w:lang w:val="hr-HR"/>
              </w:rPr>
              <w:t xml:space="preserve">     </w:t>
            </w:r>
            <w:r w:rsidR="00E87B0B" w:rsidRPr="00653DCF">
              <w:rPr>
                <w:color w:val="auto"/>
                <w:lang w:val="hr-HR"/>
              </w:rPr>
              <w:t>EUROPSK</w:t>
            </w:r>
            <w:r w:rsidR="007E7E78" w:rsidRPr="00653DCF">
              <w:rPr>
                <w:color w:val="auto"/>
                <w:lang w:val="hr-HR"/>
              </w:rPr>
              <w:t>E</w:t>
            </w:r>
            <w:r w:rsidR="00E87B0B" w:rsidRPr="00653DCF">
              <w:rPr>
                <w:color w:val="auto"/>
                <w:lang w:val="hr-HR"/>
              </w:rPr>
              <w:t xml:space="preserve"> INVESTICIJSK</w:t>
            </w:r>
            <w:r w:rsidR="007E7E78" w:rsidRPr="00653DCF">
              <w:rPr>
                <w:color w:val="auto"/>
                <w:lang w:val="hr-HR"/>
              </w:rPr>
              <w:t>E</w:t>
            </w:r>
            <w:r w:rsidR="00E87B0B" w:rsidRPr="00653DCF">
              <w:rPr>
                <w:color w:val="auto"/>
                <w:lang w:val="hr-HR"/>
              </w:rPr>
              <w:t xml:space="preserve"> BANK</w:t>
            </w:r>
            <w:r w:rsidR="007E7E78" w:rsidRPr="00653DCF">
              <w:rPr>
                <w:color w:val="auto"/>
                <w:lang w:val="hr-HR"/>
              </w:rPr>
              <w:t>E</w:t>
            </w:r>
          </w:p>
        </w:tc>
      </w:tr>
      <w:tr w:rsidR="007A2A6F" w:rsidRPr="00653DCF" w14:paraId="1D3F6169" w14:textId="77777777" w:rsidTr="00661C3D">
        <w:tc>
          <w:tcPr>
            <w:tcW w:w="4111" w:type="dxa"/>
          </w:tcPr>
          <w:p w14:paraId="31E5B636" w14:textId="7BFADDAB" w:rsidR="007A2A6F" w:rsidRPr="00653DCF" w:rsidRDefault="00E87B0B">
            <w:pPr>
              <w:tabs>
                <w:tab w:val="left" w:pos="2350"/>
              </w:tabs>
              <w:ind w:left="0" w:right="395"/>
              <w:jc w:val="center"/>
              <w:rPr>
                <w:color w:val="auto"/>
                <w:lang w:val="hr-HR"/>
              </w:rPr>
            </w:pPr>
            <w:r w:rsidRPr="00653DCF">
              <w:rPr>
                <w:color w:val="auto"/>
                <w:lang w:val="hr-HR"/>
              </w:rPr>
              <w:t>Ministar financija</w:t>
            </w:r>
          </w:p>
        </w:tc>
        <w:tc>
          <w:tcPr>
            <w:tcW w:w="2378" w:type="dxa"/>
          </w:tcPr>
          <w:p w14:paraId="68918308" w14:textId="6D99AE24" w:rsidR="007A2A6F" w:rsidRPr="00653DCF" w:rsidRDefault="00661C3D" w:rsidP="00DC6891">
            <w:pPr>
              <w:pStyle w:val="P68B1DB1-Normal1"/>
              <w:tabs>
                <w:tab w:val="left" w:pos="2350"/>
              </w:tabs>
              <w:ind w:left="0" w:right="395"/>
              <w:jc w:val="center"/>
              <w:rPr>
                <w:color w:val="auto"/>
                <w:lang w:val="hr-HR"/>
              </w:rPr>
            </w:pPr>
            <w:r w:rsidRPr="00653DCF">
              <w:rPr>
                <w:color w:val="auto"/>
                <w:lang w:val="hr-HR"/>
              </w:rPr>
              <w:t xml:space="preserve">Voditeljica </w:t>
            </w:r>
            <w:r w:rsidR="00DC6891">
              <w:rPr>
                <w:color w:val="auto"/>
                <w:lang w:val="hr-HR"/>
              </w:rPr>
              <w:t>službe</w:t>
            </w:r>
          </w:p>
        </w:tc>
        <w:tc>
          <w:tcPr>
            <w:tcW w:w="2005" w:type="dxa"/>
          </w:tcPr>
          <w:p w14:paraId="548C1646" w14:textId="6485CE27" w:rsidR="007A2A6F" w:rsidRPr="00653DCF" w:rsidRDefault="00B67887" w:rsidP="00661C3D">
            <w:pPr>
              <w:pStyle w:val="P68B1DB1-Normal1"/>
              <w:tabs>
                <w:tab w:val="left" w:pos="2350"/>
              </w:tabs>
              <w:ind w:left="0" w:right="-89"/>
              <w:jc w:val="center"/>
              <w:rPr>
                <w:color w:val="auto"/>
                <w:lang w:val="hr-HR"/>
              </w:rPr>
            </w:pPr>
            <w:r>
              <w:rPr>
                <w:color w:val="auto"/>
                <w:lang w:val="hr-HR"/>
              </w:rPr>
              <w:t>S</w:t>
            </w:r>
            <w:r w:rsidR="00661C3D" w:rsidRPr="00653DCF">
              <w:rPr>
                <w:color w:val="auto"/>
                <w:lang w:val="hr-HR"/>
              </w:rPr>
              <w:t>lužbenica</w:t>
            </w:r>
            <w:r>
              <w:rPr>
                <w:color w:val="auto"/>
                <w:lang w:val="hr-HR"/>
              </w:rPr>
              <w:t xml:space="preserve"> za zajmove</w:t>
            </w:r>
          </w:p>
        </w:tc>
      </w:tr>
      <w:tr w:rsidR="007A2A6F" w:rsidRPr="00653DCF" w14:paraId="2847E4F4" w14:textId="77777777" w:rsidTr="00661C3D">
        <w:tc>
          <w:tcPr>
            <w:tcW w:w="4111" w:type="dxa"/>
          </w:tcPr>
          <w:p w14:paraId="0902FA21" w14:textId="77777777" w:rsidR="007A2A6F" w:rsidRPr="00653DCF" w:rsidRDefault="007A2A6F">
            <w:pPr>
              <w:tabs>
                <w:tab w:val="left" w:pos="2350"/>
              </w:tabs>
              <w:ind w:left="0" w:right="395"/>
              <w:jc w:val="center"/>
              <w:rPr>
                <w:rFonts w:cs="Arial"/>
                <w:color w:val="auto"/>
                <w:lang w:val="hr-HR"/>
              </w:rPr>
            </w:pPr>
          </w:p>
          <w:p w14:paraId="3FE9CB94" w14:textId="77777777" w:rsidR="007A2A6F" w:rsidRPr="00653DCF" w:rsidRDefault="007A2A6F">
            <w:pPr>
              <w:tabs>
                <w:tab w:val="left" w:pos="2350"/>
              </w:tabs>
              <w:ind w:left="0" w:right="395"/>
              <w:jc w:val="center"/>
              <w:rPr>
                <w:rFonts w:cs="Arial"/>
                <w:color w:val="auto"/>
                <w:lang w:val="hr-HR"/>
              </w:rPr>
            </w:pPr>
          </w:p>
          <w:p w14:paraId="2388B4CA" w14:textId="08487FBB" w:rsidR="007A2A6F" w:rsidRPr="00653DCF" w:rsidRDefault="00E87B0B" w:rsidP="00661C3D">
            <w:pPr>
              <w:tabs>
                <w:tab w:val="left" w:pos="2350"/>
              </w:tabs>
              <w:ind w:left="0" w:right="395"/>
              <w:jc w:val="center"/>
              <w:rPr>
                <w:color w:val="auto"/>
                <w:lang w:val="hr-HR"/>
              </w:rPr>
            </w:pPr>
            <w:r w:rsidRPr="00653DCF">
              <w:rPr>
                <w:rFonts w:cs="Arial"/>
                <w:color w:val="auto"/>
                <w:lang w:val="hr-HR"/>
              </w:rPr>
              <w:t>Marko</w:t>
            </w:r>
            <w:r w:rsidR="00991A5E" w:rsidRPr="00653DCF">
              <w:rPr>
                <w:rFonts w:cs="Arial"/>
                <w:color w:val="auto"/>
                <w:lang w:val="hr-HR"/>
              </w:rPr>
              <w:t xml:space="preserve"> </w:t>
            </w:r>
            <w:r w:rsidR="00661C3D" w:rsidRPr="00653DCF">
              <w:rPr>
                <w:color w:val="auto"/>
                <w:lang w:val="hr-HR"/>
              </w:rPr>
              <w:t>PRIMORAC</w:t>
            </w:r>
          </w:p>
        </w:tc>
        <w:tc>
          <w:tcPr>
            <w:tcW w:w="2378" w:type="dxa"/>
          </w:tcPr>
          <w:p w14:paraId="4E8C7356" w14:textId="77777777" w:rsidR="007A2A6F" w:rsidRPr="00653DCF" w:rsidRDefault="007A2A6F">
            <w:pPr>
              <w:tabs>
                <w:tab w:val="left" w:pos="2350"/>
              </w:tabs>
              <w:ind w:left="0" w:right="395"/>
              <w:jc w:val="center"/>
              <w:rPr>
                <w:color w:val="auto"/>
                <w:lang w:val="hr-HR"/>
              </w:rPr>
            </w:pPr>
          </w:p>
          <w:p w14:paraId="0C2614F5" w14:textId="77777777" w:rsidR="007A2A6F" w:rsidRPr="00653DCF" w:rsidRDefault="007A2A6F">
            <w:pPr>
              <w:tabs>
                <w:tab w:val="left" w:pos="2350"/>
              </w:tabs>
              <w:ind w:left="0" w:right="395"/>
              <w:jc w:val="center"/>
              <w:rPr>
                <w:color w:val="auto"/>
                <w:lang w:val="hr-HR"/>
              </w:rPr>
            </w:pPr>
          </w:p>
          <w:p w14:paraId="3BE198CE" w14:textId="2E9F042A" w:rsidR="007A2A6F" w:rsidRPr="00653DCF" w:rsidRDefault="00661C3D" w:rsidP="00661C3D">
            <w:pPr>
              <w:pStyle w:val="P68B1DB1-Normal1"/>
              <w:tabs>
                <w:tab w:val="left" w:pos="2350"/>
              </w:tabs>
              <w:ind w:left="0" w:right="38"/>
              <w:rPr>
                <w:color w:val="auto"/>
                <w:lang w:val="hr-HR"/>
              </w:rPr>
            </w:pPr>
            <w:r w:rsidRPr="00653DCF">
              <w:rPr>
                <w:color w:val="auto"/>
              </w:rPr>
              <w:t>Hanna KARCZEWSKA</w:t>
            </w:r>
          </w:p>
        </w:tc>
        <w:tc>
          <w:tcPr>
            <w:tcW w:w="2005" w:type="dxa"/>
          </w:tcPr>
          <w:p w14:paraId="713FF8CE" w14:textId="77777777" w:rsidR="007A2A6F" w:rsidRPr="00653DCF" w:rsidRDefault="007A2A6F">
            <w:pPr>
              <w:tabs>
                <w:tab w:val="left" w:pos="2350"/>
              </w:tabs>
              <w:ind w:left="0" w:right="395"/>
              <w:jc w:val="center"/>
              <w:rPr>
                <w:color w:val="auto"/>
                <w:lang w:val="hr-HR"/>
              </w:rPr>
            </w:pPr>
          </w:p>
          <w:p w14:paraId="7C2D75CC" w14:textId="77777777" w:rsidR="007A2A6F" w:rsidRPr="00653DCF" w:rsidRDefault="007A2A6F">
            <w:pPr>
              <w:tabs>
                <w:tab w:val="left" w:pos="2350"/>
              </w:tabs>
              <w:ind w:left="0" w:right="395"/>
              <w:jc w:val="center"/>
              <w:rPr>
                <w:color w:val="auto"/>
                <w:lang w:val="hr-HR"/>
              </w:rPr>
            </w:pPr>
          </w:p>
          <w:p w14:paraId="3E38E8CD" w14:textId="4CA7539D" w:rsidR="007A2A6F" w:rsidRPr="00653DCF" w:rsidRDefault="00661C3D" w:rsidP="00661C3D">
            <w:pPr>
              <w:pStyle w:val="P68B1DB1-Normal1"/>
              <w:tabs>
                <w:tab w:val="left" w:pos="2350"/>
              </w:tabs>
              <w:ind w:left="0" w:right="-89"/>
              <w:jc w:val="center"/>
              <w:rPr>
                <w:color w:val="auto"/>
                <w:lang w:val="hr-HR"/>
              </w:rPr>
            </w:pPr>
            <w:r w:rsidRPr="00653DCF">
              <w:rPr>
                <w:color w:val="auto"/>
                <w:lang w:val="hr-HR"/>
              </w:rPr>
              <w:t>Olga PASCENCO</w:t>
            </w:r>
          </w:p>
        </w:tc>
      </w:tr>
    </w:tbl>
    <w:p w14:paraId="051DA2EE" w14:textId="0037F07C" w:rsidR="007A2A6F" w:rsidRPr="00653DCF" w:rsidRDefault="007A2A6F">
      <w:pPr>
        <w:ind w:left="851"/>
        <w:jc w:val="center"/>
        <w:rPr>
          <w:color w:val="auto"/>
          <w:lang w:val="hr-HR"/>
        </w:rPr>
      </w:pPr>
    </w:p>
    <w:p w14:paraId="7D117C7E" w14:textId="77777777" w:rsidR="007A2A6F" w:rsidRPr="00653DCF" w:rsidRDefault="00E87B0B">
      <w:pPr>
        <w:spacing w:after="200" w:line="276" w:lineRule="auto"/>
        <w:ind w:left="0"/>
        <w:jc w:val="left"/>
        <w:rPr>
          <w:b/>
          <w:color w:val="auto"/>
          <w:lang w:val="hr-HR"/>
        </w:rPr>
      </w:pPr>
      <w:r w:rsidRPr="00653DCF">
        <w:rPr>
          <w:color w:val="auto"/>
          <w:lang w:val="hr-HR"/>
        </w:rPr>
        <w:br w:type="page"/>
      </w:r>
    </w:p>
    <w:p w14:paraId="5365B75B" w14:textId="77777777" w:rsidR="007A2A6F" w:rsidRPr="00653DCF" w:rsidRDefault="007A2A6F" w:rsidP="006010BF">
      <w:pPr>
        <w:pStyle w:val="ScheduleEIB"/>
        <w:numPr>
          <w:ilvl w:val="0"/>
          <w:numId w:val="88"/>
        </w:numPr>
        <w:rPr>
          <w:color w:val="auto"/>
          <w:lang w:val="hr-HR"/>
        </w:rPr>
      </w:pPr>
      <w:bookmarkStart w:id="824" w:name="_Toc126080765"/>
      <w:bookmarkStart w:id="825" w:name="_Toc126080897"/>
      <w:bookmarkStart w:id="826" w:name="_Ref509311180"/>
      <w:bookmarkEnd w:id="824"/>
      <w:bookmarkEnd w:id="825"/>
    </w:p>
    <w:p w14:paraId="5D0048B8" w14:textId="5197209E" w:rsidR="007A2A6F" w:rsidRPr="00653DCF" w:rsidRDefault="00E87B0B">
      <w:pPr>
        <w:pStyle w:val="SubSchedule1EIB"/>
        <w:rPr>
          <w:color w:val="auto"/>
          <w:lang w:val="hr-HR"/>
        </w:rPr>
      </w:pPr>
      <w:bookmarkStart w:id="827" w:name="_Ref430854766"/>
      <w:bookmarkStart w:id="828" w:name="_Toc508120575"/>
      <w:bookmarkStart w:id="829" w:name="_Toc126080766"/>
      <w:bookmarkStart w:id="830" w:name="_Toc126080898"/>
      <w:bookmarkEnd w:id="821"/>
      <w:bookmarkEnd w:id="822"/>
      <w:bookmarkEnd w:id="823"/>
      <w:bookmarkEnd w:id="826"/>
      <w:r w:rsidRPr="00653DCF">
        <w:rPr>
          <w:color w:val="auto"/>
          <w:lang w:val="hr-HR"/>
        </w:rPr>
        <w:t xml:space="preserve">Specifikacija projekta i </w:t>
      </w:r>
      <w:bookmarkEnd w:id="827"/>
      <w:bookmarkEnd w:id="828"/>
      <w:bookmarkEnd w:id="829"/>
      <w:bookmarkEnd w:id="830"/>
      <w:r w:rsidR="00593844" w:rsidRPr="00653DCF">
        <w:rPr>
          <w:color w:val="auto"/>
          <w:lang w:val="hr-HR"/>
        </w:rPr>
        <w:t>izvještavanje</w:t>
      </w:r>
    </w:p>
    <w:p w14:paraId="6EF2A6E3" w14:textId="798F51BB" w:rsidR="007A2A6F" w:rsidRPr="00653DCF" w:rsidRDefault="00E87B0B">
      <w:pPr>
        <w:pStyle w:val="P68B1DB1-SubSchedule3EIB10"/>
        <w:rPr>
          <w:color w:val="auto"/>
          <w:lang w:val="hr-HR"/>
        </w:rPr>
      </w:pPr>
      <w:bookmarkStart w:id="831" w:name="_Toc475441211"/>
      <w:bookmarkStart w:id="832" w:name="_Toc498018706"/>
      <w:bookmarkStart w:id="833" w:name="_Ref426640808"/>
      <w:r w:rsidRPr="00653DCF">
        <w:rPr>
          <w:color w:val="auto"/>
          <w:lang w:val="hr-HR"/>
        </w:rPr>
        <w:t>Tehnički opis</w:t>
      </w:r>
      <w:bookmarkEnd w:id="831"/>
      <w:bookmarkEnd w:id="832"/>
      <w:bookmarkEnd w:id="833"/>
    </w:p>
    <w:p w14:paraId="479C4F2E" w14:textId="3B2AFFD5" w:rsidR="007A2A6F" w:rsidRPr="00653DCF" w:rsidRDefault="00E87B0B" w:rsidP="00317250">
      <w:pPr>
        <w:pStyle w:val="SubSchedule4EIB"/>
        <w:numPr>
          <w:ilvl w:val="4"/>
          <w:numId w:val="89"/>
        </w:numPr>
        <w:ind w:left="1701" w:hanging="850"/>
        <w:rPr>
          <w:color w:val="auto"/>
          <w:lang w:val="hr-HR"/>
        </w:rPr>
      </w:pPr>
      <w:bookmarkStart w:id="834" w:name="_Toc475441212"/>
      <w:bookmarkStart w:id="835" w:name="_Toc498018707"/>
      <w:bookmarkEnd w:id="834"/>
      <w:bookmarkEnd w:id="835"/>
      <w:r w:rsidRPr="00653DCF">
        <w:rPr>
          <w:color w:val="auto"/>
          <w:lang w:val="hr-HR"/>
        </w:rPr>
        <w:t xml:space="preserve">Svrha, </w:t>
      </w:r>
      <w:r w:rsidR="00593844" w:rsidRPr="00653DCF">
        <w:rPr>
          <w:color w:val="auto"/>
          <w:lang w:val="hr-HR"/>
        </w:rPr>
        <w:t>lokacija</w:t>
      </w:r>
      <w:r w:rsidRPr="00653DCF">
        <w:rPr>
          <w:color w:val="auto"/>
          <w:lang w:val="hr-HR"/>
        </w:rPr>
        <w:t xml:space="preserve"> </w:t>
      </w:r>
    </w:p>
    <w:p w14:paraId="077BB65B" w14:textId="4F0C107C" w:rsidR="00D37FCF" w:rsidRPr="00653DCF" w:rsidRDefault="003A73EA" w:rsidP="00D37FCF">
      <w:pPr>
        <w:rPr>
          <w:color w:val="auto"/>
          <w:lang w:val="hr-HR"/>
        </w:rPr>
      </w:pPr>
      <w:r w:rsidRPr="00653DCF">
        <w:rPr>
          <w:color w:val="auto"/>
          <w:lang w:val="hr-HR"/>
        </w:rPr>
        <w:t>Ovaj Projekt, čije je financiranje strukturirano kao okvirni zajam</w:t>
      </w:r>
      <w:r w:rsidR="007E4FE1" w:rsidRPr="00653DCF">
        <w:rPr>
          <w:color w:val="auto"/>
          <w:lang w:val="hr-HR"/>
        </w:rPr>
        <w:t xml:space="preserve">, uključuje potporu </w:t>
      </w:r>
      <w:r w:rsidR="002E702E" w:rsidRPr="00653DCF">
        <w:rPr>
          <w:color w:val="auto"/>
          <w:lang w:val="hr-HR"/>
        </w:rPr>
        <w:t>investicijskim</w:t>
      </w:r>
      <w:r w:rsidR="00B542D6" w:rsidRPr="00653DCF">
        <w:rPr>
          <w:color w:val="auto"/>
          <w:lang w:val="hr-HR"/>
        </w:rPr>
        <w:t xml:space="preserve"> projektima </w:t>
      </w:r>
      <w:r w:rsidR="009311B1" w:rsidRPr="00653DCF">
        <w:rPr>
          <w:color w:val="auto"/>
          <w:lang w:val="hr-HR"/>
        </w:rPr>
        <w:t xml:space="preserve">ulaganja u </w:t>
      </w:r>
      <w:r w:rsidR="007E4FE1" w:rsidRPr="00653DCF">
        <w:rPr>
          <w:color w:val="auto"/>
          <w:lang w:val="hr-HR"/>
        </w:rPr>
        <w:t>željeznic</w:t>
      </w:r>
      <w:r w:rsidR="007B696F" w:rsidRPr="00653DCF">
        <w:rPr>
          <w:color w:val="auto"/>
          <w:lang w:val="hr-HR"/>
        </w:rPr>
        <w:t>e</w:t>
      </w:r>
      <w:r w:rsidR="007E4FE1" w:rsidRPr="00653DCF">
        <w:rPr>
          <w:color w:val="auto"/>
          <w:lang w:val="hr-HR"/>
        </w:rPr>
        <w:t xml:space="preserve"> u </w:t>
      </w:r>
      <w:r w:rsidR="00B542D6" w:rsidRPr="00653DCF">
        <w:rPr>
          <w:color w:val="auto"/>
          <w:lang w:val="hr-HR"/>
        </w:rPr>
        <w:t xml:space="preserve">Republici </w:t>
      </w:r>
      <w:r w:rsidR="007E4FE1" w:rsidRPr="00653DCF">
        <w:rPr>
          <w:color w:val="auto"/>
          <w:lang w:val="hr-HR"/>
        </w:rPr>
        <w:t xml:space="preserve">Hrvatskoj </w:t>
      </w:r>
      <w:r w:rsidR="007B696F" w:rsidRPr="00653DCF">
        <w:rPr>
          <w:color w:val="auto"/>
          <w:lang w:val="hr-HR"/>
        </w:rPr>
        <w:t>koje</w:t>
      </w:r>
      <w:r w:rsidR="00A31B7A" w:rsidRPr="00653DCF">
        <w:rPr>
          <w:color w:val="auto"/>
          <w:lang w:val="hr-HR"/>
        </w:rPr>
        <w:t xml:space="preserve"> </w:t>
      </w:r>
      <w:r w:rsidR="007B696F" w:rsidRPr="00653DCF">
        <w:rPr>
          <w:color w:val="auto"/>
          <w:lang w:val="hr-HR"/>
        </w:rPr>
        <w:t xml:space="preserve">je razradilo </w:t>
      </w:r>
      <w:r w:rsidR="007E4FE1" w:rsidRPr="00653DCF">
        <w:rPr>
          <w:color w:val="auto"/>
          <w:lang w:val="hr-HR"/>
        </w:rPr>
        <w:t>Ministarstvo mora, prometa i infrastrukture (MMPI) kao Nositelj i koj</w:t>
      </w:r>
      <w:r w:rsidR="007B696F" w:rsidRPr="00653DCF">
        <w:rPr>
          <w:color w:val="auto"/>
          <w:lang w:val="hr-HR"/>
        </w:rPr>
        <w:t>i</w:t>
      </w:r>
      <w:r w:rsidR="007E4FE1" w:rsidRPr="00653DCF">
        <w:rPr>
          <w:color w:val="auto"/>
          <w:lang w:val="hr-HR"/>
        </w:rPr>
        <w:t xml:space="preserve"> </w:t>
      </w:r>
      <w:r w:rsidR="009311B1" w:rsidRPr="00653DCF">
        <w:rPr>
          <w:color w:val="auto"/>
          <w:lang w:val="hr-HR"/>
        </w:rPr>
        <w:t xml:space="preserve">su </w:t>
      </w:r>
      <w:r w:rsidR="007E4FE1" w:rsidRPr="00653DCF">
        <w:rPr>
          <w:color w:val="auto"/>
          <w:lang w:val="hr-HR"/>
        </w:rPr>
        <w:t>usklađen</w:t>
      </w:r>
      <w:r w:rsidR="00A31B7A" w:rsidRPr="00653DCF">
        <w:rPr>
          <w:color w:val="auto"/>
          <w:lang w:val="hr-HR"/>
        </w:rPr>
        <w:t>i</w:t>
      </w:r>
      <w:r w:rsidR="007E4FE1" w:rsidRPr="00653DCF">
        <w:rPr>
          <w:color w:val="auto"/>
          <w:lang w:val="hr-HR"/>
        </w:rPr>
        <w:t xml:space="preserve"> sa ciljevima Strategije </w:t>
      </w:r>
      <w:r w:rsidR="00EC79BF" w:rsidRPr="00653DCF">
        <w:rPr>
          <w:color w:val="auto"/>
          <w:lang w:val="hr-HR"/>
        </w:rPr>
        <w:t xml:space="preserve">prometnog razvoja Republike Hrvatske za razdoblje </w:t>
      </w:r>
      <w:r w:rsidR="003173F5" w:rsidRPr="00653DCF">
        <w:rPr>
          <w:color w:val="auto"/>
          <w:lang w:val="hr-HR"/>
        </w:rPr>
        <w:t xml:space="preserve">od </w:t>
      </w:r>
      <w:r w:rsidR="006A4A9E" w:rsidRPr="00653DCF">
        <w:rPr>
          <w:color w:val="auto"/>
          <w:lang w:val="hr-HR"/>
        </w:rPr>
        <w:t xml:space="preserve">2017. </w:t>
      </w:r>
      <w:r w:rsidR="003173F5" w:rsidRPr="00653DCF">
        <w:rPr>
          <w:color w:val="auto"/>
          <w:lang w:val="hr-HR"/>
        </w:rPr>
        <w:t>-</w:t>
      </w:r>
      <w:r w:rsidR="006A4A9E" w:rsidRPr="00653DCF">
        <w:rPr>
          <w:color w:val="auto"/>
          <w:lang w:val="hr-HR"/>
        </w:rPr>
        <w:t xml:space="preserve"> 203</w:t>
      </w:r>
      <w:r w:rsidR="00E16E64" w:rsidRPr="00653DCF">
        <w:rPr>
          <w:color w:val="auto"/>
          <w:lang w:val="hr-HR"/>
        </w:rPr>
        <w:t>0</w:t>
      </w:r>
      <w:r w:rsidR="006A4A9E" w:rsidRPr="00653DCF">
        <w:rPr>
          <w:color w:val="auto"/>
          <w:lang w:val="hr-HR"/>
        </w:rPr>
        <w:t>.</w:t>
      </w:r>
      <w:r w:rsidR="003173F5" w:rsidRPr="00653DCF">
        <w:rPr>
          <w:color w:val="auto"/>
          <w:lang w:val="hr-HR"/>
        </w:rPr>
        <w:t xml:space="preserve"> godine</w:t>
      </w:r>
      <w:r w:rsidR="006A4A9E" w:rsidRPr="00653DCF">
        <w:rPr>
          <w:color w:val="auto"/>
          <w:lang w:val="hr-HR"/>
        </w:rPr>
        <w:t xml:space="preserve">, sektorskom </w:t>
      </w:r>
      <w:r w:rsidR="002E702E" w:rsidRPr="00653DCF">
        <w:rPr>
          <w:color w:val="auto"/>
          <w:lang w:val="hr-HR"/>
        </w:rPr>
        <w:t>politikom</w:t>
      </w:r>
      <w:r w:rsidR="00E16E64" w:rsidRPr="00653DCF">
        <w:rPr>
          <w:color w:val="auto"/>
          <w:lang w:val="hr-HR"/>
        </w:rPr>
        <w:t xml:space="preserve"> pod nazivom „</w:t>
      </w:r>
      <w:r w:rsidR="006A4A9E" w:rsidRPr="00653DCF">
        <w:rPr>
          <w:color w:val="auto"/>
          <w:lang w:val="hr-HR"/>
        </w:rPr>
        <w:t>Modernizacija i restrukturiranje željezničkog sektora</w:t>
      </w:r>
      <w:r w:rsidR="00E16E64" w:rsidRPr="00653DCF">
        <w:rPr>
          <w:color w:val="auto"/>
          <w:lang w:val="hr-HR"/>
        </w:rPr>
        <w:t>“</w:t>
      </w:r>
      <w:r w:rsidR="006A4A9E" w:rsidRPr="00653DCF">
        <w:rPr>
          <w:color w:val="auto"/>
          <w:lang w:val="hr-HR"/>
        </w:rPr>
        <w:t xml:space="preserve">, </w:t>
      </w:r>
      <w:r w:rsidR="00D37FCF" w:rsidRPr="00653DCF">
        <w:rPr>
          <w:color w:val="auto"/>
          <w:lang w:val="hr-HR"/>
        </w:rPr>
        <w:t xml:space="preserve">Strategijom razvoja željezničkog sustava </w:t>
      </w:r>
      <w:r w:rsidR="002B0323" w:rsidRPr="00653DCF">
        <w:rPr>
          <w:color w:val="auto"/>
          <w:lang w:val="hr-HR"/>
        </w:rPr>
        <w:t xml:space="preserve">Republike Hrvatske </w:t>
      </w:r>
      <w:r w:rsidR="00D37FCF" w:rsidRPr="00653DCF">
        <w:rPr>
          <w:color w:val="auto"/>
          <w:lang w:val="hr-HR"/>
        </w:rPr>
        <w:t>do 203</w:t>
      </w:r>
      <w:r w:rsidR="009B7C3E" w:rsidRPr="00653DCF">
        <w:rPr>
          <w:color w:val="auto"/>
          <w:lang w:val="hr-HR"/>
        </w:rPr>
        <w:t>2</w:t>
      </w:r>
      <w:r w:rsidR="00D37FCF" w:rsidRPr="00653DCF">
        <w:rPr>
          <w:color w:val="auto"/>
          <w:lang w:val="hr-HR"/>
        </w:rPr>
        <w:t>.</w:t>
      </w:r>
      <w:r w:rsidR="0074628C" w:rsidRPr="00653DCF">
        <w:rPr>
          <w:color w:val="auto"/>
          <w:lang w:val="hr-HR"/>
        </w:rPr>
        <w:t xml:space="preserve"> </w:t>
      </w:r>
      <w:r w:rsidR="0052544F">
        <w:rPr>
          <w:color w:val="auto"/>
          <w:lang w:val="hr-HR"/>
        </w:rPr>
        <w:t>godine</w:t>
      </w:r>
      <w:r w:rsidR="00D37FCF" w:rsidRPr="00653DCF">
        <w:rPr>
          <w:color w:val="auto"/>
          <w:lang w:val="hr-HR"/>
        </w:rPr>
        <w:t xml:space="preserve">, Nacionalnim planom </w:t>
      </w:r>
      <w:r w:rsidR="0074628C" w:rsidRPr="00653DCF">
        <w:rPr>
          <w:color w:val="auto"/>
          <w:lang w:val="hr-HR"/>
        </w:rPr>
        <w:t xml:space="preserve">razvoja </w:t>
      </w:r>
      <w:r w:rsidR="00D37FCF" w:rsidRPr="00653DCF">
        <w:rPr>
          <w:color w:val="auto"/>
          <w:lang w:val="hr-HR"/>
        </w:rPr>
        <w:t>željezničke infrastrukture za razdoblje</w:t>
      </w:r>
      <w:r w:rsidR="0074628C" w:rsidRPr="00653DCF">
        <w:rPr>
          <w:color w:val="auto"/>
          <w:lang w:val="hr-HR"/>
        </w:rPr>
        <w:t xml:space="preserve"> </w:t>
      </w:r>
      <w:r w:rsidR="00D37FCF" w:rsidRPr="00653DCF">
        <w:rPr>
          <w:color w:val="auto"/>
          <w:lang w:val="hr-HR"/>
        </w:rPr>
        <w:t>do 2030.</w:t>
      </w:r>
      <w:r w:rsidR="0074628C" w:rsidRPr="00653DCF">
        <w:rPr>
          <w:color w:val="auto"/>
          <w:lang w:val="hr-HR"/>
        </w:rPr>
        <w:t xml:space="preserve"> godine</w:t>
      </w:r>
      <w:r w:rsidR="00D37FCF" w:rsidRPr="00653DCF">
        <w:rPr>
          <w:color w:val="auto"/>
          <w:lang w:val="hr-HR"/>
        </w:rPr>
        <w:t>, Nacionalnim planom upravljanj</w:t>
      </w:r>
      <w:r w:rsidR="00886A10" w:rsidRPr="00653DCF">
        <w:rPr>
          <w:color w:val="auto"/>
          <w:lang w:val="hr-HR"/>
        </w:rPr>
        <w:t>a</w:t>
      </w:r>
      <w:r w:rsidR="00D37FCF" w:rsidRPr="00653DCF">
        <w:rPr>
          <w:color w:val="auto"/>
          <w:lang w:val="hr-HR"/>
        </w:rPr>
        <w:t xml:space="preserve"> željezničkom </w:t>
      </w:r>
      <w:r w:rsidR="002E702E" w:rsidRPr="00653DCF">
        <w:rPr>
          <w:color w:val="auto"/>
          <w:lang w:val="hr-HR"/>
        </w:rPr>
        <w:t>infrastrukturom</w:t>
      </w:r>
      <w:r w:rsidR="00D37FCF" w:rsidRPr="00653DCF">
        <w:rPr>
          <w:color w:val="auto"/>
          <w:lang w:val="hr-HR"/>
        </w:rPr>
        <w:t xml:space="preserve"> i </w:t>
      </w:r>
      <w:r w:rsidR="00830906" w:rsidRPr="00653DCF">
        <w:rPr>
          <w:color w:val="auto"/>
          <w:lang w:val="hr-HR"/>
        </w:rPr>
        <w:t xml:space="preserve">uslužnim </w:t>
      </w:r>
      <w:r w:rsidR="00886A10" w:rsidRPr="00653DCF">
        <w:rPr>
          <w:color w:val="auto"/>
          <w:lang w:val="hr-HR"/>
        </w:rPr>
        <w:t>objektima i razvoja usluga željezničkog prijevoza za razdoblje do 2030. godine</w:t>
      </w:r>
      <w:r w:rsidR="00830906" w:rsidRPr="00653DCF">
        <w:rPr>
          <w:color w:val="auto"/>
          <w:lang w:val="hr-HR"/>
        </w:rPr>
        <w:t>.</w:t>
      </w:r>
    </w:p>
    <w:p w14:paraId="4168D42B" w14:textId="7B62F3B1" w:rsidR="007A2A6F" w:rsidRPr="00653DCF" w:rsidRDefault="00E87B0B">
      <w:pPr>
        <w:pStyle w:val="P68B1DB1-Normal2"/>
        <w:spacing w:after="240"/>
        <w:rPr>
          <w:color w:val="auto"/>
          <w:lang w:val="hr-HR"/>
        </w:rPr>
      </w:pPr>
      <w:r w:rsidRPr="00653DCF">
        <w:rPr>
          <w:color w:val="auto"/>
          <w:lang w:val="hr-HR"/>
        </w:rPr>
        <w:t>Opis</w:t>
      </w:r>
    </w:p>
    <w:p w14:paraId="37DEED04" w14:textId="4805743D" w:rsidR="007A2A6F" w:rsidRDefault="00E87B0B" w:rsidP="00C44B25">
      <w:pPr>
        <w:rPr>
          <w:color w:val="auto"/>
          <w:lang w:val="hr-HR"/>
        </w:rPr>
      </w:pPr>
      <w:r w:rsidRPr="00653DCF">
        <w:rPr>
          <w:color w:val="auto"/>
          <w:lang w:val="hr-HR"/>
        </w:rPr>
        <w:t xml:space="preserve">Projekt uključuje </w:t>
      </w:r>
      <w:r w:rsidR="007C4A0F" w:rsidRPr="00653DCF">
        <w:rPr>
          <w:color w:val="auto"/>
          <w:lang w:val="hr-HR"/>
        </w:rPr>
        <w:t xml:space="preserve">investicijske projekte vezano za </w:t>
      </w:r>
      <w:r w:rsidRPr="00653DCF">
        <w:rPr>
          <w:color w:val="auto"/>
          <w:lang w:val="hr-HR"/>
        </w:rPr>
        <w:t xml:space="preserve">željezničku infrastrukturu i </w:t>
      </w:r>
      <w:r w:rsidR="002E702E" w:rsidRPr="00653DCF">
        <w:rPr>
          <w:color w:val="auto"/>
          <w:lang w:val="hr-HR"/>
        </w:rPr>
        <w:t>željeznička</w:t>
      </w:r>
      <w:r w:rsidR="007C4A0F" w:rsidRPr="00653DCF">
        <w:rPr>
          <w:color w:val="auto"/>
          <w:lang w:val="hr-HR"/>
        </w:rPr>
        <w:t xml:space="preserve"> </w:t>
      </w:r>
      <w:r w:rsidRPr="00653DCF">
        <w:rPr>
          <w:color w:val="auto"/>
          <w:lang w:val="hr-HR"/>
        </w:rPr>
        <w:t xml:space="preserve">vozila. Neki </w:t>
      </w:r>
      <w:r w:rsidR="002E702E" w:rsidRPr="00653DCF">
        <w:rPr>
          <w:color w:val="auto"/>
          <w:lang w:val="hr-HR"/>
        </w:rPr>
        <w:t>investicijski</w:t>
      </w:r>
      <w:r w:rsidR="009E6210" w:rsidRPr="00653DCF">
        <w:rPr>
          <w:color w:val="auto"/>
          <w:lang w:val="hr-HR"/>
        </w:rPr>
        <w:t xml:space="preserve"> projekti </w:t>
      </w:r>
      <w:r w:rsidR="0089147D" w:rsidRPr="00653DCF">
        <w:rPr>
          <w:color w:val="auto"/>
          <w:lang w:val="hr-HR"/>
        </w:rPr>
        <w:t xml:space="preserve">mogu biti sufinancirani </w:t>
      </w:r>
      <w:r w:rsidR="009E6210" w:rsidRPr="00653DCF">
        <w:rPr>
          <w:color w:val="auto"/>
          <w:lang w:val="hr-HR"/>
        </w:rPr>
        <w:t>iz bespovratnih sredstava Europske unije</w:t>
      </w:r>
      <w:r w:rsidRPr="00653DCF">
        <w:rPr>
          <w:color w:val="auto"/>
          <w:lang w:val="hr-HR"/>
        </w:rPr>
        <w:t>. Prihvatljiv</w:t>
      </w:r>
      <w:r w:rsidR="002E702E" w:rsidRPr="00653DCF">
        <w:rPr>
          <w:color w:val="auto"/>
          <w:lang w:val="hr-HR"/>
        </w:rPr>
        <w:t>e</w:t>
      </w:r>
      <w:r w:rsidRPr="00653DCF">
        <w:rPr>
          <w:color w:val="auto"/>
          <w:lang w:val="hr-HR"/>
        </w:rPr>
        <w:t xml:space="preserve"> </w:t>
      </w:r>
      <w:r w:rsidR="00DC6A47" w:rsidRPr="00653DCF">
        <w:rPr>
          <w:color w:val="auto"/>
          <w:lang w:val="hr-HR"/>
        </w:rPr>
        <w:t xml:space="preserve">su niže </w:t>
      </w:r>
      <w:r w:rsidR="002E702E" w:rsidRPr="00653DCF">
        <w:rPr>
          <w:color w:val="auto"/>
          <w:lang w:val="hr-HR"/>
        </w:rPr>
        <w:t>navedene</w:t>
      </w:r>
      <w:r w:rsidR="00DC6A47" w:rsidRPr="00653DCF">
        <w:rPr>
          <w:color w:val="auto"/>
          <w:lang w:val="hr-HR"/>
        </w:rPr>
        <w:t xml:space="preserve"> </w:t>
      </w:r>
      <w:r w:rsidR="00AD3E31" w:rsidRPr="00653DCF">
        <w:rPr>
          <w:color w:val="auto"/>
          <w:lang w:val="hr-HR"/>
        </w:rPr>
        <w:t>investicije</w:t>
      </w:r>
      <w:r w:rsidRPr="00653DCF">
        <w:rPr>
          <w:color w:val="auto"/>
          <w:lang w:val="hr-HR"/>
        </w:rPr>
        <w:t>:</w:t>
      </w:r>
    </w:p>
    <w:p w14:paraId="144921ED" w14:textId="77777777" w:rsidR="00C44B25" w:rsidRPr="00653DCF" w:rsidRDefault="00C44B25" w:rsidP="00CE15AA">
      <w:pPr>
        <w:ind w:left="0"/>
        <w:rPr>
          <w:color w:val="auto"/>
          <w:lang w:val="hr-HR"/>
        </w:rPr>
      </w:pPr>
    </w:p>
    <w:tbl>
      <w:tblPr>
        <w:tblStyle w:val="TableGrid2"/>
        <w:tblW w:w="8641" w:type="dxa"/>
        <w:tblInd w:w="846" w:type="dxa"/>
        <w:tblLook w:val="04A0" w:firstRow="1" w:lastRow="0" w:firstColumn="1" w:lastColumn="0" w:noHBand="0" w:noVBand="1"/>
      </w:tblPr>
      <w:tblGrid>
        <w:gridCol w:w="2250"/>
        <w:gridCol w:w="6391"/>
      </w:tblGrid>
      <w:tr w:rsidR="007A2A6F" w:rsidRPr="00653DCF" w14:paraId="5DFF4E33" w14:textId="77777777">
        <w:tc>
          <w:tcPr>
            <w:tcW w:w="2250" w:type="dxa"/>
          </w:tcPr>
          <w:p w14:paraId="26061170" w14:textId="77777777" w:rsidR="007A2A6F" w:rsidRPr="00653DCF" w:rsidRDefault="007A2A6F">
            <w:pPr>
              <w:spacing w:before="120"/>
              <w:ind w:left="0"/>
              <w:rPr>
                <w:rFonts w:cs="Arial"/>
                <w:color w:val="auto"/>
                <w:lang w:val="hr-HR"/>
              </w:rPr>
            </w:pPr>
          </w:p>
        </w:tc>
        <w:tc>
          <w:tcPr>
            <w:tcW w:w="6391" w:type="dxa"/>
          </w:tcPr>
          <w:p w14:paraId="51D7C722" w14:textId="4D08EDC8" w:rsidR="007A2A6F" w:rsidRPr="00653DCF" w:rsidRDefault="00E87B0B">
            <w:pPr>
              <w:pStyle w:val="P68B1DB1-Normal11"/>
              <w:spacing w:before="120"/>
              <w:ind w:left="0"/>
              <w:rPr>
                <w:lang w:val="hr-HR"/>
              </w:rPr>
            </w:pPr>
            <w:r w:rsidRPr="00653DCF">
              <w:rPr>
                <w:lang w:val="hr-HR"/>
              </w:rPr>
              <w:t>Prihvatljiv</w:t>
            </w:r>
            <w:r w:rsidR="00AD3E31" w:rsidRPr="00653DCF">
              <w:rPr>
                <w:lang w:val="hr-HR"/>
              </w:rPr>
              <w:t>e</w:t>
            </w:r>
            <w:r w:rsidRPr="00653DCF">
              <w:rPr>
                <w:lang w:val="hr-HR"/>
              </w:rPr>
              <w:t xml:space="preserve"> </w:t>
            </w:r>
            <w:r w:rsidR="00AD3E31" w:rsidRPr="00653DCF">
              <w:rPr>
                <w:lang w:val="hr-HR"/>
              </w:rPr>
              <w:t>investicije</w:t>
            </w:r>
          </w:p>
        </w:tc>
      </w:tr>
      <w:tr w:rsidR="007A2A6F" w:rsidRPr="00653DCF" w14:paraId="4B1D937C" w14:textId="77777777">
        <w:tc>
          <w:tcPr>
            <w:tcW w:w="2250" w:type="dxa"/>
          </w:tcPr>
          <w:p w14:paraId="2667D51E" w14:textId="71954CF7" w:rsidR="007A2A6F" w:rsidRPr="00653DCF" w:rsidRDefault="00E87B0B">
            <w:pPr>
              <w:pStyle w:val="P68B1DB1-Normal12"/>
              <w:spacing w:after="0"/>
              <w:ind w:left="0"/>
              <w:rPr>
                <w:lang w:val="hr-HR"/>
              </w:rPr>
            </w:pPr>
            <w:r w:rsidRPr="00653DCF">
              <w:rPr>
                <w:lang w:val="hr-HR"/>
              </w:rPr>
              <w:t xml:space="preserve">Željeznička infrastruktura </w:t>
            </w:r>
          </w:p>
          <w:p w14:paraId="7867AA86" w14:textId="77777777" w:rsidR="007A2A6F" w:rsidRPr="00653DCF" w:rsidRDefault="007A2A6F">
            <w:pPr>
              <w:spacing w:after="0"/>
              <w:ind w:left="0"/>
              <w:rPr>
                <w:rFonts w:cs="Arial"/>
                <w:color w:val="auto"/>
                <w:lang w:val="hr-HR"/>
              </w:rPr>
            </w:pPr>
          </w:p>
          <w:p w14:paraId="3C05D396" w14:textId="77777777" w:rsidR="007A2A6F" w:rsidRPr="00653DCF" w:rsidRDefault="007A2A6F">
            <w:pPr>
              <w:spacing w:after="0"/>
              <w:ind w:left="0"/>
              <w:rPr>
                <w:rFonts w:cs="Arial"/>
                <w:color w:val="auto"/>
                <w:lang w:val="hr-HR"/>
              </w:rPr>
            </w:pPr>
          </w:p>
        </w:tc>
        <w:tc>
          <w:tcPr>
            <w:tcW w:w="6391" w:type="dxa"/>
          </w:tcPr>
          <w:p w14:paraId="4692F38A" w14:textId="0F5FC4EC" w:rsidR="007A2A6F" w:rsidRPr="00653DCF" w:rsidRDefault="00AD3E31">
            <w:pPr>
              <w:pStyle w:val="P68B1DB1-Normal13"/>
              <w:ind w:left="0"/>
              <w:rPr>
                <w:lang w:val="hr-HR"/>
              </w:rPr>
            </w:pPr>
            <w:r w:rsidRPr="00653DCF">
              <w:rPr>
                <w:rFonts w:cs="Arial"/>
                <w:lang w:val="hr-HR"/>
              </w:rPr>
              <w:t>Renovacija</w:t>
            </w:r>
            <w:r w:rsidR="00E87B0B" w:rsidRPr="00653DCF">
              <w:rPr>
                <w:rFonts w:cs="Arial"/>
                <w:lang w:val="hr-HR"/>
              </w:rPr>
              <w:t xml:space="preserve">, modernizacija i </w:t>
            </w:r>
            <w:r w:rsidR="009B7C3E" w:rsidRPr="00653DCF">
              <w:rPr>
                <w:rFonts w:cs="Arial"/>
                <w:lang w:val="hr-HR"/>
              </w:rPr>
              <w:t xml:space="preserve">rekonstrukcija </w:t>
            </w:r>
            <w:r w:rsidR="007C11EE" w:rsidRPr="00653DCF">
              <w:rPr>
                <w:rFonts w:cs="Arial"/>
                <w:lang w:val="hr-HR"/>
              </w:rPr>
              <w:t xml:space="preserve">strateške </w:t>
            </w:r>
            <w:r w:rsidR="00E87B0B" w:rsidRPr="00653DCF">
              <w:rPr>
                <w:rFonts w:cs="Arial"/>
                <w:lang w:val="hr-HR"/>
              </w:rPr>
              <w:t>(TEN-T), nacionaln</w:t>
            </w:r>
            <w:r w:rsidR="009E16BE" w:rsidRPr="00653DCF">
              <w:rPr>
                <w:rFonts w:cs="Arial"/>
                <w:lang w:val="hr-HR"/>
              </w:rPr>
              <w:t>e</w:t>
            </w:r>
            <w:r w:rsidR="00E87B0B" w:rsidRPr="00653DCF">
              <w:rPr>
                <w:rFonts w:cs="Arial"/>
                <w:lang w:val="hr-HR"/>
              </w:rPr>
              <w:t>, regionaln</w:t>
            </w:r>
            <w:r w:rsidR="009E16BE" w:rsidRPr="00653DCF">
              <w:rPr>
                <w:rFonts w:cs="Arial"/>
                <w:lang w:val="hr-HR"/>
              </w:rPr>
              <w:t>e</w:t>
            </w:r>
            <w:r w:rsidR="00E87B0B" w:rsidRPr="00653DCF">
              <w:rPr>
                <w:rFonts w:cs="Arial"/>
                <w:lang w:val="hr-HR"/>
              </w:rPr>
              <w:t xml:space="preserve"> i lokaln</w:t>
            </w:r>
            <w:r w:rsidR="009E16BE" w:rsidRPr="00653DCF">
              <w:rPr>
                <w:rFonts w:cs="Arial"/>
                <w:lang w:val="hr-HR"/>
              </w:rPr>
              <w:t>e</w:t>
            </w:r>
            <w:r w:rsidR="00E87B0B" w:rsidRPr="00653DCF">
              <w:rPr>
                <w:rFonts w:cs="Arial"/>
                <w:lang w:val="hr-HR"/>
              </w:rPr>
              <w:t xml:space="preserve"> željezničk</w:t>
            </w:r>
            <w:r w:rsidR="009E16BE" w:rsidRPr="00653DCF">
              <w:rPr>
                <w:rFonts w:cs="Arial"/>
                <w:lang w:val="hr-HR"/>
              </w:rPr>
              <w:t>e</w:t>
            </w:r>
            <w:r w:rsidR="00E87B0B" w:rsidRPr="00653DCF">
              <w:rPr>
                <w:rFonts w:cs="Arial"/>
                <w:lang w:val="hr-HR"/>
              </w:rPr>
              <w:t xml:space="preserve"> infrastruktur</w:t>
            </w:r>
            <w:r w:rsidR="009E16BE" w:rsidRPr="00653DCF">
              <w:rPr>
                <w:rFonts w:cs="Arial"/>
                <w:lang w:val="hr-HR"/>
              </w:rPr>
              <w:t>e</w:t>
            </w:r>
            <w:r w:rsidR="00E87B0B" w:rsidRPr="00653DCF">
              <w:rPr>
                <w:rFonts w:cs="Arial"/>
                <w:lang w:val="hr-HR"/>
              </w:rPr>
              <w:t xml:space="preserve"> u nadležnosti </w:t>
            </w:r>
            <w:r w:rsidR="00E87B0B" w:rsidRPr="00653DCF">
              <w:rPr>
                <w:lang w:val="hr-HR"/>
              </w:rPr>
              <w:t>H</w:t>
            </w:r>
            <w:r w:rsidR="00AE60D1" w:rsidRPr="00653DCF">
              <w:rPr>
                <w:lang w:val="hr-HR"/>
              </w:rPr>
              <w:t>Ž</w:t>
            </w:r>
            <w:r w:rsidR="007E0A4E" w:rsidRPr="00653DCF">
              <w:rPr>
                <w:lang w:val="hr-HR"/>
              </w:rPr>
              <w:t>I</w:t>
            </w:r>
            <w:r w:rsidR="00A709DD" w:rsidRPr="00653DCF">
              <w:rPr>
                <w:lang w:val="hr-HR"/>
              </w:rPr>
              <w:t>-a</w:t>
            </w:r>
            <w:r w:rsidR="00E87B0B" w:rsidRPr="00653DCF">
              <w:rPr>
                <w:lang w:val="hr-HR"/>
              </w:rPr>
              <w:t>:</w:t>
            </w:r>
          </w:p>
          <w:p w14:paraId="0E95CB01" w14:textId="065511BE" w:rsidR="007A2A6F" w:rsidRPr="00653DCF" w:rsidRDefault="00E87B0B" w:rsidP="006010BF">
            <w:pPr>
              <w:pStyle w:val="P68B1DB1-Normal13"/>
              <w:numPr>
                <w:ilvl w:val="0"/>
                <w:numId w:val="76"/>
              </w:numPr>
              <w:ind w:left="357" w:hanging="357"/>
              <w:rPr>
                <w:rFonts w:cs="Arial"/>
                <w:lang w:val="hr-HR"/>
              </w:rPr>
            </w:pPr>
            <w:r w:rsidRPr="00653DCF">
              <w:rPr>
                <w:rFonts w:cs="Arial"/>
                <w:lang w:val="hr-HR"/>
              </w:rPr>
              <w:t xml:space="preserve">Tehničke komponente mogu uključivati željezničke </w:t>
            </w:r>
            <w:r w:rsidR="00F0555F" w:rsidRPr="00653DCF">
              <w:rPr>
                <w:rFonts w:cs="Arial"/>
                <w:lang w:val="hr-HR"/>
              </w:rPr>
              <w:t>pruge</w:t>
            </w:r>
            <w:r w:rsidRPr="00653DCF">
              <w:rPr>
                <w:rFonts w:cs="Arial"/>
                <w:lang w:val="hr-HR"/>
              </w:rPr>
              <w:t xml:space="preserve">, konstrukcije, </w:t>
            </w:r>
            <w:r w:rsidR="00A709DD" w:rsidRPr="00653DCF">
              <w:rPr>
                <w:rFonts w:cs="Arial"/>
                <w:lang w:val="hr-HR"/>
              </w:rPr>
              <w:t>gradnju</w:t>
            </w:r>
            <w:r w:rsidRPr="00653DCF">
              <w:rPr>
                <w:rFonts w:cs="Arial"/>
                <w:lang w:val="hr-HR"/>
              </w:rPr>
              <w:t xml:space="preserve">, sustave signalizacije i elektroničke kontrole, putničke </w:t>
            </w:r>
            <w:r w:rsidR="00452AA3" w:rsidRPr="00653DCF">
              <w:rPr>
                <w:rFonts w:cs="Arial"/>
                <w:lang w:val="hr-HR"/>
              </w:rPr>
              <w:t>kolodvore</w:t>
            </w:r>
            <w:r w:rsidRPr="00653DCF">
              <w:rPr>
                <w:rFonts w:cs="Arial"/>
                <w:lang w:val="hr-HR"/>
              </w:rPr>
              <w:t xml:space="preserve"> i </w:t>
            </w:r>
            <w:r w:rsidR="00452AA3" w:rsidRPr="00653DCF">
              <w:rPr>
                <w:rFonts w:cs="Arial"/>
                <w:lang w:val="hr-HR"/>
              </w:rPr>
              <w:t>stanice</w:t>
            </w:r>
            <w:r w:rsidR="00490AC3" w:rsidRPr="00653DCF">
              <w:rPr>
                <w:rFonts w:cs="Arial"/>
                <w:lang w:val="hr-HR"/>
              </w:rPr>
              <w:t xml:space="preserve"> </w:t>
            </w:r>
            <w:r w:rsidRPr="00653DCF">
              <w:rPr>
                <w:lang w:val="hr-HR"/>
              </w:rPr>
              <w:t xml:space="preserve">te </w:t>
            </w:r>
            <w:r w:rsidR="000D1697" w:rsidRPr="00653DCF">
              <w:rPr>
                <w:lang w:val="hr-HR"/>
              </w:rPr>
              <w:t xml:space="preserve">popratne investicije u sustave </w:t>
            </w:r>
            <w:r w:rsidR="000D1697" w:rsidRPr="00653DCF">
              <w:rPr>
                <w:rFonts w:cs="Arial"/>
                <w:lang w:val="hr-HR"/>
              </w:rPr>
              <w:t>željezničke sigurnosti</w:t>
            </w:r>
            <w:r w:rsidR="0017143E" w:rsidRPr="00653DCF">
              <w:rPr>
                <w:rFonts w:cs="Arial"/>
                <w:lang w:val="hr-HR"/>
              </w:rPr>
              <w:t xml:space="preserve">, cestovnu, </w:t>
            </w:r>
            <w:r w:rsidRPr="00653DCF">
              <w:rPr>
                <w:rFonts w:cs="Arial"/>
                <w:lang w:val="hr-HR"/>
              </w:rPr>
              <w:t>biciklističk</w:t>
            </w:r>
            <w:r w:rsidR="00583B8B" w:rsidRPr="00653DCF">
              <w:rPr>
                <w:rFonts w:cs="Arial"/>
                <w:lang w:val="hr-HR"/>
              </w:rPr>
              <w:t>u</w:t>
            </w:r>
            <w:r w:rsidRPr="00653DCF">
              <w:rPr>
                <w:rFonts w:cs="Arial"/>
                <w:lang w:val="hr-HR"/>
              </w:rPr>
              <w:t xml:space="preserve"> i pješačk</w:t>
            </w:r>
            <w:r w:rsidR="0017143E" w:rsidRPr="00653DCF">
              <w:rPr>
                <w:rFonts w:cs="Arial"/>
                <w:lang w:val="hr-HR"/>
              </w:rPr>
              <w:t>u</w:t>
            </w:r>
            <w:r w:rsidRPr="00653DCF">
              <w:rPr>
                <w:rFonts w:cs="Arial"/>
                <w:lang w:val="hr-HR"/>
              </w:rPr>
              <w:t xml:space="preserve"> </w:t>
            </w:r>
            <w:r w:rsidR="002E702E" w:rsidRPr="00653DCF">
              <w:rPr>
                <w:rFonts w:cs="Arial"/>
                <w:lang w:val="hr-HR"/>
              </w:rPr>
              <w:t>infrastrukturu</w:t>
            </w:r>
            <w:r w:rsidRPr="00653DCF">
              <w:rPr>
                <w:rFonts w:cs="Arial"/>
                <w:lang w:val="hr-HR"/>
              </w:rPr>
              <w:t>;</w:t>
            </w:r>
          </w:p>
          <w:p w14:paraId="23999EFC" w14:textId="01E34585" w:rsidR="007A2A6F" w:rsidRPr="00653DCF" w:rsidRDefault="00E87B0B" w:rsidP="006010BF">
            <w:pPr>
              <w:pStyle w:val="P68B1DB1-Normal12"/>
              <w:numPr>
                <w:ilvl w:val="0"/>
                <w:numId w:val="76"/>
              </w:numPr>
              <w:ind w:left="357" w:hanging="357"/>
              <w:rPr>
                <w:lang w:val="hr-HR"/>
              </w:rPr>
            </w:pPr>
            <w:r w:rsidRPr="00653DCF">
              <w:rPr>
                <w:lang w:val="hr-HR"/>
              </w:rPr>
              <w:t>Pripremni radovi i studije, u mjeri u kojoj su povezani s prethodno navedenim tehničkim komponentama;</w:t>
            </w:r>
          </w:p>
          <w:p w14:paraId="5774F72C" w14:textId="0C039141" w:rsidR="007A2A6F" w:rsidRPr="00653DCF" w:rsidRDefault="00E87B0B" w:rsidP="006010BF">
            <w:pPr>
              <w:pStyle w:val="P68B1DB1-Normal12"/>
              <w:numPr>
                <w:ilvl w:val="0"/>
                <w:numId w:val="76"/>
              </w:numPr>
              <w:ind w:left="357" w:hanging="357"/>
              <w:rPr>
                <w:lang w:val="hr-HR"/>
              </w:rPr>
            </w:pPr>
            <w:r w:rsidRPr="00653DCF">
              <w:rPr>
                <w:lang w:val="hr-HR"/>
              </w:rPr>
              <w:t xml:space="preserve">Razvoj potpornih </w:t>
            </w:r>
            <w:r w:rsidR="00BC59D6" w:rsidRPr="00653DCF">
              <w:rPr>
                <w:lang w:val="hr-HR"/>
              </w:rPr>
              <w:t>kapaciteta</w:t>
            </w:r>
            <w:r w:rsidRPr="00653DCF">
              <w:rPr>
                <w:lang w:val="hr-HR"/>
              </w:rPr>
              <w:t xml:space="preserve"> kao što je novi softver specifičan za željeznice (upravljanje voznim redom itd.);</w:t>
            </w:r>
          </w:p>
          <w:p w14:paraId="3D3B33B8" w14:textId="72A0742B" w:rsidR="007A2A6F" w:rsidRPr="00653DCF" w:rsidRDefault="00E87B0B" w:rsidP="006010BF">
            <w:pPr>
              <w:pStyle w:val="P68B1DB1-Normal12"/>
              <w:numPr>
                <w:ilvl w:val="0"/>
                <w:numId w:val="76"/>
              </w:numPr>
              <w:ind w:left="357" w:hanging="357"/>
              <w:rPr>
                <w:lang w:val="hr-HR"/>
              </w:rPr>
            </w:pPr>
            <w:r w:rsidRPr="00653DCF">
              <w:rPr>
                <w:lang w:val="hr-HR"/>
              </w:rPr>
              <w:t>Željezničk</w:t>
            </w:r>
            <w:r w:rsidR="00A34BF8" w:rsidRPr="00653DCF">
              <w:rPr>
                <w:lang w:val="hr-HR"/>
              </w:rPr>
              <w:t>e depoe</w:t>
            </w:r>
            <w:r w:rsidRPr="00653DCF">
              <w:rPr>
                <w:lang w:val="hr-HR"/>
              </w:rPr>
              <w:t xml:space="preserve">, uključujući, ali ne ograničavajući se na ona </w:t>
            </w:r>
            <w:r w:rsidR="00A34BF8" w:rsidRPr="00653DCF">
              <w:rPr>
                <w:lang w:val="hr-HR"/>
              </w:rPr>
              <w:t xml:space="preserve">željeznička </w:t>
            </w:r>
            <w:r w:rsidRPr="00653DCF">
              <w:rPr>
                <w:lang w:val="hr-HR"/>
              </w:rPr>
              <w:t xml:space="preserve">vozila </w:t>
            </w:r>
            <w:r w:rsidR="0010198A" w:rsidRPr="00653DCF">
              <w:rPr>
                <w:lang w:val="hr-HR"/>
              </w:rPr>
              <w:t xml:space="preserve">koja su </w:t>
            </w:r>
            <w:r w:rsidRPr="00653DCF">
              <w:rPr>
                <w:lang w:val="hr-HR"/>
              </w:rPr>
              <w:t xml:space="preserve">u nadležnosti </w:t>
            </w:r>
            <w:r w:rsidR="007E0A4E" w:rsidRPr="00653DCF">
              <w:rPr>
                <w:lang w:val="hr-HR"/>
              </w:rPr>
              <w:t>HŽPP</w:t>
            </w:r>
            <w:r w:rsidR="00854BFB" w:rsidRPr="00653DCF">
              <w:rPr>
                <w:lang w:val="hr-HR"/>
              </w:rPr>
              <w:t>-a</w:t>
            </w:r>
            <w:r w:rsidRPr="00653DCF">
              <w:rPr>
                <w:lang w:val="hr-HR"/>
              </w:rPr>
              <w:t xml:space="preserve">; </w:t>
            </w:r>
          </w:p>
          <w:p w14:paraId="21FB5CFD" w14:textId="21D9F27B" w:rsidR="007A2A6F" w:rsidRPr="00653DCF" w:rsidRDefault="00AE3C3D" w:rsidP="006010BF">
            <w:pPr>
              <w:pStyle w:val="P68B1DB1-Normal12"/>
              <w:numPr>
                <w:ilvl w:val="0"/>
                <w:numId w:val="76"/>
              </w:numPr>
              <w:spacing w:after="0"/>
              <w:ind w:left="360"/>
              <w:rPr>
                <w:lang w:val="hr-HR"/>
              </w:rPr>
            </w:pPr>
            <w:r w:rsidRPr="00653DCF">
              <w:rPr>
                <w:lang w:val="hr-HR"/>
              </w:rPr>
              <w:t xml:space="preserve">Investicijski projekti </w:t>
            </w:r>
            <w:r w:rsidR="00E87B0B" w:rsidRPr="00653DCF">
              <w:rPr>
                <w:lang w:val="hr-HR"/>
              </w:rPr>
              <w:t>mogu uključivati ugradnju infrastrukture za korištenje obnovljivih i alternativnih izvora energije.</w:t>
            </w:r>
          </w:p>
          <w:p w14:paraId="233BE06E" w14:textId="43229D5A" w:rsidR="007A2A6F" w:rsidRPr="00653DCF" w:rsidRDefault="007A2A6F">
            <w:pPr>
              <w:spacing w:after="0"/>
              <w:ind w:left="360"/>
              <w:rPr>
                <w:rFonts w:cs="Arial"/>
                <w:color w:val="auto"/>
                <w:lang w:val="hr-HR"/>
              </w:rPr>
            </w:pPr>
          </w:p>
        </w:tc>
      </w:tr>
      <w:tr w:rsidR="007A2A6F" w:rsidRPr="00653DCF" w14:paraId="1FEEFB71" w14:textId="77777777">
        <w:tc>
          <w:tcPr>
            <w:tcW w:w="2250" w:type="dxa"/>
          </w:tcPr>
          <w:p w14:paraId="48AFC660" w14:textId="7D5577FD" w:rsidR="007A2A6F" w:rsidRPr="00653DCF" w:rsidRDefault="00E87B0B">
            <w:pPr>
              <w:pStyle w:val="P68B1DB1-Normal12"/>
              <w:spacing w:after="0"/>
              <w:ind w:left="0"/>
              <w:rPr>
                <w:lang w:val="hr-HR"/>
              </w:rPr>
            </w:pPr>
            <w:r w:rsidRPr="00653DCF">
              <w:rPr>
                <w:lang w:val="hr-HR"/>
              </w:rPr>
              <w:t xml:space="preserve">Željeznička </w:t>
            </w:r>
            <w:r w:rsidR="006320DC" w:rsidRPr="00653DCF">
              <w:rPr>
                <w:lang w:val="hr-HR"/>
              </w:rPr>
              <w:t>vozila i</w:t>
            </w:r>
            <w:r w:rsidRPr="00653DCF">
              <w:rPr>
                <w:lang w:val="hr-HR"/>
              </w:rPr>
              <w:t xml:space="preserve"> </w:t>
            </w:r>
            <w:r w:rsidR="00D74030" w:rsidRPr="00653DCF">
              <w:rPr>
                <w:lang w:val="hr-HR"/>
              </w:rPr>
              <w:t>depoi</w:t>
            </w:r>
          </w:p>
        </w:tc>
        <w:tc>
          <w:tcPr>
            <w:tcW w:w="6391" w:type="dxa"/>
          </w:tcPr>
          <w:p w14:paraId="1A5A31E9" w14:textId="6067D170" w:rsidR="007A2A6F" w:rsidRPr="00653DCF" w:rsidRDefault="00E87B0B">
            <w:pPr>
              <w:pStyle w:val="P68B1DB1-Normal12"/>
              <w:ind w:left="0"/>
              <w:rPr>
                <w:lang w:val="hr-HR"/>
              </w:rPr>
            </w:pPr>
            <w:r w:rsidRPr="00653DCF">
              <w:rPr>
                <w:lang w:val="hr-HR"/>
              </w:rPr>
              <w:t>Kupnja novih željezničkih vozila (putničkih i teretnih vlakova) od strane HŽPP-a:</w:t>
            </w:r>
          </w:p>
          <w:p w14:paraId="113973BD" w14:textId="66FC34B1" w:rsidR="007A2A6F" w:rsidRPr="00653DCF" w:rsidRDefault="000E1333" w:rsidP="006010BF">
            <w:pPr>
              <w:pStyle w:val="P68B1DB1-Normal12"/>
              <w:numPr>
                <w:ilvl w:val="0"/>
                <w:numId w:val="77"/>
              </w:numPr>
              <w:ind w:left="357" w:hanging="357"/>
              <w:rPr>
                <w:lang w:val="hr-HR"/>
              </w:rPr>
            </w:pPr>
            <w:bookmarkStart w:id="836" w:name="_Hlk152425143"/>
            <w:r w:rsidRPr="00653DCF">
              <w:rPr>
                <w:lang w:val="hr-HR"/>
              </w:rPr>
              <w:t xml:space="preserve">Baterijskih </w:t>
            </w:r>
            <w:r w:rsidR="00452245" w:rsidRPr="00653DCF">
              <w:rPr>
                <w:lang w:val="hr-HR"/>
              </w:rPr>
              <w:t>motornih vlakova</w:t>
            </w:r>
            <w:r w:rsidRPr="00653DCF">
              <w:rPr>
                <w:lang w:val="hr-HR"/>
              </w:rPr>
              <w:t xml:space="preserve"> </w:t>
            </w:r>
            <w:r w:rsidR="00C71F9F" w:rsidRPr="00653DCF">
              <w:rPr>
                <w:lang w:val="hr-HR"/>
              </w:rPr>
              <w:t>(</w:t>
            </w:r>
            <w:r w:rsidR="00D63AEF" w:rsidRPr="00653DCF">
              <w:rPr>
                <w:lang w:val="hr-HR"/>
              </w:rPr>
              <w:t>BM</w:t>
            </w:r>
            <w:r w:rsidR="0048501C" w:rsidRPr="00653DCF">
              <w:rPr>
                <w:lang w:val="hr-HR"/>
              </w:rPr>
              <w:t>V</w:t>
            </w:r>
            <w:r w:rsidR="00E87B0B" w:rsidRPr="00653DCF">
              <w:rPr>
                <w:lang w:val="hr-HR"/>
              </w:rPr>
              <w:t>);</w:t>
            </w:r>
            <w:r w:rsidR="005A47A3" w:rsidRPr="00653DCF">
              <w:rPr>
                <w:lang w:val="hr-HR"/>
              </w:rPr>
              <w:t xml:space="preserve"> </w:t>
            </w:r>
          </w:p>
          <w:p w14:paraId="6419E70F" w14:textId="23A008D2" w:rsidR="007A2A6F" w:rsidRPr="00653DCF" w:rsidRDefault="00A01AFA" w:rsidP="006010BF">
            <w:pPr>
              <w:pStyle w:val="P68B1DB1-Normal12"/>
              <w:numPr>
                <w:ilvl w:val="0"/>
                <w:numId w:val="77"/>
              </w:numPr>
              <w:ind w:left="357" w:hanging="357"/>
              <w:rPr>
                <w:lang w:val="hr-HR"/>
              </w:rPr>
            </w:pPr>
            <w:r w:rsidRPr="00653DCF">
              <w:rPr>
                <w:lang w:val="hr-HR"/>
              </w:rPr>
              <w:t>Elektrobaterijsk</w:t>
            </w:r>
            <w:r w:rsidR="0010198A" w:rsidRPr="00653DCF">
              <w:rPr>
                <w:lang w:val="hr-HR"/>
              </w:rPr>
              <w:t>ih vlakova</w:t>
            </w:r>
            <w:r w:rsidRPr="00653DCF">
              <w:rPr>
                <w:lang w:val="hr-HR"/>
              </w:rPr>
              <w:t xml:space="preserve"> </w:t>
            </w:r>
            <w:r w:rsidR="00E87B0B" w:rsidRPr="00653DCF">
              <w:rPr>
                <w:lang w:val="hr-HR"/>
              </w:rPr>
              <w:t>(</w:t>
            </w:r>
            <w:r w:rsidR="0048501C" w:rsidRPr="00653DCF">
              <w:rPr>
                <w:lang w:val="hr-HR"/>
              </w:rPr>
              <w:t>EBMV</w:t>
            </w:r>
            <w:r w:rsidR="00E87B0B" w:rsidRPr="00653DCF">
              <w:rPr>
                <w:lang w:val="hr-HR"/>
              </w:rPr>
              <w:t>)</w:t>
            </w:r>
            <w:bookmarkEnd w:id="836"/>
            <w:r w:rsidR="00E87B0B" w:rsidRPr="00653DCF">
              <w:rPr>
                <w:lang w:val="hr-HR"/>
              </w:rPr>
              <w:t>;</w:t>
            </w:r>
            <w:r w:rsidR="005A47A3" w:rsidRPr="00653DCF">
              <w:rPr>
                <w:lang w:val="hr-HR"/>
              </w:rPr>
              <w:t xml:space="preserve"> </w:t>
            </w:r>
          </w:p>
          <w:p w14:paraId="50C21CA4" w14:textId="3615A54E" w:rsidR="007A2A6F" w:rsidRPr="00653DCF" w:rsidRDefault="00E87B0B" w:rsidP="006010BF">
            <w:pPr>
              <w:pStyle w:val="P68B1DB1-Normal12"/>
              <w:numPr>
                <w:ilvl w:val="0"/>
                <w:numId w:val="77"/>
              </w:numPr>
              <w:ind w:left="357" w:hanging="357"/>
              <w:rPr>
                <w:lang w:val="hr-HR"/>
              </w:rPr>
            </w:pPr>
            <w:r w:rsidRPr="00653DCF">
              <w:rPr>
                <w:lang w:val="hr-HR"/>
              </w:rPr>
              <w:t>Infrastruktur</w:t>
            </w:r>
            <w:r w:rsidR="006950BA" w:rsidRPr="00653DCF">
              <w:rPr>
                <w:lang w:val="hr-HR"/>
              </w:rPr>
              <w:t>e</w:t>
            </w:r>
            <w:r w:rsidRPr="00653DCF">
              <w:rPr>
                <w:lang w:val="hr-HR"/>
              </w:rPr>
              <w:t xml:space="preserve"> za punjenje </w:t>
            </w:r>
            <w:r w:rsidR="001E47C0" w:rsidRPr="00653DCF">
              <w:rPr>
                <w:lang w:val="hr-HR"/>
              </w:rPr>
              <w:t>baterijski pogonjen</w:t>
            </w:r>
            <w:r w:rsidR="006950BA" w:rsidRPr="00653DCF">
              <w:rPr>
                <w:lang w:val="hr-HR"/>
              </w:rPr>
              <w:t>ih</w:t>
            </w:r>
            <w:r w:rsidR="001E47C0" w:rsidRPr="00653DCF">
              <w:rPr>
                <w:lang w:val="hr-HR"/>
              </w:rPr>
              <w:t xml:space="preserve"> vlakov</w:t>
            </w:r>
            <w:r w:rsidR="006950BA" w:rsidRPr="00653DCF">
              <w:rPr>
                <w:lang w:val="hr-HR"/>
              </w:rPr>
              <w:t>a</w:t>
            </w:r>
            <w:r w:rsidR="001E47C0" w:rsidRPr="00653DCF">
              <w:rPr>
                <w:lang w:val="hr-HR"/>
              </w:rPr>
              <w:t xml:space="preserve"> </w:t>
            </w:r>
            <w:r w:rsidRPr="00653DCF">
              <w:rPr>
                <w:lang w:val="hr-HR"/>
              </w:rPr>
              <w:t>(</w:t>
            </w:r>
            <w:r w:rsidR="006A0D1E" w:rsidRPr="00653DCF">
              <w:rPr>
                <w:lang w:val="hr-HR"/>
              </w:rPr>
              <w:t>baterijski motorni vlakovi (</w:t>
            </w:r>
            <w:r w:rsidR="006950BA" w:rsidRPr="00653DCF">
              <w:rPr>
                <w:lang w:val="hr-HR"/>
              </w:rPr>
              <w:t>BMV</w:t>
            </w:r>
            <w:r w:rsidR="006A0D1E" w:rsidRPr="00653DCF">
              <w:rPr>
                <w:lang w:val="hr-HR"/>
              </w:rPr>
              <w:t xml:space="preserve">) i </w:t>
            </w:r>
            <w:r w:rsidR="006950BA" w:rsidRPr="00653DCF">
              <w:rPr>
                <w:lang w:val="hr-HR"/>
              </w:rPr>
              <w:t xml:space="preserve">elektrobaterijski </w:t>
            </w:r>
            <w:r w:rsidR="006A0D1E" w:rsidRPr="00653DCF">
              <w:rPr>
                <w:lang w:val="hr-HR"/>
              </w:rPr>
              <w:t>vlakovi (</w:t>
            </w:r>
            <w:r w:rsidR="006950BA" w:rsidRPr="00653DCF">
              <w:rPr>
                <w:lang w:val="hr-HR"/>
              </w:rPr>
              <w:t>EBMV</w:t>
            </w:r>
            <w:r w:rsidR="006A0D1E" w:rsidRPr="00653DCF">
              <w:rPr>
                <w:lang w:val="hr-HR"/>
              </w:rPr>
              <w:t>)</w:t>
            </w:r>
            <w:r w:rsidRPr="00653DCF">
              <w:rPr>
                <w:lang w:val="hr-HR"/>
              </w:rPr>
              <w:t>);</w:t>
            </w:r>
          </w:p>
          <w:p w14:paraId="73755341" w14:textId="18ADFB37" w:rsidR="007A2A6F" w:rsidRPr="00653DCF" w:rsidRDefault="00E87B0B" w:rsidP="006010BF">
            <w:pPr>
              <w:pStyle w:val="P68B1DB1-Normal13"/>
              <w:numPr>
                <w:ilvl w:val="0"/>
                <w:numId w:val="77"/>
              </w:numPr>
              <w:spacing w:after="0"/>
              <w:rPr>
                <w:rFonts w:cs="Arial"/>
                <w:lang w:val="hr-HR"/>
              </w:rPr>
            </w:pPr>
            <w:r w:rsidRPr="00653DCF">
              <w:rPr>
                <w:lang w:val="hr-HR"/>
              </w:rPr>
              <w:t>Vlakov</w:t>
            </w:r>
            <w:r w:rsidR="006950BA" w:rsidRPr="00653DCF">
              <w:rPr>
                <w:lang w:val="hr-HR"/>
              </w:rPr>
              <w:t>a</w:t>
            </w:r>
            <w:r w:rsidRPr="00653DCF">
              <w:rPr>
                <w:lang w:val="hr-HR"/>
              </w:rPr>
              <w:t xml:space="preserve"> i putnički</w:t>
            </w:r>
            <w:r w:rsidR="006950BA" w:rsidRPr="00653DCF">
              <w:rPr>
                <w:lang w:val="hr-HR"/>
              </w:rPr>
              <w:t>h</w:t>
            </w:r>
            <w:r w:rsidRPr="00653DCF">
              <w:rPr>
                <w:lang w:val="hr-HR"/>
              </w:rPr>
              <w:t xml:space="preserve"> vagon</w:t>
            </w:r>
            <w:r w:rsidR="006950BA" w:rsidRPr="00653DCF">
              <w:rPr>
                <w:lang w:val="hr-HR"/>
              </w:rPr>
              <w:t>a</w:t>
            </w:r>
            <w:r w:rsidRPr="00653DCF">
              <w:rPr>
                <w:lang w:val="hr-HR"/>
              </w:rPr>
              <w:t xml:space="preserve"> koji imaju nultu izravnu emisiju CO2 (iz ispušne cijevi) kada prometuju na pruzi s potrebnom infrastrukturom i upotrebljavaju konvencionalni motor</w:t>
            </w:r>
            <w:r w:rsidR="007E777F" w:rsidRPr="00653DCF">
              <w:rPr>
                <w:lang w:val="hr-HR"/>
              </w:rPr>
              <w:t>,</w:t>
            </w:r>
            <w:r w:rsidRPr="00653DCF">
              <w:rPr>
                <w:lang w:val="hr-HR"/>
              </w:rPr>
              <w:t xml:space="preserve"> ako takva infrastruktura nije dostupna (</w:t>
            </w:r>
            <w:r w:rsidR="00A7581C" w:rsidRPr="00653DCF">
              <w:rPr>
                <w:lang w:val="hr-HR"/>
              </w:rPr>
              <w:t>bimodalno</w:t>
            </w:r>
            <w:r w:rsidRPr="00653DCF">
              <w:rPr>
                <w:lang w:val="hr-HR"/>
              </w:rPr>
              <w:t>).</w:t>
            </w:r>
          </w:p>
          <w:p w14:paraId="41D19286" w14:textId="306A2760" w:rsidR="007A2A6F" w:rsidRPr="00653DCF" w:rsidRDefault="007A2A6F">
            <w:pPr>
              <w:spacing w:after="0"/>
              <w:ind w:left="360"/>
              <w:rPr>
                <w:rFonts w:cs="Arial"/>
                <w:color w:val="auto"/>
                <w:lang w:val="hr-HR"/>
              </w:rPr>
            </w:pPr>
          </w:p>
        </w:tc>
      </w:tr>
    </w:tbl>
    <w:p w14:paraId="70788024" w14:textId="7EBA7EAA" w:rsidR="007A2A6F" w:rsidRPr="00653DCF" w:rsidRDefault="007A2A6F">
      <w:pPr>
        <w:ind w:left="0"/>
        <w:rPr>
          <w:color w:val="auto"/>
          <w:lang w:val="hr-HR"/>
        </w:rPr>
      </w:pPr>
    </w:p>
    <w:p w14:paraId="502AD037" w14:textId="56E2E075" w:rsidR="007A2A6F" w:rsidRPr="00653DCF" w:rsidRDefault="00E87B0B">
      <w:pPr>
        <w:rPr>
          <w:color w:val="auto"/>
          <w:lang w:val="hr-HR"/>
        </w:rPr>
      </w:pPr>
      <w:r w:rsidRPr="00653DCF">
        <w:rPr>
          <w:color w:val="auto"/>
          <w:lang w:val="hr-HR"/>
        </w:rPr>
        <w:t xml:space="preserve">Svi </w:t>
      </w:r>
      <w:r w:rsidR="00A7581C" w:rsidRPr="00653DCF">
        <w:rPr>
          <w:color w:val="auto"/>
          <w:lang w:val="hr-HR"/>
        </w:rPr>
        <w:t xml:space="preserve">investicijski projekti </w:t>
      </w:r>
      <w:r w:rsidRPr="00653DCF">
        <w:rPr>
          <w:color w:val="auto"/>
          <w:lang w:val="hr-HR"/>
        </w:rPr>
        <w:t xml:space="preserve">usklađeni su s EIB-ovom </w:t>
      </w:r>
      <w:r w:rsidR="00A7581C" w:rsidRPr="00653DCF">
        <w:rPr>
          <w:color w:val="auto"/>
          <w:lang w:val="hr-HR"/>
        </w:rPr>
        <w:t>P</w:t>
      </w:r>
      <w:r w:rsidRPr="00653DCF">
        <w:rPr>
          <w:color w:val="auto"/>
          <w:lang w:val="hr-HR"/>
        </w:rPr>
        <w:t xml:space="preserve">olitikom kreditiranja prometa i Planom EIB-a </w:t>
      </w:r>
      <w:r w:rsidR="001C76BA" w:rsidRPr="00653DCF">
        <w:rPr>
          <w:color w:val="auto"/>
          <w:lang w:val="hr-HR"/>
        </w:rPr>
        <w:t xml:space="preserve">za </w:t>
      </w:r>
      <w:r w:rsidR="00F00F17" w:rsidRPr="00653DCF">
        <w:rPr>
          <w:color w:val="auto"/>
          <w:lang w:val="hr-HR"/>
        </w:rPr>
        <w:t>banku za klimu</w:t>
      </w:r>
      <w:r w:rsidRPr="00653DCF">
        <w:rPr>
          <w:color w:val="auto"/>
          <w:lang w:val="hr-HR"/>
        </w:rPr>
        <w:t xml:space="preserve">. </w:t>
      </w:r>
      <w:r w:rsidR="00BD57BD" w:rsidRPr="00653DCF">
        <w:rPr>
          <w:color w:val="auto"/>
          <w:lang w:val="hr-HR"/>
        </w:rPr>
        <w:t>Investicijski projekti</w:t>
      </w:r>
      <w:r w:rsidRPr="00653DCF">
        <w:rPr>
          <w:color w:val="auto"/>
          <w:lang w:val="hr-HR"/>
        </w:rPr>
        <w:t xml:space="preserve"> moraju biti u skladu s primjenom odgovarajućih </w:t>
      </w:r>
      <w:r w:rsidR="00613260" w:rsidRPr="00653DCF">
        <w:rPr>
          <w:color w:val="auto"/>
          <w:lang w:val="hr-HR"/>
        </w:rPr>
        <w:t>standarda vezano za tehničke specifikacije</w:t>
      </w:r>
      <w:r w:rsidR="001C161F" w:rsidRPr="00653DCF">
        <w:rPr>
          <w:color w:val="auto"/>
          <w:lang w:val="hr-HR"/>
        </w:rPr>
        <w:t xml:space="preserve"> za</w:t>
      </w:r>
      <w:r w:rsidR="00613260" w:rsidRPr="00653DCF">
        <w:rPr>
          <w:color w:val="auto"/>
          <w:lang w:val="hr-HR"/>
        </w:rPr>
        <w:t xml:space="preserve"> </w:t>
      </w:r>
      <w:r w:rsidR="002E702E" w:rsidRPr="00653DCF">
        <w:rPr>
          <w:color w:val="auto"/>
          <w:lang w:val="hr-HR"/>
        </w:rPr>
        <w:t>interoperabilnost</w:t>
      </w:r>
      <w:r w:rsidR="00902C18" w:rsidRPr="00653DCF">
        <w:rPr>
          <w:color w:val="auto"/>
          <w:lang w:val="hr-HR"/>
        </w:rPr>
        <w:t xml:space="preserve"> </w:t>
      </w:r>
      <w:r w:rsidR="00613260" w:rsidRPr="00653DCF">
        <w:rPr>
          <w:color w:val="auto"/>
          <w:lang w:val="hr-HR"/>
        </w:rPr>
        <w:t>(</w:t>
      </w:r>
      <w:r w:rsidRPr="00653DCF">
        <w:rPr>
          <w:color w:val="auto"/>
          <w:lang w:val="hr-HR"/>
        </w:rPr>
        <w:t>TSI</w:t>
      </w:r>
      <w:r w:rsidR="00613260" w:rsidRPr="00653DCF">
        <w:rPr>
          <w:color w:val="auto"/>
          <w:lang w:val="hr-HR"/>
        </w:rPr>
        <w:t>)</w:t>
      </w:r>
      <w:r w:rsidR="00BC6E92" w:rsidRPr="00653DCF">
        <w:rPr>
          <w:color w:val="auto"/>
          <w:lang w:val="hr-HR"/>
        </w:rPr>
        <w:t>,</w:t>
      </w:r>
      <w:r w:rsidRPr="00653DCF">
        <w:rPr>
          <w:color w:val="auto"/>
          <w:lang w:val="hr-HR"/>
        </w:rPr>
        <w:t xml:space="preserve"> uključujući:</w:t>
      </w:r>
    </w:p>
    <w:p w14:paraId="1582C0C6" w14:textId="2FB1FB8D" w:rsidR="007A2A6F" w:rsidRPr="00653DCF" w:rsidRDefault="00E87B0B" w:rsidP="00AA3F2B">
      <w:pPr>
        <w:tabs>
          <w:tab w:val="left" w:pos="1418"/>
        </w:tabs>
        <w:rPr>
          <w:color w:val="auto"/>
          <w:lang w:val="hr-HR"/>
        </w:rPr>
      </w:pPr>
      <w:r w:rsidRPr="00653DCF">
        <w:rPr>
          <w:color w:val="auto"/>
          <w:lang w:val="hr-HR"/>
        </w:rPr>
        <w:t>o</w:t>
      </w:r>
      <w:r w:rsidRPr="00653DCF">
        <w:rPr>
          <w:color w:val="auto"/>
          <w:lang w:val="hr-HR"/>
        </w:rPr>
        <w:tab/>
        <w:t>Uredb</w:t>
      </w:r>
      <w:r w:rsidR="005651E9" w:rsidRPr="00653DCF">
        <w:rPr>
          <w:color w:val="auto"/>
          <w:lang w:val="hr-HR"/>
        </w:rPr>
        <w:t>u</w:t>
      </w:r>
      <w:r w:rsidRPr="00653DCF">
        <w:rPr>
          <w:color w:val="auto"/>
          <w:lang w:val="hr-HR"/>
        </w:rPr>
        <w:t xml:space="preserve"> </w:t>
      </w:r>
      <w:r w:rsidR="00DC3A36" w:rsidRPr="00653DCF">
        <w:rPr>
          <w:color w:val="auto"/>
          <w:lang w:val="hr-HR"/>
        </w:rPr>
        <w:t xml:space="preserve">(EU) </w:t>
      </w:r>
      <w:r w:rsidRPr="00653DCF">
        <w:rPr>
          <w:color w:val="auto"/>
          <w:lang w:val="hr-HR"/>
        </w:rPr>
        <w:t>2014/1299 (</w:t>
      </w:r>
      <w:r w:rsidR="001C161F" w:rsidRPr="00653DCF">
        <w:rPr>
          <w:color w:val="auto"/>
          <w:lang w:val="hr-HR"/>
        </w:rPr>
        <w:t>i</w:t>
      </w:r>
      <w:r w:rsidRPr="00653DCF">
        <w:rPr>
          <w:color w:val="auto"/>
          <w:lang w:val="hr-HR"/>
        </w:rPr>
        <w:t>nfrastruktura),</w:t>
      </w:r>
    </w:p>
    <w:p w14:paraId="542A29E5" w14:textId="29DF4B2C" w:rsidR="007A2A6F" w:rsidRPr="00653DCF" w:rsidRDefault="00E87B0B" w:rsidP="00AA3F2B">
      <w:pPr>
        <w:tabs>
          <w:tab w:val="left" w:pos="1418"/>
        </w:tabs>
        <w:rPr>
          <w:color w:val="auto"/>
          <w:lang w:val="hr-HR"/>
        </w:rPr>
      </w:pPr>
      <w:r w:rsidRPr="00653DCF">
        <w:rPr>
          <w:color w:val="auto"/>
          <w:lang w:val="hr-HR"/>
        </w:rPr>
        <w:t>o</w:t>
      </w:r>
      <w:r w:rsidRPr="00653DCF">
        <w:rPr>
          <w:color w:val="auto"/>
          <w:lang w:val="hr-HR"/>
        </w:rPr>
        <w:tab/>
        <w:t>Uredb</w:t>
      </w:r>
      <w:r w:rsidR="005651E9" w:rsidRPr="00653DCF">
        <w:rPr>
          <w:color w:val="auto"/>
          <w:lang w:val="hr-HR"/>
        </w:rPr>
        <w:t>u</w:t>
      </w:r>
      <w:r w:rsidRPr="00653DCF">
        <w:rPr>
          <w:color w:val="auto"/>
          <w:lang w:val="hr-HR"/>
        </w:rPr>
        <w:t xml:space="preserve"> </w:t>
      </w:r>
      <w:r w:rsidR="00DC3A36" w:rsidRPr="00653DCF">
        <w:rPr>
          <w:color w:val="auto"/>
          <w:lang w:val="hr-HR"/>
        </w:rPr>
        <w:t xml:space="preserve">(EU) </w:t>
      </w:r>
      <w:r w:rsidRPr="00653DCF">
        <w:rPr>
          <w:color w:val="auto"/>
          <w:lang w:val="hr-HR"/>
        </w:rPr>
        <w:t>2014/1303 (</w:t>
      </w:r>
      <w:r w:rsidR="001C161F" w:rsidRPr="00653DCF">
        <w:rPr>
          <w:color w:val="auto"/>
          <w:lang w:val="hr-HR"/>
        </w:rPr>
        <w:t>s</w:t>
      </w:r>
      <w:r w:rsidRPr="00653DCF">
        <w:rPr>
          <w:color w:val="auto"/>
          <w:lang w:val="hr-HR"/>
        </w:rPr>
        <w:t>igurnost u željezničkim tunelima),</w:t>
      </w:r>
    </w:p>
    <w:p w14:paraId="70961858" w14:textId="344DA55E" w:rsidR="007A2A6F" w:rsidRPr="00653DCF" w:rsidRDefault="00E87B0B" w:rsidP="00AA3F2B">
      <w:pPr>
        <w:tabs>
          <w:tab w:val="left" w:pos="1418"/>
        </w:tabs>
        <w:ind w:left="1418" w:hanging="567"/>
        <w:rPr>
          <w:color w:val="auto"/>
          <w:lang w:val="hr-HR"/>
        </w:rPr>
      </w:pPr>
      <w:r w:rsidRPr="00653DCF">
        <w:rPr>
          <w:color w:val="auto"/>
          <w:lang w:val="hr-HR"/>
        </w:rPr>
        <w:t>o</w:t>
      </w:r>
      <w:r w:rsidRPr="00653DCF">
        <w:rPr>
          <w:color w:val="auto"/>
          <w:lang w:val="hr-HR"/>
        </w:rPr>
        <w:tab/>
        <w:t>Uredb</w:t>
      </w:r>
      <w:r w:rsidR="005651E9" w:rsidRPr="00653DCF">
        <w:rPr>
          <w:color w:val="auto"/>
          <w:lang w:val="hr-HR"/>
        </w:rPr>
        <w:t>u</w:t>
      </w:r>
      <w:r w:rsidRPr="00653DCF">
        <w:rPr>
          <w:color w:val="auto"/>
          <w:lang w:val="hr-HR"/>
        </w:rPr>
        <w:t xml:space="preserve"> </w:t>
      </w:r>
      <w:r w:rsidR="00DC3A36" w:rsidRPr="00653DCF">
        <w:rPr>
          <w:color w:val="auto"/>
          <w:lang w:val="hr-HR"/>
        </w:rPr>
        <w:t xml:space="preserve">(EU) </w:t>
      </w:r>
      <w:r w:rsidRPr="00653DCF">
        <w:rPr>
          <w:color w:val="auto"/>
          <w:lang w:val="hr-HR"/>
        </w:rPr>
        <w:t>2014/1300 (</w:t>
      </w:r>
      <w:r w:rsidR="00C669C3" w:rsidRPr="00653DCF">
        <w:rPr>
          <w:color w:val="auto"/>
          <w:lang w:val="hr-HR"/>
        </w:rPr>
        <w:t>p</w:t>
      </w:r>
      <w:r w:rsidRPr="00653DCF">
        <w:rPr>
          <w:color w:val="auto"/>
          <w:lang w:val="hr-HR"/>
        </w:rPr>
        <w:t xml:space="preserve">ristupačnost za osobe </w:t>
      </w:r>
      <w:r w:rsidR="002F063C" w:rsidRPr="00653DCF">
        <w:rPr>
          <w:color w:val="auto"/>
          <w:lang w:val="hr-HR"/>
        </w:rPr>
        <w:t xml:space="preserve">s ograničenom pokretljivošću i </w:t>
      </w:r>
      <w:r w:rsidRPr="00653DCF">
        <w:rPr>
          <w:color w:val="auto"/>
          <w:lang w:val="hr-HR"/>
        </w:rPr>
        <w:t>invaliditetom),</w:t>
      </w:r>
    </w:p>
    <w:p w14:paraId="4930E639" w14:textId="0824CBCF" w:rsidR="007A2A6F" w:rsidRPr="00653DCF" w:rsidRDefault="00E87B0B" w:rsidP="00AA3F2B">
      <w:pPr>
        <w:tabs>
          <w:tab w:val="left" w:pos="1418"/>
        </w:tabs>
        <w:rPr>
          <w:color w:val="auto"/>
          <w:lang w:val="hr-HR"/>
        </w:rPr>
      </w:pPr>
      <w:r w:rsidRPr="00653DCF">
        <w:rPr>
          <w:color w:val="auto"/>
          <w:lang w:val="hr-HR"/>
        </w:rPr>
        <w:t>o</w:t>
      </w:r>
      <w:r w:rsidRPr="00653DCF">
        <w:rPr>
          <w:color w:val="auto"/>
          <w:lang w:val="hr-HR"/>
        </w:rPr>
        <w:tab/>
        <w:t>Uredb</w:t>
      </w:r>
      <w:r w:rsidR="005651E9" w:rsidRPr="00653DCF">
        <w:rPr>
          <w:color w:val="auto"/>
          <w:lang w:val="hr-HR"/>
        </w:rPr>
        <w:t>u</w:t>
      </w:r>
      <w:r w:rsidRPr="00653DCF">
        <w:rPr>
          <w:color w:val="auto"/>
          <w:lang w:val="hr-HR"/>
        </w:rPr>
        <w:t xml:space="preserve"> </w:t>
      </w:r>
      <w:r w:rsidR="00DC3A36" w:rsidRPr="00653DCF">
        <w:rPr>
          <w:color w:val="auto"/>
          <w:lang w:val="hr-HR"/>
        </w:rPr>
        <w:t xml:space="preserve">(EU) </w:t>
      </w:r>
      <w:r w:rsidRPr="00653DCF">
        <w:rPr>
          <w:color w:val="auto"/>
          <w:lang w:val="hr-HR"/>
        </w:rPr>
        <w:t>2014/1301/EU (</w:t>
      </w:r>
      <w:r w:rsidR="00B81392" w:rsidRPr="00653DCF">
        <w:rPr>
          <w:color w:val="auto"/>
          <w:lang w:val="hr-HR"/>
        </w:rPr>
        <w:t>energetski podsustav</w:t>
      </w:r>
      <w:r w:rsidRPr="00653DCF">
        <w:rPr>
          <w:color w:val="auto"/>
          <w:lang w:val="hr-HR"/>
        </w:rPr>
        <w:t>)</w:t>
      </w:r>
      <w:r w:rsidR="003D0772" w:rsidRPr="00653DCF">
        <w:rPr>
          <w:color w:val="auto"/>
          <w:lang w:val="hr-HR"/>
        </w:rPr>
        <w:t>,</w:t>
      </w:r>
      <w:r w:rsidRPr="00653DCF">
        <w:rPr>
          <w:color w:val="auto"/>
          <w:lang w:val="hr-HR"/>
        </w:rPr>
        <w:t xml:space="preserve"> </w:t>
      </w:r>
    </w:p>
    <w:p w14:paraId="736E01E3" w14:textId="334AB20A" w:rsidR="003D0772" w:rsidRPr="00653DCF" w:rsidRDefault="003D0772" w:rsidP="00AA3F2B">
      <w:pPr>
        <w:tabs>
          <w:tab w:val="left" w:pos="1418"/>
        </w:tabs>
        <w:rPr>
          <w:color w:val="auto"/>
          <w:lang w:val="hr-HR"/>
        </w:rPr>
      </w:pPr>
      <w:r w:rsidRPr="00653DCF">
        <w:rPr>
          <w:color w:val="auto"/>
          <w:lang w:val="hr-HR"/>
        </w:rPr>
        <w:t>o</w:t>
      </w:r>
      <w:r w:rsidRPr="00653DCF">
        <w:rPr>
          <w:color w:val="auto"/>
          <w:lang w:val="hr-HR"/>
        </w:rPr>
        <w:tab/>
      </w:r>
      <w:r w:rsidR="00533A81" w:rsidRPr="00653DCF">
        <w:rPr>
          <w:color w:val="auto"/>
          <w:lang w:val="hr-HR"/>
        </w:rPr>
        <w:t>Uredb</w:t>
      </w:r>
      <w:r w:rsidR="005651E9" w:rsidRPr="00653DCF">
        <w:rPr>
          <w:color w:val="auto"/>
          <w:lang w:val="hr-HR"/>
        </w:rPr>
        <w:t>u</w:t>
      </w:r>
      <w:r w:rsidRPr="00653DCF">
        <w:rPr>
          <w:color w:val="auto"/>
          <w:lang w:val="hr-HR"/>
        </w:rPr>
        <w:t xml:space="preserve"> (EU) 2023/1695 (</w:t>
      </w:r>
      <w:r w:rsidR="00533A81" w:rsidRPr="00653DCF">
        <w:rPr>
          <w:color w:val="auto"/>
          <w:lang w:val="hr-HR"/>
        </w:rPr>
        <w:t>prometno-upravljački i signalno-sigurnosni podsustavi</w:t>
      </w:r>
      <w:r w:rsidRPr="00653DCF">
        <w:rPr>
          <w:color w:val="auto"/>
          <w:lang w:val="hr-HR"/>
        </w:rPr>
        <w:t>),</w:t>
      </w:r>
    </w:p>
    <w:p w14:paraId="72E5EAEF" w14:textId="3707B258" w:rsidR="003D0772" w:rsidRPr="00653DCF" w:rsidRDefault="003D0772" w:rsidP="00AA3F2B">
      <w:pPr>
        <w:tabs>
          <w:tab w:val="left" w:pos="1418"/>
        </w:tabs>
        <w:rPr>
          <w:color w:val="auto"/>
          <w:lang w:val="hr-HR"/>
        </w:rPr>
      </w:pPr>
      <w:r w:rsidRPr="00653DCF">
        <w:rPr>
          <w:color w:val="auto"/>
          <w:lang w:val="hr-HR"/>
        </w:rPr>
        <w:t>o</w:t>
      </w:r>
      <w:r w:rsidRPr="00653DCF">
        <w:rPr>
          <w:color w:val="auto"/>
          <w:lang w:val="hr-HR"/>
        </w:rPr>
        <w:tab/>
      </w:r>
      <w:r w:rsidR="00535F87" w:rsidRPr="00653DCF">
        <w:rPr>
          <w:color w:val="auto"/>
          <w:lang w:val="hr-HR"/>
        </w:rPr>
        <w:t>Uredb</w:t>
      </w:r>
      <w:r w:rsidR="005651E9" w:rsidRPr="00653DCF">
        <w:rPr>
          <w:color w:val="auto"/>
          <w:lang w:val="hr-HR"/>
        </w:rPr>
        <w:t>u</w:t>
      </w:r>
      <w:r w:rsidR="00535F87" w:rsidRPr="00653DCF">
        <w:rPr>
          <w:color w:val="auto"/>
          <w:lang w:val="hr-HR"/>
        </w:rPr>
        <w:t xml:space="preserve"> </w:t>
      </w:r>
      <w:r w:rsidRPr="00653DCF">
        <w:rPr>
          <w:color w:val="auto"/>
          <w:lang w:val="hr-HR"/>
        </w:rPr>
        <w:t>(EU) 1302/2014 (</w:t>
      </w:r>
      <w:r w:rsidR="00467525" w:rsidRPr="00653DCF">
        <w:rPr>
          <w:color w:val="auto"/>
          <w:lang w:val="hr-HR"/>
        </w:rPr>
        <w:t xml:space="preserve">željeznička vozila </w:t>
      </w:r>
      <w:r w:rsidR="00CB4B03" w:rsidRPr="00653DCF">
        <w:rPr>
          <w:color w:val="auto"/>
          <w:lang w:val="hr-HR"/>
        </w:rPr>
        <w:t>-</w:t>
      </w:r>
      <w:r w:rsidR="00467525" w:rsidRPr="00653DCF">
        <w:rPr>
          <w:color w:val="auto"/>
          <w:lang w:val="hr-HR"/>
        </w:rPr>
        <w:t xml:space="preserve"> lokomotive i putnička željeznička vozila</w:t>
      </w:r>
      <w:r w:rsidRPr="00653DCF">
        <w:rPr>
          <w:color w:val="auto"/>
          <w:lang w:val="hr-HR"/>
        </w:rPr>
        <w:t>)</w:t>
      </w:r>
    </w:p>
    <w:p w14:paraId="7972CF21" w14:textId="7EC2C807" w:rsidR="003D0772" w:rsidRPr="00653DCF" w:rsidRDefault="003D0772" w:rsidP="00AA3F2B">
      <w:pPr>
        <w:tabs>
          <w:tab w:val="left" w:pos="1418"/>
        </w:tabs>
        <w:rPr>
          <w:color w:val="auto"/>
          <w:lang w:val="hr-HR"/>
        </w:rPr>
      </w:pPr>
      <w:r w:rsidRPr="00653DCF">
        <w:rPr>
          <w:color w:val="auto"/>
          <w:lang w:val="hr-HR"/>
        </w:rPr>
        <w:t>o</w:t>
      </w:r>
      <w:r w:rsidRPr="00653DCF">
        <w:rPr>
          <w:color w:val="auto"/>
          <w:lang w:val="hr-HR"/>
        </w:rPr>
        <w:tab/>
      </w:r>
      <w:r w:rsidR="00467525" w:rsidRPr="00653DCF">
        <w:rPr>
          <w:color w:val="auto"/>
          <w:lang w:val="hr-HR"/>
        </w:rPr>
        <w:t>Uredb</w:t>
      </w:r>
      <w:r w:rsidR="005651E9" w:rsidRPr="00653DCF">
        <w:rPr>
          <w:color w:val="auto"/>
          <w:lang w:val="hr-HR"/>
        </w:rPr>
        <w:t>u</w:t>
      </w:r>
      <w:r w:rsidR="00467525" w:rsidRPr="00653DCF">
        <w:rPr>
          <w:color w:val="auto"/>
          <w:lang w:val="hr-HR"/>
        </w:rPr>
        <w:t xml:space="preserve"> </w:t>
      </w:r>
      <w:r w:rsidRPr="00653DCF">
        <w:rPr>
          <w:color w:val="auto"/>
          <w:lang w:val="hr-HR"/>
        </w:rPr>
        <w:t>(EU) 321/2013 (</w:t>
      </w:r>
      <w:r w:rsidR="002E702E" w:rsidRPr="00653DCF">
        <w:rPr>
          <w:color w:val="auto"/>
          <w:lang w:val="hr-HR"/>
        </w:rPr>
        <w:t>željeznička</w:t>
      </w:r>
      <w:r w:rsidR="00294887" w:rsidRPr="00653DCF">
        <w:rPr>
          <w:color w:val="auto"/>
          <w:lang w:val="hr-HR"/>
        </w:rPr>
        <w:t xml:space="preserve"> vozila </w:t>
      </w:r>
      <w:r w:rsidR="00CB4B03" w:rsidRPr="00653DCF">
        <w:rPr>
          <w:color w:val="auto"/>
          <w:lang w:val="hr-HR"/>
        </w:rPr>
        <w:t>-</w:t>
      </w:r>
      <w:r w:rsidR="00294887" w:rsidRPr="00653DCF">
        <w:rPr>
          <w:color w:val="auto"/>
          <w:lang w:val="hr-HR"/>
        </w:rPr>
        <w:t xml:space="preserve"> teretni vagoni</w:t>
      </w:r>
      <w:r w:rsidRPr="00653DCF">
        <w:rPr>
          <w:color w:val="auto"/>
          <w:lang w:val="hr-HR"/>
        </w:rPr>
        <w:t>)</w:t>
      </w:r>
    </w:p>
    <w:p w14:paraId="44810C04" w14:textId="3CDBF179" w:rsidR="003D0772" w:rsidRPr="00653DCF" w:rsidRDefault="003D0772" w:rsidP="00AA3F2B">
      <w:pPr>
        <w:tabs>
          <w:tab w:val="left" w:pos="1418"/>
        </w:tabs>
        <w:rPr>
          <w:color w:val="auto"/>
          <w:lang w:val="hr-HR"/>
        </w:rPr>
      </w:pPr>
      <w:r w:rsidRPr="00653DCF">
        <w:rPr>
          <w:color w:val="auto"/>
          <w:lang w:val="hr-HR"/>
        </w:rPr>
        <w:t>o</w:t>
      </w:r>
      <w:r w:rsidRPr="00653DCF">
        <w:rPr>
          <w:color w:val="auto"/>
          <w:lang w:val="hr-HR"/>
        </w:rPr>
        <w:tab/>
      </w:r>
      <w:r w:rsidR="00294887" w:rsidRPr="00653DCF">
        <w:rPr>
          <w:color w:val="auto"/>
          <w:lang w:val="hr-HR"/>
        </w:rPr>
        <w:t>Uredb</w:t>
      </w:r>
      <w:r w:rsidR="005651E9" w:rsidRPr="00653DCF">
        <w:rPr>
          <w:color w:val="auto"/>
          <w:lang w:val="hr-HR"/>
        </w:rPr>
        <w:t>u</w:t>
      </w:r>
      <w:r w:rsidRPr="00653DCF">
        <w:rPr>
          <w:color w:val="auto"/>
          <w:lang w:val="hr-HR"/>
        </w:rPr>
        <w:t xml:space="preserve"> (EU) 1305/2014 (</w:t>
      </w:r>
      <w:r w:rsidR="00F8588C" w:rsidRPr="00653DCF">
        <w:rPr>
          <w:color w:val="auto"/>
          <w:lang w:val="hr-HR"/>
        </w:rPr>
        <w:t>telematske aplikacije za teretni promet</w:t>
      </w:r>
      <w:r w:rsidRPr="00653DCF">
        <w:rPr>
          <w:color w:val="auto"/>
          <w:lang w:val="hr-HR"/>
        </w:rPr>
        <w:t>)</w:t>
      </w:r>
    </w:p>
    <w:p w14:paraId="25B6C601" w14:textId="174B70D4" w:rsidR="003D0772" w:rsidRPr="00653DCF" w:rsidRDefault="003D0772" w:rsidP="00AA3F2B">
      <w:pPr>
        <w:tabs>
          <w:tab w:val="left" w:pos="1418"/>
        </w:tabs>
        <w:rPr>
          <w:color w:val="auto"/>
          <w:lang w:val="hr-HR"/>
        </w:rPr>
      </w:pPr>
      <w:r w:rsidRPr="00653DCF">
        <w:rPr>
          <w:color w:val="auto"/>
          <w:lang w:val="hr-HR"/>
        </w:rPr>
        <w:t>o</w:t>
      </w:r>
      <w:r w:rsidRPr="00653DCF">
        <w:rPr>
          <w:color w:val="auto"/>
          <w:lang w:val="hr-HR"/>
        </w:rPr>
        <w:tab/>
      </w:r>
      <w:r w:rsidR="00F8588C" w:rsidRPr="00653DCF">
        <w:rPr>
          <w:color w:val="auto"/>
          <w:lang w:val="hr-HR"/>
        </w:rPr>
        <w:t>Uredb</w:t>
      </w:r>
      <w:r w:rsidR="00CB4B03" w:rsidRPr="00653DCF">
        <w:rPr>
          <w:color w:val="auto"/>
          <w:lang w:val="hr-HR"/>
        </w:rPr>
        <w:t>u</w:t>
      </w:r>
      <w:r w:rsidR="00F8588C" w:rsidRPr="00653DCF">
        <w:rPr>
          <w:color w:val="auto"/>
          <w:lang w:val="hr-HR"/>
        </w:rPr>
        <w:t xml:space="preserve"> </w:t>
      </w:r>
      <w:r w:rsidRPr="00653DCF">
        <w:rPr>
          <w:color w:val="auto"/>
          <w:lang w:val="hr-HR"/>
        </w:rPr>
        <w:t>(EU) 454/2011 (</w:t>
      </w:r>
      <w:r w:rsidR="00DC3A36" w:rsidRPr="00653DCF">
        <w:rPr>
          <w:color w:val="auto"/>
          <w:lang w:val="hr-HR"/>
        </w:rPr>
        <w:t>telematske aplikacije za putnički promet</w:t>
      </w:r>
      <w:r w:rsidRPr="00653DCF">
        <w:rPr>
          <w:color w:val="auto"/>
          <w:lang w:val="hr-HR"/>
        </w:rPr>
        <w:t>)</w:t>
      </w:r>
    </w:p>
    <w:p w14:paraId="6FD6D1F4" w14:textId="23CAA609" w:rsidR="003D0772" w:rsidRPr="00653DCF" w:rsidRDefault="003D0772" w:rsidP="00AA3F2B">
      <w:pPr>
        <w:tabs>
          <w:tab w:val="left" w:pos="1418"/>
        </w:tabs>
        <w:ind w:left="1418" w:hanging="562"/>
        <w:rPr>
          <w:color w:val="auto"/>
          <w:lang w:val="hr-HR"/>
        </w:rPr>
      </w:pPr>
      <w:r w:rsidRPr="00653DCF">
        <w:rPr>
          <w:color w:val="auto"/>
          <w:lang w:val="hr-HR"/>
        </w:rPr>
        <w:t>o</w:t>
      </w:r>
      <w:r w:rsidRPr="00653DCF">
        <w:rPr>
          <w:color w:val="auto"/>
          <w:lang w:val="hr-HR"/>
        </w:rPr>
        <w:tab/>
      </w:r>
      <w:r w:rsidR="001061D4" w:rsidRPr="00653DCF">
        <w:rPr>
          <w:color w:val="auto"/>
          <w:lang w:val="hr-HR"/>
        </w:rPr>
        <w:t>Uredb</w:t>
      </w:r>
      <w:r w:rsidR="00CB4B03" w:rsidRPr="00653DCF">
        <w:rPr>
          <w:color w:val="auto"/>
          <w:lang w:val="hr-HR"/>
        </w:rPr>
        <w:t>u</w:t>
      </w:r>
      <w:r w:rsidRPr="00653DCF">
        <w:rPr>
          <w:color w:val="auto"/>
          <w:lang w:val="hr-HR"/>
        </w:rPr>
        <w:t xml:space="preserve"> (EU) 2023/1694 </w:t>
      </w:r>
      <w:r w:rsidR="001061D4" w:rsidRPr="00653DCF">
        <w:rPr>
          <w:color w:val="auto"/>
          <w:lang w:val="hr-HR"/>
        </w:rPr>
        <w:t xml:space="preserve">o izmjeni uredbi </w:t>
      </w:r>
      <w:r w:rsidRPr="00653DCF">
        <w:rPr>
          <w:color w:val="auto"/>
          <w:lang w:val="hr-HR"/>
        </w:rPr>
        <w:t xml:space="preserve">(EU) </w:t>
      </w:r>
      <w:r w:rsidR="001061D4" w:rsidRPr="00653DCF">
        <w:rPr>
          <w:color w:val="auto"/>
          <w:lang w:val="hr-HR"/>
        </w:rPr>
        <w:t xml:space="preserve">br. </w:t>
      </w:r>
      <w:r w:rsidRPr="00653DCF">
        <w:rPr>
          <w:color w:val="auto"/>
          <w:lang w:val="hr-HR"/>
        </w:rPr>
        <w:t xml:space="preserve">321/2013, (EU) </w:t>
      </w:r>
      <w:r w:rsidR="001061D4" w:rsidRPr="00653DCF">
        <w:rPr>
          <w:color w:val="auto"/>
          <w:lang w:val="hr-HR"/>
        </w:rPr>
        <w:t>br.</w:t>
      </w:r>
      <w:r w:rsidRPr="00653DCF">
        <w:rPr>
          <w:color w:val="auto"/>
          <w:lang w:val="hr-HR"/>
        </w:rPr>
        <w:t xml:space="preserve"> 1299/2014, (EU) </w:t>
      </w:r>
      <w:r w:rsidR="001061D4" w:rsidRPr="00653DCF">
        <w:rPr>
          <w:color w:val="auto"/>
          <w:lang w:val="hr-HR"/>
        </w:rPr>
        <w:t xml:space="preserve">br. </w:t>
      </w:r>
      <w:r w:rsidRPr="00653DCF">
        <w:rPr>
          <w:color w:val="auto"/>
          <w:lang w:val="hr-HR"/>
        </w:rPr>
        <w:t xml:space="preserve">1300/2014, (EU) </w:t>
      </w:r>
      <w:r w:rsidR="001061D4" w:rsidRPr="00653DCF">
        <w:rPr>
          <w:color w:val="auto"/>
          <w:lang w:val="hr-HR"/>
        </w:rPr>
        <w:t xml:space="preserve">br. </w:t>
      </w:r>
      <w:r w:rsidRPr="00653DCF">
        <w:rPr>
          <w:color w:val="auto"/>
          <w:lang w:val="hr-HR"/>
        </w:rPr>
        <w:t xml:space="preserve">1301/2014, (EU) </w:t>
      </w:r>
      <w:r w:rsidR="001061D4" w:rsidRPr="00653DCF">
        <w:rPr>
          <w:color w:val="auto"/>
          <w:lang w:val="hr-HR"/>
        </w:rPr>
        <w:t xml:space="preserve">br. </w:t>
      </w:r>
      <w:r w:rsidRPr="00653DCF">
        <w:rPr>
          <w:color w:val="auto"/>
          <w:lang w:val="hr-HR"/>
        </w:rPr>
        <w:t xml:space="preserve">1302/2014, (EU) </w:t>
      </w:r>
      <w:r w:rsidR="001061D4" w:rsidRPr="00653DCF">
        <w:rPr>
          <w:color w:val="auto"/>
          <w:lang w:val="hr-HR"/>
        </w:rPr>
        <w:t xml:space="preserve">br. </w:t>
      </w:r>
      <w:r w:rsidRPr="00653DCF">
        <w:rPr>
          <w:color w:val="auto"/>
          <w:lang w:val="hr-HR"/>
        </w:rPr>
        <w:t xml:space="preserve">1304/2014 </w:t>
      </w:r>
      <w:r w:rsidR="001061D4" w:rsidRPr="00653DCF">
        <w:rPr>
          <w:color w:val="auto"/>
          <w:lang w:val="hr-HR"/>
        </w:rPr>
        <w:t xml:space="preserve">i Provedbene uredbe (EU) </w:t>
      </w:r>
      <w:r w:rsidRPr="00653DCF">
        <w:rPr>
          <w:color w:val="auto"/>
          <w:lang w:val="hr-HR"/>
        </w:rPr>
        <w:t>2019/777</w:t>
      </w:r>
    </w:p>
    <w:p w14:paraId="1F416352" w14:textId="3CD86515" w:rsidR="003D0772" w:rsidRPr="00653DCF" w:rsidRDefault="003D0772" w:rsidP="00AA3F2B">
      <w:pPr>
        <w:tabs>
          <w:tab w:val="left" w:pos="1418"/>
        </w:tabs>
        <w:ind w:left="1418" w:hanging="562"/>
        <w:rPr>
          <w:color w:val="auto"/>
          <w:lang w:val="hr-HR"/>
        </w:rPr>
      </w:pPr>
      <w:r w:rsidRPr="00653DCF">
        <w:rPr>
          <w:color w:val="auto"/>
          <w:lang w:val="hr-HR"/>
        </w:rPr>
        <w:t>o</w:t>
      </w:r>
      <w:r w:rsidRPr="00653DCF">
        <w:rPr>
          <w:color w:val="auto"/>
          <w:lang w:val="hr-HR"/>
        </w:rPr>
        <w:tab/>
      </w:r>
      <w:r w:rsidR="001061D4" w:rsidRPr="00653DCF">
        <w:rPr>
          <w:color w:val="auto"/>
          <w:lang w:val="hr-HR"/>
        </w:rPr>
        <w:t xml:space="preserve">Pozitivno ocijenjena nacionalna pravila </w:t>
      </w:r>
      <w:r w:rsidR="00926150" w:rsidRPr="00653DCF">
        <w:rPr>
          <w:color w:val="auto"/>
          <w:lang w:val="hr-HR"/>
        </w:rPr>
        <w:t xml:space="preserve">o kojima je Komisija obaviještena u skladu s člankom 8. Direktive </w:t>
      </w:r>
      <w:r w:rsidRPr="00653DCF">
        <w:rPr>
          <w:color w:val="auto"/>
          <w:lang w:val="hr-HR"/>
        </w:rPr>
        <w:t xml:space="preserve">(EU) 2016/798 </w:t>
      </w:r>
      <w:r w:rsidR="00926150" w:rsidRPr="00653DCF">
        <w:rPr>
          <w:color w:val="auto"/>
          <w:lang w:val="hr-HR"/>
        </w:rPr>
        <w:t xml:space="preserve">i člankom </w:t>
      </w:r>
      <w:r w:rsidRPr="00653DCF">
        <w:rPr>
          <w:color w:val="auto"/>
          <w:lang w:val="hr-HR"/>
        </w:rPr>
        <w:t>14</w:t>
      </w:r>
      <w:r w:rsidR="00926150" w:rsidRPr="00653DCF">
        <w:rPr>
          <w:color w:val="auto"/>
          <w:lang w:val="hr-HR"/>
        </w:rPr>
        <w:t>.</w:t>
      </w:r>
      <w:r w:rsidRPr="00653DCF">
        <w:rPr>
          <w:color w:val="auto"/>
          <w:lang w:val="hr-HR"/>
        </w:rPr>
        <w:t xml:space="preserve"> </w:t>
      </w:r>
      <w:r w:rsidR="00926150" w:rsidRPr="00653DCF">
        <w:rPr>
          <w:color w:val="auto"/>
          <w:lang w:val="hr-HR"/>
        </w:rPr>
        <w:t xml:space="preserve">Direktive </w:t>
      </w:r>
      <w:r w:rsidRPr="00653DCF">
        <w:rPr>
          <w:color w:val="auto"/>
          <w:lang w:val="hr-HR"/>
        </w:rPr>
        <w:t>(EU) 2016/797.</w:t>
      </w:r>
    </w:p>
    <w:p w14:paraId="6FFAD73F" w14:textId="5DACA865" w:rsidR="007A2A6F" w:rsidRPr="00653DCF" w:rsidRDefault="00E87B0B">
      <w:pPr>
        <w:pStyle w:val="P68B1DB1-Normal2"/>
        <w:spacing w:before="240"/>
        <w:rPr>
          <w:color w:val="auto"/>
          <w:lang w:val="hr-HR"/>
        </w:rPr>
      </w:pPr>
      <w:r w:rsidRPr="00653DCF">
        <w:rPr>
          <w:color w:val="auto"/>
          <w:lang w:val="hr-HR"/>
        </w:rPr>
        <w:t>Kalendar</w:t>
      </w:r>
    </w:p>
    <w:p w14:paraId="4B4F4FD3" w14:textId="4556F5CE" w:rsidR="007A2A6F" w:rsidRPr="00653DCF" w:rsidRDefault="002E702E">
      <w:pPr>
        <w:rPr>
          <w:color w:val="auto"/>
          <w:lang w:val="hr-HR"/>
        </w:rPr>
      </w:pPr>
      <w:r w:rsidRPr="00653DCF">
        <w:rPr>
          <w:color w:val="auto"/>
          <w:lang w:val="hr-HR"/>
        </w:rPr>
        <w:t>Investicijski</w:t>
      </w:r>
      <w:r w:rsidR="00017188" w:rsidRPr="00653DCF">
        <w:rPr>
          <w:color w:val="auto"/>
          <w:lang w:val="hr-HR"/>
        </w:rPr>
        <w:t xml:space="preserve"> projekti provodit će se u razdoblju od </w:t>
      </w:r>
      <w:r w:rsidR="00E87B0B" w:rsidRPr="00653DCF">
        <w:rPr>
          <w:color w:val="auto"/>
          <w:lang w:val="hr-HR"/>
        </w:rPr>
        <w:t>202</w:t>
      </w:r>
      <w:r w:rsidR="003D0772" w:rsidRPr="00653DCF">
        <w:rPr>
          <w:color w:val="auto"/>
          <w:lang w:val="hr-HR"/>
        </w:rPr>
        <w:t>4</w:t>
      </w:r>
      <w:r w:rsidR="00E87B0B" w:rsidRPr="00653DCF">
        <w:rPr>
          <w:color w:val="auto"/>
          <w:lang w:val="hr-HR"/>
        </w:rPr>
        <w:t xml:space="preserve">. </w:t>
      </w:r>
      <w:r w:rsidR="00AA3F2B" w:rsidRPr="00653DCF">
        <w:rPr>
          <w:color w:val="auto"/>
          <w:lang w:val="hr-HR"/>
        </w:rPr>
        <w:t>-</w:t>
      </w:r>
      <w:r w:rsidR="00E87B0B" w:rsidRPr="00653DCF">
        <w:rPr>
          <w:color w:val="auto"/>
          <w:lang w:val="hr-HR"/>
        </w:rPr>
        <w:t xml:space="preserve"> 2032.</w:t>
      </w:r>
      <w:r w:rsidR="00017188" w:rsidRPr="00653DCF">
        <w:rPr>
          <w:color w:val="auto"/>
          <w:lang w:val="hr-HR"/>
        </w:rPr>
        <w:t xml:space="preserve"> </w:t>
      </w:r>
      <w:r w:rsidR="0052544F">
        <w:rPr>
          <w:color w:val="auto"/>
          <w:lang w:val="hr-HR"/>
        </w:rPr>
        <w:t>godine.</w:t>
      </w:r>
    </w:p>
    <w:p w14:paraId="35B1DB4C" w14:textId="2A30B1CC" w:rsidR="007A2A6F" w:rsidRPr="00653DCF" w:rsidRDefault="00492240">
      <w:pPr>
        <w:pStyle w:val="P68B1DB1-Normal2"/>
        <w:spacing w:before="240"/>
        <w:rPr>
          <w:color w:val="auto"/>
          <w:lang w:val="hr-HR"/>
        </w:rPr>
      </w:pPr>
      <w:r w:rsidRPr="00653DCF">
        <w:rPr>
          <w:color w:val="auto"/>
          <w:lang w:val="hr-HR"/>
        </w:rPr>
        <w:t>Postupci dodjele sredstava</w:t>
      </w:r>
    </w:p>
    <w:p w14:paraId="6125D0AF" w14:textId="4F1F98CC" w:rsidR="008B267F" w:rsidRPr="00653DCF" w:rsidRDefault="00E87B0B">
      <w:pPr>
        <w:rPr>
          <w:color w:val="auto"/>
          <w:lang w:val="hr-HR"/>
        </w:rPr>
      </w:pPr>
      <w:r w:rsidRPr="00653DCF">
        <w:rPr>
          <w:color w:val="auto"/>
          <w:lang w:val="hr-HR"/>
        </w:rPr>
        <w:t xml:space="preserve">Zajam Banke </w:t>
      </w:r>
      <w:r w:rsidR="00AA3F2B" w:rsidRPr="00653DCF">
        <w:rPr>
          <w:color w:val="auto"/>
          <w:lang w:val="hr-HR"/>
        </w:rPr>
        <w:t>dodjeljivat</w:t>
      </w:r>
      <w:r w:rsidRPr="00653DCF">
        <w:rPr>
          <w:color w:val="auto"/>
          <w:lang w:val="hr-HR"/>
        </w:rPr>
        <w:t xml:space="preserve"> će se prihvatljivim </w:t>
      </w:r>
      <w:r w:rsidR="008B267F" w:rsidRPr="00653DCF">
        <w:rPr>
          <w:color w:val="auto"/>
          <w:lang w:val="hr-HR"/>
        </w:rPr>
        <w:t>investicijskim projektima koji zadovoljavaju uvjete navedene u tehničkom opisu</w:t>
      </w:r>
      <w:r w:rsidR="007A1BD8" w:rsidRPr="00653DCF">
        <w:rPr>
          <w:color w:val="auto"/>
          <w:lang w:val="hr-HR"/>
        </w:rPr>
        <w:t xml:space="preserve"> koji su </w:t>
      </w:r>
      <w:r w:rsidR="00B145BD" w:rsidRPr="00653DCF">
        <w:rPr>
          <w:color w:val="auto"/>
          <w:lang w:val="hr-HR"/>
        </w:rPr>
        <w:t xml:space="preserve">prilagođeni veličini investicijskog projekta i </w:t>
      </w:r>
      <w:r w:rsidR="00AA3F2B" w:rsidRPr="00653DCF">
        <w:rPr>
          <w:color w:val="auto"/>
          <w:lang w:val="hr-HR"/>
        </w:rPr>
        <w:t xml:space="preserve">koji su </w:t>
      </w:r>
      <w:r w:rsidR="00B145BD" w:rsidRPr="00653DCF">
        <w:rPr>
          <w:color w:val="auto"/>
          <w:lang w:val="hr-HR"/>
        </w:rPr>
        <w:t>u skladu s važećim postupcima okvirnog zajma.</w:t>
      </w:r>
    </w:p>
    <w:p w14:paraId="1590DB64" w14:textId="463923AF" w:rsidR="00F44AA0" w:rsidRPr="00653DCF" w:rsidRDefault="00E87B0B">
      <w:pPr>
        <w:ind w:left="1418" w:hanging="562"/>
        <w:rPr>
          <w:color w:val="auto"/>
          <w:lang w:val="hr-HR"/>
        </w:rPr>
      </w:pPr>
      <w:r w:rsidRPr="00653DCF">
        <w:rPr>
          <w:color w:val="auto"/>
          <w:lang w:val="hr-HR"/>
        </w:rPr>
        <w:t>•</w:t>
      </w:r>
      <w:r w:rsidRPr="00653DCF">
        <w:rPr>
          <w:color w:val="auto"/>
          <w:lang w:val="hr-HR"/>
        </w:rPr>
        <w:tab/>
      </w:r>
      <w:r w:rsidR="00F44AA0" w:rsidRPr="00653DCF">
        <w:rPr>
          <w:color w:val="auto"/>
          <w:lang w:val="hr-HR"/>
        </w:rPr>
        <w:t xml:space="preserve">Prihvatljive investicijske projekte s investicijskim troškom manjim od 25 milijuna </w:t>
      </w:r>
      <w:r w:rsidR="002E702E" w:rsidRPr="00653DCF">
        <w:rPr>
          <w:color w:val="auto"/>
          <w:lang w:val="hr-HR"/>
        </w:rPr>
        <w:t>eura</w:t>
      </w:r>
      <w:r w:rsidR="00F44AA0" w:rsidRPr="00653DCF">
        <w:rPr>
          <w:color w:val="auto"/>
          <w:lang w:val="hr-HR"/>
        </w:rPr>
        <w:t xml:space="preserve"> odabire Nositelj. </w:t>
      </w:r>
      <w:r w:rsidR="0000613E" w:rsidRPr="00653DCF">
        <w:rPr>
          <w:color w:val="auto"/>
          <w:lang w:val="hr-HR"/>
        </w:rPr>
        <w:t xml:space="preserve">Taj odabir </w:t>
      </w:r>
      <w:r w:rsidR="00F44AA0" w:rsidRPr="00653DCF">
        <w:rPr>
          <w:color w:val="auto"/>
          <w:lang w:val="hr-HR"/>
        </w:rPr>
        <w:t>podlijež</w:t>
      </w:r>
      <w:r w:rsidR="0000613E" w:rsidRPr="00653DCF">
        <w:rPr>
          <w:color w:val="auto"/>
          <w:lang w:val="hr-HR"/>
        </w:rPr>
        <w:t>e</w:t>
      </w:r>
      <w:r w:rsidR="00F44AA0" w:rsidRPr="00653DCF">
        <w:rPr>
          <w:color w:val="auto"/>
          <w:lang w:val="hr-HR"/>
        </w:rPr>
        <w:t xml:space="preserve"> </w:t>
      </w:r>
      <w:r w:rsidR="0046720D" w:rsidRPr="00653DCF">
        <w:rPr>
          <w:color w:val="auto"/>
          <w:lang w:val="hr-HR"/>
        </w:rPr>
        <w:t>potvrdi prihvatljivosti od strane službi Banke nakon isplate vezano za te investicijske projekte.</w:t>
      </w:r>
      <w:r w:rsidR="0000613E" w:rsidRPr="00653DCF">
        <w:rPr>
          <w:color w:val="auto"/>
          <w:lang w:val="hr-HR"/>
        </w:rPr>
        <w:t xml:space="preserve"> Nositelj treba dostaviti zahtjev za </w:t>
      </w:r>
      <w:r w:rsidR="002E702E" w:rsidRPr="00653DCF">
        <w:rPr>
          <w:color w:val="auto"/>
          <w:lang w:val="hr-HR"/>
        </w:rPr>
        <w:t>dodjelu</w:t>
      </w:r>
      <w:r w:rsidR="0000613E" w:rsidRPr="00653DCF">
        <w:rPr>
          <w:color w:val="auto"/>
          <w:lang w:val="hr-HR"/>
        </w:rPr>
        <w:t xml:space="preserve"> sredstava na obrascu </w:t>
      </w:r>
      <w:r w:rsidR="00955F7E" w:rsidRPr="00653DCF">
        <w:rPr>
          <w:color w:val="auto"/>
          <w:lang w:val="hr-HR"/>
        </w:rPr>
        <w:t xml:space="preserve">kako to traži Banka </w:t>
      </w:r>
      <w:r w:rsidR="00D8216D" w:rsidRPr="00653DCF">
        <w:rPr>
          <w:color w:val="auto"/>
          <w:lang w:val="hr-HR"/>
        </w:rPr>
        <w:t>(</w:t>
      </w:r>
      <w:r w:rsidR="00955F7E" w:rsidRPr="00653DCF">
        <w:rPr>
          <w:color w:val="auto"/>
          <w:lang w:val="hr-HR"/>
        </w:rPr>
        <w:t xml:space="preserve">onako kako je </w:t>
      </w:r>
      <w:r w:rsidR="00D8216D" w:rsidRPr="00653DCF">
        <w:rPr>
          <w:color w:val="auto"/>
          <w:lang w:val="hr-HR"/>
        </w:rPr>
        <w:t xml:space="preserve">utvrđeno u </w:t>
      </w:r>
      <w:r w:rsidR="0015351E" w:rsidRPr="00653DCF">
        <w:rPr>
          <w:color w:val="auto"/>
          <w:lang w:val="hr-HR"/>
        </w:rPr>
        <w:t>Prilogu</w:t>
      </w:r>
      <w:r w:rsidR="00D8216D" w:rsidRPr="00653DCF">
        <w:rPr>
          <w:color w:val="auto"/>
          <w:lang w:val="hr-HR"/>
        </w:rPr>
        <w:t xml:space="preserve"> A.1.2. u nastavku).</w:t>
      </w:r>
    </w:p>
    <w:p w14:paraId="6544D572" w14:textId="53964CA3" w:rsidR="00D8216D" w:rsidRPr="00653DCF" w:rsidRDefault="00E87B0B" w:rsidP="007D6F9B">
      <w:pPr>
        <w:ind w:left="1418" w:hanging="567"/>
        <w:rPr>
          <w:color w:val="auto"/>
          <w:lang w:val="hr-HR"/>
        </w:rPr>
      </w:pPr>
      <w:r w:rsidRPr="00653DCF">
        <w:rPr>
          <w:color w:val="auto"/>
          <w:lang w:val="hr-HR"/>
        </w:rPr>
        <w:t>•</w:t>
      </w:r>
      <w:r w:rsidRPr="00653DCF">
        <w:rPr>
          <w:color w:val="auto"/>
          <w:lang w:val="hr-HR"/>
        </w:rPr>
        <w:tab/>
      </w:r>
      <w:r w:rsidR="00D8216D" w:rsidRPr="00653DCF">
        <w:rPr>
          <w:color w:val="auto"/>
          <w:lang w:val="hr-HR"/>
        </w:rPr>
        <w:t xml:space="preserve">Prihvatljivi </w:t>
      </w:r>
      <w:r w:rsidR="002E702E" w:rsidRPr="00653DCF">
        <w:rPr>
          <w:color w:val="auto"/>
          <w:lang w:val="hr-HR"/>
        </w:rPr>
        <w:t>investicijski</w:t>
      </w:r>
      <w:r w:rsidR="00D8216D" w:rsidRPr="00653DCF">
        <w:rPr>
          <w:color w:val="auto"/>
          <w:lang w:val="hr-HR"/>
        </w:rPr>
        <w:t xml:space="preserve"> projekti s investicijskim troškom </w:t>
      </w:r>
      <w:r w:rsidR="006A51AA" w:rsidRPr="00653DCF">
        <w:rPr>
          <w:color w:val="auto"/>
          <w:lang w:val="hr-HR"/>
        </w:rPr>
        <w:t xml:space="preserve">između 25 milijuna eura i 50 milijuna eura dostavljaju se Banci na odobrenje prije </w:t>
      </w:r>
      <w:r w:rsidR="00F339F6" w:rsidRPr="00653DCF">
        <w:rPr>
          <w:color w:val="auto"/>
          <w:lang w:val="hr-HR"/>
        </w:rPr>
        <w:t>nego što Banka dodjeli sredstava za te investicijske projekte</w:t>
      </w:r>
      <w:r w:rsidR="00740CF8" w:rsidRPr="00653DCF">
        <w:rPr>
          <w:color w:val="auto"/>
          <w:lang w:val="hr-HR"/>
        </w:rPr>
        <w:t xml:space="preserve"> koristeći obrazac kako je utvrđeno u Prilogu A.1.2. </w:t>
      </w:r>
      <w:r w:rsidR="000535AB" w:rsidRPr="00653DCF">
        <w:rPr>
          <w:color w:val="auto"/>
          <w:lang w:val="hr-HR"/>
        </w:rPr>
        <w:t>ili studij</w:t>
      </w:r>
      <w:r w:rsidR="00BE58AF" w:rsidRPr="00653DCF">
        <w:rPr>
          <w:color w:val="auto"/>
          <w:lang w:val="hr-HR"/>
        </w:rPr>
        <w:t>u izvedivosti. Banka pridržava pravo</w:t>
      </w:r>
      <w:r w:rsidR="000535AB" w:rsidRPr="00653DCF">
        <w:rPr>
          <w:color w:val="auto"/>
          <w:lang w:val="hr-HR"/>
        </w:rPr>
        <w:t xml:space="preserve"> zatražiti dodatne informacije; ako se ocijeni potrebnim </w:t>
      </w:r>
      <w:r w:rsidR="00F57BCA" w:rsidRPr="00653DCF">
        <w:rPr>
          <w:color w:val="auto"/>
          <w:lang w:val="hr-HR"/>
        </w:rPr>
        <w:t xml:space="preserve">poduzet će se djelomična ili dubinska </w:t>
      </w:r>
      <w:r w:rsidR="00335818" w:rsidRPr="00653DCF">
        <w:rPr>
          <w:color w:val="auto"/>
          <w:lang w:val="hr-HR"/>
        </w:rPr>
        <w:t>ocjena</w:t>
      </w:r>
      <w:r w:rsidR="00F57BCA" w:rsidRPr="00653DCF">
        <w:rPr>
          <w:color w:val="auto"/>
          <w:lang w:val="hr-HR"/>
        </w:rPr>
        <w:t xml:space="preserve"> tog investicijskog projekta. Procjena takvih investicijskih projekata može rezultirati dodatnim uvjetima i/ili obvezama koje će se navesti u pismu o dodjeli sredstava</w:t>
      </w:r>
      <w:r w:rsidR="00A461B2" w:rsidRPr="00653DCF">
        <w:rPr>
          <w:color w:val="auto"/>
          <w:lang w:val="hr-HR"/>
        </w:rPr>
        <w:t xml:space="preserve">. Ako </w:t>
      </w:r>
      <w:r w:rsidR="00C612FF" w:rsidRPr="00653DCF">
        <w:rPr>
          <w:color w:val="auto"/>
          <w:lang w:val="hr-HR"/>
        </w:rPr>
        <w:t>Zajmoprimac</w:t>
      </w:r>
      <w:r w:rsidR="00A461B2" w:rsidRPr="00653DCF">
        <w:rPr>
          <w:color w:val="auto"/>
          <w:lang w:val="hr-HR"/>
        </w:rPr>
        <w:t xml:space="preserve"> ne prihvaća te uvjete</w:t>
      </w:r>
      <w:r w:rsidR="00955774" w:rsidRPr="00653DCF">
        <w:rPr>
          <w:color w:val="auto"/>
          <w:lang w:val="hr-HR"/>
        </w:rPr>
        <w:t xml:space="preserve"> i/ili </w:t>
      </w:r>
      <w:r w:rsidR="00A461B2" w:rsidRPr="00653DCF">
        <w:rPr>
          <w:color w:val="auto"/>
          <w:lang w:val="hr-HR"/>
        </w:rPr>
        <w:t xml:space="preserve">obveze, o tome treba obavijestiti Banku u roku od 10 dana od primitka pisma o dodjeli sredstava te će </w:t>
      </w:r>
      <w:r w:rsidR="000C07F6" w:rsidRPr="00653DCF">
        <w:rPr>
          <w:color w:val="auto"/>
          <w:lang w:val="hr-HR"/>
        </w:rPr>
        <w:t>Banka nastaviti s preraspodjelom sredstava.</w:t>
      </w:r>
    </w:p>
    <w:p w14:paraId="3A0B0CE4" w14:textId="52E92F3A" w:rsidR="00E13853" w:rsidRPr="00653DCF" w:rsidRDefault="00E87B0B" w:rsidP="007D6F9B">
      <w:pPr>
        <w:ind w:left="1418" w:hanging="567"/>
        <w:rPr>
          <w:color w:val="auto"/>
          <w:lang w:val="hr-HR"/>
        </w:rPr>
      </w:pPr>
      <w:r w:rsidRPr="00653DCF">
        <w:rPr>
          <w:color w:val="auto"/>
          <w:lang w:val="hr-HR"/>
        </w:rPr>
        <w:t>•</w:t>
      </w:r>
      <w:r w:rsidRPr="00653DCF">
        <w:rPr>
          <w:color w:val="auto"/>
          <w:lang w:val="hr-HR"/>
        </w:rPr>
        <w:tab/>
        <w:t xml:space="preserve">Prihvatljivi </w:t>
      </w:r>
      <w:r w:rsidR="00751621" w:rsidRPr="00653DCF">
        <w:rPr>
          <w:color w:val="auto"/>
          <w:lang w:val="hr-HR"/>
        </w:rPr>
        <w:t>investicijski projekti</w:t>
      </w:r>
      <w:r w:rsidRPr="00653DCF">
        <w:rPr>
          <w:color w:val="auto"/>
          <w:lang w:val="hr-HR"/>
        </w:rPr>
        <w:t xml:space="preserve"> čiji je trošak veći od 50 milijuna </w:t>
      </w:r>
      <w:r w:rsidR="00E13853" w:rsidRPr="00653DCF">
        <w:rPr>
          <w:color w:val="auto"/>
          <w:lang w:val="hr-HR"/>
        </w:rPr>
        <w:t>eur</w:t>
      </w:r>
      <w:r w:rsidR="002E702E" w:rsidRPr="00653DCF">
        <w:rPr>
          <w:color w:val="auto"/>
          <w:lang w:val="hr-HR"/>
        </w:rPr>
        <w:t>a</w:t>
      </w:r>
      <w:r w:rsidR="00E13853" w:rsidRPr="00653DCF">
        <w:rPr>
          <w:color w:val="auto"/>
          <w:lang w:val="hr-HR"/>
        </w:rPr>
        <w:t xml:space="preserve"> obrađuju se, u načelu, kao zasebni zajmovi</w:t>
      </w:r>
      <w:r w:rsidR="00335818" w:rsidRPr="00653DCF">
        <w:rPr>
          <w:color w:val="auto"/>
          <w:lang w:val="hr-HR"/>
        </w:rPr>
        <w:t xml:space="preserve"> te ih službe Banke i ocjenjuju zasebno. Takvi investicijski projekti odliježu odobrenju prije dodjele sredstava zajma.</w:t>
      </w:r>
      <w:r w:rsidR="00DE37D2" w:rsidRPr="00653DCF">
        <w:rPr>
          <w:color w:val="auto"/>
          <w:lang w:val="hr-HR"/>
        </w:rPr>
        <w:t xml:space="preserve"> Nositelj je dužan dostaviti dokumentaciju koju, po svom </w:t>
      </w:r>
      <w:r w:rsidR="002E702E" w:rsidRPr="00653DCF">
        <w:rPr>
          <w:color w:val="auto"/>
          <w:lang w:val="hr-HR"/>
        </w:rPr>
        <w:t>nahođenju</w:t>
      </w:r>
      <w:r w:rsidR="00DE37D2" w:rsidRPr="00653DCF">
        <w:rPr>
          <w:color w:val="auto"/>
          <w:lang w:val="hr-HR"/>
        </w:rPr>
        <w:t xml:space="preserve">, zatraži Banka na način koji sama naznači Nositelju, ovisno o </w:t>
      </w:r>
      <w:r w:rsidR="004416DD" w:rsidRPr="00653DCF">
        <w:rPr>
          <w:color w:val="auto"/>
          <w:lang w:val="hr-HR"/>
        </w:rPr>
        <w:t xml:space="preserve">pojedinačnom slučaju. Ocjena takvih investicijskih projekata može rezultirati u dodatnim uvjetima i/ili obvezama za banku koje će se navesti u </w:t>
      </w:r>
      <w:r w:rsidR="002E702E" w:rsidRPr="00653DCF">
        <w:rPr>
          <w:color w:val="auto"/>
          <w:lang w:val="hr-HR"/>
        </w:rPr>
        <w:t>pismu</w:t>
      </w:r>
      <w:r w:rsidR="004416DD" w:rsidRPr="00653DCF">
        <w:rPr>
          <w:color w:val="auto"/>
          <w:lang w:val="hr-HR"/>
        </w:rPr>
        <w:t xml:space="preserve"> o dodjeli </w:t>
      </w:r>
      <w:r w:rsidR="002E702E" w:rsidRPr="00653DCF">
        <w:rPr>
          <w:color w:val="auto"/>
          <w:lang w:val="hr-HR"/>
        </w:rPr>
        <w:t>sredstava</w:t>
      </w:r>
      <w:r w:rsidR="004416DD" w:rsidRPr="00653DCF">
        <w:rPr>
          <w:color w:val="auto"/>
          <w:lang w:val="hr-HR"/>
        </w:rPr>
        <w:t>. Ako Nositelj ne prihvati te uvjete</w:t>
      </w:r>
      <w:r w:rsidR="00955774" w:rsidRPr="00653DCF">
        <w:rPr>
          <w:color w:val="auto"/>
          <w:lang w:val="hr-HR"/>
        </w:rPr>
        <w:t xml:space="preserve"> i/ili obveze, o tome treba obavijestiti Banku u roku od 10 dana od primitka pisma o dodjeli sredstava te će Banka nastaviti s preraspodjelom sredstava.</w:t>
      </w:r>
      <w:r w:rsidR="00335818" w:rsidRPr="00653DCF">
        <w:rPr>
          <w:color w:val="auto"/>
          <w:lang w:val="hr-HR"/>
        </w:rPr>
        <w:t xml:space="preserve"> </w:t>
      </w:r>
    </w:p>
    <w:p w14:paraId="305E7B7F" w14:textId="256151DF" w:rsidR="007A2A6F" w:rsidRPr="00653DCF" w:rsidRDefault="00E87B0B" w:rsidP="00955774">
      <w:pPr>
        <w:ind w:left="1418" w:hanging="567"/>
        <w:rPr>
          <w:color w:val="auto"/>
          <w:lang w:val="hr-HR"/>
        </w:rPr>
      </w:pPr>
      <w:r w:rsidRPr="00653DCF">
        <w:rPr>
          <w:color w:val="auto"/>
          <w:lang w:val="hr-HR"/>
        </w:rPr>
        <w:t>•</w:t>
      </w:r>
      <w:r w:rsidRPr="00653DCF">
        <w:rPr>
          <w:color w:val="auto"/>
          <w:lang w:val="hr-HR"/>
        </w:rPr>
        <w:tab/>
        <w:t xml:space="preserve">Svi zahtjevi za dodjelu </w:t>
      </w:r>
      <w:r w:rsidR="00955774" w:rsidRPr="00653DCF">
        <w:rPr>
          <w:color w:val="auto"/>
          <w:lang w:val="hr-HR"/>
        </w:rPr>
        <w:t>sredstava uključivat će i plan nabave za odgovarajuće investicijske projekte</w:t>
      </w:r>
      <w:r w:rsidRPr="00653DCF">
        <w:rPr>
          <w:color w:val="auto"/>
          <w:lang w:val="hr-HR"/>
        </w:rPr>
        <w:t>.</w:t>
      </w:r>
    </w:p>
    <w:p w14:paraId="7A5B1219" w14:textId="6D83BC60" w:rsidR="007A2A6F" w:rsidRPr="00653DCF" w:rsidRDefault="00E87B0B" w:rsidP="007D6F9B">
      <w:pPr>
        <w:ind w:hanging="5"/>
        <w:rPr>
          <w:color w:val="auto"/>
          <w:lang w:val="hr-HR"/>
        </w:rPr>
      </w:pPr>
      <w:r w:rsidRPr="00653DCF">
        <w:rPr>
          <w:color w:val="auto"/>
          <w:lang w:val="hr-HR"/>
        </w:rPr>
        <w:t>•</w:t>
      </w:r>
      <w:r w:rsidRPr="00653DCF">
        <w:rPr>
          <w:color w:val="auto"/>
          <w:lang w:val="hr-HR"/>
        </w:rPr>
        <w:tab/>
        <w:t>Konačni datum</w:t>
      </w:r>
      <w:r w:rsidR="002543C4" w:rsidRPr="00653DCF">
        <w:rPr>
          <w:color w:val="auto"/>
          <w:lang w:val="hr-HR"/>
        </w:rPr>
        <w:t xml:space="preserve"> dodjele sredstava ne može biti kasniji od </w:t>
      </w:r>
      <w:r w:rsidRPr="00653DCF">
        <w:rPr>
          <w:color w:val="auto"/>
          <w:lang w:val="hr-HR"/>
        </w:rPr>
        <w:t>31. prosinca 2032.</w:t>
      </w:r>
    </w:p>
    <w:p w14:paraId="262FEC7D" w14:textId="5B04B4C0" w:rsidR="007A2A6F" w:rsidRPr="00653DCF" w:rsidRDefault="00E87B0B">
      <w:pPr>
        <w:spacing w:after="200" w:line="276" w:lineRule="auto"/>
        <w:ind w:left="0"/>
        <w:jc w:val="left"/>
        <w:rPr>
          <w:color w:val="auto"/>
          <w:lang w:val="hr-HR"/>
        </w:rPr>
      </w:pPr>
      <w:r w:rsidRPr="00653DCF">
        <w:rPr>
          <w:color w:val="auto"/>
          <w:lang w:val="hr-HR"/>
        </w:rPr>
        <w:br w:type="page"/>
      </w:r>
    </w:p>
    <w:p w14:paraId="5E971259" w14:textId="619C7FED" w:rsidR="007A2A6F" w:rsidRPr="00653DCF" w:rsidRDefault="00E87B0B" w:rsidP="00317250">
      <w:pPr>
        <w:pStyle w:val="SubSchedule4EIB"/>
        <w:numPr>
          <w:ilvl w:val="4"/>
          <w:numId w:val="90"/>
        </w:numPr>
        <w:ind w:left="1560" w:hanging="1134"/>
        <w:rPr>
          <w:color w:val="auto"/>
        </w:rPr>
      </w:pPr>
      <w:r w:rsidRPr="00653DCF">
        <w:rPr>
          <w:color w:val="auto"/>
        </w:rPr>
        <w:t xml:space="preserve">Standardni </w:t>
      </w:r>
      <w:r w:rsidR="00D4128F" w:rsidRPr="00653DCF">
        <w:rPr>
          <w:color w:val="auto"/>
        </w:rPr>
        <w:t>obrazac</w:t>
      </w:r>
      <w:r w:rsidRPr="00653DCF">
        <w:rPr>
          <w:color w:val="auto"/>
        </w:rPr>
        <w:t xml:space="preserve"> zahtjeva za dodjelu </w:t>
      </w:r>
      <w:r w:rsidR="00D4128F" w:rsidRPr="00653DCF">
        <w:rPr>
          <w:color w:val="auto"/>
        </w:rPr>
        <w:t>sredstava za sve investicijske projekte</w:t>
      </w:r>
    </w:p>
    <w:p w14:paraId="3F47BA81" w14:textId="5D246953" w:rsidR="007A2A6F" w:rsidRPr="00653DCF" w:rsidRDefault="001114E5">
      <w:pPr>
        <w:spacing w:after="200" w:line="276" w:lineRule="auto"/>
        <w:ind w:left="0"/>
        <w:jc w:val="left"/>
        <w:rPr>
          <w:color w:val="auto"/>
        </w:rPr>
      </w:pPr>
      <w:r w:rsidRPr="00653DCF">
        <w:rPr>
          <w:color w:val="auto"/>
        </w:rPr>
        <w:t xml:space="preserve">         </w:t>
      </w:r>
      <w:r w:rsidR="00BE58AF" w:rsidRPr="00653DCF">
        <w:rPr>
          <w:noProof/>
          <w:color w:val="auto"/>
          <w:lang w:val="hr-HR" w:eastAsia="hr-HR"/>
        </w:rPr>
        <w:drawing>
          <wp:inline distT="0" distB="0" distL="0" distR="0" wp14:anchorId="1E58C9F1" wp14:editId="4651EEE7">
            <wp:extent cx="7801984" cy="4504717"/>
            <wp:effectExtent l="0" t="889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811910" cy="4510448"/>
                    </a:xfrm>
                    <a:prstGeom prst="rect">
                      <a:avLst/>
                    </a:prstGeom>
                    <a:noFill/>
                    <a:extLst/>
                  </pic:spPr>
                </pic:pic>
              </a:graphicData>
            </a:graphic>
          </wp:inline>
        </w:drawing>
      </w:r>
    </w:p>
    <w:p w14:paraId="58E97EE0" w14:textId="766D7F6D" w:rsidR="00D201C1" w:rsidRPr="00653DCF" w:rsidRDefault="00D201C1">
      <w:pPr>
        <w:spacing w:after="200" w:line="276" w:lineRule="auto"/>
        <w:ind w:left="0"/>
        <w:jc w:val="left"/>
        <w:rPr>
          <w:color w:val="auto"/>
        </w:rPr>
      </w:pPr>
      <w:r w:rsidRPr="00653DCF">
        <w:rPr>
          <w:noProof/>
          <w:color w:val="auto"/>
          <w:lang w:val="hr-HR" w:eastAsia="hr-HR"/>
        </w:rPr>
        <w:drawing>
          <wp:inline distT="0" distB="0" distL="0" distR="0" wp14:anchorId="61BE76A0" wp14:editId="7951710C">
            <wp:extent cx="8015728" cy="5726404"/>
            <wp:effectExtent l="1905"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8033798" cy="5739313"/>
                    </a:xfrm>
                    <a:prstGeom prst="rect">
                      <a:avLst/>
                    </a:prstGeom>
                    <a:noFill/>
                    <a:extLst/>
                  </pic:spPr>
                </pic:pic>
              </a:graphicData>
            </a:graphic>
          </wp:inline>
        </w:drawing>
      </w:r>
    </w:p>
    <w:p w14:paraId="322E5C03" w14:textId="441A4BD1" w:rsidR="007A2A6F" w:rsidRPr="00653DCF" w:rsidRDefault="007A2A6F">
      <w:pPr>
        <w:spacing w:after="200" w:line="276" w:lineRule="auto"/>
        <w:ind w:left="0"/>
        <w:jc w:val="left"/>
        <w:rPr>
          <w:color w:val="auto"/>
        </w:rPr>
      </w:pPr>
    </w:p>
    <w:p w14:paraId="0F6EF582" w14:textId="56C5A9E6" w:rsidR="007A2A6F" w:rsidRPr="00653DCF" w:rsidRDefault="00E87B0B" w:rsidP="00317250">
      <w:pPr>
        <w:pStyle w:val="SubSchedule4EIB"/>
        <w:numPr>
          <w:ilvl w:val="4"/>
          <w:numId w:val="91"/>
        </w:numPr>
        <w:ind w:left="993" w:hanging="993"/>
        <w:rPr>
          <w:color w:val="auto"/>
          <w:lang w:val="hr-HR"/>
        </w:rPr>
      </w:pPr>
      <w:r w:rsidRPr="00653DCF">
        <w:rPr>
          <w:color w:val="auto"/>
        </w:rPr>
        <w:t xml:space="preserve">Sažetak </w:t>
      </w:r>
      <w:r w:rsidRPr="00653DCF">
        <w:rPr>
          <w:color w:val="auto"/>
          <w:lang w:val="hr-HR"/>
        </w:rPr>
        <w:t xml:space="preserve">projekta za </w:t>
      </w:r>
      <w:r w:rsidR="000E08A1" w:rsidRPr="00653DCF">
        <w:rPr>
          <w:color w:val="auto"/>
          <w:lang w:val="hr-HR"/>
        </w:rPr>
        <w:t xml:space="preserve">investicijske projekte </w:t>
      </w:r>
      <w:r w:rsidRPr="00653DCF">
        <w:rPr>
          <w:color w:val="auto"/>
          <w:lang w:val="hr-HR"/>
        </w:rPr>
        <w:t>s ukupnim troškovima između 25 milijuna EUR i 50 milijuna EUR</w:t>
      </w:r>
    </w:p>
    <w:p w14:paraId="073F3B88" w14:textId="65665853" w:rsidR="007A2A6F" w:rsidRPr="00653DCF" w:rsidRDefault="00F332CD">
      <w:pPr>
        <w:pBdr>
          <w:top w:val="single" w:sz="4" w:space="1" w:color="auto"/>
          <w:left w:val="single" w:sz="4" w:space="4" w:color="auto"/>
          <w:bottom w:val="single" w:sz="4" w:space="1" w:color="auto"/>
          <w:right w:val="single" w:sz="4" w:space="4" w:color="auto"/>
        </w:pBdr>
        <w:shd w:val="clear" w:color="auto" w:fill="E0E0E0"/>
        <w:ind w:right="283" w:hanging="714"/>
        <w:jc w:val="center"/>
        <w:rPr>
          <w:caps/>
          <w:color w:val="auto"/>
          <w:lang w:val="hr-HR"/>
        </w:rPr>
      </w:pPr>
      <w:r w:rsidRPr="00653DCF">
        <w:rPr>
          <w:b/>
          <w:bCs/>
          <w:color w:val="auto"/>
          <w:lang w:val="hr-HR"/>
        </w:rPr>
        <w:t>SAŽETAK PROJEKTA</w:t>
      </w:r>
      <w:r w:rsidR="00E87B0B" w:rsidRPr="00653DCF">
        <w:rPr>
          <w:b/>
          <w:caps/>
          <w:color w:val="auto"/>
          <w:lang w:val="hr-HR"/>
        </w:rPr>
        <w:t xml:space="preserve"> </w:t>
      </w:r>
      <w:r w:rsidR="00E87B0B" w:rsidRPr="00653DCF">
        <w:rPr>
          <w:b/>
          <w:caps/>
          <w:color w:val="auto"/>
          <w:lang w:val="hr-HR"/>
        </w:rPr>
        <w:br/>
      </w:r>
      <w:r w:rsidR="00E87B0B" w:rsidRPr="00653DCF">
        <w:rPr>
          <w:caps/>
          <w:color w:val="auto"/>
          <w:lang w:val="hr-HR"/>
        </w:rPr>
        <w:t>(</w:t>
      </w:r>
      <w:r w:rsidRPr="00653DCF">
        <w:rPr>
          <w:color w:val="auto"/>
          <w:lang w:val="hr-HR"/>
        </w:rPr>
        <w:t xml:space="preserve">za investicijske projekte s ukupnim troškovima između </w:t>
      </w:r>
      <w:r w:rsidR="00E87B0B" w:rsidRPr="00653DCF">
        <w:rPr>
          <w:color w:val="auto"/>
          <w:lang w:val="hr-HR"/>
        </w:rPr>
        <w:t>25 i 50 milijuna EUR)</w:t>
      </w:r>
    </w:p>
    <w:p w14:paraId="6AE7CF7B" w14:textId="0398C3F6" w:rsidR="00494772" w:rsidRPr="00653DCF" w:rsidRDefault="00E87B0B" w:rsidP="007A3FEC">
      <w:pPr>
        <w:jc w:val="center"/>
        <w:rPr>
          <w:color w:val="auto"/>
        </w:rPr>
      </w:pPr>
      <w:r w:rsidRPr="00653DCF">
        <w:rPr>
          <w:color w:val="auto"/>
        </w:rPr>
        <w:t xml:space="preserve">OKVIRNI ZAJAM ZA </w:t>
      </w:r>
      <w:r w:rsidR="00762638" w:rsidRPr="00653DCF">
        <w:rPr>
          <w:color w:val="auto"/>
        </w:rPr>
        <w:t>PROJEKT „</w:t>
      </w:r>
      <w:r w:rsidR="00654793" w:rsidRPr="00653DCF">
        <w:rPr>
          <w:color w:val="auto"/>
        </w:rPr>
        <w:t>REVITALIZACIJA</w:t>
      </w:r>
      <w:r w:rsidR="00762638" w:rsidRPr="00653DCF">
        <w:rPr>
          <w:color w:val="auto"/>
        </w:rPr>
        <w:t xml:space="preserve"> ŽELJEZNIČKOG SUSTAVA REPUBLIKE HRVATSKE</w:t>
      </w:r>
      <w:r w:rsidR="00AD3373" w:rsidRPr="00653DCF">
        <w:rPr>
          <w:color w:val="auto"/>
        </w:rPr>
        <w:t>“</w:t>
      </w:r>
      <w:r w:rsidR="007A3FEC" w:rsidRPr="00653DCF">
        <w:rPr>
          <w:color w:val="auto"/>
        </w:rPr>
        <w:t xml:space="preserve"> </w:t>
      </w:r>
      <w:r w:rsidR="00494772" w:rsidRPr="00653DCF">
        <w:rPr>
          <w:rStyle w:val="FootnoteReference"/>
          <w:color w:val="auto"/>
        </w:rPr>
        <w:footnoteReference w:id="2"/>
      </w:r>
      <w:r w:rsidR="00494772" w:rsidRPr="00653DCF">
        <w:rPr>
          <w:color w:val="auto"/>
        </w:rPr>
        <w:t xml:space="preserve"> </w:t>
      </w:r>
      <w:r w:rsidR="00494772" w:rsidRPr="00653DCF">
        <w:rPr>
          <w:b/>
          <w:color w:val="auto"/>
        </w:rPr>
        <w:t>(2022–0660)</w:t>
      </w:r>
    </w:p>
    <w:p w14:paraId="4322E97D" w14:textId="7B61FE9F" w:rsidR="007A2A6F" w:rsidRPr="00653DCF" w:rsidRDefault="001F667D">
      <w:pPr>
        <w:pStyle w:val="P68B1DB1-Normal14"/>
        <w:rPr>
          <w:color w:val="auto"/>
          <w:lang w:val="hr-HR"/>
        </w:rPr>
      </w:pPr>
      <w:r w:rsidRPr="00653DCF">
        <w:rPr>
          <w:color w:val="auto"/>
          <w:lang w:val="hr-HR"/>
        </w:rPr>
        <w:t xml:space="preserve">Ovaj </w:t>
      </w:r>
      <w:r w:rsidR="00BC1F3D" w:rsidRPr="00653DCF">
        <w:rPr>
          <w:color w:val="auto"/>
          <w:lang w:val="hr-HR"/>
        </w:rPr>
        <w:t>s</w:t>
      </w:r>
      <w:r w:rsidRPr="00653DCF">
        <w:rPr>
          <w:color w:val="auto"/>
          <w:lang w:val="hr-HR"/>
        </w:rPr>
        <w:t xml:space="preserve">ažetak projekta </w:t>
      </w:r>
      <w:r w:rsidR="00FC57D5" w:rsidRPr="00653DCF">
        <w:rPr>
          <w:color w:val="auto"/>
          <w:lang w:val="hr-HR"/>
        </w:rPr>
        <w:t xml:space="preserve">mogao bi se zamijeniti bilo kojem internim dokumentom (npr. </w:t>
      </w:r>
      <w:r w:rsidR="00BC1F3D" w:rsidRPr="00653DCF">
        <w:rPr>
          <w:color w:val="auto"/>
          <w:lang w:val="hr-HR"/>
        </w:rPr>
        <w:t>z</w:t>
      </w:r>
      <w:r w:rsidR="00FC57D5" w:rsidRPr="00653DCF">
        <w:rPr>
          <w:color w:val="auto"/>
          <w:lang w:val="hr-HR"/>
        </w:rPr>
        <w:t xml:space="preserve">ahtjevom </w:t>
      </w:r>
      <w:r w:rsidR="00193636" w:rsidRPr="00653DCF">
        <w:rPr>
          <w:color w:val="auto"/>
          <w:lang w:val="hr-HR"/>
        </w:rPr>
        <w:t>koji</w:t>
      </w:r>
      <w:r w:rsidR="00FC57D5" w:rsidRPr="00653DCF">
        <w:rPr>
          <w:color w:val="auto"/>
          <w:lang w:val="hr-HR"/>
        </w:rPr>
        <w:t xml:space="preserve"> je podnio korisnik), a </w:t>
      </w:r>
      <w:r w:rsidR="00193636" w:rsidRPr="00653DCF">
        <w:rPr>
          <w:color w:val="auto"/>
          <w:lang w:val="hr-HR"/>
        </w:rPr>
        <w:t>koji</w:t>
      </w:r>
      <w:r w:rsidR="00FC57D5" w:rsidRPr="00653DCF">
        <w:rPr>
          <w:color w:val="auto"/>
          <w:lang w:val="hr-HR"/>
        </w:rPr>
        <w:t xml:space="preserve"> sadrži iste informacije</w:t>
      </w:r>
      <w:r w:rsidR="00E87B0B" w:rsidRPr="00653DCF">
        <w:rPr>
          <w:color w:val="auto"/>
          <w:lang w:val="hr-HR"/>
        </w:rPr>
        <w:t>.</w:t>
      </w:r>
    </w:p>
    <w:p w14:paraId="2D64439E" w14:textId="77777777" w:rsidR="007A2A6F" w:rsidRPr="00653DCF" w:rsidRDefault="007A2A6F">
      <w:pPr>
        <w:jc w:val="center"/>
        <w:rPr>
          <w:b/>
          <w:color w:val="auto"/>
          <w:sz w:val="16"/>
          <w:lang w:val="hr-HR"/>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06"/>
        <w:gridCol w:w="4556"/>
      </w:tblGrid>
      <w:tr w:rsidR="007A2A6F" w:rsidRPr="00653DCF" w14:paraId="6288480A" w14:textId="77777777">
        <w:tc>
          <w:tcPr>
            <w:tcW w:w="4605" w:type="dxa"/>
            <w:vMerge w:val="restart"/>
            <w:tcBorders>
              <w:top w:val="single" w:sz="4" w:space="0" w:color="auto"/>
              <w:left w:val="single" w:sz="4" w:space="0" w:color="auto"/>
              <w:right w:val="single" w:sz="4" w:space="0" w:color="auto"/>
            </w:tcBorders>
            <w:hideMark/>
          </w:tcPr>
          <w:p w14:paraId="7A82CAC1" w14:textId="4287A43E" w:rsidR="007A2A6F" w:rsidRPr="00653DCF" w:rsidRDefault="00E87B0B">
            <w:pPr>
              <w:rPr>
                <w:color w:val="auto"/>
                <w:lang w:val="hr-HR"/>
              </w:rPr>
            </w:pPr>
            <w:r w:rsidRPr="00653DCF">
              <w:rPr>
                <w:color w:val="auto"/>
                <w:u w:val="single"/>
                <w:lang w:val="hr-HR"/>
              </w:rPr>
              <w:t xml:space="preserve">Naziv </w:t>
            </w:r>
            <w:r w:rsidR="00FC57D5" w:rsidRPr="00653DCF">
              <w:rPr>
                <w:color w:val="auto"/>
                <w:u w:val="single"/>
                <w:lang w:val="hr-HR"/>
              </w:rPr>
              <w:t>investicijskog projekta</w:t>
            </w:r>
            <w:r w:rsidRPr="00653DCF">
              <w:rPr>
                <w:color w:val="auto"/>
                <w:lang w:val="hr-HR"/>
              </w:rPr>
              <w:t xml:space="preserve">: </w:t>
            </w:r>
          </w:p>
          <w:p w14:paraId="06A93D76" w14:textId="77777777" w:rsidR="007A2A6F" w:rsidRPr="00653DCF" w:rsidRDefault="007A2A6F">
            <w:pPr>
              <w:rPr>
                <w:color w:val="auto"/>
                <w:lang w:val="hr-HR"/>
              </w:rPr>
            </w:pPr>
          </w:p>
          <w:p w14:paraId="25A78859" w14:textId="77777777" w:rsidR="007A2A6F" w:rsidRPr="00653DCF" w:rsidRDefault="007A2A6F">
            <w:pPr>
              <w:rPr>
                <w:color w:val="auto"/>
                <w:lang w:val="hr-HR"/>
              </w:rPr>
            </w:pPr>
          </w:p>
          <w:p w14:paraId="272685D1" w14:textId="77777777" w:rsidR="007A2A6F" w:rsidRPr="00653DCF" w:rsidRDefault="007A2A6F">
            <w:pPr>
              <w:rPr>
                <w:color w:val="auto"/>
                <w:lang w:val="hr-HR"/>
              </w:rPr>
            </w:pPr>
          </w:p>
          <w:p w14:paraId="0BE86158" w14:textId="74B865A1" w:rsidR="007A2A6F" w:rsidRPr="00653DCF" w:rsidRDefault="00E87B0B">
            <w:pPr>
              <w:rPr>
                <w:color w:val="auto"/>
                <w:u w:val="single"/>
                <w:lang w:val="hr-HR"/>
              </w:rPr>
            </w:pPr>
            <w:r w:rsidRPr="00653DCF">
              <w:rPr>
                <w:color w:val="auto"/>
                <w:u w:val="single"/>
                <w:lang w:val="hr-HR"/>
              </w:rPr>
              <w:t xml:space="preserve">Referentni broj </w:t>
            </w:r>
            <w:r w:rsidR="00D744EB" w:rsidRPr="00653DCF">
              <w:rPr>
                <w:color w:val="auto"/>
                <w:u w:val="single"/>
                <w:lang w:val="hr-HR"/>
              </w:rPr>
              <w:t>investicijskog projekta</w:t>
            </w:r>
            <w:r w:rsidRPr="00653DCF">
              <w:rPr>
                <w:color w:val="auto"/>
                <w:lang w:val="hr-HR"/>
              </w:rPr>
              <w:t>:</w:t>
            </w:r>
          </w:p>
          <w:p w14:paraId="6CEB2C35" w14:textId="77777777" w:rsidR="007A2A6F" w:rsidRPr="00653DCF" w:rsidRDefault="007A2A6F">
            <w:pPr>
              <w:rPr>
                <w:color w:val="auto"/>
                <w:u w:val="single"/>
                <w:lang w:val="hr-HR"/>
              </w:rPr>
            </w:pPr>
          </w:p>
          <w:p w14:paraId="150BD2C9" w14:textId="77777777" w:rsidR="007A2A6F" w:rsidRPr="00653DCF" w:rsidRDefault="00E87B0B">
            <w:pPr>
              <w:rPr>
                <w:color w:val="auto"/>
                <w:lang w:val="hr-HR"/>
              </w:rPr>
            </w:pPr>
            <w:r w:rsidRPr="00653DCF">
              <w:rPr>
                <w:color w:val="auto"/>
                <w:u w:val="single"/>
                <w:lang w:val="hr-HR"/>
              </w:rPr>
              <w:t>Provedbeno tijelo</w:t>
            </w:r>
            <w:r w:rsidRPr="00653DCF">
              <w:rPr>
                <w:color w:val="auto"/>
                <w:lang w:val="hr-HR"/>
              </w:rPr>
              <w:t xml:space="preserve">: </w:t>
            </w:r>
          </w:p>
          <w:p w14:paraId="01A2214B" w14:textId="77777777" w:rsidR="007A2A6F" w:rsidRPr="00653DCF" w:rsidRDefault="007A2A6F">
            <w:pPr>
              <w:rPr>
                <w:color w:val="auto"/>
                <w:lang w:val="hr-HR"/>
              </w:rPr>
            </w:pPr>
          </w:p>
          <w:p w14:paraId="43E3FD88" w14:textId="77777777" w:rsidR="007A2A6F" w:rsidRPr="00653DCF" w:rsidRDefault="00E87B0B">
            <w:pPr>
              <w:rPr>
                <w:color w:val="auto"/>
                <w:lang w:val="hr-HR"/>
              </w:rPr>
            </w:pPr>
            <w:r w:rsidRPr="00653DCF">
              <w:rPr>
                <w:color w:val="auto"/>
                <w:u w:val="single"/>
                <w:lang w:val="hr-HR"/>
              </w:rPr>
              <w:t>Osoba za kontakt</w:t>
            </w:r>
            <w:r w:rsidRPr="00653DCF">
              <w:rPr>
                <w:color w:val="auto"/>
                <w:lang w:val="hr-HR"/>
              </w:rPr>
              <w:t xml:space="preserve">:  </w:t>
            </w:r>
          </w:p>
          <w:p w14:paraId="1C822898" w14:textId="77777777" w:rsidR="007A2A6F" w:rsidRPr="00653DCF" w:rsidRDefault="007A2A6F">
            <w:pPr>
              <w:rPr>
                <w:color w:val="auto"/>
                <w:lang w:val="hr-HR"/>
              </w:rPr>
            </w:pPr>
          </w:p>
          <w:p w14:paraId="485C1A86" w14:textId="77777777" w:rsidR="007A2A6F" w:rsidRPr="00653DCF" w:rsidRDefault="00E87B0B">
            <w:pPr>
              <w:rPr>
                <w:color w:val="auto"/>
                <w:lang w:val="hr-HR"/>
              </w:rPr>
            </w:pPr>
            <w:r w:rsidRPr="00653DCF">
              <w:rPr>
                <w:color w:val="auto"/>
                <w:u w:val="single"/>
                <w:lang w:val="hr-HR"/>
              </w:rPr>
              <w:t>Kontakt (e-pošta, telefon)</w:t>
            </w:r>
            <w:r w:rsidRPr="00653DCF">
              <w:rPr>
                <w:color w:val="auto"/>
                <w:lang w:val="hr-HR"/>
              </w:rPr>
              <w:t xml:space="preserve">: </w:t>
            </w:r>
          </w:p>
        </w:tc>
        <w:tc>
          <w:tcPr>
            <w:tcW w:w="4605" w:type="dxa"/>
            <w:tcBorders>
              <w:top w:val="single" w:sz="4" w:space="0" w:color="auto"/>
              <w:left w:val="single" w:sz="4" w:space="0" w:color="auto"/>
              <w:bottom w:val="nil"/>
              <w:right w:val="single" w:sz="4" w:space="0" w:color="auto"/>
            </w:tcBorders>
          </w:tcPr>
          <w:p w14:paraId="10724F37" w14:textId="012D402B" w:rsidR="007A2A6F" w:rsidRPr="00653DCF" w:rsidRDefault="00FC57D5">
            <w:pPr>
              <w:rPr>
                <w:color w:val="auto"/>
                <w:lang w:val="hr-HR"/>
              </w:rPr>
            </w:pPr>
            <w:r w:rsidRPr="00653DCF">
              <w:rPr>
                <w:color w:val="auto"/>
                <w:u w:val="single"/>
                <w:lang w:val="hr-HR"/>
              </w:rPr>
              <w:t>Nositelj investicijskog projekta</w:t>
            </w:r>
            <w:r w:rsidR="00E87B0B" w:rsidRPr="00653DCF">
              <w:rPr>
                <w:color w:val="auto"/>
                <w:lang w:val="hr-HR"/>
              </w:rPr>
              <w:t xml:space="preserve">: </w:t>
            </w:r>
          </w:p>
          <w:p w14:paraId="0C559DDE" w14:textId="77777777" w:rsidR="007A2A6F" w:rsidRPr="00653DCF" w:rsidRDefault="007A2A6F">
            <w:pPr>
              <w:rPr>
                <w:color w:val="auto"/>
                <w:lang w:val="hr-HR"/>
              </w:rPr>
            </w:pPr>
          </w:p>
          <w:p w14:paraId="4B95F98E" w14:textId="77777777" w:rsidR="007A2A6F" w:rsidRPr="00653DCF" w:rsidRDefault="00E87B0B">
            <w:pPr>
              <w:rPr>
                <w:color w:val="auto"/>
                <w:lang w:val="hr-HR"/>
              </w:rPr>
            </w:pPr>
            <w:r w:rsidRPr="00653DCF">
              <w:rPr>
                <w:color w:val="auto"/>
                <w:u w:val="single"/>
                <w:lang w:val="hr-HR"/>
              </w:rPr>
              <w:t>Lokacija</w:t>
            </w:r>
            <w:r w:rsidRPr="00653DCF">
              <w:rPr>
                <w:color w:val="auto"/>
                <w:lang w:val="hr-HR"/>
              </w:rPr>
              <w:t xml:space="preserve">: </w:t>
            </w:r>
          </w:p>
          <w:p w14:paraId="5393A75C" w14:textId="77777777" w:rsidR="007A2A6F" w:rsidRPr="00653DCF" w:rsidRDefault="007A2A6F">
            <w:pPr>
              <w:rPr>
                <w:color w:val="auto"/>
                <w:u w:val="single"/>
                <w:lang w:val="hr-HR"/>
              </w:rPr>
            </w:pPr>
          </w:p>
        </w:tc>
      </w:tr>
      <w:tr w:rsidR="007A2A6F" w:rsidRPr="00653DCF" w14:paraId="5697F92D" w14:textId="77777777">
        <w:trPr>
          <w:trHeight w:val="1194"/>
        </w:trPr>
        <w:tc>
          <w:tcPr>
            <w:tcW w:w="4605" w:type="dxa"/>
            <w:vMerge/>
            <w:tcBorders>
              <w:left w:val="single" w:sz="4" w:space="0" w:color="auto"/>
              <w:right w:val="single" w:sz="4" w:space="0" w:color="auto"/>
            </w:tcBorders>
          </w:tcPr>
          <w:p w14:paraId="21409CBF" w14:textId="77777777" w:rsidR="007A2A6F" w:rsidRPr="00653DCF" w:rsidRDefault="007A2A6F">
            <w:pPr>
              <w:rPr>
                <w:color w:val="auto"/>
                <w:lang w:val="hr-HR"/>
              </w:rPr>
            </w:pPr>
          </w:p>
        </w:tc>
        <w:tc>
          <w:tcPr>
            <w:tcW w:w="4605" w:type="dxa"/>
            <w:tcBorders>
              <w:top w:val="nil"/>
              <w:left w:val="single" w:sz="4" w:space="0" w:color="auto"/>
              <w:bottom w:val="nil"/>
              <w:right w:val="single" w:sz="4" w:space="0" w:color="auto"/>
            </w:tcBorders>
          </w:tcPr>
          <w:p w14:paraId="46CA218E" w14:textId="77777777" w:rsidR="007A2A6F" w:rsidRPr="00653DCF" w:rsidRDefault="00E87B0B">
            <w:pPr>
              <w:rPr>
                <w:color w:val="auto"/>
                <w:lang w:val="hr-HR"/>
              </w:rPr>
            </w:pPr>
            <w:r w:rsidRPr="00653DCF">
              <w:rPr>
                <w:color w:val="auto"/>
                <w:u w:val="single"/>
                <w:lang w:val="hr-HR"/>
              </w:rPr>
              <w:t>Sektor</w:t>
            </w:r>
            <w:r w:rsidRPr="00653DCF">
              <w:rPr>
                <w:color w:val="auto"/>
                <w:lang w:val="hr-HR"/>
              </w:rPr>
              <w:t xml:space="preserve">: </w:t>
            </w:r>
          </w:p>
          <w:p w14:paraId="53761A14" w14:textId="77777777" w:rsidR="007A2A6F" w:rsidRPr="00653DCF" w:rsidRDefault="007A2A6F">
            <w:pPr>
              <w:rPr>
                <w:color w:val="auto"/>
                <w:lang w:val="hr-HR"/>
              </w:rPr>
            </w:pPr>
          </w:p>
          <w:p w14:paraId="74D354C4" w14:textId="49E09A22" w:rsidR="007A2A6F" w:rsidRPr="00653DCF" w:rsidRDefault="00E87B0B">
            <w:pPr>
              <w:rPr>
                <w:color w:val="auto"/>
                <w:lang w:val="hr-HR"/>
              </w:rPr>
            </w:pPr>
            <w:r w:rsidRPr="00653DCF">
              <w:rPr>
                <w:color w:val="auto"/>
                <w:u w:val="single"/>
                <w:lang w:val="hr-HR"/>
              </w:rPr>
              <w:t>Vrsta</w:t>
            </w:r>
            <w:r w:rsidRPr="00653DCF">
              <w:rPr>
                <w:color w:val="auto"/>
                <w:lang w:val="hr-HR"/>
              </w:rPr>
              <w:t>: novi projekt/</w:t>
            </w:r>
            <w:r w:rsidR="00AB2468" w:rsidRPr="00653DCF">
              <w:rPr>
                <w:color w:val="auto"/>
                <w:lang w:val="hr-HR"/>
              </w:rPr>
              <w:t>produženje</w:t>
            </w:r>
            <w:r w:rsidRPr="00653DCF">
              <w:rPr>
                <w:color w:val="auto"/>
                <w:lang w:val="hr-HR"/>
              </w:rPr>
              <w:t>/</w:t>
            </w:r>
            <w:r w:rsidR="00AB2468" w:rsidRPr="00653DCF">
              <w:rPr>
                <w:color w:val="auto"/>
                <w:lang w:val="hr-HR"/>
              </w:rPr>
              <w:t>obnova</w:t>
            </w:r>
          </w:p>
          <w:p w14:paraId="6A67EBCC" w14:textId="77777777" w:rsidR="007A2A6F" w:rsidRPr="00653DCF" w:rsidRDefault="007A2A6F">
            <w:pPr>
              <w:rPr>
                <w:color w:val="auto"/>
                <w:lang w:val="hr-HR"/>
              </w:rPr>
            </w:pPr>
          </w:p>
          <w:p w14:paraId="2FCDD00B" w14:textId="77777777" w:rsidR="007A2A6F" w:rsidRPr="00653DCF" w:rsidRDefault="00E87B0B">
            <w:pPr>
              <w:rPr>
                <w:color w:val="auto"/>
                <w:lang w:val="hr-HR"/>
              </w:rPr>
            </w:pPr>
            <w:r w:rsidRPr="00653DCF">
              <w:rPr>
                <w:color w:val="auto"/>
                <w:u w:val="single"/>
                <w:lang w:val="hr-HR"/>
              </w:rPr>
              <w:t>Datum</w:t>
            </w:r>
            <w:r w:rsidRPr="00653DCF">
              <w:rPr>
                <w:color w:val="auto"/>
                <w:lang w:val="hr-HR"/>
              </w:rPr>
              <w:t xml:space="preserve">: </w:t>
            </w:r>
          </w:p>
          <w:p w14:paraId="05B31529" w14:textId="77777777" w:rsidR="007A2A6F" w:rsidRPr="00653DCF" w:rsidRDefault="007A2A6F">
            <w:pPr>
              <w:rPr>
                <w:color w:val="auto"/>
                <w:u w:val="single"/>
                <w:lang w:val="hr-HR"/>
              </w:rPr>
            </w:pPr>
          </w:p>
          <w:p w14:paraId="423F6D3B" w14:textId="77777777" w:rsidR="007A2A6F" w:rsidRPr="00653DCF" w:rsidRDefault="00E87B0B">
            <w:pPr>
              <w:rPr>
                <w:color w:val="auto"/>
                <w:lang w:val="hr-HR"/>
              </w:rPr>
            </w:pPr>
            <w:r w:rsidRPr="00653DCF">
              <w:rPr>
                <w:color w:val="auto"/>
                <w:u w:val="single"/>
                <w:lang w:val="hr-HR"/>
              </w:rPr>
              <w:t>Potpis</w:t>
            </w:r>
            <w:r w:rsidRPr="00653DCF">
              <w:rPr>
                <w:color w:val="auto"/>
                <w:lang w:val="hr-HR"/>
              </w:rPr>
              <w:t>:</w:t>
            </w:r>
          </w:p>
          <w:p w14:paraId="164E5823" w14:textId="77777777" w:rsidR="007A2A6F" w:rsidRPr="00653DCF" w:rsidRDefault="007A2A6F">
            <w:pPr>
              <w:rPr>
                <w:color w:val="auto"/>
                <w:lang w:val="hr-HR"/>
              </w:rPr>
            </w:pPr>
          </w:p>
        </w:tc>
      </w:tr>
      <w:tr w:rsidR="007A2A6F" w:rsidRPr="00653DCF" w14:paraId="1C1CBF1D" w14:textId="77777777">
        <w:trPr>
          <w:trHeight w:val="71"/>
        </w:trPr>
        <w:tc>
          <w:tcPr>
            <w:tcW w:w="4605" w:type="dxa"/>
            <w:vMerge/>
            <w:tcBorders>
              <w:left w:val="single" w:sz="4" w:space="0" w:color="auto"/>
              <w:bottom w:val="single" w:sz="4" w:space="0" w:color="auto"/>
              <w:right w:val="single" w:sz="4" w:space="0" w:color="auto"/>
            </w:tcBorders>
          </w:tcPr>
          <w:p w14:paraId="1F3F119C" w14:textId="77777777" w:rsidR="007A2A6F" w:rsidRPr="00653DCF" w:rsidRDefault="007A2A6F">
            <w:pPr>
              <w:rPr>
                <w:color w:val="auto"/>
                <w:lang w:val="hr-HR"/>
              </w:rPr>
            </w:pPr>
          </w:p>
        </w:tc>
        <w:tc>
          <w:tcPr>
            <w:tcW w:w="4605" w:type="dxa"/>
            <w:tcBorders>
              <w:top w:val="nil"/>
              <w:left w:val="single" w:sz="4" w:space="0" w:color="auto"/>
              <w:bottom w:val="single" w:sz="4" w:space="0" w:color="auto"/>
              <w:right w:val="single" w:sz="4" w:space="0" w:color="auto"/>
            </w:tcBorders>
          </w:tcPr>
          <w:p w14:paraId="5193547A" w14:textId="77777777" w:rsidR="007A2A6F" w:rsidRPr="00653DCF" w:rsidRDefault="007A2A6F">
            <w:pPr>
              <w:rPr>
                <w:color w:val="auto"/>
                <w:lang w:val="hr-HR"/>
              </w:rPr>
            </w:pPr>
          </w:p>
        </w:tc>
      </w:tr>
    </w:tbl>
    <w:p w14:paraId="15DC7981" w14:textId="77777777" w:rsidR="007A2A6F" w:rsidRPr="00653DCF" w:rsidRDefault="007A2A6F">
      <w:pPr>
        <w:rPr>
          <w:b/>
          <w:color w:val="auto"/>
          <w:lang w:val="hr-HR"/>
        </w:rPr>
      </w:pPr>
    </w:p>
    <w:p w14:paraId="462E05A8" w14:textId="0C4FBBCB" w:rsidR="007A2A6F" w:rsidRPr="00653DCF" w:rsidRDefault="00D744EB" w:rsidP="006010BF">
      <w:pPr>
        <w:pStyle w:val="P68B1DB1-Normal15"/>
        <w:numPr>
          <w:ilvl w:val="0"/>
          <w:numId w:val="78"/>
        </w:numPr>
        <w:tabs>
          <w:tab w:val="clear" w:pos="340"/>
          <w:tab w:val="num" w:pos="709"/>
        </w:tabs>
        <w:spacing w:after="0"/>
        <w:ind w:left="851" w:hanging="851"/>
        <w:rPr>
          <w:color w:val="auto"/>
          <w:lang w:val="hr-HR"/>
        </w:rPr>
      </w:pPr>
      <w:r w:rsidRPr="00653DCF">
        <w:rPr>
          <w:color w:val="auto"/>
          <w:lang w:val="hr-HR"/>
        </w:rPr>
        <w:t>Investicijski projekt</w:t>
      </w:r>
    </w:p>
    <w:p w14:paraId="6E9BD5EB" w14:textId="71367F36" w:rsidR="007A2A6F" w:rsidRPr="00653DCF" w:rsidRDefault="00D744EB" w:rsidP="006010BF">
      <w:pPr>
        <w:pStyle w:val="P68B1DB1-Normal2"/>
        <w:numPr>
          <w:ilvl w:val="1"/>
          <w:numId w:val="79"/>
        </w:numPr>
        <w:spacing w:after="0"/>
        <w:rPr>
          <w:color w:val="auto"/>
          <w:lang w:val="hr-HR"/>
        </w:rPr>
      </w:pPr>
      <w:r w:rsidRPr="00653DCF">
        <w:rPr>
          <w:color w:val="auto"/>
          <w:lang w:val="hr-HR"/>
        </w:rPr>
        <w:t>Kontekst</w:t>
      </w:r>
    </w:p>
    <w:p w14:paraId="6B6A9B0B" w14:textId="77777777" w:rsidR="007A2A6F" w:rsidRPr="00653DCF" w:rsidRDefault="007A2A6F">
      <w:pPr>
        <w:ind w:left="540"/>
        <w:rPr>
          <w:color w:val="auto"/>
          <w:sz w:val="16"/>
          <w:lang w:val="hr-HR"/>
        </w:rPr>
      </w:pPr>
    </w:p>
    <w:p w14:paraId="73CAECCE" w14:textId="04DA2300" w:rsidR="007A2A6F" w:rsidRPr="00653DCF" w:rsidRDefault="00E87B0B" w:rsidP="006010BF">
      <w:pPr>
        <w:pStyle w:val="P68B1DB1-Normal2"/>
        <w:numPr>
          <w:ilvl w:val="1"/>
          <w:numId w:val="79"/>
        </w:numPr>
        <w:spacing w:before="120"/>
        <w:ind w:left="0" w:firstLine="0"/>
        <w:rPr>
          <w:color w:val="auto"/>
          <w:lang w:val="hr-HR"/>
        </w:rPr>
      </w:pPr>
      <w:r w:rsidRPr="00653DCF">
        <w:rPr>
          <w:color w:val="auto"/>
          <w:lang w:val="hr-HR"/>
        </w:rPr>
        <w:t xml:space="preserve">Razlozi za </w:t>
      </w:r>
      <w:r w:rsidR="00DF6CE6" w:rsidRPr="00653DCF">
        <w:rPr>
          <w:color w:val="auto"/>
          <w:lang w:val="hr-HR"/>
        </w:rPr>
        <w:t xml:space="preserve">realizaciju Projekta i </w:t>
      </w:r>
      <w:r w:rsidRPr="00653DCF">
        <w:rPr>
          <w:color w:val="auto"/>
          <w:lang w:val="hr-HR"/>
        </w:rPr>
        <w:t>ključni ciljevi</w:t>
      </w:r>
    </w:p>
    <w:p w14:paraId="4AEB85C2" w14:textId="4856A868" w:rsidR="007A2A6F" w:rsidRPr="00653DCF" w:rsidRDefault="00E87B0B">
      <w:pPr>
        <w:ind w:left="0" w:firstLine="720"/>
        <w:rPr>
          <w:color w:val="auto"/>
          <w:lang w:val="hr-HR"/>
        </w:rPr>
      </w:pPr>
      <w:r w:rsidRPr="00653DCF">
        <w:rPr>
          <w:color w:val="auto"/>
          <w:lang w:val="hr-HR"/>
        </w:rPr>
        <w:t xml:space="preserve">(Vidjeti strateške planove u koje je </w:t>
      </w:r>
      <w:r w:rsidR="00DF6CE6" w:rsidRPr="00653DCF">
        <w:rPr>
          <w:color w:val="auto"/>
          <w:lang w:val="hr-HR"/>
        </w:rPr>
        <w:t>P</w:t>
      </w:r>
      <w:r w:rsidRPr="00653DCF">
        <w:rPr>
          <w:color w:val="auto"/>
          <w:lang w:val="hr-HR"/>
        </w:rPr>
        <w:t>rojekt integriran).</w:t>
      </w:r>
    </w:p>
    <w:p w14:paraId="4877451C" w14:textId="0E0583B6" w:rsidR="007A2A6F" w:rsidRPr="00653DCF" w:rsidRDefault="00E87B0B" w:rsidP="006010BF">
      <w:pPr>
        <w:pStyle w:val="P68B1DB1-Normal2"/>
        <w:numPr>
          <w:ilvl w:val="1"/>
          <w:numId w:val="79"/>
        </w:numPr>
        <w:spacing w:before="120" w:after="0"/>
        <w:ind w:left="0" w:firstLine="0"/>
        <w:rPr>
          <w:color w:val="auto"/>
          <w:lang w:val="hr-HR"/>
        </w:rPr>
      </w:pPr>
      <w:r w:rsidRPr="00653DCF">
        <w:rPr>
          <w:color w:val="auto"/>
          <w:lang w:val="hr-HR"/>
        </w:rPr>
        <w:t xml:space="preserve">Tehnički opis </w:t>
      </w:r>
      <w:r w:rsidR="00DF6CE6" w:rsidRPr="00653DCF">
        <w:rPr>
          <w:color w:val="auto"/>
          <w:lang w:val="hr-HR"/>
        </w:rPr>
        <w:t>P</w:t>
      </w:r>
      <w:r w:rsidRPr="00653DCF">
        <w:rPr>
          <w:color w:val="auto"/>
          <w:lang w:val="hr-HR"/>
        </w:rPr>
        <w:t xml:space="preserve">rojekta, uključujući relevantne </w:t>
      </w:r>
      <w:r w:rsidR="00DF6CE6" w:rsidRPr="00653DCF">
        <w:rPr>
          <w:color w:val="auto"/>
          <w:lang w:val="hr-HR"/>
        </w:rPr>
        <w:t xml:space="preserve">glavne </w:t>
      </w:r>
      <w:r w:rsidRPr="00653DCF">
        <w:rPr>
          <w:color w:val="auto"/>
          <w:lang w:val="hr-HR"/>
        </w:rPr>
        <w:t xml:space="preserve">dimenzije i kapacitete </w:t>
      </w:r>
    </w:p>
    <w:p w14:paraId="22A310A6" w14:textId="77777777" w:rsidR="007A2A6F" w:rsidRPr="00653DCF" w:rsidRDefault="007A2A6F">
      <w:pPr>
        <w:pStyle w:val="text"/>
        <w:autoSpaceDE w:val="0"/>
        <w:autoSpaceDN w:val="0"/>
        <w:adjustRightInd w:val="0"/>
        <w:ind w:left="0"/>
        <w:rPr>
          <w:rFonts w:cs="Arial"/>
          <w:lang w:val="hr-HR"/>
        </w:rPr>
      </w:pPr>
    </w:p>
    <w:p w14:paraId="64C28319" w14:textId="634E82C5" w:rsidR="007A2A6F" w:rsidRPr="00653DCF" w:rsidRDefault="00DF6CE6" w:rsidP="006010BF">
      <w:pPr>
        <w:pStyle w:val="P68B1DB1-Normal2"/>
        <w:numPr>
          <w:ilvl w:val="1"/>
          <w:numId w:val="79"/>
        </w:numPr>
        <w:spacing w:before="120" w:after="0"/>
        <w:ind w:left="0" w:firstLine="0"/>
        <w:rPr>
          <w:color w:val="auto"/>
          <w:lang w:val="hr-HR"/>
        </w:rPr>
      </w:pPr>
      <w:r w:rsidRPr="00653DCF">
        <w:rPr>
          <w:color w:val="auto"/>
          <w:lang w:val="hr-HR"/>
        </w:rPr>
        <w:t xml:space="preserve">Tijelo/tijela odgovorno/a za </w:t>
      </w:r>
      <w:r w:rsidR="00A40D91" w:rsidRPr="00653DCF">
        <w:rPr>
          <w:color w:val="auto"/>
          <w:lang w:val="hr-HR"/>
        </w:rPr>
        <w:t>idejno rješenje, izgradnju i nadzor</w:t>
      </w:r>
    </w:p>
    <w:p w14:paraId="152C4B46" w14:textId="77777777" w:rsidR="007A2A6F" w:rsidRPr="00653DCF" w:rsidRDefault="00E87B0B">
      <w:pPr>
        <w:ind w:left="540"/>
        <w:rPr>
          <w:color w:val="auto"/>
          <w:sz w:val="10"/>
          <w:lang w:val="hr-HR"/>
        </w:rPr>
      </w:pPr>
      <w:r w:rsidRPr="00653DCF">
        <w:rPr>
          <w:color w:val="auto"/>
          <w:lang w:val="hr-HR"/>
        </w:rPr>
        <w:t xml:space="preserve"> </w:t>
      </w:r>
    </w:p>
    <w:p w14:paraId="5F507333" w14:textId="4EDB524F" w:rsidR="007A2A6F" w:rsidRPr="00653DCF" w:rsidRDefault="00A40D91" w:rsidP="006010BF">
      <w:pPr>
        <w:numPr>
          <w:ilvl w:val="1"/>
          <w:numId w:val="79"/>
        </w:numPr>
        <w:spacing w:before="120"/>
        <w:ind w:left="0" w:firstLine="0"/>
        <w:rPr>
          <w:color w:val="auto"/>
          <w:lang w:val="hr-HR"/>
        </w:rPr>
      </w:pPr>
      <w:r w:rsidRPr="00653DCF">
        <w:rPr>
          <w:b/>
          <w:color w:val="auto"/>
          <w:lang w:val="hr-HR"/>
        </w:rPr>
        <w:t xml:space="preserve">Investicijski trošak </w:t>
      </w:r>
      <w:r w:rsidR="00E87B0B" w:rsidRPr="00653DCF">
        <w:rPr>
          <w:color w:val="auto"/>
          <w:lang w:val="hr-HR"/>
        </w:rPr>
        <w:t>(ukupno)</w:t>
      </w:r>
      <w:r w:rsidR="00E87B0B" w:rsidRPr="00653DCF">
        <w:rPr>
          <w:color w:val="auto"/>
          <w:lang w:val="hr-HR"/>
        </w:rPr>
        <w:tab/>
      </w:r>
      <w:r w:rsidR="00E87B0B" w:rsidRPr="00653DCF">
        <w:rPr>
          <w:b/>
          <w:color w:val="auto"/>
          <w:lang w:val="hr-HR"/>
        </w:rPr>
        <w:tab/>
      </w:r>
      <w:r w:rsidR="00E87B0B" w:rsidRPr="00653DCF">
        <w:rPr>
          <w:b/>
          <w:color w:val="auto"/>
          <w:lang w:val="hr-HR"/>
        </w:rPr>
        <w:tab/>
      </w:r>
      <w:r w:rsidR="00E87B0B" w:rsidRPr="00653DCF">
        <w:rPr>
          <w:b/>
          <w:color w:val="auto"/>
          <w:lang w:val="hr-HR"/>
        </w:rPr>
        <w:tab/>
      </w:r>
      <w:r w:rsidR="00E87B0B" w:rsidRPr="00653DCF">
        <w:rPr>
          <w:b/>
          <w:color w:val="auto"/>
          <w:lang w:val="hr-HR"/>
        </w:rPr>
        <w:tab/>
      </w:r>
      <w:r w:rsidR="00E87B0B" w:rsidRPr="00653DCF">
        <w:rPr>
          <w:b/>
          <w:color w:val="auto"/>
          <w:lang w:val="hr-HR"/>
        </w:rPr>
        <w:tab/>
      </w:r>
      <w:r w:rsidR="00E87B0B" w:rsidRPr="00653DCF">
        <w:rPr>
          <w:color w:val="auto"/>
          <w:lang w:val="hr-HR"/>
        </w:rPr>
        <w:t>u EUR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4"/>
        <w:gridCol w:w="2430"/>
      </w:tblGrid>
      <w:tr w:rsidR="007A2A6F" w:rsidRPr="00653DCF" w14:paraId="3782740E" w14:textId="77777777">
        <w:tc>
          <w:tcPr>
            <w:tcW w:w="5804" w:type="dxa"/>
            <w:tcBorders>
              <w:top w:val="single" w:sz="4" w:space="0" w:color="auto"/>
              <w:left w:val="single" w:sz="4" w:space="0" w:color="auto"/>
              <w:bottom w:val="nil"/>
              <w:right w:val="single" w:sz="4" w:space="0" w:color="auto"/>
            </w:tcBorders>
            <w:hideMark/>
          </w:tcPr>
          <w:p w14:paraId="2C606344" w14:textId="3EE8795D" w:rsidR="007A2A6F" w:rsidRPr="00653DCF" w:rsidRDefault="00A40D91">
            <w:pPr>
              <w:spacing w:before="20" w:after="20"/>
              <w:rPr>
                <w:color w:val="auto"/>
                <w:lang w:val="hr-HR"/>
              </w:rPr>
            </w:pPr>
            <w:r w:rsidRPr="00653DCF">
              <w:rPr>
                <w:color w:val="auto"/>
                <w:lang w:val="hr-HR"/>
              </w:rPr>
              <w:t xml:space="preserve">Projektiranje </w:t>
            </w:r>
            <w:r w:rsidR="00E87B0B" w:rsidRPr="00653DCF">
              <w:rPr>
                <w:color w:val="auto"/>
                <w:lang w:val="hr-HR"/>
              </w:rPr>
              <w:t>i nadzor</w:t>
            </w:r>
          </w:p>
        </w:tc>
        <w:tc>
          <w:tcPr>
            <w:tcW w:w="2430" w:type="dxa"/>
            <w:tcBorders>
              <w:top w:val="single" w:sz="4" w:space="0" w:color="auto"/>
              <w:left w:val="single" w:sz="4" w:space="0" w:color="auto"/>
              <w:bottom w:val="nil"/>
              <w:right w:val="single" w:sz="4" w:space="0" w:color="auto"/>
            </w:tcBorders>
            <w:hideMark/>
          </w:tcPr>
          <w:p w14:paraId="08CCE539" w14:textId="2B21160C" w:rsidR="007A2A6F" w:rsidRPr="00653DCF" w:rsidRDefault="00BC1F3D">
            <w:pPr>
              <w:spacing w:before="20" w:after="20"/>
              <w:jc w:val="center"/>
              <w:rPr>
                <w:color w:val="auto"/>
                <w:lang w:val="hr-HR"/>
              </w:rPr>
            </w:pPr>
            <w:r w:rsidRPr="00653DCF">
              <w:rPr>
                <w:color w:val="auto"/>
                <w:lang w:val="hr-HR"/>
              </w:rPr>
              <w:t>-</w:t>
            </w:r>
          </w:p>
        </w:tc>
      </w:tr>
      <w:tr w:rsidR="007A2A6F" w:rsidRPr="00653DCF" w14:paraId="00B37CB4" w14:textId="77777777">
        <w:tc>
          <w:tcPr>
            <w:tcW w:w="5804" w:type="dxa"/>
            <w:tcBorders>
              <w:top w:val="nil"/>
              <w:left w:val="single" w:sz="4" w:space="0" w:color="auto"/>
              <w:bottom w:val="nil"/>
              <w:right w:val="single" w:sz="4" w:space="0" w:color="auto"/>
            </w:tcBorders>
            <w:hideMark/>
          </w:tcPr>
          <w:p w14:paraId="22AB0758" w14:textId="3F09F30C" w:rsidR="007A2A6F" w:rsidRPr="00653DCF" w:rsidRDefault="00E87B0B">
            <w:pPr>
              <w:spacing w:before="20" w:after="20"/>
              <w:rPr>
                <w:color w:val="auto"/>
                <w:lang w:val="hr-HR"/>
              </w:rPr>
            </w:pPr>
            <w:r w:rsidRPr="00653DCF">
              <w:rPr>
                <w:color w:val="auto"/>
                <w:lang w:val="hr-HR"/>
              </w:rPr>
              <w:t>Zemljišt</w:t>
            </w:r>
            <w:r w:rsidR="00383572" w:rsidRPr="00653DCF">
              <w:rPr>
                <w:color w:val="auto"/>
                <w:lang w:val="hr-HR"/>
              </w:rPr>
              <w:t>a</w:t>
            </w:r>
          </w:p>
        </w:tc>
        <w:tc>
          <w:tcPr>
            <w:tcW w:w="2430" w:type="dxa"/>
            <w:tcBorders>
              <w:top w:val="nil"/>
              <w:left w:val="single" w:sz="4" w:space="0" w:color="auto"/>
              <w:bottom w:val="nil"/>
              <w:right w:val="single" w:sz="4" w:space="0" w:color="auto"/>
            </w:tcBorders>
            <w:hideMark/>
          </w:tcPr>
          <w:p w14:paraId="16456EAC" w14:textId="2CFBD577" w:rsidR="007A2A6F" w:rsidRPr="00653DCF" w:rsidRDefault="00BC1F3D">
            <w:pPr>
              <w:spacing w:before="20" w:after="20"/>
              <w:jc w:val="center"/>
              <w:rPr>
                <w:color w:val="auto"/>
                <w:lang w:val="hr-HR"/>
              </w:rPr>
            </w:pPr>
            <w:r w:rsidRPr="00653DCF">
              <w:rPr>
                <w:color w:val="auto"/>
                <w:lang w:val="hr-HR"/>
              </w:rPr>
              <w:t>-</w:t>
            </w:r>
          </w:p>
        </w:tc>
      </w:tr>
      <w:tr w:rsidR="007A2A6F" w:rsidRPr="00653DCF" w14:paraId="0995E961" w14:textId="77777777">
        <w:tc>
          <w:tcPr>
            <w:tcW w:w="5804" w:type="dxa"/>
            <w:tcBorders>
              <w:top w:val="nil"/>
              <w:left w:val="single" w:sz="4" w:space="0" w:color="auto"/>
              <w:bottom w:val="nil"/>
              <w:right w:val="single" w:sz="4" w:space="0" w:color="auto"/>
            </w:tcBorders>
            <w:hideMark/>
          </w:tcPr>
          <w:p w14:paraId="00C3AC0F" w14:textId="3C756709" w:rsidR="007A2A6F" w:rsidRPr="00653DCF" w:rsidRDefault="00E87B0B">
            <w:pPr>
              <w:spacing w:before="20" w:after="20"/>
              <w:rPr>
                <w:color w:val="auto"/>
                <w:lang w:val="hr-HR"/>
              </w:rPr>
            </w:pPr>
            <w:r w:rsidRPr="00653DCF">
              <w:rPr>
                <w:color w:val="auto"/>
                <w:lang w:val="hr-HR"/>
              </w:rPr>
              <w:t>Građevinski radovi (</w:t>
            </w:r>
            <w:r w:rsidR="00383572" w:rsidRPr="00653DCF">
              <w:rPr>
                <w:color w:val="auto"/>
                <w:lang w:val="hr-HR"/>
              </w:rPr>
              <w:t>izgradnja</w:t>
            </w:r>
            <w:r w:rsidRPr="00653DCF">
              <w:rPr>
                <w:color w:val="auto"/>
                <w:lang w:val="hr-HR"/>
              </w:rPr>
              <w:t>)</w:t>
            </w:r>
          </w:p>
        </w:tc>
        <w:tc>
          <w:tcPr>
            <w:tcW w:w="2430" w:type="dxa"/>
            <w:tcBorders>
              <w:top w:val="nil"/>
              <w:left w:val="single" w:sz="4" w:space="0" w:color="auto"/>
              <w:bottom w:val="nil"/>
              <w:right w:val="single" w:sz="4" w:space="0" w:color="auto"/>
            </w:tcBorders>
            <w:hideMark/>
          </w:tcPr>
          <w:p w14:paraId="6DAC646F" w14:textId="27F74495" w:rsidR="007A2A6F" w:rsidRPr="00653DCF" w:rsidRDefault="00BC1F3D">
            <w:pPr>
              <w:spacing w:before="20" w:after="20"/>
              <w:jc w:val="center"/>
              <w:rPr>
                <w:color w:val="auto"/>
                <w:lang w:val="hr-HR"/>
              </w:rPr>
            </w:pPr>
            <w:r w:rsidRPr="00653DCF">
              <w:rPr>
                <w:color w:val="auto"/>
                <w:lang w:val="hr-HR"/>
              </w:rPr>
              <w:t>-</w:t>
            </w:r>
          </w:p>
        </w:tc>
      </w:tr>
      <w:tr w:rsidR="007A2A6F" w:rsidRPr="00653DCF" w14:paraId="18212B0E" w14:textId="77777777">
        <w:tc>
          <w:tcPr>
            <w:tcW w:w="5804" w:type="dxa"/>
            <w:tcBorders>
              <w:top w:val="nil"/>
              <w:left w:val="single" w:sz="4" w:space="0" w:color="auto"/>
              <w:bottom w:val="nil"/>
              <w:right w:val="single" w:sz="4" w:space="0" w:color="auto"/>
            </w:tcBorders>
            <w:hideMark/>
          </w:tcPr>
          <w:p w14:paraId="5726DA85" w14:textId="77777777" w:rsidR="007A2A6F" w:rsidRPr="00653DCF" w:rsidRDefault="00E87B0B">
            <w:pPr>
              <w:spacing w:before="20" w:after="20"/>
              <w:rPr>
                <w:color w:val="auto"/>
                <w:lang w:val="hr-HR"/>
              </w:rPr>
            </w:pPr>
            <w:r w:rsidRPr="00653DCF">
              <w:rPr>
                <w:color w:val="auto"/>
                <w:lang w:val="hr-HR"/>
              </w:rPr>
              <w:t>Oprema</w:t>
            </w:r>
          </w:p>
        </w:tc>
        <w:tc>
          <w:tcPr>
            <w:tcW w:w="2430" w:type="dxa"/>
            <w:tcBorders>
              <w:top w:val="nil"/>
              <w:left w:val="single" w:sz="4" w:space="0" w:color="auto"/>
              <w:bottom w:val="nil"/>
              <w:right w:val="single" w:sz="4" w:space="0" w:color="auto"/>
            </w:tcBorders>
            <w:hideMark/>
          </w:tcPr>
          <w:p w14:paraId="089A0792" w14:textId="5531701E" w:rsidR="007A2A6F" w:rsidRPr="00653DCF" w:rsidRDefault="00BC1F3D">
            <w:pPr>
              <w:spacing w:before="20" w:after="20"/>
              <w:jc w:val="center"/>
              <w:rPr>
                <w:color w:val="auto"/>
                <w:lang w:val="hr-HR"/>
              </w:rPr>
            </w:pPr>
            <w:r w:rsidRPr="00653DCF">
              <w:rPr>
                <w:color w:val="auto"/>
                <w:lang w:val="hr-HR"/>
              </w:rPr>
              <w:t>-</w:t>
            </w:r>
          </w:p>
        </w:tc>
      </w:tr>
      <w:tr w:rsidR="007A2A6F" w:rsidRPr="00653DCF" w14:paraId="55263867" w14:textId="77777777">
        <w:tc>
          <w:tcPr>
            <w:tcW w:w="5804" w:type="dxa"/>
            <w:tcBorders>
              <w:top w:val="nil"/>
              <w:left w:val="single" w:sz="4" w:space="0" w:color="auto"/>
              <w:bottom w:val="nil"/>
              <w:right w:val="single" w:sz="4" w:space="0" w:color="auto"/>
            </w:tcBorders>
            <w:hideMark/>
          </w:tcPr>
          <w:p w14:paraId="4B7D88B5" w14:textId="77777777" w:rsidR="007A2A6F" w:rsidRPr="00653DCF" w:rsidRDefault="00E87B0B">
            <w:pPr>
              <w:spacing w:before="20" w:after="20"/>
              <w:rPr>
                <w:color w:val="auto"/>
                <w:lang w:val="hr-HR"/>
              </w:rPr>
            </w:pPr>
            <w:r w:rsidRPr="00653DCF">
              <w:rPr>
                <w:color w:val="auto"/>
                <w:lang w:val="hr-HR"/>
              </w:rPr>
              <w:t>Razno</w:t>
            </w:r>
          </w:p>
        </w:tc>
        <w:tc>
          <w:tcPr>
            <w:tcW w:w="2430" w:type="dxa"/>
            <w:tcBorders>
              <w:top w:val="nil"/>
              <w:left w:val="single" w:sz="4" w:space="0" w:color="auto"/>
              <w:bottom w:val="nil"/>
              <w:right w:val="single" w:sz="4" w:space="0" w:color="auto"/>
            </w:tcBorders>
            <w:hideMark/>
          </w:tcPr>
          <w:p w14:paraId="29F272AE" w14:textId="76D34EA8" w:rsidR="007A2A6F" w:rsidRPr="00653DCF" w:rsidRDefault="00BC1F3D">
            <w:pPr>
              <w:spacing w:before="20" w:after="20"/>
              <w:jc w:val="center"/>
              <w:rPr>
                <w:color w:val="auto"/>
                <w:lang w:val="hr-HR"/>
              </w:rPr>
            </w:pPr>
            <w:r w:rsidRPr="00653DCF">
              <w:rPr>
                <w:color w:val="auto"/>
                <w:lang w:val="hr-HR"/>
              </w:rPr>
              <w:t>-</w:t>
            </w:r>
          </w:p>
        </w:tc>
      </w:tr>
      <w:tr w:rsidR="007A2A6F" w:rsidRPr="00653DCF" w14:paraId="0AB9F3ED" w14:textId="77777777">
        <w:tc>
          <w:tcPr>
            <w:tcW w:w="5804" w:type="dxa"/>
            <w:tcBorders>
              <w:top w:val="nil"/>
              <w:left w:val="single" w:sz="4" w:space="0" w:color="auto"/>
              <w:bottom w:val="nil"/>
              <w:right w:val="single" w:sz="4" w:space="0" w:color="auto"/>
            </w:tcBorders>
            <w:hideMark/>
          </w:tcPr>
          <w:p w14:paraId="364EB44A" w14:textId="3B32A8E4" w:rsidR="007A2A6F" w:rsidRPr="00653DCF" w:rsidRDefault="00383572">
            <w:pPr>
              <w:tabs>
                <w:tab w:val="right" w:pos="5724"/>
              </w:tabs>
              <w:spacing w:before="20" w:after="20"/>
              <w:rPr>
                <w:color w:val="auto"/>
                <w:lang w:val="hr-HR"/>
              </w:rPr>
            </w:pPr>
            <w:r w:rsidRPr="00653DCF">
              <w:rPr>
                <w:color w:val="auto"/>
                <w:lang w:val="hr-HR"/>
              </w:rPr>
              <w:t>Nepredviđene tehničke okolnosti</w:t>
            </w:r>
            <w:r w:rsidR="00E87B0B" w:rsidRPr="00653DCF">
              <w:rPr>
                <w:color w:val="auto"/>
                <w:lang w:val="hr-HR"/>
              </w:rPr>
              <w:tab/>
            </w:r>
          </w:p>
        </w:tc>
        <w:tc>
          <w:tcPr>
            <w:tcW w:w="2430" w:type="dxa"/>
            <w:tcBorders>
              <w:top w:val="nil"/>
              <w:left w:val="single" w:sz="4" w:space="0" w:color="auto"/>
              <w:bottom w:val="nil"/>
              <w:right w:val="single" w:sz="4" w:space="0" w:color="auto"/>
            </w:tcBorders>
            <w:hideMark/>
          </w:tcPr>
          <w:p w14:paraId="046751CE" w14:textId="20AD6BB8" w:rsidR="007A2A6F" w:rsidRPr="00653DCF" w:rsidRDefault="00BC1F3D">
            <w:pPr>
              <w:spacing w:before="20" w:after="20"/>
              <w:jc w:val="center"/>
              <w:rPr>
                <w:color w:val="auto"/>
                <w:lang w:val="hr-HR"/>
              </w:rPr>
            </w:pPr>
            <w:r w:rsidRPr="00653DCF">
              <w:rPr>
                <w:color w:val="auto"/>
                <w:lang w:val="hr-HR"/>
              </w:rPr>
              <w:t>-</w:t>
            </w:r>
          </w:p>
        </w:tc>
      </w:tr>
      <w:tr w:rsidR="007A2A6F" w:rsidRPr="00653DCF" w14:paraId="14E61958" w14:textId="77777777">
        <w:tc>
          <w:tcPr>
            <w:tcW w:w="5804" w:type="dxa"/>
            <w:tcBorders>
              <w:top w:val="nil"/>
              <w:left w:val="single" w:sz="4" w:space="0" w:color="auto"/>
              <w:bottom w:val="nil"/>
              <w:right w:val="single" w:sz="4" w:space="0" w:color="auto"/>
            </w:tcBorders>
            <w:hideMark/>
          </w:tcPr>
          <w:p w14:paraId="1ACF8565" w14:textId="2414FC3A" w:rsidR="007A2A6F" w:rsidRPr="00653DCF" w:rsidRDefault="00383572">
            <w:pPr>
              <w:spacing w:before="20" w:after="20"/>
              <w:rPr>
                <w:color w:val="auto"/>
                <w:lang w:val="hr-HR"/>
              </w:rPr>
            </w:pPr>
            <w:r w:rsidRPr="00653DCF">
              <w:rPr>
                <w:color w:val="auto"/>
                <w:lang w:val="hr-HR"/>
              </w:rPr>
              <w:t xml:space="preserve">Nepredviđeno povećanje cijena </w:t>
            </w:r>
            <w:r w:rsidR="00E87B0B" w:rsidRPr="00653DCF">
              <w:rPr>
                <w:color w:val="auto"/>
                <w:lang w:val="hr-HR"/>
              </w:rPr>
              <w:t xml:space="preserve">(... % godišnje </w:t>
            </w:r>
            <w:r w:rsidR="00495027" w:rsidRPr="00653DCF">
              <w:rPr>
                <w:color w:val="auto"/>
                <w:lang w:val="hr-HR"/>
              </w:rPr>
              <w:t>povećanje</w:t>
            </w:r>
            <w:r w:rsidR="00E87B0B" w:rsidRPr="00653DCF">
              <w:rPr>
                <w:color w:val="auto"/>
                <w:lang w:val="hr-HR"/>
              </w:rPr>
              <w:t>), ako je primjenjivo</w:t>
            </w:r>
          </w:p>
        </w:tc>
        <w:tc>
          <w:tcPr>
            <w:tcW w:w="2430" w:type="dxa"/>
            <w:tcBorders>
              <w:top w:val="nil"/>
              <w:left w:val="single" w:sz="4" w:space="0" w:color="auto"/>
              <w:bottom w:val="nil"/>
              <w:right w:val="single" w:sz="4" w:space="0" w:color="auto"/>
            </w:tcBorders>
            <w:hideMark/>
          </w:tcPr>
          <w:p w14:paraId="263D334F" w14:textId="7AF58D8C" w:rsidR="007A2A6F" w:rsidRPr="00653DCF" w:rsidRDefault="00BC1F3D">
            <w:pPr>
              <w:spacing w:before="20" w:after="20"/>
              <w:jc w:val="center"/>
              <w:rPr>
                <w:color w:val="auto"/>
                <w:lang w:val="hr-HR"/>
              </w:rPr>
            </w:pPr>
            <w:r w:rsidRPr="00653DCF">
              <w:rPr>
                <w:color w:val="auto"/>
                <w:lang w:val="hr-HR"/>
              </w:rPr>
              <w:t>-</w:t>
            </w:r>
          </w:p>
        </w:tc>
      </w:tr>
      <w:tr w:rsidR="007A2A6F" w:rsidRPr="00653DCF" w14:paraId="27ABDF95" w14:textId="77777777">
        <w:tc>
          <w:tcPr>
            <w:tcW w:w="5804" w:type="dxa"/>
            <w:tcBorders>
              <w:top w:val="nil"/>
              <w:left w:val="single" w:sz="4" w:space="0" w:color="auto"/>
              <w:bottom w:val="nil"/>
              <w:right w:val="single" w:sz="4" w:space="0" w:color="auto"/>
            </w:tcBorders>
          </w:tcPr>
          <w:p w14:paraId="5A670EEC" w14:textId="77777777" w:rsidR="007A2A6F" w:rsidRPr="00653DCF" w:rsidRDefault="007A2A6F">
            <w:pPr>
              <w:spacing w:before="20" w:after="20"/>
              <w:rPr>
                <w:color w:val="auto"/>
                <w:sz w:val="8"/>
                <w:lang w:val="hr-HR"/>
              </w:rPr>
            </w:pPr>
          </w:p>
        </w:tc>
        <w:tc>
          <w:tcPr>
            <w:tcW w:w="2430" w:type="dxa"/>
            <w:tcBorders>
              <w:top w:val="nil"/>
              <w:left w:val="single" w:sz="4" w:space="0" w:color="auto"/>
              <w:bottom w:val="nil"/>
              <w:right w:val="single" w:sz="4" w:space="0" w:color="auto"/>
            </w:tcBorders>
          </w:tcPr>
          <w:p w14:paraId="3EB4584A" w14:textId="77777777" w:rsidR="007A2A6F" w:rsidRPr="00653DCF" w:rsidRDefault="007A2A6F">
            <w:pPr>
              <w:spacing w:before="20" w:after="20"/>
              <w:jc w:val="center"/>
              <w:rPr>
                <w:color w:val="auto"/>
                <w:sz w:val="8"/>
                <w:lang w:val="hr-HR"/>
              </w:rPr>
            </w:pPr>
          </w:p>
        </w:tc>
      </w:tr>
      <w:tr w:rsidR="007A2A6F" w:rsidRPr="00653DCF" w14:paraId="5476167A" w14:textId="77777777">
        <w:tc>
          <w:tcPr>
            <w:tcW w:w="5804" w:type="dxa"/>
            <w:tcBorders>
              <w:top w:val="nil"/>
              <w:left w:val="single" w:sz="4" w:space="0" w:color="auto"/>
              <w:bottom w:val="single" w:sz="4" w:space="0" w:color="auto"/>
              <w:right w:val="single" w:sz="4" w:space="0" w:color="auto"/>
            </w:tcBorders>
            <w:hideMark/>
          </w:tcPr>
          <w:p w14:paraId="07AD22A9" w14:textId="2BFE9904" w:rsidR="007A2A6F" w:rsidRPr="00653DCF" w:rsidRDefault="00495027">
            <w:pPr>
              <w:spacing w:before="20" w:after="20"/>
              <w:rPr>
                <w:color w:val="auto"/>
                <w:lang w:val="hr-HR"/>
              </w:rPr>
            </w:pPr>
            <w:r w:rsidRPr="00653DCF">
              <w:rPr>
                <w:color w:val="auto"/>
                <w:lang w:val="hr-HR"/>
              </w:rPr>
              <w:t>Kamata kumulirana na</w:t>
            </w:r>
            <w:r w:rsidR="00193636" w:rsidRPr="00653DCF">
              <w:rPr>
                <w:color w:val="auto"/>
                <w:lang w:val="hr-HR"/>
              </w:rPr>
              <w:t xml:space="preserve"> </w:t>
            </w:r>
            <w:r w:rsidRPr="00653DCF">
              <w:rPr>
                <w:color w:val="auto"/>
                <w:lang w:val="hr-HR"/>
              </w:rPr>
              <w:t>zajam tijekom izgradnje</w:t>
            </w:r>
          </w:p>
        </w:tc>
        <w:tc>
          <w:tcPr>
            <w:tcW w:w="2430" w:type="dxa"/>
            <w:tcBorders>
              <w:top w:val="nil"/>
              <w:left w:val="single" w:sz="4" w:space="0" w:color="auto"/>
              <w:bottom w:val="single" w:sz="4" w:space="0" w:color="auto"/>
              <w:right w:val="single" w:sz="4" w:space="0" w:color="auto"/>
            </w:tcBorders>
            <w:hideMark/>
          </w:tcPr>
          <w:p w14:paraId="18176478" w14:textId="0A5CE6AB" w:rsidR="007A2A6F" w:rsidRPr="00653DCF" w:rsidRDefault="00BC1F3D">
            <w:pPr>
              <w:spacing w:before="20" w:after="20"/>
              <w:jc w:val="center"/>
              <w:rPr>
                <w:color w:val="auto"/>
                <w:lang w:val="hr-HR"/>
              </w:rPr>
            </w:pPr>
            <w:r w:rsidRPr="00653DCF">
              <w:rPr>
                <w:color w:val="auto"/>
                <w:lang w:val="hr-HR"/>
              </w:rPr>
              <w:t>-</w:t>
            </w:r>
          </w:p>
        </w:tc>
      </w:tr>
      <w:tr w:rsidR="007A2A6F" w:rsidRPr="00653DCF" w14:paraId="64EC7F77" w14:textId="77777777">
        <w:tc>
          <w:tcPr>
            <w:tcW w:w="5804" w:type="dxa"/>
            <w:tcBorders>
              <w:top w:val="single" w:sz="4" w:space="0" w:color="auto"/>
              <w:left w:val="single" w:sz="4" w:space="0" w:color="auto"/>
              <w:bottom w:val="single" w:sz="4" w:space="0" w:color="auto"/>
              <w:right w:val="single" w:sz="4" w:space="0" w:color="auto"/>
            </w:tcBorders>
            <w:hideMark/>
          </w:tcPr>
          <w:p w14:paraId="514919B7" w14:textId="77777777" w:rsidR="007A2A6F" w:rsidRPr="00653DCF" w:rsidRDefault="00E87B0B">
            <w:pPr>
              <w:pStyle w:val="P68B1DB1-Normal2"/>
              <w:spacing w:before="120"/>
              <w:rPr>
                <w:color w:val="auto"/>
                <w:lang w:val="hr-HR"/>
              </w:rPr>
            </w:pPr>
            <w:r w:rsidRPr="00653DCF">
              <w:rPr>
                <w:color w:val="auto"/>
                <w:lang w:val="hr-HR"/>
              </w:rPr>
              <w:t>Ukupno</w:t>
            </w:r>
          </w:p>
        </w:tc>
        <w:tc>
          <w:tcPr>
            <w:tcW w:w="2430" w:type="dxa"/>
            <w:tcBorders>
              <w:top w:val="single" w:sz="4" w:space="0" w:color="auto"/>
              <w:left w:val="single" w:sz="4" w:space="0" w:color="auto"/>
              <w:bottom w:val="single" w:sz="4" w:space="0" w:color="auto"/>
              <w:right w:val="single" w:sz="4" w:space="0" w:color="auto"/>
            </w:tcBorders>
            <w:hideMark/>
          </w:tcPr>
          <w:p w14:paraId="7C6C61AF" w14:textId="795D308E" w:rsidR="007A2A6F" w:rsidRPr="00653DCF" w:rsidRDefault="00BC1F3D">
            <w:pPr>
              <w:pStyle w:val="P68B1DB1-Normal2"/>
              <w:spacing w:before="120"/>
              <w:jc w:val="center"/>
              <w:rPr>
                <w:color w:val="auto"/>
                <w:lang w:val="hr-HR"/>
              </w:rPr>
            </w:pPr>
            <w:r w:rsidRPr="00653DCF">
              <w:rPr>
                <w:color w:val="auto"/>
                <w:lang w:val="hr-HR"/>
              </w:rPr>
              <w:t>-</w:t>
            </w:r>
          </w:p>
        </w:tc>
      </w:tr>
    </w:tbl>
    <w:p w14:paraId="5FE2F309" w14:textId="77777777" w:rsidR="007A2A6F" w:rsidRPr="00653DCF" w:rsidRDefault="007A2A6F">
      <w:pPr>
        <w:rPr>
          <w:b/>
          <w:color w:val="auto"/>
          <w:sz w:val="10"/>
          <w:lang w:val="hr-HR"/>
        </w:rPr>
      </w:pPr>
    </w:p>
    <w:p w14:paraId="2092954F" w14:textId="3CE90D34" w:rsidR="007A2A6F" w:rsidRPr="00653DCF" w:rsidRDefault="00E87B0B" w:rsidP="006010BF">
      <w:pPr>
        <w:pStyle w:val="P68B1DB1-text16"/>
        <w:numPr>
          <w:ilvl w:val="2"/>
          <w:numId w:val="80"/>
        </w:numPr>
        <w:autoSpaceDE w:val="0"/>
        <w:autoSpaceDN w:val="0"/>
        <w:adjustRightInd w:val="0"/>
        <w:rPr>
          <w:lang w:val="hr-HR"/>
        </w:rPr>
      </w:pPr>
      <w:r w:rsidRPr="00653DCF">
        <w:rPr>
          <w:lang w:val="hr-HR"/>
        </w:rPr>
        <w:t>Financijski plan i zatražena dodjela</w:t>
      </w:r>
      <w:r w:rsidR="00495027" w:rsidRPr="00653DCF">
        <w:rPr>
          <w:lang w:val="hr-HR"/>
        </w:rPr>
        <w:t xml:space="preserve"> sredstava</w:t>
      </w:r>
    </w:p>
    <w:p w14:paraId="3276C6E6" w14:textId="77777777" w:rsidR="007A2A6F" w:rsidRPr="00653DCF" w:rsidRDefault="007A2A6F">
      <w:pPr>
        <w:pStyle w:val="text"/>
        <w:autoSpaceDE w:val="0"/>
        <w:autoSpaceDN w:val="0"/>
        <w:adjustRightInd w:val="0"/>
        <w:ind w:left="0"/>
        <w:rPr>
          <w:rFonts w:cs="Arial"/>
          <w:lang w:val="hr-HR"/>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575"/>
      </w:tblGrid>
      <w:tr w:rsidR="007A2A6F" w:rsidRPr="00653DCF" w14:paraId="7E9CA680" w14:textId="77777777" w:rsidTr="002E2CFB">
        <w:tc>
          <w:tcPr>
            <w:tcW w:w="5670" w:type="dxa"/>
            <w:tcBorders>
              <w:top w:val="single" w:sz="4" w:space="0" w:color="auto"/>
              <w:left w:val="single" w:sz="4" w:space="0" w:color="auto"/>
              <w:bottom w:val="single" w:sz="4" w:space="0" w:color="auto"/>
              <w:right w:val="single" w:sz="4" w:space="0" w:color="auto"/>
            </w:tcBorders>
            <w:hideMark/>
          </w:tcPr>
          <w:p w14:paraId="11B93F2C" w14:textId="77777777" w:rsidR="007A2A6F" w:rsidRPr="00653DCF" w:rsidRDefault="00E87B0B">
            <w:pPr>
              <w:pStyle w:val="P68B1DB1-text16"/>
              <w:autoSpaceDE w:val="0"/>
              <w:autoSpaceDN w:val="0"/>
              <w:adjustRightInd w:val="0"/>
              <w:ind w:left="0"/>
              <w:rPr>
                <w:lang w:val="hr-HR"/>
              </w:rPr>
            </w:pPr>
            <w:r w:rsidRPr="00653DCF">
              <w:rPr>
                <w:lang w:val="hr-HR"/>
              </w:rPr>
              <w:t>Izvori financiranja</w:t>
            </w:r>
          </w:p>
        </w:tc>
        <w:tc>
          <w:tcPr>
            <w:tcW w:w="2575" w:type="dxa"/>
            <w:tcBorders>
              <w:top w:val="single" w:sz="4" w:space="0" w:color="auto"/>
              <w:left w:val="single" w:sz="4" w:space="0" w:color="auto"/>
              <w:bottom w:val="single" w:sz="4" w:space="0" w:color="auto"/>
              <w:right w:val="single" w:sz="4" w:space="0" w:color="auto"/>
            </w:tcBorders>
            <w:hideMark/>
          </w:tcPr>
          <w:p w14:paraId="0AB937C1" w14:textId="77777777" w:rsidR="007A2A6F" w:rsidRPr="00653DCF" w:rsidRDefault="00E87B0B">
            <w:pPr>
              <w:pStyle w:val="P68B1DB1-text16"/>
              <w:autoSpaceDE w:val="0"/>
              <w:autoSpaceDN w:val="0"/>
              <w:adjustRightInd w:val="0"/>
              <w:ind w:left="0"/>
              <w:jc w:val="center"/>
              <w:rPr>
                <w:lang w:val="hr-HR"/>
              </w:rPr>
            </w:pPr>
            <w:r w:rsidRPr="00653DCF">
              <w:rPr>
                <w:lang w:val="hr-HR"/>
              </w:rPr>
              <w:t>u EUR</w:t>
            </w:r>
          </w:p>
        </w:tc>
      </w:tr>
      <w:tr w:rsidR="007A2A6F" w:rsidRPr="00653DCF" w14:paraId="32DFE8A9" w14:textId="77777777" w:rsidTr="002E2CFB">
        <w:tc>
          <w:tcPr>
            <w:tcW w:w="5670" w:type="dxa"/>
            <w:tcBorders>
              <w:top w:val="single" w:sz="4" w:space="0" w:color="auto"/>
              <w:left w:val="single" w:sz="4" w:space="0" w:color="auto"/>
              <w:bottom w:val="single" w:sz="4" w:space="0" w:color="auto"/>
              <w:right w:val="single" w:sz="4" w:space="0" w:color="auto"/>
            </w:tcBorders>
            <w:hideMark/>
          </w:tcPr>
          <w:p w14:paraId="5AAC6FF7" w14:textId="77777777" w:rsidR="007A2A6F" w:rsidRPr="00653DCF" w:rsidRDefault="00E87B0B">
            <w:pPr>
              <w:pStyle w:val="P68B1DB1-text17"/>
              <w:autoSpaceDE w:val="0"/>
              <w:autoSpaceDN w:val="0"/>
              <w:adjustRightInd w:val="0"/>
              <w:ind w:left="0"/>
              <w:rPr>
                <w:lang w:val="hr-HR"/>
              </w:rPr>
            </w:pPr>
            <w:r w:rsidRPr="00653DCF">
              <w:rPr>
                <w:lang w:val="hr-HR"/>
              </w:rPr>
              <w:t>Fondovi EU-a</w:t>
            </w:r>
          </w:p>
        </w:tc>
        <w:tc>
          <w:tcPr>
            <w:tcW w:w="2575" w:type="dxa"/>
            <w:tcBorders>
              <w:top w:val="single" w:sz="4" w:space="0" w:color="auto"/>
              <w:left w:val="single" w:sz="4" w:space="0" w:color="auto"/>
              <w:bottom w:val="single" w:sz="4" w:space="0" w:color="auto"/>
              <w:right w:val="single" w:sz="4" w:space="0" w:color="auto"/>
            </w:tcBorders>
          </w:tcPr>
          <w:p w14:paraId="24502D20" w14:textId="77777777" w:rsidR="007A2A6F" w:rsidRPr="00653DCF" w:rsidRDefault="007A2A6F">
            <w:pPr>
              <w:pStyle w:val="text"/>
              <w:autoSpaceDE w:val="0"/>
              <w:autoSpaceDN w:val="0"/>
              <w:adjustRightInd w:val="0"/>
              <w:ind w:left="0"/>
              <w:rPr>
                <w:rFonts w:cs="Arial"/>
                <w:lang w:val="hr-HR"/>
              </w:rPr>
            </w:pPr>
          </w:p>
        </w:tc>
      </w:tr>
      <w:tr w:rsidR="007A2A6F" w:rsidRPr="00653DCF" w14:paraId="63B000EB" w14:textId="77777777" w:rsidTr="002E2CFB">
        <w:tc>
          <w:tcPr>
            <w:tcW w:w="5670" w:type="dxa"/>
            <w:tcBorders>
              <w:top w:val="single" w:sz="4" w:space="0" w:color="auto"/>
              <w:left w:val="single" w:sz="4" w:space="0" w:color="auto"/>
              <w:bottom w:val="single" w:sz="4" w:space="0" w:color="auto"/>
              <w:right w:val="single" w:sz="4" w:space="0" w:color="auto"/>
            </w:tcBorders>
            <w:hideMark/>
          </w:tcPr>
          <w:p w14:paraId="52ED7289" w14:textId="77777777" w:rsidR="007A2A6F" w:rsidRPr="00653DCF" w:rsidRDefault="00E87B0B">
            <w:pPr>
              <w:pStyle w:val="P68B1DB1-text17"/>
              <w:autoSpaceDE w:val="0"/>
              <w:autoSpaceDN w:val="0"/>
              <w:adjustRightInd w:val="0"/>
              <w:ind w:left="0"/>
              <w:rPr>
                <w:lang w:val="hr-HR"/>
              </w:rPr>
            </w:pPr>
            <w:r w:rsidRPr="00653DCF">
              <w:rPr>
                <w:lang w:val="hr-HR"/>
              </w:rPr>
              <w:t>Nacionalni proračun</w:t>
            </w:r>
          </w:p>
        </w:tc>
        <w:tc>
          <w:tcPr>
            <w:tcW w:w="2575" w:type="dxa"/>
            <w:tcBorders>
              <w:top w:val="single" w:sz="4" w:space="0" w:color="auto"/>
              <w:left w:val="single" w:sz="4" w:space="0" w:color="auto"/>
              <w:bottom w:val="single" w:sz="4" w:space="0" w:color="auto"/>
              <w:right w:val="single" w:sz="4" w:space="0" w:color="auto"/>
            </w:tcBorders>
          </w:tcPr>
          <w:p w14:paraId="7A4FD51F" w14:textId="77777777" w:rsidR="007A2A6F" w:rsidRPr="00653DCF" w:rsidRDefault="007A2A6F">
            <w:pPr>
              <w:pStyle w:val="text"/>
              <w:autoSpaceDE w:val="0"/>
              <w:autoSpaceDN w:val="0"/>
              <w:adjustRightInd w:val="0"/>
              <w:ind w:left="0"/>
              <w:rPr>
                <w:rFonts w:cs="Arial"/>
                <w:lang w:val="hr-HR"/>
              </w:rPr>
            </w:pPr>
          </w:p>
        </w:tc>
      </w:tr>
      <w:tr w:rsidR="007A2A6F" w:rsidRPr="00653DCF" w14:paraId="2FF68ED0" w14:textId="77777777" w:rsidTr="002E2CFB">
        <w:tc>
          <w:tcPr>
            <w:tcW w:w="5670" w:type="dxa"/>
            <w:tcBorders>
              <w:top w:val="single" w:sz="4" w:space="0" w:color="auto"/>
              <w:left w:val="single" w:sz="4" w:space="0" w:color="auto"/>
              <w:bottom w:val="single" w:sz="4" w:space="0" w:color="auto"/>
              <w:right w:val="single" w:sz="4" w:space="0" w:color="auto"/>
            </w:tcBorders>
            <w:hideMark/>
          </w:tcPr>
          <w:p w14:paraId="72201E8B" w14:textId="77777777" w:rsidR="007A2A6F" w:rsidRPr="00653DCF" w:rsidRDefault="00E87B0B">
            <w:pPr>
              <w:pStyle w:val="P68B1DB1-text17"/>
              <w:autoSpaceDE w:val="0"/>
              <w:autoSpaceDN w:val="0"/>
              <w:adjustRightInd w:val="0"/>
              <w:ind w:left="0"/>
              <w:rPr>
                <w:lang w:val="hr-HR"/>
              </w:rPr>
            </w:pPr>
            <w:r w:rsidRPr="00653DCF">
              <w:rPr>
                <w:lang w:val="hr-HR"/>
              </w:rPr>
              <w:t>Drugo</w:t>
            </w:r>
          </w:p>
        </w:tc>
        <w:tc>
          <w:tcPr>
            <w:tcW w:w="2575" w:type="dxa"/>
            <w:tcBorders>
              <w:top w:val="single" w:sz="4" w:space="0" w:color="auto"/>
              <w:left w:val="single" w:sz="4" w:space="0" w:color="auto"/>
              <w:bottom w:val="single" w:sz="4" w:space="0" w:color="auto"/>
              <w:right w:val="single" w:sz="4" w:space="0" w:color="auto"/>
            </w:tcBorders>
          </w:tcPr>
          <w:p w14:paraId="5540BF45" w14:textId="77777777" w:rsidR="007A2A6F" w:rsidRPr="00653DCF" w:rsidRDefault="007A2A6F">
            <w:pPr>
              <w:pStyle w:val="text"/>
              <w:autoSpaceDE w:val="0"/>
              <w:autoSpaceDN w:val="0"/>
              <w:adjustRightInd w:val="0"/>
              <w:ind w:left="0"/>
              <w:rPr>
                <w:rFonts w:cs="Arial"/>
                <w:lang w:val="hr-HR"/>
              </w:rPr>
            </w:pPr>
          </w:p>
        </w:tc>
      </w:tr>
      <w:tr w:rsidR="007A2A6F" w:rsidRPr="00653DCF" w14:paraId="517E1158" w14:textId="77777777" w:rsidTr="002E2CFB">
        <w:tc>
          <w:tcPr>
            <w:tcW w:w="5670" w:type="dxa"/>
            <w:tcBorders>
              <w:top w:val="single" w:sz="4" w:space="0" w:color="auto"/>
              <w:left w:val="single" w:sz="4" w:space="0" w:color="auto"/>
              <w:bottom w:val="single" w:sz="4" w:space="0" w:color="auto"/>
              <w:right w:val="single" w:sz="4" w:space="0" w:color="auto"/>
            </w:tcBorders>
            <w:hideMark/>
          </w:tcPr>
          <w:p w14:paraId="20D185C0" w14:textId="77777777" w:rsidR="007A2A6F" w:rsidRPr="00653DCF" w:rsidRDefault="00E87B0B">
            <w:pPr>
              <w:pStyle w:val="P68B1DB1-text16"/>
              <w:autoSpaceDE w:val="0"/>
              <w:autoSpaceDN w:val="0"/>
              <w:adjustRightInd w:val="0"/>
              <w:ind w:left="0"/>
              <w:rPr>
                <w:lang w:val="hr-HR"/>
              </w:rPr>
            </w:pPr>
            <w:r w:rsidRPr="00653DCF">
              <w:rPr>
                <w:lang w:val="hr-HR"/>
              </w:rPr>
              <w:t>Ukupno</w:t>
            </w:r>
          </w:p>
        </w:tc>
        <w:tc>
          <w:tcPr>
            <w:tcW w:w="2575" w:type="dxa"/>
            <w:tcBorders>
              <w:top w:val="single" w:sz="4" w:space="0" w:color="auto"/>
              <w:left w:val="single" w:sz="4" w:space="0" w:color="auto"/>
              <w:bottom w:val="single" w:sz="4" w:space="0" w:color="auto"/>
              <w:right w:val="single" w:sz="4" w:space="0" w:color="auto"/>
            </w:tcBorders>
          </w:tcPr>
          <w:p w14:paraId="2104D578" w14:textId="77777777" w:rsidR="007A2A6F" w:rsidRPr="00653DCF" w:rsidRDefault="007A2A6F">
            <w:pPr>
              <w:pStyle w:val="text"/>
              <w:autoSpaceDE w:val="0"/>
              <w:autoSpaceDN w:val="0"/>
              <w:adjustRightInd w:val="0"/>
              <w:ind w:left="0"/>
              <w:rPr>
                <w:rFonts w:cs="Arial"/>
                <w:lang w:val="hr-HR"/>
              </w:rPr>
            </w:pPr>
          </w:p>
        </w:tc>
      </w:tr>
      <w:tr w:rsidR="007A2A6F" w:rsidRPr="00653DCF" w14:paraId="3918EF8D" w14:textId="77777777" w:rsidTr="002E2CFB">
        <w:tc>
          <w:tcPr>
            <w:tcW w:w="5670" w:type="dxa"/>
            <w:tcBorders>
              <w:top w:val="single" w:sz="4" w:space="0" w:color="auto"/>
              <w:left w:val="single" w:sz="4" w:space="0" w:color="auto"/>
              <w:bottom w:val="single" w:sz="4" w:space="0" w:color="auto"/>
              <w:right w:val="single" w:sz="4" w:space="0" w:color="auto"/>
            </w:tcBorders>
            <w:hideMark/>
          </w:tcPr>
          <w:p w14:paraId="6C6C3203" w14:textId="77777777" w:rsidR="007A2A6F" w:rsidRPr="00653DCF" w:rsidRDefault="00E87B0B">
            <w:pPr>
              <w:pStyle w:val="P68B1DB1-text17"/>
              <w:autoSpaceDE w:val="0"/>
              <w:autoSpaceDN w:val="0"/>
              <w:adjustRightInd w:val="0"/>
              <w:ind w:left="0"/>
              <w:rPr>
                <w:lang w:val="hr-HR"/>
              </w:rPr>
            </w:pPr>
            <w:r w:rsidRPr="00653DCF">
              <w:rPr>
                <w:lang w:val="hr-HR"/>
              </w:rPr>
              <w:t>od čega zatraženi zajam EIB-a</w:t>
            </w:r>
          </w:p>
        </w:tc>
        <w:tc>
          <w:tcPr>
            <w:tcW w:w="2575" w:type="dxa"/>
            <w:tcBorders>
              <w:top w:val="single" w:sz="4" w:space="0" w:color="auto"/>
              <w:left w:val="single" w:sz="4" w:space="0" w:color="auto"/>
              <w:bottom w:val="single" w:sz="4" w:space="0" w:color="auto"/>
              <w:right w:val="single" w:sz="4" w:space="0" w:color="auto"/>
            </w:tcBorders>
          </w:tcPr>
          <w:p w14:paraId="0DC77D27" w14:textId="77777777" w:rsidR="007A2A6F" w:rsidRPr="00653DCF" w:rsidRDefault="007A2A6F">
            <w:pPr>
              <w:pStyle w:val="text"/>
              <w:autoSpaceDE w:val="0"/>
              <w:autoSpaceDN w:val="0"/>
              <w:adjustRightInd w:val="0"/>
              <w:ind w:left="0"/>
              <w:rPr>
                <w:rFonts w:cs="Arial"/>
                <w:lang w:val="hr-HR"/>
              </w:rPr>
            </w:pPr>
          </w:p>
        </w:tc>
      </w:tr>
    </w:tbl>
    <w:p w14:paraId="0CAAB869" w14:textId="5C4E3572" w:rsidR="007A2A6F" w:rsidRPr="00653DCF" w:rsidRDefault="00C5249B" w:rsidP="006010BF">
      <w:pPr>
        <w:numPr>
          <w:ilvl w:val="1"/>
          <w:numId w:val="79"/>
        </w:numPr>
        <w:spacing w:before="120"/>
        <w:ind w:left="0" w:firstLine="0"/>
        <w:rPr>
          <w:b/>
          <w:color w:val="auto"/>
          <w:lang w:val="hr-HR"/>
        </w:rPr>
      </w:pPr>
      <w:r w:rsidRPr="00653DCF">
        <w:rPr>
          <w:b/>
          <w:color w:val="auto"/>
          <w:lang w:val="hr-HR"/>
        </w:rPr>
        <w:t>Prilog o očekivanim izdacima</w:t>
      </w:r>
      <w:r w:rsidR="00E87B0B" w:rsidRPr="00653DCF">
        <w:rPr>
          <w:b/>
          <w:color w:val="auto"/>
          <w:lang w:val="hr-HR"/>
        </w:rPr>
        <w:t xml:space="preserve"> </w:t>
      </w:r>
      <w:r w:rsidR="00E87B0B" w:rsidRPr="00653DCF">
        <w:rPr>
          <w:color w:val="auto"/>
          <w:lang w:val="hr-HR"/>
        </w:rPr>
        <w:t>(u EUR)</w:t>
      </w:r>
    </w:p>
    <w:tbl>
      <w:tblPr>
        <w:tblW w:w="8222" w:type="dxa"/>
        <w:tblInd w:w="701" w:type="dxa"/>
        <w:tblLayout w:type="fixed"/>
        <w:tblLook w:val="04A0" w:firstRow="1" w:lastRow="0" w:firstColumn="1" w:lastColumn="0" w:noHBand="0" w:noVBand="1"/>
      </w:tblPr>
      <w:tblGrid>
        <w:gridCol w:w="1559"/>
        <w:gridCol w:w="1560"/>
        <w:gridCol w:w="1111"/>
        <w:gridCol w:w="1440"/>
        <w:gridCol w:w="1134"/>
        <w:gridCol w:w="1418"/>
      </w:tblGrid>
      <w:tr w:rsidR="007A2A6F" w:rsidRPr="00653DCF" w14:paraId="7829DDE2" w14:textId="77777777" w:rsidTr="00454B12">
        <w:trPr>
          <w:cantSplit/>
        </w:trPr>
        <w:tc>
          <w:tcPr>
            <w:tcW w:w="1559" w:type="dxa"/>
            <w:tcBorders>
              <w:top w:val="single" w:sz="6" w:space="0" w:color="auto"/>
              <w:left w:val="single" w:sz="6" w:space="0" w:color="auto"/>
              <w:bottom w:val="single" w:sz="6" w:space="0" w:color="auto"/>
              <w:right w:val="single" w:sz="6" w:space="0" w:color="auto"/>
            </w:tcBorders>
            <w:hideMark/>
          </w:tcPr>
          <w:p w14:paraId="0C7152DD" w14:textId="77777777" w:rsidR="007A2A6F" w:rsidRPr="00653DCF" w:rsidRDefault="00E87B0B" w:rsidP="002E2CFB">
            <w:pPr>
              <w:pStyle w:val="P68B1DB1-Normal2"/>
              <w:ind w:left="0"/>
              <w:jc w:val="center"/>
              <w:rPr>
                <w:color w:val="auto"/>
                <w:lang w:val="hr-HR"/>
              </w:rPr>
            </w:pPr>
            <w:r w:rsidRPr="00653DCF">
              <w:rPr>
                <w:color w:val="auto"/>
                <w:lang w:val="hr-HR"/>
              </w:rPr>
              <w:t>godina</w:t>
            </w:r>
          </w:p>
        </w:tc>
        <w:tc>
          <w:tcPr>
            <w:tcW w:w="1560" w:type="dxa"/>
            <w:tcBorders>
              <w:top w:val="single" w:sz="6" w:space="0" w:color="auto"/>
              <w:left w:val="single" w:sz="6" w:space="0" w:color="auto"/>
              <w:bottom w:val="single" w:sz="6" w:space="0" w:color="auto"/>
              <w:right w:val="single" w:sz="6" w:space="0" w:color="auto"/>
            </w:tcBorders>
            <w:hideMark/>
          </w:tcPr>
          <w:p w14:paraId="72849D08" w14:textId="72EBFBC0" w:rsidR="007A2A6F" w:rsidRPr="00653DCF" w:rsidRDefault="00E87B0B" w:rsidP="002E2CFB">
            <w:pPr>
              <w:pStyle w:val="P68B1DB1-Normal2"/>
              <w:ind w:left="36"/>
              <w:jc w:val="center"/>
              <w:rPr>
                <w:color w:val="auto"/>
                <w:lang w:val="hr-HR"/>
              </w:rPr>
            </w:pPr>
            <w:r w:rsidRPr="00653DCF">
              <w:rPr>
                <w:color w:val="auto"/>
                <w:lang w:val="hr-HR"/>
              </w:rPr>
              <w:t>202</w:t>
            </w:r>
            <w:r w:rsidR="00BC1F3D" w:rsidRPr="00653DCF">
              <w:rPr>
                <w:color w:val="auto"/>
                <w:lang w:val="hr-HR"/>
              </w:rPr>
              <w:t>4</w:t>
            </w:r>
            <w:r w:rsidR="00C524AF" w:rsidRPr="00653DCF">
              <w:rPr>
                <w:color w:val="auto"/>
                <w:lang w:val="hr-HR"/>
              </w:rPr>
              <w:t>.</w:t>
            </w:r>
          </w:p>
        </w:tc>
        <w:tc>
          <w:tcPr>
            <w:tcW w:w="1111" w:type="dxa"/>
            <w:tcBorders>
              <w:top w:val="single" w:sz="6" w:space="0" w:color="auto"/>
              <w:left w:val="single" w:sz="6" w:space="0" w:color="auto"/>
              <w:bottom w:val="single" w:sz="6" w:space="0" w:color="auto"/>
              <w:right w:val="single" w:sz="6" w:space="0" w:color="auto"/>
            </w:tcBorders>
            <w:hideMark/>
          </w:tcPr>
          <w:p w14:paraId="64893750" w14:textId="77777777" w:rsidR="007A2A6F" w:rsidRPr="00653DCF" w:rsidRDefault="00E87B0B" w:rsidP="002E2CFB">
            <w:pPr>
              <w:pStyle w:val="P68B1DB1-Normal2"/>
              <w:ind w:left="29"/>
              <w:jc w:val="center"/>
              <w:rPr>
                <w:color w:val="auto"/>
                <w:lang w:val="hr-HR"/>
              </w:rPr>
            </w:pPr>
            <w:r w:rsidRPr="00653DCF">
              <w:rPr>
                <w:color w:val="auto"/>
                <w:lang w:val="hr-HR"/>
              </w:rPr>
              <w:t>...</w:t>
            </w:r>
          </w:p>
        </w:tc>
        <w:tc>
          <w:tcPr>
            <w:tcW w:w="1440" w:type="dxa"/>
            <w:tcBorders>
              <w:top w:val="single" w:sz="6" w:space="0" w:color="auto"/>
              <w:left w:val="single" w:sz="6" w:space="0" w:color="auto"/>
              <w:bottom w:val="single" w:sz="6" w:space="0" w:color="auto"/>
              <w:right w:val="single" w:sz="6" w:space="0" w:color="auto"/>
            </w:tcBorders>
            <w:hideMark/>
          </w:tcPr>
          <w:p w14:paraId="7F1BD831" w14:textId="77777777" w:rsidR="007A2A6F" w:rsidRPr="00653DCF" w:rsidRDefault="00E87B0B" w:rsidP="002E2CFB">
            <w:pPr>
              <w:pStyle w:val="P68B1DB1-Normal2"/>
              <w:ind w:left="0"/>
              <w:jc w:val="center"/>
              <w:rPr>
                <w:color w:val="auto"/>
                <w:lang w:val="hr-HR"/>
              </w:rPr>
            </w:pPr>
            <w:r w:rsidRPr="00653DCF">
              <w:rPr>
                <w:color w:val="auto"/>
                <w:lang w:val="hr-HR"/>
              </w:rPr>
              <w:t>...</w:t>
            </w:r>
          </w:p>
        </w:tc>
        <w:tc>
          <w:tcPr>
            <w:tcW w:w="1134" w:type="dxa"/>
            <w:tcBorders>
              <w:top w:val="single" w:sz="6" w:space="0" w:color="auto"/>
              <w:left w:val="single" w:sz="6" w:space="0" w:color="auto"/>
              <w:bottom w:val="single" w:sz="6" w:space="0" w:color="auto"/>
              <w:right w:val="single" w:sz="6" w:space="0" w:color="auto"/>
            </w:tcBorders>
            <w:hideMark/>
          </w:tcPr>
          <w:p w14:paraId="6A41D1B9" w14:textId="687AAC68" w:rsidR="007A2A6F" w:rsidRPr="00653DCF" w:rsidRDefault="00C5249B" w:rsidP="002E2CFB">
            <w:pPr>
              <w:pStyle w:val="P68B1DB1-Normal2"/>
              <w:ind w:left="0"/>
              <w:jc w:val="center"/>
              <w:rPr>
                <w:color w:val="auto"/>
                <w:lang w:val="hr-HR"/>
              </w:rPr>
            </w:pPr>
            <w:r w:rsidRPr="00653DCF">
              <w:rPr>
                <w:color w:val="auto"/>
                <w:lang w:val="hr-HR"/>
              </w:rPr>
              <w:t>+n</w:t>
            </w:r>
          </w:p>
        </w:tc>
        <w:tc>
          <w:tcPr>
            <w:tcW w:w="1418" w:type="dxa"/>
            <w:tcBorders>
              <w:top w:val="single" w:sz="6" w:space="0" w:color="auto"/>
              <w:left w:val="single" w:sz="6" w:space="0" w:color="auto"/>
              <w:bottom w:val="single" w:sz="6" w:space="0" w:color="auto"/>
              <w:right w:val="single" w:sz="6" w:space="0" w:color="auto"/>
            </w:tcBorders>
            <w:hideMark/>
          </w:tcPr>
          <w:p w14:paraId="7A17A535" w14:textId="247ADC64" w:rsidR="007A2A6F" w:rsidRPr="00653DCF" w:rsidRDefault="002E2CFB" w:rsidP="002E2CFB">
            <w:pPr>
              <w:pStyle w:val="P68B1DB1-Normal2"/>
              <w:ind w:left="-114"/>
              <w:jc w:val="center"/>
              <w:rPr>
                <w:color w:val="auto"/>
                <w:lang w:val="hr-HR"/>
              </w:rPr>
            </w:pPr>
            <w:r w:rsidRPr="00653DCF">
              <w:rPr>
                <w:color w:val="auto"/>
                <w:lang w:val="hr-HR"/>
              </w:rPr>
              <w:t>u</w:t>
            </w:r>
            <w:r w:rsidR="00E87B0B" w:rsidRPr="00653DCF">
              <w:rPr>
                <w:color w:val="auto"/>
                <w:lang w:val="hr-HR"/>
              </w:rPr>
              <w:t>kupno</w:t>
            </w:r>
          </w:p>
        </w:tc>
      </w:tr>
      <w:tr w:rsidR="007A2A6F" w:rsidRPr="00653DCF" w14:paraId="7C392225" w14:textId="77777777" w:rsidTr="00454B12">
        <w:trPr>
          <w:cantSplit/>
        </w:trPr>
        <w:tc>
          <w:tcPr>
            <w:tcW w:w="1559" w:type="dxa"/>
            <w:tcBorders>
              <w:top w:val="single" w:sz="6" w:space="0" w:color="auto"/>
              <w:left w:val="single" w:sz="6" w:space="0" w:color="auto"/>
              <w:bottom w:val="single" w:sz="6" w:space="0" w:color="auto"/>
              <w:right w:val="single" w:sz="6" w:space="0" w:color="auto"/>
            </w:tcBorders>
            <w:hideMark/>
          </w:tcPr>
          <w:p w14:paraId="79321C36" w14:textId="77777777" w:rsidR="007A2A6F" w:rsidRPr="00653DCF" w:rsidRDefault="00E87B0B" w:rsidP="002E2CFB">
            <w:pPr>
              <w:pStyle w:val="P68B1DB1-Normal2"/>
              <w:tabs>
                <w:tab w:val="left" w:pos="426"/>
              </w:tabs>
              <w:ind w:left="33"/>
              <w:jc w:val="center"/>
              <w:rPr>
                <w:color w:val="auto"/>
                <w:lang w:val="hr-HR"/>
              </w:rPr>
            </w:pPr>
            <w:r w:rsidRPr="00653DCF">
              <w:rPr>
                <w:color w:val="auto"/>
                <w:lang w:val="hr-HR"/>
              </w:rPr>
              <w:t>EUR</w:t>
            </w:r>
          </w:p>
        </w:tc>
        <w:tc>
          <w:tcPr>
            <w:tcW w:w="1560" w:type="dxa"/>
            <w:tcBorders>
              <w:top w:val="single" w:sz="6" w:space="0" w:color="auto"/>
              <w:left w:val="single" w:sz="6" w:space="0" w:color="auto"/>
              <w:bottom w:val="single" w:sz="6" w:space="0" w:color="auto"/>
              <w:right w:val="single" w:sz="6" w:space="0" w:color="auto"/>
            </w:tcBorders>
          </w:tcPr>
          <w:p w14:paraId="1271403A" w14:textId="77777777" w:rsidR="007A2A6F" w:rsidRPr="00653DCF" w:rsidRDefault="007A2A6F">
            <w:pPr>
              <w:tabs>
                <w:tab w:val="left" w:pos="426"/>
              </w:tabs>
              <w:jc w:val="center"/>
              <w:rPr>
                <w:color w:val="auto"/>
                <w:lang w:val="hr-HR"/>
              </w:rPr>
            </w:pPr>
          </w:p>
        </w:tc>
        <w:tc>
          <w:tcPr>
            <w:tcW w:w="1111" w:type="dxa"/>
            <w:tcBorders>
              <w:top w:val="single" w:sz="6" w:space="0" w:color="auto"/>
              <w:left w:val="single" w:sz="6" w:space="0" w:color="auto"/>
              <w:bottom w:val="single" w:sz="6" w:space="0" w:color="auto"/>
              <w:right w:val="single" w:sz="6" w:space="0" w:color="auto"/>
            </w:tcBorders>
          </w:tcPr>
          <w:p w14:paraId="1DB9A73F" w14:textId="77777777" w:rsidR="007A2A6F" w:rsidRPr="00653DCF" w:rsidRDefault="007A2A6F">
            <w:pPr>
              <w:tabs>
                <w:tab w:val="left" w:pos="426"/>
              </w:tabs>
              <w:jc w:val="center"/>
              <w:rPr>
                <w:color w:val="auto"/>
                <w:lang w:val="hr-HR"/>
              </w:rPr>
            </w:pPr>
          </w:p>
        </w:tc>
        <w:tc>
          <w:tcPr>
            <w:tcW w:w="1440" w:type="dxa"/>
            <w:tcBorders>
              <w:top w:val="single" w:sz="6" w:space="0" w:color="auto"/>
              <w:left w:val="single" w:sz="6" w:space="0" w:color="auto"/>
              <w:bottom w:val="single" w:sz="6" w:space="0" w:color="auto"/>
              <w:right w:val="single" w:sz="6" w:space="0" w:color="auto"/>
            </w:tcBorders>
          </w:tcPr>
          <w:p w14:paraId="7651DBDF" w14:textId="77777777" w:rsidR="007A2A6F" w:rsidRPr="00653DCF" w:rsidRDefault="007A2A6F">
            <w:pPr>
              <w:tabs>
                <w:tab w:val="left" w:pos="426"/>
              </w:tabs>
              <w:jc w:val="center"/>
              <w:rPr>
                <w:color w:val="auto"/>
                <w:lang w:val="hr-HR"/>
              </w:rPr>
            </w:pPr>
          </w:p>
        </w:tc>
        <w:tc>
          <w:tcPr>
            <w:tcW w:w="1134" w:type="dxa"/>
            <w:tcBorders>
              <w:top w:val="single" w:sz="6" w:space="0" w:color="auto"/>
              <w:left w:val="single" w:sz="6" w:space="0" w:color="auto"/>
              <w:bottom w:val="single" w:sz="6" w:space="0" w:color="auto"/>
              <w:right w:val="single" w:sz="6" w:space="0" w:color="auto"/>
            </w:tcBorders>
          </w:tcPr>
          <w:p w14:paraId="3D6CFEDC" w14:textId="77777777" w:rsidR="007A2A6F" w:rsidRPr="00653DCF" w:rsidRDefault="007A2A6F">
            <w:pPr>
              <w:tabs>
                <w:tab w:val="left" w:pos="426"/>
              </w:tabs>
              <w:ind w:firstLine="162"/>
              <w:jc w:val="center"/>
              <w:rPr>
                <w:color w:val="auto"/>
                <w:lang w:val="hr-HR"/>
              </w:rPr>
            </w:pPr>
          </w:p>
        </w:tc>
        <w:tc>
          <w:tcPr>
            <w:tcW w:w="1418" w:type="dxa"/>
            <w:tcBorders>
              <w:top w:val="single" w:sz="6" w:space="0" w:color="auto"/>
              <w:left w:val="single" w:sz="6" w:space="0" w:color="auto"/>
              <w:bottom w:val="single" w:sz="6" w:space="0" w:color="auto"/>
              <w:right w:val="single" w:sz="6" w:space="0" w:color="auto"/>
            </w:tcBorders>
          </w:tcPr>
          <w:p w14:paraId="197A19B6" w14:textId="77777777" w:rsidR="007A2A6F" w:rsidRPr="00653DCF" w:rsidRDefault="007A2A6F">
            <w:pPr>
              <w:ind w:firstLine="162"/>
              <w:jc w:val="center"/>
              <w:rPr>
                <w:color w:val="auto"/>
                <w:lang w:val="hr-HR"/>
              </w:rPr>
            </w:pPr>
          </w:p>
        </w:tc>
      </w:tr>
    </w:tbl>
    <w:p w14:paraId="36DFED23" w14:textId="77777777" w:rsidR="007A2A6F" w:rsidRPr="00653DCF" w:rsidRDefault="007A2A6F">
      <w:pPr>
        <w:rPr>
          <w:color w:val="auto"/>
          <w:sz w:val="10"/>
          <w:lang w:val="hr-HR"/>
        </w:rPr>
      </w:pPr>
    </w:p>
    <w:p w14:paraId="47992FC1" w14:textId="7ECA958C" w:rsidR="007A2A6F" w:rsidRPr="00653DCF" w:rsidRDefault="00E87B0B" w:rsidP="006010BF">
      <w:pPr>
        <w:pStyle w:val="P68B1DB1-Normal2"/>
        <w:numPr>
          <w:ilvl w:val="1"/>
          <w:numId w:val="79"/>
        </w:numPr>
        <w:spacing w:before="120" w:after="0"/>
        <w:ind w:left="0" w:firstLine="0"/>
        <w:rPr>
          <w:color w:val="auto"/>
          <w:lang w:val="hr-HR"/>
        </w:rPr>
      </w:pPr>
      <w:r w:rsidRPr="00653DCF">
        <w:rPr>
          <w:color w:val="auto"/>
          <w:lang w:val="hr-HR"/>
        </w:rPr>
        <w:t xml:space="preserve">Očekivani tehnički/ekonomski </w:t>
      </w:r>
      <w:r w:rsidR="009D2BC8" w:rsidRPr="00653DCF">
        <w:rPr>
          <w:color w:val="auto"/>
          <w:lang w:val="hr-HR"/>
        </w:rPr>
        <w:t xml:space="preserve">vijek trajanja </w:t>
      </w:r>
      <w:r w:rsidRPr="00653DCF">
        <w:rPr>
          <w:color w:val="auto"/>
          <w:lang w:val="hr-HR"/>
        </w:rPr>
        <w:t>(godine)</w:t>
      </w:r>
    </w:p>
    <w:p w14:paraId="5AC9E95C" w14:textId="77777777" w:rsidR="007A2A6F" w:rsidRPr="00653DCF" w:rsidRDefault="00E87B0B" w:rsidP="006010BF">
      <w:pPr>
        <w:pStyle w:val="P68B1DB1-Normal2"/>
        <w:numPr>
          <w:ilvl w:val="1"/>
          <w:numId w:val="79"/>
        </w:numPr>
        <w:spacing w:before="120"/>
        <w:ind w:left="0" w:firstLine="0"/>
        <w:rPr>
          <w:color w:val="auto"/>
          <w:lang w:val="hr-HR"/>
        </w:rPr>
      </w:pPr>
      <w:r w:rsidRPr="00653DCF">
        <w:rPr>
          <w:color w:val="auto"/>
          <w:lang w:val="hr-HR"/>
        </w:rPr>
        <w:t>Razdoblje provedbe (datumi: mjesec, godina)</w:t>
      </w:r>
    </w:p>
    <w:p w14:paraId="0F0A5DFE" w14:textId="77777777" w:rsidR="007A2A6F" w:rsidRPr="00653DCF" w:rsidRDefault="00E87B0B" w:rsidP="006010BF">
      <w:pPr>
        <w:numPr>
          <w:ilvl w:val="0"/>
          <w:numId w:val="81"/>
        </w:numPr>
        <w:tabs>
          <w:tab w:val="clear" w:pos="720"/>
          <w:tab w:val="num" w:pos="1080"/>
        </w:tabs>
        <w:spacing w:after="0"/>
        <w:ind w:left="1080"/>
        <w:rPr>
          <w:color w:val="auto"/>
          <w:lang w:val="hr-HR"/>
        </w:rPr>
      </w:pPr>
      <w:r w:rsidRPr="00653DCF">
        <w:rPr>
          <w:color w:val="auto"/>
          <w:lang w:val="hr-HR"/>
        </w:rPr>
        <w:t xml:space="preserve">Početak: </w:t>
      </w:r>
    </w:p>
    <w:p w14:paraId="1BC49E82" w14:textId="521B4479" w:rsidR="007A2A6F" w:rsidRPr="00653DCF" w:rsidRDefault="00454B12" w:rsidP="006010BF">
      <w:pPr>
        <w:numPr>
          <w:ilvl w:val="0"/>
          <w:numId w:val="81"/>
        </w:numPr>
        <w:tabs>
          <w:tab w:val="clear" w:pos="720"/>
          <w:tab w:val="num" w:pos="1080"/>
        </w:tabs>
        <w:ind w:left="1077" w:hanging="357"/>
        <w:rPr>
          <w:color w:val="auto"/>
          <w:lang w:val="hr-HR"/>
        </w:rPr>
      </w:pPr>
      <w:r w:rsidRPr="00653DCF">
        <w:rPr>
          <w:color w:val="auto"/>
          <w:lang w:val="hr-HR"/>
        </w:rPr>
        <w:t>Dovršenje</w:t>
      </w:r>
      <w:r w:rsidR="00E87B0B" w:rsidRPr="00653DCF">
        <w:rPr>
          <w:color w:val="auto"/>
          <w:lang w:val="hr-HR"/>
        </w:rPr>
        <w:t xml:space="preserve">: </w:t>
      </w:r>
    </w:p>
    <w:p w14:paraId="6101B4C5" w14:textId="6D759D69" w:rsidR="007A2A6F" w:rsidRPr="00653DCF" w:rsidRDefault="00454B12" w:rsidP="006010BF">
      <w:pPr>
        <w:pStyle w:val="P68B1DB1-Normal2"/>
        <w:numPr>
          <w:ilvl w:val="1"/>
          <w:numId w:val="79"/>
        </w:numPr>
        <w:spacing w:before="120"/>
        <w:jc w:val="left"/>
        <w:rPr>
          <w:color w:val="auto"/>
          <w:lang w:val="hr-HR"/>
        </w:rPr>
      </w:pPr>
      <w:r w:rsidRPr="00653DCF">
        <w:rPr>
          <w:color w:val="auto"/>
          <w:lang w:val="hr-HR"/>
        </w:rPr>
        <w:t>Ovlaštenje potrebno za provedb</w:t>
      </w:r>
      <w:r w:rsidR="00B575BE" w:rsidRPr="00653DCF">
        <w:rPr>
          <w:color w:val="auto"/>
          <w:lang w:val="hr-HR"/>
        </w:rPr>
        <w:t>u</w:t>
      </w:r>
      <w:r w:rsidRPr="00653DCF">
        <w:rPr>
          <w:color w:val="auto"/>
          <w:lang w:val="hr-HR"/>
        </w:rPr>
        <w:t xml:space="preserve">/rad </w:t>
      </w:r>
      <w:r w:rsidR="007A3147" w:rsidRPr="00653DCF">
        <w:rPr>
          <w:color w:val="auto"/>
          <w:lang w:val="hr-HR"/>
        </w:rPr>
        <w:t>P</w:t>
      </w:r>
      <w:r w:rsidRPr="00653DCF">
        <w:rPr>
          <w:color w:val="auto"/>
          <w:lang w:val="hr-HR"/>
        </w:rPr>
        <w:t>rojekta</w:t>
      </w:r>
    </w:p>
    <w:p w14:paraId="2A0D52D0" w14:textId="098017C3" w:rsidR="006C0C13" w:rsidRPr="00653DCF" w:rsidRDefault="006C0C13">
      <w:pPr>
        <w:spacing w:after="0"/>
        <w:ind w:left="720"/>
        <w:rPr>
          <w:color w:val="auto"/>
          <w:lang w:val="hr-HR"/>
        </w:rPr>
      </w:pPr>
      <w:r w:rsidRPr="00653DCF">
        <w:rPr>
          <w:color w:val="auto"/>
          <w:lang w:val="hr-HR"/>
        </w:rPr>
        <w:t>Navedite naziv ili nazive tijela koje/koja izdaje/izdaju relevantnu/e dozvolu/e i je li/jesu li odobrenje/a izdano/a. Ako dozvole nisu izdane, navedite očekivani datum.</w:t>
      </w:r>
    </w:p>
    <w:p w14:paraId="7EE03B67" w14:textId="4078306F" w:rsidR="007A2A6F" w:rsidRPr="00653DCF" w:rsidRDefault="00E87B0B" w:rsidP="006010BF">
      <w:pPr>
        <w:numPr>
          <w:ilvl w:val="1"/>
          <w:numId w:val="79"/>
        </w:numPr>
        <w:spacing w:before="120"/>
        <w:jc w:val="left"/>
        <w:rPr>
          <w:color w:val="auto"/>
          <w:lang w:val="hr-HR"/>
        </w:rPr>
      </w:pPr>
      <w:r w:rsidRPr="00653DCF">
        <w:rPr>
          <w:b/>
          <w:color w:val="auto"/>
          <w:lang w:val="hr-HR"/>
        </w:rPr>
        <w:t xml:space="preserve">Radna mjesta na koja </w:t>
      </w:r>
      <w:r w:rsidR="00DB1738" w:rsidRPr="00653DCF">
        <w:rPr>
          <w:b/>
          <w:color w:val="auto"/>
          <w:lang w:val="hr-HR"/>
        </w:rPr>
        <w:t>investicija utječe</w:t>
      </w:r>
      <w:r w:rsidRPr="00653DCF">
        <w:rPr>
          <w:b/>
          <w:color w:val="auto"/>
          <w:lang w:val="hr-HR"/>
        </w:rPr>
        <w:br/>
      </w:r>
      <w:r w:rsidRPr="00653DCF">
        <w:rPr>
          <w:color w:val="auto"/>
          <w:lang w:val="hr-HR"/>
        </w:rPr>
        <w:t xml:space="preserve">Broj radnih mjesta koja će </w:t>
      </w:r>
      <w:r w:rsidR="006C0C13" w:rsidRPr="00653DCF">
        <w:rPr>
          <w:color w:val="auto"/>
          <w:lang w:val="hr-HR"/>
        </w:rPr>
        <w:t xml:space="preserve">se otvoriti, osigurati ili zatvoriti kao posljedica </w:t>
      </w:r>
      <w:r w:rsidR="004645A0" w:rsidRPr="00653DCF">
        <w:rPr>
          <w:color w:val="auto"/>
          <w:lang w:val="hr-HR"/>
        </w:rPr>
        <w:t>P</w:t>
      </w:r>
      <w:r w:rsidRPr="00653DCF">
        <w:rPr>
          <w:color w:val="auto"/>
          <w:lang w:val="hr-HR"/>
        </w:rPr>
        <w:t>rojekta.</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603"/>
      </w:tblGrid>
      <w:tr w:rsidR="007A2A6F" w:rsidRPr="00653DCF" w14:paraId="2656ABAE" w14:textId="77777777" w:rsidTr="00553016">
        <w:tc>
          <w:tcPr>
            <w:tcW w:w="5760" w:type="dxa"/>
            <w:tcBorders>
              <w:top w:val="single" w:sz="4" w:space="0" w:color="auto"/>
              <w:left w:val="single" w:sz="4" w:space="0" w:color="auto"/>
              <w:bottom w:val="single" w:sz="4" w:space="0" w:color="auto"/>
              <w:right w:val="single" w:sz="4" w:space="0" w:color="auto"/>
            </w:tcBorders>
            <w:hideMark/>
          </w:tcPr>
          <w:p w14:paraId="7B53D9E6" w14:textId="646D60CC" w:rsidR="007A2A6F" w:rsidRPr="00653DCF" w:rsidRDefault="00E87B0B" w:rsidP="006010BF">
            <w:pPr>
              <w:numPr>
                <w:ilvl w:val="0"/>
                <w:numId w:val="82"/>
              </w:numPr>
              <w:spacing w:after="0"/>
              <w:ind w:left="252" w:hanging="252"/>
              <w:rPr>
                <w:color w:val="auto"/>
                <w:lang w:val="hr-HR"/>
              </w:rPr>
            </w:pPr>
            <w:r w:rsidRPr="00653DCF">
              <w:rPr>
                <w:color w:val="auto"/>
                <w:lang w:val="hr-HR"/>
              </w:rPr>
              <w:t xml:space="preserve">tijekom </w:t>
            </w:r>
            <w:r w:rsidR="004645A0" w:rsidRPr="00653DCF">
              <w:rPr>
                <w:color w:val="auto"/>
                <w:lang w:val="hr-HR"/>
              </w:rPr>
              <w:t>izgradnje</w:t>
            </w:r>
            <w:r w:rsidRPr="00653DCF">
              <w:rPr>
                <w:color w:val="auto"/>
                <w:lang w:val="hr-HR"/>
              </w:rPr>
              <w:t>:</w:t>
            </w:r>
          </w:p>
        </w:tc>
        <w:tc>
          <w:tcPr>
            <w:tcW w:w="2603" w:type="dxa"/>
            <w:tcBorders>
              <w:top w:val="single" w:sz="4" w:space="0" w:color="auto"/>
              <w:left w:val="single" w:sz="4" w:space="0" w:color="auto"/>
              <w:bottom w:val="single" w:sz="4" w:space="0" w:color="auto"/>
              <w:right w:val="single" w:sz="4" w:space="0" w:color="auto"/>
            </w:tcBorders>
          </w:tcPr>
          <w:p w14:paraId="5ADB3394" w14:textId="77777777" w:rsidR="007A2A6F" w:rsidRPr="00653DCF" w:rsidRDefault="007A2A6F">
            <w:pPr>
              <w:rPr>
                <w:color w:val="auto"/>
                <w:lang w:val="hr-HR"/>
              </w:rPr>
            </w:pPr>
          </w:p>
        </w:tc>
      </w:tr>
      <w:tr w:rsidR="007A2A6F" w:rsidRPr="00653DCF" w14:paraId="02B1AB4E" w14:textId="77777777" w:rsidTr="00553016">
        <w:tc>
          <w:tcPr>
            <w:tcW w:w="5760" w:type="dxa"/>
            <w:tcBorders>
              <w:top w:val="single" w:sz="4" w:space="0" w:color="auto"/>
              <w:left w:val="single" w:sz="4" w:space="0" w:color="auto"/>
              <w:bottom w:val="single" w:sz="4" w:space="0" w:color="auto"/>
              <w:right w:val="single" w:sz="4" w:space="0" w:color="auto"/>
            </w:tcBorders>
            <w:hideMark/>
          </w:tcPr>
          <w:p w14:paraId="6604EFCD" w14:textId="6575237C" w:rsidR="007A2A6F" w:rsidRPr="00653DCF" w:rsidRDefault="004645A0" w:rsidP="006010BF">
            <w:pPr>
              <w:numPr>
                <w:ilvl w:val="0"/>
                <w:numId w:val="82"/>
              </w:numPr>
              <w:spacing w:after="0"/>
              <w:ind w:left="252" w:hanging="252"/>
              <w:rPr>
                <w:color w:val="auto"/>
                <w:lang w:val="hr-HR"/>
              </w:rPr>
            </w:pPr>
            <w:r w:rsidRPr="00653DCF">
              <w:rPr>
                <w:color w:val="auto"/>
                <w:lang w:val="hr-HR"/>
              </w:rPr>
              <w:t xml:space="preserve">nakon izgradnje (rad i održavanje) </w:t>
            </w:r>
            <w:r w:rsidR="00BC1F3D" w:rsidRPr="00653DCF">
              <w:rPr>
                <w:color w:val="auto"/>
                <w:lang w:val="hr-HR"/>
              </w:rPr>
              <w:t>-</w:t>
            </w:r>
            <w:r w:rsidR="00E87B0B" w:rsidRPr="00653DCF">
              <w:rPr>
                <w:color w:val="auto"/>
                <w:lang w:val="hr-HR"/>
              </w:rPr>
              <w:t xml:space="preserve"> osiguran</w:t>
            </w:r>
            <w:r w:rsidRPr="00653DCF">
              <w:rPr>
                <w:color w:val="auto"/>
                <w:lang w:val="hr-HR"/>
              </w:rPr>
              <w:t>o</w:t>
            </w:r>
            <w:r w:rsidR="00E87B0B" w:rsidRPr="00653DCF">
              <w:rPr>
                <w:color w:val="auto"/>
                <w:lang w:val="hr-HR"/>
              </w:rPr>
              <w:t>:</w:t>
            </w:r>
          </w:p>
        </w:tc>
        <w:tc>
          <w:tcPr>
            <w:tcW w:w="2603" w:type="dxa"/>
            <w:tcBorders>
              <w:top w:val="single" w:sz="4" w:space="0" w:color="auto"/>
              <w:left w:val="single" w:sz="4" w:space="0" w:color="auto"/>
              <w:bottom w:val="single" w:sz="4" w:space="0" w:color="auto"/>
              <w:right w:val="single" w:sz="4" w:space="0" w:color="auto"/>
            </w:tcBorders>
          </w:tcPr>
          <w:p w14:paraId="66707126" w14:textId="77777777" w:rsidR="007A2A6F" w:rsidRPr="00653DCF" w:rsidRDefault="007A2A6F">
            <w:pPr>
              <w:rPr>
                <w:color w:val="auto"/>
                <w:lang w:val="hr-HR"/>
              </w:rPr>
            </w:pPr>
          </w:p>
        </w:tc>
      </w:tr>
    </w:tbl>
    <w:p w14:paraId="75058368" w14:textId="77777777" w:rsidR="007A2A6F" w:rsidRPr="00653DCF" w:rsidRDefault="00E87B0B" w:rsidP="006010BF">
      <w:pPr>
        <w:pStyle w:val="P68B1DB1-Normal2"/>
        <w:numPr>
          <w:ilvl w:val="1"/>
          <w:numId w:val="79"/>
        </w:numPr>
        <w:spacing w:before="120"/>
        <w:jc w:val="left"/>
        <w:rPr>
          <w:color w:val="auto"/>
          <w:lang w:val="hr-HR"/>
        </w:rPr>
      </w:pPr>
      <w:r w:rsidRPr="00653DCF">
        <w:rPr>
          <w:color w:val="auto"/>
          <w:lang w:val="hr-HR"/>
        </w:rPr>
        <w:t>Fizički pokazatelji</w:t>
      </w:r>
    </w:p>
    <w:p w14:paraId="6F8F3633" w14:textId="1FC4444A" w:rsidR="007A2A6F" w:rsidRPr="00653DCF" w:rsidRDefault="00E87B0B">
      <w:pPr>
        <w:ind w:left="720"/>
        <w:rPr>
          <w:color w:val="auto"/>
          <w:lang w:val="hr-HR"/>
        </w:rPr>
      </w:pPr>
      <w:r w:rsidRPr="00653DCF">
        <w:rPr>
          <w:color w:val="auto"/>
          <w:lang w:val="hr-HR"/>
        </w:rPr>
        <w:t>Navedite (</w:t>
      </w:r>
      <w:r w:rsidR="00244073" w:rsidRPr="00653DCF">
        <w:rPr>
          <w:color w:val="auto"/>
          <w:lang w:val="hr-HR"/>
        </w:rPr>
        <w:t>količinski</w:t>
      </w:r>
      <w:r w:rsidRPr="00653DCF">
        <w:rPr>
          <w:color w:val="auto"/>
          <w:lang w:val="hr-HR"/>
        </w:rPr>
        <w:t xml:space="preserve">) planirani fizički </w:t>
      </w:r>
      <w:r w:rsidR="00244073" w:rsidRPr="00653DCF">
        <w:rPr>
          <w:color w:val="auto"/>
          <w:lang w:val="hr-HR"/>
        </w:rPr>
        <w:t>ishod</w:t>
      </w:r>
      <w:r w:rsidRPr="00653DCF">
        <w:rPr>
          <w:color w:val="auto"/>
          <w:lang w:val="hr-HR"/>
        </w:rPr>
        <w:t>/rezultat projekta.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028"/>
        <w:gridCol w:w="1800"/>
      </w:tblGrid>
      <w:tr w:rsidR="007A2A6F" w:rsidRPr="00653DCF" w14:paraId="222FCF2A" w14:textId="77777777" w:rsidTr="00553016">
        <w:tc>
          <w:tcPr>
            <w:tcW w:w="4252" w:type="dxa"/>
            <w:tcBorders>
              <w:top w:val="single" w:sz="4" w:space="0" w:color="auto"/>
              <w:left w:val="single" w:sz="4" w:space="0" w:color="auto"/>
              <w:bottom w:val="single" w:sz="4" w:space="0" w:color="auto"/>
              <w:right w:val="single" w:sz="4" w:space="0" w:color="auto"/>
            </w:tcBorders>
            <w:hideMark/>
          </w:tcPr>
          <w:p w14:paraId="641F3863" w14:textId="77777777" w:rsidR="007A2A6F" w:rsidRPr="00653DCF" w:rsidRDefault="00E87B0B">
            <w:pPr>
              <w:pStyle w:val="P68B1DB1-Normal2"/>
              <w:rPr>
                <w:color w:val="auto"/>
                <w:lang w:val="hr-HR"/>
              </w:rPr>
            </w:pPr>
            <w:r w:rsidRPr="00653DCF">
              <w:rPr>
                <w:color w:val="auto"/>
                <w:lang w:val="hr-HR"/>
              </w:rPr>
              <w:t>Naziv i definicija pokazatelja</w:t>
            </w:r>
          </w:p>
        </w:tc>
        <w:tc>
          <w:tcPr>
            <w:tcW w:w="2028" w:type="dxa"/>
            <w:tcBorders>
              <w:top w:val="single" w:sz="4" w:space="0" w:color="auto"/>
              <w:left w:val="single" w:sz="4" w:space="0" w:color="auto"/>
              <w:bottom w:val="single" w:sz="4" w:space="0" w:color="auto"/>
              <w:right w:val="single" w:sz="4" w:space="0" w:color="auto"/>
            </w:tcBorders>
            <w:hideMark/>
          </w:tcPr>
          <w:p w14:paraId="1CC32388" w14:textId="77777777" w:rsidR="007A2A6F" w:rsidRPr="00653DCF" w:rsidRDefault="00E87B0B" w:rsidP="00553016">
            <w:pPr>
              <w:pStyle w:val="P68B1DB1-Normal2"/>
              <w:ind w:left="0"/>
              <w:jc w:val="center"/>
              <w:rPr>
                <w:color w:val="auto"/>
                <w:lang w:val="hr-HR"/>
              </w:rPr>
            </w:pPr>
            <w:r w:rsidRPr="00653DCF">
              <w:rPr>
                <w:color w:val="auto"/>
                <w:lang w:val="hr-HR"/>
              </w:rPr>
              <w:t>Osnovna vrijednost (godina)</w:t>
            </w:r>
          </w:p>
        </w:tc>
        <w:tc>
          <w:tcPr>
            <w:tcW w:w="1800" w:type="dxa"/>
            <w:tcBorders>
              <w:top w:val="single" w:sz="4" w:space="0" w:color="auto"/>
              <w:left w:val="single" w:sz="4" w:space="0" w:color="auto"/>
              <w:bottom w:val="single" w:sz="4" w:space="0" w:color="auto"/>
              <w:right w:val="single" w:sz="4" w:space="0" w:color="auto"/>
            </w:tcBorders>
            <w:hideMark/>
          </w:tcPr>
          <w:p w14:paraId="5B45E867" w14:textId="5F2FF49B" w:rsidR="00553016" w:rsidRPr="00653DCF" w:rsidRDefault="00E87B0B" w:rsidP="00503A1E">
            <w:pPr>
              <w:pStyle w:val="P68B1DB1-Normal2"/>
              <w:spacing w:after="0"/>
              <w:ind w:left="0"/>
              <w:jc w:val="center"/>
              <w:rPr>
                <w:color w:val="auto"/>
                <w:lang w:val="hr-HR"/>
              </w:rPr>
            </w:pPr>
            <w:r w:rsidRPr="00653DCF">
              <w:rPr>
                <w:color w:val="auto"/>
                <w:lang w:val="hr-HR"/>
              </w:rPr>
              <w:t>Ciljna</w:t>
            </w:r>
          </w:p>
          <w:p w14:paraId="0536CBA9" w14:textId="6FAD0280" w:rsidR="007A2A6F" w:rsidRPr="00653DCF" w:rsidRDefault="00E87B0B" w:rsidP="00503A1E">
            <w:pPr>
              <w:pStyle w:val="P68B1DB1-Normal2"/>
              <w:spacing w:after="0"/>
              <w:ind w:left="0"/>
              <w:jc w:val="center"/>
              <w:rPr>
                <w:color w:val="auto"/>
                <w:lang w:val="hr-HR"/>
              </w:rPr>
            </w:pPr>
            <w:r w:rsidRPr="00653DCF">
              <w:rPr>
                <w:color w:val="auto"/>
                <w:lang w:val="hr-HR"/>
              </w:rPr>
              <w:t>vrijednost (godina)</w:t>
            </w:r>
          </w:p>
        </w:tc>
      </w:tr>
      <w:tr w:rsidR="007A2A6F" w:rsidRPr="00653DCF" w14:paraId="0B39E484" w14:textId="77777777" w:rsidTr="00553016">
        <w:tc>
          <w:tcPr>
            <w:tcW w:w="4252" w:type="dxa"/>
            <w:tcBorders>
              <w:top w:val="single" w:sz="4" w:space="0" w:color="auto"/>
              <w:left w:val="single" w:sz="4" w:space="0" w:color="auto"/>
              <w:bottom w:val="single" w:sz="4" w:space="0" w:color="auto"/>
              <w:right w:val="single" w:sz="4" w:space="0" w:color="auto"/>
            </w:tcBorders>
            <w:hideMark/>
          </w:tcPr>
          <w:p w14:paraId="1F2B3DA6" w14:textId="77777777" w:rsidR="007A2A6F" w:rsidRPr="00653DCF" w:rsidRDefault="00E87B0B" w:rsidP="006010BF">
            <w:pPr>
              <w:numPr>
                <w:ilvl w:val="0"/>
                <w:numId w:val="83"/>
              </w:numPr>
              <w:tabs>
                <w:tab w:val="num" w:pos="252"/>
              </w:tabs>
              <w:spacing w:after="0"/>
              <w:ind w:left="252" w:hanging="252"/>
              <w:rPr>
                <w:color w:val="auto"/>
                <w:lang w:val="hr-HR"/>
              </w:rPr>
            </w:pPr>
            <w:r w:rsidRPr="00653DCF">
              <w:rPr>
                <w:color w:val="auto"/>
                <w:lang w:val="hr-HR"/>
              </w:rPr>
              <w:t>...</w:t>
            </w:r>
          </w:p>
        </w:tc>
        <w:tc>
          <w:tcPr>
            <w:tcW w:w="2028" w:type="dxa"/>
            <w:tcBorders>
              <w:top w:val="single" w:sz="4" w:space="0" w:color="auto"/>
              <w:left w:val="single" w:sz="4" w:space="0" w:color="auto"/>
              <w:bottom w:val="single" w:sz="4" w:space="0" w:color="auto"/>
              <w:right w:val="single" w:sz="4" w:space="0" w:color="auto"/>
            </w:tcBorders>
          </w:tcPr>
          <w:p w14:paraId="58E8D668" w14:textId="77777777" w:rsidR="007A2A6F" w:rsidRPr="00653DCF" w:rsidRDefault="007A2A6F">
            <w:pPr>
              <w:rPr>
                <w:color w:val="auto"/>
                <w:lang w:val="hr-HR"/>
              </w:rPr>
            </w:pPr>
          </w:p>
        </w:tc>
        <w:tc>
          <w:tcPr>
            <w:tcW w:w="1800" w:type="dxa"/>
            <w:tcBorders>
              <w:top w:val="single" w:sz="4" w:space="0" w:color="auto"/>
              <w:left w:val="single" w:sz="4" w:space="0" w:color="auto"/>
              <w:bottom w:val="single" w:sz="4" w:space="0" w:color="auto"/>
              <w:right w:val="single" w:sz="4" w:space="0" w:color="auto"/>
            </w:tcBorders>
          </w:tcPr>
          <w:p w14:paraId="77762A18" w14:textId="77777777" w:rsidR="007A2A6F" w:rsidRPr="00653DCF" w:rsidRDefault="007A2A6F">
            <w:pPr>
              <w:rPr>
                <w:color w:val="auto"/>
                <w:lang w:val="hr-HR"/>
              </w:rPr>
            </w:pPr>
          </w:p>
        </w:tc>
      </w:tr>
      <w:tr w:rsidR="007A2A6F" w:rsidRPr="00653DCF" w14:paraId="58DCFCE1" w14:textId="77777777" w:rsidTr="00553016">
        <w:tc>
          <w:tcPr>
            <w:tcW w:w="4252" w:type="dxa"/>
            <w:tcBorders>
              <w:top w:val="single" w:sz="4" w:space="0" w:color="auto"/>
              <w:left w:val="single" w:sz="4" w:space="0" w:color="auto"/>
              <w:bottom w:val="single" w:sz="4" w:space="0" w:color="auto"/>
              <w:right w:val="single" w:sz="4" w:space="0" w:color="auto"/>
            </w:tcBorders>
          </w:tcPr>
          <w:p w14:paraId="470050ED" w14:textId="77777777" w:rsidR="007A2A6F" w:rsidRPr="00653DCF" w:rsidRDefault="007A2A6F" w:rsidP="006010BF">
            <w:pPr>
              <w:numPr>
                <w:ilvl w:val="0"/>
                <w:numId w:val="83"/>
              </w:numPr>
              <w:tabs>
                <w:tab w:val="num" w:pos="252"/>
              </w:tabs>
              <w:spacing w:after="0"/>
              <w:ind w:left="252" w:hanging="252"/>
              <w:rPr>
                <w:color w:val="auto"/>
                <w:lang w:val="hr-HR"/>
              </w:rPr>
            </w:pPr>
          </w:p>
        </w:tc>
        <w:tc>
          <w:tcPr>
            <w:tcW w:w="2028" w:type="dxa"/>
            <w:tcBorders>
              <w:top w:val="single" w:sz="4" w:space="0" w:color="auto"/>
              <w:left w:val="single" w:sz="4" w:space="0" w:color="auto"/>
              <w:bottom w:val="single" w:sz="4" w:space="0" w:color="auto"/>
              <w:right w:val="single" w:sz="4" w:space="0" w:color="auto"/>
            </w:tcBorders>
          </w:tcPr>
          <w:p w14:paraId="722D7E0B" w14:textId="77777777" w:rsidR="007A2A6F" w:rsidRPr="00653DCF" w:rsidRDefault="007A2A6F">
            <w:pPr>
              <w:rPr>
                <w:color w:val="auto"/>
                <w:lang w:val="hr-HR"/>
              </w:rPr>
            </w:pPr>
          </w:p>
        </w:tc>
        <w:tc>
          <w:tcPr>
            <w:tcW w:w="1800" w:type="dxa"/>
            <w:tcBorders>
              <w:top w:val="single" w:sz="4" w:space="0" w:color="auto"/>
              <w:left w:val="single" w:sz="4" w:space="0" w:color="auto"/>
              <w:bottom w:val="single" w:sz="4" w:space="0" w:color="auto"/>
              <w:right w:val="single" w:sz="4" w:space="0" w:color="auto"/>
            </w:tcBorders>
          </w:tcPr>
          <w:p w14:paraId="5649660E" w14:textId="77777777" w:rsidR="007A2A6F" w:rsidRPr="00653DCF" w:rsidRDefault="007A2A6F">
            <w:pPr>
              <w:rPr>
                <w:color w:val="auto"/>
                <w:lang w:val="hr-HR"/>
              </w:rPr>
            </w:pPr>
          </w:p>
        </w:tc>
      </w:tr>
      <w:tr w:rsidR="007A2A6F" w:rsidRPr="00653DCF" w14:paraId="7E53FD42" w14:textId="77777777" w:rsidTr="00553016">
        <w:tc>
          <w:tcPr>
            <w:tcW w:w="4252" w:type="dxa"/>
            <w:tcBorders>
              <w:top w:val="single" w:sz="4" w:space="0" w:color="auto"/>
              <w:left w:val="single" w:sz="4" w:space="0" w:color="auto"/>
              <w:bottom w:val="single" w:sz="4" w:space="0" w:color="auto"/>
              <w:right w:val="single" w:sz="4" w:space="0" w:color="auto"/>
            </w:tcBorders>
          </w:tcPr>
          <w:p w14:paraId="30DE1CC1" w14:textId="77777777" w:rsidR="007A2A6F" w:rsidRPr="00653DCF" w:rsidRDefault="007A2A6F" w:rsidP="006010BF">
            <w:pPr>
              <w:numPr>
                <w:ilvl w:val="0"/>
                <w:numId w:val="83"/>
              </w:numPr>
              <w:tabs>
                <w:tab w:val="num" w:pos="252"/>
              </w:tabs>
              <w:spacing w:after="0"/>
              <w:ind w:left="252" w:hanging="252"/>
              <w:rPr>
                <w:color w:val="auto"/>
                <w:lang w:val="hr-HR"/>
              </w:rPr>
            </w:pPr>
          </w:p>
        </w:tc>
        <w:tc>
          <w:tcPr>
            <w:tcW w:w="2028" w:type="dxa"/>
            <w:tcBorders>
              <w:top w:val="single" w:sz="4" w:space="0" w:color="auto"/>
              <w:left w:val="single" w:sz="4" w:space="0" w:color="auto"/>
              <w:bottom w:val="single" w:sz="4" w:space="0" w:color="auto"/>
              <w:right w:val="single" w:sz="4" w:space="0" w:color="auto"/>
            </w:tcBorders>
          </w:tcPr>
          <w:p w14:paraId="5401E9DC" w14:textId="77777777" w:rsidR="007A2A6F" w:rsidRPr="00653DCF" w:rsidRDefault="007A2A6F">
            <w:pPr>
              <w:rPr>
                <w:color w:val="auto"/>
                <w:lang w:val="hr-HR"/>
              </w:rPr>
            </w:pPr>
          </w:p>
        </w:tc>
        <w:tc>
          <w:tcPr>
            <w:tcW w:w="1800" w:type="dxa"/>
            <w:tcBorders>
              <w:top w:val="single" w:sz="4" w:space="0" w:color="auto"/>
              <w:left w:val="single" w:sz="4" w:space="0" w:color="auto"/>
              <w:bottom w:val="single" w:sz="4" w:space="0" w:color="auto"/>
              <w:right w:val="single" w:sz="4" w:space="0" w:color="auto"/>
            </w:tcBorders>
          </w:tcPr>
          <w:p w14:paraId="68757D47" w14:textId="77777777" w:rsidR="007A2A6F" w:rsidRPr="00653DCF" w:rsidRDefault="007A2A6F">
            <w:pPr>
              <w:rPr>
                <w:color w:val="auto"/>
                <w:lang w:val="hr-HR"/>
              </w:rPr>
            </w:pPr>
          </w:p>
        </w:tc>
      </w:tr>
    </w:tbl>
    <w:p w14:paraId="7727BF77" w14:textId="2D33AF40" w:rsidR="007A2A6F" w:rsidRPr="00653DCF" w:rsidRDefault="00E87B0B" w:rsidP="006010BF">
      <w:pPr>
        <w:pStyle w:val="P68B1DB1-Normal2"/>
        <w:numPr>
          <w:ilvl w:val="1"/>
          <w:numId w:val="79"/>
        </w:numPr>
        <w:spacing w:before="120"/>
        <w:jc w:val="left"/>
        <w:rPr>
          <w:color w:val="auto"/>
          <w:lang w:val="hr-HR"/>
        </w:rPr>
      </w:pPr>
      <w:r w:rsidRPr="00653DCF">
        <w:rPr>
          <w:color w:val="auto"/>
          <w:lang w:val="hr-HR"/>
        </w:rPr>
        <w:t>Nabav</w:t>
      </w:r>
      <w:r w:rsidR="00503A1E" w:rsidRPr="00653DCF">
        <w:rPr>
          <w:color w:val="auto"/>
          <w:lang w:val="hr-HR"/>
        </w:rPr>
        <w:t>a</w:t>
      </w:r>
      <w:r w:rsidRPr="00653DCF">
        <w:rPr>
          <w:color w:val="auto"/>
          <w:lang w:val="hr-HR"/>
        </w:rPr>
        <w:t xml:space="preserve"> </w:t>
      </w:r>
    </w:p>
    <w:p w14:paraId="4AE9270D" w14:textId="227C966E" w:rsidR="007A2A6F" w:rsidRPr="00653DCF" w:rsidRDefault="00E87B0B">
      <w:pPr>
        <w:ind w:left="709"/>
        <w:rPr>
          <w:color w:val="auto"/>
          <w:lang w:val="hr-HR"/>
        </w:rPr>
      </w:pPr>
      <w:r w:rsidRPr="00653DCF">
        <w:rPr>
          <w:color w:val="auto"/>
          <w:lang w:val="hr-HR"/>
        </w:rPr>
        <w:t xml:space="preserve">Broj </w:t>
      </w:r>
      <w:r w:rsidR="00F50E89" w:rsidRPr="00653DCF">
        <w:rPr>
          <w:color w:val="auto"/>
          <w:lang w:val="hr-HR"/>
        </w:rPr>
        <w:t>U</w:t>
      </w:r>
      <w:r w:rsidRPr="00653DCF">
        <w:rPr>
          <w:color w:val="auto"/>
          <w:lang w:val="hr-HR"/>
        </w:rPr>
        <w:t xml:space="preserve">govora, njihova vrijednost i vrste </w:t>
      </w:r>
      <w:r w:rsidR="00503A1E" w:rsidRPr="00653DCF">
        <w:rPr>
          <w:color w:val="auto"/>
          <w:lang w:val="hr-HR"/>
        </w:rPr>
        <w:t>nabavnih</w:t>
      </w:r>
      <w:r w:rsidRPr="00653DCF">
        <w:rPr>
          <w:color w:val="auto"/>
          <w:lang w:val="hr-HR"/>
        </w:rPr>
        <w:t xml:space="preserve"> postupaka, </w:t>
      </w:r>
      <w:r w:rsidR="00946677" w:rsidRPr="00653DCF">
        <w:rPr>
          <w:color w:val="auto"/>
          <w:lang w:val="hr-HR"/>
        </w:rPr>
        <w:t>vremenski plan</w:t>
      </w:r>
      <w:r w:rsidRPr="00653DCF">
        <w:rPr>
          <w:color w:val="auto"/>
          <w:lang w:val="hr-HR"/>
        </w:rPr>
        <w:t>.</w:t>
      </w:r>
    </w:p>
    <w:p w14:paraId="6D8BEA12" w14:textId="7FA65AC0" w:rsidR="007A2A6F" w:rsidRPr="00653DCF" w:rsidRDefault="00E87B0B" w:rsidP="006010BF">
      <w:pPr>
        <w:pStyle w:val="P68B1DB1-Normal2"/>
        <w:numPr>
          <w:ilvl w:val="1"/>
          <w:numId w:val="79"/>
        </w:numPr>
        <w:spacing w:before="120"/>
        <w:jc w:val="left"/>
        <w:rPr>
          <w:color w:val="auto"/>
          <w:lang w:val="hr-HR"/>
        </w:rPr>
      </w:pPr>
      <w:r w:rsidRPr="00653DCF">
        <w:rPr>
          <w:color w:val="auto"/>
          <w:lang w:val="hr-HR"/>
        </w:rPr>
        <w:t>Utjecaj na okoliš</w:t>
      </w:r>
    </w:p>
    <w:p w14:paraId="2B9FB844" w14:textId="6A1CBD72" w:rsidR="007A2A6F" w:rsidRPr="00653DCF" w:rsidRDefault="00E87B0B" w:rsidP="006010BF">
      <w:pPr>
        <w:numPr>
          <w:ilvl w:val="0"/>
          <w:numId w:val="84"/>
        </w:numPr>
        <w:tabs>
          <w:tab w:val="clear" w:pos="720"/>
          <w:tab w:val="left" w:pos="1080"/>
        </w:tabs>
        <w:ind w:left="1077" w:hanging="357"/>
        <w:rPr>
          <w:color w:val="auto"/>
          <w:lang w:val="hr-HR"/>
        </w:rPr>
      </w:pPr>
      <w:r w:rsidRPr="00653DCF">
        <w:rPr>
          <w:color w:val="auto"/>
          <w:lang w:val="hr-HR"/>
        </w:rPr>
        <w:t xml:space="preserve">Ukratko objasnite učinke </w:t>
      </w:r>
      <w:r w:rsidR="00946677" w:rsidRPr="00653DCF">
        <w:rPr>
          <w:color w:val="auto"/>
          <w:lang w:val="hr-HR"/>
        </w:rPr>
        <w:t>P</w:t>
      </w:r>
      <w:r w:rsidRPr="00653DCF">
        <w:rPr>
          <w:color w:val="auto"/>
          <w:lang w:val="hr-HR"/>
        </w:rPr>
        <w:t>rojekta na okoliš.</w:t>
      </w:r>
    </w:p>
    <w:p w14:paraId="296CC8C5" w14:textId="03518264" w:rsidR="007A2A6F" w:rsidRPr="00653DCF" w:rsidRDefault="00E87B0B" w:rsidP="006010BF">
      <w:pPr>
        <w:numPr>
          <w:ilvl w:val="0"/>
          <w:numId w:val="84"/>
        </w:numPr>
        <w:tabs>
          <w:tab w:val="clear" w:pos="720"/>
          <w:tab w:val="left" w:pos="1080"/>
        </w:tabs>
        <w:ind w:left="1077" w:hanging="357"/>
        <w:rPr>
          <w:color w:val="auto"/>
          <w:lang w:val="hr-HR"/>
        </w:rPr>
      </w:pPr>
      <w:r w:rsidRPr="00653DCF">
        <w:rPr>
          <w:color w:val="auto"/>
          <w:lang w:val="hr-HR"/>
        </w:rPr>
        <w:t xml:space="preserve">Ima li </w:t>
      </w:r>
      <w:r w:rsidR="00273AF8" w:rsidRPr="00653DCF">
        <w:rPr>
          <w:color w:val="auto"/>
          <w:lang w:val="hr-HR"/>
        </w:rPr>
        <w:t>P</w:t>
      </w:r>
      <w:r w:rsidRPr="00653DCF">
        <w:rPr>
          <w:color w:val="auto"/>
          <w:lang w:val="hr-HR"/>
        </w:rPr>
        <w:t>rojekt neke posebne rizike ili koristi za okoliš?</w:t>
      </w:r>
    </w:p>
    <w:p w14:paraId="562D5582" w14:textId="474E3136" w:rsidR="00273AF8" w:rsidRPr="00653DCF" w:rsidRDefault="00E87B0B" w:rsidP="006010BF">
      <w:pPr>
        <w:numPr>
          <w:ilvl w:val="0"/>
          <w:numId w:val="84"/>
        </w:numPr>
        <w:tabs>
          <w:tab w:val="clear" w:pos="720"/>
          <w:tab w:val="left" w:pos="1080"/>
        </w:tabs>
        <w:spacing w:after="0"/>
        <w:ind w:left="1080"/>
        <w:rPr>
          <w:color w:val="auto"/>
          <w:lang w:val="hr-HR"/>
        </w:rPr>
      </w:pPr>
      <w:r w:rsidRPr="00653DCF">
        <w:rPr>
          <w:color w:val="auto"/>
          <w:lang w:val="hr-HR"/>
        </w:rPr>
        <w:t xml:space="preserve">Usklađenost </w:t>
      </w:r>
      <w:r w:rsidR="00273AF8" w:rsidRPr="00653DCF">
        <w:rPr>
          <w:color w:val="auto"/>
          <w:lang w:val="hr-HR"/>
        </w:rPr>
        <w:t>sa zahtjevima u pogledu zaštite okoliša (lokalnim i nacionalnim zahtjevima, zahtjevima Europske unije) i sažeti opis donesenih mjera ublažavanja, ako takve postoje; navesti je li potreban PUO i je li lokacija projekta unutar lokaliteta mreže Natura 2000 ili utječe na lokalitete mreže Natura 2000</w:t>
      </w:r>
      <w:r w:rsidR="005611D7" w:rsidRPr="00653DCF">
        <w:rPr>
          <w:color w:val="auto"/>
          <w:lang w:val="hr-HR"/>
        </w:rPr>
        <w:t xml:space="preserve"> ili neka druga zaštićena područja prirode. Ako je </w:t>
      </w:r>
      <w:r w:rsidR="00157185" w:rsidRPr="00653DCF">
        <w:rPr>
          <w:color w:val="auto"/>
          <w:lang w:val="hr-HR"/>
        </w:rPr>
        <w:t>to slučaj</w:t>
      </w:r>
      <w:r w:rsidR="00273AF8" w:rsidRPr="00653DCF">
        <w:rPr>
          <w:color w:val="auto"/>
          <w:lang w:val="hr-HR"/>
        </w:rPr>
        <w:t xml:space="preserve">, navesti informacije o dotičnoj procjeni i odlukama </w:t>
      </w:r>
      <w:r w:rsidR="00157185" w:rsidRPr="00653DCF">
        <w:rPr>
          <w:color w:val="auto"/>
          <w:lang w:val="hr-HR"/>
        </w:rPr>
        <w:t xml:space="preserve">upravnih tijela vezano </w:t>
      </w:r>
      <w:r w:rsidR="00273AF8" w:rsidRPr="00653DCF">
        <w:rPr>
          <w:color w:val="auto"/>
          <w:lang w:val="hr-HR"/>
        </w:rPr>
        <w:t>za takve projekte</w:t>
      </w:r>
      <w:r w:rsidR="007379C3" w:rsidRPr="00653DCF">
        <w:rPr>
          <w:color w:val="auto"/>
          <w:lang w:val="hr-HR"/>
        </w:rPr>
        <w:t>, a s</w:t>
      </w:r>
      <w:r w:rsidR="00273AF8" w:rsidRPr="00653DCF">
        <w:rPr>
          <w:color w:val="auto"/>
          <w:lang w:val="hr-HR"/>
        </w:rPr>
        <w:t>lužbe Banke mogu zatražiti dodatne informacije</w:t>
      </w:r>
      <w:r w:rsidR="007379C3" w:rsidRPr="00653DCF">
        <w:rPr>
          <w:color w:val="auto"/>
          <w:lang w:val="hr-HR"/>
        </w:rPr>
        <w:t xml:space="preserve">. Priložiti primjerak </w:t>
      </w:r>
      <w:r w:rsidR="00273AF8" w:rsidRPr="00653DCF">
        <w:rPr>
          <w:color w:val="auto"/>
          <w:lang w:val="hr-HR"/>
        </w:rPr>
        <w:t>netehničkog sažetka PUO-a</w:t>
      </w:r>
      <w:r w:rsidR="007379C3" w:rsidRPr="00653DCF">
        <w:rPr>
          <w:color w:val="auto"/>
          <w:lang w:val="hr-HR"/>
        </w:rPr>
        <w:t xml:space="preserve"> te obrazac A ili B koju je potpisao ovlašteno javno tijelo (ako je to primjenjivo).</w:t>
      </w:r>
    </w:p>
    <w:p w14:paraId="522634EB" w14:textId="77777777" w:rsidR="00273AF8" w:rsidRPr="00653DCF" w:rsidRDefault="00273AF8" w:rsidP="00273AF8">
      <w:pPr>
        <w:tabs>
          <w:tab w:val="left" w:pos="1080"/>
        </w:tabs>
        <w:spacing w:after="0"/>
        <w:rPr>
          <w:color w:val="auto"/>
          <w:lang w:val="hr-HR"/>
        </w:rPr>
      </w:pPr>
    </w:p>
    <w:p w14:paraId="4DA9C09F" w14:textId="64404BE7" w:rsidR="007A2A6F" w:rsidRPr="00653DCF" w:rsidRDefault="001668C3" w:rsidP="006010BF">
      <w:pPr>
        <w:pStyle w:val="P68B1DB1-Normal2"/>
        <w:numPr>
          <w:ilvl w:val="1"/>
          <w:numId w:val="79"/>
        </w:numPr>
        <w:spacing w:before="120"/>
        <w:jc w:val="left"/>
        <w:rPr>
          <w:color w:val="auto"/>
          <w:lang w:val="hr-HR"/>
        </w:rPr>
      </w:pPr>
      <w:r w:rsidRPr="00653DCF">
        <w:rPr>
          <w:color w:val="auto"/>
          <w:lang w:val="hr-HR"/>
        </w:rPr>
        <w:t>Rad (stavljanje u pogon)</w:t>
      </w:r>
      <w:r w:rsidR="00E87B0B" w:rsidRPr="00653DCF">
        <w:rPr>
          <w:color w:val="auto"/>
          <w:lang w:val="hr-HR"/>
        </w:rPr>
        <w:t xml:space="preserve"> i održavanje objekata:</w:t>
      </w:r>
    </w:p>
    <w:p w14:paraId="044F7A91" w14:textId="290E8094" w:rsidR="007A2A6F" w:rsidRPr="00653DCF" w:rsidRDefault="00E87B0B" w:rsidP="006010BF">
      <w:pPr>
        <w:numPr>
          <w:ilvl w:val="0"/>
          <w:numId w:val="85"/>
        </w:numPr>
        <w:tabs>
          <w:tab w:val="clear" w:pos="720"/>
          <w:tab w:val="num" w:pos="1080"/>
        </w:tabs>
        <w:ind w:left="1077" w:hanging="357"/>
        <w:rPr>
          <w:color w:val="auto"/>
          <w:lang w:val="hr-HR"/>
        </w:rPr>
      </w:pPr>
      <w:r w:rsidRPr="00653DCF">
        <w:rPr>
          <w:color w:val="auto"/>
          <w:lang w:val="hr-HR"/>
        </w:rPr>
        <w:t xml:space="preserve">Organizacija zadužena za rad </w:t>
      </w:r>
      <w:r w:rsidR="001668C3" w:rsidRPr="00653DCF">
        <w:rPr>
          <w:color w:val="auto"/>
          <w:lang w:val="hr-HR"/>
        </w:rPr>
        <w:t xml:space="preserve">(stavljanje u pogon) </w:t>
      </w:r>
      <w:r w:rsidRPr="00653DCF">
        <w:rPr>
          <w:color w:val="auto"/>
          <w:lang w:val="hr-HR"/>
        </w:rPr>
        <w:t xml:space="preserve">i održavanje </w:t>
      </w:r>
      <w:r w:rsidR="001668C3" w:rsidRPr="00653DCF">
        <w:rPr>
          <w:color w:val="auto"/>
          <w:lang w:val="hr-HR"/>
        </w:rPr>
        <w:t>investicijskog projekta;</w:t>
      </w:r>
      <w:r w:rsidRPr="00653DCF">
        <w:rPr>
          <w:color w:val="auto"/>
          <w:lang w:val="hr-HR"/>
        </w:rPr>
        <w:t xml:space="preserve"> </w:t>
      </w:r>
    </w:p>
    <w:p w14:paraId="781DC83E" w14:textId="1C24BFD7" w:rsidR="007A2A6F" w:rsidRPr="00653DCF" w:rsidRDefault="00E87B0B" w:rsidP="006010BF">
      <w:pPr>
        <w:numPr>
          <w:ilvl w:val="0"/>
          <w:numId w:val="85"/>
        </w:numPr>
        <w:tabs>
          <w:tab w:val="clear" w:pos="720"/>
          <w:tab w:val="num" w:pos="1080"/>
        </w:tabs>
        <w:spacing w:after="0"/>
        <w:ind w:left="1080"/>
        <w:rPr>
          <w:color w:val="auto"/>
          <w:lang w:val="hr-HR"/>
        </w:rPr>
      </w:pPr>
      <w:r w:rsidRPr="00653DCF">
        <w:rPr>
          <w:color w:val="auto"/>
          <w:lang w:val="hr-HR"/>
        </w:rPr>
        <w:t xml:space="preserve">Operativni troškovi i troškovi održavanja </w:t>
      </w:r>
      <w:r w:rsidR="005C6608" w:rsidRPr="00653DCF">
        <w:rPr>
          <w:color w:val="auto"/>
          <w:lang w:val="hr-HR"/>
        </w:rPr>
        <w:t xml:space="preserve">te </w:t>
      </w:r>
      <w:r w:rsidRPr="00653DCF">
        <w:rPr>
          <w:color w:val="auto"/>
          <w:lang w:val="hr-HR"/>
        </w:rPr>
        <w:t xml:space="preserve">raspoloživi proračun za rad </w:t>
      </w:r>
      <w:r w:rsidR="005C6608" w:rsidRPr="00653DCF">
        <w:rPr>
          <w:color w:val="auto"/>
          <w:lang w:val="hr-HR"/>
        </w:rPr>
        <w:t xml:space="preserve">(stavljanje u pogon) </w:t>
      </w:r>
      <w:r w:rsidRPr="00653DCF">
        <w:rPr>
          <w:color w:val="auto"/>
          <w:lang w:val="hr-HR"/>
        </w:rPr>
        <w:t>i održavanje:</w:t>
      </w:r>
    </w:p>
    <w:p w14:paraId="2997DBE0" w14:textId="64107371" w:rsidR="007A2A6F" w:rsidRPr="00653DCF" w:rsidRDefault="00193636" w:rsidP="006010BF">
      <w:pPr>
        <w:pStyle w:val="P68B1DB1-Normal2"/>
        <w:numPr>
          <w:ilvl w:val="1"/>
          <w:numId w:val="79"/>
        </w:numPr>
        <w:spacing w:before="120"/>
        <w:jc w:val="left"/>
        <w:rPr>
          <w:color w:val="auto"/>
          <w:lang w:val="hr-HR"/>
        </w:rPr>
      </w:pPr>
      <w:r w:rsidRPr="00653DCF">
        <w:rPr>
          <w:color w:val="auto"/>
          <w:lang w:val="hr-HR"/>
        </w:rPr>
        <w:t>Ekonomski</w:t>
      </w:r>
      <w:r w:rsidR="00E87B0B" w:rsidRPr="00653DCF">
        <w:rPr>
          <w:color w:val="auto"/>
          <w:lang w:val="hr-HR"/>
        </w:rPr>
        <w:t xml:space="preserve"> i financijski aspekti</w:t>
      </w:r>
    </w:p>
    <w:p w14:paraId="41DAE2D6" w14:textId="3BDF552C" w:rsidR="007A2A6F" w:rsidRPr="00653DCF" w:rsidRDefault="008857E6" w:rsidP="006010BF">
      <w:pPr>
        <w:numPr>
          <w:ilvl w:val="0"/>
          <w:numId w:val="86"/>
        </w:numPr>
        <w:tabs>
          <w:tab w:val="clear" w:pos="720"/>
          <w:tab w:val="num" w:pos="1080"/>
        </w:tabs>
        <w:ind w:left="1077" w:hanging="357"/>
        <w:rPr>
          <w:color w:val="auto"/>
          <w:lang w:val="hr-HR"/>
        </w:rPr>
      </w:pPr>
      <w:r w:rsidRPr="00653DCF">
        <w:rPr>
          <w:color w:val="auto"/>
          <w:lang w:val="hr-HR"/>
        </w:rPr>
        <w:t>Broj stanovnika obuhvaćen investicijskim projektom ili druge relevantne analize potražnje (npr. promet)</w:t>
      </w:r>
      <w:r w:rsidR="00E87B0B" w:rsidRPr="00653DCF">
        <w:rPr>
          <w:color w:val="auto"/>
          <w:lang w:val="hr-HR"/>
        </w:rPr>
        <w:t xml:space="preserve">. U slučaju </w:t>
      </w:r>
      <w:r w:rsidR="001E7548" w:rsidRPr="00653DCF">
        <w:rPr>
          <w:color w:val="auto"/>
          <w:lang w:val="hr-HR"/>
        </w:rPr>
        <w:t xml:space="preserve">da se radi o cestovnom investicijskom projektu, </w:t>
      </w:r>
      <w:r w:rsidR="00E87B0B" w:rsidRPr="00653DCF">
        <w:rPr>
          <w:color w:val="auto"/>
          <w:lang w:val="hr-HR"/>
        </w:rPr>
        <w:t>potrebno je uključiti stvarne i predviđene prometne tokove.</w:t>
      </w:r>
    </w:p>
    <w:p w14:paraId="053D0A02" w14:textId="6777FA2B" w:rsidR="007A2A6F" w:rsidRPr="00653DCF" w:rsidRDefault="00E87B0B" w:rsidP="006010BF">
      <w:pPr>
        <w:numPr>
          <w:ilvl w:val="0"/>
          <w:numId w:val="86"/>
        </w:numPr>
        <w:tabs>
          <w:tab w:val="clear" w:pos="720"/>
          <w:tab w:val="num" w:pos="1080"/>
        </w:tabs>
        <w:ind w:left="1077" w:hanging="357"/>
        <w:rPr>
          <w:color w:val="auto"/>
          <w:lang w:val="hr-HR"/>
        </w:rPr>
      </w:pPr>
      <w:r w:rsidRPr="00653DCF">
        <w:rPr>
          <w:color w:val="auto"/>
          <w:lang w:val="hr-HR"/>
        </w:rPr>
        <w:t xml:space="preserve">Ako je primjenjivo, sažetak analize troškova i koristi ili ekonomske </w:t>
      </w:r>
      <w:r w:rsidR="003870A8" w:rsidRPr="00653DCF">
        <w:rPr>
          <w:color w:val="auto"/>
          <w:lang w:val="hr-HR"/>
        </w:rPr>
        <w:t>opravdanosti;</w:t>
      </w:r>
    </w:p>
    <w:p w14:paraId="11B58F2C" w14:textId="4161AFDD" w:rsidR="007A2A6F" w:rsidRPr="00653DCF" w:rsidRDefault="00E87B0B" w:rsidP="006010BF">
      <w:pPr>
        <w:numPr>
          <w:ilvl w:val="0"/>
          <w:numId w:val="86"/>
        </w:numPr>
        <w:tabs>
          <w:tab w:val="clear" w:pos="720"/>
          <w:tab w:val="num" w:pos="1080"/>
        </w:tabs>
        <w:spacing w:after="0"/>
        <w:ind w:left="1080"/>
        <w:rPr>
          <w:color w:val="auto"/>
          <w:lang w:val="hr-HR"/>
        </w:rPr>
      </w:pPr>
      <w:r w:rsidRPr="00653DCF">
        <w:rPr>
          <w:color w:val="auto"/>
          <w:lang w:val="hr-HR"/>
        </w:rPr>
        <w:t xml:space="preserve">Ako je primjenjivo, mehanizam </w:t>
      </w:r>
      <w:r w:rsidR="003870A8" w:rsidRPr="00653DCF">
        <w:rPr>
          <w:color w:val="auto"/>
          <w:lang w:val="hr-HR"/>
        </w:rPr>
        <w:t xml:space="preserve">naplate </w:t>
      </w:r>
      <w:r w:rsidRPr="00653DCF">
        <w:rPr>
          <w:color w:val="auto"/>
          <w:lang w:val="hr-HR"/>
        </w:rPr>
        <w:t>troškova (</w:t>
      </w:r>
      <w:r w:rsidR="003870A8" w:rsidRPr="00653DCF">
        <w:rPr>
          <w:color w:val="auto"/>
          <w:lang w:val="hr-HR"/>
        </w:rPr>
        <w:t>H</w:t>
      </w:r>
      <w:r w:rsidRPr="00653DCF">
        <w:rPr>
          <w:color w:val="auto"/>
          <w:lang w:val="hr-HR"/>
        </w:rPr>
        <w:t xml:space="preserve">oće li korisnici morati </w:t>
      </w:r>
      <w:r w:rsidR="003870A8" w:rsidRPr="00653DCF">
        <w:rPr>
          <w:color w:val="auto"/>
          <w:lang w:val="hr-HR"/>
        </w:rPr>
        <w:t>davati doprinos za trošak investicijskog projekta</w:t>
      </w:r>
      <w:r w:rsidRPr="00653DCF">
        <w:rPr>
          <w:color w:val="auto"/>
          <w:lang w:val="hr-HR"/>
        </w:rPr>
        <w:t>?</w:t>
      </w:r>
      <w:r w:rsidR="003870A8" w:rsidRPr="00653DCF">
        <w:rPr>
          <w:color w:val="auto"/>
          <w:lang w:val="hr-HR"/>
        </w:rPr>
        <w:t xml:space="preserve"> Kakva je cjenovna politika</w:t>
      </w:r>
      <w:r w:rsidRPr="00653DCF">
        <w:rPr>
          <w:color w:val="auto"/>
          <w:lang w:val="hr-HR"/>
        </w:rPr>
        <w:t>?).</w:t>
      </w:r>
    </w:p>
    <w:p w14:paraId="7D425768" w14:textId="77777777" w:rsidR="007A2A6F" w:rsidRPr="00653DCF" w:rsidRDefault="00E87B0B" w:rsidP="006010BF">
      <w:pPr>
        <w:pStyle w:val="P68B1DB1-Normal15"/>
        <w:numPr>
          <w:ilvl w:val="0"/>
          <w:numId w:val="78"/>
        </w:numPr>
        <w:spacing w:before="120"/>
        <w:rPr>
          <w:color w:val="auto"/>
          <w:lang w:val="hr-HR"/>
        </w:rPr>
      </w:pPr>
      <w:r w:rsidRPr="00653DCF">
        <w:rPr>
          <w:color w:val="auto"/>
          <w:lang w:val="hr-HR"/>
        </w:rPr>
        <w:t>Opći zaključci i preporuke</w:t>
      </w:r>
    </w:p>
    <w:p w14:paraId="75203B78" w14:textId="77777777" w:rsidR="007A2A6F" w:rsidRPr="00653DCF" w:rsidRDefault="007A2A6F">
      <w:pPr>
        <w:pBdr>
          <w:top w:val="single" w:sz="4" w:space="1" w:color="auto"/>
          <w:left w:val="single" w:sz="4" w:space="4" w:color="auto"/>
          <w:bottom w:val="single" w:sz="4" w:space="1" w:color="auto"/>
          <w:right w:val="single" w:sz="4" w:space="4" w:color="auto"/>
        </w:pBdr>
        <w:ind w:left="142"/>
        <w:rPr>
          <w:color w:val="auto"/>
          <w:lang w:val="hr-HR"/>
        </w:rPr>
      </w:pPr>
    </w:p>
    <w:p w14:paraId="7096732F" w14:textId="77777777" w:rsidR="007A2A6F" w:rsidRPr="00653DCF" w:rsidRDefault="007A2A6F">
      <w:pPr>
        <w:pBdr>
          <w:top w:val="single" w:sz="4" w:space="1" w:color="auto"/>
          <w:left w:val="single" w:sz="4" w:space="4" w:color="auto"/>
          <w:bottom w:val="single" w:sz="4" w:space="1" w:color="auto"/>
          <w:right w:val="single" w:sz="4" w:space="4" w:color="auto"/>
        </w:pBdr>
        <w:ind w:left="142"/>
        <w:rPr>
          <w:color w:val="auto"/>
          <w:lang w:val="hr-HR"/>
        </w:rPr>
      </w:pPr>
    </w:p>
    <w:p w14:paraId="56CDD75F" w14:textId="77777777" w:rsidR="007A2A6F" w:rsidRPr="00653DCF" w:rsidRDefault="007A2A6F">
      <w:pPr>
        <w:pBdr>
          <w:top w:val="single" w:sz="4" w:space="1" w:color="auto"/>
          <w:left w:val="single" w:sz="4" w:space="4" w:color="auto"/>
          <w:bottom w:val="single" w:sz="4" w:space="1" w:color="auto"/>
          <w:right w:val="single" w:sz="4" w:space="4" w:color="auto"/>
        </w:pBdr>
        <w:ind w:left="142"/>
        <w:rPr>
          <w:color w:val="auto"/>
          <w:lang w:val="hr-HR"/>
        </w:rPr>
      </w:pPr>
    </w:p>
    <w:p w14:paraId="31CC36BF" w14:textId="59CF1F6B" w:rsidR="007A2A6F" w:rsidRPr="00653DCF" w:rsidRDefault="00E87B0B">
      <w:pPr>
        <w:ind w:hanging="856"/>
        <w:rPr>
          <w:rFonts w:cs="Arial"/>
          <w:b/>
          <w:color w:val="auto"/>
          <w:lang w:val="hr-HR"/>
        </w:rPr>
      </w:pPr>
      <w:r w:rsidRPr="00653DCF">
        <w:rPr>
          <w:color w:val="auto"/>
          <w:lang w:val="hr-HR"/>
        </w:rPr>
        <w:t>Mjesto:</w:t>
      </w:r>
      <w:r w:rsidRPr="00653DCF">
        <w:rPr>
          <w:color w:val="auto"/>
          <w:lang w:val="hr-HR"/>
        </w:rPr>
        <w:tab/>
      </w:r>
      <w:r w:rsidRPr="00653DCF">
        <w:rPr>
          <w:color w:val="auto"/>
          <w:lang w:val="hr-HR"/>
        </w:rPr>
        <w:tab/>
      </w:r>
      <w:r w:rsidRPr="00653DCF">
        <w:rPr>
          <w:color w:val="auto"/>
          <w:lang w:val="hr-HR"/>
        </w:rPr>
        <w:tab/>
        <w:t xml:space="preserve">Datum: </w:t>
      </w:r>
      <w:r w:rsidRPr="00653DCF">
        <w:rPr>
          <w:color w:val="auto"/>
          <w:lang w:val="hr-HR"/>
        </w:rPr>
        <w:tab/>
      </w:r>
      <w:r w:rsidRPr="00653DCF">
        <w:rPr>
          <w:color w:val="auto"/>
          <w:lang w:val="hr-HR"/>
        </w:rPr>
        <w:tab/>
      </w:r>
      <w:r w:rsidRPr="00653DCF">
        <w:rPr>
          <w:color w:val="auto"/>
          <w:lang w:val="hr-HR"/>
        </w:rPr>
        <w:tab/>
      </w:r>
      <w:r w:rsidR="003870A8" w:rsidRPr="00653DCF">
        <w:rPr>
          <w:color w:val="auto"/>
          <w:lang w:val="hr-HR"/>
        </w:rPr>
        <w:t>Nositelj</w:t>
      </w:r>
      <w:r w:rsidRPr="00653DCF">
        <w:rPr>
          <w:color w:val="auto"/>
          <w:lang w:val="hr-HR"/>
        </w:rPr>
        <w:t>:</w:t>
      </w:r>
      <w:r w:rsidRPr="00653DCF">
        <w:rPr>
          <w:color w:val="auto"/>
          <w:lang w:val="hr-HR"/>
        </w:rPr>
        <w:tab/>
      </w:r>
      <w:r w:rsidRPr="00653DCF">
        <w:rPr>
          <w:color w:val="auto"/>
          <w:lang w:val="hr-HR"/>
        </w:rPr>
        <w:tab/>
      </w:r>
      <w:r w:rsidRPr="00653DCF">
        <w:rPr>
          <w:color w:val="auto"/>
          <w:lang w:val="hr-HR"/>
        </w:rPr>
        <w:tab/>
        <w:t>Odgovorna osoba:</w:t>
      </w:r>
    </w:p>
    <w:p w14:paraId="1BB06CC4" w14:textId="2C39940A" w:rsidR="007A2A6F" w:rsidRPr="00653DCF" w:rsidRDefault="00E87B0B">
      <w:pPr>
        <w:pStyle w:val="P68B1DB1-Normal18"/>
        <w:spacing w:after="200" w:line="276" w:lineRule="auto"/>
        <w:ind w:left="0"/>
        <w:jc w:val="left"/>
        <w:rPr>
          <w:color w:val="auto"/>
          <w:lang w:val="hr-HR"/>
        </w:rPr>
      </w:pPr>
      <w:r w:rsidRPr="00653DCF">
        <w:rPr>
          <w:color w:val="auto"/>
          <w:lang w:val="hr-HR"/>
        </w:rPr>
        <w:br w:type="page"/>
      </w:r>
    </w:p>
    <w:p w14:paraId="1F521EF8" w14:textId="49A53921" w:rsidR="007A2A6F" w:rsidRPr="00653DCF" w:rsidRDefault="00D03918" w:rsidP="00D03918">
      <w:pPr>
        <w:pStyle w:val="SubSchedule4EIB"/>
        <w:ind w:left="851"/>
        <w:rPr>
          <w:color w:val="auto"/>
        </w:rPr>
      </w:pPr>
      <w:r w:rsidRPr="00653DCF">
        <w:rPr>
          <w:color w:val="auto"/>
        </w:rPr>
        <w:t>Indikativni</w:t>
      </w:r>
      <w:r w:rsidR="00E87B0B" w:rsidRPr="00653DCF">
        <w:rPr>
          <w:color w:val="auto"/>
        </w:rPr>
        <w:t xml:space="preserve"> popis projekata</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78"/>
        <w:gridCol w:w="2127"/>
        <w:gridCol w:w="2796"/>
      </w:tblGrid>
      <w:tr w:rsidR="007A2A6F" w:rsidRPr="00653DCF" w14:paraId="158A41C4" w14:textId="77777777">
        <w:trPr>
          <w:trHeight w:val="300"/>
          <w:tblHeader/>
        </w:trPr>
        <w:tc>
          <w:tcPr>
            <w:tcW w:w="1039" w:type="dxa"/>
            <w:shd w:val="clear" w:color="auto" w:fill="auto"/>
            <w:noWrap/>
            <w:vAlign w:val="bottom"/>
            <w:hideMark/>
          </w:tcPr>
          <w:p w14:paraId="71155A69" w14:textId="77071992" w:rsidR="007A2A6F" w:rsidRPr="00653DCF" w:rsidRDefault="00D17790" w:rsidP="00601C96">
            <w:pPr>
              <w:pStyle w:val="P68B1DB1-Normal19"/>
              <w:spacing w:after="0"/>
              <w:ind w:left="0"/>
              <w:jc w:val="left"/>
              <w:rPr>
                <w:color w:val="auto"/>
                <w:lang w:val="hr-HR"/>
              </w:rPr>
            </w:pPr>
            <w:r w:rsidRPr="00653DCF">
              <w:rPr>
                <w:color w:val="auto"/>
                <w:lang w:val="hr-HR"/>
              </w:rPr>
              <w:t>Nositelj</w:t>
            </w:r>
          </w:p>
        </w:tc>
        <w:tc>
          <w:tcPr>
            <w:tcW w:w="3678" w:type="dxa"/>
            <w:shd w:val="clear" w:color="auto" w:fill="auto"/>
            <w:noWrap/>
            <w:vAlign w:val="bottom"/>
            <w:hideMark/>
          </w:tcPr>
          <w:p w14:paraId="5B3A6727" w14:textId="05037DF0" w:rsidR="007A2A6F" w:rsidRPr="00653DCF" w:rsidRDefault="00D17790" w:rsidP="00601C96">
            <w:pPr>
              <w:pStyle w:val="P68B1DB1-Normal19"/>
              <w:spacing w:after="0"/>
              <w:ind w:left="0"/>
              <w:jc w:val="left"/>
              <w:rPr>
                <w:color w:val="auto"/>
                <w:lang w:val="hr-HR"/>
              </w:rPr>
            </w:pPr>
            <w:r w:rsidRPr="00653DCF">
              <w:rPr>
                <w:color w:val="auto"/>
                <w:lang w:val="hr-HR"/>
              </w:rPr>
              <w:t>Mjera provedbe</w:t>
            </w:r>
          </w:p>
        </w:tc>
        <w:tc>
          <w:tcPr>
            <w:tcW w:w="2127" w:type="dxa"/>
            <w:shd w:val="clear" w:color="auto" w:fill="auto"/>
            <w:noWrap/>
            <w:vAlign w:val="bottom"/>
            <w:hideMark/>
          </w:tcPr>
          <w:p w14:paraId="6A942A7E" w14:textId="07B8E87E" w:rsidR="007A2A6F" w:rsidRPr="00653DCF" w:rsidRDefault="00E87B0B" w:rsidP="00601C96">
            <w:pPr>
              <w:pStyle w:val="P68B1DB1-Normal19"/>
              <w:spacing w:after="0"/>
              <w:ind w:left="0"/>
              <w:jc w:val="left"/>
              <w:rPr>
                <w:color w:val="auto"/>
                <w:lang w:val="hr-HR"/>
              </w:rPr>
            </w:pPr>
            <w:r w:rsidRPr="00653DCF">
              <w:rPr>
                <w:color w:val="auto"/>
                <w:lang w:val="hr-HR"/>
              </w:rPr>
              <w:t xml:space="preserve">Vrsta </w:t>
            </w:r>
            <w:r w:rsidR="00F7322D" w:rsidRPr="00653DCF">
              <w:rPr>
                <w:color w:val="auto"/>
                <w:lang w:val="hr-HR"/>
              </w:rPr>
              <w:t>pruge</w:t>
            </w:r>
          </w:p>
        </w:tc>
        <w:tc>
          <w:tcPr>
            <w:tcW w:w="2796" w:type="dxa"/>
            <w:shd w:val="clear" w:color="auto" w:fill="auto"/>
            <w:vAlign w:val="bottom"/>
            <w:hideMark/>
          </w:tcPr>
          <w:p w14:paraId="512F101E" w14:textId="77777777" w:rsidR="007A2A6F" w:rsidRPr="00653DCF" w:rsidRDefault="00E87B0B" w:rsidP="00601C96">
            <w:pPr>
              <w:pStyle w:val="P68B1DB1-Normal19"/>
              <w:spacing w:after="0"/>
              <w:ind w:left="0"/>
              <w:jc w:val="left"/>
              <w:rPr>
                <w:color w:val="auto"/>
                <w:lang w:val="hr-HR"/>
              </w:rPr>
            </w:pPr>
            <w:r w:rsidRPr="00653DCF">
              <w:rPr>
                <w:color w:val="auto"/>
                <w:lang w:val="hr-HR"/>
              </w:rPr>
              <w:t>Naziv projekta</w:t>
            </w:r>
          </w:p>
        </w:tc>
      </w:tr>
      <w:tr w:rsidR="007A2A6F" w:rsidRPr="00653DCF" w14:paraId="55562CC5" w14:textId="77777777">
        <w:trPr>
          <w:trHeight w:val="300"/>
          <w:tblHeader/>
        </w:trPr>
        <w:tc>
          <w:tcPr>
            <w:tcW w:w="1039" w:type="dxa"/>
            <w:shd w:val="clear" w:color="auto" w:fill="auto"/>
            <w:noWrap/>
            <w:vAlign w:val="bottom"/>
            <w:hideMark/>
          </w:tcPr>
          <w:p w14:paraId="7409C122"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54339C0" w14:textId="1317C7F2" w:rsidR="007A2A6F" w:rsidRPr="00653DCF" w:rsidRDefault="00E87B0B" w:rsidP="00601C96">
            <w:pPr>
              <w:pStyle w:val="P68B1DB1-Normal19"/>
              <w:spacing w:after="0"/>
              <w:ind w:left="0"/>
              <w:jc w:val="left"/>
              <w:rPr>
                <w:color w:val="auto"/>
                <w:lang w:val="hr-HR"/>
              </w:rPr>
            </w:pPr>
            <w:r w:rsidRPr="00653DCF">
              <w:rPr>
                <w:color w:val="auto"/>
                <w:lang w:val="hr-HR"/>
              </w:rPr>
              <w:t xml:space="preserve">M 1.2. </w:t>
            </w:r>
            <w:r w:rsidR="00F7322D" w:rsidRPr="00653DCF">
              <w:rPr>
                <w:color w:val="auto"/>
                <w:lang w:val="hr-HR"/>
              </w:rPr>
              <w:t xml:space="preserve">Unaprjeđenje </w:t>
            </w:r>
            <w:r w:rsidRPr="00653DCF">
              <w:rPr>
                <w:color w:val="auto"/>
                <w:lang w:val="hr-HR"/>
              </w:rPr>
              <w:t>sustava održavanja željezničke infrastrukture</w:t>
            </w:r>
          </w:p>
        </w:tc>
        <w:tc>
          <w:tcPr>
            <w:tcW w:w="2127" w:type="dxa"/>
            <w:shd w:val="clear" w:color="auto" w:fill="auto"/>
            <w:noWrap/>
            <w:vAlign w:val="bottom"/>
            <w:hideMark/>
          </w:tcPr>
          <w:p w14:paraId="07195C0F" w14:textId="4D113061" w:rsidR="00F14B03" w:rsidRPr="00653DCF" w:rsidRDefault="00E87B0B" w:rsidP="00601C96">
            <w:pPr>
              <w:pStyle w:val="P68B1DB1-Normal19"/>
              <w:spacing w:after="0"/>
              <w:ind w:left="0"/>
              <w:jc w:val="left"/>
              <w:rPr>
                <w:color w:val="auto"/>
                <w:lang w:val="hr-HR"/>
              </w:rPr>
            </w:pPr>
            <w:r w:rsidRPr="00653DCF">
              <w:rPr>
                <w:color w:val="auto"/>
                <w:lang w:val="hr-HR"/>
              </w:rPr>
              <w:t>Međunarodne</w:t>
            </w:r>
          </w:p>
          <w:p w14:paraId="6F0B5317" w14:textId="25AA089E" w:rsidR="007A2A6F" w:rsidRPr="00653DCF" w:rsidRDefault="00F14B03"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207F791E" w14:textId="4831C1DE" w:rsidR="007A2A6F" w:rsidRPr="00653DCF" w:rsidRDefault="00DA2A91" w:rsidP="00601C96">
            <w:pPr>
              <w:pStyle w:val="P68B1DB1-Normal19"/>
              <w:spacing w:after="0"/>
              <w:ind w:left="0"/>
              <w:jc w:val="left"/>
              <w:rPr>
                <w:color w:val="auto"/>
                <w:lang w:val="hr-HR"/>
              </w:rPr>
            </w:pPr>
            <w:r w:rsidRPr="00653DCF">
              <w:rPr>
                <w:color w:val="auto"/>
                <w:lang w:val="hr-HR"/>
              </w:rPr>
              <w:t>Sanacija kolosijeka i skretnica u kolodvoru Zagreb GK i Sesvete</w:t>
            </w:r>
          </w:p>
        </w:tc>
      </w:tr>
      <w:tr w:rsidR="007A2A6F" w:rsidRPr="00653DCF" w14:paraId="230BBA25" w14:textId="77777777">
        <w:trPr>
          <w:trHeight w:val="300"/>
          <w:tblHeader/>
        </w:trPr>
        <w:tc>
          <w:tcPr>
            <w:tcW w:w="1039" w:type="dxa"/>
            <w:shd w:val="clear" w:color="auto" w:fill="auto"/>
            <w:noWrap/>
            <w:vAlign w:val="bottom"/>
            <w:hideMark/>
          </w:tcPr>
          <w:p w14:paraId="6600563C"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5F91F61" w14:textId="05C942BC" w:rsidR="007A2A6F" w:rsidRPr="00653DCF" w:rsidRDefault="00E87B0B" w:rsidP="00601C96">
            <w:pPr>
              <w:pStyle w:val="P68B1DB1-Normal19"/>
              <w:spacing w:after="0"/>
              <w:ind w:left="0"/>
              <w:jc w:val="left"/>
              <w:rPr>
                <w:color w:val="auto"/>
                <w:lang w:val="hr-HR"/>
              </w:rPr>
            </w:pPr>
            <w:r w:rsidRPr="00653DCF">
              <w:rPr>
                <w:color w:val="auto"/>
                <w:lang w:val="hr-HR"/>
              </w:rPr>
              <w:t xml:space="preserve">M 1.2. </w:t>
            </w:r>
            <w:r w:rsidR="00F14B03" w:rsidRPr="00653DCF">
              <w:rPr>
                <w:color w:val="auto"/>
                <w:lang w:val="hr-HR"/>
              </w:rPr>
              <w:t>Unaprjeđenje</w:t>
            </w:r>
            <w:r w:rsidRPr="00653DCF">
              <w:rPr>
                <w:color w:val="auto"/>
                <w:lang w:val="hr-HR"/>
              </w:rPr>
              <w:t xml:space="preserve"> sustava održavanja željezničke infrastrukture</w:t>
            </w:r>
          </w:p>
        </w:tc>
        <w:tc>
          <w:tcPr>
            <w:tcW w:w="2127" w:type="dxa"/>
            <w:shd w:val="clear" w:color="auto" w:fill="auto"/>
            <w:noWrap/>
            <w:vAlign w:val="bottom"/>
            <w:hideMark/>
          </w:tcPr>
          <w:p w14:paraId="3E123E52" w14:textId="2779D9BF" w:rsidR="00F14B03" w:rsidRPr="00653DCF" w:rsidRDefault="00F14B03" w:rsidP="00601C96">
            <w:pPr>
              <w:pStyle w:val="P68B1DB1-Normal19"/>
              <w:spacing w:after="0"/>
              <w:ind w:left="0"/>
              <w:jc w:val="left"/>
              <w:rPr>
                <w:color w:val="auto"/>
                <w:lang w:val="hr-HR"/>
              </w:rPr>
            </w:pPr>
            <w:r w:rsidRPr="00653DCF">
              <w:rPr>
                <w:color w:val="auto"/>
                <w:lang w:val="hr-HR"/>
              </w:rPr>
              <w:t>Međunarodne</w:t>
            </w:r>
          </w:p>
          <w:p w14:paraId="31358F13" w14:textId="5CED9DDD" w:rsidR="007A2A6F" w:rsidRPr="00653DCF" w:rsidRDefault="00F14B03"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6EBEA6A3" w14:textId="0EF5AAE5" w:rsidR="007A2A6F" w:rsidRPr="00653DCF" w:rsidRDefault="00DA2A91" w:rsidP="00601C96">
            <w:pPr>
              <w:pStyle w:val="P68B1DB1-Normal19"/>
              <w:spacing w:after="0"/>
              <w:ind w:left="0"/>
              <w:jc w:val="left"/>
              <w:rPr>
                <w:color w:val="auto"/>
                <w:lang w:val="hr-HR"/>
              </w:rPr>
            </w:pPr>
            <w:r w:rsidRPr="00653DCF">
              <w:rPr>
                <w:color w:val="auto"/>
                <w:lang w:val="hr-HR"/>
              </w:rPr>
              <w:t xml:space="preserve">Sanacija pruge na dionici Sibinj-Okučani, </w:t>
            </w:r>
            <w:r w:rsidR="005A06D6" w:rsidRPr="00653DCF">
              <w:rPr>
                <w:color w:val="auto"/>
                <w:lang w:val="hr-HR"/>
              </w:rPr>
              <w:t>s</w:t>
            </w:r>
            <w:r w:rsidRPr="00653DCF">
              <w:rPr>
                <w:color w:val="auto"/>
                <w:lang w:val="hr-HR"/>
              </w:rPr>
              <w:t>anacija kolosijeka i skretnica u kolodvorima</w:t>
            </w:r>
          </w:p>
        </w:tc>
      </w:tr>
      <w:tr w:rsidR="007A2A6F" w:rsidRPr="00653DCF" w14:paraId="390C4864" w14:textId="77777777">
        <w:trPr>
          <w:trHeight w:val="300"/>
          <w:tblHeader/>
        </w:trPr>
        <w:tc>
          <w:tcPr>
            <w:tcW w:w="1039" w:type="dxa"/>
            <w:shd w:val="clear" w:color="auto" w:fill="auto"/>
            <w:noWrap/>
            <w:vAlign w:val="bottom"/>
            <w:hideMark/>
          </w:tcPr>
          <w:p w14:paraId="13F0EBE5"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1C966A7D" w14:textId="7F587A83" w:rsidR="007A2A6F" w:rsidRPr="00653DCF" w:rsidRDefault="00E87B0B" w:rsidP="00601C96">
            <w:pPr>
              <w:pStyle w:val="P68B1DB1-Normal19"/>
              <w:spacing w:after="0"/>
              <w:ind w:left="0"/>
              <w:jc w:val="left"/>
              <w:rPr>
                <w:color w:val="auto"/>
                <w:lang w:val="hr-HR"/>
              </w:rPr>
            </w:pPr>
            <w:r w:rsidRPr="00653DCF">
              <w:rPr>
                <w:color w:val="auto"/>
                <w:lang w:val="hr-HR"/>
              </w:rPr>
              <w:t xml:space="preserve">M 1.2. </w:t>
            </w:r>
            <w:r w:rsidR="00F14B03" w:rsidRPr="00653DCF">
              <w:rPr>
                <w:color w:val="auto"/>
                <w:lang w:val="hr-HR"/>
              </w:rPr>
              <w:t xml:space="preserve">Unaprjeđenje </w:t>
            </w:r>
            <w:r w:rsidRPr="00653DCF">
              <w:rPr>
                <w:color w:val="auto"/>
                <w:lang w:val="hr-HR"/>
              </w:rPr>
              <w:t>sustava održavanja željezničke infrastrukture</w:t>
            </w:r>
          </w:p>
        </w:tc>
        <w:tc>
          <w:tcPr>
            <w:tcW w:w="2127" w:type="dxa"/>
            <w:shd w:val="clear" w:color="auto" w:fill="auto"/>
            <w:noWrap/>
            <w:vAlign w:val="bottom"/>
            <w:hideMark/>
          </w:tcPr>
          <w:p w14:paraId="29977D35" w14:textId="08A34C6E" w:rsidR="00F14B03" w:rsidRPr="00653DCF" w:rsidRDefault="00F14B03" w:rsidP="00601C96">
            <w:pPr>
              <w:pStyle w:val="P68B1DB1-Normal19"/>
              <w:spacing w:after="0"/>
              <w:ind w:left="0"/>
              <w:jc w:val="left"/>
              <w:rPr>
                <w:color w:val="auto"/>
                <w:lang w:val="hr-HR"/>
              </w:rPr>
            </w:pPr>
            <w:r w:rsidRPr="00653DCF">
              <w:rPr>
                <w:color w:val="auto"/>
                <w:lang w:val="hr-HR"/>
              </w:rPr>
              <w:t>Međunarodne</w:t>
            </w:r>
          </w:p>
          <w:p w14:paraId="517FFD06" w14:textId="33AB32BF" w:rsidR="007A2A6F" w:rsidRPr="00653DCF" w:rsidRDefault="00F14B03"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1D10A0D5" w14:textId="68A562AC" w:rsidR="00DA2A91" w:rsidRPr="00653DCF" w:rsidRDefault="00DA2A91" w:rsidP="00601C96">
            <w:pPr>
              <w:pStyle w:val="P68B1DB1-Normal19"/>
              <w:spacing w:after="0"/>
              <w:ind w:left="0"/>
              <w:jc w:val="left"/>
              <w:rPr>
                <w:color w:val="auto"/>
                <w:lang w:val="hr-HR"/>
              </w:rPr>
            </w:pPr>
            <w:r w:rsidRPr="00653DCF">
              <w:rPr>
                <w:color w:val="auto"/>
                <w:lang w:val="hr-HR"/>
              </w:rPr>
              <w:t>Sanacija pruge M402 Sava rasputnica</w:t>
            </w:r>
            <w:r w:rsidR="005A06D6" w:rsidRPr="00653DCF">
              <w:rPr>
                <w:color w:val="auto"/>
                <w:lang w:val="hr-HR"/>
              </w:rPr>
              <w:t>-</w:t>
            </w:r>
            <w:r w:rsidRPr="00653DCF">
              <w:rPr>
                <w:color w:val="auto"/>
                <w:lang w:val="hr-HR"/>
              </w:rPr>
              <w:t>Zagreb Ranžirni</w:t>
            </w:r>
          </w:p>
          <w:p w14:paraId="361AB130" w14:textId="19230524" w:rsidR="007A2A6F" w:rsidRPr="00653DCF" w:rsidRDefault="00DA2A91" w:rsidP="00601C96">
            <w:pPr>
              <w:pStyle w:val="P68B1DB1-Normal19"/>
              <w:spacing w:after="0"/>
              <w:ind w:left="0"/>
              <w:jc w:val="left"/>
              <w:rPr>
                <w:color w:val="auto"/>
                <w:lang w:val="hr-HR"/>
              </w:rPr>
            </w:pPr>
            <w:r w:rsidRPr="00653DCF">
              <w:rPr>
                <w:color w:val="auto"/>
                <w:lang w:val="hr-HR"/>
              </w:rPr>
              <w:t>kolodvor</w:t>
            </w:r>
            <w:r w:rsidR="005A06D6" w:rsidRPr="00653DCF">
              <w:rPr>
                <w:color w:val="auto"/>
                <w:lang w:val="hr-HR"/>
              </w:rPr>
              <w:t>-</w:t>
            </w:r>
            <w:r w:rsidRPr="00653DCF">
              <w:rPr>
                <w:color w:val="auto"/>
                <w:lang w:val="hr-HR"/>
              </w:rPr>
              <w:t>Zagreb Klara LK i DK</w:t>
            </w:r>
          </w:p>
        </w:tc>
      </w:tr>
      <w:tr w:rsidR="007A2A6F" w:rsidRPr="00653DCF" w14:paraId="51306AA5" w14:textId="77777777">
        <w:trPr>
          <w:trHeight w:val="300"/>
          <w:tblHeader/>
        </w:trPr>
        <w:tc>
          <w:tcPr>
            <w:tcW w:w="1039" w:type="dxa"/>
            <w:shd w:val="clear" w:color="auto" w:fill="auto"/>
            <w:noWrap/>
            <w:vAlign w:val="bottom"/>
            <w:hideMark/>
          </w:tcPr>
          <w:p w14:paraId="274208E2"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2B5B96CD" w14:textId="0F450BCB" w:rsidR="007A2A6F" w:rsidRPr="00653DCF" w:rsidRDefault="00E87B0B" w:rsidP="00601C96">
            <w:pPr>
              <w:pStyle w:val="P68B1DB1-Normal19"/>
              <w:spacing w:after="0"/>
              <w:ind w:left="0"/>
              <w:jc w:val="left"/>
              <w:rPr>
                <w:color w:val="auto"/>
                <w:lang w:val="hr-HR"/>
              </w:rPr>
            </w:pPr>
            <w:r w:rsidRPr="00653DCF">
              <w:rPr>
                <w:color w:val="auto"/>
                <w:lang w:val="hr-HR"/>
              </w:rPr>
              <w:t xml:space="preserve">M 1.2. </w:t>
            </w:r>
            <w:r w:rsidR="007F16E7" w:rsidRPr="00653DCF">
              <w:rPr>
                <w:color w:val="auto"/>
                <w:lang w:val="hr-HR"/>
              </w:rPr>
              <w:t xml:space="preserve">Unaprjeđenje </w:t>
            </w:r>
            <w:r w:rsidRPr="00653DCF">
              <w:rPr>
                <w:color w:val="auto"/>
                <w:lang w:val="hr-HR"/>
              </w:rPr>
              <w:t>sustava održavanja željezničke infrastrukture</w:t>
            </w:r>
          </w:p>
        </w:tc>
        <w:tc>
          <w:tcPr>
            <w:tcW w:w="2127" w:type="dxa"/>
            <w:shd w:val="clear" w:color="auto" w:fill="auto"/>
            <w:noWrap/>
            <w:vAlign w:val="bottom"/>
            <w:hideMark/>
          </w:tcPr>
          <w:p w14:paraId="73B501FF" w14:textId="77777777" w:rsidR="007A2A6F" w:rsidRPr="00653DCF" w:rsidRDefault="00E87B0B" w:rsidP="00601C96">
            <w:pPr>
              <w:pStyle w:val="P68B1DB1-Normal19"/>
              <w:spacing w:after="0"/>
              <w:ind w:left="0"/>
              <w:jc w:val="left"/>
              <w:rPr>
                <w:color w:val="auto"/>
                <w:lang w:val="hr-HR"/>
              </w:rPr>
            </w:pPr>
            <w:r w:rsidRPr="00653DCF">
              <w:rPr>
                <w:color w:val="auto"/>
                <w:lang w:val="hr-HR"/>
              </w:rPr>
              <w:t>Mehanizacija</w:t>
            </w:r>
          </w:p>
        </w:tc>
        <w:tc>
          <w:tcPr>
            <w:tcW w:w="2796" w:type="dxa"/>
            <w:shd w:val="clear" w:color="auto" w:fill="auto"/>
            <w:vAlign w:val="bottom"/>
            <w:hideMark/>
          </w:tcPr>
          <w:p w14:paraId="021A9771" w14:textId="7E86C766" w:rsidR="007A2A6F" w:rsidRPr="00653DCF" w:rsidRDefault="00863F47" w:rsidP="00601C96">
            <w:pPr>
              <w:pStyle w:val="P68B1DB1-Normal19"/>
              <w:spacing w:after="0"/>
              <w:ind w:left="0"/>
              <w:jc w:val="left"/>
              <w:rPr>
                <w:color w:val="auto"/>
                <w:lang w:val="hr-HR"/>
              </w:rPr>
            </w:pPr>
            <w:r w:rsidRPr="00653DCF">
              <w:rPr>
                <w:color w:val="auto"/>
                <w:lang w:val="hr-HR"/>
              </w:rPr>
              <w:t>Nabavka nove suvremene strateške i sitne pružne mehanizacije</w:t>
            </w:r>
          </w:p>
        </w:tc>
      </w:tr>
      <w:tr w:rsidR="007A2A6F" w:rsidRPr="00653DCF" w14:paraId="6C0BA0CF" w14:textId="77777777">
        <w:trPr>
          <w:trHeight w:val="300"/>
          <w:tblHeader/>
        </w:trPr>
        <w:tc>
          <w:tcPr>
            <w:tcW w:w="1039" w:type="dxa"/>
            <w:shd w:val="clear" w:color="auto" w:fill="auto"/>
            <w:noWrap/>
            <w:vAlign w:val="bottom"/>
            <w:hideMark/>
          </w:tcPr>
          <w:p w14:paraId="4978164F"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1EFCA16E" w14:textId="0D93063B" w:rsidR="007A2A6F" w:rsidRPr="00653DCF" w:rsidRDefault="00E87B0B" w:rsidP="00601C96">
            <w:pPr>
              <w:pStyle w:val="P68B1DB1-Normal19"/>
              <w:spacing w:after="0"/>
              <w:ind w:left="0"/>
              <w:jc w:val="left"/>
              <w:rPr>
                <w:color w:val="auto"/>
                <w:lang w:val="hr-HR"/>
              </w:rPr>
            </w:pPr>
            <w:r w:rsidRPr="00653DCF">
              <w:rPr>
                <w:color w:val="auto"/>
                <w:lang w:val="hr-HR"/>
              </w:rPr>
              <w:t xml:space="preserve">M 1.2. </w:t>
            </w:r>
            <w:r w:rsidR="00AB5DFD" w:rsidRPr="00653DCF">
              <w:rPr>
                <w:color w:val="auto"/>
                <w:lang w:val="hr-HR"/>
              </w:rPr>
              <w:t>Unaprjeđenje</w:t>
            </w:r>
            <w:r w:rsidRPr="00653DCF">
              <w:rPr>
                <w:color w:val="auto"/>
                <w:lang w:val="hr-HR"/>
              </w:rPr>
              <w:t xml:space="preserve"> sustava održavanja željezničke infrastrukture</w:t>
            </w:r>
          </w:p>
        </w:tc>
        <w:tc>
          <w:tcPr>
            <w:tcW w:w="2127" w:type="dxa"/>
            <w:shd w:val="clear" w:color="auto" w:fill="auto"/>
            <w:noWrap/>
            <w:vAlign w:val="bottom"/>
            <w:hideMark/>
          </w:tcPr>
          <w:p w14:paraId="5CC9AC6F" w14:textId="5BBC796B" w:rsidR="007A2A6F" w:rsidRPr="00653DCF" w:rsidRDefault="00AB5DFD" w:rsidP="00601C96">
            <w:pPr>
              <w:pStyle w:val="P68B1DB1-Normal19"/>
              <w:spacing w:after="0"/>
              <w:ind w:left="0"/>
              <w:jc w:val="left"/>
              <w:rPr>
                <w:color w:val="auto"/>
                <w:lang w:val="hr-HR"/>
              </w:rPr>
            </w:pPr>
            <w:r w:rsidRPr="00653DCF">
              <w:rPr>
                <w:color w:val="auto"/>
                <w:lang w:val="hr-HR"/>
              </w:rPr>
              <w:t>Kompletna</w:t>
            </w:r>
            <w:r w:rsidR="00E87B0B" w:rsidRPr="00653DCF">
              <w:rPr>
                <w:color w:val="auto"/>
                <w:lang w:val="hr-HR"/>
              </w:rPr>
              <w:t xml:space="preserve"> željeznička mreža</w:t>
            </w:r>
          </w:p>
        </w:tc>
        <w:tc>
          <w:tcPr>
            <w:tcW w:w="2796" w:type="dxa"/>
            <w:shd w:val="clear" w:color="auto" w:fill="auto"/>
            <w:vAlign w:val="bottom"/>
            <w:hideMark/>
          </w:tcPr>
          <w:p w14:paraId="3FE9165C" w14:textId="375E4A4E" w:rsidR="007A2A6F" w:rsidRPr="00653DCF" w:rsidRDefault="00330FF7" w:rsidP="00601C96">
            <w:pPr>
              <w:pStyle w:val="P68B1DB1-Normal19"/>
              <w:spacing w:after="0"/>
              <w:ind w:left="0"/>
              <w:jc w:val="left"/>
              <w:rPr>
                <w:color w:val="auto"/>
                <w:lang w:val="hr-HR"/>
              </w:rPr>
            </w:pPr>
            <w:r w:rsidRPr="00653DCF">
              <w:rPr>
                <w:color w:val="auto"/>
                <w:lang w:val="hr-HR"/>
              </w:rPr>
              <w:t xml:space="preserve">Obnova lokalnih </w:t>
            </w:r>
            <w:r w:rsidR="00671312" w:rsidRPr="00653DCF">
              <w:rPr>
                <w:color w:val="auto"/>
                <w:lang w:val="hr-HR"/>
              </w:rPr>
              <w:t>željezničkih</w:t>
            </w:r>
            <w:r w:rsidRPr="00653DCF">
              <w:rPr>
                <w:color w:val="auto"/>
                <w:lang w:val="hr-HR"/>
              </w:rPr>
              <w:t xml:space="preserve"> pruga prema utvrđenoj brzini pruge - n</w:t>
            </w:r>
            <w:r w:rsidR="009B1461" w:rsidRPr="00653DCF">
              <w:rPr>
                <w:color w:val="auto"/>
                <w:lang w:val="hr-HR"/>
              </w:rPr>
              <w:t>abava rezervnih dijelova i opreme za potrebe održavanja</w:t>
            </w:r>
          </w:p>
        </w:tc>
      </w:tr>
      <w:tr w:rsidR="007A2A6F" w:rsidRPr="00653DCF" w14:paraId="5AB1E298" w14:textId="77777777">
        <w:trPr>
          <w:trHeight w:val="300"/>
          <w:tblHeader/>
        </w:trPr>
        <w:tc>
          <w:tcPr>
            <w:tcW w:w="1039" w:type="dxa"/>
            <w:shd w:val="clear" w:color="auto" w:fill="auto"/>
            <w:noWrap/>
            <w:vAlign w:val="bottom"/>
            <w:hideMark/>
          </w:tcPr>
          <w:p w14:paraId="152519CA"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4B5B2623" w14:textId="667E65A1" w:rsidR="007A2A6F" w:rsidRPr="00653DCF" w:rsidRDefault="00E87B0B" w:rsidP="00601C96">
            <w:pPr>
              <w:pStyle w:val="P68B1DB1-Normal19"/>
              <w:spacing w:after="0"/>
              <w:ind w:left="0"/>
              <w:jc w:val="left"/>
              <w:rPr>
                <w:color w:val="auto"/>
                <w:lang w:val="hr-HR"/>
              </w:rPr>
            </w:pPr>
            <w:r w:rsidRPr="00653DCF">
              <w:rPr>
                <w:color w:val="auto"/>
                <w:lang w:val="hr-HR"/>
              </w:rPr>
              <w:t xml:space="preserve">M 1.2. </w:t>
            </w:r>
            <w:r w:rsidR="0094246F" w:rsidRPr="00653DCF">
              <w:rPr>
                <w:color w:val="auto"/>
                <w:lang w:val="hr-HR"/>
              </w:rPr>
              <w:t>Unaprjeđenje</w:t>
            </w:r>
            <w:r w:rsidRPr="00653DCF">
              <w:rPr>
                <w:color w:val="auto"/>
                <w:lang w:val="hr-HR"/>
              </w:rPr>
              <w:t xml:space="preserve"> sustava održavanja željezničke infrastrukture</w:t>
            </w:r>
          </w:p>
        </w:tc>
        <w:tc>
          <w:tcPr>
            <w:tcW w:w="2127" w:type="dxa"/>
            <w:shd w:val="clear" w:color="auto" w:fill="auto"/>
            <w:noWrap/>
            <w:vAlign w:val="bottom"/>
            <w:hideMark/>
          </w:tcPr>
          <w:p w14:paraId="02D2D8B2" w14:textId="5D8DE3DE" w:rsidR="007A2A6F" w:rsidRPr="00653DCF" w:rsidRDefault="00AB5DFD" w:rsidP="00601C96">
            <w:pPr>
              <w:pStyle w:val="P68B1DB1-Normal19"/>
              <w:spacing w:after="0"/>
              <w:ind w:left="0"/>
              <w:jc w:val="left"/>
              <w:rPr>
                <w:color w:val="auto"/>
                <w:lang w:val="hr-HR"/>
              </w:rPr>
            </w:pPr>
            <w:r w:rsidRPr="00653DCF">
              <w:rPr>
                <w:color w:val="auto"/>
                <w:lang w:val="hr-HR"/>
              </w:rPr>
              <w:t>Kompletna</w:t>
            </w:r>
            <w:r w:rsidR="00E87B0B" w:rsidRPr="00653DCF">
              <w:rPr>
                <w:color w:val="auto"/>
                <w:lang w:val="hr-HR"/>
              </w:rPr>
              <w:t xml:space="preserve"> željeznička mreža</w:t>
            </w:r>
          </w:p>
        </w:tc>
        <w:tc>
          <w:tcPr>
            <w:tcW w:w="2796" w:type="dxa"/>
            <w:shd w:val="clear" w:color="auto" w:fill="auto"/>
            <w:vAlign w:val="bottom"/>
            <w:hideMark/>
          </w:tcPr>
          <w:p w14:paraId="6DCFDF2E" w14:textId="2F826325" w:rsidR="007A2A6F" w:rsidRPr="00653DCF" w:rsidRDefault="00330FF7" w:rsidP="00601C96">
            <w:pPr>
              <w:pStyle w:val="P68B1DB1-Normal19"/>
              <w:spacing w:after="0"/>
              <w:ind w:left="0"/>
              <w:jc w:val="left"/>
              <w:rPr>
                <w:color w:val="auto"/>
                <w:lang w:val="hr-HR"/>
              </w:rPr>
            </w:pPr>
            <w:r w:rsidRPr="00653DCF">
              <w:rPr>
                <w:color w:val="auto"/>
                <w:lang w:val="hr-HR"/>
              </w:rPr>
              <w:t xml:space="preserve">Obnova lokalnih </w:t>
            </w:r>
            <w:r w:rsidR="00671312" w:rsidRPr="00653DCF">
              <w:rPr>
                <w:color w:val="auto"/>
                <w:lang w:val="hr-HR"/>
              </w:rPr>
              <w:t>željezničkih</w:t>
            </w:r>
            <w:r w:rsidRPr="00653DCF">
              <w:rPr>
                <w:color w:val="auto"/>
                <w:lang w:val="hr-HR"/>
              </w:rPr>
              <w:t xml:space="preserve"> pruga prema utvrđenoj brzini pruge - n</w:t>
            </w:r>
            <w:r w:rsidR="00FC6BDF" w:rsidRPr="00653DCF">
              <w:rPr>
                <w:color w:val="auto"/>
                <w:lang w:val="hr-HR"/>
              </w:rPr>
              <w:t>abava strateškog materijala za potrebe održavanja</w:t>
            </w:r>
          </w:p>
        </w:tc>
      </w:tr>
      <w:tr w:rsidR="007A2A6F" w:rsidRPr="00653DCF" w14:paraId="4721C3A8" w14:textId="77777777">
        <w:trPr>
          <w:trHeight w:val="300"/>
          <w:tblHeader/>
        </w:trPr>
        <w:tc>
          <w:tcPr>
            <w:tcW w:w="1039" w:type="dxa"/>
            <w:shd w:val="clear" w:color="auto" w:fill="auto"/>
            <w:noWrap/>
            <w:vAlign w:val="bottom"/>
            <w:hideMark/>
          </w:tcPr>
          <w:p w14:paraId="754ECDF0"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6B3F5F87" w14:textId="79172CB5" w:rsidR="007A2A6F" w:rsidRPr="00653DCF" w:rsidRDefault="00E87B0B" w:rsidP="00601C96">
            <w:pPr>
              <w:pStyle w:val="P68B1DB1-Normal19"/>
              <w:spacing w:after="0"/>
              <w:ind w:left="0"/>
              <w:jc w:val="left"/>
              <w:rPr>
                <w:color w:val="auto"/>
                <w:lang w:val="hr-HR"/>
              </w:rPr>
            </w:pPr>
            <w:r w:rsidRPr="00653DCF">
              <w:rPr>
                <w:color w:val="auto"/>
                <w:lang w:val="hr-HR"/>
              </w:rPr>
              <w:t xml:space="preserve">M 2.2. </w:t>
            </w:r>
            <w:r w:rsidR="00072F48" w:rsidRPr="00653DCF">
              <w:rPr>
                <w:color w:val="auto"/>
                <w:lang w:val="hr-HR"/>
              </w:rPr>
              <w:t>Priprema i provedba programa obnove i modernizacije željezničke infrastrukture</w:t>
            </w:r>
          </w:p>
        </w:tc>
        <w:tc>
          <w:tcPr>
            <w:tcW w:w="2127" w:type="dxa"/>
            <w:shd w:val="clear" w:color="auto" w:fill="auto"/>
            <w:noWrap/>
            <w:vAlign w:val="bottom"/>
            <w:hideMark/>
          </w:tcPr>
          <w:p w14:paraId="0CA46CC8" w14:textId="7BB7DBD8" w:rsidR="00517A60" w:rsidRPr="00653DCF" w:rsidRDefault="00E87B0B" w:rsidP="00601C96">
            <w:pPr>
              <w:pStyle w:val="P68B1DB1-Normal19"/>
              <w:spacing w:after="0"/>
              <w:ind w:left="0"/>
              <w:jc w:val="left"/>
              <w:rPr>
                <w:color w:val="auto"/>
                <w:lang w:val="hr-HR"/>
              </w:rPr>
            </w:pPr>
            <w:r w:rsidRPr="00653DCF">
              <w:rPr>
                <w:color w:val="auto"/>
                <w:lang w:val="hr-HR"/>
              </w:rPr>
              <w:t>Međunarodne</w:t>
            </w:r>
          </w:p>
          <w:p w14:paraId="7940BB3F" w14:textId="5E841848" w:rsidR="007A2A6F" w:rsidRPr="00653DCF" w:rsidRDefault="00072F48"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435C4DCF" w14:textId="2C7D1D0F" w:rsidR="007A2A6F" w:rsidRPr="00653DCF" w:rsidRDefault="00072F48" w:rsidP="00601C96">
            <w:pPr>
              <w:pStyle w:val="P68B1DB1-Normal19"/>
              <w:spacing w:after="0"/>
              <w:ind w:left="0"/>
              <w:jc w:val="left"/>
              <w:rPr>
                <w:color w:val="auto"/>
                <w:lang w:val="hr-HR"/>
              </w:rPr>
            </w:pPr>
            <w:r w:rsidRPr="00653DCF">
              <w:rPr>
                <w:color w:val="auto"/>
                <w:lang w:val="hr-HR"/>
              </w:rPr>
              <w:t>Osiguranje SS uređajem pruge Zagreb GK-Dugo Selo</w:t>
            </w:r>
          </w:p>
        </w:tc>
      </w:tr>
      <w:tr w:rsidR="007A2A6F" w:rsidRPr="00653DCF" w14:paraId="74C3A199" w14:textId="77777777">
        <w:trPr>
          <w:trHeight w:val="300"/>
          <w:tblHeader/>
        </w:trPr>
        <w:tc>
          <w:tcPr>
            <w:tcW w:w="1039" w:type="dxa"/>
            <w:shd w:val="clear" w:color="auto" w:fill="auto"/>
            <w:noWrap/>
            <w:vAlign w:val="bottom"/>
            <w:hideMark/>
          </w:tcPr>
          <w:p w14:paraId="755BEC7A"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628C0C77" w14:textId="07B944B6" w:rsidR="007A2A6F" w:rsidRPr="00653DCF" w:rsidRDefault="00E87B0B" w:rsidP="00601C96">
            <w:pPr>
              <w:pStyle w:val="P68B1DB1-Normal19"/>
              <w:spacing w:after="0"/>
              <w:ind w:left="0"/>
              <w:jc w:val="left"/>
              <w:rPr>
                <w:color w:val="auto"/>
                <w:lang w:val="hr-HR"/>
              </w:rPr>
            </w:pPr>
            <w:r w:rsidRPr="00653DCF">
              <w:rPr>
                <w:color w:val="auto"/>
                <w:lang w:val="hr-HR"/>
              </w:rPr>
              <w:t xml:space="preserve">M 2.2. </w:t>
            </w:r>
            <w:r w:rsidR="00F84856" w:rsidRPr="00653DCF">
              <w:rPr>
                <w:color w:val="auto"/>
                <w:lang w:val="hr-HR"/>
              </w:rPr>
              <w:t>Priprema i provedba programa obnove i modernizacije željezničke infrastrukture</w:t>
            </w:r>
          </w:p>
        </w:tc>
        <w:tc>
          <w:tcPr>
            <w:tcW w:w="2127" w:type="dxa"/>
            <w:shd w:val="clear" w:color="auto" w:fill="auto"/>
            <w:noWrap/>
            <w:vAlign w:val="bottom"/>
            <w:hideMark/>
          </w:tcPr>
          <w:p w14:paraId="7385102A" w14:textId="5779DD09" w:rsidR="00C011FF" w:rsidRPr="00653DCF" w:rsidRDefault="00E87B0B" w:rsidP="00601C96">
            <w:pPr>
              <w:pStyle w:val="P68B1DB1-Normal19"/>
              <w:spacing w:after="0"/>
              <w:ind w:left="0"/>
              <w:jc w:val="left"/>
              <w:rPr>
                <w:color w:val="auto"/>
                <w:lang w:val="hr-HR"/>
              </w:rPr>
            </w:pPr>
            <w:r w:rsidRPr="00653DCF">
              <w:rPr>
                <w:color w:val="auto"/>
                <w:lang w:val="hr-HR"/>
              </w:rPr>
              <w:t>Međunarodne</w:t>
            </w:r>
          </w:p>
          <w:p w14:paraId="31C70CB8" w14:textId="369DEB33" w:rsidR="007A2A6F" w:rsidRPr="00653DCF" w:rsidRDefault="00C60550" w:rsidP="00601C96">
            <w:pPr>
              <w:pStyle w:val="P68B1DB1-Normal19"/>
              <w:spacing w:after="0"/>
              <w:ind w:left="0"/>
              <w:jc w:val="left"/>
              <w:rPr>
                <w:color w:val="auto"/>
                <w:lang w:val="hr-HR"/>
              </w:rPr>
            </w:pPr>
            <w:r w:rsidRPr="00653DCF">
              <w:rPr>
                <w:color w:val="auto"/>
                <w:lang w:val="hr-HR"/>
              </w:rPr>
              <w:t>p</w:t>
            </w:r>
            <w:r w:rsidR="00621826" w:rsidRPr="00653DCF">
              <w:rPr>
                <w:color w:val="auto"/>
                <w:lang w:val="hr-HR"/>
              </w:rPr>
              <w:t>ruge</w:t>
            </w:r>
          </w:p>
        </w:tc>
        <w:tc>
          <w:tcPr>
            <w:tcW w:w="2796" w:type="dxa"/>
            <w:shd w:val="clear" w:color="auto" w:fill="auto"/>
            <w:vAlign w:val="bottom"/>
            <w:hideMark/>
          </w:tcPr>
          <w:p w14:paraId="3C3FC05E" w14:textId="5C0CCA1B" w:rsidR="007A2A6F" w:rsidRPr="00653DCF" w:rsidRDefault="00E00FF2" w:rsidP="00601C96">
            <w:pPr>
              <w:pStyle w:val="P68B1DB1-Normal19"/>
              <w:spacing w:after="0"/>
              <w:ind w:left="0"/>
              <w:jc w:val="left"/>
              <w:rPr>
                <w:color w:val="auto"/>
                <w:lang w:val="hr-HR"/>
              </w:rPr>
            </w:pPr>
            <w:r w:rsidRPr="00653DCF">
              <w:rPr>
                <w:color w:val="auto"/>
                <w:lang w:val="hr-HR"/>
              </w:rPr>
              <w:t>Obnova dionice Sibinj-Slavonski Brod, dk i Ik (2x7,3km), na pruzi Novska-Tovarnik-DG (državna granica)</w:t>
            </w:r>
          </w:p>
        </w:tc>
      </w:tr>
      <w:tr w:rsidR="007A2A6F" w:rsidRPr="00653DCF" w14:paraId="40A020AC" w14:textId="77777777">
        <w:trPr>
          <w:trHeight w:val="300"/>
          <w:tblHeader/>
        </w:trPr>
        <w:tc>
          <w:tcPr>
            <w:tcW w:w="1039" w:type="dxa"/>
            <w:shd w:val="clear" w:color="auto" w:fill="auto"/>
            <w:noWrap/>
            <w:vAlign w:val="bottom"/>
            <w:hideMark/>
          </w:tcPr>
          <w:p w14:paraId="101B676A"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065B18AA"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34CEC7E4" w14:textId="77777777" w:rsidR="00E00FF2" w:rsidRPr="00653DCF" w:rsidRDefault="00E87B0B" w:rsidP="00601C96">
            <w:pPr>
              <w:pStyle w:val="P68B1DB1-Normal19"/>
              <w:spacing w:after="0"/>
              <w:ind w:left="0"/>
              <w:jc w:val="left"/>
              <w:rPr>
                <w:color w:val="auto"/>
                <w:lang w:val="hr-HR"/>
              </w:rPr>
            </w:pPr>
            <w:r w:rsidRPr="00653DCF">
              <w:rPr>
                <w:color w:val="auto"/>
                <w:lang w:val="hr-HR"/>
              </w:rPr>
              <w:t>Međunarodne</w:t>
            </w:r>
          </w:p>
          <w:p w14:paraId="6FCDEC59" w14:textId="7BD7446D" w:rsidR="007A2A6F" w:rsidRPr="00653DCF" w:rsidRDefault="00E00FF2"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49F1142F" w14:textId="6E209FBF" w:rsidR="007A2A6F" w:rsidRPr="00653DCF" w:rsidRDefault="00B25372" w:rsidP="00601C96">
            <w:pPr>
              <w:pStyle w:val="P68B1DB1-Normal19"/>
              <w:spacing w:after="0"/>
              <w:ind w:left="0"/>
              <w:jc w:val="left"/>
              <w:rPr>
                <w:color w:val="auto"/>
                <w:lang w:val="hr-HR"/>
              </w:rPr>
            </w:pPr>
            <w:r w:rsidRPr="00653DCF">
              <w:rPr>
                <w:color w:val="auto"/>
                <w:lang w:val="hr-HR"/>
              </w:rPr>
              <w:t>Obnova dionice Strizivojna Vrpolje-Ivankovo (21,3km), na pruzi Novska-Tovarnik-</w:t>
            </w:r>
            <w:r w:rsidR="00F2743F" w:rsidRPr="00653DCF">
              <w:rPr>
                <w:color w:val="auto"/>
                <w:lang w:val="hr-HR"/>
              </w:rPr>
              <w:t>D</w:t>
            </w:r>
            <w:r w:rsidRPr="00653DCF">
              <w:rPr>
                <w:color w:val="auto"/>
                <w:lang w:val="hr-HR"/>
              </w:rPr>
              <w:t>G (državna granica)</w:t>
            </w:r>
          </w:p>
        </w:tc>
      </w:tr>
      <w:tr w:rsidR="007A2A6F" w:rsidRPr="00653DCF" w14:paraId="6CC8EE00" w14:textId="77777777">
        <w:trPr>
          <w:trHeight w:val="300"/>
          <w:tblHeader/>
        </w:trPr>
        <w:tc>
          <w:tcPr>
            <w:tcW w:w="1039" w:type="dxa"/>
            <w:shd w:val="clear" w:color="auto" w:fill="auto"/>
            <w:noWrap/>
            <w:vAlign w:val="bottom"/>
            <w:hideMark/>
          </w:tcPr>
          <w:p w14:paraId="5A1238E7"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081DEEA2"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354E419D" w14:textId="79218DF0" w:rsidR="00B25372" w:rsidRPr="00653DCF" w:rsidRDefault="00E87B0B" w:rsidP="00601C96">
            <w:pPr>
              <w:pStyle w:val="P68B1DB1-Normal19"/>
              <w:spacing w:after="0"/>
              <w:ind w:left="0"/>
              <w:jc w:val="left"/>
              <w:rPr>
                <w:color w:val="auto"/>
                <w:lang w:val="hr-HR"/>
              </w:rPr>
            </w:pPr>
            <w:r w:rsidRPr="00653DCF">
              <w:rPr>
                <w:color w:val="auto"/>
                <w:lang w:val="hr-HR"/>
              </w:rPr>
              <w:t>Međunarodne</w:t>
            </w:r>
          </w:p>
          <w:p w14:paraId="7F5861DD" w14:textId="5B21A89C" w:rsidR="007A2A6F" w:rsidRPr="00653DCF" w:rsidRDefault="00B25372"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7CAF5125" w14:textId="2C513838" w:rsidR="007A2A6F" w:rsidRPr="00653DCF" w:rsidRDefault="00B25372" w:rsidP="00601C96">
            <w:pPr>
              <w:pStyle w:val="P68B1DB1-Normal19"/>
              <w:spacing w:after="0"/>
              <w:ind w:left="0"/>
              <w:jc w:val="left"/>
              <w:rPr>
                <w:color w:val="auto"/>
                <w:lang w:val="hr-HR"/>
              </w:rPr>
            </w:pPr>
            <w:r w:rsidRPr="00653DCF">
              <w:rPr>
                <w:color w:val="auto"/>
                <w:lang w:val="hr-HR"/>
              </w:rPr>
              <w:t>Obnova dionice Andrijevci-Garčin Ik (7,8 km) i Strizivojna Vrpolje-Andrijevci dk (8,9 km), na pruzi Novska-Vinkovci-Tovarnik-DG (državna granica)</w:t>
            </w:r>
          </w:p>
        </w:tc>
      </w:tr>
      <w:tr w:rsidR="007A2A6F" w:rsidRPr="00653DCF" w14:paraId="5EA3C681" w14:textId="77777777">
        <w:trPr>
          <w:trHeight w:val="300"/>
          <w:tblHeader/>
        </w:trPr>
        <w:tc>
          <w:tcPr>
            <w:tcW w:w="1039" w:type="dxa"/>
            <w:shd w:val="clear" w:color="auto" w:fill="auto"/>
            <w:noWrap/>
            <w:vAlign w:val="bottom"/>
            <w:hideMark/>
          </w:tcPr>
          <w:p w14:paraId="735F760D"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040BAE6"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39550BF5" w14:textId="174F3111" w:rsidR="00B25372" w:rsidRPr="00653DCF" w:rsidRDefault="00E87B0B" w:rsidP="00601C96">
            <w:pPr>
              <w:pStyle w:val="P68B1DB1-Normal19"/>
              <w:spacing w:after="0"/>
              <w:ind w:left="0"/>
              <w:jc w:val="left"/>
              <w:rPr>
                <w:color w:val="auto"/>
                <w:lang w:val="hr-HR"/>
              </w:rPr>
            </w:pPr>
            <w:r w:rsidRPr="00653DCF">
              <w:rPr>
                <w:color w:val="auto"/>
                <w:lang w:val="hr-HR"/>
              </w:rPr>
              <w:t>Međunarodne</w:t>
            </w:r>
          </w:p>
          <w:p w14:paraId="3E4ECBDE" w14:textId="3545297A" w:rsidR="007A2A6F" w:rsidRPr="00653DCF" w:rsidRDefault="00B25372"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6FEFD3F8" w14:textId="046D9647" w:rsidR="007A2A6F" w:rsidRPr="00653DCF" w:rsidRDefault="00876DBA" w:rsidP="00601C96">
            <w:pPr>
              <w:pStyle w:val="P68B1DB1-Normal19"/>
              <w:spacing w:after="0"/>
              <w:ind w:left="0"/>
              <w:jc w:val="left"/>
              <w:rPr>
                <w:color w:val="auto"/>
                <w:lang w:val="hr-HR"/>
              </w:rPr>
            </w:pPr>
            <w:r w:rsidRPr="00653DCF">
              <w:rPr>
                <w:color w:val="auto"/>
                <w:lang w:val="hr-HR"/>
              </w:rPr>
              <w:t>Prilagodba SS uređaja na dionici Vinkovci-Tovarnik</w:t>
            </w:r>
          </w:p>
        </w:tc>
      </w:tr>
      <w:tr w:rsidR="007A2A6F" w:rsidRPr="00653DCF" w14:paraId="237BBD35" w14:textId="77777777">
        <w:trPr>
          <w:trHeight w:val="300"/>
          <w:tblHeader/>
        </w:trPr>
        <w:tc>
          <w:tcPr>
            <w:tcW w:w="1039" w:type="dxa"/>
            <w:shd w:val="clear" w:color="auto" w:fill="auto"/>
            <w:noWrap/>
            <w:vAlign w:val="bottom"/>
            <w:hideMark/>
          </w:tcPr>
          <w:p w14:paraId="4C0334FB"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2144D29"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6F255483" w14:textId="541A1CD6" w:rsidR="00876DBA" w:rsidRPr="00653DCF" w:rsidRDefault="00E87B0B" w:rsidP="00601C96">
            <w:pPr>
              <w:pStyle w:val="P68B1DB1-Normal19"/>
              <w:spacing w:after="0"/>
              <w:ind w:left="0"/>
              <w:jc w:val="left"/>
              <w:rPr>
                <w:color w:val="auto"/>
                <w:lang w:val="hr-HR"/>
              </w:rPr>
            </w:pPr>
            <w:r w:rsidRPr="00653DCF">
              <w:rPr>
                <w:color w:val="auto"/>
                <w:lang w:val="hr-HR"/>
              </w:rPr>
              <w:t>Međunarodne</w:t>
            </w:r>
          </w:p>
          <w:p w14:paraId="4FE0FEC7" w14:textId="2DFA1C88" w:rsidR="007A2A6F" w:rsidRPr="00653DCF" w:rsidRDefault="00876DBA"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059AECD1" w14:textId="0605CC30" w:rsidR="007A2A6F" w:rsidRPr="00653DCF" w:rsidRDefault="009C2E3E" w:rsidP="00601C96">
            <w:pPr>
              <w:pStyle w:val="P68B1DB1-Normal19"/>
              <w:spacing w:after="0"/>
              <w:ind w:left="0"/>
              <w:jc w:val="left"/>
              <w:rPr>
                <w:color w:val="auto"/>
                <w:lang w:val="hr-HR"/>
              </w:rPr>
            </w:pPr>
            <w:r w:rsidRPr="00653DCF">
              <w:rPr>
                <w:color w:val="auto"/>
                <w:lang w:val="hr-HR"/>
              </w:rPr>
              <w:t>Rekonstrukcija postojećeg i izgradnja drugog kolosijeka željezničke pruge na dionici pruge Dugo Selo-Križevci</w:t>
            </w:r>
          </w:p>
        </w:tc>
      </w:tr>
      <w:tr w:rsidR="007A2A6F" w:rsidRPr="00653DCF" w14:paraId="5D990299" w14:textId="77777777">
        <w:trPr>
          <w:trHeight w:val="300"/>
          <w:tblHeader/>
        </w:trPr>
        <w:tc>
          <w:tcPr>
            <w:tcW w:w="1039" w:type="dxa"/>
            <w:shd w:val="clear" w:color="auto" w:fill="auto"/>
            <w:noWrap/>
            <w:vAlign w:val="bottom"/>
            <w:hideMark/>
          </w:tcPr>
          <w:p w14:paraId="5D166555"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F3A47DE"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091BF2A3" w14:textId="08D11869" w:rsidR="009C2E3E" w:rsidRPr="00653DCF" w:rsidRDefault="00E87B0B" w:rsidP="00601C96">
            <w:pPr>
              <w:pStyle w:val="P68B1DB1-Normal19"/>
              <w:spacing w:after="0"/>
              <w:ind w:left="0"/>
              <w:jc w:val="left"/>
              <w:rPr>
                <w:color w:val="auto"/>
                <w:lang w:val="hr-HR"/>
              </w:rPr>
            </w:pPr>
            <w:r w:rsidRPr="00653DCF">
              <w:rPr>
                <w:color w:val="auto"/>
                <w:lang w:val="hr-HR"/>
              </w:rPr>
              <w:t>Međunarodne</w:t>
            </w:r>
          </w:p>
          <w:p w14:paraId="39E3EF42" w14:textId="5A9E61D4" w:rsidR="007A2A6F" w:rsidRPr="00653DCF" w:rsidRDefault="009C2E3E"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785E881F" w14:textId="59B099E0" w:rsidR="007A2A6F" w:rsidRPr="00653DCF" w:rsidRDefault="00595D40" w:rsidP="00601C96">
            <w:pPr>
              <w:pStyle w:val="P68B1DB1-Normal19"/>
              <w:spacing w:after="0"/>
              <w:ind w:left="0"/>
              <w:jc w:val="left"/>
              <w:rPr>
                <w:color w:val="auto"/>
                <w:lang w:val="hr-HR"/>
              </w:rPr>
            </w:pPr>
            <w:r w:rsidRPr="00653DCF">
              <w:rPr>
                <w:color w:val="auto"/>
                <w:lang w:val="hr-HR"/>
              </w:rPr>
              <w:t>Rekonstrukcija postojećeg i izgradnja drugog kolosijeka željezničke pruge na dionici Križevci-Koprivnica-državna granica</w:t>
            </w:r>
          </w:p>
        </w:tc>
      </w:tr>
      <w:tr w:rsidR="007A2A6F" w:rsidRPr="00653DCF" w14:paraId="5328997A" w14:textId="77777777">
        <w:trPr>
          <w:trHeight w:val="300"/>
          <w:tblHeader/>
        </w:trPr>
        <w:tc>
          <w:tcPr>
            <w:tcW w:w="1039" w:type="dxa"/>
            <w:shd w:val="clear" w:color="auto" w:fill="auto"/>
            <w:noWrap/>
            <w:vAlign w:val="bottom"/>
            <w:hideMark/>
          </w:tcPr>
          <w:p w14:paraId="520592CE"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ADDBFE7"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5A6CA7EF" w14:textId="58A21F61" w:rsidR="00595D40" w:rsidRPr="00653DCF" w:rsidRDefault="00E87B0B" w:rsidP="00601C96">
            <w:pPr>
              <w:pStyle w:val="P68B1DB1-Normal19"/>
              <w:spacing w:after="0"/>
              <w:ind w:left="0"/>
              <w:jc w:val="left"/>
              <w:rPr>
                <w:color w:val="auto"/>
                <w:lang w:val="hr-HR"/>
              </w:rPr>
            </w:pPr>
            <w:r w:rsidRPr="00653DCF">
              <w:rPr>
                <w:color w:val="auto"/>
                <w:lang w:val="hr-HR"/>
              </w:rPr>
              <w:t>Međunarodne</w:t>
            </w:r>
          </w:p>
          <w:p w14:paraId="6817DD4D" w14:textId="16C9E541" w:rsidR="007A2A6F" w:rsidRPr="00653DCF" w:rsidRDefault="00595D40"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7691D1C0" w14:textId="133FD5EA" w:rsidR="007A2A6F" w:rsidRPr="00653DCF" w:rsidRDefault="00C60550" w:rsidP="00601C96">
            <w:pPr>
              <w:pStyle w:val="P68B1DB1-Normal19"/>
              <w:spacing w:after="0"/>
              <w:ind w:left="0"/>
              <w:jc w:val="left"/>
              <w:rPr>
                <w:color w:val="auto"/>
                <w:lang w:val="hr-HR"/>
              </w:rPr>
            </w:pPr>
            <w:r w:rsidRPr="00653DCF">
              <w:rPr>
                <w:color w:val="auto"/>
                <w:lang w:val="hr-HR"/>
              </w:rPr>
              <w:t>Obnova dionice Ogulin-(Moravice) (29,4 km), na pruzi Zagreb G</w:t>
            </w:r>
            <w:r w:rsidR="00F774D6" w:rsidRPr="00653DCF">
              <w:rPr>
                <w:color w:val="auto"/>
                <w:lang w:val="hr-HR"/>
              </w:rPr>
              <w:t>K</w:t>
            </w:r>
            <w:r w:rsidRPr="00653DCF">
              <w:rPr>
                <w:color w:val="auto"/>
                <w:lang w:val="hr-HR"/>
              </w:rPr>
              <w:t>-Rijeka</w:t>
            </w:r>
          </w:p>
        </w:tc>
      </w:tr>
      <w:tr w:rsidR="007A2A6F" w:rsidRPr="00653DCF" w14:paraId="321FABF2" w14:textId="77777777">
        <w:trPr>
          <w:trHeight w:val="300"/>
          <w:tblHeader/>
        </w:trPr>
        <w:tc>
          <w:tcPr>
            <w:tcW w:w="1039" w:type="dxa"/>
            <w:shd w:val="clear" w:color="auto" w:fill="auto"/>
            <w:noWrap/>
            <w:vAlign w:val="bottom"/>
            <w:hideMark/>
          </w:tcPr>
          <w:p w14:paraId="5794B85B"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7F716F7E"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63572677" w14:textId="5E9A9EA8" w:rsidR="00C60550" w:rsidRPr="00653DCF" w:rsidRDefault="00E87B0B" w:rsidP="00601C96">
            <w:pPr>
              <w:pStyle w:val="P68B1DB1-Normal19"/>
              <w:spacing w:after="0"/>
              <w:ind w:left="0"/>
              <w:jc w:val="left"/>
              <w:rPr>
                <w:color w:val="auto"/>
                <w:lang w:val="hr-HR"/>
              </w:rPr>
            </w:pPr>
            <w:r w:rsidRPr="00653DCF">
              <w:rPr>
                <w:color w:val="auto"/>
                <w:lang w:val="hr-HR"/>
              </w:rPr>
              <w:t>Međunarodne</w:t>
            </w:r>
          </w:p>
          <w:p w14:paraId="3DCF3F51" w14:textId="24D39065" w:rsidR="007A2A6F" w:rsidRPr="00653DCF" w:rsidRDefault="00C60550"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52BCDAB8" w14:textId="3F792509" w:rsidR="007A2A6F" w:rsidRPr="00653DCF" w:rsidRDefault="00C60550" w:rsidP="00601C96">
            <w:pPr>
              <w:pStyle w:val="P68B1DB1-Normal19"/>
              <w:spacing w:after="0"/>
              <w:ind w:left="0"/>
              <w:jc w:val="left"/>
              <w:rPr>
                <w:color w:val="auto"/>
                <w:lang w:val="hr-HR"/>
              </w:rPr>
            </w:pPr>
            <w:r w:rsidRPr="00653DCF">
              <w:rPr>
                <w:color w:val="auto"/>
                <w:lang w:val="hr-HR"/>
              </w:rPr>
              <w:t>Obnova dionice Generalski Stol-(Oštarije) (21,4 km), na pruzi Zagreb G</w:t>
            </w:r>
            <w:r w:rsidR="00F774D6" w:rsidRPr="00653DCF">
              <w:rPr>
                <w:color w:val="auto"/>
                <w:lang w:val="hr-HR"/>
              </w:rPr>
              <w:t>K</w:t>
            </w:r>
            <w:r w:rsidRPr="00653DCF">
              <w:rPr>
                <w:color w:val="auto"/>
                <w:lang w:val="hr-HR"/>
              </w:rPr>
              <w:t>-Rijeka</w:t>
            </w:r>
          </w:p>
        </w:tc>
      </w:tr>
      <w:tr w:rsidR="007A2A6F" w:rsidRPr="00653DCF" w14:paraId="55D0A375" w14:textId="77777777">
        <w:trPr>
          <w:trHeight w:val="300"/>
          <w:tblHeader/>
        </w:trPr>
        <w:tc>
          <w:tcPr>
            <w:tcW w:w="1039" w:type="dxa"/>
            <w:shd w:val="clear" w:color="auto" w:fill="auto"/>
            <w:noWrap/>
            <w:vAlign w:val="bottom"/>
            <w:hideMark/>
          </w:tcPr>
          <w:p w14:paraId="04143A5C"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170F8DED"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43C438BF" w14:textId="6CC58BBD" w:rsidR="00925CA0" w:rsidRPr="00653DCF" w:rsidRDefault="00E87B0B" w:rsidP="00601C96">
            <w:pPr>
              <w:pStyle w:val="P68B1DB1-Normal19"/>
              <w:spacing w:after="0"/>
              <w:ind w:left="0"/>
              <w:jc w:val="left"/>
              <w:rPr>
                <w:color w:val="auto"/>
                <w:lang w:val="hr-HR"/>
              </w:rPr>
            </w:pPr>
            <w:r w:rsidRPr="00653DCF">
              <w:rPr>
                <w:color w:val="auto"/>
                <w:lang w:val="hr-HR"/>
              </w:rPr>
              <w:t>Međunarodne</w:t>
            </w:r>
          </w:p>
          <w:p w14:paraId="4AC480E8" w14:textId="2B1E4831" w:rsidR="007A2A6F" w:rsidRPr="00653DCF" w:rsidRDefault="00925CA0"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6F922CE1" w14:textId="5B8FFFC0" w:rsidR="007A2A6F" w:rsidRPr="00653DCF" w:rsidRDefault="00925CA0" w:rsidP="00601C96">
            <w:pPr>
              <w:pStyle w:val="P68B1DB1-Normal19"/>
              <w:spacing w:after="0"/>
              <w:ind w:left="0"/>
              <w:jc w:val="left"/>
              <w:rPr>
                <w:color w:val="auto"/>
                <w:lang w:val="hr-HR"/>
              </w:rPr>
            </w:pPr>
            <w:r w:rsidRPr="00653DCF">
              <w:rPr>
                <w:color w:val="auto"/>
                <w:lang w:val="hr-HR"/>
              </w:rPr>
              <w:t>Osiguranje SS uređajem kolodvora Slavonski Šamac i pruge Strizivojna Vrpolje-Slavonski Šamac</w:t>
            </w:r>
          </w:p>
        </w:tc>
      </w:tr>
      <w:tr w:rsidR="007A2A6F" w:rsidRPr="00653DCF" w14:paraId="6147BEF0" w14:textId="77777777">
        <w:trPr>
          <w:trHeight w:val="300"/>
          <w:tblHeader/>
        </w:trPr>
        <w:tc>
          <w:tcPr>
            <w:tcW w:w="1039" w:type="dxa"/>
            <w:shd w:val="clear" w:color="auto" w:fill="auto"/>
            <w:noWrap/>
            <w:vAlign w:val="bottom"/>
            <w:hideMark/>
          </w:tcPr>
          <w:p w14:paraId="401B92C0"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7CD9A205"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44198501" w14:textId="718EC366" w:rsidR="00925CA0" w:rsidRPr="00653DCF" w:rsidRDefault="00E87B0B" w:rsidP="00601C96">
            <w:pPr>
              <w:pStyle w:val="P68B1DB1-Normal19"/>
              <w:spacing w:after="0"/>
              <w:ind w:left="0"/>
              <w:jc w:val="left"/>
              <w:rPr>
                <w:color w:val="auto"/>
                <w:lang w:val="hr-HR"/>
              </w:rPr>
            </w:pPr>
            <w:r w:rsidRPr="00653DCF">
              <w:rPr>
                <w:color w:val="auto"/>
                <w:lang w:val="hr-HR"/>
              </w:rPr>
              <w:t>Međunarodne</w:t>
            </w:r>
          </w:p>
          <w:p w14:paraId="44298497" w14:textId="128CF180" w:rsidR="007A2A6F" w:rsidRPr="00653DCF" w:rsidRDefault="00925CA0"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07D0688E" w14:textId="6B35039C" w:rsidR="007A2A6F" w:rsidRPr="00653DCF" w:rsidRDefault="00925CA0" w:rsidP="00601C96">
            <w:pPr>
              <w:pStyle w:val="P68B1DB1-Normal19"/>
              <w:spacing w:after="0"/>
              <w:ind w:left="0"/>
              <w:jc w:val="left"/>
              <w:rPr>
                <w:color w:val="auto"/>
                <w:lang w:val="hr-HR"/>
              </w:rPr>
            </w:pPr>
            <w:r w:rsidRPr="00653DCF">
              <w:rPr>
                <w:color w:val="auto"/>
                <w:lang w:val="hr-HR"/>
              </w:rPr>
              <w:t>Modernizacija i obnova SS uređaja pruge Oštarije-Knin</w:t>
            </w:r>
          </w:p>
        </w:tc>
      </w:tr>
      <w:tr w:rsidR="007A2A6F" w:rsidRPr="00653DCF" w14:paraId="36F2EAF7" w14:textId="77777777">
        <w:trPr>
          <w:trHeight w:val="300"/>
          <w:tblHeader/>
        </w:trPr>
        <w:tc>
          <w:tcPr>
            <w:tcW w:w="1039" w:type="dxa"/>
            <w:shd w:val="clear" w:color="auto" w:fill="auto"/>
            <w:noWrap/>
            <w:vAlign w:val="bottom"/>
            <w:hideMark/>
          </w:tcPr>
          <w:p w14:paraId="1874F59A"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59FEC473"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33594C69" w14:textId="0CEB1612" w:rsidR="00D364EC" w:rsidRPr="00653DCF" w:rsidRDefault="00E87B0B" w:rsidP="00601C96">
            <w:pPr>
              <w:pStyle w:val="P68B1DB1-Normal19"/>
              <w:spacing w:after="0"/>
              <w:ind w:left="0"/>
              <w:jc w:val="left"/>
              <w:rPr>
                <w:color w:val="auto"/>
                <w:lang w:val="hr-HR"/>
              </w:rPr>
            </w:pPr>
            <w:r w:rsidRPr="00653DCF">
              <w:rPr>
                <w:color w:val="auto"/>
                <w:lang w:val="hr-HR"/>
              </w:rPr>
              <w:t>Regionalne</w:t>
            </w:r>
          </w:p>
          <w:p w14:paraId="1DC34FC3" w14:textId="5C2FDDB5" w:rsidR="007A2A6F" w:rsidRPr="00653DCF" w:rsidRDefault="00D364EC"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68D7B977" w14:textId="3F6B2E22" w:rsidR="007A2A6F" w:rsidRPr="00653DCF" w:rsidRDefault="00D364EC" w:rsidP="00601C96">
            <w:pPr>
              <w:pStyle w:val="P68B1DB1-Normal19"/>
              <w:spacing w:after="0"/>
              <w:ind w:left="0"/>
              <w:jc w:val="left"/>
              <w:rPr>
                <w:color w:val="auto"/>
                <w:lang w:val="hr-HR"/>
              </w:rPr>
            </w:pPr>
            <w:r w:rsidRPr="00653DCF">
              <w:rPr>
                <w:color w:val="auto"/>
                <w:lang w:val="hr-HR"/>
              </w:rPr>
              <w:t>Obnova dionice Kloštar-Koprivnica-Varaždin (74,7 km) na pruzi R202 Varaždin -Dalj i dionice Varaždin-Čakovec (11</w:t>
            </w:r>
            <w:r w:rsidR="00446063" w:rsidRPr="00653DCF">
              <w:rPr>
                <w:color w:val="auto"/>
                <w:lang w:val="hr-HR"/>
              </w:rPr>
              <w:t>,</w:t>
            </w:r>
            <w:r w:rsidRPr="00653DCF">
              <w:rPr>
                <w:color w:val="auto"/>
                <w:lang w:val="hr-HR"/>
              </w:rPr>
              <w:t>8 km) na pruzi R201 Zaprešić-Čakovec</w:t>
            </w:r>
          </w:p>
        </w:tc>
      </w:tr>
      <w:tr w:rsidR="007A2A6F" w:rsidRPr="00653DCF" w14:paraId="53E3E8C9" w14:textId="77777777">
        <w:trPr>
          <w:trHeight w:val="300"/>
          <w:tblHeader/>
        </w:trPr>
        <w:tc>
          <w:tcPr>
            <w:tcW w:w="1039" w:type="dxa"/>
            <w:shd w:val="clear" w:color="auto" w:fill="auto"/>
            <w:noWrap/>
            <w:vAlign w:val="bottom"/>
            <w:hideMark/>
          </w:tcPr>
          <w:p w14:paraId="73A8FC36"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4E095CF"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6A3C5D52" w14:textId="31BA6750" w:rsidR="00D364EC" w:rsidRPr="00653DCF" w:rsidRDefault="00E87B0B" w:rsidP="00601C96">
            <w:pPr>
              <w:pStyle w:val="P68B1DB1-Normal19"/>
              <w:spacing w:after="0"/>
              <w:ind w:left="0"/>
              <w:jc w:val="left"/>
              <w:rPr>
                <w:color w:val="auto"/>
                <w:lang w:val="hr-HR"/>
              </w:rPr>
            </w:pPr>
            <w:r w:rsidRPr="00653DCF">
              <w:rPr>
                <w:color w:val="auto"/>
                <w:lang w:val="hr-HR"/>
              </w:rPr>
              <w:t>Regionalne</w:t>
            </w:r>
          </w:p>
          <w:p w14:paraId="26DFF926" w14:textId="14E186E1" w:rsidR="007A2A6F" w:rsidRPr="00653DCF" w:rsidRDefault="00D364EC"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7965DD33" w14:textId="3214CA0B" w:rsidR="007A2A6F" w:rsidRPr="00653DCF" w:rsidRDefault="00D364EC" w:rsidP="00601C96">
            <w:pPr>
              <w:pStyle w:val="P68B1DB1-Normal19"/>
              <w:spacing w:after="0"/>
              <w:ind w:left="0"/>
              <w:jc w:val="left"/>
              <w:rPr>
                <w:color w:val="auto"/>
                <w:lang w:val="hr-HR"/>
              </w:rPr>
            </w:pPr>
            <w:r w:rsidRPr="00653DCF">
              <w:rPr>
                <w:color w:val="auto"/>
                <w:lang w:val="hr-HR"/>
              </w:rPr>
              <w:t>Obnova dionice Osijek-Koška (33 km) na pruzi R202 Varaždin-Dalj</w:t>
            </w:r>
          </w:p>
        </w:tc>
      </w:tr>
      <w:tr w:rsidR="007A2A6F" w:rsidRPr="00653DCF" w14:paraId="5651F6AB" w14:textId="77777777">
        <w:trPr>
          <w:trHeight w:val="300"/>
          <w:tblHeader/>
        </w:trPr>
        <w:tc>
          <w:tcPr>
            <w:tcW w:w="1039" w:type="dxa"/>
            <w:shd w:val="clear" w:color="auto" w:fill="auto"/>
            <w:noWrap/>
            <w:vAlign w:val="bottom"/>
            <w:hideMark/>
          </w:tcPr>
          <w:p w14:paraId="69663937" w14:textId="77777777" w:rsidR="007A2A6F" w:rsidRPr="00653DCF" w:rsidRDefault="00E87B0B"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11ADD6CA" w14:textId="77777777" w:rsidR="007A2A6F" w:rsidRPr="00653DCF" w:rsidRDefault="00E87B0B"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5515B4C2" w14:textId="593E0E19" w:rsidR="007A2A6F" w:rsidRPr="00653DCF" w:rsidRDefault="00D364EC" w:rsidP="00601C96">
            <w:pPr>
              <w:pStyle w:val="P68B1DB1-Normal19"/>
              <w:spacing w:after="0"/>
              <w:ind w:left="0"/>
              <w:jc w:val="left"/>
              <w:rPr>
                <w:color w:val="auto"/>
                <w:lang w:val="hr-HR"/>
              </w:rPr>
            </w:pPr>
            <w:r w:rsidRPr="00653DCF">
              <w:rPr>
                <w:color w:val="auto"/>
                <w:lang w:val="hr-HR"/>
              </w:rPr>
              <w:t>Kompletna</w:t>
            </w:r>
            <w:r w:rsidR="00E87B0B" w:rsidRPr="00653DCF">
              <w:rPr>
                <w:color w:val="auto"/>
                <w:lang w:val="hr-HR"/>
              </w:rPr>
              <w:t xml:space="preserve"> željeznička mreža</w:t>
            </w:r>
          </w:p>
        </w:tc>
        <w:tc>
          <w:tcPr>
            <w:tcW w:w="2796" w:type="dxa"/>
            <w:shd w:val="clear" w:color="auto" w:fill="auto"/>
            <w:vAlign w:val="bottom"/>
            <w:hideMark/>
          </w:tcPr>
          <w:p w14:paraId="3CC46B37" w14:textId="136EAB5F" w:rsidR="007A2A6F" w:rsidRPr="00653DCF" w:rsidRDefault="0099715B" w:rsidP="00601C96">
            <w:pPr>
              <w:pStyle w:val="P68B1DB1-Normal19"/>
              <w:spacing w:after="0"/>
              <w:ind w:left="0"/>
              <w:jc w:val="left"/>
              <w:rPr>
                <w:color w:val="auto"/>
                <w:lang w:val="hr-HR"/>
              </w:rPr>
            </w:pPr>
            <w:r w:rsidRPr="00653DCF">
              <w:rPr>
                <w:color w:val="auto"/>
                <w:lang w:val="hr-HR"/>
              </w:rPr>
              <w:t>Izrada tehničke dokumentacije tehničke zaštite HŽI (definiranje projektnog zadatka, projektiranje sustava tehničke zaštite) Izvedba sustava tehničke zaštite i stručni nadzor nad izvedbom radova</w:t>
            </w:r>
          </w:p>
        </w:tc>
      </w:tr>
      <w:tr w:rsidR="00530780" w:rsidRPr="00653DCF" w14:paraId="4FA50E25" w14:textId="77777777" w:rsidTr="00DA3B64">
        <w:trPr>
          <w:trHeight w:val="300"/>
          <w:tblHeader/>
        </w:trPr>
        <w:tc>
          <w:tcPr>
            <w:tcW w:w="1039" w:type="dxa"/>
            <w:shd w:val="clear" w:color="auto" w:fill="auto"/>
            <w:noWrap/>
            <w:vAlign w:val="bottom"/>
          </w:tcPr>
          <w:p w14:paraId="40A8CFE9" w14:textId="3B56D8CA"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tcPr>
          <w:p w14:paraId="273CEA99" w14:textId="515DC15D"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tcPr>
          <w:p w14:paraId="6700B7F6" w14:textId="49900B79" w:rsidR="00530780" w:rsidRPr="00653DCF" w:rsidRDefault="0099715B" w:rsidP="00601C96">
            <w:pPr>
              <w:pStyle w:val="P68B1DB1-Normal19"/>
              <w:spacing w:after="0"/>
              <w:ind w:left="0"/>
              <w:jc w:val="left"/>
              <w:rPr>
                <w:color w:val="auto"/>
                <w:lang w:val="hr-HR"/>
              </w:rPr>
            </w:pPr>
            <w:r w:rsidRPr="00653DCF">
              <w:rPr>
                <w:color w:val="auto"/>
                <w:lang w:val="hr-HR"/>
              </w:rPr>
              <w:t>Kompletna</w:t>
            </w:r>
            <w:r w:rsidR="00530780" w:rsidRPr="00653DCF">
              <w:rPr>
                <w:color w:val="auto"/>
                <w:lang w:val="hr-HR"/>
              </w:rPr>
              <w:t xml:space="preserve"> željeznička mreža</w:t>
            </w:r>
          </w:p>
        </w:tc>
        <w:tc>
          <w:tcPr>
            <w:tcW w:w="2796" w:type="dxa"/>
            <w:shd w:val="clear" w:color="auto" w:fill="auto"/>
            <w:vAlign w:val="center"/>
          </w:tcPr>
          <w:p w14:paraId="219E440B" w14:textId="661C4FBD" w:rsidR="00530780" w:rsidRPr="00653DCF" w:rsidRDefault="0099715B" w:rsidP="00601C96">
            <w:pPr>
              <w:pStyle w:val="P68B1DB1-Normal19"/>
              <w:spacing w:after="0"/>
              <w:ind w:left="0"/>
              <w:jc w:val="left"/>
              <w:rPr>
                <w:color w:val="auto"/>
                <w:lang w:val="hr-HR"/>
              </w:rPr>
            </w:pPr>
            <w:r w:rsidRPr="00653DCF">
              <w:rPr>
                <w:color w:val="auto"/>
                <w:lang w:val="hr-HR"/>
              </w:rPr>
              <w:t>Zbrinjavanje otpadnih pragova (kolosiječni, mosni i skretnički)</w:t>
            </w:r>
          </w:p>
        </w:tc>
      </w:tr>
      <w:tr w:rsidR="00530780" w:rsidRPr="00653DCF" w14:paraId="7C6F279A" w14:textId="77777777">
        <w:trPr>
          <w:trHeight w:val="300"/>
          <w:tblHeader/>
        </w:trPr>
        <w:tc>
          <w:tcPr>
            <w:tcW w:w="1039" w:type="dxa"/>
            <w:shd w:val="clear" w:color="auto" w:fill="auto"/>
            <w:noWrap/>
            <w:vAlign w:val="bottom"/>
            <w:hideMark/>
          </w:tcPr>
          <w:p w14:paraId="2170E839"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03898DFB"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4F187D4C" w14:textId="2AEBA6B9" w:rsidR="00530780" w:rsidRPr="00653DCF" w:rsidRDefault="007B5B90" w:rsidP="00601C96">
            <w:pPr>
              <w:pStyle w:val="P68B1DB1-Normal19"/>
              <w:spacing w:after="0"/>
              <w:ind w:left="0"/>
              <w:jc w:val="left"/>
              <w:rPr>
                <w:color w:val="auto"/>
                <w:lang w:val="hr-HR"/>
              </w:rPr>
            </w:pPr>
            <w:r w:rsidRPr="00653DCF">
              <w:rPr>
                <w:color w:val="auto"/>
                <w:lang w:val="hr-HR"/>
              </w:rPr>
              <w:t>Kompletna</w:t>
            </w:r>
            <w:r w:rsidR="00530780" w:rsidRPr="00653DCF">
              <w:rPr>
                <w:color w:val="auto"/>
                <w:lang w:val="hr-HR"/>
              </w:rPr>
              <w:t xml:space="preserve"> željeznička mreža</w:t>
            </w:r>
          </w:p>
        </w:tc>
        <w:tc>
          <w:tcPr>
            <w:tcW w:w="2796" w:type="dxa"/>
            <w:shd w:val="clear" w:color="auto" w:fill="auto"/>
            <w:vAlign w:val="bottom"/>
            <w:hideMark/>
          </w:tcPr>
          <w:p w14:paraId="798B9F67" w14:textId="380200CD" w:rsidR="00530780" w:rsidRPr="00653DCF" w:rsidRDefault="007B5B90" w:rsidP="00601C96">
            <w:pPr>
              <w:pStyle w:val="P68B1DB1-Normal19"/>
              <w:spacing w:after="0"/>
              <w:ind w:left="0"/>
              <w:jc w:val="left"/>
              <w:rPr>
                <w:color w:val="auto"/>
                <w:lang w:val="hr-HR"/>
              </w:rPr>
            </w:pPr>
            <w:r w:rsidRPr="00653DCF">
              <w:rPr>
                <w:color w:val="auto"/>
                <w:lang w:val="hr-HR"/>
              </w:rPr>
              <w:t>FRMCS sustav s GSM-R kompatibilnošću</w:t>
            </w:r>
          </w:p>
        </w:tc>
      </w:tr>
      <w:tr w:rsidR="00530780" w:rsidRPr="00653DCF" w14:paraId="71207B3B" w14:textId="77777777">
        <w:trPr>
          <w:trHeight w:val="300"/>
          <w:tblHeader/>
        </w:trPr>
        <w:tc>
          <w:tcPr>
            <w:tcW w:w="1039" w:type="dxa"/>
            <w:shd w:val="clear" w:color="auto" w:fill="auto"/>
            <w:noWrap/>
            <w:vAlign w:val="bottom"/>
            <w:hideMark/>
          </w:tcPr>
          <w:p w14:paraId="4F4F4272"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2EB4E0DD"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6C2342C4" w14:textId="77777777" w:rsidR="00530780" w:rsidRPr="00653DCF" w:rsidRDefault="00530780" w:rsidP="00601C96">
            <w:pPr>
              <w:pStyle w:val="P68B1DB1-Normal19"/>
              <w:spacing w:after="0"/>
              <w:ind w:left="0"/>
              <w:jc w:val="left"/>
              <w:rPr>
                <w:color w:val="auto"/>
                <w:lang w:val="hr-HR"/>
              </w:rPr>
            </w:pPr>
            <w:r w:rsidRPr="00653DCF">
              <w:rPr>
                <w:color w:val="auto"/>
                <w:lang w:val="hr-HR"/>
              </w:rPr>
              <w:t>Tehnička dokumentacija</w:t>
            </w:r>
          </w:p>
        </w:tc>
        <w:tc>
          <w:tcPr>
            <w:tcW w:w="2796" w:type="dxa"/>
            <w:shd w:val="clear" w:color="auto" w:fill="auto"/>
            <w:vAlign w:val="bottom"/>
            <w:hideMark/>
          </w:tcPr>
          <w:p w14:paraId="1FC55A28" w14:textId="485ED480" w:rsidR="00530780" w:rsidRPr="00653DCF" w:rsidRDefault="007B5B90" w:rsidP="00601C96">
            <w:pPr>
              <w:pStyle w:val="P68B1DB1-Normal19"/>
              <w:spacing w:after="0"/>
              <w:ind w:left="0"/>
              <w:jc w:val="left"/>
              <w:rPr>
                <w:color w:val="auto"/>
                <w:lang w:val="hr-HR"/>
              </w:rPr>
            </w:pPr>
            <w:r w:rsidRPr="00653DCF">
              <w:rPr>
                <w:color w:val="auto"/>
                <w:lang w:val="hr-HR"/>
              </w:rPr>
              <w:t>Izrada tehničke dokumentacije za modernizaciju i elektrifikaciju dionice željezničke pruge R106, dionica Zabok-Krapina-Đurmanec-DG (državna granica), L=27 km</w:t>
            </w:r>
          </w:p>
        </w:tc>
      </w:tr>
      <w:tr w:rsidR="00530780" w:rsidRPr="00653DCF" w14:paraId="08FB07DB" w14:textId="77777777">
        <w:trPr>
          <w:trHeight w:val="300"/>
          <w:tblHeader/>
        </w:trPr>
        <w:tc>
          <w:tcPr>
            <w:tcW w:w="1039" w:type="dxa"/>
            <w:shd w:val="clear" w:color="auto" w:fill="auto"/>
            <w:noWrap/>
            <w:vAlign w:val="bottom"/>
            <w:hideMark/>
          </w:tcPr>
          <w:p w14:paraId="06248A50"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42DAC68D"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5DFFDE7F" w14:textId="77777777" w:rsidR="00530780" w:rsidRPr="00653DCF" w:rsidRDefault="00530780" w:rsidP="00601C96">
            <w:pPr>
              <w:pStyle w:val="P68B1DB1-Normal19"/>
              <w:spacing w:after="0"/>
              <w:ind w:left="0"/>
              <w:jc w:val="left"/>
              <w:rPr>
                <w:color w:val="auto"/>
                <w:lang w:val="hr-HR"/>
              </w:rPr>
            </w:pPr>
            <w:r w:rsidRPr="00653DCF">
              <w:rPr>
                <w:color w:val="auto"/>
                <w:lang w:val="hr-HR"/>
              </w:rPr>
              <w:t>Tehnička dokumentacija</w:t>
            </w:r>
          </w:p>
        </w:tc>
        <w:tc>
          <w:tcPr>
            <w:tcW w:w="2796" w:type="dxa"/>
            <w:shd w:val="clear" w:color="auto" w:fill="auto"/>
            <w:vAlign w:val="bottom"/>
            <w:hideMark/>
          </w:tcPr>
          <w:p w14:paraId="3C078EB8" w14:textId="509215BB" w:rsidR="00530780" w:rsidRPr="00653DCF" w:rsidRDefault="008D3830" w:rsidP="00601C96">
            <w:pPr>
              <w:pStyle w:val="P68B1DB1-Normal19"/>
              <w:spacing w:after="0"/>
              <w:ind w:left="0"/>
              <w:jc w:val="left"/>
              <w:rPr>
                <w:color w:val="auto"/>
                <w:lang w:val="hr-HR"/>
              </w:rPr>
            </w:pPr>
            <w:r w:rsidRPr="00653DCF">
              <w:rPr>
                <w:color w:val="auto"/>
                <w:lang w:val="hr-HR"/>
              </w:rPr>
              <w:t>Izrada projektne dokumentacije za modernizaciju i elektrifikaciju željezničke pruge L102, Savski Marof-Kumrovec-DG (državna granica), L= 38,5 km</w:t>
            </w:r>
          </w:p>
        </w:tc>
      </w:tr>
      <w:tr w:rsidR="00530780" w:rsidRPr="00653DCF" w14:paraId="4937FD8F" w14:textId="77777777">
        <w:trPr>
          <w:trHeight w:val="300"/>
          <w:tblHeader/>
        </w:trPr>
        <w:tc>
          <w:tcPr>
            <w:tcW w:w="1039" w:type="dxa"/>
            <w:shd w:val="clear" w:color="auto" w:fill="auto"/>
            <w:noWrap/>
            <w:vAlign w:val="bottom"/>
            <w:hideMark/>
          </w:tcPr>
          <w:p w14:paraId="21691C53"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587065BB"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6AFB9F02" w14:textId="77777777" w:rsidR="00530780" w:rsidRPr="00653DCF" w:rsidRDefault="00530780" w:rsidP="00601C96">
            <w:pPr>
              <w:pStyle w:val="P68B1DB1-Normal19"/>
              <w:spacing w:after="0"/>
              <w:ind w:left="0"/>
              <w:jc w:val="left"/>
              <w:rPr>
                <w:color w:val="auto"/>
                <w:lang w:val="hr-HR"/>
              </w:rPr>
            </w:pPr>
            <w:r w:rsidRPr="00653DCF">
              <w:rPr>
                <w:color w:val="auto"/>
                <w:lang w:val="hr-HR"/>
              </w:rPr>
              <w:t>Tehnička dokumentacija</w:t>
            </w:r>
          </w:p>
        </w:tc>
        <w:tc>
          <w:tcPr>
            <w:tcW w:w="2796" w:type="dxa"/>
            <w:shd w:val="clear" w:color="auto" w:fill="auto"/>
            <w:vAlign w:val="bottom"/>
            <w:hideMark/>
          </w:tcPr>
          <w:p w14:paraId="520FF507" w14:textId="4291C893" w:rsidR="00530780" w:rsidRPr="00653DCF" w:rsidRDefault="008D3830" w:rsidP="00601C96">
            <w:pPr>
              <w:pStyle w:val="P68B1DB1-Normal19"/>
              <w:spacing w:after="0"/>
              <w:ind w:left="0"/>
              <w:jc w:val="left"/>
              <w:rPr>
                <w:color w:val="auto"/>
                <w:lang w:val="hr-HR"/>
              </w:rPr>
            </w:pPr>
            <w:r w:rsidRPr="00653DCF">
              <w:rPr>
                <w:color w:val="auto"/>
                <w:lang w:val="hr-HR"/>
              </w:rPr>
              <w:t>Izrada glavnog projekta željezničke obilaznice Bibinje</w:t>
            </w:r>
          </w:p>
        </w:tc>
      </w:tr>
      <w:tr w:rsidR="00530780" w:rsidRPr="00653DCF" w14:paraId="10E27F0A" w14:textId="77777777">
        <w:trPr>
          <w:trHeight w:val="300"/>
          <w:tblHeader/>
        </w:trPr>
        <w:tc>
          <w:tcPr>
            <w:tcW w:w="1039" w:type="dxa"/>
            <w:shd w:val="clear" w:color="auto" w:fill="auto"/>
            <w:noWrap/>
            <w:vAlign w:val="bottom"/>
            <w:hideMark/>
          </w:tcPr>
          <w:p w14:paraId="040745FF"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26150275"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0F0C0C89" w14:textId="29B97DBE" w:rsidR="00530780" w:rsidRPr="00653DCF" w:rsidRDefault="00530780" w:rsidP="00601C96">
            <w:pPr>
              <w:pStyle w:val="P68B1DB1-Normal19"/>
              <w:spacing w:after="0"/>
              <w:ind w:left="0"/>
              <w:jc w:val="left"/>
              <w:rPr>
                <w:color w:val="auto"/>
                <w:lang w:val="hr-HR"/>
              </w:rPr>
            </w:pPr>
            <w:r w:rsidRPr="00653DCF">
              <w:rPr>
                <w:color w:val="auto"/>
                <w:lang w:val="hr-HR"/>
              </w:rPr>
              <w:t xml:space="preserve">Zgrade u funkciji </w:t>
            </w:r>
            <w:r w:rsidR="008D3830" w:rsidRPr="00653DCF">
              <w:rPr>
                <w:color w:val="auto"/>
                <w:lang w:val="hr-HR"/>
              </w:rPr>
              <w:t>prometa</w:t>
            </w:r>
          </w:p>
        </w:tc>
        <w:tc>
          <w:tcPr>
            <w:tcW w:w="2796" w:type="dxa"/>
            <w:shd w:val="clear" w:color="auto" w:fill="auto"/>
            <w:vAlign w:val="bottom"/>
            <w:hideMark/>
          </w:tcPr>
          <w:p w14:paraId="5C49A8ED" w14:textId="2F367835" w:rsidR="00530780" w:rsidRPr="00653DCF" w:rsidRDefault="008D3830" w:rsidP="00601C96">
            <w:pPr>
              <w:pStyle w:val="P68B1DB1-Normal19"/>
              <w:spacing w:after="0"/>
              <w:ind w:left="0"/>
              <w:jc w:val="left"/>
              <w:rPr>
                <w:color w:val="auto"/>
                <w:lang w:val="hr-HR"/>
              </w:rPr>
            </w:pPr>
            <w:r w:rsidRPr="00653DCF">
              <w:rPr>
                <w:color w:val="auto"/>
                <w:lang w:val="hr-HR"/>
              </w:rPr>
              <w:t>Izrada tehničke dokumentacije (idejni, glavni i izvedbeni projekt) za cjelovitu obnovu zgrade Zagreb GK</w:t>
            </w:r>
          </w:p>
        </w:tc>
      </w:tr>
      <w:tr w:rsidR="00530780" w:rsidRPr="00653DCF" w14:paraId="38C221DA" w14:textId="77777777">
        <w:trPr>
          <w:trHeight w:val="300"/>
          <w:tblHeader/>
        </w:trPr>
        <w:tc>
          <w:tcPr>
            <w:tcW w:w="1039" w:type="dxa"/>
            <w:shd w:val="clear" w:color="auto" w:fill="auto"/>
            <w:noWrap/>
            <w:vAlign w:val="bottom"/>
            <w:hideMark/>
          </w:tcPr>
          <w:p w14:paraId="5C306E89"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490D57AF"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1FE9AD37" w14:textId="77777777" w:rsidR="00530780" w:rsidRPr="00653DCF" w:rsidRDefault="00530780" w:rsidP="00601C96">
            <w:pPr>
              <w:pStyle w:val="P68B1DB1-Normal19"/>
              <w:spacing w:after="0"/>
              <w:ind w:left="0"/>
              <w:jc w:val="left"/>
              <w:rPr>
                <w:color w:val="auto"/>
                <w:lang w:val="hr-HR"/>
              </w:rPr>
            </w:pPr>
            <w:r w:rsidRPr="00653DCF">
              <w:rPr>
                <w:color w:val="auto"/>
                <w:lang w:val="hr-HR"/>
              </w:rPr>
              <w:t>Zgrade u funkciji prijevoza</w:t>
            </w:r>
          </w:p>
        </w:tc>
        <w:tc>
          <w:tcPr>
            <w:tcW w:w="2796" w:type="dxa"/>
            <w:shd w:val="clear" w:color="auto" w:fill="auto"/>
            <w:vAlign w:val="bottom"/>
            <w:hideMark/>
          </w:tcPr>
          <w:p w14:paraId="62A6EC3F" w14:textId="60800A39" w:rsidR="00530780" w:rsidRPr="00653DCF" w:rsidRDefault="00455A9B" w:rsidP="00601C96">
            <w:pPr>
              <w:pStyle w:val="P68B1DB1-Normal19"/>
              <w:spacing w:after="0"/>
              <w:ind w:left="0"/>
              <w:jc w:val="left"/>
              <w:rPr>
                <w:color w:val="auto"/>
                <w:lang w:val="hr-HR"/>
              </w:rPr>
            </w:pPr>
            <w:r w:rsidRPr="00653DCF">
              <w:rPr>
                <w:color w:val="auto"/>
                <w:lang w:val="hr-HR"/>
              </w:rPr>
              <w:t>Izvođenje radova cjelovite obnove zgrade Glavnog kolodvora Zagreb</w:t>
            </w:r>
          </w:p>
        </w:tc>
      </w:tr>
      <w:tr w:rsidR="00530780" w:rsidRPr="00653DCF" w14:paraId="12F36369" w14:textId="77777777">
        <w:trPr>
          <w:trHeight w:val="300"/>
          <w:tblHeader/>
        </w:trPr>
        <w:tc>
          <w:tcPr>
            <w:tcW w:w="1039" w:type="dxa"/>
            <w:shd w:val="clear" w:color="auto" w:fill="auto"/>
            <w:noWrap/>
            <w:vAlign w:val="bottom"/>
            <w:hideMark/>
          </w:tcPr>
          <w:p w14:paraId="0A99706E"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B7AE355" w14:textId="47150C76" w:rsidR="00530780" w:rsidRPr="00653DCF" w:rsidRDefault="00530780" w:rsidP="00601C96">
            <w:pPr>
              <w:pStyle w:val="P68B1DB1-Normal19"/>
              <w:spacing w:after="0"/>
              <w:ind w:left="0"/>
              <w:jc w:val="left"/>
              <w:rPr>
                <w:color w:val="auto"/>
                <w:lang w:val="hr-HR"/>
              </w:rPr>
            </w:pPr>
            <w:r w:rsidRPr="00653DCF">
              <w:rPr>
                <w:color w:val="auto"/>
                <w:lang w:val="hr-HR"/>
              </w:rPr>
              <w:t xml:space="preserve">M 5.1 </w:t>
            </w:r>
            <w:r w:rsidR="0008061F" w:rsidRPr="00653DCF">
              <w:rPr>
                <w:color w:val="auto"/>
                <w:lang w:val="hr-HR"/>
              </w:rPr>
              <w:t>Unaprjeđenje</w:t>
            </w:r>
            <w:r w:rsidRPr="00653DCF">
              <w:rPr>
                <w:color w:val="auto"/>
                <w:lang w:val="hr-HR"/>
              </w:rPr>
              <w:t xml:space="preserve"> prometno-upravljačkog i signalno-sigurnosnog sustava</w:t>
            </w:r>
          </w:p>
        </w:tc>
        <w:tc>
          <w:tcPr>
            <w:tcW w:w="2127" w:type="dxa"/>
            <w:shd w:val="clear" w:color="auto" w:fill="auto"/>
            <w:noWrap/>
            <w:vAlign w:val="bottom"/>
            <w:hideMark/>
          </w:tcPr>
          <w:p w14:paraId="747016A2" w14:textId="36B9B38B" w:rsidR="00530780" w:rsidRPr="00653DCF" w:rsidRDefault="00E3129D" w:rsidP="00601C96">
            <w:pPr>
              <w:pStyle w:val="P68B1DB1-Normal19"/>
              <w:spacing w:after="0"/>
              <w:ind w:left="0"/>
              <w:jc w:val="left"/>
              <w:rPr>
                <w:color w:val="auto"/>
                <w:lang w:val="hr-HR"/>
              </w:rPr>
            </w:pPr>
            <w:r w:rsidRPr="00653DCF">
              <w:rPr>
                <w:color w:val="auto"/>
                <w:lang w:val="hr-HR"/>
              </w:rPr>
              <w:t>IT</w:t>
            </w:r>
          </w:p>
        </w:tc>
        <w:tc>
          <w:tcPr>
            <w:tcW w:w="2796" w:type="dxa"/>
            <w:shd w:val="clear" w:color="auto" w:fill="auto"/>
            <w:vAlign w:val="bottom"/>
            <w:hideMark/>
          </w:tcPr>
          <w:p w14:paraId="0B212E21" w14:textId="75FF014A" w:rsidR="00530780" w:rsidRPr="00653DCF" w:rsidRDefault="00455A9B" w:rsidP="00601C96">
            <w:pPr>
              <w:pStyle w:val="P68B1DB1-Normal19"/>
              <w:spacing w:after="0"/>
              <w:ind w:left="0"/>
              <w:jc w:val="left"/>
              <w:rPr>
                <w:color w:val="auto"/>
                <w:lang w:val="hr-HR"/>
              </w:rPr>
            </w:pPr>
            <w:r w:rsidRPr="00653DCF">
              <w:rPr>
                <w:color w:val="auto"/>
                <w:lang w:val="hr-HR"/>
              </w:rPr>
              <w:t>Novi alat za izradu voznog reda</w:t>
            </w:r>
          </w:p>
        </w:tc>
      </w:tr>
      <w:tr w:rsidR="00530780" w:rsidRPr="00653DCF" w14:paraId="4B93927F" w14:textId="77777777">
        <w:trPr>
          <w:trHeight w:val="300"/>
          <w:tblHeader/>
        </w:trPr>
        <w:tc>
          <w:tcPr>
            <w:tcW w:w="1039" w:type="dxa"/>
            <w:shd w:val="clear" w:color="auto" w:fill="auto"/>
            <w:noWrap/>
            <w:vAlign w:val="bottom"/>
            <w:hideMark/>
          </w:tcPr>
          <w:p w14:paraId="13D9536C"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13621DCB" w14:textId="70E248DB" w:rsidR="00530780" w:rsidRPr="00653DCF" w:rsidRDefault="00530780" w:rsidP="00601C96">
            <w:pPr>
              <w:pStyle w:val="P68B1DB1-Normal19"/>
              <w:spacing w:after="0"/>
              <w:ind w:left="0"/>
              <w:jc w:val="left"/>
              <w:rPr>
                <w:color w:val="auto"/>
                <w:lang w:val="hr-HR"/>
              </w:rPr>
            </w:pPr>
            <w:r w:rsidRPr="00653DCF">
              <w:rPr>
                <w:color w:val="auto"/>
                <w:lang w:val="hr-HR"/>
              </w:rPr>
              <w:t xml:space="preserve">M 1.2. </w:t>
            </w:r>
            <w:r w:rsidR="00557D28" w:rsidRPr="00653DCF">
              <w:rPr>
                <w:color w:val="auto"/>
                <w:lang w:val="hr-HR"/>
              </w:rPr>
              <w:t xml:space="preserve">Unaprjeđenje </w:t>
            </w:r>
            <w:r w:rsidRPr="00653DCF">
              <w:rPr>
                <w:color w:val="auto"/>
                <w:lang w:val="hr-HR"/>
              </w:rPr>
              <w:t>sustava održavanja željezničke infrastrukture</w:t>
            </w:r>
          </w:p>
        </w:tc>
        <w:tc>
          <w:tcPr>
            <w:tcW w:w="2127" w:type="dxa"/>
            <w:shd w:val="clear" w:color="auto" w:fill="auto"/>
            <w:noWrap/>
            <w:vAlign w:val="bottom"/>
            <w:hideMark/>
          </w:tcPr>
          <w:p w14:paraId="30AE9618" w14:textId="571A396F" w:rsidR="00030A5F" w:rsidRPr="00653DCF" w:rsidRDefault="00530780" w:rsidP="00601C96">
            <w:pPr>
              <w:pStyle w:val="P68B1DB1-Normal19"/>
              <w:spacing w:after="0"/>
              <w:ind w:left="0"/>
              <w:jc w:val="left"/>
              <w:rPr>
                <w:color w:val="auto"/>
                <w:lang w:val="hr-HR"/>
              </w:rPr>
            </w:pPr>
            <w:r w:rsidRPr="00653DCF">
              <w:rPr>
                <w:color w:val="auto"/>
                <w:lang w:val="hr-HR"/>
              </w:rPr>
              <w:t>Lokalne</w:t>
            </w:r>
          </w:p>
          <w:p w14:paraId="361DBA21" w14:textId="6AB4AF1B" w:rsidR="00530780" w:rsidRPr="00653DCF" w:rsidRDefault="00030A5F"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2D7A6579" w14:textId="4F42D4CF" w:rsidR="00530780" w:rsidRPr="00653DCF" w:rsidRDefault="00030A5F" w:rsidP="00601C96">
            <w:pPr>
              <w:pStyle w:val="P68B1DB1-Normal19"/>
              <w:spacing w:after="0"/>
              <w:ind w:left="0"/>
              <w:jc w:val="left"/>
              <w:rPr>
                <w:color w:val="auto"/>
                <w:lang w:val="hr-HR"/>
              </w:rPr>
            </w:pPr>
            <w:r w:rsidRPr="00653DCF">
              <w:rPr>
                <w:color w:val="auto"/>
                <w:lang w:val="hr-HR"/>
              </w:rPr>
              <w:t>Izrada tehničke dokumentacije za rekonstrukciju pruge L103 na dionici Ozalj-Kamanje</w:t>
            </w:r>
          </w:p>
        </w:tc>
      </w:tr>
      <w:tr w:rsidR="00530780" w:rsidRPr="00653DCF" w14:paraId="1EF7D57D" w14:textId="77777777">
        <w:trPr>
          <w:trHeight w:val="300"/>
          <w:tblHeader/>
        </w:trPr>
        <w:tc>
          <w:tcPr>
            <w:tcW w:w="1039" w:type="dxa"/>
            <w:shd w:val="clear" w:color="auto" w:fill="auto"/>
            <w:noWrap/>
            <w:vAlign w:val="bottom"/>
            <w:hideMark/>
          </w:tcPr>
          <w:p w14:paraId="7767ED2C"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6902A56C" w14:textId="03C6AA20" w:rsidR="00530780" w:rsidRPr="00653DCF" w:rsidRDefault="00530780" w:rsidP="00601C96">
            <w:pPr>
              <w:pStyle w:val="P68B1DB1-Normal19"/>
              <w:spacing w:after="0"/>
              <w:ind w:left="0"/>
              <w:jc w:val="left"/>
              <w:rPr>
                <w:color w:val="auto"/>
                <w:lang w:val="hr-HR"/>
              </w:rPr>
            </w:pPr>
            <w:r w:rsidRPr="00653DCF">
              <w:rPr>
                <w:color w:val="auto"/>
                <w:lang w:val="hr-HR"/>
              </w:rPr>
              <w:t xml:space="preserve">M 1.2. </w:t>
            </w:r>
            <w:r w:rsidR="00557D28" w:rsidRPr="00653DCF">
              <w:rPr>
                <w:color w:val="auto"/>
                <w:lang w:val="hr-HR"/>
              </w:rPr>
              <w:t xml:space="preserve">Unaprjeđenje </w:t>
            </w:r>
            <w:r w:rsidRPr="00653DCF">
              <w:rPr>
                <w:color w:val="auto"/>
                <w:lang w:val="hr-HR"/>
              </w:rPr>
              <w:t>sustava održavanja željezničke infrastrukture</w:t>
            </w:r>
          </w:p>
        </w:tc>
        <w:tc>
          <w:tcPr>
            <w:tcW w:w="2127" w:type="dxa"/>
            <w:shd w:val="clear" w:color="auto" w:fill="auto"/>
            <w:noWrap/>
            <w:vAlign w:val="bottom"/>
            <w:hideMark/>
          </w:tcPr>
          <w:p w14:paraId="7D923D9F" w14:textId="241A3B35" w:rsidR="002D56DF" w:rsidRPr="00653DCF" w:rsidRDefault="00530780" w:rsidP="00601C96">
            <w:pPr>
              <w:pStyle w:val="P68B1DB1-Normal19"/>
              <w:spacing w:after="0"/>
              <w:ind w:left="0"/>
              <w:jc w:val="left"/>
              <w:rPr>
                <w:color w:val="auto"/>
                <w:lang w:val="hr-HR"/>
              </w:rPr>
            </w:pPr>
            <w:r w:rsidRPr="00653DCF">
              <w:rPr>
                <w:color w:val="auto"/>
                <w:lang w:val="hr-HR"/>
              </w:rPr>
              <w:t>Lokalne</w:t>
            </w:r>
          </w:p>
          <w:p w14:paraId="25910491" w14:textId="0091420F" w:rsidR="00530780" w:rsidRPr="00653DCF" w:rsidRDefault="002D56DF"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4768EA78" w14:textId="6CC5FE9D" w:rsidR="00530780" w:rsidRPr="00653DCF" w:rsidRDefault="002D56DF" w:rsidP="00601C96">
            <w:pPr>
              <w:pStyle w:val="P68B1DB1-Normal19"/>
              <w:spacing w:after="0"/>
              <w:ind w:left="0"/>
              <w:jc w:val="left"/>
              <w:rPr>
                <w:color w:val="auto"/>
                <w:lang w:val="hr-HR"/>
              </w:rPr>
            </w:pPr>
            <w:r w:rsidRPr="00653DCF">
              <w:rPr>
                <w:color w:val="auto"/>
                <w:lang w:val="hr-HR"/>
              </w:rPr>
              <w:t>Sanacija kolosijeka na dionici Daruvar-Pčelič, duljine 41,2 km</w:t>
            </w:r>
          </w:p>
        </w:tc>
      </w:tr>
      <w:tr w:rsidR="00530780" w:rsidRPr="00653DCF" w14:paraId="4D131F33" w14:textId="77777777">
        <w:trPr>
          <w:trHeight w:val="300"/>
          <w:tblHeader/>
        </w:trPr>
        <w:tc>
          <w:tcPr>
            <w:tcW w:w="1039" w:type="dxa"/>
            <w:shd w:val="clear" w:color="auto" w:fill="auto"/>
            <w:noWrap/>
            <w:vAlign w:val="bottom"/>
            <w:hideMark/>
          </w:tcPr>
          <w:p w14:paraId="24C5D25C"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5423E4DE"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5BC682A8" w14:textId="1D5E189A" w:rsidR="000E7430" w:rsidRPr="00653DCF" w:rsidRDefault="00530780" w:rsidP="00601C96">
            <w:pPr>
              <w:pStyle w:val="P68B1DB1-Normal19"/>
              <w:spacing w:after="0"/>
              <w:ind w:left="0"/>
              <w:jc w:val="left"/>
              <w:rPr>
                <w:color w:val="auto"/>
                <w:lang w:val="hr-HR"/>
              </w:rPr>
            </w:pPr>
            <w:r w:rsidRPr="00653DCF">
              <w:rPr>
                <w:color w:val="auto"/>
                <w:lang w:val="hr-HR"/>
              </w:rPr>
              <w:t>Međunarodne</w:t>
            </w:r>
          </w:p>
          <w:p w14:paraId="00100380" w14:textId="5ABE90D1" w:rsidR="00530780" w:rsidRPr="00653DCF" w:rsidRDefault="002D56DF"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0162F9BB" w14:textId="0DB04CE6" w:rsidR="00530780" w:rsidRPr="00653DCF" w:rsidRDefault="000E7430" w:rsidP="00601C96">
            <w:pPr>
              <w:pStyle w:val="P68B1DB1-Normal19"/>
              <w:spacing w:after="0"/>
              <w:ind w:left="0"/>
              <w:jc w:val="left"/>
              <w:rPr>
                <w:color w:val="auto"/>
                <w:lang w:val="hr-HR"/>
              </w:rPr>
            </w:pPr>
            <w:r w:rsidRPr="00653DCF">
              <w:rPr>
                <w:color w:val="auto"/>
                <w:lang w:val="hr-HR"/>
              </w:rPr>
              <w:t>Obnova postojećeg kolosijeka na dionici Dugo Selo-Križevci (25,4 km), na pruzi DG (državna granica)-Botovo-Dugo Selo</w:t>
            </w:r>
          </w:p>
        </w:tc>
      </w:tr>
      <w:tr w:rsidR="00530780" w:rsidRPr="00653DCF" w14:paraId="54991DE9" w14:textId="77777777">
        <w:trPr>
          <w:trHeight w:val="300"/>
          <w:tblHeader/>
        </w:trPr>
        <w:tc>
          <w:tcPr>
            <w:tcW w:w="1039" w:type="dxa"/>
            <w:shd w:val="clear" w:color="auto" w:fill="auto"/>
            <w:noWrap/>
            <w:vAlign w:val="bottom"/>
            <w:hideMark/>
          </w:tcPr>
          <w:p w14:paraId="71A0CBB9"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40B45F75"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22D56FF7" w14:textId="3DE29633" w:rsidR="000E7430" w:rsidRPr="00653DCF" w:rsidRDefault="00530780" w:rsidP="00601C96">
            <w:pPr>
              <w:pStyle w:val="P68B1DB1-Normal19"/>
              <w:spacing w:after="0"/>
              <w:ind w:left="0"/>
              <w:jc w:val="left"/>
              <w:rPr>
                <w:color w:val="auto"/>
                <w:lang w:val="hr-HR"/>
              </w:rPr>
            </w:pPr>
            <w:r w:rsidRPr="00653DCF">
              <w:rPr>
                <w:color w:val="auto"/>
                <w:lang w:val="hr-HR"/>
              </w:rPr>
              <w:t>Međunarodne</w:t>
            </w:r>
          </w:p>
          <w:p w14:paraId="62BEF108" w14:textId="610BF57C" w:rsidR="00530780" w:rsidRPr="00653DCF" w:rsidRDefault="000E7430"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52319E77" w14:textId="1357AA94" w:rsidR="00530780" w:rsidRPr="00653DCF" w:rsidRDefault="000E7430" w:rsidP="00601C96">
            <w:pPr>
              <w:pStyle w:val="P68B1DB1-Normal19"/>
              <w:spacing w:after="0"/>
              <w:ind w:left="0"/>
              <w:jc w:val="left"/>
              <w:rPr>
                <w:color w:val="auto"/>
                <w:lang w:val="hr-HR"/>
              </w:rPr>
            </w:pPr>
            <w:r w:rsidRPr="00653DCF">
              <w:rPr>
                <w:color w:val="auto"/>
                <w:lang w:val="hr-HR"/>
              </w:rPr>
              <w:t>Obnova dionica Donji Kraljevec-Kotoriba (11,6 km), Kotoriba-DG (državna granica) (3,8</w:t>
            </w:r>
            <w:r w:rsidR="00446063" w:rsidRPr="00653DCF">
              <w:rPr>
                <w:color w:val="auto"/>
                <w:lang w:val="hr-HR"/>
              </w:rPr>
              <w:t xml:space="preserve"> </w:t>
            </w:r>
            <w:r w:rsidRPr="00653DCF">
              <w:rPr>
                <w:color w:val="auto"/>
                <w:lang w:val="hr-HR"/>
              </w:rPr>
              <w:t>km) i DG (državna granica)-Čakovec (8</w:t>
            </w:r>
            <w:r w:rsidR="00446063" w:rsidRPr="00653DCF">
              <w:rPr>
                <w:color w:val="auto"/>
                <w:lang w:val="hr-HR"/>
              </w:rPr>
              <w:t>,</w:t>
            </w:r>
            <w:r w:rsidRPr="00653DCF">
              <w:rPr>
                <w:color w:val="auto"/>
                <w:lang w:val="hr-HR"/>
              </w:rPr>
              <w:t>4</w:t>
            </w:r>
            <w:r w:rsidR="00446063" w:rsidRPr="00653DCF">
              <w:rPr>
                <w:color w:val="auto"/>
                <w:lang w:val="hr-HR"/>
              </w:rPr>
              <w:t xml:space="preserve"> </w:t>
            </w:r>
            <w:r w:rsidRPr="00653DCF">
              <w:rPr>
                <w:color w:val="auto"/>
                <w:lang w:val="hr-HR"/>
              </w:rPr>
              <w:t>km) na pruzi M501 DG (državna granica)-Čakovec-Kotoriba-DG (državna granica)</w:t>
            </w:r>
          </w:p>
        </w:tc>
      </w:tr>
      <w:tr w:rsidR="00530780" w:rsidRPr="00653DCF" w14:paraId="50C80BF2" w14:textId="77777777">
        <w:trPr>
          <w:trHeight w:val="300"/>
          <w:tblHeader/>
        </w:trPr>
        <w:tc>
          <w:tcPr>
            <w:tcW w:w="1039" w:type="dxa"/>
            <w:shd w:val="clear" w:color="auto" w:fill="auto"/>
            <w:noWrap/>
            <w:vAlign w:val="bottom"/>
            <w:hideMark/>
          </w:tcPr>
          <w:p w14:paraId="55CF493A"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0C392AD0"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521259B2" w14:textId="45EF136F" w:rsidR="00E37132" w:rsidRPr="00653DCF" w:rsidRDefault="00530780" w:rsidP="00601C96">
            <w:pPr>
              <w:pStyle w:val="P68B1DB1-Normal19"/>
              <w:spacing w:after="0"/>
              <w:ind w:left="0"/>
              <w:jc w:val="left"/>
              <w:rPr>
                <w:color w:val="auto"/>
                <w:lang w:val="hr-HR"/>
              </w:rPr>
            </w:pPr>
            <w:r w:rsidRPr="00653DCF">
              <w:rPr>
                <w:color w:val="auto"/>
                <w:lang w:val="hr-HR"/>
              </w:rPr>
              <w:t>Međunarodne</w:t>
            </w:r>
          </w:p>
          <w:p w14:paraId="082C20E4" w14:textId="4D5BB3ED" w:rsidR="00530780" w:rsidRPr="00653DCF" w:rsidRDefault="00E37132"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1FF68E91" w14:textId="1974CE3D" w:rsidR="00530780" w:rsidRPr="00653DCF" w:rsidRDefault="00E37132" w:rsidP="00601C96">
            <w:pPr>
              <w:pStyle w:val="P68B1DB1-Normal19"/>
              <w:spacing w:after="0"/>
              <w:ind w:left="0"/>
              <w:jc w:val="left"/>
              <w:rPr>
                <w:color w:val="auto"/>
                <w:lang w:val="hr-HR"/>
              </w:rPr>
            </w:pPr>
            <w:r w:rsidRPr="00653DCF">
              <w:rPr>
                <w:color w:val="auto"/>
                <w:lang w:val="hr-HR"/>
              </w:rPr>
              <w:t>Modernizacija i obnova SS uređaja pruge Knin-Split</w:t>
            </w:r>
          </w:p>
        </w:tc>
      </w:tr>
      <w:tr w:rsidR="00530780" w:rsidRPr="00653DCF" w14:paraId="2CA19F62" w14:textId="77777777">
        <w:trPr>
          <w:trHeight w:val="300"/>
          <w:tblHeader/>
        </w:trPr>
        <w:tc>
          <w:tcPr>
            <w:tcW w:w="1039" w:type="dxa"/>
            <w:shd w:val="clear" w:color="auto" w:fill="auto"/>
            <w:noWrap/>
            <w:vAlign w:val="bottom"/>
            <w:hideMark/>
          </w:tcPr>
          <w:p w14:paraId="257F1064"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16A49F20"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34294C84" w14:textId="7FC95659" w:rsidR="00E37132" w:rsidRPr="00653DCF" w:rsidRDefault="00530780" w:rsidP="00601C96">
            <w:pPr>
              <w:pStyle w:val="P68B1DB1-Normal19"/>
              <w:spacing w:after="0"/>
              <w:ind w:left="0"/>
              <w:jc w:val="left"/>
              <w:rPr>
                <w:color w:val="auto"/>
                <w:lang w:val="hr-HR"/>
              </w:rPr>
            </w:pPr>
            <w:r w:rsidRPr="00653DCF">
              <w:rPr>
                <w:color w:val="auto"/>
                <w:lang w:val="hr-HR"/>
              </w:rPr>
              <w:t>Regionalne</w:t>
            </w:r>
          </w:p>
          <w:p w14:paraId="44795D73" w14:textId="294CF9AD" w:rsidR="00530780" w:rsidRPr="00653DCF" w:rsidRDefault="00E37132"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7F02E1E9" w14:textId="1782D0E0" w:rsidR="00530780" w:rsidRPr="00653DCF" w:rsidRDefault="006D4093" w:rsidP="00601C96">
            <w:pPr>
              <w:pStyle w:val="P68B1DB1-Normal19"/>
              <w:spacing w:after="0"/>
              <w:ind w:left="0"/>
              <w:jc w:val="left"/>
              <w:rPr>
                <w:color w:val="auto"/>
                <w:lang w:val="hr-HR"/>
              </w:rPr>
            </w:pPr>
            <w:r w:rsidRPr="00653DCF">
              <w:rPr>
                <w:color w:val="auto"/>
                <w:lang w:val="hr-HR"/>
              </w:rPr>
              <w:t>Osiguranje kolodvora Varaždin i Čakovec s SS uređajima</w:t>
            </w:r>
          </w:p>
        </w:tc>
      </w:tr>
      <w:tr w:rsidR="00E23D24" w:rsidRPr="00653DCF" w14:paraId="701CE132" w14:textId="77777777" w:rsidTr="00DA3B64">
        <w:trPr>
          <w:trHeight w:val="300"/>
          <w:tblHeader/>
        </w:trPr>
        <w:tc>
          <w:tcPr>
            <w:tcW w:w="1039" w:type="dxa"/>
            <w:shd w:val="clear" w:color="auto" w:fill="auto"/>
            <w:noWrap/>
            <w:vAlign w:val="bottom"/>
            <w:hideMark/>
          </w:tcPr>
          <w:p w14:paraId="706FBB7A" w14:textId="77777777" w:rsidR="00E23D24" w:rsidRPr="00653DCF" w:rsidRDefault="00E23D24"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097823F6" w14:textId="77777777" w:rsidR="00E23D24" w:rsidRPr="00653DCF" w:rsidRDefault="00E23D24"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6108473E" w14:textId="6A028A0B" w:rsidR="00E23D24" w:rsidRPr="00653DCF" w:rsidRDefault="00E23D24" w:rsidP="00601C96">
            <w:pPr>
              <w:pStyle w:val="P68B1DB1-Normal19"/>
              <w:spacing w:after="0"/>
              <w:ind w:left="0"/>
              <w:jc w:val="left"/>
              <w:rPr>
                <w:color w:val="auto"/>
                <w:lang w:val="hr-HR"/>
              </w:rPr>
            </w:pPr>
            <w:r w:rsidRPr="00653DCF">
              <w:rPr>
                <w:color w:val="auto"/>
                <w:lang w:val="hr-HR"/>
              </w:rPr>
              <w:t>Lokalne</w:t>
            </w:r>
          </w:p>
          <w:p w14:paraId="15A1FC2E" w14:textId="77777777" w:rsidR="00E23D24" w:rsidRPr="00653DCF" w:rsidRDefault="00E23D24"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02541E59" w14:textId="1C344798" w:rsidR="00E23D24" w:rsidRPr="00653DCF" w:rsidRDefault="00E23D24" w:rsidP="00601C96">
            <w:pPr>
              <w:pStyle w:val="P68B1DB1-Normal19"/>
              <w:spacing w:after="0"/>
              <w:ind w:left="0"/>
              <w:jc w:val="left"/>
              <w:rPr>
                <w:color w:val="auto"/>
                <w:lang w:val="hr-HR"/>
              </w:rPr>
            </w:pPr>
            <w:r w:rsidRPr="00653DCF">
              <w:rPr>
                <w:color w:val="auto"/>
                <w:lang w:val="hr-HR"/>
              </w:rPr>
              <w:t>Osiguranje SS uređajima u kolodvoru Osijek i pruge 1208 Vinkovci-Osijek, dionica Osijek-Laslovo-Korod</w:t>
            </w:r>
          </w:p>
        </w:tc>
      </w:tr>
      <w:tr w:rsidR="00530780" w:rsidRPr="00653DCF" w14:paraId="2CE3DB36" w14:textId="77777777">
        <w:trPr>
          <w:trHeight w:val="300"/>
          <w:tblHeader/>
        </w:trPr>
        <w:tc>
          <w:tcPr>
            <w:tcW w:w="1039" w:type="dxa"/>
            <w:shd w:val="clear" w:color="auto" w:fill="auto"/>
            <w:noWrap/>
            <w:vAlign w:val="bottom"/>
            <w:hideMark/>
          </w:tcPr>
          <w:p w14:paraId="4F6C3044"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04848D5A" w14:textId="02C5D8FC" w:rsidR="00530780" w:rsidRPr="00653DCF" w:rsidRDefault="00530780" w:rsidP="00601C96">
            <w:pPr>
              <w:pStyle w:val="P68B1DB1-Normal19"/>
              <w:spacing w:after="0"/>
              <w:ind w:left="0"/>
              <w:jc w:val="left"/>
              <w:rPr>
                <w:color w:val="auto"/>
                <w:lang w:val="hr-HR"/>
              </w:rPr>
            </w:pPr>
            <w:r w:rsidRPr="00653DCF">
              <w:rPr>
                <w:color w:val="auto"/>
                <w:lang w:val="hr-HR"/>
              </w:rPr>
              <w:t xml:space="preserve">M </w:t>
            </w:r>
            <w:r w:rsidR="002F60FB" w:rsidRPr="00653DCF">
              <w:rPr>
                <w:color w:val="auto"/>
                <w:lang w:val="hr-HR"/>
              </w:rPr>
              <w:t>3</w:t>
            </w:r>
            <w:r w:rsidRPr="00653DCF">
              <w:rPr>
                <w:color w:val="auto"/>
                <w:lang w:val="hr-HR"/>
              </w:rPr>
              <w:t>.</w:t>
            </w:r>
            <w:r w:rsidR="002F60FB" w:rsidRPr="00653DCF">
              <w:rPr>
                <w:color w:val="auto"/>
                <w:lang w:val="hr-HR"/>
              </w:rPr>
              <w:t>1</w:t>
            </w:r>
            <w:r w:rsidRPr="00653DCF">
              <w:rPr>
                <w:color w:val="auto"/>
                <w:lang w:val="hr-HR"/>
              </w:rPr>
              <w:t xml:space="preserve">. </w:t>
            </w:r>
            <w:r w:rsidR="002F60FB" w:rsidRPr="00653DCF">
              <w:rPr>
                <w:color w:val="auto"/>
                <w:lang w:val="hr-HR"/>
              </w:rPr>
              <w:t xml:space="preserve">Energetska obnova lokacija pod upravljanjem i u vlasništvu javnih </w:t>
            </w:r>
            <w:r w:rsidR="006B4FC5" w:rsidRPr="00653DCF">
              <w:rPr>
                <w:color w:val="auto"/>
                <w:lang w:val="hr-HR"/>
              </w:rPr>
              <w:t>željezničkih</w:t>
            </w:r>
            <w:r w:rsidR="002F60FB" w:rsidRPr="00653DCF">
              <w:rPr>
                <w:color w:val="auto"/>
                <w:lang w:val="hr-HR"/>
              </w:rPr>
              <w:t xml:space="preserve"> društava</w:t>
            </w:r>
          </w:p>
        </w:tc>
        <w:tc>
          <w:tcPr>
            <w:tcW w:w="2127" w:type="dxa"/>
            <w:shd w:val="clear" w:color="auto" w:fill="auto"/>
            <w:noWrap/>
            <w:vAlign w:val="bottom"/>
            <w:hideMark/>
          </w:tcPr>
          <w:p w14:paraId="6C2F77B4" w14:textId="1AF7FAE9" w:rsidR="00530780" w:rsidRPr="00653DCF" w:rsidRDefault="00E23D24" w:rsidP="00601C96">
            <w:pPr>
              <w:pStyle w:val="P68B1DB1-Normal19"/>
              <w:spacing w:after="0"/>
              <w:ind w:left="0"/>
              <w:jc w:val="left"/>
              <w:rPr>
                <w:color w:val="auto"/>
                <w:lang w:val="hr-HR"/>
              </w:rPr>
            </w:pPr>
            <w:r w:rsidRPr="00653DCF">
              <w:rPr>
                <w:color w:val="auto"/>
                <w:lang w:val="hr-HR"/>
              </w:rPr>
              <w:t>Zgrade u funkciji prometa</w:t>
            </w:r>
          </w:p>
        </w:tc>
        <w:tc>
          <w:tcPr>
            <w:tcW w:w="2796" w:type="dxa"/>
            <w:shd w:val="clear" w:color="auto" w:fill="auto"/>
            <w:vAlign w:val="bottom"/>
            <w:hideMark/>
          </w:tcPr>
          <w:p w14:paraId="74103590" w14:textId="74FE5E9E" w:rsidR="00530780" w:rsidRPr="00653DCF" w:rsidRDefault="00A33441" w:rsidP="00601C96">
            <w:pPr>
              <w:pStyle w:val="P68B1DB1-Normal19"/>
              <w:spacing w:after="0"/>
              <w:ind w:left="0"/>
              <w:jc w:val="left"/>
              <w:rPr>
                <w:color w:val="auto"/>
                <w:lang w:val="hr-HR"/>
              </w:rPr>
            </w:pPr>
            <w:r w:rsidRPr="00653DCF">
              <w:rPr>
                <w:color w:val="auto"/>
                <w:lang w:val="hr-HR"/>
              </w:rPr>
              <w:t>Projekt obnove grijanja za objekte pod upravljanjem HŽ Infrastrukture</w:t>
            </w:r>
          </w:p>
        </w:tc>
      </w:tr>
      <w:tr w:rsidR="00530780" w:rsidRPr="00653DCF" w14:paraId="733C6E6B" w14:textId="77777777">
        <w:trPr>
          <w:trHeight w:val="300"/>
          <w:tblHeader/>
        </w:trPr>
        <w:tc>
          <w:tcPr>
            <w:tcW w:w="1039" w:type="dxa"/>
            <w:shd w:val="clear" w:color="auto" w:fill="auto"/>
            <w:noWrap/>
            <w:vAlign w:val="bottom"/>
            <w:hideMark/>
          </w:tcPr>
          <w:p w14:paraId="1BB170C9"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0140838C" w14:textId="7AEB996F" w:rsidR="00530780" w:rsidRPr="00653DCF" w:rsidRDefault="00530780" w:rsidP="00601C96">
            <w:pPr>
              <w:pStyle w:val="P68B1DB1-Normal19"/>
              <w:spacing w:after="0"/>
              <w:ind w:left="0"/>
              <w:jc w:val="left"/>
              <w:rPr>
                <w:color w:val="auto"/>
                <w:lang w:val="hr-HR"/>
              </w:rPr>
            </w:pPr>
            <w:r w:rsidRPr="00653DCF">
              <w:rPr>
                <w:color w:val="auto"/>
                <w:lang w:val="hr-HR"/>
              </w:rPr>
              <w:t xml:space="preserve">M 1.2. </w:t>
            </w:r>
            <w:r w:rsidR="002F60FB" w:rsidRPr="00653DCF">
              <w:rPr>
                <w:color w:val="auto"/>
                <w:lang w:val="hr-HR"/>
              </w:rPr>
              <w:t>Unaprjeđenje</w:t>
            </w:r>
            <w:r w:rsidRPr="00653DCF">
              <w:rPr>
                <w:color w:val="auto"/>
                <w:lang w:val="hr-HR"/>
              </w:rPr>
              <w:t xml:space="preserve"> sustava održavanja željezničke infrastrukture</w:t>
            </w:r>
          </w:p>
        </w:tc>
        <w:tc>
          <w:tcPr>
            <w:tcW w:w="2127" w:type="dxa"/>
            <w:shd w:val="clear" w:color="auto" w:fill="auto"/>
            <w:noWrap/>
            <w:vAlign w:val="bottom"/>
            <w:hideMark/>
          </w:tcPr>
          <w:p w14:paraId="479CBB96" w14:textId="7E76AF9E" w:rsidR="006D4093" w:rsidRPr="00653DCF" w:rsidRDefault="00530780" w:rsidP="00601C96">
            <w:pPr>
              <w:pStyle w:val="P68B1DB1-Normal19"/>
              <w:spacing w:after="0"/>
              <w:ind w:left="0"/>
              <w:jc w:val="left"/>
              <w:rPr>
                <w:color w:val="auto"/>
                <w:lang w:val="hr-HR"/>
              </w:rPr>
            </w:pPr>
            <w:r w:rsidRPr="00653DCF">
              <w:rPr>
                <w:color w:val="auto"/>
                <w:lang w:val="hr-HR"/>
              </w:rPr>
              <w:t>Međunarodne</w:t>
            </w:r>
          </w:p>
          <w:p w14:paraId="23035200" w14:textId="4D4ABF61" w:rsidR="00530780" w:rsidRPr="00653DCF" w:rsidRDefault="006D4093"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516D900F" w14:textId="5235C22A" w:rsidR="00530780" w:rsidRPr="00653DCF" w:rsidRDefault="00E23D24" w:rsidP="00601C96">
            <w:pPr>
              <w:pStyle w:val="P68B1DB1-Normal19"/>
              <w:spacing w:after="0"/>
              <w:ind w:left="0"/>
              <w:jc w:val="left"/>
              <w:rPr>
                <w:color w:val="auto"/>
                <w:lang w:val="hr-HR"/>
              </w:rPr>
            </w:pPr>
            <w:r w:rsidRPr="00653DCF">
              <w:rPr>
                <w:color w:val="auto"/>
                <w:lang w:val="hr-HR"/>
              </w:rPr>
              <w:t>Sanacija kolosijeka i skretnica u kolodvoru Kopanica-Beravci, Slavonski Šamac</w:t>
            </w:r>
          </w:p>
        </w:tc>
      </w:tr>
      <w:tr w:rsidR="00530780" w:rsidRPr="00653DCF" w14:paraId="0E3D8BC2" w14:textId="77777777">
        <w:trPr>
          <w:trHeight w:val="300"/>
          <w:tblHeader/>
        </w:trPr>
        <w:tc>
          <w:tcPr>
            <w:tcW w:w="1039" w:type="dxa"/>
            <w:shd w:val="clear" w:color="auto" w:fill="auto"/>
            <w:noWrap/>
            <w:vAlign w:val="bottom"/>
            <w:hideMark/>
          </w:tcPr>
          <w:p w14:paraId="7064F4A8"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6C0ABF8C" w14:textId="77777777" w:rsidR="00530780" w:rsidRPr="00653DCF" w:rsidRDefault="00530780" w:rsidP="00601C96">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5E318118" w14:textId="2A3C489F" w:rsidR="00A33441" w:rsidRPr="00653DCF" w:rsidRDefault="00530780" w:rsidP="00601C96">
            <w:pPr>
              <w:pStyle w:val="P68B1DB1-Normal19"/>
              <w:spacing w:after="0"/>
              <w:ind w:left="0"/>
              <w:jc w:val="left"/>
              <w:rPr>
                <w:color w:val="auto"/>
                <w:lang w:val="hr-HR"/>
              </w:rPr>
            </w:pPr>
            <w:r w:rsidRPr="00653DCF">
              <w:rPr>
                <w:color w:val="auto"/>
                <w:lang w:val="hr-HR"/>
              </w:rPr>
              <w:t>Međunarodne</w:t>
            </w:r>
          </w:p>
          <w:p w14:paraId="73635B10" w14:textId="51E87731" w:rsidR="00530780" w:rsidRPr="00653DCF" w:rsidRDefault="00A33441" w:rsidP="00601C96">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45A962BB" w14:textId="7C8CEFE4" w:rsidR="00530780" w:rsidRPr="00653DCF" w:rsidRDefault="00A33441" w:rsidP="00601C96">
            <w:pPr>
              <w:pStyle w:val="P68B1DB1-Normal19"/>
              <w:spacing w:after="0"/>
              <w:ind w:left="0"/>
              <w:jc w:val="left"/>
              <w:rPr>
                <w:color w:val="auto"/>
                <w:lang w:val="hr-HR"/>
              </w:rPr>
            </w:pPr>
            <w:r w:rsidRPr="00653DCF">
              <w:rPr>
                <w:color w:val="auto"/>
                <w:lang w:val="hr-HR"/>
              </w:rPr>
              <w:t>Obnova nestabilnog nasipa "Tresetište" pruga DG (državna granica)-Čakovec-Kotoriba-DG (državna granica)</w:t>
            </w:r>
          </w:p>
        </w:tc>
      </w:tr>
      <w:tr w:rsidR="00503E8C" w:rsidRPr="00653DCF" w14:paraId="394F73B1" w14:textId="77777777" w:rsidTr="00DA3B64">
        <w:trPr>
          <w:trHeight w:val="300"/>
          <w:tblHeader/>
        </w:trPr>
        <w:tc>
          <w:tcPr>
            <w:tcW w:w="1039" w:type="dxa"/>
            <w:shd w:val="clear" w:color="auto" w:fill="auto"/>
            <w:noWrap/>
            <w:vAlign w:val="center"/>
          </w:tcPr>
          <w:p w14:paraId="1648C937" w14:textId="65BAB7ED" w:rsidR="00503E8C" w:rsidRPr="00653DCF" w:rsidRDefault="00503E8C" w:rsidP="00601C96">
            <w:pPr>
              <w:spacing w:after="0"/>
              <w:ind w:left="0"/>
              <w:jc w:val="left"/>
              <w:rPr>
                <w:rFonts w:eastAsia="Times New Roman" w:cs="Arial"/>
                <w:color w:val="auto"/>
                <w:lang w:val="hr-HR"/>
              </w:rPr>
            </w:pPr>
            <w:r w:rsidRPr="00653DCF">
              <w:rPr>
                <w:rFonts w:eastAsia="Times New Roman" w:cs="Arial"/>
                <w:color w:val="auto"/>
                <w:lang w:val="hr-HR"/>
              </w:rPr>
              <w:t>HŽI</w:t>
            </w:r>
          </w:p>
        </w:tc>
        <w:tc>
          <w:tcPr>
            <w:tcW w:w="3678" w:type="dxa"/>
            <w:shd w:val="clear" w:color="auto" w:fill="auto"/>
            <w:noWrap/>
            <w:vAlign w:val="center"/>
          </w:tcPr>
          <w:p w14:paraId="002C3415" w14:textId="77777777" w:rsidR="004A1BFE" w:rsidRPr="00653DCF" w:rsidRDefault="004A1BFE" w:rsidP="00601C96">
            <w:pPr>
              <w:spacing w:after="0"/>
              <w:ind w:left="0"/>
              <w:jc w:val="left"/>
              <w:rPr>
                <w:rFonts w:eastAsia="Times New Roman" w:cs="Arial"/>
                <w:color w:val="auto"/>
                <w:lang w:val="hr-HR"/>
              </w:rPr>
            </w:pPr>
            <w:r w:rsidRPr="00653DCF">
              <w:rPr>
                <w:rFonts w:eastAsia="Times New Roman" w:cs="Arial"/>
                <w:color w:val="auto"/>
                <w:lang w:val="hr-HR"/>
              </w:rPr>
              <w:t>M 3.1. Energetska obnova lokacija pod upravljanjem i u vlasništvu</w:t>
            </w:r>
          </w:p>
          <w:p w14:paraId="3AD6BA1C" w14:textId="77777777" w:rsidR="004A1BFE" w:rsidRPr="00653DCF" w:rsidRDefault="004A1BFE" w:rsidP="00601C96">
            <w:pPr>
              <w:spacing w:after="0"/>
              <w:ind w:left="0"/>
              <w:jc w:val="left"/>
              <w:rPr>
                <w:rFonts w:eastAsia="Times New Roman" w:cs="Arial"/>
                <w:color w:val="auto"/>
                <w:lang w:val="hr-HR"/>
              </w:rPr>
            </w:pPr>
            <w:r w:rsidRPr="00653DCF">
              <w:rPr>
                <w:rFonts w:eastAsia="Times New Roman" w:cs="Arial"/>
                <w:color w:val="auto"/>
                <w:lang w:val="hr-HR"/>
              </w:rPr>
              <w:t>javnih željezničkih društava</w:t>
            </w:r>
          </w:p>
          <w:p w14:paraId="5AAE8BA7" w14:textId="77777777" w:rsidR="004A1BFE" w:rsidRPr="00653DCF" w:rsidRDefault="004A1BFE" w:rsidP="00601C96">
            <w:pPr>
              <w:spacing w:after="0"/>
              <w:ind w:left="0"/>
              <w:jc w:val="left"/>
              <w:rPr>
                <w:rFonts w:eastAsia="Times New Roman" w:cs="Arial"/>
                <w:color w:val="auto"/>
                <w:lang w:val="hr-HR"/>
              </w:rPr>
            </w:pPr>
            <w:r w:rsidRPr="00653DCF">
              <w:rPr>
                <w:rFonts w:eastAsia="Times New Roman" w:cs="Arial"/>
                <w:color w:val="auto"/>
                <w:lang w:val="hr-HR"/>
              </w:rPr>
              <w:t>M 3.3. Ugradnja infrastrukture za korištenje obnovljivih i alternativnih</w:t>
            </w:r>
          </w:p>
          <w:p w14:paraId="43DEEC13" w14:textId="753078D4" w:rsidR="00503E8C" w:rsidRPr="00653DCF" w:rsidRDefault="004A1BFE" w:rsidP="00601C96">
            <w:pPr>
              <w:spacing w:after="0"/>
              <w:ind w:left="0"/>
              <w:jc w:val="left"/>
              <w:rPr>
                <w:rFonts w:eastAsia="Times New Roman" w:cs="Arial"/>
                <w:color w:val="auto"/>
                <w:lang w:val="hr-HR"/>
              </w:rPr>
            </w:pPr>
            <w:r w:rsidRPr="00653DCF">
              <w:rPr>
                <w:rFonts w:eastAsia="Times New Roman" w:cs="Arial"/>
                <w:color w:val="auto"/>
                <w:lang w:val="hr-HR"/>
              </w:rPr>
              <w:t>izvora energije</w:t>
            </w:r>
          </w:p>
        </w:tc>
        <w:tc>
          <w:tcPr>
            <w:tcW w:w="2127" w:type="dxa"/>
            <w:shd w:val="clear" w:color="auto" w:fill="auto"/>
            <w:noWrap/>
            <w:vAlign w:val="center"/>
          </w:tcPr>
          <w:p w14:paraId="5A137C74" w14:textId="692BB675" w:rsidR="00503E8C" w:rsidRPr="00653DCF" w:rsidRDefault="004A1BFE" w:rsidP="00601C96">
            <w:pPr>
              <w:spacing w:after="0"/>
              <w:ind w:left="0"/>
              <w:jc w:val="left"/>
              <w:rPr>
                <w:rFonts w:eastAsia="Times New Roman" w:cs="Arial"/>
                <w:color w:val="auto"/>
                <w:lang w:val="hr-HR"/>
              </w:rPr>
            </w:pPr>
            <w:r w:rsidRPr="00653DCF">
              <w:rPr>
                <w:rFonts w:eastAsia="Times New Roman" w:cs="Arial"/>
                <w:color w:val="auto"/>
                <w:lang w:val="hr-HR"/>
              </w:rPr>
              <w:t>Zgrade u funkciji prometa</w:t>
            </w:r>
          </w:p>
        </w:tc>
        <w:tc>
          <w:tcPr>
            <w:tcW w:w="2796" w:type="dxa"/>
            <w:shd w:val="clear" w:color="auto" w:fill="auto"/>
            <w:vAlign w:val="center"/>
          </w:tcPr>
          <w:p w14:paraId="389A547E" w14:textId="77777777" w:rsidR="00503E8C" w:rsidRPr="00653DCF" w:rsidRDefault="00503E8C" w:rsidP="00601C96">
            <w:pPr>
              <w:spacing w:after="0"/>
              <w:ind w:left="0"/>
              <w:jc w:val="left"/>
              <w:rPr>
                <w:rFonts w:eastAsia="Times New Roman" w:cs="Arial"/>
                <w:color w:val="auto"/>
                <w:lang w:val="hr-HR"/>
              </w:rPr>
            </w:pPr>
          </w:p>
          <w:p w14:paraId="13A84443" w14:textId="32666D07" w:rsidR="00503E8C" w:rsidRPr="00653DCF" w:rsidRDefault="004A1BFE" w:rsidP="00601C96">
            <w:pPr>
              <w:spacing w:after="0"/>
              <w:ind w:left="0"/>
              <w:jc w:val="left"/>
              <w:rPr>
                <w:rFonts w:eastAsia="Times New Roman" w:cs="Arial"/>
                <w:color w:val="auto"/>
                <w:lang w:val="hr-HR"/>
              </w:rPr>
            </w:pPr>
            <w:r w:rsidRPr="00653DCF">
              <w:rPr>
                <w:rFonts w:eastAsia="Times New Roman" w:cs="Arial"/>
                <w:color w:val="auto"/>
                <w:lang w:val="hr-HR"/>
              </w:rPr>
              <w:t>Energetska obnova zgrada</w:t>
            </w:r>
          </w:p>
        </w:tc>
      </w:tr>
      <w:tr w:rsidR="00530780" w:rsidRPr="00653DCF" w14:paraId="1C25E9DC" w14:textId="77777777">
        <w:trPr>
          <w:trHeight w:val="300"/>
          <w:tblHeader/>
        </w:trPr>
        <w:tc>
          <w:tcPr>
            <w:tcW w:w="1039" w:type="dxa"/>
            <w:shd w:val="clear" w:color="auto" w:fill="auto"/>
            <w:noWrap/>
            <w:vAlign w:val="bottom"/>
            <w:hideMark/>
          </w:tcPr>
          <w:p w14:paraId="6A275390" w14:textId="77777777" w:rsidR="00530780" w:rsidRPr="00653DCF" w:rsidRDefault="00530780" w:rsidP="00601C96">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01BD9D19" w14:textId="5C01E090" w:rsidR="00530780" w:rsidRPr="00653DCF" w:rsidRDefault="00E51322" w:rsidP="00601C96">
            <w:pPr>
              <w:pStyle w:val="P68B1DB1-Normal19"/>
              <w:spacing w:after="0"/>
              <w:ind w:left="0"/>
              <w:jc w:val="left"/>
              <w:rPr>
                <w:color w:val="auto"/>
                <w:lang w:val="hr-HR"/>
              </w:rPr>
            </w:pPr>
            <w:r w:rsidRPr="00653DCF">
              <w:rPr>
                <w:color w:val="auto"/>
                <w:lang w:val="hr-HR"/>
              </w:rPr>
              <w:t>M 1.2. Unaprjeđenje sustava održavanja željezničke infrastrukture</w:t>
            </w:r>
          </w:p>
        </w:tc>
        <w:tc>
          <w:tcPr>
            <w:tcW w:w="2127" w:type="dxa"/>
            <w:shd w:val="clear" w:color="auto" w:fill="auto"/>
            <w:noWrap/>
            <w:vAlign w:val="bottom"/>
            <w:hideMark/>
          </w:tcPr>
          <w:p w14:paraId="62407D21" w14:textId="59046966" w:rsidR="00530780" w:rsidRPr="00653DCF" w:rsidRDefault="00530780" w:rsidP="00601C96">
            <w:pPr>
              <w:pStyle w:val="P68B1DB1-Normal19"/>
              <w:spacing w:after="0"/>
              <w:ind w:left="0"/>
              <w:jc w:val="left"/>
              <w:rPr>
                <w:color w:val="auto"/>
                <w:lang w:val="hr-HR"/>
              </w:rPr>
            </w:pPr>
            <w:r w:rsidRPr="00653DCF">
              <w:rPr>
                <w:color w:val="auto"/>
                <w:lang w:val="hr-HR"/>
              </w:rPr>
              <w:t xml:space="preserve">Lokalne </w:t>
            </w:r>
            <w:r w:rsidR="00E51322" w:rsidRPr="00653DCF">
              <w:rPr>
                <w:color w:val="auto"/>
                <w:lang w:val="hr-HR"/>
              </w:rPr>
              <w:t>pruge</w:t>
            </w:r>
          </w:p>
        </w:tc>
        <w:tc>
          <w:tcPr>
            <w:tcW w:w="2796" w:type="dxa"/>
            <w:shd w:val="clear" w:color="auto" w:fill="auto"/>
            <w:vAlign w:val="bottom"/>
            <w:hideMark/>
          </w:tcPr>
          <w:p w14:paraId="5F0D4BE8" w14:textId="63307A18" w:rsidR="00530780" w:rsidRPr="00653DCF" w:rsidRDefault="00E51322" w:rsidP="00601C96">
            <w:pPr>
              <w:pStyle w:val="P68B1DB1-Normal19"/>
              <w:spacing w:after="0"/>
              <w:ind w:left="0"/>
              <w:jc w:val="left"/>
              <w:rPr>
                <w:color w:val="auto"/>
                <w:lang w:val="hr-HR"/>
              </w:rPr>
            </w:pPr>
            <w:r w:rsidRPr="00653DCF">
              <w:rPr>
                <w:color w:val="auto"/>
                <w:lang w:val="hr-HR"/>
              </w:rPr>
              <w:t>Sanacija pruge i sanacija kolosijeka i skretnica u kolodvorima Pleternica i Čaglin</w:t>
            </w:r>
          </w:p>
        </w:tc>
      </w:tr>
      <w:tr w:rsidR="00530780" w:rsidRPr="00653DCF" w14:paraId="670D46B0" w14:textId="77777777">
        <w:trPr>
          <w:trHeight w:val="300"/>
          <w:tblHeader/>
        </w:trPr>
        <w:tc>
          <w:tcPr>
            <w:tcW w:w="1039" w:type="dxa"/>
            <w:shd w:val="clear" w:color="auto" w:fill="auto"/>
            <w:noWrap/>
            <w:vAlign w:val="bottom"/>
            <w:hideMark/>
          </w:tcPr>
          <w:p w14:paraId="758969F2" w14:textId="77777777" w:rsidR="00530780" w:rsidRPr="00653DCF" w:rsidRDefault="00530780" w:rsidP="00530780">
            <w:pPr>
              <w:pStyle w:val="P68B1DB1-Normal19"/>
              <w:spacing w:after="0"/>
              <w:ind w:left="0"/>
              <w:jc w:val="left"/>
              <w:rPr>
                <w:color w:val="auto"/>
                <w:lang w:val="hr-HR"/>
              </w:rPr>
            </w:pPr>
            <w:r w:rsidRPr="00653DCF">
              <w:rPr>
                <w:color w:val="auto"/>
                <w:lang w:val="hr-HR"/>
              </w:rPr>
              <w:t>HŽI</w:t>
            </w:r>
          </w:p>
        </w:tc>
        <w:tc>
          <w:tcPr>
            <w:tcW w:w="3678" w:type="dxa"/>
            <w:shd w:val="clear" w:color="auto" w:fill="auto"/>
            <w:noWrap/>
            <w:vAlign w:val="bottom"/>
            <w:hideMark/>
          </w:tcPr>
          <w:p w14:paraId="33B25EA1" w14:textId="77777777" w:rsidR="00530780" w:rsidRPr="00653DCF" w:rsidRDefault="00530780" w:rsidP="00530780">
            <w:pPr>
              <w:pStyle w:val="P68B1DB1-Normal19"/>
              <w:spacing w:after="0"/>
              <w:ind w:left="0"/>
              <w:jc w:val="left"/>
              <w:rPr>
                <w:color w:val="auto"/>
                <w:lang w:val="hr-HR"/>
              </w:rPr>
            </w:pPr>
            <w:r w:rsidRPr="00653DCF">
              <w:rPr>
                <w:color w:val="auto"/>
                <w:lang w:val="hr-HR"/>
              </w:rPr>
              <w:t>M 2.2. Priprema i provedba programa obnove i modernizacije željezničke infrastrukture</w:t>
            </w:r>
          </w:p>
        </w:tc>
        <w:tc>
          <w:tcPr>
            <w:tcW w:w="2127" w:type="dxa"/>
            <w:shd w:val="clear" w:color="auto" w:fill="auto"/>
            <w:noWrap/>
            <w:vAlign w:val="bottom"/>
            <w:hideMark/>
          </w:tcPr>
          <w:p w14:paraId="48019FDC" w14:textId="77777777" w:rsidR="00E51322" w:rsidRPr="00653DCF" w:rsidRDefault="00530780" w:rsidP="00530780">
            <w:pPr>
              <w:pStyle w:val="P68B1DB1-Normal19"/>
              <w:spacing w:after="0"/>
              <w:ind w:left="0"/>
              <w:jc w:val="left"/>
              <w:rPr>
                <w:color w:val="auto"/>
                <w:lang w:val="hr-HR"/>
              </w:rPr>
            </w:pPr>
            <w:r w:rsidRPr="00653DCF">
              <w:rPr>
                <w:color w:val="auto"/>
                <w:lang w:val="hr-HR"/>
              </w:rPr>
              <w:t xml:space="preserve">Međunarodne </w:t>
            </w:r>
          </w:p>
          <w:p w14:paraId="5CE507C0" w14:textId="75D358C6" w:rsidR="00530780" w:rsidRPr="00653DCF" w:rsidRDefault="00E51322" w:rsidP="00530780">
            <w:pPr>
              <w:pStyle w:val="P68B1DB1-Normal19"/>
              <w:spacing w:after="0"/>
              <w:ind w:left="0"/>
              <w:jc w:val="left"/>
              <w:rPr>
                <w:color w:val="auto"/>
                <w:lang w:val="hr-HR"/>
              </w:rPr>
            </w:pPr>
            <w:r w:rsidRPr="00653DCF">
              <w:rPr>
                <w:color w:val="auto"/>
                <w:lang w:val="hr-HR"/>
              </w:rPr>
              <w:t>pruge</w:t>
            </w:r>
          </w:p>
        </w:tc>
        <w:tc>
          <w:tcPr>
            <w:tcW w:w="2796" w:type="dxa"/>
            <w:shd w:val="clear" w:color="auto" w:fill="auto"/>
            <w:vAlign w:val="bottom"/>
            <w:hideMark/>
          </w:tcPr>
          <w:p w14:paraId="5967329B" w14:textId="0184BE51" w:rsidR="00530780" w:rsidRPr="00653DCF" w:rsidRDefault="00530780" w:rsidP="00530780">
            <w:pPr>
              <w:pStyle w:val="P68B1DB1-Normal19"/>
              <w:spacing w:after="0"/>
              <w:ind w:left="0"/>
              <w:jc w:val="left"/>
              <w:rPr>
                <w:color w:val="auto"/>
                <w:lang w:val="hr-HR"/>
              </w:rPr>
            </w:pPr>
            <w:r w:rsidRPr="00653DCF">
              <w:rPr>
                <w:color w:val="auto"/>
                <w:lang w:val="hr-HR"/>
              </w:rPr>
              <w:t xml:space="preserve">Obnova </w:t>
            </w:r>
            <w:r w:rsidR="00E51322" w:rsidRPr="00653DCF">
              <w:rPr>
                <w:color w:val="auto"/>
                <w:lang w:val="hr-HR"/>
              </w:rPr>
              <w:t>tunela Split</w:t>
            </w:r>
          </w:p>
        </w:tc>
      </w:tr>
      <w:tr w:rsidR="00530780" w:rsidRPr="00653DCF" w14:paraId="2F5C2D39" w14:textId="77777777">
        <w:trPr>
          <w:trHeight w:val="300"/>
          <w:tblHeader/>
        </w:trPr>
        <w:tc>
          <w:tcPr>
            <w:tcW w:w="1039" w:type="dxa"/>
            <w:shd w:val="clear" w:color="auto" w:fill="auto"/>
            <w:noWrap/>
          </w:tcPr>
          <w:p w14:paraId="519E6E6E" w14:textId="1ED2822A" w:rsidR="00530780" w:rsidRPr="00653DCF" w:rsidRDefault="00530780" w:rsidP="00530780">
            <w:pPr>
              <w:spacing w:after="0"/>
              <w:ind w:left="0"/>
              <w:jc w:val="left"/>
              <w:rPr>
                <w:rFonts w:eastAsia="Times New Roman" w:cs="Arial"/>
                <w:color w:val="auto"/>
                <w:lang w:val="hr-HR"/>
              </w:rPr>
            </w:pPr>
            <w:r w:rsidRPr="00653DCF">
              <w:rPr>
                <w:color w:val="auto"/>
                <w:lang w:val="hr-HR"/>
              </w:rPr>
              <w:t>HŽPP</w:t>
            </w:r>
          </w:p>
        </w:tc>
        <w:tc>
          <w:tcPr>
            <w:tcW w:w="3678" w:type="dxa"/>
            <w:shd w:val="clear" w:color="auto" w:fill="auto"/>
            <w:noWrap/>
          </w:tcPr>
          <w:p w14:paraId="45FF571D" w14:textId="2B706CAA" w:rsidR="00530780" w:rsidRPr="00653DCF" w:rsidRDefault="00280725" w:rsidP="00530780">
            <w:pPr>
              <w:spacing w:after="0"/>
              <w:ind w:left="0"/>
              <w:jc w:val="left"/>
              <w:rPr>
                <w:rFonts w:eastAsia="Times New Roman" w:cs="Arial"/>
                <w:color w:val="auto"/>
                <w:lang w:val="hr-HR"/>
              </w:rPr>
            </w:pPr>
            <w:r w:rsidRPr="00653DCF">
              <w:rPr>
                <w:color w:val="auto"/>
                <w:lang w:val="hr-HR"/>
              </w:rPr>
              <w:t>TLC Zagreb - projektna dokumentacija i izgradnja</w:t>
            </w:r>
          </w:p>
        </w:tc>
        <w:tc>
          <w:tcPr>
            <w:tcW w:w="2127" w:type="dxa"/>
            <w:shd w:val="clear" w:color="auto" w:fill="auto"/>
            <w:noWrap/>
            <w:vAlign w:val="bottom"/>
          </w:tcPr>
          <w:p w14:paraId="6FBDD59D" w14:textId="77777777" w:rsidR="00530780" w:rsidRPr="00653DCF" w:rsidRDefault="00530780" w:rsidP="00530780">
            <w:pPr>
              <w:spacing w:after="0"/>
              <w:ind w:left="0"/>
              <w:jc w:val="left"/>
              <w:rPr>
                <w:rFonts w:eastAsia="Times New Roman" w:cs="Arial"/>
                <w:color w:val="auto"/>
                <w:lang w:val="hr-HR"/>
              </w:rPr>
            </w:pPr>
          </w:p>
        </w:tc>
        <w:tc>
          <w:tcPr>
            <w:tcW w:w="2796" w:type="dxa"/>
            <w:shd w:val="clear" w:color="auto" w:fill="auto"/>
            <w:vAlign w:val="bottom"/>
          </w:tcPr>
          <w:p w14:paraId="60B8DF52" w14:textId="77777777" w:rsidR="00530780" w:rsidRPr="00653DCF" w:rsidRDefault="00530780" w:rsidP="00530780">
            <w:pPr>
              <w:spacing w:after="0"/>
              <w:ind w:left="0"/>
              <w:jc w:val="left"/>
              <w:rPr>
                <w:rFonts w:eastAsia="Times New Roman" w:cs="Arial"/>
                <w:color w:val="auto"/>
                <w:lang w:val="hr-HR"/>
              </w:rPr>
            </w:pPr>
          </w:p>
        </w:tc>
      </w:tr>
      <w:tr w:rsidR="00530780" w:rsidRPr="00653DCF" w14:paraId="3DC8D243" w14:textId="77777777">
        <w:trPr>
          <w:trHeight w:val="300"/>
          <w:tblHeader/>
        </w:trPr>
        <w:tc>
          <w:tcPr>
            <w:tcW w:w="1039" w:type="dxa"/>
            <w:shd w:val="clear" w:color="auto" w:fill="auto"/>
            <w:noWrap/>
          </w:tcPr>
          <w:p w14:paraId="1D3BA06C" w14:textId="5D953B03" w:rsidR="00530780" w:rsidRPr="00653DCF" w:rsidRDefault="00530780" w:rsidP="00530780">
            <w:pPr>
              <w:spacing w:after="0"/>
              <w:ind w:left="0"/>
              <w:jc w:val="left"/>
              <w:rPr>
                <w:rFonts w:eastAsia="Times New Roman" w:cs="Arial"/>
                <w:color w:val="auto"/>
                <w:lang w:val="hr-HR"/>
              </w:rPr>
            </w:pPr>
            <w:r w:rsidRPr="00653DCF">
              <w:rPr>
                <w:color w:val="auto"/>
                <w:lang w:val="hr-HR"/>
              </w:rPr>
              <w:t>HŽPP</w:t>
            </w:r>
          </w:p>
        </w:tc>
        <w:tc>
          <w:tcPr>
            <w:tcW w:w="3678" w:type="dxa"/>
            <w:shd w:val="clear" w:color="auto" w:fill="auto"/>
            <w:noWrap/>
          </w:tcPr>
          <w:p w14:paraId="1386002A" w14:textId="7D0860EC" w:rsidR="00530780" w:rsidRPr="00653DCF" w:rsidRDefault="00280725" w:rsidP="00530780">
            <w:pPr>
              <w:spacing w:after="0"/>
              <w:ind w:left="0"/>
              <w:jc w:val="left"/>
              <w:rPr>
                <w:rFonts w:eastAsia="Times New Roman" w:cs="Arial"/>
                <w:color w:val="auto"/>
                <w:lang w:val="hr-HR"/>
              </w:rPr>
            </w:pPr>
            <w:r w:rsidRPr="00653DCF">
              <w:rPr>
                <w:color w:val="auto"/>
                <w:lang w:val="hr-HR"/>
              </w:rPr>
              <w:t>Ulaganja u uslužni objekt Centar Split</w:t>
            </w:r>
          </w:p>
        </w:tc>
        <w:tc>
          <w:tcPr>
            <w:tcW w:w="2127" w:type="dxa"/>
            <w:shd w:val="clear" w:color="auto" w:fill="auto"/>
            <w:noWrap/>
            <w:vAlign w:val="bottom"/>
          </w:tcPr>
          <w:p w14:paraId="16C11630" w14:textId="77777777" w:rsidR="00530780" w:rsidRPr="00653DCF" w:rsidRDefault="00530780" w:rsidP="00530780">
            <w:pPr>
              <w:spacing w:after="0"/>
              <w:ind w:left="0"/>
              <w:jc w:val="left"/>
              <w:rPr>
                <w:rFonts w:eastAsia="Times New Roman" w:cs="Arial"/>
                <w:color w:val="auto"/>
                <w:lang w:val="hr-HR"/>
              </w:rPr>
            </w:pPr>
          </w:p>
        </w:tc>
        <w:tc>
          <w:tcPr>
            <w:tcW w:w="2796" w:type="dxa"/>
            <w:shd w:val="clear" w:color="auto" w:fill="auto"/>
            <w:vAlign w:val="bottom"/>
          </w:tcPr>
          <w:p w14:paraId="087CFB7E" w14:textId="77777777" w:rsidR="00530780" w:rsidRPr="00653DCF" w:rsidRDefault="00530780" w:rsidP="00530780">
            <w:pPr>
              <w:spacing w:after="0"/>
              <w:ind w:left="0"/>
              <w:jc w:val="left"/>
              <w:rPr>
                <w:rFonts w:eastAsia="Times New Roman" w:cs="Arial"/>
                <w:color w:val="auto"/>
                <w:lang w:val="hr-HR"/>
              </w:rPr>
            </w:pPr>
          </w:p>
        </w:tc>
      </w:tr>
      <w:tr w:rsidR="00530780" w:rsidRPr="00653DCF" w14:paraId="1DFA84D4" w14:textId="77777777">
        <w:trPr>
          <w:trHeight w:val="300"/>
          <w:tblHeader/>
        </w:trPr>
        <w:tc>
          <w:tcPr>
            <w:tcW w:w="1039" w:type="dxa"/>
            <w:shd w:val="clear" w:color="auto" w:fill="auto"/>
            <w:noWrap/>
          </w:tcPr>
          <w:p w14:paraId="068B83C3" w14:textId="150CFF5E" w:rsidR="00530780" w:rsidRPr="00653DCF" w:rsidRDefault="00530780" w:rsidP="00530780">
            <w:pPr>
              <w:spacing w:after="0"/>
              <w:ind w:left="0"/>
              <w:jc w:val="left"/>
              <w:rPr>
                <w:rFonts w:eastAsia="Times New Roman" w:cs="Arial"/>
                <w:color w:val="auto"/>
                <w:lang w:val="hr-HR"/>
              </w:rPr>
            </w:pPr>
            <w:r w:rsidRPr="00653DCF">
              <w:rPr>
                <w:color w:val="auto"/>
                <w:lang w:val="hr-HR"/>
              </w:rPr>
              <w:t>HŽPP</w:t>
            </w:r>
          </w:p>
        </w:tc>
        <w:tc>
          <w:tcPr>
            <w:tcW w:w="3678" w:type="dxa"/>
            <w:shd w:val="clear" w:color="auto" w:fill="auto"/>
            <w:noWrap/>
          </w:tcPr>
          <w:p w14:paraId="314A8F61" w14:textId="1CFC6FA8" w:rsidR="00530780" w:rsidRPr="00653DCF" w:rsidRDefault="00280725" w:rsidP="00530780">
            <w:pPr>
              <w:spacing w:after="0"/>
              <w:ind w:left="0"/>
              <w:jc w:val="left"/>
              <w:rPr>
                <w:rFonts w:eastAsia="Times New Roman" w:cs="Arial"/>
                <w:color w:val="auto"/>
                <w:lang w:val="hr-HR"/>
              </w:rPr>
            </w:pPr>
            <w:r w:rsidRPr="00653DCF">
              <w:rPr>
                <w:color w:val="auto"/>
                <w:lang w:val="hr-HR"/>
              </w:rPr>
              <w:t>6 bimodalnih vlakova (Zagreb-Split)</w:t>
            </w:r>
          </w:p>
        </w:tc>
        <w:tc>
          <w:tcPr>
            <w:tcW w:w="2127" w:type="dxa"/>
            <w:shd w:val="clear" w:color="auto" w:fill="auto"/>
            <w:noWrap/>
            <w:vAlign w:val="bottom"/>
          </w:tcPr>
          <w:p w14:paraId="146B5747" w14:textId="77777777" w:rsidR="00530780" w:rsidRPr="00653DCF" w:rsidRDefault="00530780" w:rsidP="00530780">
            <w:pPr>
              <w:spacing w:after="0"/>
              <w:ind w:left="0"/>
              <w:jc w:val="left"/>
              <w:rPr>
                <w:rFonts w:eastAsia="Times New Roman" w:cs="Arial"/>
                <w:color w:val="auto"/>
                <w:lang w:val="hr-HR"/>
              </w:rPr>
            </w:pPr>
          </w:p>
        </w:tc>
        <w:tc>
          <w:tcPr>
            <w:tcW w:w="2796" w:type="dxa"/>
            <w:shd w:val="clear" w:color="auto" w:fill="auto"/>
            <w:vAlign w:val="bottom"/>
          </w:tcPr>
          <w:p w14:paraId="75000CDE" w14:textId="77777777" w:rsidR="00530780" w:rsidRPr="00653DCF" w:rsidRDefault="00530780" w:rsidP="00530780">
            <w:pPr>
              <w:spacing w:after="0"/>
              <w:ind w:left="0"/>
              <w:jc w:val="left"/>
              <w:rPr>
                <w:rFonts w:eastAsia="Times New Roman" w:cs="Arial"/>
                <w:color w:val="auto"/>
                <w:lang w:val="hr-HR"/>
              </w:rPr>
            </w:pPr>
          </w:p>
        </w:tc>
      </w:tr>
      <w:tr w:rsidR="00530780" w:rsidRPr="00653DCF" w14:paraId="6D215AFC" w14:textId="77777777">
        <w:trPr>
          <w:trHeight w:val="300"/>
          <w:tblHeader/>
        </w:trPr>
        <w:tc>
          <w:tcPr>
            <w:tcW w:w="1039" w:type="dxa"/>
            <w:shd w:val="clear" w:color="auto" w:fill="auto"/>
            <w:noWrap/>
          </w:tcPr>
          <w:p w14:paraId="1BEA0F30" w14:textId="4F6659B3" w:rsidR="00530780" w:rsidRPr="00653DCF" w:rsidRDefault="00530780" w:rsidP="00530780">
            <w:pPr>
              <w:spacing w:after="0"/>
              <w:ind w:left="0"/>
              <w:jc w:val="left"/>
              <w:rPr>
                <w:rFonts w:eastAsia="Times New Roman" w:cs="Arial"/>
                <w:color w:val="auto"/>
                <w:lang w:val="hr-HR"/>
              </w:rPr>
            </w:pPr>
            <w:r w:rsidRPr="00653DCF">
              <w:rPr>
                <w:color w:val="auto"/>
                <w:lang w:val="hr-HR"/>
              </w:rPr>
              <w:t>HŽPP</w:t>
            </w:r>
          </w:p>
        </w:tc>
        <w:tc>
          <w:tcPr>
            <w:tcW w:w="3678" w:type="dxa"/>
            <w:shd w:val="clear" w:color="auto" w:fill="auto"/>
            <w:noWrap/>
          </w:tcPr>
          <w:p w14:paraId="7D5566AC" w14:textId="561196E4" w:rsidR="00530780" w:rsidRPr="00653DCF" w:rsidRDefault="00280725" w:rsidP="00530780">
            <w:pPr>
              <w:spacing w:after="0"/>
              <w:ind w:left="0"/>
              <w:jc w:val="left"/>
              <w:rPr>
                <w:rFonts w:eastAsia="Times New Roman" w:cs="Arial"/>
                <w:color w:val="auto"/>
                <w:lang w:val="hr-HR"/>
              </w:rPr>
            </w:pPr>
            <w:r w:rsidRPr="00653DCF">
              <w:rPr>
                <w:color w:val="auto"/>
                <w:lang w:val="hr-HR"/>
              </w:rPr>
              <w:t>4 baterijska motorna vlaka (splitsko i istarsko područje)</w:t>
            </w:r>
          </w:p>
        </w:tc>
        <w:tc>
          <w:tcPr>
            <w:tcW w:w="2127" w:type="dxa"/>
            <w:shd w:val="clear" w:color="auto" w:fill="auto"/>
            <w:noWrap/>
            <w:vAlign w:val="bottom"/>
          </w:tcPr>
          <w:p w14:paraId="5050C434" w14:textId="77777777" w:rsidR="00530780" w:rsidRPr="00653DCF" w:rsidRDefault="00530780" w:rsidP="00530780">
            <w:pPr>
              <w:spacing w:after="0"/>
              <w:ind w:left="0"/>
              <w:jc w:val="left"/>
              <w:rPr>
                <w:rFonts w:eastAsia="Times New Roman" w:cs="Arial"/>
                <w:color w:val="auto"/>
                <w:lang w:val="hr-HR"/>
              </w:rPr>
            </w:pPr>
          </w:p>
        </w:tc>
        <w:tc>
          <w:tcPr>
            <w:tcW w:w="2796" w:type="dxa"/>
            <w:shd w:val="clear" w:color="auto" w:fill="auto"/>
            <w:vAlign w:val="bottom"/>
          </w:tcPr>
          <w:p w14:paraId="4583D223" w14:textId="77777777" w:rsidR="00530780" w:rsidRPr="00653DCF" w:rsidRDefault="00530780" w:rsidP="00530780">
            <w:pPr>
              <w:spacing w:after="0"/>
              <w:ind w:left="0"/>
              <w:jc w:val="left"/>
              <w:rPr>
                <w:rFonts w:eastAsia="Times New Roman" w:cs="Arial"/>
                <w:color w:val="auto"/>
                <w:lang w:val="hr-HR"/>
              </w:rPr>
            </w:pPr>
          </w:p>
        </w:tc>
      </w:tr>
      <w:tr w:rsidR="00530780" w:rsidRPr="00653DCF" w14:paraId="0CC65479" w14:textId="77777777">
        <w:trPr>
          <w:trHeight w:val="300"/>
          <w:tblHeader/>
        </w:trPr>
        <w:tc>
          <w:tcPr>
            <w:tcW w:w="1039" w:type="dxa"/>
            <w:shd w:val="clear" w:color="auto" w:fill="auto"/>
            <w:noWrap/>
          </w:tcPr>
          <w:p w14:paraId="6D1EF7B5" w14:textId="2BCB80D4" w:rsidR="00530780" w:rsidRPr="00653DCF" w:rsidRDefault="00530780" w:rsidP="00530780">
            <w:pPr>
              <w:spacing w:after="0"/>
              <w:ind w:left="0"/>
              <w:jc w:val="left"/>
              <w:rPr>
                <w:rFonts w:eastAsia="Times New Roman" w:cs="Arial"/>
                <w:color w:val="auto"/>
                <w:lang w:val="hr-HR"/>
              </w:rPr>
            </w:pPr>
            <w:r w:rsidRPr="00653DCF">
              <w:rPr>
                <w:color w:val="auto"/>
                <w:lang w:val="hr-HR"/>
              </w:rPr>
              <w:t>HŽPP</w:t>
            </w:r>
          </w:p>
        </w:tc>
        <w:tc>
          <w:tcPr>
            <w:tcW w:w="3678" w:type="dxa"/>
            <w:shd w:val="clear" w:color="auto" w:fill="auto"/>
            <w:noWrap/>
          </w:tcPr>
          <w:p w14:paraId="5811CCF2" w14:textId="0E048D80" w:rsidR="00530780" w:rsidRPr="00653DCF" w:rsidRDefault="00530780" w:rsidP="00530780">
            <w:pPr>
              <w:spacing w:after="0"/>
              <w:ind w:left="0"/>
              <w:jc w:val="left"/>
              <w:rPr>
                <w:rFonts w:eastAsia="Times New Roman" w:cs="Arial"/>
                <w:color w:val="auto"/>
                <w:lang w:val="hr-HR"/>
              </w:rPr>
            </w:pPr>
            <w:r w:rsidRPr="00653DCF">
              <w:rPr>
                <w:color w:val="auto"/>
                <w:lang w:val="hr-HR"/>
              </w:rPr>
              <w:t xml:space="preserve">4 </w:t>
            </w:r>
            <w:r w:rsidR="00AC61EC" w:rsidRPr="00653DCF">
              <w:rPr>
                <w:color w:val="auto"/>
                <w:lang w:val="hr-HR"/>
              </w:rPr>
              <w:t xml:space="preserve">elektrobaterijska </w:t>
            </w:r>
            <w:r w:rsidRPr="00653DCF">
              <w:rPr>
                <w:color w:val="auto"/>
                <w:lang w:val="hr-HR"/>
              </w:rPr>
              <w:t>vlaka (Zagreb-Krapina, Zagreb-Bjelovar)</w:t>
            </w:r>
          </w:p>
        </w:tc>
        <w:tc>
          <w:tcPr>
            <w:tcW w:w="2127" w:type="dxa"/>
            <w:shd w:val="clear" w:color="auto" w:fill="auto"/>
            <w:noWrap/>
            <w:vAlign w:val="bottom"/>
          </w:tcPr>
          <w:p w14:paraId="3DF032DC" w14:textId="77777777" w:rsidR="00530780" w:rsidRPr="00653DCF" w:rsidRDefault="00530780" w:rsidP="00530780">
            <w:pPr>
              <w:spacing w:after="0"/>
              <w:ind w:left="0"/>
              <w:jc w:val="left"/>
              <w:rPr>
                <w:rFonts w:eastAsia="Times New Roman" w:cs="Arial"/>
                <w:color w:val="auto"/>
                <w:lang w:val="hr-HR"/>
              </w:rPr>
            </w:pPr>
          </w:p>
        </w:tc>
        <w:tc>
          <w:tcPr>
            <w:tcW w:w="2796" w:type="dxa"/>
            <w:shd w:val="clear" w:color="auto" w:fill="auto"/>
            <w:vAlign w:val="bottom"/>
          </w:tcPr>
          <w:p w14:paraId="42DBFEAF" w14:textId="77777777" w:rsidR="00530780" w:rsidRPr="00653DCF" w:rsidRDefault="00530780" w:rsidP="00530780">
            <w:pPr>
              <w:spacing w:after="0"/>
              <w:ind w:left="0"/>
              <w:jc w:val="left"/>
              <w:rPr>
                <w:rFonts w:eastAsia="Times New Roman" w:cs="Arial"/>
                <w:color w:val="auto"/>
                <w:lang w:val="hr-HR"/>
              </w:rPr>
            </w:pPr>
          </w:p>
        </w:tc>
      </w:tr>
      <w:tr w:rsidR="00530780" w:rsidRPr="00653DCF" w14:paraId="100FD092" w14:textId="77777777">
        <w:trPr>
          <w:trHeight w:val="300"/>
          <w:tblHeader/>
        </w:trPr>
        <w:tc>
          <w:tcPr>
            <w:tcW w:w="1039" w:type="dxa"/>
            <w:shd w:val="clear" w:color="auto" w:fill="auto"/>
            <w:noWrap/>
          </w:tcPr>
          <w:p w14:paraId="70C2A42C" w14:textId="185C1727" w:rsidR="00530780" w:rsidRPr="00653DCF" w:rsidRDefault="00530780" w:rsidP="00530780">
            <w:pPr>
              <w:spacing w:after="0"/>
              <w:ind w:left="0"/>
              <w:jc w:val="left"/>
              <w:rPr>
                <w:rFonts w:eastAsia="Times New Roman" w:cs="Arial"/>
                <w:color w:val="auto"/>
                <w:lang w:val="hr-HR"/>
              </w:rPr>
            </w:pPr>
            <w:r w:rsidRPr="00653DCF">
              <w:rPr>
                <w:color w:val="auto"/>
                <w:lang w:val="hr-HR"/>
              </w:rPr>
              <w:t>HŽPP</w:t>
            </w:r>
          </w:p>
        </w:tc>
        <w:tc>
          <w:tcPr>
            <w:tcW w:w="3678" w:type="dxa"/>
            <w:shd w:val="clear" w:color="auto" w:fill="auto"/>
            <w:noWrap/>
          </w:tcPr>
          <w:p w14:paraId="7621316E" w14:textId="43AD456A" w:rsidR="00530780" w:rsidRPr="00653DCF" w:rsidRDefault="00F774D6" w:rsidP="00530780">
            <w:pPr>
              <w:spacing w:after="0"/>
              <w:ind w:left="0"/>
              <w:jc w:val="left"/>
              <w:rPr>
                <w:rFonts w:eastAsia="Times New Roman" w:cs="Arial"/>
                <w:color w:val="auto"/>
                <w:lang w:val="hr-HR"/>
              </w:rPr>
            </w:pPr>
            <w:r w:rsidRPr="00653DCF">
              <w:rPr>
                <w:color w:val="auto"/>
                <w:lang w:val="hr-HR"/>
              </w:rPr>
              <w:t>Punionice za baterijske vlakov</w:t>
            </w:r>
            <w:r w:rsidR="00AC61EC" w:rsidRPr="00653DCF">
              <w:rPr>
                <w:color w:val="auto"/>
                <w:lang w:val="hr-HR"/>
              </w:rPr>
              <w:t>e</w:t>
            </w:r>
            <w:r w:rsidRPr="00653DCF">
              <w:rPr>
                <w:color w:val="auto"/>
                <w:lang w:val="hr-HR"/>
              </w:rPr>
              <w:t xml:space="preserve"> - Lupoglav i Požega (Velika)</w:t>
            </w:r>
          </w:p>
        </w:tc>
        <w:tc>
          <w:tcPr>
            <w:tcW w:w="2127" w:type="dxa"/>
            <w:shd w:val="clear" w:color="auto" w:fill="auto"/>
            <w:noWrap/>
            <w:vAlign w:val="bottom"/>
          </w:tcPr>
          <w:p w14:paraId="72723621" w14:textId="77777777" w:rsidR="00530780" w:rsidRPr="00653DCF" w:rsidRDefault="00530780" w:rsidP="00530780">
            <w:pPr>
              <w:spacing w:after="0"/>
              <w:ind w:left="0"/>
              <w:jc w:val="left"/>
              <w:rPr>
                <w:rFonts w:eastAsia="Times New Roman" w:cs="Arial"/>
                <w:color w:val="auto"/>
                <w:lang w:val="hr-HR"/>
              </w:rPr>
            </w:pPr>
          </w:p>
        </w:tc>
        <w:tc>
          <w:tcPr>
            <w:tcW w:w="2796" w:type="dxa"/>
            <w:shd w:val="clear" w:color="auto" w:fill="auto"/>
            <w:vAlign w:val="bottom"/>
          </w:tcPr>
          <w:p w14:paraId="229382DB" w14:textId="77777777" w:rsidR="00530780" w:rsidRPr="00653DCF" w:rsidRDefault="00530780" w:rsidP="00530780">
            <w:pPr>
              <w:spacing w:after="0"/>
              <w:ind w:left="0"/>
              <w:jc w:val="left"/>
              <w:rPr>
                <w:rFonts w:eastAsia="Times New Roman" w:cs="Arial"/>
                <w:color w:val="auto"/>
                <w:lang w:val="hr-HR"/>
              </w:rPr>
            </w:pPr>
          </w:p>
        </w:tc>
      </w:tr>
      <w:tr w:rsidR="00530780" w:rsidRPr="00653DCF" w14:paraId="234D9B0F" w14:textId="77777777">
        <w:trPr>
          <w:trHeight w:val="300"/>
          <w:tblHeader/>
        </w:trPr>
        <w:tc>
          <w:tcPr>
            <w:tcW w:w="1039" w:type="dxa"/>
            <w:shd w:val="clear" w:color="auto" w:fill="auto"/>
            <w:noWrap/>
          </w:tcPr>
          <w:p w14:paraId="1AD19472" w14:textId="78C44E7D" w:rsidR="00530780" w:rsidRPr="00653DCF" w:rsidRDefault="00530780" w:rsidP="00530780">
            <w:pPr>
              <w:spacing w:after="0"/>
              <w:ind w:left="0"/>
              <w:jc w:val="left"/>
              <w:rPr>
                <w:rFonts w:eastAsia="Times New Roman" w:cs="Arial"/>
                <w:color w:val="auto"/>
                <w:lang w:val="hr-HR"/>
              </w:rPr>
            </w:pPr>
            <w:r w:rsidRPr="00653DCF">
              <w:rPr>
                <w:color w:val="auto"/>
                <w:lang w:val="hr-HR"/>
              </w:rPr>
              <w:t>HŽPP</w:t>
            </w:r>
          </w:p>
        </w:tc>
        <w:tc>
          <w:tcPr>
            <w:tcW w:w="3678" w:type="dxa"/>
            <w:shd w:val="clear" w:color="auto" w:fill="auto"/>
            <w:noWrap/>
          </w:tcPr>
          <w:p w14:paraId="7538A444" w14:textId="23019E07" w:rsidR="00530780" w:rsidRPr="00653DCF" w:rsidRDefault="00DA364D" w:rsidP="00530780">
            <w:pPr>
              <w:spacing w:after="0"/>
              <w:ind w:left="0"/>
              <w:jc w:val="left"/>
              <w:rPr>
                <w:rFonts w:eastAsia="Times New Roman" w:cs="Arial"/>
                <w:color w:val="auto"/>
                <w:lang w:val="hr-HR"/>
              </w:rPr>
            </w:pPr>
            <w:r w:rsidRPr="00653DCF">
              <w:rPr>
                <w:color w:val="auto"/>
                <w:lang w:val="hr-HR" w:eastAsia="hr-HR"/>
              </w:rPr>
              <w:t xml:space="preserve">2 vlaka (EBMV i BMV) i punionice iz NPOO </w:t>
            </w:r>
            <w:r w:rsidR="00E3129D" w:rsidRPr="00653DCF">
              <w:rPr>
                <w:color w:val="auto"/>
                <w:lang w:val="hr-HR" w:eastAsia="hr-HR"/>
              </w:rPr>
              <w:t>-</w:t>
            </w:r>
            <w:r w:rsidRPr="00653DCF">
              <w:rPr>
                <w:color w:val="auto"/>
                <w:lang w:val="hr-HR" w:eastAsia="hr-HR"/>
              </w:rPr>
              <w:t xml:space="preserve"> </w:t>
            </w:r>
            <w:r w:rsidR="00E3129D" w:rsidRPr="00653DCF">
              <w:rPr>
                <w:color w:val="auto"/>
                <w:lang w:val="hr-HR" w:eastAsia="hr-HR"/>
              </w:rPr>
              <w:t xml:space="preserve">razlika - </w:t>
            </w:r>
            <w:r w:rsidRPr="00653DCF">
              <w:rPr>
                <w:color w:val="auto"/>
                <w:lang w:val="hr-HR" w:eastAsia="hr-HR"/>
              </w:rPr>
              <w:t>nedostatna sredstva za završetak projekta</w:t>
            </w:r>
          </w:p>
        </w:tc>
        <w:tc>
          <w:tcPr>
            <w:tcW w:w="2127" w:type="dxa"/>
            <w:shd w:val="clear" w:color="auto" w:fill="auto"/>
            <w:noWrap/>
            <w:vAlign w:val="bottom"/>
          </w:tcPr>
          <w:p w14:paraId="1902B027" w14:textId="77777777" w:rsidR="00530780" w:rsidRPr="00653DCF" w:rsidRDefault="00530780" w:rsidP="00530780">
            <w:pPr>
              <w:spacing w:after="0"/>
              <w:ind w:left="0"/>
              <w:jc w:val="left"/>
              <w:rPr>
                <w:rFonts w:eastAsia="Times New Roman" w:cs="Arial"/>
                <w:color w:val="auto"/>
                <w:lang w:val="hr-HR"/>
              </w:rPr>
            </w:pPr>
          </w:p>
        </w:tc>
        <w:tc>
          <w:tcPr>
            <w:tcW w:w="2796" w:type="dxa"/>
            <w:shd w:val="clear" w:color="auto" w:fill="auto"/>
            <w:vAlign w:val="bottom"/>
          </w:tcPr>
          <w:p w14:paraId="172C8DEE" w14:textId="77777777" w:rsidR="00530780" w:rsidRPr="00653DCF" w:rsidRDefault="00530780" w:rsidP="00530780">
            <w:pPr>
              <w:spacing w:after="0"/>
              <w:ind w:left="0"/>
              <w:jc w:val="left"/>
              <w:rPr>
                <w:rFonts w:eastAsia="Times New Roman" w:cs="Arial"/>
                <w:color w:val="auto"/>
                <w:lang w:val="hr-HR"/>
              </w:rPr>
            </w:pPr>
          </w:p>
        </w:tc>
      </w:tr>
      <w:tr w:rsidR="00DA364D" w:rsidRPr="00653DCF" w14:paraId="2E26C619" w14:textId="77777777">
        <w:trPr>
          <w:trHeight w:val="300"/>
          <w:tblHeader/>
        </w:trPr>
        <w:tc>
          <w:tcPr>
            <w:tcW w:w="1039" w:type="dxa"/>
            <w:shd w:val="clear" w:color="auto" w:fill="auto"/>
            <w:noWrap/>
          </w:tcPr>
          <w:p w14:paraId="2030E822" w14:textId="180C221E" w:rsidR="00DA364D" w:rsidRPr="00653DCF" w:rsidRDefault="00DA364D" w:rsidP="00530780">
            <w:pPr>
              <w:spacing w:after="0"/>
              <w:ind w:left="0"/>
              <w:jc w:val="left"/>
              <w:rPr>
                <w:color w:val="auto"/>
                <w:lang w:val="hr-HR"/>
              </w:rPr>
            </w:pPr>
            <w:r w:rsidRPr="00653DCF">
              <w:rPr>
                <w:color w:val="auto"/>
                <w:lang w:val="hr-HR"/>
              </w:rPr>
              <w:t>HŽPP</w:t>
            </w:r>
          </w:p>
        </w:tc>
        <w:tc>
          <w:tcPr>
            <w:tcW w:w="3678" w:type="dxa"/>
            <w:shd w:val="clear" w:color="auto" w:fill="auto"/>
            <w:noWrap/>
          </w:tcPr>
          <w:p w14:paraId="0F462849" w14:textId="4629C4C2" w:rsidR="00DA364D" w:rsidRPr="00653DCF" w:rsidRDefault="00DA364D" w:rsidP="00530780">
            <w:pPr>
              <w:spacing w:after="0"/>
              <w:ind w:left="0"/>
              <w:jc w:val="left"/>
              <w:rPr>
                <w:color w:val="auto"/>
                <w:lang w:val="hr-HR" w:eastAsia="hr-HR"/>
              </w:rPr>
            </w:pPr>
            <w:r w:rsidRPr="00653DCF">
              <w:rPr>
                <w:color w:val="auto"/>
                <w:lang w:val="hr-HR" w:eastAsia="hr-HR"/>
              </w:rPr>
              <w:t>Nadogradnja stabilnih energetskih priključaka alternativnim izvorom energije</w:t>
            </w:r>
          </w:p>
        </w:tc>
        <w:tc>
          <w:tcPr>
            <w:tcW w:w="2127" w:type="dxa"/>
            <w:shd w:val="clear" w:color="auto" w:fill="auto"/>
            <w:noWrap/>
            <w:vAlign w:val="bottom"/>
          </w:tcPr>
          <w:p w14:paraId="11843A62" w14:textId="77777777" w:rsidR="00DA364D" w:rsidRPr="00653DCF" w:rsidRDefault="00DA364D" w:rsidP="00530780">
            <w:pPr>
              <w:spacing w:after="0"/>
              <w:ind w:left="0"/>
              <w:jc w:val="left"/>
              <w:rPr>
                <w:rFonts w:eastAsia="Times New Roman" w:cs="Arial"/>
                <w:color w:val="auto"/>
                <w:lang w:val="hr-HR"/>
              </w:rPr>
            </w:pPr>
          </w:p>
        </w:tc>
        <w:tc>
          <w:tcPr>
            <w:tcW w:w="2796" w:type="dxa"/>
            <w:shd w:val="clear" w:color="auto" w:fill="auto"/>
            <w:vAlign w:val="bottom"/>
          </w:tcPr>
          <w:p w14:paraId="18C08E7B" w14:textId="77777777" w:rsidR="00DA364D" w:rsidRPr="00653DCF" w:rsidRDefault="00DA364D" w:rsidP="00530780">
            <w:pPr>
              <w:spacing w:after="0"/>
              <w:ind w:left="0"/>
              <w:jc w:val="left"/>
              <w:rPr>
                <w:rFonts w:eastAsia="Times New Roman" w:cs="Arial"/>
                <w:color w:val="auto"/>
                <w:lang w:val="hr-HR"/>
              </w:rPr>
            </w:pPr>
          </w:p>
        </w:tc>
      </w:tr>
    </w:tbl>
    <w:p w14:paraId="79F83802" w14:textId="7CED61DA" w:rsidR="007A2A6F" w:rsidRPr="00653DCF" w:rsidRDefault="007A2A6F">
      <w:pPr>
        <w:pStyle w:val="SubSchedule3EIB0"/>
        <w:numPr>
          <w:ilvl w:val="0"/>
          <w:numId w:val="0"/>
        </w:numPr>
        <w:ind w:left="1440" w:hanging="360"/>
        <w:jc w:val="both"/>
        <w:rPr>
          <w:b/>
          <w:color w:val="auto"/>
        </w:rPr>
      </w:pPr>
      <w:bookmarkStart w:id="837" w:name="_Ref149043064"/>
    </w:p>
    <w:p w14:paraId="31BD7BEC" w14:textId="77777777" w:rsidR="007A2A6F" w:rsidRPr="00653DCF" w:rsidRDefault="00E87B0B">
      <w:pPr>
        <w:pStyle w:val="P68B1DB1-Normal2"/>
        <w:spacing w:after="200" w:line="276" w:lineRule="auto"/>
        <w:ind w:left="0"/>
        <w:jc w:val="left"/>
        <w:rPr>
          <w:color w:val="auto"/>
          <w:u w:val="single"/>
        </w:rPr>
      </w:pPr>
      <w:r w:rsidRPr="00653DCF">
        <w:rPr>
          <w:color w:val="auto"/>
        </w:rPr>
        <w:br w:type="page"/>
      </w:r>
    </w:p>
    <w:p w14:paraId="070240AE" w14:textId="587BD3F1" w:rsidR="007A2A6F" w:rsidRPr="00653DCF" w:rsidRDefault="00E87B0B">
      <w:pPr>
        <w:pStyle w:val="P68B1DB1-SubSchedule3EIB10"/>
        <w:rPr>
          <w:color w:val="auto"/>
          <w:lang w:val="hr-HR"/>
        </w:rPr>
      </w:pPr>
      <w:r w:rsidRPr="00653DCF">
        <w:rPr>
          <w:color w:val="auto"/>
          <w:lang w:val="hr-HR"/>
        </w:rPr>
        <w:t xml:space="preserve">INFORMACIJE O PROJEKTU KOJE SE </w:t>
      </w:r>
      <w:r w:rsidR="00D74A96" w:rsidRPr="00653DCF">
        <w:rPr>
          <w:color w:val="auto"/>
          <w:lang w:val="hr-HR"/>
        </w:rPr>
        <w:t>TREBAJU SLATI BANCI I NAČIN NJIHOVA SLANJA</w:t>
      </w:r>
      <w:bookmarkEnd w:id="837"/>
    </w:p>
    <w:p w14:paraId="3F7A4E2C" w14:textId="4F933D18" w:rsidR="007A2A6F" w:rsidRPr="00653DCF" w:rsidRDefault="00E87B0B">
      <w:pPr>
        <w:pStyle w:val="P68B1DB1-text17"/>
        <w:spacing w:after="240"/>
        <w:rPr>
          <w:u w:val="single"/>
          <w:lang w:val="hr-HR"/>
        </w:rPr>
      </w:pPr>
      <w:r w:rsidRPr="00653DCF">
        <w:rPr>
          <w:lang w:val="hr-HR"/>
        </w:rPr>
        <w:t>A.2.1.</w:t>
      </w:r>
      <w:r w:rsidRPr="00653DCF">
        <w:rPr>
          <w:lang w:val="hr-HR"/>
        </w:rPr>
        <w:tab/>
      </w:r>
      <w:r w:rsidRPr="00653DCF">
        <w:rPr>
          <w:u w:val="single"/>
          <w:lang w:val="hr-HR"/>
        </w:rPr>
        <w:t xml:space="preserve">Slanje informacija: </w:t>
      </w:r>
      <w:r w:rsidR="000B2F30" w:rsidRPr="00653DCF">
        <w:rPr>
          <w:u w:val="single"/>
          <w:lang w:val="hr-HR"/>
        </w:rPr>
        <w:t>imenovanje odgovorne osobe</w:t>
      </w:r>
    </w:p>
    <w:p w14:paraId="5215D709" w14:textId="3DC102BC" w:rsidR="007A2A6F" w:rsidRPr="00653DCF" w:rsidRDefault="000B2F30">
      <w:pPr>
        <w:pStyle w:val="P68B1DB1-text17"/>
        <w:rPr>
          <w:lang w:val="hr-HR"/>
        </w:rPr>
      </w:pPr>
      <w:r w:rsidRPr="00653DCF">
        <w:rPr>
          <w:lang w:val="hr-HR"/>
        </w:rPr>
        <w:t xml:space="preserve">Osoba zadužena za slanje </w:t>
      </w:r>
      <w:r w:rsidR="0033078A" w:rsidRPr="00653DCF">
        <w:rPr>
          <w:lang w:val="hr-HR"/>
        </w:rPr>
        <w:t>podataka Banci u nastavku teksta je:</w:t>
      </w:r>
    </w:p>
    <w:p w14:paraId="2AE75813" w14:textId="77777777" w:rsidR="007A2A6F" w:rsidRPr="00653DCF" w:rsidRDefault="007A2A6F">
      <w:pPr>
        <w:pStyle w:val="text"/>
        <w:ind w:left="1069"/>
        <w:rPr>
          <w:rFonts w:cs="Arial"/>
          <w:lang w:val="hr-HR"/>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64"/>
        <w:gridCol w:w="2977"/>
      </w:tblGrid>
      <w:tr w:rsidR="007A2A6F" w:rsidRPr="00653DCF" w14:paraId="1AA83BA3" w14:textId="77777777">
        <w:trPr>
          <w:cantSplit/>
        </w:trPr>
        <w:tc>
          <w:tcPr>
            <w:tcW w:w="2448" w:type="dxa"/>
          </w:tcPr>
          <w:p w14:paraId="082AA8A6" w14:textId="77777777" w:rsidR="007A2A6F" w:rsidRPr="00653DCF" w:rsidRDefault="007A2A6F">
            <w:pPr>
              <w:pStyle w:val="text"/>
              <w:ind w:left="0"/>
              <w:rPr>
                <w:rFonts w:cs="Arial"/>
                <w:b/>
                <w:lang w:val="hr-HR"/>
              </w:rPr>
            </w:pPr>
          </w:p>
        </w:tc>
        <w:tc>
          <w:tcPr>
            <w:tcW w:w="3364" w:type="dxa"/>
          </w:tcPr>
          <w:p w14:paraId="67949050" w14:textId="77777777" w:rsidR="007A2A6F" w:rsidRPr="00653DCF" w:rsidRDefault="00E87B0B">
            <w:pPr>
              <w:pStyle w:val="P68B1DB1-text16"/>
              <w:ind w:left="0"/>
              <w:rPr>
                <w:lang w:val="hr-HR"/>
              </w:rPr>
            </w:pPr>
            <w:r w:rsidRPr="00653DCF">
              <w:rPr>
                <w:lang w:val="hr-HR"/>
              </w:rPr>
              <w:t>Financijski kontakt</w:t>
            </w:r>
          </w:p>
        </w:tc>
        <w:tc>
          <w:tcPr>
            <w:tcW w:w="2977" w:type="dxa"/>
          </w:tcPr>
          <w:p w14:paraId="49714D1D" w14:textId="77777777" w:rsidR="007A2A6F" w:rsidRPr="00653DCF" w:rsidRDefault="00E87B0B">
            <w:pPr>
              <w:pStyle w:val="P68B1DB1-text16"/>
              <w:ind w:left="0"/>
              <w:rPr>
                <w:lang w:val="hr-HR"/>
              </w:rPr>
            </w:pPr>
            <w:r w:rsidRPr="00653DCF">
              <w:rPr>
                <w:lang w:val="hr-HR"/>
              </w:rPr>
              <w:t>Tehnički kontakt</w:t>
            </w:r>
          </w:p>
        </w:tc>
      </w:tr>
      <w:tr w:rsidR="007A2A6F" w:rsidRPr="00653DCF" w14:paraId="4769E725" w14:textId="77777777">
        <w:trPr>
          <w:cantSplit/>
        </w:trPr>
        <w:tc>
          <w:tcPr>
            <w:tcW w:w="2448" w:type="dxa"/>
          </w:tcPr>
          <w:p w14:paraId="4304977C" w14:textId="6DC783EA" w:rsidR="007A2A6F" w:rsidRPr="00653DCF" w:rsidRDefault="0033078A">
            <w:pPr>
              <w:pStyle w:val="P68B1DB1-text17"/>
              <w:ind w:left="0"/>
              <w:rPr>
                <w:lang w:val="hr-HR"/>
              </w:rPr>
            </w:pPr>
            <w:r w:rsidRPr="00653DCF">
              <w:rPr>
                <w:lang w:val="hr-HR"/>
              </w:rPr>
              <w:t>Društvo</w:t>
            </w:r>
          </w:p>
        </w:tc>
        <w:tc>
          <w:tcPr>
            <w:tcW w:w="3364" w:type="dxa"/>
          </w:tcPr>
          <w:p w14:paraId="22343D86" w14:textId="117F9EEE" w:rsidR="007A2A6F" w:rsidRPr="00653DCF" w:rsidRDefault="00A64076">
            <w:pPr>
              <w:pStyle w:val="P68B1DB1-text20"/>
              <w:ind w:left="0"/>
              <w:rPr>
                <w:i w:val="0"/>
                <w:lang w:val="hr-HR"/>
              </w:rPr>
            </w:pPr>
            <w:r w:rsidRPr="00653DCF">
              <w:rPr>
                <w:i w:val="0"/>
                <w:lang w:val="hr-HR"/>
              </w:rPr>
              <w:t>Ministarstvo financija</w:t>
            </w:r>
          </w:p>
        </w:tc>
        <w:tc>
          <w:tcPr>
            <w:tcW w:w="2977" w:type="dxa"/>
          </w:tcPr>
          <w:p w14:paraId="4929107A" w14:textId="134304F0" w:rsidR="007A2A6F" w:rsidRPr="00653DCF" w:rsidRDefault="00A64076">
            <w:pPr>
              <w:pStyle w:val="P68B1DB1-text20"/>
              <w:ind w:left="0"/>
              <w:rPr>
                <w:i w:val="0"/>
                <w:lang w:val="hr-HR"/>
              </w:rPr>
            </w:pPr>
            <w:r w:rsidRPr="00653DCF">
              <w:rPr>
                <w:i w:val="0"/>
                <w:lang w:val="hr-HR"/>
              </w:rPr>
              <w:t>Ministarstvo mora, prometa i infrastukture</w:t>
            </w:r>
          </w:p>
        </w:tc>
      </w:tr>
      <w:tr w:rsidR="007A2A6F" w:rsidRPr="00653DCF" w14:paraId="7185D5ED" w14:textId="77777777">
        <w:trPr>
          <w:cantSplit/>
        </w:trPr>
        <w:tc>
          <w:tcPr>
            <w:tcW w:w="2448" w:type="dxa"/>
          </w:tcPr>
          <w:p w14:paraId="44D55394" w14:textId="77777777" w:rsidR="007A2A6F" w:rsidRPr="00653DCF" w:rsidRDefault="00E87B0B">
            <w:pPr>
              <w:pStyle w:val="P68B1DB1-text17"/>
              <w:ind w:left="0"/>
              <w:rPr>
                <w:lang w:val="hr-HR"/>
              </w:rPr>
            </w:pPr>
            <w:r w:rsidRPr="00653DCF">
              <w:rPr>
                <w:lang w:val="hr-HR"/>
              </w:rPr>
              <w:t>Osoba za kontakt</w:t>
            </w:r>
          </w:p>
        </w:tc>
        <w:tc>
          <w:tcPr>
            <w:tcW w:w="3364" w:type="dxa"/>
          </w:tcPr>
          <w:p w14:paraId="46F42623" w14:textId="3518B4D0" w:rsidR="007A2A6F" w:rsidRPr="00653DCF" w:rsidRDefault="00A64076">
            <w:pPr>
              <w:pStyle w:val="P68B1DB1-text20"/>
              <w:ind w:left="0"/>
              <w:rPr>
                <w:i w:val="0"/>
                <w:lang w:val="hr-HR"/>
              </w:rPr>
            </w:pPr>
            <w:r w:rsidRPr="00653DCF">
              <w:rPr>
                <w:i w:val="0"/>
                <w:lang w:val="hr-HR"/>
              </w:rPr>
              <w:t>Sektor za Europsku uniju i međunarodne financijske odnose</w:t>
            </w:r>
          </w:p>
        </w:tc>
        <w:tc>
          <w:tcPr>
            <w:tcW w:w="2977" w:type="dxa"/>
          </w:tcPr>
          <w:p w14:paraId="1F67F099" w14:textId="089D0638" w:rsidR="007A2A6F" w:rsidRPr="00653DCF" w:rsidRDefault="00A64076">
            <w:pPr>
              <w:pStyle w:val="P68B1DB1-text20"/>
              <w:ind w:left="0"/>
              <w:rPr>
                <w:i w:val="0"/>
                <w:lang w:val="hr-HR"/>
              </w:rPr>
            </w:pPr>
            <w:r w:rsidRPr="00653DCF">
              <w:rPr>
                <w:i w:val="0"/>
                <w:lang w:val="hr-HR"/>
              </w:rPr>
              <w:t>Uprava za željezničku infrastrukturu i promet</w:t>
            </w:r>
          </w:p>
        </w:tc>
      </w:tr>
      <w:tr w:rsidR="00A64076" w:rsidRPr="00653DCF" w14:paraId="542E1DD2" w14:textId="77777777">
        <w:trPr>
          <w:cantSplit/>
        </w:trPr>
        <w:tc>
          <w:tcPr>
            <w:tcW w:w="2448" w:type="dxa"/>
          </w:tcPr>
          <w:p w14:paraId="366CD5B7" w14:textId="63B48C00" w:rsidR="00A64076" w:rsidRPr="00653DCF" w:rsidRDefault="00A64076" w:rsidP="00A64076">
            <w:pPr>
              <w:pStyle w:val="P68B1DB1-text17"/>
              <w:ind w:left="0"/>
              <w:rPr>
                <w:lang w:val="hr-HR"/>
              </w:rPr>
            </w:pPr>
            <w:r w:rsidRPr="00653DCF">
              <w:rPr>
                <w:lang w:val="hr-HR"/>
              </w:rPr>
              <w:t>Funkcija</w:t>
            </w:r>
          </w:p>
        </w:tc>
        <w:tc>
          <w:tcPr>
            <w:tcW w:w="3364" w:type="dxa"/>
          </w:tcPr>
          <w:p w14:paraId="084FA79F" w14:textId="4DB06EDD" w:rsidR="00A64076" w:rsidRPr="00653DCF" w:rsidRDefault="00A64076" w:rsidP="00A64076">
            <w:pPr>
              <w:pStyle w:val="P68B1DB1-text20"/>
              <w:ind w:left="0"/>
              <w:jc w:val="left"/>
              <w:rPr>
                <w:i w:val="0"/>
                <w:lang w:val="hr-HR"/>
              </w:rPr>
            </w:pPr>
            <w:r w:rsidRPr="00653DCF">
              <w:rPr>
                <w:i w:val="0"/>
                <w:lang w:val="hr-HR"/>
              </w:rPr>
              <w:t>nije primjenjivo</w:t>
            </w:r>
          </w:p>
        </w:tc>
        <w:tc>
          <w:tcPr>
            <w:tcW w:w="2977" w:type="dxa"/>
          </w:tcPr>
          <w:p w14:paraId="72DE45F1" w14:textId="23A3ED05" w:rsidR="00A64076" w:rsidRPr="00653DCF" w:rsidRDefault="00A64076" w:rsidP="00A64076">
            <w:pPr>
              <w:pStyle w:val="P68B1DB1-text20"/>
              <w:ind w:left="0"/>
              <w:jc w:val="left"/>
              <w:rPr>
                <w:i w:val="0"/>
                <w:lang w:val="hr-HR"/>
              </w:rPr>
            </w:pPr>
            <w:r w:rsidRPr="00653DCF">
              <w:rPr>
                <w:i w:val="0"/>
                <w:lang w:val="hr-HR"/>
              </w:rPr>
              <w:t>nije primjenjivo</w:t>
            </w:r>
          </w:p>
        </w:tc>
      </w:tr>
      <w:tr w:rsidR="00A64076" w:rsidRPr="00653DCF" w14:paraId="68C65012" w14:textId="77777777">
        <w:trPr>
          <w:cantSplit/>
        </w:trPr>
        <w:tc>
          <w:tcPr>
            <w:tcW w:w="2448" w:type="dxa"/>
          </w:tcPr>
          <w:p w14:paraId="083AD117" w14:textId="63E19203" w:rsidR="00A64076" w:rsidRPr="00653DCF" w:rsidRDefault="00A64076" w:rsidP="00A64076">
            <w:pPr>
              <w:pStyle w:val="P68B1DB1-text17"/>
              <w:ind w:left="0"/>
              <w:rPr>
                <w:lang w:val="hr-HR"/>
              </w:rPr>
            </w:pPr>
            <w:r w:rsidRPr="00653DCF">
              <w:rPr>
                <w:lang w:val="hr-HR"/>
              </w:rPr>
              <w:t>Funkcija / Financijska i tehnička direkcija</w:t>
            </w:r>
          </w:p>
        </w:tc>
        <w:tc>
          <w:tcPr>
            <w:tcW w:w="3364" w:type="dxa"/>
          </w:tcPr>
          <w:p w14:paraId="537423FD" w14:textId="049A044F" w:rsidR="00A64076" w:rsidRPr="00653DCF" w:rsidRDefault="00A64076" w:rsidP="00A64076">
            <w:pPr>
              <w:pStyle w:val="P68B1DB1-text20"/>
              <w:ind w:left="0"/>
              <w:jc w:val="left"/>
              <w:rPr>
                <w:i w:val="0"/>
                <w:lang w:val="hr-HR"/>
              </w:rPr>
            </w:pPr>
            <w:r w:rsidRPr="00653DCF">
              <w:rPr>
                <w:i w:val="0"/>
                <w:lang w:val="hr-HR"/>
              </w:rPr>
              <w:t>nije primjenjivo</w:t>
            </w:r>
          </w:p>
        </w:tc>
        <w:tc>
          <w:tcPr>
            <w:tcW w:w="2977" w:type="dxa"/>
          </w:tcPr>
          <w:p w14:paraId="29958970" w14:textId="62C893A2" w:rsidR="00A64076" w:rsidRPr="00653DCF" w:rsidRDefault="00A64076" w:rsidP="00A64076">
            <w:pPr>
              <w:pStyle w:val="P68B1DB1-text20"/>
              <w:ind w:left="0"/>
              <w:jc w:val="left"/>
              <w:rPr>
                <w:i w:val="0"/>
                <w:lang w:val="hr-HR"/>
              </w:rPr>
            </w:pPr>
            <w:r w:rsidRPr="00653DCF">
              <w:rPr>
                <w:i w:val="0"/>
                <w:lang w:val="hr-HR"/>
              </w:rPr>
              <w:t>nije primjenjivo</w:t>
            </w:r>
          </w:p>
        </w:tc>
      </w:tr>
      <w:tr w:rsidR="00A64076" w:rsidRPr="00653DCF" w14:paraId="3FAED26B" w14:textId="77777777">
        <w:trPr>
          <w:cantSplit/>
        </w:trPr>
        <w:tc>
          <w:tcPr>
            <w:tcW w:w="2448" w:type="dxa"/>
          </w:tcPr>
          <w:p w14:paraId="1AFAC032" w14:textId="77777777" w:rsidR="00A64076" w:rsidRPr="00653DCF" w:rsidRDefault="00A64076" w:rsidP="00A64076">
            <w:pPr>
              <w:pStyle w:val="P68B1DB1-text17"/>
              <w:ind w:left="0"/>
              <w:rPr>
                <w:lang w:val="hr-HR"/>
              </w:rPr>
            </w:pPr>
            <w:r w:rsidRPr="00653DCF">
              <w:rPr>
                <w:lang w:val="hr-HR"/>
              </w:rPr>
              <w:t>Adresa</w:t>
            </w:r>
          </w:p>
        </w:tc>
        <w:tc>
          <w:tcPr>
            <w:tcW w:w="3364" w:type="dxa"/>
          </w:tcPr>
          <w:p w14:paraId="20AC0918" w14:textId="003B9E96" w:rsidR="00A64076" w:rsidRPr="00653DCF" w:rsidRDefault="00A64076" w:rsidP="00A64076">
            <w:pPr>
              <w:pStyle w:val="P68B1DB1-text20"/>
              <w:ind w:left="0"/>
              <w:rPr>
                <w:i w:val="0"/>
                <w:lang w:val="hr-HR"/>
              </w:rPr>
            </w:pPr>
            <w:r w:rsidRPr="00653DCF">
              <w:rPr>
                <w:i w:val="0"/>
                <w:lang w:val="hr-HR"/>
              </w:rPr>
              <w:t>Katančićeva 5, 10000 Zagreb, Republika Hrvatska</w:t>
            </w:r>
          </w:p>
        </w:tc>
        <w:tc>
          <w:tcPr>
            <w:tcW w:w="2977" w:type="dxa"/>
          </w:tcPr>
          <w:p w14:paraId="02E5A9C6" w14:textId="2DF44E61" w:rsidR="00A64076" w:rsidRPr="00653DCF" w:rsidRDefault="00A64076" w:rsidP="00A64076">
            <w:pPr>
              <w:pStyle w:val="P68B1DB1-text20"/>
              <w:ind w:left="0"/>
              <w:rPr>
                <w:i w:val="0"/>
                <w:lang w:val="hr-HR"/>
              </w:rPr>
            </w:pPr>
            <w:r w:rsidRPr="00653DCF">
              <w:rPr>
                <w:i w:val="0"/>
                <w:lang w:val="hr-HR"/>
              </w:rPr>
              <w:t>Prisavlje 14, 10000 Zagreb, Republika Hrvatska</w:t>
            </w:r>
          </w:p>
        </w:tc>
      </w:tr>
      <w:tr w:rsidR="00A64076" w:rsidRPr="00653DCF" w14:paraId="05F6CE32" w14:textId="77777777">
        <w:trPr>
          <w:cantSplit/>
        </w:trPr>
        <w:tc>
          <w:tcPr>
            <w:tcW w:w="2448" w:type="dxa"/>
          </w:tcPr>
          <w:p w14:paraId="30CB2346" w14:textId="77777777" w:rsidR="00A64076" w:rsidRPr="00653DCF" w:rsidRDefault="00A64076" w:rsidP="00A64076">
            <w:pPr>
              <w:pStyle w:val="P68B1DB1-text17"/>
              <w:ind w:left="0"/>
              <w:rPr>
                <w:lang w:val="hr-HR"/>
              </w:rPr>
            </w:pPr>
            <w:r w:rsidRPr="00653DCF">
              <w:rPr>
                <w:lang w:val="hr-HR"/>
              </w:rPr>
              <w:t>Telefon</w:t>
            </w:r>
          </w:p>
        </w:tc>
        <w:tc>
          <w:tcPr>
            <w:tcW w:w="3364" w:type="dxa"/>
          </w:tcPr>
          <w:p w14:paraId="7C14FB15" w14:textId="501614A5" w:rsidR="00A64076" w:rsidRPr="00653DCF" w:rsidRDefault="00A64076" w:rsidP="00A64076">
            <w:pPr>
              <w:pStyle w:val="P68B1DB1-text20"/>
              <w:ind w:left="0"/>
              <w:rPr>
                <w:i w:val="0"/>
                <w:lang w:val="hr-HR"/>
              </w:rPr>
            </w:pPr>
            <w:r w:rsidRPr="00653DCF">
              <w:rPr>
                <w:i w:val="0"/>
                <w:lang w:val="hr-HR"/>
              </w:rPr>
              <w:t>+385 1 4591 258</w:t>
            </w:r>
          </w:p>
        </w:tc>
        <w:tc>
          <w:tcPr>
            <w:tcW w:w="2977" w:type="dxa"/>
          </w:tcPr>
          <w:p w14:paraId="4BF15FD8" w14:textId="7A22D0F5" w:rsidR="00A64076" w:rsidRPr="00653DCF" w:rsidRDefault="00A64076" w:rsidP="00A64076">
            <w:pPr>
              <w:pStyle w:val="P68B1DB1-text20"/>
              <w:ind w:left="0"/>
              <w:rPr>
                <w:i w:val="0"/>
                <w:lang w:val="hr-HR"/>
              </w:rPr>
            </w:pPr>
            <w:r w:rsidRPr="00653DCF">
              <w:rPr>
                <w:i w:val="0"/>
                <w:lang w:val="hr-HR"/>
              </w:rPr>
              <w:t>+385 1 3784 504</w:t>
            </w:r>
          </w:p>
        </w:tc>
      </w:tr>
      <w:tr w:rsidR="00A64076" w:rsidRPr="00653DCF" w14:paraId="43D4042E" w14:textId="77777777">
        <w:trPr>
          <w:cantSplit/>
        </w:trPr>
        <w:tc>
          <w:tcPr>
            <w:tcW w:w="2448" w:type="dxa"/>
          </w:tcPr>
          <w:p w14:paraId="6850F6C7" w14:textId="77777777" w:rsidR="00A64076" w:rsidRPr="00653DCF" w:rsidRDefault="00A64076" w:rsidP="00A64076">
            <w:pPr>
              <w:pStyle w:val="P68B1DB1-text17"/>
              <w:ind w:left="0"/>
              <w:rPr>
                <w:lang w:val="hr-HR"/>
              </w:rPr>
            </w:pPr>
            <w:r w:rsidRPr="00653DCF">
              <w:rPr>
                <w:lang w:val="hr-HR"/>
              </w:rPr>
              <w:t>Faks</w:t>
            </w:r>
          </w:p>
        </w:tc>
        <w:tc>
          <w:tcPr>
            <w:tcW w:w="3364" w:type="dxa"/>
          </w:tcPr>
          <w:p w14:paraId="05182D5A" w14:textId="24B75119" w:rsidR="00A64076" w:rsidRPr="00653DCF" w:rsidRDefault="00A64076" w:rsidP="00A64076">
            <w:pPr>
              <w:pStyle w:val="P68B1DB1-text20"/>
              <w:ind w:left="0"/>
              <w:rPr>
                <w:i w:val="0"/>
                <w:lang w:val="hr-HR"/>
              </w:rPr>
            </w:pPr>
            <w:r w:rsidRPr="00653DCF">
              <w:rPr>
                <w:i w:val="0"/>
                <w:lang w:val="hr-HR"/>
              </w:rPr>
              <w:t>+385 1 4922 598</w:t>
            </w:r>
          </w:p>
        </w:tc>
        <w:tc>
          <w:tcPr>
            <w:tcW w:w="2977" w:type="dxa"/>
          </w:tcPr>
          <w:p w14:paraId="0B908F3E" w14:textId="27AEFCEE" w:rsidR="00A64076" w:rsidRPr="00653DCF" w:rsidRDefault="00A64076" w:rsidP="00A64076">
            <w:pPr>
              <w:pStyle w:val="P68B1DB1-text20"/>
              <w:ind w:left="0"/>
              <w:rPr>
                <w:i w:val="0"/>
                <w:lang w:val="hr-HR"/>
              </w:rPr>
            </w:pPr>
            <w:r w:rsidRPr="00653DCF">
              <w:rPr>
                <w:i w:val="0"/>
                <w:lang w:val="hr-HR"/>
              </w:rPr>
              <w:t>+385 1 3784 591</w:t>
            </w:r>
          </w:p>
        </w:tc>
      </w:tr>
      <w:tr w:rsidR="00A64076" w:rsidRPr="00653DCF" w14:paraId="072A6E2A" w14:textId="77777777">
        <w:trPr>
          <w:cantSplit/>
        </w:trPr>
        <w:tc>
          <w:tcPr>
            <w:tcW w:w="2448" w:type="dxa"/>
          </w:tcPr>
          <w:p w14:paraId="37B13D91" w14:textId="77777777" w:rsidR="00A64076" w:rsidRPr="00653DCF" w:rsidRDefault="00A64076" w:rsidP="00A64076">
            <w:pPr>
              <w:pStyle w:val="P68B1DB1-text17"/>
              <w:ind w:left="0"/>
              <w:rPr>
                <w:lang w:val="hr-HR"/>
              </w:rPr>
            </w:pPr>
            <w:r w:rsidRPr="00653DCF">
              <w:rPr>
                <w:lang w:val="hr-HR"/>
              </w:rPr>
              <w:t>E-pošta</w:t>
            </w:r>
          </w:p>
        </w:tc>
        <w:tc>
          <w:tcPr>
            <w:tcW w:w="3364" w:type="dxa"/>
          </w:tcPr>
          <w:p w14:paraId="2593A9E3" w14:textId="7F2A0FEC" w:rsidR="00A64076" w:rsidRPr="00653DCF" w:rsidRDefault="001617BF" w:rsidP="00A64076">
            <w:pPr>
              <w:pStyle w:val="P68B1DB1-text20"/>
              <w:ind w:left="0"/>
              <w:rPr>
                <w:i w:val="0"/>
                <w:lang w:val="hr-HR"/>
              </w:rPr>
            </w:pPr>
            <w:hyperlink r:id="rId21" w:history="1">
              <w:r w:rsidR="00A64076" w:rsidRPr="00653DCF">
                <w:rPr>
                  <w:rStyle w:val="Hyperlink"/>
                  <w:i w:val="0"/>
                  <w:color w:val="auto"/>
                </w:rPr>
                <w:t>sectorifr@mfin.hr</w:t>
              </w:r>
            </w:hyperlink>
          </w:p>
        </w:tc>
        <w:tc>
          <w:tcPr>
            <w:tcW w:w="2977" w:type="dxa"/>
          </w:tcPr>
          <w:p w14:paraId="2CE92483" w14:textId="0BB1CC4B" w:rsidR="00A64076" w:rsidRPr="00653DCF" w:rsidRDefault="001617BF" w:rsidP="00A64076">
            <w:pPr>
              <w:pStyle w:val="P68B1DB1-text20"/>
              <w:ind w:left="0"/>
              <w:rPr>
                <w:i w:val="0"/>
                <w:lang w:val="hr-HR"/>
              </w:rPr>
            </w:pPr>
            <w:hyperlink r:id="rId22" w:history="1">
              <w:r w:rsidR="00A64076" w:rsidRPr="00653DCF">
                <w:rPr>
                  <w:rStyle w:val="Hyperlink"/>
                  <w:i w:val="0"/>
                  <w:color w:val="auto"/>
                </w:rPr>
                <w:t>uprava.zeljeznice@mmpi.hr</w:t>
              </w:r>
            </w:hyperlink>
          </w:p>
        </w:tc>
      </w:tr>
    </w:tbl>
    <w:p w14:paraId="01D0FA0F" w14:textId="77777777" w:rsidR="007A2A6F" w:rsidRPr="00653DCF" w:rsidRDefault="007A2A6F">
      <w:pPr>
        <w:pStyle w:val="text"/>
        <w:ind w:left="1069"/>
        <w:rPr>
          <w:rFonts w:cs="Arial"/>
          <w:lang w:val="hr-HR"/>
        </w:rPr>
      </w:pPr>
    </w:p>
    <w:p w14:paraId="4915B8C9" w14:textId="46B6B82D" w:rsidR="007A2A6F" w:rsidRPr="00653DCF" w:rsidRDefault="00307B8F">
      <w:pPr>
        <w:pStyle w:val="P68B1DB1-text17"/>
        <w:jc w:val="left"/>
        <w:rPr>
          <w:lang w:val="hr-HR"/>
        </w:rPr>
      </w:pPr>
      <w:r w:rsidRPr="00653DCF">
        <w:rPr>
          <w:lang w:val="hr-HR"/>
        </w:rPr>
        <w:t>Navedene osobe za kontakt su za sada osobe zadužene za kontaktiranje s Bankom.</w:t>
      </w:r>
    </w:p>
    <w:p w14:paraId="615EDEB9" w14:textId="527A4A11" w:rsidR="007A2A6F" w:rsidRPr="00653DCF" w:rsidRDefault="00E87B0B">
      <w:pPr>
        <w:pStyle w:val="P68B1DB1-text17"/>
        <w:jc w:val="left"/>
        <w:rPr>
          <w:lang w:val="hr-HR"/>
        </w:rPr>
      </w:pPr>
      <w:r w:rsidRPr="00653DCF">
        <w:rPr>
          <w:lang w:val="hr-HR"/>
        </w:rPr>
        <w:t>Zajmoprimac</w:t>
      </w:r>
      <w:r w:rsidR="00C91E7D" w:rsidRPr="00653DCF">
        <w:rPr>
          <w:lang w:val="hr-HR"/>
        </w:rPr>
        <w:t xml:space="preserve"> (</w:t>
      </w:r>
      <w:r w:rsidR="00DF33A7" w:rsidRPr="00653DCF">
        <w:rPr>
          <w:lang w:val="hr-HR"/>
        </w:rPr>
        <w:t>koji djeluje</w:t>
      </w:r>
      <w:r w:rsidR="00C91E7D" w:rsidRPr="00653DCF">
        <w:rPr>
          <w:lang w:val="hr-HR"/>
        </w:rPr>
        <w:t xml:space="preserve"> putem Nositelja)</w:t>
      </w:r>
      <w:r w:rsidRPr="00653DCF">
        <w:rPr>
          <w:lang w:val="hr-HR"/>
        </w:rPr>
        <w:t xml:space="preserve"> će odmah obavijestiti EIB u slučaju bilo kakve promjene.</w:t>
      </w:r>
    </w:p>
    <w:p w14:paraId="0F9338AD" w14:textId="77777777" w:rsidR="007A2A6F" w:rsidRPr="00653DCF" w:rsidRDefault="007A2A6F">
      <w:pPr>
        <w:pStyle w:val="text"/>
        <w:ind w:left="1069"/>
        <w:rPr>
          <w:rFonts w:cs="Arial"/>
          <w:lang w:val="hr-HR"/>
        </w:rPr>
      </w:pPr>
    </w:p>
    <w:p w14:paraId="1DF1F3AE" w14:textId="0C6A9EE0" w:rsidR="007A2A6F" w:rsidRPr="00653DCF" w:rsidRDefault="00E87B0B">
      <w:pPr>
        <w:pStyle w:val="P68B1DB1-text17"/>
        <w:rPr>
          <w:lang w:val="hr-HR"/>
        </w:rPr>
      </w:pPr>
      <w:r w:rsidRPr="00653DCF">
        <w:rPr>
          <w:lang w:val="hr-HR"/>
        </w:rPr>
        <w:t>A.2.2.</w:t>
      </w:r>
      <w:r w:rsidRPr="00653DCF">
        <w:rPr>
          <w:lang w:val="hr-HR"/>
        </w:rPr>
        <w:tab/>
      </w:r>
      <w:r w:rsidRPr="00653DCF">
        <w:rPr>
          <w:u w:val="single"/>
          <w:lang w:val="hr-HR"/>
        </w:rPr>
        <w:t xml:space="preserve">Informacije o </w:t>
      </w:r>
      <w:r w:rsidR="00307B8F" w:rsidRPr="00653DCF">
        <w:rPr>
          <w:u w:val="single"/>
          <w:lang w:val="hr-HR"/>
        </w:rPr>
        <w:t>posebnim pitanjima</w:t>
      </w:r>
      <w:r w:rsidRPr="00653DCF">
        <w:rPr>
          <w:lang w:val="hr-HR"/>
        </w:rPr>
        <w:t xml:space="preserve"> </w:t>
      </w:r>
    </w:p>
    <w:p w14:paraId="661E21D7" w14:textId="77777777" w:rsidR="007A2A6F" w:rsidRPr="00653DCF" w:rsidRDefault="007A2A6F">
      <w:pPr>
        <w:pStyle w:val="text"/>
        <w:rPr>
          <w:rFonts w:cs="Arial"/>
          <w:lang w:val="hr-HR"/>
        </w:rPr>
      </w:pPr>
    </w:p>
    <w:p w14:paraId="39D580A7" w14:textId="63F4C883" w:rsidR="007A2A6F" w:rsidRPr="00653DCF" w:rsidRDefault="00C91E7D">
      <w:pPr>
        <w:pStyle w:val="P68B1DB1-text17"/>
        <w:rPr>
          <w:lang w:val="hr-HR"/>
        </w:rPr>
      </w:pPr>
      <w:r w:rsidRPr="00653DCF">
        <w:rPr>
          <w:lang w:val="hr-HR"/>
        </w:rPr>
        <w:t>Zajmoprimac (</w:t>
      </w:r>
      <w:r w:rsidR="00501DFC" w:rsidRPr="00653DCF">
        <w:rPr>
          <w:lang w:val="hr-HR"/>
        </w:rPr>
        <w:t>koji djeluje</w:t>
      </w:r>
      <w:r w:rsidRPr="00653DCF">
        <w:rPr>
          <w:lang w:val="hr-HR"/>
        </w:rPr>
        <w:t xml:space="preserve"> putem Nositelja)</w:t>
      </w:r>
      <w:r w:rsidR="00AF4395" w:rsidRPr="00653DCF">
        <w:rPr>
          <w:lang w:val="hr-HR"/>
        </w:rPr>
        <w:t xml:space="preserve"> </w:t>
      </w:r>
      <w:r w:rsidR="00E87B0B" w:rsidRPr="00653DCF">
        <w:rPr>
          <w:lang w:val="hr-HR"/>
        </w:rPr>
        <w:t xml:space="preserve">će Banci dostaviti sljedeće informacije najkasnije do </w:t>
      </w:r>
      <w:r w:rsidR="00C67364" w:rsidRPr="00653DCF">
        <w:rPr>
          <w:lang w:val="hr-HR"/>
        </w:rPr>
        <w:t xml:space="preserve">rokova navedenih u </w:t>
      </w:r>
      <w:r w:rsidR="009909BE" w:rsidRPr="00653DCF">
        <w:rPr>
          <w:lang w:val="hr-HR"/>
        </w:rPr>
        <w:t>nastavku</w:t>
      </w:r>
    </w:p>
    <w:p w14:paraId="4EB54695" w14:textId="77777777" w:rsidR="007A2A6F" w:rsidRPr="00653DCF" w:rsidRDefault="007A2A6F">
      <w:pPr>
        <w:pStyle w:val="text"/>
        <w:ind w:left="1069"/>
        <w:rPr>
          <w:rFonts w:cs="Arial"/>
          <w:lang w:val="hr-HR"/>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394"/>
        <w:gridCol w:w="2395"/>
      </w:tblGrid>
      <w:tr w:rsidR="007A2A6F" w:rsidRPr="00653DCF" w14:paraId="411F47FB" w14:textId="77777777">
        <w:trPr>
          <w:cantSplit/>
        </w:trPr>
        <w:tc>
          <w:tcPr>
            <w:tcW w:w="6394" w:type="dxa"/>
            <w:tcBorders>
              <w:bottom w:val="single" w:sz="4" w:space="0" w:color="auto"/>
            </w:tcBorders>
          </w:tcPr>
          <w:p w14:paraId="1B6199A6" w14:textId="77777777" w:rsidR="007A2A6F" w:rsidRPr="00653DCF" w:rsidRDefault="00E87B0B">
            <w:pPr>
              <w:pStyle w:val="P68B1DB1-text16"/>
              <w:ind w:left="0"/>
              <w:rPr>
                <w:lang w:val="hr-HR"/>
              </w:rPr>
            </w:pPr>
            <w:r w:rsidRPr="00653DCF">
              <w:rPr>
                <w:lang w:val="hr-HR"/>
              </w:rPr>
              <w:t>Dokument/informacija</w:t>
            </w:r>
          </w:p>
        </w:tc>
        <w:tc>
          <w:tcPr>
            <w:tcW w:w="2395" w:type="dxa"/>
            <w:tcBorders>
              <w:bottom w:val="single" w:sz="4" w:space="0" w:color="auto"/>
            </w:tcBorders>
          </w:tcPr>
          <w:p w14:paraId="0A502EC7" w14:textId="77777777" w:rsidR="007A2A6F" w:rsidRPr="00653DCF" w:rsidRDefault="00E87B0B">
            <w:pPr>
              <w:pStyle w:val="P68B1DB1-text16"/>
              <w:ind w:left="0"/>
              <w:rPr>
                <w:lang w:val="hr-HR"/>
              </w:rPr>
            </w:pPr>
            <w:r w:rsidRPr="00653DCF">
              <w:rPr>
                <w:lang w:val="hr-HR"/>
              </w:rPr>
              <w:t>Rok</w:t>
            </w:r>
          </w:p>
        </w:tc>
      </w:tr>
      <w:tr w:rsidR="00C91E7D" w:rsidRPr="00653DCF" w14:paraId="4E995922" w14:textId="77777777">
        <w:trPr>
          <w:cantSplit/>
        </w:trPr>
        <w:tc>
          <w:tcPr>
            <w:tcW w:w="6394" w:type="dxa"/>
          </w:tcPr>
          <w:p w14:paraId="2E766DBD" w14:textId="58B66966" w:rsidR="00C91E7D" w:rsidRPr="00653DCF" w:rsidRDefault="00C91E7D">
            <w:pPr>
              <w:pStyle w:val="P68B1DB1-text20"/>
              <w:ind w:left="0"/>
              <w:rPr>
                <w:lang w:val="hr-HR"/>
              </w:rPr>
            </w:pPr>
            <w:r w:rsidRPr="00653DCF">
              <w:rPr>
                <w:lang w:val="hr-HR"/>
              </w:rPr>
              <w:t>Preslika potpisanog Ugovora o projektu</w:t>
            </w:r>
          </w:p>
        </w:tc>
        <w:tc>
          <w:tcPr>
            <w:tcW w:w="2395" w:type="dxa"/>
          </w:tcPr>
          <w:p w14:paraId="105CAE59" w14:textId="2C912B4C" w:rsidR="00C91E7D" w:rsidRPr="00653DCF" w:rsidRDefault="009D7283" w:rsidP="007C66B0">
            <w:pPr>
              <w:pStyle w:val="P68B1DB1-text20"/>
              <w:ind w:left="0"/>
              <w:jc w:val="left"/>
              <w:rPr>
                <w:lang w:val="hr-HR"/>
              </w:rPr>
            </w:pPr>
            <w:r w:rsidRPr="00653DCF">
              <w:rPr>
                <w:lang w:val="hr-HR"/>
              </w:rPr>
              <w:t xml:space="preserve">Prije </w:t>
            </w:r>
            <w:r w:rsidR="007C66B0" w:rsidRPr="00653DCF">
              <w:rPr>
                <w:lang w:val="hr-HR"/>
              </w:rPr>
              <w:t>prve isplate</w:t>
            </w:r>
          </w:p>
        </w:tc>
      </w:tr>
      <w:tr w:rsidR="007A2A6F" w:rsidRPr="00653DCF" w14:paraId="1B715F80" w14:textId="77777777">
        <w:trPr>
          <w:cantSplit/>
        </w:trPr>
        <w:tc>
          <w:tcPr>
            <w:tcW w:w="6394" w:type="dxa"/>
          </w:tcPr>
          <w:p w14:paraId="68195128" w14:textId="44687A65" w:rsidR="007A2A6F" w:rsidRPr="00653DCF" w:rsidRDefault="00E87B0B">
            <w:pPr>
              <w:pStyle w:val="P68B1DB1-text20"/>
              <w:ind w:left="0"/>
              <w:rPr>
                <w:lang w:val="hr-HR"/>
              </w:rPr>
            </w:pPr>
            <w:r w:rsidRPr="00653DCF">
              <w:rPr>
                <w:lang w:val="hr-HR"/>
              </w:rPr>
              <w:t xml:space="preserve">Preslika ugovora o javnim uslugama za HŽPP </w:t>
            </w:r>
            <w:r w:rsidR="00C91E7D" w:rsidRPr="00653DCF">
              <w:rPr>
                <w:lang w:val="hr-HR"/>
              </w:rPr>
              <w:t>koji istje</w:t>
            </w:r>
            <w:r w:rsidR="006F5172" w:rsidRPr="00653DCF">
              <w:rPr>
                <w:lang w:val="hr-HR"/>
              </w:rPr>
              <w:t>če</w:t>
            </w:r>
            <w:r w:rsidRPr="00653DCF">
              <w:rPr>
                <w:lang w:val="hr-HR"/>
              </w:rPr>
              <w:t xml:space="preserve"> 2028. godine.</w:t>
            </w:r>
          </w:p>
        </w:tc>
        <w:tc>
          <w:tcPr>
            <w:tcW w:w="2395" w:type="dxa"/>
          </w:tcPr>
          <w:p w14:paraId="2E4B57BB" w14:textId="5C7F18BD" w:rsidR="007A2A6F" w:rsidRPr="00653DCF" w:rsidRDefault="00E87B0B" w:rsidP="00601C96">
            <w:pPr>
              <w:pStyle w:val="P68B1DB1-text20"/>
              <w:ind w:left="0"/>
              <w:jc w:val="left"/>
              <w:rPr>
                <w:lang w:val="hr-HR"/>
              </w:rPr>
            </w:pPr>
            <w:r w:rsidRPr="00653DCF">
              <w:rPr>
                <w:lang w:val="hr-HR"/>
              </w:rPr>
              <w:t xml:space="preserve">Prije prve isplate </w:t>
            </w:r>
            <w:r w:rsidR="006F5172" w:rsidRPr="00653DCF">
              <w:rPr>
                <w:lang w:val="hr-HR"/>
              </w:rPr>
              <w:t xml:space="preserve">za </w:t>
            </w:r>
            <w:r w:rsidRPr="00653DCF">
              <w:rPr>
                <w:lang w:val="hr-HR"/>
              </w:rPr>
              <w:t>željezničk</w:t>
            </w:r>
            <w:r w:rsidR="006F5172" w:rsidRPr="00653DCF">
              <w:rPr>
                <w:lang w:val="hr-HR"/>
              </w:rPr>
              <w:t>a</w:t>
            </w:r>
            <w:r w:rsidRPr="00653DCF">
              <w:rPr>
                <w:lang w:val="hr-HR"/>
              </w:rPr>
              <w:t xml:space="preserve"> vozila</w:t>
            </w:r>
          </w:p>
        </w:tc>
      </w:tr>
      <w:tr w:rsidR="007A2A6F" w:rsidRPr="00653DCF" w14:paraId="4FFF47A9" w14:textId="77777777">
        <w:trPr>
          <w:cantSplit/>
        </w:trPr>
        <w:tc>
          <w:tcPr>
            <w:tcW w:w="6394" w:type="dxa"/>
          </w:tcPr>
          <w:p w14:paraId="67697EAD" w14:textId="37419DBF" w:rsidR="007A2A6F" w:rsidRPr="00653DCF" w:rsidRDefault="00E87B0B">
            <w:pPr>
              <w:pStyle w:val="P68B1DB1-text20"/>
              <w:ind w:left="0"/>
              <w:rPr>
                <w:lang w:val="hr-HR"/>
              </w:rPr>
            </w:pPr>
            <w:r w:rsidRPr="00653DCF">
              <w:rPr>
                <w:lang w:val="hr-HR"/>
              </w:rPr>
              <w:t xml:space="preserve">Prije prve dodjele sredstava </w:t>
            </w:r>
            <w:r w:rsidR="00EF6DC6" w:rsidRPr="00653DCF">
              <w:rPr>
                <w:lang w:val="hr-HR"/>
              </w:rPr>
              <w:t xml:space="preserve">u okviru </w:t>
            </w:r>
            <w:r w:rsidRPr="00653DCF">
              <w:rPr>
                <w:lang w:val="hr-HR"/>
              </w:rPr>
              <w:t>Projekt</w:t>
            </w:r>
            <w:r w:rsidR="00EF6DC6" w:rsidRPr="00653DCF">
              <w:rPr>
                <w:lang w:val="hr-HR"/>
              </w:rPr>
              <w:t>a</w:t>
            </w:r>
            <w:r w:rsidRPr="00653DCF">
              <w:rPr>
                <w:lang w:val="hr-HR"/>
              </w:rPr>
              <w:t xml:space="preserve"> HŽPP</w:t>
            </w:r>
            <w:r w:rsidR="00EF6DC6" w:rsidRPr="00653DCF">
              <w:rPr>
                <w:lang w:val="hr-HR"/>
              </w:rPr>
              <w:t>-u</w:t>
            </w:r>
            <w:r w:rsidRPr="00653DCF">
              <w:rPr>
                <w:lang w:val="hr-HR"/>
              </w:rPr>
              <w:t xml:space="preserve">, </w:t>
            </w:r>
            <w:r w:rsidR="00EF6DC6" w:rsidRPr="00653DCF">
              <w:rPr>
                <w:lang w:val="hr-HR"/>
              </w:rPr>
              <w:t xml:space="preserve">Nositelj je dužan potvrditi </w:t>
            </w:r>
            <w:r w:rsidRPr="00653DCF">
              <w:rPr>
                <w:lang w:val="hr-HR"/>
              </w:rPr>
              <w:t xml:space="preserve">da ne postoje neriješena pitanja državne potpore koja se odnose na ugovor o obavljanju </w:t>
            </w:r>
            <w:r w:rsidR="00EF6DC6" w:rsidRPr="00653DCF">
              <w:rPr>
                <w:lang w:val="hr-HR"/>
              </w:rPr>
              <w:t>javnih usluga željezničkog prijevoza</w:t>
            </w:r>
            <w:r w:rsidRPr="00653DCF">
              <w:rPr>
                <w:lang w:val="hr-HR"/>
              </w:rPr>
              <w:t>.</w:t>
            </w:r>
          </w:p>
        </w:tc>
        <w:tc>
          <w:tcPr>
            <w:tcW w:w="2395" w:type="dxa"/>
          </w:tcPr>
          <w:p w14:paraId="552D9022" w14:textId="28DE7B4D" w:rsidR="007A2A6F" w:rsidRPr="00653DCF" w:rsidRDefault="00E87B0B" w:rsidP="00601C96">
            <w:pPr>
              <w:pStyle w:val="P68B1DB1-text20"/>
              <w:ind w:left="0"/>
              <w:jc w:val="left"/>
              <w:rPr>
                <w:lang w:val="hr-HR"/>
              </w:rPr>
            </w:pPr>
            <w:r w:rsidRPr="00653DCF">
              <w:rPr>
                <w:lang w:val="hr-HR"/>
              </w:rPr>
              <w:t xml:space="preserve">Prije prve </w:t>
            </w:r>
            <w:r w:rsidR="00601C96" w:rsidRPr="00653DCF">
              <w:rPr>
                <w:lang w:val="hr-HR"/>
              </w:rPr>
              <w:t>dodjele sredstava</w:t>
            </w:r>
            <w:r w:rsidRPr="00653DCF">
              <w:rPr>
                <w:lang w:val="hr-HR"/>
              </w:rPr>
              <w:t xml:space="preserve"> </w:t>
            </w:r>
            <w:r w:rsidR="001069E1" w:rsidRPr="00653DCF">
              <w:rPr>
                <w:lang w:val="hr-HR"/>
              </w:rPr>
              <w:t xml:space="preserve">Projekta </w:t>
            </w:r>
            <w:r w:rsidRPr="00653DCF">
              <w:rPr>
                <w:lang w:val="hr-HR"/>
              </w:rPr>
              <w:t>HŽPP-</w:t>
            </w:r>
            <w:r w:rsidR="001069E1" w:rsidRPr="00653DCF">
              <w:rPr>
                <w:lang w:val="hr-HR"/>
              </w:rPr>
              <w:t>u</w:t>
            </w:r>
          </w:p>
        </w:tc>
      </w:tr>
      <w:tr w:rsidR="007A2A6F" w:rsidRPr="00653DCF" w14:paraId="1D05AD5D" w14:textId="77777777">
        <w:trPr>
          <w:cantSplit/>
        </w:trPr>
        <w:tc>
          <w:tcPr>
            <w:tcW w:w="6394" w:type="dxa"/>
          </w:tcPr>
          <w:p w14:paraId="0F6CFA09" w14:textId="3123AE5C" w:rsidR="007A2A6F" w:rsidRPr="00653DCF" w:rsidRDefault="00E87B0B">
            <w:pPr>
              <w:pStyle w:val="P68B1DB1-text20"/>
              <w:ind w:left="0"/>
              <w:rPr>
                <w:lang w:val="hr-HR"/>
              </w:rPr>
            </w:pPr>
            <w:r w:rsidRPr="00653DCF">
              <w:rPr>
                <w:lang w:val="hr-HR"/>
              </w:rPr>
              <w:t xml:space="preserve">Preslika obavijesti o nadmetanju za </w:t>
            </w:r>
            <w:r w:rsidR="00065CDD" w:rsidRPr="00653DCF">
              <w:rPr>
                <w:lang w:val="hr-HR"/>
              </w:rPr>
              <w:t>u</w:t>
            </w:r>
            <w:r w:rsidRPr="00653DCF">
              <w:rPr>
                <w:lang w:val="hr-HR"/>
              </w:rPr>
              <w:t xml:space="preserve">govor o javnim uslugama nakon tekućeg ugovora koji </w:t>
            </w:r>
            <w:r w:rsidR="00065CDD" w:rsidRPr="00653DCF">
              <w:rPr>
                <w:lang w:val="hr-HR"/>
              </w:rPr>
              <w:t xml:space="preserve">ističe </w:t>
            </w:r>
            <w:r w:rsidRPr="00653DCF">
              <w:rPr>
                <w:lang w:val="hr-HR"/>
              </w:rPr>
              <w:t>2028.</w:t>
            </w:r>
          </w:p>
        </w:tc>
        <w:tc>
          <w:tcPr>
            <w:tcW w:w="2395" w:type="dxa"/>
          </w:tcPr>
          <w:p w14:paraId="62C0E45D" w14:textId="15B89568" w:rsidR="007A2A6F" w:rsidRPr="00653DCF" w:rsidRDefault="00065CDD" w:rsidP="00601C96">
            <w:pPr>
              <w:pStyle w:val="P68B1DB1-text20"/>
              <w:ind w:left="0"/>
              <w:jc w:val="left"/>
              <w:rPr>
                <w:lang w:val="hr-HR"/>
              </w:rPr>
            </w:pPr>
            <w:r w:rsidRPr="00653DCF">
              <w:rPr>
                <w:lang w:val="hr-HR"/>
              </w:rPr>
              <w:t>Čim bude objavljena</w:t>
            </w:r>
          </w:p>
        </w:tc>
      </w:tr>
      <w:tr w:rsidR="007A2A6F" w:rsidRPr="00653DCF" w14:paraId="69E81A61" w14:textId="77777777">
        <w:trPr>
          <w:cantSplit/>
        </w:trPr>
        <w:tc>
          <w:tcPr>
            <w:tcW w:w="6394" w:type="dxa"/>
          </w:tcPr>
          <w:p w14:paraId="7DD879A3" w14:textId="2C8DFEBD" w:rsidR="007A2A6F" w:rsidRPr="00653DCF" w:rsidRDefault="00E87B0B">
            <w:pPr>
              <w:pStyle w:val="P68B1DB1-text20"/>
              <w:ind w:left="0"/>
              <w:rPr>
                <w:lang w:val="hr-HR"/>
              </w:rPr>
            </w:pPr>
            <w:r w:rsidRPr="00653DCF">
              <w:rPr>
                <w:lang w:val="hr-HR"/>
              </w:rPr>
              <w:t xml:space="preserve">Preslika obavijesti o dodjeli ugovora o javnim uslugama nakon tekućeg ugovora koji </w:t>
            </w:r>
            <w:r w:rsidR="00601C96" w:rsidRPr="00653DCF">
              <w:rPr>
                <w:lang w:val="hr-HR"/>
              </w:rPr>
              <w:t>ističe</w:t>
            </w:r>
            <w:r w:rsidRPr="00653DCF">
              <w:rPr>
                <w:lang w:val="hr-HR"/>
              </w:rPr>
              <w:t xml:space="preserve"> 2028.</w:t>
            </w:r>
          </w:p>
        </w:tc>
        <w:tc>
          <w:tcPr>
            <w:tcW w:w="2395" w:type="dxa"/>
          </w:tcPr>
          <w:p w14:paraId="74BF4C89" w14:textId="69409233" w:rsidR="007A2A6F" w:rsidRPr="00653DCF" w:rsidRDefault="00065CDD" w:rsidP="00601C96">
            <w:pPr>
              <w:pStyle w:val="P68B1DB1-text20"/>
              <w:ind w:left="0"/>
              <w:jc w:val="left"/>
              <w:rPr>
                <w:lang w:val="hr-HR"/>
              </w:rPr>
            </w:pPr>
            <w:r w:rsidRPr="00653DCF">
              <w:rPr>
                <w:lang w:val="hr-HR"/>
              </w:rPr>
              <w:t>Čim bude objavljena</w:t>
            </w:r>
          </w:p>
        </w:tc>
      </w:tr>
      <w:tr w:rsidR="007A2A6F" w:rsidRPr="00653DCF" w14:paraId="5E29C766" w14:textId="77777777">
        <w:trPr>
          <w:cantSplit/>
        </w:trPr>
        <w:tc>
          <w:tcPr>
            <w:tcW w:w="6394" w:type="dxa"/>
          </w:tcPr>
          <w:p w14:paraId="0848E9C3" w14:textId="6EFF5B56" w:rsidR="007A2A6F" w:rsidRPr="00653DCF" w:rsidRDefault="00E87B0B">
            <w:pPr>
              <w:pStyle w:val="P68B1DB1-text20"/>
              <w:ind w:left="0"/>
              <w:rPr>
                <w:lang w:val="hr-HR"/>
              </w:rPr>
            </w:pPr>
            <w:r w:rsidRPr="00653DCF">
              <w:rPr>
                <w:lang w:val="hr-HR"/>
              </w:rPr>
              <w:t xml:space="preserve">Pregled portfelja </w:t>
            </w:r>
            <w:r w:rsidR="009909BE" w:rsidRPr="00653DCF">
              <w:rPr>
                <w:lang w:val="hr-HR"/>
              </w:rPr>
              <w:t xml:space="preserve">Projekta </w:t>
            </w:r>
            <w:r w:rsidRPr="00653DCF">
              <w:rPr>
                <w:lang w:val="hr-HR"/>
              </w:rPr>
              <w:t xml:space="preserve">s ažuriranim troškovima i jasno </w:t>
            </w:r>
            <w:r w:rsidR="00EF2914" w:rsidRPr="00653DCF">
              <w:rPr>
                <w:lang w:val="hr-HR"/>
              </w:rPr>
              <w:t>naznačenim</w:t>
            </w:r>
            <w:r w:rsidRPr="00653DCF">
              <w:rPr>
                <w:lang w:val="hr-HR"/>
              </w:rPr>
              <w:t xml:space="preserve"> dodacima i uklanjanjima</w:t>
            </w:r>
            <w:r w:rsidR="00EF2914" w:rsidRPr="00653DCF">
              <w:rPr>
                <w:lang w:val="hr-HR"/>
              </w:rPr>
              <w:t>.</w:t>
            </w:r>
          </w:p>
        </w:tc>
        <w:tc>
          <w:tcPr>
            <w:tcW w:w="2395" w:type="dxa"/>
          </w:tcPr>
          <w:p w14:paraId="703C8E3E" w14:textId="03DFB652" w:rsidR="007A2A6F" w:rsidRPr="00653DCF" w:rsidRDefault="001069E1" w:rsidP="00601C96">
            <w:pPr>
              <w:pStyle w:val="P68B1DB1-text20"/>
              <w:ind w:left="0"/>
              <w:jc w:val="left"/>
              <w:rPr>
                <w:lang w:val="hr-HR"/>
              </w:rPr>
            </w:pPr>
            <w:r w:rsidRPr="00653DCF">
              <w:rPr>
                <w:lang w:val="hr-HR"/>
              </w:rPr>
              <w:t>Jednom godišnje</w:t>
            </w:r>
            <w:r w:rsidR="00E87B0B" w:rsidRPr="00653DCF">
              <w:rPr>
                <w:lang w:val="hr-HR"/>
              </w:rPr>
              <w:t>, 1. listopada svake godine</w:t>
            </w:r>
          </w:p>
        </w:tc>
      </w:tr>
    </w:tbl>
    <w:p w14:paraId="75E2C540" w14:textId="77777777" w:rsidR="007A2A6F" w:rsidRPr="00653DCF" w:rsidRDefault="007A2A6F">
      <w:pPr>
        <w:rPr>
          <w:color w:val="auto"/>
          <w:lang w:val="hr-HR"/>
        </w:rPr>
      </w:pPr>
    </w:p>
    <w:p w14:paraId="74CBA6A2" w14:textId="4AFDDB9C" w:rsidR="007A2A6F" w:rsidRPr="00653DCF" w:rsidRDefault="00E87B0B">
      <w:pPr>
        <w:spacing w:after="200" w:line="276" w:lineRule="auto"/>
        <w:ind w:left="0"/>
        <w:jc w:val="left"/>
        <w:rPr>
          <w:color w:val="auto"/>
          <w:lang w:val="hr-HR"/>
        </w:rPr>
      </w:pPr>
      <w:r w:rsidRPr="00653DCF">
        <w:rPr>
          <w:color w:val="auto"/>
          <w:lang w:val="hr-HR"/>
        </w:rPr>
        <w:br w:type="page"/>
      </w:r>
    </w:p>
    <w:p w14:paraId="47F42D58" w14:textId="56141F22" w:rsidR="007A2A6F" w:rsidRPr="00653DCF" w:rsidRDefault="00E87B0B">
      <w:pPr>
        <w:pStyle w:val="P68B1DB1-text17"/>
      </w:pPr>
      <w:r w:rsidRPr="00653DCF">
        <w:t>A.2.3.</w:t>
      </w:r>
      <w:r w:rsidRPr="00653DCF">
        <w:tab/>
      </w:r>
      <w:r w:rsidRPr="00653DCF">
        <w:rPr>
          <w:u w:val="single"/>
        </w:rPr>
        <w:t xml:space="preserve">Informacije o provedbi </w:t>
      </w:r>
      <w:r w:rsidR="008F21CC" w:rsidRPr="00653DCF">
        <w:rPr>
          <w:u w:val="single"/>
        </w:rPr>
        <w:t>P</w:t>
      </w:r>
      <w:r w:rsidRPr="00653DCF">
        <w:rPr>
          <w:u w:val="single"/>
        </w:rPr>
        <w:t>rojekta</w:t>
      </w:r>
      <w:r w:rsidRPr="00653DCF">
        <w:t xml:space="preserve"> </w:t>
      </w:r>
    </w:p>
    <w:p w14:paraId="6ECFF0F6" w14:textId="77777777" w:rsidR="007A2A6F" w:rsidRPr="00653DCF" w:rsidRDefault="007A2A6F">
      <w:pPr>
        <w:spacing w:after="0"/>
        <w:ind w:left="0"/>
        <w:rPr>
          <w:rFonts w:eastAsia="Times New Roman" w:cs="Arial"/>
          <w:color w:val="auto"/>
        </w:rPr>
      </w:pPr>
    </w:p>
    <w:p w14:paraId="3A5C0328" w14:textId="76CFCC61" w:rsidR="007A2A6F" w:rsidRPr="00653DCF" w:rsidRDefault="00C91E7D">
      <w:pPr>
        <w:pStyle w:val="P68B1DB1-Normal21"/>
        <w:spacing w:after="0"/>
        <w:ind w:left="709"/>
      </w:pPr>
      <w:r w:rsidRPr="00653DCF">
        <w:t>Zajmoprimac (</w:t>
      </w:r>
      <w:r w:rsidR="00501DFC" w:rsidRPr="00653DCF">
        <w:rPr>
          <w:lang w:val="hr-HR"/>
        </w:rPr>
        <w:t xml:space="preserve">koji djeluje </w:t>
      </w:r>
      <w:r w:rsidRPr="00653DCF">
        <w:t xml:space="preserve">putem </w:t>
      </w:r>
      <w:r w:rsidR="004C6A81" w:rsidRPr="00653DCF">
        <w:t>Nositelj</w:t>
      </w:r>
      <w:r w:rsidRPr="00653DCF">
        <w:t>a)</w:t>
      </w:r>
      <w:r w:rsidR="00E87B0B" w:rsidRPr="00653DCF">
        <w:t xml:space="preserve"> </w:t>
      </w:r>
      <w:r w:rsidR="008F21CC" w:rsidRPr="00653DCF">
        <w:t>je dužan Banci dostavljati sljedeće informacije o napretku Projekta tijekom provedbe najkasnije do rokova naznačenih u nastavku</w:t>
      </w:r>
      <w:r w:rsidR="00E87B0B" w:rsidRPr="00653DCF">
        <w:t>.</w:t>
      </w:r>
    </w:p>
    <w:p w14:paraId="37D27FB5" w14:textId="77777777" w:rsidR="007A2A6F" w:rsidRPr="00653DCF" w:rsidRDefault="007A2A6F">
      <w:pPr>
        <w:spacing w:after="0"/>
        <w:ind w:left="0"/>
        <w:rPr>
          <w:rFonts w:eastAsia="Times New Roman" w:cs="Arial"/>
          <w:color w:val="auto"/>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095"/>
        <w:gridCol w:w="1134"/>
        <w:gridCol w:w="1560"/>
      </w:tblGrid>
      <w:tr w:rsidR="007A2A6F" w:rsidRPr="00653DCF" w14:paraId="41054671" w14:textId="77777777">
        <w:trPr>
          <w:cantSplit/>
          <w:trHeight w:val="572"/>
        </w:trPr>
        <w:tc>
          <w:tcPr>
            <w:tcW w:w="6095" w:type="dxa"/>
            <w:tcBorders>
              <w:bottom w:val="single" w:sz="4" w:space="0" w:color="auto"/>
            </w:tcBorders>
          </w:tcPr>
          <w:p w14:paraId="217A036B" w14:textId="096EC1CA" w:rsidR="007A2A6F" w:rsidRPr="00653DCF" w:rsidRDefault="00E87B0B">
            <w:pPr>
              <w:pStyle w:val="P68B1DB1-Normal22"/>
              <w:spacing w:after="0"/>
              <w:ind w:left="0"/>
            </w:pPr>
            <w:r w:rsidRPr="00653DCF">
              <w:t>Dokument/informacij</w:t>
            </w:r>
            <w:r w:rsidR="0087033E" w:rsidRPr="00653DCF">
              <w:t>e</w:t>
            </w:r>
          </w:p>
        </w:tc>
        <w:tc>
          <w:tcPr>
            <w:tcW w:w="1134" w:type="dxa"/>
            <w:tcBorders>
              <w:bottom w:val="single" w:sz="4" w:space="0" w:color="auto"/>
            </w:tcBorders>
          </w:tcPr>
          <w:p w14:paraId="60E1F058" w14:textId="77777777" w:rsidR="007A2A6F" w:rsidRPr="00653DCF" w:rsidRDefault="00E87B0B">
            <w:pPr>
              <w:pStyle w:val="P68B1DB1-Normal22"/>
              <w:spacing w:after="0"/>
              <w:ind w:left="0"/>
            </w:pPr>
            <w:r w:rsidRPr="00653DCF">
              <w:t>Rok</w:t>
            </w:r>
          </w:p>
        </w:tc>
        <w:tc>
          <w:tcPr>
            <w:tcW w:w="1560" w:type="dxa"/>
            <w:tcBorders>
              <w:bottom w:val="single" w:sz="4" w:space="0" w:color="auto"/>
            </w:tcBorders>
          </w:tcPr>
          <w:p w14:paraId="56CE3CF4" w14:textId="631A0061" w:rsidR="007A2A6F" w:rsidRPr="00653DCF" w:rsidRDefault="00E87B0B">
            <w:pPr>
              <w:pStyle w:val="P68B1DB1-Normal22"/>
              <w:spacing w:after="0"/>
              <w:ind w:left="0"/>
            </w:pPr>
            <w:r w:rsidRPr="00653DCF">
              <w:t xml:space="preserve">Učestalost </w:t>
            </w:r>
            <w:r w:rsidR="0087033E" w:rsidRPr="00653DCF">
              <w:t>izvještavanja</w:t>
            </w:r>
          </w:p>
        </w:tc>
      </w:tr>
      <w:tr w:rsidR="007A2A6F" w:rsidRPr="00653DCF" w14:paraId="3DA99A36" w14:textId="77777777">
        <w:trPr>
          <w:cantSplit/>
        </w:trPr>
        <w:tc>
          <w:tcPr>
            <w:tcW w:w="6095" w:type="dxa"/>
          </w:tcPr>
          <w:p w14:paraId="026C22D0" w14:textId="07C716AE" w:rsidR="007A2A6F" w:rsidRPr="00653DCF" w:rsidRDefault="00E87B0B">
            <w:pPr>
              <w:pStyle w:val="P68B1DB1-Normal21"/>
              <w:spacing w:after="0"/>
              <w:ind w:left="0"/>
            </w:pPr>
            <w:r w:rsidRPr="00653DCF">
              <w:t xml:space="preserve">Izvješće o napretku </w:t>
            </w:r>
            <w:r w:rsidR="0087033E" w:rsidRPr="00653DCF">
              <w:t>P</w:t>
            </w:r>
            <w:r w:rsidRPr="00653DCF">
              <w:t>rojekta, uključujući:</w:t>
            </w:r>
          </w:p>
          <w:p w14:paraId="09803D2A" w14:textId="77777777" w:rsidR="007A2A6F" w:rsidRPr="00653DCF" w:rsidRDefault="007A2A6F">
            <w:pPr>
              <w:spacing w:after="0"/>
              <w:ind w:left="0"/>
              <w:rPr>
                <w:rFonts w:eastAsia="Times New Roman" w:cs="Arial"/>
                <w:color w:val="auto"/>
              </w:rPr>
            </w:pPr>
          </w:p>
          <w:p w14:paraId="17B71F32" w14:textId="4583E152" w:rsidR="007A2A6F" w:rsidRPr="00653DCF" w:rsidRDefault="00C4374E" w:rsidP="006010BF">
            <w:pPr>
              <w:pStyle w:val="P68B1DB1-Normal23"/>
              <w:numPr>
                <w:ilvl w:val="0"/>
                <w:numId w:val="87"/>
              </w:numPr>
              <w:spacing w:after="0"/>
            </w:pPr>
            <w:r w:rsidRPr="00653DCF">
              <w:t>Sažet</w:t>
            </w:r>
            <w:r w:rsidR="00F001B2" w:rsidRPr="00653DCF">
              <w:t xml:space="preserve">u </w:t>
            </w:r>
            <w:r w:rsidR="00B96355" w:rsidRPr="00653DCF">
              <w:t xml:space="preserve">ažuriranu informaciju o tehničkom opisu </w:t>
            </w:r>
            <w:r w:rsidR="00E87B0B" w:rsidRPr="00653DCF">
              <w:t xml:space="preserve">u </w:t>
            </w:r>
            <w:r w:rsidR="00813980" w:rsidRPr="00653DCF">
              <w:t>kojoj</w:t>
            </w:r>
            <w:r w:rsidRPr="00653DCF">
              <w:t xml:space="preserve"> se </w:t>
            </w:r>
            <w:r w:rsidR="00E87B0B" w:rsidRPr="00653DCF">
              <w:t xml:space="preserve">objašnjavaju razlozi za </w:t>
            </w:r>
            <w:r w:rsidRPr="00653DCF">
              <w:t xml:space="preserve">značajne </w:t>
            </w:r>
            <w:r w:rsidR="00E87B0B" w:rsidRPr="00653DCF">
              <w:t xml:space="preserve">promjene u odnosu na </w:t>
            </w:r>
            <w:r w:rsidRPr="00653DCF">
              <w:t>izvorni opseg</w:t>
            </w:r>
            <w:r w:rsidR="00E87B0B" w:rsidRPr="00653DCF">
              <w:t>;</w:t>
            </w:r>
          </w:p>
          <w:p w14:paraId="67348EB4" w14:textId="7807D35D" w:rsidR="007A2A6F" w:rsidRPr="00653DCF" w:rsidRDefault="00E87B0B" w:rsidP="006010BF">
            <w:pPr>
              <w:pStyle w:val="P68B1DB1-Normal23"/>
              <w:numPr>
                <w:ilvl w:val="0"/>
                <w:numId w:val="87"/>
              </w:numPr>
              <w:spacing w:after="0"/>
            </w:pPr>
            <w:r w:rsidRPr="00653DCF">
              <w:t xml:space="preserve">Ažurirane informacije o datumu </w:t>
            </w:r>
            <w:r w:rsidR="00F001B2" w:rsidRPr="00653DCF">
              <w:t>završetka svake od sastavnica glavnog Projekta</w:t>
            </w:r>
            <w:r w:rsidRPr="00653DCF">
              <w:t xml:space="preserve">, </w:t>
            </w:r>
            <w:r w:rsidR="00F001B2" w:rsidRPr="00653DCF">
              <w:t xml:space="preserve">uključujući </w:t>
            </w:r>
            <w:r w:rsidR="00D814F6" w:rsidRPr="00653DCF">
              <w:t>objašnjavanje razloga svih eventualnih kašnjenja</w:t>
            </w:r>
            <w:r w:rsidRPr="00653DCF">
              <w:t>;</w:t>
            </w:r>
          </w:p>
          <w:p w14:paraId="66538045" w14:textId="7AE84957" w:rsidR="007A2A6F" w:rsidRPr="00653DCF" w:rsidRDefault="00E87B0B" w:rsidP="006010BF">
            <w:pPr>
              <w:pStyle w:val="P68B1DB1-Normal23"/>
              <w:numPr>
                <w:ilvl w:val="0"/>
                <w:numId w:val="87"/>
              </w:numPr>
              <w:spacing w:after="0"/>
            </w:pPr>
            <w:r w:rsidRPr="00653DCF">
              <w:t xml:space="preserve">Ažurirane informacije o portfelju </w:t>
            </w:r>
            <w:r w:rsidR="00D814F6" w:rsidRPr="00653DCF">
              <w:t xml:space="preserve">Projekta, uključujući, ali ne </w:t>
            </w:r>
            <w:r w:rsidR="006B4FC5" w:rsidRPr="00653DCF">
              <w:t>ograničavajući</w:t>
            </w:r>
            <w:r w:rsidR="00D814F6" w:rsidRPr="00653DCF">
              <w:t xml:space="preserve"> se na </w:t>
            </w:r>
            <w:r w:rsidRPr="00653DCF">
              <w:t xml:space="preserve">troškove, datume provedbe, </w:t>
            </w:r>
            <w:r w:rsidR="008062E5" w:rsidRPr="00653DCF">
              <w:t>uz navođenje objašnjenja razloga za odstupanja</w:t>
            </w:r>
            <w:r w:rsidRPr="00653DCF">
              <w:t>;</w:t>
            </w:r>
          </w:p>
          <w:p w14:paraId="2C6CB660" w14:textId="534C18DA" w:rsidR="007A2A6F" w:rsidRPr="00653DCF" w:rsidRDefault="00E87B0B" w:rsidP="006010BF">
            <w:pPr>
              <w:pStyle w:val="P68B1DB1-Normal23"/>
              <w:numPr>
                <w:ilvl w:val="0"/>
                <w:numId w:val="87"/>
              </w:numPr>
              <w:spacing w:after="0"/>
            </w:pPr>
            <w:r w:rsidRPr="00653DCF">
              <w:t xml:space="preserve">Opis </w:t>
            </w:r>
            <w:r w:rsidR="00B42A6E" w:rsidRPr="00653DCF">
              <w:t xml:space="preserve">svih značajnih </w:t>
            </w:r>
            <w:r w:rsidR="008062E5" w:rsidRPr="00653DCF">
              <w:t>pitanja koja utječu</w:t>
            </w:r>
            <w:r w:rsidR="00EA1A76" w:rsidRPr="00653DCF">
              <w:t xml:space="preserve"> na okoliš i/ili imaju socijalne učinke za svaki pojedinačni projekt ili za </w:t>
            </w:r>
            <w:r w:rsidR="006B4FC5" w:rsidRPr="00653DCF">
              <w:t>cjelokupni</w:t>
            </w:r>
            <w:r w:rsidR="00EA1A76" w:rsidRPr="00653DCF">
              <w:t xml:space="preserve"> portfelj Projekta</w:t>
            </w:r>
            <w:r w:rsidRPr="00653DCF">
              <w:t>;</w:t>
            </w:r>
          </w:p>
          <w:p w14:paraId="619D5C83" w14:textId="0050B290" w:rsidR="007A2A6F" w:rsidRPr="00653DCF" w:rsidRDefault="00E87B0B" w:rsidP="006010BF">
            <w:pPr>
              <w:pStyle w:val="P68B1DB1-Normal23"/>
              <w:numPr>
                <w:ilvl w:val="0"/>
                <w:numId w:val="87"/>
              </w:numPr>
              <w:spacing w:after="0"/>
            </w:pPr>
            <w:r w:rsidRPr="00653DCF">
              <w:t xml:space="preserve">Ažuriranje planova nabave za </w:t>
            </w:r>
            <w:r w:rsidR="00087270" w:rsidRPr="00653DCF">
              <w:t>investicijske projekte kojima je dodijeljen zajam</w:t>
            </w:r>
            <w:r w:rsidRPr="00653DCF">
              <w:t>;</w:t>
            </w:r>
          </w:p>
          <w:p w14:paraId="6CF2ED0C" w14:textId="77777777" w:rsidR="007A2A6F" w:rsidRPr="00653DCF" w:rsidRDefault="00E87B0B" w:rsidP="006010BF">
            <w:pPr>
              <w:pStyle w:val="P68B1DB1-Normal23"/>
              <w:numPr>
                <w:ilvl w:val="0"/>
                <w:numId w:val="87"/>
              </w:numPr>
              <w:spacing w:after="0"/>
            </w:pPr>
            <w:r w:rsidRPr="00653DCF">
              <w:t>Ažurirane informacije o nacionalnoj uporabi željeznica za tržišta putničkog i teretnog prometa;</w:t>
            </w:r>
          </w:p>
          <w:p w14:paraId="3E7CCEEF" w14:textId="07216A1C" w:rsidR="007A2A6F" w:rsidRPr="00653DCF" w:rsidRDefault="00E87B0B" w:rsidP="006010BF">
            <w:pPr>
              <w:pStyle w:val="P68B1DB1-Normal23"/>
              <w:numPr>
                <w:ilvl w:val="0"/>
                <w:numId w:val="87"/>
              </w:numPr>
              <w:spacing w:after="0"/>
            </w:pPr>
            <w:r w:rsidRPr="00653DCF">
              <w:t xml:space="preserve">Svako značajno pitanje koje se pojavilo i svaki značajan rizik koji može utjecati na </w:t>
            </w:r>
            <w:r w:rsidR="00F82262" w:rsidRPr="00653DCF">
              <w:t xml:space="preserve">provedbu </w:t>
            </w:r>
            <w:r w:rsidRPr="00653DCF">
              <w:t>okvirnog zajma;</w:t>
            </w:r>
          </w:p>
          <w:p w14:paraId="551B7E1D" w14:textId="73A6EF91" w:rsidR="007A2A6F" w:rsidRPr="00653DCF" w:rsidRDefault="00E87B0B" w:rsidP="006010BF">
            <w:pPr>
              <w:pStyle w:val="P68B1DB1-Normal23"/>
              <w:numPr>
                <w:ilvl w:val="0"/>
                <w:numId w:val="87"/>
              </w:numPr>
              <w:spacing w:after="0"/>
            </w:pPr>
            <w:r w:rsidRPr="00653DCF">
              <w:t xml:space="preserve">Svako značajno pitanje koje se pojavilo i svaki značajan rizik koji može utjecati na </w:t>
            </w:r>
            <w:r w:rsidR="00F35EBF" w:rsidRPr="00653DCF">
              <w:t xml:space="preserve">davanje </w:t>
            </w:r>
            <w:r w:rsidRPr="00653DCF">
              <w:t xml:space="preserve">okvirnog zajma </w:t>
            </w:r>
            <w:r w:rsidR="00235BAB" w:rsidRPr="00653DCF">
              <w:t xml:space="preserve">koji je dodijeljen ili će vjerojatno </w:t>
            </w:r>
            <w:r w:rsidRPr="00653DCF">
              <w:t>uskoro biti dodijeljen;</w:t>
            </w:r>
          </w:p>
          <w:p w14:paraId="1AC20FD4" w14:textId="18DA3907" w:rsidR="007A2A6F" w:rsidRPr="00653DCF" w:rsidRDefault="00385C12" w:rsidP="006010BF">
            <w:pPr>
              <w:pStyle w:val="P68B1DB1-Normal23"/>
              <w:numPr>
                <w:ilvl w:val="0"/>
                <w:numId w:val="87"/>
              </w:numPr>
              <w:spacing w:after="0"/>
            </w:pPr>
            <w:r w:rsidRPr="00653DCF">
              <w:t>Bilo koje sudske parnice</w:t>
            </w:r>
            <w:r w:rsidR="00235BAB" w:rsidRPr="00653DCF">
              <w:t xml:space="preserve"> </w:t>
            </w:r>
            <w:r w:rsidR="00B42A6E" w:rsidRPr="00653DCF">
              <w:t xml:space="preserve">koje se odnose na Projekt, a mogu </w:t>
            </w:r>
            <w:r w:rsidR="00E87B0B" w:rsidRPr="00653DCF">
              <w:t>biti u tijeku;</w:t>
            </w:r>
          </w:p>
          <w:p w14:paraId="21E60412" w14:textId="50A40B07" w:rsidR="007A2A6F" w:rsidRPr="00653DCF" w:rsidRDefault="00E87B0B" w:rsidP="006010BF">
            <w:pPr>
              <w:pStyle w:val="P68B1DB1-Normal23"/>
              <w:numPr>
                <w:ilvl w:val="0"/>
                <w:numId w:val="87"/>
              </w:numPr>
              <w:spacing w:after="0"/>
              <w:contextualSpacing/>
            </w:pPr>
            <w:r w:rsidRPr="00653DCF">
              <w:t>Slike povezane s projektom koje nisu povjerljive, ako su dostupne;</w:t>
            </w:r>
          </w:p>
          <w:p w14:paraId="1036E808" w14:textId="08E12ECE" w:rsidR="007A2A6F" w:rsidRPr="00653DCF" w:rsidRDefault="00E87B0B" w:rsidP="006010BF">
            <w:pPr>
              <w:pStyle w:val="P68B1DB1-Normal24"/>
              <w:numPr>
                <w:ilvl w:val="0"/>
                <w:numId w:val="87"/>
              </w:numPr>
              <w:spacing w:after="160" w:line="256" w:lineRule="auto"/>
              <w:contextualSpacing/>
              <w:rPr>
                <w:rFonts w:ascii="Calibri" w:hAnsi="Calibri"/>
              </w:rPr>
            </w:pPr>
            <w:r w:rsidRPr="00653DCF">
              <w:t xml:space="preserve">Svako ažuriranje plana </w:t>
            </w:r>
            <w:r w:rsidR="003C214E" w:rsidRPr="00653DCF">
              <w:t>Z</w:t>
            </w:r>
            <w:r w:rsidRPr="00653DCF">
              <w:t xml:space="preserve">ajmoprimca ili </w:t>
            </w:r>
            <w:r w:rsidR="003C214E" w:rsidRPr="00653DCF">
              <w:t xml:space="preserve">Projektnih društava vezano za </w:t>
            </w:r>
            <w:r w:rsidRPr="00653DCF">
              <w:t xml:space="preserve">dekarbonizaciju (uključujući ciljne vrijednosti) ili plana za otpornost na klimatske promjene od potpisivanja </w:t>
            </w:r>
            <w:r w:rsidR="009D5B6C" w:rsidRPr="00653DCF">
              <w:t>U</w:t>
            </w:r>
            <w:r w:rsidRPr="00653DCF">
              <w:t>govora;</w:t>
            </w:r>
          </w:p>
          <w:p w14:paraId="5A460791" w14:textId="51847A79" w:rsidR="007A2A6F" w:rsidRPr="00653DCF" w:rsidRDefault="00E87B0B" w:rsidP="006010BF">
            <w:pPr>
              <w:pStyle w:val="P68B1DB1-Normal24"/>
              <w:numPr>
                <w:ilvl w:val="0"/>
                <w:numId w:val="87"/>
              </w:numPr>
              <w:spacing w:after="160" w:line="256" w:lineRule="auto"/>
              <w:contextualSpacing/>
              <w:rPr>
                <w:rFonts w:ascii="Calibri" w:hAnsi="Calibri"/>
              </w:rPr>
            </w:pPr>
            <w:r w:rsidRPr="00653DCF">
              <w:t>Ažurirani portfelj</w:t>
            </w:r>
            <w:r w:rsidR="009D5B6C" w:rsidRPr="00653DCF">
              <w:t xml:space="preserve"> Projekta</w:t>
            </w:r>
            <w:r w:rsidRPr="00653DCF">
              <w:t xml:space="preserve">, uključujući </w:t>
            </w:r>
            <w:r w:rsidR="009B12EA" w:rsidRPr="00653DCF">
              <w:t xml:space="preserve">pregled </w:t>
            </w:r>
            <w:r w:rsidR="002226D2" w:rsidRPr="00653DCF">
              <w:t>opisa</w:t>
            </w:r>
            <w:r w:rsidRPr="00653DCF">
              <w:t xml:space="preserve"> </w:t>
            </w:r>
            <w:r w:rsidR="009B12EA" w:rsidRPr="00653DCF">
              <w:t>Projekta</w:t>
            </w:r>
            <w:r w:rsidRPr="00653DCF">
              <w:t>, predviđeni trošak i razdoblje izgradnje.</w:t>
            </w:r>
          </w:p>
        </w:tc>
        <w:tc>
          <w:tcPr>
            <w:tcW w:w="1134" w:type="dxa"/>
          </w:tcPr>
          <w:p w14:paraId="4B9D3398" w14:textId="2AD81EBD" w:rsidR="007A2A6F" w:rsidRPr="00653DCF" w:rsidRDefault="00E87B0B" w:rsidP="002226D2">
            <w:pPr>
              <w:pStyle w:val="P68B1DB1-Normal23"/>
              <w:spacing w:after="0"/>
              <w:ind w:left="0"/>
              <w:jc w:val="left"/>
            </w:pPr>
            <w:r w:rsidRPr="00653DCF">
              <w:t>30. lipnja svake godine</w:t>
            </w:r>
            <w:r w:rsidR="0087033E" w:rsidRPr="00653DCF">
              <w:t xml:space="preserve"> </w:t>
            </w:r>
          </w:p>
        </w:tc>
        <w:tc>
          <w:tcPr>
            <w:tcW w:w="1560" w:type="dxa"/>
          </w:tcPr>
          <w:p w14:paraId="68D139F7" w14:textId="2802BB38" w:rsidR="007A2A6F" w:rsidRPr="00653DCF" w:rsidRDefault="001069E1">
            <w:pPr>
              <w:pStyle w:val="P68B1DB1-Normal23"/>
              <w:spacing w:after="0"/>
              <w:ind w:left="0"/>
            </w:pPr>
            <w:r w:rsidRPr="00653DCF">
              <w:t>Jednom godišnje</w:t>
            </w:r>
          </w:p>
        </w:tc>
      </w:tr>
    </w:tbl>
    <w:p w14:paraId="162A9C5B" w14:textId="77777777" w:rsidR="007A2A6F" w:rsidRPr="00653DCF" w:rsidRDefault="007A2A6F">
      <w:pPr>
        <w:spacing w:after="0"/>
        <w:ind w:left="0"/>
        <w:rPr>
          <w:rFonts w:eastAsia="Times New Roman" w:cs="Arial"/>
          <w:color w:val="auto"/>
          <w:u w:val="single"/>
        </w:rPr>
      </w:pPr>
    </w:p>
    <w:p w14:paraId="21138588" w14:textId="3E89B584" w:rsidR="007A2A6F" w:rsidRPr="00653DCF" w:rsidRDefault="00E87B0B">
      <w:pPr>
        <w:pStyle w:val="P68B1DB1-Normal25"/>
        <w:spacing w:after="0"/>
        <w:ind w:left="0" w:firstLine="709"/>
        <w:jc w:val="left"/>
        <w:rPr>
          <w:lang w:val="hr-HR"/>
        </w:rPr>
      </w:pPr>
      <w:r w:rsidRPr="00653DCF">
        <w:rPr>
          <w:lang w:val="hr-HR"/>
        </w:rPr>
        <w:t>A.2.4.</w:t>
      </w:r>
      <w:r w:rsidRPr="00653DCF">
        <w:rPr>
          <w:lang w:val="hr-HR"/>
        </w:rPr>
        <w:tab/>
        <w:t xml:space="preserve">Informacije o završetku radova i prvoj godini </w:t>
      </w:r>
      <w:r w:rsidR="00D639B9" w:rsidRPr="00653DCF">
        <w:rPr>
          <w:lang w:val="hr-HR"/>
        </w:rPr>
        <w:t>poslovanja</w:t>
      </w:r>
      <w:r w:rsidRPr="00653DCF">
        <w:rPr>
          <w:lang w:val="hr-HR"/>
        </w:rPr>
        <w:t xml:space="preserve"> </w:t>
      </w:r>
    </w:p>
    <w:p w14:paraId="04F686B4" w14:textId="77777777" w:rsidR="007A2A6F" w:rsidRPr="00653DCF" w:rsidRDefault="007A2A6F">
      <w:pPr>
        <w:spacing w:after="0"/>
        <w:ind w:left="709"/>
        <w:rPr>
          <w:rFonts w:eastAsia="Times New Roman" w:cs="Arial"/>
          <w:color w:val="auto"/>
          <w:lang w:val="hr-HR"/>
        </w:rPr>
      </w:pPr>
    </w:p>
    <w:p w14:paraId="04EBF14B" w14:textId="1D5FD986" w:rsidR="007A2A6F" w:rsidRPr="00653DCF" w:rsidRDefault="00C91E7D">
      <w:pPr>
        <w:pStyle w:val="P68B1DB1-Normal21"/>
        <w:ind w:left="709"/>
        <w:rPr>
          <w:lang w:val="hr-HR"/>
        </w:rPr>
      </w:pPr>
      <w:r w:rsidRPr="00653DCF">
        <w:t>Zajmoprimac (</w:t>
      </w:r>
      <w:r w:rsidR="00501DFC" w:rsidRPr="00653DCF">
        <w:rPr>
          <w:lang w:val="hr-HR"/>
        </w:rPr>
        <w:t>koji djeluje</w:t>
      </w:r>
      <w:r w:rsidRPr="00653DCF">
        <w:t xml:space="preserve"> putem Nositelja)</w:t>
      </w:r>
      <w:r w:rsidR="00E87B0B" w:rsidRPr="00653DCF">
        <w:rPr>
          <w:lang w:val="hr-HR"/>
        </w:rPr>
        <w:t xml:space="preserve"> </w:t>
      </w:r>
      <w:r w:rsidR="00D639B9" w:rsidRPr="00653DCF">
        <w:rPr>
          <w:lang w:val="hr-HR"/>
        </w:rPr>
        <w:t xml:space="preserve">je </w:t>
      </w:r>
      <w:r w:rsidR="002F03C4" w:rsidRPr="00653DCF">
        <w:rPr>
          <w:lang w:val="hr-HR"/>
        </w:rPr>
        <w:t>dužan</w:t>
      </w:r>
      <w:r w:rsidR="00E87B0B" w:rsidRPr="00653DCF">
        <w:rPr>
          <w:lang w:val="hr-HR"/>
        </w:rPr>
        <w:t xml:space="preserve"> Banci dostaviti sljedeće informacije o </w:t>
      </w:r>
      <w:r w:rsidR="00D639B9" w:rsidRPr="00653DCF">
        <w:rPr>
          <w:lang w:val="hr-HR"/>
        </w:rPr>
        <w:t xml:space="preserve">dovršenju </w:t>
      </w:r>
      <w:r w:rsidR="00601C96" w:rsidRPr="00653DCF">
        <w:rPr>
          <w:lang w:val="hr-HR"/>
        </w:rPr>
        <w:t>P</w:t>
      </w:r>
      <w:r w:rsidR="00E87B0B" w:rsidRPr="00653DCF">
        <w:rPr>
          <w:lang w:val="hr-HR"/>
        </w:rPr>
        <w:t xml:space="preserve">rojekta i </w:t>
      </w:r>
      <w:r w:rsidR="00AB2E99" w:rsidRPr="00653DCF">
        <w:rPr>
          <w:lang w:val="hr-HR"/>
        </w:rPr>
        <w:t xml:space="preserve">puštanju u promet, </w:t>
      </w:r>
      <w:r w:rsidR="006E35F3" w:rsidRPr="00653DCF">
        <w:rPr>
          <w:lang w:val="hr-HR"/>
        </w:rPr>
        <w:t>najkasnije</w:t>
      </w:r>
      <w:r w:rsidR="00AB2E99" w:rsidRPr="00653DCF">
        <w:rPr>
          <w:lang w:val="hr-HR"/>
        </w:rPr>
        <w:t xml:space="preserve"> do rokova naznačenih u nastavku</w:t>
      </w:r>
      <w:r w:rsidR="00E87B0B" w:rsidRPr="00653DCF">
        <w:rPr>
          <w:lang w:val="hr-HR"/>
        </w:rPr>
        <w:t>.</w:t>
      </w: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658"/>
        <w:gridCol w:w="2239"/>
      </w:tblGrid>
      <w:tr w:rsidR="007A2A6F" w:rsidRPr="00653DCF" w14:paraId="54051249" w14:textId="77777777" w:rsidTr="00F35EBF">
        <w:trPr>
          <w:cantSplit/>
        </w:trPr>
        <w:tc>
          <w:tcPr>
            <w:tcW w:w="6658" w:type="dxa"/>
            <w:tcBorders>
              <w:bottom w:val="single" w:sz="4" w:space="0" w:color="auto"/>
            </w:tcBorders>
          </w:tcPr>
          <w:p w14:paraId="6A948477" w14:textId="4B27567C" w:rsidR="007A2A6F" w:rsidRPr="00653DCF" w:rsidRDefault="00E87B0B">
            <w:pPr>
              <w:pStyle w:val="P68B1DB1-Normal22"/>
              <w:spacing w:after="0"/>
              <w:ind w:left="0"/>
              <w:rPr>
                <w:lang w:val="hr-HR"/>
              </w:rPr>
            </w:pPr>
            <w:r w:rsidRPr="00653DCF">
              <w:rPr>
                <w:lang w:val="hr-HR"/>
              </w:rPr>
              <w:t>Dokument/informacij</w:t>
            </w:r>
            <w:r w:rsidR="002C5CC4" w:rsidRPr="00653DCF">
              <w:rPr>
                <w:lang w:val="hr-HR"/>
              </w:rPr>
              <w:t>e</w:t>
            </w:r>
          </w:p>
        </w:tc>
        <w:tc>
          <w:tcPr>
            <w:tcW w:w="2239" w:type="dxa"/>
            <w:tcBorders>
              <w:bottom w:val="single" w:sz="4" w:space="0" w:color="auto"/>
            </w:tcBorders>
          </w:tcPr>
          <w:p w14:paraId="5EAAA83D" w14:textId="0CB74A4C" w:rsidR="007A2A6F" w:rsidRPr="00653DCF" w:rsidRDefault="00E87B0B">
            <w:pPr>
              <w:pStyle w:val="P68B1DB1-Normal22"/>
              <w:spacing w:after="0"/>
              <w:ind w:left="0"/>
              <w:jc w:val="left"/>
              <w:rPr>
                <w:lang w:val="hr-HR"/>
              </w:rPr>
            </w:pPr>
            <w:r w:rsidRPr="00653DCF">
              <w:rPr>
                <w:lang w:val="hr-HR"/>
              </w:rPr>
              <w:t xml:space="preserve">Datum </w:t>
            </w:r>
            <w:r w:rsidR="002C5CC4" w:rsidRPr="00653DCF">
              <w:rPr>
                <w:lang w:val="hr-HR"/>
              </w:rPr>
              <w:t>dostave</w:t>
            </w:r>
            <w:r w:rsidRPr="00653DCF">
              <w:rPr>
                <w:lang w:val="hr-HR"/>
              </w:rPr>
              <w:t xml:space="preserve"> </w:t>
            </w:r>
            <w:r w:rsidRPr="00653DCF">
              <w:rPr>
                <w:lang w:val="hr-HR"/>
              </w:rPr>
              <w:br/>
            </w:r>
            <w:r w:rsidR="002C5CC4" w:rsidRPr="00653DCF">
              <w:rPr>
                <w:lang w:val="hr-HR"/>
              </w:rPr>
              <w:t>B</w:t>
            </w:r>
            <w:r w:rsidRPr="00653DCF">
              <w:rPr>
                <w:lang w:val="hr-HR"/>
              </w:rPr>
              <w:t>anci</w:t>
            </w:r>
          </w:p>
        </w:tc>
      </w:tr>
      <w:tr w:rsidR="007A2A6F" w:rsidRPr="00653DCF" w14:paraId="265C498C" w14:textId="77777777" w:rsidTr="00F35EBF">
        <w:trPr>
          <w:cantSplit/>
        </w:trPr>
        <w:tc>
          <w:tcPr>
            <w:tcW w:w="6658" w:type="dxa"/>
          </w:tcPr>
          <w:p w14:paraId="619B6A76" w14:textId="77777777" w:rsidR="007A2A6F" w:rsidRPr="00653DCF" w:rsidRDefault="00E87B0B">
            <w:pPr>
              <w:pStyle w:val="P68B1DB1-Normal21"/>
              <w:ind w:left="0"/>
              <w:rPr>
                <w:lang w:val="hr-HR"/>
              </w:rPr>
            </w:pPr>
            <w:r w:rsidRPr="00653DCF">
              <w:rPr>
                <w:lang w:val="hr-HR"/>
              </w:rPr>
              <w:t xml:space="preserve">Izvješće o završetku projekta, uključujući: </w:t>
            </w:r>
          </w:p>
          <w:p w14:paraId="225018F2" w14:textId="232551DE" w:rsidR="007A2A6F" w:rsidRPr="00653DCF" w:rsidRDefault="00E87B0B" w:rsidP="006010BF">
            <w:pPr>
              <w:pStyle w:val="P68B1DB1-Normal23"/>
              <w:numPr>
                <w:ilvl w:val="0"/>
                <w:numId w:val="87"/>
              </w:numPr>
              <w:spacing w:after="0"/>
              <w:jc w:val="left"/>
              <w:rPr>
                <w:lang w:val="hr-HR"/>
              </w:rPr>
            </w:pPr>
            <w:r w:rsidRPr="00653DCF">
              <w:rPr>
                <w:lang w:val="hr-HR"/>
              </w:rPr>
              <w:t xml:space="preserve">Konačni </w:t>
            </w:r>
            <w:r w:rsidR="002C5CC4" w:rsidRPr="00653DCF">
              <w:rPr>
                <w:lang w:val="hr-HR"/>
              </w:rPr>
              <w:t xml:space="preserve">završni </w:t>
            </w:r>
            <w:r w:rsidRPr="00653DCF">
              <w:rPr>
                <w:lang w:val="hr-HR"/>
              </w:rPr>
              <w:t xml:space="preserve">tehnički opis projekta, u kojem se objašnjavaju razlozi za svaku značajnu promjenu u usporedbi s tehničkim opisom u </w:t>
            </w:r>
            <w:r w:rsidR="003E6211" w:rsidRPr="00653DCF">
              <w:rPr>
                <w:lang w:val="hr-HR"/>
              </w:rPr>
              <w:t xml:space="preserve">Prilogu </w:t>
            </w:r>
            <w:r w:rsidRPr="00653DCF">
              <w:rPr>
                <w:lang w:val="hr-HR"/>
              </w:rPr>
              <w:t>A.1.;</w:t>
            </w:r>
          </w:p>
          <w:p w14:paraId="75D9BADA" w14:textId="494D30B8" w:rsidR="007A2A6F" w:rsidRPr="00653DCF" w:rsidRDefault="00E87B0B" w:rsidP="006010BF">
            <w:pPr>
              <w:pStyle w:val="P68B1DB1-Normal23"/>
              <w:numPr>
                <w:ilvl w:val="0"/>
                <w:numId w:val="87"/>
              </w:numPr>
              <w:spacing w:after="0"/>
              <w:jc w:val="left"/>
              <w:rPr>
                <w:lang w:val="hr-HR"/>
              </w:rPr>
            </w:pPr>
            <w:r w:rsidRPr="00653DCF">
              <w:rPr>
                <w:lang w:val="hr-HR"/>
              </w:rPr>
              <w:t>Europsk</w:t>
            </w:r>
            <w:r w:rsidR="003E6211" w:rsidRPr="00653DCF">
              <w:rPr>
                <w:lang w:val="hr-HR"/>
              </w:rPr>
              <w:t>e</w:t>
            </w:r>
            <w:r w:rsidRPr="00653DCF">
              <w:rPr>
                <w:lang w:val="hr-HR"/>
              </w:rPr>
              <w:t xml:space="preserve"> brojev</w:t>
            </w:r>
            <w:r w:rsidR="003E6211" w:rsidRPr="00653DCF">
              <w:rPr>
                <w:lang w:val="hr-HR"/>
              </w:rPr>
              <w:t>e</w:t>
            </w:r>
            <w:r w:rsidRPr="00653DCF">
              <w:rPr>
                <w:lang w:val="hr-HR"/>
              </w:rPr>
              <w:t xml:space="preserve"> vozila </w:t>
            </w:r>
            <w:r w:rsidR="003E6211" w:rsidRPr="00653DCF">
              <w:rPr>
                <w:lang w:val="hr-HR"/>
              </w:rPr>
              <w:t xml:space="preserve">za </w:t>
            </w:r>
            <w:r w:rsidRPr="00653DCF">
              <w:rPr>
                <w:lang w:val="hr-HR"/>
              </w:rPr>
              <w:t>željezničk</w:t>
            </w:r>
            <w:r w:rsidR="003E6211" w:rsidRPr="00653DCF">
              <w:rPr>
                <w:lang w:val="hr-HR"/>
              </w:rPr>
              <w:t>a</w:t>
            </w:r>
            <w:r w:rsidRPr="00653DCF">
              <w:rPr>
                <w:lang w:val="hr-HR"/>
              </w:rPr>
              <w:t xml:space="preserve"> vozila koje financira Banka;</w:t>
            </w:r>
          </w:p>
          <w:p w14:paraId="3CE22D37" w14:textId="63E26D0A" w:rsidR="007A2A6F" w:rsidRPr="00653DCF" w:rsidRDefault="00E87B0B" w:rsidP="006010BF">
            <w:pPr>
              <w:pStyle w:val="P68B1DB1-Normal23"/>
              <w:numPr>
                <w:ilvl w:val="0"/>
                <w:numId w:val="87"/>
              </w:numPr>
              <w:spacing w:after="0"/>
              <w:jc w:val="left"/>
              <w:rPr>
                <w:lang w:val="hr-HR"/>
              </w:rPr>
            </w:pPr>
            <w:r w:rsidRPr="00653DCF">
              <w:rPr>
                <w:lang w:val="hr-HR"/>
              </w:rPr>
              <w:t xml:space="preserve">Datum završetka svake od sastavnica glavnog </w:t>
            </w:r>
            <w:r w:rsidR="003E6211" w:rsidRPr="00653DCF">
              <w:rPr>
                <w:lang w:val="hr-HR"/>
              </w:rPr>
              <w:t>P</w:t>
            </w:r>
            <w:r w:rsidRPr="00653DCF">
              <w:rPr>
                <w:lang w:val="hr-HR"/>
              </w:rPr>
              <w:t xml:space="preserve">rojekta, uz objašnjenje razloga za svako </w:t>
            </w:r>
            <w:r w:rsidR="003E6211" w:rsidRPr="00653DCF">
              <w:rPr>
                <w:lang w:val="hr-HR"/>
              </w:rPr>
              <w:t xml:space="preserve">eventualno </w:t>
            </w:r>
            <w:r w:rsidRPr="00653DCF">
              <w:rPr>
                <w:lang w:val="hr-HR"/>
              </w:rPr>
              <w:t>kašnjenje;</w:t>
            </w:r>
          </w:p>
          <w:p w14:paraId="4BED5FBC" w14:textId="12A5BB3A" w:rsidR="007A2A6F" w:rsidRPr="00653DCF" w:rsidRDefault="00E87B0B" w:rsidP="006010BF">
            <w:pPr>
              <w:pStyle w:val="P68B1DB1-Normal23"/>
              <w:numPr>
                <w:ilvl w:val="0"/>
                <w:numId w:val="87"/>
              </w:numPr>
              <w:spacing w:after="0"/>
              <w:jc w:val="left"/>
              <w:rPr>
                <w:lang w:val="hr-HR"/>
              </w:rPr>
            </w:pPr>
            <w:r w:rsidRPr="00653DCF">
              <w:rPr>
                <w:lang w:val="hr-HR"/>
              </w:rPr>
              <w:t xml:space="preserve">Konačni trošak </w:t>
            </w:r>
            <w:r w:rsidR="00CF45F9" w:rsidRPr="00653DCF">
              <w:rPr>
                <w:lang w:val="hr-HR"/>
              </w:rPr>
              <w:t>P</w:t>
            </w:r>
            <w:r w:rsidRPr="00653DCF">
              <w:rPr>
                <w:lang w:val="hr-HR"/>
              </w:rPr>
              <w:t xml:space="preserve">rojekta, uz objašnjenje razloga za </w:t>
            </w:r>
            <w:r w:rsidR="00CF45F9" w:rsidRPr="00653DCF">
              <w:rPr>
                <w:lang w:val="hr-HR"/>
              </w:rPr>
              <w:t xml:space="preserve">eventualne </w:t>
            </w:r>
            <w:r w:rsidRPr="00653DCF">
              <w:rPr>
                <w:lang w:val="hr-HR"/>
              </w:rPr>
              <w:t xml:space="preserve">promjene troškova u odnosu na </w:t>
            </w:r>
            <w:r w:rsidR="009601F6" w:rsidRPr="00653DCF">
              <w:rPr>
                <w:lang w:val="hr-HR"/>
              </w:rPr>
              <w:t>izvorno</w:t>
            </w:r>
            <w:r w:rsidR="00CF45F9" w:rsidRPr="00653DCF">
              <w:rPr>
                <w:lang w:val="hr-HR"/>
              </w:rPr>
              <w:t xml:space="preserve"> planiran </w:t>
            </w:r>
            <w:r w:rsidRPr="00653DCF">
              <w:rPr>
                <w:lang w:val="hr-HR"/>
              </w:rPr>
              <w:t>trošak;</w:t>
            </w:r>
          </w:p>
          <w:p w14:paraId="6C7E9772" w14:textId="4FCA198C" w:rsidR="007A2A6F" w:rsidRPr="00653DCF" w:rsidRDefault="00E87B0B" w:rsidP="006010BF">
            <w:pPr>
              <w:pStyle w:val="P68B1DB1-Normal23"/>
              <w:numPr>
                <w:ilvl w:val="0"/>
                <w:numId w:val="87"/>
              </w:numPr>
              <w:spacing w:after="0"/>
              <w:jc w:val="left"/>
              <w:rPr>
                <w:lang w:val="hr-HR"/>
              </w:rPr>
            </w:pPr>
            <w:r w:rsidRPr="00653DCF">
              <w:rPr>
                <w:lang w:val="hr-HR"/>
              </w:rPr>
              <w:t xml:space="preserve">Ažuriranje planova nabave za </w:t>
            </w:r>
            <w:r w:rsidR="00CF45F9" w:rsidRPr="00653DCF">
              <w:rPr>
                <w:lang w:val="hr-HR"/>
              </w:rPr>
              <w:t xml:space="preserve">investicijske projekte </w:t>
            </w:r>
            <w:r w:rsidR="00C75550" w:rsidRPr="00653DCF">
              <w:rPr>
                <w:lang w:val="hr-HR"/>
              </w:rPr>
              <w:t>za koje je dodijeljen zajam</w:t>
            </w:r>
            <w:r w:rsidRPr="00653DCF">
              <w:rPr>
                <w:lang w:val="hr-HR"/>
              </w:rPr>
              <w:t>;</w:t>
            </w:r>
          </w:p>
          <w:p w14:paraId="4F84DCAF" w14:textId="2318D88F" w:rsidR="007A2A6F" w:rsidRPr="00653DCF" w:rsidRDefault="00E87B0B" w:rsidP="006010BF">
            <w:pPr>
              <w:pStyle w:val="P68B1DB1-Normal23"/>
              <w:numPr>
                <w:ilvl w:val="0"/>
                <w:numId w:val="87"/>
              </w:numPr>
              <w:spacing w:after="0"/>
              <w:jc w:val="left"/>
              <w:rPr>
                <w:lang w:val="hr-HR"/>
              </w:rPr>
            </w:pPr>
            <w:r w:rsidRPr="00653DCF">
              <w:rPr>
                <w:lang w:val="hr-HR"/>
              </w:rPr>
              <w:t xml:space="preserve">Učinci </w:t>
            </w:r>
            <w:r w:rsidR="00C75550" w:rsidRPr="00653DCF">
              <w:rPr>
                <w:lang w:val="hr-HR"/>
              </w:rPr>
              <w:t>P</w:t>
            </w:r>
            <w:r w:rsidRPr="00653DCF">
              <w:rPr>
                <w:lang w:val="hr-HR"/>
              </w:rPr>
              <w:t xml:space="preserve">rojekta na zapošljavanje: </w:t>
            </w:r>
            <w:r w:rsidR="00C75550" w:rsidRPr="00653DCF">
              <w:rPr>
                <w:lang w:val="hr-HR"/>
              </w:rPr>
              <w:t>čovjek</w:t>
            </w:r>
            <w:r w:rsidR="009601F6" w:rsidRPr="00653DCF">
              <w:rPr>
                <w:lang w:val="hr-HR"/>
              </w:rPr>
              <w:t>-</w:t>
            </w:r>
            <w:r w:rsidR="00C75550" w:rsidRPr="00653DCF">
              <w:rPr>
                <w:lang w:val="hr-HR"/>
              </w:rPr>
              <w:t xml:space="preserve">dani </w:t>
            </w:r>
            <w:r w:rsidRPr="00653DCF">
              <w:rPr>
                <w:lang w:val="hr-HR"/>
              </w:rPr>
              <w:t xml:space="preserve">potrebni tijekom provedbe, kao i </w:t>
            </w:r>
            <w:r w:rsidR="009601F6" w:rsidRPr="00653DCF">
              <w:rPr>
                <w:lang w:val="hr-HR"/>
              </w:rPr>
              <w:t>novo</w:t>
            </w:r>
            <w:r w:rsidRPr="00653DCF">
              <w:rPr>
                <w:lang w:val="hr-HR"/>
              </w:rPr>
              <w:t>otvorena stalna radna mjesta;</w:t>
            </w:r>
          </w:p>
          <w:p w14:paraId="3713118C" w14:textId="77777777" w:rsidR="007A2A6F" w:rsidRPr="00653DCF" w:rsidRDefault="00E87B0B" w:rsidP="006010BF">
            <w:pPr>
              <w:pStyle w:val="P68B1DB1-Normal23"/>
              <w:numPr>
                <w:ilvl w:val="0"/>
                <w:numId w:val="87"/>
              </w:numPr>
              <w:spacing w:after="0"/>
              <w:jc w:val="left"/>
              <w:rPr>
                <w:lang w:val="hr-HR"/>
              </w:rPr>
            </w:pPr>
            <w:r w:rsidRPr="00653DCF">
              <w:rPr>
                <w:lang w:val="hr-HR"/>
              </w:rPr>
              <w:t>Opis svakog važnog pitanja koje utječe na okoliš ili na društvo;</w:t>
            </w:r>
          </w:p>
          <w:p w14:paraId="7194F7E1" w14:textId="4090D928" w:rsidR="007A2A6F" w:rsidRPr="00653DCF" w:rsidRDefault="00E87B0B" w:rsidP="006010BF">
            <w:pPr>
              <w:pStyle w:val="P68B1DB1-Normal23"/>
              <w:numPr>
                <w:ilvl w:val="0"/>
                <w:numId w:val="87"/>
              </w:numPr>
              <w:spacing w:after="0"/>
              <w:jc w:val="left"/>
              <w:rPr>
                <w:lang w:val="hr-HR"/>
              </w:rPr>
            </w:pPr>
            <w:r w:rsidRPr="00653DCF">
              <w:rPr>
                <w:lang w:val="hr-HR"/>
              </w:rPr>
              <w:t xml:space="preserve">Ažurirane informacije o </w:t>
            </w:r>
            <w:r w:rsidR="00C93C5B" w:rsidRPr="00653DCF">
              <w:rPr>
                <w:lang w:val="hr-HR"/>
              </w:rPr>
              <w:t xml:space="preserve">potražnji za </w:t>
            </w:r>
            <w:r w:rsidR="006E35F3" w:rsidRPr="00653DCF">
              <w:rPr>
                <w:lang w:val="hr-HR"/>
              </w:rPr>
              <w:t>Projektom</w:t>
            </w:r>
            <w:r w:rsidR="00C93C5B" w:rsidRPr="00653DCF">
              <w:rPr>
                <w:lang w:val="hr-HR"/>
              </w:rPr>
              <w:t xml:space="preserve"> </w:t>
            </w:r>
            <w:r w:rsidRPr="00653DCF">
              <w:rPr>
                <w:lang w:val="hr-HR"/>
              </w:rPr>
              <w:t xml:space="preserve">ili korištenju </w:t>
            </w:r>
            <w:r w:rsidR="00825BF6" w:rsidRPr="00653DCF">
              <w:rPr>
                <w:lang w:val="hr-HR"/>
              </w:rPr>
              <w:t>P</w:t>
            </w:r>
            <w:r w:rsidRPr="00653DCF">
              <w:rPr>
                <w:lang w:val="hr-HR"/>
              </w:rPr>
              <w:t xml:space="preserve">rojekta i </w:t>
            </w:r>
            <w:r w:rsidR="00825BF6" w:rsidRPr="00653DCF">
              <w:rPr>
                <w:lang w:val="hr-HR"/>
              </w:rPr>
              <w:t>primjedbama</w:t>
            </w:r>
            <w:r w:rsidRPr="00653DCF">
              <w:rPr>
                <w:lang w:val="hr-HR"/>
              </w:rPr>
              <w:t>;</w:t>
            </w:r>
          </w:p>
          <w:p w14:paraId="7AF672A3" w14:textId="13507C53" w:rsidR="007A2A6F" w:rsidRPr="00653DCF" w:rsidRDefault="00E87B0B" w:rsidP="006010BF">
            <w:pPr>
              <w:pStyle w:val="P68B1DB1-Normal23"/>
              <w:numPr>
                <w:ilvl w:val="0"/>
                <w:numId w:val="87"/>
              </w:numPr>
              <w:spacing w:after="0"/>
              <w:jc w:val="left"/>
              <w:rPr>
                <w:lang w:val="hr-HR"/>
              </w:rPr>
            </w:pPr>
            <w:r w:rsidRPr="00653DCF">
              <w:rPr>
                <w:lang w:val="hr-HR"/>
              </w:rPr>
              <w:t>Svak</w:t>
            </w:r>
            <w:r w:rsidR="00825BF6" w:rsidRPr="00653DCF">
              <w:rPr>
                <w:lang w:val="hr-HR"/>
              </w:rPr>
              <w:t>o</w:t>
            </w:r>
            <w:r w:rsidRPr="00653DCF">
              <w:rPr>
                <w:lang w:val="hr-HR"/>
              </w:rPr>
              <w:t xml:space="preserve"> </w:t>
            </w:r>
            <w:r w:rsidR="00825BF6" w:rsidRPr="00653DCF">
              <w:rPr>
                <w:lang w:val="hr-HR"/>
              </w:rPr>
              <w:t xml:space="preserve">značajno pitanje </w:t>
            </w:r>
            <w:r w:rsidRPr="00653DCF">
              <w:rPr>
                <w:lang w:val="hr-HR"/>
              </w:rPr>
              <w:t xml:space="preserve">koji se pojavio i svaki značajan rizik koji može utjecati na rad </w:t>
            </w:r>
            <w:r w:rsidR="009A0F9D" w:rsidRPr="00653DCF">
              <w:rPr>
                <w:lang w:val="hr-HR"/>
              </w:rPr>
              <w:t>P</w:t>
            </w:r>
            <w:r w:rsidRPr="00653DCF">
              <w:rPr>
                <w:lang w:val="hr-HR"/>
              </w:rPr>
              <w:t>rojekta;</w:t>
            </w:r>
          </w:p>
          <w:p w14:paraId="5B98D9D0" w14:textId="18AFD640" w:rsidR="007A2A6F" w:rsidRPr="00653DCF" w:rsidRDefault="009A0F9D" w:rsidP="006010BF">
            <w:pPr>
              <w:pStyle w:val="P68B1DB1-Normal23"/>
              <w:numPr>
                <w:ilvl w:val="0"/>
                <w:numId w:val="87"/>
              </w:numPr>
              <w:spacing w:after="0"/>
              <w:jc w:val="left"/>
              <w:rPr>
                <w:lang w:val="hr-HR"/>
              </w:rPr>
            </w:pPr>
            <w:r w:rsidRPr="00653DCF">
              <w:rPr>
                <w:lang w:val="hr-HR"/>
              </w:rPr>
              <w:t xml:space="preserve">Bilo koje sudske </w:t>
            </w:r>
            <w:r w:rsidR="009601F6" w:rsidRPr="00653DCF">
              <w:rPr>
                <w:lang w:val="hr-HR"/>
              </w:rPr>
              <w:t>p</w:t>
            </w:r>
            <w:r w:rsidRPr="00653DCF">
              <w:rPr>
                <w:lang w:val="hr-HR"/>
              </w:rPr>
              <w:t xml:space="preserve">arnice koje se odnose na Projekt, a koje </w:t>
            </w:r>
            <w:r w:rsidR="00E87B0B" w:rsidRPr="00653DCF">
              <w:rPr>
                <w:lang w:val="hr-HR"/>
              </w:rPr>
              <w:t>mogu biti u tijeku;</w:t>
            </w:r>
          </w:p>
          <w:p w14:paraId="11E8F17C" w14:textId="4F0788E1" w:rsidR="007A2A6F" w:rsidRPr="00653DCF" w:rsidRDefault="00E87B0B" w:rsidP="006010BF">
            <w:pPr>
              <w:pStyle w:val="P68B1DB1-Normal23"/>
              <w:numPr>
                <w:ilvl w:val="0"/>
                <w:numId w:val="87"/>
              </w:numPr>
              <w:spacing w:after="0"/>
              <w:jc w:val="left"/>
              <w:rPr>
                <w:lang w:val="hr-HR"/>
              </w:rPr>
            </w:pPr>
            <w:r w:rsidRPr="00653DCF">
              <w:rPr>
                <w:lang w:val="hr-HR"/>
              </w:rPr>
              <w:t xml:space="preserve">Svako ažuriranje plana </w:t>
            </w:r>
            <w:r w:rsidR="009C700A" w:rsidRPr="00653DCF">
              <w:rPr>
                <w:lang w:val="hr-HR"/>
              </w:rPr>
              <w:t xml:space="preserve">Nositelja ili Projektnih društava o dekarbonizaciji </w:t>
            </w:r>
            <w:r w:rsidRPr="00653DCF">
              <w:rPr>
                <w:lang w:val="hr-HR"/>
              </w:rPr>
              <w:t xml:space="preserve">(uključujući ciljne vrijednosti) ili plana za otpornost na klimatske promjene nakon </w:t>
            </w:r>
            <w:r w:rsidR="002226D2" w:rsidRPr="00653DCF">
              <w:rPr>
                <w:lang w:val="hr-HR"/>
              </w:rPr>
              <w:t>potpisa Ugovora</w:t>
            </w:r>
            <w:r w:rsidRPr="00653DCF">
              <w:rPr>
                <w:lang w:val="hr-HR"/>
              </w:rPr>
              <w:t>;</w:t>
            </w:r>
          </w:p>
          <w:p w14:paraId="690F7610" w14:textId="61CEA690" w:rsidR="007A2A6F" w:rsidRPr="00653DCF" w:rsidRDefault="006E35F3" w:rsidP="006010BF">
            <w:pPr>
              <w:pStyle w:val="P68B1DB1-Normal23"/>
              <w:numPr>
                <w:ilvl w:val="0"/>
                <w:numId w:val="87"/>
              </w:numPr>
              <w:spacing w:after="0"/>
              <w:jc w:val="left"/>
              <w:rPr>
                <w:lang w:val="hr-HR"/>
              </w:rPr>
            </w:pPr>
            <w:r w:rsidRPr="00653DCF">
              <w:rPr>
                <w:lang w:val="hr-HR"/>
              </w:rPr>
              <w:t>Slike povezane s projektom koje nisu povjerljive, ako su dostupne</w:t>
            </w:r>
            <w:r w:rsidR="00E87B0B" w:rsidRPr="00653DCF">
              <w:rPr>
                <w:lang w:val="hr-HR"/>
              </w:rPr>
              <w:t>.</w:t>
            </w:r>
          </w:p>
        </w:tc>
        <w:tc>
          <w:tcPr>
            <w:tcW w:w="2239" w:type="dxa"/>
          </w:tcPr>
          <w:p w14:paraId="11312B71" w14:textId="77777777" w:rsidR="007A2A6F" w:rsidRPr="00653DCF" w:rsidRDefault="00E87B0B" w:rsidP="00601C96">
            <w:pPr>
              <w:pStyle w:val="P68B1DB1-Normal23"/>
              <w:spacing w:after="0"/>
              <w:ind w:left="0"/>
              <w:jc w:val="left"/>
              <w:rPr>
                <w:lang w:val="hr-HR"/>
              </w:rPr>
            </w:pPr>
            <w:r w:rsidRPr="00653DCF">
              <w:rPr>
                <w:lang w:val="hr-HR"/>
              </w:rPr>
              <w:t>Ožujak 2034., 15 mjeseci nakon posljednje godine provedbe</w:t>
            </w:r>
          </w:p>
        </w:tc>
      </w:tr>
    </w:tbl>
    <w:p w14:paraId="3D7E3BE1" w14:textId="77777777" w:rsidR="007A2A6F" w:rsidRPr="00653DCF" w:rsidRDefault="007A2A6F">
      <w:pPr>
        <w:spacing w:after="0"/>
        <w:ind w:left="1069"/>
        <w:rPr>
          <w:rFonts w:eastAsia="Times New Roman" w:cs="Arial"/>
          <w:color w:val="auto"/>
          <w:lang w:val="hr-HR"/>
        </w:rPr>
      </w:pPr>
    </w:p>
    <w:p w14:paraId="0116DFA3" w14:textId="014FEB61" w:rsidR="007A2A6F" w:rsidRPr="00653DCF" w:rsidRDefault="00E87B0B">
      <w:pPr>
        <w:pStyle w:val="SubSchedule4EIB"/>
        <w:numPr>
          <w:ilvl w:val="0"/>
          <w:numId w:val="0"/>
        </w:numPr>
        <w:ind w:firstLine="567"/>
        <w:rPr>
          <w:color w:val="auto"/>
          <w:lang w:val="hr-HR"/>
        </w:rPr>
      </w:pPr>
      <w:r w:rsidRPr="00653DCF">
        <w:rPr>
          <w:color w:val="auto"/>
          <w:lang w:val="hr-HR"/>
        </w:rPr>
        <w:t xml:space="preserve">Jezik </w:t>
      </w:r>
      <w:r w:rsidR="004C6A81" w:rsidRPr="00653DCF">
        <w:rPr>
          <w:color w:val="auto"/>
          <w:lang w:val="hr-HR"/>
        </w:rPr>
        <w:t>izvještaja</w:t>
      </w:r>
    </w:p>
    <w:p w14:paraId="56EDA99B" w14:textId="041E8ACF" w:rsidR="007A2A6F" w:rsidRPr="00653DCF" w:rsidRDefault="00E87B0B">
      <w:pPr>
        <w:ind w:left="284" w:firstLine="289"/>
        <w:rPr>
          <w:color w:val="auto"/>
          <w:lang w:val="hr-HR"/>
        </w:rPr>
      </w:pPr>
      <w:r w:rsidRPr="00653DCF">
        <w:rPr>
          <w:color w:val="auto"/>
          <w:lang w:val="hr-HR"/>
        </w:rPr>
        <w:t>Sv</w:t>
      </w:r>
      <w:r w:rsidR="004C6A81" w:rsidRPr="00653DCF">
        <w:rPr>
          <w:color w:val="auto"/>
          <w:lang w:val="hr-HR"/>
        </w:rPr>
        <w:t>i izvještaji</w:t>
      </w:r>
      <w:r w:rsidRPr="00653DCF">
        <w:rPr>
          <w:color w:val="auto"/>
          <w:lang w:val="hr-HR"/>
        </w:rPr>
        <w:t xml:space="preserve"> dostavljaju se na engleskom jeziku. </w:t>
      </w:r>
    </w:p>
    <w:p w14:paraId="5B5EDAF4" w14:textId="77777777" w:rsidR="007A2A6F" w:rsidRPr="00653DCF" w:rsidRDefault="007A2A6F">
      <w:pPr>
        <w:rPr>
          <w:color w:val="auto"/>
        </w:rPr>
      </w:pPr>
    </w:p>
    <w:p w14:paraId="134A31E2" w14:textId="77777777" w:rsidR="007A2A6F" w:rsidRPr="00653DCF" w:rsidRDefault="007A2A6F">
      <w:pPr>
        <w:rPr>
          <w:color w:val="auto"/>
        </w:rPr>
      </w:pPr>
    </w:p>
    <w:p w14:paraId="66C2DC3C" w14:textId="5ECB1771" w:rsidR="007A2A6F" w:rsidRPr="00653DCF" w:rsidRDefault="00E87B0B">
      <w:pPr>
        <w:spacing w:after="200" w:line="276" w:lineRule="auto"/>
        <w:ind w:left="0"/>
        <w:jc w:val="left"/>
        <w:rPr>
          <w:color w:val="auto"/>
          <w:lang w:val="hr-HR"/>
        </w:rPr>
      </w:pPr>
      <w:r w:rsidRPr="00653DCF">
        <w:rPr>
          <w:color w:val="auto"/>
          <w:lang w:val="hr-HR"/>
        </w:rPr>
        <w:br w:type="page"/>
      </w:r>
    </w:p>
    <w:p w14:paraId="5C87D2FF" w14:textId="77777777" w:rsidR="007A2A6F" w:rsidRPr="00653DCF" w:rsidRDefault="007A2A6F">
      <w:pPr>
        <w:pStyle w:val="ScheduleEIB"/>
        <w:rPr>
          <w:color w:val="auto"/>
          <w:lang w:val="hr-HR"/>
        </w:rPr>
      </w:pPr>
      <w:bookmarkStart w:id="838" w:name="_Toc498018708"/>
      <w:bookmarkStart w:id="839" w:name="_Toc508120576"/>
      <w:bookmarkStart w:id="840" w:name="_Toc126080767"/>
      <w:bookmarkStart w:id="841" w:name="_Toc126080899"/>
      <w:bookmarkStart w:id="842" w:name="_Ref426714274"/>
      <w:bookmarkStart w:id="843" w:name="_Ref497990307"/>
      <w:bookmarkEnd w:id="838"/>
      <w:bookmarkEnd w:id="839"/>
      <w:bookmarkEnd w:id="840"/>
      <w:bookmarkEnd w:id="841"/>
    </w:p>
    <w:p w14:paraId="61B65B60" w14:textId="0C0C1BE1" w:rsidR="007A2A6F" w:rsidRPr="00653DCF" w:rsidRDefault="00E87B0B">
      <w:pPr>
        <w:pStyle w:val="SubSchedule1EIB"/>
        <w:rPr>
          <w:color w:val="auto"/>
          <w:lang w:val="hr-HR"/>
        </w:rPr>
      </w:pPr>
      <w:bookmarkStart w:id="844" w:name="_Toc485320129"/>
      <w:bookmarkStart w:id="845" w:name="_Toc119583442"/>
      <w:bookmarkStart w:id="846" w:name="_Toc125635471"/>
      <w:bookmarkStart w:id="847" w:name="_Ref126266070"/>
      <w:bookmarkStart w:id="848" w:name="_Ref498017981"/>
      <w:bookmarkStart w:id="849" w:name="_Toc498018709"/>
      <w:bookmarkStart w:id="850" w:name="_Toc508120577"/>
      <w:bookmarkStart w:id="851" w:name="_Ref432947174"/>
      <w:bookmarkStart w:id="852" w:name="_Toc126080768"/>
      <w:bookmarkStart w:id="853" w:name="_Toc126080900"/>
      <w:bookmarkEnd w:id="842"/>
      <w:bookmarkEnd w:id="843"/>
      <w:r w:rsidRPr="00653DCF">
        <w:rPr>
          <w:color w:val="auto"/>
          <w:lang w:val="hr-HR"/>
        </w:rPr>
        <w:t>Definicija EURIBOR-a</w:t>
      </w:r>
      <w:bookmarkEnd w:id="844"/>
      <w:bookmarkEnd w:id="845"/>
      <w:bookmarkEnd w:id="846"/>
      <w:bookmarkEnd w:id="847"/>
      <w:bookmarkEnd w:id="848"/>
      <w:bookmarkEnd w:id="849"/>
      <w:bookmarkEnd w:id="850"/>
      <w:bookmarkEnd w:id="851"/>
      <w:bookmarkEnd w:id="852"/>
      <w:bookmarkEnd w:id="853"/>
    </w:p>
    <w:p w14:paraId="1A8FE591" w14:textId="77777777" w:rsidR="007A2A6F" w:rsidRPr="00653DCF" w:rsidRDefault="00E87B0B">
      <w:pPr>
        <w:pStyle w:val="SubSchedule2EIB"/>
        <w:keepNext w:val="0"/>
        <w:keepLines w:val="0"/>
        <w:widowControl w:val="0"/>
        <w:numPr>
          <w:ilvl w:val="0"/>
          <w:numId w:val="0"/>
        </w:numPr>
        <w:ind w:left="856"/>
        <w:rPr>
          <w:color w:val="auto"/>
          <w:lang w:val="hr-HR"/>
        </w:rPr>
      </w:pPr>
      <w:bookmarkStart w:id="854" w:name="_Toc475441214"/>
      <w:bookmarkStart w:id="855" w:name="_Ref426714180"/>
      <w:bookmarkStart w:id="856" w:name="_Ref442870547"/>
      <w:bookmarkEnd w:id="854"/>
      <w:r w:rsidRPr="00653DCF">
        <w:rPr>
          <w:color w:val="auto"/>
          <w:lang w:val="hr-HR"/>
        </w:rPr>
        <w:t>EURIBOR</w:t>
      </w:r>
    </w:p>
    <w:p w14:paraId="1D669A0F" w14:textId="77777777" w:rsidR="007A2A6F" w:rsidRPr="00653DCF" w:rsidRDefault="00E87B0B">
      <w:pPr>
        <w:rPr>
          <w:color w:val="auto"/>
          <w:lang w:val="hr-HR"/>
        </w:rPr>
      </w:pPr>
      <w:r w:rsidRPr="00653DCF">
        <w:rPr>
          <w:color w:val="auto"/>
          <w:lang w:val="hr-HR"/>
        </w:rPr>
        <w:t>„</w:t>
      </w:r>
      <w:r w:rsidRPr="00653DCF">
        <w:rPr>
          <w:rStyle w:val="BoldEIB"/>
          <w:color w:val="auto"/>
          <w:lang w:val="hr-HR"/>
        </w:rPr>
        <w:t>EURIBOR</w:t>
      </w:r>
      <w:r w:rsidRPr="00653DCF">
        <w:rPr>
          <w:color w:val="auto"/>
          <w:lang w:val="hr-HR"/>
        </w:rPr>
        <w:t>” znači:</w:t>
      </w:r>
    </w:p>
    <w:p w14:paraId="0430F5A3" w14:textId="6F5EA035" w:rsidR="007A2A6F" w:rsidRPr="00653DCF" w:rsidRDefault="00D077BF" w:rsidP="006010BF">
      <w:pPr>
        <w:pStyle w:val="NoIndentEIB"/>
        <w:numPr>
          <w:ilvl w:val="0"/>
          <w:numId w:val="75"/>
        </w:numPr>
        <w:rPr>
          <w:color w:val="auto"/>
          <w:lang w:val="hr-HR"/>
        </w:rPr>
      </w:pPr>
      <w:bookmarkStart w:id="857" w:name="_Ref42354788"/>
      <w:r w:rsidRPr="00653DCF">
        <w:rPr>
          <w:color w:val="auto"/>
          <w:lang w:val="hr-HR"/>
        </w:rPr>
        <w:t>za relevantno razdoblje kraće od mjesec dana, objavljena kotacijska stopa (kako je utvrđeno u nastavku) za razdoblje od jednog mjeseca</w:t>
      </w:r>
      <w:r w:rsidR="00E87B0B" w:rsidRPr="00653DCF">
        <w:rPr>
          <w:color w:val="auto"/>
          <w:lang w:val="hr-HR"/>
        </w:rPr>
        <w:t>;</w:t>
      </w:r>
      <w:bookmarkEnd w:id="857"/>
      <w:r w:rsidR="00E87B0B" w:rsidRPr="00653DCF">
        <w:rPr>
          <w:color w:val="auto"/>
          <w:lang w:val="hr-HR"/>
        </w:rPr>
        <w:t xml:space="preserve"> </w:t>
      </w:r>
    </w:p>
    <w:p w14:paraId="654C2CEE" w14:textId="1EA1EBC2" w:rsidR="007A2A6F" w:rsidRPr="00653DCF" w:rsidRDefault="00354170" w:rsidP="006010BF">
      <w:pPr>
        <w:pStyle w:val="NoIndentEIB"/>
        <w:numPr>
          <w:ilvl w:val="0"/>
          <w:numId w:val="75"/>
        </w:numPr>
        <w:rPr>
          <w:color w:val="auto"/>
          <w:lang w:val="hr-HR"/>
        </w:rPr>
      </w:pPr>
      <w:r w:rsidRPr="00653DCF">
        <w:rPr>
          <w:color w:val="auto"/>
          <w:lang w:val="hr-HR"/>
        </w:rPr>
        <w:t>za relevantno razdoblje od jednog ili više mjeseci za koje je dostupna objavljena kotacijska stopa, važeća objavljena kotacijska stopa za razdoblje za odgovarajući broj mjeseci</w:t>
      </w:r>
      <w:r w:rsidR="00E87B0B" w:rsidRPr="00653DCF">
        <w:rPr>
          <w:color w:val="auto"/>
          <w:lang w:val="hr-HR"/>
        </w:rPr>
        <w:t>; i</w:t>
      </w:r>
    </w:p>
    <w:p w14:paraId="36648193" w14:textId="3373DBBB" w:rsidR="007A2A6F" w:rsidRPr="00653DCF" w:rsidRDefault="005F30DD" w:rsidP="006010BF">
      <w:pPr>
        <w:pStyle w:val="NoIndentEIB"/>
        <w:numPr>
          <w:ilvl w:val="0"/>
          <w:numId w:val="75"/>
        </w:numPr>
        <w:rPr>
          <w:color w:val="auto"/>
          <w:lang w:val="hr-HR"/>
        </w:rPr>
      </w:pPr>
      <w:r w:rsidRPr="00653DCF">
        <w:rPr>
          <w:color w:val="auto"/>
          <w:lang w:val="hr-HR"/>
        </w:rPr>
        <w:t>za relevantno razdoblje dulje od mjesec dana za koje objavljena kotacijska stopa nije dostupna, stopa koja je rezultat linearne interpolacije pozivanjem na dvije objavljene kotacijske stope, od kojih je jedna primjenjiva za razdoblje neposredno kraće, a druga za razdoblje neposredno dulje od trajanja relevantnog razdoblja</w:t>
      </w:r>
      <w:r w:rsidR="00E87B0B" w:rsidRPr="00653DCF">
        <w:rPr>
          <w:color w:val="auto"/>
          <w:lang w:val="hr-HR"/>
        </w:rPr>
        <w:t>,</w:t>
      </w:r>
    </w:p>
    <w:p w14:paraId="48CBB972" w14:textId="225C3A49" w:rsidR="007A2A6F" w:rsidRPr="00653DCF" w:rsidRDefault="00E87B0B">
      <w:pPr>
        <w:spacing w:after="0"/>
        <w:ind w:left="851"/>
        <w:rPr>
          <w:color w:val="auto"/>
          <w:lang w:val="hr-HR"/>
        </w:rPr>
      </w:pPr>
      <w:r w:rsidRPr="00653DCF">
        <w:rPr>
          <w:color w:val="auto"/>
          <w:lang w:val="hr-HR"/>
        </w:rPr>
        <w:t>(</w:t>
      </w:r>
      <w:r w:rsidR="005F30DD" w:rsidRPr="00653DCF">
        <w:rPr>
          <w:color w:val="auto"/>
          <w:lang w:val="hr-HR"/>
        </w:rPr>
        <w:t>pri čemu je razdoblje za koje se kamatna stopa uzima ili iz kojeg se stope interpoliraju „</w:t>
      </w:r>
      <w:r w:rsidR="005F30DD" w:rsidRPr="00653DCF">
        <w:rPr>
          <w:b/>
          <w:bCs/>
          <w:color w:val="auto"/>
          <w:lang w:val="hr-HR"/>
        </w:rPr>
        <w:t>reprezentativno razdoblje</w:t>
      </w:r>
      <w:r w:rsidR="005F30DD" w:rsidRPr="00653DCF">
        <w:rPr>
          <w:color w:val="auto"/>
          <w:lang w:val="hr-HR"/>
        </w:rPr>
        <w:t>“</w:t>
      </w:r>
      <w:r w:rsidRPr="00653DCF">
        <w:rPr>
          <w:color w:val="auto"/>
          <w:lang w:val="hr-HR"/>
        </w:rPr>
        <w:t>).</w:t>
      </w:r>
    </w:p>
    <w:p w14:paraId="4A962A79" w14:textId="77777777" w:rsidR="007A2A6F" w:rsidRPr="00653DCF" w:rsidRDefault="007A2A6F">
      <w:pPr>
        <w:spacing w:after="0"/>
        <w:ind w:left="851"/>
        <w:rPr>
          <w:color w:val="auto"/>
          <w:lang w:val="hr-HR"/>
        </w:rPr>
      </w:pPr>
    </w:p>
    <w:p w14:paraId="7DE8388C" w14:textId="284ECC86" w:rsidR="007A2A6F" w:rsidRPr="00653DCF" w:rsidRDefault="00E87B0B">
      <w:pPr>
        <w:ind w:left="851"/>
        <w:rPr>
          <w:color w:val="auto"/>
          <w:lang w:val="hr-HR"/>
        </w:rPr>
      </w:pPr>
      <w:r w:rsidRPr="00653DCF">
        <w:rPr>
          <w:color w:val="auto"/>
          <w:lang w:val="hr-HR"/>
        </w:rPr>
        <w:t xml:space="preserve">Za potrebe </w:t>
      </w:r>
      <w:r w:rsidR="006B73F7" w:rsidRPr="00653DCF">
        <w:rPr>
          <w:color w:val="auto"/>
          <w:lang w:val="hr-HR"/>
        </w:rPr>
        <w:t>prethodnih</w:t>
      </w:r>
      <w:r w:rsidRPr="00653DCF">
        <w:rPr>
          <w:color w:val="auto"/>
          <w:lang w:val="hr-HR"/>
        </w:rPr>
        <w:t xml:space="preserve"> stavaka od (a) do (c):</w:t>
      </w:r>
    </w:p>
    <w:p w14:paraId="50CE55D5" w14:textId="426EDE54" w:rsidR="007A2A6F" w:rsidRPr="00653DCF" w:rsidRDefault="00E87B0B" w:rsidP="006010BF">
      <w:pPr>
        <w:pStyle w:val="NoIndentEIB"/>
        <w:numPr>
          <w:ilvl w:val="1"/>
          <w:numId w:val="75"/>
        </w:numPr>
        <w:rPr>
          <w:color w:val="auto"/>
          <w:lang w:val="hr-HR"/>
        </w:rPr>
      </w:pPr>
      <w:r w:rsidRPr="00653DCF">
        <w:rPr>
          <w:color w:val="auto"/>
          <w:lang w:val="hr-HR"/>
        </w:rPr>
        <w:t>„</w:t>
      </w:r>
      <w:r w:rsidR="004F5419" w:rsidRPr="00653DCF">
        <w:rPr>
          <w:rStyle w:val="BoldEIB"/>
          <w:color w:val="auto"/>
          <w:lang w:val="hr-HR"/>
        </w:rPr>
        <w:t>dostupan</w:t>
      </w:r>
      <w:r w:rsidRPr="00653DCF">
        <w:rPr>
          <w:color w:val="auto"/>
          <w:lang w:val="hr-HR"/>
        </w:rPr>
        <w:t xml:space="preserve">” znači stope, </w:t>
      </w:r>
      <w:r w:rsidR="00EC2FF9" w:rsidRPr="00653DCF">
        <w:rPr>
          <w:color w:val="auto"/>
          <w:lang w:val="hr-HR"/>
        </w:rPr>
        <w:t>za određena dospijeća, koje je izračunao i objavio Global Rate Set Systems Ltd (GRSS) ili takav drugi pružatelj usluge kojega odabere Europski institut za tržišta novca (EMMI), ili bilo kojeg slijednika te funkcije EMMI-ja, kako odredi Banka</w:t>
      </w:r>
      <w:r w:rsidRPr="00653DCF">
        <w:rPr>
          <w:color w:val="auto"/>
          <w:lang w:val="hr-HR"/>
        </w:rPr>
        <w:t>; i</w:t>
      </w:r>
    </w:p>
    <w:p w14:paraId="16BFB9B4" w14:textId="5F2C3F86" w:rsidR="007A2A6F" w:rsidRPr="00653DCF" w:rsidRDefault="00E87B0B" w:rsidP="006010BF">
      <w:pPr>
        <w:pStyle w:val="NoIndentEIB"/>
        <w:numPr>
          <w:ilvl w:val="1"/>
          <w:numId w:val="75"/>
        </w:numPr>
        <w:rPr>
          <w:color w:val="auto"/>
          <w:lang w:val="hr-HR"/>
        </w:rPr>
      </w:pPr>
      <w:r w:rsidRPr="00653DCF">
        <w:rPr>
          <w:color w:val="auto"/>
          <w:lang w:val="hr-HR"/>
        </w:rPr>
        <w:t>„</w:t>
      </w:r>
      <w:r w:rsidR="006B44BD" w:rsidRPr="00653DCF">
        <w:rPr>
          <w:rStyle w:val="BoldEIB"/>
          <w:color w:val="auto"/>
          <w:lang w:val="hr-HR"/>
        </w:rPr>
        <w:t>objavljena kotacijska stopa</w:t>
      </w:r>
      <w:r w:rsidRPr="00653DCF">
        <w:rPr>
          <w:color w:val="auto"/>
          <w:lang w:val="hr-HR"/>
        </w:rPr>
        <w:t xml:space="preserve">” </w:t>
      </w:r>
      <w:r w:rsidR="00D050E4" w:rsidRPr="00653DCF">
        <w:rPr>
          <w:color w:val="auto"/>
          <w:lang w:val="hr-HR"/>
        </w:rPr>
        <w:t>znači kamatna stopa za depozite u eurima za relevantno razdoblje kako je objavljeno u 11:00 h po briselskom vremenu, ili nekom kasnijem vremenu prihvatljivom za Banku na dan (</w:t>
      </w:r>
      <w:r w:rsidR="002D0D4D" w:rsidRPr="00653DCF">
        <w:rPr>
          <w:color w:val="auto"/>
          <w:lang w:val="hr-HR"/>
        </w:rPr>
        <w:t>„</w:t>
      </w:r>
      <w:r w:rsidR="00D050E4" w:rsidRPr="00653DCF">
        <w:rPr>
          <w:b/>
          <w:bCs/>
          <w:color w:val="auto"/>
          <w:lang w:val="hr-HR"/>
        </w:rPr>
        <w:t>datum resetiranja</w:t>
      </w:r>
      <w:r w:rsidR="002D0D4D" w:rsidRPr="00653DCF">
        <w:rPr>
          <w:color w:val="auto"/>
          <w:lang w:val="hr-HR"/>
        </w:rPr>
        <w:t>“</w:t>
      </w:r>
      <w:r w:rsidR="00D050E4" w:rsidRPr="00653DCF">
        <w:rPr>
          <w:color w:val="auto"/>
          <w:lang w:val="hr-HR"/>
        </w:rPr>
        <w:t>) koji pada 2 (dva) relevantna radna dana prije prvog dana relevantnog razdoblja, na Reutersovoj stranici pod nazivom EURIBOR 01 ili njezinoj zamjenskoj stranici ili, ako to nije moguće, putem bilo kojeg sredstva objavljivanja koje u tu svrhu odredi Banka</w:t>
      </w:r>
      <w:r w:rsidRPr="00653DCF">
        <w:rPr>
          <w:color w:val="auto"/>
          <w:lang w:val="hr-HR"/>
        </w:rPr>
        <w:t>.</w:t>
      </w:r>
    </w:p>
    <w:p w14:paraId="391CE5D4" w14:textId="7BF72CAD" w:rsidR="00641CD0" w:rsidRPr="00653DCF" w:rsidRDefault="003E72DB">
      <w:pPr>
        <w:spacing w:after="0"/>
        <w:ind w:left="851"/>
        <w:rPr>
          <w:color w:val="auto"/>
          <w:lang w:val="hr-HR"/>
        </w:rPr>
      </w:pPr>
      <w:r w:rsidRPr="00653DCF">
        <w:rPr>
          <w:color w:val="auto"/>
          <w:lang w:val="hr-HR"/>
        </w:rPr>
        <w:t>Ako se takva stopa ne objavi na prethodno navedeni način, Banka će od glavnih podružnica četiri najveće banke u eurozoni po vlastitom izboru zatražiti da navedu stope po kojima svaka od njih nudi depozite usporedivog iznosa u eurima, u približno 11:00 h po briselskom vremenu na datum resetiranja, vodećim bankama na međubankovnom tržištu eurozone, na razdoblje koje odgovara reprezentativnom razdoblju. Ako Banka primi najmanje 2 (dvije) kotacije, stopa na taj datum resetiranja bit će jednaka aritmetičkoj sredini između te dvije kotacije</w:t>
      </w:r>
      <w:r w:rsidR="00E87B0B" w:rsidRPr="00653DCF">
        <w:rPr>
          <w:color w:val="auto"/>
          <w:lang w:val="hr-HR"/>
        </w:rPr>
        <w:t xml:space="preserve">. </w:t>
      </w:r>
      <w:r w:rsidR="00641CD0" w:rsidRPr="00653DCF">
        <w:rPr>
          <w:color w:val="auto"/>
          <w:lang w:val="hr-HR"/>
        </w:rPr>
        <w:t xml:space="preserve">Ako se ne dostave dostatne kotacije kako je zatraženo, </w:t>
      </w:r>
      <w:r w:rsidR="005048B4" w:rsidRPr="00653DCF">
        <w:rPr>
          <w:color w:val="auto"/>
          <w:lang w:val="hr-HR"/>
        </w:rPr>
        <w:t xml:space="preserve">stopa na </w:t>
      </w:r>
      <w:r w:rsidR="00EB042D" w:rsidRPr="00653DCF">
        <w:rPr>
          <w:color w:val="auto"/>
          <w:lang w:val="hr-HR"/>
        </w:rPr>
        <w:t xml:space="preserve">taj </w:t>
      </w:r>
      <w:r w:rsidR="005048B4" w:rsidRPr="00653DCF">
        <w:rPr>
          <w:color w:val="auto"/>
          <w:lang w:val="hr-HR"/>
        </w:rPr>
        <w:t xml:space="preserve">datum resetiranja bit će </w:t>
      </w:r>
      <w:r w:rsidR="00EB042D" w:rsidRPr="00653DCF">
        <w:rPr>
          <w:color w:val="auto"/>
          <w:lang w:val="hr-HR"/>
        </w:rPr>
        <w:t xml:space="preserve">jednaka </w:t>
      </w:r>
      <w:r w:rsidR="005048B4" w:rsidRPr="00653DCF">
        <w:rPr>
          <w:color w:val="auto"/>
          <w:lang w:val="hr-HR"/>
        </w:rPr>
        <w:t>aritmetičk</w:t>
      </w:r>
      <w:r w:rsidR="00EB042D" w:rsidRPr="00653DCF">
        <w:rPr>
          <w:color w:val="auto"/>
          <w:lang w:val="hr-HR"/>
        </w:rPr>
        <w:t>oj</w:t>
      </w:r>
      <w:r w:rsidR="005048B4" w:rsidRPr="00653DCF">
        <w:rPr>
          <w:color w:val="auto"/>
          <w:lang w:val="hr-HR"/>
        </w:rPr>
        <w:t xml:space="preserve"> </w:t>
      </w:r>
      <w:r w:rsidR="00EB042D" w:rsidRPr="00653DCF">
        <w:rPr>
          <w:color w:val="auto"/>
          <w:lang w:val="hr-HR"/>
        </w:rPr>
        <w:t xml:space="preserve">sredini stopa koje su navele vodeće banke </w:t>
      </w:r>
      <w:r w:rsidR="005048B4" w:rsidRPr="00653DCF">
        <w:rPr>
          <w:color w:val="auto"/>
          <w:lang w:val="hr-HR"/>
        </w:rPr>
        <w:t>eurozon</w:t>
      </w:r>
      <w:r w:rsidR="00EB042D" w:rsidRPr="00653DCF">
        <w:rPr>
          <w:color w:val="auto"/>
          <w:lang w:val="hr-HR"/>
        </w:rPr>
        <w:t xml:space="preserve">e, po izboru Banke, u približno </w:t>
      </w:r>
      <w:r w:rsidR="007B6158" w:rsidRPr="00653DCF">
        <w:rPr>
          <w:color w:val="auto"/>
          <w:lang w:val="hr-HR"/>
        </w:rPr>
        <w:t xml:space="preserve">11:00 h po briselskom vremenu, na dan koji pada 2 (dva) relevantna </w:t>
      </w:r>
      <w:r w:rsidR="00EB042D" w:rsidRPr="00653DCF">
        <w:rPr>
          <w:color w:val="auto"/>
          <w:lang w:val="hr-HR"/>
        </w:rPr>
        <w:t xml:space="preserve">radna </w:t>
      </w:r>
      <w:r w:rsidR="007B6158" w:rsidRPr="00653DCF">
        <w:rPr>
          <w:color w:val="auto"/>
          <w:lang w:val="hr-HR"/>
        </w:rPr>
        <w:t>dana nakon datuma resetiranja, za zajmove u eurima u usporedivom iznosu</w:t>
      </w:r>
      <w:r w:rsidR="00A641B5" w:rsidRPr="00653DCF">
        <w:rPr>
          <w:color w:val="auto"/>
          <w:lang w:val="hr-HR"/>
        </w:rPr>
        <w:t xml:space="preserve">, </w:t>
      </w:r>
      <w:r w:rsidR="003C4453" w:rsidRPr="00653DCF">
        <w:rPr>
          <w:color w:val="auto"/>
          <w:lang w:val="hr-HR"/>
        </w:rPr>
        <w:t>koji</w:t>
      </w:r>
      <w:r w:rsidR="00A641B5" w:rsidRPr="00653DCF">
        <w:rPr>
          <w:color w:val="auto"/>
          <w:lang w:val="hr-HR"/>
        </w:rPr>
        <w:t xml:space="preserve"> se izdaju vodećim europskim bankama za razdoblje jednako reprezentativnom </w:t>
      </w:r>
      <w:r w:rsidR="000B6C13" w:rsidRPr="00653DCF">
        <w:rPr>
          <w:color w:val="auto"/>
          <w:lang w:val="hr-HR"/>
        </w:rPr>
        <w:t xml:space="preserve">razdoblju. Banka će bez </w:t>
      </w:r>
      <w:r w:rsidR="00A641B5" w:rsidRPr="00653DCF">
        <w:rPr>
          <w:color w:val="auto"/>
          <w:lang w:val="hr-HR"/>
        </w:rPr>
        <w:t xml:space="preserve">odgađanja </w:t>
      </w:r>
      <w:r w:rsidR="000B6C13" w:rsidRPr="00653DCF">
        <w:rPr>
          <w:color w:val="auto"/>
          <w:lang w:val="hr-HR"/>
        </w:rPr>
        <w:t xml:space="preserve">obavijestiti Zajmoprimca o </w:t>
      </w:r>
      <w:r w:rsidR="00711A8D" w:rsidRPr="00653DCF">
        <w:rPr>
          <w:color w:val="auto"/>
          <w:lang w:val="hr-HR"/>
        </w:rPr>
        <w:t xml:space="preserve">svim </w:t>
      </w:r>
      <w:r w:rsidR="000B6C13" w:rsidRPr="00653DCF">
        <w:rPr>
          <w:color w:val="auto"/>
          <w:lang w:val="hr-HR"/>
        </w:rPr>
        <w:t xml:space="preserve">kotacijama koje </w:t>
      </w:r>
      <w:r w:rsidR="00711A8D" w:rsidRPr="00653DCF">
        <w:rPr>
          <w:color w:val="auto"/>
          <w:lang w:val="hr-HR"/>
        </w:rPr>
        <w:t>Banka primi</w:t>
      </w:r>
      <w:r w:rsidR="000B6C13" w:rsidRPr="00653DCF">
        <w:rPr>
          <w:color w:val="auto"/>
          <w:lang w:val="hr-HR"/>
        </w:rPr>
        <w:t>.</w:t>
      </w:r>
    </w:p>
    <w:p w14:paraId="1F6A4653" w14:textId="77777777" w:rsidR="00641CD0" w:rsidRPr="00653DCF" w:rsidRDefault="00641CD0">
      <w:pPr>
        <w:spacing w:after="0"/>
        <w:ind w:left="851"/>
        <w:rPr>
          <w:color w:val="auto"/>
          <w:lang w:val="hr-HR"/>
        </w:rPr>
      </w:pPr>
    </w:p>
    <w:p w14:paraId="7B70AF69" w14:textId="13D1B3EE" w:rsidR="007A2A6F" w:rsidRPr="00653DCF" w:rsidRDefault="00E87B0B">
      <w:pPr>
        <w:spacing w:after="0"/>
        <w:ind w:left="851"/>
        <w:rPr>
          <w:color w:val="auto"/>
          <w:lang w:val="hr-HR"/>
        </w:rPr>
      </w:pPr>
      <w:r w:rsidRPr="00653DCF">
        <w:rPr>
          <w:color w:val="auto"/>
          <w:lang w:val="hr-HR"/>
        </w:rPr>
        <w:t xml:space="preserve">Svi postoci koji </w:t>
      </w:r>
      <w:r w:rsidR="00A475E9" w:rsidRPr="00653DCF">
        <w:rPr>
          <w:color w:val="auto"/>
          <w:lang w:val="hr-HR"/>
        </w:rPr>
        <w:t>su rezultat</w:t>
      </w:r>
      <w:r w:rsidR="001301B0" w:rsidRPr="00653DCF">
        <w:rPr>
          <w:color w:val="auto"/>
          <w:lang w:val="hr-HR"/>
        </w:rPr>
        <w:t xml:space="preserve"> izračuna iz ovog Priloga, po potrebi, zaokružuju se na najbliži tisućiti dio postotnog boda, s tim da se polovine vrijednosti zaokružuju na višu vrijednost</w:t>
      </w:r>
      <w:r w:rsidRPr="00653DCF">
        <w:rPr>
          <w:color w:val="auto"/>
          <w:lang w:val="hr-HR"/>
        </w:rPr>
        <w:t>.</w:t>
      </w:r>
    </w:p>
    <w:p w14:paraId="2D06465B" w14:textId="77777777" w:rsidR="007A2A6F" w:rsidRPr="00653DCF" w:rsidRDefault="007A2A6F">
      <w:pPr>
        <w:spacing w:after="0"/>
        <w:ind w:left="851"/>
        <w:rPr>
          <w:color w:val="auto"/>
          <w:lang w:val="hr-HR"/>
        </w:rPr>
      </w:pPr>
    </w:p>
    <w:p w14:paraId="64C5EA99" w14:textId="198253AE" w:rsidR="007A2A6F" w:rsidRPr="00653DCF" w:rsidRDefault="00E87B0B">
      <w:pPr>
        <w:spacing w:after="0"/>
        <w:ind w:left="851"/>
        <w:rPr>
          <w:color w:val="auto"/>
          <w:lang w:val="hr-HR"/>
        </w:rPr>
      </w:pPr>
      <w:r w:rsidRPr="00653DCF">
        <w:rPr>
          <w:color w:val="auto"/>
          <w:lang w:val="hr-HR"/>
        </w:rPr>
        <w:t xml:space="preserve">Ako bilo koja od prethodno </w:t>
      </w:r>
      <w:r w:rsidR="00711A8D" w:rsidRPr="00653DCF">
        <w:rPr>
          <w:color w:val="auto"/>
          <w:lang w:val="hr-HR"/>
        </w:rPr>
        <w:t xml:space="preserve">navedenih odredbi dođe u nesklad s odredbama usvojenim pod </w:t>
      </w:r>
      <w:r w:rsidRPr="00653DCF">
        <w:rPr>
          <w:color w:val="auto"/>
          <w:lang w:val="hr-HR"/>
        </w:rPr>
        <w:t xml:space="preserve">pokroviteljstvom EMMI-ja (ili bilo kojeg sljednika te funkcije EMMI-ja kako odredila Banka) </w:t>
      </w:r>
      <w:r w:rsidR="0078369E" w:rsidRPr="00653DCF">
        <w:rPr>
          <w:color w:val="auto"/>
          <w:lang w:val="hr-HR"/>
        </w:rPr>
        <w:t xml:space="preserve">vezano za </w:t>
      </w:r>
      <w:r w:rsidRPr="00653DCF">
        <w:rPr>
          <w:color w:val="auto"/>
          <w:lang w:val="hr-HR"/>
        </w:rPr>
        <w:t>EURIBOR, Banka može</w:t>
      </w:r>
      <w:r w:rsidR="0078369E" w:rsidRPr="00653DCF">
        <w:rPr>
          <w:color w:val="auto"/>
          <w:lang w:val="hr-HR"/>
        </w:rPr>
        <w:t xml:space="preserve">, uz obavijest Zajmoprimcu, </w:t>
      </w:r>
      <w:r w:rsidRPr="00653DCF">
        <w:rPr>
          <w:color w:val="auto"/>
          <w:lang w:val="hr-HR"/>
        </w:rPr>
        <w:t xml:space="preserve">izmijeniti </w:t>
      </w:r>
      <w:r w:rsidR="00CA4018" w:rsidRPr="00653DCF">
        <w:rPr>
          <w:color w:val="auto"/>
          <w:lang w:val="hr-HR"/>
        </w:rPr>
        <w:t xml:space="preserve">i dopuniti tu </w:t>
      </w:r>
      <w:r w:rsidRPr="00653DCF">
        <w:rPr>
          <w:color w:val="auto"/>
          <w:lang w:val="hr-HR"/>
        </w:rPr>
        <w:t>odredbu kako bi je uskladila s tim drugim odredbama.</w:t>
      </w:r>
    </w:p>
    <w:p w14:paraId="73B77CED" w14:textId="77777777" w:rsidR="00CA4018" w:rsidRPr="00653DCF" w:rsidRDefault="00CA4018">
      <w:pPr>
        <w:spacing w:after="0"/>
        <w:ind w:left="851"/>
        <w:rPr>
          <w:color w:val="auto"/>
          <w:lang w:val="hr-HR"/>
        </w:rPr>
      </w:pPr>
    </w:p>
    <w:p w14:paraId="595AB4D4" w14:textId="0A3AEA73" w:rsidR="007D7194" w:rsidRPr="00653DCF" w:rsidRDefault="00C913D8">
      <w:pPr>
        <w:spacing w:after="0"/>
        <w:ind w:left="851"/>
        <w:rPr>
          <w:color w:val="auto"/>
          <w:lang w:val="hr-HR"/>
        </w:rPr>
      </w:pPr>
      <w:r w:rsidRPr="00653DCF">
        <w:rPr>
          <w:color w:val="auto"/>
          <w:lang w:val="hr-HR"/>
        </w:rPr>
        <w:t xml:space="preserve">Ako </w:t>
      </w:r>
      <w:r w:rsidR="007E1F98" w:rsidRPr="00653DCF">
        <w:rPr>
          <w:color w:val="auto"/>
          <w:lang w:val="hr-HR"/>
        </w:rPr>
        <w:t xml:space="preserve">je kotacijska stopa trajno nedostupna, </w:t>
      </w:r>
      <w:r w:rsidRPr="00653DCF">
        <w:rPr>
          <w:color w:val="auto"/>
          <w:lang w:val="hr-HR"/>
        </w:rPr>
        <w:t xml:space="preserve">EURIBOR će biti </w:t>
      </w:r>
      <w:r w:rsidR="007E1F98" w:rsidRPr="00653DCF">
        <w:rPr>
          <w:color w:val="auto"/>
          <w:lang w:val="hr-HR"/>
        </w:rPr>
        <w:t xml:space="preserve">zamjenska stopa </w:t>
      </w:r>
      <w:r w:rsidRPr="00653DCF">
        <w:rPr>
          <w:color w:val="auto"/>
          <w:lang w:val="hr-HR"/>
        </w:rPr>
        <w:t>(</w:t>
      </w:r>
      <w:r w:rsidR="00683303" w:rsidRPr="00653DCF">
        <w:rPr>
          <w:color w:val="auto"/>
          <w:lang w:val="hr-HR"/>
        </w:rPr>
        <w:t>uključujući bilo koje kamatne marže i prilagodbe</w:t>
      </w:r>
      <w:r w:rsidRPr="00653DCF">
        <w:rPr>
          <w:color w:val="auto"/>
          <w:lang w:val="hr-HR"/>
        </w:rPr>
        <w:t xml:space="preserve">) </w:t>
      </w:r>
      <w:r w:rsidR="00557492" w:rsidRPr="00653DCF">
        <w:rPr>
          <w:color w:val="auto"/>
          <w:lang w:val="hr-HR"/>
        </w:rPr>
        <w:t>koju službeno preporučuje (i) radna skupina za nerizične kamatne stope koju je uspostavila Europska središnja banka (ESB)</w:t>
      </w:r>
      <w:r w:rsidR="007D7194" w:rsidRPr="00653DCF">
        <w:rPr>
          <w:color w:val="auto"/>
          <w:lang w:val="hr-HR"/>
        </w:rPr>
        <w:t xml:space="preserve">, Nadzorno tijelo za financijske usluge i tržišta (FSMA), Europsko nadzorno tijelo za </w:t>
      </w:r>
      <w:r w:rsidR="003C4453" w:rsidRPr="00653DCF">
        <w:rPr>
          <w:color w:val="auto"/>
          <w:lang w:val="hr-HR"/>
        </w:rPr>
        <w:t>vrijednosne</w:t>
      </w:r>
      <w:r w:rsidR="007D7194" w:rsidRPr="00653DCF">
        <w:rPr>
          <w:color w:val="auto"/>
          <w:lang w:val="hr-HR"/>
        </w:rPr>
        <w:t xml:space="preserve"> papire i tržišta kapitala (ESMA) i</w:t>
      </w:r>
      <w:r w:rsidR="00B477CA" w:rsidRPr="00653DCF">
        <w:rPr>
          <w:color w:val="auto"/>
          <w:lang w:val="hr-HR"/>
        </w:rPr>
        <w:t xml:space="preserve"> Europska </w:t>
      </w:r>
      <w:r w:rsidR="003C4453" w:rsidRPr="00653DCF">
        <w:rPr>
          <w:color w:val="auto"/>
          <w:lang w:val="hr-HR"/>
        </w:rPr>
        <w:t>komisija</w:t>
      </w:r>
      <w:r w:rsidR="00B477CA" w:rsidRPr="00653DCF">
        <w:rPr>
          <w:color w:val="auto"/>
          <w:lang w:val="hr-HR"/>
        </w:rPr>
        <w:t xml:space="preserve">, ili (ii) Europski </w:t>
      </w:r>
      <w:r w:rsidR="003C4453" w:rsidRPr="00653DCF">
        <w:rPr>
          <w:color w:val="auto"/>
          <w:lang w:val="hr-HR"/>
        </w:rPr>
        <w:t>institut</w:t>
      </w:r>
      <w:r w:rsidR="00B477CA" w:rsidRPr="00653DCF">
        <w:rPr>
          <w:color w:val="auto"/>
          <w:lang w:val="hr-HR"/>
        </w:rPr>
        <w:t xml:space="preserve"> za tržišta novca, kao upravitelj EURIBOR-a</w:t>
      </w:r>
      <w:r w:rsidR="005B53D4" w:rsidRPr="00653DCF">
        <w:rPr>
          <w:color w:val="auto"/>
          <w:lang w:val="hr-HR"/>
        </w:rPr>
        <w:t xml:space="preserve"> ili (iv) nacionalno nadležno tijelo u skladu s Uredbom (EU) </w:t>
      </w:r>
      <w:r w:rsidR="005B53D4" w:rsidRPr="00653DCF">
        <w:rPr>
          <w:rFonts w:eastAsia="SimSun" w:cs="Arial"/>
          <w:color w:val="auto"/>
          <w:lang w:val="hr-HR" w:eastAsia="zh-CN" w:bidi="ar-AE"/>
        </w:rPr>
        <w:t>2016/1011 ili (v) Europska središnja banka</w:t>
      </w:r>
      <w:r w:rsidR="005B53D4" w:rsidRPr="00653DCF">
        <w:rPr>
          <w:color w:val="auto"/>
          <w:lang w:val="hr-HR"/>
        </w:rPr>
        <w:t>.</w:t>
      </w:r>
    </w:p>
    <w:p w14:paraId="2E049258" w14:textId="77777777" w:rsidR="005B53D4" w:rsidRPr="00653DCF" w:rsidRDefault="005B53D4">
      <w:pPr>
        <w:spacing w:after="0"/>
        <w:ind w:left="851"/>
        <w:rPr>
          <w:color w:val="auto"/>
        </w:rPr>
      </w:pPr>
    </w:p>
    <w:p w14:paraId="69F3F3FA" w14:textId="432D0271" w:rsidR="00206665" w:rsidRPr="00653DCF" w:rsidRDefault="008F4AF9">
      <w:pPr>
        <w:widowControl w:val="0"/>
        <w:rPr>
          <w:color w:val="auto"/>
        </w:rPr>
      </w:pPr>
      <w:r w:rsidRPr="00653DCF">
        <w:rPr>
          <w:color w:val="auto"/>
        </w:rPr>
        <w:t>Ako su kotacijska stopa i/ili EURIBOR-ova zamjenska stopa nedostupni, EURIBOR će biti stopa (izražena kao godišnja postotna stopa) za koju Banka odredi da je sveobuhvatni trošak Banke za financiranje relevantne tranše koja se temelji na tada primjenjivoj interno generiranoj referentnoj stopi Banke ili alternativnoj metodi određivanja stope koju razumno odredi Banka</w:t>
      </w:r>
      <w:r w:rsidR="006601C1">
        <w:rPr>
          <w:color w:val="auto"/>
        </w:rPr>
        <w:t>.</w:t>
      </w:r>
    </w:p>
    <w:p w14:paraId="4CA840FF" w14:textId="7D26B93E" w:rsidR="007A2A6F" w:rsidRDefault="007A2A6F">
      <w:pPr>
        <w:widowControl w:val="0"/>
        <w:rPr>
          <w:color w:val="auto"/>
        </w:rPr>
      </w:pPr>
    </w:p>
    <w:p w14:paraId="519D7037" w14:textId="77777777" w:rsidR="00E734B6" w:rsidRDefault="00E734B6">
      <w:pPr>
        <w:widowControl w:val="0"/>
        <w:rPr>
          <w:color w:val="auto"/>
        </w:rPr>
      </w:pPr>
    </w:p>
    <w:p w14:paraId="04DA075D" w14:textId="77777777" w:rsidR="00ED7B80" w:rsidRPr="00653DCF" w:rsidRDefault="00ED7B80">
      <w:pPr>
        <w:widowControl w:val="0"/>
        <w:rPr>
          <w:color w:val="auto"/>
        </w:rPr>
      </w:pPr>
    </w:p>
    <w:bookmarkEnd w:id="855"/>
    <w:p w14:paraId="6FBB22AF" w14:textId="783F6DA3" w:rsidR="007A2A6F" w:rsidRPr="00653DCF" w:rsidRDefault="00E87B0B">
      <w:pPr>
        <w:spacing w:after="200" w:line="276" w:lineRule="auto"/>
        <w:ind w:left="0"/>
        <w:jc w:val="left"/>
        <w:rPr>
          <w:color w:val="auto"/>
        </w:rPr>
      </w:pPr>
      <w:r w:rsidRPr="00653DCF">
        <w:rPr>
          <w:color w:val="auto"/>
        </w:rPr>
        <w:br w:type="page"/>
      </w:r>
    </w:p>
    <w:p w14:paraId="1FD25FE3" w14:textId="77777777" w:rsidR="00E734B6" w:rsidRPr="00653DCF" w:rsidRDefault="00E734B6" w:rsidP="00E734B6">
      <w:pPr>
        <w:pStyle w:val="ScheduleEIB"/>
        <w:numPr>
          <w:ilvl w:val="0"/>
          <w:numId w:val="0"/>
        </w:numPr>
        <w:ind w:left="360" w:hanging="360"/>
        <w:rPr>
          <w:color w:val="auto"/>
        </w:rPr>
        <w:sectPr w:rsidR="00E734B6" w:rsidRPr="00653DCF" w:rsidSect="00C67992">
          <w:footerReference w:type="first" r:id="rId23"/>
          <w:type w:val="continuous"/>
          <w:pgSz w:w="11906" w:h="16838"/>
          <w:pgMar w:top="1417" w:right="1417" w:bottom="1417" w:left="1417" w:header="708" w:footer="708" w:gutter="0"/>
          <w:cols w:space="708"/>
          <w:formProt w:val="0"/>
          <w:titlePg/>
          <w:docGrid w:linePitch="360"/>
        </w:sectPr>
      </w:pPr>
      <w:bookmarkStart w:id="858" w:name="_Ref430854816"/>
      <w:bookmarkStart w:id="859" w:name="_Ref498702161"/>
      <w:bookmarkStart w:id="860" w:name="_Ref498702182"/>
      <w:bookmarkStart w:id="861" w:name="_Ref498703733"/>
      <w:bookmarkStart w:id="862" w:name="_Toc508120578"/>
      <w:bookmarkStart w:id="863" w:name="_Toc126080769"/>
      <w:bookmarkStart w:id="864" w:name="_Toc126080901"/>
    </w:p>
    <w:p w14:paraId="036A09DD" w14:textId="1ABC08E3" w:rsidR="007A2A6F" w:rsidRPr="00653DCF" w:rsidRDefault="00E87B0B">
      <w:pPr>
        <w:pStyle w:val="ScheduleEIB"/>
        <w:rPr>
          <w:color w:val="auto"/>
        </w:rPr>
      </w:pPr>
      <w:r w:rsidRPr="00653DCF">
        <w:rPr>
          <w:rStyle w:val="FootnoteReference"/>
          <w:color w:val="auto"/>
        </w:rPr>
        <w:footnoteReference w:id="3"/>
      </w:r>
      <w:bookmarkStart w:id="865" w:name="_Toc498018710"/>
      <w:bookmarkEnd w:id="858"/>
      <w:bookmarkEnd w:id="859"/>
      <w:bookmarkEnd w:id="860"/>
      <w:bookmarkEnd w:id="861"/>
      <w:bookmarkEnd w:id="862"/>
      <w:bookmarkEnd w:id="863"/>
      <w:bookmarkEnd w:id="864"/>
      <w:bookmarkEnd w:id="865"/>
    </w:p>
    <w:p w14:paraId="6DC52FD4" w14:textId="77777777" w:rsidR="007A3FEC" w:rsidRPr="00653DCF" w:rsidRDefault="007A3FEC">
      <w:pPr>
        <w:pStyle w:val="SubSchedule1EIB"/>
        <w:rPr>
          <w:color w:val="auto"/>
        </w:rPr>
        <w:sectPr w:rsidR="007A3FEC" w:rsidRPr="00653DCF" w:rsidSect="00C67992">
          <w:type w:val="continuous"/>
          <w:pgSz w:w="11906" w:h="16838"/>
          <w:pgMar w:top="1417" w:right="1417" w:bottom="1417" w:left="1417" w:header="708" w:footer="708" w:gutter="0"/>
          <w:cols w:space="708"/>
          <w:formProt w:val="0"/>
          <w:titlePg/>
          <w:docGrid w:linePitch="360"/>
        </w:sectPr>
      </w:pPr>
      <w:bookmarkStart w:id="866" w:name="_Ref126079277"/>
      <w:bookmarkStart w:id="867" w:name="_Ref126079284"/>
      <w:bookmarkStart w:id="868" w:name="_Toc126080770"/>
      <w:bookmarkStart w:id="869" w:name="_Toc126080902"/>
      <w:bookmarkStart w:id="870" w:name="_Ref496708249"/>
      <w:bookmarkStart w:id="871" w:name="_Toc475441215"/>
      <w:bookmarkStart w:id="872" w:name="_Toc498018711"/>
      <w:bookmarkStart w:id="873" w:name="_Toc508120579"/>
      <w:bookmarkEnd w:id="856"/>
    </w:p>
    <w:p w14:paraId="16E8343C" w14:textId="18CCF71C" w:rsidR="007A2A6F" w:rsidRPr="00653DCF" w:rsidRDefault="0034516A">
      <w:pPr>
        <w:pStyle w:val="SubSchedule1EIB"/>
        <w:rPr>
          <w:color w:val="auto"/>
        </w:rPr>
      </w:pPr>
      <w:r w:rsidRPr="00653DCF">
        <w:rPr>
          <w:color w:val="auto"/>
        </w:rPr>
        <w:t xml:space="preserve">Obrazac </w:t>
      </w:r>
      <w:r w:rsidR="00E87B0B" w:rsidRPr="00653DCF">
        <w:rPr>
          <w:color w:val="auto"/>
        </w:rPr>
        <w:t>zahtjeva za isplatu (članak</w:t>
      </w:r>
      <w:r w:rsidRPr="00653DCF">
        <w:rPr>
          <w:color w:val="auto"/>
        </w:rPr>
        <w:t xml:space="preserve"> </w:t>
      </w:r>
      <w:r w:rsidR="00E87B0B" w:rsidRPr="00653DCF">
        <w:rPr>
          <w:color w:val="auto"/>
        </w:rPr>
        <w:fldChar w:fldCharType="begin"/>
      </w:r>
      <w:r w:rsidR="00E87B0B" w:rsidRPr="00653DCF">
        <w:rPr>
          <w:color w:val="auto"/>
        </w:rPr>
        <w:instrText xml:space="preserve"> REF _Ref426638944 \r \h  \* MERGEFORMAT </w:instrText>
      </w:r>
      <w:r w:rsidR="00E87B0B" w:rsidRPr="00653DCF">
        <w:rPr>
          <w:color w:val="auto"/>
        </w:rPr>
      </w:r>
      <w:r w:rsidR="00E87B0B" w:rsidRPr="00653DCF">
        <w:rPr>
          <w:color w:val="auto"/>
        </w:rPr>
        <w:fldChar w:fldCharType="separate"/>
      </w:r>
      <w:r w:rsidR="00E5391B">
        <w:rPr>
          <w:color w:val="auto"/>
        </w:rPr>
        <w:t>1.2.B</w:t>
      </w:r>
      <w:r w:rsidR="00E87B0B" w:rsidRPr="00653DCF">
        <w:rPr>
          <w:color w:val="auto"/>
        </w:rPr>
        <w:fldChar w:fldCharType="end"/>
      </w:r>
      <w:r w:rsidR="00E87B0B" w:rsidRPr="00653DCF">
        <w:rPr>
          <w:color w:val="auto"/>
        </w:rPr>
        <w:t>)</w:t>
      </w:r>
      <w:bookmarkEnd w:id="866"/>
      <w:bookmarkEnd w:id="867"/>
      <w:bookmarkEnd w:id="868"/>
      <w:bookmarkEnd w:id="869"/>
    </w:p>
    <w:bookmarkEnd w:id="870"/>
    <w:bookmarkEnd w:id="871"/>
    <w:bookmarkEnd w:id="872"/>
    <w:bookmarkEnd w:id="873"/>
    <w:p w14:paraId="34CFA9A9" w14:textId="6E0B7BE8" w:rsidR="007A2A6F" w:rsidRPr="00653DCF" w:rsidRDefault="00E87B0B">
      <w:pPr>
        <w:pStyle w:val="CenterEIB"/>
        <w:rPr>
          <w:color w:val="auto"/>
        </w:rPr>
      </w:pPr>
      <w:r w:rsidRPr="00653DCF">
        <w:rPr>
          <w:color w:val="auto"/>
        </w:rPr>
        <w:t>Zahtjev za isplatu</w:t>
      </w:r>
    </w:p>
    <w:p w14:paraId="7BECA5D0" w14:textId="7BECE6D2" w:rsidR="007A3FEC" w:rsidRPr="00653DCF" w:rsidRDefault="003A24E2" w:rsidP="007A3FEC">
      <w:pPr>
        <w:ind w:left="0"/>
        <w:jc w:val="center"/>
        <w:rPr>
          <w:color w:val="auto"/>
        </w:rPr>
      </w:pPr>
      <w:r w:rsidRPr="00653DCF">
        <w:rPr>
          <w:color w:val="auto"/>
        </w:rPr>
        <w:t>OKVIRNI ZAJAM ZA PROJEKT „</w:t>
      </w:r>
      <w:r w:rsidR="00671312" w:rsidRPr="00653DCF">
        <w:rPr>
          <w:color w:val="auto"/>
        </w:rPr>
        <w:t>REVITALIZACIJA</w:t>
      </w:r>
      <w:r w:rsidRPr="00653DCF">
        <w:rPr>
          <w:color w:val="auto"/>
        </w:rPr>
        <w:t xml:space="preserve"> ŽELJEZNIČKOG SUSTAVA REPUBLIKE HRVATSKE“</w:t>
      </w:r>
      <w:r w:rsidR="00C91E7D" w:rsidRPr="00653DCF">
        <w:rPr>
          <w:rStyle w:val="FootnoteReference"/>
          <w:color w:val="auto"/>
        </w:rPr>
        <w:footnoteReference w:id="4"/>
      </w:r>
    </w:p>
    <w:p w14:paraId="0B00629B" w14:textId="2D064BBB" w:rsidR="00CB5D30" w:rsidRPr="00653DCF" w:rsidRDefault="00CB5D30" w:rsidP="00CB5D30">
      <w:pPr>
        <w:ind w:left="0"/>
        <w:jc w:val="center"/>
        <w:rPr>
          <w:color w:val="auto"/>
        </w:rPr>
      </w:pPr>
    </w:p>
    <w:tbl>
      <w:tblPr>
        <w:tblW w:w="9990" w:type="dxa"/>
        <w:tblInd w:w="-3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450"/>
        <w:gridCol w:w="1170"/>
        <w:gridCol w:w="3060"/>
        <w:gridCol w:w="330"/>
        <w:gridCol w:w="1830"/>
        <w:gridCol w:w="668"/>
        <w:gridCol w:w="1942"/>
      </w:tblGrid>
      <w:tr w:rsidR="007A2A6F" w:rsidRPr="00653DCF" w14:paraId="67095FCB" w14:textId="77777777">
        <w:trPr>
          <w:cantSplit/>
          <w:trHeight w:val="543"/>
        </w:trPr>
        <w:tc>
          <w:tcPr>
            <w:tcW w:w="7380" w:type="dxa"/>
            <w:gridSpan w:val="6"/>
            <w:tcBorders>
              <w:top w:val="nil"/>
              <w:left w:val="nil"/>
              <w:bottom w:val="nil"/>
              <w:right w:val="double" w:sz="4" w:space="0" w:color="auto"/>
            </w:tcBorders>
            <w:vAlign w:val="center"/>
          </w:tcPr>
          <w:p w14:paraId="0DE1FA51" w14:textId="77777777" w:rsidR="007A2A6F" w:rsidRPr="00653DCF" w:rsidRDefault="00E87B0B">
            <w:pPr>
              <w:pStyle w:val="P68B1DB1-Normal27"/>
              <w:ind w:left="0"/>
              <w:jc w:val="right"/>
              <w:rPr>
                <w:color w:val="auto"/>
              </w:rPr>
            </w:pPr>
            <w:r w:rsidRPr="00653DCF">
              <w:rPr>
                <w:color w:val="auto"/>
              </w:rPr>
              <w:t xml:space="preserve">Datum </w:t>
            </w:r>
          </w:p>
        </w:tc>
        <w:tc>
          <w:tcPr>
            <w:tcW w:w="2610" w:type="dxa"/>
            <w:gridSpan w:val="2"/>
            <w:tcBorders>
              <w:top w:val="double" w:sz="4" w:space="0" w:color="auto"/>
              <w:left w:val="double" w:sz="4" w:space="0" w:color="auto"/>
              <w:bottom w:val="double" w:sz="4" w:space="0" w:color="auto"/>
              <w:right w:val="double" w:sz="4" w:space="0" w:color="auto"/>
            </w:tcBorders>
            <w:vAlign w:val="center"/>
          </w:tcPr>
          <w:p w14:paraId="314CB6B1" w14:textId="77777777" w:rsidR="007A2A6F" w:rsidRPr="00653DCF" w:rsidRDefault="007A2A6F">
            <w:pPr>
              <w:spacing w:before="40" w:after="40"/>
              <w:ind w:left="0"/>
              <w:jc w:val="left"/>
              <w:rPr>
                <w:color w:val="auto"/>
                <w:sz w:val="14"/>
              </w:rPr>
            </w:pPr>
          </w:p>
        </w:tc>
      </w:tr>
      <w:tr w:rsidR="007A2A6F" w:rsidRPr="00653DCF" w14:paraId="19DFA5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90" w:type="dxa"/>
            <w:gridSpan w:val="8"/>
            <w:tcBorders>
              <w:top w:val="nil"/>
              <w:left w:val="nil"/>
              <w:bottom w:val="nil"/>
              <w:right w:val="nil"/>
            </w:tcBorders>
          </w:tcPr>
          <w:p w14:paraId="6DACD120" w14:textId="77777777" w:rsidR="007A2A6F" w:rsidRPr="00653DCF" w:rsidRDefault="00E87B0B">
            <w:pPr>
              <w:pStyle w:val="P68B1DB1-Normal28"/>
              <w:ind w:left="-45"/>
              <w:rPr>
                <w:color w:val="auto"/>
              </w:rPr>
            </w:pPr>
            <w:r w:rsidRPr="00653DCF">
              <w:rPr>
                <w:color w:val="auto"/>
              </w:rPr>
              <w:t>Nastavite sa sljedećom isplatom:</w:t>
            </w:r>
          </w:p>
        </w:tc>
      </w:tr>
      <w:tr w:rsidR="007A2A6F" w:rsidRPr="00653DCF" w14:paraId="731D9B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5"/>
        </w:trPr>
        <w:tc>
          <w:tcPr>
            <w:tcW w:w="2160" w:type="dxa"/>
            <w:gridSpan w:val="3"/>
            <w:tcBorders>
              <w:top w:val="nil"/>
              <w:left w:val="nil"/>
              <w:bottom w:val="nil"/>
              <w:right w:val="double" w:sz="4" w:space="0" w:color="auto"/>
            </w:tcBorders>
          </w:tcPr>
          <w:p w14:paraId="33D9F02F" w14:textId="77777777" w:rsidR="007A2A6F" w:rsidRPr="00653DCF" w:rsidRDefault="007A2A6F">
            <w:pPr>
              <w:ind w:left="-45"/>
              <w:rPr>
                <w:b/>
                <w:color w:val="auto"/>
                <w:sz w:val="14"/>
              </w:rPr>
            </w:pPr>
          </w:p>
          <w:p w14:paraId="4AE00DA5" w14:textId="3C6217F6" w:rsidR="007A2A6F" w:rsidRPr="00653DCF" w:rsidRDefault="00E87B0B">
            <w:pPr>
              <w:pStyle w:val="P68B1DB1-Normal27"/>
              <w:ind w:left="-45"/>
              <w:rPr>
                <w:color w:val="auto"/>
              </w:rPr>
            </w:pPr>
            <w:r w:rsidRPr="00653DCF">
              <w:rPr>
                <w:color w:val="auto"/>
              </w:rPr>
              <w:t xml:space="preserve">Naziv </w:t>
            </w:r>
            <w:r w:rsidR="006C5FF6" w:rsidRPr="00653DCF">
              <w:rPr>
                <w:color w:val="auto"/>
              </w:rPr>
              <w:t>U</w:t>
            </w:r>
            <w:r w:rsidRPr="00653DCF">
              <w:rPr>
                <w:color w:val="auto"/>
              </w:rPr>
              <w:t>govora</w:t>
            </w:r>
          </w:p>
        </w:tc>
        <w:tc>
          <w:tcPr>
            <w:tcW w:w="7830" w:type="dxa"/>
            <w:gridSpan w:val="5"/>
            <w:tcBorders>
              <w:top w:val="double" w:sz="4" w:space="0" w:color="auto"/>
              <w:left w:val="double" w:sz="4" w:space="0" w:color="auto"/>
              <w:right w:val="double" w:sz="4" w:space="0" w:color="auto"/>
            </w:tcBorders>
            <w:vAlign w:val="center"/>
          </w:tcPr>
          <w:p w14:paraId="10E5E87A" w14:textId="2B7B35EC" w:rsidR="00CB5D30" w:rsidRPr="00653DCF" w:rsidRDefault="003A24E2" w:rsidP="00CB5D30">
            <w:pPr>
              <w:ind w:left="0"/>
              <w:jc w:val="center"/>
              <w:rPr>
                <w:color w:val="auto"/>
                <w:sz w:val="14"/>
                <w:szCs w:val="14"/>
              </w:rPr>
            </w:pPr>
            <w:r w:rsidRPr="00653DCF">
              <w:rPr>
                <w:color w:val="auto"/>
                <w:sz w:val="14"/>
                <w:szCs w:val="14"/>
              </w:rPr>
              <w:t>OKVIRNI ZAJAM ZA PROJEKT „REVITALIZACIJA ŽELJEZNIČKOG SUSTAVA REPUBLIKE HRVATSKE“</w:t>
            </w:r>
          </w:p>
          <w:p w14:paraId="1078533A" w14:textId="4BA84182" w:rsidR="007A2A6F" w:rsidRPr="00653DCF" w:rsidRDefault="007A2A6F">
            <w:pPr>
              <w:pStyle w:val="P68B1DB1-Normal28"/>
              <w:ind w:left="475"/>
              <w:rPr>
                <w:color w:val="auto"/>
              </w:rPr>
            </w:pPr>
          </w:p>
        </w:tc>
      </w:tr>
      <w:tr w:rsidR="007A2A6F" w:rsidRPr="00653DCF" w14:paraId="2DAEC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7"/>
        </w:trPr>
        <w:tc>
          <w:tcPr>
            <w:tcW w:w="2160" w:type="dxa"/>
            <w:gridSpan w:val="3"/>
            <w:tcBorders>
              <w:top w:val="nil"/>
              <w:left w:val="nil"/>
              <w:bottom w:val="nil"/>
              <w:right w:val="double" w:sz="4" w:space="0" w:color="auto"/>
            </w:tcBorders>
          </w:tcPr>
          <w:p w14:paraId="51D81080" w14:textId="77777777" w:rsidR="007A2A6F" w:rsidRPr="00653DCF" w:rsidRDefault="007A2A6F">
            <w:pPr>
              <w:ind w:left="-45"/>
              <w:rPr>
                <w:color w:val="auto"/>
                <w:sz w:val="14"/>
              </w:rPr>
            </w:pPr>
          </w:p>
          <w:p w14:paraId="68FDED04" w14:textId="5E6D129B" w:rsidR="007A2A6F" w:rsidRPr="00653DCF" w:rsidRDefault="00E87B0B">
            <w:pPr>
              <w:pStyle w:val="P68B1DB1-Normal27"/>
              <w:ind w:left="-45"/>
              <w:rPr>
                <w:color w:val="auto"/>
              </w:rPr>
            </w:pPr>
            <w:r w:rsidRPr="00653DCF">
              <w:rPr>
                <w:color w:val="auto"/>
              </w:rPr>
              <w:t xml:space="preserve">Broj </w:t>
            </w:r>
            <w:r w:rsidR="00F50E89" w:rsidRPr="00653DCF">
              <w:rPr>
                <w:color w:val="auto"/>
              </w:rPr>
              <w:t>U</w:t>
            </w:r>
            <w:r w:rsidRPr="00653DCF">
              <w:rPr>
                <w:color w:val="auto"/>
              </w:rPr>
              <w:t>govora</w:t>
            </w:r>
          </w:p>
        </w:tc>
        <w:tc>
          <w:tcPr>
            <w:tcW w:w="7830" w:type="dxa"/>
            <w:gridSpan w:val="5"/>
            <w:tcBorders>
              <w:top w:val="single" w:sz="4" w:space="0" w:color="auto"/>
              <w:left w:val="double" w:sz="4" w:space="0" w:color="auto"/>
              <w:right w:val="double" w:sz="4" w:space="0" w:color="auto"/>
            </w:tcBorders>
            <w:vAlign w:val="center"/>
          </w:tcPr>
          <w:p w14:paraId="707AAF95" w14:textId="12951628" w:rsidR="007A2A6F" w:rsidRPr="00653DCF" w:rsidRDefault="00E87B0B">
            <w:pPr>
              <w:pStyle w:val="P68B1DB1-Normal28"/>
              <w:ind w:left="475"/>
              <w:rPr>
                <w:color w:val="auto"/>
              </w:rPr>
            </w:pPr>
            <w:r w:rsidRPr="00653DCF">
              <w:rPr>
                <w:color w:val="auto"/>
              </w:rPr>
              <w:t>95.797</w:t>
            </w:r>
          </w:p>
        </w:tc>
      </w:tr>
      <w:tr w:rsidR="007A2A6F" w:rsidRPr="00653DCF" w14:paraId="1B4253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2"/>
        </w:trPr>
        <w:tc>
          <w:tcPr>
            <w:tcW w:w="2160" w:type="dxa"/>
            <w:gridSpan w:val="3"/>
            <w:tcBorders>
              <w:top w:val="nil"/>
              <w:left w:val="nil"/>
              <w:bottom w:val="nil"/>
              <w:right w:val="double" w:sz="4" w:space="0" w:color="auto"/>
            </w:tcBorders>
          </w:tcPr>
          <w:p w14:paraId="2621E557" w14:textId="77777777" w:rsidR="007A2A6F" w:rsidRPr="00653DCF" w:rsidRDefault="007A2A6F">
            <w:pPr>
              <w:ind w:left="-45"/>
              <w:rPr>
                <w:color w:val="auto"/>
                <w:sz w:val="14"/>
              </w:rPr>
            </w:pPr>
          </w:p>
          <w:p w14:paraId="7D68006F" w14:textId="77777777" w:rsidR="007A2A6F" w:rsidRPr="00653DCF" w:rsidRDefault="00E87B0B">
            <w:pPr>
              <w:pStyle w:val="P68B1DB1-Normal27"/>
              <w:ind w:left="-45"/>
              <w:rPr>
                <w:color w:val="auto"/>
              </w:rPr>
            </w:pPr>
            <w:r w:rsidRPr="00653DCF">
              <w:rPr>
                <w:color w:val="auto"/>
              </w:rPr>
              <w:t>Preferirani datum isplate</w:t>
            </w:r>
          </w:p>
        </w:tc>
        <w:tc>
          <w:tcPr>
            <w:tcW w:w="7830" w:type="dxa"/>
            <w:gridSpan w:val="5"/>
            <w:tcBorders>
              <w:top w:val="single" w:sz="4" w:space="0" w:color="auto"/>
              <w:left w:val="double" w:sz="4" w:space="0" w:color="auto"/>
              <w:right w:val="double" w:sz="4" w:space="0" w:color="auto"/>
            </w:tcBorders>
            <w:vAlign w:val="center"/>
          </w:tcPr>
          <w:p w14:paraId="19E5AD9E" w14:textId="77777777" w:rsidR="007A2A6F" w:rsidRPr="00653DCF" w:rsidRDefault="007A2A6F">
            <w:pPr>
              <w:ind w:left="475"/>
              <w:rPr>
                <w:color w:val="auto"/>
                <w:sz w:val="14"/>
              </w:rPr>
            </w:pPr>
          </w:p>
        </w:tc>
      </w:tr>
      <w:tr w:rsidR="007A2A6F" w:rsidRPr="00653DCF" w14:paraId="1AD01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2160" w:type="dxa"/>
            <w:gridSpan w:val="3"/>
            <w:tcBorders>
              <w:top w:val="nil"/>
              <w:left w:val="nil"/>
              <w:bottom w:val="nil"/>
              <w:right w:val="double" w:sz="4" w:space="0" w:color="auto"/>
            </w:tcBorders>
          </w:tcPr>
          <w:p w14:paraId="5A8FEB8F" w14:textId="77777777" w:rsidR="007A2A6F" w:rsidRPr="00653DCF" w:rsidRDefault="007A2A6F">
            <w:pPr>
              <w:ind w:left="-45"/>
              <w:rPr>
                <w:color w:val="auto"/>
                <w:sz w:val="14"/>
              </w:rPr>
            </w:pPr>
          </w:p>
          <w:p w14:paraId="5E4CA823" w14:textId="77777777" w:rsidR="007A2A6F" w:rsidRPr="00653DCF" w:rsidRDefault="00E87B0B">
            <w:pPr>
              <w:pStyle w:val="P68B1DB1-Normal28"/>
              <w:ind w:left="-45"/>
              <w:rPr>
                <w:color w:val="auto"/>
              </w:rPr>
            </w:pPr>
            <w:r w:rsidRPr="00653DCF">
              <w:rPr>
                <w:b/>
                <w:color w:val="auto"/>
              </w:rPr>
              <w:t>Valuta</w:t>
            </w:r>
            <w:r w:rsidRPr="00653DCF">
              <w:rPr>
                <w:color w:val="auto"/>
              </w:rPr>
              <w:t xml:space="preserve"> i </w:t>
            </w:r>
            <w:r w:rsidRPr="00653DCF">
              <w:rPr>
                <w:b/>
                <w:color w:val="auto"/>
              </w:rPr>
              <w:t>iznos</w:t>
            </w:r>
          </w:p>
        </w:tc>
        <w:tc>
          <w:tcPr>
            <w:tcW w:w="7830" w:type="dxa"/>
            <w:gridSpan w:val="5"/>
            <w:tcBorders>
              <w:top w:val="single" w:sz="4" w:space="0" w:color="auto"/>
              <w:left w:val="double" w:sz="4" w:space="0" w:color="auto"/>
              <w:bottom w:val="double" w:sz="4" w:space="0" w:color="auto"/>
              <w:right w:val="double" w:sz="4" w:space="0" w:color="auto"/>
            </w:tcBorders>
            <w:vAlign w:val="center"/>
          </w:tcPr>
          <w:p w14:paraId="3DDB22BA" w14:textId="77777777" w:rsidR="007A2A6F" w:rsidRPr="00653DCF" w:rsidRDefault="007A2A6F">
            <w:pPr>
              <w:ind w:left="475"/>
              <w:rPr>
                <w:color w:val="auto"/>
                <w:sz w:val="14"/>
              </w:rPr>
            </w:pPr>
          </w:p>
        </w:tc>
      </w:tr>
      <w:tr w:rsidR="007A2A6F" w:rsidRPr="00653DCF" w14:paraId="7E3BD5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2"/>
        </w:trPr>
        <w:tc>
          <w:tcPr>
            <w:tcW w:w="2160" w:type="dxa"/>
            <w:gridSpan w:val="3"/>
            <w:tcBorders>
              <w:top w:val="nil"/>
              <w:left w:val="nil"/>
              <w:bottom w:val="nil"/>
              <w:right w:val="nil"/>
            </w:tcBorders>
          </w:tcPr>
          <w:p w14:paraId="3BD5F132" w14:textId="77777777" w:rsidR="007A2A6F" w:rsidRPr="00653DCF" w:rsidRDefault="007A2A6F">
            <w:pPr>
              <w:ind w:left="0"/>
              <w:rPr>
                <w:color w:val="auto"/>
                <w:sz w:val="14"/>
              </w:rPr>
            </w:pPr>
          </w:p>
        </w:tc>
        <w:tc>
          <w:tcPr>
            <w:tcW w:w="3060" w:type="dxa"/>
            <w:tcBorders>
              <w:top w:val="double" w:sz="4" w:space="0" w:color="auto"/>
              <w:left w:val="nil"/>
              <w:bottom w:val="single" w:sz="4" w:space="0" w:color="FFFFFF"/>
              <w:right w:val="nil"/>
            </w:tcBorders>
            <w:vAlign w:val="center"/>
          </w:tcPr>
          <w:p w14:paraId="1992E442" w14:textId="77777777" w:rsidR="007A2A6F" w:rsidRPr="00653DCF" w:rsidRDefault="007A2A6F">
            <w:pPr>
              <w:ind w:left="473"/>
              <w:rPr>
                <w:color w:val="auto"/>
                <w:sz w:val="14"/>
              </w:rPr>
            </w:pPr>
          </w:p>
        </w:tc>
        <w:tc>
          <w:tcPr>
            <w:tcW w:w="330" w:type="dxa"/>
            <w:tcBorders>
              <w:top w:val="double" w:sz="4" w:space="0" w:color="auto"/>
              <w:left w:val="nil"/>
              <w:bottom w:val="double" w:sz="4" w:space="0" w:color="auto"/>
              <w:right w:val="nil"/>
            </w:tcBorders>
            <w:vAlign w:val="center"/>
          </w:tcPr>
          <w:p w14:paraId="334B6A54" w14:textId="77777777" w:rsidR="007A2A6F" w:rsidRPr="00653DCF" w:rsidRDefault="007A2A6F">
            <w:pPr>
              <w:ind w:left="473"/>
              <w:rPr>
                <w:color w:val="auto"/>
                <w:sz w:val="14"/>
              </w:rPr>
            </w:pPr>
          </w:p>
        </w:tc>
        <w:tc>
          <w:tcPr>
            <w:tcW w:w="2498" w:type="dxa"/>
            <w:gridSpan w:val="2"/>
            <w:tcBorders>
              <w:top w:val="double" w:sz="4" w:space="0" w:color="auto"/>
              <w:left w:val="nil"/>
              <w:bottom w:val="double" w:sz="4" w:space="0" w:color="auto"/>
              <w:right w:val="nil"/>
            </w:tcBorders>
            <w:vAlign w:val="center"/>
          </w:tcPr>
          <w:p w14:paraId="6F3AF4C0" w14:textId="77777777" w:rsidR="007A2A6F" w:rsidRPr="00653DCF" w:rsidRDefault="007A2A6F">
            <w:pPr>
              <w:ind w:left="473"/>
              <w:rPr>
                <w:color w:val="auto"/>
                <w:sz w:val="14"/>
              </w:rPr>
            </w:pPr>
          </w:p>
        </w:tc>
        <w:tc>
          <w:tcPr>
            <w:tcW w:w="1942" w:type="dxa"/>
            <w:tcBorders>
              <w:top w:val="double" w:sz="4" w:space="0" w:color="auto"/>
              <w:left w:val="nil"/>
              <w:bottom w:val="double" w:sz="4" w:space="0" w:color="auto"/>
              <w:right w:val="nil"/>
            </w:tcBorders>
            <w:vAlign w:val="center"/>
          </w:tcPr>
          <w:p w14:paraId="43CC5A98" w14:textId="77777777" w:rsidR="007A2A6F" w:rsidRPr="00653DCF" w:rsidRDefault="007A2A6F">
            <w:pPr>
              <w:ind w:left="473"/>
              <w:rPr>
                <w:color w:val="auto"/>
                <w:sz w:val="14"/>
              </w:rPr>
            </w:pPr>
          </w:p>
        </w:tc>
      </w:tr>
      <w:tr w:rsidR="007A2A6F" w:rsidRPr="00653DCF" w14:paraId="072F73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720"/>
        </w:trPr>
        <w:tc>
          <w:tcPr>
            <w:tcW w:w="450" w:type="dxa"/>
            <w:vMerge w:val="restart"/>
            <w:tcBorders>
              <w:top w:val="double" w:sz="4" w:space="0" w:color="auto"/>
              <w:left w:val="double" w:sz="4" w:space="0" w:color="auto"/>
              <w:right w:val="double" w:sz="4" w:space="0" w:color="auto"/>
            </w:tcBorders>
            <w:textDirection w:val="btLr"/>
          </w:tcPr>
          <w:p w14:paraId="587E8794" w14:textId="0C63978A" w:rsidR="007A2A6F" w:rsidRPr="00653DCF" w:rsidRDefault="0029367B">
            <w:pPr>
              <w:pStyle w:val="P68B1DB1-Normal27"/>
              <w:tabs>
                <w:tab w:val="left" w:pos="720"/>
                <w:tab w:val="left" w:pos="896"/>
              </w:tabs>
              <w:ind w:left="854"/>
              <w:jc w:val="center"/>
              <w:rPr>
                <w:color w:val="auto"/>
              </w:rPr>
            </w:pPr>
            <w:r w:rsidRPr="00653DCF">
              <w:rPr>
                <w:color w:val="auto"/>
              </w:rPr>
              <w:t xml:space="preserve">K A M A T A </w:t>
            </w:r>
          </w:p>
        </w:tc>
        <w:tc>
          <w:tcPr>
            <w:tcW w:w="4230" w:type="dxa"/>
            <w:gridSpan w:val="2"/>
            <w:tcBorders>
              <w:top w:val="nil"/>
              <w:left w:val="double" w:sz="4" w:space="0" w:color="auto"/>
              <w:bottom w:val="nil"/>
              <w:right w:val="double" w:sz="4" w:space="0" w:color="auto"/>
            </w:tcBorders>
          </w:tcPr>
          <w:p w14:paraId="092424BE" w14:textId="77777777" w:rsidR="007A2A6F" w:rsidRPr="00653DCF" w:rsidRDefault="007A2A6F">
            <w:pPr>
              <w:ind w:left="0"/>
              <w:rPr>
                <w:color w:val="auto"/>
                <w:sz w:val="16"/>
              </w:rPr>
            </w:pPr>
          </w:p>
          <w:p w14:paraId="4AA236AF" w14:textId="54E70D31" w:rsidR="007A2A6F" w:rsidRPr="00653DCF" w:rsidRDefault="00E87B0B">
            <w:pPr>
              <w:pStyle w:val="P68B1DB1-Normal29"/>
              <w:ind w:left="0"/>
              <w:rPr>
                <w:color w:val="auto"/>
              </w:rPr>
            </w:pPr>
            <w:r w:rsidRPr="00653DCF">
              <w:rPr>
                <w:color w:val="auto"/>
              </w:rPr>
              <w:t>Osnovica kamatn</w:t>
            </w:r>
            <w:r w:rsidR="000F4727" w:rsidRPr="00653DCF">
              <w:rPr>
                <w:color w:val="auto"/>
              </w:rPr>
              <w:t>e</w:t>
            </w:r>
            <w:r w:rsidRPr="00653DCF">
              <w:rPr>
                <w:color w:val="auto"/>
              </w:rPr>
              <w:t xml:space="preserve"> stop</w:t>
            </w:r>
            <w:r w:rsidR="000F4727" w:rsidRPr="00653DCF">
              <w:rPr>
                <w:color w:val="auto"/>
              </w:rPr>
              <w:t>e</w:t>
            </w:r>
            <w:r w:rsidRPr="00653DCF">
              <w:rPr>
                <w:color w:val="auto"/>
              </w:rPr>
              <w:t xml:space="preserve"> (čl</w:t>
            </w:r>
            <w:r w:rsidR="006B00F1" w:rsidRPr="00653DCF">
              <w:rPr>
                <w:color w:val="auto"/>
              </w:rPr>
              <w:t xml:space="preserve">anak </w:t>
            </w:r>
            <w:r w:rsidRPr="00653DCF">
              <w:rPr>
                <w:color w:val="auto"/>
              </w:rPr>
              <w:fldChar w:fldCharType="begin"/>
            </w:r>
            <w:r w:rsidRPr="00653DCF">
              <w:rPr>
                <w:color w:val="auto"/>
              </w:rPr>
              <w:instrText xml:space="preserve"> REF _Ref426639513 \r \h  \* MERGEFORMAT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w:t>
            </w:r>
          </w:p>
        </w:tc>
        <w:tc>
          <w:tcPr>
            <w:tcW w:w="4770" w:type="dxa"/>
            <w:gridSpan w:val="4"/>
            <w:tcBorders>
              <w:left w:val="double" w:sz="4" w:space="0" w:color="auto"/>
              <w:right w:val="double" w:sz="4" w:space="0" w:color="auto"/>
            </w:tcBorders>
            <w:vAlign w:val="center"/>
          </w:tcPr>
          <w:p w14:paraId="4C18B11D" w14:textId="77777777" w:rsidR="007A2A6F" w:rsidRPr="00653DCF" w:rsidRDefault="007A2A6F">
            <w:pPr>
              <w:spacing w:after="60"/>
              <w:ind w:left="58"/>
              <w:rPr>
                <w:b/>
                <w:color w:val="auto"/>
                <w:sz w:val="14"/>
              </w:rPr>
            </w:pPr>
          </w:p>
        </w:tc>
      </w:tr>
      <w:tr w:rsidR="007A2A6F" w:rsidRPr="00653DCF" w14:paraId="3922B3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113"/>
        </w:trPr>
        <w:tc>
          <w:tcPr>
            <w:tcW w:w="450" w:type="dxa"/>
            <w:vMerge/>
            <w:tcBorders>
              <w:left w:val="double" w:sz="4" w:space="0" w:color="auto"/>
              <w:right w:val="double" w:sz="4" w:space="0" w:color="auto"/>
            </w:tcBorders>
          </w:tcPr>
          <w:p w14:paraId="427041DC" w14:textId="77777777" w:rsidR="007A2A6F" w:rsidRPr="00653DCF" w:rsidRDefault="007A2A6F">
            <w:pPr>
              <w:tabs>
                <w:tab w:val="left" w:pos="720"/>
                <w:tab w:val="left" w:pos="896"/>
              </w:tabs>
              <w:ind w:left="854"/>
              <w:jc w:val="center"/>
              <w:rPr>
                <w:color w:val="auto"/>
                <w:sz w:val="14"/>
              </w:rPr>
            </w:pPr>
          </w:p>
        </w:tc>
        <w:tc>
          <w:tcPr>
            <w:tcW w:w="4230" w:type="dxa"/>
            <w:gridSpan w:val="2"/>
            <w:tcBorders>
              <w:top w:val="nil"/>
              <w:left w:val="double" w:sz="4" w:space="0" w:color="auto"/>
              <w:bottom w:val="nil"/>
              <w:right w:val="double" w:sz="4" w:space="0" w:color="auto"/>
            </w:tcBorders>
          </w:tcPr>
          <w:p w14:paraId="679B6EC2" w14:textId="4C508C53" w:rsidR="007A2A6F" w:rsidRPr="00653DCF" w:rsidRDefault="00E87B0B">
            <w:pPr>
              <w:pStyle w:val="P68B1DB1-Normal29"/>
              <w:ind w:left="0"/>
              <w:rPr>
                <w:color w:val="auto"/>
              </w:rPr>
            </w:pPr>
            <w:r w:rsidRPr="00653DCF">
              <w:rPr>
                <w:color w:val="auto"/>
              </w:rPr>
              <w:t xml:space="preserve">Stopa (%) ili </w:t>
            </w:r>
            <w:r w:rsidR="003A24E2" w:rsidRPr="00653DCF">
              <w:rPr>
                <w:color w:val="auto"/>
              </w:rPr>
              <w:t>kamatna marža</w:t>
            </w:r>
            <w:r w:rsidRPr="00653DCF">
              <w:rPr>
                <w:color w:val="auto"/>
              </w:rPr>
              <w:t xml:space="preserve"> (</w:t>
            </w:r>
            <w:r w:rsidR="003A24E2" w:rsidRPr="00653DCF">
              <w:rPr>
                <w:color w:val="auto"/>
              </w:rPr>
              <w:t>bazni</w:t>
            </w:r>
            <w:r w:rsidRPr="00653DCF">
              <w:rPr>
                <w:color w:val="auto"/>
              </w:rPr>
              <w:t xml:space="preserve"> bodovi)</w:t>
            </w:r>
          </w:p>
          <w:p w14:paraId="62217AFA" w14:textId="61053283" w:rsidR="007A2A6F" w:rsidRPr="00653DCF" w:rsidRDefault="00E87B0B">
            <w:pPr>
              <w:pStyle w:val="P68B1DB1-Normal28"/>
              <w:ind w:left="0"/>
              <w:rPr>
                <w:color w:val="auto"/>
                <w:sz w:val="16"/>
              </w:rPr>
            </w:pPr>
            <w:r w:rsidRPr="00653DCF">
              <w:rPr>
                <w:color w:val="auto"/>
              </w:rPr>
              <w:t xml:space="preserve"> </w:t>
            </w:r>
          </w:p>
        </w:tc>
        <w:tc>
          <w:tcPr>
            <w:tcW w:w="4770" w:type="dxa"/>
            <w:gridSpan w:val="4"/>
            <w:tcBorders>
              <w:left w:val="double" w:sz="4" w:space="0" w:color="auto"/>
              <w:right w:val="double" w:sz="4" w:space="0" w:color="auto"/>
            </w:tcBorders>
            <w:vAlign w:val="center"/>
          </w:tcPr>
          <w:p w14:paraId="3977BD69" w14:textId="77777777" w:rsidR="007A2A6F" w:rsidRPr="00653DCF" w:rsidRDefault="007A2A6F">
            <w:pPr>
              <w:spacing w:after="60"/>
              <w:ind w:left="58"/>
              <w:rPr>
                <w:b/>
                <w:color w:val="auto"/>
                <w:sz w:val="14"/>
              </w:rPr>
            </w:pPr>
          </w:p>
        </w:tc>
      </w:tr>
      <w:tr w:rsidR="007A2A6F" w:rsidRPr="00653DCF" w14:paraId="7EF0D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907"/>
        </w:trPr>
        <w:tc>
          <w:tcPr>
            <w:tcW w:w="450" w:type="dxa"/>
            <w:vMerge/>
            <w:tcBorders>
              <w:left w:val="double" w:sz="4" w:space="0" w:color="auto"/>
              <w:right w:val="double" w:sz="4" w:space="0" w:color="auto"/>
            </w:tcBorders>
          </w:tcPr>
          <w:p w14:paraId="034E494B" w14:textId="77777777" w:rsidR="007A2A6F" w:rsidRPr="00653DCF" w:rsidRDefault="007A2A6F">
            <w:pPr>
              <w:tabs>
                <w:tab w:val="left" w:pos="720"/>
                <w:tab w:val="left" w:pos="896"/>
              </w:tabs>
              <w:ind w:left="854"/>
              <w:jc w:val="center"/>
              <w:rPr>
                <w:color w:val="auto"/>
                <w:sz w:val="14"/>
              </w:rPr>
            </w:pPr>
          </w:p>
        </w:tc>
        <w:tc>
          <w:tcPr>
            <w:tcW w:w="4230" w:type="dxa"/>
            <w:gridSpan w:val="2"/>
            <w:tcBorders>
              <w:top w:val="nil"/>
              <w:left w:val="double" w:sz="4" w:space="0" w:color="auto"/>
              <w:bottom w:val="nil"/>
              <w:right w:val="double" w:sz="4" w:space="0" w:color="auto"/>
            </w:tcBorders>
          </w:tcPr>
          <w:p w14:paraId="6D5E7066" w14:textId="77777777" w:rsidR="007A2A6F" w:rsidRPr="00653DCF" w:rsidRDefault="007A2A6F">
            <w:pPr>
              <w:ind w:left="0"/>
              <w:rPr>
                <w:color w:val="auto"/>
                <w:sz w:val="16"/>
              </w:rPr>
            </w:pPr>
          </w:p>
          <w:p w14:paraId="5B0AF510" w14:textId="65443EE6" w:rsidR="007A2A6F" w:rsidRPr="00653DCF" w:rsidRDefault="00E87B0B">
            <w:pPr>
              <w:pStyle w:val="P68B1DB1-Normal29"/>
              <w:ind w:left="0"/>
              <w:rPr>
                <w:color w:val="auto"/>
              </w:rPr>
            </w:pPr>
            <w:r w:rsidRPr="00653DCF">
              <w:rPr>
                <w:color w:val="auto"/>
              </w:rPr>
              <w:t>Učestalost (članak</w:t>
            </w:r>
            <w:r w:rsidR="006B00F1" w:rsidRPr="00653DCF">
              <w:rPr>
                <w:color w:val="auto"/>
              </w:rPr>
              <w:t xml:space="preserve"> </w:t>
            </w:r>
            <w:r w:rsidRPr="00653DCF">
              <w:rPr>
                <w:color w:val="auto"/>
              </w:rPr>
              <w:fldChar w:fldCharType="begin"/>
            </w:r>
            <w:r w:rsidRPr="00653DCF">
              <w:rPr>
                <w:color w:val="auto"/>
              </w:rPr>
              <w:instrText xml:space="preserve"> REF _Ref426639513 \r \h  \* MERGEFORMAT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00D22272" w:rsidRPr="00653DCF">
              <w:rPr>
                <w:color w:val="auto"/>
              </w:rPr>
              <w:t>.</w:t>
            </w:r>
            <w:r w:rsidRPr="00653DCF">
              <w:rPr>
                <w:color w:val="auto"/>
              </w:rPr>
              <w:t>)</w:t>
            </w:r>
          </w:p>
        </w:tc>
        <w:tc>
          <w:tcPr>
            <w:tcW w:w="4770" w:type="dxa"/>
            <w:gridSpan w:val="4"/>
            <w:tcBorders>
              <w:left w:val="double" w:sz="4" w:space="0" w:color="auto"/>
              <w:right w:val="double" w:sz="4" w:space="0" w:color="auto"/>
            </w:tcBorders>
            <w:vAlign w:val="center"/>
          </w:tcPr>
          <w:p w14:paraId="4E6848E5" w14:textId="3A9D503E" w:rsidR="007A2A6F" w:rsidRPr="00653DCF" w:rsidRDefault="00E87B0B">
            <w:pPr>
              <w:pStyle w:val="P68B1DB1-Normal28"/>
              <w:spacing w:after="60"/>
              <w:ind w:left="58"/>
              <w:rPr>
                <w:color w:val="auto"/>
              </w:rPr>
            </w:pPr>
            <w:r w:rsidRPr="00653DCF">
              <w:rPr>
                <w:color w:val="auto"/>
              </w:rPr>
              <w:t>Godišnj</w:t>
            </w:r>
            <w:r w:rsidR="00FD136E" w:rsidRPr="00653DCF">
              <w:rPr>
                <w:color w:val="auto"/>
              </w:rPr>
              <w:t>e</w:t>
            </w:r>
            <w:r w:rsidRPr="00653DCF">
              <w:rPr>
                <w:color w:val="auto"/>
              </w:rPr>
              <w:t xml:space="preserve"> </w:t>
            </w:r>
            <w:r w:rsidRPr="00653DCF">
              <w:rPr>
                <w:color w:val="auto"/>
              </w:rPr>
              <w:tab/>
            </w:r>
            <w:r w:rsidRPr="00653DCF">
              <w:rPr>
                <w:color w:val="auto"/>
              </w:rPr>
              <w:tab/>
            </w:r>
            <w:r w:rsidRPr="00653DCF">
              <w:rPr>
                <w:color w:val="auto"/>
              </w:rPr>
              <w:sym w:font="Wingdings" w:char="F06F"/>
            </w:r>
          </w:p>
          <w:p w14:paraId="11C14A1E" w14:textId="77777777" w:rsidR="007A2A6F" w:rsidRPr="00653DCF" w:rsidRDefault="00E87B0B">
            <w:pPr>
              <w:pStyle w:val="P68B1DB1-Normal28"/>
              <w:spacing w:after="60"/>
              <w:ind w:left="58"/>
              <w:rPr>
                <w:color w:val="auto"/>
              </w:rPr>
            </w:pPr>
            <w:r w:rsidRPr="00653DCF">
              <w:rPr>
                <w:color w:val="auto"/>
              </w:rPr>
              <w:t>Polugodišnje</w:t>
            </w:r>
            <w:r w:rsidRPr="00653DCF">
              <w:rPr>
                <w:color w:val="auto"/>
              </w:rPr>
              <w:tab/>
            </w:r>
            <w:r w:rsidRPr="00653DCF">
              <w:rPr>
                <w:color w:val="auto"/>
              </w:rPr>
              <w:sym w:font="Wingdings" w:char="F06F"/>
            </w:r>
          </w:p>
          <w:p w14:paraId="3F451AF8" w14:textId="401C200F" w:rsidR="007A2A6F" w:rsidRPr="00653DCF" w:rsidRDefault="00E87B0B">
            <w:pPr>
              <w:pStyle w:val="P68B1DB1-Normal28"/>
              <w:spacing w:after="60"/>
              <w:ind w:left="58"/>
              <w:rPr>
                <w:b/>
                <w:color w:val="auto"/>
              </w:rPr>
            </w:pPr>
            <w:r w:rsidRPr="00653DCF">
              <w:rPr>
                <w:color w:val="auto"/>
              </w:rPr>
              <w:t>Tromjesečno</w:t>
            </w:r>
            <w:r w:rsidRPr="00653DCF">
              <w:rPr>
                <w:color w:val="auto"/>
              </w:rPr>
              <w:tab/>
            </w:r>
            <w:r w:rsidRPr="00653DCF">
              <w:rPr>
                <w:color w:val="auto"/>
              </w:rPr>
              <w:sym w:font="Wingdings" w:char="F06F"/>
            </w:r>
          </w:p>
        </w:tc>
      </w:tr>
      <w:tr w:rsidR="007A2A6F" w:rsidRPr="00653DCF" w14:paraId="1A48E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710"/>
        </w:trPr>
        <w:tc>
          <w:tcPr>
            <w:tcW w:w="450" w:type="dxa"/>
            <w:vMerge/>
            <w:tcBorders>
              <w:left w:val="double" w:sz="4" w:space="0" w:color="auto"/>
              <w:right w:val="double" w:sz="4" w:space="0" w:color="auto"/>
            </w:tcBorders>
          </w:tcPr>
          <w:p w14:paraId="77CD3351" w14:textId="77777777" w:rsidR="007A2A6F" w:rsidRPr="00653DCF" w:rsidRDefault="007A2A6F">
            <w:pPr>
              <w:tabs>
                <w:tab w:val="left" w:pos="720"/>
                <w:tab w:val="left" w:pos="896"/>
              </w:tabs>
              <w:ind w:left="854"/>
              <w:jc w:val="center"/>
              <w:rPr>
                <w:color w:val="auto"/>
                <w:sz w:val="14"/>
              </w:rPr>
            </w:pPr>
          </w:p>
        </w:tc>
        <w:tc>
          <w:tcPr>
            <w:tcW w:w="4230" w:type="dxa"/>
            <w:gridSpan w:val="2"/>
            <w:tcBorders>
              <w:top w:val="nil"/>
              <w:left w:val="double" w:sz="4" w:space="0" w:color="auto"/>
              <w:bottom w:val="nil"/>
              <w:right w:val="double" w:sz="4" w:space="0" w:color="auto"/>
            </w:tcBorders>
          </w:tcPr>
          <w:p w14:paraId="1636998C" w14:textId="77777777" w:rsidR="007A2A6F" w:rsidRPr="00653DCF" w:rsidRDefault="007A2A6F">
            <w:pPr>
              <w:ind w:left="0"/>
              <w:rPr>
                <w:color w:val="auto"/>
                <w:sz w:val="16"/>
              </w:rPr>
            </w:pPr>
          </w:p>
          <w:p w14:paraId="47AD51B9" w14:textId="5859236D" w:rsidR="007A2A6F" w:rsidRPr="00653DCF" w:rsidRDefault="00E87B0B">
            <w:pPr>
              <w:pStyle w:val="P68B1DB1-Normal29"/>
              <w:ind w:left="0"/>
              <w:rPr>
                <w:color w:val="auto"/>
              </w:rPr>
            </w:pPr>
            <w:r w:rsidRPr="00653DCF">
              <w:rPr>
                <w:color w:val="auto"/>
              </w:rPr>
              <w:t>Datumi plaćanja (članak 3.1.)</w:t>
            </w:r>
          </w:p>
        </w:tc>
        <w:tc>
          <w:tcPr>
            <w:tcW w:w="4770" w:type="dxa"/>
            <w:gridSpan w:val="4"/>
            <w:tcBorders>
              <w:left w:val="double" w:sz="4" w:space="0" w:color="auto"/>
              <w:right w:val="double" w:sz="4" w:space="0" w:color="auto"/>
            </w:tcBorders>
            <w:vAlign w:val="center"/>
          </w:tcPr>
          <w:p w14:paraId="5F24F315" w14:textId="77777777" w:rsidR="007A2A6F" w:rsidRPr="00653DCF" w:rsidRDefault="007A2A6F">
            <w:pPr>
              <w:spacing w:after="60"/>
              <w:ind w:left="58"/>
              <w:rPr>
                <w:b/>
                <w:color w:val="auto"/>
                <w:sz w:val="14"/>
              </w:rPr>
            </w:pPr>
          </w:p>
        </w:tc>
      </w:tr>
      <w:tr w:rsidR="007A2A6F" w:rsidRPr="00653DCF" w14:paraId="045741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730"/>
        </w:trPr>
        <w:tc>
          <w:tcPr>
            <w:tcW w:w="450" w:type="dxa"/>
            <w:vMerge/>
            <w:tcBorders>
              <w:left w:val="double" w:sz="4" w:space="0" w:color="auto"/>
              <w:right w:val="double" w:sz="4" w:space="0" w:color="auto"/>
            </w:tcBorders>
          </w:tcPr>
          <w:p w14:paraId="794168C1" w14:textId="77777777" w:rsidR="007A2A6F" w:rsidRPr="00653DCF" w:rsidRDefault="007A2A6F">
            <w:pPr>
              <w:tabs>
                <w:tab w:val="left" w:pos="720"/>
                <w:tab w:val="left" w:pos="896"/>
              </w:tabs>
              <w:ind w:left="854"/>
              <w:jc w:val="center"/>
              <w:rPr>
                <w:color w:val="auto"/>
                <w:sz w:val="14"/>
              </w:rPr>
            </w:pPr>
          </w:p>
        </w:tc>
        <w:tc>
          <w:tcPr>
            <w:tcW w:w="4230" w:type="dxa"/>
            <w:gridSpan w:val="2"/>
            <w:tcBorders>
              <w:top w:val="nil"/>
              <w:left w:val="double" w:sz="4" w:space="0" w:color="auto"/>
              <w:bottom w:val="nil"/>
              <w:right w:val="double" w:sz="4" w:space="0" w:color="auto"/>
            </w:tcBorders>
          </w:tcPr>
          <w:p w14:paraId="5D5CA1A8" w14:textId="77777777" w:rsidR="007A2A6F" w:rsidRPr="00653DCF" w:rsidRDefault="007A2A6F">
            <w:pPr>
              <w:ind w:left="0"/>
              <w:rPr>
                <w:color w:val="auto"/>
                <w:sz w:val="16"/>
              </w:rPr>
            </w:pPr>
          </w:p>
          <w:p w14:paraId="45B29973" w14:textId="7D2C5F21" w:rsidR="007A2A6F" w:rsidRPr="00653DCF" w:rsidRDefault="00E87B0B">
            <w:pPr>
              <w:pStyle w:val="P68B1DB1-Normal29"/>
              <w:ind w:left="0"/>
              <w:rPr>
                <w:color w:val="auto"/>
              </w:rPr>
            </w:pPr>
            <w:r w:rsidRPr="00653DCF">
              <w:rPr>
                <w:color w:val="auto"/>
              </w:rPr>
              <w:t xml:space="preserve">Datum revizije/konverzije </w:t>
            </w:r>
            <w:r w:rsidR="0029367B" w:rsidRPr="00653DCF">
              <w:rPr>
                <w:color w:val="auto"/>
              </w:rPr>
              <w:t>kamatne stope</w:t>
            </w:r>
            <w:r w:rsidRPr="00653DCF">
              <w:rPr>
                <w:color w:val="auto"/>
              </w:rPr>
              <w:t xml:space="preserve"> (ako postoji)</w:t>
            </w:r>
          </w:p>
        </w:tc>
        <w:tc>
          <w:tcPr>
            <w:tcW w:w="4770" w:type="dxa"/>
            <w:gridSpan w:val="4"/>
            <w:tcBorders>
              <w:left w:val="double" w:sz="4" w:space="0" w:color="auto"/>
              <w:bottom w:val="single" w:sz="4" w:space="0" w:color="auto"/>
              <w:right w:val="double" w:sz="4" w:space="0" w:color="auto"/>
            </w:tcBorders>
            <w:vAlign w:val="center"/>
          </w:tcPr>
          <w:p w14:paraId="6FB5AE6F" w14:textId="77777777" w:rsidR="007A2A6F" w:rsidRPr="00653DCF" w:rsidRDefault="007A2A6F">
            <w:pPr>
              <w:spacing w:after="60"/>
              <w:ind w:left="58"/>
              <w:rPr>
                <w:b/>
                <w:color w:val="auto"/>
                <w:sz w:val="14"/>
              </w:rPr>
            </w:pPr>
          </w:p>
        </w:tc>
      </w:tr>
      <w:tr w:rsidR="007A2A6F" w:rsidRPr="00653DCF" w14:paraId="4684C0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907"/>
        </w:trPr>
        <w:tc>
          <w:tcPr>
            <w:tcW w:w="450" w:type="dxa"/>
            <w:vMerge w:val="restart"/>
            <w:tcBorders>
              <w:left w:val="double" w:sz="4" w:space="0" w:color="auto"/>
              <w:right w:val="double" w:sz="4" w:space="0" w:color="auto"/>
            </w:tcBorders>
            <w:textDirection w:val="btLr"/>
          </w:tcPr>
          <w:p w14:paraId="2275DAE6" w14:textId="31B81A50" w:rsidR="007A2A6F" w:rsidRPr="00653DCF" w:rsidRDefault="00587CED">
            <w:pPr>
              <w:pStyle w:val="P68B1DB1-Normal30"/>
              <w:tabs>
                <w:tab w:val="left" w:pos="720"/>
                <w:tab w:val="left" w:pos="896"/>
              </w:tabs>
              <w:ind w:left="854"/>
              <w:jc w:val="center"/>
              <w:rPr>
                <w:color w:val="auto"/>
              </w:rPr>
            </w:pPr>
            <w:r w:rsidRPr="00653DCF">
              <w:rPr>
                <w:color w:val="auto"/>
              </w:rPr>
              <w:t>G L A V N I C A</w:t>
            </w:r>
          </w:p>
        </w:tc>
        <w:tc>
          <w:tcPr>
            <w:tcW w:w="4230" w:type="dxa"/>
            <w:gridSpan w:val="2"/>
            <w:tcBorders>
              <w:top w:val="nil"/>
              <w:left w:val="double" w:sz="4" w:space="0" w:color="auto"/>
              <w:bottom w:val="nil"/>
              <w:right w:val="double" w:sz="4" w:space="0" w:color="auto"/>
            </w:tcBorders>
          </w:tcPr>
          <w:p w14:paraId="1E5B7D67" w14:textId="77777777" w:rsidR="007A2A6F" w:rsidRPr="00653DCF" w:rsidRDefault="007A2A6F">
            <w:pPr>
              <w:ind w:left="0"/>
              <w:rPr>
                <w:color w:val="auto"/>
                <w:sz w:val="16"/>
              </w:rPr>
            </w:pPr>
          </w:p>
          <w:p w14:paraId="36E695B6" w14:textId="77777777" w:rsidR="007A2A6F" w:rsidRPr="00653DCF" w:rsidRDefault="00E87B0B">
            <w:pPr>
              <w:pStyle w:val="P68B1DB1-Normal29"/>
              <w:ind w:left="0"/>
              <w:rPr>
                <w:color w:val="auto"/>
              </w:rPr>
            </w:pPr>
            <w:r w:rsidRPr="00653DCF">
              <w:rPr>
                <w:color w:val="auto"/>
              </w:rPr>
              <w:t>Učestalost otplate</w:t>
            </w:r>
          </w:p>
        </w:tc>
        <w:tc>
          <w:tcPr>
            <w:tcW w:w="4770" w:type="dxa"/>
            <w:gridSpan w:val="4"/>
            <w:tcBorders>
              <w:left w:val="double" w:sz="4" w:space="0" w:color="auto"/>
              <w:right w:val="double" w:sz="4" w:space="0" w:color="auto"/>
            </w:tcBorders>
            <w:vAlign w:val="center"/>
          </w:tcPr>
          <w:p w14:paraId="470A30EC" w14:textId="247B3A87" w:rsidR="007A2A6F" w:rsidRPr="00653DCF" w:rsidRDefault="00E87B0B">
            <w:pPr>
              <w:pStyle w:val="P68B1DB1-Normal28"/>
              <w:spacing w:after="60"/>
              <w:ind w:left="58"/>
              <w:rPr>
                <w:color w:val="auto"/>
              </w:rPr>
            </w:pPr>
            <w:r w:rsidRPr="00653DCF">
              <w:rPr>
                <w:color w:val="auto"/>
              </w:rPr>
              <w:t>Godišnj</w:t>
            </w:r>
            <w:r w:rsidR="00FD136E" w:rsidRPr="00653DCF">
              <w:rPr>
                <w:color w:val="auto"/>
              </w:rPr>
              <w:t>e</w:t>
            </w:r>
            <w:r w:rsidRPr="00653DCF">
              <w:rPr>
                <w:color w:val="auto"/>
              </w:rPr>
              <w:t xml:space="preserve"> </w:t>
            </w:r>
            <w:r w:rsidRPr="00653DCF">
              <w:rPr>
                <w:color w:val="auto"/>
              </w:rPr>
              <w:tab/>
            </w:r>
            <w:r w:rsidRPr="00653DCF">
              <w:rPr>
                <w:color w:val="auto"/>
              </w:rPr>
              <w:tab/>
            </w:r>
            <w:r w:rsidRPr="00653DCF">
              <w:rPr>
                <w:color w:val="auto"/>
              </w:rPr>
              <w:sym w:font="Wingdings" w:char="F06F"/>
            </w:r>
          </w:p>
          <w:p w14:paraId="6D03A459" w14:textId="77777777" w:rsidR="007A2A6F" w:rsidRPr="00653DCF" w:rsidRDefault="00E87B0B">
            <w:pPr>
              <w:pStyle w:val="P68B1DB1-Normal28"/>
              <w:spacing w:after="60"/>
              <w:ind w:left="58"/>
              <w:rPr>
                <w:color w:val="auto"/>
              </w:rPr>
            </w:pPr>
            <w:r w:rsidRPr="00653DCF">
              <w:rPr>
                <w:color w:val="auto"/>
              </w:rPr>
              <w:t>Polugodišnje</w:t>
            </w:r>
            <w:r w:rsidRPr="00653DCF">
              <w:rPr>
                <w:color w:val="auto"/>
              </w:rPr>
              <w:tab/>
            </w:r>
            <w:r w:rsidRPr="00653DCF">
              <w:rPr>
                <w:color w:val="auto"/>
              </w:rPr>
              <w:sym w:font="Wingdings" w:char="F06F"/>
            </w:r>
          </w:p>
          <w:p w14:paraId="3FC4E9A3" w14:textId="26810278" w:rsidR="007A2A6F" w:rsidRPr="00653DCF" w:rsidRDefault="00E87B0B">
            <w:pPr>
              <w:pStyle w:val="P68B1DB1-Normal28"/>
              <w:spacing w:after="60"/>
              <w:ind w:left="58"/>
              <w:rPr>
                <w:b/>
                <w:color w:val="auto"/>
              </w:rPr>
            </w:pPr>
            <w:r w:rsidRPr="00653DCF">
              <w:rPr>
                <w:color w:val="auto"/>
              </w:rPr>
              <w:t>Tromjesečno</w:t>
            </w:r>
            <w:r w:rsidRPr="00653DCF">
              <w:rPr>
                <w:color w:val="auto"/>
              </w:rPr>
              <w:tab/>
            </w:r>
            <w:r w:rsidRPr="00653DCF">
              <w:rPr>
                <w:color w:val="auto"/>
              </w:rPr>
              <w:sym w:font="Wingdings" w:char="F06F"/>
            </w:r>
          </w:p>
        </w:tc>
      </w:tr>
      <w:tr w:rsidR="007A2A6F" w:rsidRPr="00653DCF" w14:paraId="3C634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1000"/>
        </w:trPr>
        <w:tc>
          <w:tcPr>
            <w:tcW w:w="450" w:type="dxa"/>
            <w:vMerge/>
            <w:tcBorders>
              <w:left w:val="double" w:sz="4" w:space="0" w:color="auto"/>
              <w:right w:val="double" w:sz="4" w:space="0" w:color="auto"/>
            </w:tcBorders>
          </w:tcPr>
          <w:p w14:paraId="6DDE7FBB" w14:textId="77777777" w:rsidR="007A2A6F" w:rsidRPr="00653DCF" w:rsidRDefault="007A2A6F">
            <w:pPr>
              <w:tabs>
                <w:tab w:val="left" w:pos="720"/>
                <w:tab w:val="left" w:pos="896"/>
              </w:tabs>
              <w:ind w:left="854"/>
              <w:rPr>
                <w:color w:val="auto"/>
                <w:sz w:val="14"/>
              </w:rPr>
            </w:pPr>
          </w:p>
        </w:tc>
        <w:tc>
          <w:tcPr>
            <w:tcW w:w="4230" w:type="dxa"/>
            <w:gridSpan w:val="2"/>
            <w:tcBorders>
              <w:top w:val="nil"/>
              <w:left w:val="double" w:sz="4" w:space="0" w:color="auto"/>
              <w:bottom w:val="nil"/>
              <w:right w:val="double" w:sz="4" w:space="0" w:color="auto"/>
            </w:tcBorders>
          </w:tcPr>
          <w:p w14:paraId="0BD72DB6" w14:textId="77777777" w:rsidR="007A2A6F" w:rsidRPr="00653DCF" w:rsidRDefault="007A2A6F">
            <w:pPr>
              <w:ind w:left="0"/>
              <w:rPr>
                <w:color w:val="auto"/>
                <w:sz w:val="16"/>
              </w:rPr>
            </w:pPr>
          </w:p>
          <w:p w14:paraId="59014D7F" w14:textId="2A64B011" w:rsidR="007A2A6F" w:rsidRPr="00653DCF" w:rsidRDefault="00E87B0B">
            <w:pPr>
              <w:pStyle w:val="P68B1DB1-Normal29"/>
              <w:ind w:left="0"/>
              <w:rPr>
                <w:color w:val="auto"/>
              </w:rPr>
            </w:pPr>
            <w:r w:rsidRPr="00653DCF">
              <w:rPr>
                <w:color w:val="auto"/>
              </w:rPr>
              <w:t>Metodologija otplate (čl</w:t>
            </w:r>
            <w:r w:rsidR="006B00F1" w:rsidRPr="00653DCF">
              <w:rPr>
                <w:color w:val="auto"/>
              </w:rPr>
              <w:t>anak</w:t>
            </w:r>
            <w:r w:rsidR="0029367B" w:rsidRPr="00653DCF">
              <w:rPr>
                <w:color w:val="auto"/>
              </w:rPr>
              <w:t xml:space="preserve"> </w:t>
            </w:r>
            <w:r w:rsidRPr="00653DCF">
              <w:rPr>
                <w:color w:val="auto"/>
              </w:rPr>
              <w:fldChar w:fldCharType="begin"/>
            </w:r>
            <w:r w:rsidRPr="00653DCF">
              <w:rPr>
                <w:color w:val="auto"/>
              </w:rPr>
              <w:instrText xml:space="preserve"> REF _Ref426715009 \r \h  \* MERGEFORMAT </w:instrText>
            </w:r>
            <w:r w:rsidRPr="00653DCF">
              <w:rPr>
                <w:color w:val="auto"/>
              </w:rPr>
            </w:r>
            <w:r w:rsidRPr="00653DCF">
              <w:rPr>
                <w:color w:val="auto"/>
              </w:rPr>
              <w:fldChar w:fldCharType="separate"/>
            </w:r>
            <w:r w:rsidR="00E5391B">
              <w:rPr>
                <w:color w:val="auto"/>
              </w:rPr>
              <w:t>članak 4</w:t>
            </w:r>
            <w:r w:rsidRPr="00653DCF">
              <w:rPr>
                <w:color w:val="auto"/>
              </w:rPr>
              <w:fldChar w:fldCharType="end"/>
            </w:r>
            <w:r w:rsidR="0029367B" w:rsidRPr="00653DCF">
              <w:rPr>
                <w:color w:val="auto"/>
              </w:rPr>
              <w:t>.</w:t>
            </w:r>
            <w:r w:rsidRPr="00653DCF">
              <w:rPr>
                <w:color w:val="auto"/>
              </w:rPr>
              <w:t>)</w:t>
            </w:r>
          </w:p>
        </w:tc>
        <w:tc>
          <w:tcPr>
            <w:tcW w:w="4770" w:type="dxa"/>
            <w:gridSpan w:val="4"/>
            <w:tcBorders>
              <w:left w:val="double" w:sz="4" w:space="0" w:color="auto"/>
              <w:right w:val="double" w:sz="4" w:space="0" w:color="auto"/>
            </w:tcBorders>
            <w:vAlign w:val="center"/>
          </w:tcPr>
          <w:p w14:paraId="2206EBB0" w14:textId="77777777" w:rsidR="007A2A6F" w:rsidRPr="00653DCF" w:rsidRDefault="00E87B0B">
            <w:pPr>
              <w:pStyle w:val="P68B1DB1-Normal28"/>
              <w:spacing w:after="60"/>
              <w:ind w:left="58"/>
              <w:rPr>
                <w:color w:val="auto"/>
              </w:rPr>
            </w:pPr>
            <w:r w:rsidRPr="00653DCF">
              <w:rPr>
                <w:color w:val="auto"/>
              </w:rPr>
              <w:t>Jednaki obroci</w:t>
            </w:r>
            <w:r w:rsidRPr="00653DCF">
              <w:rPr>
                <w:color w:val="auto"/>
              </w:rPr>
              <w:tab/>
            </w:r>
            <w:r w:rsidRPr="00653DCF">
              <w:rPr>
                <w:color w:val="auto"/>
              </w:rPr>
              <w:sym w:font="Wingdings" w:char="F06F"/>
            </w:r>
          </w:p>
          <w:p w14:paraId="7E8C7DA6" w14:textId="77777777" w:rsidR="007A2A6F" w:rsidRPr="00653DCF" w:rsidRDefault="00E87B0B">
            <w:pPr>
              <w:pStyle w:val="P68B1DB1-Normal28"/>
              <w:spacing w:after="60"/>
              <w:ind w:left="58"/>
              <w:rPr>
                <w:color w:val="auto"/>
              </w:rPr>
            </w:pPr>
            <w:r w:rsidRPr="00653DCF">
              <w:rPr>
                <w:color w:val="auto"/>
              </w:rPr>
              <w:t>Stalne rente</w:t>
            </w:r>
            <w:r w:rsidRPr="00653DCF">
              <w:rPr>
                <w:color w:val="auto"/>
              </w:rPr>
              <w:tab/>
            </w:r>
            <w:r w:rsidRPr="00653DCF">
              <w:rPr>
                <w:color w:val="auto"/>
              </w:rPr>
              <w:sym w:font="Wingdings" w:char="F06F"/>
            </w:r>
          </w:p>
          <w:p w14:paraId="6EBD4AC7" w14:textId="1E1825DC" w:rsidR="007A2A6F" w:rsidRPr="00653DCF" w:rsidRDefault="007A2A6F">
            <w:pPr>
              <w:spacing w:after="60"/>
              <w:ind w:left="58"/>
              <w:rPr>
                <w:b/>
                <w:color w:val="auto"/>
                <w:sz w:val="14"/>
              </w:rPr>
            </w:pPr>
          </w:p>
        </w:tc>
      </w:tr>
      <w:tr w:rsidR="007A2A6F" w:rsidRPr="00653DCF" w14:paraId="76F3F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667"/>
        </w:trPr>
        <w:tc>
          <w:tcPr>
            <w:tcW w:w="450" w:type="dxa"/>
            <w:vMerge/>
            <w:tcBorders>
              <w:left w:val="double" w:sz="4" w:space="0" w:color="auto"/>
              <w:right w:val="double" w:sz="4" w:space="0" w:color="auto"/>
            </w:tcBorders>
          </w:tcPr>
          <w:p w14:paraId="47876E88" w14:textId="77777777" w:rsidR="007A2A6F" w:rsidRPr="00653DCF" w:rsidRDefault="007A2A6F">
            <w:pPr>
              <w:tabs>
                <w:tab w:val="left" w:pos="720"/>
                <w:tab w:val="left" w:pos="896"/>
              </w:tabs>
              <w:ind w:left="854"/>
              <w:rPr>
                <w:color w:val="auto"/>
                <w:sz w:val="14"/>
              </w:rPr>
            </w:pPr>
          </w:p>
        </w:tc>
        <w:tc>
          <w:tcPr>
            <w:tcW w:w="4230" w:type="dxa"/>
            <w:gridSpan w:val="2"/>
            <w:tcBorders>
              <w:top w:val="nil"/>
              <w:left w:val="double" w:sz="4" w:space="0" w:color="auto"/>
              <w:bottom w:val="nil"/>
              <w:right w:val="double" w:sz="4" w:space="0" w:color="auto"/>
            </w:tcBorders>
          </w:tcPr>
          <w:p w14:paraId="31A836DE" w14:textId="77777777" w:rsidR="007A2A6F" w:rsidRPr="00653DCF" w:rsidRDefault="007A2A6F">
            <w:pPr>
              <w:ind w:left="0"/>
              <w:rPr>
                <w:color w:val="auto"/>
                <w:sz w:val="16"/>
              </w:rPr>
            </w:pPr>
          </w:p>
          <w:p w14:paraId="1D4DA5DD" w14:textId="77777777" w:rsidR="007A2A6F" w:rsidRPr="00653DCF" w:rsidRDefault="00E87B0B">
            <w:pPr>
              <w:pStyle w:val="P68B1DB1-Normal29"/>
              <w:ind w:left="0"/>
              <w:rPr>
                <w:color w:val="auto"/>
              </w:rPr>
            </w:pPr>
            <w:r w:rsidRPr="00653DCF">
              <w:rPr>
                <w:color w:val="auto"/>
              </w:rPr>
              <w:t>Datum prve otplate</w:t>
            </w:r>
          </w:p>
        </w:tc>
        <w:tc>
          <w:tcPr>
            <w:tcW w:w="4770" w:type="dxa"/>
            <w:gridSpan w:val="4"/>
            <w:tcBorders>
              <w:left w:val="double" w:sz="4" w:space="0" w:color="auto"/>
              <w:right w:val="double" w:sz="4" w:space="0" w:color="auto"/>
            </w:tcBorders>
            <w:vAlign w:val="center"/>
          </w:tcPr>
          <w:p w14:paraId="46E0C023" w14:textId="77777777" w:rsidR="007A2A6F" w:rsidRPr="00653DCF" w:rsidRDefault="007A2A6F">
            <w:pPr>
              <w:spacing w:after="60"/>
              <w:ind w:left="58"/>
              <w:rPr>
                <w:b/>
                <w:color w:val="auto"/>
                <w:sz w:val="14"/>
              </w:rPr>
            </w:pPr>
          </w:p>
        </w:tc>
      </w:tr>
      <w:tr w:rsidR="007A2A6F" w:rsidRPr="00653DCF" w14:paraId="6F89DA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640"/>
        </w:trPr>
        <w:tc>
          <w:tcPr>
            <w:tcW w:w="450" w:type="dxa"/>
            <w:vMerge/>
            <w:tcBorders>
              <w:left w:val="double" w:sz="4" w:space="0" w:color="auto"/>
              <w:bottom w:val="double" w:sz="4" w:space="0" w:color="auto"/>
              <w:right w:val="double" w:sz="4" w:space="0" w:color="auto"/>
            </w:tcBorders>
          </w:tcPr>
          <w:p w14:paraId="08036A51" w14:textId="77777777" w:rsidR="007A2A6F" w:rsidRPr="00653DCF" w:rsidRDefault="007A2A6F">
            <w:pPr>
              <w:tabs>
                <w:tab w:val="left" w:pos="720"/>
                <w:tab w:val="left" w:pos="896"/>
              </w:tabs>
              <w:ind w:left="854"/>
              <w:rPr>
                <w:color w:val="auto"/>
                <w:sz w:val="14"/>
              </w:rPr>
            </w:pPr>
          </w:p>
        </w:tc>
        <w:tc>
          <w:tcPr>
            <w:tcW w:w="4230" w:type="dxa"/>
            <w:gridSpan w:val="2"/>
            <w:tcBorders>
              <w:top w:val="nil"/>
              <w:left w:val="double" w:sz="4" w:space="0" w:color="auto"/>
              <w:bottom w:val="nil"/>
              <w:right w:val="double" w:sz="4" w:space="0" w:color="auto"/>
            </w:tcBorders>
          </w:tcPr>
          <w:p w14:paraId="06125310" w14:textId="77777777" w:rsidR="007A2A6F" w:rsidRPr="00653DCF" w:rsidRDefault="007A2A6F">
            <w:pPr>
              <w:ind w:left="0"/>
              <w:rPr>
                <w:color w:val="auto"/>
                <w:sz w:val="16"/>
              </w:rPr>
            </w:pPr>
          </w:p>
          <w:p w14:paraId="080931AE" w14:textId="77777777" w:rsidR="007A2A6F" w:rsidRPr="00653DCF" w:rsidRDefault="00E87B0B">
            <w:pPr>
              <w:pStyle w:val="P68B1DB1-Normal29"/>
              <w:ind w:left="0"/>
              <w:rPr>
                <w:color w:val="auto"/>
              </w:rPr>
            </w:pPr>
            <w:r w:rsidRPr="00653DCF">
              <w:rPr>
                <w:color w:val="auto"/>
              </w:rPr>
              <w:t>Zadnji datum otplate</w:t>
            </w:r>
          </w:p>
          <w:p w14:paraId="63C3A1C5" w14:textId="77777777" w:rsidR="007A2A6F" w:rsidRPr="00653DCF" w:rsidRDefault="007A2A6F">
            <w:pPr>
              <w:ind w:left="0"/>
              <w:rPr>
                <w:color w:val="auto"/>
                <w:sz w:val="16"/>
              </w:rPr>
            </w:pPr>
          </w:p>
          <w:p w14:paraId="6322004B" w14:textId="77777777" w:rsidR="007A2A6F" w:rsidRPr="00653DCF" w:rsidRDefault="007A2A6F">
            <w:pPr>
              <w:ind w:left="0"/>
              <w:rPr>
                <w:color w:val="auto"/>
                <w:sz w:val="16"/>
              </w:rPr>
            </w:pPr>
          </w:p>
        </w:tc>
        <w:tc>
          <w:tcPr>
            <w:tcW w:w="4770" w:type="dxa"/>
            <w:gridSpan w:val="4"/>
            <w:tcBorders>
              <w:left w:val="double" w:sz="4" w:space="0" w:color="auto"/>
              <w:bottom w:val="double" w:sz="4" w:space="0" w:color="auto"/>
              <w:right w:val="double" w:sz="4" w:space="0" w:color="auto"/>
            </w:tcBorders>
            <w:vAlign w:val="center"/>
          </w:tcPr>
          <w:p w14:paraId="2A723582" w14:textId="77777777" w:rsidR="007A2A6F" w:rsidRPr="00653DCF" w:rsidRDefault="007A2A6F">
            <w:pPr>
              <w:spacing w:after="60"/>
              <w:ind w:left="58"/>
              <w:rPr>
                <w:b/>
                <w:color w:val="auto"/>
                <w:sz w:val="14"/>
              </w:rPr>
            </w:pPr>
          </w:p>
        </w:tc>
      </w:tr>
    </w:tbl>
    <w:p w14:paraId="6979EAA7" w14:textId="3B7E0ED3" w:rsidR="007A2A6F" w:rsidRPr="00653DCF" w:rsidRDefault="007A2A6F">
      <w:pPr>
        <w:rPr>
          <w:color w:val="auto"/>
          <w:sz w:val="16"/>
        </w:rPr>
      </w:pPr>
    </w:p>
    <w:p w14:paraId="65700931" w14:textId="77777777" w:rsidR="007A2A6F" w:rsidRPr="00653DCF" w:rsidRDefault="007A2A6F">
      <w:pPr>
        <w:rPr>
          <w:color w:val="auto"/>
          <w:sz w:val="16"/>
        </w:rPr>
      </w:pPr>
    </w:p>
    <w:p w14:paraId="108E0F14" w14:textId="77777777" w:rsidR="007A2A6F" w:rsidRPr="00653DCF" w:rsidRDefault="007A2A6F">
      <w:pPr>
        <w:rPr>
          <w:color w:val="auto"/>
          <w:sz w:val="16"/>
        </w:rPr>
      </w:pPr>
    </w:p>
    <w:p w14:paraId="4165139B" w14:textId="77777777" w:rsidR="007A2A6F" w:rsidRPr="00653DCF" w:rsidRDefault="007A2A6F">
      <w:pPr>
        <w:rPr>
          <w:color w:val="auto"/>
          <w:sz w:val="16"/>
        </w:rPr>
      </w:pPr>
    </w:p>
    <w:p w14:paraId="2FE79528" w14:textId="77777777" w:rsidR="007A2A6F" w:rsidRPr="00653DCF" w:rsidRDefault="00E87B0B">
      <w:pPr>
        <w:pStyle w:val="P68B1DB1-Normal31"/>
        <w:pBdr>
          <w:top w:val="single" w:sz="4" w:space="1" w:color="auto"/>
          <w:left w:val="single" w:sz="4" w:space="4" w:color="auto"/>
          <w:bottom w:val="single" w:sz="4" w:space="1" w:color="auto"/>
          <w:right w:val="single" w:sz="4" w:space="4" w:color="auto"/>
        </w:pBdr>
        <w:tabs>
          <w:tab w:val="left" w:pos="720"/>
          <w:tab w:val="left" w:pos="896"/>
        </w:tabs>
        <w:ind w:left="854"/>
        <w:jc w:val="center"/>
        <w:rPr>
          <w:color w:val="auto"/>
        </w:rPr>
      </w:pPr>
      <w:r w:rsidRPr="00653DCF">
        <w:rPr>
          <w:color w:val="auto"/>
        </w:rPr>
        <w:t>VAŽNA OBAVIJEST ZA ZAJMOPRIMCA:</w:t>
      </w:r>
    </w:p>
    <w:p w14:paraId="6251EC55" w14:textId="2FC304BE" w:rsidR="007A2A6F" w:rsidRPr="00653DCF" w:rsidRDefault="00E80A7E">
      <w:pPr>
        <w:pStyle w:val="P68B1DB1-Normal31"/>
        <w:pBdr>
          <w:top w:val="single" w:sz="4" w:space="1" w:color="auto"/>
          <w:left w:val="single" w:sz="4" w:space="4" w:color="auto"/>
          <w:bottom w:val="single" w:sz="4" w:space="1" w:color="auto"/>
          <w:right w:val="single" w:sz="4" w:space="4" w:color="auto"/>
        </w:pBdr>
        <w:tabs>
          <w:tab w:val="left" w:pos="720"/>
          <w:tab w:val="left" w:pos="896"/>
        </w:tabs>
        <w:ind w:left="854"/>
        <w:rPr>
          <w:color w:val="auto"/>
        </w:rPr>
      </w:pPr>
      <w:r w:rsidRPr="00653DCF">
        <w:rPr>
          <w:color w:val="auto"/>
        </w:rPr>
        <w:t xml:space="preserve">OSIGURAJTE DA JE </w:t>
      </w:r>
      <w:r w:rsidR="00E87B0B" w:rsidRPr="00653DCF">
        <w:rPr>
          <w:color w:val="auto"/>
        </w:rPr>
        <w:t>POPIS OVLAŠTENIH POTPISNIKA I RAČUNA</w:t>
      </w:r>
      <w:r w:rsidRPr="00653DCF">
        <w:rPr>
          <w:color w:val="auto"/>
        </w:rPr>
        <w:t xml:space="preserve"> KOJI JE </w:t>
      </w:r>
      <w:r w:rsidR="00E87B0B" w:rsidRPr="00653DCF">
        <w:rPr>
          <w:color w:val="auto"/>
        </w:rPr>
        <w:t xml:space="preserve">DOSTAVLJENI BANCI PROPISNO AŽURIRAN PRIJE PODNOŠENJA </w:t>
      </w:r>
      <w:r w:rsidRPr="00653DCF">
        <w:rPr>
          <w:color w:val="auto"/>
        </w:rPr>
        <w:t xml:space="preserve">BILO KOJEG </w:t>
      </w:r>
      <w:r w:rsidR="00E87B0B" w:rsidRPr="00653DCF">
        <w:rPr>
          <w:color w:val="auto"/>
        </w:rPr>
        <w:t xml:space="preserve">ZAHTJEVA ZA ISPLATU. U SLUČAJU DA </w:t>
      </w:r>
      <w:r w:rsidR="00775626" w:rsidRPr="00653DCF">
        <w:rPr>
          <w:color w:val="auto"/>
        </w:rPr>
        <w:t xml:space="preserve">BILO KOJI OD POTPISNIKA </w:t>
      </w:r>
      <w:r w:rsidR="00E87B0B" w:rsidRPr="00653DCF">
        <w:rPr>
          <w:color w:val="auto"/>
        </w:rPr>
        <w:t>ILI RAČUN</w:t>
      </w:r>
      <w:r w:rsidR="00775626" w:rsidRPr="00653DCF">
        <w:rPr>
          <w:color w:val="auto"/>
        </w:rPr>
        <w:t xml:space="preserve">A NAVEDENIH </w:t>
      </w:r>
      <w:r w:rsidR="00E87B0B" w:rsidRPr="00653DCF">
        <w:rPr>
          <w:color w:val="auto"/>
        </w:rPr>
        <w:t>U OVOM ZAHTJEVU ZA ISPLATU NISU UKLJUČENI U POSLJEDNJI POPIS OVLAŠTENIH POTPISNIKA I RAČUNA (KAO RAČUN ZA ISPLATU) KOJE JE PRIMILA BANKA, SMATRA</w:t>
      </w:r>
      <w:r w:rsidR="004452C4" w:rsidRPr="00653DCF">
        <w:rPr>
          <w:color w:val="auto"/>
        </w:rPr>
        <w:t>T ĆE SE</w:t>
      </w:r>
      <w:r w:rsidR="00E87B0B" w:rsidRPr="00653DCF">
        <w:rPr>
          <w:color w:val="auto"/>
        </w:rPr>
        <w:t xml:space="preserve"> DA TAJ ZAHTJEV ZA ISPLATU NIJE PODNESEN.</w:t>
      </w:r>
    </w:p>
    <w:p w14:paraId="0251827E" w14:textId="27BC29A5" w:rsidR="007A2A6F" w:rsidRPr="00653DCF" w:rsidRDefault="00E87B0B">
      <w:pPr>
        <w:pStyle w:val="P68B1DB1-Normal31"/>
        <w:pBdr>
          <w:top w:val="single" w:sz="4" w:space="1" w:color="auto"/>
          <w:left w:val="single" w:sz="4" w:space="4" w:color="auto"/>
          <w:bottom w:val="single" w:sz="4" w:space="1" w:color="auto"/>
          <w:right w:val="single" w:sz="4" w:space="4" w:color="auto"/>
        </w:pBdr>
        <w:tabs>
          <w:tab w:val="left" w:pos="720"/>
          <w:tab w:val="left" w:pos="896"/>
        </w:tabs>
        <w:ind w:left="854"/>
        <w:rPr>
          <w:color w:val="auto"/>
        </w:rPr>
      </w:pPr>
      <w:r w:rsidRPr="00653DCF">
        <w:rPr>
          <w:color w:val="auto"/>
        </w:rPr>
        <w:t xml:space="preserve">OSIM TOGA, AKO JE RIJEČ O PRVOM ZAHTJEVU ZA ISPLATU NA TEMELJU UGOVORA O FINANCIRANJU, UVJETI </w:t>
      </w:r>
      <w:r w:rsidR="00A00A52" w:rsidRPr="00653DCF">
        <w:rPr>
          <w:color w:val="auto"/>
        </w:rPr>
        <w:t xml:space="preserve">IZ ČLANKA </w:t>
      </w:r>
      <w:r w:rsidRPr="00653DCF">
        <w:rPr>
          <w:color w:val="auto"/>
        </w:rPr>
        <w:fldChar w:fldCharType="begin"/>
      </w:r>
      <w:r w:rsidRPr="00653DCF">
        <w:rPr>
          <w:color w:val="auto"/>
        </w:rPr>
        <w:instrText xml:space="preserve"> REF _Ref519595029 \r \h </w:instrText>
      </w:r>
      <w:r w:rsidR="00A641E1" w:rsidRPr="00653DCF">
        <w:rPr>
          <w:color w:val="auto"/>
        </w:rPr>
        <w:instrText xml:space="preserve"> \* MERGEFORMAT </w:instrText>
      </w:r>
      <w:r w:rsidRPr="00653DCF">
        <w:rPr>
          <w:color w:val="auto"/>
        </w:rPr>
      </w:r>
      <w:r w:rsidRPr="00653DCF">
        <w:rPr>
          <w:color w:val="auto"/>
        </w:rPr>
        <w:fldChar w:fldCharType="separate"/>
      </w:r>
      <w:r w:rsidR="00E5391B">
        <w:rPr>
          <w:color w:val="auto"/>
        </w:rPr>
        <w:t>1.4.A</w:t>
      </w:r>
      <w:r w:rsidRPr="00653DCF">
        <w:rPr>
          <w:color w:val="auto"/>
        </w:rPr>
        <w:fldChar w:fldCharType="end"/>
      </w:r>
      <w:r w:rsidRPr="00653DCF">
        <w:rPr>
          <w:color w:val="auto"/>
        </w:rPr>
        <w:t xml:space="preserve"> UGOVORA O FINANCIRANJU MORAJU BITI ISPUNJENI NA NAČIN </w:t>
      </w:r>
      <w:r w:rsidR="00A00A52" w:rsidRPr="00653DCF">
        <w:rPr>
          <w:color w:val="auto"/>
        </w:rPr>
        <w:t xml:space="preserve">ZADOVOLJAVAJUĆI ZA BANKU </w:t>
      </w:r>
      <w:r w:rsidRPr="00653DCF">
        <w:rPr>
          <w:color w:val="auto"/>
        </w:rPr>
        <w:t xml:space="preserve">PRIJE </w:t>
      </w:r>
      <w:r w:rsidR="00A00A52" w:rsidRPr="00653DCF">
        <w:rPr>
          <w:color w:val="auto"/>
        </w:rPr>
        <w:t xml:space="preserve">OVOG </w:t>
      </w:r>
      <w:r w:rsidRPr="00653DCF">
        <w:rPr>
          <w:color w:val="auto"/>
        </w:rPr>
        <w:t>DATUMA.</w:t>
      </w:r>
    </w:p>
    <w:p w14:paraId="22A69BED" w14:textId="30B16675" w:rsidR="007A2A6F" w:rsidRPr="00653DCF" w:rsidRDefault="007A2A6F">
      <w:pPr>
        <w:rPr>
          <w:color w:val="auto"/>
        </w:rPr>
      </w:pPr>
    </w:p>
    <w:p w14:paraId="1A0626AE" w14:textId="334F5701" w:rsidR="007A2A6F" w:rsidRPr="00653DCF" w:rsidRDefault="00E87B0B">
      <w:pPr>
        <w:pStyle w:val="P68B1DB1-Normal29"/>
        <w:rPr>
          <w:color w:val="auto"/>
        </w:rPr>
      </w:pPr>
      <w:r w:rsidRPr="00653DCF">
        <w:rPr>
          <w:color w:val="auto"/>
        </w:rPr>
        <w:t xml:space="preserve">Račun za isplatu (kako je definiran u </w:t>
      </w:r>
      <w:r w:rsidR="009E6379" w:rsidRPr="00653DCF">
        <w:rPr>
          <w:color w:val="auto"/>
        </w:rPr>
        <w:t>U</w:t>
      </w:r>
      <w:r w:rsidRPr="00653DCF">
        <w:rPr>
          <w:color w:val="auto"/>
        </w:rPr>
        <w:t xml:space="preserve">govoru o financiranju) koji će se </w:t>
      </w:r>
      <w:r w:rsidR="00F04363" w:rsidRPr="00653DCF">
        <w:rPr>
          <w:color w:val="auto"/>
        </w:rPr>
        <w:t>izvršiti isplata</w:t>
      </w:r>
      <w:r w:rsidRPr="00653DCF">
        <w:rPr>
          <w:color w:val="auto"/>
        </w:rPr>
        <w:t xml:space="preserve">:  </w:t>
      </w:r>
      <w:r w:rsidRPr="00653DCF">
        <w:rPr>
          <w:color w:val="auto"/>
        </w:rPr>
        <w:tab/>
      </w:r>
    </w:p>
    <w:p w14:paraId="79069E33" w14:textId="77777777" w:rsidR="007A2A6F" w:rsidRPr="00653DCF" w:rsidRDefault="00E87B0B">
      <w:pPr>
        <w:pStyle w:val="P68B1DB1-Normal29"/>
        <w:tabs>
          <w:tab w:val="left" w:pos="9072"/>
        </w:tabs>
        <w:rPr>
          <w:color w:val="auto"/>
        </w:rPr>
      </w:pPr>
      <w:r w:rsidRPr="00653DCF">
        <w:rPr>
          <w:color w:val="auto"/>
        </w:rPr>
        <w:t>Račun za isplatu br.: ..........................................................................................................</w:t>
      </w:r>
    </w:p>
    <w:p w14:paraId="0DF00530" w14:textId="77777777" w:rsidR="007A2A6F" w:rsidRPr="00653DCF" w:rsidRDefault="00E87B0B">
      <w:pPr>
        <w:pStyle w:val="P68B1DB1-Normal29"/>
        <w:rPr>
          <w:color w:val="auto"/>
        </w:rPr>
      </w:pPr>
      <w:r w:rsidRPr="00653DCF">
        <w:rPr>
          <w:color w:val="auto"/>
        </w:rPr>
        <w:t>Imatelj računa za isplatu/korisnik: ....................................................................................</w:t>
      </w:r>
    </w:p>
    <w:p w14:paraId="4C03C340" w14:textId="224DFF38" w:rsidR="007A2A6F" w:rsidRPr="00653DCF" w:rsidRDefault="00E87B0B">
      <w:pPr>
        <w:pStyle w:val="P68B1DB1-Normal29"/>
        <w:rPr>
          <w:color w:val="auto"/>
        </w:rPr>
      </w:pPr>
      <w:r w:rsidRPr="00653DCF">
        <w:rPr>
          <w:color w:val="auto"/>
        </w:rPr>
        <w:t>(</w:t>
      </w:r>
      <w:r w:rsidR="00425134" w:rsidRPr="00653DCF">
        <w:rPr>
          <w:color w:val="auto"/>
        </w:rPr>
        <w:t xml:space="preserve">navesti format IBAN </w:t>
      </w:r>
      <w:r w:rsidRPr="00653DCF">
        <w:rPr>
          <w:color w:val="auto"/>
        </w:rPr>
        <w:t>ako je zemlja uključena u registar IBAN-a koji objavljuje SWIFT, u suprotnom bi trebalo osigurati odgovarajući format u skladu s lokalnom bankarskom praksom)</w:t>
      </w:r>
    </w:p>
    <w:p w14:paraId="47664CA9" w14:textId="77777777" w:rsidR="007A2A6F" w:rsidRPr="00653DCF" w:rsidRDefault="00E87B0B">
      <w:pPr>
        <w:pStyle w:val="P68B1DB1-Normal29"/>
        <w:tabs>
          <w:tab w:val="right" w:pos="9072"/>
        </w:tabs>
        <w:rPr>
          <w:color w:val="auto"/>
        </w:rPr>
      </w:pPr>
      <w:r w:rsidRPr="00653DCF">
        <w:rPr>
          <w:color w:val="auto"/>
        </w:rPr>
        <w:t>Naziv i adresa banke: .........................................................................................</w:t>
      </w:r>
    </w:p>
    <w:p w14:paraId="3A97C424" w14:textId="77777777" w:rsidR="007A2A6F" w:rsidRPr="00653DCF" w:rsidRDefault="00E87B0B">
      <w:pPr>
        <w:pStyle w:val="P68B1DB1-Normal29"/>
        <w:rPr>
          <w:color w:val="auto"/>
        </w:rPr>
      </w:pPr>
      <w:r w:rsidRPr="00653DCF">
        <w:rPr>
          <w:color w:val="auto"/>
        </w:rPr>
        <w:t>Identifikacijski broj banke (BIC): .................................................................................</w:t>
      </w:r>
    </w:p>
    <w:p w14:paraId="6B4C5D43" w14:textId="77777777" w:rsidR="007A2A6F" w:rsidRPr="00653DCF" w:rsidRDefault="00E87B0B">
      <w:pPr>
        <w:pStyle w:val="P68B1DB1-Normal29"/>
        <w:rPr>
          <w:color w:val="auto"/>
        </w:rPr>
      </w:pPr>
      <w:r w:rsidRPr="00653DCF">
        <w:rPr>
          <w:color w:val="auto"/>
        </w:rPr>
        <w:t>Pojedinosti o plaćanju koje treba navesti: ...............................................................................</w:t>
      </w:r>
    </w:p>
    <w:p w14:paraId="6BA2B86A" w14:textId="77777777" w:rsidR="007A2A6F" w:rsidRPr="00653DCF" w:rsidRDefault="00E87B0B">
      <w:pPr>
        <w:pStyle w:val="P68B1DB1-Normal29"/>
        <w:rPr>
          <w:color w:val="auto"/>
        </w:rPr>
      </w:pPr>
      <w:r w:rsidRPr="00653DCF">
        <w:rPr>
          <w:color w:val="auto"/>
        </w:rPr>
        <w:t>Molimo proslijedite informacije koje su relevantne za:</w:t>
      </w:r>
    </w:p>
    <w:p w14:paraId="5C89BC0F" w14:textId="25F11A21" w:rsidR="007A2A6F" w:rsidRPr="00653DCF" w:rsidRDefault="00E87B0B">
      <w:pPr>
        <w:pStyle w:val="P68B1DB1-Normal29"/>
        <w:rPr>
          <w:color w:val="auto"/>
        </w:rPr>
      </w:pPr>
      <w:r w:rsidRPr="00653DCF">
        <w:rPr>
          <w:color w:val="auto"/>
        </w:rPr>
        <w:t xml:space="preserve">Ime/imena ovlaštenog potpisnika </w:t>
      </w:r>
      <w:r w:rsidR="007E386A" w:rsidRPr="00653DCF">
        <w:rPr>
          <w:color w:val="auto"/>
        </w:rPr>
        <w:t>Z</w:t>
      </w:r>
      <w:r w:rsidRPr="00653DCF">
        <w:rPr>
          <w:color w:val="auto"/>
        </w:rPr>
        <w:t xml:space="preserve">ajmoprimca (kako je definirano u </w:t>
      </w:r>
      <w:r w:rsidR="007E386A" w:rsidRPr="00653DCF">
        <w:rPr>
          <w:color w:val="auto"/>
        </w:rPr>
        <w:t>U</w:t>
      </w:r>
      <w:r w:rsidRPr="00653DCF">
        <w:rPr>
          <w:color w:val="auto"/>
        </w:rPr>
        <w:t>govoru o financiranju):</w:t>
      </w:r>
    </w:p>
    <w:p w14:paraId="2B00678A" w14:textId="77777777" w:rsidR="007A2A6F" w:rsidRPr="00653DCF" w:rsidRDefault="007A2A6F">
      <w:pPr>
        <w:rPr>
          <w:color w:val="auto"/>
          <w:sz w:val="16"/>
        </w:rPr>
      </w:pPr>
    </w:p>
    <w:p w14:paraId="3A89C490" w14:textId="77777777" w:rsidR="007A2A6F" w:rsidRPr="00653DCF" w:rsidRDefault="00E87B0B">
      <w:pPr>
        <w:pStyle w:val="P68B1DB1-Normal29"/>
        <w:rPr>
          <w:color w:val="auto"/>
        </w:rPr>
      </w:pPr>
      <w:bookmarkStart w:id="874" w:name="_Toc475441216"/>
      <w:bookmarkStart w:id="875" w:name="_Toc498018712"/>
      <w:bookmarkStart w:id="876" w:name="_Toc508120582"/>
      <w:bookmarkStart w:id="877" w:name="_Ref426714861"/>
      <w:bookmarkStart w:id="878" w:name="_Ref496699536"/>
      <w:bookmarkEnd w:id="874"/>
      <w:bookmarkEnd w:id="875"/>
      <w:bookmarkEnd w:id="876"/>
      <w:r w:rsidRPr="00653DCF">
        <w:rPr>
          <w:color w:val="auto"/>
        </w:rPr>
        <w:t>.........................................................................................................................</w:t>
      </w:r>
    </w:p>
    <w:p w14:paraId="5246993C" w14:textId="302F1C26" w:rsidR="007A2A6F" w:rsidRPr="00653DCF" w:rsidRDefault="00E87B0B">
      <w:pPr>
        <w:pStyle w:val="P68B1DB1-Normal29"/>
        <w:rPr>
          <w:color w:val="auto"/>
        </w:rPr>
      </w:pPr>
      <w:r w:rsidRPr="00653DCF">
        <w:rPr>
          <w:color w:val="auto"/>
        </w:rPr>
        <w:t xml:space="preserve">Potpisi ovlaštenog potpisnika </w:t>
      </w:r>
      <w:r w:rsidR="00364DEC" w:rsidRPr="00653DCF">
        <w:rPr>
          <w:color w:val="auto"/>
        </w:rPr>
        <w:t>Z</w:t>
      </w:r>
      <w:r w:rsidRPr="00653DCF">
        <w:rPr>
          <w:color w:val="auto"/>
        </w:rPr>
        <w:t xml:space="preserve">ajmoprimca (kako je definirano u Ugovoru o financiranju) </w:t>
      </w:r>
    </w:p>
    <w:p w14:paraId="6CB89D1D" w14:textId="34C9AC98" w:rsidR="007A2A6F" w:rsidRPr="00653DCF" w:rsidRDefault="00E87B0B">
      <w:pPr>
        <w:spacing w:after="200" w:line="276" w:lineRule="auto"/>
        <w:ind w:left="0"/>
        <w:jc w:val="left"/>
        <w:rPr>
          <w:b/>
          <w:color w:val="auto"/>
        </w:rPr>
      </w:pPr>
      <w:r w:rsidRPr="00653DCF">
        <w:rPr>
          <w:color w:val="auto"/>
        </w:rPr>
        <w:br w:type="page"/>
      </w:r>
    </w:p>
    <w:p w14:paraId="37EF0D19" w14:textId="77777777" w:rsidR="007A2A6F" w:rsidRPr="00653DCF" w:rsidRDefault="007A2A6F">
      <w:pPr>
        <w:pStyle w:val="ScheduleEIB"/>
        <w:rPr>
          <w:color w:val="auto"/>
        </w:rPr>
      </w:pPr>
      <w:bookmarkStart w:id="879" w:name="_Toc126080771"/>
      <w:bookmarkStart w:id="880" w:name="_Toc126080903"/>
      <w:bookmarkStart w:id="881" w:name="_Ref42343330"/>
      <w:bookmarkEnd w:id="879"/>
      <w:bookmarkEnd w:id="880"/>
    </w:p>
    <w:p w14:paraId="0170642D" w14:textId="22ACB7F9" w:rsidR="007A2A6F" w:rsidRPr="00653DCF" w:rsidRDefault="00E87B0B">
      <w:pPr>
        <w:pStyle w:val="SubSchedule1EIB"/>
        <w:rPr>
          <w:color w:val="auto"/>
        </w:rPr>
      </w:pPr>
      <w:bookmarkStart w:id="882" w:name="_Ref432947288"/>
      <w:bookmarkStart w:id="883" w:name="_Ref496707673"/>
      <w:bookmarkStart w:id="884" w:name="_Ref496707678"/>
      <w:bookmarkStart w:id="885" w:name="_Ref496707681"/>
      <w:bookmarkStart w:id="886" w:name="_Ref496708239"/>
      <w:bookmarkStart w:id="887" w:name="_Toc475441217"/>
      <w:bookmarkStart w:id="888" w:name="_Toc498018713"/>
      <w:bookmarkStart w:id="889" w:name="_Toc508120583"/>
      <w:bookmarkStart w:id="890" w:name="_Toc126080772"/>
      <w:bookmarkStart w:id="891" w:name="_Toc126080904"/>
      <w:bookmarkEnd w:id="877"/>
      <w:bookmarkEnd w:id="878"/>
      <w:bookmarkEnd w:id="881"/>
      <w:r w:rsidRPr="00653DCF">
        <w:rPr>
          <w:color w:val="auto"/>
        </w:rPr>
        <w:t xml:space="preserve">Revizija i </w:t>
      </w:r>
      <w:r w:rsidR="00575E3B" w:rsidRPr="00653DCF">
        <w:rPr>
          <w:color w:val="auto"/>
        </w:rPr>
        <w:t>konverzija kamatne stope</w:t>
      </w:r>
      <w:bookmarkEnd w:id="882"/>
      <w:bookmarkEnd w:id="883"/>
      <w:bookmarkEnd w:id="884"/>
      <w:bookmarkEnd w:id="885"/>
      <w:bookmarkEnd w:id="886"/>
      <w:bookmarkEnd w:id="887"/>
      <w:bookmarkEnd w:id="888"/>
      <w:bookmarkEnd w:id="889"/>
      <w:bookmarkEnd w:id="890"/>
      <w:bookmarkEnd w:id="891"/>
    </w:p>
    <w:p w14:paraId="4FBFCD2A" w14:textId="4265A127" w:rsidR="007A2A6F" w:rsidRPr="00653DCF" w:rsidRDefault="00E87B0B">
      <w:pPr>
        <w:rPr>
          <w:color w:val="auto"/>
        </w:rPr>
      </w:pPr>
      <w:r w:rsidRPr="00653DCF">
        <w:rPr>
          <w:color w:val="auto"/>
        </w:rPr>
        <w:t>Ako je datum revizije/</w:t>
      </w:r>
      <w:r w:rsidR="0024204F" w:rsidRPr="00653DCF">
        <w:rPr>
          <w:color w:val="auto"/>
        </w:rPr>
        <w:t xml:space="preserve">konverzije kamatne stope </w:t>
      </w:r>
      <w:r w:rsidRPr="00653DCF">
        <w:rPr>
          <w:color w:val="auto"/>
        </w:rPr>
        <w:t>uključen u obavijest o isplati za tranšu, primjenjuju se sljedeće odredbe.</w:t>
      </w:r>
    </w:p>
    <w:p w14:paraId="0C2EB4A8" w14:textId="60AE3515" w:rsidR="007A2A6F" w:rsidRPr="00653DCF" w:rsidRDefault="00D05AA0">
      <w:pPr>
        <w:pStyle w:val="SubSchedule2EIB0"/>
        <w:ind w:left="851" w:hanging="851"/>
        <w:rPr>
          <w:color w:val="auto"/>
        </w:rPr>
      </w:pPr>
      <w:r w:rsidRPr="00653DCF">
        <w:rPr>
          <w:color w:val="auto"/>
        </w:rPr>
        <w:t>Načini revizije/konverzije</w:t>
      </w:r>
      <w:r w:rsidR="00E87B0B" w:rsidRPr="00653DCF">
        <w:rPr>
          <w:color w:val="auto"/>
        </w:rPr>
        <w:t xml:space="preserve"> </w:t>
      </w:r>
      <w:r w:rsidRPr="00653DCF">
        <w:rPr>
          <w:color w:val="auto"/>
        </w:rPr>
        <w:t>kamatne stope</w:t>
      </w:r>
    </w:p>
    <w:p w14:paraId="76D53B4A" w14:textId="4D807FE5" w:rsidR="007A2A6F" w:rsidRPr="00653DCF" w:rsidRDefault="00FF668A">
      <w:pPr>
        <w:rPr>
          <w:color w:val="auto"/>
          <w:lang w:val="hr-HR"/>
        </w:rPr>
      </w:pPr>
      <w:r w:rsidRPr="00653DCF">
        <w:rPr>
          <w:color w:val="auto"/>
        </w:rPr>
        <w:t xml:space="preserve">Po primitku zahtjeva za reviziju/konverziju kamatne stope, Banka će tijekom razdoblja koje počinje 60 (šezdeset) dana i završno s 30 (trideset) dana prije datuma revizije/konverzije kamatne stope, dostaviti Zajmoprimcu prijedlog revizije/konverzije kamatne stope, u kojem </w:t>
      </w:r>
      <w:r w:rsidRPr="00653DCF">
        <w:rPr>
          <w:color w:val="auto"/>
          <w:lang w:val="hr-HR"/>
        </w:rPr>
        <w:t>navodi</w:t>
      </w:r>
      <w:r w:rsidR="00E87B0B" w:rsidRPr="00653DCF">
        <w:rPr>
          <w:color w:val="auto"/>
          <w:lang w:val="hr-HR"/>
        </w:rPr>
        <w:t>:</w:t>
      </w:r>
    </w:p>
    <w:p w14:paraId="6D5070CE" w14:textId="3C51889C" w:rsidR="007A2A6F" w:rsidRPr="00653DCF" w:rsidRDefault="006747E2">
      <w:pPr>
        <w:pStyle w:val="NoIndentEIB"/>
        <w:numPr>
          <w:ilvl w:val="0"/>
          <w:numId w:val="35"/>
        </w:numPr>
        <w:rPr>
          <w:color w:val="auto"/>
          <w:lang w:val="hr-HR"/>
        </w:rPr>
      </w:pPr>
      <w:r w:rsidRPr="00653DCF">
        <w:rPr>
          <w:color w:val="auto"/>
          <w:lang w:val="hr-HR"/>
        </w:rPr>
        <w:t xml:space="preserve">fiksnu kamatnu stopu i/ili kamatnu maržu koja će se primijeniti na tranšu, ili njezin dio naveden u zahtjevu za reviziju/konverziju kamatne stope prema članku </w:t>
      </w:r>
      <w:r w:rsidR="00E87B0B" w:rsidRPr="00653DCF">
        <w:rPr>
          <w:color w:val="auto"/>
          <w:lang w:val="hr-HR"/>
        </w:rPr>
        <w:fldChar w:fldCharType="begin"/>
      </w:r>
      <w:r w:rsidR="00E87B0B" w:rsidRPr="00653DCF">
        <w:rPr>
          <w:color w:val="auto"/>
          <w:lang w:val="hr-HR"/>
        </w:rPr>
        <w:instrText xml:space="preserve"> REF _Ref426639513 \r \h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3</w:t>
      </w:r>
      <w:r w:rsidR="00E87B0B" w:rsidRPr="00653DCF">
        <w:rPr>
          <w:color w:val="auto"/>
          <w:lang w:val="hr-HR"/>
        </w:rPr>
        <w:fldChar w:fldCharType="end"/>
      </w:r>
      <w:r w:rsidRPr="00653DCF">
        <w:rPr>
          <w:color w:val="auto"/>
          <w:lang w:val="hr-HR"/>
        </w:rPr>
        <w:t>.</w:t>
      </w:r>
      <w:r w:rsidR="00E87B0B" w:rsidRPr="00653DCF">
        <w:rPr>
          <w:color w:val="auto"/>
          <w:lang w:val="hr-HR"/>
        </w:rPr>
        <w:t>; i</w:t>
      </w:r>
    </w:p>
    <w:p w14:paraId="42047078" w14:textId="5C1ADB3A" w:rsidR="007A2A6F" w:rsidRPr="00653DCF" w:rsidRDefault="00175E23">
      <w:pPr>
        <w:pStyle w:val="NoIndentEIB"/>
        <w:numPr>
          <w:ilvl w:val="0"/>
          <w:numId w:val="35"/>
        </w:numPr>
        <w:rPr>
          <w:color w:val="auto"/>
          <w:lang w:val="hr-HR"/>
        </w:rPr>
      </w:pPr>
      <w:r w:rsidRPr="00653DCF">
        <w:rPr>
          <w:color w:val="auto"/>
          <w:lang w:val="hr-HR"/>
        </w:rPr>
        <w:t xml:space="preserve">da će se takva stopa primjenjivati do datuma dospijeća ili do novog datuma revizije/konverzije kamatne stope, ako će ga biti, s tim da se kamate plaćaju polugodišnje u skladu s člankom </w:t>
      </w:r>
      <w:r w:rsidRPr="00653DCF">
        <w:rPr>
          <w:color w:val="auto"/>
          <w:lang w:val="hr-HR"/>
        </w:rPr>
        <w:fldChar w:fldCharType="begin"/>
      </w:r>
      <w:r w:rsidRPr="00653DCF">
        <w:rPr>
          <w:color w:val="auto"/>
          <w:lang w:val="hr-HR"/>
        </w:rPr>
        <w:instrText xml:space="preserve"> REF _Ref426639513 \w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članak 3</w:t>
      </w:r>
      <w:r w:rsidRPr="00653DCF">
        <w:rPr>
          <w:color w:val="auto"/>
          <w:lang w:val="hr-HR"/>
        </w:rPr>
        <w:fldChar w:fldCharType="end"/>
      </w:r>
      <w:r w:rsidRPr="00653DCF">
        <w:rPr>
          <w:color w:val="auto"/>
          <w:lang w:val="hr-HR"/>
        </w:rPr>
        <w:t>., unatrag na naznačene datume plaćanja</w:t>
      </w:r>
      <w:r w:rsidR="00E87B0B" w:rsidRPr="00653DCF">
        <w:rPr>
          <w:color w:val="auto"/>
          <w:lang w:val="hr-HR"/>
        </w:rPr>
        <w:t>.</w:t>
      </w:r>
    </w:p>
    <w:p w14:paraId="3F5B7925" w14:textId="1C6FFE04" w:rsidR="007A2A6F" w:rsidRPr="00653DCF" w:rsidRDefault="00C16376">
      <w:pPr>
        <w:rPr>
          <w:color w:val="auto"/>
          <w:lang w:val="hr-HR"/>
        </w:rPr>
      </w:pPr>
      <w:r w:rsidRPr="00653DCF">
        <w:rPr>
          <w:color w:val="auto"/>
          <w:lang w:val="hr-HR"/>
        </w:rPr>
        <w:t>Zajmoprimac može pisanim putem prihvatiti prijedlog revizije/konverzije kamatne stope do roka naznačenog u njemu</w:t>
      </w:r>
      <w:r w:rsidR="00E87B0B" w:rsidRPr="00653DCF">
        <w:rPr>
          <w:color w:val="auto"/>
          <w:lang w:val="hr-HR"/>
        </w:rPr>
        <w:t>.</w:t>
      </w:r>
    </w:p>
    <w:p w14:paraId="33435A35" w14:textId="4652DE2A" w:rsidR="007A2A6F" w:rsidRPr="00653DCF" w:rsidRDefault="00B90611">
      <w:pPr>
        <w:rPr>
          <w:color w:val="auto"/>
          <w:lang w:val="hr-HR"/>
        </w:rPr>
      </w:pPr>
      <w:r w:rsidRPr="00653DCF">
        <w:rPr>
          <w:color w:val="auto"/>
          <w:lang w:val="hr-HR"/>
        </w:rPr>
        <w:t>Bilo kakve izmjene i dopune ovog Ugovora koje Banka zatraži u vezi s ovim, stupit će na snagu putem ugovora koji se mora sklopiti najkasnije 15 (petnaest) dana prije relevantnog datuma revizije/konverzije kamatne stope.</w:t>
      </w:r>
    </w:p>
    <w:p w14:paraId="39E86DF5" w14:textId="42F0F1B2" w:rsidR="007A2A6F" w:rsidRPr="00653DCF" w:rsidRDefault="00B90611">
      <w:pPr>
        <w:rPr>
          <w:color w:val="auto"/>
          <w:lang w:val="hr-HR"/>
        </w:rPr>
      </w:pPr>
      <w:r w:rsidRPr="00653DCF">
        <w:rPr>
          <w:color w:val="auto"/>
          <w:lang w:val="hr-HR"/>
        </w:rPr>
        <w:t>Fiksne stope i marže dostupne su u razdobljima od najmanje 4 (četiri) godine ili, u slučaju da ne dođe do otplate glavnice tijekom tog razdoblja, najmanje 3 (tri) godine</w:t>
      </w:r>
      <w:r w:rsidR="00E87B0B" w:rsidRPr="00653DCF">
        <w:rPr>
          <w:color w:val="auto"/>
          <w:lang w:val="hr-HR"/>
        </w:rPr>
        <w:t>.</w:t>
      </w:r>
    </w:p>
    <w:p w14:paraId="24CF2D84" w14:textId="281C813F" w:rsidR="007A2A6F" w:rsidRPr="00653DCF" w:rsidRDefault="00E87B0B">
      <w:pPr>
        <w:pStyle w:val="SubSchedule2EIB0"/>
        <w:ind w:left="851" w:hanging="851"/>
        <w:rPr>
          <w:color w:val="auto"/>
          <w:lang w:val="hr-HR"/>
        </w:rPr>
      </w:pPr>
      <w:r w:rsidRPr="00653DCF">
        <w:rPr>
          <w:color w:val="auto"/>
          <w:lang w:val="hr-HR"/>
        </w:rPr>
        <w:t>Učinci revizije/</w:t>
      </w:r>
      <w:r w:rsidR="00B90611" w:rsidRPr="00653DCF">
        <w:rPr>
          <w:color w:val="auto"/>
          <w:lang w:val="hr-HR"/>
        </w:rPr>
        <w:t>konverzije kamatne stope</w:t>
      </w:r>
    </w:p>
    <w:p w14:paraId="3B11EECE" w14:textId="5BC61B32" w:rsidR="007A2A6F" w:rsidRPr="00653DCF" w:rsidRDefault="00F75879">
      <w:pPr>
        <w:rPr>
          <w:color w:val="auto"/>
          <w:lang w:val="hr-HR"/>
        </w:rPr>
      </w:pPr>
      <w:r w:rsidRPr="00653DCF">
        <w:rPr>
          <w:color w:val="auto"/>
          <w:lang w:val="hr-HR"/>
        </w:rPr>
        <w:t>U slučaju djelomične revizije/konverzije kamatne stope, Zajmoprimac će bez naknade otplatiti, na datum revizije/konverzije kamatne stope, svaki dio tranše koji nije obuhvaćen zahtjevom za reviziju/konverziju kamatne stope i koji stoga ne podliježe reviziji/konverziji kamatne stope</w:t>
      </w:r>
      <w:r w:rsidR="00E87B0B" w:rsidRPr="00653DCF">
        <w:rPr>
          <w:color w:val="auto"/>
          <w:lang w:val="hr-HR"/>
        </w:rPr>
        <w:t>.</w:t>
      </w:r>
    </w:p>
    <w:p w14:paraId="3A03241C" w14:textId="44929AB4" w:rsidR="007A2A6F" w:rsidRPr="00653DCF" w:rsidRDefault="00E7658B">
      <w:pPr>
        <w:rPr>
          <w:color w:val="auto"/>
          <w:lang w:val="hr-HR"/>
        </w:rPr>
      </w:pPr>
      <w:r w:rsidRPr="00653DCF">
        <w:rPr>
          <w:color w:val="auto"/>
          <w:lang w:val="hr-HR"/>
        </w:rPr>
        <w:t>Prije datuma revizije/konverzije kamatne stope, relevantne odredbe Ugovora i obavijest o isplati primjenjivat će se na tranšu u cijelosti. Od datuma revizije/konverzije kamatne stope nadalje, odredbe sadržane u prijedlogu za reviziju/konverziju kamatne stope koje se odnose na novu fiksnu kamatnu stopu ili kamatnu maržu, primjenjivat će se na tranšu (ili njezin dio, kako je navedeno u zahtjevu za reviziju/konverziju kamatne stope) do novog datuma revizije/konverzije kamatne stope, ako će ga biti, ili do datuma dospijeća</w:t>
      </w:r>
      <w:r w:rsidR="00E87B0B" w:rsidRPr="00653DCF">
        <w:rPr>
          <w:color w:val="auto"/>
          <w:lang w:val="hr-HR"/>
        </w:rPr>
        <w:t xml:space="preserve">. </w:t>
      </w:r>
    </w:p>
    <w:p w14:paraId="258D26C2" w14:textId="1457440E" w:rsidR="007A2A6F" w:rsidRPr="00653DCF" w:rsidRDefault="00E7658B">
      <w:pPr>
        <w:pStyle w:val="SubSchedule2EIB0"/>
        <w:ind w:left="851" w:hanging="851"/>
        <w:rPr>
          <w:color w:val="auto"/>
          <w:lang w:val="hr-HR"/>
        </w:rPr>
      </w:pPr>
      <w:r w:rsidRPr="00653DCF">
        <w:rPr>
          <w:color w:val="auto"/>
          <w:lang w:val="hr-HR"/>
        </w:rPr>
        <w:t>Neprovođenje ili djelomično provođenje revizije/konverzije kamatne stope</w:t>
      </w:r>
    </w:p>
    <w:p w14:paraId="38432064" w14:textId="6D76D403" w:rsidR="007A2A6F" w:rsidRPr="00653DCF" w:rsidRDefault="00E87B0B">
      <w:pPr>
        <w:rPr>
          <w:color w:val="auto"/>
          <w:lang w:val="hr-HR"/>
        </w:rPr>
      </w:pPr>
      <w:bookmarkStart w:id="892" w:name="_Toc475441218"/>
      <w:bookmarkStart w:id="893" w:name="_Toc498018714"/>
      <w:bookmarkStart w:id="894" w:name="_Toc475441219"/>
      <w:bookmarkStart w:id="895" w:name="_Toc498018716"/>
      <w:bookmarkStart w:id="896" w:name="_Toc498018717"/>
      <w:bookmarkEnd w:id="892"/>
      <w:bookmarkEnd w:id="893"/>
      <w:bookmarkEnd w:id="894"/>
      <w:bookmarkEnd w:id="895"/>
      <w:bookmarkEnd w:id="896"/>
      <w:r w:rsidRPr="00653DCF">
        <w:rPr>
          <w:color w:val="auto"/>
          <w:lang w:val="hr-HR"/>
        </w:rPr>
        <w:t xml:space="preserve">U slučaju djelomične revizije/konverzije kamata, </w:t>
      </w:r>
      <w:r w:rsidR="00414F8C" w:rsidRPr="00653DCF">
        <w:rPr>
          <w:color w:val="auto"/>
          <w:lang w:val="hr-HR"/>
        </w:rPr>
        <w:t>z</w:t>
      </w:r>
      <w:r w:rsidRPr="00653DCF">
        <w:rPr>
          <w:color w:val="auto"/>
          <w:lang w:val="hr-HR"/>
        </w:rPr>
        <w:t>ajmoprimac će na datum revizije/konverzije kamata vratiti, bez naknade, dio tranše koji nije obuhvaćen zahtjevom za reviziju/konverziju kamata i koji stoga ne podliježe reviziji/konverziji kamata.</w:t>
      </w:r>
    </w:p>
    <w:p w14:paraId="51BDB20C" w14:textId="52D8B327" w:rsidR="007A2A6F" w:rsidRPr="00653DCF" w:rsidRDefault="0026655E">
      <w:pPr>
        <w:rPr>
          <w:color w:val="auto"/>
          <w:lang w:val="hr-HR"/>
        </w:rPr>
      </w:pPr>
      <w:r w:rsidRPr="00653DCF">
        <w:rPr>
          <w:color w:val="auto"/>
          <w:lang w:val="hr-HR"/>
        </w:rPr>
        <w:t xml:space="preserve">Ako Zajmoprimac ne podnese zahtjev za reviziju/konverziju kamatne stope ili ne prihvati pisanim putem prijedlog za reviziju/konverziju kamatne stope za tranšu, ili ako </w:t>
      </w:r>
      <w:r w:rsidR="007A1581" w:rsidRPr="00653DCF">
        <w:rPr>
          <w:color w:val="auto"/>
          <w:lang w:val="hr-HR"/>
        </w:rPr>
        <w:t>stran</w:t>
      </w:r>
      <w:r w:rsidR="00E12432" w:rsidRPr="00653DCF">
        <w:rPr>
          <w:color w:val="auto"/>
          <w:lang w:val="hr-HR"/>
        </w:rPr>
        <w:t>k</w:t>
      </w:r>
      <w:r w:rsidR="007A1581" w:rsidRPr="00653DCF">
        <w:rPr>
          <w:color w:val="auto"/>
          <w:lang w:val="hr-HR"/>
        </w:rPr>
        <w:t>e</w:t>
      </w:r>
      <w:r w:rsidRPr="00653DCF">
        <w:rPr>
          <w:color w:val="auto"/>
          <w:lang w:val="hr-HR"/>
        </w:rPr>
        <w:t xml:space="preserve"> ne provedu izmjenu i dopunu koju zahtijeva Banka sukladno prethodnom stavku A, Zajmoprimac je dužan otplatiti tranšu (ili njezin dio, kako je naznačeno u zahtjevu za reviziju/konverziju kamatne stope) na datum revizije/konverzije kamatne stope, bez naknade</w:t>
      </w:r>
      <w:r w:rsidR="00E87B0B" w:rsidRPr="00653DCF">
        <w:rPr>
          <w:color w:val="auto"/>
          <w:lang w:val="hr-HR"/>
        </w:rPr>
        <w:t xml:space="preserve">. </w:t>
      </w:r>
    </w:p>
    <w:p w14:paraId="42ED7F8A" w14:textId="77777777" w:rsidR="007A2A6F" w:rsidRPr="00653DCF" w:rsidRDefault="007A2A6F">
      <w:pPr>
        <w:rPr>
          <w:color w:val="auto"/>
          <w:lang w:val="hr-HR"/>
        </w:rPr>
      </w:pPr>
    </w:p>
    <w:p w14:paraId="023E65E9" w14:textId="77777777" w:rsidR="007A2A6F" w:rsidRPr="00653DCF" w:rsidRDefault="00E87B0B">
      <w:pPr>
        <w:rPr>
          <w:color w:val="auto"/>
          <w:lang w:val="hr-HR"/>
        </w:rPr>
      </w:pPr>
      <w:r w:rsidRPr="00653DCF">
        <w:rPr>
          <w:color w:val="auto"/>
          <w:lang w:val="hr-HR"/>
        </w:rPr>
        <w:br w:type="page"/>
      </w:r>
    </w:p>
    <w:p w14:paraId="2ED85D5C" w14:textId="77777777" w:rsidR="007A2A6F" w:rsidRPr="00653DCF" w:rsidRDefault="007A2A6F">
      <w:pPr>
        <w:pStyle w:val="ScheduleEIB"/>
        <w:rPr>
          <w:color w:val="auto"/>
          <w:lang w:val="hr-HR"/>
        </w:rPr>
      </w:pPr>
      <w:bookmarkStart w:id="897" w:name="_Toc508120584"/>
      <w:bookmarkStart w:id="898" w:name="_Toc126080773"/>
      <w:bookmarkStart w:id="899" w:name="_Toc126080905"/>
      <w:bookmarkStart w:id="900" w:name="_Ref426951651"/>
      <w:bookmarkEnd w:id="897"/>
      <w:bookmarkEnd w:id="898"/>
      <w:bookmarkEnd w:id="899"/>
    </w:p>
    <w:p w14:paraId="4B783D71" w14:textId="12CD3366" w:rsidR="007A2A6F" w:rsidRPr="00653DCF" w:rsidRDefault="00E87B0B">
      <w:pPr>
        <w:pStyle w:val="SubSchedule1EIB"/>
        <w:rPr>
          <w:color w:val="auto"/>
          <w:lang w:val="hr-HR"/>
        </w:rPr>
      </w:pPr>
      <w:bookmarkStart w:id="901" w:name="_Ref433629032"/>
      <w:bookmarkStart w:id="902" w:name="_Toc126080774"/>
      <w:bookmarkStart w:id="903" w:name="_Toc126080906"/>
      <w:bookmarkStart w:id="904" w:name="_Toc508120585"/>
      <w:bookmarkEnd w:id="900"/>
      <w:r w:rsidRPr="00653DCF">
        <w:rPr>
          <w:color w:val="auto"/>
          <w:lang w:val="hr-HR"/>
        </w:rPr>
        <w:t xml:space="preserve">Potvrde koje izdaje </w:t>
      </w:r>
      <w:r w:rsidR="0026655E" w:rsidRPr="00653DCF">
        <w:rPr>
          <w:color w:val="auto"/>
          <w:lang w:val="hr-HR"/>
        </w:rPr>
        <w:t>Z</w:t>
      </w:r>
      <w:r w:rsidRPr="00653DCF">
        <w:rPr>
          <w:color w:val="auto"/>
          <w:lang w:val="hr-HR"/>
        </w:rPr>
        <w:t>ajmoprimac</w:t>
      </w:r>
      <w:bookmarkEnd w:id="901"/>
      <w:bookmarkEnd w:id="902"/>
      <w:bookmarkEnd w:id="903"/>
    </w:p>
    <w:p w14:paraId="5ED9FE07" w14:textId="7F8E3130" w:rsidR="007A2A6F" w:rsidRPr="00653DCF" w:rsidRDefault="008B5417" w:rsidP="008B5417">
      <w:pPr>
        <w:pStyle w:val="P68B1DB1-SubSchedule3EIB10"/>
        <w:numPr>
          <w:ilvl w:val="0"/>
          <w:numId w:val="0"/>
        </w:numPr>
        <w:ind w:left="1080"/>
        <w:rPr>
          <w:color w:val="auto"/>
          <w:lang w:val="hr-HR"/>
        </w:rPr>
      </w:pPr>
      <w:bookmarkStart w:id="905" w:name="_Ref426951700"/>
      <w:bookmarkStart w:id="906" w:name="_Ref427245706"/>
      <w:r w:rsidRPr="008B5417">
        <w:rPr>
          <w:b w:val="0"/>
          <w:color w:val="auto"/>
          <w:lang w:val="hr-HR"/>
        </w:rPr>
        <w:t>E.1</w:t>
      </w:r>
      <w:r w:rsidRPr="008B5417">
        <w:rPr>
          <w:color w:val="auto"/>
          <w:u w:val="none"/>
          <w:lang w:val="hr-HR"/>
        </w:rPr>
        <w:t xml:space="preserve"> </w:t>
      </w:r>
      <w:r w:rsidR="00E87B0B" w:rsidRPr="00653DCF">
        <w:rPr>
          <w:color w:val="auto"/>
          <w:lang w:val="hr-HR"/>
        </w:rPr>
        <w:t xml:space="preserve">Obrazac Potvrde </w:t>
      </w:r>
      <w:r w:rsidR="0026655E" w:rsidRPr="00653DCF">
        <w:rPr>
          <w:color w:val="auto"/>
          <w:lang w:val="hr-HR"/>
        </w:rPr>
        <w:t>Z</w:t>
      </w:r>
      <w:r w:rsidR="00E87B0B" w:rsidRPr="00653DCF">
        <w:rPr>
          <w:color w:val="auto"/>
          <w:lang w:val="hr-HR"/>
        </w:rPr>
        <w:t>ajmoprimca</w:t>
      </w:r>
      <w:bookmarkEnd w:id="904"/>
      <w:r w:rsidR="00E87B0B" w:rsidRPr="00653DCF">
        <w:rPr>
          <w:color w:val="auto"/>
          <w:lang w:val="hr-HR"/>
        </w:rPr>
        <w:t xml:space="preserve"> (članak</w:t>
      </w:r>
      <w:r w:rsidR="000B26EC" w:rsidRPr="00653DCF">
        <w:rPr>
          <w:color w:val="auto"/>
          <w:lang w:val="hr-HR"/>
        </w:rPr>
        <w:t xml:space="preserve"> 1.4.D</w:t>
      </w:r>
      <w:r w:rsidR="00E87B0B" w:rsidRPr="00653DCF">
        <w:rPr>
          <w:color w:val="auto"/>
          <w:lang w:val="hr-HR"/>
        </w:rPr>
        <w:t>.)</w:t>
      </w:r>
      <w:bookmarkEnd w:id="905"/>
      <w:bookmarkEnd w:id="906"/>
    </w:p>
    <w:tbl>
      <w:tblPr>
        <w:tblStyle w:val="TableEIB"/>
        <w:tblW w:w="0" w:type="auto"/>
        <w:tblLook w:val="04A0" w:firstRow="1" w:lastRow="0" w:firstColumn="1" w:lastColumn="0" w:noHBand="0" w:noVBand="1"/>
      </w:tblPr>
      <w:tblGrid>
        <w:gridCol w:w="1117"/>
        <w:gridCol w:w="7099"/>
      </w:tblGrid>
      <w:tr w:rsidR="007A2A6F" w:rsidRPr="00653DCF" w14:paraId="58C840B2" w14:textId="77777777">
        <w:tc>
          <w:tcPr>
            <w:tcW w:w="953" w:type="dxa"/>
          </w:tcPr>
          <w:p w14:paraId="3090061A" w14:textId="1C9993A4" w:rsidR="007A2A6F" w:rsidRPr="00653DCF" w:rsidRDefault="0026655E">
            <w:pPr>
              <w:tabs>
                <w:tab w:val="left" w:pos="1701"/>
              </w:tabs>
              <w:ind w:left="0"/>
              <w:rPr>
                <w:color w:val="auto"/>
                <w:lang w:val="hr-HR"/>
              </w:rPr>
            </w:pPr>
            <w:r w:rsidRPr="00653DCF">
              <w:rPr>
                <w:color w:val="auto"/>
                <w:lang w:val="hr-HR"/>
              </w:rPr>
              <w:t>Pošiljatelj</w:t>
            </w:r>
            <w:r w:rsidR="00E87B0B" w:rsidRPr="00653DCF">
              <w:rPr>
                <w:color w:val="auto"/>
                <w:lang w:val="hr-HR"/>
              </w:rPr>
              <w:t>:</w:t>
            </w:r>
          </w:p>
        </w:tc>
        <w:tc>
          <w:tcPr>
            <w:tcW w:w="7479" w:type="dxa"/>
          </w:tcPr>
          <w:p w14:paraId="2046D78F" w14:textId="61BFAEF2" w:rsidR="007A2A6F" w:rsidRPr="00653DCF" w:rsidRDefault="00E87B0B">
            <w:pPr>
              <w:tabs>
                <w:tab w:val="left" w:pos="1701"/>
              </w:tabs>
              <w:ind w:left="0"/>
              <w:rPr>
                <w:color w:val="auto"/>
                <w:lang w:val="hr-HR"/>
              </w:rPr>
            </w:pPr>
            <w:r w:rsidRPr="00653DCF">
              <w:rPr>
                <w:color w:val="auto"/>
                <w:lang w:val="hr-HR"/>
              </w:rPr>
              <w:t>Republika Hrvatska</w:t>
            </w:r>
          </w:p>
        </w:tc>
      </w:tr>
      <w:tr w:rsidR="007A2A6F" w:rsidRPr="00653DCF" w14:paraId="27206D4A" w14:textId="77777777">
        <w:tc>
          <w:tcPr>
            <w:tcW w:w="953" w:type="dxa"/>
          </w:tcPr>
          <w:p w14:paraId="1566CBE7" w14:textId="1AEDCC14" w:rsidR="007A2A6F" w:rsidRPr="00653DCF" w:rsidRDefault="0026655E">
            <w:pPr>
              <w:tabs>
                <w:tab w:val="left" w:pos="1701"/>
              </w:tabs>
              <w:ind w:left="0"/>
              <w:rPr>
                <w:color w:val="auto"/>
                <w:lang w:val="hr-HR"/>
              </w:rPr>
            </w:pPr>
            <w:r w:rsidRPr="00653DCF">
              <w:rPr>
                <w:color w:val="auto"/>
                <w:lang w:val="hr-HR"/>
              </w:rPr>
              <w:t>Primatelj</w:t>
            </w:r>
            <w:r w:rsidR="00E87B0B" w:rsidRPr="00653DCF">
              <w:rPr>
                <w:color w:val="auto"/>
                <w:lang w:val="hr-HR"/>
              </w:rPr>
              <w:t>:</w:t>
            </w:r>
          </w:p>
        </w:tc>
        <w:tc>
          <w:tcPr>
            <w:tcW w:w="7479" w:type="dxa"/>
          </w:tcPr>
          <w:p w14:paraId="23A90B3A" w14:textId="012CA292" w:rsidR="007A2A6F" w:rsidRPr="00653DCF" w:rsidRDefault="00E87B0B">
            <w:pPr>
              <w:tabs>
                <w:tab w:val="left" w:pos="1701"/>
              </w:tabs>
              <w:ind w:left="0"/>
              <w:rPr>
                <w:color w:val="auto"/>
                <w:lang w:val="hr-HR"/>
              </w:rPr>
            </w:pPr>
            <w:r w:rsidRPr="00653DCF">
              <w:rPr>
                <w:color w:val="auto"/>
                <w:lang w:val="hr-HR"/>
              </w:rPr>
              <w:t>Europska investicijska banka</w:t>
            </w:r>
          </w:p>
        </w:tc>
      </w:tr>
      <w:tr w:rsidR="007A2A6F" w:rsidRPr="00653DCF" w14:paraId="30B947B2" w14:textId="77777777">
        <w:tc>
          <w:tcPr>
            <w:tcW w:w="953" w:type="dxa"/>
          </w:tcPr>
          <w:p w14:paraId="220D72B9" w14:textId="77777777" w:rsidR="007A2A6F" w:rsidRPr="00653DCF" w:rsidRDefault="00E87B0B">
            <w:pPr>
              <w:tabs>
                <w:tab w:val="left" w:pos="1701"/>
              </w:tabs>
              <w:ind w:left="0"/>
              <w:rPr>
                <w:color w:val="auto"/>
                <w:lang w:val="hr-HR"/>
              </w:rPr>
            </w:pPr>
            <w:r w:rsidRPr="00653DCF">
              <w:rPr>
                <w:color w:val="auto"/>
                <w:lang w:val="hr-HR"/>
              </w:rPr>
              <w:t>Datum:</w:t>
            </w:r>
          </w:p>
        </w:tc>
        <w:tc>
          <w:tcPr>
            <w:tcW w:w="7479" w:type="dxa"/>
          </w:tcPr>
          <w:p w14:paraId="78F6D794" w14:textId="77777777" w:rsidR="007A2A6F" w:rsidRPr="00653DCF" w:rsidRDefault="007A2A6F">
            <w:pPr>
              <w:tabs>
                <w:tab w:val="left" w:pos="1701"/>
              </w:tabs>
              <w:ind w:left="0"/>
              <w:rPr>
                <w:color w:val="auto"/>
                <w:lang w:val="hr-HR"/>
              </w:rPr>
            </w:pPr>
          </w:p>
        </w:tc>
      </w:tr>
      <w:tr w:rsidR="007A2A6F" w:rsidRPr="00653DCF" w14:paraId="73B0E8C6" w14:textId="77777777">
        <w:tc>
          <w:tcPr>
            <w:tcW w:w="953" w:type="dxa"/>
          </w:tcPr>
          <w:p w14:paraId="4F00461D" w14:textId="77777777" w:rsidR="007A2A6F" w:rsidRPr="00653DCF" w:rsidRDefault="00E87B0B">
            <w:pPr>
              <w:tabs>
                <w:tab w:val="left" w:pos="1701"/>
              </w:tabs>
              <w:ind w:left="0"/>
              <w:rPr>
                <w:color w:val="auto"/>
                <w:lang w:val="hr-HR"/>
              </w:rPr>
            </w:pPr>
            <w:r w:rsidRPr="00653DCF">
              <w:rPr>
                <w:color w:val="auto"/>
                <w:lang w:val="hr-HR"/>
              </w:rPr>
              <w:t>Predmet:</w:t>
            </w:r>
          </w:p>
        </w:tc>
        <w:tc>
          <w:tcPr>
            <w:tcW w:w="7479" w:type="dxa"/>
          </w:tcPr>
          <w:p w14:paraId="588EA731" w14:textId="3914421B" w:rsidR="007A2A6F" w:rsidRPr="00653DCF" w:rsidRDefault="007618C8">
            <w:pPr>
              <w:tabs>
                <w:tab w:val="left" w:pos="1701"/>
              </w:tabs>
              <w:ind w:left="0"/>
              <w:rPr>
                <w:color w:val="auto"/>
                <w:lang w:val="hr-HR"/>
              </w:rPr>
            </w:pPr>
            <w:r w:rsidRPr="00653DCF">
              <w:rPr>
                <w:color w:val="auto"/>
                <w:lang w:val="hr-HR"/>
              </w:rPr>
              <w:t>U</w:t>
            </w:r>
            <w:r w:rsidR="00E87B0B" w:rsidRPr="00653DCF">
              <w:rPr>
                <w:color w:val="auto"/>
                <w:lang w:val="hr-HR"/>
              </w:rPr>
              <w:t>govor o financiranju između Europske investicijske banke i Republike Hrvatske od [/] („</w:t>
            </w:r>
            <w:r w:rsidR="0026655E" w:rsidRPr="00653DCF">
              <w:rPr>
                <w:rStyle w:val="BoldEIB"/>
                <w:color w:val="auto"/>
                <w:lang w:val="hr-HR"/>
              </w:rPr>
              <w:t>U</w:t>
            </w:r>
            <w:r w:rsidR="00E87B0B" w:rsidRPr="00653DCF">
              <w:rPr>
                <w:rStyle w:val="BoldEIB"/>
                <w:color w:val="auto"/>
                <w:lang w:val="hr-HR"/>
              </w:rPr>
              <w:t>govor o financiranju</w:t>
            </w:r>
            <w:r w:rsidR="00E87B0B" w:rsidRPr="00653DCF">
              <w:rPr>
                <w:color w:val="auto"/>
                <w:lang w:val="hr-HR"/>
              </w:rPr>
              <w:t>”)</w:t>
            </w:r>
          </w:p>
        </w:tc>
      </w:tr>
      <w:tr w:rsidR="007A2A6F" w:rsidRPr="00653DCF" w14:paraId="66786BA6" w14:textId="77777777">
        <w:tc>
          <w:tcPr>
            <w:tcW w:w="953" w:type="dxa"/>
            <w:tcBorders>
              <w:bottom w:val="single" w:sz="4" w:space="0" w:color="auto"/>
            </w:tcBorders>
          </w:tcPr>
          <w:p w14:paraId="64DEFC4C" w14:textId="77777777" w:rsidR="007A2A6F" w:rsidRPr="00653DCF" w:rsidRDefault="007A2A6F">
            <w:pPr>
              <w:tabs>
                <w:tab w:val="left" w:pos="1701"/>
              </w:tabs>
              <w:ind w:left="0"/>
              <w:rPr>
                <w:color w:val="auto"/>
                <w:lang w:val="hr-HR"/>
              </w:rPr>
            </w:pPr>
          </w:p>
        </w:tc>
        <w:tc>
          <w:tcPr>
            <w:tcW w:w="7479" w:type="dxa"/>
            <w:tcBorders>
              <w:bottom w:val="single" w:sz="4" w:space="0" w:color="auto"/>
            </w:tcBorders>
          </w:tcPr>
          <w:p w14:paraId="5981DFED" w14:textId="6DC1D60F" w:rsidR="007A2A6F" w:rsidRPr="00653DCF" w:rsidRDefault="00E87B0B">
            <w:pPr>
              <w:tabs>
                <w:tab w:val="left" w:pos="1701"/>
              </w:tabs>
              <w:ind w:left="0"/>
              <w:rPr>
                <w:color w:val="auto"/>
                <w:lang w:val="hr-HR"/>
              </w:rPr>
            </w:pPr>
            <w:r w:rsidRPr="00653DCF">
              <w:rPr>
                <w:color w:val="auto"/>
                <w:lang w:val="hr-HR"/>
              </w:rPr>
              <w:t xml:space="preserve">Broj </w:t>
            </w:r>
            <w:r w:rsidR="00F50E89" w:rsidRPr="00653DCF">
              <w:rPr>
                <w:color w:val="auto"/>
                <w:lang w:val="hr-HR"/>
              </w:rPr>
              <w:t>U</w:t>
            </w:r>
            <w:r w:rsidRPr="00653DCF">
              <w:rPr>
                <w:color w:val="auto"/>
                <w:lang w:val="hr-HR"/>
              </w:rPr>
              <w:t xml:space="preserve">govora </w:t>
            </w:r>
            <w:r w:rsidRPr="00653DCF">
              <w:rPr>
                <w:color w:val="auto"/>
                <w:lang w:val="hr-HR"/>
              </w:rPr>
              <w:fldChar w:fldCharType="begin">
                <w:ffData>
                  <w:name w:val=""/>
                  <w:enabled/>
                  <w:calcOnExit w:val="0"/>
                  <w:textInput>
                    <w:default w:val="95.797"/>
                  </w:textInput>
                </w:ffData>
              </w:fldChar>
            </w:r>
            <w:r w:rsidRPr="00653DCF">
              <w:rPr>
                <w:color w:val="auto"/>
                <w:lang w:val="hr-HR"/>
              </w:rPr>
              <w:instrText xml:space="preserve"> FORMTEXT </w:instrText>
            </w:r>
            <w:r w:rsidRPr="00653DCF">
              <w:rPr>
                <w:color w:val="auto"/>
                <w:lang w:val="hr-HR"/>
              </w:rPr>
            </w:r>
            <w:r w:rsidRPr="00653DCF">
              <w:rPr>
                <w:color w:val="auto"/>
                <w:lang w:val="hr-HR"/>
              </w:rPr>
              <w:fldChar w:fldCharType="separate"/>
            </w:r>
            <w:r w:rsidR="00B3344C" w:rsidRPr="00653DCF">
              <w:rPr>
                <w:noProof/>
                <w:color w:val="auto"/>
                <w:lang w:val="hr-HR"/>
              </w:rPr>
              <w:t>95.797</w:t>
            </w:r>
            <w:r w:rsidRPr="00653DCF">
              <w:rPr>
                <w:color w:val="auto"/>
                <w:lang w:val="hr-HR"/>
              </w:rPr>
              <w:fldChar w:fldCharType="end"/>
            </w:r>
            <w:r w:rsidRPr="00653DCF">
              <w:rPr>
                <w:color w:val="auto"/>
                <w:lang w:val="hr-HR"/>
              </w:rPr>
              <w:tab/>
            </w:r>
            <w:r w:rsidR="0026655E" w:rsidRPr="00653DCF">
              <w:rPr>
                <w:color w:val="auto"/>
                <w:lang w:val="hr-HR"/>
              </w:rPr>
              <w:t xml:space="preserve">Operativni broj </w:t>
            </w:r>
            <w:r w:rsidRPr="00653DCF">
              <w:rPr>
                <w:color w:val="auto"/>
                <w:lang w:val="hr-HR"/>
              </w:rPr>
              <w:fldChar w:fldCharType="begin">
                <w:ffData>
                  <w:name w:val=""/>
                  <w:enabled/>
                  <w:calcOnExit w:val="0"/>
                  <w:textInput>
                    <w:default w:val="2022-0660"/>
                  </w:textInput>
                </w:ffData>
              </w:fldChar>
            </w:r>
            <w:r w:rsidRPr="00653DCF">
              <w:rPr>
                <w:color w:val="auto"/>
                <w:lang w:val="hr-HR"/>
              </w:rPr>
              <w:instrText xml:space="preserve"> FORMTEXT </w:instrText>
            </w:r>
            <w:r w:rsidRPr="00653DCF">
              <w:rPr>
                <w:color w:val="auto"/>
                <w:lang w:val="hr-HR"/>
              </w:rPr>
            </w:r>
            <w:r w:rsidRPr="00653DCF">
              <w:rPr>
                <w:color w:val="auto"/>
                <w:lang w:val="hr-HR"/>
              </w:rPr>
              <w:fldChar w:fldCharType="separate"/>
            </w:r>
            <w:r w:rsidR="00B3344C" w:rsidRPr="00653DCF">
              <w:rPr>
                <w:noProof/>
                <w:color w:val="auto"/>
                <w:lang w:val="hr-HR"/>
              </w:rPr>
              <w:t>2022-0660</w:t>
            </w:r>
            <w:r w:rsidRPr="00653DCF">
              <w:rPr>
                <w:color w:val="auto"/>
                <w:lang w:val="hr-HR"/>
              </w:rPr>
              <w:fldChar w:fldCharType="end"/>
            </w:r>
          </w:p>
        </w:tc>
      </w:tr>
    </w:tbl>
    <w:p w14:paraId="25BCC57A" w14:textId="77777777" w:rsidR="007A2A6F" w:rsidRPr="00653DCF" w:rsidRDefault="007A2A6F">
      <w:pPr>
        <w:rPr>
          <w:color w:val="auto"/>
          <w:lang w:val="hr-HR"/>
        </w:rPr>
      </w:pPr>
    </w:p>
    <w:p w14:paraId="6900968D" w14:textId="35D0A5A2" w:rsidR="007A2A6F" w:rsidRPr="00653DCF" w:rsidRDefault="0026655E">
      <w:pPr>
        <w:rPr>
          <w:color w:val="auto"/>
          <w:lang w:val="hr-HR"/>
        </w:rPr>
      </w:pPr>
      <w:r w:rsidRPr="00653DCF">
        <w:rPr>
          <w:color w:val="auto"/>
          <w:lang w:val="hr-HR"/>
        </w:rPr>
        <w:t>Poštovani</w:t>
      </w:r>
      <w:r w:rsidR="00E87B0B" w:rsidRPr="00653DCF">
        <w:rPr>
          <w:color w:val="auto"/>
          <w:lang w:val="hr-HR"/>
        </w:rPr>
        <w:t>,</w:t>
      </w:r>
    </w:p>
    <w:p w14:paraId="4D419C73" w14:textId="770B88A2" w:rsidR="007A2A6F" w:rsidRPr="00653DCF" w:rsidRDefault="00DB5B69">
      <w:pPr>
        <w:rPr>
          <w:color w:val="auto"/>
          <w:lang w:val="hr-HR"/>
        </w:rPr>
      </w:pPr>
      <w:r w:rsidRPr="00653DCF">
        <w:rPr>
          <w:color w:val="auto"/>
          <w:lang w:val="hr-HR"/>
        </w:rPr>
        <w:t xml:space="preserve">pišemo vam vezano za </w:t>
      </w:r>
      <w:r w:rsidR="00E87B0B" w:rsidRPr="00653DCF">
        <w:rPr>
          <w:color w:val="auto"/>
          <w:lang w:val="hr-HR"/>
        </w:rPr>
        <w:t xml:space="preserve">Ugovor o financiranju. Pojmovi definirani u Ugovoru o financiranju imaju isto značenje kada se </w:t>
      </w:r>
      <w:r w:rsidRPr="00653DCF">
        <w:rPr>
          <w:color w:val="auto"/>
          <w:lang w:val="hr-HR"/>
        </w:rPr>
        <w:t>upotrebljavaju u ovom dopisu</w:t>
      </w:r>
      <w:r w:rsidR="00E87B0B" w:rsidRPr="00653DCF">
        <w:rPr>
          <w:color w:val="auto"/>
          <w:lang w:val="hr-HR"/>
        </w:rPr>
        <w:t>.</w:t>
      </w:r>
    </w:p>
    <w:p w14:paraId="691BB4E0" w14:textId="31A7EA43" w:rsidR="007A2A6F" w:rsidRPr="00653DCF" w:rsidRDefault="00E87B0B">
      <w:pPr>
        <w:rPr>
          <w:color w:val="auto"/>
          <w:lang w:val="hr-HR"/>
        </w:rPr>
      </w:pPr>
      <w:r w:rsidRPr="00653DCF">
        <w:rPr>
          <w:color w:val="auto"/>
          <w:lang w:val="hr-HR"/>
        </w:rPr>
        <w:t xml:space="preserve">Za potrebe članka </w:t>
      </w:r>
      <w:r w:rsidRPr="00653DCF">
        <w:rPr>
          <w:color w:val="auto"/>
          <w:lang w:val="hr-HR"/>
        </w:rPr>
        <w:fldChar w:fldCharType="begin"/>
      </w:r>
      <w:r w:rsidRPr="00653DCF">
        <w:rPr>
          <w:color w:val="auto"/>
          <w:lang w:val="hr-HR"/>
        </w:rPr>
        <w:instrText xml:space="preserve"> REF _Ref426639107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1.4</w:t>
      </w:r>
      <w:r w:rsidRPr="00653DCF">
        <w:rPr>
          <w:color w:val="auto"/>
          <w:lang w:val="hr-HR"/>
        </w:rPr>
        <w:fldChar w:fldCharType="end"/>
      </w:r>
      <w:r w:rsidR="00DB5B69" w:rsidRPr="00653DCF">
        <w:rPr>
          <w:color w:val="auto"/>
          <w:lang w:val="hr-HR"/>
        </w:rPr>
        <w:t>.</w:t>
      </w:r>
      <w:r w:rsidRPr="00653DCF">
        <w:rPr>
          <w:color w:val="auto"/>
          <w:lang w:val="hr-HR"/>
        </w:rPr>
        <w:t xml:space="preserve"> Ugovora o financiranju</w:t>
      </w:r>
      <w:r w:rsidR="00AF4AC7" w:rsidRPr="00653DCF">
        <w:rPr>
          <w:color w:val="auto"/>
          <w:lang w:val="hr-HR"/>
        </w:rPr>
        <w:t>,</w:t>
      </w:r>
      <w:r w:rsidRPr="00653DCF">
        <w:rPr>
          <w:color w:val="auto"/>
          <w:lang w:val="hr-HR"/>
        </w:rPr>
        <w:t xml:space="preserve"> ovime Vam potvrđujemo sljedeće:</w:t>
      </w:r>
    </w:p>
    <w:p w14:paraId="5F883137" w14:textId="50A84D12" w:rsidR="007A2A6F" w:rsidRPr="00653DCF" w:rsidRDefault="00DB5B69">
      <w:pPr>
        <w:pStyle w:val="NoIndentEIB"/>
        <w:numPr>
          <w:ilvl w:val="0"/>
          <w:numId w:val="36"/>
        </w:numPr>
        <w:rPr>
          <w:color w:val="auto"/>
          <w:lang w:val="hr-HR"/>
        </w:rPr>
      </w:pPr>
      <w:r w:rsidRPr="00653DCF">
        <w:rPr>
          <w:color w:val="auto"/>
          <w:lang w:val="hr-HR"/>
        </w:rPr>
        <w:t xml:space="preserve">da </w:t>
      </w:r>
      <w:r w:rsidR="00E87B0B" w:rsidRPr="00653DCF">
        <w:rPr>
          <w:color w:val="auto"/>
          <w:lang w:val="hr-HR"/>
        </w:rPr>
        <w:t xml:space="preserve">nije </w:t>
      </w:r>
      <w:r w:rsidR="00F46851" w:rsidRPr="00653DCF">
        <w:rPr>
          <w:color w:val="auto"/>
          <w:lang w:val="hr-HR"/>
        </w:rPr>
        <w:t>n</w:t>
      </w:r>
      <w:r w:rsidR="002C2F76" w:rsidRPr="00653DCF">
        <w:rPr>
          <w:color w:val="auto"/>
          <w:lang w:val="hr-HR"/>
        </w:rPr>
        <w:t xml:space="preserve">astalo niti postoji </w:t>
      </w:r>
      <w:r w:rsidR="005A31FC" w:rsidRPr="00653DCF">
        <w:rPr>
          <w:color w:val="auto"/>
          <w:lang w:val="hr-HR"/>
        </w:rPr>
        <w:t>osiguranje</w:t>
      </w:r>
      <w:r w:rsidR="002C2F76" w:rsidRPr="00653DCF">
        <w:rPr>
          <w:color w:val="auto"/>
          <w:lang w:val="hr-HR"/>
        </w:rPr>
        <w:t xml:space="preserve"> takve vrste koje je zabranjeno</w:t>
      </w:r>
      <w:r w:rsidR="00F46851" w:rsidRPr="00653DCF">
        <w:rPr>
          <w:color w:val="auto"/>
          <w:lang w:val="hr-HR"/>
        </w:rPr>
        <w:t xml:space="preserve"> prema članku</w:t>
      </w:r>
      <w:r w:rsidR="00E55215" w:rsidRPr="00653DCF">
        <w:rPr>
          <w:color w:val="auto"/>
        </w:rPr>
        <w:t> </w:t>
      </w:r>
      <w:r w:rsidR="00CA26E3" w:rsidRPr="00653DCF">
        <w:rPr>
          <w:color w:val="auto"/>
        </w:rPr>
        <w:t>7.2.;</w:t>
      </w:r>
    </w:p>
    <w:p w14:paraId="06D4EDF7" w14:textId="603A6262" w:rsidR="007A2A6F" w:rsidRPr="00653DCF" w:rsidRDefault="007C42E3">
      <w:pPr>
        <w:pStyle w:val="NoIndentEIB"/>
        <w:numPr>
          <w:ilvl w:val="0"/>
          <w:numId w:val="36"/>
        </w:numPr>
        <w:rPr>
          <w:color w:val="auto"/>
          <w:lang w:val="hr-HR"/>
        </w:rPr>
      </w:pPr>
      <w:r w:rsidRPr="00653DCF">
        <w:rPr>
          <w:color w:val="auto"/>
          <w:lang w:val="hr-HR"/>
        </w:rPr>
        <w:t xml:space="preserve">da ne postoji nikakva značajna promjena bilo kojeg aspekta Projekta ili u pogledu kojeg smo obvezni podnijeti izvješće prema članku </w:t>
      </w:r>
      <w:r w:rsidR="00E87B0B" w:rsidRPr="00653DCF">
        <w:rPr>
          <w:color w:val="auto"/>
          <w:lang w:val="hr-HR"/>
        </w:rPr>
        <w:fldChar w:fldCharType="begin"/>
      </w:r>
      <w:r w:rsidR="00E87B0B" w:rsidRPr="00653DCF">
        <w:rPr>
          <w:color w:val="auto"/>
          <w:lang w:val="hr-HR"/>
        </w:rPr>
        <w:instrText xml:space="preserve"> REF _Ref426640702 \r \h </w:instrText>
      </w:r>
      <w:r w:rsidR="00A641E1" w:rsidRPr="00653DCF">
        <w:rPr>
          <w:color w:val="auto"/>
          <w:lang w:val="hr-HR"/>
        </w:rPr>
        <w:instrText xml:space="preserve"> \* MERGEFORMAT </w:instrText>
      </w:r>
      <w:r w:rsidR="00E87B0B" w:rsidRPr="00653DCF">
        <w:rPr>
          <w:color w:val="auto"/>
          <w:lang w:val="hr-HR"/>
        </w:rPr>
      </w:r>
      <w:r w:rsidR="00E87B0B" w:rsidRPr="00653DCF">
        <w:rPr>
          <w:color w:val="auto"/>
          <w:lang w:val="hr-HR"/>
        </w:rPr>
        <w:fldChar w:fldCharType="separate"/>
      </w:r>
      <w:r w:rsidR="00E5391B">
        <w:rPr>
          <w:color w:val="auto"/>
          <w:lang w:val="hr-HR"/>
        </w:rPr>
        <w:t>članak 8</w:t>
      </w:r>
      <w:r w:rsidR="00E87B0B" w:rsidRPr="00653DCF">
        <w:rPr>
          <w:color w:val="auto"/>
          <w:lang w:val="hr-HR"/>
        </w:rPr>
        <w:fldChar w:fldCharType="end"/>
      </w:r>
      <w:r w:rsidRPr="00653DCF">
        <w:rPr>
          <w:color w:val="auto"/>
          <w:lang w:val="hr-HR"/>
        </w:rPr>
        <w:t>.</w:t>
      </w:r>
      <w:r w:rsidR="00E87B0B" w:rsidRPr="00653DCF">
        <w:rPr>
          <w:color w:val="auto"/>
          <w:lang w:val="hr-HR"/>
        </w:rPr>
        <w:t xml:space="preserve">, osim kako smo </w:t>
      </w:r>
      <w:r w:rsidRPr="00653DCF">
        <w:rPr>
          <w:color w:val="auto"/>
          <w:lang w:val="hr-HR"/>
        </w:rPr>
        <w:t xml:space="preserve">to ranije </w:t>
      </w:r>
      <w:r w:rsidR="00E87B0B" w:rsidRPr="00653DCF">
        <w:rPr>
          <w:color w:val="auto"/>
          <w:lang w:val="hr-HR"/>
        </w:rPr>
        <w:t xml:space="preserve">priopćili; </w:t>
      </w:r>
    </w:p>
    <w:p w14:paraId="4027B66B" w14:textId="5E8E52CE" w:rsidR="007A2A6F" w:rsidRPr="00653DCF" w:rsidRDefault="002E0FB0">
      <w:pPr>
        <w:pStyle w:val="NoIndentEIB"/>
        <w:numPr>
          <w:ilvl w:val="0"/>
          <w:numId w:val="36"/>
        </w:numPr>
        <w:rPr>
          <w:color w:val="auto"/>
          <w:lang w:val="hr-HR"/>
        </w:rPr>
      </w:pPr>
      <w:r w:rsidRPr="00653DCF">
        <w:rPr>
          <w:color w:val="auto"/>
          <w:lang w:val="hr-HR"/>
        </w:rPr>
        <w:t xml:space="preserve">da nije nastupio događaj ili okolnost koja </w:t>
      </w:r>
      <w:r w:rsidR="006B00F1" w:rsidRPr="00653DCF">
        <w:rPr>
          <w:color w:val="auto"/>
          <w:lang w:val="hr-HR"/>
        </w:rPr>
        <w:t>predstavlja</w:t>
      </w:r>
      <w:r w:rsidRPr="00653DCF">
        <w:rPr>
          <w:color w:val="auto"/>
          <w:lang w:val="hr-HR"/>
        </w:rPr>
        <w:t xml:space="preserve"> ili bi s vremenom ili davanjem obavijesti iz Ugovora o </w:t>
      </w:r>
      <w:r w:rsidR="00724072" w:rsidRPr="00653DCF">
        <w:rPr>
          <w:color w:val="auto"/>
          <w:lang w:val="hr-HR"/>
        </w:rPr>
        <w:t xml:space="preserve">predstavljala </w:t>
      </w:r>
      <w:r w:rsidRPr="00653DCF">
        <w:rPr>
          <w:color w:val="auto"/>
          <w:lang w:val="hr-HR"/>
        </w:rPr>
        <w:t xml:space="preserve">događaj neispunjenja obveza, niti se </w:t>
      </w:r>
      <w:r w:rsidR="00724072" w:rsidRPr="00653DCF">
        <w:rPr>
          <w:color w:val="auto"/>
          <w:lang w:val="hr-HR"/>
        </w:rPr>
        <w:t xml:space="preserve">takav događaj ili okolnost </w:t>
      </w:r>
      <w:r w:rsidRPr="00653DCF">
        <w:rPr>
          <w:color w:val="auto"/>
          <w:lang w:val="hr-HR"/>
        </w:rPr>
        <w:t>nastavlja neispravljen</w:t>
      </w:r>
      <w:r w:rsidR="00724072" w:rsidRPr="00653DCF">
        <w:rPr>
          <w:color w:val="auto"/>
          <w:lang w:val="hr-HR"/>
        </w:rPr>
        <w:t>o</w:t>
      </w:r>
      <w:r w:rsidRPr="00653DCF">
        <w:rPr>
          <w:color w:val="auto"/>
          <w:lang w:val="hr-HR"/>
        </w:rPr>
        <w:t xml:space="preserve"> ili </w:t>
      </w:r>
      <w:r w:rsidR="00A65884" w:rsidRPr="00653DCF">
        <w:rPr>
          <w:color w:val="auto"/>
          <w:lang w:val="hr-HR"/>
        </w:rPr>
        <w:t xml:space="preserve">bez </w:t>
      </w:r>
      <w:r w:rsidRPr="00653DCF">
        <w:rPr>
          <w:color w:val="auto"/>
          <w:lang w:val="hr-HR"/>
        </w:rPr>
        <w:t xml:space="preserve">da se od </w:t>
      </w:r>
      <w:r w:rsidR="00A65884" w:rsidRPr="00653DCF">
        <w:rPr>
          <w:color w:val="auto"/>
          <w:lang w:val="hr-HR"/>
        </w:rPr>
        <w:t>takvog događaja ili takve okolnosti odustalo</w:t>
      </w:r>
      <w:r w:rsidR="00E87B0B" w:rsidRPr="00653DCF">
        <w:rPr>
          <w:color w:val="auto"/>
          <w:lang w:val="hr-HR"/>
        </w:rPr>
        <w:t>;</w:t>
      </w:r>
    </w:p>
    <w:p w14:paraId="2D98F1B6" w14:textId="143A8AC2" w:rsidR="007A2A6F" w:rsidRPr="00653DCF" w:rsidRDefault="00A65884">
      <w:pPr>
        <w:pStyle w:val="NoIndentEIB"/>
        <w:numPr>
          <w:ilvl w:val="0"/>
          <w:numId w:val="36"/>
        </w:numPr>
        <w:rPr>
          <w:color w:val="auto"/>
          <w:lang w:val="hr-HR"/>
        </w:rPr>
      </w:pPr>
      <w:r w:rsidRPr="00653DCF">
        <w:rPr>
          <w:color w:val="auto"/>
          <w:lang w:val="hr-HR"/>
        </w:rPr>
        <w:t>d</w:t>
      </w:r>
      <w:r w:rsidR="002E0FB0" w:rsidRPr="00653DCF">
        <w:rPr>
          <w:color w:val="auto"/>
          <w:lang w:val="hr-HR"/>
        </w:rPr>
        <w:t xml:space="preserve">a imamo dovoljno sredstava na raspolaganju </w:t>
      </w:r>
      <w:r w:rsidRPr="00653DCF">
        <w:rPr>
          <w:color w:val="auto"/>
          <w:lang w:val="hr-HR"/>
        </w:rPr>
        <w:t xml:space="preserve">kako bismo osigurali </w:t>
      </w:r>
      <w:r w:rsidR="002E0FB0" w:rsidRPr="00653DCF">
        <w:rPr>
          <w:color w:val="auto"/>
          <w:lang w:val="hr-HR"/>
        </w:rPr>
        <w:t>pravodobno dovršenje i provedbu Projekta u skladu s Prilogom</w:t>
      </w:r>
      <w:r w:rsidR="00E87B0B" w:rsidRPr="00653DCF">
        <w:rPr>
          <w:color w:val="auto"/>
          <w:lang w:val="hr-HR"/>
        </w:rPr>
        <w:t xml:space="preserve"> A;</w:t>
      </w:r>
    </w:p>
    <w:p w14:paraId="4E8DFC70" w14:textId="47E53592" w:rsidR="007A2A6F" w:rsidRPr="00653DCF" w:rsidRDefault="00D143E9">
      <w:pPr>
        <w:pStyle w:val="NoIndentEIB"/>
        <w:numPr>
          <w:ilvl w:val="0"/>
          <w:numId w:val="36"/>
        </w:numPr>
        <w:rPr>
          <w:color w:val="auto"/>
          <w:lang w:val="hr-HR"/>
        </w:rPr>
      </w:pPr>
      <w:r w:rsidRPr="00653DCF">
        <w:rPr>
          <w:color w:val="auto"/>
          <w:lang w:val="hr-HR"/>
        </w:rPr>
        <w:t>d</w:t>
      </w:r>
      <w:r w:rsidR="008F0B16" w:rsidRPr="00653DCF">
        <w:rPr>
          <w:color w:val="auto"/>
          <w:lang w:val="hr-HR"/>
        </w:rPr>
        <w:t xml:space="preserve">a nikakva parnica, arbitraža, upravni postupci ili istraga nisu u tijeku niti, koliko nam je poznato, nisu najavljeni niti su ostali neriješeni pred bilo kojim sudom, arbitražnim tijelom ili agencijom, a koji su za posljedicu imali ili bi u slučaju donošenja nepovoljne odluke bilo razumno </w:t>
      </w:r>
      <w:r w:rsidRPr="00653DCF">
        <w:rPr>
          <w:color w:val="auto"/>
          <w:lang w:val="hr-HR"/>
        </w:rPr>
        <w:t>vjerovati</w:t>
      </w:r>
      <w:r w:rsidR="008F0B16" w:rsidRPr="00653DCF">
        <w:rPr>
          <w:color w:val="auto"/>
          <w:lang w:val="hr-HR"/>
        </w:rPr>
        <w:t xml:space="preserve"> da bi za posljedicu imali značajn</w:t>
      </w:r>
      <w:r w:rsidRPr="00653DCF">
        <w:rPr>
          <w:color w:val="auto"/>
          <w:lang w:val="hr-HR"/>
        </w:rPr>
        <w:t>u</w:t>
      </w:r>
      <w:r w:rsidR="008F0B16" w:rsidRPr="00653DCF">
        <w:rPr>
          <w:color w:val="auto"/>
          <w:lang w:val="hr-HR"/>
        </w:rPr>
        <w:t xml:space="preserve"> negativnu promjenu, te da ne postoji protiv nas ili bilo kojeg Projektnog društva bilo koja neizvršena presuda ili odluka suda</w:t>
      </w:r>
      <w:r w:rsidR="00E87B0B" w:rsidRPr="00653DCF">
        <w:rPr>
          <w:color w:val="auto"/>
          <w:lang w:val="hr-HR"/>
        </w:rPr>
        <w:t>;</w:t>
      </w:r>
    </w:p>
    <w:p w14:paraId="381A3F29" w14:textId="55E0FB75" w:rsidR="007A2A6F" w:rsidRPr="00653DCF" w:rsidRDefault="003C60F3">
      <w:pPr>
        <w:pStyle w:val="NoIndentEIB"/>
        <w:numPr>
          <w:ilvl w:val="0"/>
          <w:numId w:val="36"/>
        </w:numPr>
        <w:rPr>
          <w:color w:val="auto"/>
          <w:lang w:val="hr-HR"/>
        </w:rPr>
      </w:pPr>
      <w:r w:rsidRPr="00653DCF">
        <w:rPr>
          <w:color w:val="auto"/>
          <w:lang w:val="hr-HR"/>
        </w:rPr>
        <w:t xml:space="preserve">da su izjave i jamstva koja </w:t>
      </w:r>
      <w:r w:rsidR="008C3752" w:rsidRPr="00653DCF">
        <w:rPr>
          <w:color w:val="auto"/>
          <w:lang w:val="hr-HR"/>
        </w:rPr>
        <w:t xml:space="preserve">treba dati </w:t>
      </w:r>
      <w:r w:rsidRPr="00653DCF">
        <w:rPr>
          <w:color w:val="auto"/>
          <w:lang w:val="hr-HR"/>
        </w:rPr>
        <w:t xml:space="preserve">ili ponoviti u skladu s člankom </w:t>
      </w:r>
      <w:r w:rsidRPr="00653DCF">
        <w:rPr>
          <w:color w:val="auto"/>
          <w:lang w:val="hr-HR"/>
        </w:rPr>
        <w:fldChar w:fldCharType="begin"/>
      </w:r>
      <w:r w:rsidRPr="00653DCF">
        <w:rPr>
          <w:color w:val="auto"/>
          <w:lang w:val="hr-HR"/>
        </w:rPr>
        <w:instrText xml:space="preserve"> REF _Ref62665226 \r \h </w:instrText>
      </w:r>
      <w:r w:rsidR="00A641E1" w:rsidRPr="00653DCF">
        <w:rPr>
          <w:color w:val="auto"/>
          <w:lang w:val="hr-HR"/>
        </w:rPr>
        <w:instrText xml:space="preserve"> \* MERGEFORMAT </w:instrText>
      </w:r>
      <w:r w:rsidRPr="00653DCF">
        <w:rPr>
          <w:color w:val="auto"/>
          <w:lang w:val="hr-HR"/>
        </w:rPr>
      </w:r>
      <w:r w:rsidRPr="00653DCF">
        <w:rPr>
          <w:color w:val="auto"/>
          <w:lang w:val="hr-HR"/>
        </w:rPr>
        <w:fldChar w:fldCharType="separate"/>
      </w:r>
      <w:r w:rsidR="00E5391B">
        <w:rPr>
          <w:color w:val="auto"/>
          <w:lang w:val="hr-HR"/>
        </w:rPr>
        <w:t>6.10</w:t>
      </w:r>
      <w:r w:rsidRPr="00653DCF">
        <w:rPr>
          <w:color w:val="auto"/>
          <w:lang w:val="hr-HR"/>
        </w:rPr>
        <w:fldChar w:fldCharType="end"/>
      </w:r>
      <w:r w:rsidRPr="00653DCF">
        <w:rPr>
          <w:color w:val="auto"/>
          <w:lang w:val="hr-HR"/>
        </w:rPr>
        <w:t xml:space="preserve">. točna u svakom </w:t>
      </w:r>
      <w:r w:rsidR="008C3752" w:rsidRPr="00653DCF">
        <w:rPr>
          <w:color w:val="auto"/>
          <w:lang w:val="hr-HR"/>
        </w:rPr>
        <w:t>bitnom pogledu</w:t>
      </w:r>
      <w:r w:rsidR="00E87B0B" w:rsidRPr="00653DCF">
        <w:rPr>
          <w:color w:val="auto"/>
          <w:lang w:val="hr-HR"/>
        </w:rPr>
        <w:t xml:space="preserve">; </w:t>
      </w:r>
    </w:p>
    <w:p w14:paraId="481657B7" w14:textId="06E5AC19" w:rsidR="007A2A6F" w:rsidRPr="00653DCF" w:rsidRDefault="00CA2345">
      <w:pPr>
        <w:pStyle w:val="NoIndentEIB"/>
        <w:numPr>
          <w:ilvl w:val="0"/>
          <w:numId w:val="36"/>
        </w:numPr>
        <w:rPr>
          <w:color w:val="auto"/>
          <w:lang w:val="hr-HR"/>
        </w:rPr>
      </w:pPr>
      <w:r w:rsidRPr="00653DCF">
        <w:rPr>
          <w:color w:val="auto"/>
          <w:lang w:val="hr-HR"/>
        </w:rPr>
        <w:t>da se nije dogodila nikakva značajna negativna promjena, u usporedbi s našim stanjem na datum Ugovora o financiranju</w:t>
      </w:r>
      <w:r w:rsidR="00E87B0B" w:rsidRPr="00653DCF">
        <w:rPr>
          <w:color w:val="auto"/>
          <w:lang w:val="hr-HR"/>
        </w:rPr>
        <w:t xml:space="preserve">; </w:t>
      </w:r>
    </w:p>
    <w:p w14:paraId="4E9D7041" w14:textId="4DC762E4" w:rsidR="007A2A6F" w:rsidRPr="00653DCF" w:rsidRDefault="00CA2345">
      <w:pPr>
        <w:widowControl w:val="0"/>
        <w:numPr>
          <w:ilvl w:val="0"/>
          <w:numId w:val="36"/>
        </w:numPr>
        <w:rPr>
          <w:color w:val="auto"/>
          <w:lang w:val="hr-HR"/>
        </w:rPr>
      </w:pPr>
      <w:r w:rsidRPr="00653DCF">
        <w:rPr>
          <w:color w:val="auto"/>
          <w:lang w:val="hr-HR"/>
        </w:rPr>
        <w:t xml:space="preserve">da je najnoviji </w:t>
      </w:r>
      <w:r w:rsidR="00E87B0B" w:rsidRPr="00653DCF">
        <w:rPr>
          <w:color w:val="auto"/>
          <w:lang w:val="hr-HR"/>
        </w:rPr>
        <w:t xml:space="preserve">popis ovlaštenih potpisnika i računa koje je Zajmoprimac dostavio Banci ažuriran i </w:t>
      </w:r>
      <w:r w:rsidRPr="00653DCF">
        <w:rPr>
          <w:color w:val="auto"/>
          <w:lang w:val="hr-HR"/>
        </w:rPr>
        <w:t xml:space="preserve">da se </w:t>
      </w:r>
      <w:r w:rsidR="00E87B0B" w:rsidRPr="00653DCF">
        <w:rPr>
          <w:color w:val="auto"/>
          <w:lang w:val="hr-HR"/>
        </w:rPr>
        <w:t xml:space="preserve">Banka se može osloniti </w:t>
      </w:r>
      <w:r w:rsidR="008C3752" w:rsidRPr="00653DCF">
        <w:rPr>
          <w:color w:val="auto"/>
          <w:lang w:val="hr-HR"/>
        </w:rPr>
        <w:t>na informacije koje su u njemu navedene</w:t>
      </w:r>
      <w:r w:rsidR="00E87B0B" w:rsidRPr="00653DCF">
        <w:rPr>
          <w:color w:val="auto"/>
          <w:lang w:val="hr-HR"/>
        </w:rPr>
        <w:t>.</w:t>
      </w:r>
    </w:p>
    <w:p w14:paraId="31859399" w14:textId="482BE437" w:rsidR="007A2A6F" w:rsidRPr="00653DCF" w:rsidRDefault="00E87B0B">
      <w:pPr>
        <w:widowControl w:val="0"/>
        <w:rPr>
          <w:color w:val="auto"/>
          <w:lang w:val="hr-HR"/>
        </w:rPr>
      </w:pPr>
      <w:r w:rsidRPr="00653DCF">
        <w:rPr>
          <w:color w:val="auto"/>
          <w:lang w:val="hr-HR"/>
        </w:rPr>
        <w:t xml:space="preserve">Obvezujemo se da ćemo odmah obavijestiti Banku ako bilo što od </w:t>
      </w:r>
      <w:r w:rsidR="00382565" w:rsidRPr="00653DCF">
        <w:rPr>
          <w:color w:val="auto"/>
          <w:lang w:val="hr-HR"/>
        </w:rPr>
        <w:t xml:space="preserve">gore navedenog </w:t>
      </w:r>
      <w:r w:rsidR="008C3752" w:rsidRPr="00653DCF">
        <w:rPr>
          <w:color w:val="auto"/>
          <w:lang w:val="hr-HR"/>
        </w:rPr>
        <w:t xml:space="preserve">postane neistinito ili neispravno </w:t>
      </w:r>
      <w:r w:rsidR="00382565" w:rsidRPr="00653DCF">
        <w:rPr>
          <w:color w:val="auto"/>
          <w:lang w:val="hr-HR"/>
        </w:rPr>
        <w:t xml:space="preserve">na datum </w:t>
      </w:r>
      <w:r w:rsidRPr="00653DCF">
        <w:rPr>
          <w:color w:val="auto"/>
          <w:lang w:val="hr-HR"/>
        </w:rPr>
        <w:t>isplate predložene tranše.</w:t>
      </w:r>
    </w:p>
    <w:p w14:paraId="72475FD4" w14:textId="4DB756B2" w:rsidR="007A2A6F" w:rsidRPr="00653DCF" w:rsidRDefault="00382565">
      <w:pPr>
        <w:rPr>
          <w:color w:val="auto"/>
          <w:lang w:val="hr-HR"/>
        </w:rPr>
      </w:pPr>
      <w:r w:rsidRPr="00653DCF">
        <w:rPr>
          <w:color w:val="auto"/>
          <w:lang w:val="hr-HR"/>
        </w:rPr>
        <w:t>S poštovanjem</w:t>
      </w:r>
      <w:r w:rsidR="00E87B0B" w:rsidRPr="00653DCF">
        <w:rPr>
          <w:color w:val="auto"/>
          <w:lang w:val="hr-HR"/>
        </w:rPr>
        <w:t>,</w:t>
      </w:r>
    </w:p>
    <w:p w14:paraId="3EB487CE" w14:textId="7809D33D" w:rsidR="00FB011A" w:rsidRPr="00653DCF" w:rsidRDefault="00FB011A">
      <w:pPr>
        <w:rPr>
          <w:color w:val="auto"/>
          <w:lang w:val="hr-HR"/>
        </w:rPr>
      </w:pPr>
      <w:r w:rsidRPr="00653DCF">
        <w:rPr>
          <w:color w:val="auto"/>
          <w:lang w:val="hr-HR"/>
        </w:rPr>
        <w:t>Za i u ime Republike Hrvatske</w:t>
      </w:r>
    </w:p>
    <w:p w14:paraId="3734314A" w14:textId="03E4C298" w:rsidR="007A2A6F" w:rsidRPr="00653DCF" w:rsidRDefault="007A2A6F">
      <w:pPr>
        <w:rPr>
          <w:color w:val="auto"/>
          <w:lang w:val="hr-HR"/>
        </w:rPr>
      </w:pPr>
    </w:p>
    <w:p w14:paraId="70D2E62B" w14:textId="77777777" w:rsidR="007A2A6F" w:rsidRPr="00653DCF" w:rsidRDefault="00E87B0B">
      <w:pPr>
        <w:pStyle w:val="P68B1DB1-Normal32"/>
        <w:rPr>
          <w:color w:val="auto"/>
        </w:rPr>
      </w:pPr>
      <w:bookmarkStart w:id="907" w:name="_Ref426693084"/>
      <w:r w:rsidRPr="00653DCF">
        <w:rPr>
          <w:color w:val="auto"/>
        </w:rPr>
        <w:br w:type="page"/>
      </w:r>
    </w:p>
    <w:p w14:paraId="51DF888A" w14:textId="596AADC3" w:rsidR="00471AC1" w:rsidRPr="00653DCF" w:rsidRDefault="00471AC1" w:rsidP="00471AC1">
      <w:pPr>
        <w:pStyle w:val="Annex"/>
        <w:numPr>
          <w:ilvl w:val="0"/>
          <w:numId w:val="0"/>
        </w:numPr>
        <w:ind w:left="720"/>
        <w:outlineLvl w:val="0"/>
        <w:rPr>
          <w:color w:val="auto"/>
        </w:rPr>
      </w:pPr>
      <w:r w:rsidRPr="00653DCF">
        <w:rPr>
          <w:color w:val="auto"/>
        </w:rPr>
        <w:t>Dodatak I.</w:t>
      </w:r>
    </w:p>
    <w:p w14:paraId="5195743D" w14:textId="52BEA56C" w:rsidR="0053660F" w:rsidRPr="00653DCF" w:rsidRDefault="00F93E69" w:rsidP="00317250">
      <w:pPr>
        <w:pStyle w:val="SubSchedule1EIB"/>
        <w:numPr>
          <w:ilvl w:val="1"/>
          <w:numId w:val="94"/>
        </w:numPr>
        <w:rPr>
          <w:color w:val="auto"/>
        </w:rPr>
      </w:pPr>
      <w:bookmarkStart w:id="908" w:name="_Toc150257497"/>
      <w:r w:rsidRPr="00653DCF">
        <w:rPr>
          <w:color w:val="auto"/>
        </w:rPr>
        <w:t>Obrazac pravnog mišljenja ministra pravosuđa</w:t>
      </w:r>
      <w:bookmarkEnd w:id="908"/>
    </w:p>
    <w:p w14:paraId="17953CBF" w14:textId="1A71944F" w:rsidR="007A2A6F" w:rsidRPr="00653DCF" w:rsidRDefault="007A2A6F" w:rsidP="00471AC1">
      <w:pPr>
        <w:pStyle w:val="Annex"/>
        <w:numPr>
          <w:ilvl w:val="0"/>
          <w:numId w:val="0"/>
        </w:numPr>
        <w:ind w:left="720"/>
        <w:outlineLvl w:val="0"/>
        <w:rPr>
          <w:color w:val="auto"/>
          <w:lang w:val="hr-HR"/>
        </w:rPr>
      </w:pPr>
      <w:bookmarkStart w:id="909" w:name="_Ref496712830"/>
      <w:bookmarkStart w:id="910" w:name="_Ref496712834"/>
      <w:bookmarkStart w:id="911" w:name="_Ref498017983"/>
      <w:bookmarkStart w:id="912" w:name="_Toc498018720"/>
      <w:bookmarkStart w:id="913" w:name="_Toc508120588"/>
      <w:bookmarkEnd w:id="907"/>
    </w:p>
    <w:tbl>
      <w:tblPr>
        <w:tblStyle w:val="TableEIB"/>
        <w:tblW w:w="0" w:type="auto"/>
        <w:tblLook w:val="04A0" w:firstRow="1" w:lastRow="0" w:firstColumn="1" w:lastColumn="0" w:noHBand="0" w:noVBand="1"/>
      </w:tblPr>
      <w:tblGrid>
        <w:gridCol w:w="1028"/>
        <w:gridCol w:w="7188"/>
      </w:tblGrid>
      <w:tr w:rsidR="007A2A6F" w:rsidRPr="00653DCF" w14:paraId="717D338D" w14:textId="77777777">
        <w:tc>
          <w:tcPr>
            <w:tcW w:w="953" w:type="dxa"/>
          </w:tcPr>
          <w:p w14:paraId="503526B4" w14:textId="77777777" w:rsidR="007A2A6F" w:rsidRPr="00653DCF" w:rsidRDefault="00E87B0B">
            <w:pPr>
              <w:tabs>
                <w:tab w:val="left" w:pos="1701"/>
              </w:tabs>
              <w:ind w:left="0"/>
              <w:rPr>
                <w:color w:val="auto"/>
                <w:lang w:val="hr-HR"/>
              </w:rPr>
            </w:pPr>
            <w:r w:rsidRPr="00653DCF">
              <w:rPr>
                <w:color w:val="auto"/>
                <w:lang w:val="hr-HR"/>
              </w:rPr>
              <w:t>Za:</w:t>
            </w:r>
          </w:p>
        </w:tc>
        <w:tc>
          <w:tcPr>
            <w:tcW w:w="7479" w:type="dxa"/>
          </w:tcPr>
          <w:p w14:paraId="6D51E951" w14:textId="77777777" w:rsidR="007A2A6F" w:rsidRPr="00653DCF" w:rsidRDefault="00E87B0B">
            <w:pPr>
              <w:tabs>
                <w:tab w:val="left" w:pos="1701"/>
              </w:tabs>
              <w:ind w:left="0"/>
              <w:rPr>
                <w:color w:val="auto"/>
                <w:lang w:val="hr-HR"/>
              </w:rPr>
            </w:pPr>
            <w:r w:rsidRPr="00653DCF">
              <w:rPr>
                <w:color w:val="auto"/>
                <w:lang w:val="hr-HR"/>
              </w:rPr>
              <w:t>Europska investicijska banka</w:t>
            </w:r>
          </w:p>
          <w:p w14:paraId="411A35F7" w14:textId="77777777" w:rsidR="007A2A6F" w:rsidRPr="00653DCF" w:rsidRDefault="00E87B0B">
            <w:pPr>
              <w:pStyle w:val="NoIndentEIB"/>
              <w:rPr>
                <w:color w:val="auto"/>
                <w:lang w:val="hr-HR"/>
              </w:rPr>
            </w:pPr>
            <w:r w:rsidRPr="00653DCF">
              <w:rPr>
                <w:color w:val="auto"/>
                <w:lang w:val="hr-HR"/>
              </w:rPr>
              <w:t>100, Boulevard Konrad Adenauer</w:t>
            </w:r>
          </w:p>
          <w:p w14:paraId="25952C5C" w14:textId="1A160877" w:rsidR="007A2A6F" w:rsidRPr="00653DCF" w:rsidRDefault="00E87B0B">
            <w:pPr>
              <w:pStyle w:val="NoIndentEIB"/>
              <w:rPr>
                <w:color w:val="auto"/>
                <w:lang w:val="hr-HR"/>
              </w:rPr>
            </w:pPr>
            <w:r w:rsidRPr="00653DCF">
              <w:rPr>
                <w:color w:val="auto"/>
                <w:lang w:val="hr-HR"/>
              </w:rPr>
              <w:t xml:space="preserve">L-2950 </w:t>
            </w:r>
            <w:r w:rsidR="002C2D67" w:rsidRPr="00653DCF">
              <w:rPr>
                <w:color w:val="auto"/>
                <w:lang w:val="hr-HR"/>
              </w:rPr>
              <w:t>Luksemburg</w:t>
            </w:r>
          </w:p>
          <w:p w14:paraId="66D380EA" w14:textId="5DA1C4DC" w:rsidR="007A2A6F" w:rsidRPr="00653DCF" w:rsidRDefault="00E87B0B">
            <w:pPr>
              <w:pStyle w:val="NoIndentEIB"/>
              <w:rPr>
                <w:color w:val="auto"/>
                <w:lang w:val="hr-HR"/>
              </w:rPr>
            </w:pPr>
            <w:r w:rsidRPr="00653DCF">
              <w:rPr>
                <w:color w:val="auto"/>
                <w:lang w:val="hr-HR"/>
              </w:rPr>
              <w:t xml:space="preserve">Veliko Vojvodstvo Luksemburg </w:t>
            </w:r>
          </w:p>
          <w:p w14:paraId="221A9970" w14:textId="3FD1FA13" w:rsidR="007A2A6F" w:rsidRPr="00653DCF" w:rsidRDefault="00D22272">
            <w:pPr>
              <w:pStyle w:val="NoIndentEIB"/>
              <w:rPr>
                <w:color w:val="auto"/>
                <w:lang w:val="hr-HR"/>
              </w:rPr>
            </w:pPr>
            <w:r w:rsidRPr="00653DCF">
              <w:rPr>
                <w:color w:val="auto"/>
                <w:lang w:val="hr-HR"/>
              </w:rPr>
              <w:t>Na pažnju</w:t>
            </w:r>
            <w:r w:rsidR="00E87B0B" w:rsidRPr="00653DCF">
              <w:rPr>
                <w:color w:val="auto"/>
                <w:lang w:val="hr-HR"/>
              </w:rPr>
              <w:t xml:space="preserve">: </w:t>
            </w:r>
            <w:r w:rsidR="00BA2D16" w:rsidRPr="00653DCF">
              <w:rPr>
                <w:color w:val="auto"/>
                <w:lang w:val="hr-HR"/>
              </w:rPr>
              <w:t xml:space="preserve">Legal Department </w:t>
            </w:r>
            <w:r w:rsidR="006B00F1" w:rsidRPr="00653DCF">
              <w:rPr>
                <w:color w:val="auto"/>
                <w:lang w:val="hr-HR"/>
              </w:rPr>
              <w:t>-</w:t>
            </w:r>
            <w:r w:rsidR="00E87B0B" w:rsidRPr="00653DCF">
              <w:rPr>
                <w:color w:val="auto"/>
                <w:lang w:val="hr-HR"/>
              </w:rPr>
              <w:t xml:space="preserve"> </w:t>
            </w:r>
            <w:r w:rsidR="00BA2D16" w:rsidRPr="00653DCF">
              <w:rPr>
                <w:color w:val="auto"/>
                <w:lang w:val="hr-HR"/>
              </w:rPr>
              <w:t>Operations</w:t>
            </w:r>
          </w:p>
        </w:tc>
      </w:tr>
      <w:tr w:rsidR="007A2A6F" w:rsidRPr="00653DCF" w14:paraId="4A7C0E6F" w14:textId="77777777">
        <w:tc>
          <w:tcPr>
            <w:tcW w:w="953" w:type="dxa"/>
          </w:tcPr>
          <w:p w14:paraId="6B2FAE91" w14:textId="77777777" w:rsidR="007A2A6F" w:rsidRPr="00653DCF" w:rsidRDefault="00E87B0B">
            <w:pPr>
              <w:tabs>
                <w:tab w:val="left" w:pos="1701"/>
              </w:tabs>
              <w:ind w:left="0"/>
              <w:rPr>
                <w:color w:val="auto"/>
                <w:lang w:val="hr-HR"/>
              </w:rPr>
            </w:pPr>
            <w:r w:rsidRPr="00653DCF">
              <w:rPr>
                <w:color w:val="auto"/>
                <w:lang w:val="hr-HR"/>
              </w:rPr>
              <w:t>Od:</w:t>
            </w:r>
          </w:p>
        </w:tc>
        <w:tc>
          <w:tcPr>
            <w:tcW w:w="7479" w:type="dxa"/>
          </w:tcPr>
          <w:p w14:paraId="1F48E4BE" w14:textId="2B884E14" w:rsidR="007A2A6F" w:rsidRPr="00653DCF" w:rsidRDefault="00E87B0B">
            <w:pPr>
              <w:tabs>
                <w:tab w:val="left" w:pos="1701"/>
              </w:tabs>
              <w:ind w:left="0"/>
              <w:rPr>
                <w:color w:val="auto"/>
                <w:lang w:val="hr-HR"/>
              </w:rPr>
            </w:pPr>
            <w:r w:rsidRPr="00653DCF">
              <w:rPr>
                <w:color w:val="auto"/>
                <w:lang w:val="hr-HR"/>
              </w:rPr>
              <w:t>Ministar pravosuđa Republike Hrvatske</w:t>
            </w:r>
          </w:p>
        </w:tc>
      </w:tr>
      <w:tr w:rsidR="007A2A6F" w:rsidRPr="00653DCF" w14:paraId="79EF83D0" w14:textId="77777777">
        <w:tc>
          <w:tcPr>
            <w:tcW w:w="953" w:type="dxa"/>
          </w:tcPr>
          <w:p w14:paraId="1442A81F" w14:textId="77777777" w:rsidR="007A2A6F" w:rsidRPr="00653DCF" w:rsidRDefault="00E87B0B">
            <w:pPr>
              <w:tabs>
                <w:tab w:val="left" w:pos="1701"/>
              </w:tabs>
              <w:ind w:left="0"/>
              <w:rPr>
                <w:color w:val="auto"/>
                <w:lang w:val="hr-HR"/>
              </w:rPr>
            </w:pPr>
            <w:r w:rsidRPr="00653DCF">
              <w:rPr>
                <w:color w:val="auto"/>
                <w:lang w:val="hr-HR"/>
              </w:rPr>
              <w:t>Datum:</w:t>
            </w:r>
          </w:p>
        </w:tc>
        <w:tc>
          <w:tcPr>
            <w:tcW w:w="7479" w:type="dxa"/>
          </w:tcPr>
          <w:p w14:paraId="5C386109" w14:textId="77777777" w:rsidR="007A2A6F" w:rsidRPr="00653DCF" w:rsidRDefault="007A2A6F">
            <w:pPr>
              <w:tabs>
                <w:tab w:val="left" w:pos="1701"/>
              </w:tabs>
              <w:ind w:left="0"/>
              <w:rPr>
                <w:color w:val="auto"/>
                <w:lang w:val="hr-HR"/>
              </w:rPr>
            </w:pPr>
          </w:p>
        </w:tc>
      </w:tr>
      <w:tr w:rsidR="007A2A6F" w:rsidRPr="00653DCF" w14:paraId="61ED916B" w14:textId="77777777">
        <w:tc>
          <w:tcPr>
            <w:tcW w:w="953" w:type="dxa"/>
          </w:tcPr>
          <w:p w14:paraId="74A0B1D4" w14:textId="77777777" w:rsidR="007A2A6F" w:rsidRPr="00653DCF" w:rsidRDefault="00E87B0B">
            <w:pPr>
              <w:tabs>
                <w:tab w:val="left" w:pos="1701"/>
              </w:tabs>
              <w:ind w:left="0"/>
              <w:rPr>
                <w:color w:val="auto"/>
                <w:lang w:val="hr-HR"/>
              </w:rPr>
            </w:pPr>
            <w:r w:rsidRPr="00653DCF">
              <w:rPr>
                <w:color w:val="auto"/>
                <w:lang w:val="hr-HR"/>
              </w:rPr>
              <w:t>Predmet:</w:t>
            </w:r>
          </w:p>
        </w:tc>
        <w:tc>
          <w:tcPr>
            <w:tcW w:w="7479" w:type="dxa"/>
          </w:tcPr>
          <w:p w14:paraId="53D3082D" w14:textId="44FDDB7E" w:rsidR="007A2A6F" w:rsidRPr="00653DCF" w:rsidRDefault="007618C8">
            <w:pPr>
              <w:tabs>
                <w:tab w:val="left" w:pos="1701"/>
              </w:tabs>
              <w:ind w:left="0"/>
              <w:rPr>
                <w:color w:val="auto"/>
                <w:lang w:val="hr-HR"/>
              </w:rPr>
            </w:pPr>
            <w:r w:rsidRPr="00653DCF">
              <w:rPr>
                <w:color w:val="auto"/>
                <w:lang w:val="hr-HR"/>
              </w:rPr>
              <w:t>U</w:t>
            </w:r>
            <w:r w:rsidR="00E87B0B" w:rsidRPr="00653DCF">
              <w:rPr>
                <w:color w:val="auto"/>
                <w:lang w:val="hr-HR"/>
              </w:rPr>
              <w:t>govor o financiranju između Europske investicijske banke i Republike Hrvatske od [/] („</w:t>
            </w:r>
            <w:r w:rsidR="00652BB1" w:rsidRPr="00653DCF">
              <w:rPr>
                <w:rStyle w:val="BoldEIB"/>
                <w:color w:val="auto"/>
                <w:lang w:val="hr-HR"/>
              </w:rPr>
              <w:t>U</w:t>
            </w:r>
            <w:r w:rsidR="00E87B0B" w:rsidRPr="00653DCF">
              <w:rPr>
                <w:rStyle w:val="BoldEIB"/>
                <w:color w:val="auto"/>
                <w:lang w:val="hr-HR"/>
              </w:rPr>
              <w:t>govor o financiranju</w:t>
            </w:r>
            <w:r w:rsidR="00E87B0B" w:rsidRPr="00653DCF">
              <w:rPr>
                <w:color w:val="auto"/>
                <w:lang w:val="hr-HR"/>
              </w:rPr>
              <w:t>”)</w:t>
            </w:r>
          </w:p>
        </w:tc>
      </w:tr>
      <w:tr w:rsidR="007A2A6F" w:rsidRPr="00653DCF" w14:paraId="2A164B40" w14:textId="77777777">
        <w:tc>
          <w:tcPr>
            <w:tcW w:w="953" w:type="dxa"/>
            <w:tcBorders>
              <w:bottom w:val="single" w:sz="4" w:space="0" w:color="auto"/>
            </w:tcBorders>
          </w:tcPr>
          <w:p w14:paraId="71F0A55D" w14:textId="77777777" w:rsidR="007A2A6F" w:rsidRPr="00653DCF" w:rsidRDefault="007A2A6F">
            <w:pPr>
              <w:tabs>
                <w:tab w:val="left" w:pos="1701"/>
              </w:tabs>
              <w:ind w:left="0"/>
              <w:rPr>
                <w:color w:val="auto"/>
                <w:lang w:val="hr-HR"/>
              </w:rPr>
            </w:pPr>
          </w:p>
        </w:tc>
        <w:tc>
          <w:tcPr>
            <w:tcW w:w="7479" w:type="dxa"/>
            <w:tcBorders>
              <w:bottom w:val="single" w:sz="4" w:space="0" w:color="auto"/>
            </w:tcBorders>
          </w:tcPr>
          <w:p w14:paraId="3804C56A" w14:textId="2272C149" w:rsidR="007A2A6F" w:rsidRPr="00653DCF" w:rsidRDefault="00E87B0B">
            <w:pPr>
              <w:tabs>
                <w:tab w:val="left" w:pos="1701"/>
              </w:tabs>
              <w:ind w:left="0"/>
              <w:rPr>
                <w:color w:val="auto"/>
                <w:lang w:val="hr-HR"/>
              </w:rPr>
            </w:pPr>
            <w:r w:rsidRPr="00653DCF">
              <w:rPr>
                <w:color w:val="auto"/>
                <w:lang w:val="hr-HR"/>
              </w:rPr>
              <w:t xml:space="preserve">Broj </w:t>
            </w:r>
            <w:r w:rsidR="00F50E89" w:rsidRPr="00653DCF">
              <w:rPr>
                <w:color w:val="auto"/>
                <w:lang w:val="hr-HR"/>
              </w:rPr>
              <w:t>U</w:t>
            </w:r>
            <w:r w:rsidRPr="00653DCF">
              <w:rPr>
                <w:color w:val="auto"/>
                <w:lang w:val="hr-HR"/>
              </w:rPr>
              <w:t xml:space="preserve">govora </w:t>
            </w:r>
            <w:r w:rsidRPr="00653DCF">
              <w:rPr>
                <w:color w:val="auto"/>
                <w:lang w:val="hr-HR"/>
              </w:rPr>
              <w:fldChar w:fldCharType="begin">
                <w:ffData>
                  <w:name w:val=""/>
                  <w:enabled/>
                  <w:calcOnExit w:val="0"/>
                  <w:textInput>
                    <w:default w:val="95.797"/>
                  </w:textInput>
                </w:ffData>
              </w:fldChar>
            </w:r>
            <w:r w:rsidRPr="00653DCF">
              <w:rPr>
                <w:color w:val="auto"/>
                <w:lang w:val="hr-HR"/>
              </w:rPr>
              <w:instrText xml:space="preserve"> FORMTEXT </w:instrText>
            </w:r>
            <w:r w:rsidRPr="00653DCF">
              <w:rPr>
                <w:color w:val="auto"/>
                <w:lang w:val="hr-HR"/>
              </w:rPr>
            </w:r>
            <w:r w:rsidRPr="00653DCF">
              <w:rPr>
                <w:color w:val="auto"/>
                <w:lang w:val="hr-HR"/>
              </w:rPr>
              <w:fldChar w:fldCharType="separate"/>
            </w:r>
            <w:r w:rsidR="00B3344C" w:rsidRPr="00653DCF">
              <w:rPr>
                <w:noProof/>
                <w:color w:val="auto"/>
                <w:lang w:val="hr-HR"/>
              </w:rPr>
              <w:t>95.797</w:t>
            </w:r>
            <w:r w:rsidRPr="00653DCF">
              <w:rPr>
                <w:color w:val="auto"/>
                <w:lang w:val="hr-HR"/>
              </w:rPr>
              <w:fldChar w:fldCharType="end"/>
            </w:r>
            <w:r w:rsidRPr="00653DCF">
              <w:rPr>
                <w:color w:val="auto"/>
                <w:lang w:val="hr-HR"/>
              </w:rPr>
              <w:tab/>
            </w:r>
            <w:r w:rsidR="00652BB1" w:rsidRPr="00653DCF">
              <w:rPr>
                <w:color w:val="auto"/>
                <w:lang w:val="hr-HR"/>
              </w:rPr>
              <w:t xml:space="preserve">Operativni broj </w:t>
            </w:r>
            <w:r w:rsidRPr="00653DCF">
              <w:rPr>
                <w:color w:val="auto"/>
                <w:lang w:val="hr-HR"/>
              </w:rPr>
              <w:fldChar w:fldCharType="begin">
                <w:ffData>
                  <w:name w:val=""/>
                  <w:enabled/>
                  <w:calcOnExit w:val="0"/>
                  <w:textInput>
                    <w:default w:val="2022-0660"/>
                  </w:textInput>
                </w:ffData>
              </w:fldChar>
            </w:r>
            <w:r w:rsidRPr="00653DCF">
              <w:rPr>
                <w:color w:val="auto"/>
                <w:lang w:val="hr-HR"/>
              </w:rPr>
              <w:instrText xml:space="preserve"> FORMTEXT </w:instrText>
            </w:r>
            <w:r w:rsidRPr="00653DCF">
              <w:rPr>
                <w:color w:val="auto"/>
                <w:lang w:val="hr-HR"/>
              </w:rPr>
            </w:r>
            <w:r w:rsidRPr="00653DCF">
              <w:rPr>
                <w:color w:val="auto"/>
                <w:lang w:val="hr-HR"/>
              </w:rPr>
              <w:fldChar w:fldCharType="separate"/>
            </w:r>
            <w:r w:rsidR="00B3344C" w:rsidRPr="00653DCF">
              <w:rPr>
                <w:noProof/>
                <w:color w:val="auto"/>
                <w:lang w:val="hr-HR"/>
              </w:rPr>
              <w:t>2022-0660</w:t>
            </w:r>
            <w:r w:rsidRPr="00653DCF">
              <w:rPr>
                <w:color w:val="auto"/>
                <w:lang w:val="hr-HR"/>
              </w:rPr>
              <w:fldChar w:fldCharType="end"/>
            </w:r>
          </w:p>
        </w:tc>
      </w:tr>
    </w:tbl>
    <w:p w14:paraId="183CE8F5" w14:textId="77777777" w:rsidR="007A2A6F" w:rsidRPr="00653DCF" w:rsidRDefault="007A2A6F">
      <w:pPr>
        <w:rPr>
          <w:color w:val="auto"/>
          <w:lang w:val="hr-HR"/>
        </w:rPr>
      </w:pPr>
    </w:p>
    <w:p w14:paraId="03364C55" w14:textId="5749B70F" w:rsidR="007A2A6F" w:rsidRPr="00653DCF" w:rsidRDefault="00652BB1">
      <w:pPr>
        <w:rPr>
          <w:color w:val="auto"/>
          <w:lang w:val="hr-HR"/>
        </w:rPr>
      </w:pPr>
      <w:r w:rsidRPr="00653DCF">
        <w:rPr>
          <w:color w:val="auto"/>
          <w:lang w:val="hr-HR"/>
        </w:rPr>
        <w:t>Poštovani</w:t>
      </w:r>
      <w:r w:rsidR="00E87B0B" w:rsidRPr="00653DCF">
        <w:rPr>
          <w:color w:val="auto"/>
          <w:lang w:val="hr-HR"/>
        </w:rPr>
        <w:t>,</w:t>
      </w:r>
    </w:p>
    <w:p w14:paraId="25FE61EC" w14:textId="2AFF4F90" w:rsidR="007A2A6F" w:rsidRPr="00653DCF" w:rsidRDefault="007A2A6F">
      <w:pPr>
        <w:rPr>
          <w:color w:val="auto"/>
          <w:lang w:val="hr-HR"/>
        </w:rPr>
      </w:pPr>
    </w:p>
    <w:p w14:paraId="1D06B090" w14:textId="69877583" w:rsidR="007A2A6F" w:rsidRPr="00653DCF" w:rsidRDefault="00352BF8" w:rsidP="007A3FEC">
      <w:pPr>
        <w:rPr>
          <w:color w:val="auto"/>
          <w:lang w:val="hr-HR"/>
        </w:rPr>
      </w:pPr>
      <w:r w:rsidRPr="00653DCF">
        <w:rPr>
          <w:color w:val="auto"/>
          <w:lang w:val="hr-HR"/>
        </w:rPr>
        <w:t xml:space="preserve">dajem </w:t>
      </w:r>
      <w:r w:rsidR="00E87B0B" w:rsidRPr="00653DCF">
        <w:rPr>
          <w:color w:val="auto"/>
          <w:lang w:val="hr-HR"/>
        </w:rPr>
        <w:t xml:space="preserve">ovo mišljenje u skladu s člankom 1.4.B(b) </w:t>
      </w:r>
      <w:r w:rsidR="00652BB1" w:rsidRPr="00653DCF">
        <w:rPr>
          <w:color w:val="auto"/>
          <w:lang w:val="hr-HR"/>
        </w:rPr>
        <w:t>U</w:t>
      </w:r>
      <w:r w:rsidR="00E87B0B" w:rsidRPr="00653DCF">
        <w:rPr>
          <w:color w:val="auto"/>
          <w:lang w:val="hr-HR"/>
        </w:rPr>
        <w:t>govora o financiranju („</w:t>
      </w:r>
      <w:r w:rsidR="002C79AA" w:rsidRPr="00653DCF">
        <w:rPr>
          <w:b/>
          <w:color w:val="auto"/>
          <w:lang w:val="hr-HR"/>
        </w:rPr>
        <w:t>U</w:t>
      </w:r>
      <w:r w:rsidR="00E87B0B" w:rsidRPr="00653DCF">
        <w:rPr>
          <w:b/>
          <w:color w:val="auto"/>
          <w:lang w:val="hr-HR"/>
        </w:rPr>
        <w:t>govor o financiranju</w:t>
      </w:r>
      <w:r w:rsidR="00E87B0B" w:rsidRPr="00653DCF">
        <w:rPr>
          <w:color w:val="auto"/>
          <w:lang w:val="hr-HR"/>
        </w:rPr>
        <w:t xml:space="preserve">”) za </w:t>
      </w:r>
      <w:r w:rsidR="00652BB1" w:rsidRPr="00653DCF">
        <w:rPr>
          <w:color w:val="auto"/>
          <w:lang w:val="hr-HR"/>
        </w:rPr>
        <w:t>OKVIRNI ZAJAM ZA PROJEKT „REVITALIZACIJA ŽELJEZNIČKOG SUSTAVA REPUBLIKE HRVATSKE“</w:t>
      </w:r>
      <w:r w:rsidR="007A3FEC" w:rsidRPr="00653DCF">
        <w:rPr>
          <w:rStyle w:val="FootnoteReference"/>
          <w:color w:val="auto"/>
          <w:lang w:val="hr-HR"/>
        </w:rPr>
        <w:footnoteReference w:id="5"/>
      </w:r>
      <w:r w:rsidR="007A3FEC" w:rsidRPr="00653DCF">
        <w:rPr>
          <w:color w:val="auto"/>
          <w:lang w:val="hr-HR"/>
        </w:rPr>
        <w:t xml:space="preserve"> </w:t>
      </w:r>
      <w:r w:rsidR="00E87B0B" w:rsidRPr="00653DCF">
        <w:rPr>
          <w:color w:val="auto"/>
          <w:lang w:val="hr-HR"/>
        </w:rPr>
        <w:t>u iznosu od 400</w:t>
      </w:r>
      <w:r w:rsidR="004302E1" w:rsidRPr="00653DCF">
        <w:rPr>
          <w:color w:val="auto"/>
          <w:lang w:val="hr-HR"/>
        </w:rPr>
        <w:t>.</w:t>
      </w:r>
      <w:r w:rsidR="00E87B0B" w:rsidRPr="00653DCF">
        <w:rPr>
          <w:color w:val="auto"/>
          <w:lang w:val="hr-HR"/>
        </w:rPr>
        <w:t>000</w:t>
      </w:r>
      <w:r w:rsidR="004302E1" w:rsidRPr="00653DCF">
        <w:rPr>
          <w:color w:val="auto"/>
          <w:lang w:val="hr-HR"/>
        </w:rPr>
        <w:t>.</w:t>
      </w:r>
      <w:r w:rsidR="00E87B0B" w:rsidRPr="00653DCF">
        <w:rPr>
          <w:color w:val="auto"/>
          <w:lang w:val="hr-HR"/>
        </w:rPr>
        <w:t xml:space="preserve">000 EUR (četiristo milijuna eura) </w:t>
      </w:r>
      <w:r w:rsidR="00F11A2C" w:rsidRPr="00653DCF">
        <w:rPr>
          <w:color w:val="auto"/>
          <w:lang w:val="hr-HR"/>
        </w:rPr>
        <w:t xml:space="preserve">sklopljenog </w:t>
      </w:r>
      <w:r w:rsidR="00E87B0B" w:rsidRPr="00653DCF">
        <w:rPr>
          <w:color w:val="auto"/>
          <w:lang w:val="hr-HR"/>
        </w:rPr>
        <w:t>dana [/] 202</w:t>
      </w:r>
      <w:r w:rsidR="004302E1" w:rsidRPr="00653DCF">
        <w:rPr>
          <w:color w:val="auto"/>
          <w:lang w:val="hr-HR"/>
        </w:rPr>
        <w:t>4</w:t>
      </w:r>
      <w:r w:rsidR="00E87B0B" w:rsidRPr="00653DCF">
        <w:rPr>
          <w:color w:val="auto"/>
          <w:lang w:val="hr-HR"/>
        </w:rPr>
        <w:t>. između Republike Hrvatske, koju zastupa ministar financija („</w:t>
      </w:r>
      <w:r w:rsidR="00F11A2C" w:rsidRPr="00653DCF">
        <w:rPr>
          <w:b/>
          <w:color w:val="auto"/>
          <w:lang w:val="hr-HR"/>
        </w:rPr>
        <w:t>Z</w:t>
      </w:r>
      <w:r w:rsidR="00E87B0B" w:rsidRPr="00653DCF">
        <w:rPr>
          <w:b/>
          <w:color w:val="auto"/>
          <w:lang w:val="hr-HR"/>
        </w:rPr>
        <w:t>ajmoprimac</w:t>
      </w:r>
      <w:r w:rsidR="00E87B0B" w:rsidRPr="00653DCF">
        <w:rPr>
          <w:color w:val="auto"/>
          <w:lang w:val="hr-HR"/>
        </w:rPr>
        <w:t>”)</w:t>
      </w:r>
      <w:r w:rsidR="00862170" w:rsidRPr="00653DCF">
        <w:rPr>
          <w:color w:val="auto"/>
          <w:lang w:val="hr-HR"/>
        </w:rPr>
        <w:t>,</w:t>
      </w:r>
      <w:r w:rsidR="00E87B0B" w:rsidRPr="00653DCF">
        <w:rPr>
          <w:color w:val="auto"/>
          <w:lang w:val="hr-HR"/>
        </w:rPr>
        <w:t xml:space="preserve"> i Europske investicijske banke („</w:t>
      </w:r>
      <w:r w:rsidR="00E87B0B" w:rsidRPr="00653DCF">
        <w:rPr>
          <w:b/>
          <w:color w:val="auto"/>
          <w:lang w:val="hr-HR"/>
        </w:rPr>
        <w:t>Banka</w:t>
      </w:r>
      <w:r w:rsidR="00E87B0B" w:rsidRPr="00653DCF">
        <w:rPr>
          <w:color w:val="auto"/>
          <w:lang w:val="hr-HR"/>
        </w:rPr>
        <w:t>”).</w:t>
      </w:r>
    </w:p>
    <w:p w14:paraId="24B04A86" w14:textId="77777777" w:rsidR="007A2A6F" w:rsidRPr="00653DCF" w:rsidRDefault="00E87B0B">
      <w:pPr>
        <w:rPr>
          <w:color w:val="auto"/>
          <w:lang w:val="hr-HR"/>
        </w:rPr>
      </w:pPr>
      <w:r w:rsidRPr="00653DCF">
        <w:rPr>
          <w:color w:val="auto"/>
          <w:lang w:val="hr-HR"/>
        </w:rPr>
        <w:t>Svi izrazi koji se ovdje koriste, a nisu drugačije definirani, imaju isto značenje kao u Ugovoru o financiranju.</w:t>
      </w:r>
    </w:p>
    <w:p w14:paraId="1F9C13F7" w14:textId="7813B09F" w:rsidR="007A2A6F" w:rsidRPr="00653DCF" w:rsidRDefault="00E87B0B">
      <w:pPr>
        <w:rPr>
          <w:color w:val="auto"/>
          <w:lang w:val="hr-HR"/>
        </w:rPr>
      </w:pPr>
      <w:r w:rsidRPr="00653DCF">
        <w:rPr>
          <w:color w:val="auto"/>
          <w:lang w:val="hr-HR"/>
        </w:rPr>
        <w:t xml:space="preserve">U svojstvu ministra pravosuđa Republike Hrvatske </w:t>
      </w:r>
      <w:r w:rsidR="00F11A2C" w:rsidRPr="00653DCF">
        <w:rPr>
          <w:color w:val="auto"/>
          <w:lang w:val="hr-HR"/>
        </w:rPr>
        <w:t xml:space="preserve">pregledao </w:t>
      </w:r>
      <w:r w:rsidRPr="00653DCF">
        <w:rPr>
          <w:color w:val="auto"/>
          <w:lang w:val="hr-HR"/>
        </w:rPr>
        <w:t xml:space="preserve">sam izvornik Ugovora o financiranju i ispitao zakone, dokumente i druga pitanja koja sam smatrao potrebnima ili prikladnima za davanje ovog mišljenja. Na temelju </w:t>
      </w:r>
      <w:r w:rsidR="00F11A2C" w:rsidRPr="00653DCF">
        <w:rPr>
          <w:color w:val="auto"/>
          <w:lang w:val="hr-HR"/>
        </w:rPr>
        <w:t xml:space="preserve">gore navedenog, </w:t>
      </w:r>
      <w:r w:rsidR="00BD10C0" w:rsidRPr="00653DCF">
        <w:rPr>
          <w:color w:val="auto"/>
          <w:lang w:val="hr-HR"/>
        </w:rPr>
        <w:t xml:space="preserve">mišljenja sam i </w:t>
      </w:r>
      <w:r w:rsidRPr="00653DCF">
        <w:rPr>
          <w:color w:val="auto"/>
          <w:lang w:val="hr-HR"/>
        </w:rPr>
        <w:t xml:space="preserve">izjavljujem da, u skladu s, </w:t>
      </w:r>
      <w:r w:rsidR="00BD10C0" w:rsidRPr="00653DCF">
        <w:rPr>
          <w:i/>
          <w:color w:val="auto"/>
          <w:lang w:val="hr-HR"/>
        </w:rPr>
        <w:t>inter alia</w:t>
      </w:r>
      <w:r w:rsidRPr="00653DCF">
        <w:rPr>
          <w:color w:val="auto"/>
          <w:lang w:val="hr-HR"/>
        </w:rPr>
        <w:t xml:space="preserve">, Ustavom Republike Hrvatske i Zakonom o </w:t>
      </w:r>
      <w:r w:rsidR="005F36F0" w:rsidRPr="00653DCF">
        <w:rPr>
          <w:color w:val="auto"/>
          <w:lang w:val="hr-HR"/>
        </w:rPr>
        <w:t xml:space="preserve">sklapanju i </w:t>
      </w:r>
      <w:r w:rsidR="005F6AA7" w:rsidRPr="00653DCF">
        <w:rPr>
          <w:color w:val="auto"/>
          <w:lang w:val="hr-HR"/>
        </w:rPr>
        <w:t>izvršavanju</w:t>
      </w:r>
      <w:r w:rsidR="005F36F0" w:rsidRPr="00653DCF">
        <w:rPr>
          <w:color w:val="auto"/>
          <w:lang w:val="hr-HR"/>
        </w:rPr>
        <w:t xml:space="preserve"> međunarodnih </w:t>
      </w:r>
      <w:r w:rsidRPr="00653DCF">
        <w:rPr>
          <w:color w:val="auto"/>
          <w:lang w:val="hr-HR"/>
        </w:rPr>
        <w:t>ugovora:</w:t>
      </w:r>
    </w:p>
    <w:p w14:paraId="5E4F574F" w14:textId="5CBAAACD" w:rsidR="007A2A6F" w:rsidRPr="00653DCF" w:rsidRDefault="00E87B0B">
      <w:pPr>
        <w:widowControl w:val="0"/>
        <w:tabs>
          <w:tab w:val="left" w:pos="1418"/>
        </w:tabs>
        <w:ind w:left="1418" w:right="141" w:hanging="567"/>
        <w:rPr>
          <w:color w:val="auto"/>
          <w:lang w:val="hr-HR"/>
        </w:rPr>
      </w:pPr>
      <w:r w:rsidRPr="00653DCF">
        <w:rPr>
          <w:color w:val="auto"/>
          <w:lang w:val="hr-HR"/>
        </w:rPr>
        <w:t>1.</w:t>
      </w:r>
      <w:r w:rsidRPr="00653DCF">
        <w:rPr>
          <w:color w:val="auto"/>
          <w:lang w:val="hr-HR"/>
        </w:rPr>
        <w:tab/>
        <w:t xml:space="preserve">S obzirom na navedeno, smatram da je Ugovor o financiranju u ime Zajmoprimca propisno potpisao i dostavio ministar financija, koji predstavlja Republiku Hrvatsku u skladu sa svim važećim odredbama, uključujući, ali ne ograničavajući se na bilo koji zakon o javnim financijama koji je </w:t>
      </w:r>
      <w:r w:rsidR="00E060F2" w:rsidRPr="00653DCF">
        <w:rPr>
          <w:color w:val="auto"/>
          <w:lang w:val="hr-HR"/>
        </w:rPr>
        <w:t>trenutačno</w:t>
      </w:r>
      <w:r w:rsidRPr="00653DCF">
        <w:rPr>
          <w:color w:val="auto"/>
          <w:lang w:val="hr-HR"/>
        </w:rPr>
        <w:t xml:space="preserve"> na snazi;</w:t>
      </w:r>
    </w:p>
    <w:p w14:paraId="24D55A87" w14:textId="2E49FF05" w:rsidR="007A2A6F" w:rsidRPr="00653DCF" w:rsidRDefault="00E87B0B">
      <w:pPr>
        <w:widowControl w:val="0"/>
        <w:tabs>
          <w:tab w:val="left" w:pos="1418"/>
        </w:tabs>
        <w:ind w:left="1418" w:right="141" w:hanging="567"/>
        <w:rPr>
          <w:color w:val="auto"/>
          <w:lang w:val="hr-HR"/>
        </w:rPr>
      </w:pPr>
      <w:r w:rsidRPr="00653DCF">
        <w:rPr>
          <w:color w:val="auto"/>
          <w:lang w:val="hr-HR"/>
        </w:rPr>
        <w:t>2.</w:t>
      </w:r>
      <w:r w:rsidRPr="00653DCF">
        <w:rPr>
          <w:color w:val="auto"/>
          <w:lang w:val="hr-HR"/>
        </w:rPr>
        <w:tab/>
        <w:t xml:space="preserve">U Republici Hrvatskoj ne postoji odredba kojom bi se zahtijevalo podnošenje, </w:t>
      </w:r>
      <w:r w:rsidR="000B7255" w:rsidRPr="00653DCF">
        <w:rPr>
          <w:color w:val="auto"/>
          <w:lang w:val="hr-HR"/>
        </w:rPr>
        <w:t>prijavu</w:t>
      </w:r>
      <w:r w:rsidR="00BE376F" w:rsidRPr="00653DCF">
        <w:rPr>
          <w:color w:val="auto"/>
          <w:lang w:val="hr-HR"/>
        </w:rPr>
        <w:t xml:space="preserve"> ili upi</w:t>
      </w:r>
      <w:r w:rsidR="00862170" w:rsidRPr="00653DCF">
        <w:rPr>
          <w:color w:val="auto"/>
          <w:lang w:val="hr-HR"/>
        </w:rPr>
        <w:t>s</w:t>
      </w:r>
      <w:r w:rsidR="00BE376F" w:rsidRPr="00653DCF">
        <w:rPr>
          <w:color w:val="auto"/>
          <w:lang w:val="hr-HR"/>
        </w:rPr>
        <w:t xml:space="preserve"> U</w:t>
      </w:r>
      <w:r w:rsidRPr="00653DCF">
        <w:rPr>
          <w:color w:val="auto"/>
          <w:lang w:val="hr-HR"/>
        </w:rPr>
        <w:t xml:space="preserve">govora o financiranju kod bilo kojeg suda ili tijela </w:t>
      </w:r>
      <w:r w:rsidR="00BE376F" w:rsidRPr="00653DCF">
        <w:rPr>
          <w:color w:val="auto"/>
          <w:lang w:val="hr-HR"/>
        </w:rPr>
        <w:t xml:space="preserve">da bi se </w:t>
      </w:r>
      <w:r w:rsidRPr="00653DCF">
        <w:rPr>
          <w:color w:val="auto"/>
          <w:lang w:val="hr-HR"/>
        </w:rPr>
        <w:t xml:space="preserve">osigurala njegova zakonitost, valjanost ili izvršivost, osim objave obavijesti o </w:t>
      </w:r>
      <w:r w:rsidR="00BE376F" w:rsidRPr="00653DCF">
        <w:rPr>
          <w:color w:val="auto"/>
          <w:lang w:val="hr-HR"/>
        </w:rPr>
        <w:t>potpisu</w:t>
      </w:r>
      <w:r w:rsidRPr="00653DCF">
        <w:rPr>
          <w:color w:val="auto"/>
          <w:lang w:val="hr-HR"/>
        </w:rPr>
        <w:t xml:space="preserve">, </w:t>
      </w:r>
      <w:r w:rsidR="00C77CF6" w:rsidRPr="00653DCF">
        <w:rPr>
          <w:color w:val="auto"/>
          <w:lang w:val="hr-HR"/>
        </w:rPr>
        <w:t>dostavi</w:t>
      </w:r>
      <w:r w:rsidRPr="00653DCF">
        <w:rPr>
          <w:color w:val="auto"/>
          <w:lang w:val="hr-HR"/>
        </w:rPr>
        <w:t xml:space="preserve">, </w:t>
      </w:r>
      <w:r w:rsidR="00E12432" w:rsidRPr="00653DCF">
        <w:rPr>
          <w:color w:val="auto"/>
          <w:lang w:val="hr-HR"/>
        </w:rPr>
        <w:t>potvrđivanju</w:t>
      </w:r>
      <w:r w:rsidRPr="00653DCF">
        <w:rPr>
          <w:color w:val="auto"/>
          <w:lang w:val="hr-HR"/>
        </w:rPr>
        <w:t xml:space="preserve"> i </w:t>
      </w:r>
      <w:r w:rsidR="00C77CF6" w:rsidRPr="00653DCF">
        <w:rPr>
          <w:color w:val="auto"/>
          <w:lang w:val="hr-HR"/>
        </w:rPr>
        <w:t xml:space="preserve">provedbi ovog </w:t>
      </w:r>
      <w:r w:rsidRPr="00653DCF">
        <w:rPr>
          <w:color w:val="auto"/>
          <w:lang w:val="hr-HR"/>
        </w:rPr>
        <w:t>Ugovora o financiranju</w:t>
      </w:r>
      <w:r w:rsidR="00C77CF6" w:rsidRPr="00653DCF">
        <w:rPr>
          <w:color w:val="auto"/>
          <w:lang w:val="hr-HR"/>
        </w:rPr>
        <w:t>, što je izvršeno</w:t>
      </w:r>
      <w:r w:rsidRPr="00653DCF">
        <w:rPr>
          <w:color w:val="auto"/>
          <w:lang w:val="hr-HR"/>
        </w:rPr>
        <w:t>;</w:t>
      </w:r>
    </w:p>
    <w:p w14:paraId="27FEA4F1" w14:textId="71AB5700" w:rsidR="007A2A6F" w:rsidRPr="00653DCF" w:rsidRDefault="00E87B0B">
      <w:pPr>
        <w:widowControl w:val="0"/>
        <w:tabs>
          <w:tab w:val="left" w:pos="1418"/>
        </w:tabs>
        <w:ind w:left="1418" w:right="141" w:hanging="567"/>
        <w:rPr>
          <w:color w:val="auto"/>
          <w:lang w:val="hr-HR"/>
        </w:rPr>
      </w:pPr>
      <w:r w:rsidRPr="00653DCF">
        <w:rPr>
          <w:color w:val="auto"/>
          <w:lang w:val="hr-HR"/>
        </w:rPr>
        <w:t>3.</w:t>
      </w:r>
      <w:r w:rsidRPr="00653DCF">
        <w:rPr>
          <w:color w:val="auto"/>
          <w:lang w:val="hr-HR"/>
        </w:rPr>
        <w:tab/>
        <w:t xml:space="preserve">Nije potrebno </w:t>
      </w:r>
      <w:r w:rsidR="00C77CF6" w:rsidRPr="00653DCF">
        <w:rPr>
          <w:color w:val="auto"/>
          <w:lang w:val="hr-HR"/>
        </w:rPr>
        <w:t xml:space="preserve">ovlaštenje od strane </w:t>
      </w:r>
      <w:r w:rsidRPr="00653DCF">
        <w:rPr>
          <w:color w:val="auto"/>
          <w:lang w:val="hr-HR"/>
        </w:rPr>
        <w:t xml:space="preserve">bilo kojeg drugog tijela kako bi se osigurala zakonitost, valjanost ili provedivost Ugovora o financiranju, osim </w:t>
      </w:r>
      <w:r w:rsidR="00E12432" w:rsidRPr="00653DCF">
        <w:rPr>
          <w:color w:val="auto"/>
          <w:lang w:val="hr-HR"/>
        </w:rPr>
        <w:t>potvrđivanja</w:t>
      </w:r>
      <w:r w:rsidRPr="00653DCF">
        <w:rPr>
          <w:color w:val="auto"/>
          <w:lang w:val="hr-HR"/>
        </w:rPr>
        <w:t xml:space="preserve"> Ugovora o financiranju od strane Hrvatskog sabora, </w:t>
      </w:r>
      <w:r w:rsidR="00C77CF6" w:rsidRPr="00653DCF">
        <w:rPr>
          <w:color w:val="auto"/>
          <w:lang w:val="hr-HR"/>
        </w:rPr>
        <w:t>što je izvršeno</w:t>
      </w:r>
      <w:r w:rsidRPr="00653DCF">
        <w:rPr>
          <w:color w:val="auto"/>
          <w:lang w:val="hr-HR"/>
        </w:rPr>
        <w:t>;</w:t>
      </w:r>
    </w:p>
    <w:p w14:paraId="6F0A785B" w14:textId="6DC45F87" w:rsidR="007A2A6F" w:rsidRPr="00653DCF" w:rsidRDefault="00E87B0B">
      <w:pPr>
        <w:widowControl w:val="0"/>
        <w:tabs>
          <w:tab w:val="left" w:pos="1418"/>
        </w:tabs>
        <w:ind w:left="1418" w:right="141" w:hanging="567"/>
        <w:rPr>
          <w:color w:val="auto"/>
          <w:lang w:val="hr-HR"/>
        </w:rPr>
      </w:pPr>
      <w:r w:rsidRPr="00653DCF">
        <w:rPr>
          <w:color w:val="auto"/>
          <w:lang w:val="hr-HR"/>
        </w:rPr>
        <w:t>4.</w:t>
      </w:r>
      <w:r w:rsidRPr="00653DCF">
        <w:rPr>
          <w:color w:val="auto"/>
          <w:lang w:val="hr-HR"/>
        </w:rPr>
        <w:tab/>
        <w:t>Odabir prava Velikog Vojvodstva Luksemburga kao prava kojim se uređuje Ugovor o financiranju valjan je i izvršiv;</w:t>
      </w:r>
    </w:p>
    <w:p w14:paraId="7FB82DD8" w14:textId="57F51FFC" w:rsidR="007A2A6F" w:rsidRPr="00653DCF" w:rsidRDefault="00E87B0B">
      <w:pPr>
        <w:widowControl w:val="0"/>
        <w:tabs>
          <w:tab w:val="left" w:pos="1418"/>
        </w:tabs>
        <w:ind w:left="1418" w:right="141" w:hanging="567"/>
        <w:rPr>
          <w:color w:val="auto"/>
          <w:lang w:val="hr-HR"/>
        </w:rPr>
      </w:pPr>
      <w:r w:rsidRPr="00653DCF">
        <w:rPr>
          <w:color w:val="auto"/>
          <w:lang w:val="hr-HR"/>
        </w:rPr>
        <w:t xml:space="preserve">5. </w:t>
      </w:r>
      <w:r w:rsidRPr="00653DCF">
        <w:rPr>
          <w:color w:val="auto"/>
          <w:lang w:val="hr-HR"/>
        </w:rPr>
        <w:tab/>
        <w:t>U skladu s člankom 11.2. Ugovora o financiranju</w:t>
      </w:r>
      <w:r w:rsidR="003D0C45" w:rsidRPr="00653DCF">
        <w:rPr>
          <w:color w:val="auto"/>
          <w:lang w:val="hr-HR"/>
        </w:rPr>
        <w:t>,</w:t>
      </w:r>
      <w:r w:rsidRPr="00653DCF">
        <w:rPr>
          <w:color w:val="auto"/>
          <w:lang w:val="hr-HR"/>
        </w:rPr>
        <w:t xml:space="preserve"> Sud Europske unije nadležan je za </w:t>
      </w:r>
      <w:r w:rsidR="003D0C45" w:rsidRPr="00653DCF">
        <w:rPr>
          <w:color w:val="auto"/>
          <w:lang w:val="hr-HR"/>
        </w:rPr>
        <w:t xml:space="preserve">bilo koju tužbu </w:t>
      </w:r>
      <w:r w:rsidRPr="00653DCF">
        <w:rPr>
          <w:color w:val="auto"/>
          <w:lang w:val="hr-HR"/>
        </w:rPr>
        <w:t xml:space="preserve">ili spor između Zajmoprimca i Banke, a svaka presuda tog suda koja se odnosi na Ugovor o financiranju </w:t>
      </w:r>
      <w:r w:rsidR="003D0C45" w:rsidRPr="00653DCF">
        <w:rPr>
          <w:color w:val="auto"/>
          <w:lang w:val="hr-HR"/>
        </w:rPr>
        <w:t xml:space="preserve">provediva je </w:t>
      </w:r>
      <w:r w:rsidRPr="00653DCF">
        <w:rPr>
          <w:color w:val="auto"/>
          <w:lang w:val="hr-HR"/>
        </w:rPr>
        <w:t xml:space="preserve">u Republici Hrvatskoj. </w:t>
      </w:r>
      <w:r w:rsidR="004A2450" w:rsidRPr="00653DCF">
        <w:rPr>
          <w:color w:val="auto"/>
          <w:lang w:val="hr-HR"/>
        </w:rPr>
        <w:t xml:space="preserve">Odricanje od </w:t>
      </w:r>
      <w:r w:rsidRPr="00653DCF">
        <w:rPr>
          <w:color w:val="auto"/>
          <w:lang w:val="hr-HR"/>
        </w:rPr>
        <w:t xml:space="preserve">imuniteta na temelju navedenog članka 11.2. Ugovora o financiranju pravno je valjana i obvezujuća obveza </w:t>
      </w:r>
      <w:r w:rsidR="00D677E2" w:rsidRPr="00653DCF">
        <w:rPr>
          <w:color w:val="auto"/>
          <w:lang w:val="hr-HR"/>
        </w:rPr>
        <w:t>Z</w:t>
      </w:r>
      <w:r w:rsidRPr="00653DCF">
        <w:rPr>
          <w:color w:val="auto"/>
          <w:lang w:val="hr-HR"/>
        </w:rPr>
        <w:t>ajmoprimca;</w:t>
      </w:r>
    </w:p>
    <w:p w14:paraId="0BFC8121" w14:textId="4C5A9FBD" w:rsidR="007A2A6F" w:rsidRPr="00653DCF" w:rsidRDefault="00E87B0B">
      <w:pPr>
        <w:widowControl w:val="0"/>
        <w:tabs>
          <w:tab w:val="left" w:pos="1418"/>
        </w:tabs>
        <w:ind w:left="1418" w:right="141" w:hanging="567"/>
        <w:rPr>
          <w:color w:val="auto"/>
          <w:lang w:val="hr-HR"/>
        </w:rPr>
      </w:pPr>
      <w:r w:rsidRPr="00653DCF">
        <w:rPr>
          <w:color w:val="auto"/>
          <w:lang w:val="hr-HR"/>
        </w:rPr>
        <w:t>6.</w:t>
      </w:r>
      <w:r w:rsidRPr="00653DCF">
        <w:rPr>
          <w:color w:val="auto"/>
          <w:lang w:val="hr-HR"/>
        </w:rPr>
        <w:tab/>
        <w:t xml:space="preserve">Porezi, davanja, naknade ili druge naknade, uključujući, bez ograničenja, bilo kakav porez na </w:t>
      </w:r>
      <w:r w:rsidR="004A2450" w:rsidRPr="00653DCF">
        <w:rPr>
          <w:color w:val="auto"/>
          <w:lang w:val="hr-HR"/>
        </w:rPr>
        <w:t xml:space="preserve">prijavu </w:t>
      </w:r>
      <w:r w:rsidRPr="00653DCF">
        <w:rPr>
          <w:color w:val="auto"/>
          <w:lang w:val="hr-HR"/>
        </w:rPr>
        <w:t>ili prijenos</w:t>
      </w:r>
      <w:r w:rsidR="004A2450" w:rsidRPr="00653DCF">
        <w:rPr>
          <w:color w:val="auto"/>
          <w:lang w:val="hr-HR"/>
        </w:rPr>
        <w:t xml:space="preserve"> poreza</w:t>
      </w:r>
      <w:r w:rsidRPr="00653DCF">
        <w:rPr>
          <w:color w:val="auto"/>
          <w:lang w:val="hr-HR"/>
        </w:rPr>
        <w:t xml:space="preserve">, biljeg ili sličan namet, koje je nametnuo Zajmoprimac ili bilo koja politička jedinica ili porezna uprava </w:t>
      </w:r>
      <w:r w:rsidR="00594BB9" w:rsidRPr="00653DCF">
        <w:rPr>
          <w:color w:val="auto"/>
          <w:lang w:val="hr-HR"/>
        </w:rPr>
        <w:t>Zajmoprimca ili u Zajmoprimcu</w:t>
      </w:r>
      <w:r w:rsidRPr="00653DCF">
        <w:rPr>
          <w:color w:val="auto"/>
          <w:lang w:val="hr-HR"/>
        </w:rPr>
        <w:t xml:space="preserve">, ne plaćaju se u vezi s izvršenjem i </w:t>
      </w:r>
      <w:r w:rsidR="00594BB9" w:rsidRPr="00653DCF">
        <w:rPr>
          <w:color w:val="auto"/>
          <w:lang w:val="hr-HR"/>
        </w:rPr>
        <w:t>dostavom</w:t>
      </w:r>
      <w:r w:rsidRPr="00653DCF">
        <w:rPr>
          <w:color w:val="auto"/>
          <w:lang w:val="hr-HR"/>
        </w:rPr>
        <w:t xml:space="preserve"> Ugovora o financiranju, niti u vezi s bilo kakvim plaćanjem koje Zajmoprimac treba izvršiti Banci u skladu s </w:t>
      </w:r>
      <w:r w:rsidR="00594BB9" w:rsidRPr="00653DCF">
        <w:rPr>
          <w:color w:val="auto"/>
          <w:lang w:val="hr-HR"/>
        </w:rPr>
        <w:t xml:space="preserve">ovim </w:t>
      </w:r>
      <w:r w:rsidRPr="00653DCF">
        <w:rPr>
          <w:color w:val="auto"/>
          <w:lang w:val="hr-HR"/>
        </w:rPr>
        <w:t>Ugovorom o financiranju.</w:t>
      </w:r>
    </w:p>
    <w:p w14:paraId="70F2877B" w14:textId="3615715E" w:rsidR="007A2A6F" w:rsidRPr="00653DCF" w:rsidRDefault="00E87B0B">
      <w:pPr>
        <w:widowControl w:val="0"/>
        <w:spacing w:before="120"/>
        <w:ind w:left="851"/>
        <w:rPr>
          <w:color w:val="auto"/>
          <w:lang w:val="hr-HR"/>
        </w:rPr>
      </w:pPr>
      <w:r w:rsidRPr="00653DCF">
        <w:rPr>
          <w:color w:val="auto"/>
          <w:lang w:val="hr-HR"/>
        </w:rPr>
        <w:t>Na temelju prethodno navedenog</w:t>
      </w:r>
      <w:r w:rsidR="000B7255" w:rsidRPr="00653DCF">
        <w:rPr>
          <w:color w:val="auto"/>
          <w:lang w:val="hr-HR"/>
        </w:rPr>
        <w:t>,</w:t>
      </w:r>
      <w:r w:rsidRPr="00653DCF">
        <w:rPr>
          <w:color w:val="auto"/>
          <w:lang w:val="hr-HR"/>
        </w:rPr>
        <w:t xml:space="preserve"> mišljenja sam da su ispunjeni svi </w:t>
      </w:r>
      <w:r w:rsidR="000B7255" w:rsidRPr="00653DCF">
        <w:rPr>
          <w:color w:val="auto"/>
          <w:lang w:val="hr-HR"/>
        </w:rPr>
        <w:t xml:space="preserve">uvjeti </w:t>
      </w:r>
      <w:r w:rsidRPr="00653DCF">
        <w:rPr>
          <w:color w:val="auto"/>
          <w:lang w:val="hr-HR"/>
        </w:rPr>
        <w:t xml:space="preserve">koji se trenutačno primjenjuju na Zajmoprimca i/ili koji uređuju Ugovor o financiranju u odnosu na </w:t>
      </w:r>
      <w:r w:rsidR="000B7255" w:rsidRPr="00653DCF">
        <w:rPr>
          <w:color w:val="auto"/>
          <w:lang w:val="hr-HR"/>
        </w:rPr>
        <w:t xml:space="preserve">pravo </w:t>
      </w:r>
      <w:r w:rsidRPr="00653DCF">
        <w:rPr>
          <w:color w:val="auto"/>
          <w:lang w:val="hr-HR"/>
        </w:rPr>
        <w:t>Republike Hrvatske te da Ugovor o financiranju predstavlja valjanu i zakonsku obvezu Zajmoprimca izvršivu u skladu s</w:t>
      </w:r>
      <w:r w:rsidR="000B7255" w:rsidRPr="00653DCF">
        <w:rPr>
          <w:color w:val="auto"/>
          <w:lang w:val="hr-HR"/>
        </w:rPr>
        <w:t xml:space="preserve"> njegovim </w:t>
      </w:r>
      <w:r w:rsidRPr="00653DCF">
        <w:rPr>
          <w:color w:val="auto"/>
          <w:lang w:val="hr-HR"/>
        </w:rPr>
        <w:t>uvjetima.</w:t>
      </w:r>
    </w:p>
    <w:p w14:paraId="75250FCA" w14:textId="77777777" w:rsidR="007A2A6F" w:rsidRPr="00653DCF" w:rsidRDefault="007A2A6F">
      <w:pPr>
        <w:widowControl w:val="0"/>
        <w:spacing w:before="120"/>
        <w:ind w:left="851"/>
        <w:rPr>
          <w:color w:val="auto"/>
          <w:lang w:val="hr-HR"/>
        </w:rPr>
      </w:pPr>
    </w:p>
    <w:p w14:paraId="6BCE0527" w14:textId="3EC58830" w:rsidR="007A2A6F" w:rsidRPr="00653DCF" w:rsidRDefault="002F787A">
      <w:pPr>
        <w:jc w:val="center"/>
        <w:rPr>
          <w:color w:val="auto"/>
          <w:lang w:val="hr-HR"/>
        </w:rPr>
      </w:pPr>
      <w:r w:rsidRPr="00653DCF">
        <w:rPr>
          <w:color w:val="auto"/>
          <w:lang w:val="hr-HR"/>
        </w:rPr>
        <w:t>S poštovanjem</w:t>
      </w:r>
      <w:r w:rsidR="00E87B0B" w:rsidRPr="00653DCF">
        <w:rPr>
          <w:color w:val="auto"/>
          <w:lang w:val="hr-HR"/>
        </w:rPr>
        <w:t>,</w:t>
      </w:r>
    </w:p>
    <w:p w14:paraId="2807701D" w14:textId="0FEBFF74" w:rsidR="007A2A6F" w:rsidRPr="00653DCF" w:rsidRDefault="007A2A6F">
      <w:pPr>
        <w:widowControl w:val="0"/>
        <w:ind w:left="0"/>
        <w:rPr>
          <w:color w:val="auto"/>
        </w:rPr>
      </w:pPr>
    </w:p>
    <w:p w14:paraId="583C2CF3" w14:textId="7CC5CA38" w:rsidR="007A2A6F" w:rsidRPr="00653DCF" w:rsidRDefault="00E87B0B">
      <w:pPr>
        <w:spacing w:after="200" w:line="276" w:lineRule="auto"/>
        <w:ind w:left="0"/>
        <w:rPr>
          <w:b/>
          <w:color w:val="auto"/>
          <w:u w:val="single"/>
        </w:rPr>
      </w:pPr>
      <w:r w:rsidRPr="00653DCF">
        <w:rPr>
          <w:color w:val="auto"/>
        </w:rPr>
        <w:br w:type="page"/>
      </w:r>
    </w:p>
    <w:p w14:paraId="7E274308" w14:textId="4A47ACED" w:rsidR="007A2A6F" w:rsidRPr="00653DCF" w:rsidRDefault="00076897">
      <w:pPr>
        <w:pStyle w:val="Annex"/>
        <w:numPr>
          <w:ilvl w:val="0"/>
          <w:numId w:val="0"/>
        </w:numPr>
        <w:ind w:left="720"/>
        <w:outlineLvl w:val="0"/>
        <w:rPr>
          <w:color w:val="auto"/>
        </w:rPr>
      </w:pPr>
      <w:bookmarkStart w:id="914" w:name="_Toc126080911"/>
      <w:bookmarkStart w:id="915" w:name="_Ref508723128"/>
      <w:bookmarkStart w:id="916" w:name="_Ref508699131"/>
      <w:bookmarkEnd w:id="914"/>
      <w:r w:rsidRPr="00653DCF">
        <w:rPr>
          <w:color w:val="auto"/>
        </w:rPr>
        <w:t>Dodatak</w:t>
      </w:r>
      <w:r w:rsidR="00E87B0B" w:rsidRPr="00653DCF">
        <w:rPr>
          <w:color w:val="auto"/>
        </w:rPr>
        <w:t xml:space="preserve"> II.</w:t>
      </w:r>
    </w:p>
    <w:p w14:paraId="733E88DB" w14:textId="30779049" w:rsidR="007A2A6F" w:rsidRPr="00653DCF" w:rsidRDefault="00E87B0B">
      <w:pPr>
        <w:pStyle w:val="SubSchedule1EIB"/>
        <w:rPr>
          <w:color w:val="auto"/>
        </w:rPr>
      </w:pPr>
      <w:bookmarkStart w:id="917" w:name="_Toc508888984"/>
      <w:bookmarkStart w:id="918" w:name="_Ref519592572"/>
      <w:bookmarkStart w:id="919" w:name="_Toc126080777"/>
      <w:bookmarkStart w:id="920" w:name="_Toc126080912"/>
      <w:bookmarkEnd w:id="915"/>
      <w:r w:rsidRPr="00653DCF">
        <w:rPr>
          <w:color w:val="auto"/>
        </w:rPr>
        <w:t>Obrazac A/B</w:t>
      </w:r>
      <w:bookmarkEnd w:id="909"/>
      <w:bookmarkEnd w:id="910"/>
      <w:bookmarkEnd w:id="911"/>
      <w:bookmarkEnd w:id="912"/>
      <w:bookmarkEnd w:id="913"/>
      <w:bookmarkEnd w:id="916"/>
      <w:bookmarkEnd w:id="917"/>
      <w:bookmarkEnd w:id="918"/>
      <w:bookmarkEnd w:id="919"/>
      <w:bookmarkEnd w:id="920"/>
    </w:p>
    <w:p w14:paraId="24616A07" w14:textId="32BB6402" w:rsidR="007A3FEC" w:rsidRPr="00653DCF" w:rsidRDefault="00634B04" w:rsidP="009326F0">
      <w:pPr>
        <w:jc w:val="center"/>
        <w:rPr>
          <w:b/>
          <w:color w:val="auto"/>
        </w:rPr>
      </w:pPr>
      <w:r w:rsidRPr="00653DCF">
        <w:rPr>
          <w:b/>
          <w:color w:val="auto"/>
          <w:lang w:val="hr-HR"/>
        </w:rPr>
        <w:t>OKVIRNI ZAJAM ZA PROJEKT „REVITALIZACIJA ŽELJEZNIČKOG SUSTAVA REPUBLIKE HRVATSKE</w:t>
      </w:r>
      <w:r w:rsidR="00471AC1" w:rsidRPr="00653DCF">
        <w:rPr>
          <w:b/>
          <w:color w:val="auto"/>
        </w:rPr>
        <w:t>“</w:t>
      </w:r>
      <w:r w:rsidR="007A3FEC" w:rsidRPr="00653DCF">
        <w:rPr>
          <w:b/>
          <w:color w:val="auto"/>
        </w:rPr>
        <w:t xml:space="preserve"> </w:t>
      </w:r>
      <w:r w:rsidR="007A3FEC" w:rsidRPr="00653DCF">
        <w:rPr>
          <w:rStyle w:val="FootnoteReference"/>
          <w:b/>
          <w:color w:val="auto"/>
        </w:rPr>
        <w:footnoteReference w:id="6"/>
      </w:r>
    </w:p>
    <w:p w14:paraId="1C097880" w14:textId="3C33F62A" w:rsidR="007A2A6F" w:rsidRPr="00653DCF" w:rsidRDefault="007A2A6F">
      <w:pPr>
        <w:spacing w:after="0"/>
        <w:ind w:left="0"/>
        <w:rPr>
          <w:rFonts w:eastAsia="Times New Roman" w:cs="Times New Roman"/>
          <w:b/>
          <w:color w:val="auto"/>
        </w:rPr>
      </w:pPr>
    </w:p>
    <w:p w14:paraId="32609A1F" w14:textId="4C63C4AC" w:rsidR="007A2A6F" w:rsidRPr="00653DCF" w:rsidRDefault="00E87B0B">
      <w:pPr>
        <w:pStyle w:val="P68B1DB1-Normal33"/>
        <w:keepNext/>
        <w:keepLines/>
        <w:numPr>
          <w:ilvl w:val="3"/>
          <w:numId w:val="0"/>
        </w:numPr>
        <w:tabs>
          <w:tab w:val="left" w:pos="2268"/>
        </w:tabs>
        <w:overflowPunct w:val="0"/>
        <w:autoSpaceDE w:val="0"/>
        <w:autoSpaceDN w:val="0"/>
        <w:adjustRightInd w:val="0"/>
        <w:spacing w:before="240" w:after="60"/>
        <w:textAlignment w:val="baseline"/>
        <w:outlineLvl w:val="3"/>
      </w:pPr>
      <w:r w:rsidRPr="00653DCF">
        <w:t xml:space="preserve">I. DIO – </w:t>
      </w:r>
      <w:r w:rsidR="00244D9F" w:rsidRPr="00653DCF">
        <w:t>OBRAZAC</w:t>
      </w:r>
      <w:r w:rsidRPr="00653DCF">
        <w:t xml:space="preserve"> A</w:t>
      </w:r>
      <w:r w:rsidR="00244D9F" w:rsidRPr="00653DCF">
        <w:t xml:space="preserve"> </w:t>
      </w:r>
      <w:r w:rsidRPr="00653DCF">
        <w:t>- DIO 1.</w:t>
      </w:r>
    </w:p>
    <w:p w14:paraId="3F056603" w14:textId="3975D7E4" w:rsidR="007A2A6F" w:rsidRPr="00653DCF" w:rsidRDefault="00E87B0B">
      <w:pPr>
        <w:pStyle w:val="P68B1DB1-Normal33"/>
        <w:keepNext/>
        <w:keepLines/>
        <w:numPr>
          <w:ilvl w:val="3"/>
          <w:numId w:val="0"/>
        </w:numPr>
        <w:tabs>
          <w:tab w:val="left" w:pos="2268"/>
        </w:tabs>
        <w:overflowPunct w:val="0"/>
        <w:autoSpaceDE w:val="0"/>
        <w:autoSpaceDN w:val="0"/>
        <w:adjustRightInd w:val="0"/>
        <w:spacing w:before="240" w:after="60"/>
        <w:textAlignment w:val="baseline"/>
        <w:outlineLvl w:val="3"/>
      </w:pPr>
      <w:r w:rsidRPr="00653DCF">
        <w:t xml:space="preserve">Obrazac A – Ocjena prihvatljivosti </w:t>
      </w:r>
      <w:r w:rsidR="00244D9F" w:rsidRPr="00653DCF">
        <w:t>sukladno članku 6. s</w:t>
      </w:r>
      <w:r w:rsidRPr="00653DCF">
        <w:t>tavak 3.</w:t>
      </w:r>
      <w:r w:rsidR="00244D9F" w:rsidRPr="00653DCF">
        <w:t xml:space="preserve"> nije bila potrebna</w:t>
      </w:r>
    </w:p>
    <w:p w14:paraId="504838FB" w14:textId="2C65333D" w:rsidR="007A3FEC" w:rsidRPr="00653DCF" w:rsidRDefault="00E87B0B">
      <w:pPr>
        <w:pStyle w:val="P68B1DB1-Normal34"/>
        <w:keepLines/>
        <w:pBdr>
          <w:top w:val="single" w:sz="4" w:space="1" w:color="auto"/>
          <w:left w:val="single" w:sz="4" w:space="4" w:color="auto"/>
          <w:bottom w:val="single" w:sz="4" w:space="1" w:color="auto"/>
          <w:right w:val="single" w:sz="4" w:space="0" w:color="auto"/>
        </w:pBdr>
        <w:shd w:val="clear" w:color="auto" w:fill="D9D9D9"/>
        <w:tabs>
          <w:tab w:val="left" w:pos="2268"/>
        </w:tabs>
        <w:overflowPunct w:val="0"/>
        <w:autoSpaceDE w:val="0"/>
        <w:autoSpaceDN w:val="0"/>
        <w:adjustRightInd w:val="0"/>
        <w:ind w:left="994"/>
        <w:jc w:val="center"/>
        <w:textAlignment w:val="baseline"/>
        <w:rPr>
          <w:b/>
        </w:rPr>
      </w:pPr>
      <w:r w:rsidRPr="00653DCF">
        <w:rPr>
          <w:b/>
        </w:rPr>
        <w:t>IZJAVA TIJELA NADLEŽNOG ZA PRAĆENJE STANJA</w:t>
      </w:r>
      <w:r w:rsidRPr="00653DCF">
        <w:rPr>
          <w:b/>
        </w:rPr>
        <w:br/>
        <w:t>NA PODRUČJU OD VAŽNOSTI ZA ZAŠTITU PRIRODE</w:t>
      </w:r>
      <w:r w:rsidR="007956E1" w:rsidRPr="00653DCF">
        <w:rPr>
          <w:b/>
        </w:rPr>
        <w:t xml:space="preserve"> </w:t>
      </w:r>
      <w:r w:rsidR="007956E1" w:rsidRPr="00653DCF">
        <w:rPr>
          <w:rStyle w:val="FootnoteReference"/>
          <w:b/>
        </w:rPr>
        <w:footnoteReference w:id="7"/>
      </w:r>
    </w:p>
    <w:p w14:paraId="794B547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9F46319" w14:textId="77777777" w:rsidR="007A2A6F" w:rsidRPr="00653DCF" w:rsidRDefault="00E87B0B">
      <w:pPr>
        <w:pStyle w:val="P68B1DB1-Normal34"/>
        <w:keepLines/>
        <w:tabs>
          <w:tab w:val="left" w:pos="2268"/>
          <w:tab w:val="right" w:leader="dot" w:pos="8364"/>
        </w:tabs>
        <w:overflowPunct w:val="0"/>
        <w:autoSpaceDE w:val="0"/>
        <w:autoSpaceDN w:val="0"/>
        <w:adjustRightInd w:val="0"/>
        <w:ind w:left="994"/>
        <w:textAlignment w:val="baseline"/>
      </w:pPr>
      <w:r w:rsidRPr="00653DCF">
        <w:t>Nadležno tijelo:</w:t>
      </w:r>
      <w:r w:rsidRPr="00653DCF">
        <w:tab/>
      </w:r>
    </w:p>
    <w:p w14:paraId="0F8A985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30213EC" w14:textId="53D3DAC3" w:rsidR="007A2A6F" w:rsidRPr="00653DCF" w:rsidRDefault="00A4752B">
      <w:pPr>
        <w:pStyle w:val="P68B1DB1-Normal34"/>
        <w:keepLines/>
        <w:tabs>
          <w:tab w:val="left" w:pos="2268"/>
          <w:tab w:val="right" w:leader="dot" w:pos="8364"/>
        </w:tabs>
        <w:overflowPunct w:val="0"/>
        <w:autoSpaceDE w:val="0"/>
        <w:autoSpaceDN w:val="0"/>
        <w:adjustRightInd w:val="0"/>
        <w:spacing w:line="276" w:lineRule="auto"/>
        <w:ind w:left="994"/>
        <w:textAlignment w:val="baseline"/>
      </w:pPr>
      <w:r w:rsidRPr="00653DCF">
        <w:t>nakon što je ispitalo prijedlog</w:t>
      </w:r>
      <w:r w:rsidR="00E87B0B" w:rsidRPr="00653DCF">
        <w:t xml:space="preserve"> projekta</w:t>
      </w:r>
      <w:r w:rsidR="00E87B0B" w:rsidRPr="00653DCF">
        <w:rPr>
          <w:vertAlign w:val="superscript"/>
        </w:rPr>
        <w:footnoteReference w:id="8"/>
      </w:r>
      <w:r w:rsidR="00E87B0B" w:rsidRPr="00653DCF">
        <w:tab/>
      </w:r>
    </w:p>
    <w:p w14:paraId="11C31CE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53981EC" w14:textId="6C9A2EF0" w:rsidR="007A2A6F" w:rsidRPr="00653DCF" w:rsidRDefault="00A4752B">
      <w:pPr>
        <w:pStyle w:val="P68B1DB1-Normal34"/>
        <w:keepLines/>
        <w:tabs>
          <w:tab w:val="left" w:pos="2268"/>
          <w:tab w:val="right" w:leader="dot" w:pos="8364"/>
        </w:tabs>
        <w:overflowPunct w:val="0"/>
        <w:autoSpaceDE w:val="0"/>
        <w:autoSpaceDN w:val="0"/>
        <w:adjustRightInd w:val="0"/>
        <w:spacing w:line="276" w:lineRule="auto"/>
        <w:ind w:left="994"/>
        <w:textAlignment w:val="baseline"/>
        <w:rPr>
          <w:sz w:val="22"/>
        </w:rPr>
      </w:pPr>
      <w:r w:rsidRPr="00653DCF">
        <w:t>k</w:t>
      </w:r>
      <w:r w:rsidR="00E87B0B" w:rsidRPr="00653DCF">
        <w:t>oji će se izvoditi na:</w:t>
      </w:r>
      <w:r w:rsidR="00E87B0B" w:rsidRPr="00653DCF">
        <w:rPr>
          <w:sz w:val="22"/>
        </w:rPr>
        <w:t>.</w:t>
      </w:r>
      <w:r w:rsidR="00E87B0B" w:rsidRPr="00653DCF">
        <w:rPr>
          <w:sz w:val="22"/>
        </w:rPr>
        <w:tab/>
      </w:r>
    </w:p>
    <w:p w14:paraId="0A39FBB3" w14:textId="77777777" w:rsidR="007A2A6F" w:rsidRPr="00653DCF" w:rsidRDefault="007A2A6F">
      <w:pPr>
        <w:keepLines/>
        <w:tabs>
          <w:tab w:val="left" w:pos="2268"/>
          <w:tab w:val="right" w:leader="dot" w:pos="8364"/>
        </w:tabs>
        <w:overflowPunct w:val="0"/>
        <w:autoSpaceDE w:val="0"/>
        <w:autoSpaceDN w:val="0"/>
        <w:adjustRightInd w:val="0"/>
        <w:spacing w:line="276" w:lineRule="auto"/>
        <w:ind w:left="994"/>
        <w:textAlignment w:val="baseline"/>
        <w:rPr>
          <w:rFonts w:eastAsia="Calibri" w:cs="Arial"/>
          <w:color w:val="auto"/>
        </w:rPr>
      </w:pPr>
    </w:p>
    <w:p w14:paraId="6D79C802" w14:textId="6326FF60" w:rsidR="007A2A6F" w:rsidRPr="00653DCF" w:rsidRDefault="00244D9F">
      <w:pPr>
        <w:pStyle w:val="P68B1DB1-Normal34"/>
        <w:keepLines/>
        <w:tabs>
          <w:tab w:val="left" w:pos="2268"/>
        </w:tabs>
        <w:overflowPunct w:val="0"/>
        <w:autoSpaceDE w:val="0"/>
        <w:autoSpaceDN w:val="0"/>
        <w:adjustRightInd w:val="0"/>
        <w:ind w:left="994"/>
        <w:textAlignment w:val="baseline"/>
      </w:pPr>
      <w:r w:rsidRPr="00653DCF">
        <w:t>izjavljuje kako nije</w:t>
      </w:r>
      <w:r w:rsidR="00E87B0B" w:rsidRPr="00653DCF">
        <w:t xml:space="preserve"> izgledn</w:t>
      </w:r>
      <w:r w:rsidRPr="00653DCF">
        <w:t>o da će projekt imati značajan u</w:t>
      </w:r>
      <w:r w:rsidR="00E87B0B" w:rsidRPr="00653DCF">
        <w:t>tjecaj na područje iz mreže NATURA 2000 iz sljedećih razloga:</w:t>
      </w:r>
    </w:p>
    <w:p w14:paraId="73FAE79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B937739" w14:textId="77777777" w:rsidR="007A2A6F" w:rsidRPr="00653DCF" w:rsidRDefault="00E87B0B">
      <w:pPr>
        <w:pStyle w:val="P68B1DB1-Normal35"/>
        <w:keepLines/>
        <w:tabs>
          <w:tab w:val="left" w:pos="2268"/>
        </w:tabs>
        <w:overflowPunct w:val="0"/>
        <w:autoSpaceDE w:val="0"/>
        <w:autoSpaceDN w:val="0"/>
        <w:adjustRightInd w:val="0"/>
        <w:ind w:left="994"/>
        <w:textAlignment w:val="baseline"/>
        <w:rPr>
          <w:rFonts w:cs="Arial"/>
        </w:rPr>
      </w:pPr>
      <w:r w:rsidRPr="00653DCF">
        <w:rPr>
          <w:noProof/>
          <w:lang w:val="hr-HR" w:eastAsia="hr-HR"/>
        </w:rPr>
        <mc:AlternateContent>
          <mc:Choice Requires="wps">
            <w:drawing>
              <wp:anchor distT="0" distB="0" distL="114300" distR="114300" simplePos="0" relativeHeight="251663360" behindDoc="0" locked="0" layoutInCell="1" allowOverlap="1" wp14:anchorId="1D65D362" wp14:editId="666B16BD">
                <wp:simplePos x="0" y="0"/>
                <wp:positionH relativeFrom="column">
                  <wp:align>center</wp:align>
                </wp:positionH>
                <wp:positionV relativeFrom="paragraph">
                  <wp:posOffset>0</wp:posOffset>
                </wp:positionV>
                <wp:extent cx="5905500" cy="1038225"/>
                <wp:effectExtent l="9525" t="9525" r="9525" b="9525"/>
                <wp:wrapNone/>
                <wp:docPr id="13" name="Okvir za unos teks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FFFFFF"/>
                        </a:solidFill>
                        <a:ln w="9525">
                          <a:solidFill>
                            <a:srgbClr val="000000"/>
                          </a:solidFill>
                          <a:miter lim="800000"/>
                          <a:headEnd/>
                          <a:tailEnd/>
                        </a:ln>
                      </wps:spPr>
                      <wps:txbx>
                        <w:txbxContent>
                          <w:p w14:paraId="15F1E5B4" w14:textId="77777777" w:rsidR="00CB3A2D" w:rsidRDefault="00CB3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D362" id="_x0000_t202" coordsize="21600,21600" o:spt="202" path="m,l,21600r21600,l21600,xe">
                <v:stroke joinstyle="miter"/>
                <v:path gradientshapeok="t" o:connecttype="rect"/>
              </v:shapetype>
              <v:shape id="Okvir za unos teksta 2." o:spid="_x0000_s1026" type="#_x0000_t202" style="position:absolute;left:0;text-align:left;margin-left:0;margin-top:0;width:465pt;height:81.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">
                <v:textbox>
                  <w:txbxContent>
                    <w:p w14:paraId="15F1E5B4" w14:textId="77777777" w:rsidR="00CB3A2D" w:rsidRDefault="00CB3A2D"/>
                  </w:txbxContent>
                </v:textbox>
              </v:shape>
            </w:pict>
          </mc:Fallback>
        </mc:AlternateContent>
      </w:r>
    </w:p>
    <w:p w14:paraId="6351D12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4D179F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sz w:val="24"/>
        </w:rPr>
      </w:pPr>
    </w:p>
    <w:p w14:paraId="0341E14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sz w:val="24"/>
        </w:rPr>
      </w:pPr>
    </w:p>
    <w:p w14:paraId="116C897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sz w:val="24"/>
        </w:rPr>
      </w:pPr>
    </w:p>
    <w:p w14:paraId="7D516C0C" w14:textId="53ABA385" w:rsidR="007A2A6F" w:rsidRPr="00653DCF" w:rsidRDefault="00244D9F">
      <w:pPr>
        <w:pStyle w:val="P68B1DB1-Normal34"/>
        <w:keepLines/>
        <w:tabs>
          <w:tab w:val="left" w:pos="2268"/>
        </w:tabs>
        <w:overflowPunct w:val="0"/>
        <w:autoSpaceDE w:val="0"/>
        <w:autoSpaceDN w:val="0"/>
        <w:adjustRightInd w:val="0"/>
        <w:ind w:left="994"/>
        <w:textAlignment w:val="baseline"/>
      </w:pPr>
      <w:r w:rsidRPr="00653DCF">
        <w:t>Stoga se smatra kako ocjena prihvatljivosti propisana člankom 6. stavak 3. nije potrebna.</w:t>
      </w:r>
    </w:p>
    <w:p w14:paraId="37AAFE5F" w14:textId="3796046A" w:rsidR="007A2A6F" w:rsidRPr="00653DCF" w:rsidRDefault="00244D9F">
      <w:pPr>
        <w:pStyle w:val="P68B1DB1-Normal34"/>
        <w:keepLines/>
        <w:tabs>
          <w:tab w:val="left" w:pos="2268"/>
        </w:tabs>
        <w:overflowPunct w:val="0"/>
        <w:autoSpaceDE w:val="0"/>
        <w:autoSpaceDN w:val="0"/>
        <w:adjustRightInd w:val="0"/>
        <w:ind w:left="994"/>
        <w:textAlignment w:val="baseline"/>
      </w:pPr>
      <w:r w:rsidRPr="00653DCF">
        <w:br/>
        <w:t>U prilogu je sadržan</w:t>
      </w:r>
      <w:r w:rsidR="00E87B0B" w:rsidRPr="00653DCF">
        <w:t xml:space="preserve"> zemljovid u mjerilu 1:100.000 (ili najbližem mogućem mjerilu) koji prikazuje lokaciju projekta kao i zahvaćena podr</w:t>
      </w:r>
      <w:r w:rsidRPr="00653DCF">
        <w:t>učja iz mreže NATURA 2000, ako t</w:t>
      </w:r>
      <w:r w:rsidR="00427D78" w:rsidRPr="00653DCF">
        <w:t>akva postoje</w:t>
      </w:r>
      <w:r w:rsidR="00E87B0B" w:rsidRPr="00653DCF">
        <w:t>.</w:t>
      </w:r>
    </w:p>
    <w:p w14:paraId="35ED5FA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sz w:val="10"/>
          <w:szCs w:val="10"/>
        </w:rPr>
      </w:pPr>
    </w:p>
    <w:p w14:paraId="75425AD3" w14:textId="62883B28" w:rsidR="00150517" w:rsidRDefault="00E87B0B" w:rsidP="00150517">
      <w:pPr>
        <w:pStyle w:val="P68B1DB1-Normal34"/>
        <w:keepLines/>
        <w:tabs>
          <w:tab w:val="left" w:pos="2268"/>
          <w:tab w:val="right" w:leader="dot" w:pos="5387"/>
        </w:tabs>
        <w:overflowPunct w:val="0"/>
        <w:autoSpaceDE w:val="0"/>
        <w:autoSpaceDN w:val="0"/>
        <w:adjustRightInd w:val="0"/>
        <w:ind w:left="994"/>
        <w:textAlignment w:val="baseline"/>
      </w:pPr>
      <w:r w:rsidRPr="00653DCF">
        <w:t>Datum (dd/mm/gggg):</w:t>
      </w:r>
    </w:p>
    <w:p w14:paraId="1F524F51" w14:textId="77777777" w:rsidR="00E734B6" w:rsidRPr="00653DCF" w:rsidRDefault="00E734B6" w:rsidP="00150517">
      <w:pPr>
        <w:pStyle w:val="P68B1DB1-Normal34"/>
        <w:keepLines/>
        <w:tabs>
          <w:tab w:val="left" w:pos="2268"/>
          <w:tab w:val="right" w:leader="dot" w:pos="5387"/>
        </w:tabs>
        <w:overflowPunct w:val="0"/>
        <w:autoSpaceDE w:val="0"/>
        <w:autoSpaceDN w:val="0"/>
        <w:adjustRightInd w:val="0"/>
        <w:ind w:left="994"/>
        <w:textAlignment w:val="baseline"/>
      </w:pPr>
    </w:p>
    <w:p w14:paraId="3B42225B" w14:textId="77777777" w:rsidR="007A2A6F" w:rsidRPr="00653DCF" w:rsidRDefault="00E87B0B">
      <w:pPr>
        <w:pStyle w:val="P68B1DB1-Normal34"/>
        <w:keepLines/>
        <w:tabs>
          <w:tab w:val="left" w:pos="2268"/>
          <w:tab w:val="right" w:leader="dot" w:pos="5387"/>
        </w:tabs>
        <w:overflowPunct w:val="0"/>
        <w:autoSpaceDE w:val="0"/>
        <w:autoSpaceDN w:val="0"/>
        <w:adjustRightInd w:val="0"/>
        <w:ind w:left="994"/>
        <w:textAlignment w:val="baseline"/>
      </w:pPr>
      <w:r w:rsidRPr="00653DCF">
        <w:t>Potpis:</w:t>
      </w:r>
      <w:r w:rsidRPr="00653DCF">
        <w:tab/>
      </w:r>
    </w:p>
    <w:p w14:paraId="732CCE4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8F2761A" w14:textId="2B09E4A9" w:rsidR="007A2A6F" w:rsidRPr="00653DCF" w:rsidRDefault="00FC57CB">
      <w:pPr>
        <w:pStyle w:val="P68B1DB1-Normal34"/>
        <w:keepLines/>
        <w:tabs>
          <w:tab w:val="left" w:pos="2268"/>
          <w:tab w:val="right" w:leader="dot" w:pos="5387"/>
        </w:tabs>
        <w:overflowPunct w:val="0"/>
        <w:autoSpaceDE w:val="0"/>
        <w:autoSpaceDN w:val="0"/>
        <w:adjustRightInd w:val="0"/>
        <w:spacing w:line="276" w:lineRule="auto"/>
        <w:ind w:left="994"/>
        <w:textAlignment w:val="baseline"/>
      </w:pPr>
      <w:r w:rsidRPr="00653DCF">
        <w:t>Ime</w:t>
      </w:r>
      <w:r w:rsidR="00E87B0B" w:rsidRPr="00653DCF">
        <w:t xml:space="preserve"> i prezime:</w:t>
      </w:r>
      <w:r w:rsidR="00E87B0B" w:rsidRPr="00653DCF">
        <w:tab/>
      </w:r>
    </w:p>
    <w:p w14:paraId="28A9841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A3DF6A6" w14:textId="77777777" w:rsidR="007A2A6F" w:rsidRPr="00653DCF" w:rsidRDefault="00E87B0B">
      <w:pPr>
        <w:pStyle w:val="P68B1DB1-Normal34"/>
        <w:keepLines/>
        <w:tabs>
          <w:tab w:val="left" w:pos="2268"/>
          <w:tab w:val="right" w:leader="dot" w:pos="5387"/>
        </w:tabs>
        <w:overflowPunct w:val="0"/>
        <w:autoSpaceDE w:val="0"/>
        <w:autoSpaceDN w:val="0"/>
        <w:adjustRightInd w:val="0"/>
        <w:ind w:left="994"/>
        <w:textAlignment w:val="baseline"/>
      </w:pPr>
      <w:r w:rsidRPr="00653DCF">
        <w:t>Dužnost:</w:t>
      </w:r>
      <w:r w:rsidRPr="00653DCF">
        <w:tab/>
      </w:r>
    </w:p>
    <w:p w14:paraId="062BF4E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F6011E5" w14:textId="77777777" w:rsidR="007A2A6F" w:rsidRPr="00653DCF" w:rsidRDefault="00E87B0B">
      <w:pPr>
        <w:pStyle w:val="P68B1DB1-Normal34"/>
        <w:keepLines/>
        <w:tabs>
          <w:tab w:val="left" w:pos="2268"/>
          <w:tab w:val="right" w:leader="dot" w:pos="5387"/>
        </w:tabs>
        <w:overflowPunct w:val="0"/>
        <w:autoSpaceDE w:val="0"/>
        <w:autoSpaceDN w:val="0"/>
        <w:adjustRightInd w:val="0"/>
        <w:ind w:left="994"/>
        <w:textAlignment w:val="baseline"/>
      </w:pPr>
      <w:r w:rsidRPr="00653DCF">
        <w:t>Organizacija:</w:t>
      </w:r>
      <w:r w:rsidRPr="00653DCF">
        <w:tab/>
      </w:r>
    </w:p>
    <w:p w14:paraId="039B6A51" w14:textId="687A8D85" w:rsidR="007A2A6F" w:rsidRPr="00653DCF" w:rsidRDefault="00150517">
      <w:pPr>
        <w:pStyle w:val="P68B1DB1-Normal34"/>
        <w:keepLines/>
        <w:tabs>
          <w:tab w:val="left" w:pos="2268"/>
        </w:tabs>
        <w:overflowPunct w:val="0"/>
        <w:autoSpaceDE w:val="0"/>
        <w:autoSpaceDN w:val="0"/>
        <w:adjustRightInd w:val="0"/>
        <w:ind w:left="994"/>
        <w:textAlignment w:val="baseline"/>
      </w:pPr>
      <w:r w:rsidRPr="00653DCF">
        <w:t>(Tijelo nadležno za p</w:t>
      </w:r>
      <w:r w:rsidR="00E87B0B" w:rsidRPr="00653DCF">
        <w:t>raćenje stanja na područjima iz mreže NATURA 2000)</w:t>
      </w:r>
    </w:p>
    <w:p w14:paraId="7C4A5D0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BDF807A"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Službeni pečat:</w:t>
      </w:r>
    </w:p>
    <w:p w14:paraId="5850A54E" w14:textId="77777777" w:rsidR="007A2A6F" w:rsidRPr="00653DCF" w:rsidRDefault="00E87B0B">
      <w:pPr>
        <w:pStyle w:val="P68B1DB1-Normal33"/>
        <w:keepLines/>
        <w:tabs>
          <w:tab w:val="left" w:pos="2268"/>
        </w:tabs>
        <w:overflowPunct w:val="0"/>
        <w:autoSpaceDE w:val="0"/>
        <w:autoSpaceDN w:val="0"/>
        <w:adjustRightInd w:val="0"/>
        <w:ind w:left="994"/>
        <w:textAlignment w:val="baseline"/>
      </w:pPr>
      <w:r w:rsidRPr="00653DCF">
        <w:br w:type="page"/>
      </w:r>
    </w:p>
    <w:p w14:paraId="28E28B23" w14:textId="1338EBF9" w:rsidR="007A2A6F" w:rsidRPr="00653DCF" w:rsidRDefault="00E87B0B">
      <w:pPr>
        <w:pStyle w:val="P68B1DB1-Normal33"/>
        <w:keepNext/>
        <w:keepLines/>
        <w:numPr>
          <w:ilvl w:val="3"/>
          <w:numId w:val="0"/>
        </w:numPr>
        <w:tabs>
          <w:tab w:val="left" w:pos="2268"/>
        </w:tabs>
        <w:overflowPunct w:val="0"/>
        <w:autoSpaceDE w:val="0"/>
        <w:autoSpaceDN w:val="0"/>
        <w:adjustRightInd w:val="0"/>
        <w:spacing w:before="240" w:after="60"/>
        <w:textAlignment w:val="baseline"/>
        <w:outlineLvl w:val="3"/>
      </w:pPr>
      <w:r w:rsidRPr="00653DCF">
        <w:t>II. DIO – OBRAZAC A</w:t>
      </w:r>
      <w:r w:rsidR="00244D9F" w:rsidRPr="00653DCF">
        <w:t xml:space="preserve"> </w:t>
      </w:r>
      <w:r w:rsidRPr="00653DCF">
        <w:t>- DIO 2.</w:t>
      </w:r>
    </w:p>
    <w:p w14:paraId="1600837A" w14:textId="77777777" w:rsidR="007A2A6F" w:rsidRPr="00653DCF" w:rsidRDefault="00E87B0B">
      <w:pPr>
        <w:pStyle w:val="P68B1DB1-Normal33"/>
        <w:keepNext/>
        <w:keepLines/>
        <w:numPr>
          <w:ilvl w:val="3"/>
          <w:numId w:val="0"/>
        </w:numPr>
        <w:tabs>
          <w:tab w:val="left" w:pos="2268"/>
        </w:tabs>
        <w:overflowPunct w:val="0"/>
        <w:autoSpaceDE w:val="0"/>
        <w:autoSpaceDN w:val="0"/>
        <w:adjustRightInd w:val="0"/>
        <w:spacing w:before="240" w:after="60"/>
        <w:textAlignment w:val="baseline"/>
        <w:outlineLvl w:val="3"/>
      </w:pPr>
      <w:r w:rsidRPr="00653DCF">
        <w:t>Obrazac A – Procjena utjecaja na područje NATURA 2000 – Nema rizika značajnog utjecaja</w:t>
      </w:r>
    </w:p>
    <w:p w14:paraId="2CC096EB" w14:textId="77777777" w:rsidR="007A2A6F" w:rsidRPr="00653DCF" w:rsidRDefault="00E87B0B">
      <w:pPr>
        <w:pStyle w:val="P68B1DB1-Normal34"/>
        <w:keepLines/>
        <w:pBdr>
          <w:top w:val="single" w:sz="4" w:space="1" w:color="auto"/>
          <w:left w:val="single" w:sz="4" w:space="4" w:color="auto"/>
          <w:bottom w:val="single" w:sz="4" w:space="1" w:color="auto"/>
          <w:right w:val="single" w:sz="4" w:space="0" w:color="auto"/>
        </w:pBdr>
        <w:shd w:val="clear" w:color="auto" w:fill="D9D9D9"/>
        <w:tabs>
          <w:tab w:val="left" w:pos="2268"/>
        </w:tabs>
        <w:overflowPunct w:val="0"/>
        <w:autoSpaceDE w:val="0"/>
        <w:autoSpaceDN w:val="0"/>
        <w:adjustRightInd w:val="0"/>
        <w:ind w:left="994"/>
        <w:jc w:val="center"/>
        <w:textAlignment w:val="baseline"/>
      </w:pPr>
      <w:r w:rsidRPr="00653DCF">
        <w:rPr>
          <w:b/>
        </w:rPr>
        <w:t>IZJAVA TIJELA NADLEŽNOG ZA PRAĆENJE STANJA</w:t>
      </w:r>
      <w:r w:rsidRPr="00653DCF">
        <w:rPr>
          <w:b/>
        </w:rPr>
        <w:br/>
        <w:t>NA PODRUČJU OD VAŽNOSTI ZA ZAŠTITU PRIRODE</w:t>
      </w:r>
      <w:r w:rsidRPr="00653DCF">
        <w:rPr>
          <w:vertAlign w:val="superscript"/>
        </w:rPr>
        <w:footnoteReference w:id="9"/>
      </w:r>
    </w:p>
    <w:p w14:paraId="736A86A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8BD2B08" w14:textId="77777777" w:rsidR="007A2A6F" w:rsidRPr="00653DCF" w:rsidRDefault="00E87B0B">
      <w:pPr>
        <w:pStyle w:val="P68B1DB1-Normal34"/>
        <w:keepLines/>
        <w:tabs>
          <w:tab w:val="left" w:pos="2268"/>
          <w:tab w:val="right" w:leader="dot" w:pos="8647"/>
        </w:tabs>
        <w:overflowPunct w:val="0"/>
        <w:autoSpaceDE w:val="0"/>
        <w:autoSpaceDN w:val="0"/>
        <w:adjustRightInd w:val="0"/>
        <w:spacing w:before="120" w:after="240" w:line="276" w:lineRule="auto"/>
        <w:ind w:left="994"/>
        <w:textAlignment w:val="baseline"/>
      </w:pPr>
      <w:r w:rsidRPr="00653DCF">
        <w:t>Nadležno tijelo</w:t>
      </w:r>
      <w:r w:rsidRPr="00653DCF">
        <w:tab/>
      </w:r>
    </w:p>
    <w:p w14:paraId="6C28B4BC" w14:textId="58E4AA8D" w:rsidR="007A2A6F" w:rsidRPr="00653DCF" w:rsidRDefault="00A4752B">
      <w:pPr>
        <w:pStyle w:val="P68B1DB1-Normal34"/>
        <w:keepLines/>
        <w:tabs>
          <w:tab w:val="left" w:pos="2268"/>
          <w:tab w:val="right" w:leader="dot" w:pos="8647"/>
        </w:tabs>
        <w:overflowPunct w:val="0"/>
        <w:autoSpaceDE w:val="0"/>
        <w:autoSpaceDN w:val="0"/>
        <w:adjustRightInd w:val="0"/>
        <w:spacing w:before="120" w:after="240" w:line="276" w:lineRule="auto"/>
        <w:ind w:left="994"/>
        <w:textAlignment w:val="baseline"/>
      </w:pPr>
      <w:r w:rsidRPr="00653DCF">
        <w:t>nakon što je ispitalo prijedlog</w:t>
      </w:r>
      <w:r w:rsidR="00E87B0B" w:rsidRPr="00653DCF">
        <w:t xml:space="preserve"> projekta</w:t>
      </w:r>
      <w:r w:rsidR="00E87B0B" w:rsidRPr="00653DCF">
        <w:rPr>
          <w:vertAlign w:val="superscript"/>
        </w:rPr>
        <w:footnoteReference w:id="10"/>
      </w:r>
      <w:r w:rsidR="00E87B0B" w:rsidRPr="00653DCF">
        <w:tab/>
      </w:r>
    </w:p>
    <w:p w14:paraId="70AA8089" w14:textId="251E4F4D" w:rsidR="007A2A6F" w:rsidRPr="00653DCF" w:rsidRDefault="00A4752B">
      <w:pPr>
        <w:pStyle w:val="P68B1DB1-Normal34"/>
        <w:keepLines/>
        <w:tabs>
          <w:tab w:val="left" w:pos="2268"/>
          <w:tab w:val="right" w:leader="dot" w:pos="8647"/>
        </w:tabs>
        <w:overflowPunct w:val="0"/>
        <w:autoSpaceDE w:val="0"/>
        <w:autoSpaceDN w:val="0"/>
        <w:adjustRightInd w:val="0"/>
        <w:spacing w:before="120" w:after="240" w:line="276" w:lineRule="auto"/>
        <w:ind w:left="994"/>
        <w:textAlignment w:val="baseline"/>
      </w:pPr>
      <w:r w:rsidRPr="00653DCF">
        <w:t>k</w:t>
      </w:r>
      <w:r w:rsidR="00E87B0B" w:rsidRPr="00653DCF">
        <w:t>oji će se izvoditi na</w:t>
      </w:r>
      <w:r w:rsidR="00E87B0B" w:rsidRPr="00653DCF">
        <w:tab/>
      </w:r>
    </w:p>
    <w:p w14:paraId="58120BDE" w14:textId="3C466E2C" w:rsidR="007A2A6F" w:rsidRPr="00653DCF" w:rsidRDefault="00A4752B">
      <w:pPr>
        <w:pStyle w:val="P68B1DB1-Normal34"/>
        <w:keepLines/>
        <w:tabs>
          <w:tab w:val="left" w:pos="2268"/>
        </w:tabs>
        <w:overflowPunct w:val="0"/>
        <w:autoSpaceDE w:val="0"/>
        <w:autoSpaceDN w:val="0"/>
        <w:adjustRightInd w:val="0"/>
        <w:spacing w:before="120" w:after="240"/>
        <w:ind w:left="994"/>
        <w:textAlignment w:val="baseline"/>
      </w:pPr>
      <w:r w:rsidRPr="00653DCF">
        <w:t xml:space="preserve">izjavljuje kako, slijedom ocjene prihvatljivosti propisane člankom 6. stavak 3. </w:t>
      </w:r>
      <w:r w:rsidR="00E87B0B" w:rsidRPr="00653DCF">
        <w:t>Direktive 92/43/EEZ, projekt neće imati značajnih utjecaja na podr</w:t>
      </w:r>
      <w:r w:rsidR="006C1B98" w:rsidRPr="00653DCF">
        <w:t>učje od važnosti za zaštitu pri</w:t>
      </w:r>
      <w:r w:rsidR="00E4778B" w:rsidRPr="00653DCF">
        <w:t>o</w:t>
      </w:r>
      <w:r w:rsidR="00E87B0B" w:rsidRPr="00653DCF">
        <w:t>rode</w:t>
      </w:r>
      <w:r w:rsidR="00E87B0B" w:rsidRPr="00653DCF">
        <w:rPr>
          <w:vertAlign w:val="superscript"/>
        </w:rPr>
        <w:t>1</w:t>
      </w:r>
      <w:r w:rsidR="00E87B0B" w:rsidRPr="00653DCF">
        <w:t>.</w:t>
      </w:r>
    </w:p>
    <w:p w14:paraId="475E267B" w14:textId="63725511" w:rsidR="007A2A6F" w:rsidRPr="00653DCF" w:rsidRDefault="00E87B0B">
      <w:pPr>
        <w:pStyle w:val="P68B1DB1-Normal34"/>
        <w:keepLines/>
        <w:tabs>
          <w:tab w:val="left" w:pos="2268"/>
        </w:tabs>
        <w:overflowPunct w:val="0"/>
        <w:autoSpaceDE w:val="0"/>
        <w:autoSpaceDN w:val="0"/>
        <w:adjustRightInd w:val="0"/>
        <w:spacing w:before="120" w:after="240"/>
        <w:ind w:left="994"/>
        <w:textAlignment w:val="baseline"/>
      </w:pPr>
      <w:r w:rsidRPr="00653DCF">
        <w:t xml:space="preserve">Molimo vas da </w:t>
      </w:r>
      <w:r w:rsidR="00A4752B" w:rsidRPr="00653DCF">
        <w:t>iznesete s</w:t>
      </w:r>
      <w:r w:rsidRPr="00653DCF">
        <w:t xml:space="preserve">ažetak </w:t>
      </w:r>
      <w:r w:rsidR="00A4752B" w:rsidRPr="00653DCF">
        <w:t>zaključaka</w:t>
      </w:r>
      <w:r w:rsidRPr="00653DCF">
        <w:t xml:space="preserve"> ocjene prihvatljivosti </w:t>
      </w:r>
      <w:r w:rsidR="00A4752B" w:rsidRPr="00653DCF">
        <w:t>obavljene</w:t>
      </w:r>
      <w:r w:rsidRPr="00653DCF">
        <w:t xml:space="preserve"> sukladno članku 6</w:t>
      </w:r>
      <w:r w:rsidR="00A4752B" w:rsidRPr="00653DCF">
        <w:t>. s</w:t>
      </w:r>
      <w:r w:rsidRPr="00653DCF">
        <w:t>tavak 3. Direktive 92/43/EEZ:</w:t>
      </w:r>
    </w:p>
    <w:p w14:paraId="01F70691" w14:textId="77777777" w:rsidR="007A2A6F" w:rsidRPr="00653DCF" w:rsidRDefault="00E87B0B">
      <w:pPr>
        <w:pStyle w:val="P68B1DB1-Normal35"/>
        <w:keepLines/>
        <w:tabs>
          <w:tab w:val="left" w:pos="2268"/>
        </w:tabs>
        <w:overflowPunct w:val="0"/>
        <w:autoSpaceDE w:val="0"/>
        <w:autoSpaceDN w:val="0"/>
        <w:adjustRightInd w:val="0"/>
        <w:spacing w:before="120" w:after="240"/>
        <w:ind w:left="994"/>
        <w:textAlignment w:val="baseline"/>
        <w:rPr>
          <w:rFonts w:cs="Arial"/>
        </w:rPr>
      </w:pPr>
      <w:r w:rsidRPr="00653DCF">
        <w:rPr>
          <w:noProof/>
          <w:lang w:val="hr-HR" w:eastAsia="hr-HR"/>
        </w:rPr>
        <mc:AlternateContent>
          <mc:Choice Requires="wps">
            <w:drawing>
              <wp:anchor distT="0" distB="0" distL="114300" distR="114300" simplePos="0" relativeHeight="251664384" behindDoc="0" locked="0" layoutInCell="1" allowOverlap="1" wp14:anchorId="35543D15" wp14:editId="7BB82219">
                <wp:simplePos x="0" y="0"/>
                <wp:positionH relativeFrom="column">
                  <wp:align>center</wp:align>
                </wp:positionH>
                <wp:positionV relativeFrom="paragraph">
                  <wp:posOffset>0</wp:posOffset>
                </wp:positionV>
                <wp:extent cx="5821045" cy="1323975"/>
                <wp:effectExtent l="9525" t="9525" r="8255" b="9525"/>
                <wp:wrapNone/>
                <wp:docPr id="14" name="Okvir za unos teks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323975"/>
                        </a:xfrm>
                        <a:prstGeom prst="rect">
                          <a:avLst/>
                        </a:prstGeom>
                        <a:solidFill>
                          <a:srgbClr val="FFFFFF"/>
                        </a:solidFill>
                        <a:ln w="9525">
                          <a:solidFill>
                            <a:srgbClr val="000000"/>
                          </a:solidFill>
                          <a:miter lim="800000"/>
                          <a:headEnd/>
                          <a:tailEnd/>
                        </a:ln>
                      </wps:spPr>
                      <wps:txbx>
                        <w:txbxContent>
                          <w:p w14:paraId="07936588" w14:textId="77777777" w:rsidR="00CB3A2D" w:rsidRDefault="00CB3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3D15" id="Okvir za unos teksta 3." o:spid="_x0000_s1027" type="#_x0000_t202" style="position:absolute;left:0;text-align:left;margin-left:0;margin-top:0;width:458.35pt;height:104.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">
                <v:textbox>
                  <w:txbxContent>
                    <w:p w14:paraId="07936588" w14:textId="77777777" w:rsidR="00CB3A2D" w:rsidRDefault="00CB3A2D"/>
                  </w:txbxContent>
                </v:textbox>
              </v:shape>
            </w:pict>
          </mc:Fallback>
        </mc:AlternateContent>
      </w:r>
    </w:p>
    <w:p w14:paraId="7CC39FE5" w14:textId="77777777" w:rsidR="007A2A6F" w:rsidRPr="00653DCF" w:rsidRDefault="007A2A6F">
      <w:pPr>
        <w:keepLines/>
        <w:tabs>
          <w:tab w:val="left" w:pos="2268"/>
        </w:tabs>
        <w:overflowPunct w:val="0"/>
        <w:autoSpaceDE w:val="0"/>
        <w:autoSpaceDN w:val="0"/>
        <w:adjustRightInd w:val="0"/>
        <w:spacing w:before="120" w:after="240"/>
        <w:ind w:left="994"/>
        <w:textAlignment w:val="baseline"/>
        <w:rPr>
          <w:rFonts w:eastAsia="Calibri" w:cs="Arial"/>
          <w:color w:val="auto"/>
        </w:rPr>
      </w:pPr>
    </w:p>
    <w:p w14:paraId="77DA0F5F" w14:textId="77777777" w:rsidR="007A2A6F" w:rsidRPr="00653DCF" w:rsidRDefault="007A2A6F">
      <w:pPr>
        <w:keepLines/>
        <w:tabs>
          <w:tab w:val="left" w:pos="2268"/>
        </w:tabs>
        <w:overflowPunct w:val="0"/>
        <w:autoSpaceDE w:val="0"/>
        <w:autoSpaceDN w:val="0"/>
        <w:adjustRightInd w:val="0"/>
        <w:spacing w:before="120" w:after="240"/>
        <w:ind w:left="994"/>
        <w:textAlignment w:val="baseline"/>
        <w:rPr>
          <w:rFonts w:eastAsia="Calibri" w:cs="Arial"/>
          <w:color w:val="auto"/>
        </w:rPr>
      </w:pPr>
    </w:p>
    <w:p w14:paraId="038CB81C" w14:textId="77777777" w:rsidR="007A2A6F" w:rsidRPr="00653DCF" w:rsidRDefault="007A2A6F">
      <w:pPr>
        <w:keepLines/>
        <w:tabs>
          <w:tab w:val="left" w:pos="2268"/>
        </w:tabs>
        <w:overflowPunct w:val="0"/>
        <w:autoSpaceDE w:val="0"/>
        <w:autoSpaceDN w:val="0"/>
        <w:adjustRightInd w:val="0"/>
        <w:spacing w:before="120" w:after="240"/>
        <w:ind w:left="994"/>
        <w:textAlignment w:val="baseline"/>
        <w:rPr>
          <w:rFonts w:eastAsia="Calibri" w:cs="Arial"/>
          <w:color w:val="auto"/>
        </w:rPr>
      </w:pPr>
    </w:p>
    <w:p w14:paraId="487FC2BE" w14:textId="77777777" w:rsidR="007A2A6F" w:rsidRPr="00653DCF" w:rsidRDefault="007A2A6F">
      <w:pPr>
        <w:keepLines/>
        <w:tabs>
          <w:tab w:val="left" w:pos="2268"/>
        </w:tabs>
        <w:overflowPunct w:val="0"/>
        <w:autoSpaceDE w:val="0"/>
        <w:autoSpaceDN w:val="0"/>
        <w:adjustRightInd w:val="0"/>
        <w:spacing w:before="120" w:after="240"/>
        <w:ind w:left="994"/>
        <w:textAlignment w:val="baseline"/>
        <w:rPr>
          <w:rFonts w:eastAsia="Calibri" w:cs="Arial"/>
          <w:color w:val="auto"/>
        </w:rPr>
      </w:pPr>
    </w:p>
    <w:p w14:paraId="685ED22E" w14:textId="05EA48CC" w:rsidR="007A2A6F" w:rsidRPr="00653DCF" w:rsidRDefault="00E87B0B">
      <w:pPr>
        <w:pStyle w:val="P68B1DB1-Normal34"/>
        <w:keepLines/>
        <w:tabs>
          <w:tab w:val="left" w:pos="2268"/>
        </w:tabs>
        <w:overflowPunct w:val="0"/>
        <w:autoSpaceDE w:val="0"/>
        <w:autoSpaceDN w:val="0"/>
        <w:adjustRightInd w:val="0"/>
        <w:spacing w:before="240" w:after="240"/>
        <w:ind w:left="994"/>
        <w:textAlignment w:val="baseline"/>
      </w:pPr>
      <w:r w:rsidRPr="00653DCF">
        <w:t>Molimo Vas da</w:t>
      </w:r>
      <w:r w:rsidR="00A4752B" w:rsidRPr="00653DCF">
        <w:t xml:space="preserve"> iznesete sažeti prikaz mjera ublažavanja</w:t>
      </w:r>
      <w:r w:rsidRPr="00653DCF">
        <w:t xml:space="preserve"> neophodnih za potrebe projekta:</w:t>
      </w:r>
    </w:p>
    <w:p w14:paraId="18B222C7" w14:textId="77777777" w:rsidR="007A2A6F" w:rsidRPr="00653DCF" w:rsidRDefault="00E87B0B">
      <w:pPr>
        <w:pStyle w:val="P68B1DB1-Normal35"/>
        <w:keepLines/>
        <w:tabs>
          <w:tab w:val="left" w:pos="2268"/>
        </w:tabs>
        <w:overflowPunct w:val="0"/>
        <w:autoSpaceDE w:val="0"/>
        <w:autoSpaceDN w:val="0"/>
        <w:adjustRightInd w:val="0"/>
        <w:spacing w:before="240" w:after="240"/>
        <w:ind w:left="994"/>
        <w:textAlignment w:val="baseline"/>
        <w:rPr>
          <w:rFonts w:cs="Arial"/>
        </w:rPr>
      </w:pPr>
      <w:r w:rsidRPr="00653DCF">
        <w:rPr>
          <w:noProof/>
          <w:lang w:val="hr-HR" w:eastAsia="hr-HR"/>
        </w:rPr>
        <mc:AlternateContent>
          <mc:Choice Requires="wps">
            <w:drawing>
              <wp:anchor distT="0" distB="0" distL="114300" distR="114300" simplePos="0" relativeHeight="251665408" behindDoc="0" locked="0" layoutInCell="1" allowOverlap="1" wp14:anchorId="62010042" wp14:editId="5B73C276">
                <wp:simplePos x="0" y="0"/>
                <wp:positionH relativeFrom="column">
                  <wp:align>center</wp:align>
                </wp:positionH>
                <wp:positionV relativeFrom="paragraph">
                  <wp:posOffset>0</wp:posOffset>
                </wp:positionV>
                <wp:extent cx="5734050" cy="990600"/>
                <wp:effectExtent l="9525" t="9525" r="9525" b="9525"/>
                <wp:wrapNone/>
                <wp:docPr id="15" name="Okvir za unos teks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7F50B6F1" w14:textId="77777777" w:rsidR="00CB3A2D" w:rsidRDefault="00CB3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10042" id="Okvir za unos teksta 4." o:spid="_x0000_s1028" type="#_x0000_t202" style="position:absolute;left:0;text-align:left;margin-left:0;margin-top:0;width:451.5pt;height:7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">
                <v:textbox>
                  <w:txbxContent>
                    <w:p w14:paraId="7F50B6F1" w14:textId="77777777" w:rsidR="00CB3A2D" w:rsidRDefault="00CB3A2D"/>
                  </w:txbxContent>
                </v:textbox>
              </v:shape>
            </w:pict>
          </mc:Fallback>
        </mc:AlternateContent>
      </w:r>
    </w:p>
    <w:p w14:paraId="04ECEDA2" w14:textId="77777777" w:rsidR="007A2A6F" w:rsidRPr="00653DCF" w:rsidRDefault="007A2A6F">
      <w:pPr>
        <w:keepLines/>
        <w:tabs>
          <w:tab w:val="left" w:pos="2268"/>
        </w:tabs>
        <w:overflowPunct w:val="0"/>
        <w:autoSpaceDE w:val="0"/>
        <w:autoSpaceDN w:val="0"/>
        <w:adjustRightInd w:val="0"/>
        <w:spacing w:before="240" w:after="240"/>
        <w:ind w:left="994"/>
        <w:textAlignment w:val="baseline"/>
        <w:rPr>
          <w:rFonts w:eastAsia="Calibri" w:cs="Arial"/>
          <w:color w:val="auto"/>
        </w:rPr>
      </w:pPr>
    </w:p>
    <w:p w14:paraId="10652251" w14:textId="77777777" w:rsidR="007A2A6F" w:rsidRPr="00653DCF" w:rsidRDefault="007A2A6F">
      <w:pPr>
        <w:keepLines/>
        <w:tabs>
          <w:tab w:val="left" w:pos="2268"/>
        </w:tabs>
        <w:overflowPunct w:val="0"/>
        <w:autoSpaceDE w:val="0"/>
        <w:autoSpaceDN w:val="0"/>
        <w:adjustRightInd w:val="0"/>
        <w:spacing w:before="240" w:after="240"/>
        <w:ind w:left="994"/>
        <w:textAlignment w:val="baseline"/>
        <w:rPr>
          <w:rFonts w:eastAsia="Calibri" w:cs="Arial"/>
          <w:color w:val="auto"/>
        </w:rPr>
      </w:pPr>
    </w:p>
    <w:p w14:paraId="12E23553" w14:textId="77777777" w:rsidR="007A2A6F" w:rsidRPr="00653DCF" w:rsidRDefault="007A2A6F">
      <w:pPr>
        <w:keepLines/>
        <w:tabs>
          <w:tab w:val="left" w:pos="2268"/>
        </w:tabs>
        <w:overflowPunct w:val="0"/>
        <w:autoSpaceDE w:val="0"/>
        <w:autoSpaceDN w:val="0"/>
        <w:adjustRightInd w:val="0"/>
        <w:spacing w:before="240" w:after="240"/>
        <w:ind w:left="994"/>
        <w:textAlignment w:val="baseline"/>
        <w:rPr>
          <w:rFonts w:eastAsia="Calibri" w:cs="Arial"/>
          <w:color w:val="auto"/>
        </w:rPr>
      </w:pPr>
    </w:p>
    <w:p w14:paraId="0B2477F7" w14:textId="77777777" w:rsidR="007A2A6F" w:rsidRPr="00653DCF" w:rsidRDefault="00E87B0B">
      <w:pPr>
        <w:pStyle w:val="P68B1DB1-Normal34"/>
        <w:keepLines/>
        <w:tabs>
          <w:tab w:val="left" w:pos="2268"/>
        </w:tabs>
        <w:overflowPunct w:val="0"/>
        <w:autoSpaceDE w:val="0"/>
        <w:autoSpaceDN w:val="0"/>
        <w:adjustRightInd w:val="0"/>
        <w:spacing w:before="240" w:after="240"/>
        <w:ind w:left="994"/>
        <w:textAlignment w:val="baseline"/>
      </w:pPr>
      <w:r w:rsidRPr="00653DCF">
        <w:t>U prilogu je sadržan zemljovid u mjerilu 1:100.000 (ili najbližem mogućem mjerilu) koji prikazuje lokaciju projekta kao i područje od važnosti za zaštitu prirode.</w:t>
      </w:r>
    </w:p>
    <w:p w14:paraId="111AE4CC" w14:textId="77777777" w:rsidR="007A2A6F" w:rsidRPr="00653DCF" w:rsidRDefault="00E87B0B">
      <w:pPr>
        <w:pStyle w:val="P68B1DB1-Normal34"/>
        <w:keepLines/>
        <w:tabs>
          <w:tab w:val="left" w:pos="2268"/>
        </w:tabs>
        <w:overflowPunct w:val="0"/>
        <w:autoSpaceDE w:val="0"/>
        <w:autoSpaceDN w:val="0"/>
        <w:adjustRightInd w:val="0"/>
        <w:spacing w:before="240" w:after="240"/>
        <w:ind w:left="994"/>
        <w:textAlignment w:val="baseline"/>
      </w:pPr>
      <w:r w:rsidRPr="00653DCF">
        <w:t>Potpis:</w:t>
      </w:r>
    </w:p>
    <w:p w14:paraId="4FC82413" w14:textId="4433B376" w:rsidR="007A2A6F" w:rsidRPr="00653DCF" w:rsidRDefault="00A4752B">
      <w:pPr>
        <w:pStyle w:val="P68B1DB1-Normal34"/>
        <w:keepLines/>
        <w:tabs>
          <w:tab w:val="left" w:pos="2268"/>
        </w:tabs>
        <w:overflowPunct w:val="0"/>
        <w:autoSpaceDE w:val="0"/>
        <w:autoSpaceDN w:val="0"/>
        <w:adjustRightInd w:val="0"/>
        <w:spacing w:before="240" w:after="240"/>
        <w:ind w:left="994"/>
        <w:textAlignment w:val="baseline"/>
      </w:pPr>
      <w:r w:rsidRPr="00653DCF">
        <w:t>Ime</w:t>
      </w:r>
      <w:r w:rsidR="00E87B0B" w:rsidRPr="00653DCF">
        <w:t xml:space="preserve"> i prezime i dužnost:</w:t>
      </w:r>
    </w:p>
    <w:p w14:paraId="4C1CCF0F" w14:textId="77777777" w:rsidR="007A2A6F" w:rsidRPr="00653DCF" w:rsidRDefault="00E87B0B">
      <w:pPr>
        <w:pStyle w:val="P68B1DB1-Normal34"/>
        <w:keepLines/>
        <w:tabs>
          <w:tab w:val="left" w:pos="2268"/>
        </w:tabs>
        <w:overflowPunct w:val="0"/>
        <w:autoSpaceDE w:val="0"/>
        <w:autoSpaceDN w:val="0"/>
        <w:adjustRightInd w:val="0"/>
        <w:spacing w:before="240" w:after="240"/>
        <w:ind w:left="994"/>
        <w:textAlignment w:val="baseline"/>
      </w:pPr>
      <w:r w:rsidRPr="00653DCF">
        <w:t>Organizacija (tijelo nadležno za Praćenje stanja na područjima iz mreže NATURA 2000)</w:t>
      </w:r>
    </w:p>
    <w:p w14:paraId="08404A58" w14:textId="77777777" w:rsidR="007A2A6F" w:rsidRPr="00653DCF" w:rsidRDefault="00E87B0B">
      <w:pPr>
        <w:pStyle w:val="P68B1DB1-Normal34"/>
        <w:keepLines/>
        <w:tabs>
          <w:tab w:val="left" w:pos="2268"/>
        </w:tabs>
        <w:overflowPunct w:val="0"/>
        <w:autoSpaceDE w:val="0"/>
        <w:autoSpaceDN w:val="0"/>
        <w:adjustRightInd w:val="0"/>
        <w:spacing w:before="240" w:after="240"/>
        <w:ind w:left="994"/>
        <w:textAlignment w:val="baseline"/>
      </w:pPr>
      <w:r w:rsidRPr="00653DCF">
        <w:t>Službeni pečat:</w:t>
      </w:r>
    </w:p>
    <w:p w14:paraId="2570C7EB" w14:textId="2D7C3E15" w:rsidR="007A2A6F" w:rsidRPr="00653DCF" w:rsidRDefault="00E87B0B">
      <w:pPr>
        <w:pStyle w:val="P68B1DB1-Normal33"/>
        <w:keepNext/>
        <w:keepLines/>
        <w:numPr>
          <w:ilvl w:val="3"/>
          <w:numId w:val="0"/>
        </w:numPr>
        <w:tabs>
          <w:tab w:val="left" w:pos="2268"/>
        </w:tabs>
        <w:overflowPunct w:val="0"/>
        <w:autoSpaceDE w:val="0"/>
        <w:autoSpaceDN w:val="0"/>
        <w:adjustRightInd w:val="0"/>
        <w:spacing w:before="240" w:after="60"/>
        <w:textAlignment w:val="baseline"/>
        <w:outlineLvl w:val="3"/>
      </w:pPr>
      <w:r w:rsidRPr="00653DCF">
        <w:t xml:space="preserve">Obrazac B – Rizik značajnog utjecaja – </w:t>
      </w:r>
      <w:r w:rsidR="00244D9F" w:rsidRPr="00653DCF">
        <w:t xml:space="preserve">OBRAZAC </w:t>
      </w:r>
      <w:r w:rsidRPr="00653DCF">
        <w:t>B</w:t>
      </w:r>
    </w:p>
    <w:p w14:paraId="72B253D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E4663C6" w14:textId="77777777" w:rsidR="007A2A6F" w:rsidRPr="00653DCF" w:rsidRDefault="00E87B0B">
      <w:pPr>
        <w:pStyle w:val="P68B1DB1-Normal36"/>
        <w:keepLines/>
        <w:pBdr>
          <w:top w:val="single" w:sz="4" w:space="1" w:color="auto"/>
          <w:left w:val="single" w:sz="4" w:space="4" w:color="auto"/>
          <w:bottom w:val="single" w:sz="4" w:space="1" w:color="auto"/>
          <w:right w:val="single" w:sz="4" w:space="4" w:color="auto"/>
        </w:pBdr>
        <w:shd w:val="clear" w:color="auto" w:fill="D9D9D9"/>
        <w:tabs>
          <w:tab w:val="left" w:pos="2268"/>
        </w:tabs>
        <w:overflowPunct w:val="0"/>
        <w:autoSpaceDE w:val="0"/>
        <w:autoSpaceDN w:val="0"/>
        <w:adjustRightInd w:val="0"/>
        <w:ind w:left="994"/>
        <w:jc w:val="center"/>
        <w:textAlignment w:val="baseline"/>
      </w:pPr>
      <w:r w:rsidRPr="00653DCF">
        <w:rPr>
          <w:b/>
        </w:rPr>
        <w:t>PODACI TIJELA NADLEŽNOG ZA PRAĆENJE STANJA</w:t>
      </w:r>
      <w:r w:rsidRPr="00653DCF">
        <w:rPr>
          <w:b/>
        </w:rPr>
        <w:br/>
        <w:t>NA PODRUČJU OD VAŽNOSTI ZA ZAŠTITU PRIRODE</w:t>
      </w:r>
      <w:r w:rsidRPr="00653DCF">
        <w:rPr>
          <w:vertAlign w:val="superscript"/>
        </w:rPr>
        <w:footnoteReference w:id="11"/>
      </w:r>
    </w:p>
    <w:p w14:paraId="2D6E7DAB" w14:textId="77777777" w:rsidR="007A2A6F" w:rsidRPr="00653DCF" w:rsidRDefault="007A2A6F">
      <w:pPr>
        <w:keepLines/>
        <w:tabs>
          <w:tab w:val="left" w:pos="2268"/>
          <w:tab w:val="right" w:leader="dot" w:pos="8364"/>
        </w:tabs>
        <w:overflowPunct w:val="0"/>
        <w:autoSpaceDE w:val="0"/>
        <w:autoSpaceDN w:val="0"/>
        <w:adjustRightInd w:val="0"/>
        <w:spacing w:before="120" w:after="240" w:line="276" w:lineRule="auto"/>
        <w:ind w:left="994"/>
        <w:textAlignment w:val="baseline"/>
        <w:rPr>
          <w:rFonts w:eastAsia="Calibri" w:cs="Arial"/>
          <w:color w:val="auto"/>
        </w:rPr>
      </w:pPr>
    </w:p>
    <w:p w14:paraId="02D7E1B1" w14:textId="77777777" w:rsidR="007A2A6F" w:rsidRPr="00653DCF" w:rsidRDefault="00E87B0B">
      <w:pPr>
        <w:pStyle w:val="P68B1DB1-Normal34"/>
        <w:keepLines/>
        <w:tabs>
          <w:tab w:val="left" w:pos="2268"/>
          <w:tab w:val="right" w:leader="dot" w:pos="8364"/>
        </w:tabs>
        <w:overflowPunct w:val="0"/>
        <w:autoSpaceDE w:val="0"/>
        <w:autoSpaceDN w:val="0"/>
        <w:adjustRightInd w:val="0"/>
        <w:spacing w:before="120" w:after="240" w:line="276" w:lineRule="auto"/>
        <w:ind w:left="994"/>
        <w:textAlignment w:val="baseline"/>
      </w:pPr>
      <w:r w:rsidRPr="00653DCF">
        <w:t>Nadležno tijelo</w:t>
      </w:r>
      <w:r w:rsidRPr="00653DCF">
        <w:tab/>
      </w:r>
    </w:p>
    <w:p w14:paraId="2EF9EB3D" w14:textId="09AEB5AB" w:rsidR="007A2A6F" w:rsidRPr="00653DCF" w:rsidRDefault="00E87B0B">
      <w:pPr>
        <w:pStyle w:val="P68B1DB1-Normal34"/>
        <w:keepLines/>
        <w:tabs>
          <w:tab w:val="left" w:pos="2268"/>
          <w:tab w:val="right" w:leader="dot" w:pos="8364"/>
        </w:tabs>
        <w:overflowPunct w:val="0"/>
        <w:autoSpaceDE w:val="0"/>
        <w:autoSpaceDN w:val="0"/>
        <w:adjustRightInd w:val="0"/>
        <w:spacing w:before="120" w:after="240" w:line="276" w:lineRule="auto"/>
        <w:ind w:left="994"/>
        <w:textAlignment w:val="baseline"/>
      </w:pPr>
      <w:r w:rsidRPr="00653DCF">
        <w:t>nakon što je ispitalo</w:t>
      </w:r>
      <w:r w:rsidRPr="00653DCF">
        <w:rPr>
          <w:vertAlign w:val="superscript"/>
        </w:rPr>
        <w:footnoteReference w:id="12"/>
      </w:r>
      <w:r w:rsidRPr="00653DCF">
        <w:rPr>
          <w:vertAlign w:val="superscript"/>
        </w:rPr>
        <w:t xml:space="preserve"> </w:t>
      </w:r>
      <w:r w:rsidR="00710210" w:rsidRPr="00653DCF">
        <w:t>prijedlog</w:t>
      </w:r>
      <w:r w:rsidRPr="00653DCF">
        <w:t xml:space="preserve"> projekta</w:t>
      </w:r>
      <w:r w:rsidRPr="00653DCF">
        <w:tab/>
      </w:r>
    </w:p>
    <w:p w14:paraId="44C255E2" w14:textId="2C8F1D9F" w:rsidR="007A2A6F" w:rsidRPr="00653DCF" w:rsidRDefault="00710210">
      <w:pPr>
        <w:pStyle w:val="P68B1DB1-Normal34"/>
        <w:keepLines/>
        <w:tabs>
          <w:tab w:val="left" w:pos="2268"/>
          <w:tab w:val="right" w:leader="dot" w:pos="8364"/>
        </w:tabs>
        <w:overflowPunct w:val="0"/>
        <w:autoSpaceDE w:val="0"/>
        <w:autoSpaceDN w:val="0"/>
        <w:adjustRightInd w:val="0"/>
        <w:spacing w:before="120" w:after="240" w:line="276" w:lineRule="auto"/>
        <w:ind w:left="994"/>
        <w:textAlignment w:val="baseline"/>
      </w:pPr>
      <w:r w:rsidRPr="00653DCF">
        <w:t>k</w:t>
      </w:r>
      <w:r w:rsidR="00E87B0B" w:rsidRPr="00653DCF">
        <w:t>oji će se izvoditi na području</w:t>
      </w:r>
      <w:r w:rsidR="00E87B0B" w:rsidRPr="00653DCF">
        <w:tab/>
      </w:r>
    </w:p>
    <w:p w14:paraId="6E659DF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B69BE8F" w14:textId="1D16491B" w:rsidR="007A2A6F" w:rsidRPr="00653DCF" w:rsidRDefault="00710210">
      <w:pPr>
        <w:pStyle w:val="P68B1DB1-Normal34"/>
        <w:keepLines/>
        <w:tabs>
          <w:tab w:val="left" w:pos="2268"/>
        </w:tabs>
        <w:overflowPunct w:val="0"/>
        <w:autoSpaceDE w:val="0"/>
        <w:autoSpaceDN w:val="0"/>
        <w:adjustRightInd w:val="0"/>
        <w:ind w:left="994"/>
        <w:textAlignment w:val="baseline"/>
      </w:pPr>
      <w:r w:rsidRPr="00653DCF">
        <w:t>iznosi sljedeće podatke i dokumentaciju koja se Europskoj komisiji dostavlja</w:t>
      </w:r>
      <w:r w:rsidR="00E87B0B" w:rsidRPr="00653DCF">
        <w:t xml:space="preserve"> (označiti odgovarajuće polje):</w:t>
      </w:r>
    </w:p>
    <w:p w14:paraId="32C045D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5445DC4" w14:textId="33B23AA6" w:rsidR="007A2A6F" w:rsidRPr="00653DCF" w:rsidRDefault="00710210">
      <w:pPr>
        <w:pStyle w:val="P68B1DB1-Normal34"/>
        <w:keepLines/>
        <w:tabs>
          <w:tab w:val="left" w:pos="2268"/>
        </w:tabs>
        <w:overflowPunct w:val="0"/>
        <w:autoSpaceDE w:val="0"/>
        <w:autoSpaceDN w:val="0"/>
        <w:adjustRightInd w:val="0"/>
        <w:ind w:left="994"/>
        <w:textAlignment w:val="baseline"/>
      </w:pPr>
      <w:r w:rsidRPr="00653DCF">
        <w:t>na uvid</w:t>
      </w:r>
      <w:r w:rsidR="00E87B0B" w:rsidRPr="00653DCF">
        <w:t xml:space="preserve"> (čl. 6. st. 4.(1))</w:t>
      </w:r>
      <w:r w:rsidR="00E87B0B" w:rsidRPr="00653DCF">
        <w:tab/>
      </w:r>
      <w:r w:rsidR="00E87B0B" w:rsidRPr="00653DCF">
        <w:sym w:font="Wingdings" w:char="F06F"/>
      </w:r>
      <w:r w:rsidR="00E87B0B" w:rsidRPr="00653DCF">
        <w:tab/>
      </w:r>
      <w:r w:rsidR="00E87B0B" w:rsidRPr="00653DCF">
        <w:tab/>
      </w:r>
      <w:r w:rsidR="00E87B0B" w:rsidRPr="00653DCF">
        <w:tab/>
        <w:t xml:space="preserve">na davanje mišljenja (čl. 6. st. 4.(2)) </w:t>
      </w:r>
      <w:r w:rsidR="00E87B0B" w:rsidRPr="00653DCF">
        <w:sym w:font="Wingdings" w:char="F06F"/>
      </w:r>
    </w:p>
    <w:p w14:paraId="7ACDEA10" w14:textId="77777777" w:rsidR="007A2A6F" w:rsidRPr="00653DCF" w:rsidRDefault="00E87B0B">
      <w:pPr>
        <w:pStyle w:val="P68B1DB1-Normal34"/>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i/>
        </w:rPr>
      </w:pPr>
      <w:r w:rsidRPr="00653DCF">
        <w:t>Država članica</w:t>
      </w:r>
      <w:r w:rsidRPr="00653DCF">
        <w:rPr>
          <w:i/>
        </w:rPr>
        <w:t>:</w:t>
      </w:r>
    </w:p>
    <w:p w14:paraId="48995B0D" w14:textId="77777777" w:rsidR="007A2A6F" w:rsidRPr="00653DCF" w:rsidRDefault="007A2A6F">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rPr>
      </w:pPr>
    </w:p>
    <w:p w14:paraId="3E46E9A6" w14:textId="77777777" w:rsidR="007A2A6F" w:rsidRPr="00653DCF" w:rsidRDefault="00E87B0B">
      <w:pPr>
        <w:pStyle w:val="P68B1DB1-Normal34"/>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i/>
        </w:rPr>
      </w:pPr>
      <w:r w:rsidRPr="00653DCF">
        <w:t>Nadležno domaće tijelo</w:t>
      </w:r>
      <w:r w:rsidRPr="00653DCF">
        <w:rPr>
          <w:i/>
        </w:rPr>
        <w:t>:</w:t>
      </w:r>
    </w:p>
    <w:p w14:paraId="417E5CAC" w14:textId="77777777" w:rsidR="007A2A6F" w:rsidRPr="00653DCF" w:rsidRDefault="007A2A6F">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rPr>
      </w:pPr>
    </w:p>
    <w:p w14:paraId="27B60462" w14:textId="77777777" w:rsidR="007A2A6F" w:rsidRPr="00653DCF" w:rsidRDefault="00E87B0B">
      <w:pPr>
        <w:pStyle w:val="P68B1DB1-Normal34"/>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i/>
        </w:rPr>
      </w:pPr>
      <w:r w:rsidRPr="00653DCF">
        <w:t>Adresa</w:t>
      </w:r>
      <w:r w:rsidRPr="00653DCF">
        <w:rPr>
          <w:i/>
        </w:rPr>
        <w:t>:</w:t>
      </w:r>
    </w:p>
    <w:p w14:paraId="0CD2EB89" w14:textId="77777777" w:rsidR="007A2A6F" w:rsidRPr="00653DCF" w:rsidRDefault="007A2A6F">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rPr>
      </w:pPr>
    </w:p>
    <w:p w14:paraId="12A2A8A2" w14:textId="77777777" w:rsidR="007A2A6F" w:rsidRPr="00653DCF" w:rsidRDefault="00E87B0B">
      <w:pPr>
        <w:pStyle w:val="P68B1DB1-Normal34"/>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i/>
        </w:rPr>
      </w:pPr>
      <w:r w:rsidRPr="00653DCF">
        <w:t>Osoba za kontakte</w:t>
      </w:r>
      <w:r w:rsidRPr="00653DCF">
        <w:rPr>
          <w:i/>
        </w:rPr>
        <w:t>:</w:t>
      </w:r>
    </w:p>
    <w:p w14:paraId="052C1BBB" w14:textId="77777777" w:rsidR="007A2A6F" w:rsidRPr="00653DCF" w:rsidRDefault="007A2A6F">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color w:val="auto"/>
        </w:rPr>
      </w:pPr>
    </w:p>
    <w:p w14:paraId="0830965A" w14:textId="77777777" w:rsidR="007A2A6F" w:rsidRPr="00653DCF" w:rsidRDefault="00E87B0B">
      <w:pPr>
        <w:pStyle w:val="P68B1DB1-Normal34"/>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i/>
        </w:rPr>
      </w:pPr>
      <w:r w:rsidRPr="00653DCF">
        <w:t>Tel., faks, e-pošta</w:t>
      </w:r>
      <w:r w:rsidRPr="00653DCF">
        <w:rPr>
          <w:i/>
        </w:rPr>
        <w:t>:</w:t>
      </w:r>
    </w:p>
    <w:p w14:paraId="4B049DC3" w14:textId="77777777" w:rsidR="007A2A6F" w:rsidRPr="00653DCF" w:rsidRDefault="007A2A6F">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rPr>
      </w:pPr>
    </w:p>
    <w:p w14:paraId="0B251BFB" w14:textId="77777777" w:rsidR="007A2A6F" w:rsidRPr="00653DCF" w:rsidRDefault="00E87B0B">
      <w:pPr>
        <w:pStyle w:val="P68B1DB1-Normal34"/>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i/>
        </w:rPr>
      </w:pPr>
      <w:r w:rsidRPr="00653DCF">
        <w:t>Datum</w:t>
      </w:r>
      <w:r w:rsidRPr="00653DCF">
        <w:rPr>
          <w:i/>
        </w:rPr>
        <w:t>:</w:t>
      </w:r>
    </w:p>
    <w:p w14:paraId="29AF335E" w14:textId="77777777" w:rsidR="007A2A6F" w:rsidRPr="00653DCF" w:rsidRDefault="007A2A6F">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color w:val="auto"/>
        </w:rPr>
      </w:pPr>
    </w:p>
    <w:p w14:paraId="4152660E" w14:textId="2F3DEF68" w:rsidR="007A2A6F" w:rsidRPr="00653DCF" w:rsidRDefault="00710210">
      <w:pPr>
        <w:pStyle w:val="P68B1DB1-Normal34"/>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pPr>
      <w:r w:rsidRPr="00653DCF">
        <w:t>Sadrži li o</w:t>
      </w:r>
      <w:r w:rsidR="00E87B0B" w:rsidRPr="00653DCF">
        <w:t xml:space="preserve">bavijest osjetljive podatke? Ako sadrži, molimo da ih naznačite i </w:t>
      </w:r>
      <w:r w:rsidRPr="00653DCF">
        <w:t>obrazložite</w:t>
      </w:r>
    </w:p>
    <w:p w14:paraId="1121F6D0" w14:textId="77777777" w:rsidR="007A2A6F" w:rsidRPr="00653DCF" w:rsidRDefault="007A2A6F">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rPr>
      </w:pPr>
    </w:p>
    <w:p w14:paraId="5F06473A" w14:textId="77777777" w:rsidR="007A2A6F" w:rsidRPr="00653DCF" w:rsidRDefault="00E87B0B">
      <w:pPr>
        <w:pStyle w:val="P68B1DB1-Normal37"/>
        <w:keepLines/>
        <w:tabs>
          <w:tab w:val="left" w:pos="2268"/>
        </w:tabs>
        <w:overflowPunct w:val="0"/>
        <w:autoSpaceDE w:val="0"/>
        <w:autoSpaceDN w:val="0"/>
        <w:adjustRightInd w:val="0"/>
        <w:ind w:left="994"/>
        <w:textAlignment w:val="baseline"/>
      </w:pPr>
      <w:r w:rsidRPr="00653DCF">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2A6F" w:rsidRPr="00653DCF" w14:paraId="52AD940B" w14:textId="77777777">
        <w:tc>
          <w:tcPr>
            <w:tcW w:w="8522" w:type="dxa"/>
          </w:tcPr>
          <w:p w14:paraId="0EE768B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EA91CDB" w14:textId="77777777" w:rsidR="007A2A6F" w:rsidRPr="00653DCF" w:rsidRDefault="00E87B0B" w:rsidP="006010BF">
            <w:pPr>
              <w:pStyle w:val="P68B1DB1-Normal34"/>
              <w:keepLines/>
              <w:numPr>
                <w:ilvl w:val="0"/>
                <w:numId w:val="64"/>
              </w:numPr>
              <w:tabs>
                <w:tab w:val="left" w:pos="2268"/>
              </w:tabs>
              <w:overflowPunct w:val="0"/>
              <w:autoSpaceDE w:val="0"/>
              <w:autoSpaceDN w:val="0"/>
              <w:adjustRightInd w:val="0"/>
              <w:spacing w:after="200" w:line="276" w:lineRule="auto"/>
              <w:jc w:val="center"/>
              <w:textAlignment w:val="baseline"/>
            </w:pPr>
            <w:r w:rsidRPr="00653DCF">
              <w:t>PLAN ILI PROJEKT</w:t>
            </w:r>
          </w:p>
          <w:p w14:paraId="18C4D860"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163F333B" w14:textId="77777777">
        <w:tc>
          <w:tcPr>
            <w:tcW w:w="8522" w:type="dxa"/>
            <w:tcBorders>
              <w:left w:val="nil"/>
              <w:right w:val="nil"/>
            </w:tcBorders>
          </w:tcPr>
          <w:p w14:paraId="68155A8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217376B7" w14:textId="77777777">
        <w:tc>
          <w:tcPr>
            <w:tcW w:w="8522" w:type="dxa"/>
          </w:tcPr>
          <w:p w14:paraId="119D22C5"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Naziv plan/projekta:</w:t>
            </w:r>
          </w:p>
          <w:p w14:paraId="544BAC3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61AB33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95A1AC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0C1F706"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Predlagatelj:</w:t>
            </w:r>
          </w:p>
          <w:p w14:paraId="7C2E539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84A448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433424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D83C00A" w14:textId="20AD39CD" w:rsidR="007A2A6F" w:rsidRPr="00653DCF" w:rsidRDefault="00976C27">
            <w:pPr>
              <w:pStyle w:val="P68B1DB1-Normal34"/>
              <w:keepLines/>
              <w:tabs>
                <w:tab w:val="left" w:pos="2268"/>
              </w:tabs>
              <w:overflowPunct w:val="0"/>
              <w:autoSpaceDE w:val="0"/>
              <w:autoSpaceDN w:val="0"/>
              <w:adjustRightInd w:val="0"/>
              <w:ind w:left="994"/>
              <w:textAlignment w:val="baseline"/>
            </w:pPr>
            <w:r w:rsidRPr="00653DCF">
              <w:t>Sažetak p</w:t>
            </w:r>
            <w:r w:rsidR="00E87B0B" w:rsidRPr="00653DCF">
              <w:t>lan ili projekt</w:t>
            </w:r>
            <w:r w:rsidRPr="00653DCF">
              <w:t>a koji ima u</w:t>
            </w:r>
            <w:r w:rsidR="00E87B0B" w:rsidRPr="00653DCF">
              <w:t>tjecaj na predmetno područje:</w:t>
            </w:r>
          </w:p>
          <w:p w14:paraId="726B3CD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709CBA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DD6FE3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BE36C6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EC399E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0F3A942"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EB0EBE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4567C6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4EF099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150C933"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343A71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56D312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903C0A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002501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3C817A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E40B84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3E9C492"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A26F3E7" w14:textId="3F9A2B3C"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 xml:space="preserve">Opis i lokacija projektnih stavki i djelatnosti s potencijalnim </w:t>
            </w:r>
            <w:r w:rsidR="00473A6B" w:rsidRPr="00653DCF">
              <w:t>učincima</w:t>
            </w:r>
            <w:r w:rsidRPr="00653DCF">
              <w:t>, uz točnu naznaku pogođenih područja (uključujući zemljovide):</w:t>
            </w:r>
          </w:p>
          <w:p w14:paraId="636796B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80EEF3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FFBAB9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4F2391D"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B85DA0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90A7690"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bl>
    <w:p w14:paraId="659DFC7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8EAF442"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2A6F" w:rsidRPr="00653DCF" w14:paraId="088E324A" w14:textId="77777777">
        <w:tc>
          <w:tcPr>
            <w:tcW w:w="8522" w:type="dxa"/>
          </w:tcPr>
          <w:p w14:paraId="4BA35568" w14:textId="77777777" w:rsidR="007A2A6F" w:rsidRPr="00653DCF" w:rsidRDefault="007A2A6F">
            <w:pPr>
              <w:keepLines/>
              <w:tabs>
                <w:tab w:val="left" w:pos="2268"/>
              </w:tabs>
              <w:overflowPunct w:val="0"/>
              <w:autoSpaceDE w:val="0"/>
              <w:autoSpaceDN w:val="0"/>
              <w:adjustRightInd w:val="0"/>
              <w:ind w:left="994"/>
              <w:jc w:val="center"/>
              <w:textAlignment w:val="baseline"/>
              <w:rPr>
                <w:rFonts w:eastAsia="Calibri" w:cs="Arial"/>
                <w:color w:val="auto"/>
              </w:rPr>
            </w:pPr>
          </w:p>
          <w:p w14:paraId="54104335" w14:textId="77777777" w:rsidR="007A2A6F" w:rsidRPr="00653DCF" w:rsidRDefault="00E87B0B">
            <w:pPr>
              <w:pStyle w:val="P68B1DB1-Normal34"/>
              <w:keepLines/>
              <w:tabs>
                <w:tab w:val="left" w:pos="2268"/>
              </w:tabs>
              <w:overflowPunct w:val="0"/>
              <w:autoSpaceDE w:val="0"/>
              <w:autoSpaceDN w:val="0"/>
              <w:adjustRightInd w:val="0"/>
              <w:ind w:left="994"/>
              <w:jc w:val="center"/>
              <w:textAlignment w:val="baseline"/>
            </w:pPr>
            <w:r w:rsidRPr="00653DCF">
              <w:t>2. OCJENA NEGATIVNIH UTJECAJA</w:t>
            </w:r>
            <w:r w:rsidRPr="00653DCF">
              <w:rPr>
                <w:vertAlign w:val="superscript"/>
              </w:rPr>
              <w:footnoteReference w:id="13"/>
            </w:r>
          </w:p>
          <w:p w14:paraId="0EEF2C9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7AFF8274" w14:textId="77777777">
        <w:tc>
          <w:tcPr>
            <w:tcW w:w="8522" w:type="dxa"/>
            <w:tcBorders>
              <w:left w:val="nil"/>
              <w:right w:val="nil"/>
            </w:tcBorders>
          </w:tcPr>
          <w:p w14:paraId="522BF26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670B6BD6" w14:textId="77777777">
        <w:trPr>
          <w:trHeight w:val="523"/>
        </w:trPr>
        <w:tc>
          <w:tcPr>
            <w:tcW w:w="8522" w:type="dxa"/>
          </w:tcPr>
          <w:p w14:paraId="373C93F4"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Naziv i oznaka pogođenog (pogođenih) područja iz mreže Natura 2000:</w:t>
            </w:r>
          </w:p>
          <w:p w14:paraId="2A04BC3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2B4D216" w14:textId="08A31B37" w:rsidR="007A2A6F" w:rsidRPr="00653DCF" w:rsidRDefault="00826219">
            <w:pPr>
              <w:pStyle w:val="P68B1DB1-Normal34"/>
              <w:keepLines/>
              <w:tabs>
                <w:tab w:val="left" w:pos="2268"/>
              </w:tabs>
              <w:overflowPunct w:val="0"/>
              <w:autoSpaceDE w:val="0"/>
              <w:autoSpaceDN w:val="0"/>
              <w:adjustRightInd w:val="0"/>
              <w:ind w:left="994"/>
              <w:textAlignment w:val="baseline"/>
            </w:pPr>
            <w:r w:rsidRPr="00653DCF">
              <w:t>Molimo v</w:t>
            </w:r>
            <w:r w:rsidR="00E87B0B" w:rsidRPr="00653DCF">
              <w:t>as da označite odgovarajuće polje.</w:t>
            </w:r>
          </w:p>
          <w:p w14:paraId="3DEC5C80"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FA5716B" w14:textId="6143A8A2"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Wingdings" w:char="F06F"/>
            </w:r>
            <w:r w:rsidR="00826219" w:rsidRPr="00653DCF">
              <w:t xml:space="preserve"> p</w:t>
            </w:r>
            <w:r w:rsidRPr="00653DCF">
              <w:t>odručje posebne zaštite (</w:t>
            </w:r>
            <w:r w:rsidRPr="00653DCF">
              <w:rPr>
                <w:b/>
              </w:rPr>
              <w:t>SPA</w:t>
            </w:r>
            <w:r w:rsidRPr="00653DCF">
              <w:t>) prema Direktivi o pticama</w:t>
            </w:r>
          </w:p>
          <w:p w14:paraId="78FCE45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8CFFE73" w14:textId="089FDC61"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Wingdings" w:char="F06F"/>
            </w:r>
            <w:r w:rsidR="00826219" w:rsidRPr="00653DCF">
              <w:t xml:space="preserve"> p</w:t>
            </w:r>
            <w:r w:rsidRPr="00653DCF">
              <w:t>odručje posebne zaštite/Posebno područje zaštite (</w:t>
            </w:r>
            <w:r w:rsidRPr="00653DCF">
              <w:rPr>
                <w:b/>
              </w:rPr>
              <w:t>SCI/SAC</w:t>
            </w:r>
            <w:r w:rsidRPr="00653DCF">
              <w:t>) prema Direktivi o staništima</w:t>
            </w:r>
          </w:p>
          <w:p w14:paraId="7E61418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41C3B13" w14:textId="53390C4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Wingdings" w:char="F06F"/>
            </w:r>
            <w:r w:rsidR="00826219" w:rsidRPr="00653DCF">
              <w:t xml:space="preserve"> p</w:t>
            </w:r>
            <w:r w:rsidRPr="00653DCF">
              <w:t>odručje na kojem se</w:t>
            </w:r>
            <w:r w:rsidRPr="00653DCF">
              <w:rPr>
                <w:b/>
              </w:rPr>
              <w:t xml:space="preserve"> nalazi</w:t>
            </w:r>
            <w:r w:rsidRPr="00653DCF">
              <w:t xml:space="preserve"> neko </w:t>
            </w:r>
            <w:r w:rsidRPr="00653DCF">
              <w:rPr>
                <w:b/>
              </w:rPr>
              <w:t>prioritetno</w:t>
            </w:r>
            <w:r w:rsidRPr="00653DCF">
              <w:t xml:space="preserve"> stanište/vrsta</w:t>
            </w:r>
          </w:p>
          <w:p w14:paraId="7A133020" w14:textId="77777777" w:rsidR="007A2A6F" w:rsidRPr="00653DCF" w:rsidRDefault="007A2A6F">
            <w:pPr>
              <w:keepLines/>
              <w:tabs>
                <w:tab w:val="left" w:pos="2268"/>
              </w:tabs>
              <w:overflowPunct w:val="0"/>
              <w:autoSpaceDE w:val="0"/>
              <w:autoSpaceDN w:val="0"/>
              <w:adjustRightInd w:val="0"/>
              <w:spacing w:before="200"/>
              <w:ind w:left="994"/>
              <w:textAlignment w:val="baseline"/>
              <w:rPr>
                <w:rFonts w:eastAsia="Calibri" w:cs="Arial"/>
                <w:color w:val="auto"/>
              </w:rPr>
            </w:pPr>
          </w:p>
          <w:p w14:paraId="4D2A2EF0" w14:textId="7A1F1137" w:rsidR="007A2A6F" w:rsidRPr="00653DCF" w:rsidRDefault="00E87B0B">
            <w:pPr>
              <w:pStyle w:val="P68B1DB1-Normal34"/>
              <w:keepLines/>
              <w:tabs>
                <w:tab w:val="left" w:pos="2268"/>
              </w:tabs>
              <w:overflowPunct w:val="0"/>
              <w:autoSpaceDE w:val="0"/>
              <w:autoSpaceDN w:val="0"/>
              <w:adjustRightInd w:val="0"/>
              <w:ind w:left="994"/>
              <w:textAlignment w:val="baseline"/>
              <w:rPr>
                <w:b/>
              </w:rPr>
            </w:pPr>
            <w:r w:rsidRPr="00653DCF">
              <w:sym w:font="Wingdings" w:char="F06F"/>
            </w:r>
            <w:r w:rsidR="00826219" w:rsidRPr="00653DCF">
              <w:t xml:space="preserve"> </w:t>
            </w:r>
            <w:r w:rsidRPr="00653DCF">
              <w:rPr>
                <w:b/>
              </w:rPr>
              <w:t xml:space="preserve">pogođena </w:t>
            </w:r>
            <w:r w:rsidRPr="00653DCF">
              <w:t xml:space="preserve">su </w:t>
            </w:r>
            <w:r w:rsidRPr="00653DCF">
              <w:rPr>
                <w:b/>
              </w:rPr>
              <w:t xml:space="preserve">prioritetna </w:t>
            </w:r>
            <w:r w:rsidRPr="00653DCF">
              <w:t>staništa/vrste</w:t>
            </w:r>
          </w:p>
          <w:p w14:paraId="66579C0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A08C501" w14:textId="394C2E38"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Wingdings" w:char="F06F"/>
            </w:r>
            <w:r w:rsidR="00826219" w:rsidRPr="00653DCF">
              <w:t xml:space="preserve"> </w:t>
            </w:r>
            <w:r w:rsidRPr="00653DCF">
              <w:t>močvarno područje od međuna</w:t>
            </w:r>
            <w:r w:rsidR="00826219" w:rsidRPr="00653DCF">
              <w:t xml:space="preserve">rodne važnosti, koje je kao </w:t>
            </w:r>
            <w:r w:rsidRPr="00653DCF">
              <w:t xml:space="preserve">takvo određeno u </w:t>
            </w:r>
            <w:r w:rsidRPr="00653DCF">
              <w:rPr>
                <w:b/>
              </w:rPr>
              <w:t>Ramsarskoj konvenciji</w:t>
            </w:r>
            <w:r w:rsidRPr="00653DCF">
              <w:t xml:space="preserve"> ili ispunjava uvjete za takvu zaštitu</w:t>
            </w:r>
          </w:p>
          <w:p w14:paraId="4D7A8DC1" w14:textId="77777777" w:rsidR="007A2A6F" w:rsidRPr="00653DCF" w:rsidRDefault="007A2A6F">
            <w:pPr>
              <w:keepLines/>
              <w:tabs>
                <w:tab w:val="left" w:pos="2268"/>
              </w:tabs>
              <w:overflowPunct w:val="0"/>
              <w:autoSpaceDE w:val="0"/>
              <w:autoSpaceDN w:val="0"/>
              <w:adjustRightInd w:val="0"/>
              <w:spacing w:before="200"/>
              <w:ind w:left="994"/>
              <w:textAlignment w:val="baseline"/>
              <w:rPr>
                <w:rFonts w:eastAsia="Calibri" w:cs="Arial"/>
                <w:color w:val="auto"/>
              </w:rPr>
            </w:pPr>
          </w:p>
          <w:p w14:paraId="719D0F82" w14:textId="42809B88"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Wingdings" w:char="F06F"/>
            </w:r>
            <w:r w:rsidR="00826219" w:rsidRPr="00653DCF">
              <w:t xml:space="preserve"> p</w:t>
            </w:r>
            <w:r w:rsidRPr="00653DCF">
              <w:t>odručje uvršteno u najnoviji popis</w:t>
            </w:r>
            <w:r w:rsidRPr="00653DCF">
              <w:rPr>
                <w:b/>
              </w:rPr>
              <w:t xml:space="preserve"> područja važnih za ptice</w:t>
            </w:r>
            <w:r w:rsidRPr="00653DCF">
              <w:t xml:space="preserve"> (IBA) ili (ako postoji) kakav istovrijedan iscrpni</w:t>
            </w:r>
            <w:r w:rsidR="0012335D" w:rsidRPr="00653DCF">
              <w:t>ji</w:t>
            </w:r>
            <w:r w:rsidRPr="00653DCF">
              <w:t xml:space="preserve"> znanstveni popis prihvaćen od domaćih nadležnih tijela</w:t>
            </w:r>
          </w:p>
          <w:p w14:paraId="3168EBBC" w14:textId="77777777" w:rsidR="007A2A6F" w:rsidRPr="00653DCF" w:rsidRDefault="007A2A6F">
            <w:pPr>
              <w:keepLines/>
              <w:tabs>
                <w:tab w:val="left" w:pos="2268"/>
              </w:tabs>
              <w:overflowPunct w:val="0"/>
              <w:autoSpaceDE w:val="0"/>
              <w:autoSpaceDN w:val="0"/>
              <w:adjustRightInd w:val="0"/>
              <w:spacing w:before="200"/>
              <w:ind w:left="994"/>
              <w:textAlignment w:val="baseline"/>
              <w:rPr>
                <w:rFonts w:eastAsia="Calibri" w:cs="Arial"/>
                <w:color w:val="auto"/>
              </w:rPr>
            </w:pPr>
          </w:p>
          <w:p w14:paraId="2128485E" w14:textId="1456A522"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Wingdings" w:char="F06F"/>
            </w:r>
            <w:r w:rsidR="0012335D" w:rsidRPr="00653DCF">
              <w:t xml:space="preserve"> p</w:t>
            </w:r>
            <w:r w:rsidRPr="00653DCF">
              <w:t xml:space="preserve">odručje na koje se primjenjuje </w:t>
            </w:r>
            <w:r w:rsidRPr="00653DCF">
              <w:rPr>
                <w:b/>
              </w:rPr>
              <w:t>Bernska konvencija</w:t>
            </w:r>
            <w:r w:rsidRPr="00653DCF">
              <w:t xml:space="preserve"> o zaštiti europskih divljih vrsta i prirodnih staništa (čl. 4.), a osobito područje koje ispunjava kriterije </w:t>
            </w:r>
            <w:r w:rsidRPr="00653DCF">
              <w:rPr>
                <w:b/>
              </w:rPr>
              <w:t>Smaragdne mreže</w:t>
            </w:r>
          </w:p>
          <w:p w14:paraId="216CF30D"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BB4F656" w14:textId="1A8B7894"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Wingdings" w:char="F06F"/>
            </w:r>
            <w:r w:rsidR="0012335D" w:rsidRPr="00653DCF">
              <w:t xml:space="preserve"> područja zaštićena domaćim propisima </w:t>
            </w:r>
            <w:r w:rsidRPr="00653DCF">
              <w:t>o zaštiti prirode</w:t>
            </w:r>
          </w:p>
          <w:p w14:paraId="185B3F6D"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F9CE793"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16CEE56" w14:textId="1C1C5117" w:rsidR="007A2A6F" w:rsidRPr="00653DCF" w:rsidRDefault="0012335D">
            <w:pPr>
              <w:pStyle w:val="P68B1DB1-Normal34"/>
              <w:keepLines/>
              <w:tabs>
                <w:tab w:val="left" w:pos="2268"/>
              </w:tabs>
              <w:overflowPunct w:val="0"/>
              <w:autoSpaceDE w:val="0"/>
              <w:autoSpaceDN w:val="0"/>
              <w:adjustRightInd w:val="0"/>
              <w:ind w:left="994"/>
              <w:textAlignment w:val="baseline"/>
            </w:pPr>
            <w:r w:rsidRPr="00653DCF">
              <w:t>Ciljevi očuvanja područja i ključne z</w:t>
            </w:r>
            <w:r w:rsidR="00E87B0B" w:rsidRPr="00653DCF">
              <w:t xml:space="preserve">načajke koje </w:t>
            </w:r>
            <w:r w:rsidRPr="00653DCF">
              <w:t>doprinose njegovoj cjelovitost:</w:t>
            </w:r>
          </w:p>
          <w:p w14:paraId="0B001D8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E78A38D" w14:textId="174BAF5A" w:rsidR="007A2A6F" w:rsidRDefault="007A2A6F">
            <w:pPr>
              <w:keepLines/>
              <w:tabs>
                <w:tab w:val="left" w:pos="2268"/>
              </w:tabs>
              <w:overflowPunct w:val="0"/>
              <w:autoSpaceDE w:val="0"/>
              <w:autoSpaceDN w:val="0"/>
              <w:adjustRightInd w:val="0"/>
              <w:ind w:left="994"/>
              <w:textAlignment w:val="baseline"/>
              <w:rPr>
                <w:rFonts w:eastAsia="Calibri" w:cs="Arial"/>
                <w:color w:val="auto"/>
              </w:rPr>
            </w:pPr>
          </w:p>
          <w:p w14:paraId="4D92C9EA" w14:textId="77777777" w:rsidR="005C1581" w:rsidRPr="00653DCF" w:rsidRDefault="005C1581">
            <w:pPr>
              <w:keepLines/>
              <w:tabs>
                <w:tab w:val="left" w:pos="2268"/>
              </w:tabs>
              <w:overflowPunct w:val="0"/>
              <w:autoSpaceDE w:val="0"/>
              <w:autoSpaceDN w:val="0"/>
              <w:adjustRightInd w:val="0"/>
              <w:ind w:left="994"/>
              <w:textAlignment w:val="baseline"/>
              <w:rPr>
                <w:rFonts w:eastAsia="Calibri" w:cs="Arial"/>
                <w:color w:val="auto"/>
              </w:rPr>
            </w:pPr>
          </w:p>
          <w:p w14:paraId="152708DB" w14:textId="3D7A04D5"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 xml:space="preserve">Staništa i vrste koje će biti </w:t>
            </w:r>
            <w:r w:rsidR="00A82B70" w:rsidRPr="00653DCF">
              <w:t>pogođene štetnim</w:t>
            </w:r>
            <w:r w:rsidRPr="00653DCF">
              <w:t xml:space="preserve"> posljedicama (npr. </w:t>
            </w:r>
            <w:r w:rsidR="00A82B70" w:rsidRPr="00653DCF">
              <w:t>naznaka njihove</w:t>
            </w:r>
            <w:r w:rsidRPr="00653DCF">
              <w:t xml:space="preserve"> reprezentativnosti i, ako je je primjenjivo, čl. 17., </w:t>
            </w:r>
            <w:r w:rsidR="00A82B70" w:rsidRPr="00653DCF">
              <w:t>stanja njihove očuvanosti i stupnja</w:t>
            </w:r>
            <w:r w:rsidRPr="00653DCF">
              <w:t xml:space="preserve"> izoliranosti te njihovi</w:t>
            </w:r>
            <w:r w:rsidR="00A82B70" w:rsidRPr="00653DCF">
              <w:t>h uloga i f</w:t>
            </w:r>
            <w:r w:rsidRPr="00653DCF">
              <w:t>unkcija na predmetnom području).</w:t>
            </w:r>
          </w:p>
          <w:p w14:paraId="158B689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0392B93"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C49666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6E9E8D0" w14:textId="0C7FF0A8"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 xml:space="preserve">Važnost područja za staništa i vrste koje će biti </w:t>
            </w:r>
            <w:r w:rsidR="00A82B70" w:rsidRPr="00653DCF">
              <w:t>pogođene (npr. o</w:t>
            </w:r>
            <w:r w:rsidRPr="00653DCF">
              <w:t xml:space="preserve">brazloženje </w:t>
            </w:r>
            <w:r w:rsidR="00A82B70" w:rsidRPr="00653DCF">
              <w:t>uloge na državnoj r</w:t>
            </w:r>
            <w:r w:rsidRPr="00653DCF">
              <w:t xml:space="preserve">azini i unutar biogeografske regije te u odnosu na </w:t>
            </w:r>
            <w:r w:rsidR="00A82B70" w:rsidRPr="00653DCF">
              <w:t>cjelovitost</w:t>
            </w:r>
            <w:r w:rsidRPr="00653DCF">
              <w:t xml:space="preserve"> mreže Natura 2000).</w:t>
            </w:r>
          </w:p>
          <w:p w14:paraId="46954F4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90F16DB"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2ECB50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DE90BAE" w14:textId="1778DE80"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 xml:space="preserve">Opis očekivanih štetnih utjecaja (nestanak staništa/vrsta, </w:t>
            </w:r>
            <w:r w:rsidR="00A82B70" w:rsidRPr="00653DCF">
              <w:t>pogoršanje</w:t>
            </w:r>
            <w:r w:rsidRPr="00653DCF">
              <w:t xml:space="preserve"> s</w:t>
            </w:r>
            <w:r w:rsidR="00A82B70" w:rsidRPr="00653DCF">
              <w:t>tanja, uznemiravanje vrsta</w:t>
            </w:r>
            <w:r w:rsidRPr="00653DCF">
              <w:t xml:space="preserve">, izravni i neizravni učinci itd.), razmjera utjecaja (površina staništa i broja vrsta ili područja na </w:t>
            </w:r>
            <w:r w:rsidR="00A82B70" w:rsidRPr="00653DCF">
              <w:t>kojima se one javljaju, a koja su pogođena projektom) važnosti i veličine (npr. razmatranje pogođene površine ili populacije u odnosu na ukupnu površinu ili populaciju na razini predmetnog područja i, možebitno cijele zemlje) te lokacije (uključujući zemljovide).</w:t>
            </w:r>
          </w:p>
          <w:p w14:paraId="0071F90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F6AE10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247837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C8B3ADD" w14:textId="0A5AE75E"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 xml:space="preserve">Možebitne kumulativne i ine posljedice koje </w:t>
            </w:r>
            <w:r w:rsidR="00A82B70" w:rsidRPr="00653DCF">
              <w:t>bi po svoj</w:t>
            </w:r>
            <w:r w:rsidRPr="00653DCF">
              <w:t xml:space="preserve"> prilici mogle</w:t>
            </w:r>
            <w:r w:rsidR="00A82B70" w:rsidRPr="00653DCF">
              <w:t xml:space="preserve"> nastati uslijed</w:t>
            </w:r>
            <w:r w:rsidRPr="00653DCF">
              <w:t xml:space="preserve"> </w:t>
            </w:r>
            <w:r w:rsidR="00A82B70" w:rsidRPr="00653DCF">
              <w:t>provedbe</w:t>
            </w:r>
            <w:r w:rsidRPr="00653DCF">
              <w:t xml:space="preserve"> plana ili projekta koji je predmet ocjene u sprezi s provedbom drugih planova ili projekata.</w:t>
            </w:r>
          </w:p>
          <w:p w14:paraId="045E358D"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D39047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F6D2371" w14:textId="3C524A87" w:rsidR="007A2A6F" w:rsidRPr="00653DCF" w:rsidRDefault="00A82B70">
            <w:pPr>
              <w:pStyle w:val="P68B1DB1-Normal34"/>
              <w:keepLines/>
              <w:tabs>
                <w:tab w:val="left" w:pos="2268"/>
              </w:tabs>
              <w:overflowPunct w:val="0"/>
              <w:autoSpaceDE w:val="0"/>
              <w:autoSpaceDN w:val="0"/>
              <w:adjustRightInd w:val="0"/>
              <w:ind w:left="994"/>
              <w:textAlignment w:val="baseline"/>
            </w:pPr>
            <w:r w:rsidRPr="00653DCF">
              <w:t>Mjere ublažavanja predviđene projektom (opis načina na koji će se</w:t>
            </w:r>
            <w:r w:rsidR="00E87B0B" w:rsidRPr="00653DCF">
              <w:t xml:space="preserve"> iste provesti i na koji će se </w:t>
            </w:r>
            <w:r w:rsidRPr="00653DCF">
              <w:t xml:space="preserve">time izbjeći ili umanjiti nepovoljne posljedice po </w:t>
            </w:r>
            <w:r w:rsidR="00E87B0B" w:rsidRPr="00653DCF">
              <w:t>predmetno područje</w:t>
            </w:r>
            <w:r w:rsidRPr="00653DCF">
              <w:t>)</w:t>
            </w:r>
            <w:r w:rsidR="00E87B0B" w:rsidRPr="00653DCF">
              <w:t>.</w:t>
            </w:r>
          </w:p>
          <w:p w14:paraId="18F59A9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137718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bl>
    <w:p w14:paraId="3C34CD2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2A6F" w:rsidRPr="00653DCF" w14:paraId="7B6C3FE3" w14:textId="77777777">
        <w:tc>
          <w:tcPr>
            <w:tcW w:w="8522" w:type="dxa"/>
          </w:tcPr>
          <w:p w14:paraId="50AE436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85CAD25" w14:textId="77777777" w:rsidR="007A2A6F" w:rsidRPr="00653DCF" w:rsidRDefault="00E87B0B" w:rsidP="006010BF">
            <w:pPr>
              <w:pStyle w:val="P68B1DB1-Normal34"/>
              <w:keepLines/>
              <w:numPr>
                <w:ilvl w:val="0"/>
                <w:numId w:val="65"/>
              </w:numPr>
              <w:tabs>
                <w:tab w:val="left" w:pos="2268"/>
              </w:tabs>
              <w:overflowPunct w:val="0"/>
              <w:autoSpaceDE w:val="0"/>
              <w:autoSpaceDN w:val="0"/>
              <w:adjustRightInd w:val="0"/>
              <w:spacing w:after="200" w:line="276" w:lineRule="auto"/>
              <w:jc w:val="center"/>
              <w:textAlignment w:val="baseline"/>
            </w:pPr>
            <w:r w:rsidRPr="00653DCF">
              <w:t>ZAMJENSKA RJEŠENJA</w:t>
            </w:r>
          </w:p>
          <w:p w14:paraId="266B3F6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45BE660C" w14:textId="77777777">
        <w:tc>
          <w:tcPr>
            <w:tcW w:w="8522" w:type="dxa"/>
            <w:tcBorders>
              <w:left w:val="nil"/>
              <w:right w:val="nil"/>
            </w:tcBorders>
          </w:tcPr>
          <w:p w14:paraId="02DBCFC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46D61D01" w14:textId="77777777">
        <w:tc>
          <w:tcPr>
            <w:tcW w:w="8522" w:type="dxa"/>
          </w:tcPr>
          <w:p w14:paraId="345DBE04" w14:textId="36B29546" w:rsidR="007A2A6F" w:rsidRPr="00653DCF" w:rsidRDefault="00E87B0B">
            <w:pPr>
              <w:pStyle w:val="P68B1DB1-Normal34"/>
              <w:keepLines/>
              <w:tabs>
                <w:tab w:val="left" w:pos="2268"/>
              </w:tabs>
              <w:overflowPunct w:val="0"/>
              <w:autoSpaceDE w:val="0"/>
              <w:autoSpaceDN w:val="0"/>
              <w:adjustRightInd w:val="0"/>
              <w:ind w:left="994"/>
              <w:textAlignment w:val="baseline"/>
              <w:rPr>
                <w:i/>
              </w:rPr>
            </w:pPr>
            <w:r w:rsidRPr="00653DCF">
              <w:t xml:space="preserve">Naznaka i opis mogućih zamjenskih rješenja, uključujući mogućnost </w:t>
            </w:r>
            <w:r w:rsidR="00A82B70" w:rsidRPr="00653DCF">
              <w:t>ne</w:t>
            </w:r>
            <w:r w:rsidRPr="00653DCF">
              <w:t>provođe</w:t>
            </w:r>
            <w:r w:rsidR="00A82B70" w:rsidRPr="00653DCF">
              <w:t>nja projekta, tj. „nultu” opciju (n</w:t>
            </w:r>
            <w:r w:rsidRPr="00653DCF">
              <w:t xml:space="preserve">avesti kako su </w:t>
            </w:r>
            <w:r w:rsidR="00A82B70" w:rsidRPr="00653DCF">
              <w:t>utvrđena</w:t>
            </w:r>
            <w:r w:rsidRPr="00653DCF">
              <w:t>, koji su postupci i metode korišteni itd.)</w:t>
            </w:r>
          </w:p>
          <w:p w14:paraId="0B4F804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3F857E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9509F9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50754E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551BF3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C22A1B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7A39EE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B15178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3358F8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8D0324B"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6263193"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248B570"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A6545C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A32D70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B712647" w14:textId="77AFF21E" w:rsidR="007A2A6F" w:rsidRDefault="007A2A6F">
            <w:pPr>
              <w:keepLines/>
              <w:tabs>
                <w:tab w:val="left" w:pos="2268"/>
              </w:tabs>
              <w:overflowPunct w:val="0"/>
              <w:autoSpaceDE w:val="0"/>
              <w:autoSpaceDN w:val="0"/>
              <w:adjustRightInd w:val="0"/>
              <w:ind w:left="994"/>
              <w:textAlignment w:val="baseline"/>
              <w:rPr>
                <w:rFonts w:eastAsia="Calibri" w:cs="Arial"/>
                <w:color w:val="auto"/>
              </w:rPr>
            </w:pPr>
          </w:p>
          <w:p w14:paraId="33E8552C" w14:textId="288048F5" w:rsidR="0082168B" w:rsidRDefault="0082168B">
            <w:pPr>
              <w:keepLines/>
              <w:tabs>
                <w:tab w:val="left" w:pos="2268"/>
              </w:tabs>
              <w:overflowPunct w:val="0"/>
              <w:autoSpaceDE w:val="0"/>
              <w:autoSpaceDN w:val="0"/>
              <w:adjustRightInd w:val="0"/>
              <w:ind w:left="994"/>
              <w:textAlignment w:val="baseline"/>
              <w:rPr>
                <w:rFonts w:eastAsia="Calibri" w:cs="Arial"/>
                <w:color w:val="auto"/>
              </w:rPr>
            </w:pPr>
          </w:p>
          <w:p w14:paraId="5C7BB386" w14:textId="77777777" w:rsidR="0082168B" w:rsidRPr="00653DCF" w:rsidRDefault="0082168B">
            <w:pPr>
              <w:keepLines/>
              <w:tabs>
                <w:tab w:val="left" w:pos="2268"/>
              </w:tabs>
              <w:overflowPunct w:val="0"/>
              <w:autoSpaceDE w:val="0"/>
              <w:autoSpaceDN w:val="0"/>
              <w:adjustRightInd w:val="0"/>
              <w:ind w:left="994"/>
              <w:textAlignment w:val="baseline"/>
              <w:rPr>
                <w:rFonts w:eastAsia="Calibri" w:cs="Arial"/>
                <w:color w:val="auto"/>
              </w:rPr>
            </w:pPr>
          </w:p>
          <w:p w14:paraId="7ED644B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D17E36B" w14:textId="284EA0BD"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Ocjena zamjenskih</w:t>
            </w:r>
            <w:r w:rsidR="00BF296A" w:rsidRPr="00653DCF">
              <w:t xml:space="preserve"> rješenja koja su razmotrena i o</w:t>
            </w:r>
            <w:r w:rsidRPr="00653DCF">
              <w:t xml:space="preserve">brazloženje odabranog zamjenskog rješenja (razlozi zbog kojih su nadležna domaća tijela </w:t>
            </w:r>
            <w:r w:rsidR="00BF296A" w:rsidRPr="00653DCF">
              <w:t>zaključila</w:t>
            </w:r>
            <w:r w:rsidRPr="00653DCF">
              <w:t xml:space="preserve"> kako ne postoje nikakva zamjenska rješenja)</w:t>
            </w:r>
          </w:p>
          <w:p w14:paraId="187C7B4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A9232E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5B889A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385F10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47CBB8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0336BB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FB8D38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097BFC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8A5181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09B4D80"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0F92B9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20A6F6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560FF6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532568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72F340B"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8EC552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D8B73C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9E4DB7B"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BC4B6C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4A4D9D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346F0D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393389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1EF88D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D61ADF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75AF0D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401DCC79" w14:textId="77777777">
        <w:tc>
          <w:tcPr>
            <w:tcW w:w="8522" w:type="dxa"/>
          </w:tcPr>
          <w:p w14:paraId="7461215C" w14:textId="77777777" w:rsidR="007A2A6F" w:rsidRPr="00653DCF" w:rsidRDefault="007A2A6F">
            <w:pPr>
              <w:keepLines/>
              <w:tabs>
                <w:tab w:val="left" w:pos="2268"/>
              </w:tabs>
              <w:overflowPunct w:val="0"/>
              <w:autoSpaceDE w:val="0"/>
              <w:autoSpaceDN w:val="0"/>
              <w:adjustRightInd w:val="0"/>
              <w:ind w:left="994"/>
              <w:jc w:val="center"/>
              <w:textAlignment w:val="baseline"/>
              <w:rPr>
                <w:rFonts w:eastAsia="Calibri" w:cs="Arial"/>
                <w:color w:val="auto"/>
              </w:rPr>
            </w:pPr>
          </w:p>
          <w:p w14:paraId="4D49C25A" w14:textId="77777777" w:rsidR="007A2A6F" w:rsidRPr="00653DCF" w:rsidRDefault="00E87B0B" w:rsidP="006010BF">
            <w:pPr>
              <w:pStyle w:val="P68B1DB1-Normal34"/>
              <w:keepLines/>
              <w:numPr>
                <w:ilvl w:val="0"/>
                <w:numId w:val="65"/>
              </w:numPr>
              <w:tabs>
                <w:tab w:val="left" w:pos="2268"/>
              </w:tabs>
              <w:overflowPunct w:val="0"/>
              <w:autoSpaceDE w:val="0"/>
              <w:autoSpaceDN w:val="0"/>
              <w:adjustRightInd w:val="0"/>
              <w:spacing w:after="200" w:line="276" w:lineRule="auto"/>
              <w:jc w:val="center"/>
              <w:textAlignment w:val="baseline"/>
            </w:pPr>
            <w:r w:rsidRPr="00653DCF">
              <w:t>IMPERATIVNI RAZLOZI PRETEŽUĆEG JAVNOG INTERESA</w:t>
            </w:r>
          </w:p>
          <w:p w14:paraId="21B1E152" w14:textId="77777777" w:rsidR="007A2A6F" w:rsidRPr="00653DCF" w:rsidRDefault="007A2A6F">
            <w:pPr>
              <w:keepLines/>
              <w:tabs>
                <w:tab w:val="left" w:pos="2268"/>
              </w:tabs>
              <w:overflowPunct w:val="0"/>
              <w:autoSpaceDE w:val="0"/>
              <w:autoSpaceDN w:val="0"/>
              <w:adjustRightInd w:val="0"/>
              <w:ind w:left="994"/>
              <w:jc w:val="center"/>
              <w:textAlignment w:val="baseline"/>
              <w:rPr>
                <w:rFonts w:eastAsia="Calibri" w:cs="Arial"/>
                <w:color w:val="auto"/>
              </w:rPr>
            </w:pPr>
          </w:p>
        </w:tc>
      </w:tr>
      <w:tr w:rsidR="007A2A6F" w:rsidRPr="00653DCF" w14:paraId="194283B3" w14:textId="77777777">
        <w:tc>
          <w:tcPr>
            <w:tcW w:w="8522" w:type="dxa"/>
            <w:tcBorders>
              <w:left w:val="nil"/>
              <w:right w:val="nil"/>
            </w:tcBorders>
          </w:tcPr>
          <w:p w14:paraId="523A14F3"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38C18A4E" w14:textId="77777777">
        <w:tc>
          <w:tcPr>
            <w:tcW w:w="8522" w:type="dxa"/>
          </w:tcPr>
          <w:p w14:paraId="27C32034" w14:textId="613BC22D" w:rsidR="007A2A6F" w:rsidRPr="00653DCF" w:rsidRDefault="00E87B0B">
            <w:pPr>
              <w:pStyle w:val="P68B1DB1-Normal34"/>
              <w:keepLines/>
              <w:tabs>
                <w:tab w:val="left" w:pos="2268"/>
              </w:tabs>
              <w:overflowPunct w:val="0"/>
              <w:autoSpaceDE w:val="0"/>
              <w:autoSpaceDN w:val="0"/>
              <w:adjustRightInd w:val="0"/>
              <w:ind w:left="994"/>
              <w:textAlignment w:val="baseline"/>
              <w:rPr>
                <w:i/>
              </w:rPr>
            </w:pPr>
            <w:r w:rsidRPr="00653DCF">
              <w:t xml:space="preserve">Razlog za provedbu ovog plana ili projekta </w:t>
            </w:r>
            <w:r w:rsidR="003E4531" w:rsidRPr="00653DCF">
              <w:t>unatoč njegovim negativni</w:t>
            </w:r>
            <w:r w:rsidRPr="00653DCF">
              <w:t>m utjecajima</w:t>
            </w:r>
            <w:r w:rsidR="003E4531" w:rsidRPr="00653DCF">
              <w:t>:</w:t>
            </w:r>
          </w:p>
          <w:p w14:paraId="03B72AE2"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i/>
                <w:color w:val="auto"/>
              </w:rPr>
            </w:pPr>
          </w:p>
          <w:p w14:paraId="24F4D83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i/>
                <w:color w:val="auto"/>
              </w:rPr>
            </w:pPr>
          </w:p>
          <w:p w14:paraId="6017DE6B" w14:textId="5BA4D1C0" w:rsidR="007A2A6F" w:rsidRPr="00653DCF" w:rsidRDefault="00E87B0B">
            <w:pPr>
              <w:pStyle w:val="P68B1DB1-Normal34"/>
              <w:keepLines/>
              <w:tabs>
                <w:tab w:val="left" w:pos="2268"/>
              </w:tabs>
              <w:overflowPunct w:val="0"/>
              <w:autoSpaceDE w:val="0"/>
              <w:autoSpaceDN w:val="0"/>
              <w:adjustRightInd w:val="0"/>
              <w:ind w:left="994"/>
              <w:textAlignment w:val="baseline"/>
              <w:rPr>
                <w:i/>
              </w:rPr>
            </w:pPr>
            <w:r w:rsidRPr="00653DCF">
              <w:sym w:font="Monotype Sorts" w:char="F09C"/>
            </w:r>
            <w:r w:rsidRPr="00653DCF">
              <w:tab/>
              <w:t>Imperativni razlozi pretežuće</w:t>
            </w:r>
            <w:r w:rsidR="003E4531" w:rsidRPr="00653DCF">
              <w:t>g javnog interesa, uključujući r</w:t>
            </w:r>
            <w:r w:rsidRPr="00653DCF">
              <w:t>azloge društvene ili gospodarske naravi (u slučaju da nema prioritetnih staništa/vrsta)</w:t>
            </w:r>
          </w:p>
          <w:p w14:paraId="0EBC954D"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i/>
                <w:color w:val="auto"/>
              </w:rPr>
            </w:pPr>
          </w:p>
          <w:p w14:paraId="73B86A0F" w14:textId="4F2E6A03"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Monotype Sorts" w:char="F09C"/>
            </w:r>
            <w:r w:rsidR="003E4531" w:rsidRPr="00653DCF">
              <w:tab/>
              <w:t>l</w:t>
            </w:r>
            <w:r w:rsidRPr="00653DCF">
              <w:t>judsko zdravlje</w:t>
            </w:r>
          </w:p>
          <w:p w14:paraId="04C9BF6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i/>
                <w:color w:val="auto"/>
              </w:rPr>
            </w:pPr>
          </w:p>
          <w:p w14:paraId="4AC0B94B"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Monotype Sorts" w:char="F09C"/>
            </w:r>
            <w:r w:rsidRPr="00653DCF">
              <w:tab/>
              <w:t>javna sigurnost</w:t>
            </w:r>
          </w:p>
          <w:p w14:paraId="5E915B2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i/>
                <w:color w:val="auto"/>
              </w:rPr>
            </w:pPr>
          </w:p>
          <w:p w14:paraId="09627FAC"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sym w:font="Monotype Sorts" w:char="F09C"/>
            </w:r>
            <w:r w:rsidRPr="00653DCF">
              <w:tab/>
              <w:t>korisne posljedice od prvenstvene važnosti za okoliš</w:t>
            </w:r>
          </w:p>
          <w:p w14:paraId="22C8AC2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i/>
                <w:color w:val="auto"/>
              </w:rPr>
            </w:pPr>
          </w:p>
          <w:p w14:paraId="0781E0CA" w14:textId="52D2026E" w:rsidR="007A2A6F" w:rsidRPr="00653DCF" w:rsidRDefault="00E87B0B">
            <w:pPr>
              <w:pStyle w:val="P68B1DB1-Normal34"/>
              <w:keepLines/>
              <w:tabs>
                <w:tab w:val="left" w:pos="2268"/>
              </w:tabs>
              <w:overflowPunct w:val="0"/>
              <w:autoSpaceDE w:val="0"/>
              <w:autoSpaceDN w:val="0"/>
              <w:adjustRightInd w:val="0"/>
              <w:ind w:left="994"/>
              <w:textAlignment w:val="baseline"/>
              <w:rPr>
                <w:i/>
              </w:rPr>
            </w:pPr>
            <w:r w:rsidRPr="00653DCF">
              <w:sym w:font="Monotype Sorts" w:char="F09C"/>
            </w:r>
            <w:r w:rsidR="003E4531" w:rsidRPr="00653DCF">
              <w:tab/>
              <w:t>o</w:t>
            </w:r>
            <w:r w:rsidRPr="00653DCF">
              <w:t>stali imperativni razlozi pretežućeg javnog interesa</w:t>
            </w:r>
          </w:p>
          <w:p w14:paraId="1C995FD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2FE159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88E357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2A4FAC0"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E349BA0" w14:textId="32DBF096" w:rsidR="007A2A6F" w:rsidRPr="00653DCF" w:rsidRDefault="003E4531">
            <w:pPr>
              <w:pStyle w:val="P68B1DB1-Normal34"/>
              <w:keepLines/>
              <w:tabs>
                <w:tab w:val="left" w:pos="2268"/>
              </w:tabs>
              <w:overflowPunct w:val="0"/>
              <w:autoSpaceDE w:val="0"/>
              <w:autoSpaceDN w:val="0"/>
              <w:adjustRightInd w:val="0"/>
              <w:ind w:left="994"/>
              <w:textAlignment w:val="baseline"/>
              <w:rPr>
                <w:i/>
              </w:rPr>
            </w:pPr>
            <w:r w:rsidRPr="00653DCF">
              <w:t>Opis i obrazloženje p</w:t>
            </w:r>
            <w:r w:rsidR="00E87B0B" w:rsidRPr="00653DCF">
              <w:t>revage tih razloga</w:t>
            </w:r>
            <w:r w:rsidR="00E87B0B" w:rsidRPr="00653DCF">
              <w:rPr>
                <w:vertAlign w:val="superscript"/>
              </w:rPr>
              <w:footnoteReference w:id="14"/>
            </w:r>
            <w:r w:rsidR="00E87B0B" w:rsidRPr="00653DCF">
              <w:t>:</w:t>
            </w:r>
          </w:p>
          <w:p w14:paraId="034316FB"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FD5441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3A22D4D"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FB0D8F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E8118A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99CC2F3"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DEFA1C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D1EC77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0D69DC2"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46EF59D"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FD1759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61989E0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6F38EF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6E79EA2D" w14:textId="77777777">
        <w:tc>
          <w:tcPr>
            <w:tcW w:w="8522" w:type="dxa"/>
          </w:tcPr>
          <w:p w14:paraId="527CFFD1" w14:textId="77777777" w:rsidR="007A2A6F" w:rsidRPr="00653DCF" w:rsidRDefault="007A2A6F">
            <w:pPr>
              <w:keepLines/>
              <w:tabs>
                <w:tab w:val="left" w:pos="2268"/>
              </w:tabs>
              <w:overflowPunct w:val="0"/>
              <w:autoSpaceDE w:val="0"/>
              <w:autoSpaceDN w:val="0"/>
              <w:adjustRightInd w:val="0"/>
              <w:ind w:left="994"/>
              <w:jc w:val="center"/>
              <w:textAlignment w:val="baseline"/>
              <w:rPr>
                <w:rFonts w:eastAsia="Calibri" w:cs="Arial"/>
                <w:color w:val="auto"/>
              </w:rPr>
            </w:pPr>
          </w:p>
          <w:p w14:paraId="206EDB81" w14:textId="77777777" w:rsidR="007A2A6F" w:rsidRPr="00653DCF" w:rsidRDefault="00E87B0B" w:rsidP="006010BF">
            <w:pPr>
              <w:pStyle w:val="P68B1DB1-Normal34"/>
              <w:keepLines/>
              <w:numPr>
                <w:ilvl w:val="0"/>
                <w:numId w:val="65"/>
              </w:numPr>
              <w:tabs>
                <w:tab w:val="left" w:pos="2268"/>
              </w:tabs>
              <w:overflowPunct w:val="0"/>
              <w:autoSpaceDE w:val="0"/>
              <w:autoSpaceDN w:val="0"/>
              <w:adjustRightInd w:val="0"/>
              <w:spacing w:after="200" w:line="276" w:lineRule="auto"/>
              <w:jc w:val="center"/>
              <w:textAlignment w:val="baseline"/>
            </w:pPr>
            <w:r w:rsidRPr="00653DCF">
              <w:t>KOMPENZACIJSKE MJERE</w:t>
            </w:r>
            <w:r w:rsidRPr="00653DCF">
              <w:rPr>
                <w:vertAlign w:val="superscript"/>
              </w:rPr>
              <w:footnoteReference w:id="15"/>
            </w:r>
          </w:p>
          <w:p w14:paraId="57E7B0E3" w14:textId="77777777" w:rsidR="007A2A6F" w:rsidRPr="00653DCF" w:rsidRDefault="007A2A6F">
            <w:pPr>
              <w:keepLines/>
              <w:tabs>
                <w:tab w:val="left" w:pos="2268"/>
              </w:tabs>
              <w:overflowPunct w:val="0"/>
              <w:autoSpaceDE w:val="0"/>
              <w:autoSpaceDN w:val="0"/>
              <w:adjustRightInd w:val="0"/>
              <w:ind w:left="994"/>
              <w:jc w:val="center"/>
              <w:textAlignment w:val="baseline"/>
              <w:rPr>
                <w:rFonts w:eastAsia="Calibri" w:cs="Arial"/>
                <w:color w:val="auto"/>
              </w:rPr>
            </w:pPr>
          </w:p>
        </w:tc>
      </w:tr>
      <w:tr w:rsidR="007A2A6F" w:rsidRPr="00653DCF" w14:paraId="314AFD98" w14:textId="77777777">
        <w:tc>
          <w:tcPr>
            <w:tcW w:w="8522" w:type="dxa"/>
            <w:tcBorders>
              <w:left w:val="nil"/>
              <w:right w:val="nil"/>
            </w:tcBorders>
          </w:tcPr>
          <w:p w14:paraId="5619A7E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r w:rsidR="007A2A6F" w:rsidRPr="00653DCF" w14:paraId="0720C215" w14:textId="77777777">
        <w:tc>
          <w:tcPr>
            <w:tcW w:w="8522" w:type="dxa"/>
          </w:tcPr>
          <w:p w14:paraId="24EF7E4C" w14:textId="2CDAF372" w:rsidR="007A2A6F" w:rsidRPr="00653DCF" w:rsidRDefault="006E4C31">
            <w:pPr>
              <w:pStyle w:val="P68B1DB1-Normal34"/>
              <w:keepLines/>
              <w:tabs>
                <w:tab w:val="left" w:pos="2268"/>
              </w:tabs>
              <w:overflowPunct w:val="0"/>
              <w:autoSpaceDE w:val="0"/>
              <w:autoSpaceDN w:val="0"/>
              <w:adjustRightInd w:val="0"/>
              <w:ind w:left="994"/>
              <w:textAlignment w:val="baseline"/>
            </w:pPr>
            <w:r w:rsidRPr="00653DCF">
              <w:t>Ciljevi, c</w:t>
            </w:r>
            <w:r w:rsidR="00E87B0B" w:rsidRPr="00653DCF">
              <w:t>iljna obilježja (staniš</w:t>
            </w:r>
            <w:r w:rsidRPr="00653DCF">
              <w:t>ta i vrsta) i ekološki procesi/f</w:t>
            </w:r>
            <w:r w:rsidR="00E87B0B" w:rsidRPr="00653DCF">
              <w:t xml:space="preserve">unkcije koje treba </w:t>
            </w:r>
            <w:r w:rsidRPr="00653DCF">
              <w:t>kompenzirati (razlozi, zašto su</w:t>
            </w:r>
            <w:r w:rsidR="00E87B0B" w:rsidRPr="00653DCF">
              <w:t xml:space="preserve"> te mjere</w:t>
            </w:r>
            <w:r w:rsidRPr="00653DCF">
              <w:t xml:space="preserve"> prikladne za kompenziranje</w:t>
            </w:r>
            <w:r w:rsidR="00E87B0B" w:rsidRPr="00653DCF">
              <w:t xml:space="preserve"> negativnih utjecaja)</w:t>
            </w:r>
          </w:p>
          <w:p w14:paraId="12CCE76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9D714D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B46760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92BF903"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6FCC095"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Obuhvat kompenzacijskih mjera (površina područja, brojnost populacije)</w:t>
            </w:r>
          </w:p>
          <w:p w14:paraId="1974DB7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31414B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46B519A"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4263F5C"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A599207"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Naznaka i lokacija područja obuhvaćenih kompenzacijskim mjerama (uključujući zemljovide)</w:t>
            </w:r>
          </w:p>
          <w:p w14:paraId="2943D5B6"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A6A5F5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DD762B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AF3F55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C177D57"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Dosadašnje stanje i uvjeti na područjima obuhvaćenim kompenzacijskim mjerama (postojeća staništa i njihovo stanje, vrsta zemljišta, namjena zemljišta itd.)</w:t>
            </w:r>
          </w:p>
          <w:p w14:paraId="0C306D0B"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8D3EAD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4E4AAD2"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37A120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D128B48" w14:textId="6362DA2C" w:rsidR="007A2A6F" w:rsidRPr="00653DCF" w:rsidRDefault="006E4C31">
            <w:pPr>
              <w:pStyle w:val="P68B1DB1-Normal34"/>
              <w:keepLines/>
              <w:tabs>
                <w:tab w:val="left" w:pos="2268"/>
              </w:tabs>
              <w:overflowPunct w:val="0"/>
              <w:autoSpaceDE w:val="0"/>
              <w:autoSpaceDN w:val="0"/>
              <w:adjustRightInd w:val="0"/>
              <w:ind w:left="994"/>
              <w:textAlignment w:val="baseline"/>
            </w:pPr>
            <w:r w:rsidRPr="00653DCF">
              <w:t>Očekivani rezultati i o</w:t>
            </w:r>
            <w:r w:rsidR="00E87B0B" w:rsidRPr="00653DCF">
              <w:t xml:space="preserve">brazloženje načina na koji će se </w:t>
            </w:r>
            <w:r w:rsidRPr="00653DCF">
              <w:t xml:space="preserve">predloženim mjerama kompenzirati </w:t>
            </w:r>
            <w:r w:rsidR="00E87B0B" w:rsidRPr="00653DCF">
              <w:t xml:space="preserve">štetni utjecaji na </w:t>
            </w:r>
            <w:r w:rsidRPr="00653DCF">
              <w:t>cjelovitost područja i omogućiti očuvanje cjelovitosti</w:t>
            </w:r>
            <w:r w:rsidR="00E87B0B" w:rsidRPr="00653DCF">
              <w:t xml:space="preserve"> mreže Natura 2000</w:t>
            </w:r>
          </w:p>
          <w:p w14:paraId="0B7622D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E23A291"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820764F"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067822D" w14:textId="04C14A64" w:rsidR="007A2A6F" w:rsidRDefault="007A2A6F">
            <w:pPr>
              <w:keepLines/>
              <w:tabs>
                <w:tab w:val="left" w:pos="2268"/>
              </w:tabs>
              <w:overflowPunct w:val="0"/>
              <w:autoSpaceDE w:val="0"/>
              <w:autoSpaceDN w:val="0"/>
              <w:adjustRightInd w:val="0"/>
              <w:ind w:left="994"/>
              <w:textAlignment w:val="baseline"/>
              <w:rPr>
                <w:rFonts w:eastAsia="Calibri" w:cs="Arial"/>
                <w:color w:val="auto"/>
              </w:rPr>
            </w:pPr>
          </w:p>
          <w:p w14:paraId="064F9674" w14:textId="77777777" w:rsidR="0082168B" w:rsidRPr="00653DCF" w:rsidRDefault="0082168B">
            <w:pPr>
              <w:keepLines/>
              <w:tabs>
                <w:tab w:val="left" w:pos="2268"/>
              </w:tabs>
              <w:overflowPunct w:val="0"/>
              <w:autoSpaceDE w:val="0"/>
              <w:autoSpaceDN w:val="0"/>
              <w:adjustRightInd w:val="0"/>
              <w:ind w:left="994"/>
              <w:textAlignment w:val="baseline"/>
              <w:rPr>
                <w:rFonts w:eastAsia="Calibri" w:cs="Arial"/>
                <w:color w:val="auto"/>
              </w:rPr>
            </w:pPr>
          </w:p>
          <w:p w14:paraId="3DF9CB25" w14:textId="3895AEF2"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Vremenski raspored oplemenjivanja kompenzacijskih mjera</w:t>
            </w:r>
            <w:r w:rsidR="006E4C31" w:rsidRPr="00653DCF">
              <w:t xml:space="preserve"> (uključujući dugoročnu provedbu), uz naznaku rokova u kojima se očekuje ostvarivanje očekivanih rezultata</w:t>
            </w:r>
          </w:p>
          <w:p w14:paraId="32F31944"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331D22D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FCE637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BCB2334" w14:textId="36309E6B"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 xml:space="preserve">Metode i tehnike koje se </w:t>
            </w:r>
            <w:r w:rsidR="006E4C31" w:rsidRPr="00653DCF">
              <w:t>predlažu</w:t>
            </w:r>
            <w:r w:rsidRPr="00653DCF">
              <w:t xml:space="preserve"> za provedbu kompenzacijskih mjera i ocjena vlastitih izvodljivosti i </w:t>
            </w:r>
            <w:r w:rsidR="006E4C31" w:rsidRPr="00653DCF">
              <w:t>moguće djelotvornosti</w:t>
            </w:r>
          </w:p>
          <w:p w14:paraId="2B123A50"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553E048"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DD0267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256063E5" w14:textId="0AEF2B6D"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 xml:space="preserve">Troškovi i financiranje </w:t>
            </w:r>
            <w:r w:rsidR="006E4C31" w:rsidRPr="00653DCF">
              <w:t>predloženih</w:t>
            </w:r>
            <w:r w:rsidRPr="00653DCF">
              <w:t xml:space="preserve"> kompenzacijskih mjera</w:t>
            </w:r>
          </w:p>
          <w:p w14:paraId="7DE518A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8F00EBE"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0C7278E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E94DC49"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FD38FFF" w14:textId="77777777"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Odgovornost za provedbu kompenzacijskih mjera</w:t>
            </w:r>
          </w:p>
          <w:p w14:paraId="0247FB50"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1E80DF17"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0FB439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525C8DE2"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43BC0060" w14:textId="0BD6CDFF" w:rsidR="007A2A6F" w:rsidRPr="00653DCF" w:rsidRDefault="00E87B0B">
            <w:pPr>
              <w:pStyle w:val="P68B1DB1-Normal34"/>
              <w:keepLines/>
              <w:tabs>
                <w:tab w:val="left" w:pos="2268"/>
              </w:tabs>
              <w:overflowPunct w:val="0"/>
              <w:autoSpaceDE w:val="0"/>
              <w:autoSpaceDN w:val="0"/>
              <w:adjustRightInd w:val="0"/>
              <w:ind w:left="994"/>
              <w:textAlignment w:val="baseline"/>
            </w:pPr>
            <w:r w:rsidRPr="00653DCF">
              <w:t xml:space="preserve">Praćenje </w:t>
            </w:r>
            <w:r w:rsidR="006E4C31" w:rsidRPr="00653DCF">
              <w:t>provedbe kompenzacijskih mjera g</w:t>
            </w:r>
            <w:r w:rsidRPr="00653DCF">
              <w:t xml:space="preserve">dje god je </w:t>
            </w:r>
            <w:r w:rsidR="006E4C31" w:rsidRPr="00653DCF">
              <w:t xml:space="preserve">to predviđeno </w:t>
            </w:r>
            <w:r w:rsidRPr="00653DCF">
              <w:t>(npr. ako postoji neizvjesnost u pogledu djelotvornosti mjera), ocjena rezultata i p</w:t>
            </w:r>
            <w:r w:rsidR="006E4C31" w:rsidRPr="00653DCF">
              <w:t>oduzimanje daljnjih k</w:t>
            </w:r>
            <w:r w:rsidRPr="00653DCF">
              <w:t>oraka</w:t>
            </w:r>
          </w:p>
          <w:p w14:paraId="1E674495"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p w14:paraId="7ABEDC92" w14:textId="77777777" w:rsidR="007A2A6F" w:rsidRPr="00653DCF" w:rsidRDefault="007A2A6F">
            <w:pPr>
              <w:keepLines/>
              <w:tabs>
                <w:tab w:val="left" w:pos="2268"/>
              </w:tabs>
              <w:overflowPunct w:val="0"/>
              <w:autoSpaceDE w:val="0"/>
              <w:autoSpaceDN w:val="0"/>
              <w:adjustRightInd w:val="0"/>
              <w:ind w:left="994"/>
              <w:textAlignment w:val="baseline"/>
              <w:rPr>
                <w:rFonts w:eastAsia="Calibri" w:cs="Arial"/>
                <w:color w:val="auto"/>
              </w:rPr>
            </w:pPr>
          </w:p>
        </w:tc>
      </w:tr>
    </w:tbl>
    <w:p w14:paraId="24C9CC06" w14:textId="77777777" w:rsidR="004360C2" w:rsidRPr="00653DCF" w:rsidRDefault="004360C2">
      <w:pPr>
        <w:keepLines/>
        <w:tabs>
          <w:tab w:val="left" w:pos="2268"/>
        </w:tabs>
        <w:overflowPunct w:val="0"/>
        <w:autoSpaceDE w:val="0"/>
        <w:autoSpaceDN w:val="0"/>
        <w:adjustRightInd w:val="0"/>
        <w:ind w:left="994"/>
        <w:textAlignment w:val="baseline"/>
        <w:rPr>
          <w:rFonts w:eastAsia="Calibri" w:cs="Arial"/>
          <w:color w:val="auto"/>
        </w:rPr>
        <w:sectPr w:rsidR="004360C2" w:rsidRPr="00653DCF" w:rsidSect="00C67992">
          <w:type w:val="continuous"/>
          <w:pgSz w:w="11906" w:h="16838"/>
          <w:pgMar w:top="1417" w:right="1417" w:bottom="1417" w:left="1417" w:header="708" w:footer="708" w:gutter="0"/>
          <w:cols w:space="708"/>
          <w:formProt w:val="0"/>
          <w:titlePg/>
          <w:docGrid w:linePitch="360"/>
        </w:sectPr>
      </w:pPr>
    </w:p>
    <w:bookmarkEnd w:id="1"/>
    <w:p w14:paraId="74AC0D68"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rPr>
      </w:pPr>
    </w:p>
    <w:tbl>
      <w:tblPr>
        <w:tblStyle w:val="TableEIB"/>
        <w:tblW w:w="0" w:type="auto"/>
        <w:tblLook w:val="04A0" w:firstRow="1" w:lastRow="0" w:firstColumn="1" w:lastColumn="0" w:noHBand="0" w:noVBand="1"/>
      </w:tblPr>
      <w:tblGrid>
        <w:gridCol w:w="3397"/>
        <w:gridCol w:w="4819"/>
      </w:tblGrid>
      <w:tr w:rsidR="00F0088B" w:rsidRPr="00653DCF" w14:paraId="679ECC5B" w14:textId="77777777" w:rsidTr="00E07A51">
        <w:tc>
          <w:tcPr>
            <w:tcW w:w="3397" w:type="dxa"/>
            <w:shd w:val="clear" w:color="auto" w:fill="auto"/>
          </w:tcPr>
          <w:p w14:paraId="078B4D7D" w14:textId="77777777" w:rsidR="00F0088B" w:rsidRPr="00653DCF" w:rsidRDefault="00F0088B" w:rsidP="00E07A51">
            <w:pPr>
              <w:ind w:left="-4"/>
              <w:rPr>
                <w:b/>
                <w:color w:val="auto"/>
              </w:rPr>
            </w:pPr>
          </w:p>
        </w:tc>
        <w:tc>
          <w:tcPr>
            <w:tcW w:w="4819" w:type="dxa"/>
          </w:tcPr>
          <w:p w14:paraId="06286DE2" w14:textId="77777777" w:rsidR="00F0088B" w:rsidRPr="00653DCF" w:rsidRDefault="00F0088B" w:rsidP="00E07A51">
            <w:pPr>
              <w:pStyle w:val="CenterEIB"/>
              <w:jc w:val="both"/>
              <w:rPr>
                <w:color w:val="auto"/>
              </w:rPr>
            </w:pPr>
          </w:p>
          <w:p w14:paraId="580C36CA" w14:textId="77777777" w:rsidR="00F0088B" w:rsidRPr="00653DCF" w:rsidRDefault="00F0088B" w:rsidP="00E07A51">
            <w:pPr>
              <w:pStyle w:val="CenterEIB"/>
              <w:jc w:val="both"/>
              <w:rPr>
                <w:color w:val="auto"/>
              </w:rPr>
            </w:pPr>
          </w:p>
        </w:tc>
      </w:tr>
      <w:tr w:rsidR="00F0088B" w:rsidRPr="00653DCF" w14:paraId="6D98A9C5" w14:textId="77777777" w:rsidTr="00E07A51">
        <w:tc>
          <w:tcPr>
            <w:tcW w:w="3397" w:type="dxa"/>
            <w:shd w:val="clear" w:color="auto" w:fill="auto"/>
          </w:tcPr>
          <w:p w14:paraId="5212AB41" w14:textId="77777777" w:rsidR="00F0088B" w:rsidRPr="00653DCF" w:rsidRDefault="00F0088B" w:rsidP="00E07A51">
            <w:pPr>
              <w:pStyle w:val="NoIndentEIB"/>
              <w:rPr>
                <w:color w:val="auto"/>
                <w:highlight w:val="yellow"/>
              </w:rPr>
            </w:pPr>
          </w:p>
        </w:tc>
        <w:tc>
          <w:tcPr>
            <w:tcW w:w="4819" w:type="dxa"/>
          </w:tcPr>
          <w:p w14:paraId="3140C18B" w14:textId="77777777" w:rsidR="00F0088B" w:rsidRPr="00653DCF" w:rsidRDefault="00F0088B" w:rsidP="00E07A51">
            <w:pPr>
              <w:pStyle w:val="NoIndentEIB"/>
              <w:rPr>
                <w:color w:val="auto"/>
              </w:rPr>
            </w:pPr>
            <w:r w:rsidRPr="00653DCF">
              <w:rPr>
                <w:color w:val="auto"/>
              </w:rPr>
              <w:t xml:space="preserve">Contract Number (FI N°) </w:t>
            </w:r>
            <w:r w:rsidRPr="00653DCF">
              <w:rPr>
                <w:color w:val="auto"/>
              </w:rPr>
              <w:fldChar w:fldCharType="begin">
                <w:ffData>
                  <w:name w:val="FI"/>
                  <w:enabled/>
                  <w:calcOnExit w:val="0"/>
                  <w:textInput>
                    <w:default w:val="95.797"/>
                  </w:textInput>
                </w:ffData>
              </w:fldChar>
            </w:r>
            <w:r w:rsidRPr="00653DCF">
              <w:rPr>
                <w:color w:val="auto"/>
              </w:rPr>
              <w:instrText xml:space="preserve"> FORMTEXT </w:instrText>
            </w:r>
            <w:r w:rsidRPr="00653DCF">
              <w:rPr>
                <w:color w:val="auto"/>
              </w:rPr>
            </w:r>
            <w:r w:rsidRPr="00653DCF">
              <w:rPr>
                <w:color w:val="auto"/>
              </w:rPr>
              <w:fldChar w:fldCharType="separate"/>
            </w:r>
            <w:r w:rsidRPr="00653DCF">
              <w:rPr>
                <w:noProof/>
                <w:color w:val="auto"/>
              </w:rPr>
              <w:t>95.797</w:t>
            </w:r>
            <w:r w:rsidRPr="00653DCF">
              <w:rPr>
                <w:color w:val="auto"/>
              </w:rPr>
              <w:fldChar w:fldCharType="end"/>
            </w:r>
          </w:p>
          <w:p w14:paraId="1C4DBEAD" w14:textId="77777777" w:rsidR="00F0088B" w:rsidRPr="00653DCF" w:rsidRDefault="00F0088B" w:rsidP="00E07A51">
            <w:pPr>
              <w:pStyle w:val="NoIndentEIB"/>
              <w:rPr>
                <w:color w:val="auto"/>
              </w:rPr>
            </w:pPr>
            <w:r w:rsidRPr="00653DCF">
              <w:rPr>
                <w:color w:val="auto"/>
              </w:rPr>
              <w:t xml:space="preserve">Operation Number (Serapis N°) </w:t>
            </w:r>
            <w:r w:rsidRPr="00653DCF">
              <w:rPr>
                <w:color w:val="auto"/>
              </w:rPr>
              <w:fldChar w:fldCharType="begin">
                <w:ffData>
                  <w:name w:val="Serapis"/>
                  <w:enabled/>
                  <w:calcOnExit w:val="0"/>
                  <w:textInput>
                    <w:default w:val="2022-0660"/>
                  </w:textInput>
                </w:ffData>
              </w:fldChar>
            </w:r>
            <w:r w:rsidRPr="00653DCF">
              <w:rPr>
                <w:color w:val="auto"/>
              </w:rPr>
              <w:instrText xml:space="preserve"> FORMTEXT </w:instrText>
            </w:r>
            <w:r w:rsidRPr="00653DCF">
              <w:rPr>
                <w:color w:val="auto"/>
              </w:rPr>
            </w:r>
            <w:r w:rsidRPr="00653DCF">
              <w:rPr>
                <w:color w:val="auto"/>
              </w:rPr>
              <w:fldChar w:fldCharType="separate"/>
            </w:r>
            <w:r w:rsidRPr="00653DCF">
              <w:rPr>
                <w:noProof/>
                <w:color w:val="auto"/>
              </w:rPr>
              <w:t>2022-0660</w:t>
            </w:r>
            <w:r w:rsidRPr="00653DCF">
              <w:rPr>
                <w:color w:val="auto"/>
              </w:rPr>
              <w:fldChar w:fldCharType="end"/>
            </w:r>
          </w:p>
        </w:tc>
      </w:tr>
      <w:tr w:rsidR="00F0088B" w:rsidRPr="00653DCF" w14:paraId="4E38BC8C" w14:textId="77777777" w:rsidTr="00E07A51">
        <w:tc>
          <w:tcPr>
            <w:tcW w:w="3397" w:type="dxa"/>
          </w:tcPr>
          <w:p w14:paraId="14B5C9E1" w14:textId="77777777" w:rsidR="00F0088B" w:rsidRPr="00653DCF" w:rsidRDefault="00F0088B" w:rsidP="00E07A51">
            <w:pPr>
              <w:pStyle w:val="NoIndentEIB"/>
              <w:rPr>
                <w:color w:val="auto"/>
                <w:highlight w:val="yellow"/>
              </w:rPr>
            </w:pPr>
          </w:p>
        </w:tc>
        <w:tc>
          <w:tcPr>
            <w:tcW w:w="4819" w:type="dxa"/>
          </w:tcPr>
          <w:p w14:paraId="1D0E7204" w14:textId="74D53659" w:rsidR="00F0088B" w:rsidRPr="00653DCF" w:rsidRDefault="00F0088B" w:rsidP="00E07A51">
            <w:pPr>
              <w:pStyle w:val="NoIndentEIB"/>
              <w:rPr>
                <w:color w:val="auto"/>
              </w:rPr>
            </w:pPr>
          </w:p>
        </w:tc>
      </w:tr>
    </w:tbl>
    <w:p w14:paraId="71A6306E" w14:textId="77777777" w:rsidR="00F0088B" w:rsidRPr="00653DCF" w:rsidRDefault="00F0088B" w:rsidP="00F0088B">
      <w:pPr>
        <w:rPr>
          <w:color w:val="auto"/>
        </w:rPr>
      </w:pPr>
    </w:p>
    <w:p w14:paraId="0F9CE98B" w14:textId="77777777" w:rsidR="00F0088B" w:rsidRPr="00653DCF" w:rsidRDefault="00F0088B" w:rsidP="00F0088B">
      <w:pPr>
        <w:rPr>
          <w:color w:val="auto"/>
        </w:rPr>
      </w:pPr>
    </w:p>
    <w:p w14:paraId="11B83D76" w14:textId="77777777" w:rsidR="00F0088B" w:rsidRPr="00653DCF" w:rsidRDefault="00F0088B" w:rsidP="00F0088B">
      <w:pPr>
        <w:pStyle w:val="CoverTitlesEIB"/>
        <w:rPr>
          <w:b/>
          <w:color w:val="auto"/>
        </w:rPr>
      </w:pPr>
      <w:r w:rsidRPr="00653DCF">
        <w:rPr>
          <w:b/>
          <w:color w:val="auto"/>
        </w:rPr>
        <w:t xml:space="preserve">FRAMEWORK LOAN FOR THE PROJECT </w:t>
      </w:r>
      <w:r w:rsidRPr="00653DCF">
        <w:rPr>
          <w:b/>
          <w:color w:val="auto"/>
        </w:rPr>
        <w:br/>
      </w:r>
      <w:r w:rsidRPr="00653DCF">
        <w:rPr>
          <w:color w:val="auto"/>
        </w:rPr>
        <w:t>"</w:t>
      </w:r>
      <w:r w:rsidRPr="00653DCF">
        <w:rPr>
          <w:b/>
          <w:color w:val="auto"/>
        </w:rPr>
        <w:t>REVITALIZATION OF THE RAILWAY SYSTEM OF THE REPUBLIC OF CROATIA</w:t>
      </w:r>
      <w:r w:rsidRPr="00653DCF">
        <w:rPr>
          <w:color w:val="auto"/>
        </w:rPr>
        <w:t>"</w:t>
      </w:r>
      <w:bookmarkStart w:id="921" w:name="_Ref156371877"/>
      <w:r w:rsidRPr="00653DCF">
        <w:rPr>
          <w:rStyle w:val="FootnoteReference"/>
          <w:b/>
          <w:color w:val="auto"/>
        </w:rPr>
        <w:footnoteReference w:id="16"/>
      </w:r>
      <w:bookmarkEnd w:id="921"/>
    </w:p>
    <w:p w14:paraId="641A81AD" w14:textId="77777777" w:rsidR="00F0088B" w:rsidRPr="00653DCF" w:rsidRDefault="00F0088B" w:rsidP="00F0088B">
      <w:pPr>
        <w:pStyle w:val="CoverTitlesEIB"/>
        <w:rPr>
          <w:color w:val="auto"/>
        </w:rPr>
      </w:pPr>
      <w:r w:rsidRPr="00653DCF">
        <w:rPr>
          <w:color w:val="auto"/>
        </w:rPr>
        <w:t xml:space="preserve">Finance Contract </w:t>
      </w:r>
    </w:p>
    <w:p w14:paraId="67EDB152" w14:textId="77777777" w:rsidR="00F0088B" w:rsidRPr="00653DCF" w:rsidRDefault="00F0088B" w:rsidP="00F0088B">
      <w:pPr>
        <w:pStyle w:val="CenterItalicEIB"/>
        <w:rPr>
          <w:color w:val="auto"/>
        </w:rPr>
      </w:pPr>
      <w:r w:rsidRPr="00653DCF">
        <w:rPr>
          <w:color w:val="auto"/>
        </w:rPr>
        <w:t>between the</w:t>
      </w:r>
    </w:p>
    <w:p w14:paraId="24B89113" w14:textId="77777777" w:rsidR="00F0088B" w:rsidRPr="00653DCF" w:rsidRDefault="00F0088B" w:rsidP="00F0088B">
      <w:pPr>
        <w:pStyle w:val="CoverTitlesEIB"/>
        <w:rPr>
          <w:color w:val="auto"/>
        </w:rPr>
      </w:pPr>
      <w:r w:rsidRPr="00653DCF">
        <w:rPr>
          <w:color w:val="auto"/>
        </w:rPr>
        <w:t xml:space="preserve">Republic of Croatia </w:t>
      </w:r>
    </w:p>
    <w:p w14:paraId="57A24A29" w14:textId="77777777" w:rsidR="00F0088B" w:rsidRPr="00653DCF" w:rsidRDefault="00F0088B" w:rsidP="00F0088B">
      <w:pPr>
        <w:pStyle w:val="CenterItalicEIB"/>
        <w:rPr>
          <w:color w:val="auto"/>
        </w:rPr>
      </w:pPr>
      <w:r w:rsidRPr="00653DCF">
        <w:rPr>
          <w:color w:val="auto"/>
        </w:rPr>
        <w:t>and the</w:t>
      </w:r>
    </w:p>
    <w:p w14:paraId="0803F2F2" w14:textId="77777777" w:rsidR="00F0088B" w:rsidRPr="00653DCF" w:rsidRDefault="00F0088B" w:rsidP="00F0088B">
      <w:pPr>
        <w:pStyle w:val="CoverTitlesEIB"/>
        <w:rPr>
          <w:color w:val="auto"/>
        </w:rPr>
      </w:pPr>
      <w:r w:rsidRPr="00653DCF">
        <w:rPr>
          <w:color w:val="auto"/>
        </w:rPr>
        <w:t>European Investment Bank</w:t>
      </w:r>
    </w:p>
    <w:p w14:paraId="1A8BDE8C" w14:textId="77777777" w:rsidR="00F0088B" w:rsidRPr="00653DCF" w:rsidRDefault="00F0088B" w:rsidP="00F0088B">
      <w:pPr>
        <w:widowControl w:val="0"/>
        <w:tabs>
          <w:tab w:val="left" w:pos="896"/>
        </w:tabs>
        <w:ind w:left="14"/>
        <w:rPr>
          <w:color w:val="auto"/>
        </w:rPr>
      </w:pPr>
    </w:p>
    <w:p w14:paraId="02E54FEB" w14:textId="77777777" w:rsidR="00F0088B" w:rsidRPr="00653DCF" w:rsidRDefault="00F0088B" w:rsidP="00F0088B">
      <w:pPr>
        <w:pStyle w:val="CenterEIB"/>
        <w:rPr>
          <w:color w:val="auto"/>
        </w:rPr>
      </w:pPr>
    </w:p>
    <w:p w14:paraId="3237A08C" w14:textId="0028D001" w:rsidR="00F0088B" w:rsidRPr="00653DCF" w:rsidRDefault="00F0088B" w:rsidP="00F0088B">
      <w:pPr>
        <w:pStyle w:val="CenterEIB"/>
        <w:rPr>
          <w:color w:val="auto"/>
          <w:szCs w:val="32"/>
        </w:rPr>
      </w:pPr>
      <w:r w:rsidRPr="00653DCF">
        <w:rPr>
          <w:color w:val="auto"/>
          <w:szCs w:val="32"/>
        </w:rPr>
        <w:t xml:space="preserve">Zagreb, </w:t>
      </w:r>
      <w:r w:rsidR="003723FA" w:rsidRPr="003723FA">
        <w:rPr>
          <w:color w:val="auto"/>
          <w:szCs w:val="32"/>
        </w:rPr>
        <w:t>17 January</w:t>
      </w:r>
      <w:r w:rsidRPr="00653DCF">
        <w:rPr>
          <w:color w:val="auto"/>
          <w:szCs w:val="32"/>
        </w:rPr>
        <w:t xml:space="preserve"> 2024</w:t>
      </w:r>
    </w:p>
    <w:p w14:paraId="1B16DADA" w14:textId="04A4F8E2" w:rsidR="00F0088B" w:rsidRPr="00653DCF" w:rsidRDefault="00F0088B" w:rsidP="00F0088B">
      <w:pPr>
        <w:widowControl w:val="0"/>
        <w:tabs>
          <w:tab w:val="left" w:pos="720"/>
          <w:tab w:val="left" w:pos="896"/>
        </w:tabs>
        <w:ind w:left="0"/>
        <w:jc w:val="center"/>
        <w:rPr>
          <w:rFonts w:cs="Arial"/>
          <w:color w:val="auto"/>
          <w:sz w:val="18"/>
        </w:rPr>
      </w:pPr>
      <w:r w:rsidRPr="00653DCF">
        <w:rPr>
          <w:rFonts w:cs="Arial"/>
          <w:color w:val="auto"/>
        </w:rPr>
        <w:t xml:space="preserve">Luxembourg, </w:t>
      </w:r>
      <w:r w:rsidR="003723FA" w:rsidRPr="003723FA">
        <w:rPr>
          <w:color w:val="auto"/>
          <w:szCs w:val="32"/>
        </w:rPr>
        <w:t>22 January</w:t>
      </w:r>
      <w:r w:rsidRPr="003723FA">
        <w:rPr>
          <w:color w:val="auto"/>
          <w:szCs w:val="32"/>
        </w:rPr>
        <w:t xml:space="preserve"> </w:t>
      </w:r>
      <w:r w:rsidRPr="00653DCF">
        <w:rPr>
          <w:color w:val="auto"/>
          <w:szCs w:val="32"/>
        </w:rPr>
        <w:t>2024</w:t>
      </w:r>
    </w:p>
    <w:p w14:paraId="56D6AC52" w14:textId="77777777" w:rsidR="00F0088B" w:rsidRPr="00653DCF" w:rsidRDefault="00F0088B" w:rsidP="00F0088B">
      <w:pPr>
        <w:spacing w:after="200" w:line="276" w:lineRule="auto"/>
        <w:ind w:left="0"/>
        <w:jc w:val="left"/>
        <w:rPr>
          <w:rFonts w:cs="Arial"/>
          <w:color w:val="auto"/>
        </w:rPr>
      </w:pPr>
      <w:r w:rsidRPr="00653DCF">
        <w:rPr>
          <w:rFonts w:cs="Arial"/>
          <w:color w:val="auto"/>
        </w:rPr>
        <w:br w:type="page"/>
      </w:r>
    </w:p>
    <w:p w14:paraId="049D9870" w14:textId="77777777" w:rsidR="00F0088B" w:rsidRPr="00653DCF" w:rsidRDefault="00F0088B" w:rsidP="00F0088B">
      <w:pPr>
        <w:rPr>
          <w:rStyle w:val="BoldEIB"/>
          <w:color w:val="auto"/>
        </w:rPr>
      </w:pPr>
      <w:r w:rsidRPr="00653DCF">
        <w:rPr>
          <w:rStyle w:val="BoldEIB"/>
          <w:color w:val="auto"/>
        </w:rPr>
        <w:t xml:space="preserve">THIS CONTRACT IS MADE BETWEEN: </w:t>
      </w:r>
    </w:p>
    <w:p w14:paraId="2CEDC194" w14:textId="77777777" w:rsidR="00F0088B" w:rsidRPr="00653DCF" w:rsidRDefault="00F0088B" w:rsidP="00F0088B">
      <w:pPr>
        <w:rPr>
          <w:color w:val="auto"/>
        </w:rPr>
      </w:pPr>
    </w:p>
    <w:tbl>
      <w:tblPr>
        <w:tblStyle w:val="TableEIB"/>
        <w:tblW w:w="0" w:type="auto"/>
        <w:tblLook w:val="04A0" w:firstRow="1" w:lastRow="0" w:firstColumn="1" w:lastColumn="0" w:noHBand="0" w:noVBand="1"/>
      </w:tblPr>
      <w:tblGrid>
        <w:gridCol w:w="3683"/>
        <w:gridCol w:w="4533"/>
      </w:tblGrid>
      <w:tr w:rsidR="00F0088B" w:rsidRPr="00653DCF" w14:paraId="308CA4B8" w14:textId="77777777" w:rsidTr="00E07A51">
        <w:tc>
          <w:tcPr>
            <w:tcW w:w="3788" w:type="dxa"/>
          </w:tcPr>
          <w:p w14:paraId="382809C8" w14:textId="77777777" w:rsidR="00F0088B" w:rsidRPr="00653DCF" w:rsidRDefault="00F0088B" w:rsidP="00E07A51">
            <w:pPr>
              <w:ind w:left="0"/>
              <w:rPr>
                <w:color w:val="auto"/>
              </w:rPr>
            </w:pPr>
            <w:r w:rsidRPr="00653DCF">
              <w:rPr>
                <w:color w:val="auto"/>
              </w:rPr>
              <w:t>The Republic of Croatia, acting by and through its Ministry of Finance, represented by Mr. Marko Primorac</w:t>
            </w:r>
            <w:r w:rsidRPr="00653DCF">
              <w:rPr>
                <w:rFonts w:cs="Arial"/>
                <w:color w:val="auto"/>
              </w:rPr>
              <w:t xml:space="preserve">, the </w:t>
            </w:r>
            <w:r w:rsidRPr="00653DCF">
              <w:rPr>
                <w:color w:val="auto"/>
              </w:rPr>
              <w:t>Minister of Finance,</w:t>
            </w:r>
          </w:p>
        </w:tc>
        <w:tc>
          <w:tcPr>
            <w:tcW w:w="4644" w:type="dxa"/>
          </w:tcPr>
          <w:p w14:paraId="730C0E47" w14:textId="77777777" w:rsidR="00F0088B" w:rsidRPr="00653DCF" w:rsidRDefault="00F0088B" w:rsidP="00E07A51">
            <w:pPr>
              <w:rPr>
                <w:color w:val="auto"/>
              </w:rPr>
            </w:pPr>
            <w:r w:rsidRPr="00653DCF">
              <w:rPr>
                <w:color w:val="auto"/>
              </w:rPr>
              <w:t>(the "</w:t>
            </w:r>
            <w:r w:rsidRPr="00653DCF">
              <w:rPr>
                <w:rStyle w:val="BoldEIB"/>
                <w:color w:val="auto"/>
              </w:rPr>
              <w:t>Borrower</w:t>
            </w:r>
            <w:r w:rsidRPr="00653DCF">
              <w:rPr>
                <w:color w:val="auto"/>
              </w:rPr>
              <w:t>" )</w:t>
            </w:r>
          </w:p>
        </w:tc>
      </w:tr>
      <w:tr w:rsidR="00F0088B" w:rsidRPr="00653DCF" w14:paraId="410685E3" w14:textId="77777777" w:rsidTr="00E07A51">
        <w:tc>
          <w:tcPr>
            <w:tcW w:w="3788" w:type="dxa"/>
          </w:tcPr>
          <w:p w14:paraId="1E97E21D" w14:textId="77777777" w:rsidR="00F0088B" w:rsidRPr="00653DCF" w:rsidRDefault="00F0088B" w:rsidP="00E07A51">
            <w:pPr>
              <w:spacing w:before="360"/>
              <w:ind w:left="0"/>
              <w:rPr>
                <w:color w:val="auto"/>
              </w:rPr>
            </w:pPr>
            <w:r w:rsidRPr="00653DCF">
              <w:rPr>
                <w:color w:val="auto"/>
              </w:rPr>
              <w:t>of the first part, and</w:t>
            </w:r>
          </w:p>
        </w:tc>
        <w:tc>
          <w:tcPr>
            <w:tcW w:w="4644" w:type="dxa"/>
          </w:tcPr>
          <w:p w14:paraId="43CA4003" w14:textId="77777777" w:rsidR="00F0088B" w:rsidRPr="00653DCF" w:rsidRDefault="00F0088B" w:rsidP="00E07A51">
            <w:pPr>
              <w:spacing w:before="360"/>
              <w:rPr>
                <w:color w:val="auto"/>
              </w:rPr>
            </w:pPr>
          </w:p>
        </w:tc>
      </w:tr>
      <w:tr w:rsidR="00F0088B" w:rsidRPr="00653DCF" w14:paraId="538C7930" w14:textId="77777777" w:rsidTr="00E07A51">
        <w:tc>
          <w:tcPr>
            <w:tcW w:w="3788" w:type="dxa"/>
          </w:tcPr>
          <w:p w14:paraId="324B244A" w14:textId="77777777" w:rsidR="00F0088B" w:rsidRPr="00653DCF" w:rsidRDefault="00F0088B" w:rsidP="00E07A51">
            <w:pPr>
              <w:ind w:left="0"/>
              <w:rPr>
                <w:color w:val="auto"/>
              </w:rPr>
            </w:pPr>
          </w:p>
        </w:tc>
        <w:tc>
          <w:tcPr>
            <w:tcW w:w="4644" w:type="dxa"/>
          </w:tcPr>
          <w:p w14:paraId="07BC0806" w14:textId="77777777" w:rsidR="00F0088B" w:rsidRPr="00653DCF" w:rsidRDefault="00F0088B" w:rsidP="00E07A51">
            <w:pPr>
              <w:rPr>
                <w:color w:val="auto"/>
              </w:rPr>
            </w:pPr>
          </w:p>
        </w:tc>
      </w:tr>
      <w:tr w:rsidR="00F0088B" w:rsidRPr="00653DCF" w14:paraId="05FF9CF9" w14:textId="77777777" w:rsidTr="00E07A51">
        <w:tc>
          <w:tcPr>
            <w:tcW w:w="3788" w:type="dxa"/>
          </w:tcPr>
          <w:p w14:paraId="4F120A51" w14:textId="77777777" w:rsidR="00F0088B" w:rsidRPr="00653DCF" w:rsidRDefault="00F0088B" w:rsidP="00E07A51">
            <w:pPr>
              <w:widowControl w:val="0"/>
              <w:tabs>
                <w:tab w:val="left" w:pos="896"/>
              </w:tabs>
              <w:ind w:left="6"/>
              <w:rPr>
                <w:color w:val="auto"/>
              </w:rPr>
            </w:pPr>
            <w:r w:rsidRPr="00653DCF">
              <w:rPr>
                <w:color w:val="auto"/>
              </w:rPr>
              <w:t xml:space="preserve">the European Investment Bank having its seat at 100 blvd Konrad Adenauer, Luxembourg, L-2950 Luxembourg, represented by </w:t>
            </w:r>
            <w:r w:rsidRPr="00653DCF">
              <w:rPr>
                <w:rFonts w:cs="Arial"/>
                <w:color w:val="auto"/>
              </w:rPr>
              <w:t>Mrs. Hanna Karczewska, Head of Division and by Mrs. Olga Pascenco, Loan Officer,</w:t>
            </w:r>
          </w:p>
        </w:tc>
        <w:tc>
          <w:tcPr>
            <w:tcW w:w="4644" w:type="dxa"/>
          </w:tcPr>
          <w:p w14:paraId="0222A424" w14:textId="77777777" w:rsidR="00F0088B" w:rsidRPr="00653DCF" w:rsidRDefault="00F0088B" w:rsidP="00E07A51">
            <w:pPr>
              <w:rPr>
                <w:color w:val="auto"/>
              </w:rPr>
            </w:pPr>
            <w:r w:rsidRPr="00653DCF">
              <w:rPr>
                <w:color w:val="auto"/>
              </w:rPr>
              <w:t>(the "</w:t>
            </w:r>
            <w:r w:rsidRPr="00653DCF">
              <w:rPr>
                <w:rStyle w:val="BoldEIB"/>
                <w:color w:val="auto"/>
              </w:rPr>
              <w:t>Bank</w:t>
            </w:r>
            <w:r w:rsidRPr="00653DCF">
              <w:rPr>
                <w:color w:val="auto"/>
              </w:rPr>
              <w:t>")</w:t>
            </w:r>
          </w:p>
        </w:tc>
      </w:tr>
      <w:tr w:rsidR="00F0088B" w:rsidRPr="00653DCF" w14:paraId="69757C7B" w14:textId="77777777" w:rsidTr="00E07A51">
        <w:tc>
          <w:tcPr>
            <w:tcW w:w="3788" w:type="dxa"/>
          </w:tcPr>
          <w:p w14:paraId="3A35B029" w14:textId="77777777" w:rsidR="00F0088B" w:rsidRPr="00653DCF" w:rsidRDefault="00F0088B" w:rsidP="00E07A51">
            <w:pPr>
              <w:spacing w:before="360"/>
              <w:ind w:left="0"/>
              <w:rPr>
                <w:color w:val="auto"/>
              </w:rPr>
            </w:pPr>
            <w:r w:rsidRPr="00653DCF">
              <w:rPr>
                <w:color w:val="auto"/>
              </w:rPr>
              <w:t>of the second part.</w:t>
            </w:r>
          </w:p>
        </w:tc>
        <w:tc>
          <w:tcPr>
            <w:tcW w:w="4644" w:type="dxa"/>
          </w:tcPr>
          <w:p w14:paraId="38B3EC1A" w14:textId="77777777" w:rsidR="00F0088B" w:rsidRPr="00653DCF" w:rsidRDefault="00F0088B" w:rsidP="00E07A51">
            <w:pPr>
              <w:spacing w:before="360"/>
              <w:rPr>
                <w:color w:val="auto"/>
              </w:rPr>
            </w:pPr>
          </w:p>
        </w:tc>
      </w:tr>
    </w:tbl>
    <w:p w14:paraId="5B356F1F" w14:textId="77777777" w:rsidR="00F0088B" w:rsidRPr="00653DCF" w:rsidRDefault="00F0088B" w:rsidP="00F0088B">
      <w:pPr>
        <w:rPr>
          <w:color w:val="auto"/>
        </w:rPr>
      </w:pPr>
    </w:p>
    <w:p w14:paraId="2BF4DC71" w14:textId="77777777" w:rsidR="00F0088B" w:rsidRPr="00653DCF" w:rsidRDefault="00F0088B" w:rsidP="00F0088B">
      <w:pPr>
        <w:rPr>
          <w:color w:val="auto"/>
        </w:rPr>
      </w:pPr>
      <w:r w:rsidRPr="00653DCF">
        <w:rPr>
          <w:color w:val="auto"/>
        </w:rPr>
        <w:t>The Bank and the Borrower together are referred to as the "</w:t>
      </w:r>
      <w:r w:rsidRPr="00653DCF">
        <w:rPr>
          <w:b/>
          <w:color w:val="auto"/>
        </w:rPr>
        <w:t>Parties</w:t>
      </w:r>
      <w:r w:rsidRPr="00653DCF">
        <w:rPr>
          <w:color w:val="auto"/>
        </w:rPr>
        <w:t>" and any of them is a "</w:t>
      </w:r>
      <w:r w:rsidRPr="00653DCF">
        <w:rPr>
          <w:b/>
          <w:color w:val="auto"/>
        </w:rPr>
        <w:t>Party</w:t>
      </w:r>
      <w:r w:rsidRPr="00653DCF">
        <w:rPr>
          <w:color w:val="auto"/>
        </w:rPr>
        <w:t>".</w:t>
      </w:r>
    </w:p>
    <w:p w14:paraId="6BB9AF45" w14:textId="77777777" w:rsidR="00F0088B" w:rsidRPr="00653DCF" w:rsidRDefault="00F0088B" w:rsidP="00F0088B">
      <w:pPr>
        <w:ind w:left="850"/>
        <w:rPr>
          <w:color w:val="auto"/>
        </w:rPr>
      </w:pPr>
    </w:p>
    <w:p w14:paraId="4D85CA33" w14:textId="77777777" w:rsidR="00F0088B" w:rsidRPr="00653DCF" w:rsidRDefault="00F0088B" w:rsidP="00F0088B">
      <w:pPr>
        <w:spacing w:after="200" w:line="276" w:lineRule="auto"/>
        <w:ind w:left="0"/>
        <w:jc w:val="left"/>
        <w:rPr>
          <w:b/>
          <w:caps/>
          <w:color w:val="auto"/>
        </w:rPr>
      </w:pPr>
      <w:r w:rsidRPr="00653DCF">
        <w:rPr>
          <w:color w:val="auto"/>
        </w:rPr>
        <w:br w:type="page"/>
      </w:r>
    </w:p>
    <w:p w14:paraId="20AAE22B" w14:textId="77777777" w:rsidR="00F0088B" w:rsidRPr="00653DCF" w:rsidRDefault="00F0088B" w:rsidP="00F0088B">
      <w:pPr>
        <w:pStyle w:val="OutlineEIB"/>
        <w:rPr>
          <w:color w:val="auto"/>
        </w:rPr>
      </w:pPr>
      <w:r w:rsidRPr="00653DCF">
        <w:rPr>
          <w:color w:val="auto"/>
        </w:rPr>
        <w:t>WHEREAS:</w:t>
      </w:r>
    </w:p>
    <w:p w14:paraId="56B344B7" w14:textId="0A158B56" w:rsidR="00F0088B" w:rsidRPr="00653DCF" w:rsidRDefault="00F0088B" w:rsidP="0024686A">
      <w:pPr>
        <w:pStyle w:val="NoIndentEIB"/>
        <w:keepNext/>
        <w:numPr>
          <w:ilvl w:val="0"/>
          <w:numId w:val="154"/>
        </w:numPr>
        <w:rPr>
          <w:color w:val="auto"/>
        </w:rPr>
      </w:pPr>
      <w:r w:rsidRPr="00653DCF">
        <w:rPr>
          <w:color w:val="auto"/>
        </w:rPr>
        <w:t xml:space="preserve">The Borrower has stated that it is undertaking various investments </w:t>
      </w:r>
      <w:r w:rsidRPr="00653DCF">
        <w:rPr>
          <w:iCs/>
          <w:color w:val="auto"/>
          <w:szCs w:val="18"/>
        </w:rPr>
        <w:t xml:space="preserve">in the railway sector in Croatia through the Ministry of the Sea, Transport and Infrastructure as the promoter </w:t>
      </w:r>
      <w:r w:rsidRPr="00653DCF">
        <w:rPr>
          <w:iCs/>
          <w:color w:val="auto"/>
          <w:szCs w:val="18"/>
        </w:rPr>
        <w:br/>
        <w:t xml:space="preserve">(the </w:t>
      </w:r>
      <w:r w:rsidRPr="00653DCF">
        <w:rPr>
          <w:color w:val="auto"/>
        </w:rPr>
        <w:t>"</w:t>
      </w:r>
      <w:r w:rsidRPr="00653DCF">
        <w:rPr>
          <w:b/>
          <w:bCs/>
          <w:iCs/>
          <w:color w:val="auto"/>
          <w:szCs w:val="18"/>
        </w:rPr>
        <w:t>Promoter</w:t>
      </w:r>
      <w:r w:rsidRPr="00653DCF">
        <w:rPr>
          <w:color w:val="auto"/>
        </w:rPr>
        <w:t>"</w:t>
      </w:r>
      <w:r w:rsidRPr="00653DCF">
        <w:rPr>
          <w:iCs/>
          <w:color w:val="auto"/>
          <w:szCs w:val="18"/>
        </w:rPr>
        <w:t>)</w:t>
      </w:r>
      <w:r w:rsidRPr="00653DCF">
        <w:rPr>
          <w:color w:val="auto"/>
        </w:rPr>
        <w:t>, mainly in sustainable transport systems in the railway sector, through the rehabilitation, modernisation, expansion and improvement of the railway infrastructure and the rolling stock, and related to the EU financing perspective for the Borrower, including EU funding from the Operational Program 2021-2027, the Recovery and Resilience Facility (RRF), the Connecting Europe Facility and other EU envelops, as more particularly described in the technical description (the "</w:t>
      </w:r>
      <w:r w:rsidRPr="00653DCF">
        <w:rPr>
          <w:rStyle w:val="BoldEIB"/>
          <w:color w:val="auto"/>
        </w:rPr>
        <w:t>Technical Description</w:t>
      </w:r>
      <w:r w:rsidRPr="00653DCF">
        <w:rPr>
          <w:color w:val="auto"/>
        </w:rPr>
        <w:t xml:space="preserve">") set out in Schedule </w:t>
      </w:r>
      <w:r w:rsidRPr="00653DCF">
        <w:rPr>
          <w:color w:val="auto"/>
        </w:rPr>
        <w:fldChar w:fldCharType="begin"/>
      </w:r>
      <w:r w:rsidRPr="00653DCF">
        <w:rPr>
          <w:color w:val="auto"/>
        </w:rPr>
        <w:instrText xml:space="preserve"> REF _Ref426640808 \r \h </w:instrText>
      </w:r>
      <w:r w:rsidRPr="00653DCF">
        <w:rPr>
          <w:color w:val="auto"/>
        </w:rPr>
      </w:r>
      <w:r w:rsidRPr="00653DCF">
        <w:rPr>
          <w:color w:val="auto"/>
        </w:rPr>
        <w:fldChar w:fldCharType="separate"/>
      </w:r>
      <w:r w:rsidR="00E5391B">
        <w:rPr>
          <w:color w:val="auto"/>
        </w:rPr>
        <w:t>A.1</w:t>
      </w:r>
      <w:r w:rsidRPr="00653DCF">
        <w:rPr>
          <w:color w:val="auto"/>
        </w:rPr>
        <w:fldChar w:fldCharType="end"/>
      </w:r>
      <w:r w:rsidRPr="00653DCF">
        <w:rPr>
          <w:color w:val="auto"/>
        </w:rPr>
        <w:t>. All such investment schemes (each hereinafter referred to as the "</w:t>
      </w:r>
      <w:r w:rsidRPr="00653DCF">
        <w:rPr>
          <w:rStyle w:val="BoldEIB"/>
          <w:color w:val="auto"/>
        </w:rPr>
        <w:t>Scheme</w:t>
      </w:r>
      <w:r w:rsidRPr="00653DCF">
        <w:rPr>
          <w:color w:val="auto"/>
        </w:rPr>
        <w:t>"), which are the subject of the Letter(s) of Allocation from the Bank shall collectively constitute and be hereinafter collectively referred to as the project (the "</w:t>
      </w:r>
      <w:r w:rsidRPr="00653DCF">
        <w:rPr>
          <w:rStyle w:val="BoldEIB"/>
          <w:color w:val="auto"/>
        </w:rPr>
        <w:t>Project</w:t>
      </w:r>
      <w:r w:rsidRPr="00653DCF">
        <w:rPr>
          <w:color w:val="auto"/>
        </w:rPr>
        <w:t>") and shall be carried out and managed by HŽ Infrastruktura d.o.o. (HŽI) for infrastructure projects and HŽ Putnički prijevoz d.o.o. (HŽPP) for passenger rolling stock.</w:t>
      </w:r>
    </w:p>
    <w:p w14:paraId="36600A0E" w14:textId="77777777" w:rsidR="00F0088B" w:rsidRPr="00653DCF" w:rsidRDefault="00F0088B" w:rsidP="0024686A">
      <w:pPr>
        <w:pStyle w:val="NoIndentEIB"/>
        <w:numPr>
          <w:ilvl w:val="0"/>
          <w:numId w:val="154"/>
        </w:numPr>
        <w:rPr>
          <w:color w:val="auto"/>
        </w:rPr>
      </w:pPr>
      <w:r w:rsidRPr="00653DCF">
        <w:rPr>
          <w:color w:val="auto"/>
        </w:rPr>
        <w:t>The total cost of the Project, as estimated by the Bank, is EUR 2,600,000,000 (two billion and six hundred million euros) and the Borrower has stated that it intends to finance the Project as follows:</w:t>
      </w:r>
    </w:p>
    <w:tbl>
      <w:tblPr>
        <w:tblStyle w:val="TableEIB"/>
        <w:tblW w:w="0" w:type="auto"/>
        <w:tblInd w:w="1384" w:type="dxa"/>
        <w:tblLook w:val="04A0" w:firstRow="1" w:lastRow="0" w:firstColumn="1" w:lastColumn="0" w:noHBand="0" w:noVBand="1"/>
      </w:tblPr>
      <w:tblGrid>
        <w:gridCol w:w="5522"/>
        <w:gridCol w:w="2166"/>
      </w:tblGrid>
      <w:tr w:rsidR="00F0088B" w:rsidRPr="00653DCF" w14:paraId="3FCCF9C8" w14:textId="77777777" w:rsidTr="00E07A51">
        <w:tc>
          <w:tcPr>
            <w:tcW w:w="5704" w:type="dxa"/>
          </w:tcPr>
          <w:p w14:paraId="1D6E924E" w14:textId="77777777" w:rsidR="00F0088B" w:rsidRPr="00653DCF" w:rsidRDefault="00F0088B" w:rsidP="00E07A51">
            <w:pPr>
              <w:ind w:left="0"/>
              <w:rPr>
                <w:rStyle w:val="BoldEIB"/>
                <w:color w:val="auto"/>
              </w:rPr>
            </w:pPr>
            <w:r w:rsidRPr="00653DCF">
              <w:rPr>
                <w:rStyle w:val="BoldEIB"/>
                <w:color w:val="auto"/>
              </w:rPr>
              <w:t>Source</w:t>
            </w:r>
          </w:p>
        </w:tc>
        <w:tc>
          <w:tcPr>
            <w:tcW w:w="2200" w:type="dxa"/>
          </w:tcPr>
          <w:p w14:paraId="35EF7E4C" w14:textId="77777777" w:rsidR="00F0088B" w:rsidRPr="00653DCF" w:rsidRDefault="00F0088B" w:rsidP="00E07A51">
            <w:pPr>
              <w:ind w:left="0"/>
              <w:jc w:val="right"/>
              <w:rPr>
                <w:rStyle w:val="BoldEIB"/>
                <w:color w:val="auto"/>
              </w:rPr>
            </w:pPr>
            <w:r w:rsidRPr="00653DCF">
              <w:rPr>
                <w:rStyle w:val="BoldEIB"/>
                <w:color w:val="auto"/>
              </w:rPr>
              <w:t xml:space="preserve">Amount </w:t>
            </w:r>
            <w:r w:rsidRPr="00653DCF">
              <w:rPr>
                <w:rStyle w:val="BoldEIB"/>
                <w:bCs/>
                <w:color w:val="auto"/>
              </w:rPr>
              <w:t>(EUR</w:t>
            </w:r>
            <w:r w:rsidRPr="00653DCF">
              <w:rPr>
                <w:bCs/>
                <w:color w:val="auto"/>
              </w:rPr>
              <w:t xml:space="preserve"> million</w:t>
            </w:r>
            <w:r w:rsidRPr="00653DCF">
              <w:rPr>
                <w:rStyle w:val="BoldEIB"/>
                <w:bCs/>
                <w:color w:val="auto"/>
              </w:rPr>
              <w:t>)</w:t>
            </w:r>
          </w:p>
        </w:tc>
      </w:tr>
      <w:tr w:rsidR="00F0088B" w:rsidRPr="00653DCF" w14:paraId="5234BAB0" w14:textId="77777777" w:rsidTr="00E07A51">
        <w:tc>
          <w:tcPr>
            <w:tcW w:w="5704" w:type="dxa"/>
          </w:tcPr>
          <w:p w14:paraId="35975522" w14:textId="77777777" w:rsidR="00F0088B" w:rsidRPr="00653DCF" w:rsidRDefault="00F0088B" w:rsidP="00E07A51">
            <w:pPr>
              <w:ind w:left="0"/>
              <w:rPr>
                <w:color w:val="auto"/>
              </w:rPr>
            </w:pPr>
            <w:r w:rsidRPr="00653DCF">
              <w:rPr>
                <w:color w:val="auto"/>
              </w:rPr>
              <w:t xml:space="preserve">Credit(s) from the Bank </w:t>
            </w:r>
          </w:p>
        </w:tc>
        <w:tc>
          <w:tcPr>
            <w:tcW w:w="2200" w:type="dxa"/>
          </w:tcPr>
          <w:p w14:paraId="09A9CD46" w14:textId="77777777" w:rsidR="00F0088B" w:rsidRPr="00653DCF" w:rsidRDefault="00F0088B" w:rsidP="00E07A51">
            <w:pPr>
              <w:pStyle w:val="RightEIB"/>
              <w:rPr>
                <w:color w:val="auto"/>
              </w:rPr>
            </w:pPr>
            <w:r w:rsidRPr="00653DCF">
              <w:rPr>
                <w:color w:val="auto"/>
              </w:rPr>
              <w:t>900 (of which a Credit in an amount of EUR 400,000,000 is made available under this Contract)</w:t>
            </w:r>
          </w:p>
        </w:tc>
      </w:tr>
      <w:tr w:rsidR="00F0088B" w:rsidRPr="00653DCF" w14:paraId="62EFFA8D" w14:textId="77777777" w:rsidTr="00E07A51">
        <w:tc>
          <w:tcPr>
            <w:tcW w:w="5704" w:type="dxa"/>
          </w:tcPr>
          <w:p w14:paraId="4BEADDFC" w14:textId="77777777" w:rsidR="00F0088B" w:rsidRPr="00653DCF" w:rsidRDefault="00F0088B" w:rsidP="00E07A51">
            <w:pPr>
              <w:ind w:left="0"/>
              <w:rPr>
                <w:color w:val="auto"/>
              </w:rPr>
            </w:pPr>
            <w:r w:rsidRPr="00653DCF">
              <w:rPr>
                <w:color w:val="auto"/>
              </w:rPr>
              <w:t>Own funds, EU Funds (as defined below) and other sources</w:t>
            </w:r>
          </w:p>
        </w:tc>
        <w:tc>
          <w:tcPr>
            <w:tcW w:w="2200" w:type="dxa"/>
          </w:tcPr>
          <w:p w14:paraId="0C52E38B" w14:textId="77777777" w:rsidR="00F0088B" w:rsidRPr="00653DCF" w:rsidRDefault="00F0088B" w:rsidP="00E07A51">
            <w:pPr>
              <w:pStyle w:val="RightEIB"/>
              <w:rPr>
                <w:color w:val="auto"/>
              </w:rPr>
            </w:pPr>
            <w:r w:rsidRPr="00653DCF">
              <w:rPr>
                <w:color w:val="auto"/>
              </w:rPr>
              <w:t>1,700</w:t>
            </w:r>
          </w:p>
        </w:tc>
      </w:tr>
      <w:tr w:rsidR="00F0088B" w:rsidRPr="00653DCF" w14:paraId="54B44280" w14:textId="77777777" w:rsidTr="00E07A51">
        <w:tc>
          <w:tcPr>
            <w:tcW w:w="5704" w:type="dxa"/>
          </w:tcPr>
          <w:p w14:paraId="2B6BCFC3" w14:textId="77777777" w:rsidR="00F0088B" w:rsidRPr="00653DCF" w:rsidRDefault="00F0088B" w:rsidP="00E07A51">
            <w:pPr>
              <w:ind w:left="0"/>
              <w:rPr>
                <w:b/>
                <w:color w:val="auto"/>
              </w:rPr>
            </w:pPr>
            <w:r w:rsidRPr="00653DCF">
              <w:rPr>
                <w:b/>
                <w:color w:val="auto"/>
              </w:rPr>
              <w:t>TOTAL</w:t>
            </w:r>
          </w:p>
        </w:tc>
        <w:tc>
          <w:tcPr>
            <w:tcW w:w="2200" w:type="dxa"/>
          </w:tcPr>
          <w:p w14:paraId="620E2BD4" w14:textId="77777777" w:rsidR="00F0088B" w:rsidRPr="00653DCF" w:rsidRDefault="00F0088B" w:rsidP="00E07A51">
            <w:pPr>
              <w:pStyle w:val="RightEIB"/>
              <w:rPr>
                <w:b/>
                <w:color w:val="auto"/>
              </w:rPr>
            </w:pPr>
            <w:r w:rsidRPr="00653DCF">
              <w:rPr>
                <w:b/>
                <w:color w:val="auto"/>
              </w:rPr>
              <w:t>2,600</w:t>
            </w:r>
          </w:p>
        </w:tc>
      </w:tr>
    </w:tbl>
    <w:p w14:paraId="22680437" w14:textId="46DC6A0B" w:rsidR="00F0088B" w:rsidRPr="00653DCF" w:rsidRDefault="00F0088B" w:rsidP="0024686A">
      <w:pPr>
        <w:pStyle w:val="NoIndentEIB"/>
        <w:numPr>
          <w:ilvl w:val="0"/>
          <w:numId w:val="154"/>
        </w:numPr>
        <w:rPr>
          <w:color w:val="auto"/>
        </w:rPr>
      </w:pPr>
      <w:r w:rsidRPr="00653DCF">
        <w:rPr>
          <w:color w:val="auto"/>
        </w:rPr>
        <w:t>In order to fulfil the financing plan set out in Recital </w:t>
      </w:r>
      <w:r w:rsidRPr="00653DCF">
        <w:rPr>
          <w:color w:val="auto"/>
        </w:rPr>
        <w:fldChar w:fldCharType="begin"/>
      </w:r>
      <w:r w:rsidRPr="00653DCF">
        <w:rPr>
          <w:color w:val="auto"/>
        </w:rPr>
        <w:instrText xml:space="preserve"> REF _Ref430937797 \r \h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 the Borrower has requested from the Bank a credit of EUR 900,000,000 (nine hundred million euros).</w:t>
      </w:r>
    </w:p>
    <w:p w14:paraId="0B76720C" w14:textId="77777777" w:rsidR="00F0088B" w:rsidRPr="00653DCF" w:rsidRDefault="00F0088B" w:rsidP="0024686A">
      <w:pPr>
        <w:pStyle w:val="ListParagraph"/>
        <w:numPr>
          <w:ilvl w:val="0"/>
          <w:numId w:val="154"/>
        </w:numPr>
        <w:rPr>
          <w:color w:val="auto"/>
        </w:rPr>
      </w:pPr>
      <w:bookmarkStart w:id="922" w:name="_Ref430852072"/>
      <w:r w:rsidRPr="00653DCF">
        <w:rPr>
          <w:color w:val="auto"/>
        </w:rPr>
        <w:t>The Bank, considering that the financing of the Project falls within the scope of its functions, and having regard to the statements and facts cited in these Recitals, has decided to approve the Framework Loan in an amount of EUR 900,000,000 (nine hundred million euros) (the "</w:t>
      </w:r>
      <w:r w:rsidRPr="00653DCF">
        <w:rPr>
          <w:b/>
          <w:bCs/>
          <w:color w:val="auto"/>
        </w:rPr>
        <w:t>Approved Credit</w:t>
      </w:r>
      <w:r w:rsidRPr="00653DCF">
        <w:rPr>
          <w:color w:val="auto"/>
        </w:rPr>
        <w:t xml:space="preserve">") and to give immediate effect to the Borrower’s request providing to it a credit in an amount of EUR 400,000,000 (four hundred million euros) for the rehabilitation, modernisation, expansion and improvement of the railway infrastructure to be carried out by HŽI and passenger rolling stock to be carried out by HŽPP under this first finance contract </w:t>
      </w:r>
      <w:r w:rsidRPr="00653DCF">
        <w:rPr>
          <w:color w:val="auto"/>
        </w:rPr>
        <w:br/>
        <w:t>(the "</w:t>
      </w:r>
      <w:r w:rsidRPr="00653DCF">
        <w:rPr>
          <w:b/>
          <w:color w:val="auto"/>
        </w:rPr>
        <w:t>Contract</w:t>
      </w:r>
      <w:r w:rsidRPr="00653DCF">
        <w:rPr>
          <w:color w:val="auto"/>
        </w:rPr>
        <w:t xml:space="preserve">"). The remaining part of the Approved Credit in the amount of </w:t>
      </w:r>
      <w:r w:rsidRPr="00653DCF">
        <w:rPr>
          <w:color w:val="auto"/>
        </w:rPr>
        <w:br/>
        <w:t xml:space="preserve">EUR 500,000,000 (five hundred million euros) is going to be the subject of subsequent finance contract(s) in connection with the implementation of the aforementioned Project. The Borrower shall ensure that prior to disbursement of the last </w:t>
      </w:r>
      <w:r w:rsidRPr="00653DCF">
        <w:rPr>
          <w:color w:val="auto"/>
        </w:rPr>
        <w:br/>
        <w:t>EUR 90,000,000 (ninety million euros) of the Approved Credit, the full amount of the loans disbursed under the EIB Finance Contracts when aggregated with the amount of any proposed tranche, have been fully allocated to Schemes relating to the Project.</w:t>
      </w:r>
    </w:p>
    <w:bookmarkEnd w:id="922"/>
    <w:p w14:paraId="5A01F573" w14:textId="77777777" w:rsidR="00F0088B" w:rsidRPr="00653DCF" w:rsidRDefault="00F0088B" w:rsidP="0024686A">
      <w:pPr>
        <w:pStyle w:val="NoIndentEIB"/>
        <w:numPr>
          <w:ilvl w:val="0"/>
          <w:numId w:val="154"/>
        </w:numPr>
        <w:rPr>
          <w:color w:val="auto"/>
        </w:rPr>
      </w:pPr>
      <w:r w:rsidRPr="00653DCF">
        <w:rPr>
          <w:color w:val="auto"/>
        </w:rPr>
        <w:t>The Ministry of Finance, represented by the Minister of Finance, Mr. Marko Primorac, has been authorised to sign this Contract on behalf of the Borrower.</w:t>
      </w:r>
    </w:p>
    <w:p w14:paraId="1832145F" w14:textId="77777777" w:rsidR="00F0088B" w:rsidRPr="00653DCF" w:rsidRDefault="00F0088B" w:rsidP="0024686A">
      <w:pPr>
        <w:pStyle w:val="NoIndentEIB"/>
        <w:numPr>
          <w:ilvl w:val="0"/>
          <w:numId w:val="154"/>
        </w:numPr>
        <w:rPr>
          <w:color w:val="auto"/>
        </w:rPr>
      </w:pPr>
      <w:r w:rsidRPr="00653DCF">
        <w:rPr>
          <w:color w:val="auto"/>
        </w:rPr>
        <w:t>The Borrower acknowledges the Bank’s preferred creditor status as an international financial institution.</w:t>
      </w:r>
    </w:p>
    <w:p w14:paraId="544440F3" w14:textId="5A4C97F6" w:rsidR="00F0088B" w:rsidRDefault="00F0088B" w:rsidP="0024686A">
      <w:pPr>
        <w:pStyle w:val="NoIndentEIB"/>
        <w:numPr>
          <w:ilvl w:val="0"/>
          <w:numId w:val="154"/>
        </w:numPr>
        <w:rPr>
          <w:color w:val="auto"/>
        </w:rPr>
      </w:pPr>
      <w:r w:rsidRPr="00653DCF">
        <w:rPr>
          <w:color w:val="auto"/>
        </w:rPr>
        <w:t>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w:t>
      </w:r>
    </w:p>
    <w:p w14:paraId="476E9474" w14:textId="77777777" w:rsidR="00752706" w:rsidRPr="00653DCF" w:rsidRDefault="00752706" w:rsidP="00752706">
      <w:pPr>
        <w:pStyle w:val="NoIndentEIB"/>
        <w:ind w:left="1423"/>
        <w:rPr>
          <w:color w:val="auto"/>
        </w:rPr>
      </w:pPr>
    </w:p>
    <w:p w14:paraId="597C8C35" w14:textId="77777777" w:rsidR="00F0088B" w:rsidRPr="00653DCF" w:rsidRDefault="00F0088B" w:rsidP="0024686A">
      <w:pPr>
        <w:numPr>
          <w:ilvl w:val="0"/>
          <w:numId w:val="154"/>
        </w:numPr>
        <w:rPr>
          <w:color w:val="auto"/>
        </w:rPr>
      </w:pPr>
      <w:r w:rsidRPr="00653DCF">
        <w:rPr>
          <w:color w:val="auto"/>
        </w:rPr>
        <w:t>The financing of the Project includes certain EU Funds and state subsidies or grants and the provision of such funds has been duly authorised and will be provided in compliance with all relevant EU Law, including that on state aid.</w:t>
      </w:r>
    </w:p>
    <w:p w14:paraId="1A1BB69B" w14:textId="77777777" w:rsidR="00F0088B" w:rsidRPr="00653DCF" w:rsidRDefault="00F0088B" w:rsidP="0024686A">
      <w:pPr>
        <w:pStyle w:val="NoIndentEIB"/>
        <w:numPr>
          <w:ilvl w:val="0"/>
          <w:numId w:val="154"/>
        </w:numPr>
        <w:rPr>
          <w:color w:val="auto"/>
        </w:rPr>
      </w:pPr>
      <w:r w:rsidRPr="00653DCF">
        <w:rPr>
          <w:color w:val="auto"/>
        </w:rPr>
        <w:t xml:space="preserve">The Bank considers that access to information plays an essential role in the reduction of environmental and social risks, including human rights violations, linked to the projects it finances and has therefore established its transparency policy, the purpose of which is to enhance the accountability of the Bank’s group towards its stakeholders and the citizens of the European Union in general. </w:t>
      </w:r>
    </w:p>
    <w:p w14:paraId="34391A9F" w14:textId="77777777" w:rsidR="00F0088B" w:rsidRPr="00653DCF" w:rsidRDefault="00F0088B" w:rsidP="0024686A">
      <w:pPr>
        <w:pStyle w:val="NoIndentEIB"/>
        <w:numPr>
          <w:ilvl w:val="0"/>
          <w:numId w:val="154"/>
        </w:numPr>
        <w:rPr>
          <w:color w:val="auto"/>
        </w:rPr>
      </w:pPr>
      <w:r w:rsidRPr="00653DCF">
        <w:rPr>
          <w:color w:val="auto"/>
        </w:rPr>
        <w:t>The processing of personal data shall be carried out by the Bank in accordance with applicable EU Law on the protection of individuals with regard to the processing of personal data by the European Union institutions and bodies and on the free movement of such data. For the purposes of the GDPR (as defined below) and Regulation (EU) 2018/1725, the Parties acknowledge that each Party will act as an independent controller, and not a processor on behalf of or joint controller with the other Party, when processing personal data in connection with this Contract.</w:t>
      </w:r>
    </w:p>
    <w:p w14:paraId="0DBF1617" w14:textId="77777777" w:rsidR="00F0088B" w:rsidRPr="00653DCF" w:rsidRDefault="00F0088B" w:rsidP="0024686A">
      <w:pPr>
        <w:pStyle w:val="NoIndentEIB"/>
        <w:numPr>
          <w:ilvl w:val="0"/>
          <w:numId w:val="154"/>
        </w:numPr>
        <w:rPr>
          <w:color w:val="auto"/>
        </w:rPr>
      </w:pPr>
      <w:r w:rsidRPr="00653DCF">
        <w:rPr>
          <w:color w:val="auto"/>
        </w:rPr>
        <w:t>The Bank supports the implementation of international and European Union standards in the field of anti-money laundering and countering the financing of terrorism and promotes tax good governance standards. It has established policies and procedures to avoid the risk of misuse of its funds for purposes which are illegal or abusive in relation to applicable laws. The Bank’s group statement on tax fraud, tax evasion, tax avoidance, aggressive tax planning, money laundering and financing of terrorism is available on the Bank’s website and offers further guidance to the Bank’s contracting counterparties.</w:t>
      </w:r>
    </w:p>
    <w:p w14:paraId="76BF190A" w14:textId="77777777" w:rsidR="00F0088B" w:rsidRPr="00653DCF" w:rsidRDefault="00F0088B" w:rsidP="00F0088B">
      <w:pPr>
        <w:spacing w:after="200" w:line="276" w:lineRule="auto"/>
        <w:ind w:left="0"/>
        <w:jc w:val="left"/>
        <w:rPr>
          <w:color w:val="auto"/>
        </w:rPr>
      </w:pPr>
      <w:r w:rsidRPr="00653DCF">
        <w:rPr>
          <w:color w:val="auto"/>
        </w:rPr>
        <w:br w:type="page"/>
      </w:r>
    </w:p>
    <w:p w14:paraId="1C3086AD" w14:textId="77777777" w:rsidR="00F0088B" w:rsidRPr="00653DCF" w:rsidRDefault="00F0088B" w:rsidP="00F0088B">
      <w:pPr>
        <w:rPr>
          <w:color w:val="auto"/>
        </w:rPr>
      </w:pPr>
      <w:r w:rsidRPr="00653DCF">
        <w:rPr>
          <w:rStyle w:val="BoldEIB"/>
          <w:color w:val="auto"/>
        </w:rPr>
        <w:t>NOW THEREFORE</w:t>
      </w:r>
      <w:r w:rsidRPr="00653DCF">
        <w:rPr>
          <w:color w:val="auto"/>
        </w:rPr>
        <w:t xml:space="preserve"> it is hereby agreed as follows:</w:t>
      </w:r>
    </w:p>
    <w:p w14:paraId="0CAB6003" w14:textId="77777777" w:rsidR="00F0088B" w:rsidRPr="00653DCF" w:rsidRDefault="00F0088B" w:rsidP="00F0088B">
      <w:pPr>
        <w:rPr>
          <w:color w:val="auto"/>
        </w:rPr>
      </w:pPr>
    </w:p>
    <w:p w14:paraId="258EF94E" w14:textId="77777777" w:rsidR="00F0088B" w:rsidRPr="00653DCF" w:rsidRDefault="00F0088B" w:rsidP="00F0088B">
      <w:pPr>
        <w:pStyle w:val="OutlineEIB"/>
        <w:rPr>
          <w:color w:val="auto"/>
        </w:rPr>
      </w:pPr>
      <w:r w:rsidRPr="00653DCF">
        <w:rPr>
          <w:color w:val="auto"/>
        </w:rPr>
        <w:t>INTERPRETATION AND DEFINITIONS</w:t>
      </w:r>
    </w:p>
    <w:p w14:paraId="78FEF13C" w14:textId="77777777" w:rsidR="00F0088B" w:rsidRPr="00653DCF" w:rsidRDefault="00F0088B" w:rsidP="00F0088B">
      <w:pPr>
        <w:rPr>
          <w:rStyle w:val="BoldEIB"/>
          <w:color w:val="auto"/>
        </w:rPr>
      </w:pPr>
      <w:r w:rsidRPr="00653DCF">
        <w:rPr>
          <w:rStyle w:val="BoldEIB"/>
          <w:color w:val="auto"/>
        </w:rPr>
        <w:t>Interpretation</w:t>
      </w:r>
    </w:p>
    <w:p w14:paraId="67798B12" w14:textId="77777777" w:rsidR="00F0088B" w:rsidRPr="00653DCF" w:rsidRDefault="00F0088B" w:rsidP="00F0088B">
      <w:pPr>
        <w:rPr>
          <w:color w:val="auto"/>
        </w:rPr>
      </w:pPr>
      <w:r w:rsidRPr="00653DCF">
        <w:rPr>
          <w:color w:val="auto"/>
        </w:rPr>
        <w:t>In this Contract:</w:t>
      </w:r>
    </w:p>
    <w:p w14:paraId="3CD9308B" w14:textId="77777777" w:rsidR="00F0088B" w:rsidRPr="00653DCF" w:rsidRDefault="00F0088B" w:rsidP="0024686A">
      <w:pPr>
        <w:pStyle w:val="NoIndentEIB"/>
        <w:numPr>
          <w:ilvl w:val="0"/>
          <w:numId w:val="155"/>
        </w:numPr>
        <w:rPr>
          <w:color w:val="auto"/>
        </w:rPr>
      </w:pPr>
      <w:r w:rsidRPr="00653DCF">
        <w:rPr>
          <w:color w:val="auto"/>
        </w:rPr>
        <w:t xml:space="preserve">references to "Articles", "Recitals", "Schedules" and "Annexes" are, save if explicitly stipulated otherwise, references respectively to articles of, and recitals, schedules and annexes to this Contract; </w:t>
      </w:r>
    </w:p>
    <w:p w14:paraId="732819C3" w14:textId="77777777" w:rsidR="00F0088B" w:rsidRPr="00653DCF" w:rsidRDefault="00F0088B" w:rsidP="0024686A">
      <w:pPr>
        <w:pStyle w:val="NoIndentEIB"/>
        <w:numPr>
          <w:ilvl w:val="0"/>
          <w:numId w:val="155"/>
        </w:numPr>
        <w:rPr>
          <w:color w:val="auto"/>
        </w:rPr>
      </w:pPr>
      <w:r w:rsidRPr="00653DCF">
        <w:rPr>
          <w:color w:val="auto"/>
        </w:rPr>
        <w:t xml:space="preserve">references to "law" or "laws" mean: </w:t>
      </w:r>
    </w:p>
    <w:p w14:paraId="647142CD" w14:textId="77777777" w:rsidR="00F0088B" w:rsidRPr="00653DCF" w:rsidRDefault="00F0088B" w:rsidP="0024686A">
      <w:pPr>
        <w:pStyle w:val="NoIndentEIB"/>
        <w:numPr>
          <w:ilvl w:val="1"/>
          <w:numId w:val="155"/>
        </w:numPr>
        <w:rPr>
          <w:color w:val="auto"/>
        </w:rPr>
      </w:pPr>
      <w:r w:rsidRPr="00653DCF">
        <w:rPr>
          <w:color w:val="auto"/>
        </w:rPr>
        <w:t xml:space="preserve">any applicable law and any applicable treaty, constitution, statute, legislation, decree, normative act, rule, regulation, judgement, order, writ, injunction, determination, award or other legislative or administrative measure or judicial or arbitral decision in any jurisdiction which is binding or applicable case law; and </w:t>
      </w:r>
    </w:p>
    <w:p w14:paraId="681CA124" w14:textId="77777777" w:rsidR="00F0088B" w:rsidRPr="00653DCF" w:rsidRDefault="00F0088B" w:rsidP="0024686A">
      <w:pPr>
        <w:pStyle w:val="NoIndentEIB"/>
        <w:numPr>
          <w:ilvl w:val="1"/>
          <w:numId w:val="155"/>
        </w:numPr>
        <w:rPr>
          <w:color w:val="auto"/>
        </w:rPr>
      </w:pPr>
      <w:r w:rsidRPr="00653DCF">
        <w:rPr>
          <w:color w:val="auto"/>
        </w:rPr>
        <w:t>EU Law;</w:t>
      </w:r>
    </w:p>
    <w:p w14:paraId="2D5EC6C9" w14:textId="77777777" w:rsidR="00F0088B" w:rsidRPr="00653DCF" w:rsidRDefault="00F0088B" w:rsidP="0024686A">
      <w:pPr>
        <w:pStyle w:val="NoIndentEIB"/>
        <w:numPr>
          <w:ilvl w:val="0"/>
          <w:numId w:val="155"/>
        </w:numPr>
        <w:rPr>
          <w:color w:val="auto"/>
        </w:rPr>
      </w:pPr>
      <w:r w:rsidRPr="00653DCF">
        <w:rPr>
          <w:color w:val="auto"/>
        </w:rPr>
        <w:t>references to "applicable law", "applicable laws" or "applicable jurisdiction" mean:</w:t>
      </w:r>
    </w:p>
    <w:p w14:paraId="27FCC54B" w14:textId="77777777" w:rsidR="00F0088B" w:rsidRPr="00653DCF" w:rsidRDefault="00F0088B" w:rsidP="0024686A">
      <w:pPr>
        <w:pStyle w:val="NoIndentEIB"/>
        <w:numPr>
          <w:ilvl w:val="1"/>
          <w:numId w:val="155"/>
        </w:numPr>
        <w:rPr>
          <w:color w:val="auto"/>
        </w:rPr>
      </w:pPr>
      <w:r w:rsidRPr="00653DCF">
        <w:rPr>
          <w:color w:val="auto"/>
        </w:rPr>
        <w:t>a law or jurisdiction applicable to the Borrower, its rights and/or obligations (in each case arising out of or in connection with this Contract), its capacity and/or assets and/or the Project; and/or, as applicable</w:t>
      </w:r>
    </w:p>
    <w:p w14:paraId="27299189" w14:textId="77777777" w:rsidR="00F0088B" w:rsidRPr="00653DCF" w:rsidRDefault="00F0088B" w:rsidP="0024686A">
      <w:pPr>
        <w:pStyle w:val="NoIndentEIB"/>
        <w:numPr>
          <w:ilvl w:val="1"/>
          <w:numId w:val="155"/>
        </w:numPr>
        <w:rPr>
          <w:color w:val="auto"/>
        </w:rPr>
      </w:pPr>
      <w:r w:rsidRPr="00653DCF">
        <w:rPr>
          <w:color w:val="auto"/>
        </w:rPr>
        <w:t>a law or jurisdiction (including in each case the Bank’s Statute) applicable to the Bank, its rights, obligations, capacity and/or assets;</w:t>
      </w:r>
    </w:p>
    <w:p w14:paraId="00C0EC98" w14:textId="77777777" w:rsidR="00F0088B" w:rsidRPr="00653DCF" w:rsidRDefault="00F0088B" w:rsidP="0024686A">
      <w:pPr>
        <w:pStyle w:val="NoIndentEIB"/>
        <w:numPr>
          <w:ilvl w:val="0"/>
          <w:numId w:val="155"/>
        </w:numPr>
        <w:rPr>
          <w:color w:val="auto"/>
        </w:rPr>
      </w:pPr>
      <w:r w:rsidRPr="00653DCF">
        <w:rPr>
          <w:color w:val="auto"/>
        </w:rPr>
        <w:t>references to a provision of law or a treaty are references to that provision as amended or re-enacted;</w:t>
      </w:r>
    </w:p>
    <w:p w14:paraId="04414310" w14:textId="77777777" w:rsidR="00F0088B" w:rsidRPr="00653DCF" w:rsidRDefault="00F0088B" w:rsidP="0024686A">
      <w:pPr>
        <w:pStyle w:val="NoIndentEIB"/>
        <w:numPr>
          <w:ilvl w:val="0"/>
          <w:numId w:val="155"/>
        </w:numPr>
        <w:rPr>
          <w:color w:val="auto"/>
        </w:rPr>
      </w:pPr>
      <w:r w:rsidRPr="00653DCF">
        <w:rPr>
          <w:color w:val="auto"/>
        </w:rPr>
        <w:t xml:space="preserve">references to any other agreement or instrument are references to that other agreement or instrument as amended, novated, supplemented, extended or restated; </w:t>
      </w:r>
    </w:p>
    <w:p w14:paraId="56B666FF" w14:textId="77777777" w:rsidR="00F0088B" w:rsidRPr="00653DCF" w:rsidRDefault="00F0088B" w:rsidP="0024686A">
      <w:pPr>
        <w:pStyle w:val="NoIndentEIB"/>
        <w:numPr>
          <w:ilvl w:val="0"/>
          <w:numId w:val="155"/>
        </w:numPr>
        <w:rPr>
          <w:color w:val="auto"/>
        </w:rPr>
      </w:pPr>
      <w:r w:rsidRPr="00653DCF">
        <w:rPr>
          <w:color w:val="auto"/>
        </w:rPr>
        <w:t xml:space="preserve">words and expressions in plural shall include singular and vice versa; </w:t>
      </w:r>
    </w:p>
    <w:p w14:paraId="2E9A3417" w14:textId="39275AD4" w:rsidR="00F0088B" w:rsidRPr="00653DCF" w:rsidRDefault="00F0088B" w:rsidP="0024686A">
      <w:pPr>
        <w:pStyle w:val="NoIndentEIB"/>
        <w:numPr>
          <w:ilvl w:val="0"/>
          <w:numId w:val="155"/>
        </w:numPr>
        <w:rPr>
          <w:color w:val="auto"/>
        </w:rPr>
      </w:pPr>
      <w:r w:rsidRPr="00653DCF">
        <w:rPr>
          <w:color w:val="auto"/>
        </w:rPr>
        <w:t xml:space="preserve">terms defined in the GDPR (as defined below), including the terms "controller", "data subject", "personal data", "processing", and "processor", have the same meanings when used in Recital </w:t>
      </w:r>
      <w:r w:rsidRPr="00653DCF">
        <w:rPr>
          <w:color w:val="auto"/>
        </w:rPr>
        <w:fldChar w:fldCharType="begin"/>
      </w:r>
      <w:r w:rsidRPr="00653DCF">
        <w:rPr>
          <w:color w:val="auto"/>
        </w:rPr>
        <w:instrText xml:space="preserve"> REF _Ref42341515 \r \h </w:instrText>
      </w:r>
      <w:r w:rsidRPr="00653DCF">
        <w:rPr>
          <w:color w:val="auto"/>
        </w:rPr>
      </w:r>
      <w:r w:rsidRPr="00653DCF">
        <w:rPr>
          <w:color w:val="auto"/>
        </w:rPr>
        <w:fldChar w:fldCharType="separate"/>
      </w:r>
      <w:r w:rsidR="00E5391B">
        <w:rPr>
          <w:color w:val="auto"/>
        </w:rPr>
        <w:t>(j)</w:t>
      </w:r>
      <w:r w:rsidRPr="00653DCF">
        <w:rPr>
          <w:color w:val="auto"/>
        </w:rPr>
        <w:fldChar w:fldCharType="end"/>
      </w:r>
      <w:r w:rsidRPr="00653DCF">
        <w:rPr>
          <w:color w:val="auto"/>
        </w:rPr>
        <w:t xml:space="preserve"> or Article </w:t>
      </w:r>
      <w:r w:rsidRPr="00653DCF">
        <w:rPr>
          <w:color w:val="auto"/>
        </w:rPr>
        <w:fldChar w:fldCharType="begin"/>
      </w:r>
      <w:r w:rsidRPr="00653DCF">
        <w:rPr>
          <w:color w:val="auto"/>
        </w:rPr>
        <w:instrText xml:space="preserve"> REF _Ref42343344 \r \h </w:instrText>
      </w:r>
      <w:r w:rsidRPr="00653DCF">
        <w:rPr>
          <w:color w:val="auto"/>
        </w:rPr>
      </w:r>
      <w:r w:rsidRPr="00653DCF">
        <w:rPr>
          <w:color w:val="auto"/>
        </w:rPr>
        <w:fldChar w:fldCharType="separate"/>
      </w:r>
      <w:r w:rsidR="00E5391B">
        <w:rPr>
          <w:color w:val="auto"/>
        </w:rPr>
        <w:t>6.9</w:t>
      </w:r>
      <w:r w:rsidRPr="00653DCF">
        <w:rPr>
          <w:color w:val="auto"/>
        </w:rPr>
        <w:fldChar w:fldCharType="end"/>
      </w:r>
      <w:r w:rsidRPr="00653DCF">
        <w:rPr>
          <w:color w:val="auto"/>
        </w:rPr>
        <w:t xml:space="preserve"> of this Contract; </w:t>
      </w:r>
    </w:p>
    <w:p w14:paraId="6CCD1CB6" w14:textId="18CBE7CE" w:rsidR="00F0088B" w:rsidRPr="00653DCF" w:rsidRDefault="00F0088B" w:rsidP="0024686A">
      <w:pPr>
        <w:pStyle w:val="NoIndentEIB"/>
        <w:numPr>
          <w:ilvl w:val="0"/>
          <w:numId w:val="155"/>
        </w:numPr>
        <w:rPr>
          <w:color w:val="auto"/>
        </w:rPr>
      </w:pPr>
      <w:r w:rsidRPr="00653DCF">
        <w:rPr>
          <w:color w:val="auto"/>
        </w:rPr>
        <w:t>references to "month"</w:t>
      </w:r>
      <w:r w:rsidRPr="00653DCF" w:rsidDel="00AA1867">
        <w:rPr>
          <w:color w:val="auto"/>
        </w:rPr>
        <w:t xml:space="preserve"> </w:t>
      </w:r>
      <w:r w:rsidRPr="00653DCF">
        <w:rPr>
          <w:color w:val="auto"/>
        </w:rPr>
        <w:t xml:space="preserve">mean a period starting on one day in a calendar month and ending on the numerically corresponding day in the next calendar month, except that and subject to the definition of Payment Date, Article </w:t>
      </w:r>
      <w:r w:rsidRPr="00653DCF">
        <w:rPr>
          <w:color w:val="auto"/>
        </w:rPr>
        <w:fldChar w:fldCharType="begin"/>
      </w:r>
      <w:r w:rsidRPr="00653DCF">
        <w:rPr>
          <w:color w:val="auto"/>
        </w:rPr>
        <w:instrText xml:space="preserve"> REF _Ref426952698 \r \h </w:instrText>
      </w:r>
      <w:r w:rsidRPr="00653DCF">
        <w:rPr>
          <w:color w:val="auto"/>
        </w:rPr>
      </w:r>
      <w:r w:rsidRPr="00653DCF">
        <w:rPr>
          <w:color w:val="auto"/>
        </w:rPr>
        <w:fldChar w:fldCharType="separate"/>
      </w:r>
      <w:r w:rsidR="00E5391B">
        <w:rPr>
          <w:color w:val="auto"/>
        </w:rPr>
        <w:t>članak 5</w:t>
      </w:r>
      <w:r w:rsidRPr="00653DCF">
        <w:rPr>
          <w:color w:val="auto"/>
        </w:rPr>
        <w:fldChar w:fldCharType="end"/>
      </w:r>
      <w:r w:rsidRPr="00653DCF">
        <w:rPr>
          <w:color w:val="auto"/>
        </w:rPr>
        <w:t xml:space="preserve"> and </w:t>
      </w:r>
      <w:r w:rsidRPr="00653DCF">
        <w:rPr>
          <w:color w:val="auto"/>
        </w:rPr>
        <w:fldChar w:fldCharType="begin"/>
      </w:r>
      <w:r w:rsidRPr="00653DCF">
        <w:rPr>
          <w:color w:val="auto"/>
        </w:rPr>
        <w:instrText xml:space="preserve"> REF _Ref426714274 \r \h </w:instrText>
      </w:r>
      <w:r w:rsidRPr="00653DCF">
        <w:rPr>
          <w:color w:val="auto"/>
        </w:rPr>
      </w:r>
      <w:r w:rsidRPr="00653DCF">
        <w:rPr>
          <w:color w:val="auto"/>
        </w:rPr>
        <w:fldChar w:fldCharType="separate"/>
      </w:r>
      <w:r w:rsidR="00E5391B">
        <w:rPr>
          <w:color w:val="auto"/>
        </w:rPr>
        <w:t>Prilog B</w:t>
      </w:r>
      <w:r w:rsidRPr="00653DCF">
        <w:rPr>
          <w:color w:val="auto"/>
        </w:rPr>
        <w:fldChar w:fldCharType="end"/>
      </w:r>
      <w:r w:rsidRPr="00653DCF">
        <w:rPr>
          <w:color w:val="auto"/>
        </w:rPr>
        <w:t xml:space="preserve"> and unless provided otherwise in this Contract:</w:t>
      </w:r>
    </w:p>
    <w:p w14:paraId="13D36177" w14:textId="77777777" w:rsidR="00F0088B" w:rsidRPr="00653DCF" w:rsidRDefault="00F0088B" w:rsidP="0024686A">
      <w:pPr>
        <w:pStyle w:val="NoIndentEIB"/>
        <w:numPr>
          <w:ilvl w:val="1"/>
          <w:numId w:val="155"/>
        </w:numPr>
        <w:rPr>
          <w:color w:val="auto"/>
        </w:rPr>
      </w:pPr>
      <w:r w:rsidRPr="00653DCF">
        <w:rPr>
          <w:color w:val="auto"/>
        </w:rPr>
        <w:t>if the numerically corresponding day is not a Business Day, that period shall end on the next Business Day in that calendar month in which that period is to end if there is one, or if there is not, on the immediately preceding Business Day; and</w:t>
      </w:r>
    </w:p>
    <w:p w14:paraId="2F4EC2B6" w14:textId="77777777" w:rsidR="00F0088B" w:rsidRPr="00653DCF" w:rsidRDefault="00F0088B" w:rsidP="0024686A">
      <w:pPr>
        <w:pStyle w:val="NoIndentEIB"/>
        <w:numPr>
          <w:ilvl w:val="1"/>
          <w:numId w:val="155"/>
        </w:numPr>
        <w:rPr>
          <w:color w:val="auto"/>
        </w:rPr>
      </w:pPr>
      <w:r w:rsidRPr="00653DCF">
        <w:rPr>
          <w:color w:val="auto"/>
        </w:rPr>
        <w:t>if there is no numerically corresponding day in the calendar month in which that period is to end, that period shall end on the last Business Day in that calendar month; and</w:t>
      </w:r>
    </w:p>
    <w:p w14:paraId="7B908798" w14:textId="77777777" w:rsidR="00F0088B" w:rsidRPr="00653DCF" w:rsidRDefault="00F0088B" w:rsidP="0024686A">
      <w:pPr>
        <w:pStyle w:val="NoIndentEIB"/>
        <w:numPr>
          <w:ilvl w:val="0"/>
          <w:numId w:val="155"/>
        </w:numPr>
        <w:rPr>
          <w:color w:val="auto"/>
        </w:rPr>
      </w:pPr>
      <w:r w:rsidRPr="00653DCF">
        <w:rPr>
          <w:color w:val="auto"/>
        </w:rPr>
        <w:t>a reference in this Contract to a page or screen of an information service displaying a rate shall include:</w:t>
      </w:r>
    </w:p>
    <w:p w14:paraId="72AEDD5C" w14:textId="77777777" w:rsidR="00F0088B" w:rsidRPr="00653DCF" w:rsidRDefault="00F0088B" w:rsidP="0024686A">
      <w:pPr>
        <w:pStyle w:val="NoIndentEIB"/>
        <w:numPr>
          <w:ilvl w:val="1"/>
          <w:numId w:val="155"/>
        </w:numPr>
        <w:rPr>
          <w:color w:val="auto"/>
        </w:rPr>
      </w:pPr>
      <w:r w:rsidRPr="00653DCF">
        <w:rPr>
          <w:color w:val="auto"/>
        </w:rPr>
        <w:t>any replacement page of that information service which displays that rate; and</w:t>
      </w:r>
    </w:p>
    <w:p w14:paraId="396EF81A" w14:textId="77777777" w:rsidR="00F0088B" w:rsidRPr="00653DCF" w:rsidRDefault="00F0088B" w:rsidP="0024686A">
      <w:pPr>
        <w:pStyle w:val="NoIndentEIB"/>
        <w:numPr>
          <w:ilvl w:val="1"/>
          <w:numId w:val="155"/>
        </w:numPr>
        <w:rPr>
          <w:color w:val="auto"/>
        </w:rPr>
      </w:pPr>
      <w:r w:rsidRPr="00653DCF">
        <w:rPr>
          <w:color w:val="auto"/>
        </w:rPr>
        <w:t>the appropriate page of such other information service which displays that rate from time to time in place of that information service,</w:t>
      </w:r>
    </w:p>
    <w:p w14:paraId="7130C3A7" w14:textId="77777777" w:rsidR="00F0088B" w:rsidRPr="00653DCF" w:rsidRDefault="00F0088B" w:rsidP="00F0088B">
      <w:pPr>
        <w:pStyle w:val="NoIndentEIB"/>
        <w:ind w:left="1423"/>
        <w:rPr>
          <w:color w:val="auto"/>
        </w:rPr>
      </w:pPr>
      <w:r w:rsidRPr="00653DCF">
        <w:rPr>
          <w:color w:val="auto"/>
        </w:rPr>
        <w:t>and, if such page or service ceases to be available, shall include any other page or service displaying that rate specified by the Bank.</w:t>
      </w:r>
    </w:p>
    <w:p w14:paraId="76CEBF12" w14:textId="77777777" w:rsidR="00F0088B" w:rsidRPr="00653DCF" w:rsidRDefault="00F0088B" w:rsidP="00F0088B">
      <w:pPr>
        <w:pStyle w:val="NoIndentEIB"/>
        <w:ind w:left="856"/>
        <w:rPr>
          <w:color w:val="auto"/>
        </w:rPr>
      </w:pPr>
    </w:p>
    <w:p w14:paraId="74851AD5" w14:textId="77777777" w:rsidR="00F0088B" w:rsidRPr="00653DCF" w:rsidRDefault="00F0088B" w:rsidP="00F0088B">
      <w:pPr>
        <w:spacing w:after="200" w:line="276" w:lineRule="auto"/>
        <w:ind w:left="0"/>
        <w:jc w:val="left"/>
        <w:rPr>
          <w:color w:val="auto"/>
        </w:rPr>
      </w:pPr>
    </w:p>
    <w:p w14:paraId="316362FA" w14:textId="77777777" w:rsidR="00F0088B" w:rsidRPr="00653DCF" w:rsidRDefault="00F0088B" w:rsidP="00F0088B">
      <w:pPr>
        <w:rPr>
          <w:rStyle w:val="BoldEIB"/>
          <w:color w:val="auto"/>
        </w:rPr>
      </w:pPr>
      <w:r w:rsidRPr="00653DCF">
        <w:rPr>
          <w:rStyle w:val="BoldEIB"/>
          <w:color w:val="auto"/>
        </w:rPr>
        <w:t>Definitions</w:t>
      </w:r>
    </w:p>
    <w:p w14:paraId="4CD8E590" w14:textId="77777777" w:rsidR="00F0088B" w:rsidRPr="00653DCF" w:rsidRDefault="00F0088B" w:rsidP="00F0088B">
      <w:pPr>
        <w:rPr>
          <w:rStyle w:val="BoldEIB"/>
          <w:b w:val="0"/>
          <w:color w:val="auto"/>
        </w:rPr>
      </w:pPr>
      <w:r w:rsidRPr="00653DCF">
        <w:rPr>
          <w:color w:val="auto"/>
        </w:rPr>
        <w:t>In this Contract:</w:t>
      </w:r>
    </w:p>
    <w:p w14:paraId="37EBAFDD" w14:textId="4FEB0D51" w:rsidR="00F0088B" w:rsidRPr="00653DCF" w:rsidRDefault="00F0088B" w:rsidP="00F0088B">
      <w:pPr>
        <w:rPr>
          <w:color w:val="auto"/>
        </w:rPr>
      </w:pPr>
      <w:r w:rsidRPr="00653DCF">
        <w:rPr>
          <w:color w:val="auto"/>
        </w:rPr>
        <w:t>"</w:t>
      </w:r>
      <w:r w:rsidRPr="00653DCF">
        <w:rPr>
          <w:rStyle w:val="BoldEIB"/>
          <w:color w:val="auto"/>
        </w:rPr>
        <w:t>Affected Scheme</w:t>
      </w:r>
      <w:r w:rsidRPr="00653DCF">
        <w:rPr>
          <w:color w:val="auto"/>
        </w:rPr>
        <w:t>" has the meaning given to it in Article </w:t>
      </w:r>
      <w:r w:rsidRPr="00653DCF">
        <w:rPr>
          <w:color w:val="auto"/>
        </w:rPr>
        <w:fldChar w:fldCharType="begin"/>
      </w:r>
      <w:r w:rsidRPr="00653DCF">
        <w:rPr>
          <w:color w:val="auto"/>
        </w:rPr>
        <w:instrText xml:space="preserve"> REF _Ref508526371 \n \h </w:instrText>
      </w:r>
      <w:r w:rsidRPr="00653DCF">
        <w:rPr>
          <w:color w:val="auto"/>
        </w:rPr>
      </w:r>
      <w:r w:rsidRPr="00653DCF">
        <w:rPr>
          <w:color w:val="auto"/>
        </w:rPr>
        <w:fldChar w:fldCharType="separate"/>
      </w:r>
      <w:r w:rsidR="00E5391B">
        <w:rPr>
          <w:color w:val="auto"/>
        </w:rPr>
        <w:t>4.3.A(5)</w:t>
      </w:r>
      <w:r w:rsidRPr="00653DCF">
        <w:rPr>
          <w:color w:val="auto"/>
        </w:rPr>
        <w:fldChar w:fldCharType="end"/>
      </w:r>
      <w:r w:rsidRPr="00653DCF">
        <w:rPr>
          <w:color w:val="auto"/>
        </w:rPr>
        <w:t>.</w:t>
      </w:r>
    </w:p>
    <w:p w14:paraId="67C66FFF" w14:textId="24247162" w:rsidR="00F0088B" w:rsidRPr="00653DCF" w:rsidRDefault="00F0088B" w:rsidP="00F0088B">
      <w:pPr>
        <w:rPr>
          <w:color w:val="auto"/>
        </w:rPr>
      </w:pPr>
      <w:r w:rsidRPr="00653DCF">
        <w:rPr>
          <w:color w:val="auto"/>
        </w:rPr>
        <w:t>"</w:t>
      </w:r>
      <w:r w:rsidRPr="00653DCF">
        <w:rPr>
          <w:b/>
          <w:color w:val="auto"/>
        </w:rPr>
        <w:t>Agreed Deferred Disbursement Date</w:t>
      </w:r>
      <w:r w:rsidRPr="00653DCF">
        <w:rPr>
          <w:color w:val="auto"/>
        </w:rPr>
        <w:t xml:space="preserve">" has the meaning given to it in Article </w:t>
      </w:r>
      <w:r w:rsidRPr="00653DCF">
        <w:rPr>
          <w:color w:val="auto"/>
        </w:rPr>
        <w:fldChar w:fldCharType="begin"/>
      </w:r>
      <w:r w:rsidRPr="00653DCF">
        <w:rPr>
          <w:color w:val="auto"/>
        </w:rPr>
        <w:instrText xml:space="preserve"> REF _Ref498641988 \r \h </w:instrText>
      </w:r>
      <w:r w:rsidRPr="00653DCF">
        <w:rPr>
          <w:color w:val="auto"/>
        </w:rPr>
      </w:r>
      <w:r w:rsidRPr="00653DCF">
        <w:rPr>
          <w:color w:val="auto"/>
        </w:rPr>
        <w:fldChar w:fldCharType="separate"/>
      </w:r>
      <w:r w:rsidR="00E5391B">
        <w:rPr>
          <w:color w:val="auto"/>
        </w:rPr>
        <w:t>1.5.A(2)</w:t>
      </w:r>
      <w:r w:rsidRPr="00653DCF">
        <w:rPr>
          <w:color w:val="auto"/>
        </w:rPr>
        <w:fldChar w:fldCharType="end"/>
      </w:r>
      <w:r w:rsidRPr="00653DCF">
        <w:rPr>
          <w:color w:val="auto"/>
        </w:rPr>
        <w:fldChar w:fldCharType="begin"/>
      </w:r>
      <w:r w:rsidRPr="00653DCF">
        <w:rPr>
          <w:color w:val="auto"/>
        </w:rPr>
        <w:instrText xml:space="preserve"> REF _Ref500775309 \r \h  \* MERGEFORMAT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w:t>
      </w:r>
    </w:p>
    <w:p w14:paraId="42C38B1D" w14:textId="1CE9737D" w:rsidR="00F0088B" w:rsidRPr="00653DCF" w:rsidRDefault="00F0088B" w:rsidP="00F0088B">
      <w:pPr>
        <w:widowControl w:val="0"/>
        <w:rPr>
          <w:b/>
          <w:color w:val="auto"/>
        </w:rPr>
      </w:pPr>
      <w:r w:rsidRPr="00653DCF">
        <w:rPr>
          <w:color w:val="auto"/>
        </w:rPr>
        <w:t>"</w:t>
      </w:r>
      <w:r w:rsidRPr="00653DCF">
        <w:rPr>
          <w:rStyle w:val="BoldEIB"/>
          <w:color w:val="auto"/>
        </w:rPr>
        <w:t>Allocation Period</w:t>
      </w:r>
      <w:r w:rsidRPr="00653DCF">
        <w:rPr>
          <w:color w:val="auto"/>
        </w:rPr>
        <w:t xml:space="preserve">" has the meaning given to it in Article </w:t>
      </w:r>
      <w:r w:rsidRPr="00653DCF">
        <w:rPr>
          <w:color w:val="auto"/>
          <w:highlight w:val="yellow"/>
        </w:rPr>
        <w:fldChar w:fldCharType="begin"/>
      </w:r>
      <w:r w:rsidRPr="00653DCF">
        <w:rPr>
          <w:color w:val="auto"/>
        </w:rPr>
        <w:instrText xml:space="preserve"> REF _Ref440723950 \r \h </w:instrText>
      </w:r>
      <w:r w:rsidRPr="00653DCF">
        <w:rPr>
          <w:color w:val="auto"/>
          <w:highlight w:val="yellow"/>
        </w:rPr>
      </w:r>
      <w:r w:rsidRPr="00653DCF">
        <w:rPr>
          <w:color w:val="auto"/>
          <w:highlight w:val="yellow"/>
        </w:rPr>
        <w:fldChar w:fldCharType="separate"/>
      </w:r>
      <w:r w:rsidR="00E5391B">
        <w:rPr>
          <w:color w:val="auto"/>
        </w:rPr>
        <w:t>1.9.A</w:t>
      </w:r>
      <w:r w:rsidRPr="00653DCF">
        <w:rPr>
          <w:color w:val="auto"/>
          <w:highlight w:val="yellow"/>
        </w:rPr>
        <w:fldChar w:fldCharType="end"/>
      </w:r>
      <w:r w:rsidRPr="00653DCF">
        <w:rPr>
          <w:color w:val="auto"/>
        </w:rPr>
        <w:t>.</w:t>
      </w:r>
    </w:p>
    <w:p w14:paraId="62BCAC94" w14:textId="7ED1A113" w:rsidR="00F0088B" w:rsidRPr="00653DCF" w:rsidRDefault="00F0088B" w:rsidP="00F0088B">
      <w:pPr>
        <w:rPr>
          <w:color w:val="auto"/>
        </w:rPr>
      </w:pPr>
      <w:r w:rsidRPr="00653DCF">
        <w:rPr>
          <w:rStyle w:val="BoldEIB"/>
          <w:b w:val="0"/>
          <w:color w:val="auto"/>
        </w:rPr>
        <w:t>"</w:t>
      </w:r>
      <w:r w:rsidRPr="00653DCF">
        <w:rPr>
          <w:rStyle w:val="BoldEIB"/>
          <w:color w:val="auto"/>
        </w:rPr>
        <w:t>Allocation Request</w:t>
      </w:r>
      <w:r w:rsidRPr="00653DCF">
        <w:rPr>
          <w:color w:val="auto"/>
        </w:rPr>
        <w:t xml:space="preserve">" has the meaning given to it in Article </w:t>
      </w:r>
      <w:r w:rsidRPr="00653DCF">
        <w:rPr>
          <w:color w:val="auto"/>
          <w:highlight w:val="yellow"/>
        </w:rPr>
        <w:fldChar w:fldCharType="begin"/>
      </w:r>
      <w:r w:rsidRPr="00653DCF">
        <w:rPr>
          <w:color w:val="auto"/>
        </w:rPr>
        <w:instrText xml:space="preserve"> REF _Ref440723950 \r \h </w:instrText>
      </w:r>
      <w:r w:rsidRPr="00653DCF">
        <w:rPr>
          <w:color w:val="auto"/>
          <w:highlight w:val="yellow"/>
        </w:rPr>
      </w:r>
      <w:r w:rsidRPr="00653DCF">
        <w:rPr>
          <w:color w:val="auto"/>
          <w:highlight w:val="yellow"/>
        </w:rPr>
        <w:fldChar w:fldCharType="separate"/>
      </w:r>
      <w:r w:rsidR="00E5391B">
        <w:rPr>
          <w:color w:val="auto"/>
        </w:rPr>
        <w:t>1.9.A</w:t>
      </w:r>
      <w:r w:rsidRPr="00653DCF">
        <w:rPr>
          <w:color w:val="auto"/>
          <w:highlight w:val="yellow"/>
        </w:rPr>
        <w:fldChar w:fldCharType="end"/>
      </w:r>
      <w:r w:rsidRPr="00653DCF">
        <w:rPr>
          <w:color w:val="auto"/>
        </w:rPr>
        <w:t>.</w:t>
      </w:r>
    </w:p>
    <w:p w14:paraId="7B3589D2" w14:textId="77777777" w:rsidR="00F0088B" w:rsidRPr="00653DCF" w:rsidRDefault="00F0088B" w:rsidP="00F0088B">
      <w:pPr>
        <w:rPr>
          <w:color w:val="auto"/>
        </w:rPr>
      </w:pPr>
      <w:r w:rsidRPr="00653DCF">
        <w:rPr>
          <w:rStyle w:val="BoldEIB"/>
          <w:b w:val="0"/>
          <w:color w:val="auto"/>
        </w:rPr>
        <w:t>"</w:t>
      </w:r>
      <w:r w:rsidRPr="00653DCF">
        <w:rPr>
          <w:rStyle w:val="BoldEIB"/>
          <w:color w:val="auto"/>
        </w:rPr>
        <w:t>AML Criminal Law Directive</w:t>
      </w:r>
      <w:r w:rsidRPr="00653DCF">
        <w:rPr>
          <w:rStyle w:val="BoldEIB"/>
          <w:b w:val="0"/>
          <w:color w:val="auto"/>
        </w:rPr>
        <w:t>"</w:t>
      </w:r>
      <w:r w:rsidRPr="00653DCF">
        <w:rPr>
          <w:color w:val="auto"/>
        </w:rPr>
        <w:t xml:space="preserve"> means Directive (EU) 2018/1673 of the European Parliament and of the Council of 23 October 2018 on combating money laundering by criminal law, as amended, supplemented or restated.</w:t>
      </w:r>
    </w:p>
    <w:p w14:paraId="4FF5383F" w14:textId="77777777" w:rsidR="00F0088B" w:rsidRPr="00653DCF" w:rsidRDefault="00F0088B" w:rsidP="00F0088B">
      <w:pPr>
        <w:rPr>
          <w:color w:val="auto"/>
        </w:rPr>
      </w:pPr>
      <w:r w:rsidRPr="00653DCF">
        <w:rPr>
          <w:rStyle w:val="BoldEIB"/>
          <w:b w:val="0"/>
          <w:color w:val="auto"/>
        </w:rPr>
        <w:t>"</w:t>
      </w:r>
      <w:r w:rsidRPr="00653DCF">
        <w:rPr>
          <w:b/>
          <w:color w:val="auto"/>
        </w:rPr>
        <w:t>AML Directives</w:t>
      </w:r>
      <w:r w:rsidRPr="00653DCF">
        <w:rPr>
          <w:rStyle w:val="BoldEIB"/>
          <w:b w:val="0"/>
          <w:color w:val="auto"/>
        </w:rPr>
        <w:t>"</w:t>
      </w:r>
      <w:r w:rsidRPr="00653DCF">
        <w:rPr>
          <w:color w:val="auto"/>
        </w:rPr>
        <w:t xml:space="preserve"> means the 4th and 5th AML Directives and the AML Criminal Law Directive.</w:t>
      </w:r>
    </w:p>
    <w:p w14:paraId="0D7BA594" w14:textId="77777777" w:rsidR="00F0088B" w:rsidRPr="00653DCF" w:rsidRDefault="00F0088B" w:rsidP="00F0088B">
      <w:pPr>
        <w:rPr>
          <w:color w:val="auto"/>
        </w:rPr>
      </w:pPr>
      <w:r w:rsidRPr="00653DCF">
        <w:rPr>
          <w:rStyle w:val="BoldEIB"/>
          <w:b w:val="0"/>
          <w:color w:val="auto"/>
        </w:rPr>
        <w:t>"</w:t>
      </w:r>
      <w:r w:rsidRPr="00653DCF">
        <w:rPr>
          <w:b/>
          <w:color w:val="auto"/>
        </w:rPr>
        <w:t>4th and 5th AML Directives</w:t>
      </w:r>
      <w:r w:rsidRPr="00653DCF">
        <w:rPr>
          <w:rStyle w:val="BoldEIB"/>
          <w:b w:val="0"/>
          <w:color w:val="auto"/>
        </w:rPr>
        <w:t>"</w:t>
      </w:r>
      <w:r w:rsidRPr="00653DCF">
        <w:rPr>
          <w:color w:val="auto"/>
        </w:rPr>
        <w:t xml:space="preserve"> means Directive 2015/849 of the European Parliament and of the Council of 20 May 2015 on the prevention of the use of the financial system for the purposes of money laundering or terrorist financing, as amended by Directive (EU) 2018/843 of the European Parliament and of the Council of 30 May 2018, as amended, supplemented or restated.</w:t>
      </w:r>
    </w:p>
    <w:p w14:paraId="5B8BC654" w14:textId="77777777" w:rsidR="00F0088B" w:rsidRPr="00653DCF" w:rsidRDefault="00F0088B" w:rsidP="00F0088B">
      <w:pPr>
        <w:rPr>
          <w:color w:val="auto"/>
        </w:rPr>
      </w:pPr>
      <w:r w:rsidRPr="00653DCF">
        <w:rPr>
          <w:color w:val="auto"/>
        </w:rPr>
        <w:t>"</w:t>
      </w:r>
      <w:r w:rsidRPr="00653DCF">
        <w:rPr>
          <w:b/>
          <w:bCs/>
          <w:color w:val="auto"/>
        </w:rPr>
        <w:t>Approved Credit</w:t>
      </w:r>
      <w:r w:rsidRPr="00653DCF">
        <w:rPr>
          <w:color w:val="auto"/>
        </w:rPr>
        <w:t>" has the meaning given to it in Recital (d).</w:t>
      </w:r>
    </w:p>
    <w:p w14:paraId="1C445AC3" w14:textId="77777777" w:rsidR="00F0088B" w:rsidRPr="00653DCF" w:rsidRDefault="00F0088B" w:rsidP="00F0088B">
      <w:pPr>
        <w:rPr>
          <w:color w:val="auto"/>
        </w:rPr>
      </w:pPr>
      <w:r w:rsidRPr="00653DCF">
        <w:rPr>
          <w:color w:val="auto"/>
        </w:rPr>
        <w:t>"</w:t>
      </w:r>
      <w:r w:rsidRPr="00653DCF">
        <w:rPr>
          <w:rStyle w:val="BoldEIB"/>
          <w:color w:val="auto"/>
        </w:rPr>
        <w:t>Authorisation</w:t>
      </w:r>
      <w:r w:rsidRPr="00653DCF">
        <w:rPr>
          <w:color w:val="auto"/>
        </w:rPr>
        <w:t>" means an authorisation, permit, consent, approval, resolution, licence, exemption, filing, notarisation or registration.</w:t>
      </w:r>
    </w:p>
    <w:p w14:paraId="055AA0F1" w14:textId="77777777" w:rsidR="00F0088B" w:rsidRPr="00653DCF" w:rsidRDefault="00F0088B" w:rsidP="00F0088B">
      <w:pPr>
        <w:rPr>
          <w:color w:val="auto"/>
        </w:rPr>
      </w:pPr>
      <w:r w:rsidRPr="00653DCF">
        <w:rPr>
          <w:color w:val="auto"/>
        </w:rPr>
        <w:t>"</w:t>
      </w:r>
      <w:r w:rsidRPr="00653DCF">
        <w:rPr>
          <w:b/>
          <w:color w:val="auto"/>
        </w:rPr>
        <w:t>Authorised Signatory</w:t>
      </w:r>
      <w:r w:rsidRPr="00653DCF">
        <w:rPr>
          <w:color w:val="auto"/>
        </w:rPr>
        <w:t>" means a person authorised to sign individually or jointly (as the case may be) Disbursement Requests on behalf of the Borrower and named in the most recent List of Authorised Signatories and Accounts received by the Bank prior to the receipt of the relevant Disbursement Request.</w:t>
      </w:r>
    </w:p>
    <w:p w14:paraId="00DCF693" w14:textId="77777777" w:rsidR="00F0088B" w:rsidRPr="00653DCF" w:rsidRDefault="00F0088B" w:rsidP="00F0088B">
      <w:pPr>
        <w:widowControl w:val="0"/>
        <w:rPr>
          <w:color w:val="auto"/>
        </w:rPr>
      </w:pPr>
      <w:r w:rsidRPr="00653DCF">
        <w:rPr>
          <w:color w:val="auto"/>
        </w:rPr>
        <w:t>"</w:t>
      </w:r>
      <w:r w:rsidRPr="00653DCF">
        <w:rPr>
          <w:rStyle w:val="BoldEIB"/>
          <w:color w:val="auto"/>
        </w:rPr>
        <w:t>Birds Directive</w:t>
      </w:r>
      <w:r w:rsidRPr="00653DCF">
        <w:rPr>
          <w:color w:val="auto"/>
        </w:rPr>
        <w:t>" means the Directive 2009/147/EC of the European Parliament and of the Council on the conservation of wild birds of 30 November 2009, as amended, supplemented or restated.</w:t>
      </w:r>
    </w:p>
    <w:p w14:paraId="37EC21A5" w14:textId="77777777" w:rsidR="00F0088B" w:rsidRPr="00653DCF" w:rsidRDefault="00F0088B" w:rsidP="00F0088B">
      <w:pPr>
        <w:rPr>
          <w:color w:val="auto"/>
        </w:rPr>
      </w:pPr>
      <w:r w:rsidRPr="00653DCF">
        <w:rPr>
          <w:color w:val="auto"/>
        </w:rPr>
        <w:t>"</w:t>
      </w:r>
      <w:r w:rsidRPr="00653DCF">
        <w:rPr>
          <w:rStyle w:val="BoldEIB"/>
          <w:color w:val="auto"/>
        </w:rPr>
        <w:t>Business Day</w:t>
      </w:r>
      <w:r w:rsidRPr="00653DCF">
        <w:rPr>
          <w:color w:val="auto"/>
        </w:rPr>
        <w:t xml:space="preserve">" means a day (other than a Saturday or Sunday) on which the Bank and commercial banks are open for general business in Luxembourg. </w:t>
      </w:r>
    </w:p>
    <w:p w14:paraId="78D39247" w14:textId="74AA34F0" w:rsidR="00F0088B" w:rsidRPr="00653DCF" w:rsidRDefault="00F0088B" w:rsidP="00F0088B">
      <w:pPr>
        <w:rPr>
          <w:color w:val="auto"/>
        </w:rPr>
      </w:pPr>
      <w:r w:rsidRPr="00653DCF">
        <w:rPr>
          <w:color w:val="auto"/>
        </w:rPr>
        <w:t>"</w:t>
      </w:r>
      <w:r w:rsidRPr="00653DCF">
        <w:rPr>
          <w:b/>
          <w:color w:val="auto"/>
        </w:rPr>
        <w:t>Cancelled Tranche</w:t>
      </w:r>
      <w:r w:rsidRPr="00653DCF">
        <w:rPr>
          <w:color w:val="auto"/>
        </w:rPr>
        <w:t xml:space="preserve">" has the meaning given to it in Article </w:t>
      </w:r>
      <w:r w:rsidRPr="00653DCF">
        <w:rPr>
          <w:color w:val="auto"/>
        </w:rPr>
        <w:fldChar w:fldCharType="begin"/>
      </w:r>
      <w:r w:rsidRPr="00653DCF">
        <w:rPr>
          <w:color w:val="auto"/>
        </w:rPr>
        <w:instrText xml:space="preserve"> REF _Ref486412104 \r \h  \* MERGEFORMAT </w:instrText>
      </w:r>
      <w:r w:rsidRPr="00653DCF">
        <w:rPr>
          <w:color w:val="auto"/>
        </w:rPr>
      </w:r>
      <w:r w:rsidRPr="00653DCF">
        <w:rPr>
          <w:color w:val="auto"/>
        </w:rPr>
        <w:fldChar w:fldCharType="separate"/>
      </w:r>
      <w:r w:rsidR="00E5391B">
        <w:rPr>
          <w:color w:val="auto"/>
        </w:rPr>
        <w:t>1.6.C(2)</w:t>
      </w:r>
      <w:r w:rsidRPr="00653DCF">
        <w:rPr>
          <w:color w:val="auto"/>
        </w:rPr>
        <w:fldChar w:fldCharType="end"/>
      </w:r>
      <w:r w:rsidRPr="00653DCF">
        <w:rPr>
          <w:color w:val="auto"/>
        </w:rPr>
        <w:fldChar w:fldCharType="begin"/>
      </w:r>
      <w:r w:rsidRPr="00653DCF">
        <w:rPr>
          <w:color w:val="auto"/>
        </w:rPr>
        <w:instrText xml:space="preserve"> REF _Ref511815887 \r \h  \* MERGEFORMAT </w:instrText>
      </w:r>
      <w:r w:rsidRPr="00653DCF">
        <w:rPr>
          <w:color w:val="auto"/>
        </w:rPr>
      </w:r>
      <w:r w:rsidRPr="00653DCF">
        <w:rPr>
          <w:color w:val="auto"/>
        </w:rPr>
        <w:fldChar w:fldCharType="separate"/>
      </w:r>
      <w:r w:rsidR="00E5391B">
        <w:rPr>
          <w:color w:val="auto"/>
        </w:rPr>
        <w:t>(a)</w:t>
      </w:r>
      <w:r w:rsidRPr="00653DCF">
        <w:rPr>
          <w:color w:val="auto"/>
        </w:rPr>
        <w:fldChar w:fldCharType="end"/>
      </w:r>
      <w:r w:rsidRPr="00653DCF">
        <w:rPr>
          <w:color w:val="auto"/>
        </w:rPr>
        <w:t xml:space="preserve">. </w:t>
      </w:r>
    </w:p>
    <w:p w14:paraId="679FA334" w14:textId="4C4ED741" w:rsidR="00F0088B" w:rsidRPr="00653DCF" w:rsidRDefault="00F0088B" w:rsidP="00F0088B">
      <w:pPr>
        <w:widowControl w:val="0"/>
        <w:rPr>
          <w:color w:val="auto"/>
        </w:rPr>
      </w:pPr>
      <w:r w:rsidRPr="00653DCF">
        <w:rPr>
          <w:color w:val="auto"/>
        </w:rPr>
        <w:t>"</w:t>
      </w:r>
      <w:r w:rsidRPr="00653DCF">
        <w:rPr>
          <w:rStyle w:val="BoldEIB"/>
          <w:color w:val="auto"/>
        </w:rPr>
        <w:t>Change-of-Law Event</w:t>
      </w:r>
      <w:r w:rsidRPr="00653DCF">
        <w:rPr>
          <w:color w:val="auto"/>
        </w:rPr>
        <w:t>" has the meaning given to it in Article </w:t>
      </w:r>
      <w:r w:rsidRPr="00653DCF">
        <w:rPr>
          <w:color w:val="auto"/>
        </w:rPr>
        <w:fldChar w:fldCharType="begin"/>
      </w:r>
      <w:r w:rsidRPr="00653DCF">
        <w:rPr>
          <w:color w:val="auto"/>
        </w:rPr>
        <w:instrText xml:space="preserve"> REF _Ref508811751 \n \h </w:instrText>
      </w:r>
      <w:r w:rsidRPr="00653DCF">
        <w:rPr>
          <w:color w:val="auto"/>
        </w:rPr>
      </w:r>
      <w:r w:rsidRPr="00653DCF">
        <w:rPr>
          <w:color w:val="auto"/>
        </w:rPr>
        <w:fldChar w:fldCharType="separate"/>
      </w:r>
      <w:r w:rsidR="00E5391B">
        <w:rPr>
          <w:color w:val="auto"/>
        </w:rPr>
        <w:t>4.3.A(2)</w:t>
      </w:r>
      <w:r w:rsidRPr="00653DCF">
        <w:rPr>
          <w:color w:val="auto"/>
        </w:rPr>
        <w:fldChar w:fldCharType="end"/>
      </w:r>
      <w:r w:rsidRPr="00653DCF">
        <w:rPr>
          <w:color w:val="auto"/>
        </w:rPr>
        <w:t>.</w:t>
      </w:r>
    </w:p>
    <w:p w14:paraId="7244F401" w14:textId="77777777" w:rsidR="00F0088B" w:rsidRPr="00653DCF" w:rsidRDefault="00F0088B" w:rsidP="00F0088B">
      <w:pPr>
        <w:widowControl w:val="0"/>
        <w:rPr>
          <w:color w:val="auto"/>
        </w:rPr>
      </w:pPr>
      <w:r w:rsidRPr="00653DCF">
        <w:rPr>
          <w:color w:val="auto"/>
        </w:rPr>
        <w:t>"</w:t>
      </w:r>
      <w:r w:rsidRPr="00653DCF">
        <w:rPr>
          <w:b/>
          <w:bCs/>
          <w:color w:val="auto"/>
        </w:rPr>
        <w:t>Constitution of the Republic of Croatia</w:t>
      </w:r>
      <w:r w:rsidRPr="00653DCF">
        <w:rPr>
          <w:color w:val="auto"/>
        </w:rPr>
        <w:t>" means the Constitution of the Republic of Croatia as published in the Official Gazette no. 85/10 – consolidated text and 5/14 – Decision of the Constitutional Court of the Republic of Croatia, as amended, supplemented or restated.</w:t>
      </w:r>
    </w:p>
    <w:p w14:paraId="5A51BCB4" w14:textId="53310B64" w:rsidR="00F0088B" w:rsidRPr="00653DCF" w:rsidRDefault="00F0088B" w:rsidP="00F0088B">
      <w:pPr>
        <w:rPr>
          <w:color w:val="auto"/>
        </w:rPr>
      </w:pPr>
      <w:r w:rsidRPr="00653DCF">
        <w:rPr>
          <w:color w:val="auto"/>
        </w:rPr>
        <w:t>"</w:t>
      </w:r>
      <w:r w:rsidRPr="00653DCF">
        <w:rPr>
          <w:rStyle w:val="BoldEIB"/>
          <w:color w:val="auto"/>
        </w:rPr>
        <w:t>Contract</w:t>
      </w:r>
      <w:r w:rsidRPr="00653DCF">
        <w:rPr>
          <w:color w:val="auto"/>
        </w:rPr>
        <w:t>" has the meaning given to it in Recital </w:t>
      </w:r>
      <w:r w:rsidRPr="00653DCF">
        <w:rPr>
          <w:color w:val="auto"/>
        </w:rPr>
        <w:fldChar w:fldCharType="begin"/>
      </w:r>
      <w:r w:rsidRPr="00653DCF">
        <w:rPr>
          <w:color w:val="auto"/>
        </w:rPr>
        <w:instrText xml:space="preserve"> REF _Ref430852072 \r \h </w:instrText>
      </w:r>
      <w:r w:rsidRPr="00653DCF">
        <w:rPr>
          <w:color w:val="auto"/>
        </w:rPr>
      </w:r>
      <w:r w:rsidRPr="00653DCF">
        <w:rPr>
          <w:color w:val="auto"/>
        </w:rPr>
        <w:fldChar w:fldCharType="separate"/>
      </w:r>
      <w:r w:rsidR="00E5391B">
        <w:rPr>
          <w:color w:val="auto"/>
        </w:rPr>
        <w:t>(d)</w:t>
      </w:r>
      <w:r w:rsidRPr="00653DCF">
        <w:rPr>
          <w:color w:val="auto"/>
        </w:rPr>
        <w:fldChar w:fldCharType="end"/>
      </w:r>
      <w:r w:rsidRPr="00653DCF">
        <w:rPr>
          <w:color w:val="auto"/>
        </w:rPr>
        <w:t>.</w:t>
      </w:r>
    </w:p>
    <w:p w14:paraId="0CC1266D" w14:textId="77777777" w:rsidR="00F0088B" w:rsidRPr="00653DCF" w:rsidRDefault="00F0088B" w:rsidP="00F0088B">
      <w:pPr>
        <w:rPr>
          <w:color w:val="auto"/>
        </w:rPr>
      </w:pPr>
      <w:r w:rsidRPr="00653DCF">
        <w:rPr>
          <w:color w:val="auto"/>
        </w:rPr>
        <w:t>"</w:t>
      </w:r>
      <w:r w:rsidRPr="00653DCF">
        <w:rPr>
          <w:rStyle w:val="BoldEIB"/>
          <w:color w:val="auto"/>
        </w:rPr>
        <w:t>Contract Number</w:t>
      </w:r>
      <w:r w:rsidRPr="00653DCF">
        <w:rPr>
          <w:color w:val="auto"/>
        </w:rPr>
        <w:t xml:space="preserve">" means the Bank generated number identifying this Contract and indicated on the cover page of this Contract after the letters "FI N°". </w:t>
      </w:r>
    </w:p>
    <w:p w14:paraId="68EBDFB0" w14:textId="531E7293" w:rsidR="00F0088B" w:rsidRPr="00653DCF" w:rsidRDefault="00F0088B" w:rsidP="00F0088B">
      <w:pPr>
        <w:rPr>
          <w:color w:val="auto"/>
        </w:rPr>
      </w:pPr>
      <w:r w:rsidRPr="00653DCF">
        <w:rPr>
          <w:color w:val="auto"/>
        </w:rPr>
        <w:t>"</w:t>
      </w:r>
      <w:r w:rsidRPr="00653DCF">
        <w:rPr>
          <w:rStyle w:val="BoldEIB"/>
          <w:color w:val="auto"/>
        </w:rPr>
        <w:t>Credit</w:t>
      </w:r>
      <w:r w:rsidRPr="00653DCF">
        <w:rPr>
          <w:color w:val="auto"/>
        </w:rPr>
        <w:t>" has the meaning given to it in Article </w:t>
      </w:r>
      <w:r w:rsidRPr="00653DCF">
        <w:rPr>
          <w:color w:val="auto"/>
        </w:rPr>
        <w:fldChar w:fldCharType="begin"/>
      </w:r>
      <w:r w:rsidRPr="00653DCF">
        <w:rPr>
          <w:color w:val="auto"/>
        </w:rPr>
        <w:instrText xml:space="preserve"> REF _Ref426693193 \r \h </w:instrText>
      </w:r>
      <w:r w:rsidRPr="00653DCF">
        <w:rPr>
          <w:color w:val="auto"/>
        </w:rPr>
      </w:r>
      <w:r w:rsidRPr="00653DCF">
        <w:rPr>
          <w:color w:val="auto"/>
        </w:rPr>
        <w:fldChar w:fldCharType="separate"/>
      </w:r>
      <w:r w:rsidR="00E5391B">
        <w:rPr>
          <w:color w:val="auto"/>
        </w:rPr>
        <w:t>1.1</w:t>
      </w:r>
      <w:r w:rsidRPr="00653DCF">
        <w:rPr>
          <w:color w:val="auto"/>
        </w:rPr>
        <w:fldChar w:fldCharType="end"/>
      </w:r>
      <w:r w:rsidRPr="00653DCF">
        <w:rPr>
          <w:color w:val="auto"/>
        </w:rPr>
        <w:t>.</w:t>
      </w:r>
    </w:p>
    <w:p w14:paraId="3BF156B4" w14:textId="77777777" w:rsidR="00F0088B" w:rsidRPr="00653DCF" w:rsidRDefault="00F0088B" w:rsidP="00F0088B">
      <w:pPr>
        <w:rPr>
          <w:color w:val="auto"/>
        </w:rPr>
      </w:pPr>
      <w:r w:rsidRPr="00653DCF">
        <w:rPr>
          <w:color w:val="auto"/>
        </w:rPr>
        <w:t>"</w:t>
      </w:r>
      <w:r w:rsidRPr="00653DCF">
        <w:rPr>
          <w:b/>
          <w:bCs/>
          <w:color w:val="auto"/>
        </w:rPr>
        <w:t>Debt Instrument</w:t>
      </w:r>
      <w:r w:rsidRPr="00653DCF">
        <w:rPr>
          <w:color w:val="auto"/>
        </w:rPr>
        <w:t>" has the meaning given to it in Article 7.1.</w:t>
      </w:r>
    </w:p>
    <w:p w14:paraId="34980338" w14:textId="77777777" w:rsidR="00F0088B" w:rsidRPr="00653DCF" w:rsidRDefault="00F0088B" w:rsidP="00F0088B">
      <w:pPr>
        <w:rPr>
          <w:color w:val="auto"/>
        </w:rPr>
      </w:pPr>
      <w:r w:rsidRPr="00653DCF">
        <w:rPr>
          <w:color w:val="auto"/>
        </w:rPr>
        <w:t>"</w:t>
      </w:r>
      <w:r w:rsidRPr="00653DCF">
        <w:rPr>
          <w:rStyle w:val="BoldEIB"/>
          <w:color w:val="auto"/>
        </w:rPr>
        <w:t>Deferment Fee</w:t>
      </w:r>
      <w:r w:rsidRPr="00653DCF">
        <w:rPr>
          <w:color w:val="auto"/>
        </w:rPr>
        <w:t>" means a fee calculated on the amount of a Notified Tranche deferred or suspended at the rate of the higher of:</w:t>
      </w:r>
    </w:p>
    <w:p w14:paraId="46C04E4A" w14:textId="77777777" w:rsidR="00F0088B" w:rsidRPr="00653DCF" w:rsidRDefault="00F0088B" w:rsidP="0024686A">
      <w:pPr>
        <w:pStyle w:val="NoIndentEIB"/>
        <w:numPr>
          <w:ilvl w:val="0"/>
          <w:numId w:val="157"/>
        </w:numPr>
        <w:rPr>
          <w:color w:val="auto"/>
        </w:rPr>
      </w:pPr>
      <w:r w:rsidRPr="00653DCF">
        <w:rPr>
          <w:color w:val="auto"/>
        </w:rPr>
        <w:t xml:space="preserve">0.125% (12.5 basis points), per annum; and </w:t>
      </w:r>
    </w:p>
    <w:p w14:paraId="5A8849A5" w14:textId="77777777" w:rsidR="00F0088B" w:rsidRPr="00653DCF" w:rsidRDefault="00F0088B" w:rsidP="0024686A">
      <w:pPr>
        <w:pStyle w:val="NoIndentEIB"/>
        <w:numPr>
          <w:ilvl w:val="0"/>
          <w:numId w:val="157"/>
        </w:numPr>
        <w:rPr>
          <w:color w:val="auto"/>
        </w:rPr>
      </w:pPr>
      <w:r w:rsidRPr="00653DCF">
        <w:rPr>
          <w:color w:val="auto"/>
        </w:rPr>
        <w:t xml:space="preserve">the percentage rate by which: </w:t>
      </w:r>
    </w:p>
    <w:p w14:paraId="397E13D6" w14:textId="77777777" w:rsidR="00F0088B" w:rsidRPr="00653DCF" w:rsidRDefault="00F0088B" w:rsidP="0024686A">
      <w:pPr>
        <w:pStyle w:val="NoIndentEIB"/>
        <w:numPr>
          <w:ilvl w:val="1"/>
          <w:numId w:val="157"/>
        </w:numPr>
        <w:rPr>
          <w:color w:val="auto"/>
        </w:rPr>
      </w:pPr>
      <w:r w:rsidRPr="00653DCF">
        <w:rPr>
          <w:color w:val="auto"/>
        </w:rPr>
        <w:t>the interest rate that would have been applicable to such Tranche had it been disbursed to the Borrower on the Scheduled Disbursement Date, exceeds</w:t>
      </w:r>
    </w:p>
    <w:p w14:paraId="34CBCADD" w14:textId="77777777" w:rsidR="00F0088B" w:rsidRPr="00653DCF" w:rsidRDefault="00F0088B" w:rsidP="0024686A">
      <w:pPr>
        <w:pStyle w:val="NoIndentEIB"/>
        <w:numPr>
          <w:ilvl w:val="1"/>
          <w:numId w:val="157"/>
        </w:numPr>
        <w:rPr>
          <w:color w:val="auto"/>
        </w:rPr>
      </w:pPr>
      <w:r w:rsidRPr="00653DCF">
        <w:rPr>
          <w:color w:val="auto"/>
        </w:rPr>
        <w:t xml:space="preserve">the EURIBOR (one month rate) less 0.125% (12.5 basis points), unless such rate is less than zero in which case it shall be set at zero. </w:t>
      </w:r>
    </w:p>
    <w:p w14:paraId="09325D20" w14:textId="77777777" w:rsidR="00F0088B" w:rsidRPr="00653DCF" w:rsidRDefault="00F0088B" w:rsidP="00F0088B">
      <w:pPr>
        <w:rPr>
          <w:color w:val="auto"/>
        </w:rPr>
      </w:pPr>
      <w:r w:rsidRPr="00653DCF">
        <w:rPr>
          <w:color w:val="auto"/>
        </w:rPr>
        <w:t>Such fee shall accrue from the Scheduled Disbursement Date to the Disbursement Date or, as the case may be, until the date of cancellation of the Notified Tranche in accordance with this Contract.</w:t>
      </w:r>
    </w:p>
    <w:p w14:paraId="6C2B4A1F" w14:textId="77777777" w:rsidR="00F0088B" w:rsidRPr="00653DCF" w:rsidRDefault="00F0088B" w:rsidP="00F0088B">
      <w:pPr>
        <w:rPr>
          <w:color w:val="auto"/>
        </w:rPr>
      </w:pPr>
      <w:r w:rsidRPr="00653DCF">
        <w:rPr>
          <w:color w:val="auto"/>
        </w:rPr>
        <w:t>"</w:t>
      </w:r>
      <w:r w:rsidRPr="00653DCF">
        <w:rPr>
          <w:rStyle w:val="BoldEIB"/>
          <w:color w:val="auto"/>
        </w:rPr>
        <w:t>Disbursement Account</w:t>
      </w:r>
      <w:r w:rsidRPr="00653DCF">
        <w:rPr>
          <w:color w:val="auto"/>
        </w:rPr>
        <w:t>"</w:t>
      </w:r>
      <w:r w:rsidRPr="00653DCF">
        <w:rPr>
          <w:b/>
          <w:color w:val="auto"/>
        </w:rPr>
        <w:t xml:space="preserve"> </w:t>
      </w:r>
      <w:r w:rsidRPr="00653DCF">
        <w:rPr>
          <w:color w:val="auto"/>
        </w:rPr>
        <w:t>means, in respect of each Tranche, the bank account to which disbursements may be made under this Contract, as set out in the most recent List of Authorised Signatories and Accounts.</w:t>
      </w:r>
    </w:p>
    <w:p w14:paraId="53C77BA0" w14:textId="77777777" w:rsidR="00F0088B" w:rsidRPr="00653DCF" w:rsidRDefault="00F0088B" w:rsidP="00F0088B">
      <w:pPr>
        <w:rPr>
          <w:color w:val="auto"/>
        </w:rPr>
      </w:pPr>
      <w:r w:rsidRPr="00653DCF">
        <w:rPr>
          <w:color w:val="auto"/>
        </w:rPr>
        <w:t>"</w:t>
      </w:r>
      <w:r w:rsidRPr="00653DCF">
        <w:rPr>
          <w:rStyle w:val="BoldEIB"/>
          <w:color w:val="auto"/>
        </w:rPr>
        <w:t>Disbursement Date</w:t>
      </w:r>
      <w:r w:rsidRPr="00653DCF">
        <w:rPr>
          <w:color w:val="auto"/>
        </w:rPr>
        <w:t>" means the date on which disbursement of a Tranche is made by the Bank.</w:t>
      </w:r>
    </w:p>
    <w:p w14:paraId="26DE866A" w14:textId="70C8E937" w:rsidR="00F0088B" w:rsidRPr="00653DCF" w:rsidRDefault="00F0088B" w:rsidP="00F0088B">
      <w:pPr>
        <w:rPr>
          <w:color w:val="auto"/>
        </w:rPr>
      </w:pPr>
      <w:r w:rsidRPr="00653DCF">
        <w:rPr>
          <w:color w:val="auto"/>
        </w:rPr>
        <w:t>"</w:t>
      </w:r>
      <w:r w:rsidRPr="00653DCF">
        <w:rPr>
          <w:rStyle w:val="BoldEIB"/>
          <w:color w:val="auto"/>
        </w:rPr>
        <w:t>Disbursement Notice</w:t>
      </w:r>
      <w:r w:rsidRPr="00653DCF">
        <w:rPr>
          <w:color w:val="auto"/>
        </w:rPr>
        <w:t>" means a notice from the Bank to the Borrower pursuant to and in accordance with Article </w:t>
      </w:r>
      <w:r w:rsidRPr="00653DCF">
        <w:rPr>
          <w:color w:val="auto"/>
        </w:rPr>
        <w:fldChar w:fldCharType="begin"/>
      </w:r>
      <w:r w:rsidRPr="00653DCF">
        <w:rPr>
          <w:color w:val="auto"/>
        </w:rPr>
        <w:instrText xml:space="preserve"> REF _Ref426713118 \r \h </w:instrText>
      </w:r>
      <w:r w:rsidRPr="00653DCF">
        <w:rPr>
          <w:color w:val="auto"/>
        </w:rPr>
      </w:r>
      <w:r w:rsidRPr="00653DCF">
        <w:rPr>
          <w:color w:val="auto"/>
        </w:rPr>
        <w:fldChar w:fldCharType="separate"/>
      </w:r>
      <w:r w:rsidR="00E5391B">
        <w:rPr>
          <w:color w:val="auto"/>
        </w:rPr>
        <w:t>1.2.C</w:t>
      </w:r>
      <w:r w:rsidRPr="00653DCF">
        <w:rPr>
          <w:color w:val="auto"/>
        </w:rPr>
        <w:fldChar w:fldCharType="end"/>
      </w:r>
      <w:r w:rsidRPr="00653DCF">
        <w:rPr>
          <w:color w:val="auto"/>
        </w:rPr>
        <w:t>.</w:t>
      </w:r>
    </w:p>
    <w:p w14:paraId="41D74974" w14:textId="5216AFFF" w:rsidR="00F0088B" w:rsidRPr="00653DCF" w:rsidRDefault="00F0088B" w:rsidP="00F0088B">
      <w:pPr>
        <w:rPr>
          <w:color w:val="auto"/>
        </w:rPr>
      </w:pPr>
      <w:r w:rsidRPr="00653DCF">
        <w:rPr>
          <w:color w:val="auto"/>
        </w:rPr>
        <w:t>"</w:t>
      </w:r>
      <w:r w:rsidRPr="00653DCF">
        <w:rPr>
          <w:rStyle w:val="BoldEIB"/>
          <w:color w:val="auto"/>
        </w:rPr>
        <w:t>Disbursement Request</w:t>
      </w:r>
      <w:r w:rsidRPr="00653DCF">
        <w:rPr>
          <w:color w:val="auto"/>
        </w:rPr>
        <w:t xml:space="preserve">" means a notice substantially in the form set out in </w:t>
      </w:r>
      <w:r w:rsidRPr="00653DCF">
        <w:rPr>
          <w:color w:val="auto"/>
        </w:rPr>
        <w:fldChar w:fldCharType="begin"/>
      </w:r>
      <w:r w:rsidRPr="00653DCF">
        <w:rPr>
          <w:color w:val="auto"/>
        </w:rPr>
        <w:instrText xml:space="preserve"> REF _Ref498702182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w:t>
      </w:r>
    </w:p>
    <w:p w14:paraId="7B29C2C6" w14:textId="54537966" w:rsidR="00F0088B" w:rsidRPr="00653DCF" w:rsidRDefault="00F0088B" w:rsidP="00F0088B">
      <w:pPr>
        <w:rPr>
          <w:color w:val="auto"/>
        </w:rPr>
      </w:pPr>
      <w:r w:rsidRPr="00653DCF">
        <w:rPr>
          <w:color w:val="auto"/>
        </w:rPr>
        <w:t>"</w:t>
      </w:r>
      <w:r w:rsidRPr="00653DCF">
        <w:rPr>
          <w:rStyle w:val="BoldEIB"/>
          <w:color w:val="auto"/>
        </w:rPr>
        <w:t>Dispute</w:t>
      </w:r>
      <w:r w:rsidRPr="00653DCF">
        <w:rPr>
          <w:color w:val="auto"/>
        </w:rPr>
        <w:t>" has the meaning given to it in Article </w:t>
      </w:r>
      <w:r w:rsidRPr="00653DCF">
        <w:rPr>
          <w:color w:val="auto"/>
        </w:rPr>
        <w:fldChar w:fldCharType="begin"/>
      </w:r>
      <w:r w:rsidRPr="00653DCF">
        <w:rPr>
          <w:color w:val="auto"/>
        </w:rPr>
        <w:instrText xml:space="preserve"> REF _Ref426625709 \r \h  \* MERGEFORMAT </w:instrText>
      </w:r>
      <w:r w:rsidRPr="00653DCF">
        <w:rPr>
          <w:color w:val="auto"/>
        </w:rPr>
      </w:r>
      <w:r w:rsidRPr="00653DCF">
        <w:rPr>
          <w:color w:val="auto"/>
        </w:rPr>
        <w:fldChar w:fldCharType="separate"/>
      </w:r>
      <w:r w:rsidR="00E5391B">
        <w:rPr>
          <w:color w:val="auto"/>
        </w:rPr>
        <w:t>11.2</w:t>
      </w:r>
      <w:r w:rsidRPr="00653DCF">
        <w:rPr>
          <w:color w:val="auto"/>
        </w:rPr>
        <w:fldChar w:fldCharType="end"/>
      </w:r>
      <w:r w:rsidRPr="00653DCF">
        <w:rPr>
          <w:color w:val="auto"/>
        </w:rPr>
        <w:t xml:space="preserve">. </w:t>
      </w:r>
    </w:p>
    <w:p w14:paraId="0C222BC1" w14:textId="77777777" w:rsidR="00F0088B" w:rsidRPr="00653DCF" w:rsidRDefault="00F0088B" w:rsidP="00F0088B">
      <w:pPr>
        <w:rPr>
          <w:color w:val="auto"/>
        </w:rPr>
      </w:pPr>
      <w:r w:rsidRPr="00653DCF">
        <w:rPr>
          <w:color w:val="auto"/>
        </w:rPr>
        <w:t>"</w:t>
      </w:r>
      <w:r w:rsidRPr="00653DCF">
        <w:rPr>
          <w:rStyle w:val="BoldEIB"/>
          <w:color w:val="auto"/>
        </w:rPr>
        <w:t>Disruption Event</w:t>
      </w:r>
      <w:r w:rsidRPr="00653DCF">
        <w:rPr>
          <w:color w:val="auto"/>
        </w:rPr>
        <w:t>" means either or both of:</w:t>
      </w:r>
    </w:p>
    <w:p w14:paraId="15F54E7A" w14:textId="77777777" w:rsidR="00F0088B" w:rsidRPr="00653DCF" w:rsidRDefault="00F0088B" w:rsidP="0024686A">
      <w:pPr>
        <w:pStyle w:val="NoIndentEIB"/>
        <w:numPr>
          <w:ilvl w:val="0"/>
          <w:numId w:val="156"/>
        </w:numPr>
        <w:rPr>
          <w:color w:val="auto"/>
        </w:rPr>
      </w:pPr>
      <w:r w:rsidRPr="00653DCF">
        <w:rPr>
          <w:color w:val="auto"/>
        </w:rPr>
        <w:t>a material disruption to those payment or communications systems or to those financial markets which are, in each case, required to operate in order for payments to be made in connection with this Contract; or</w:t>
      </w:r>
    </w:p>
    <w:p w14:paraId="7ED05D1B" w14:textId="77777777" w:rsidR="00F0088B" w:rsidRPr="00653DCF" w:rsidRDefault="00F0088B" w:rsidP="0024686A">
      <w:pPr>
        <w:pStyle w:val="NoIndentEIB"/>
        <w:numPr>
          <w:ilvl w:val="0"/>
          <w:numId w:val="156"/>
        </w:numPr>
        <w:rPr>
          <w:color w:val="auto"/>
        </w:rPr>
      </w:pPr>
      <w:r w:rsidRPr="00653DCF">
        <w:rPr>
          <w:color w:val="auto"/>
        </w:rPr>
        <w:t>the occurrence of any other event which results in a disruption (of a technical or systems-related nature) to the treasury or payments operations of either the Bank or the Borrower, preventing that Party from:</w:t>
      </w:r>
    </w:p>
    <w:p w14:paraId="1A90DD41" w14:textId="77777777" w:rsidR="00F0088B" w:rsidRPr="00653DCF" w:rsidRDefault="00F0088B" w:rsidP="0024686A">
      <w:pPr>
        <w:pStyle w:val="NoIndentEIB"/>
        <w:numPr>
          <w:ilvl w:val="1"/>
          <w:numId w:val="156"/>
        </w:numPr>
        <w:rPr>
          <w:color w:val="auto"/>
        </w:rPr>
      </w:pPr>
      <w:r w:rsidRPr="00653DCF">
        <w:rPr>
          <w:color w:val="auto"/>
        </w:rPr>
        <w:t>performing its payment obligations under this Contract; or</w:t>
      </w:r>
    </w:p>
    <w:p w14:paraId="4284D79C" w14:textId="77777777" w:rsidR="00F0088B" w:rsidRPr="00653DCF" w:rsidRDefault="00F0088B" w:rsidP="0024686A">
      <w:pPr>
        <w:pStyle w:val="NoIndentEIB"/>
        <w:numPr>
          <w:ilvl w:val="1"/>
          <w:numId w:val="156"/>
        </w:numPr>
        <w:rPr>
          <w:color w:val="auto"/>
        </w:rPr>
      </w:pPr>
      <w:r w:rsidRPr="00653DCF">
        <w:rPr>
          <w:color w:val="auto"/>
        </w:rPr>
        <w:t>communicating with the other Party,</w:t>
      </w:r>
    </w:p>
    <w:p w14:paraId="7D506312" w14:textId="3417E808" w:rsidR="00F0088B" w:rsidRPr="00653DCF" w:rsidRDefault="00F0088B" w:rsidP="00F0088B">
      <w:pPr>
        <w:rPr>
          <w:color w:val="auto"/>
        </w:rPr>
      </w:pPr>
      <w:r w:rsidRPr="00653DCF">
        <w:rPr>
          <w:color w:val="auto"/>
        </w:rPr>
        <w:t xml:space="preserve">and which disruption (in either such case as per </w:t>
      </w:r>
      <w:r w:rsidRPr="00653DCF">
        <w:rPr>
          <w:color w:val="auto"/>
        </w:rPr>
        <w:fldChar w:fldCharType="begin"/>
      </w:r>
      <w:r w:rsidRPr="00653DCF">
        <w:rPr>
          <w:color w:val="auto"/>
        </w:rPr>
        <w:instrText xml:space="preserve"> REF _Ref498018723 \n \h </w:instrText>
      </w:r>
      <w:r w:rsidRPr="00653DCF">
        <w:rPr>
          <w:color w:val="auto"/>
        </w:rPr>
      </w:r>
      <w:r w:rsidRPr="00653DCF">
        <w:rPr>
          <w:color w:val="auto"/>
        </w:rPr>
        <w:fldChar w:fldCharType="separate"/>
      </w:r>
      <w:r w:rsidR="00E5391B">
        <w:rPr>
          <w:color w:val="auto"/>
        </w:rPr>
        <w:t>(a)</w:t>
      </w:r>
      <w:r w:rsidRPr="00653DCF">
        <w:rPr>
          <w:color w:val="auto"/>
        </w:rPr>
        <w:fldChar w:fldCharType="end"/>
      </w:r>
      <w:r w:rsidRPr="00653DCF">
        <w:rPr>
          <w:color w:val="auto"/>
        </w:rPr>
        <w:t xml:space="preserve"> or </w:t>
      </w:r>
      <w:r w:rsidRPr="00653DCF">
        <w:rPr>
          <w:color w:val="auto"/>
        </w:rPr>
        <w:fldChar w:fldCharType="begin"/>
      </w:r>
      <w:r w:rsidRPr="00653DCF">
        <w:rPr>
          <w:color w:val="auto"/>
        </w:rPr>
        <w:instrText xml:space="preserve"> REF _Ref498018724 \n \h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 xml:space="preserve"> above) is not caused by, and is beyond the control of, the Party whose operations are disrupted.</w:t>
      </w:r>
    </w:p>
    <w:p w14:paraId="0FF59CDB" w14:textId="77777777" w:rsidR="00F0088B" w:rsidRPr="00653DCF" w:rsidRDefault="00F0088B" w:rsidP="00F0088B">
      <w:pPr>
        <w:widowControl w:val="0"/>
        <w:rPr>
          <w:color w:val="auto"/>
        </w:rPr>
      </w:pPr>
      <w:r w:rsidRPr="00653DCF">
        <w:rPr>
          <w:color w:val="auto"/>
        </w:rPr>
        <w:t>"</w:t>
      </w:r>
      <w:r w:rsidRPr="00653DCF">
        <w:rPr>
          <w:rStyle w:val="BoldEIB"/>
          <w:color w:val="auto"/>
        </w:rPr>
        <w:t>EIA</w:t>
      </w:r>
      <w:r w:rsidRPr="00653DCF">
        <w:rPr>
          <w:color w:val="auto"/>
        </w:rPr>
        <w:t>" means the Environmental Impact Assessment in the meaning of the EIA Directive.</w:t>
      </w:r>
    </w:p>
    <w:p w14:paraId="5C8F4603" w14:textId="77777777" w:rsidR="00F0088B" w:rsidRPr="00653DCF" w:rsidRDefault="00F0088B" w:rsidP="00F0088B">
      <w:pPr>
        <w:widowControl w:val="0"/>
        <w:rPr>
          <w:color w:val="auto"/>
        </w:rPr>
      </w:pPr>
      <w:r w:rsidRPr="00653DCF">
        <w:rPr>
          <w:color w:val="auto"/>
        </w:rPr>
        <w:t>"</w:t>
      </w:r>
      <w:r w:rsidRPr="00653DCF">
        <w:rPr>
          <w:rStyle w:val="BoldEIB"/>
          <w:color w:val="auto"/>
        </w:rPr>
        <w:t>EIA Directive</w:t>
      </w:r>
      <w:r w:rsidRPr="00653DCF">
        <w:rPr>
          <w:color w:val="auto"/>
        </w:rPr>
        <w:t xml:space="preserve">" means the Directive 2014/52/EU of the European Parliament and of the Council of 16 April 2014 amending Directive 2011/92/EU on the assessment of the effects of certain public and private projects on the environment, as amended, supplemented or restated. </w:t>
      </w:r>
    </w:p>
    <w:p w14:paraId="7F7DD3BA" w14:textId="77777777" w:rsidR="00F0088B" w:rsidRPr="00653DCF" w:rsidRDefault="00F0088B" w:rsidP="00F0088B">
      <w:pPr>
        <w:widowControl w:val="0"/>
        <w:tabs>
          <w:tab w:val="left" w:pos="896"/>
        </w:tabs>
        <w:ind w:left="851"/>
        <w:rPr>
          <w:color w:val="auto"/>
        </w:rPr>
      </w:pPr>
      <w:r w:rsidRPr="00653DCF">
        <w:rPr>
          <w:rFonts w:cs="Tahoma"/>
          <w:color w:val="auto"/>
        </w:rPr>
        <w:t>"</w:t>
      </w:r>
      <w:r w:rsidRPr="00653DCF">
        <w:rPr>
          <w:rFonts w:cs="Tahoma"/>
          <w:b/>
          <w:color w:val="auto"/>
        </w:rPr>
        <w:t>EIB Finance Contracts</w:t>
      </w:r>
      <w:r w:rsidRPr="00653DCF">
        <w:rPr>
          <w:rFonts w:cs="Tahoma"/>
          <w:color w:val="auto"/>
        </w:rPr>
        <w:t>" means this Contract and</w:t>
      </w:r>
      <w:r w:rsidRPr="00653DCF">
        <w:rPr>
          <w:color w:val="auto"/>
        </w:rPr>
        <w:t xml:space="preserve"> any other finance contract between the Bank and the Borrower having the same Operation Number as this Contract</w:t>
      </w:r>
      <w:r w:rsidRPr="00653DCF">
        <w:rPr>
          <w:rFonts w:cs="Tahoma"/>
          <w:color w:val="auto"/>
        </w:rPr>
        <w:t>.</w:t>
      </w:r>
    </w:p>
    <w:p w14:paraId="19308354" w14:textId="77777777" w:rsidR="00F0088B" w:rsidRPr="00653DCF" w:rsidRDefault="00F0088B" w:rsidP="00F0088B">
      <w:pPr>
        <w:widowControl w:val="0"/>
        <w:ind w:left="851"/>
        <w:rPr>
          <w:color w:val="auto"/>
        </w:rPr>
      </w:pPr>
      <w:r w:rsidRPr="00653DCF">
        <w:rPr>
          <w:color w:val="auto"/>
        </w:rPr>
        <w:t>"</w:t>
      </w:r>
      <w:r w:rsidRPr="00653DCF">
        <w:rPr>
          <w:b/>
          <w:color w:val="auto"/>
        </w:rPr>
        <w:t>EIB Funds</w:t>
      </w:r>
      <w:r w:rsidRPr="00653DCF">
        <w:rPr>
          <w:color w:val="auto"/>
        </w:rPr>
        <w:t>"</w:t>
      </w:r>
      <w:r w:rsidRPr="00653DCF">
        <w:rPr>
          <w:b/>
          <w:color w:val="auto"/>
        </w:rPr>
        <w:t xml:space="preserve"> </w:t>
      </w:r>
      <w:r w:rsidRPr="00653DCF">
        <w:rPr>
          <w:color w:val="auto"/>
        </w:rPr>
        <w:t>means the Credit made available hereunder and any other funds made available by the Bank for the purpose of the Project under any EIB Finance Contract.</w:t>
      </w:r>
    </w:p>
    <w:p w14:paraId="752AF19F" w14:textId="77777777" w:rsidR="00F0088B" w:rsidRPr="00653DCF" w:rsidRDefault="00F0088B" w:rsidP="00F0088B">
      <w:pPr>
        <w:rPr>
          <w:color w:val="auto"/>
        </w:rPr>
      </w:pPr>
      <w:r w:rsidRPr="00653DCF">
        <w:rPr>
          <w:color w:val="auto"/>
        </w:rPr>
        <w:t>"</w:t>
      </w:r>
      <w:r w:rsidRPr="00653DCF">
        <w:rPr>
          <w:rStyle w:val="BoldEIB"/>
          <w:color w:val="auto"/>
        </w:rPr>
        <w:t>Environment</w:t>
      </w:r>
      <w:r w:rsidRPr="00653DCF">
        <w:rPr>
          <w:color w:val="auto"/>
        </w:rPr>
        <w:t xml:space="preserve">" means the following: </w:t>
      </w:r>
    </w:p>
    <w:p w14:paraId="0B84653D" w14:textId="77777777" w:rsidR="00F0088B" w:rsidRPr="00653DCF" w:rsidRDefault="00F0088B" w:rsidP="0024686A">
      <w:pPr>
        <w:pStyle w:val="NoIndentEIB"/>
        <w:numPr>
          <w:ilvl w:val="0"/>
          <w:numId w:val="158"/>
        </w:numPr>
        <w:rPr>
          <w:color w:val="auto"/>
        </w:rPr>
      </w:pPr>
      <w:r w:rsidRPr="00653DCF">
        <w:rPr>
          <w:color w:val="auto"/>
        </w:rPr>
        <w:t xml:space="preserve">fauna and flora, living organisms including the ecological systems; </w:t>
      </w:r>
    </w:p>
    <w:p w14:paraId="712C8E07" w14:textId="77777777" w:rsidR="00F0088B" w:rsidRPr="00653DCF" w:rsidRDefault="00F0088B" w:rsidP="0024686A">
      <w:pPr>
        <w:pStyle w:val="NoIndentEIB"/>
        <w:numPr>
          <w:ilvl w:val="0"/>
          <w:numId w:val="158"/>
        </w:numPr>
        <w:rPr>
          <w:color w:val="auto"/>
        </w:rPr>
      </w:pPr>
      <w:r w:rsidRPr="00653DCF">
        <w:rPr>
          <w:color w:val="auto"/>
        </w:rPr>
        <w:t>land, soil, water (including marine and coastal waters), air, climate and the landscape (natural or man-made structures, whether above or below ground);</w:t>
      </w:r>
    </w:p>
    <w:p w14:paraId="55519D93" w14:textId="77777777" w:rsidR="00F0088B" w:rsidRPr="00653DCF" w:rsidRDefault="00F0088B" w:rsidP="0024686A">
      <w:pPr>
        <w:pStyle w:val="NoIndentEIB"/>
        <w:numPr>
          <w:ilvl w:val="0"/>
          <w:numId w:val="158"/>
        </w:numPr>
        <w:rPr>
          <w:color w:val="auto"/>
        </w:rPr>
      </w:pPr>
      <w:r w:rsidRPr="00653DCF">
        <w:rPr>
          <w:color w:val="auto"/>
        </w:rPr>
        <w:t>cultural heritage (natural, tangible and intangible);</w:t>
      </w:r>
    </w:p>
    <w:p w14:paraId="3716F422" w14:textId="77777777" w:rsidR="00F0088B" w:rsidRPr="00653DCF" w:rsidRDefault="00F0088B" w:rsidP="0024686A">
      <w:pPr>
        <w:pStyle w:val="NoIndentEIB"/>
        <w:numPr>
          <w:ilvl w:val="0"/>
          <w:numId w:val="158"/>
        </w:numPr>
        <w:rPr>
          <w:color w:val="auto"/>
        </w:rPr>
      </w:pPr>
      <w:r w:rsidRPr="00653DCF">
        <w:rPr>
          <w:color w:val="auto"/>
        </w:rPr>
        <w:t xml:space="preserve">the built environment; and </w:t>
      </w:r>
    </w:p>
    <w:p w14:paraId="06A08D21" w14:textId="77777777" w:rsidR="00F0088B" w:rsidRPr="00653DCF" w:rsidRDefault="00F0088B" w:rsidP="0024686A">
      <w:pPr>
        <w:pStyle w:val="NoIndentEIB"/>
        <w:numPr>
          <w:ilvl w:val="0"/>
          <w:numId w:val="158"/>
        </w:numPr>
        <w:rPr>
          <w:color w:val="auto"/>
        </w:rPr>
      </w:pPr>
      <w:r w:rsidRPr="00653DCF">
        <w:rPr>
          <w:color w:val="auto"/>
        </w:rPr>
        <w:t>human health and wellbeing.</w:t>
      </w:r>
    </w:p>
    <w:p w14:paraId="5852D71F" w14:textId="77777777" w:rsidR="00F0088B" w:rsidRPr="00653DCF" w:rsidRDefault="00F0088B" w:rsidP="00F0088B">
      <w:pPr>
        <w:rPr>
          <w:color w:val="auto"/>
        </w:rPr>
      </w:pPr>
      <w:r w:rsidRPr="00653DCF">
        <w:rPr>
          <w:color w:val="auto"/>
        </w:rPr>
        <w:t>"</w:t>
      </w:r>
      <w:r w:rsidRPr="00653DCF">
        <w:rPr>
          <w:rStyle w:val="BoldEIB"/>
          <w:color w:val="auto"/>
        </w:rPr>
        <w:t>Environmental and Social Approval</w:t>
      </w:r>
      <w:r w:rsidRPr="00653DCF">
        <w:rPr>
          <w:color w:val="auto"/>
        </w:rPr>
        <w:t>" means any Authorisation required by Environmental and Social Law.</w:t>
      </w:r>
    </w:p>
    <w:p w14:paraId="7D139993" w14:textId="77777777" w:rsidR="00F0088B" w:rsidRPr="00653DCF" w:rsidRDefault="00F0088B" w:rsidP="00F0088B">
      <w:pPr>
        <w:rPr>
          <w:color w:val="auto"/>
        </w:rPr>
      </w:pPr>
      <w:r w:rsidRPr="00653DCF">
        <w:rPr>
          <w:color w:val="auto"/>
        </w:rPr>
        <w:t>"</w:t>
      </w:r>
      <w:r w:rsidRPr="00653DCF">
        <w:rPr>
          <w:rStyle w:val="BoldEIB"/>
          <w:color w:val="auto"/>
        </w:rPr>
        <w:t>Environmental or Social Claim</w:t>
      </w:r>
      <w:r w:rsidRPr="00653DCF">
        <w:rPr>
          <w:color w:val="auto"/>
        </w:rPr>
        <w:t>" means any claim, proceeding, formal notice or investigation by any person in respect of any Environmental and Social Law.</w:t>
      </w:r>
    </w:p>
    <w:p w14:paraId="73F78A05" w14:textId="77777777" w:rsidR="00F0088B" w:rsidRPr="00653DCF" w:rsidRDefault="00F0088B" w:rsidP="00F0088B">
      <w:pPr>
        <w:rPr>
          <w:color w:val="auto"/>
        </w:rPr>
      </w:pPr>
      <w:r w:rsidRPr="00653DCF">
        <w:rPr>
          <w:color w:val="auto"/>
        </w:rPr>
        <w:t>"</w:t>
      </w:r>
      <w:r w:rsidRPr="00653DCF">
        <w:rPr>
          <w:rStyle w:val="BoldEIB"/>
          <w:color w:val="auto"/>
        </w:rPr>
        <w:t>Environmental and Social Law</w:t>
      </w:r>
      <w:r w:rsidRPr="00653DCF">
        <w:rPr>
          <w:color w:val="auto"/>
        </w:rPr>
        <w:t xml:space="preserve">" means: </w:t>
      </w:r>
    </w:p>
    <w:p w14:paraId="7A76D820" w14:textId="77777777" w:rsidR="00F0088B" w:rsidRPr="00653DCF" w:rsidRDefault="00F0088B" w:rsidP="0024686A">
      <w:pPr>
        <w:pStyle w:val="NoIndentEIB"/>
        <w:numPr>
          <w:ilvl w:val="0"/>
          <w:numId w:val="159"/>
        </w:numPr>
        <w:rPr>
          <w:color w:val="auto"/>
        </w:rPr>
      </w:pPr>
      <w:r w:rsidRPr="00653DCF">
        <w:rPr>
          <w:color w:val="auto"/>
        </w:rPr>
        <w:t>EU Law, including principles and standards;</w:t>
      </w:r>
    </w:p>
    <w:p w14:paraId="3C4E3CA2" w14:textId="6F2554A0" w:rsidR="00F0088B" w:rsidRDefault="00F0088B" w:rsidP="0024686A">
      <w:pPr>
        <w:pStyle w:val="NoIndentEIB"/>
        <w:numPr>
          <w:ilvl w:val="0"/>
          <w:numId w:val="159"/>
        </w:numPr>
        <w:rPr>
          <w:color w:val="auto"/>
        </w:rPr>
      </w:pPr>
      <w:r w:rsidRPr="00653DCF">
        <w:rPr>
          <w:color w:val="auto"/>
        </w:rPr>
        <w:t>the laws and regulations of the Republic of Croatia; and</w:t>
      </w:r>
    </w:p>
    <w:p w14:paraId="062C6215" w14:textId="77777777" w:rsidR="00CB3A2D" w:rsidRPr="00653DCF" w:rsidRDefault="00CB3A2D" w:rsidP="00CB3A2D">
      <w:pPr>
        <w:pStyle w:val="NoIndentEIB"/>
        <w:ind w:left="1423"/>
        <w:rPr>
          <w:color w:val="auto"/>
        </w:rPr>
      </w:pPr>
    </w:p>
    <w:p w14:paraId="2078FA2E" w14:textId="77777777" w:rsidR="00F0088B" w:rsidRPr="00653DCF" w:rsidRDefault="00F0088B" w:rsidP="0024686A">
      <w:pPr>
        <w:pStyle w:val="NoIndentEIB"/>
        <w:numPr>
          <w:ilvl w:val="0"/>
          <w:numId w:val="159"/>
        </w:numPr>
        <w:rPr>
          <w:color w:val="auto"/>
        </w:rPr>
      </w:pPr>
      <w:r w:rsidRPr="00653DCF">
        <w:rPr>
          <w:color w:val="auto"/>
        </w:rPr>
        <w:t>applicable international treaties,</w:t>
      </w:r>
    </w:p>
    <w:p w14:paraId="5C227CB1" w14:textId="77777777" w:rsidR="00F0088B" w:rsidRPr="00653DCF" w:rsidRDefault="00F0088B" w:rsidP="00F0088B">
      <w:pPr>
        <w:rPr>
          <w:color w:val="auto"/>
        </w:rPr>
      </w:pPr>
      <w:r w:rsidRPr="00653DCF">
        <w:rPr>
          <w:color w:val="auto"/>
        </w:rPr>
        <w:t>in each case of which a principal objective is the preservation, protection or improvement of the Environment and/or the protection or improvement of Social Matters.</w:t>
      </w:r>
    </w:p>
    <w:p w14:paraId="3216852B" w14:textId="77777777" w:rsidR="00F0088B" w:rsidRPr="00653DCF" w:rsidRDefault="00F0088B" w:rsidP="00F0088B">
      <w:pPr>
        <w:rPr>
          <w:color w:val="auto"/>
        </w:rPr>
      </w:pPr>
      <w:r w:rsidRPr="00653DCF">
        <w:rPr>
          <w:color w:val="auto"/>
        </w:rPr>
        <w:t>"</w:t>
      </w:r>
      <w:r w:rsidRPr="00653DCF">
        <w:rPr>
          <w:b/>
          <w:bCs/>
          <w:color w:val="auto"/>
        </w:rPr>
        <w:t>EU Funds</w:t>
      </w:r>
      <w:r w:rsidRPr="00653DCF">
        <w:rPr>
          <w:color w:val="auto"/>
        </w:rPr>
        <w:t>"</w:t>
      </w:r>
      <w:r w:rsidRPr="00653DCF">
        <w:rPr>
          <w:bCs/>
          <w:color w:val="auto"/>
        </w:rPr>
        <w:t xml:space="preserve"> means any and all funds from the European Union.</w:t>
      </w:r>
    </w:p>
    <w:p w14:paraId="24FF878F" w14:textId="032FAC59" w:rsidR="00F0088B" w:rsidRPr="00653DCF" w:rsidRDefault="00F0088B" w:rsidP="00F0088B">
      <w:pPr>
        <w:rPr>
          <w:color w:val="auto"/>
        </w:rPr>
      </w:pPr>
      <w:r w:rsidRPr="00653DCF">
        <w:rPr>
          <w:bCs/>
          <w:color w:val="auto"/>
        </w:rPr>
        <w:t>"</w:t>
      </w:r>
      <w:r w:rsidRPr="00653DCF">
        <w:rPr>
          <w:rStyle w:val="BoldEIB"/>
          <w:color w:val="auto"/>
        </w:rPr>
        <w:t>EU Funds Event</w:t>
      </w:r>
      <w:r w:rsidRPr="00653DCF">
        <w:rPr>
          <w:bCs/>
          <w:color w:val="auto"/>
        </w:rPr>
        <w:t>"</w:t>
      </w:r>
      <w:r w:rsidRPr="00653DCF">
        <w:rPr>
          <w:color w:val="auto"/>
        </w:rPr>
        <w:t xml:space="preserve"> has the meaning given to it in Article </w:t>
      </w:r>
      <w:r w:rsidRPr="00653DCF">
        <w:rPr>
          <w:color w:val="auto"/>
        </w:rPr>
        <w:fldChar w:fldCharType="begin"/>
      </w:r>
      <w:r w:rsidRPr="00653DCF">
        <w:rPr>
          <w:color w:val="auto"/>
        </w:rPr>
        <w:instrText xml:space="preserve"> REF _Ref508526371 \n \h  \* MERGEFORMAT </w:instrText>
      </w:r>
      <w:r w:rsidRPr="00653DCF">
        <w:rPr>
          <w:color w:val="auto"/>
        </w:rPr>
      </w:r>
      <w:r w:rsidRPr="00653DCF">
        <w:rPr>
          <w:color w:val="auto"/>
        </w:rPr>
        <w:fldChar w:fldCharType="separate"/>
      </w:r>
      <w:r w:rsidR="00E5391B">
        <w:rPr>
          <w:color w:val="auto"/>
        </w:rPr>
        <w:t>4.3.A(5)</w:t>
      </w:r>
      <w:r w:rsidRPr="00653DCF">
        <w:rPr>
          <w:color w:val="auto"/>
        </w:rPr>
        <w:fldChar w:fldCharType="end"/>
      </w:r>
      <w:r w:rsidRPr="00653DCF">
        <w:rPr>
          <w:color w:val="auto"/>
        </w:rPr>
        <w:fldChar w:fldCharType="begin"/>
      </w:r>
      <w:r w:rsidRPr="00653DCF">
        <w:rPr>
          <w:color w:val="auto"/>
        </w:rPr>
        <w:instrText xml:space="preserve"> REF _Ref497990074 \n \h  \* MERGEFORMAT </w:instrText>
      </w:r>
      <w:r w:rsidRPr="00653DCF">
        <w:rPr>
          <w:color w:val="auto"/>
        </w:rPr>
      </w:r>
      <w:r w:rsidRPr="00653DCF">
        <w:rPr>
          <w:color w:val="auto"/>
        </w:rPr>
        <w:fldChar w:fldCharType="separate"/>
      </w:r>
      <w:r w:rsidR="00E5391B">
        <w:rPr>
          <w:color w:val="auto"/>
        </w:rPr>
        <w:t>(c)</w:t>
      </w:r>
      <w:r w:rsidRPr="00653DCF">
        <w:rPr>
          <w:color w:val="auto"/>
        </w:rPr>
        <w:fldChar w:fldCharType="end"/>
      </w:r>
      <w:r w:rsidRPr="00653DCF">
        <w:rPr>
          <w:color w:val="auto"/>
        </w:rPr>
        <w:t>.</w:t>
      </w:r>
    </w:p>
    <w:p w14:paraId="7A00309E" w14:textId="77777777" w:rsidR="00F0088B" w:rsidRPr="00653DCF" w:rsidRDefault="00F0088B" w:rsidP="00F0088B">
      <w:pPr>
        <w:rPr>
          <w:color w:val="auto"/>
        </w:rPr>
      </w:pPr>
      <w:r w:rsidRPr="00653DCF">
        <w:rPr>
          <w:color w:val="auto"/>
        </w:rPr>
        <w:t>"</w:t>
      </w:r>
      <w:r w:rsidRPr="00653DCF">
        <w:rPr>
          <w:b/>
          <w:color w:val="auto"/>
        </w:rPr>
        <w:t>EU Law</w:t>
      </w:r>
      <w:r w:rsidRPr="00653DCF">
        <w:rPr>
          <w:color w:val="auto"/>
        </w:rPr>
        <w:t xml:space="preserve">" means the </w:t>
      </w:r>
      <w:r w:rsidRPr="00653DCF">
        <w:rPr>
          <w:rStyle w:val="ItalicEIB"/>
          <w:color w:val="auto"/>
        </w:rPr>
        <w:t>acquis communautaire</w:t>
      </w:r>
      <w:r w:rsidRPr="00653DCF">
        <w:rPr>
          <w:color w:val="auto"/>
        </w:rPr>
        <w:t xml:space="preserve"> of the European Union as expressed through the Treaties of the European Union, the regulations, directives, delegated acts, implementing acts, principles, decisions and the case law of the Court of Justice of the European Union.</w:t>
      </w:r>
    </w:p>
    <w:p w14:paraId="74561C06" w14:textId="77777777" w:rsidR="00F0088B" w:rsidRPr="00653DCF" w:rsidRDefault="00F0088B" w:rsidP="00F0088B">
      <w:pPr>
        <w:rPr>
          <w:color w:val="auto"/>
        </w:rPr>
      </w:pPr>
      <w:r w:rsidRPr="00653DCF">
        <w:rPr>
          <w:color w:val="auto"/>
        </w:rPr>
        <w:t>"</w:t>
      </w:r>
      <w:r w:rsidRPr="00653DCF">
        <w:rPr>
          <w:b/>
          <w:bCs/>
          <w:color w:val="auto"/>
        </w:rPr>
        <w:t>EU Commission</w:t>
      </w:r>
      <w:r w:rsidRPr="00653DCF">
        <w:rPr>
          <w:color w:val="auto"/>
        </w:rPr>
        <w:t>" means the Commission of the European Union.</w:t>
      </w:r>
    </w:p>
    <w:p w14:paraId="267E117C" w14:textId="77777777" w:rsidR="00F0088B" w:rsidRPr="00653DCF" w:rsidRDefault="00F0088B" w:rsidP="00F0088B">
      <w:pPr>
        <w:rPr>
          <w:color w:val="auto"/>
        </w:rPr>
      </w:pPr>
      <w:r w:rsidRPr="00653DCF">
        <w:rPr>
          <w:color w:val="auto"/>
        </w:rPr>
        <w:t>"</w:t>
      </w:r>
      <w:r w:rsidRPr="00653DCF">
        <w:rPr>
          <w:rStyle w:val="BoldEIB"/>
          <w:color w:val="auto"/>
        </w:rPr>
        <w:t>EUR</w:t>
      </w:r>
      <w:r w:rsidRPr="00653DCF">
        <w:rPr>
          <w:color w:val="auto"/>
        </w:rPr>
        <w:t>" or "</w:t>
      </w:r>
      <w:r w:rsidRPr="00653DCF">
        <w:rPr>
          <w:rStyle w:val="BoldEIB"/>
          <w:color w:val="auto"/>
        </w:rPr>
        <w:t>euro</w:t>
      </w:r>
      <w:r w:rsidRPr="00653DCF">
        <w:rPr>
          <w:color w:val="auto"/>
        </w:rPr>
        <w:t>" means the lawful currency of the Member States of the European Union, which adopt or have adopted it as their currency in accordance with the relevant provisions of the Treaty on European Union and the Treaty on the Functioning of the European Union or their succeeding treaties.</w:t>
      </w:r>
    </w:p>
    <w:p w14:paraId="4D718CE6" w14:textId="5860FC5D" w:rsidR="00F0088B" w:rsidRPr="00653DCF" w:rsidRDefault="00F0088B" w:rsidP="00F0088B">
      <w:pPr>
        <w:widowControl w:val="0"/>
        <w:rPr>
          <w:color w:val="auto"/>
        </w:rPr>
      </w:pPr>
      <w:r w:rsidRPr="00653DCF">
        <w:rPr>
          <w:color w:val="auto"/>
        </w:rPr>
        <w:t>"</w:t>
      </w:r>
      <w:r w:rsidRPr="00653DCF">
        <w:rPr>
          <w:rStyle w:val="BoldEIB0"/>
          <w:color w:val="auto"/>
        </w:rPr>
        <w:t>EURIBOR</w:t>
      </w:r>
      <w:r w:rsidRPr="00653DCF">
        <w:rPr>
          <w:color w:val="auto"/>
        </w:rPr>
        <w:t xml:space="preserve">" has the meaning given to it in </w:t>
      </w:r>
      <w:r w:rsidRPr="00653DCF">
        <w:rPr>
          <w:color w:val="auto"/>
        </w:rPr>
        <w:fldChar w:fldCharType="begin"/>
      </w:r>
      <w:r w:rsidRPr="00653DCF">
        <w:rPr>
          <w:color w:val="auto"/>
        </w:rPr>
        <w:instrText xml:space="preserve"> REF _Ref426714274 \r \h </w:instrText>
      </w:r>
      <w:r w:rsidRPr="00653DCF">
        <w:rPr>
          <w:color w:val="auto"/>
        </w:rPr>
      </w:r>
      <w:r w:rsidRPr="00653DCF">
        <w:rPr>
          <w:color w:val="auto"/>
        </w:rPr>
        <w:fldChar w:fldCharType="separate"/>
      </w:r>
      <w:r w:rsidR="00E5391B">
        <w:rPr>
          <w:color w:val="auto"/>
        </w:rPr>
        <w:t>Prilog B</w:t>
      </w:r>
      <w:r w:rsidRPr="00653DCF">
        <w:rPr>
          <w:color w:val="auto"/>
        </w:rPr>
        <w:fldChar w:fldCharType="end"/>
      </w:r>
      <w:r w:rsidRPr="00653DCF">
        <w:rPr>
          <w:color w:val="auto"/>
        </w:rPr>
        <w:t>.</w:t>
      </w:r>
    </w:p>
    <w:p w14:paraId="18373F01" w14:textId="77777777" w:rsidR="00F0088B" w:rsidRPr="00653DCF" w:rsidRDefault="00F0088B" w:rsidP="00F0088B">
      <w:pPr>
        <w:widowControl w:val="0"/>
        <w:rPr>
          <w:color w:val="auto"/>
        </w:rPr>
      </w:pPr>
      <w:r w:rsidRPr="00653DCF">
        <w:rPr>
          <w:color w:val="auto"/>
        </w:rPr>
        <w:t>“</w:t>
      </w:r>
      <w:r w:rsidRPr="00653DCF">
        <w:rPr>
          <w:b/>
          <w:bCs/>
          <w:color w:val="auto"/>
        </w:rPr>
        <w:t>EU Sanctions</w:t>
      </w:r>
      <w:r w:rsidRPr="00653DCF">
        <w:rPr>
          <w:color w:val="auto"/>
        </w:rPr>
        <w:t>” has the meaning set out in limb (b) of the definition of Sanctions.</w:t>
      </w:r>
    </w:p>
    <w:p w14:paraId="1A78CEF9" w14:textId="700FEAFC" w:rsidR="00F0088B" w:rsidRPr="00653DCF" w:rsidRDefault="00F0088B" w:rsidP="00F0088B">
      <w:pPr>
        <w:rPr>
          <w:color w:val="auto"/>
        </w:rPr>
      </w:pPr>
      <w:r w:rsidRPr="00653DCF">
        <w:rPr>
          <w:color w:val="auto"/>
        </w:rPr>
        <w:t>"</w:t>
      </w:r>
      <w:r w:rsidRPr="00653DCF">
        <w:rPr>
          <w:rStyle w:val="BoldEIB"/>
          <w:color w:val="auto"/>
        </w:rPr>
        <w:t>Event of Default</w:t>
      </w:r>
      <w:r w:rsidRPr="00653DCF">
        <w:rPr>
          <w:color w:val="auto"/>
        </w:rPr>
        <w:t>" means any of the circumstances, events or occurrences specified in Article </w:t>
      </w:r>
      <w:r w:rsidRPr="00653DCF">
        <w:rPr>
          <w:color w:val="auto"/>
        </w:rPr>
        <w:fldChar w:fldCharType="begin"/>
      </w:r>
      <w:r w:rsidRPr="00653DCF">
        <w:rPr>
          <w:color w:val="auto"/>
        </w:rPr>
        <w:instrText xml:space="preserve"> REF _Ref426625279 \r \h  \* MERGEFORMAT </w:instrText>
      </w:r>
      <w:r w:rsidRPr="00653DCF">
        <w:rPr>
          <w:color w:val="auto"/>
        </w:rPr>
      </w:r>
      <w:r w:rsidRPr="00653DCF">
        <w:rPr>
          <w:color w:val="auto"/>
        </w:rPr>
        <w:fldChar w:fldCharType="separate"/>
      </w:r>
      <w:r w:rsidR="00E5391B">
        <w:rPr>
          <w:color w:val="auto"/>
        </w:rPr>
        <w:t>članak 10</w:t>
      </w:r>
      <w:r w:rsidRPr="00653DCF">
        <w:rPr>
          <w:color w:val="auto"/>
        </w:rPr>
        <w:fldChar w:fldCharType="end"/>
      </w:r>
      <w:r w:rsidRPr="00653DCF">
        <w:rPr>
          <w:color w:val="auto"/>
        </w:rPr>
        <w:t xml:space="preserve">. </w:t>
      </w:r>
    </w:p>
    <w:p w14:paraId="27A8F67B" w14:textId="77777777" w:rsidR="00F0088B" w:rsidRPr="00653DCF" w:rsidRDefault="00F0088B" w:rsidP="00F0088B">
      <w:pPr>
        <w:rPr>
          <w:color w:val="auto"/>
        </w:rPr>
      </w:pPr>
      <w:r w:rsidRPr="00653DCF">
        <w:rPr>
          <w:color w:val="auto"/>
        </w:rPr>
        <w:t>"</w:t>
      </w:r>
      <w:r w:rsidRPr="00653DCF">
        <w:rPr>
          <w:b/>
          <w:color w:val="auto"/>
        </w:rPr>
        <w:t>Exclusion Policy</w:t>
      </w:r>
      <w:r w:rsidRPr="00653DCF">
        <w:rPr>
          <w:color w:val="auto"/>
        </w:rPr>
        <w:t>" means the European Investment Bank Exclusion Policy as published on the Bank’s website.</w:t>
      </w:r>
    </w:p>
    <w:p w14:paraId="1804A63A" w14:textId="77777777" w:rsidR="00F0088B" w:rsidRPr="00653DCF" w:rsidRDefault="00F0088B" w:rsidP="00F0088B">
      <w:pPr>
        <w:rPr>
          <w:color w:val="auto"/>
        </w:rPr>
      </w:pPr>
      <w:r w:rsidRPr="00653DCF">
        <w:rPr>
          <w:color w:val="auto"/>
        </w:rPr>
        <w:t>"</w:t>
      </w:r>
      <w:r w:rsidRPr="00653DCF">
        <w:rPr>
          <w:rStyle w:val="BoldEIB"/>
          <w:color w:val="auto"/>
        </w:rPr>
        <w:t>Final Availability Date</w:t>
      </w:r>
      <w:r w:rsidRPr="00653DCF">
        <w:rPr>
          <w:color w:val="auto"/>
        </w:rPr>
        <w:t>" means the date falling 60 (sixty) months after the signature of this Contract.</w:t>
      </w:r>
    </w:p>
    <w:p w14:paraId="0569B4DF" w14:textId="77777777" w:rsidR="00F0088B" w:rsidRPr="00653DCF" w:rsidRDefault="00F0088B" w:rsidP="00F0088B">
      <w:pPr>
        <w:rPr>
          <w:color w:val="auto"/>
        </w:rPr>
      </w:pPr>
      <w:r w:rsidRPr="00653DCF">
        <w:rPr>
          <w:color w:val="auto"/>
        </w:rPr>
        <w:t>"</w:t>
      </w:r>
      <w:r w:rsidRPr="00653DCF">
        <w:rPr>
          <w:rStyle w:val="BoldEIB"/>
          <w:color w:val="auto"/>
        </w:rPr>
        <w:t>Fixed Rate</w:t>
      </w:r>
      <w:r w:rsidRPr="00653DCF">
        <w:rPr>
          <w:color w:val="auto"/>
        </w:rPr>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Such rate shall not be of negative value. </w:t>
      </w:r>
    </w:p>
    <w:p w14:paraId="434C9286" w14:textId="77777777" w:rsidR="00F0088B" w:rsidRPr="00653DCF" w:rsidRDefault="00F0088B" w:rsidP="00F0088B">
      <w:pPr>
        <w:rPr>
          <w:color w:val="auto"/>
        </w:rPr>
      </w:pPr>
      <w:r w:rsidRPr="00653DCF">
        <w:rPr>
          <w:color w:val="auto"/>
        </w:rPr>
        <w:t>"</w:t>
      </w:r>
      <w:r w:rsidRPr="00653DCF">
        <w:rPr>
          <w:rStyle w:val="BoldEIB"/>
          <w:color w:val="auto"/>
        </w:rPr>
        <w:t>Fixed Rate Tranche</w:t>
      </w:r>
      <w:r w:rsidRPr="00653DCF">
        <w:rPr>
          <w:color w:val="auto"/>
        </w:rPr>
        <w:t>" means a Tranche on which the Fixed Rate is applied.</w:t>
      </w:r>
    </w:p>
    <w:p w14:paraId="6B9DEB67" w14:textId="77777777" w:rsidR="00F0088B" w:rsidRPr="00653DCF" w:rsidRDefault="00F0088B" w:rsidP="00F0088B">
      <w:pPr>
        <w:rPr>
          <w:color w:val="auto"/>
        </w:rPr>
      </w:pPr>
      <w:r w:rsidRPr="00653DCF">
        <w:rPr>
          <w:color w:val="auto"/>
        </w:rPr>
        <w:t>"</w:t>
      </w:r>
      <w:r w:rsidRPr="00653DCF">
        <w:rPr>
          <w:rStyle w:val="BoldEIB"/>
          <w:color w:val="auto"/>
        </w:rPr>
        <w:t>Floating Rate</w:t>
      </w:r>
      <w:r w:rsidRPr="00653DCF">
        <w:rPr>
          <w:color w:val="auto"/>
        </w:rPr>
        <w:t xml:space="preserve">" means a fixed-spread floating annual interest rate, determined by the Bank for each successive Floating Rate Reference Period equal to the EURIBOR plus the Spread. If the Floating Rate for any Floating Rate Reference Period is calculated to be below zero, it will be set at zero. </w:t>
      </w:r>
    </w:p>
    <w:p w14:paraId="245CCE9F" w14:textId="77777777" w:rsidR="00F0088B" w:rsidRPr="00653DCF" w:rsidRDefault="00F0088B" w:rsidP="00F0088B">
      <w:pPr>
        <w:rPr>
          <w:color w:val="auto"/>
        </w:rPr>
      </w:pPr>
      <w:r w:rsidRPr="00653DCF">
        <w:rPr>
          <w:color w:val="auto"/>
        </w:rPr>
        <w:t>"</w:t>
      </w:r>
      <w:r w:rsidRPr="00653DCF">
        <w:rPr>
          <w:rStyle w:val="BoldEIB"/>
          <w:color w:val="auto"/>
        </w:rPr>
        <w:t>Floating Rate Reference Period</w:t>
      </w:r>
      <w:r w:rsidRPr="00653DCF">
        <w:rPr>
          <w:color w:val="auto"/>
        </w:rPr>
        <w:t>" means each period from one Payment Date to the next relevant Payment Date; the first Floating Rate Reference Period shall commence on the date of disbursement of the Tranche.</w:t>
      </w:r>
    </w:p>
    <w:p w14:paraId="176F7B83" w14:textId="77777777" w:rsidR="00F0088B" w:rsidRPr="00653DCF" w:rsidRDefault="00F0088B" w:rsidP="00F0088B">
      <w:pPr>
        <w:rPr>
          <w:color w:val="auto"/>
        </w:rPr>
      </w:pPr>
      <w:r w:rsidRPr="00653DCF">
        <w:rPr>
          <w:color w:val="auto"/>
        </w:rPr>
        <w:t>"</w:t>
      </w:r>
      <w:r w:rsidRPr="00653DCF">
        <w:rPr>
          <w:rStyle w:val="BoldEIB"/>
          <w:color w:val="auto"/>
        </w:rPr>
        <w:t>Floating Rate Tranche</w:t>
      </w:r>
      <w:r w:rsidRPr="00653DCF">
        <w:rPr>
          <w:color w:val="auto"/>
        </w:rPr>
        <w:t>" means a Tranche on which the Floating Rate is applied.</w:t>
      </w:r>
    </w:p>
    <w:p w14:paraId="2AE20A96" w14:textId="77777777" w:rsidR="00F0088B" w:rsidRPr="00653DCF" w:rsidRDefault="00F0088B" w:rsidP="00F0088B">
      <w:pPr>
        <w:shd w:val="clear" w:color="auto" w:fill="FFFFFF" w:themeFill="background1"/>
        <w:rPr>
          <w:color w:val="auto"/>
        </w:rPr>
      </w:pPr>
      <w:r w:rsidRPr="00653DCF">
        <w:rPr>
          <w:color w:val="auto"/>
        </w:rPr>
        <w:t>"</w:t>
      </w:r>
      <w:r w:rsidRPr="00653DCF">
        <w:rPr>
          <w:b/>
          <w:color w:val="auto"/>
        </w:rPr>
        <w:t>GDPR</w:t>
      </w:r>
      <w:r w:rsidRPr="00653DCF">
        <w:rPr>
          <w:color w:val="auto"/>
        </w:rPr>
        <w:t>" means General Data Protection Regulation (EU) 2016/679</w:t>
      </w:r>
      <w:r w:rsidRPr="00653DCF">
        <w:rPr>
          <w:i/>
          <w:color w:val="auto"/>
        </w:rPr>
        <w:t xml:space="preserve">, </w:t>
      </w:r>
      <w:r w:rsidRPr="00653DCF">
        <w:rPr>
          <w:color w:val="auto"/>
        </w:rPr>
        <w:t>as amended, supplemented or restated.</w:t>
      </w:r>
    </w:p>
    <w:p w14:paraId="3CBCE699" w14:textId="77777777" w:rsidR="00F0088B" w:rsidRPr="00653DCF" w:rsidRDefault="00F0088B" w:rsidP="00F0088B">
      <w:pPr>
        <w:rPr>
          <w:color w:val="auto"/>
        </w:rPr>
      </w:pPr>
      <w:r w:rsidRPr="00653DCF">
        <w:rPr>
          <w:color w:val="auto"/>
        </w:rPr>
        <w:t>"</w:t>
      </w:r>
      <w:r w:rsidRPr="00653DCF">
        <w:rPr>
          <w:rStyle w:val="BoldEIB"/>
          <w:color w:val="auto"/>
        </w:rPr>
        <w:t>Habitats Directive</w:t>
      </w:r>
      <w:r w:rsidRPr="00653DCF">
        <w:rPr>
          <w:color w:val="auto"/>
        </w:rPr>
        <w:t>" means the Directive 92/43/EEC of 21 May 1992 of the Council on the conservation of natural habitats and of wild fauna and flora, as amended, supplemented or restated.</w:t>
      </w:r>
    </w:p>
    <w:p w14:paraId="35E747B6" w14:textId="77777777" w:rsidR="00F0088B" w:rsidRPr="00653DCF" w:rsidRDefault="00F0088B" w:rsidP="00F0088B">
      <w:pPr>
        <w:rPr>
          <w:color w:val="auto"/>
        </w:rPr>
      </w:pPr>
      <w:r w:rsidRPr="00653DCF">
        <w:rPr>
          <w:bCs/>
          <w:color w:val="auto"/>
        </w:rPr>
        <w:t>"</w:t>
      </w:r>
      <w:r w:rsidRPr="00653DCF">
        <w:rPr>
          <w:b/>
          <w:color w:val="auto"/>
        </w:rPr>
        <w:t>Illegal Activity</w:t>
      </w:r>
      <w:r w:rsidRPr="00653DCF">
        <w:rPr>
          <w:color w:val="auto"/>
        </w:rPr>
        <w:t xml:space="preserve">" means any of the following illegal activities or activities carried out for illegal purposes according to applicable laws in any of the following areas: (i) fraud, corruption, coercion, collusion or obstruction, (ii) money laundering, financing of terrorism or tax crimes each as defined in the AML Directives, and (iii) other illegal activity against the financial interests of the European Union as defined in the PIF Directive. </w:t>
      </w:r>
    </w:p>
    <w:p w14:paraId="04B6D994" w14:textId="54D64AA3" w:rsidR="00F0088B" w:rsidRPr="00653DCF" w:rsidRDefault="00F0088B" w:rsidP="00F0088B">
      <w:pPr>
        <w:shd w:val="clear" w:color="auto" w:fill="FFFFFF" w:themeFill="background1"/>
        <w:rPr>
          <w:color w:val="auto"/>
        </w:rPr>
      </w:pPr>
      <w:r w:rsidRPr="00653DCF">
        <w:rPr>
          <w:color w:val="auto"/>
        </w:rPr>
        <w:t>"</w:t>
      </w:r>
      <w:r w:rsidRPr="00653DCF">
        <w:rPr>
          <w:b/>
          <w:color w:val="auto"/>
        </w:rPr>
        <w:t>Illegality Event</w:t>
      </w:r>
      <w:r w:rsidRPr="00653DCF">
        <w:rPr>
          <w:color w:val="auto"/>
        </w:rPr>
        <w:t xml:space="preserve">" has the meaning given to it in Article </w:t>
      </w:r>
      <w:r w:rsidRPr="00653DCF">
        <w:rPr>
          <w:color w:val="auto"/>
        </w:rPr>
        <w:fldChar w:fldCharType="begin"/>
      </w:r>
      <w:r w:rsidRPr="00653DCF">
        <w:rPr>
          <w:color w:val="auto"/>
        </w:rPr>
        <w:instrText xml:space="preserve"> REF _Ref61439290 \r \h  \* MERGEFORMAT </w:instrText>
      </w:r>
      <w:r w:rsidRPr="00653DCF">
        <w:rPr>
          <w:color w:val="auto"/>
        </w:rPr>
      </w:r>
      <w:r w:rsidRPr="00653DCF">
        <w:rPr>
          <w:color w:val="auto"/>
        </w:rPr>
        <w:fldChar w:fldCharType="separate"/>
      </w:r>
      <w:r w:rsidR="00E5391B">
        <w:rPr>
          <w:color w:val="auto"/>
        </w:rPr>
        <w:t>4.3.A(3)</w:t>
      </w:r>
      <w:r w:rsidRPr="00653DCF">
        <w:rPr>
          <w:color w:val="auto"/>
        </w:rPr>
        <w:fldChar w:fldCharType="end"/>
      </w:r>
      <w:r w:rsidRPr="00653DCF">
        <w:rPr>
          <w:color w:val="auto"/>
        </w:rPr>
        <w:t>.</w:t>
      </w:r>
    </w:p>
    <w:p w14:paraId="75C5A8AD" w14:textId="6BF76F67" w:rsidR="00F0088B" w:rsidRDefault="00F0088B" w:rsidP="00F0088B">
      <w:pPr>
        <w:rPr>
          <w:color w:val="auto"/>
        </w:rPr>
      </w:pPr>
      <w:r w:rsidRPr="00653DCF">
        <w:rPr>
          <w:color w:val="auto"/>
        </w:rPr>
        <w:t>"</w:t>
      </w:r>
      <w:r w:rsidRPr="00653DCF">
        <w:rPr>
          <w:rStyle w:val="BoldEIB"/>
          <w:color w:val="auto"/>
        </w:rPr>
        <w:t>Indemnifiable Prepayment Event</w:t>
      </w:r>
      <w:r w:rsidRPr="00653DCF">
        <w:rPr>
          <w:color w:val="auto"/>
        </w:rPr>
        <w:t xml:space="preserve">" means a Prepayment Event other than the Illegality Event. </w:t>
      </w:r>
    </w:p>
    <w:p w14:paraId="0E79BCEE" w14:textId="77777777" w:rsidR="00CB3A2D" w:rsidRPr="00653DCF" w:rsidRDefault="00CB3A2D" w:rsidP="00F0088B">
      <w:pPr>
        <w:rPr>
          <w:color w:val="auto"/>
        </w:rPr>
      </w:pPr>
    </w:p>
    <w:p w14:paraId="3AE4F19B" w14:textId="77777777" w:rsidR="00F0088B" w:rsidRPr="00653DCF" w:rsidRDefault="00F0088B" w:rsidP="00F0088B">
      <w:pPr>
        <w:rPr>
          <w:color w:val="auto"/>
        </w:rPr>
      </w:pPr>
      <w:r w:rsidRPr="00653DCF">
        <w:rPr>
          <w:color w:val="auto"/>
        </w:rPr>
        <w:t>"</w:t>
      </w:r>
      <w:r w:rsidRPr="00653DCF">
        <w:rPr>
          <w:rStyle w:val="BoldEIB"/>
          <w:color w:val="auto"/>
        </w:rPr>
        <w:t>Interest Revision/Conversion</w:t>
      </w:r>
      <w:r w:rsidRPr="00653DCF">
        <w:rPr>
          <w:color w:val="auto"/>
        </w:rPr>
        <w:t>" means the determination of new financial conditions relative to the interest rate, specifically the same interest rate basis ("</w:t>
      </w:r>
      <w:r w:rsidRPr="00653DCF">
        <w:rPr>
          <w:rStyle w:val="BoldEIB"/>
          <w:color w:val="auto"/>
        </w:rPr>
        <w:t>revision</w:t>
      </w:r>
      <w:r w:rsidRPr="00653DCF">
        <w:rPr>
          <w:color w:val="auto"/>
        </w:rPr>
        <w:t>") or a different interest rate basis ("</w:t>
      </w:r>
      <w:r w:rsidRPr="00653DCF">
        <w:rPr>
          <w:rStyle w:val="BoldEIB"/>
          <w:color w:val="auto"/>
        </w:rPr>
        <w:t>conversion</w:t>
      </w:r>
      <w:r w:rsidRPr="00653DCF">
        <w:rPr>
          <w:color w:val="auto"/>
        </w:rPr>
        <w:t>") which can be offered for the remaining term of a Tranche or until the next Interest Revision/Conversion Date, if any.</w:t>
      </w:r>
    </w:p>
    <w:p w14:paraId="7C158B6A" w14:textId="0A10CCB7" w:rsidR="00F0088B" w:rsidRPr="00653DCF" w:rsidRDefault="00F0088B" w:rsidP="00F0088B">
      <w:pPr>
        <w:rPr>
          <w:color w:val="auto"/>
        </w:rPr>
      </w:pPr>
      <w:r w:rsidRPr="00653DCF">
        <w:rPr>
          <w:color w:val="auto"/>
        </w:rPr>
        <w:t>"</w:t>
      </w:r>
      <w:r w:rsidRPr="00653DCF">
        <w:rPr>
          <w:b/>
          <w:color w:val="auto"/>
        </w:rPr>
        <w:t>Interest Revision/Conversion Date</w:t>
      </w:r>
      <w:r w:rsidRPr="00653DCF">
        <w:rPr>
          <w:color w:val="auto"/>
        </w:rPr>
        <w:t xml:space="preserve">" means the date, which shall be a Payment Date, specified by the Bank pursuant to Article </w:t>
      </w:r>
      <w:r w:rsidRPr="00653DCF">
        <w:rPr>
          <w:color w:val="auto"/>
        </w:rPr>
        <w:fldChar w:fldCharType="begin"/>
      </w:r>
      <w:r w:rsidRPr="00653DCF">
        <w:rPr>
          <w:color w:val="auto"/>
        </w:rPr>
        <w:instrText xml:space="preserve"> REF _Ref426713118 \r \h  \* MERGEFORMAT </w:instrText>
      </w:r>
      <w:r w:rsidRPr="00653DCF">
        <w:rPr>
          <w:color w:val="auto"/>
        </w:rPr>
      </w:r>
      <w:r w:rsidRPr="00653DCF">
        <w:rPr>
          <w:color w:val="auto"/>
        </w:rPr>
        <w:fldChar w:fldCharType="separate"/>
      </w:r>
      <w:r w:rsidR="00E5391B">
        <w:rPr>
          <w:color w:val="auto"/>
        </w:rPr>
        <w:t>1.2.C</w:t>
      </w:r>
      <w:r w:rsidRPr="00653DCF">
        <w:rPr>
          <w:color w:val="auto"/>
        </w:rPr>
        <w:fldChar w:fldCharType="end"/>
      </w:r>
      <w:r w:rsidRPr="00653DCF">
        <w:rPr>
          <w:color w:val="auto"/>
        </w:rPr>
        <w:t xml:space="preserve"> in the Disbursement Notice.</w:t>
      </w:r>
    </w:p>
    <w:p w14:paraId="619265FB" w14:textId="6E75DFD2" w:rsidR="00F0088B" w:rsidRPr="00653DCF" w:rsidRDefault="00F0088B" w:rsidP="00F0088B">
      <w:pPr>
        <w:rPr>
          <w:color w:val="auto"/>
        </w:rPr>
      </w:pPr>
      <w:r w:rsidRPr="00653DCF">
        <w:rPr>
          <w:color w:val="auto"/>
        </w:rPr>
        <w:t>"</w:t>
      </w:r>
      <w:r w:rsidRPr="00653DCF">
        <w:rPr>
          <w:rStyle w:val="BoldEIB"/>
          <w:color w:val="auto"/>
        </w:rPr>
        <w:t>Interest Revision/Conversion Proposal</w:t>
      </w:r>
      <w:r w:rsidRPr="00653DCF">
        <w:rPr>
          <w:color w:val="auto"/>
        </w:rPr>
        <w:t xml:space="preserve">" means a proposal made by the Bank under </w:t>
      </w:r>
      <w:r w:rsidRPr="00653DCF">
        <w:rPr>
          <w:color w:val="auto"/>
        </w:rPr>
        <w:br/>
      </w:r>
      <w:r w:rsidRPr="00653DCF">
        <w:rPr>
          <w:color w:val="auto"/>
        </w:rPr>
        <w:fldChar w:fldCharType="begin"/>
      </w:r>
      <w:r w:rsidRPr="00653DCF">
        <w:rPr>
          <w:color w:val="auto"/>
        </w:rPr>
        <w:instrText xml:space="preserve"> REF _Ref42343330 \r \h </w:instrText>
      </w:r>
      <w:r w:rsidRPr="00653DCF">
        <w:rPr>
          <w:color w:val="auto"/>
        </w:rPr>
      </w:r>
      <w:r w:rsidRPr="00653DCF">
        <w:rPr>
          <w:color w:val="auto"/>
        </w:rPr>
        <w:fldChar w:fldCharType="separate"/>
      </w:r>
      <w:r w:rsidR="00E5391B">
        <w:rPr>
          <w:color w:val="auto"/>
        </w:rPr>
        <w:t>Prilog D</w:t>
      </w:r>
      <w:r w:rsidRPr="00653DCF">
        <w:rPr>
          <w:color w:val="auto"/>
        </w:rPr>
        <w:fldChar w:fldCharType="end"/>
      </w:r>
      <w:r w:rsidRPr="00653DCF">
        <w:rPr>
          <w:color w:val="auto"/>
        </w:rPr>
        <w:t>.</w:t>
      </w:r>
    </w:p>
    <w:p w14:paraId="485F2D6B" w14:textId="77777777" w:rsidR="00F0088B" w:rsidRPr="00653DCF" w:rsidRDefault="00F0088B" w:rsidP="00F0088B">
      <w:pPr>
        <w:rPr>
          <w:color w:val="auto"/>
        </w:rPr>
      </w:pPr>
      <w:r w:rsidRPr="00653DCF">
        <w:rPr>
          <w:color w:val="auto"/>
        </w:rPr>
        <w:t>"</w:t>
      </w:r>
      <w:r w:rsidRPr="00653DCF">
        <w:rPr>
          <w:rStyle w:val="BoldEIB"/>
          <w:color w:val="auto"/>
        </w:rPr>
        <w:t>Interest Revision/Conversion Request</w:t>
      </w:r>
      <w:r w:rsidRPr="00653DCF">
        <w:rPr>
          <w:color w:val="auto"/>
        </w:rPr>
        <w:t>" means a written notice from the Borrower, delivered at least 75 (seventy-five) days before an Interest Revision/Conversion Date, requesting the Bank to submit to it an Interest Revision/Conversion Proposal. The Interest Revision/Conversion Request shall also specify:</w:t>
      </w:r>
    </w:p>
    <w:p w14:paraId="065E368B" w14:textId="33DF12C3" w:rsidR="00F0088B" w:rsidRPr="00653DCF" w:rsidRDefault="00F0088B" w:rsidP="0024686A">
      <w:pPr>
        <w:pStyle w:val="NoIndentEIB"/>
        <w:numPr>
          <w:ilvl w:val="0"/>
          <w:numId w:val="160"/>
        </w:numPr>
        <w:rPr>
          <w:color w:val="auto"/>
        </w:rPr>
      </w:pPr>
      <w:r w:rsidRPr="00653DCF">
        <w:rPr>
          <w:color w:val="auto"/>
        </w:rPr>
        <w:t>the Payment Dates chosen in accordance with the provisions of Article </w:t>
      </w:r>
      <w:r w:rsidRPr="00653DCF">
        <w:rPr>
          <w:color w:val="auto"/>
        </w:rPr>
        <w:fldChar w:fldCharType="begin"/>
      </w:r>
      <w:r w:rsidRPr="00653DCF">
        <w:rPr>
          <w:color w:val="auto"/>
        </w:rPr>
        <w:instrText xml:space="preserve"> REF _Ref426639513 \r \h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 xml:space="preserve">; </w:t>
      </w:r>
    </w:p>
    <w:p w14:paraId="675F2FB6" w14:textId="77777777" w:rsidR="00F0088B" w:rsidRPr="00653DCF" w:rsidRDefault="00F0088B" w:rsidP="0024686A">
      <w:pPr>
        <w:pStyle w:val="NoIndentEIB"/>
        <w:numPr>
          <w:ilvl w:val="0"/>
          <w:numId w:val="160"/>
        </w:numPr>
        <w:rPr>
          <w:color w:val="auto"/>
        </w:rPr>
      </w:pPr>
      <w:r w:rsidRPr="00653DCF">
        <w:rPr>
          <w:color w:val="auto"/>
        </w:rPr>
        <w:t>the amount of the Tranche for which the Interest Revision/Conversion shall apply; and</w:t>
      </w:r>
    </w:p>
    <w:p w14:paraId="49B64251" w14:textId="0F45BF80" w:rsidR="00F0088B" w:rsidRPr="00653DCF" w:rsidRDefault="00F0088B" w:rsidP="0024686A">
      <w:pPr>
        <w:pStyle w:val="NoIndentEIB"/>
        <w:numPr>
          <w:ilvl w:val="0"/>
          <w:numId w:val="160"/>
        </w:numPr>
        <w:rPr>
          <w:color w:val="auto"/>
        </w:rPr>
      </w:pPr>
      <w:r w:rsidRPr="00653DCF">
        <w:rPr>
          <w:color w:val="auto"/>
        </w:rPr>
        <w:t>any further Interest Revision/Conversion Date chosen in accordance with Article </w:t>
      </w:r>
      <w:r w:rsidRPr="00653DCF">
        <w:rPr>
          <w:color w:val="auto"/>
        </w:rPr>
        <w:fldChar w:fldCharType="begin"/>
      </w:r>
      <w:r w:rsidRPr="00653DCF">
        <w:rPr>
          <w:color w:val="auto"/>
        </w:rPr>
        <w:instrText xml:space="preserve"> REF _Ref426639513 \r \h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w:t>
      </w:r>
    </w:p>
    <w:p w14:paraId="701AF829" w14:textId="77777777" w:rsidR="00F0088B" w:rsidRPr="00653DCF" w:rsidRDefault="00F0088B" w:rsidP="00F0088B">
      <w:pPr>
        <w:rPr>
          <w:color w:val="auto"/>
        </w:rPr>
      </w:pPr>
      <w:r w:rsidRPr="00653DCF">
        <w:rPr>
          <w:color w:val="auto"/>
        </w:rPr>
        <w:t>"</w:t>
      </w:r>
      <w:r w:rsidRPr="00653DCF">
        <w:rPr>
          <w:b/>
          <w:bCs/>
          <w:color w:val="auto"/>
        </w:rPr>
        <w:t>Law on the Conclusion and Execution of Treaties</w:t>
      </w:r>
      <w:r w:rsidRPr="00653DCF">
        <w:rPr>
          <w:color w:val="auto"/>
        </w:rPr>
        <w:t>" means the Croatian Law on the conclusion and execution of treaties published in the Official Gazette no. 28/96 of 20 April 1996, as amended, supplemented or restated.</w:t>
      </w:r>
    </w:p>
    <w:p w14:paraId="55AF3BD2" w14:textId="7D9058AA" w:rsidR="00F0088B" w:rsidRPr="00653DCF" w:rsidRDefault="00F0088B" w:rsidP="00F0088B">
      <w:pPr>
        <w:rPr>
          <w:color w:val="auto"/>
        </w:rPr>
      </w:pPr>
      <w:r w:rsidRPr="00653DCF">
        <w:rPr>
          <w:color w:val="auto"/>
        </w:rPr>
        <w:t>"</w:t>
      </w:r>
      <w:r w:rsidRPr="00653DCF">
        <w:rPr>
          <w:rStyle w:val="BoldEIB"/>
          <w:color w:val="auto"/>
        </w:rPr>
        <w:t>Letter of Allocation</w:t>
      </w:r>
      <w:r w:rsidRPr="00653DCF">
        <w:rPr>
          <w:color w:val="auto"/>
        </w:rPr>
        <w:t xml:space="preserve">" has the meaning given to it Article </w:t>
      </w:r>
      <w:r w:rsidRPr="00653DCF">
        <w:rPr>
          <w:color w:val="auto"/>
        </w:rPr>
        <w:fldChar w:fldCharType="begin"/>
      </w:r>
      <w:r w:rsidRPr="00653DCF">
        <w:rPr>
          <w:color w:val="auto"/>
        </w:rPr>
        <w:instrText xml:space="preserve"> REF _Ref440724023 \r \h  \* MERGEFORMAT </w:instrText>
      </w:r>
      <w:r w:rsidRPr="00653DCF">
        <w:rPr>
          <w:color w:val="auto"/>
        </w:rPr>
      </w:r>
      <w:r w:rsidRPr="00653DCF">
        <w:rPr>
          <w:color w:val="auto"/>
        </w:rPr>
        <w:fldChar w:fldCharType="separate"/>
      </w:r>
      <w:r w:rsidR="00E5391B">
        <w:rPr>
          <w:color w:val="auto"/>
        </w:rPr>
        <w:t>1.9.B</w:t>
      </w:r>
      <w:r w:rsidRPr="00653DCF">
        <w:rPr>
          <w:color w:val="auto"/>
        </w:rPr>
        <w:fldChar w:fldCharType="end"/>
      </w:r>
      <w:r w:rsidRPr="00653DCF">
        <w:rPr>
          <w:color w:val="auto"/>
        </w:rPr>
        <w:fldChar w:fldCharType="begin"/>
      </w:r>
      <w:r w:rsidRPr="00653DCF">
        <w:rPr>
          <w:color w:val="auto"/>
        </w:rPr>
        <w:instrText xml:space="preserve"> REF _Ref508526992 \r \h  \* MERGEFORMAT </w:instrText>
      </w:r>
      <w:r w:rsidRPr="00653DCF">
        <w:rPr>
          <w:color w:val="auto"/>
        </w:rPr>
      </w:r>
      <w:r w:rsidRPr="00653DCF">
        <w:rPr>
          <w:color w:val="auto"/>
        </w:rPr>
        <w:fldChar w:fldCharType="separate"/>
      </w:r>
      <w:r w:rsidR="00E5391B">
        <w:rPr>
          <w:color w:val="auto"/>
        </w:rPr>
        <w:t>(d)</w:t>
      </w:r>
      <w:r w:rsidRPr="00653DCF">
        <w:rPr>
          <w:color w:val="auto"/>
        </w:rPr>
        <w:fldChar w:fldCharType="end"/>
      </w:r>
      <w:r w:rsidRPr="00653DCF">
        <w:rPr>
          <w:color w:val="auto"/>
        </w:rPr>
        <w:t>.</w:t>
      </w:r>
    </w:p>
    <w:p w14:paraId="3E96DC1A" w14:textId="77777777" w:rsidR="00F0088B" w:rsidRPr="00653DCF" w:rsidRDefault="00F0088B" w:rsidP="00F0088B">
      <w:pPr>
        <w:rPr>
          <w:color w:val="auto"/>
        </w:rPr>
      </w:pPr>
      <w:r w:rsidRPr="00653DCF">
        <w:rPr>
          <w:color w:val="auto"/>
        </w:rPr>
        <w:t>"</w:t>
      </w:r>
      <w:r w:rsidRPr="00653DCF">
        <w:rPr>
          <w:rStyle w:val="BoldEIB"/>
          <w:color w:val="auto"/>
        </w:rPr>
        <w:t>List of Authorised Signatories and Accounts</w:t>
      </w:r>
      <w:r w:rsidRPr="00653DCF">
        <w:rPr>
          <w:color w:val="auto"/>
        </w:rPr>
        <w:t xml:space="preserve">" means a list, in form and substance satisfactory to the Bank, setting out: </w:t>
      </w:r>
    </w:p>
    <w:p w14:paraId="3C86B21A" w14:textId="77777777" w:rsidR="00F0088B" w:rsidRPr="00653DCF" w:rsidRDefault="00F0088B" w:rsidP="0024686A">
      <w:pPr>
        <w:pStyle w:val="NoIndentEIB"/>
        <w:numPr>
          <w:ilvl w:val="0"/>
          <w:numId w:val="161"/>
        </w:numPr>
        <w:rPr>
          <w:color w:val="auto"/>
        </w:rPr>
      </w:pPr>
      <w:r w:rsidRPr="00653DCF">
        <w:rPr>
          <w:color w:val="auto"/>
        </w:rPr>
        <w:t xml:space="preserve">the Authorised Signatories accompanied by evidence of signing authority of the persons named on the list and specifying if they have individual or joint signing authority; </w:t>
      </w:r>
    </w:p>
    <w:p w14:paraId="166B756D" w14:textId="77777777" w:rsidR="00F0088B" w:rsidRPr="00653DCF" w:rsidRDefault="00F0088B" w:rsidP="0024686A">
      <w:pPr>
        <w:pStyle w:val="NoIndentEIB"/>
        <w:numPr>
          <w:ilvl w:val="0"/>
          <w:numId w:val="161"/>
        </w:numPr>
        <w:rPr>
          <w:color w:val="auto"/>
        </w:rPr>
      </w:pPr>
      <w:r w:rsidRPr="00653DCF">
        <w:rPr>
          <w:color w:val="auto"/>
        </w:rPr>
        <w:t xml:space="preserve">the specimen signatures of such persons; </w:t>
      </w:r>
    </w:p>
    <w:p w14:paraId="3384923E" w14:textId="77777777" w:rsidR="00F0088B" w:rsidRPr="00653DCF" w:rsidRDefault="00F0088B" w:rsidP="0024686A">
      <w:pPr>
        <w:pStyle w:val="NoIndentEIB"/>
        <w:numPr>
          <w:ilvl w:val="0"/>
          <w:numId w:val="161"/>
        </w:numPr>
        <w:rPr>
          <w:color w:val="auto"/>
        </w:rPr>
      </w:pPr>
      <w:r w:rsidRPr="00653DCF">
        <w:rPr>
          <w:color w:val="auto"/>
        </w:rPr>
        <w:t>the bank account(s) to which disbursements may be made under this Contract (specified by IBAN code if the country is included in the IBAN Registry published by SWIFT, or in the appropriate account format in line with the local banking practice), BIC/SWIFT code of the bank and the name of the bank account(s) beneficiary, together with evidence that such account(s) have been opened in the name of the beneficiary; and</w:t>
      </w:r>
    </w:p>
    <w:p w14:paraId="7FEB1E79" w14:textId="77777777" w:rsidR="00F0088B" w:rsidRPr="00653DCF" w:rsidRDefault="00F0088B" w:rsidP="0024686A">
      <w:pPr>
        <w:pStyle w:val="ListParagraph"/>
        <w:numPr>
          <w:ilvl w:val="0"/>
          <w:numId w:val="161"/>
        </w:numPr>
        <w:rPr>
          <w:color w:val="auto"/>
        </w:rPr>
      </w:pPr>
      <w:r w:rsidRPr="00653DCF">
        <w:rPr>
          <w:color w:val="auto"/>
        </w:rPr>
        <w:t>the bank account(s) from which payments under this Contract will be made by the Borrower (specified by IBAN code if the country is included in the IBAN Registry published by SWIFT, or in the appropriate account format in line with the local banking practice), BIC/SWIFT code of the bank and the name of the bank account(s) beneficiary, together with evidence that such account(s) have been opened in the name of the beneficiary.</w:t>
      </w:r>
    </w:p>
    <w:p w14:paraId="79FD12DF" w14:textId="77777777" w:rsidR="00F0088B" w:rsidRPr="00653DCF" w:rsidRDefault="00F0088B" w:rsidP="00F0088B">
      <w:pPr>
        <w:rPr>
          <w:color w:val="auto"/>
        </w:rPr>
      </w:pPr>
      <w:r w:rsidRPr="00653DCF">
        <w:rPr>
          <w:color w:val="auto"/>
        </w:rPr>
        <w:t>"</w:t>
      </w:r>
      <w:r w:rsidRPr="00653DCF">
        <w:rPr>
          <w:b/>
          <w:color w:val="auto"/>
        </w:rPr>
        <w:t>Loan</w:t>
      </w:r>
      <w:r w:rsidRPr="00653DCF">
        <w:rPr>
          <w:color w:val="auto"/>
        </w:rPr>
        <w:t>" means the aggregate of the amounts disbursed from time to time by the Bank under this Contract.</w:t>
      </w:r>
    </w:p>
    <w:p w14:paraId="7CC9EC38" w14:textId="77777777" w:rsidR="00F0088B" w:rsidRPr="00653DCF" w:rsidRDefault="00F0088B" w:rsidP="00F0088B">
      <w:pPr>
        <w:rPr>
          <w:color w:val="auto"/>
        </w:rPr>
      </w:pPr>
      <w:r w:rsidRPr="00653DCF">
        <w:rPr>
          <w:color w:val="auto"/>
        </w:rPr>
        <w:t>"</w:t>
      </w:r>
      <w:r w:rsidRPr="00653DCF">
        <w:rPr>
          <w:b/>
          <w:color w:val="auto"/>
        </w:rPr>
        <w:t>Loan Outstanding</w:t>
      </w:r>
      <w:r w:rsidRPr="00653DCF">
        <w:rPr>
          <w:color w:val="auto"/>
        </w:rPr>
        <w:t>" means the aggregate of the amounts disbursed from time to time by the Bank under this Contract that remains outstanding.</w:t>
      </w:r>
    </w:p>
    <w:p w14:paraId="6978203F" w14:textId="77777777" w:rsidR="00F0088B" w:rsidRPr="00653DCF" w:rsidRDefault="00F0088B" w:rsidP="00F0088B">
      <w:pPr>
        <w:rPr>
          <w:color w:val="auto"/>
        </w:rPr>
      </w:pPr>
      <w:r w:rsidRPr="00653DCF">
        <w:rPr>
          <w:color w:val="auto"/>
        </w:rPr>
        <w:t>"</w:t>
      </w:r>
      <w:r w:rsidRPr="00653DCF">
        <w:rPr>
          <w:rStyle w:val="BoldEIB"/>
          <w:color w:val="auto"/>
        </w:rPr>
        <w:t>Market Disruption Event</w:t>
      </w:r>
      <w:r w:rsidRPr="00653DCF">
        <w:rPr>
          <w:color w:val="auto"/>
        </w:rPr>
        <w:t xml:space="preserve">" means any of the following circumstances: </w:t>
      </w:r>
    </w:p>
    <w:p w14:paraId="4079ED20" w14:textId="77777777" w:rsidR="00F0088B" w:rsidRPr="00653DCF" w:rsidRDefault="00F0088B" w:rsidP="0024686A">
      <w:pPr>
        <w:pStyle w:val="NoIndentEIB"/>
        <w:numPr>
          <w:ilvl w:val="0"/>
          <w:numId w:val="162"/>
        </w:numPr>
        <w:rPr>
          <w:color w:val="auto"/>
        </w:rPr>
      </w:pPr>
      <w:r w:rsidRPr="00653DCF">
        <w:rPr>
          <w:color w:val="auto"/>
        </w:rPr>
        <w:t xml:space="preserve">there are, in the opinion of the Bank, events or circumstances adversely affecting the Bank’s access to its sources of funding; </w:t>
      </w:r>
    </w:p>
    <w:p w14:paraId="208AAF1B" w14:textId="77777777" w:rsidR="00F0088B" w:rsidRPr="00653DCF" w:rsidRDefault="00F0088B" w:rsidP="0024686A">
      <w:pPr>
        <w:pStyle w:val="NoIndentEIB"/>
        <w:numPr>
          <w:ilvl w:val="0"/>
          <w:numId w:val="162"/>
        </w:numPr>
        <w:rPr>
          <w:color w:val="auto"/>
        </w:rPr>
      </w:pPr>
      <w:r w:rsidRPr="00653DCF">
        <w:rPr>
          <w:color w:val="auto"/>
        </w:rPr>
        <w:t>in the opinion of the Bank, funds are not available from the Bank's ordinary sources of funding in order to adequately fund a Tranche in the relevant currency and/or for the relevant maturity and/or in relation to the reimbursement profile of such Tranche; or</w:t>
      </w:r>
    </w:p>
    <w:p w14:paraId="036C676B" w14:textId="77777777" w:rsidR="00F0088B" w:rsidRPr="00653DCF" w:rsidRDefault="00F0088B" w:rsidP="0024686A">
      <w:pPr>
        <w:pStyle w:val="NoIndentEIB"/>
        <w:numPr>
          <w:ilvl w:val="0"/>
          <w:numId w:val="162"/>
        </w:numPr>
        <w:rPr>
          <w:color w:val="auto"/>
        </w:rPr>
      </w:pPr>
      <w:r w:rsidRPr="00653DCF">
        <w:rPr>
          <w:color w:val="auto"/>
        </w:rPr>
        <w:t>in relation to a Floating Rate Tranche:</w:t>
      </w:r>
    </w:p>
    <w:p w14:paraId="70C827B8" w14:textId="77777777" w:rsidR="00F0088B" w:rsidRPr="00653DCF" w:rsidRDefault="00F0088B" w:rsidP="0024686A">
      <w:pPr>
        <w:pStyle w:val="NoIndentEIB"/>
        <w:numPr>
          <w:ilvl w:val="1"/>
          <w:numId w:val="162"/>
        </w:numPr>
        <w:rPr>
          <w:color w:val="auto"/>
        </w:rPr>
      </w:pPr>
      <w:r w:rsidRPr="00653DCF">
        <w:rPr>
          <w:color w:val="auto"/>
        </w:rPr>
        <w:t>the cost to the Bank of obtaining funds from its sources of funding, as determined by the Bank, for a period equal to the Floating Rate Reference Period of such Tranche (i.e. in the money market) would be in excess of the EURIBOR; or</w:t>
      </w:r>
    </w:p>
    <w:p w14:paraId="49A8B25B" w14:textId="77777777" w:rsidR="00F0088B" w:rsidRPr="00653DCF" w:rsidRDefault="00F0088B" w:rsidP="0024686A">
      <w:pPr>
        <w:pStyle w:val="NoIndentEIB"/>
        <w:numPr>
          <w:ilvl w:val="1"/>
          <w:numId w:val="162"/>
        </w:numPr>
        <w:rPr>
          <w:color w:val="auto"/>
        </w:rPr>
      </w:pPr>
      <w:r w:rsidRPr="00653DCF">
        <w:rPr>
          <w:color w:val="auto"/>
        </w:rPr>
        <w:t>the Bank determines that adequate and fair means do not exist for ascertaining the EURIBOR.</w:t>
      </w:r>
    </w:p>
    <w:p w14:paraId="67CF3847" w14:textId="77777777" w:rsidR="00F0088B" w:rsidRPr="00653DCF" w:rsidRDefault="00F0088B" w:rsidP="00F0088B">
      <w:pPr>
        <w:rPr>
          <w:color w:val="auto"/>
        </w:rPr>
      </w:pPr>
      <w:r w:rsidRPr="00653DCF">
        <w:rPr>
          <w:color w:val="auto"/>
        </w:rPr>
        <w:t>"</w:t>
      </w:r>
      <w:r w:rsidRPr="00653DCF">
        <w:rPr>
          <w:rStyle w:val="BoldEIB"/>
          <w:color w:val="auto"/>
        </w:rPr>
        <w:t>Material Adverse Change</w:t>
      </w:r>
      <w:r w:rsidRPr="00653DCF">
        <w:rPr>
          <w:rStyle w:val="BoldEIB"/>
          <w:b w:val="0"/>
          <w:color w:val="auto"/>
        </w:rPr>
        <w:t>"</w:t>
      </w:r>
      <w:r w:rsidRPr="00653DCF">
        <w:rPr>
          <w:color w:val="auto"/>
        </w:rPr>
        <w:t xml:space="preserve"> means, in relation to the Borrower any event or change of condition affecting the Borrower, which, in the opinion of the Bank: </w:t>
      </w:r>
    </w:p>
    <w:p w14:paraId="13AEF93A" w14:textId="77777777" w:rsidR="00F0088B" w:rsidRPr="00653DCF" w:rsidRDefault="00F0088B" w:rsidP="0024686A">
      <w:pPr>
        <w:pStyle w:val="NoIndentEIB"/>
        <w:numPr>
          <w:ilvl w:val="0"/>
          <w:numId w:val="163"/>
        </w:numPr>
        <w:rPr>
          <w:color w:val="auto"/>
        </w:rPr>
      </w:pPr>
      <w:r w:rsidRPr="00653DCF">
        <w:rPr>
          <w:color w:val="auto"/>
        </w:rPr>
        <w:t xml:space="preserve">materially impairs the ability of the Borrower to perform its financial or any of its other obligations under this Contract; </w:t>
      </w:r>
    </w:p>
    <w:p w14:paraId="3A9BDC18" w14:textId="77777777" w:rsidR="00F0088B" w:rsidRPr="00653DCF" w:rsidRDefault="00F0088B" w:rsidP="0024686A">
      <w:pPr>
        <w:pStyle w:val="NoIndentEIB"/>
        <w:numPr>
          <w:ilvl w:val="0"/>
          <w:numId w:val="163"/>
        </w:numPr>
        <w:rPr>
          <w:color w:val="auto"/>
        </w:rPr>
      </w:pPr>
      <w:r w:rsidRPr="00653DCF">
        <w:rPr>
          <w:color w:val="auto"/>
        </w:rPr>
        <w:t>materially impairs the prospects or financial condition of the Borrower; or</w:t>
      </w:r>
    </w:p>
    <w:p w14:paraId="08575D23" w14:textId="77777777" w:rsidR="00F0088B" w:rsidRPr="00653DCF" w:rsidRDefault="00F0088B" w:rsidP="0024686A">
      <w:pPr>
        <w:pStyle w:val="NoIndentEIB"/>
        <w:numPr>
          <w:ilvl w:val="0"/>
          <w:numId w:val="163"/>
        </w:numPr>
        <w:rPr>
          <w:color w:val="auto"/>
        </w:rPr>
      </w:pPr>
      <w:r w:rsidRPr="00653DCF">
        <w:rPr>
          <w:color w:val="auto"/>
        </w:rPr>
        <w:t>adversely affects any security provided by the Borrower.</w:t>
      </w:r>
    </w:p>
    <w:p w14:paraId="1A9CC815" w14:textId="3C72943D" w:rsidR="00F0088B" w:rsidRPr="00653DCF" w:rsidRDefault="00F0088B" w:rsidP="00F0088B">
      <w:pPr>
        <w:rPr>
          <w:color w:val="auto"/>
        </w:rPr>
      </w:pPr>
      <w:r w:rsidRPr="00653DCF">
        <w:rPr>
          <w:color w:val="auto"/>
        </w:rPr>
        <w:t>"</w:t>
      </w:r>
      <w:r w:rsidRPr="00653DCF">
        <w:rPr>
          <w:rStyle w:val="BoldEIB"/>
          <w:color w:val="auto"/>
        </w:rPr>
        <w:t>Maturity Date</w:t>
      </w:r>
      <w:r w:rsidRPr="00653DCF">
        <w:rPr>
          <w:color w:val="auto"/>
        </w:rPr>
        <w:t>" means the last Repayment Date of a Tranche specified pursuant to Article </w:t>
      </w:r>
      <w:r w:rsidRPr="00653DCF">
        <w:rPr>
          <w:color w:val="auto"/>
        </w:rPr>
        <w:fldChar w:fldCharType="begin"/>
      </w:r>
      <w:r w:rsidRPr="00653DCF">
        <w:rPr>
          <w:color w:val="auto"/>
        </w:rPr>
        <w:instrText xml:space="preserve"> REF _Ref426715009 \r \h </w:instrText>
      </w:r>
      <w:r w:rsidRPr="00653DCF">
        <w:rPr>
          <w:color w:val="auto"/>
        </w:rPr>
      </w:r>
      <w:r w:rsidRPr="00653DCF">
        <w:rPr>
          <w:color w:val="auto"/>
        </w:rPr>
        <w:fldChar w:fldCharType="separate"/>
      </w:r>
      <w:r w:rsidR="00E5391B">
        <w:rPr>
          <w:color w:val="auto"/>
        </w:rPr>
        <w:t>članak 4</w:t>
      </w:r>
      <w:r w:rsidRPr="00653DCF">
        <w:rPr>
          <w:color w:val="auto"/>
        </w:rPr>
        <w:fldChar w:fldCharType="end"/>
      </w:r>
      <w:r w:rsidRPr="00653DCF">
        <w:rPr>
          <w:color w:val="auto"/>
        </w:rPr>
        <w:t>A</w:t>
      </w:r>
      <w:r w:rsidRPr="00653DCF">
        <w:rPr>
          <w:color w:val="auto"/>
        </w:rPr>
        <w:fldChar w:fldCharType="begin"/>
      </w:r>
      <w:r w:rsidRPr="00653DCF">
        <w:rPr>
          <w:color w:val="auto"/>
        </w:rPr>
        <w:instrText xml:space="preserve"> REF _Ref430852342 \w \h  \* MERGEFORMAT </w:instrText>
      </w:r>
      <w:r w:rsidRPr="00653DCF">
        <w:rPr>
          <w:color w:val="auto"/>
        </w:rPr>
      </w:r>
      <w:r w:rsidRPr="00653DCF">
        <w:rPr>
          <w:color w:val="auto"/>
        </w:rPr>
        <w:fldChar w:fldCharType="separate"/>
      </w:r>
      <w:r w:rsidR="00E5391B">
        <w:rPr>
          <w:color w:val="auto"/>
        </w:rPr>
        <w:t>(b)(iv)</w:t>
      </w:r>
      <w:r w:rsidRPr="00653DCF">
        <w:rPr>
          <w:color w:val="auto"/>
        </w:rPr>
        <w:fldChar w:fldCharType="end"/>
      </w:r>
      <w:r w:rsidRPr="00653DCF">
        <w:rPr>
          <w:color w:val="auto"/>
        </w:rPr>
        <w:t xml:space="preserve"> or the sole Repayment Date of a Tranche specified pursuant to Article 4.1.B.</w:t>
      </w:r>
    </w:p>
    <w:p w14:paraId="0BB4823B" w14:textId="77777777" w:rsidR="00F0088B" w:rsidRPr="00653DCF" w:rsidRDefault="00F0088B" w:rsidP="00F0088B">
      <w:pPr>
        <w:rPr>
          <w:color w:val="auto"/>
        </w:rPr>
      </w:pPr>
      <w:r w:rsidRPr="00653DCF">
        <w:rPr>
          <w:color w:val="auto"/>
        </w:rPr>
        <w:t>"</w:t>
      </w:r>
      <w:r w:rsidRPr="00653DCF">
        <w:rPr>
          <w:rStyle w:val="BoldEIB"/>
          <w:color w:val="auto"/>
        </w:rPr>
        <w:t>Notified Tranche</w:t>
      </w:r>
      <w:r w:rsidRPr="00653DCF">
        <w:rPr>
          <w:color w:val="auto"/>
        </w:rPr>
        <w:t>" means a Tranche in respect of which the Bank has issued a Disbursement Notice.</w:t>
      </w:r>
    </w:p>
    <w:p w14:paraId="26F4D88B" w14:textId="77777777" w:rsidR="00F0088B" w:rsidRPr="00653DCF" w:rsidRDefault="00F0088B" w:rsidP="00F0088B">
      <w:pPr>
        <w:rPr>
          <w:color w:val="auto"/>
        </w:rPr>
      </w:pPr>
      <w:r w:rsidRPr="00653DCF">
        <w:rPr>
          <w:color w:val="auto"/>
        </w:rPr>
        <w:t>"</w:t>
      </w:r>
      <w:r w:rsidRPr="00653DCF">
        <w:rPr>
          <w:b/>
          <w:color w:val="auto"/>
        </w:rPr>
        <w:t>Payment Account</w:t>
      </w:r>
      <w:r w:rsidRPr="00653DCF">
        <w:rPr>
          <w:color w:val="auto"/>
        </w:rPr>
        <w:t>" means the bank account from which payments under this Contract will be made by the Borrower, as set out in the most recent List of Authorised Signatories and Accounts.</w:t>
      </w:r>
    </w:p>
    <w:p w14:paraId="1A240E70" w14:textId="77777777" w:rsidR="00F0088B" w:rsidRPr="00653DCF" w:rsidRDefault="00F0088B" w:rsidP="00F0088B">
      <w:pPr>
        <w:rPr>
          <w:color w:val="auto"/>
        </w:rPr>
      </w:pPr>
      <w:r w:rsidRPr="00653DCF">
        <w:rPr>
          <w:color w:val="auto"/>
        </w:rPr>
        <w:t>"</w:t>
      </w:r>
      <w:r w:rsidRPr="00653DCF">
        <w:rPr>
          <w:rStyle w:val="BoldEIB"/>
          <w:color w:val="auto"/>
        </w:rPr>
        <w:t>Payment Date</w:t>
      </w:r>
      <w:r w:rsidRPr="00653DCF">
        <w:rPr>
          <w:color w:val="auto"/>
        </w:rPr>
        <w:t>" means the annual, semi-annual or quarterly dates specified in the Disbursement Notice until and including the Interest Revision/Conversion Date, if any, or the Maturity Date, save that, in case any such date is not a Relevant Business Day, it means:</w:t>
      </w:r>
    </w:p>
    <w:p w14:paraId="744A8C2B" w14:textId="77777777" w:rsidR="00F0088B" w:rsidRPr="00653DCF" w:rsidRDefault="00F0088B" w:rsidP="0024686A">
      <w:pPr>
        <w:pStyle w:val="NoIndentEIB"/>
        <w:numPr>
          <w:ilvl w:val="0"/>
          <w:numId w:val="164"/>
        </w:numPr>
        <w:rPr>
          <w:color w:val="auto"/>
        </w:rPr>
      </w:pPr>
      <w:r w:rsidRPr="00653DCF">
        <w:rPr>
          <w:color w:val="auto"/>
        </w:rPr>
        <w:t>for a Fixed Rate Tranche, either:</w:t>
      </w:r>
    </w:p>
    <w:p w14:paraId="6AF03146" w14:textId="2DE17838" w:rsidR="00F0088B" w:rsidRPr="00653DCF" w:rsidRDefault="00F0088B" w:rsidP="0024686A">
      <w:pPr>
        <w:pStyle w:val="NoIndentEIB"/>
        <w:numPr>
          <w:ilvl w:val="1"/>
          <w:numId w:val="164"/>
        </w:numPr>
        <w:rPr>
          <w:color w:val="auto"/>
        </w:rPr>
      </w:pPr>
      <w:r w:rsidRPr="00653DCF">
        <w:rPr>
          <w:color w:val="auto"/>
        </w:rPr>
        <w:t>the following Relevant Business Day, without adjustment to the interest due under Article </w:t>
      </w:r>
      <w:r w:rsidRPr="00653DCF">
        <w:rPr>
          <w:color w:val="auto"/>
        </w:rPr>
        <w:fldChar w:fldCharType="begin"/>
      </w:r>
      <w:r w:rsidRPr="00653DCF">
        <w:rPr>
          <w:color w:val="auto"/>
        </w:rPr>
        <w:instrText xml:space="preserve"> REF _Ref426639513 \w \h  \* MERGEFORMAT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w:t>
      </w:r>
    </w:p>
    <w:p w14:paraId="1B9F3AC0" w14:textId="101E91DE" w:rsidR="00F0088B" w:rsidRPr="00653DCF" w:rsidRDefault="00F0088B" w:rsidP="0024686A">
      <w:pPr>
        <w:pStyle w:val="NoIndentEIB"/>
        <w:numPr>
          <w:ilvl w:val="1"/>
          <w:numId w:val="164"/>
        </w:numPr>
        <w:rPr>
          <w:color w:val="auto"/>
        </w:rPr>
      </w:pPr>
      <w:r w:rsidRPr="00653DCF">
        <w:rPr>
          <w:color w:val="auto"/>
        </w:rPr>
        <w:t>the preceding Relevant Business Day with adjustment (but only to the amount of interest due under Article </w:t>
      </w:r>
      <w:r w:rsidRPr="00653DCF">
        <w:rPr>
          <w:color w:val="auto"/>
        </w:rPr>
        <w:fldChar w:fldCharType="begin"/>
      </w:r>
      <w:r w:rsidRPr="00653DCF">
        <w:rPr>
          <w:color w:val="auto"/>
        </w:rPr>
        <w:instrText xml:space="preserve"> REF _Ref426639513 \r \h  \* MERGEFORMAT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 xml:space="preserve"> that accrued over the last interest period), in case repayment of principal is made in a single instalment in accordance with </w:t>
      </w:r>
      <w:r w:rsidRPr="00653DCF">
        <w:rPr>
          <w:color w:val="auto"/>
        </w:rPr>
        <w:br/>
      </w:r>
      <w:r w:rsidRPr="00653DCF">
        <w:rPr>
          <w:color w:val="auto"/>
        </w:rPr>
        <w:fldChar w:fldCharType="begin"/>
      </w:r>
      <w:r w:rsidRPr="00653DCF">
        <w:rPr>
          <w:color w:val="auto"/>
        </w:rPr>
        <w:instrText xml:space="preserve"> REF _Ref42343330 \n \h  \* MERGEFORMAT </w:instrText>
      </w:r>
      <w:r w:rsidRPr="00653DCF">
        <w:rPr>
          <w:color w:val="auto"/>
        </w:rPr>
      </w:r>
      <w:r w:rsidRPr="00653DCF">
        <w:rPr>
          <w:color w:val="auto"/>
        </w:rPr>
        <w:fldChar w:fldCharType="separate"/>
      </w:r>
      <w:r w:rsidR="00E5391B">
        <w:rPr>
          <w:color w:val="auto"/>
        </w:rPr>
        <w:t>Prilog D</w:t>
      </w:r>
      <w:r w:rsidRPr="00653DCF">
        <w:rPr>
          <w:color w:val="auto"/>
        </w:rPr>
        <w:fldChar w:fldCharType="end"/>
      </w:r>
      <w:r w:rsidRPr="00653DCF">
        <w:rPr>
          <w:color w:val="auto"/>
        </w:rPr>
        <w:t xml:space="preserve"> point </w:t>
      </w:r>
      <w:r w:rsidRPr="00653DCF">
        <w:rPr>
          <w:color w:val="auto"/>
        </w:rPr>
        <w:fldChar w:fldCharType="begin"/>
      </w:r>
      <w:r w:rsidRPr="00653DCF">
        <w:rPr>
          <w:color w:val="auto"/>
        </w:rPr>
        <w:instrText xml:space="preserve"> REF _Ref61441091 \n \h  \* MERGEFORMAT </w:instrText>
      </w:r>
      <w:r w:rsidRPr="00653DCF">
        <w:rPr>
          <w:color w:val="auto"/>
        </w:rPr>
      </w:r>
      <w:r w:rsidRPr="00653DCF">
        <w:rPr>
          <w:color w:val="auto"/>
        </w:rPr>
        <w:fldChar w:fldCharType="separate"/>
      </w:r>
      <w:r w:rsidR="00E5391B">
        <w:rPr>
          <w:color w:val="auto"/>
        </w:rPr>
        <w:t>C</w:t>
      </w:r>
      <w:r w:rsidRPr="00653DCF">
        <w:rPr>
          <w:color w:val="auto"/>
        </w:rPr>
        <w:fldChar w:fldCharType="end"/>
      </w:r>
      <w:r w:rsidRPr="00653DCF">
        <w:rPr>
          <w:color w:val="auto"/>
        </w:rPr>
        <w:t>; and</w:t>
      </w:r>
    </w:p>
    <w:p w14:paraId="469D9604" w14:textId="37DD9490" w:rsidR="00F0088B" w:rsidRPr="00653DCF" w:rsidRDefault="00F0088B" w:rsidP="0024686A">
      <w:pPr>
        <w:pStyle w:val="NoIndentEIB"/>
        <w:numPr>
          <w:ilvl w:val="0"/>
          <w:numId w:val="164"/>
        </w:numPr>
        <w:rPr>
          <w:color w:val="auto"/>
        </w:rPr>
      </w:pPr>
      <w:r w:rsidRPr="00653DCF">
        <w:rPr>
          <w:color w:val="auto"/>
        </w:rPr>
        <w:t>for a Floating Rate Tranche, the following Relevant Business Day in that month or, failing that, the nearest preceding Relevant Business Day, in all cases with corresponding adjustment to the interest due under Article </w:t>
      </w:r>
      <w:r w:rsidRPr="00653DCF">
        <w:rPr>
          <w:color w:val="auto"/>
        </w:rPr>
        <w:fldChar w:fldCharType="begin"/>
      </w:r>
      <w:r w:rsidRPr="00653DCF">
        <w:rPr>
          <w:color w:val="auto"/>
        </w:rPr>
        <w:instrText xml:space="preserve"> REF _Ref426639513 \r \h  \* MERGEFORMAT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w:t>
      </w:r>
    </w:p>
    <w:p w14:paraId="2690EF1F" w14:textId="77777777" w:rsidR="00F0088B" w:rsidRPr="00653DCF" w:rsidRDefault="00F0088B" w:rsidP="00F0088B">
      <w:pPr>
        <w:rPr>
          <w:color w:val="auto"/>
        </w:rPr>
      </w:pPr>
      <w:r w:rsidRPr="00653DCF">
        <w:rPr>
          <w:color w:val="auto"/>
        </w:rPr>
        <w:t>"</w:t>
      </w:r>
      <w:r w:rsidRPr="00653DCF">
        <w:rPr>
          <w:b/>
          <w:color w:val="auto"/>
        </w:rPr>
        <w:t>PIF Directive</w:t>
      </w:r>
      <w:r w:rsidRPr="00653DCF">
        <w:rPr>
          <w:color w:val="auto"/>
        </w:rPr>
        <w:t xml:space="preserve">" means Directive (EU) 2017/1371 of the European Parliament and of the Council of 5 July 2017 on the fight against fraud to the Union's financial interests by means of criminal law, </w:t>
      </w:r>
      <w:r w:rsidRPr="00653DCF">
        <w:rPr>
          <w:color w:val="auto"/>
          <w:lang w:val="en-US"/>
        </w:rPr>
        <w:t>as amended, supplemented or restated</w:t>
      </w:r>
      <w:r w:rsidRPr="00653DCF">
        <w:rPr>
          <w:color w:val="auto"/>
        </w:rPr>
        <w:t>.</w:t>
      </w:r>
    </w:p>
    <w:p w14:paraId="21323FAC" w14:textId="1778A64B" w:rsidR="00F0088B" w:rsidRPr="00653DCF" w:rsidRDefault="00F0088B" w:rsidP="00F0088B">
      <w:pPr>
        <w:rPr>
          <w:color w:val="auto"/>
        </w:rPr>
      </w:pPr>
      <w:r w:rsidRPr="00653DCF">
        <w:rPr>
          <w:color w:val="auto"/>
        </w:rPr>
        <w:t>"</w:t>
      </w:r>
      <w:r w:rsidRPr="00653DCF">
        <w:rPr>
          <w:rStyle w:val="BoldEIB"/>
          <w:color w:val="auto"/>
        </w:rPr>
        <w:t>Prepayment Amount</w:t>
      </w:r>
      <w:r w:rsidRPr="00653DCF">
        <w:rPr>
          <w:color w:val="auto"/>
        </w:rPr>
        <w:t>" means the amount of a Tranche to be prepaid by the Borrower in accordance with Article </w:t>
      </w:r>
      <w:r w:rsidRPr="00653DCF">
        <w:rPr>
          <w:color w:val="auto"/>
        </w:rPr>
        <w:fldChar w:fldCharType="begin"/>
      </w:r>
      <w:r w:rsidRPr="00653DCF">
        <w:rPr>
          <w:color w:val="auto"/>
        </w:rPr>
        <w:instrText xml:space="preserve"> REF _Ref426715914 \r \h </w:instrText>
      </w:r>
      <w:r w:rsidRPr="00653DCF">
        <w:rPr>
          <w:color w:val="auto"/>
        </w:rPr>
      </w:r>
      <w:r w:rsidRPr="00653DCF">
        <w:rPr>
          <w:color w:val="auto"/>
        </w:rPr>
        <w:fldChar w:fldCharType="separate"/>
      </w:r>
      <w:r w:rsidR="00E5391B">
        <w:rPr>
          <w:color w:val="auto"/>
        </w:rPr>
        <w:t>4.2.A</w:t>
      </w:r>
      <w:r w:rsidRPr="00653DCF">
        <w:rPr>
          <w:color w:val="auto"/>
        </w:rPr>
        <w:fldChar w:fldCharType="end"/>
      </w:r>
      <w:r w:rsidRPr="00653DCF">
        <w:rPr>
          <w:color w:val="auto"/>
        </w:rPr>
        <w:t xml:space="preserve"> or Article </w:t>
      </w:r>
      <w:r w:rsidRPr="00653DCF">
        <w:rPr>
          <w:color w:val="auto"/>
        </w:rPr>
        <w:fldChar w:fldCharType="begin"/>
      </w:r>
      <w:r w:rsidRPr="00653DCF">
        <w:rPr>
          <w:color w:val="auto"/>
        </w:rPr>
        <w:instrText xml:space="preserve"> REF _Ref427244739 \r \h </w:instrText>
      </w:r>
      <w:r w:rsidRPr="00653DCF">
        <w:rPr>
          <w:color w:val="auto"/>
        </w:rPr>
      </w:r>
      <w:r w:rsidRPr="00653DCF">
        <w:rPr>
          <w:color w:val="auto"/>
        </w:rPr>
        <w:fldChar w:fldCharType="separate"/>
      </w:r>
      <w:r w:rsidR="00E5391B">
        <w:rPr>
          <w:color w:val="auto"/>
        </w:rPr>
        <w:t>4.3.A</w:t>
      </w:r>
      <w:r w:rsidRPr="00653DCF">
        <w:rPr>
          <w:color w:val="auto"/>
        </w:rPr>
        <w:fldChar w:fldCharType="end"/>
      </w:r>
      <w:r w:rsidRPr="00653DCF">
        <w:rPr>
          <w:color w:val="auto"/>
        </w:rPr>
        <w:t>, as applicable.</w:t>
      </w:r>
    </w:p>
    <w:p w14:paraId="1FC160EF" w14:textId="77777777" w:rsidR="00F0088B" w:rsidRPr="00653DCF" w:rsidRDefault="00F0088B" w:rsidP="00F0088B">
      <w:pPr>
        <w:shd w:val="clear" w:color="auto" w:fill="FFFFFF" w:themeFill="background1"/>
        <w:rPr>
          <w:color w:val="auto"/>
        </w:rPr>
      </w:pPr>
      <w:r w:rsidRPr="00653DCF">
        <w:rPr>
          <w:color w:val="auto"/>
        </w:rPr>
        <w:t>"</w:t>
      </w:r>
      <w:r w:rsidRPr="00653DCF">
        <w:rPr>
          <w:rStyle w:val="BoldEIB"/>
          <w:color w:val="auto"/>
        </w:rPr>
        <w:t>Prepayment Date</w:t>
      </w:r>
      <w:r w:rsidRPr="00653DCF">
        <w:rPr>
          <w:color w:val="auto"/>
        </w:rPr>
        <w:t>" means the date, as requested by the Borrower and agreed by the Bank or indicated by the Bank (as applicable) on which the Borrower shall effect prepayment of a Prepayment Amount.</w:t>
      </w:r>
    </w:p>
    <w:p w14:paraId="58B0742F" w14:textId="5AB4B186" w:rsidR="00F0088B" w:rsidRPr="00653DCF" w:rsidRDefault="00F0088B" w:rsidP="00F0088B">
      <w:pPr>
        <w:rPr>
          <w:color w:val="auto"/>
        </w:rPr>
      </w:pPr>
      <w:r w:rsidRPr="00653DCF">
        <w:rPr>
          <w:color w:val="auto"/>
        </w:rPr>
        <w:t>"</w:t>
      </w:r>
      <w:r w:rsidRPr="00653DCF">
        <w:rPr>
          <w:rStyle w:val="BoldEIB"/>
          <w:color w:val="auto"/>
        </w:rPr>
        <w:t>Prepayment Event</w:t>
      </w:r>
      <w:r w:rsidRPr="00653DCF">
        <w:rPr>
          <w:color w:val="auto"/>
        </w:rPr>
        <w:t>" means any of the events described in Article </w:t>
      </w:r>
      <w:r w:rsidRPr="00653DCF">
        <w:rPr>
          <w:color w:val="auto"/>
        </w:rPr>
        <w:fldChar w:fldCharType="begin"/>
      </w:r>
      <w:r w:rsidRPr="00653DCF">
        <w:rPr>
          <w:color w:val="auto"/>
        </w:rPr>
        <w:instrText xml:space="preserve"> REF _Ref426715988 \r \h </w:instrText>
      </w:r>
      <w:r w:rsidRPr="00653DCF">
        <w:rPr>
          <w:color w:val="auto"/>
        </w:rPr>
      </w:r>
      <w:r w:rsidRPr="00653DCF">
        <w:rPr>
          <w:color w:val="auto"/>
        </w:rPr>
        <w:fldChar w:fldCharType="separate"/>
      </w:r>
      <w:r w:rsidR="00E5391B">
        <w:rPr>
          <w:color w:val="auto"/>
        </w:rPr>
        <w:t>4.3.A</w:t>
      </w:r>
      <w:r w:rsidRPr="00653DCF">
        <w:rPr>
          <w:color w:val="auto"/>
        </w:rPr>
        <w:fldChar w:fldCharType="end"/>
      </w:r>
      <w:r w:rsidRPr="00653DCF">
        <w:rPr>
          <w:color w:val="auto"/>
        </w:rPr>
        <w:t>.</w:t>
      </w:r>
    </w:p>
    <w:p w14:paraId="0466143B" w14:textId="77777777" w:rsidR="00F0088B" w:rsidRPr="00653DCF" w:rsidRDefault="00F0088B" w:rsidP="00F0088B">
      <w:pPr>
        <w:rPr>
          <w:color w:val="auto"/>
        </w:rPr>
      </w:pPr>
      <w:r w:rsidRPr="00653DCF">
        <w:rPr>
          <w:color w:val="auto"/>
        </w:rPr>
        <w:t>"</w:t>
      </w:r>
      <w:r w:rsidRPr="00653DCF">
        <w:rPr>
          <w:rStyle w:val="BoldEIB"/>
          <w:color w:val="auto"/>
        </w:rPr>
        <w:t>Prepayment Indemnity</w:t>
      </w:r>
      <w:r w:rsidRPr="00653DCF">
        <w:rPr>
          <w:color w:val="auto"/>
        </w:rPr>
        <w:t>" means in respect of any principal amount to be prepaid, the amount communicated by the Bank to the Borrower as the present value (calculated as of the Prepayment Date) of the excess, if any, of:</w:t>
      </w:r>
    </w:p>
    <w:p w14:paraId="5B22D726" w14:textId="77777777" w:rsidR="00F0088B" w:rsidRPr="00653DCF" w:rsidRDefault="00F0088B" w:rsidP="0024686A">
      <w:pPr>
        <w:pStyle w:val="NoIndentEIB"/>
        <w:numPr>
          <w:ilvl w:val="0"/>
          <w:numId w:val="165"/>
        </w:numPr>
        <w:rPr>
          <w:color w:val="auto"/>
        </w:rPr>
      </w:pPr>
      <w:r w:rsidRPr="00653DCF">
        <w:rPr>
          <w:color w:val="auto"/>
        </w:rPr>
        <w:t>the interest that would accrue thereafter on the Prepayment Amount over the period from the Prepayment Date to the Interest Revision/Conversion Date, if any, or the Maturity Date, if it were not prepaid; over</w:t>
      </w:r>
    </w:p>
    <w:p w14:paraId="62A4C417" w14:textId="77777777" w:rsidR="00F0088B" w:rsidRPr="00653DCF" w:rsidRDefault="00F0088B" w:rsidP="0024686A">
      <w:pPr>
        <w:pStyle w:val="NoIndentEIB"/>
        <w:numPr>
          <w:ilvl w:val="0"/>
          <w:numId w:val="165"/>
        </w:numPr>
        <w:rPr>
          <w:color w:val="auto"/>
        </w:rPr>
      </w:pPr>
      <w:r w:rsidRPr="00653DCF">
        <w:rPr>
          <w:color w:val="auto"/>
        </w:rPr>
        <w:t>the interest that would so accrue over that period, if it were calculated at the Redeployment Rate, less 0.19% (nineteen basis points).</w:t>
      </w:r>
    </w:p>
    <w:p w14:paraId="660386C9" w14:textId="77777777" w:rsidR="00F0088B" w:rsidRPr="00653DCF" w:rsidRDefault="00F0088B" w:rsidP="00F0088B">
      <w:pPr>
        <w:rPr>
          <w:color w:val="auto"/>
        </w:rPr>
      </w:pPr>
      <w:r w:rsidRPr="00653DCF">
        <w:rPr>
          <w:color w:val="auto"/>
        </w:rPr>
        <w:t>The said present value shall be calculated at a discount rate equal to the Redeployment Rate, applied as of each relevant Payment Date.</w:t>
      </w:r>
    </w:p>
    <w:p w14:paraId="3056C475" w14:textId="09FC6C34" w:rsidR="00F0088B" w:rsidRPr="00653DCF" w:rsidRDefault="00F0088B" w:rsidP="00F0088B">
      <w:pPr>
        <w:rPr>
          <w:color w:val="auto"/>
        </w:rPr>
      </w:pPr>
      <w:r w:rsidRPr="00653DCF">
        <w:rPr>
          <w:color w:val="auto"/>
        </w:rPr>
        <w:t>"</w:t>
      </w:r>
      <w:r w:rsidRPr="00653DCF">
        <w:rPr>
          <w:rStyle w:val="BoldEIB"/>
          <w:color w:val="auto"/>
        </w:rPr>
        <w:t>Prepayment Notice</w:t>
      </w:r>
      <w:r w:rsidRPr="00653DCF">
        <w:rPr>
          <w:color w:val="auto"/>
        </w:rPr>
        <w:t>" means a written notice from the Bank to the Borrower in accordance with Article </w:t>
      </w:r>
      <w:r w:rsidRPr="00653DCF">
        <w:rPr>
          <w:color w:val="auto"/>
        </w:rPr>
        <w:fldChar w:fldCharType="begin"/>
      </w:r>
      <w:r w:rsidRPr="00653DCF">
        <w:rPr>
          <w:color w:val="auto"/>
        </w:rPr>
        <w:instrText xml:space="preserve"> REF _Ref426716041 \r \h </w:instrText>
      </w:r>
      <w:r w:rsidRPr="00653DCF">
        <w:rPr>
          <w:color w:val="auto"/>
        </w:rPr>
      </w:r>
      <w:r w:rsidRPr="00653DCF">
        <w:rPr>
          <w:color w:val="auto"/>
        </w:rPr>
        <w:fldChar w:fldCharType="separate"/>
      </w:r>
      <w:r w:rsidR="00E5391B">
        <w:rPr>
          <w:color w:val="auto"/>
        </w:rPr>
        <w:t>4.2.C</w:t>
      </w:r>
      <w:r w:rsidRPr="00653DCF">
        <w:rPr>
          <w:color w:val="auto"/>
        </w:rPr>
        <w:fldChar w:fldCharType="end"/>
      </w:r>
      <w:r w:rsidRPr="00653DCF">
        <w:rPr>
          <w:color w:val="auto"/>
        </w:rPr>
        <w:t>.</w:t>
      </w:r>
    </w:p>
    <w:p w14:paraId="0BBB8483" w14:textId="43B493BE" w:rsidR="00F0088B" w:rsidRPr="00653DCF" w:rsidRDefault="00F0088B" w:rsidP="00F0088B">
      <w:pPr>
        <w:rPr>
          <w:color w:val="auto"/>
        </w:rPr>
      </w:pPr>
      <w:r w:rsidRPr="00653DCF">
        <w:rPr>
          <w:color w:val="auto"/>
        </w:rPr>
        <w:t>"</w:t>
      </w:r>
      <w:r w:rsidRPr="00653DCF">
        <w:rPr>
          <w:rStyle w:val="BoldEIB"/>
          <w:color w:val="auto"/>
        </w:rPr>
        <w:t>Prepayment Request</w:t>
      </w:r>
      <w:r w:rsidRPr="00653DCF">
        <w:rPr>
          <w:color w:val="auto"/>
        </w:rPr>
        <w:t>" means a written request from the Borrower to the Bank to prepay all or part of the Loan Outstanding, in accordance with Article </w:t>
      </w:r>
      <w:r w:rsidRPr="00653DCF">
        <w:rPr>
          <w:color w:val="auto"/>
        </w:rPr>
        <w:fldChar w:fldCharType="begin"/>
      </w:r>
      <w:r w:rsidRPr="00653DCF">
        <w:rPr>
          <w:color w:val="auto"/>
        </w:rPr>
        <w:instrText xml:space="preserve"> REF _Ref426716070 \r \h </w:instrText>
      </w:r>
      <w:r w:rsidRPr="00653DCF">
        <w:rPr>
          <w:color w:val="auto"/>
        </w:rPr>
      </w:r>
      <w:r w:rsidRPr="00653DCF">
        <w:rPr>
          <w:color w:val="auto"/>
        </w:rPr>
        <w:fldChar w:fldCharType="separate"/>
      </w:r>
      <w:r w:rsidR="00E5391B">
        <w:rPr>
          <w:color w:val="auto"/>
        </w:rPr>
        <w:t>4.2.A</w:t>
      </w:r>
      <w:r w:rsidRPr="00653DCF">
        <w:rPr>
          <w:color w:val="auto"/>
        </w:rPr>
        <w:fldChar w:fldCharType="end"/>
      </w:r>
      <w:r w:rsidRPr="00653DCF">
        <w:rPr>
          <w:color w:val="auto"/>
        </w:rPr>
        <w:t>.</w:t>
      </w:r>
    </w:p>
    <w:p w14:paraId="33D75E6C" w14:textId="77777777" w:rsidR="00F0088B" w:rsidRPr="00653DCF" w:rsidRDefault="00F0088B" w:rsidP="00F0088B">
      <w:pPr>
        <w:rPr>
          <w:color w:val="auto"/>
        </w:rPr>
      </w:pPr>
      <w:r w:rsidRPr="00653DCF">
        <w:rPr>
          <w:color w:val="auto"/>
        </w:rPr>
        <w:t>“</w:t>
      </w:r>
      <w:r w:rsidRPr="00653DCF">
        <w:rPr>
          <w:b/>
          <w:bCs/>
          <w:color w:val="auto"/>
        </w:rPr>
        <w:t>Project Agreement</w:t>
      </w:r>
      <w:r w:rsidRPr="00653DCF">
        <w:rPr>
          <w:color w:val="auto"/>
        </w:rPr>
        <w:t>” means the agreement to be entered into between HŽI, HŽPP the Ministry of the Sea, Transport and Infrastructure and the Ministry of Finance, providing for the tasks and roles of the HŽI, HŽPP, the Ministry of the Sea, Transport and Infrastructure and the Ministry of Finance with respect to the Project and the Loan.</w:t>
      </w:r>
    </w:p>
    <w:p w14:paraId="684E1DFD" w14:textId="77777777" w:rsidR="00F0088B" w:rsidRPr="00653DCF" w:rsidRDefault="00F0088B" w:rsidP="00F0088B">
      <w:pPr>
        <w:rPr>
          <w:color w:val="auto"/>
        </w:rPr>
      </w:pPr>
      <w:r w:rsidRPr="00653DCF">
        <w:rPr>
          <w:color w:val="auto"/>
        </w:rPr>
        <w:t>"</w:t>
      </w:r>
      <w:r w:rsidRPr="00653DCF">
        <w:rPr>
          <w:b/>
          <w:bCs/>
          <w:color w:val="auto"/>
        </w:rPr>
        <w:t>Project Company</w:t>
      </w:r>
      <w:r w:rsidRPr="00653DCF">
        <w:rPr>
          <w:color w:val="auto"/>
        </w:rPr>
        <w:t>" means HŽI for carrying out and managing infrastructure Schemes and HŽPP for carrying out and managing passenger rolling stock Schemes or any of their successors or other companies designated by the Borrower to carry out any of the Schemes under the Project.</w:t>
      </w:r>
    </w:p>
    <w:p w14:paraId="17E15B10" w14:textId="415208F7" w:rsidR="00F0088B" w:rsidRPr="00653DCF" w:rsidRDefault="00F0088B" w:rsidP="00F0088B">
      <w:pPr>
        <w:rPr>
          <w:color w:val="auto"/>
        </w:rPr>
      </w:pPr>
      <w:r w:rsidRPr="00653DCF">
        <w:rPr>
          <w:color w:val="auto"/>
        </w:rPr>
        <w:t>"</w:t>
      </w:r>
      <w:r w:rsidRPr="00653DCF">
        <w:rPr>
          <w:b/>
          <w:color w:val="auto"/>
        </w:rPr>
        <w:t>Project Cost Reduction Event</w:t>
      </w:r>
      <w:r w:rsidRPr="00653DCF">
        <w:rPr>
          <w:color w:val="auto"/>
        </w:rPr>
        <w:t xml:space="preserve">" has the meaning given to it in Article </w:t>
      </w:r>
      <w:r w:rsidRPr="00653DCF">
        <w:rPr>
          <w:color w:val="auto"/>
        </w:rPr>
        <w:fldChar w:fldCharType="begin"/>
      </w:r>
      <w:r w:rsidRPr="00653DCF">
        <w:rPr>
          <w:color w:val="auto"/>
        </w:rPr>
        <w:instrText xml:space="preserve"> REF _Ref61510621 \r \h </w:instrText>
      </w:r>
      <w:r w:rsidRPr="00653DCF">
        <w:rPr>
          <w:color w:val="auto"/>
        </w:rPr>
      </w:r>
      <w:r w:rsidRPr="00653DCF">
        <w:rPr>
          <w:color w:val="auto"/>
        </w:rPr>
        <w:fldChar w:fldCharType="separate"/>
      </w:r>
      <w:r w:rsidR="00E5391B">
        <w:rPr>
          <w:color w:val="auto"/>
        </w:rPr>
        <w:t>4.3.A(1)</w:t>
      </w:r>
      <w:r w:rsidRPr="00653DCF">
        <w:rPr>
          <w:color w:val="auto"/>
        </w:rPr>
        <w:fldChar w:fldCharType="end"/>
      </w:r>
      <w:r w:rsidRPr="00653DCF">
        <w:rPr>
          <w:color w:val="auto"/>
        </w:rPr>
        <w:t>.</w:t>
      </w:r>
    </w:p>
    <w:p w14:paraId="3B6F3AB9" w14:textId="77777777" w:rsidR="00F0088B" w:rsidRPr="00653DCF" w:rsidRDefault="00F0088B" w:rsidP="00F0088B">
      <w:pPr>
        <w:rPr>
          <w:color w:val="auto"/>
        </w:rPr>
      </w:pPr>
      <w:r w:rsidRPr="00653DCF">
        <w:rPr>
          <w:color w:val="auto"/>
        </w:rPr>
        <w:t>"</w:t>
      </w:r>
      <w:r w:rsidRPr="00653DCF">
        <w:rPr>
          <w:b/>
          <w:bCs/>
          <w:color w:val="auto"/>
        </w:rPr>
        <w:t>Public Tender</w:t>
      </w:r>
      <w:r w:rsidRPr="00653DCF">
        <w:rPr>
          <w:color w:val="auto"/>
        </w:rPr>
        <w:t xml:space="preserve">" means the public tender (or open competition on the basis of Regulation 1370/2007 EU) process for the new Public Service Contracts (as defined below) with the Borrower (represented by the Promoter (or its legal successor for this purpose) in respect of railway public transportation). </w:t>
      </w:r>
    </w:p>
    <w:p w14:paraId="352C90BE" w14:textId="77777777" w:rsidR="00F0088B" w:rsidRPr="00653DCF" w:rsidRDefault="00F0088B" w:rsidP="00F0088B">
      <w:pPr>
        <w:rPr>
          <w:color w:val="auto"/>
        </w:rPr>
      </w:pPr>
      <w:r w:rsidRPr="00653DCF">
        <w:rPr>
          <w:color w:val="auto"/>
        </w:rPr>
        <w:t>"</w:t>
      </w:r>
      <w:r w:rsidRPr="00653DCF">
        <w:rPr>
          <w:b/>
          <w:bCs/>
          <w:color w:val="auto"/>
        </w:rPr>
        <w:t>Public Service Contract</w:t>
      </w:r>
      <w:r w:rsidRPr="00653DCF">
        <w:rPr>
          <w:color w:val="auto"/>
        </w:rPr>
        <w:t>" or “</w:t>
      </w:r>
      <w:r w:rsidRPr="00653DCF">
        <w:rPr>
          <w:b/>
          <w:bCs/>
          <w:color w:val="auto"/>
        </w:rPr>
        <w:t>PSC</w:t>
      </w:r>
      <w:r w:rsidRPr="00653DCF">
        <w:rPr>
          <w:color w:val="auto"/>
        </w:rPr>
        <w:t>” means the public service contracts concerning the Project entered or to be entered into between HŽPP or any other transport operating company and the Borrower (represented by the Promoter (or its legal successor for this purpose) for public passenger transport service by rail on the basis of, and complying with, the Regulation 1370/2007 EU.</w:t>
      </w:r>
    </w:p>
    <w:p w14:paraId="09B99215" w14:textId="77777777" w:rsidR="00F0088B" w:rsidRPr="00653DCF" w:rsidRDefault="00F0088B" w:rsidP="00F0088B">
      <w:pPr>
        <w:shd w:val="clear" w:color="auto" w:fill="FFFFFF" w:themeFill="background1"/>
        <w:rPr>
          <w:color w:val="auto"/>
        </w:rPr>
      </w:pPr>
      <w:r w:rsidRPr="00653DCF">
        <w:rPr>
          <w:color w:val="auto"/>
        </w:rPr>
        <w:t>"</w:t>
      </w:r>
      <w:r w:rsidRPr="00653DCF">
        <w:rPr>
          <w:rStyle w:val="BoldEIB"/>
          <w:color w:val="auto"/>
        </w:rPr>
        <w:t>Redeployment Rate</w:t>
      </w:r>
      <w:r w:rsidRPr="00653DCF">
        <w:rPr>
          <w:color w:val="auto"/>
        </w:rPr>
        <w:t>" means the fixed annual rate determined by the Bank, being a rate which the Bank would apply on the day of the indemnity calculation to a loan that has the same currency, the same terms for the payment of interest and the same repayment profile to the Interest Revision/Conversion Date, if any, or the Maturity Date as the Tranche in respect of which a prepayment or cancellation is proposed or requested to be made. Such rate shall not be of negative value.</w:t>
      </w:r>
    </w:p>
    <w:p w14:paraId="2F25E6ED" w14:textId="77777777" w:rsidR="00F0088B" w:rsidRPr="00653DCF" w:rsidRDefault="00F0088B" w:rsidP="00F0088B">
      <w:pPr>
        <w:shd w:val="clear" w:color="auto" w:fill="FFFFFF" w:themeFill="background1"/>
        <w:rPr>
          <w:color w:val="auto"/>
        </w:rPr>
      </w:pPr>
      <w:r w:rsidRPr="00653DCF">
        <w:rPr>
          <w:color w:val="auto"/>
        </w:rPr>
        <w:t>“</w:t>
      </w:r>
      <w:r w:rsidRPr="00653DCF">
        <w:rPr>
          <w:b/>
          <w:bCs/>
          <w:color w:val="auto"/>
        </w:rPr>
        <w:t>Regulation 1370/2007 EU</w:t>
      </w:r>
      <w:r w:rsidRPr="00653DCF">
        <w:rPr>
          <w:color w:val="auto"/>
        </w:rPr>
        <w:t>” means Regulation (EC) No. 1370/2007 of the European Parliament and of the Council of 23 October 2007 on public passenger transport services by rail and by road and repealing Council Regulations (EEC) Nos 1191/69 and 1107/70, as amended, supplemented and restated, including by Regulation (EU) 2016/2338 of the European Parliament and of the Council of 14 December 2016 amending Regulation (EC) No. 1370/2007 concerning the opening of the market for domestic passenger transport services by rail.</w:t>
      </w:r>
    </w:p>
    <w:p w14:paraId="5C18EDE2" w14:textId="77777777" w:rsidR="00F0088B" w:rsidRPr="00653DCF" w:rsidRDefault="00F0088B" w:rsidP="00F0088B">
      <w:pPr>
        <w:rPr>
          <w:color w:val="auto"/>
        </w:rPr>
      </w:pPr>
      <w:r w:rsidRPr="00653DCF">
        <w:rPr>
          <w:color w:val="auto"/>
        </w:rPr>
        <w:t>"</w:t>
      </w:r>
      <w:r w:rsidRPr="00653DCF">
        <w:rPr>
          <w:rStyle w:val="BoldEIB"/>
          <w:color w:val="auto"/>
        </w:rPr>
        <w:t>Relevant Business Day</w:t>
      </w:r>
      <w:r w:rsidRPr="00653DCF">
        <w:rPr>
          <w:color w:val="auto"/>
        </w:rPr>
        <w:t>" means a day on which real time gross settlement system operated by the Eurosystem (T2), or any successor system, is open for settlement of payments in EUR.</w:t>
      </w:r>
    </w:p>
    <w:p w14:paraId="436AE47F" w14:textId="77777777" w:rsidR="00F0088B" w:rsidRPr="00653DCF" w:rsidRDefault="00F0088B" w:rsidP="00F0088B">
      <w:pPr>
        <w:rPr>
          <w:color w:val="auto"/>
        </w:rPr>
      </w:pPr>
      <w:r w:rsidRPr="00653DCF">
        <w:rPr>
          <w:color w:val="auto"/>
        </w:rPr>
        <w:t>"</w:t>
      </w:r>
      <w:r w:rsidRPr="00653DCF">
        <w:rPr>
          <w:b/>
          <w:color w:val="auto"/>
        </w:rPr>
        <w:t>Relevant Person</w:t>
      </w:r>
      <w:r w:rsidRPr="00653DCF">
        <w:rPr>
          <w:color w:val="auto"/>
        </w:rPr>
        <w:t>" means:</w:t>
      </w:r>
    </w:p>
    <w:p w14:paraId="76CCBD77" w14:textId="77777777" w:rsidR="00F0088B" w:rsidRPr="00653DCF" w:rsidRDefault="00F0088B" w:rsidP="0024686A">
      <w:pPr>
        <w:pStyle w:val="NoIndentEIB"/>
        <w:numPr>
          <w:ilvl w:val="0"/>
          <w:numId w:val="166"/>
        </w:numPr>
        <w:rPr>
          <w:color w:val="auto"/>
        </w:rPr>
      </w:pPr>
      <w:r w:rsidRPr="00653DCF">
        <w:rPr>
          <w:color w:val="auto"/>
        </w:rPr>
        <w:t xml:space="preserve">with respect to the Borrower, any ministries, other central executive government bodies, central bank or other governmental sub-divisions and any of their officials or representatives, or any other person acting for it, on its behalf or under its control, having the authority to manage and/or supervise the Credit, the Loan or the Project or any Scheme; or </w:t>
      </w:r>
    </w:p>
    <w:p w14:paraId="278D7C90" w14:textId="77777777" w:rsidR="00F0088B" w:rsidRPr="00653DCF" w:rsidRDefault="00F0088B" w:rsidP="0024686A">
      <w:pPr>
        <w:pStyle w:val="NoIndentEIB"/>
        <w:numPr>
          <w:ilvl w:val="0"/>
          <w:numId w:val="166"/>
        </w:numPr>
        <w:rPr>
          <w:color w:val="auto"/>
        </w:rPr>
      </w:pPr>
      <w:r w:rsidRPr="00653DCF">
        <w:rPr>
          <w:color w:val="auto"/>
        </w:rPr>
        <w:t>with respect to the Project Company, any member of its management bodies or any of its employees or any other person acting for it, on its behalf or under its control, having the power to give material</w:t>
      </w:r>
      <w:r w:rsidRPr="00653DCF">
        <w:rPr>
          <w:rFonts w:cs="Arial"/>
          <w:color w:val="auto"/>
          <w:u w:val="single"/>
        </w:rPr>
        <w:t xml:space="preserve"> </w:t>
      </w:r>
      <w:r w:rsidRPr="00653DCF">
        <w:rPr>
          <w:color w:val="auto"/>
        </w:rPr>
        <w:t>directions and/or exercise material</w:t>
      </w:r>
      <w:r w:rsidRPr="00653DCF">
        <w:rPr>
          <w:rFonts w:cs="Arial"/>
          <w:color w:val="auto"/>
          <w:u w:val="single"/>
        </w:rPr>
        <w:t xml:space="preserve"> </w:t>
      </w:r>
      <w:r w:rsidRPr="00653DCF">
        <w:rPr>
          <w:color w:val="auto"/>
        </w:rPr>
        <w:t>control with respect to the Credit, the Loan or any Scheme.</w:t>
      </w:r>
    </w:p>
    <w:p w14:paraId="79F05D60" w14:textId="3632DA19" w:rsidR="00F0088B" w:rsidRPr="00653DCF" w:rsidRDefault="00F0088B" w:rsidP="00F0088B">
      <w:pPr>
        <w:rPr>
          <w:color w:val="auto"/>
        </w:rPr>
      </w:pPr>
      <w:r w:rsidRPr="00653DCF">
        <w:rPr>
          <w:color w:val="auto"/>
        </w:rPr>
        <w:t>"</w:t>
      </w:r>
      <w:r w:rsidRPr="00653DCF">
        <w:rPr>
          <w:rStyle w:val="BoldEIB"/>
          <w:color w:val="auto"/>
        </w:rPr>
        <w:t>Repayment Date</w:t>
      </w:r>
      <w:r w:rsidRPr="00653DCF">
        <w:rPr>
          <w:color w:val="auto"/>
        </w:rPr>
        <w:t>" means each of the Payment Dates specified for the repayment of the principal of a Tranche in the Disbursement Notice, in accordance with Article </w:t>
      </w:r>
      <w:r w:rsidRPr="00653DCF">
        <w:rPr>
          <w:color w:val="auto"/>
        </w:rPr>
        <w:fldChar w:fldCharType="begin"/>
      </w:r>
      <w:r w:rsidRPr="00653DCF">
        <w:rPr>
          <w:color w:val="auto"/>
        </w:rPr>
        <w:instrText xml:space="preserve"> REF _Ref426715009 \r \h </w:instrText>
      </w:r>
      <w:r w:rsidRPr="00653DCF">
        <w:rPr>
          <w:color w:val="auto"/>
        </w:rPr>
      </w:r>
      <w:r w:rsidRPr="00653DCF">
        <w:rPr>
          <w:color w:val="auto"/>
        </w:rPr>
        <w:fldChar w:fldCharType="separate"/>
      </w:r>
      <w:r w:rsidR="00E5391B">
        <w:rPr>
          <w:color w:val="auto"/>
        </w:rPr>
        <w:t>članak 4</w:t>
      </w:r>
      <w:r w:rsidRPr="00653DCF">
        <w:rPr>
          <w:color w:val="auto"/>
        </w:rPr>
        <w:fldChar w:fldCharType="end"/>
      </w:r>
      <w:r w:rsidRPr="00653DCF">
        <w:rPr>
          <w:color w:val="auto"/>
        </w:rPr>
        <w:t>.</w:t>
      </w:r>
    </w:p>
    <w:p w14:paraId="153B2D81" w14:textId="51AA62CF" w:rsidR="00F0088B" w:rsidRPr="00653DCF" w:rsidRDefault="00F0088B" w:rsidP="00F0088B">
      <w:pPr>
        <w:rPr>
          <w:color w:val="auto"/>
        </w:rPr>
      </w:pPr>
      <w:r w:rsidRPr="00653DCF">
        <w:rPr>
          <w:color w:val="auto"/>
        </w:rPr>
        <w:t>"</w:t>
      </w:r>
      <w:r w:rsidRPr="00653DCF">
        <w:rPr>
          <w:b/>
          <w:color w:val="auto"/>
        </w:rPr>
        <w:t>Requested Deferred Disbursement Date</w:t>
      </w:r>
      <w:r w:rsidRPr="00653DCF">
        <w:rPr>
          <w:color w:val="auto"/>
        </w:rPr>
        <w:t>" has the meaning given to it in Article </w:t>
      </w:r>
      <w:r w:rsidRPr="00653DCF">
        <w:rPr>
          <w:color w:val="auto"/>
        </w:rPr>
        <w:fldChar w:fldCharType="begin"/>
      </w:r>
      <w:r w:rsidRPr="00653DCF">
        <w:rPr>
          <w:color w:val="auto"/>
        </w:rPr>
        <w:instrText xml:space="preserve"> REF _Ref498641917 \r \h </w:instrText>
      </w:r>
      <w:r w:rsidRPr="00653DCF">
        <w:rPr>
          <w:color w:val="auto"/>
        </w:rPr>
      </w:r>
      <w:r w:rsidRPr="00653DCF">
        <w:rPr>
          <w:color w:val="auto"/>
        </w:rPr>
        <w:fldChar w:fldCharType="separate"/>
      </w:r>
      <w:r w:rsidR="00E5391B">
        <w:rPr>
          <w:color w:val="auto"/>
        </w:rPr>
        <w:t>1.5.A(1)</w:t>
      </w:r>
      <w:r w:rsidRPr="00653DCF">
        <w:rPr>
          <w:color w:val="auto"/>
        </w:rPr>
        <w:fldChar w:fldCharType="end"/>
      </w:r>
      <w:r w:rsidRPr="00653DCF">
        <w:rPr>
          <w:color w:val="auto"/>
        </w:rPr>
        <w:fldChar w:fldCharType="begin"/>
      </w:r>
      <w:r w:rsidRPr="00653DCF">
        <w:rPr>
          <w:color w:val="auto"/>
        </w:rPr>
        <w:instrText xml:space="preserve"> REF _Ref500763915 \r \h </w:instrText>
      </w:r>
      <w:r w:rsidRPr="00653DCF">
        <w:rPr>
          <w:color w:val="auto"/>
        </w:rPr>
      </w:r>
      <w:r w:rsidRPr="00653DCF">
        <w:rPr>
          <w:color w:val="auto"/>
        </w:rPr>
        <w:fldChar w:fldCharType="separate"/>
      </w:r>
      <w:r w:rsidR="00E5391B">
        <w:rPr>
          <w:color w:val="auto"/>
        </w:rPr>
        <w:t>(a)(ii)</w:t>
      </w:r>
      <w:r w:rsidRPr="00653DCF">
        <w:rPr>
          <w:color w:val="auto"/>
        </w:rPr>
        <w:fldChar w:fldCharType="end"/>
      </w:r>
      <w:r w:rsidRPr="00653DCF">
        <w:rPr>
          <w:color w:val="auto"/>
        </w:rPr>
        <w:t>.</w:t>
      </w:r>
    </w:p>
    <w:p w14:paraId="1A4D6AA2" w14:textId="77777777" w:rsidR="00F0088B" w:rsidRPr="00653DCF" w:rsidRDefault="00F0088B" w:rsidP="00F0088B">
      <w:pPr>
        <w:rPr>
          <w:color w:val="auto"/>
        </w:rPr>
      </w:pPr>
      <w:r w:rsidRPr="00653DCF">
        <w:rPr>
          <w:color w:val="auto"/>
        </w:rPr>
        <w:t>"</w:t>
      </w:r>
      <w:r w:rsidRPr="00653DCF">
        <w:rPr>
          <w:b/>
          <w:color w:val="auto"/>
        </w:rPr>
        <w:t>Sanctions</w:t>
      </w:r>
      <w:r w:rsidRPr="00653DCF">
        <w:rPr>
          <w:color w:val="auto"/>
        </w:rPr>
        <w:t>" means the economic or financial sanctions laws, regulations, trade embargoes or other restrictive measures (including, in particular, but not limited to, measures in relation to the financing of terrorism) enacted, administered, implemented and/or enforced from time to time by any of the following:</w:t>
      </w:r>
    </w:p>
    <w:p w14:paraId="2700883E" w14:textId="77777777" w:rsidR="00F0088B" w:rsidRPr="00653DCF" w:rsidRDefault="00F0088B" w:rsidP="00F0088B">
      <w:pPr>
        <w:rPr>
          <w:color w:val="auto"/>
        </w:rPr>
      </w:pPr>
      <w:r w:rsidRPr="00653DCF">
        <w:rPr>
          <w:color w:val="auto"/>
        </w:rPr>
        <w:t>(a)</w:t>
      </w:r>
      <w:r w:rsidRPr="00653DCF">
        <w:rPr>
          <w:color w:val="auto"/>
        </w:rPr>
        <w:tab/>
        <w:t xml:space="preserve">the United Nations, including, </w:t>
      </w:r>
      <w:r w:rsidRPr="00653DCF">
        <w:rPr>
          <w:rStyle w:val="ItalicEIB"/>
          <w:color w:val="auto"/>
        </w:rPr>
        <w:t>inter alia</w:t>
      </w:r>
      <w:r w:rsidRPr="00653DCF">
        <w:rPr>
          <w:color w:val="auto"/>
        </w:rPr>
        <w:t>, the United Nations Security Council;</w:t>
      </w:r>
    </w:p>
    <w:p w14:paraId="5A777FA0" w14:textId="77777777" w:rsidR="00F0088B" w:rsidRPr="00653DCF" w:rsidRDefault="00F0088B" w:rsidP="00F0088B">
      <w:pPr>
        <w:ind w:left="1440" w:hanging="584"/>
        <w:rPr>
          <w:color w:val="auto"/>
        </w:rPr>
      </w:pPr>
      <w:r w:rsidRPr="00653DCF">
        <w:rPr>
          <w:color w:val="auto"/>
        </w:rPr>
        <w:t>(b)</w:t>
      </w:r>
      <w:r w:rsidRPr="00653DCF">
        <w:rPr>
          <w:color w:val="auto"/>
        </w:rPr>
        <w:tab/>
        <w:t xml:space="preserve">the European Union, including, </w:t>
      </w:r>
      <w:r w:rsidRPr="00653DCF">
        <w:rPr>
          <w:rStyle w:val="ItalicEIB"/>
          <w:color w:val="auto"/>
        </w:rPr>
        <w:t>inter alia</w:t>
      </w:r>
      <w:r w:rsidRPr="00653DCF">
        <w:rPr>
          <w:color w:val="auto"/>
        </w:rPr>
        <w:t>, the Council of the European Union and the European Commission, and any other competent bodies/institutions or agencies of the European Union;</w:t>
      </w:r>
    </w:p>
    <w:p w14:paraId="3567F372" w14:textId="77777777" w:rsidR="00F0088B" w:rsidRPr="00653DCF" w:rsidRDefault="00F0088B" w:rsidP="00F0088B">
      <w:pPr>
        <w:ind w:left="1440" w:hanging="584"/>
        <w:rPr>
          <w:color w:val="auto"/>
        </w:rPr>
      </w:pPr>
      <w:r w:rsidRPr="00653DCF">
        <w:rPr>
          <w:color w:val="auto"/>
        </w:rPr>
        <w:t>(c)</w:t>
      </w:r>
      <w:r w:rsidRPr="00653DCF">
        <w:rPr>
          <w:color w:val="auto"/>
        </w:rPr>
        <w:tab/>
        <w:t xml:space="preserve">the government of the United States of America, and any department, division, agency, or office thereof, including, </w:t>
      </w:r>
      <w:r w:rsidRPr="00653DCF">
        <w:rPr>
          <w:rStyle w:val="ItalicEIB"/>
          <w:color w:val="auto"/>
        </w:rPr>
        <w:t>inter alia</w:t>
      </w:r>
      <w:r w:rsidRPr="00653DCF">
        <w:rPr>
          <w:color w:val="auto"/>
        </w:rPr>
        <w:t>, the Office of Foreign Asset Control (OFAC) of the United States Department of the Treasury, the United States Department of State and/or the United States Department of Commerce; and</w:t>
      </w:r>
    </w:p>
    <w:p w14:paraId="6FF3197A" w14:textId="77777777" w:rsidR="00F0088B" w:rsidRPr="00653DCF" w:rsidRDefault="00F0088B" w:rsidP="00F0088B">
      <w:pPr>
        <w:ind w:left="1436" w:hanging="580"/>
        <w:rPr>
          <w:color w:val="auto"/>
        </w:rPr>
      </w:pPr>
      <w:r w:rsidRPr="00653DCF">
        <w:rPr>
          <w:color w:val="auto"/>
        </w:rPr>
        <w:t xml:space="preserve">(d) </w:t>
      </w:r>
      <w:r w:rsidRPr="00653DCF">
        <w:rPr>
          <w:color w:val="auto"/>
        </w:rPr>
        <w:tab/>
        <w:t>the government of the United Kingdom, and any department, division, agency, office or authority, including, inter alia, the Office of Financial Sanctions Implementation of His Majesty's Treasury and the Department for International Trade of the United Kingdom.</w:t>
      </w:r>
    </w:p>
    <w:p w14:paraId="5C255EF2" w14:textId="0402A8C4" w:rsidR="00F0088B" w:rsidRPr="00653DCF" w:rsidRDefault="00F0088B" w:rsidP="00F0088B">
      <w:pPr>
        <w:rPr>
          <w:color w:val="auto"/>
        </w:rPr>
      </w:pPr>
      <w:r w:rsidRPr="00653DCF">
        <w:rPr>
          <w:color w:val="auto"/>
        </w:rPr>
        <w:t>"</w:t>
      </w:r>
      <w:r w:rsidRPr="00653DCF">
        <w:rPr>
          <w:rStyle w:val="BoldEIB"/>
          <w:color w:val="auto"/>
        </w:rPr>
        <w:t>Scheduled Disbursement Date</w:t>
      </w:r>
      <w:r w:rsidRPr="00653DCF">
        <w:rPr>
          <w:color w:val="auto"/>
        </w:rPr>
        <w:t>" means the date on which a Tranche is scheduled to be disbursed in accordance with Article </w:t>
      </w:r>
      <w:r w:rsidRPr="00653DCF">
        <w:rPr>
          <w:color w:val="auto"/>
        </w:rPr>
        <w:fldChar w:fldCharType="begin"/>
      </w:r>
      <w:r w:rsidRPr="00653DCF">
        <w:rPr>
          <w:color w:val="auto"/>
        </w:rPr>
        <w:instrText xml:space="preserve"> REF _Ref426713118 \r \h </w:instrText>
      </w:r>
      <w:r w:rsidRPr="00653DCF">
        <w:rPr>
          <w:color w:val="auto"/>
        </w:rPr>
      </w:r>
      <w:r w:rsidRPr="00653DCF">
        <w:rPr>
          <w:color w:val="auto"/>
        </w:rPr>
        <w:fldChar w:fldCharType="separate"/>
      </w:r>
      <w:r w:rsidR="00E5391B">
        <w:rPr>
          <w:color w:val="auto"/>
        </w:rPr>
        <w:t>1.2.C</w:t>
      </w:r>
      <w:r w:rsidRPr="00653DCF">
        <w:rPr>
          <w:color w:val="auto"/>
        </w:rPr>
        <w:fldChar w:fldCharType="end"/>
      </w:r>
      <w:r w:rsidRPr="00653DCF">
        <w:rPr>
          <w:color w:val="auto"/>
        </w:rPr>
        <w:t>.</w:t>
      </w:r>
    </w:p>
    <w:p w14:paraId="20B84D0C" w14:textId="2C6474F2" w:rsidR="00F0088B" w:rsidRPr="00653DCF" w:rsidRDefault="00F0088B" w:rsidP="00F0088B">
      <w:pPr>
        <w:widowControl w:val="0"/>
        <w:rPr>
          <w:color w:val="auto"/>
        </w:rPr>
      </w:pPr>
      <w:r w:rsidRPr="00653DCF">
        <w:rPr>
          <w:color w:val="auto"/>
        </w:rPr>
        <w:t>"</w:t>
      </w:r>
      <w:r w:rsidRPr="00653DCF">
        <w:rPr>
          <w:rStyle w:val="BoldEIB"/>
          <w:color w:val="auto"/>
        </w:rPr>
        <w:t>Scheme</w:t>
      </w:r>
      <w:r w:rsidRPr="00653DCF">
        <w:rPr>
          <w:color w:val="auto"/>
        </w:rPr>
        <w:t xml:space="preserve">" has the meaning given to it in Recital </w:t>
      </w:r>
      <w:r w:rsidRPr="00653DCF">
        <w:rPr>
          <w:color w:val="auto"/>
        </w:rPr>
        <w:fldChar w:fldCharType="begin"/>
      </w:r>
      <w:r w:rsidRPr="00653DCF">
        <w:rPr>
          <w:color w:val="auto"/>
        </w:rPr>
        <w:instrText xml:space="preserve"> REF _Ref430852331 \r \h </w:instrText>
      </w:r>
      <w:r w:rsidRPr="00653DCF">
        <w:rPr>
          <w:color w:val="auto"/>
        </w:rPr>
      </w:r>
      <w:r w:rsidRPr="00653DCF">
        <w:rPr>
          <w:color w:val="auto"/>
        </w:rPr>
        <w:fldChar w:fldCharType="separate"/>
      </w:r>
      <w:r w:rsidR="00E5391B">
        <w:rPr>
          <w:color w:val="auto"/>
        </w:rPr>
        <w:t>(a)</w:t>
      </w:r>
      <w:r w:rsidRPr="00653DCF">
        <w:rPr>
          <w:color w:val="auto"/>
        </w:rPr>
        <w:fldChar w:fldCharType="end"/>
      </w:r>
      <w:r w:rsidRPr="00653DCF">
        <w:rPr>
          <w:color w:val="auto"/>
        </w:rPr>
        <w:t>.</w:t>
      </w:r>
    </w:p>
    <w:p w14:paraId="597084BF" w14:textId="77777777" w:rsidR="00F0088B" w:rsidRPr="00653DCF" w:rsidRDefault="00F0088B" w:rsidP="00F0088B">
      <w:pPr>
        <w:rPr>
          <w:color w:val="auto"/>
        </w:rPr>
      </w:pPr>
      <w:r w:rsidRPr="00653DCF">
        <w:rPr>
          <w:color w:val="auto"/>
        </w:rPr>
        <w:t>"</w:t>
      </w:r>
      <w:r w:rsidRPr="00653DCF">
        <w:rPr>
          <w:rStyle w:val="BoldEIB"/>
          <w:color w:val="auto"/>
        </w:rPr>
        <w:t>Security</w:t>
      </w:r>
      <w:r w:rsidRPr="00653DCF">
        <w:rPr>
          <w:color w:val="auto"/>
        </w:rPr>
        <w:t>" means any mortgage, pledge, lien, charge, assignment, hypothecation, or other security interest securing any obligation of any person or any other agreement or arrangement having a similar effect.</w:t>
      </w:r>
    </w:p>
    <w:p w14:paraId="4CA186DA" w14:textId="77777777" w:rsidR="00F0088B" w:rsidRPr="00653DCF" w:rsidRDefault="00F0088B" w:rsidP="00F0088B">
      <w:pPr>
        <w:rPr>
          <w:color w:val="auto"/>
        </w:rPr>
      </w:pPr>
      <w:r w:rsidRPr="00653DCF">
        <w:rPr>
          <w:color w:val="auto"/>
        </w:rPr>
        <w:t>"</w:t>
      </w:r>
      <w:r w:rsidRPr="00653DCF">
        <w:rPr>
          <w:rStyle w:val="BoldEIB"/>
          <w:color w:val="auto"/>
        </w:rPr>
        <w:t>Social Matters</w:t>
      </w:r>
      <w:r w:rsidRPr="00653DCF">
        <w:rPr>
          <w:color w:val="auto"/>
        </w:rPr>
        <w:t xml:space="preserve">" means all, or any of, the following: </w:t>
      </w:r>
    </w:p>
    <w:p w14:paraId="6BBF2F83" w14:textId="77777777" w:rsidR="00F0088B" w:rsidRPr="00653DCF" w:rsidRDefault="00F0088B" w:rsidP="0024686A">
      <w:pPr>
        <w:keepLines/>
        <w:numPr>
          <w:ilvl w:val="0"/>
          <w:numId w:val="153"/>
        </w:numPr>
        <w:spacing w:line="276" w:lineRule="auto"/>
        <w:rPr>
          <w:color w:val="auto"/>
        </w:rPr>
      </w:pPr>
      <w:r w:rsidRPr="00653DCF">
        <w:rPr>
          <w:color w:val="auto"/>
        </w:rPr>
        <w:t>labour and working conditions;</w:t>
      </w:r>
    </w:p>
    <w:p w14:paraId="208E9806" w14:textId="77777777" w:rsidR="00F0088B" w:rsidRPr="00653DCF" w:rsidRDefault="00F0088B" w:rsidP="0024686A">
      <w:pPr>
        <w:keepLines/>
        <w:numPr>
          <w:ilvl w:val="0"/>
          <w:numId w:val="153"/>
        </w:numPr>
        <w:spacing w:line="276" w:lineRule="auto"/>
        <w:rPr>
          <w:color w:val="auto"/>
        </w:rPr>
      </w:pPr>
      <w:r w:rsidRPr="00653DCF">
        <w:rPr>
          <w:color w:val="auto"/>
        </w:rPr>
        <w:t>occupational health and safety;</w:t>
      </w:r>
    </w:p>
    <w:p w14:paraId="196AD328" w14:textId="77777777" w:rsidR="00F0088B" w:rsidRPr="00653DCF" w:rsidRDefault="00F0088B" w:rsidP="0024686A">
      <w:pPr>
        <w:keepLines/>
        <w:numPr>
          <w:ilvl w:val="0"/>
          <w:numId w:val="153"/>
        </w:numPr>
        <w:spacing w:line="276" w:lineRule="auto"/>
        <w:rPr>
          <w:color w:val="auto"/>
        </w:rPr>
      </w:pPr>
      <w:r w:rsidRPr="00653DCF">
        <w:rPr>
          <w:color w:val="auto"/>
        </w:rPr>
        <w:t>rights and interests of vulnerable groups;</w:t>
      </w:r>
    </w:p>
    <w:p w14:paraId="3233691E" w14:textId="77777777" w:rsidR="00F0088B" w:rsidRPr="00653DCF" w:rsidRDefault="00F0088B" w:rsidP="0024686A">
      <w:pPr>
        <w:keepLines/>
        <w:numPr>
          <w:ilvl w:val="0"/>
          <w:numId w:val="153"/>
        </w:numPr>
        <w:spacing w:line="276" w:lineRule="auto"/>
        <w:rPr>
          <w:color w:val="auto"/>
        </w:rPr>
      </w:pPr>
      <w:r w:rsidRPr="00653DCF">
        <w:rPr>
          <w:color w:val="auto"/>
        </w:rPr>
        <w:t>rights and interests of indigenous peoples;</w:t>
      </w:r>
    </w:p>
    <w:p w14:paraId="79547797" w14:textId="77777777" w:rsidR="00F0088B" w:rsidRPr="00653DCF" w:rsidRDefault="00F0088B" w:rsidP="0024686A">
      <w:pPr>
        <w:keepLines/>
        <w:numPr>
          <w:ilvl w:val="0"/>
          <w:numId w:val="153"/>
        </w:numPr>
        <w:spacing w:line="276" w:lineRule="auto"/>
        <w:rPr>
          <w:color w:val="auto"/>
        </w:rPr>
      </w:pPr>
      <w:r w:rsidRPr="00653DCF">
        <w:rPr>
          <w:color w:val="auto"/>
        </w:rPr>
        <w:t>gender equality;</w:t>
      </w:r>
    </w:p>
    <w:p w14:paraId="387CD7F0" w14:textId="77777777" w:rsidR="00F0088B" w:rsidRPr="00653DCF" w:rsidRDefault="00F0088B" w:rsidP="0024686A">
      <w:pPr>
        <w:keepLines/>
        <w:numPr>
          <w:ilvl w:val="0"/>
          <w:numId w:val="153"/>
        </w:numPr>
        <w:spacing w:line="276" w:lineRule="auto"/>
        <w:rPr>
          <w:color w:val="auto"/>
        </w:rPr>
      </w:pPr>
      <w:r w:rsidRPr="00653DCF">
        <w:rPr>
          <w:color w:val="auto"/>
        </w:rPr>
        <w:t xml:space="preserve">public health, safety and security; </w:t>
      </w:r>
    </w:p>
    <w:p w14:paraId="2874E43C" w14:textId="77777777" w:rsidR="00F0088B" w:rsidRPr="00653DCF" w:rsidRDefault="00F0088B" w:rsidP="0024686A">
      <w:pPr>
        <w:keepLines/>
        <w:numPr>
          <w:ilvl w:val="0"/>
          <w:numId w:val="153"/>
        </w:numPr>
        <w:spacing w:line="276" w:lineRule="auto"/>
        <w:rPr>
          <w:color w:val="auto"/>
        </w:rPr>
      </w:pPr>
      <w:r w:rsidRPr="00653DCF">
        <w:rPr>
          <w:color w:val="auto"/>
        </w:rPr>
        <w:t xml:space="preserve">avoidance of forced evictions and alleviation of hardship arising from involuntary resettlement; and </w:t>
      </w:r>
    </w:p>
    <w:p w14:paraId="2764A7AB" w14:textId="77777777" w:rsidR="00F0088B" w:rsidRPr="00653DCF" w:rsidRDefault="00F0088B" w:rsidP="0024686A">
      <w:pPr>
        <w:keepLines/>
        <w:numPr>
          <w:ilvl w:val="0"/>
          <w:numId w:val="153"/>
        </w:numPr>
        <w:spacing w:line="276" w:lineRule="auto"/>
        <w:rPr>
          <w:color w:val="auto"/>
        </w:rPr>
      </w:pPr>
      <w:r w:rsidRPr="00653DCF">
        <w:rPr>
          <w:color w:val="auto"/>
        </w:rPr>
        <w:t>stakeholder engagement.</w:t>
      </w:r>
    </w:p>
    <w:p w14:paraId="5B8104BD" w14:textId="77777777" w:rsidR="00F0088B" w:rsidRPr="00653DCF" w:rsidRDefault="00F0088B" w:rsidP="00F0088B">
      <w:pPr>
        <w:rPr>
          <w:color w:val="auto"/>
        </w:rPr>
      </w:pPr>
      <w:r w:rsidRPr="00653DCF">
        <w:rPr>
          <w:color w:val="auto"/>
        </w:rPr>
        <w:t>"</w:t>
      </w:r>
      <w:r w:rsidRPr="00653DCF">
        <w:rPr>
          <w:rStyle w:val="BoldEIB"/>
          <w:color w:val="auto"/>
        </w:rPr>
        <w:t>Spread</w:t>
      </w:r>
      <w:r w:rsidRPr="00653DCF">
        <w:rPr>
          <w:color w:val="auto"/>
        </w:rPr>
        <w:t xml:space="preserve">" means the fixed spread (being of either positive or negative value) to the EURIBOR, as determined by the Bank and notified to the Borrower in the relevant Disbursement Notice, or in the Interest Revision/Conversion Proposal. </w:t>
      </w:r>
    </w:p>
    <w:p w14:paraId="7F9FBAA5" w14:textId="77777777" w:rsidR="00F0088B" w:rsidRPr="00653DCF" w:rsidRDefault="00F0088B" w:rsidP="00F0088B">
      <w:pPr>
        <w:rPr>
          <w:color w:val="auto"/>
        </w:rPr>
      </w:pPr>
      <w:r w:rsidRPr="00653DCF">
        <w:rPr>
          <w:color w:val="auto"/>
        </w:rPr>
        <w:t>"</w:t>
      </w:r>
      <w:r w:rsidRPr="00653DCF">
        <w:rPr>
          <w:rStyle w:val="BoldEIB"/>
          <w:color w:val="auto"/>
        </w:rPr>
        <w:t>Tax</w:t>
      </w:r>
      <w:r w:rsidRPr="00653DCF">
        <w:rPr>
          <w:color w:val="auto"/>
        </w:rPr>
        <w:t>" means any tax, levy, impost, duty or other charge or withholding of a similar nature (including any penalty or interest payable in connection with any failure to pay or any delay in paying any of the same).</w:t>
      </w:r>
    </w:p>
    <w:p w14:paraId="2DC8530A" w14:textId="534043E9" w:rsidR="00F0088B" w:rsidRPr="00653DCF" w:rsidRDefault="00F0088B" w:rsidP="00F0088B">
      <w:pPr>
        <w:rPr>
          <w:color w:val="auto"/>
        </w:rPr>
      </w:pPr>
      <w:r w:rsidRPr="00653DCF">
        <w:rPr>
          <w:color w:val="auto"/>
        </w:rPr>
        <w:t>"</w:t>
      </w:r>
      <w:r w:rsidRPr="00653DCF">
        <w:rPr>
          <w:rStyle w:val="BoldEIB"/>
          <w:color w:val="auto"/>
        </w:rPr>
        <w:t>Technical Description</w:t>
      </w:r>
      <w:r w:rsidRPr="00653DCF">
        <w:rPr>
          <w:color w:val="auto"/>
        </w:rPr>
        <w:t>" has the meaning given to it in Recital </w:t>
      </w:r>
      <w:r w:rsidRPr="00653DCF">
        <w:rPr>
          <w:color w:val="auto"/>
        </w:rPr>
        <w:fldChar w:fldCharType="begin"/>
      </w:r>
      <w:r w:rsidRPr="00653DCF">
        <w:rPr>
          <w:color w:val="auto"/>
        </w:rPr>
        <w:instrText xml:space="preserve"> REF _Ref430852331 \r \h </w:instrText>
      </w:r>
      <w:r w:rsidRPr="00653DCF">
        <w:rPr>
          <w:color w:val="auto"/>
        </w:rPr>
      </w:r>
      <w:r w:rsidRPr="00653DCF">
        <w:rPr>
          <w:color w:val="auto"/>
        </w:rPr>
        <w:fldChar w:fldCharType="separate"/>
      </w:r>
      <w:r w:rsidR="00E5391B">
        <w:rPr>
          <w:color w:val="auto"/>
        </w:rPr>
        <w:t>(a)</w:t>
      </w:r>
      <w:r w:rsidRPr="00653DCF">
        <w:rPr>
          <w:color w:val="auto"/>
        </w:rPr>
        <w:fldChar w:fldCharType="end"/>
      </w:r>
      <w:r w:rsidRPr="00653DCF">
        <w:rPr>
          <w:color w:val="auto"/>
        </w:rPr>
        <w:t>.</w:t>
      </w:r>
    </w:p>
    <w:p w14:paraId="79266D49" w14:textId="5F57ABE3" w:rsidR="00F0088B" w:rsidRDefault="00F0088B" w:rsidP="00F0088B">
      <w:pPr>
        <w:rPr>
          <w:color w:val="auto"/>
        </w:rPr>
      </w:pPr>
      <w:r w:rsidRPr="00653DCF">
        <w:rPr>
          <w:color w:val="auto"/>
        </w:rPr>
        <w:t>"</w:t>
      </w:r>
      <w:r w:rsidRPr="00653DCF">
        <w:rPr>
          <w:rStyle w:val="BoldEIB"/>
          <w:color w:val="auto"/>
        </w:rPr>
        <w:t>Tranche</w:t>
      </w:r>
      <w:r w:rsidRPr="00653DCF">
        <w:rPr>
          <w:color w:val="auto"/>
        </w:rPr>
        <w:t xml:space="preserve">" means each disbursement made or to be made under this Contract. In case no Disbursement Notice has been delivered, Tranche shall mean a Tranche as requested under Article </w:t>
      </w:r>
      <w:r w:rsidRPr="00653DCF">
        <w:rPr>
          <w:color w:val="auto"/>
        </w:rPr>
        <w:fldChar w:fldCharType="begin"/>
      </w:r>
      <w:r w:rsidRPr="00653DCF">
        <w:rPr>
          <w:color w:val="auto"/>
        </w:rPr>
        <w:instrText xml:space="preserve"> REF _Ref426638944 \r \h  \* MERGEFORMAT </w:instrText>
      </w:r>
      <w:r w:rsidRPr="00653DCF">
        <w:rPr>
          <w:color w:val="auto"/>
        </w:rPr>
      </w:r>
      <w:r w:rsidRPr="00653DCF">
        <w:rPr>
          <w:color w:val="auto"/>
        </w:rPr>
        <w:fldChar w:fldCharType="separate"/>
      </w:r>
      <w:r w:rsidR="00E5391B">
        <w:rPr>
          <w:color w:val="auto"/>
        </w:rPr>
        <w:t>1.2.B</w:t>
      </w:r>
      <w:r w:rsidRPr="00653DCF">
        <w:rPr>
          <w:color w:val="auto"/>
        </w:rPr>
        <w:fldChar w:fldCharType="end"/>
      </w:r>
      <w:r w:rsidRPr="00653DCF">
        <w:rPr>
          <w:color w:val="auto"/>
        </w:rPr>
        <w:t>.</w:t>
      </w:r>
    </w:p>
    <w:p w14:paraId="672DAC29" w14:textId="77777777" w:rsidR="00B605A5" w:rsidRDefault="00B605A5" w:rsidP="00F0088B">
      <w:pPr>
        <w:rPr>
          <w:color w:val="auto"/>
        </w:rPr>
      </w:pPr>
    </w:p>
    <w:p w14:paraId="30D6BC63" w14:textId="77777777" w:rsidR="00B605A5" w:rsidRDefault="00B605A5" w:rsidP="00F0088B">
      <w:pPr>
        <w:rPr>
          <w:color w:val="auto"/>
        </w:rPr>
        <w:sectPr w:rsidR="00B605A5" w:rsidSect="00CB3A2D">
          <w:footnotePr>
            <w:numRestart w:val="eachSect"/>
          </w:footnotePr>
          <w:pgSz w:w="11906" w:h="16838"/>
          <w:pgMar w:top="1417" w:right="1417" w:bottom="1276" w:left="1417" w:header="708" w:footer="708" w:gutter="0"/>
          <w:cols w:space="708"/>
          <w:formProt w:val="0"/>
          <w:titlePg/>
          <w:docGrid w:linePitch="360"/>
        </w:sectPr>
      </w:pPr>
    </w:p>
    <w:p w14:paraId="52C5DD04" w14:textId="6A27A71B" w:rsidR="00F0088B" w:rsidRPr="00653DCF" w:rsidRDefault="009106E0" w:rsidP="00C40040">
      <w:pPr>
        <w:pStyle w:val="Style8"/>
      </w:pPr>
      <w:r>
        <w:t>ARTICLE 1</w:t>
      </w:r>
    </w:p>
    <w:p w14:paraId="0BBCD1CD" w14:textId="77777777" w:rsidR="00F0088B" w:rsidRPr="00653DCF" w:rsidRDefault="00F0088B" w:rsidP="00F0088B">
      <w:pPr>
        <w:pStyle w:val="ArticleTitleEIB"/>
        <w:rPr>
          <w:color w:val="auto"/>
        </w:rPr>
      </w:pPr>
      <w:r w:rsidRPr="00653DCF">
        <w:rPr>
          <w:color w:val="auto"/>
        </w:rPr>
        <w:t>Credit and Disbursements</w:t>
      </w:r>
    </w:p>
    <w:p w14:paraId="630153ED" w14:textId="77777777" w:rsidR="00D87D38" w:rsidRPr="00653DCF" w:rsidRDefault="00D87D38" w:rsidP="00B605A5">
      <w:pPr>
        <w:pStyle w:val="ListParagraph"/>
        <w:keepNext/>
        <w:keepLines/>
        <w:numPr>
          <w:ilvl w:val="0"/>
          <w:numId w:val="96"/>
        </w:numPr>
        <w:spacing w:before="360"/>
        <w:contextualSpacing w:val="0"/>
        <w:outlineLvl w:val="0"/>
        <w:rPr>
          <w:rFonts w:eastAsiaTheme="majorEastAsia" w:cstheme="majorBidi"/>
          <w:b/>
          <w:caps/>
          <w:vanish/>
          <w:color w:val="auto"/>
          <w:u w:val="single"/>
        </w:rPr>
      </w:pPr>
    </w:p>
    <w:p w14:paraId="65C955CD" w14:textId="31BE0CE4" w:rsidR="00F0088B" w:rsidRPr="00653DCF" w:rsidRDefault="00F0088B" w:rsidP="007D7C6B">
      <w:pPr>
        <w:pStyle w:val="Heading2"/>
        <w:numPr>
          <w:ilvl w:val="1"/>
          <w:numId w:val="96"/>
        </w:numPr>
        <w:ind w:left="851"/>
        <w:rPr>
          <w:color w:val="auto"/>
        </w:rPr>
      </w:pPr>
      <w:r w:rsidRPr="00653DCF">
        <w:rPr>
          <w:color w:val="auto"/>
        </w:rPr>
        <w:t>Amount of Credit</w:t>
      </w:r>
    </w:p>
    <w:p w14:paraId="77ED7961" w14:textId="77777777" w:rsidR="00F0088B" w:rsidRPr="00653DCF" w:rsidRDefault="00F0088B" w:rsidP="00F0088B">
      <w:pPr>
        <w:rPr>
          <w:color w:val="auto"/>
        </w:rPr>
      </w:pPr>
      <w:r w:rsidRPr="00653DCF">
        <w:rPr>
          <w:color w:val="auto"/>
        </w:rPr>
        <w:t>By this Contract the Bank establishes in favour of the Borrower, and the Borrower accepts, a credit in an amount equivalent to EUR 400,000,000 (four hundred million euros) for the financing of the Project (the "</w:t>
      </w:r>
      <w:r w:rsidRPr="00653DCF">
        <w:rPr>
          <w:rStyle w:val="BoldEIB"/>
          <w:color w:val="auto"/>
        </w:rPr>
        <w:t>Credit</w:t>
      </w:r>
      <w:r w:rsidRPr="00653DCF">
        <w:rPr>
          <w:color w:val="auto"/>
        </w:rPr>
        <w:t>").</w:t>
      </w:r>
    </w:p>
    <w:p w14:paraId="6C566B42" w14:textId="77777777" w:rsidR="00F0088B" w:rsidRPr="00653DCF" w:rsidRDefault="00F0088B" w:rsidP="007D7C6B">
      <w:pPr>
        <w:pStyle w:val="Heading2"/>
        <w:ind w:left="851"/>
        <w:rPr>
          <w:color w:val="auto"/>
        </w:rPr>
      </w:pPr>
      <w:r w:rsidRPr="00653DCF">
        <w:rPr>
          <w:color w:val="auto"/>
        </w:rPr>
        <w:t>Disbursement procedure</w:t>
      </w:r>
    </w:p>
    <w:p w14:paraId="4A5DA7E8" w14:textId="77777777" w:rsidR="00F0088B" w:rsidRPr="00653DCF" w:rsidRDefault="00F0088B" w:rsidP="007D7C6B">
      <w:pPr>
        <w:pStyle w:val="Heading3"/>
        <w:ind w:left="851"/>
        <w:rPr>
          <w:color w:val="auto"/>
        </w:rPr>
      </w:pPr>
      <w:r w:rsidRPr="00653DCF">
        <w:rPr>
          <w:color w:val="auto"/>
        </w:rPr>
        <w:t>Tranches</w:t>
      </w:r>
    </w:p>
    <w:p w14:paraId="05FF3C89" w14:textId="77777777" w:rsidR="00F0088B" w:rsidRPr="00653DCF" w:rsidRDefault="00F0088B" w:rsidP="00F0088B">
      <w:pPr>
        <w:rPr>
          <w:color w:val="auto"/>
        </w:rPr>
      </w:pPr>
      <w:r w:rsidRPr="00653DCF">
        <w:rPr>
          <w:color w:val="auto"/>
        </w:rPr>
        <w:t>The Bank shall disburse the Credit in up to 10 (ten) Tranches. The amount of each Tranche shall be in a minimum amount of EUR 40,000,000.00 (forty million euros) or (if less) the entire undrawn balance of the Credit.</w:t>
      </w:r>
    </w:p>
    <w:p w14:paraId="2BC211A9" w14:textId="77777777" w:rsidR="00F0088B" w:rsidRPr="00653DCF" w:rsidRDefault="00F0088B" w:rsidP="00F0088B">
      <w:pPr>
        <w:rPr>
          <w:color w:val="auto"/>
        </w:rPr>
      </w:pPr>
      <w:r w:rsidRPr="00653DCF">
        <w:rPr>
          <w:color w:val="auto"/>
        </w:rPr>
        <w:t>The First Tranche shall be in a maximum amount not exceeding EUR 270,000,000 (two hundred and seventy million euros).</w:t>
      </w:r>
    </w:p>
    <w:p w14:paraId="4F2C5B95" w14:textId="77777777" w:rsidR="00F0088B" w:rsidRPr="00653DCF" w:rsidRDefault="00F0088B" w:rsidP="007D7C6B">
      <w:pPr>
        <w:pStyle w:val="Heading3"/>
        <w:ind w:left="851"/>
        <w:rPr>
          <w:color w:val="auto"/>
        </w:rPr>
      </w:pPr>
      <w:r w:rsidRPr="00653DCF">
        <w:rPr>
          <w:color w:val="auto"/>
        </w:rPr>
        <w:t>Disbursement Request</w:t>
      </w:r>
    </w:p>
    <w:p w14:paraId="73C23F23" w14:textId="1EE4746F" w:rsidR="00F0088B" w:rsidRPr="00653DCF" w:rsidRDefault="00F0088B" w:rsidP="0024686A">
      <w:pPr>
        <w:pStyle w:val="NoIndentEIB"/>
        <w:numPr>
          <w:ilvl w:val="0"/>
          <w:numId w:val="129"/>
        </w:numPr>
        <w:rPr>
          <w:color w:val="auto"/>
        </w:rPr>
      </w:pPr>
      <w:r w:rsidRPr="00653DCF">
        <w:rPr>
          <w:color w:val="auto"/>
        </w:rPr>
        <w:t xml:space="preserve">The Borrower may present to the Bank a Disbursement Request for the disbursement of a Tranche, such Disbursement Request to be received at the latest 15 (fifteen) days before the Final Availability Date. The Disbursement Request shall be in the form set out in </w:t>
      </w:r>
      <w:r w:rsidRPr="00653DCF">
        <w:rPr>
          <w:color w:val="auto"/>
        </w:rPr>
        <w:fldChar w:fldCharType="begin"/>
      </w:r>
      <w:r w:rsidRPr="00653DCF">
        <w:rPr>
          <w:color w:val="auto"/>
        </w:rPr>
        <w:instrText xml:space="preserve"> REF _Ref498702161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 xml:space="preserve"> and shall specify: </w:t>
      </w:r>
    </w:p>
    <w:p w14:paraId="7DFD2403" w14:textId="77777777" w:rsidR="00F0088B" w:rsidRPr="00653DCF" w:rsidRDefault="00F0088B" w:rsidP="0024686A">
      <w:pPr>
        <w:pStyle w:val="NoIndentEIB"/>
        <w:numPr>
          <w:ilvl w:val="1"/>
          <w:numId w:val="129"/>
        </w:numPr>
        <w:rPr>
          <w:color w:val="auto"/>
        </w:rPr>
      </w:pPr>
      <w:r w:rsidRPr="00653DCF">
        <w:rPr>
          <w:color w:val="auto"/>
        </w:rPr>
        <w:t>the amount and currency of the Tranche;</w:t>
      </w:r>
    </w:p>
    <w:p w14:paraId="735B827E" w14:textId="77777777" w:rsidR="00F0088B" w:rsidRPr="00653DCF" w:rsidRDefault="00F0088B" w:rsidP="0024686A">
      <w:pPr>
        <w:pStyle w:val="NoIndentEIB"/>
        <w:numPr>
          <w:ilvl w:val="1"/>
          <w:numId w:val="129"/>
        </w:numPr>
        <w:rPr>
          <w:color w:val="auto"/>
        </w:rPr>
      </w:pPr>
      <w:r w:rsidRPr="00653DCF">
        <w:rPr>
          <w:color w:val="auto"/>
        </w:rPr>
        <w:t>the preferred disbursement date for the Tranche; such preferred disbursement date must be a Relevant Business Day falling at least 15 (fifteen) days after the date of the Disbursement Request and, in any event, on or before the Final Availability Date. It being understood that notwithstanding the Final Availability Date the Bank may set the disbursement date for the Tranche at a date falling up to 4 (four) months from the date of the Disbursement Request;</w:t>
      </w:r>
    </w:p>
    <w:p w14:paraId="18AA2246" w14:textId="4A3A53B1" w:rsidR="00F0088B" w:rsidRPr="00653DCF" w:rsidRDefault="00F0088B" w:rsidP="0024686A">
      <w:pPr>
        <w:pStyle w:val="NoIndentEIB"/>
        <w:numPr>
          <w:ilvl w:val="1"/>
          <w:numId w:val="129"/>
        </w:numPr>
        <w:rPr>
          <w:color w:val="auto"/>
        </w:rPr>
      </w:pPr>
      <w:r w:rsidRPr="00653DCF">
        <w:rPr>
          <w:color w:val="auto"/>
        </w:rPr>
        <w:t>whether the Tranche is a Fixed Rate Tranche or a Floating Rate Tranche, each pursuant to the relevant provisions of Article </w:t>
      </w:r>
      <w:r w:rsidRPr="00653DCF">
        <w:rPr>
          <w:color w:val="auto"/>
        </w:rPr>
        <w:fldChar w:fldCharType="begin"/>
      </w:r>
      <w:r w:rsidRPr="00653DCF">
        <w:rPr>
          <w:color w:val="auto"/>
        </w:rPr>
        <w:instrText xml:space="preserve"> REF _Ref426639513 \r \h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w:t>
      </w:r>
    </w:p>
    <w:p w14:paraId="51F18CB4" w14:textId="141708BD" w:rsidR="00F0088B" w:rsidRPr="00653DCF" w:rsidRDefault="00F0088B" w:rsidP="0024686A">
      <w:pPr>
        <w:pStyle w:val="NoIndentEIB"/>
        <w:numPr>
          <w:ilvl w:val="1"/>
          <w:numId w:val="129"/>
        </w:numPr>
        <w:rPr>
          <w:color w:val="auto"/>
        </w:rPr>
      </w:pPr>
      <w:r w:rsidRPr="00653DCF">
        <w:rPr>
          <w:color w:val="auto"/>
        </w:rPr>
        <w:t>the preferred interest payment periodicity for the Tranche, chosen in accordance with Article </w:t>
      </w:r>
      <w:r w:rsidRPr="00653DCF">
        <w:rPr>
          <w:color w:val="auto"/>
        </w:rPr>
        <w:fldChar w:fldCharType="begin"/>
      </w:r>
      <w:r w:rsidRPr="00653DCF">
        <w:rPr>
          <w:color w:val="auto"/>
        </w:rPr>
        <w:instrText xml:space="preserve"> REF _Ref426639513 \r \h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w:t>
      </w:r>
    </w:p>
    <w:p w14:paraId="3AAFB4DA" w14:textId="4DA4145A" w:rsidR="00F0088B" w:rsidRPr="00653DCF" w:rsidRDefault="00F0088B" w:rsidP="0024686A">
      <w:pPr>
        <w:pStyle w:val="NoIndentEIB"/>
        <w:numPr>
          <w:ilvl w:val="1"/>
          <w:numId w:val="129"/>
        </w:numPr>
        <w:rPr>
          <w:color w:val="auto"/>
        </w:rPr>
      </w:pPr>
      <w:r w:rsidRPr="00653DCF">
        <w:rPr>
          <w:color w:val="auto"/>
        </w:rPr>
        <w:t>the preferred terms for repayment of principal for the Tranche, chosen in accordance with Article </w:t>
      </w:r>
      <w:r w:rsidRPr="00653DCF">
        <w:rPr>
          <w:color w:val="auto"/>
        </w:rPr>
        <w:fldChar w:fldCharType="begin"/>
      </w:r>
      <w:r w:rsidRPr="00653DCF">
        <w:rPr>
          <w:color w:val="auto"/>
        </w:rPr>
        <w:instrText xml:space="preserve"> REF _Ref426722492 \r \h </w:instrText>
      </w:r>
      <w:r w:rsidRPr="00653DCF">
        <w:rPr>
          <w:color w:val="auto"/>
        </w:rPr>
      </w:r>
      <w:r w:rsidRPr="00653DCF">
        <w:rPr>
          <w:color w:val="auto"/>
        </w:rPr>
        <w:fldChar w:fldCharType="separate"/>
      </w:r>
      <w:r w:rsidR="00E5391B">
        <w:rPr>
          <w:color w:val="auto"/>
        </w:rPr>
        <w:t>članak 4</w:t>
      </w:r>
      <w:r w:rsidRPr="00653DCF">
        <w:rPr>
          <w:color w:val="auto"/>
        </w:rPr>
        <w:fldChar w:fldCharType="end"/>
      </w:r>
      <w:r w:rsidRPr="00653DCF">
        <w:rPr>
          <w:color w:val="auto"/>
        </w:rPr>
        <w:t>;</w:t>
      </w:r>
    </w:p>
    <w:p w14:paraId="01B9D269" w14:textId="77777777" w:rsidR="00F0088B" w:rsidRPr="00653DCF" w:rsidRDefault="00F0088B" w:rsidP="0024686A">
      <w:pPr>
        <w:pStyle w:val="NoIndentEIB"/>
        <w:numPr>
          <w:ilvl w:val="1"/>
          <w:numId w:val="129"/>
        </w:numPr>
        <w:rPr>
          <w:color w:val="auto"/>
        </w:rPr>
      </w:pPr>
      <w:r w:rsidRPr="00653DCF">
        <w:rPr>
          <w:color w:val="auto"/>
        </w:rPr>
        <w:t xml:space="preserve">the preferred first and last dates for repayment of principal for the Tranche; </w:t>
      </w:r>
    </w:p>
    <w:p w14:paraId="50C9B6FF" w14:textId="77777777" w:rsidR="00F0088B" w:rsidRPr="00653DCF" w:rsidRDefault="00F0088B" w:rsidP="0024686A">
      <w:pPr>
        <w:pStyle w:val="NoIndentEIB"/>
        <w:numPr>
          <w:ilvl w:val="1"/>
          <w:numId w:val="129"/>
        </w:numPr>
        <w:rPr>
          <w:color w:val="auto"/>
        </w:rPr>
      </w:pPr>
      <w:r w:rsidRPr="00653DCF">
        <w:rPr>
          <w:color w:val="auto"/>
        </w:rPr>
        <w:t>the Borrower’s choice of Interest Revision/Conversion Date, if any, for the Tranche; and</w:t>
      </w:r>
    </w:p>
    <w:p w14:paraId="657E3EF6" w14:textId="64726462" w:rsidR="00F0088B" w:rsidRPr="00653DCF" w:rsidRDefault="00F0088B" w:rsidP="0024686A">
      <w:pPr>
        <w:pStyle w:val="NoIndentEIB"/>
        <w:numPr>
          <w:ilvl w:val="1"/>
          <w:numId w:val="129"/>
        </w:numPr>
        <w:rPr>
          <w:color w:val="auto"/>
        </w:rPr>
      </w:pPr>
      <w:r w:rsidRPr="00653DCF">
        <w:rPr>
          <w:color w:val="auto"/>
        </w:rPr>
        <w:t xml:space="preserve">the Disbursement Account to which the disbursement of the Tranche should be made in accordance with Article </w:t>
      </w:r>
      <w:r w:rsidRPr="00653DCF">
        <w:rPr>
          <w:color w:val="auto"/>
        </w:rPr>
        <w:fldChar w:fldCharType="begin"/>
      </w:r>
      <w:r w:rsidRPr="00653DCF">
        <w:rPr>
          <w:color w:val="auto"/>
        </w:rPr>
        <w:instrText xml:space="preserve"> REF _Ref487495131 \r \h </w:instrText>
      </w:r>
      <w:r w:rsidRPr="00653DCF">
        <w:rPr>
          <w:color w:val="auto"/>
        </w:rPr>
      </w:r>
      <w:r w:rsidRPr="00653DCF">
        <w:rPr>
          <w:color w:val="auto"/>
        </w:rPr>
        <w:fldChar w:fldCharType="separate"/>
      </w:r>
      <w:r w:rsidR="00E5391B">
        <w:rPr>
          <w:color w:val="auto"/>
        </w:rPr>
        <w:t>1.2.D</w:t>
      </w:r>
      <w:r w:rsidRPr="00653DCF">
        <w:rPr>
          <w:color w:val="auto"/>
        </w:rPr>
        <w:fldChar w:fldCharType="end"/>
      </w:r>
      <w:r w:rsidRPr="00653DCF">
        <w:rPr>
          <w:color w:val="auto"/>
        </w:rPr>
        <w:t>.</w:t>
      </w:r>
    </w:p>
    <w:p w14:paraId="37424A8B" w14:textId="77777777" w:rsidR="00F0088B" w:rsidRPr="00653DCF" w:rsidRDefault="00F0088B" w:rsidP="0024686A">
      <w:pPr>
        <w:pStyle w:val="NoIndentEIB"/>
        <w:numPr>
          <w:ilvl w:val="0"/>
          <w:numId w:val="129"/>
        </w:numPr>
        <w:rPr>
          <w:color w:val="auto"/>
        </w:rPr>
      </w:pPr>
      <w:r w:rsidRPr="00653DCF">
        <w:rPr>
          <w:color w:val="auto"/>
        </w:rPr>
        <w:t>If the Bank, following a request by the Borrower, has provided the Borrower, before the submission of the Disbursement Request, with a non-binding fixed interest rate or spread quotation to be applicable to the Tranche, the Borrower may also at its discretion specify in the Disbursement Request such quotation, that is to say:</w:t>
      </w:r>
    </w:p>
    <w:p w14:paraId="053294E9" w14:textId="77777777" w:rsidR="00F0088B" w:rsidRPr="00653DCF" w:rsidRDefault="00F0088B" w:rsidP="0024686A">
      <w:pPr>
        <w:pStyle w:val="NoIndentEIB"/>
        <w:numPr>
          <w:ilvl w:val="1"/>
          <w:numId w:val="129"/>
        </w:numPr>
        <w:rPr>
          <w:color w:val="auto"/>
        </w:rPr>
      </w:pPr>
      <w:r w:rsidRPr="00653DCF">
        <w:rPr>
          <w:color w:val="auto"/>
        </w:rPr>
        <w:t>in the case of a Fixed Rate Tranche, the aforementioned fixed interest rate previously quoted by the Bank; or</w:t>
      </w:r>
    </w:p>
    <w:p w14:paraId="00875D08" w14:textId="77777777" w:rsidR="00F0088B" w:rsidRPr="00653DCF" w:rsidRDefault="00F0088B" w:rsidP="0024686A">
      <w:pPr>
        <w:pStyle w:val="NoIndentEIB"/>
        <w:numPr>
          <w:ilvl w:val="1"/>
          <w:numId w:val="129"/>
        </w:numPr>
        <w:rPr>
          <w:color w:val="auto"/>
        </w:rPr>
      </w:pPr>
      <w:r w:rsidRPr="00653DCF">
        <w:rPr>
          <w:color w:val="auto"/>
        </w:rPr>
        <w:t xml:space="preserve">in the case of a Floating Rate Tranche, the aforementioned spread previously quoted by the Bank, </w:t>
      </w:r>
    </w:p>
    <w:p w14:paraId="640899BA" w14:textId="77777777" w:rsidR="00F0088B" w:rsidRPr="00653DCF" w:rsidRDefault="00F0088B" w:rsidP="00F0088B">
      <w:pPr>
        <w:ind w:left="1423"/>
        <w:rPr>
          <w:color w:val="auto"/>
        </w:rPr>
      </w:pPr>
      <w:r w:rsidRPr="00653DCF">
        <w:rPr>
          <w:color w:val="auto"/>
        </w:rPr>
        <w:t>applicable to the Tranche until the Maturity Date or until the Interest Revision/Conversion Date, if any.</w:t>
      </w:r>
    </w:p>
    <w:p w14:paraId="38FE59A7" w14:textId="77777777" w:rsidR="00F0088B" w:rsidRPr="00653DCF" w:rsidRDefault="00F0088B" w:rsidP="0024686A">
      <w:pPr>
        <w:pStyle w:val="NoIndentEIB"/>
        <w:numPr>
          <w:ilvl w:val="0"/>
          <w:numId w:val="129"/>
        </w:numPr>
        <w:rPr>
          <w:color w:val="auto"/>
        </w:rPr>
      </w:pPr>
      <w:r w:rsidRPr="00653DCF">
        <w:rPr>
          <w:color w:val="auto"/>
        </w:rPr>
        <w:t xml:space="preserve">Each Disbursement Request shall be signed by an Authorised Signatory. </w:t>
      </w:r>
    </w:p>
    <w:p w14:paraId="10C21BE2" w14:textId="77777777" w:rsidR="00F0088B" w:rsidRPr="00653DCF" w:rsidRDefault="00F0088B" w:rsidP="0024686A">
      <w:pPr>
        <w:pStyle w:val="ListParagraph"/>
        <w:numPr>
          <w:ilvl w:val="0"/>
          <w:numId w:val="129"/>
        </w:numPr>
        <w:contextualSpacing w:val="0"/>
        <w:rPr>
          <w:color w:val="auto"/>
        </w:rPr>
      </w:pPr>
      <w:r w:rsidRPr="00653DCF">
        <w:rPr>
          <w:color w:val="auto"/>
        </w:rPr>
        <w:t xml:space="preserve">The Bank may rely on the information set out in the most recent List of Authorised Signatories and Accounts provided to the Bank by the Borrower. </w:t>
      </w:r>
    </w:p>
    <w:p w14:paraId="01B47A22" w14:textId="77777777" w:rsidR="00F0088B" w:rsidRPr="00653DCF" w:rsidRDefault="00F0088B" w:rsidP="0024686A">
      <w:pPr>
        <w:pStyle w:val="ListParagraph"/>
        <w:numPr>
          <w:ilvl w:val="0"/>
          <w:numId w:val="129"/>
        </w:numPr>
        <w:contextualSpacing w:val="0"/>
        <w:rPr>
          <w:color w:val="auto"/>
        </w:rPr>
      </w:pPr>
      <w:r w:rsidRPr="00653DCF">
        <w:rPr>
          <w:color w:val="auto"/>
        </w:rPr>
        <w:t xml:space="preserve">If a Disbursement Request is signed by a person defined as Authorised Signatory under the most recent List of Authorised Signatories and Accounts provided to the Bank by the Borrower, the Bank may assume that such person has the power to sign and deliver in the name and on behalf of the Borrower such Disbursement Request. </w:t>
      </w:r>
    </w:p>
    <w:p w14:paraId="03BE1357" w14:textId="18518FA9" w:rsidR="00F0088B" w:rsidRPr="00653DCF" w:rsidRDefault="00F0088B" w:rsidP="0024686A">
      <w:pPr>
        <w:pStyle w:val="NoIndentEIB"/>
        <w:numPr>
          <w:ilvl w:val="0"/>
          <w:numId w:val="129"/>
        </w:numPr>
        <w:rPr>
          <w:color w:val="auto"/>
        </w:rPr>
      </w:pPr>
      <w:r w:rsidRPr="00653DCF">
        <w:rPr>
          <w:color w:val="auto"/>
        </w:rPr>
        <w:t>Subject to Article </w:t>
      </w:r>
      <w:r w:rsidRPr="00653DCF">
        <w:rPr>
          <w:color w:val="auto"/>
        </w:rPr>
        <w:fldChar w:fldCharType="begin"/>
      </w:r>
      <w:r w:rsidRPr="00653DCF">
        <w:rPr>
          <w:color w:val="auto"/>
        </w:rPr>
        <w:instrText xml:space="preserve"> REF _Ref426713118 \r \h </w:instrText>
      </w:r>
      <w:r w:rsidRPr="00653DCF">
        <w:rPr>
          <w:color w:val="auto"/>
        </w:rPr>
      </w:r>
      <w:r w:rsidRPr="00653DCF">
        <w:rPr>
          <w:color w:val="auto"/>
        </w:rPr>
        <w:fldChar w:fldCharType="separate"/>
      </w:r>
      <w:r w:rsidR="00E5391B">
        <w:rPr>
          <w:color w:val="auto"/>
        </w:rPr>
        <w:t>1.2.C</w:t>
      </w:r>
      <w:r w:rsidRPr="00653DCF">
        <w:rPr>
          <w:color w:val="auto"/>
        </w:rPr>
        <w:fldChar w:fldCharType="end"/>
      </w:r>
      <w:r w:rsidRPr="00653DCF">
        <w:rPr>
          <w:color w:val="auto"/>
        </w:rPr>
        <w:fldChar w:fldCharType="begin"/>
      </w:r>
      <w:r w:rsidRPr="00653DCF">
        <w:rPr>
          <w:color w:val="auto"/>
        </w:rPr>
        <w:instrText xml:space="preserve"> REF _Ref466908822 \r \h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 each Disbursement Request is irrevocable.</w:t>
      </w:r>
    </w:p>
    <w:p w14:paraId="2DF8B1CC" w14:textId="77777777" w:rsidR="00F0088B" w:rsidRPr="00653DCF" w:rsidRDefault="00F0088B" w:rsidP="009106E0">
      <w:pPr>
        <w:pStyle w:val="Heading3"/>
        <w:ind w:left="851"/>
        <w:rPr>
          <w:color w:val="auto"/>
        </w:rPr>
      </w:pPr>
      <w:r w:rsidRPr="00653DCF">
        <w:rPr>
          <w:color w:val="auto"/>
        </w:rPr>
        <w:t>Disbursement Notice</w:t>
      </w:r>
    </w:p>
    <w:p w14:paraId="38C9AAA1" w14:textId="1D228A50" w:rsidR="00F0088B" w:rsidRPr="00653DCF" w:rsidRDefault="00F0088B" w:rsidP="0024686A">
      <w:pPr>
        <w:pStyle w:val="NoIndentEIB"/>
        <w:numPr>
          <w:ilvl w:val="0"/>
          <w:numId w:val="130"/>
        </w:numPr>
        <w:rPr>
          <w:color w:val="auto"/>
        </w:rPr>
      </w:pPr>
      <w:r w:rsidRPr="00653DCF">
        <w:rPr>
          <w:color w:val="auto"/>
        </w:rPr>
        <w:t>Not less than 10 (ten) days before the proposed Scheduled Disbursement Date of a Tranche the Bank shall, if the Disbursement Request conforms to Article </w:t>
      </w:r>
      <w:r w:rsidRPr="00653DCF">
        <w:rPr>
          <w:color w:val="auto"/>
        </w:rPr>
        <w:fldChar w:fldCharType="begin"/>
      </w:r>
      <w:r w:rsidRPr="00653DCF">
        <w:rPr>
          <w:color w:val="auto"/>
        </w:rPr>
        <w:instrText xml:space="preserve"> REF _Ref426722606 \r \h </w:instrText>
      </w:r>
      <w:r w:rsidRPr="00653DCF">
        <w:rPr>
          <w:color w:val="auto"/>
        </w:rPr>
      </w:r>
      <w:r w:rsidRPr="00653DCF">
        <w:rPr>
          <w:color w:val="auto"/>
        </w:rPr>
        <w:fldChar w:fldCharType="separate"/>
      </w:r>
      <w:r w:rsidR="00E5391B">
        <w:rPr>
          <w:color w:val="auto"/>
        </w:rPr>
        <w:t>1.2</w:t>
      </w:r>
      <w:r w:rsidRPr="00653DCF">
        <w:rPr>
          <w:color w:val="auto"/>
        </w:rPr>
        <w:fldChar w:fldCharType="end"/>
      </w:r>
      <w:r w:rsidRPr="00653DCF">
        <w:rPr>
          <w:color w:val="auto"/>
        </w:rPr>
        <w:t>, deliver to the Borrower a Disbursement Notice which shall specify:</w:t>
      </w:r>
    </w:p>
    <w:p w14:paraId="2BA3B0AD" w14:textId="77777777" w:rsidR="00F0088B" w:rsidRPr="00653DCF" w:rsidRDefault="00F0088B" w:rsidP="0024686A">
      <w:pPr>
        <w:pStyle w:val="NoIndentEIB"/>
        <w:numPr>
          <w:ilvl w:val="1"/>
          <w:numId w:val="130"/>
        </w:numPr>
        <w:rPr>
          <w:color w:val="auto"/>
        </w:rPr>
      </w:pPr>
      <w:r w:rsidRPr="00653DCF">
        <w:rPr>
          <w:color w:val="auto"/>
        </w:rPr>
        <w:t>the currency and amount of the Tranche;</w:t>
      </w:r>
    </w:p>
    <w:p w14:paraId="41BDB843" w14:textId="77777777" w:rsidR="00F0088B" w:rsidRPr="00653DCF" w:rsidRDefault="00F0088B" w:rsidP="0024686A">
      <w:pPr>
        <w:pStyle w:val="NoIndentEIB"/>
        <w:numPr>
          <w:ilvl w:val="1"/>
          <w:numId w:val="130"/>
        </w:numPr>
        <w:rPr>
          <w:color w:val="auto"/>
        </w:rPr>
      </w:pPr>
      <w:r w:rsidRPr="00653DCF">
        <w:rPr>
          <w:color w:val="auto"/>
        </w:rPr>
        <w:t>the Scheduled Disbursement Date;</w:t>
      </w:r>
    </w:p>
    <w:p w14:paraId="2652ACE5" w14:textId="77777777" w:rsidR="00F0088B" w:rsidRPr="00653DCF" w:rsidRDefault="00F0088B" w:rsidP="0024686A">
      <w:pPr>
        <w:pStyle w:val="NoIndentEIB"/>
        <w:numPr>
          <w:ilvl w:val="1"/>
          <w:numId w:val="130"/>
        </w:numPr>
        <w:rPr>
          <w:color w:val="auto"/>
        </w:rPr>
      </w:pPr>
      <w:r w:rsidRPr="00653DCF">
        <w:rPr>
          <w:color w:val="auto"/>
        </w:rPr>
        <w:t xml:space="preserve">the interest rate basis for the Tranche, being: </w:t>
      </w:r>
    </w:p>
    <w:p w14:paraId="4CBF9CC4" w14:textId="77777777" w:rsidR="00F0088B" w:rsidRPr="00653DCF" w:rsidRDefault="00F0088B" w:rsidP="0024686A">
      <w:pPr>
        <w:pStyle w:val="NoIndentEIB"/>
        <w:numPr>
          <w:ilvl w:val="2"/>
          <w:numId w:val="130"/>
        </w:numPr>
        <w:rPr>
          <w:color w:val="auto"/>
        </w:rPr>
      </w:pPr>
      <w:r w:rsidRPr="00653DCF">
        <w:rPr>
          <w:color w:val="auto"/>
        </w:rPr>
        <w:t xml:space="preserve">a Fixed Rate Tranche; or </w:t>
      </w:r>
    </w:p>
    <w:p w14:paraId="6DEDE14B" w14:textId="77777777" w:rsidR="00F0088B" w:rsidRPr="00653DCF" w:rsidRDefault="00F0088B" w:rsidP="0024686A">
      <w:pPr>
        <w:pStyle w:val="NoIndentEIB"/>
        <w:numPr>
          <w:ilvl w:val="2"/>
          <w:numId w:val="130"/>
        </w:numPr>
        <w:rPr>
          <w:color w:val="auto"/>
        </w:rPr>
      </w:pPr>
      <w:r w:rsidRPr="00653DCF">
        <w:rPr>
          <w:color w:val="auto"/>
        </w:rPr>
        <w:t>a Floating Rate Tranche,</w:t>
      </w:r>
    </w:p>
    <w:p w14:paraId="59E8EF22" w14:textId="78333083" w:rsidR="00F0088B" w:rsidRPr="00653DCF" w:rsidRDefault="00F0088B" w:rsidP="00F0088B">
      <w:pPr>
        <w:ind w:left="1990"/>
        <w:rPr>
          <w:color w:val="auto"/>
        </w:rPr>
      </w:pPr>
      <w:r w:rsidRPr="00653DCF">
        <w:rPr>
          <w:color w:val="auto"/>
        </w:rPr>
        <w:t>all pursuant to the relevant provisions of Article </w:t>
      </w:r>
      <w:r w:rsidRPr="00653DCF">
        <w:rPr>
          <w:color w:val="auto"/>
        </w:rPr>
        <w:fldChar w:fldCharType="begin"/>
      </w:r>
      <w:r w:rsidRPr="00653DCF">
        <w:rPr>
          <w:color w:val="auto"/>
        </w:rPr>
        <w:instrText xml:space="preserve"> REF _Ref426639513 \r \h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w:t>
      </w:r>
    </w:p>
    <w:p w14:paraId="582AD2FA" w14:textId="77777777" w:rsidR="00F0088B" w:rsidRPr="00653DCF" w:rsidRDefault="00F0088B" w:rsidP="0024686A">
      <w:pPr>
        <w:pStyle w:val="NoIndentEIB"/>
        <w:numPr>
          <w:ilvl w:val="1"/>
          <w:numId w:val="130"/>
        </w:numPr>
        <w:rPr>
          <w:color w:val="auto"/>
        </w:rPr>
      </w:pPr>
      <w:r w:rsidRPr="00653DCF">
        <w:rPr>
          <w:color w:val="auto"/>
        </w:rPr>
        <w:t>the Payment Dates and the first interest Payment Date for the Tranche;</w:t>
      </w:r>
    </w:p>
    <w:p w14:paraId="7DECA2AC" w14:textId="4519F21F" w:rsidR="00F0088B" w:rsidRPr="00653DCF" w:rsidRDefault="00F0088B" w:rsidP="0024686A">
      <w:pPr>
        <w:pStyle w:val="NoIndentEIB"/>
        <w:numPr>
          <w:ilvl w:val="1"/>
          <w:numId w:val="130"/>
        </w:numPr>
        <w:rPr>
          <w:color w:val="auto"/>
        </w:rPr>
      </w:pPr>
      <w:r w:rsidRPr="00653DCF">
        <w:rPr>
          <w:color w:val="auto"/>
        </w:rPr>
        <w:t xml:space="preserve">the terms for repayment of principal for the Tranche, in accordance with the provisions of Article </w:t>
      </w:r>
      <w:r w:rsidRPr="00653DCF">
        <w:rPr>
          <w:color w:val="auto"/>
        </w:rPr>
        <w:fldChar w:fldCharType="begin"/>
      </w:r>
      <w:r w:rsidRPr="00653DCF">
        <w:rPr>
          <w:color w:val="auto"/>
        </w:rPr>
        <w:instrText xml:space="preserve"> REF _Ref426715009 \r \h </w:instrText>
      </w:r>
      <w:r w:rsidRPr="00653DCF">
        <w:rPr>
          <w:color w:val="auto"/>
        </w:rPr>
      </w:r>
      <w:r w:rsidRPr="00653DCF">
        <w:rPr>
          <w:color w:val="auto"/>
        </w:rPr>
        <w:fldChar w:fldCharType="separate"/>
      </w:r>
      <w:r w:rsidR="00E5391B">
        <w:rPr>
          <w:color w:val="auto"/>
        </w:rPr>
        <w:t>članak 4</w:t>
      </w:r>
      <w:r w:rsidRPr="00653DCF">
        <w:rPr>
          <w:color w:val="auto"/>
        </w:rPr>
        <w:fldChar w:fldCharType="end"/>
      </w:r>
      <w:r w:rsidRPr="00653DCF">
        <w:rPr>
          <w:color w:val="auto"/>
        </w:rPr>
        <w:t>;</w:t>
      </w:r>
    </w:p>
    <w:p w14:paraId="7A29A93A" w14:textId="77777777" w:rsidR="00F0088B" w:rsidRPr="00653DCF" w:rsidRDefault="00F0088B" w:rsidP="0024686A">
      <w:pPr>
        <w:pStyle w:val="NoIndentEIB"/>
        <w:numPr>
          <w:ilvl w:val="1"/>
          <w:numId w:val="130"/>
        </w:numPr>
        <w:rPr>
          <w:color w:val="auto"/>
        </w:rPr>
      </w:pPr>
      <w:r w:rsidRPr="00653DCF">
        <w:rPr>
          <w:color w:val="auto"/>
        </w:rPr>
        <w:t>the Repayment Dates and the first and the last Repayment Date for the Tranche;</w:t>
      </w:r>
    </w:p>
    <w:p w14:paraId="2B4E02F1" w14:textId="77777777" w:rsidR="00F0088B" w:rsidRPr="00653DCF" w:rsidRDefault="00F0088B" w:rsidP="0024686A">
      <w:pPr>
        <w:pStyle w:val="NoIndentEIB"/>
        <w:numPr>
          <w:ilvl w:val="1"/>
          <w:numId w:val="130"/>
        </w:numPr>
        <w:rPr>
          <w:color w:val="auto"/>
        </w:rPr>
      </w:pPr>
      <w:r w:rsidRPr="00653DCF">
        <w:rPr>
          <w:color w:val="auto"/>
        </w:rPr>
        <w:t>the Interest Revision/Conversion Date, if requested by the Borrower, for the Tranche; and</w:t>
      </w:r>
    </w:p>
    <w:p w14:paraId="6AD3AE8A" w14:textId="77777777" w:rsidR="00F0088B" w:rsidRPr="00653DCF" w:rsidRDefault="00F0088B" w:rsidP="0024686A">
      <w:pPr>
        <w:pStyle w:val="NoIndentEIB"/>
        <w:numPr>
          <w:ilvl w:val="1"/>
          <w:numId w:val="130"/>
        </w:numPr>
        <w:rPr>
          <w:color w:val="auto"/>
        </w:rPr>
      </w:pPr>
      <w:r w:rsidRPr="00653DCF">
        <w:rPr>
          <w:color w:val="auto"/>
        </w:rPr>
        <w:t>for a Fixed Rate Tranche the Fixed Rate and for a Floating Rate Tranche the Spread applicable to the Tranche until the Interest Revision/Conversion Date, if any or until the Maturity Date.</w:t>
      </w:r>
    </w:p>
    <w:p w14:paraId="55DBDFEA" w14:textId="77777777" w:rsidR="00F0088B" w:rsidRPr="00653DCF" w:rsidRDefault="00F0088B" w:rsidP="0024686A">
      <w:pPr>
        <w:pStyle w:val="NoIndentEIB"/>
        <w:numPr>
          <w:ilvl w:val="0"/>
          <w:numId w:val="130"/>
        </w:numPr>
        <w:rPr>
          <w:color w:val="auto"/>
        </w:rPr>
      </w:pPr>
      <w:r w:rsidRPr="00653DCF">
        <w:rPr>
          <w:color w:val="auto"/>
        </w:rPr>
        <w:t>If one or more conditions specified in the Disbursement Notice received by the Borrower does not conform to the corresponding condition, if any, in the Disbursement Request, the Borrower may revoke its Disbursement Request by a written notice to be received by the Bank not later than 12h00 noon Luxembourg time on the next business day when the Bank is open for general business and thereupon the Disbursement Request and the Disbursement Notice shall be of no effect. If the Borrower has not revoked the Disbursement Request in writing and within the deadline indicated above, the Borrower shall be deemed to have accepted all conditions specified in the Disbursement Notice.</w:t>
      </w:r>
    </w:p>
    <w:p w14:paraId="6F29F08B" w14:textId="65BA45A9" w:rsidR="00F0088B" w:rsidRPr="00653DCF" w:rsidRDefault="00F0088B" w:rsidP="0024686A">
      <w:pPr>
        <w:pStyle w:val="NoIndentEIB"/>
        <w:numPr>
          <w:ilvl w:val="0"/>
          <w:numId w:val="130"/>
        </w:numPr>
        <w:rPr>
          <w:color w:val="auto"/>
        </w:rPr>
      </w:pPr>
      <w:r w:rsidRPr="00653DCF">
        <w:rPr>
          <w:color w:val="auto"/>
        </w:rPr>
        <w:t>If the Borrower has not specified in the Disbursement Request the fixed interest rate or spread referred to in Article </w:t>
      </w:r>
      <w:r w:rsidRPr="00653DCF">
        <w:rPr>
          <w:color w:val="auto"/>
        </w:rPr>
        <w:fldChar w:fldCharType="begin"/>
      </w:r>
      <w:r w:rsidRPr="00653DCF">
        <w:rPr>
          <w:color w:val="auto"/>
        </w:rPr>
        <w:instrText xml:space="preserve"> REF _Ref426638944 \r \h  \* MERGEFORMAT </w:instrText>
      </w:r>
      <w:r w:rsidRPr="00653DCF">
        <w:rPr>
          <w:color w:val="auto"/>
        </w:rPr>
      </w:r>
      <w:r w:rsidRPr="00653DCF">
        <w:rPr>
          <w:color w:val="auto"/>
        </w:rPr>
        <w:fldChar w:fldCharType="separate"/>
      </w:r>
      <w:r w:rsidR="00E5391B">
        <w:rPr>
          <w:color w:val="auto"/>
        </w:rPr>
        <w:t>1.2.B</w:t>
      </w:r>
      <w:r w:rsidRPr="00653DCF">
        <w:rPr>
          <w:color w:val="auto"/>
        </w:rPr>
        <w:fldChar w:fldCharType="end"/>
      </w:r>
      <w:r w:rsidRPr="00653DCF">
        <w:rPr>
          <w:color w:val="auto"/>
        </w:rPr>
        <w:fldChar w:fldCharType="begin"/>
      </w:r>
      <w:r w:rsidRPr="00653DCF">
        <w:rPr>
          <w:color w:val="auto"/>
        </w:rPr>
        <w:instrText xml:space="preserve"> REF _Ref426722798 \r \h  \* MERGEFORMAT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 the Borrower will be deemed to have agreed in advance to the Fixed Rate or Spread as subsequently specified in the Disbursement Notice.</w:t>
      </w:r>
    </w:p>
    <w:p w14:paraId="36FDEAD9" w14:textId="77777777" w:rsidR="00F0088B" w:rsidRPr="00653DCF" w:rsidRDefault="00F0088B" w:rsidP="00D659F4">
      <w:pPr>
        <w:pStyle w:val="Heading3"/>
        <w:ind w:left="851"/>
        <w:rPr>
          <w:color w:val="auto"/>
        </w:rPr>
      </w:pPr>
      <w:r w:rsidRPr="00653DCF">
        <w:rPr>
          <w:color w:val="auto"/>
        </w:rPr>
        <w:t>Disbursement Account</w:t>
      </w:r>
    </w:p>
    <w:p w14:paraId="46276577" w14:textId="77777777" w:rsidR="00F0088B" w:rsidRPr="00653DCF" w:rsidRDefault="00F0088B" w:rsidP="00F0088B">
      <w:pPr>
        <w:rPr>
          <w:color w:val="auto"/>
        </w:rPr>
      </w:pPr>
      <w:r w:rsidRPr="00653DCF">
        <w:rPr>
          <w:color w:val="auto"/>
        </w:rPr>
        <w:t>Disbursement shall be made to the Disbursement Account specified in the relevant Disbursement Request, provided that such Disbursement Account is acceptable to the Bank.</w:t>
      </w:r>
    </w:p>
    <w:p w14:paraId="706C6FE0" w14:textId="230A0433" w:rsidR="00F0088B" w:rsidRPr="00653DCF" w:rsidRDefault="00F0088B" w:rsidP="00F0088B">
      <w:pPr>
        <w:rPr>
          <w:color w:val="auto"/>
        </w:rPr>
      </w:pPr>
      <w:r w:rsidRPr="00653DCF">
        <w:rPr>
          <w:color w:val="auto"/>
        </w:rPr>
        <w:t xml:space="preserve">Notwithstanding Article </w:t>
      </w:r>
      <w:r w:rsidRPr="00653DCF">
        <w:rPr>
          <w:color w:val="auto"/>
        </w:rPr>
        <w:fldChar w:fldCharType="begin"/>
      </w:r>
      <w:r w:rsidRPr="00653DCF">
        <w:rPr>
          <w:color w:val="auto"/>
        </w:rPr>
        <w:instrText xml:space="preserve"> REF _Ref487642630 \w \h </w:instrText>
      </w:r>
      <w:r w:rsidRPr="00653DCF">
        <w:rPr>
          <w:color w:val="auto"/>
        </w:rPr>
      </w:r>
      <w:r w:rsidRPr="00653DCF">
        <w:rPr>
          <w:color w:val="auto"/>
        </w:rPr>
        <w:fldChar w:fldCharType="separate"/>
      </w:r>
      <w:r w:rsidR="00E5391B">
        <w:rPr>
          <w:color w:val="auto"/>
        </w:rPr>
        <w:t>5.2</w:t>
      </w:r>
      <w:r w:rsidRPr="00653DCF">
        <w:rPr>
          <w:color w:val="auto"/>
        </w:rPr>
        <w:fldChar w:fldCharType="end"/>
      </w:r>
      <w:r w:rsidRPr="00653DCF">
        <w:rPr>
          <w:color w:val="auto"/>
        </w:rPr>
        <w:fldChar w:fldCharType="begin"/>
      </w:r>
      <w:r w:rsidRPr="00653DCF">
        <w:rPr>
          <w:color w:val="auto"/>
        </w:rPr>
        <w:instrText xml:space="preserve"> REF _Ref487642617 \w \h </w:instrText>
      </w:r>
      <w:r w:rsidRPr="00653DCF">
        <w:rPr>
          <w:color w:val="auto"/>
        </w:rPr>
      </w:r>
      <w:r w:rsidRPr="00653DCF">
        <w:rPr>
          <w:color w:val="auto"/>
        </w:rPr>
        <w:fldChar w:fldCharType="separate"/>
      </w:r>
      <w:r w:rsidR="00E5391B">
        <w:rPr>
          <w:color w:val="auto"/>
        </w:rPr>
        <w:t>(e)</w:t>
      </w:r>
      <w:r w:rsidRPr="00653DCF">
        <w:rPr>
          <w:color w:val="auto"/>
        </w:rPr>
        <w:fldChar w:fldCharType="end"/>
      </w:r>
      <w:r w:rsidRPr="00653DCF">
        <w:rPr>
          <w:color w:val="auto"/>
        </w:rPr>
        <w:t>, the Borrower acknowledges that payments to a Disbursement Account notified by the Borrower shall constitute disbursements under this Contract as if they had been made to the Borrower's own bank account.</w:t>
      </w:r>
    </w:p>
    <w:p w14:paraId="0B0CE8ED" w14:textId="77777777" w:rsidR="00F0088B" w:rsidRPr="00653DCF" w:rsidRDefault="00F0088B" w:rsidP="00F0088B">
      <w:pPr>
        <w:rPr>
          <w:color w:val="auto"/>
        </w:rPr>
      </w:pPr>
      <w:r w:rsidRPr="00653DCF">
        <w:rPr>
          <w:color w:val="auto"/>
        </w:rPr>
        <w:t>Only one Disbursement Account may be specified for each Tranche.</w:t>
      </w:r>
    </w:p>
    <w:p w14:paraId="09508C04" w14:textId="77777777" w:rsidR="00F0088B" w:rsidRPr="00653DCF" w:rsidRDefault="00F0088B" w:rsidP="007D7C6B">
      <w:pPr>
        <w:pStyle w:val="Heading2"/>
        <w:ind w:left="851"/>
        <w:rPr>
          <w:color w:val="auto"/>
        </w:rPr>
      </w:pPr>
      <w:r w:rsidRPr="00653DCF">
        <w:rPr>
          <w:color w:val="auto"/>
        </w:rPr>
        <w:t>Currency of disbursement</w:t>
      </w:r>
    </w:p>
    <w:p w14:paraId="7218269A" w14:textId="77777777" w:rsidR="00F0088B" w:rsidRPr="00653DCF" w:rsidRDefault="00F0088B" w:rsidP="00F0088B">
      <w:pPr>
        <w:rPr>
          <w:color w:val="auto"/>
        </w:rPr>
      </w:pPr>
      <w:r w:rsidRPr="00653DCF">
        <w:rPr>
          <w:color w:val="auto"/>
        </w:rPr>
        <w:t>The disbursement of each Tranche shall be made in EUR.</w:t>
      </w:r>
    </w:p>
    <w:p w14:paraId="238DE825" w14:textId="77777777" w:rsidR="00F0088B" w:rsidRPr="00653DCF" w:rsidRDefault="00F0088B" w:rsidP="007D7C6B">
      <w:pPr>
        <w:pStyle w:val="Heading2"/>
        <w:ind w:left="851"/>
        <w:rPr>
          <w:color w:val="auto"/>
        </w:rPr>
      </w:pPr>
      <w:r w:rsidRPr="00653DCF">
        <w:rPr>
          <w:color w:val="auto"/>
        </w:rPr>
        <w:t>Conditions of disbursement</w:t>
      </w:r>
    </w:p>
    <w:p w14:paraId="160F9335" w14:textId="77777777" w:rsidR="00F0088B" w:rsidRPr="00653DCF" w:rsidRDefault="00F0088B" w:rsidP="007D7C6B">
      <w:pPr>
        <w:pStyle w:val="Heading3"/>
        <w:ind w:left="851"/>
        <w:rPr>
          <w:color w:val="auto"/>
        </w:rPr>
      </w:pPr>
      <w:r w:rsidRPr="00653DCF">
        <w:rPr>
          <w:color w:val="auto"/>
        </w:rPr>
        <w:t>Condition precedent to the first Disbursement Request</w:t>
      </w:r>
    </w:p>
    <w:p w14:paraId="6E8F21D5" w14:textId="77777777" w:rsidR="00F0088B" w:rsidRPr="00653DCF" w:rsidRDefault="00F0088B" w:rsidP="00F0088B">
      <w:pPr>
        <w:rPr>
          <w:color w:val="auto"/>
        </w:rPr>
      </w:pPr>
      <w:r w:rsidRPr="00653DCF">
        <w:rPr>
          <w:color w:val="auto"/>
        </w:rPr>
        <w:t>The Bank shall have received from the Borrower in form and substance satisfactory to the Bank:</w:t>
      </w:r>
    </w:p>
    <w:p w14:paraId="0411D075" w14:textId="77777777" w:rsidR="00F0088B" w:rsidRPr="00653DCF" w:rsidRDefault="00F0088B" w:rsidP="0024686A">
      <w:pPr>
        <w:widowControl w:val="0"/>
        <w:numPr>
          <w:ilvl w:val="0"/>
          <w:numId w:val="131"/>
        </w:numPr>
        <w:rPr>
          <w:color w:val="auto"/>
        </w:rPr>
      </w:pPr>
      <w:r w:rsidRPr="00653DCF">
        <w:rPr>
          <w:color w:val="auto"/>
        </w:rPr>
        <w:t xml:space="preserve">evidence that the execution of this Contract by the Borrower has been duly authorised and that the person or persons signing this Contract on behalf of the Borrower is/are duly authorised to do so together with the specimen signature of each such person or persons; and </w:t>
      </w:r>
    </w:p>
    <w:p w14:paraId="3A76D785" w14:textId="77777777" w:rsidR="00F0088B" w:rsidRPr="00653DCF" w:rsidRDefault="00F0088B" w:rsidP="0024686A">
      <w:pPr>
        <w:pStyle w:val="NoIndentEIB"/>
        <w:numPr>
          <w:ilvl w:val="0"/>
          <w:numId w:val="131"/>
        </w:numPr>
        <w:rPr>
          <w:color w:val="auto"/>
        </w:rPr>
      </w:pPr>
      <w:r w:rsidRPr="00653DCF">
        <w:rPr>
          <w:color w:val="auto"/>
        </w:rPr>
        <w:t>at least 2 (two) originals of this Contract duly executed by all Parties; and</w:t>
      </w:r>
    </w:p>
    <w:p w14:paraId="7C36D9F0" w14:textId="77777777" w:rsidR="00F0088B" w:rsidRPr="00653DCF" w:rsidRDefault="00F0088B" w:rsidP="0024686A">
      <w:pPr>
        <w:pStyle w:val="NoIndentEIB"/>
        <w:numPr>
          <w:ilvl w:val="0"/>
          <w:numId w:val="131"/>
        </w:numPr>
        <w:rPr>
          <w:color w:val="auto"/>
        </w:rPr>
      </w:pPr>
      <w:r w:rsidRPr="00653DCF">
        <w:rPr>
          <w:color w:val="auto"/>
        </w:rPr>
        <w:t>the List of Authorised Signatories and Accounts,</w:t>
      </w:r>
    </w:p>
    <w:p w14:paraId="5F53B71C" w14:textId="77777777" w:rsidR="00F0088B" w:rsidRPr="00653DCF" w:rsidRDefault="00F0088B" w:rsidP="00F0088B">
      <w:pPr>
        <w:rPr>
          <w:color w:val="auto"/>
        </w:rPr>
      </w:pPr>
      <w:r w:rsidRPr="00653DCF">
        <w:rPr>
          <w:color w:val="auto"/>
        </w:rPr>
        <w:t>prior to a presentation of a Disbursement Request by the Borrower. Any Disbursement Request made by the Borrower without the above documents having been received by the Bank and to its satisfaction shall be deemed not made.</w:t>
      </w:r>
    </w:p>
    <w:p w14:paraId="29A48ECE" w14:textId="77777777" w:rsidR="00F0088B" w:rsidRPr="00653DCF" w:rsidRDefault="00F0088B" w:rsidP="007D7C6B">
      <w:pPr>
        <w:pStyle w:val="Heading3"/>
        <w:ind w:left="851"/>
        <w:rPr>
          <w:color w:val="auto"/>
        </w:rPr>
      </w:pPr>
      <w:r w:rsidRPr="00653DCF">
        <w:rPr>
          <w:color w:val="auto"/>
        </w:rPr>
        <w:t>First Tranche</w:t>
      </w:r>
    </w:p>
    <w:p w14:paraId="29074250" w14:textId="3637A1C2" w:rsidR="00F0088B" w:rsidRPr="00653DCF" w:rsidRDefault="00F0088B" w:rsidP="00F0088B">
      <w:pPr>
        <w:rPr>
          <w:color w:val="auto"/>
        </w:rPr>
      </w:pPr>
      <w:r w:rsidRPr="00653DCF">
        <w:rPr>
          <w:color w:val="auto"/>
        </w:rPr>
        <w:t>The disbursement of the first Tranche under Article </w:t>
      </w:r>
      <w:r w:rsidRPr="00653DCF">
        <w:rPr>
          <w:color w:val="auto"/>
        </w:rPr>
        <w:fldChar w:fldCharType="begin"/>
      </w:r>
      <w:r w:rsidRPr="00653DCF">
        <w:rPr>
          <w:color w:val="auto"/>
        </w:rPr>
        <w:instrText xml:space="preserve"> REF _Ref426951249 \r \h </w:instrText>
      </w:r>
      <w:r w:rsidRPr="00653DCF">
        <w:rPr>
          <w:color w:val="auto"/>
        </w:rPr>
      </w:r>
      <w:r w:rsidRPr="00653DCF">
        <w:rPr>
          <w:color w:val="auto"/>
        </w:rPr>
        <w:fldChar w:fldCharType="separate"/>
      </w:r>
      <w:r w:rsidR="00E5391B">
        <w:rPr>
          <w:color w:val="auto"/>
        </w:rPr>
        <w:t>1.2</w:t>
      </w:r>
      <w:r w:rsidRPr="00653DCF">
        <w:rPr>
          <w:color w:val="auto"/>
        </w:rPr>
        <w:fldChar w:fldCharType="end"/>
      </w:r>
      <w:r w:rsidRPr="00653DCF">
        <w:rPr>
          <w:color w:val="auto"/>
        </w:rPr>
        <w:t xml:space="preserve"> is conditional upon receipt by the Bank, in form and substance satisfactory to it, on or before the date falling 5 (five) Business Days before the Scheduled Disbursement Date (and, in the case of deferment under Article </w:t>
      </w:r>
      <w:r w:rsidRPr="00653DCF">
        <w:rPr>
          <w:color w:val="auto"/>
        </w:rPr>
        <w:fldChar w:fldCharType="begin"/>
      </w:r>
      <w:r w:rsidRPr="00653DCF">
        <w:rPr>
          <w:color w:val="auto"/>
        </w:rPr>
        <w:instrText xml:space="preserve"> REF _Ref511814886 \r \h </w:instrText>
      </w:r>
      <w:r w:rsidRPr="00653DCF">
        <w:rPr>
          <w:color w:val="auto"/>
        </w:rPr>
      </w:r>
      <w:r w:rsidRPr="00653DCF">
        <w:rPr>
          <w:color w:val="auto"/>
        </w:rPr>
        <w:fldChar w:fldCharType="separate"/>
      </w:r>
      <w:r w:rsidR="00E5391B">
        <w:rPr>
          <w:color w:val="auto"/>
        </w:rPr>
        <w:t>1.5</w:t>
      </w:r>
      <w:r w:rsidRPr="00653DCF">
        <w:rPr>
          <w:color w:val="auto"/>
        </w:rPr>
        <w:fldChar w:fldCharType="end"/>
      </w:r>
      <w:r w:rsidRPr="00653DCF">
        <w:rPr>
          <w:color w:val="auto"/>
        </w:rPr>
        <w:t>, the Requested Deferred Disbursement Date or the Agreed Deferred Disbursement Date, respectively) for the proposed Tranche, of the following documents or evidence:</w:t>
      </w:r>
    </w:p>
    <w:p w14:paraId="1687C9DC" w14:textId="77777777" w:rsidR="00F0088B" w:rsidRPr="00653DCF" w:rsidRDefault="00F0088B" w:rsidP="0024686A">
      <w:pPr>
        <w:pStyle w:val="NoIndentEIB"/>
        <w:numPr>
          <w:ilvl w:val="0"/>
          <w:numId w:val="132"/>
        </w:numPr>
        <w:rPr>
          <w:color w:val="auto"/>
        </w:rPr>
      </w:pPr>
      <w:r w:rsidRPr="00653DCF">
        <w:rPr>
          <w:color w:val="auto"/>
        </w:rPr>
        <w:t>evidence that the Borrower has obtained all necessary Authorisations, required in connection with the Project;</w:t>
      </w:r>
    </w:p>
    <w:p w14:paraId="7257CBBE" w14:textId="77777777" w:rsidR="00F0088B" w:rsidRPr="00653DCF" w:rsidRDefault="00F0088B" w:rsidP="0024686A">
      <w:pPr>
        <w:pStyle w:val="NoIndentEIB"/>
        <w:numPr>
          <w:ilvl w:val="0"/>
          <w:numId w:val="132"/>
        </w:numPr>
        <w:rPr>
          <w:color w:val="auto"/>
        </w:rPr>
      </w:pPr>
      <w:r w:rsidRPr="00653DCF">
        <w:rPr>
          <w:color w:val="auto"/>
        </w:rPr>
        <w:t>a legal opinion, in the English language, issued by the Croatian Minister of Justice on the due execution of this Contract by the Borrower and on the validity and enforceability under Croatian law of the Borrower’s obligations under this Contract, substantially in the form set out in Annex I; and</w:t>
      </w:r>
    </w:p>
    <w:p w14:paraId="2D303B86" w14:textId="77777777" w:rsidR="00F0088B" w:rsidRPr="00653DCF" w:rsidRDefault="00F0088B" w:rsidP="0024686A">
      <w:pPr>
        <w:pStyle w:val="NoIndentEIB"/>
        <w:numPr>
          <w:ilvl w:val="0"/>
          <w:numId w:val="132"/>
        </w:numPr>
        <w:rPr>
          <w:color w:val="auto"/>
        </w:rPr>
      </w:pPr>
      <w:r w:rsidRPr="00653DCF">
        <w:rPr>
          <w:color w:val="auto"/>
        </w:rPr>
        <w:t>evidence that the Project Agreement was duly executed and remains in place.</w:t>
      </w:r>
    </w:p>
    <w:p w14:paraId="2E685521" w14:textId="77777777" w:rsidR="00F0088B" w:rsidRPr="00653DCF" w:rsidRDefault="00F0088B" w:rsidP="007D7C6B">
      <w:pPr>
        <w:pStyle w:val="Heading3"/>
        <w:ind w:left="851"/>
        <w:rPr>
          <w:color w:val="auto"/>
        </w:rPr>
      </w:pPr>
      <w:r w:rsidRPr="00653DCF">
        <w:rPr>
          <w:color w:val="auto"/>
        </w:rPr>
        <w:t>Second and subsequent Tranches</w:t>
      </w:r>
    </w:p>
    <w:p w14:paraId="73969778" w14:textId="77777777" w:rsidR="00F0088B" w:rsidRPr="00653DCF" w:rsidRDefault="00F0088B" w:rsidP="00F0088B">
      <w:pPr>
        <w:rPr>
          <w:color w:val="auto"/>
        </w:rPr>
      </w:pPr>
      <w:r w:rsidRPr="00653DCF">
        <w:rPr>
          <w:color w:val="auto"/>
        </w:rPr>
        <w:t>The disbursement of second and subsequent Tranches under Article 1.2, is conditional upon receipt by the Bank in form and substance satisfactory to it, at least 5 (five) Business Days before the Scheduled Disbursement Date (and, in the case of deferment under Article 1.5, the Requested Deferred Disbursement Date or the Agreed Deferred Disbursement Date, respectively) for the proposed Tranche, of a written evidence demonstrating that:</w:t>
      </w:r>
    </w:p>
    <w:p w14:paraId="733DD78B" w14:textId="77777777" w:rsidR="00F0088B" w:rsidRPr="00653DCF" w:rsidRDefault="00F0088B" w:rsidP="00F0088B">
      <w:pPr>
        <w:ind w:left="1436" w:hanging="580"/>
        <w:rPr>
          <w:color w:val="auto"/>
        </w:rPr>
      </w:pPr>
      <w:r w:rsidRPr="00653DCF">
        <w:rPr>
          <w:color w:val="auto"/>
        </w:rPr>
        <w:t>(a)</w:t>
      </w:r>
      <w:r w:rsidRPr="00653DCF">
        <w:rPr>
          <w:color w:val="auto"/>
        </w:rPr>
        <w:tab/>
        <w:t>at least 80% (eighty per cent) of the Loan has been allocated to Scheme(s) subject to the Letter(s) of Allocation; and</w:t>
      </w:r>
    </w:p>
    <w:p w14:paraId="2682E091" w14:textId="77777777" w:rsidR="00F0088B" w:rsidRPr="00653DCF" w:rsidRDefault="00F0088B" w:rsidP="00F0088B">
      <w:pPr>
        <w:ind w:left="1436" w:hanging="580"/>
        <w:rPr>
          <w:color w:val="auto"/>
        </w:rPr>
      </w:pPr>
      <w:r w:rsidRPr="00653DCF">
        <w:rPr>
          <w:color w:val="auto"/>
        </w:rPr>
        <w:t>(b)</w:t>
      </w:r>
      <w:r w:rsidRPr="00653DCF">
        <w:rPr>
          <w:color w:val="auto"/>
        </w:rPr>
        <w:tab/>
        <w:t xml:space="preserve">at least 50% (fifty per cent) of the Loan has been paid out towards any expenditure incurred with respect to the Scheme(s) subject to the Letter(s) of Allocation. </w:t>
      </w:r>
    </w:p>
    <w:p w14:paraId="05EDD1E7" w14:textId="77777777" w:rsidR="00F0088B" w:rsidRPr="00653DCF" w:rsidRDefault="00F0088B" w:rsidP="007D7C6B">
      <w:pPr>
        <w:pStyle w:val="Heading3"/>
        <w:ind w:left="851"/>
        <w:rPr>
          <w:color w:val="auto"/>
        </w:rPr>
      </w:pPr>
      <w:r w:rsidRPr="00653DCF">
        <w:rPr>
          <w:color w:val="auto"/>
        </w:rPr>
        <w:t>All Tranches</w:t>
      </w:r>
    </w:p>
    <w:p w14:paraId="0F9A3960" w14:textId="76110CA5" w:rsidR="00F0088B" w:rsidRPr="00653DCF" w:rsidRDefault="00F0088B" w:rsidP="00F0088B">
      <w:pPr>
        <w:rPr>
          <w:color w:val="auto"/>
        </w:rPr>
      </w:pPr>
      <w:r w:rsidRPr="00653DCF">
        <w:rPr>
          <w:color w:val="auto"/>
        </w:rPr>
        <w:t>The disbursement of each Tranche under Article </w:t>
      </w:r>
      <w:r w:rsidRPr="00653DCF">
        <w:rPr>
          <w:color w:val="auto"/>
        </w:rPr>
        <w:fldChar w:fldCharType="begin"/>
      </w:r>
      <w:r w:rsidRPr="00653DCF">
        <w:rPr>
          <w:color w:val="auto"/>
        </w:rPr>
        <w:instrText xml:space="preserve"> REF _Ref426951605 \n \h </w:instrText>
      </w:r>
      <w:r w:rsidRPr="00653DCF">
        <w:rPr>
          <w:color w:val="auto"/>
        </w:rPr>
      </w:r>
      <w:r w:rsidRPr="00653DCF">
        <w:rPr>
          <w:color w:val="auto"/>
        </w:rPr>
        <w:fldChar w:fldCharType="separate"/>
      </w:r>
      <w:r w:rsidR="00E5391B">
        <w:rPr>
          <w:color w:val="auto"/>
        </w:rPr>
        <w:t>1.2</w:t>
      </w:r>
      <w:r w:rsidRPr="00653DCF">
        <w:rPr>
          <w:color w:val="auto"/>
        </w:rPr>
        <w:fldChar w:fldCharType="end"/>
      </w:r>
      <w:r w:rsidRPr="00653DCF">
        <w:rPr>
          <w:color w:val="auto"/>
        </w:rPr>
        <w:t>, including the first, is subject to the following conditions:</w:t>
      </w:r>
    </w:p>
    <w:p w14:paraId="2A97E308" w14:textId="4D932758" w:rsidR="00F0088B" w:rsidRPr="00653DCF" w:rsidRDefault="00F0088B" w:rsidP="0024686A">
      <w:pPr>
        <w:pStyle w:val="NoIndentEIB"/>
        <w:numPr>
          <w:ilvl w:val="0"/>
          <w:numId w:val="133"/>
        </w:numPr>
        <w:rPr>
          <w:color w:val="auto"/>
        </w:rPr>
      </w:pPr>
      <w:r w:rsidRPr="00653DCF">
        <w:rPr>
          <w:color w:val="auto"/>
        </w:rPr>
        <w:t xml:space="preserve">that the Bank has received, in form and substance satisfactory to it, on or before the date falling 5 (five) Business Days before the Scheduled Disbursement Date (and, in the case of deferment under Article </w:t>
      </w:r>
      <w:r w:rsidRPr="00653DCF">
        <w:rPr>
          <w:color w:val="auto"/>
        </w:rPr>
        <w:fldChar w:fldCharType="begin"/>
      </w:r>
      <w:r w:rsidRPr="00653DCF">
        <w:rPr>
          <w:color w:val="auto"/>
        </w:rPr>
        <w:instrText xml:space="preserve"> REF _Ref511814886 \r \h </w:instrText>
      </w:r>
      <w:r w:rsidRPr="00653DCF">
        <w:rPr>
          <w:color w:val="auto"/>
        </w:rPr>
      </w:r>
      <w:r w:rsidRPr="00653DCF">
        <w:rPr>
          <w:color w:val="auto"/>
        </w:rPr>
        <w:fldChar w:fldCharType="separate"/>
      </w:r>
      <w:r w:rsidR="00E5391B">
        <w:rPr>
          <w:color w:val="auto"/>
        </w:rPr>
        <w:t>1.5</w:t>
      </w:r>
      <w:r w:rsidRPr="00653DCF">
        <w:rPr>
          <w:color w:val="auto"/>
        </w:rPr>
        <w:fldChar w:fldCharType="end"/>
      </w:r>
      <w:r w:rsidRPr="00653DCF">
        <w:rPr>
          <w:color w:val="auto"/>
        </w:rPr>
        <w:t>, the Requested Deferred Disbursement Date or the Agreed Deferred Disbursement Date, respectively) for the proposed Tranche, of the following documents or evidence:</w:t>
      </w:r>
    </w:p>
    <w:p w14:paraId="1FED6481" w14:textId="77777777" w:rsidR="00F0088B" w:rsidRPr="00653DCF" w:rsidRDefault="00F0088B" w:rsidP="0024686A">
      <w:pPr>
        <w:pStyle w:val="NoIndentEIB"/>
        <w:numPr>
          <w:ilvl w:val="1"/>
          <w:numId w:val="133"/>
        </w:numPr>
        <w:rPr>
          <w:color w:val="auto"/>
        </w:rPr>
      </w:pPr>
      <w:r w:rsidRPr="00653DCF">
        <w:rPr>
          <w:color w:val="auto"/>
        </w:rPr>
        <w:t>evidence that the Borrower has obtained all necessary Authorisations, required in connection with the borrowing of the Credit on the terms and conditions hereof, including the terms of the relevant Disbursement Notice;</w:t>
      </w:r>
    </w:p>
    <w:p w14:paraId="71355DFC" w14:textId="2CA0E793" w:rsidR="00F0088B" w:rsidRPr="00653DCF" w:rsidRDefault="00F0088B" w:rsidP="0024686A">
      <w:pPr>
        <w:pStyle w:val="NoIndentEIB"/>
        <w:numPr>
          <w:ilvl w:val="1"/>
          <w:numId w:val="133"/>
        </w:numPr>
        <w:rPr>
          <w:color w:val="auto"/>
        </w:rPr>
      </w:pPr>
      <w:r w:rsidRPr="00653DCF">
        <w:rPr>
          <w:color w:val="auto"/>
        </w:rPr>
        <w:t>a certificate from the Borrower in the form of Schedule </w:t>
      </w:r>
      <w:r w:rsidRPr="00653DCF">
        <w:rPr>
          <w:color w:val="auto"/>
        </w:rPr>
        <w:fldChar w:fldCharType="begin"/>
      </w:r>
      <w:r w:rsidRPr="00653DCF">
        <w:rPr>
          <w:color w:val="auto"/>
        </w:rPr>
        <w:instrText xml:space="preserve"> REF _Ref426951700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 xml:space="preserve"> signed by the Authorised Signatories in accordance with the general representation rules applicable to the Borrower and dated no earlier than the date falling 30 (thirty) days before the Scheduled Disbursement Date (and, in the case of deferment under Article </w:t>
      </w:r>
      <w:r w:rsidRPr="00653DCF">
        <w:rPr>
          <w:color w:val="auto"/>
        </w:rPr>
        <w:fldChar w:fldCharType="begin"/>
      </w:r>
      <w:r w:rsidRPr="00653DCF">
        <w:rPr>
          <w:color w:val="auto"/>
        </w:rPr>
        <w:instrText xml:space="preserve"> REF _Ref511814886 \r \h </w:instrText>
      </w:r>
      <w:r w:rsidRPr="00653DCF">
        <w:rPr>
          <w:color w:val="auto"/>
        </w:rPr>
      </w:r>
      <w:r w:rsidRPr="00653DCF">
        <w:rPr>
          <w:color w:val="auto"/>
        </w:rPr>
        <w:fldChar w:fldCharType="separate"/>
      </w:r>
      <w:r w:rsidR="00E5391B">
        <w:rPr>
          <w:color w:val="auto"/>
        </w:rPr>
        <w:t>1.5</w:t>
      </w:r>
      <w:r w:rsidRPr="00653DCF">
        <w:rPr>
          <w:color w:val="auto"/>
        </w:rPr>
        <w:fldChar w:fldCharType="end"/>
      </w:r>
      <w:r w:rsidRPr="00653DCF">
        <w:rPr>
          <w:color w:val="auto"/>
        </w:rPr>
        <w:t>, the Requested Deferred Disbursement Date or the Agreed Deferred Disbursement Date, respectively);</w:t>
      </w:r>
    </w:p>
    <w:p w14:paraId="2763846F" w14:textId="77777777" w:rsidR="00F0088B" w:rsidRPr="00653DCF" w:rsidRDefault="00F0088B" w:rsidP="0024686A">
      <w:pPr>
        <w:pStyle w:val="NoIndentEIB"/>
        <w:numPr>
          <w:ilvl w:val="1"/>
          <w:numId w:val="133"/>
        </w:numPr>
        <w:rPr>
          <w:color w:val="auto"/>
        </w:rPr>
      </w:pPr>
      <w:r w:rsidRPr="00653DCF">
        <w:rPr>
          <w:color w:val="auto"/>
        </w:rPr>
        <w:t>a copy of any other authorisation or other document, opinion or assurance which the Bank has notified the Borrower is necessary or desirable in connection with the entry into and performance of, and the transactions contemplated by, this Contract or the legality, validity, binding effect or enforceability of the same; and</w:t>
      </w:r>
    </w:p>
    <w:p w14:paraId="2FDC61C7" w14:textId="77777777" w:rsidR="00F0088B" w:rsidRPr="00653DCF" w:rsidRDefault="00F0088B" w:rsidP="0024686A">
      <w:pPr>
        <w:widowControl w:val="0"/>
        <w:numPr>
          <w:ilvl w:val="1"/>
          <w:numId w:val="133"/>
        </w:numPr>
        <w:rPr>
          <w:color w:val="auto"/>
        </w:rPr>
      </w:pPr>
      <w:r w:rsidRPr="00653DCF">
        <w:rPr>
          <w:color w:val="auto"/>
        </w:rPr>
        <w:t xml:space="preserve">for any Scheme to be financed with the requested Tranche with the likely total cost </w:t>
      </w:r>
      <w:r w:rsidRPr="00653DCF">
        <w:rPr>
          <w:rFonts w:cs="Arial"/>
          <w:color w:val="auto"/>
        </w:rPr>
        <w:t xml:space="preserve">equal to or in excess of </w:t>
      </w:r>
      <w:r w:rsidRPr="00653DCF">
        <w:rPr>
          <w:color w:val="auto"/>
        </w:rPr>
        <w:t>an equivalent of EUR 50,000,000 (fifty million euros) any documentation, as individually indicated by the Bank to the Borrower, which may be deemed necessary by the Bank for individual appraisal of any such Scheme and the approval thereof by the Bank’s governing bodies; and</w:t>
      </w:r>
    </w:p>
    <w:p w14:paraId="349FE5C3" w14:textId="77777777" w:rsidR="00F0088B" w:rsidRPr="00653DCF" w:rsidRDefault="00F0088B" w:rsidP="0024686A">
      <w:pPr>
        <w:pStyle w:val="ListParagraph"/>
        <w:numPr>
          <w:ilvl w:val="1"/>
          <w:numId w:val="133"/>
        </w:numPr>
        <w:rPr>
          <w:color w:val="auto"/>
        </w:rPr>
      </w:pPr>
      <w:r w:rsidRPr="00653DCF">
        <w:rPr>
          <w:color w:val="auto"/>
        </w:rPr>
        <w:t>for any Tranche used to finance Schemes relating to rolling stock or maintenance facilities considered installations necessary for operating passenger transport services implemented by HŽPP, a copy of the current Public Service Contract or equivalent and any further evidence, if needed, that there are no outstanding state aid issues related to such Schemes;</w:t>
      </w:r>
    </w:p>
    <w:p w14:paraId="753E34D7" w14:textId="4EB27E9B" w:rsidR="00F0088B" w:rsidRPr="00653DCF" w:rsidRDefault="00F0088B" w:rsidP="0024686A">
      <w:pPr>
        <w:pStyle w:val="NoIndentEIB"/>
        <w:numPr>
          <w:ilvl w:val="0"/>
          <w:numId w:val="133"/>
        </w:numPr>
        <w:rPr>
          <w:color w:val="auto"/>
        </w:rPr>
      </w:pPr>
      <w:r w:rsidRPr="00653DCF">
        <w:rPr>
          <w:color w:val="auto"/>
        </w:rPr>
        <w:t>that on the Scheduled Disbursement Date (and, in the case of deferment under Article </w:t>
      </w:r>
      <w:r w:rsidRPr="00653DCF">
        <w:rPr>
          <w:color w:val="auto"/>
        </w:rPr>
        <w:fldChar w:fldCharType="begin"/>
      </w:r>
      <w:r w:rsidRPr="00653DCF">
        <w:rPr>
          <w:color w:val="auto"/>
        </w:rPr>
        <w:instrText xml:space="preserve"> REF _Ref511814886 \r \h </w:instrText>
      </w:r>
      <w:r w:rsidRPr="00653DCF">
        <w:rPr>
          <w:color w:val="auto"/>
        </w:rPr>
      </w:r>
      <w:r w:rsidRPr="00653DCF">
        <w:rPr>
          <w:color w:val="auto"/>
        </w:rPr>
        <w:fldChar w:fldCharType="separate"/>
      </w:r>
      <w:r w:rsidR="00E5391B">
        <w:rPr>
          <w:color w:val="auto"/>
        </w:rPr>
        <w:t>1.5</w:t>
      </w:r>
      <w:r w:rsidRPr="00653DCF">
        <w:rPr>
          <w:color w:val="auto"/>
        </w:rPr>
        <w:fldChar w:fldCharType="end"/>
      </w:r>
      <w:r w:rsidRPr="00653DCF">
        <w:rPr>
          <w:color w:val="auto"/>
        </w:rPr>
        <w:t>, on the Requested Deferred Disbursement Date or the Agreed Deferred Disbursement Date, respectively) for the proposed Tranche:</w:t>
      </w:r>
    </w:p>
    <w:p w14:paraId="6E7E157D" w14:textId="64B29C96" w:rsidR="00F0088B" w:rsidRPr="00653DCF" w:rsidRDefault="00F0088B" w:rsidP="0024686A">
      <w:pPr>
        <w:pStyle w:val="NoIndentEIB"/>
        <w:numPr>
          <w:ilvl w:val="1"/>
          <w:numId w:val="133"/>
        </w:numPr>
        <w:rPr>
          <w:color w:val="auto"/>
        </w:rPr>
      </w:pPr>
      <w:r w:rsidRPr="00653DCF">
        <w:rPr>
          <w:color w:val="auto"/>
        </w:rPr>
        <w:t>the representations and warranties which are repeated pursuant to Article </w:t>
      </w:r>
      <w:r w:rsidRPr="00653DCF">
        <w:rPr>
          <w:color w:val="auto"/>
        </w:rPr>
        <w:fldChar w:fldCharType="begin"/>
      </w:r>
      <w:r w:rsidRPr="00653DCF">
        <w:rPr>
          <w:color w:val="auto"/>
        </w:rPr>
        <w:instrText xml:space="preserve"> REF _Ref62665226 \r \h </w:instrText>
      </w:r>
      <w:r w:rsidRPr="00653DCF">
        <w:rPr>
          <w:color w:val="auto"/>
        </w:rPr>
      </w:r>
      <w:r w:rsidRPr="00653DCF">
        <w:rPr>
          <w:color w:val="auto"/>
        </w:rPr>
        <w:fldChar w:fldCharType="separate"/>
      </w:r>
      <w:r w:rsidR="00E5391B">
        <w:rPr>
          <w:color w:val="auto"/>
        </w:rPr>
        <w:t>6.10</w:t>
      </w:r>
      <w:r w:rsidRPr="00653DCF">
        <w:rPr>
          <w:color w:val="auto"/>
        </w:rPr>
        <w:fldChar w:fldCharType="end"/>
      </w:r>
      <w:r w:rsidRPr="00653DCF">
        <w:rPr>
          <w:color w:val="auto"/>
        </w:rPr>
        <w:t xml:space="preserve"> are correct in all material respects; and</w:t>
      </w:r>
    </w:p>
    <w:p w14:paraId="760B4023" w14:textId="77777777" w:rsidR="00F0088B" w:rsidRPr="00653DCF" w:rsidRDefault="00F0088B" w:rsidP="0024686A">
      <w:pPr>
        <w:pStyle w:val="NoIndentEIB"/>
        <w:numPr>
          <w:ilvl w:val="1"/>
          <w:numId w:val="133"/>
        </w:numPr>
        <w:rPr>
          <w:color w:val="auto"/>
        </w:rPr>
      </w:pPr>
      <w:r w:rsidRPr="00653DCF">
        <w:rPr>
          <w:color w:val="auto"/>
        </w:rPr>
        <w:t xml:space="preserve">no event or circumstance which constitutes or would with the passage of time or the giving of notice or the making of any determination under this Contract (or any combination of the foregoing) constitute: </w:t>
      </w:r>
    </w:p>
    <w:p w14:paraId="28A875ED" w14:textId="77777777" w:rsidR="00F0088B" w:rsidRPr="00653DCF" w:rsidRDefault="00F0088B" w:rsidP="0024686A">
      <w:pPr>
        <w:pStyle w:val="NoIndentEIB"/>
        <w:numPr>
          <w:ilvl w:val="2"/>
          <w:numId w:val="133"/>
        </w:numPr>
        <w:ind w:hanging="652"/>
        <w:rPr>
          <w:color w:val="auto"/>
        </w:rPr>
      </w:pPr>
      <w:r w:rsidRPr="00653DCF">
        <w:rPr>
          <w:color w:val="auto"/>
        </w:rPr>
        <w:t xml:space="preserve">an Event of Default; or </w:t>
      </w:r>
    </w:p>
    <w:p w14:paraId="61C0DEA3" w14:textId="77777777" w:rsidR="00F0088B" w:rsidRPr="00653DCF" w:rsidRDefault="00F0088B" w:rsidP="0024686A">
      <w:pPr>
        <w:pStyle w:val="NoIndentEIB"/>
        <w:numPr>
          <w:ilvl w:val="2"/>
          <w:numId w:val="133"/>
        </w:numPr>
        <w:ind w:hanging="652"/>
        <w:rPr>
          <w:color w:val="auto"/>
        </w:rPr>
      </w:pPr>
      <w:r w:rsidRPr="00653DCF">
        <w:rPr>
          <w:color w:val="auto"/>
        </w:rPr>
        <w:t xml:space="preserve">a Prepayment Event, </w:t>
      </w:r>
    </w:p>
    <w:p w14:paraId="3F29EF61" w14:textId="77777777" w:rsidR="00F0088B" w:rsidRPr="00653DCF" w:rsidRDefault="00F0088B" w:rsidP="00F0088B">
      <w:pPr>
        <w:ind w:left="1990"/>
        <w:rPr>
          <w:color w:val="auto"/>
        </w:rPr>
      </w:pPr>
      <w:r w:rsidRPr="00653DCF">
        <w:rPr>
          <w:color w:val="auto"/>
        </w:rPr>
        <w:t>has occurred and is continuing unremedied or unwaived or would result from the disbursement of the proposed Tranche.</w:t>
      </w:r>
    </w:p>
    <w:p w14:paraId="46D11FC0" w14:textId="77777777" w:rsidR="00F0088B" w:rsidRPr="00653DCF" w:rsidRDefault="00F0088B" w:rsidP="007D7C6B">
      <w:pPr>
        <w:pStyle w:val="Heading2"/>
        <w:ind w:left="851"/>
        <w:rPr>
          <w:color w:val="auto"/>
        </w:rPr>
      </w:pPr>
      <w:r w:rsidRPr="00653DCF">
        <w:rPr>
          <w:color w:val="auto"/>
        </w:rPr>
        <w:t>Deferment of disbursement</w:t>
      </w:r>
    </w:p>
    <w:p w14:paraId="5FBBD57A" w14:textId="77777777" w:rsidR="00F0088B" w:rsidRPr="00653DCF" w:rsidRDefault="00F0088B" w:rsidP="007D7C6B">
      <w:pPr>
        <w:pStyle w:val="Heading3"/>
        <w:ind w:left="851"/>
        <w:rPr>
          <w:color w:val="auto"/>
        </w:rPr>
      </w:pPr>
      <w:r w:rsidRPr="00653DCF">
        <w:rPr>
          <w:color w:val="auto"/>
        </w:rPr>
        <w:t>Grounds for deferment</w:t>
      </w:r>
    </w:p>
    <w:p w14:paraId="43F98329" w14:textId="77777777" w:rsidR="00F0088B" w:rsidRPr="00653DCF" w:rsidRDefault="00F0088B" w:rsidP="007D7C6B">
      <w:pPr>
        <w:pStyle w:val="Heading4"/>
        <w:ind w:left="851"/>
        <w:rPr>
          <w:color w:val="auto"/>
        </w:rPr>
      </w:pPr>
      <w:r w:rsidRPr="00653DCF">
        <w:rPr>
          <w:color w:val="auto"/>
        </w:rPr>
        <w:t>Borrower's request</w:t>
      </w:r>
    </w:p>
    <w:p w14:paraId="56298D91" w14:textId="77777777" w:rsidR="00F0088B" w:rsidRPr="00653DCF" w:rsidRDefault="00F0088B" w:rsidP="0024686A">
      <w:pPr>
        <w:pStyle w:val="NoIndentEIB"/>
        <w:numPr>
          <w:ilvl w:val="0"/>
          <w:numId w:val="134"/>
        </w:numPr>
        <w:rPr>
          <w:color w:val="auto"/>
        </w:rPr>
      </w:pPr>
      <w:r w:rsidRPr="00653DCF">
        <w:rPr>
          <w:color w:val="auto"/>
        </w:rPr>
        <w:t>The Borrower may send a written request to the Bank requesting the deferral of the disbursement of a Notified Tranche. The written request must be received by the Bank at least 5 (five) Business Days before the Scheduled Disbursement Date of the Notified Tranche and specify:</w:t>
      </w:r>
    </w:p>
    <w:p w14:paraId="1328CD11" w14:textId="77777777" w:rsidR="00F0088B" w:rsidRPr="00653DCF" w:rsidRDefault="00F0088B" w:rsidP="0024686A">
      <w:pPr>
        <w:pStyle w:val="NoIndentEIB"/>
        <w:numPr>
          <w:ilvl w:val="1"/>
          <w:numId w:val="134"/>
        </w:numPr>
        <w:rPr>
          <w:color w:val="auto"/>
        </w:rPr>
      </w:pPr>
      <w:r w:rsidRPr="00653DCF">
        <w:rPr>
          <w:color w:val="auto"/>
        </w:rPr>
        <w:t>whether the Borrower would like to defer the disbursement in whole or in part, and if in part, the amount to be deferred; and</w:t>
      </w:r>
    </w:p>
    <w:p w14:paraId="1F4FD367" w14:textId="77777777" w:rsidR="00F0088B" w:rsidRPr="00653DCF" w:rsidRDefault="00F0088B" w:rsidP="0024686A">
      <w:pPr>
        <w:pStyle w:val="NoIndentEIB"/>
        <w:numPr>
          <w:ilvl w:val="1"/>
          <w:numId w:val="134"/>
        </w:numPr>
        <w:rPr>
          <w:color w:val="auto"/>
        </w:rPr>
      </w:pPr>
      <w:r w:rsidRPr="00653DCF">
        <w:rPr>
          <w:color w:val="auto"/>
        </w:rPr>
        <w:t>the date until which the Borrower would like to defer a disbursement of the above amount (the "</w:t>
      </w:r>
      <w:r w:rsidRPr="00653DCF">
        <w:rPr>
          <w:b/>
          <w:color w:val="auto"/>
        </w:rPr>
        <w:t>Requested Deferred Disbursement Date</w:t>
      </w:r>
      <w:r w:rsidRPr="00653DCF">
        <w:rPr>
          <w:color w:val="auto"/>
        </w:rPr>
        <w:t>"), which must be a date, falling not later than:</w:t>
      </w:r>
    </w:p>
    <w:p w14:paraId="546DE22B" w14:textId="77777777" w:rsidR="00F0088B" w:rsidRPr="00653DCF" w:rsidRDefault="00F0088B" w:rsidP="0024686A">
      <w:pPr>
        <w:pStyle w:val="NoIndentEIB"/>
        <w:numPr>
          <w:ilvl w:val="2"/>
          <w:numId w:val="134"/>
        </w:numPr>
        <w:rPr>
          <w:color w:val="auto"/>
        </w:rPr>
      </w:pPr>
      <w:r w:rsidRPr="00653DCF">
        <w:rPr>
          <w:color w:val="auto"/>
        </w:rPr>
        <w:t xml:space="preserve">6 (six) months from its Scheduled Disbursement Date; </w:t>
      </w:r>
    </w:p>
    <w:p w14:paraId="168A7DF7" w14:textId="77777777" w:rsidR="00F0088B" w:rsidRPr="00653DCF" w:rsidRDefault="00F0088B" w:rsidP="0024686A">
      <w:pPr>
        <w:pStyle w:val="NoIndentEIB"/>
        <w:numPr>
          <w:ilvl w:val="2"/>
          <w:numId w:val="134"/>
        </w:numPr>
        <w:rPr>
          <w:color w:val="auto"/>
        </w:rPr>
      </w:pPr>
      <w:r w:rsidRPr="00653DCF">
        <w:rPr>
          <w:color w:val="auto"/>
        </w:rPr>
        <w:t>30 (thirty) days prior to the first Repayment Date; and</w:t>
      </w:r>
    </w:p>
    <w:p w14:paraId="5A0F2740" w14:textId="77777777" w:rsidR="00F0088B" w:rsidRPr="00653DCF" w:rsidRDefault="00F0088B" w:rsidP="0024686A">
      <w:pPr>
        <w:pStyle w:val="NoIndentEIB"/>
        <w:numPr>
          <w:ilvl w:val="2"/>
          <w:numId w:val="134"/>
        </w:numPr>
        <w:rPr>
          <w:color w:val="auto"/>
        </w:rPr>
      </w:pPr>
      <w:r w:rsidRPr="00653DCF">
        <w:rPr>
          <w:color w:val="auto"/>
        </w:rPr>
        <w:t>the Final Availability Date.</w:t>
      </w:r>
    </w:p>
    <w:p w14:paraId="126196C6" w14:textId="77777777" w:rsidR="00F0088B" w:rsidRPr="00653DCF" w:rsidRDefault="00F0088B" w:rsidP="0024686A">
      <w:pPr>
        <w:pStyle w:val="NoIndentEIB"/>
        <w:numPr>
          <w:ilvl w:val="0"/>
          <w:numId w:val="134"/>
        </w:numPr>
        <w:rPr>
          <w:color w:val="auto"/>
        </w:rPr>
      </w:pPr>
      <w:r w:rsidRPr="00653DCF">
        <w:rPr>
          <w:color w:val="auto"/>
        </w:rPr>
        <w:t>Upon receipt of such a written request, the Bank shall defer the disbursement of the relevant amount until the Requested Deferred Disbursement Date.</w:t>
      </w:r>
    </w:p>
    <w:p w14:paraId="44E1D936" w14:textId="77777777" w:rsidR="00F0088B" w:rsidRPr="00653DCF" w:rsidRDefault="00F0088B" w:rsidP="007D7C6B">
      <w:pPr>
        <w:pStyle w:val="Heading4"/>
        <w:ind w:left="851"/>
        <w:rPr>
          <w:color w:val="auto"/>
        </w:rPr>
      </w:pPr>
      <w:r w:rsidRPr="00653DCF">
        <w:rPr>
          <w:color w:val="auto"/>
        </w:rPr>
        <w:t>Failure to satisfy conditions to disbursement</w:t>
      </w:r>
    </w:p>
    <w:p w14:paraId="2756B7B2" w14:textId="0BF6F332" w:rsidR="00F0088B" w:rsidRPr="00653DCF" w:rsidRDefault="00F0088B" w:rsidP="0024686A">
      <w:pPr>
        <w:pStyle w:val="NoIndentEIB"/>
        <w:numPr>
          <w:ilvl w:val="0"/>
          <w:numId w:val="135"/>
        </w:numPr>
        <w:rPr>
          <w:color w:val="auto"/>
        </w:rPr>
      </w:pPr>
      <w:r w:rsidRPr="00653DCF">
        <w:rPr>
          <w:color w:val="auto"/>
        </w:rPr>
        <w:t>The disbursement of a Notified Tranche shall be deferred if any condition for disbursement of such Notified Tranche referred to in Article </w:t>
      </w:r>
      <w:r w:rsidRPr="00653DCF">
        <w:rPr>
          <w:color w:val="auto"/>
        </w:rPr>
        <w:fldChar w:fldCharType="begin"/>
      </w:r>
      <w:r w:rsidRPr="00653DCF">
        <w:rPr>
          <w:color w:val="auto"/>
        </w:rPr>
        <w:instrText xml:space="preserve"> REF _Ref426639107 \r \h  \* MERGEFORMAT </w:instrText>
      </w:r>
      <w:r w:rsidRPr="00653DCF">
        <w:rPr>
          <w:color w:val="auto"/>
        </w:rPr>
      </w:r>
      <w:r w:rsidRPr="00653DCF">
        <w:rPr>
          <w:color w:val="auto"/>
        </w:rPr>
        <w:fldChar w:fldCharType="separate"/>
      </w:r>
      <w:r w:rsidR="00E5391B">
        <w:rPr>
          <w:color w:val="auto"/>
        </w:rPr>
        <w:t>1.4</w:t>
      </w:r>
      <w:r w:rsidRPr="00653DCF">
        <w:rPr>
          <w:color w:val="auto"/>
        </w:rPr>
        <w:fldChar w:fldCharType="end"/>
      </w:r>
      <w:r w:rsidRPr="00653DCF">
        <w:rPr>
          <w:color w:val="auto"/>
        </w:rPr>
        <w:t xml:space="preserve"> is not fulfilled both:</w:t>
      </w:r>
    </w:p>
    <w:p w14:paraId="44D201A7" w14:textId="72387254" w:rsidR="00F0088B" w:rsidRPr="00653DCF" w:rsidRDefault="00F0088B" w:rsidP="0024686A">
      <w:pPr>
        <w:pStyle w:val="NoIndentEIB"/>
        <w:numPr>
          <w:ilvl w:val="1"/>
          <w:numId w:val="135"/>
        </w:numPr>
        <w:rPr>
          <w:color w:val="auto"/>
        </w:rPr>
      </w:pPr>
      <w:r w:rsidRPr="00653DCF">
        <w:rPr>
          <w:color w:val="auto"/>
        </w:rPr>
        <w:t>at the date specified for fulfilment of such condition in Article </w:t>
      </w:r>
      <w:r w:rsidRPr="00653DCF">
        <w:rPr>
          <w:color w:val="auto"/>
        </w:rPr>
        <w:fldChar w:fldCharType="begin"/>
      </w:r>
      <w:r w:rsidRPr="00653DCF">
        <w:rPr>
          <w:color w:val="auto"/>
        </w:rPr>
        <w:instrText xml:space="preserve"> REF _Ref426639107 \r \h  \* MERGEFORMAT </w:instrText>
      </w:r>
      <w:r w:rsidRPr="00653DCF">
        <w:rPr>
          <w:color w:val="auto"/>
        </w:rPr>
      </w:r>
      <w:r w:rsidRPr="00653DCF">
        <w:rPr>
          <w:color w:val="auto"/>
        </w:rPr>
        <w:fldChar w:fldCharType="separate"/>
      </w:r>
      <w:r w:rsidR="00E5391B">
        <w:rPr>
          <w:color w:val="auto"/>
        </w:rPr>
        <w:t>1.4</w:t>
      </w:r>
      <w:r w:rsidRPr="00653DCF">
        <w:rPr>
          <w:color w:val="auto"/>
        </w:rPr>
        <w:fldChar w:fldCharType="end"/>
      </w:r>
      <w:r w:rsidRPr="00653DCF">
        <w:rPr>
          <w:color w:val="auto"/>
        </w:rPr>
        <w:t xml:space="preserve">; and </w:t>
      </w:r>
    </w:p>
    <w:p w14:paraId="47964347" w14:textId="77777777" w:rsidR="00F0088B" w:rsidRPr="00653DCF" w:rsidRDefault="00F0088B" w:rsidP="0024686A">
      <w:pPr>
        <w:pStyle w:val="NoIndentEIB"/>
        <w:numPr>
          <w:ilvl w:val="1"/>
          <w:numId w:val="135"/>
        </w:numPr>
        <w:rPr>
          <w:color w:val="auto"/>
        </w:rPr>
      </w:pPr>
      <w:r w:rsidRPr="00653DCF">
        <w:rPr>
          <w:color w:val="auto"/>
        </w:rPr>
        <w:t>at its Scheduled Disbursement Date (or, where the Scheduled Disbursement Date has been deferred previously, the date expected for disbursement).</w:t>
      </w:r>
    </w:p>
    <w:p w14:paraId="6A9FCBF0" w14:textId="77777777" w:rsidR="00F0088B" w:rsidRPr="00653DCF" w:rsidRDefault="00F0088B" w:rsidP="0024686A">
      <w:pPr>
        <w:pStyle w:val="NoIndentEIB"/>
        <w:numPr>
          <w:ilvl w:val="0"/>
          <w:numId w:val="135"/>
        </w:numPr>
        <w:rPr>
          <w:color w:val="auto"/>
        </w:rPr>
      </w:pPr>
      <w:r w:rsidRPr="00653DCF">
        <w:rPr>
          <w:color w:val="auto"/>
        </w:rPr>
        <w:t>The Bank and the Borrower shall agree the date until which the disbursement of such Notified Tranche shall be deferred (the "</w:t>
      </w:r>
      <w:r w:rsidRPr="00653DCF">
        <w:rPr>
          <w:b/>
          <w:color w:val="auto"/>
        </w:rPr>
        <w:t>Agreed Deferred Disbursement Date</w:t>
      </w:r>
      <w:r w:rsidRPr="00653DCF">
        <w:rPr>
          <w:color w:val="auto"/>
        </w:rPr>
        <w:t>"), which must be a date falling:</w:t>
      </w:r>
    </w:p>
    <w:p w14:paraId="0F5FAB87" w14:textId="77777777" w:rsidR="00F0088B" w:rsidRPr="00653DCF" w:rsidRDefault="00F0088B" w:rsidP="0024686A">
      <w:pPr>
        <w:pStyle w:val="NoIndentEIB"/>
        <w:numPr>
          <w:ilvl w:val="1"/>
          <w:numId w:val="153"/>
        </w:numPr>
        <w:rPr>
          <w:color w:val="auto"/>
        </w:rPr>
      </w:pPr>
      <w:r w:rsidRPr="00653DCF">
        <w:rPr>
          <w:color w:val="auto"/>
        </w:rPr>
        <w:t>not earlier than 5 (five) Business Days following the fulfilment of all conditions of disbursement; and</w:t>
      </w:r>
    </w:p>
    <w:p w14:paraId="64441EC0" w14:textId="77777777" w:rsidR="00F0088B" w:rsidRPr="00653DCF" w:rsidRDefault="00F0088B" w:rsidP="0024686A">
      <w:pPr>
        <w:pStyle w:val="NoIndentEIB"/>
        <w:numPr>
          <w:ilvl w:val="1"/>
          <w:numId w:val="153"/>
        </w:numPr>
        <w:rPr>
          <w:color w:val="auto"/>
        </w:rPr>
      </w:pPr>
      <w:r w:rsidRPr="00653DCF">
        <w:rPr>
          <w:color w:val="auto"/>
        </w:rPr>
        <w:t>not later than the Final Availability Date.</w:t>
      </w:r>
    </w:p>
    <w:p w14:paraId="245C9B3F" w14:textId="2550A5E7" w:rsidR="00F0088B" w:rsidRPr="00653DCF" w:rsidRDefault="00F0088B" w:rsidP="0024686A">
      <w:pPr>
        <w:pStyle w:val="NoIndentEIB"/>
        <w:numPr>
          <w:ilvl w:val="0"/>
          <w:numId w:val="135"/>
        </w:numPr>
        <w:rPr>
          <w:color w:val="auto"/>
        </w:rPr>
      </w:pPr>
      <w:r w:rsidRPr="00653DCF">
        <w:rPr>
          <w:color w:val="auto"/>
        </w:rPr>
        <w:t>Without prejudice to the Bank’s right to suspend and/or cancel the undisbursed portion of the Credit in whole or in part pursuant to Article </w:t>
      </w:r>
      <w:r w:rsidRPr="00653DCF">
        <w:rPr>
          <w:color w:val="auto"/>
        </w:rPr>
        <w:fldChar w:fldCharType="begin"/>
      </w:r>
      <w:r w:rsidRPr="00653DCF">
        <w:rPr>
          <w:color w:val="auto"/>
        </w:rPr>
        <w:instrText xml:space="preserve"> REF _Ref426951939 \r \h </w:instrText>
      </w:r>
      <w:r w:rsidRPr="00653DCF">
        <w:rPr>
          <w:color w:val="auto"/>
        </w:rPr>
      </w:r>
      <w:r w:rsidRPr="00653DCF">
        <w:rPr>
          <w:color w:val="auto"/>
        </w:rPr>
        <w:fldChar w:fldCharType="separate"/>
      </w:r>
      <w:r w:rsidR="00E5391B">
        <w:rPr>
          <w:color w:val="auto"/>
        </w:rPr>
        <w:t>1.6.B</w:t>
      </w:r>
      <w:r w:rsidRPr="00653DCF">
        <w:rPr>
          <w:color w:val="auto"/>
        </w:rPr>
        <w:fldChar w:fldCharType="end"/>
      </w:r>
      <w:r w:rsidRPr="00653DCF">
        <w:rPr>
          <w:color w:val="auto"/>
        </w:rPr>
        <w:t>, the Bank shall defer disbursement of such Notified Tranche until the Agreed Deferred Disbursement Date.</w:t>
      </w:r>
    </w:p>
    <w:p w14:paraId="0FBC7E28" w14:textId="77777777" w:rsidR="00F0088B" w:rsidRPr="00653DCF" w:rsidRDefault="00F0088B" w:rsidP="007D7C6B">
      <w:pPr>
        <w:pStyle w:val="Heading4"/>
        <w:ind w:left="851"/>
        <w:rPr>
          <w:color w:val="auto"/>
        </w:rPr>
      </w:pPr>
      <w:r w:rsidRPr="00653DCF">
        <w:rPr>
          <w:color w:val="auto"/>
        </w:rPr>
        <w:t>Deferment FEE</w:t>
      </w:r>
    </w:p>
    <w:p w14:paraId="4D4075D5" w14:textId="07D3936A" w:rsidR="00F0088B" w:rsidRPr="00653DCF" w:rsidRDefault="00F0088B" w:rsidP="00F0088B">
      <w:pPr>
        <w:pStyle w:val="NoIndentEIB"/>
        <w:ind w:left="851"/>
        <w:rPr>
          <w:color w:val="auto"/>
        </w:rPr>
      </w:pPr>
      <w:r w:rsidRPr="00653DCF">
        <w:rPr>
          <w:color w:val="auto"/>
        </w:rPr>
        <w:t xml:space="preserve">If disbursement of a Notified Tranche is deferred pursuant to paragraphs </w:t>
      </w:r>
      <w:r w:rsidRPr="00653DCF">
        <w:rPr>
          <w:color w:val="auto"/>
        </w:rPr>
        <w:fldChar w:fldCharType="begin"/>
      </w:r>
      <w:r w:rsidRPr="00653DCF">
        <w:rPr>
          <w:color w:val="auto"/>
        </w:rPr>
        <w:instrText xml:space="preserve"> REF _Ref498641917 \w \h  \* MERGEFORMAT </w:instrText>
      </w:r>
      <w:r w:rsidRPr="00653DCF">
        <w:rPr>
          <w:color w:val="auto"/>
        </w:rPr>
      </w:r>
      <w:r w:rsidRPr="00653DCF">
        <w:rPr>
          <w:color w:val="auto"/>
        </w:rPr>
        <w:fldChar w:fldCharType="separate"/>
      </w:r>
      <w:r w:rsidR="00E5391B">
        <w:rPr>
          <w:color w:val="auto"/>
        </w:rPr>
        <w:t>1.5.A(1)</w:t>
      </w:r>
      <w:r w:rsidRPr="00653DCF">
        <w:rPr>
          <w:color w:val="auto"/>
        </w:rPr>
        <w:fldChar w:fldCharType="end"/>
      </w:r>
      <w:r w:rsidRPr="00653DCF">
        <w:rPr>
          <w:color w:val="auto"/>
        </w:rPr>
        <w:t xml:space="preserve"> or </w:t>
      </w:r>
      <w:r w:rsidRPr="00653DCF">
        <w:rPr>
          <w:color w:val="auto"/>
        </w:rPr>
        <w:fldChar w:fldCharType="begin"/>
      </w:r>
      <w:r w:rsidRPr="00653DCF">
        <w:rPr>
          <w:color w:val="auto"/>
        </w:rPr>
        <w:instrText xml:space="preserve"> REF _Ref498641988 \w \h  \* MERGEFORMAT </w:instrText>
      </w:r>
      <w:r w:rsidRPr="00653DCF">
        <w:rPr>
          <w:color w:val="auto"/>
        </w:rPr>
      </w:r>
      <w:r w:rsidRPr="00653DCF">
        <w:rPr>
          <w:color w:val="auto"/>
        </w:rPr>
        <w:fldChar w:fldCharType="separate"/>
      </w:r>
      <w:r w:rsidR="00E5391B">
        <w:rPr>
          <w:color w:val="auto"/>
        </w:rPr>
        <w:t>1.5.A(2)</w:t>
      </w:r>
      <w:r w:rsidRPr="00653DCF">
        <w:rPr>
          <w:color w:val="auto"/>
        </w:rPr>
        <w:fldChar w:fldCharType="end"/>
      </w:r>
      <w:r w:rsidRPr="00653DCF">
        <w:rPr>
          <w:color w:val="auto"/>
        </w:rPr>
        <w:t xml:space="preserve"> above, the Borrower shall pay the Deferment Fee.</w:t>
      </w:r>
    </w:p>
    <w:p w14:paraId="3CF55A26" w14:textId="77777777" w:rsidR="00F0088B" w:rsidRPr="00653DCF" w:rsidRDefault="00F0088B" w:rsidP="007D7C6B">
      <w:pPr>
        <w:pStyle w:val="Heading3"/>
        <w:ind w:left="851"/>
        <w:rPr>
          <w:color w:val="auto"/>
        </w:rPr>
      </w:pPr>
      <w:r w:rsidRPr="00653DCF">
        <w:rPr>
          <w:color w:val="auto"/>
        </w:rPr>
        <w:t>Cancellation of a disbursement deferred by 6 (six) months</w:t>
      </w:r>
    </w:p>
    <w:p w14:paraId="2B90419E" w14:textId="154474B3" w:rsidR="00F0088B" w:rsidRPr="00653DCF" w:rsidRDefault="00F0088B" w:rsidP="00F0088B">
      <w:pPr>
        <w:rPr>
          <w:color w:val="auto"/>
        </w:rPr>
      </w:pPr>
      <w:r w:rsidRPr="00653DCF">
        <w:rPr>
          <w:color w:val="auto"/>
        </w:rPr>
        <w:t>If a disbursement has been deferred by more than 6 (six) months in aggregate pursuant to Article </w:t>
      </w:r>
      <w:r w:rsidRPr="00653DCF">
        <w:rPr>
          <w:color w:val="auto"/>
        </w:rPr>
        <w:fldChar w:fldCharType="begin"/>
      </w:r>
      <w:r w:rsidRPr="00653DCF">
        <w:rPr>
          <w:color w:val="auto"/>
        </w:rPr>
        <w:instrText xml:space="preserve"> REF _Ref426951970 \r \h </w:instrText>
      </w:r>
      <w:r w:rsidRPr="00653DCF">
        <w:rPr>
          <w:color w:val="auto"/>
        </w:rPr>
      </w:r>
      <w:r w:rsidRPr="00653DCF">
        <w:rPr>
          <w:color w:val="auto"/>
        </w:rPr>
        <w:fldChar w:fldCharType="separate"/>
      </w:r>
      <w:r w:rsidR="00E5391B">
        <w:rPr>
          <w:color w:val="auto"/>
        </w:rPr>
        <w:t>1.5.A</w:t>
      </w:r>
      <w:r w:rsidRPr="00653DCF">
        <w:rPr>
          <w:color w:val="auto"/>
        </w:rPr>
        <w:fldChar w:fldCharType="end"/>
      </w:r>
      <w:r w:rsidRPr="00653DCF">
        <w:rPr>
          <w:color w:val="auto"/>
        </w:rPr>
        <w:t>, the Bank may notify the Borrower in writing that such disbursement shall be cancelled and such cancellation shall take effect on the date of such written notification. The amount of the disbursement which is cancelled by the Bank pursuant to this Article </w:t>
      </w:r>
      <w:r w:rsidRPr="00653DCF">
        <w:rPr>
          <w:color w:val="auto"/>
        </w:rPr>
        <w:fldChar w:fldCharType="begin"/>
      </w:r>
      <w:r w:rsidRPr="00653DCF">
        <w:rPr>
          <w:color w:val="auto"/>
        </w:rPr>
        <w:instrText xml:space="preserve"> REF _Ref426952204 \r \h </w:instrText>
      </w:r>
      <w:r w:rsidRPr="00653DCF">
        <w:rPr>
          <w:color w:val="auto"/>
        </w:rPr>
      </w:r>
      <w:r w:rsidRPr="00653DCF">
        <w:rPr>
          <w:color w:val="auto"/>
        </w:rPr>
        <w:fldChar w:fldCharType="separate"/>
      </w:r>
      <w:r w:rsidR="00E5391B">
        <w:rPr>
          <w:color w:val="auto"/>
        </w:rPr>
        <w:t>1.5.B</w:t>
      </w:r>
      <w:r w:rsidRPr="00653DCF">
        <w:rPr>
          <w:color w:val="auto"/>
        </w:rPr>
        <w:fldChar w:fldCharType="end"/>
      </w:r>
      <w:r w:rsidRPr="00653DCF">
        <w:rPr>
          <w:color w:val="auto"/>
        </w:rPr>
        <w:t xml:space="preserve"> shall remain available for disbursement under Article </w:t>
      </w:r>
      <w:r w:rsidRPr="00653DCF">
        <w:rPr>
          <w:color w:val="auto"/>
        </w:rPr>
        <w:fldChar w:fldCharType="begin"/>
      </w:r>
      <w:r w:rsidRPr="00653DCF">
        <w:rPr>
          <w:color w:val="auto"/>
        </w:rPr>
        <w:instrText xml:space="preserve"> REF _Ref426951992 \r \h </w:instrText>
      </w:r>
      <w:r w:rsidRPr="00653DCF">
        <w:rPr>
          <w:color w:val="auto"/>
        </w:rPr>
      </w:r>
      <w:r w:rsidRPr="00653DCF">
        <w:rPr>
          <w:color w:val="auto"/>
        </w:rPr>
        <w:fldChar w:fldCharType="separate"/>
      </w:r>
      <w:r w:rsidR="00E5391B">
        <w:rPr>
          <w:color w:val="auto"/>
        </w:rPr>
        <w:t>1.2</w:t>
      </w:r>
      <w:r w:rsidRPr="00653DCF">
        <w:rPr>
          <w:color w:val="auto"/>
        </w:rPr>
        <w:fldChar w:fldCharType="end"/>
      </w:r>
      <w:r w:rsidRPr="00653DCF">
        <w:rPr>
          <w:color w:val="auto"/>
        </w:rPr>
        <w:t>.</w:t>
      </w:r>
    </w:p>
    <w:p w14:paraId="58320DC2" w14:textId="77777777" w:rsidR="00F0088B" w:rsidRPr="00653DCF" w:rsidRDefault="00F0088B" w:rsidP="007D7C6B">
      <w:pPr>
        <w:pStyle w:val="Heading2"/>
        <w:ind w:left="851"/>
        <w:rPr>
          <w:color w:val="auto"/>
        </w:rPr>
      </w:pPr>
      <w:r w:rsidRPr="00653DCF">
        <w:rPr>
          <w:color w:val="auto"/>
        </w:rPr>
        <w:t xml:space="preserve">Cancellation and suspension </w:t>
      </w:r>
    </w:p>
    <w:p w14:paraId="1346B0A2" w14:textId="77777777" w:rsidR="00F0088B" w:rsidRPr="00653DCF" w:rsidRDefault="00F0088B" w:rsidP="007D7C6B">
      <w:pPr>
        <w:pStyle w:val="Heading3"/>
        <w:ind w:left="851"/>
        <w:rPr>
          <w:color w:val="auto"/>
        </w:rPr>
      </w:pPr>
      <w:r w:rsidRPr="00653DCF">
        <w:rPr>
          <w:color w:val="auto"/>
        </w:rPr>
        <w:t>Borrower’s right to cancel</w:t>
      </w:r>
    </w:p>
    <w:p w14:paraId="19F2F292" w14:textId="77777777" w:rsidR="00F0088B" w:rsidRPr="00653DCF" w:rsidRDefault="00F0088B" w:rsidP="0024686A">
      <w:pPr>
        <w:pStyle w:val="NoIndentEIB"/>
        <w:numPr>
          <w:ilvl w:val="0"/>
          <w:numId w:val="136"/>
        </w:numPr>
        <w:rPr>
          <w:color w:val="auto"/>
        </w:rPr>
      </w:pPr>
      <w:r w:rsidRPr="00653DCF">
        <w:rPr>
          <w:color w:val="auto"/>
        </w:rPr>
        <w:t xml:space="preserve">The Borrower may send a written notice to the Bank requesting a cancellation of the undisbursed Credit or a portion thereof. </w:t>
      </w:r>
    </w:p>
    <w:p w14:paraId="18509BF7" w14:textId="77777777" w:rsidR="00F0088B" w:rsidRPr="00653DCF" w:rsidRDefault="00F0088B" w:rsidP="0024686A">
      <w:pPr>
        <w:pStyle w:val="NoIndentEIB"/>
        <w:numPr>
          <w:ilvl w:val="0"/>
          <w:numId w:val="136"/>
        </w:numPr>
        <w:rPr>
          <w:color w:val="auto"/>
        </w:rPr>
      </w:pPr>
      <w:r w:rsidRPr="00653DCF">
        <w:rPr>
          <w:color w:val="auto"/>
        </w:rPr>
        <w:t>In its written notice, the Borrower:</w:t>
      </w:r>
    </w:p>
    <w:p w14:paraId="677C0CCC" w14:textId="77777777" w:rsidR="00F0088B" w:rsidRPr="00653DCF" w:rsidRDefault="00F0088B" w:rsidP="0024686A">
      <w:pPr>
        <w:pStyle w:val="NoIndentEIB"/>
        <w:numPr>
          <w:ilvl w:val="1"/>
          <w:numId w:val="136"/>
        </w:numPr>
        <w:rPr>
          <w:color w:val="auto"/>
        </w:rPr>
      </w:pPr>
      <w:r w:rsidRPr="00653DCF">
        <w:rPr>
          <w:color w:val="auto"/>
        </w:rPr>
        <w:t xml:space="preserve">must specify whether the Credit shall be cancelled in whole or in part and, if in part, the amount of the Credit to be cancelled; and </w:t>
      </w:r>
    </w:p>
    <w:p w14:paraId="1D03E58C" w14:textId="77777777" w:rsidR="00F0088B" w:rsidRPr="00653DCF" w:rsidRDefault="00F0088B" w:rsidP="0024686A">
      <w:pPr>
        <w:pStyle w:val="NoIndentEIB"/>
        <w:numPr>
          <w:ilvl w:val="1"/>
          <w:numId w:val="136"/>
        </w:numPr>
        <w:rPr>
          <w:color w:val="auto"/>
        </w:rPr>
      </w:pPr>
      <w:r w:rsidRPr="00653DCF">
        <w:rPr>
          <w:color w:val="auto"/>
        </w:rPr>
        <w:t>must not request any cancellation of:</w:t>
      </w:r>
    </w:p>
    <w:p w14:paraId="3989F3DE" w14:textId="77777777" w:rsidR="00F0088B" w:rsidRPr="00653DCF" w:rsidRDefault="00F0088B" w:rsidP="0024686A">
      <w:pPr>
        <w:pStyle w:val="NoIndentEIB"/>
        <w:numPr>
          <w:ilvl w:val="2"/>
          <w:numId w:val="136"/>
        </w:numPr>
        <w:rPr>
          <w:color w:val="auto"/>
        </w:rPr>
      </w:pPr>
      <w:r w:rsidRPr="00653DCF">
        <w:rPr>
          <w:color w:val="auto"/>
        </w:rPr>
        <w:t xml:space="preserve">a Notified Tranche which has a Scheduled Disbursement Date falling within 5 (five) Business Days of the date of such written notice; or </w:t>
      </w:r>
    </w:p>
    <w:p w14:paraId="7C5D547A" w14:textId="77777777" w:rsidR="00F0088B" w:rsidRPr="00653DCF" w:rsidRDefault="00F0088B" w:rsidP="0024686A">
      <w:pPr>
        <w:pStyle w:val="NoIndentEIB"/>
        <w:numPr>
          <w:ilvl w:val="2"/>
          <w:numId w:val="136"/>
        </w:numPr>
        <w:rPr>
          <w:color w:val="auto"/>
        </w:rPr>
      </w:pPr>
      <w:r w:rsidRPr="00653DCF">
        <w:rPr>
          <w:color w:val="auto"/>
        </w:rPr>
        <w:t>a Tranche in respect of which a Disbursement Request has been submitted but no Disbursement Notice has been issued by the Bank.</w:t>
      </w:r>
    </w:p>
    <w:p w14:paraId="237EBB71" w14:textId="77777777" w:rsidR="00F0088B" w:rsidRPr="00653DCF" w:rsidRDefault="00F0088B" w:rsidP="0024686A">
      <w:pPr>
        <w:pStyle w:val="NoIndentEIB"/>
        <w:numPr>
          <w:ilvl w:val="0"/>
          <w:numId w:val="136"/>
        </w:numPr>
        <w:rPr>
          <w:color w:val="auto"/>
        </w:rPr>
      </w:pPr>
      <w:r w:rsidRPr="00653DCF">
        <w:rPr>
          <w:color w:val="auto"/>
        </w:rPr>
        <w:t xml:space="preserve">Upon receipt of such written notice, the Bank shall cancel the requested portion of the Credit with immediate effect. </w:t>
      </w:r>
    </w:p>
    <w:p w14:paraId="4FE99FE9" w14:textId="77777777" w:rsidR="00F0088B" w:rsidRPr="00653DCF" w:rsidRDefault="00F0088B" w:rsidP="007D7C6B">
      <w:pPr>
        <w:pStyle w:val="Heading3"/>
        <w:ind w:left="851"/>
        <w:rPr>
          <w:color w:val="auto"/>
        </w:rPr>
      </w:pPr>
      <w:r w:rsidRPr="00653DCF">
        <w:rPr>
          <w:color w:val="auto"/>
        </w:rPr>
        <w:t>Bank’s right to suspend and cancel</w:t>
      </w:r>
    </w:p>
    <w:p w14:paraId="50A8A0E2" w14:textId="77777777" w:rsidR="00F0088B" w:rsidRPr="00653DCF" w:rsidRDefault="00F0088B" w:rsidP="0024686A">
      <w:pPr>
        <w:pStyle w:val="NoIndentEIB"/>
        <w:numPr>
          <w:ilvl w:val="0"/>
          <w:numId w:val="137"/>
        </w:numPr>
        <w:rPr>
          <w:color w:val="auto"/>
        </w:rPr>
      </w:pPr>
      <w:r w:rsidRPr="00653DCF">
        <w:rPr>
          <w:color w:val="auto"/>
        </w:rPr>
        <w:t>At any time upon the occurrence of the following events, the Bank may notify the Borrower in writing that the undisbursed portion of the Credit shall be suspended and/or (except upon the occurrence of a Market Disruption Event) cancelled in whole or in part:</w:t>
      </w:r>
    </w:p>
    <w:p w14:paraId="7030E5E0" w14:textId="77777777" w:rsidR="00F0088B" w:rsidRPr="00653DCF" w:rsidRDefault="00F0088B" w:rsidP="0024686A">
      <w:pPr>
        <w:pStyle w:val="NoIndentEIB"/>
        <w:numPr>
          <w:ilvl w:val="1"/>
          <w:numId w:val="137"/>
        </w:numPr>
        <w:rPr>
          <w:color w:val="auto"/>
        </w:rPr>
      </w:pPr>
      <w:r w:rsidRPr="00653DCF">
        <w:rPr>
          <w:color w:val="auto"/>
        </w:rPr>
        <w:t>a Prepayment Event;</w:t>
      </w:r>
    </w:p>
    <w:p w14:paraId="1EEFB22C" w14:textId="77777777" w:rsidR="00F0088B" w:rsidRPr="00653DCF" w:rsidRDefault="00F0088B" w:rsidP="0024686A">
      <w:pPr>
        <w:pStyle w:val="NoIndentEIB"/>
        <w:numPr>
          <w:ilvl w:val="1"/>
          <w:numId w:val="137"/>
        </w:numPr>
        <w:rPr>
          <w:color w:val="auto"/>
        </w:rPr>
      </w:pPr>
      <w:r w:rsidRPr="00653DCF">
        <w:rPr>
          <w:color w:val="auto"/>
        </w:rPr>
        <w:t>an Event of Default;</w:t>
      </w:r>
    </w:p>
    <w:p w14:paraId="6C92F5C2" w14:textId="77777777" w:rsidR="00F0088B" w:rsidRPr="00653DCF" w:rsidRDefault="00F0088B" w:rsidP="0024686A">
      <w:pPr>
        <w:pStyle w:val="NoIndentEIB"/>
        <w:numPr>
          <w:ilvl w:val="1"/>
          <w:numId w:val="137"/>
        </w:numPr>
        <w:rPr>
          <w:color w:val="auto"/>
        </w:rPr>
      </w:pPr>
      <w:r w:rsidRPr="00653DCF">
        <w:rPr>
          <w:color w:val="auto"/>
        </w:rPr>
        <w:t>an event or circumstance which would with the passage of time or the giving of notice or the making of any determination under this Contract (or any combination of the foregoing) constitute a Prepayment Event or an Event of Default; or</w:t>
      </w:r>
    </w:p>
    <w:p w14:paraId="5CEB0105" w14:textId="77777777" w:rsidR="00F0088B" w:rsidRPr="00653DCF" w:rsidRDefault="00F0088B" w:rsidP="0024686A">
      <w:pPr>
        <w:pStyle w:val="NoIndentEIB"/>
        <w:numPr>
          <w:ilvl w:val="1"/>
          <w:numId w:val="137"/>
        </w:numPr>
        <w:rPr>
          <w:color w:val="auto"/>
        </w:rPr>
      </w:pPr>
      <w:r w:rsidRPr="00653DCF">
        <w:rPr>
          <w:color w:val="auto"/>
        </w:rPr>
        <w:t>a Market Disruption Event provided the Bank has not issued a Disbursement Notice.</w:t>
      </w:r>
    </w:p>
    <w:p w14:paraId="3E930C3C" w14:textId="77777777" w:rsidR="00F0088B" w:rsidRPr="00653DCF" w:rsidRDefault="00F0088B" w:rsidP="0024686A">
      <w:pPr>
        <w:pStyle w:val="NoIndentEIB"/>
        <w:numPr>
          <w:ilvl w:val="0"/>
          <w:numId w:val="137"/>
        </w:numPr>
        <w:rPr>
          <w:color w:val="auto"/>
        </w:rPr>
      </w:pPr>
      <w:r w:rsidRPr="00653DCF">
        <w:rPr>
          <w:color w:val="auto"/>
        </w:rPr>
        <w:t>On the date of such written notification from the Bank, the relevant portion of the Credit shall be suspended and/or cancelled with immediate effect. Any suspension shall continue until the Bank ends the suspension or cancels the suspended amount.</w:t>
      </w:r>
    </w:p>
    <w:p w14:paraId="2A493775" w14:textId="77777777" w:rsidR="00F0088B" w:rsidRPr="00653DCF" w:rsidRDefault="00F0088B" w:rsidP="007D7C6B">
      <w:pPr>
        <w:pStyle w:val="Heading3"/>
        <w:ind w:left="851"/>
        <w:rPr>
          <w:color w:val="auto"/>
        </w:rPr>
      </w:pPr>
      <w:r w:rsidRPr="00653DCF">
        <w:rPr>
          <w:color w:val="auto"/>
        </w:rPr>
        <w:t>Indemnity for suspension and cancellation of a Tranche</w:t>
      </w:r>
    </w:p>
    <w:p w14:paraId="55E15F4A" w14:textId="77777777" w:rsidR="00F0088B" w:rsidRPr="00653DCF" w:rsidRDefault="00F0088B" w:rsidP="007D7C6B">
      <w:pPr>
        <w:pStyle w:val="Heading4"/>
        <w:ind w:left="851"/>
        <w:rPr>
          <w:color w:val="auto"/>
        </w:rPr>
      </w:pPr>
      <w:r w:rsidRPr="00653DCF">
        <w:rPr>
          <w:color w:val="auto"/>
        </w:rPr>
        <w:t>Suspension</w:t>
      </w:r>
    </w:p>
    <w:p w14:paraId="42118747" w14:textId="77777777" w:rsidR="00F0088B" w:rsidRPr="00653DCF" w:rsidRDefault="00F0088B" w:rsidP="00F0088B">
      <w:pPr>
        <w:rPr>
          <w:color w:val="auto"/>
        </w:rPr>
      </w:pPr>
      <w:r w:rsidRPr="00653DCF">
        <w:rPr>
          <w:color w:val="auto"/>
        </w:rPr>
        <w:t>If the Bank suspends a Notified Tranche upon the occurrence of an Indemnifiable Prepayment Event or an Event of Default or of an event or circumstance which would (with the passage of time or the giving of notice or the making of any determination under this Contract or any combination of the foregoing) constitute an Indemnifiable Prepayment Event or an Event of Default, the Borrower shall pay to the Bank the Deferment Fee calculated on the amount of such Notified Tranche.</w:t>
      </w:r>
    </w:p>
    <w:p w14:paraId="357F9020" w14:textId="77777777" w:rsidR="00F0088B" w:rsidRPr="00653DCF" w:rsidRDefault="00F0088B" w:rsidP="007D7C6B">
      <w:pPr>
        <w:pStyle w:val="Heading4"/>
        <w:ind w:left="851"/>
        <w:rPr>
          <w:color w:val="auto"/>
        </w:rPr>
      </w:pPr>
      <w:r w:rsidRPr="00653DCF">
        <w:rPr>
          <w:color w:val="auto"/>
        </w:rPr>
        <w:t>Cancellation</w:t>
      </w:r>
    </w:p>
    <w:p w14:paraId="79C8F396" w14:textId="77777777" w:rsidR="00F0088B" w:rsidRPr="00653DCF" w:rsidRDefault="00F0088B" w:rsidP="0024686A">
      <w:pPr>
        <w:pStyle w:val="NoIndentEIB"/>
        <w:numPr>
          <w:ilvl w:val="0"/>
          <w:numId w:val="138"/>
        </w:numPr>
        <w:rPr>
          <w:color w:val="auto"/>
        </w:rPr>
      </w:pPr>
      <w:r w:rsidRPr="00653DCF">
        <w:rPr>
          <w:color w:val="auto"/>
        </w:rPr>
        <w:t>If a Notified Tranche which is a Fixed Rate Tranche (the "</w:t>
      </w:r>
      <w:r w:rsidRPr="00653DCF">
        <w:rPr>
          <w:b/>
          <w:color w:val="auto"/>
        </w:rPr>
        <w:t>Cancelled Tranche</w:t>
      </w:r>
      <w:r w:rsidRPr="00653DCF">
        <w:rPr>
          <w:color w:val="auto"/>
        </w:rPr>
        <w:t>") is cancelled:</w:t>
      </w:r>
    </w:p>
    <w:p w14:paraId="2D35CB23" w14:textId="205B162C" w:rsidR="00F0088B" w:rsidRPr="00653DCF" w:rsidRDefault="00F0088B" w:rsidP="0024686A">
      <w:pPr>
        <w:pStyle w:val="NoIndentEIB"/>
        <w:numPr>
          <w:ilvl w:val="0"/>
          <w:numId w:val="167"/>
        </w:numPr>
        <w:rPr>
          <w:color w:val="auto"/>
        </w:rPr>
      </w:pPr>
      <w:r w:rsidRPr="00653DCF">
        <w:rPr>
          <w:color w:val="auto"/>
        </w:rPr>
        <w:t>by the Borrower pursuant to Article </w:t>
      </w:r>
      <w:r w:rsidRPr="00653DCF">
        <w:rPr>
          <w:color w:val="auto"/>
        </w:rPr>
        <w:fldChar w:fldCharType="begin"/>
      </w:r>
      <w:r w:rsidRPr="00653DCF">
        <w:rPr>
          <w:color w:val="auto"/>
        </w:rPr>
        <w:instrText xml:space="preserve"> REF _Ref426952067 \r \h  \* MERGEFORMAT </w:instrText>
      </w:r>
      <w:r w:rsidRPr="00653DCF">
        <w:rPr>
          <w:color w:val="auto"/>
        </w:rPr>
      </w:r>
      <w:r w:rsidRPr="00653DCF">
        <w:rPr>
          <w:color w:val="auto"/>
        </w:rPr>
        <w:fldChar w:fldCharType="separate"/>
      </w:r>
      <w:r w:rsidR="00E5391B">
        <w:rPr>
          <w:color w:val="auto"/>
        </w:rPr>
        <w:t>1.6.A</w:t>
      </w:r>
      <w:r w:rsidRPr="00653DCF">
        <w:rPr>
          <w:color w:val="auto"/>
        </w:rPr>
        <w:fldChar w:fldCharType="end"/>
      </w:r>
      <w:r w:rsidRPr="00653DCF">
        <w:rPr>
          <w:color w:val="auto"/>
        </w:rPr>
        <w:t>; or</w:t>
      </w:r>
    </w:p>
    <w:p w14:paraId="03BECB1F" w14:textId="633DD4E9" w:rsidR="00F0088B" w:rsidRPr="00653DCF" w:rsidRDefault="00F0088B" w:rsidP="0024686A">
      <w:pPr>
        <w:pStyle w:val="NoIndentEIB"/>
        <w:numPr>
          <w:ilvl w:val="0"/>
          <w:numId w:val="167"/>
        </w:numPr>
        <w:rPr>
          <w:color w:val="auto"/>
        </w:rPr>
      </w:pPr>
      <w:r w:rsidRPr="00653DCF">
        <w:rPr>
          <w:color w:val="auto"/>
        </w:rPr>
        <w:t>by the Bank upon an Indemnifiable Prepayment Event or an event or circumstance which would (with the passage of time or the giving of notice or the making of any determination under this Contract or any combination of the foregoing) constitute an Indemnifiable Prepayment Event or pursuant to Article </w:t>
      </w:r>
      <w:r w:rsidRPr="00653DCF">
        <w:rPr>
          <w:color w:val="auto"/>
        </w:rPr>
        <w:fldChar w:fldCharType="begin"/>
      </w:r>
      <w:r w:rsidRPr="00653DCF">
        <w:rPr>
          <w:color w:val="auto"/>
        </w:rPr>
        <w:instrText xml:space="preserve"> REF _Ref426952204 \r \h  \* MERGEFORMAT </w:instrText>
      </w:r>
      <w:r w:rsidRPr="00653DCF">
        <w:rPr>
          <w:color w:val="auto"/>
        </w:rPr>
      </w:r>
      <w:r w:rsidRPr="00653DCF">
        <w:rPr>
          <w:color w:val="auto"/>
        </w:rPr>
        <w:fldChar w:fldCharType="separate"/>
      </w:r>
      <w:r w:rsidR="00E5391B">
        <w:rPr>
          <w:color w:val="auto"/>
        </w:rPr>
        <w:t>1.5.B</w:t>
      </w:r>
      <w:r w:rsidRPr="00653DCF">
        <w:rPr>
          <w:color w:val="auto"/>
        </w:rPr>
        <w:fldChar w:fldCharType="end"/>
      </w:r>
      <w:r w:rsidRPr="00653DCF">
        <w:rPr>
          <w:color w:val="auto"/>
        </w:rPr>
        <w:t>,</w:t>
      </w:r>
    </w:p>
    <w:p w14:paraId="498309BA" w14:textId="77777777" w:rsidR="00F0088B" w:rsidRPr="00653DCF" w:rsidRDefault="00F0088B" w:rsidP="00F0088B">
      <w:pPr>
        <w:ind w:left="1418"/>
        <w:rPr>
          <w:color w:val="auto"/>
        </w:rPr>
      </w:pPr>
      <w:r w:rsidRPr="00653DCF">
        <w:rPr>
          <w:color w:val="auto"/>
        </w:rPr>
        <w:t xml:space="preserve">the Borrower shall pay to the Bank an indemnity on such Cancelled Tranche. </w:t>
      </w:r>
    </w:p>
    <w:p w14:paraId="4318F784" w14:textId="77777777" w:rsidR="00F0088B" w:rsidRPr="00653DCF" w:rsidRDefault="00F0088B" w:rsidP="0024686A">
      <w:pPr>
        <w:pStyle w:val="NoIndentEIB"/>
        <w:numPr>
          <w:ilvl w:val="0"/>
          <w:numId w:val="138"/>
        </w:numPr>
        <w:rPr>
          <w:color w:val="auto"/>
        </w:rPr>
      </w:pPr>
      <w:r w:rsidRPr="00653DCF">
        <w:rPr>
          <w:color w:val="auto"/>
        </w:rPr>
        <w:t>Such indemnity shall be:</w:t>
      </w:r>
    </w:p>
    <w:p w14:paraId="2FDC5FB7" w14:textId="77777777" w:rsidR="00F0088B" w:rsidRPr="00653DCF" w:rsidRDefault="00F0088B" w:rsidP="0024686A">
      <w:pPr>
        <w:pStyle w:val="NoIndentEIB"/>
        <w:numPr>
          <w:ilvl w:val="1"/>
          <w:numId w:val="138"/>
        </w:numPr>
        <w:rPr>
          <w:color w:val="auto"/>
        </w:rPr>
      </w:pPr>
      <w:r w:rsidRPr="00653DCF">
        <w:rPr>
          <w:color w:val="auto"/>
        </w:rPr>
        <w:t>calculated assuming that the Cancelled Tranche had been disbursed and repaid on the same Scheduled Disbursement Date or, to the extent the disbursement of the Tranche is currently deferred or suspended, on the date of the cancellation notice; and</w:t>
      </w:r>
    </w:p>
    <w:p w14:paraId="3450C460" w14:textId="77777777" w:rsidR="00F0088B" w:rsidRPr="00653DCF" w:rsidRDefault="00F0088B" w:rsidP="0024686A">
      <w:pPr>
        <w:pStyle w:val="NoIndentEIB"/>
        <w:numPr>
          <w:ilvl w:val="1"/>
          <w:numId w:val="138"/>
        </w:numPr>
        <w:rPr>
          <w:color w:val="auto"/>
        </w:rPr>
      </w:pPr>
      <w:r w:rsidRPr="00653DCF">
        <w:rPr>
          <w:color w:val="auto"/>
        </w:rPr>
        <w:t xml:space="preserve"> in the amount communicated by the Bank to the Borrower as the present value (calculated as of the date of cancellation) of the excess, if any, of:</w:t>
      </w:r>
    </w:p>
    <w:p w14:paraId="198A6900" w14:textId="5310A725" w:rsidR="00F0088B" w:rsidRPr="00653DCF" w:rsidRDefault="00F0088B" w:rsidP="0024686A">
      <w:pPr>
        <w:pStyle w:val="NoIndentEIB"/>
        <w:numPr>
          <w:ilvl w:val="2"/>
          <w:numId w:val="138"/>
        </w:numPr>
        <w:rPr>
          <w:color w:val="auto"/>
        </w:rPr>
      </w:pPr>
      <w:r w:rsidRPr="00653DCF">
        <w:rPr>
          <w:color w:val="auto"/>
        </w:rPr>
        <w:t xml:space="preserve">the interest that would accrue thereafter on the Cancelled Tranche over the period from the date of cancellation pursuant to this </w:t>
      </w:r>
      <w:r w:rsidRPr="00653DCF">
        <w:rPr>
          <w:color w:val="auto"/>
        </w:rPr>
        <w:br/>
        <w:t xml:space="preserve">Article </w:t>
      </w:r>
      <w:r w:rsidRPr="00653DCF">
        <w:rPr>
          <w:color w:val="auto"/>
        </w:rPr>
        <w:fldChar w:fldCharType="begin"/>
      </w:r>
      <w:r w:rsidRPr="00653DCF">
        <w:rPr>
          <w:color w:val="auto"/>
        </w:rPr>
        <w:instrText xml:space="preserve"> REF _Ref486412104 \r \h </w:instrText>
      </w:r>
      <w:r w:rsidRPr="00653DCF">
        <w:rPr>
          <w:color w:val="auto"/>
        </w:rPr>
      </w:r>
      <w:r w:rsidRPr="00653DCF">
        <w:rPr>
          <w:color w:val="auto"/>
        </w:rPr>
        <w:fldChar w:fldCharType="separate"/>
      </w:r>
      <w:r w:rsidR="00E5391B">
        <w:rPr>
          <w:color w:val="auto"/>
        </w:rPr>
        <w:t>1.6.C(2)</w:t>
      </w:r>
      <w:r w:rsidRPr="00653DCF">
        <w:rPr>
          <w:color w:val="auto"/>
        </w:rPr>
        <w:fldChar w:fldCharType="end"/>
      </w:r>
      <w:r w:rsidRPr="00653DCF">
        <w:rPr>
          <w:color w:val="auto"/>
        </w:rPr>
        <w:t>, to the Interest Revision/Conversion Date, if any, or the Maturity Date, if it were not cancelled; over</w:t>
      </w:r>
    </w:p>
    <w:p w14:paraId="6DEADB78" w14:textId="77777777" w:rsidR="00F0088B" w:rsidRPr="00653DCF" w:rsidRDefault="00F0088B" w:rsidP="0024686A">
      <w:pPr>
        <w:pStyle w:val="NoIndentEIB"/>
        <w:numPr>
          <w:ilvl w:val="2"/>
          <w:numId w:val="138"/>
        </w:numPr>
        <w:rPr>
          <w:color w:val="auto"/>
        </w:rPr>
      </w:pPr>
      <w:r w:rsidRPr="00653DCF">
        <w:rPr>
          <w:color w:val="auto"/>
        </w:rPr>
        <w:t>the interest that would so accrue over that period, if it were calculated at the Redeployment Rate, less 0.19% (nineteen basis points).</w:t>
      </w:r>
    </w:p>
    <w:p w14:paraId="65F28CD1" w14:textId="77777777" w:rsidR="00F0088B" w:rsidRPr="00653DCF" w:rsidRDefault="00F0088B" w:rsidP="00F0088B">
      <w:pPr>
        <w:pStyle w:val="NoIndentEIB"/>
        <w:ind w:left="1423"/>
        <w:rPr>
          <w:color w:val="auto"/>
        </w:rPr>
      </w:pPr>
      <w:r w:rsidRPr="00653DCF">
        <w:rPr>
          <w:color w:val="auto"/>
        </w:rPr>
        <w:t xml:space="preserve">The said present value shall be calculated at a discount rate equal to the Redeployment Rate applied as of each relevant Payment Date of the applicable Tranche. </w:t>
      </w:r>
    </w:p>
    <w:p w14:paraId="25112271" w14:textId="48CEE411" w:rsidR="00F0088B" w:rsidRPr="00653DCF" w:rsidRDefault="00F0088B" w:rsidP="0024686A">
      <w:pPr>
        <w:pStyle w:val="NoIndentEIB"/>
        <w:numPr>
          <w:ilvl w:val="0"/>
          <w:numId w:val="138"/>
        </w:numPr>
        <w:rPr>
          <w:color w:val="auto"/>
        </w:rPr>
      </w:pPr>
      <w:r w:rsidRPr="00653DCF">
        <w:rPr>
          <w:color w:val="auto"/>
        </w:rPr>
        <w:t>If the Bank cancels any Notified Tranche upon the occurrence of an Event of Default, the Borrower shall indemnify the Bank in accordance with Article </w:t>
      </w:r>
      <w:r w:rsidRPr="00653DCF">
        <w:rPr>
          <w:color w:val="auto"/>
        </w:rPr>
        <w:fldChar w:fldCharType="begin"/>
      </w:r>
      <w:r w:rsidRPr="00653DCF">
        <w:rPr>
          <w:color w:val="auto"/>
        </w:rPr>
        <w:instrText xml:space="preserve"> REF _Ref426625437 \r \h </w:instrText>
      </w:r>
      <w:r w:rsidRPr="00653DCF">
        <w:rPr>
          <w:color w:val="auto"/>
        </w:rPr>
      </w:r>
      <w:r w:rsidRPr="00653DCF">
        <w:rPr>
          <w:color w:val="auto"/>
        </w:rPr>
        <w:fldChar w:fldCharType="separate"/>
      </w:r>
      <w:r w:rsidR="00E5391B">
        <w:rPr>
          <w:color w:val="auto"/>
        </w:rPr>
        <w:t>10.3</w:t>
      </w:r>
      <w:r w:rsidRPr="00653DCF">
        <w:rPr>
          <w:color w:val="auto"/>
        </w:rPr>
        <w:fldChar w:fldCharType="end"/>
      </w:r>
      <w:r w:rsidRPr="00653DCF">
        <w:rPr>
          <w:color w:val="auto"/>
        </w:rPr>
        <w:t>.</w:t>
      </w:r>
    </w:p>
    <w:p w14:paraId="1D630DD6" w14:textId="77777777" w:rsidR="00F0088B" w:rsidRPr="00653DCF" w:rsidRDefault="00F0088B" w:rsidP="007D7C6B">
      <w:pPr>
        <w:pStyle w:val="Heading2"/>
        <w:ind w:left="851"/>
        <w:rPr>
          <w:color w:val="auto"/>
        </w:rPr>
      </w:pPr>
      <w:r w:rsidRPr="00653DCF">
        <w:rPr>
          <w:color w:val="auto"/>
        </w:rPr>
        <w:t>Cancellation after expiry of the Credit</w:t>
      </w:r>
    </w:p>
    <w:p w14:paraId="7C169AD6" w14:textId="40AD992C" w:rsidR="00F0088B" w:rsidRPr="00653DCF" w:rsidRDefault="00F0088B" w:rsidP="00F0088B">
      <w:pPr>
        <w:rPr>
          <w:color w:val="auto"/>
        </w:rPr>
      </w:pPr>
      <w:r w:rsidRPr="00653DCF">
        <w:rPr>
          <w:color w:val="auto"/>
        </w:rPr>
        <w:t>On the day following the Final Availability Date, unless otherwise specifically notified in writing by the Bank to the Borrower, any part of the Credit in respect of which no Disbursement Request has been made in accordance with Article </w:t>
      </w:r>
      <w:r w:rsidRPr="00653DCF">
        <w:rPr>
          <w:color w:val="auto"/>
        </w:rPr>
        <w:fldChar w:fldCharType="begin"/>
      </w:r>
      <w:r w:rsidRPr="00653DCF">
        <w:rPr>
          <w:color w:val="auto"/>
        </w:rPr>
        <w:instrText xml:space="preserve"> REF _Ref426638944 \r \h  \* MERGEFORMAT </w:instrText>
      </w:r>
      <w:r w:rsidRPr="00653DCF">
        <w:rPr>
          <w:color w:val="auto"/>
        </w:rPr>
      </w:r>
      <w:r w:rsidRPr="00653DCF">
        <w:rPr>
          <w:color w:val="auto"/>
        </w:rPr>
        <w:fldChar w:fldCharType="separate"/>
      </w:r>
      <w:r w:rsidR="00E5391B">
        <w:rPr>
          <w:color w:val="auto"/>
        </w:rPr>
        <w:t>1.2.B</w:t>
      </w:r>
      <w:r w:rsidRPr="00653DCF">
        <w:rPr>
          <w:color w:val="auto"/>
        </w:rPr>
        <w:fldChar w:fldCharType="end"/>
      </w:r>
      <w:r w:rsidRPr="00653DCF">
        <w:rPr>
          <w:color w:val="auto"/>
        </w:rPr>
        <w:t xml:space="preserve"> shall be automatically cancelled, without any further notice from the Bank to the Borrower and without any liability arising on the part of either Party. </w:t>
      </w:r>
    </w:p>
    <w:p w14:paraId="0A3F0A9E" w14:textId="5CC142C6" w:rsidR="00F0088B" w:rsidRPr="00653DCF" w:rsidRDefault="00F0088B" w:rsidP="007D7C6B">
      <w:pPr>
        <w:pStyle w:val="Heading2"/>
        <w:ind w:left="851"/>
        <w:rPr>
          <w:color w:val="auto"/>
        </w:rPr>
      </w:pPr>
      <w:r w:rsidRPr="00653DCF">
        <w:rPr>
          <w:color w:val="auto"/>
        </w:rPr>
        <w:t xml:space="preserve">Sums due under Articles </w:t>
      </w:r>
      <w:r w:rsidRPr="00653DCF">
        <w:rPr>
          <w:color w:val="auto"/>
        </w:rPr>
        <w:fldChar w:fldCharType="begin"/>
      </w:r>
      <w:r w:rsidRPr="00653DCF">
        <w:rPr>
          <w:color w:val="auto"/>
        </w:rPr>
        <w:instrText xml:space="preserve"> REF _Ref508628930 \r \h </w:instrText>
      </w:r>
      <w:r w:rsidRPr="00653DCF">
        <w:rPr>
          <w:color w:val="auto"/>
        </w:rPr>
      </w:r>
      <w:r w:rsidRPr="00653DCF">
        <w:rPr>
          <w:color w:val="auto"/>
        </w:rPr>
        <w:fldChar w:fldCharType="separate"/>
      </w:r>
      <w:r w:rsidR="00E5391B">
        <w:rPr>
          <w:color w:val="auto"/>
        </w:rPr>
        <w:t>1.5</w:t>
      </w:r>
      <w:r w:rsidRPr="00653DCF">
        <w:rPr>
          <w:color w:val="auto"/>
        </w:rPr>
        <w:fldChar w:fldCharType="end"/>
      </w:r>
      <w:r w:rsidRPr="00653DCF">
        <w:rPr>
          <w:color w:val="auto"/>
        </w:rPr>
        <w:t xml:space="preserve"> and </w:t>
      </w:r>
      <w:r w:rsidRPr="00653DCF">
        <w:rPr>
          <w:color w:val="auto"/>
        </w:rPr>
        <w:fldChar w:fldCharType="begin"/>
      </w:r>
      <w:r w:rsidRPr="00653DCF">
        <w:rPr>
          <w:color w:val="auto"/>
        </w:rPr>
        <w:instrText xml:space="preserve"> REF _Ref426952415 \r \h </w:instrText>
      </w:r>
      <w:r w:rsidRPr="00653DCF">
        <w:rPr>
          <w:color w:val="auto"/>
        </w:rPr>
      </w:r>
      <w:r w:rsidRPr="00653DCF">
        <w:rPr>
          <w:color w:val="auto"/>
        </w:rPr>
        <w:fldChar w:fldCharType="separate"/>
      </w:r>
      <w:r w:rsidR="00E5391B">
        <w:rPr>
          <w:color w:val="auto"/>
        </w:rPr>
        <w:t>1.6</w:t>
      </w:r>
      <w:r w:rsidRPr="00653DCF">
        <w:rPr>
          <w:color w:val="auto"/>
        </w:rPr>
        <w:fldChar w:fldCharType="end"/>
      </w:r>
    </w:p>
    <w:p w14:paraId="2F870114" w14:textId="68FCCC08" w:rsidR="00F0088B" w:rsidRPr="00653DCF" w:rsidRDefault="00F0088B" w:rsidP="00F0088B">
      <w:pPr>
        <w:rPr>
          <w:color w:val="auto"/>
        </w:rPr>
      </w:pPr>
      <w:r w:rsidRPr="00653DCF">
        <w:rPr>
          <w:color w:val="auto"/>
        </w:rPr>
        <w:t>Sums due under Articles </w:t>
      </w:r>
      <w:r w:rsidRPr="00653DCF">
        <w:rPr>
          <w:color w:val="auto"/>
        </w:rPr>
        <w:fldChar w:fldCharType="begin"/>
      </w:r>
      <w:r w:rsidRPr="00653DCF">
        <w:rPr>
          <w:color w:val="auto"/>
        </w:rPr>
        <w:instrText xml:space="preserve"> REF _Ref508628864 \r \h </w:instrText>
      </w:r>
      <w:r w:rsidRPr="00653DCF">
        <w:rPr>
          <w:color w:val="auto"/>
        </w:rPr>
      </w:r>
      <w:r w:rsidRPr="00653DCF">
        <w:rPr>
          <w:color w:val="auto"/>
        </w:rPr>
        <w:fldChar w:fldCharType="separate"/>
      </w:r>
      <w:r w:rsidR="00E5391B">
        <w:rPr>
          <w:color w:val="auto"/>
        </w:rPr>
        <w:t>1.5</w:t>
      </w:r>
      <w:r w:rsidRPr="00653DCF">
        <w:rPr>
          <w:color w:val="auto"/>
        </w:rPr>
        <w:fldChar w:fldCharType="end"/>
      </w:r>
      <w:r w:rsidRPr="00653DCF">
        <w:rPr>
          <w:color w:val="auto"/>
        </w:rPr>
        <w:t xml:space="preserve"> and </w:t>
      </w:r>
      <w:r w:rsidRPr="00653DCF">
        <w:rPr>
          <w:color w:val="auto"/>
        </w:rPr>
        <w:fldChar w:fldCharType="begin"/>
      </w:r>
      <w:r w:rsidRPr="00653DCF">
        <w:rPr>
          <w:color w:val="auto"/>
        </w:rPr>
        <w:instrText xml:space="preserve"> REF _Ref426952486 \r \h </w:instrText>
      </w:r>
      <w:r w:rsidRPr="00653DCF">
        <w:rPr>
          <w:color w:val="auto"/>
        </w:rPr>
      </w:r>
      <w:r w:rsidRPr="00653DCF">
        <w:rPr>
          <w:color w:val="auto"/>
        </w:rPr>
        <w:fldChar w:fldCharType="separate"/>
      </w:r>
      <w:r w:rsidR="00E5391B">
        <w:rPr>
          <w:color w:val="auto"/>
        </w:rPr>
        <w:t>1.6</w:t>
      </w:r>
      <w:r w:rsidRPr="00653DCF">
        <w:rPr>
          <w:color w:val="auto"/>
        </w:rPr>
        <w:fldChar w:fldCharType="end"/>
      </w:r>
      <w:r w:rsidRPr="00653DCF">
        <w:rPr>
          <w:color w:val="auto"/>
        </w:rPr>
        <w:t xml:space="preserve"> shall be payable:</w:t>
      </w:r>
    </w:p>
    <w:p w14:paraId="69412026" w14:textId="77777777" w:rsidR="00F0088B" w:rsidRPr="00653DCF" w:rsidRDefault="00F0088B" w:rsidP="0024686A">
      <w:pPr>
        <w:pStyle w:val="NoIndentEIB"/>
        <w:numPr>
          <w:ilvl w:val="0"/>
          <w:numId w:val="139"/>
        </w:numPr>
        <w:rPr>
          <w:color w:val="auto"/>
        </w:rPr>
      </w:pPr>
      <w:r w:rsidRPr="00653DCF">
        <w:rPr>
          <w:color w:val="auto"/>
        </w:rPr>
        <w:t xml:space="preserve">in EUR; and </w:t>
      </w:r>
    </w:p>
    <w:p w14:paraId="027B4161" w14:textId="77777777" w:rsidR="00F0088B" w:rsidRPr="00653DCF" w:rsidRDefault="00F0088B" w:rsidP="0024686A">
      <w:pPr>
        <w:pStyle w:val="NoIndentEIB"/>
        <w:numPr>
          <w:ilvl w:val="0"/>
          <w:numId w:val="139"/>
        </w:numPr>
        <w:rPr>
          <w:color w:val="auto"/>
        </w:rPr>
      </w:pPr>
      <w:r w:rsidRPr="00653DCF">
        <w:rPr>
          <w:color w:val="auto"/>
        </w:rPr>
        <w:t>within 15 (fifteen) days of the Borrower’s receipt of the Bank’s demand or within any longer period specified in the Bank’s demand.</w:t>
      </w:r>
    </w:p>
    <w:p w14:paraId="4D87C51C" w14:textId="77777777" w:rsidR="00F0088B" w:rsidRPr="00653DCF" w:rsidRDefault="00F0088B" w:rsidP="007D7C6B">
      <w:pPr>
        <w:pStyle w:val="Heading2"/>
        <w:ind w:left="851"/>
        <w:rPr>
          <w:color w:val="auto"/>
        </w:rPr>
      </w:pPr>
      <w:r w:rsidRPr="00653DCF">
        <w:rPr>
          <w:color w:val="auto"/>
        </w:rPr>
        <w:t xml:space="preserve">Allocation and reallocation of Credit or Loan </w:t>
      </w:r>
    </w:p>
    <w:p w14:paraId="6CA196B8" w14:textId="77777777" w:rsidR="00F0088B" w:rsidRPr="00653DCF" w:rsidRDefault="00F0088B" w:rsidP="007D7C6B">
      <w:pPr>
        <w:pStyle w:val="Heading3"/>
        <w:ind w:left="851"/>
        <w:rPr>
          <w:color w:val="auto"/>
        </w:rPr>
      </w:pPr>
      <w:r w:rsidRPr="00653DCF">
        <w:rPr>
          <w:color w:val="auto"/>
        </w:rPr>
        <w:t xml:space="preserve">Allocation procedure </w:t>
      </w:r>
    </w:p>
    <w:p w14:paraId="0E1FEFA2" w14:textId="77777777" w:rsidR="00F0088B" w:rsidRPr="00653DCF" w:rsidRDefault="00F0088B" w:rsidP="00F0088B">
      <w:pPr>
        <w:widowControl w:val="0"/>
        <w:rPr>
          <w:color w:val="auto"/>
        </w:rPr>
      </w:pPr>
      <w:r w:rsidRPr="00653DCF">
        <w:rPr>
          <w:color w:val="auto"/>
        </w:rPr>
        <w:t>Between the date hereof and the date falling 3 (three) months before the Final Availability Date (the "</w:t>
      </w:r>
      <w:r w:rsidRPr="00653DCF">
        <w:rPr>
          <w:rStyle w:val="BoldEIB"/>
          <w:color w:val="auto"/>
        </w:rPr>
        <w:t>Allocation Period</w:t>
      </w:r>
      <w:r w:rsidRPr="00653DCF">
        <w:rPr>
          <w:color w:val="auto"/>
        </w:rPr>
        <w:t>"), the Borrower (acting through the Promoter) may submit to the Bank a request for allocation (hereinafter referred to as the "</w:t>
      </w:r>
      <w:r w:rsidRPr="00653DCF">
        <w:rPr>
          <w:rStyle w:val="BoldEIB"/>
          <w:color w:val="auto"/>
        </w:rPr>
        <w:t>Allocation Request</w:t>
      </w:r>
      <w:r w:rsidRPr="00653DCF">
        <w:rPr>
          <w:color w:val="auto"/>
        </w:rPr>
        <w:t xml:space="preserve">"). In order to qualify for financing hereunder, each Scheme has to meet the Bank's eligibility criteria and comply with the Technical Description (Schedule A). </w:t>
      </w:r>
    </w:p>
    <w:p w14:paraId="7A38C4C8" w14:textId="77777777" w:rsidR="00F0088B" w:rsidRPr="00653DCF" w:rsidRDefault="00F0088B" w:rsidP="007D7C6B">
      <w:pPr>
        <w:pStyle w:val="Heading3"/>
        <w:ind w:left="851"/>
        <w:rPr>
          <w:color w:val="auto"/>
        </w:rPr>
      </w:pPr>
      <w:r w:rsidRPr="00653DCF">
        <w:rPr>
          <w:color w:val="auto"/>
        </w:rPr>
        <w:t>Allocation Request</w:t>
      </w:r>
    </w:p>
    <w:p w14:paraId="6EE22FEE" w14:textId="77777777" w:rsidR="00F0088B" w:rsidRPr="00653DCF" w:rsidRDefault="00F0088B" w:rsidP="0024686A">
      <w:pPr>
        <w:widowControl w:val="0"/>
        <w:numPr>
          <w:ilvl w:val="0"/>
          <w:numId w:val="140"/>
        </w:numPr>
        <w:rPr>
          <w:color w:val="auto"/>
        </w:rPr>
      </w:pPr>
      <w:r w:rsidRPr="00653DCF">
        <w:rPr>
          <w:color w:val="auto"/>
        </w:rPr>
        <w:t>The Borrower (acting through the Promoter) may submit to the Bank one or more Allocation Requests under this Contract.</w:t>
      </w:r>
    </w:p>
    <w:p w14:paraId="7655A04A" w14:textId="2BEFC5DC" w:rsidR="00F0088B" w:rsidRPr="00653DCF" w:rsidRDefault="00F0088B" w:rsidP="0024686A">
      <w:pPr>
        <w:widowControl w:val="0"/>
        <w:numPr>
          <w:ilvl w:val="0"/>
          <w:numId w:val="140"/>
        </w:numPr>
        <w:rPr>
          <w:color w:val="auto"/>
        </w:rPr>
      </w:pPr>
      <w:r w:rsidRPr="00653DCF">
        <w:rPr>
          <w:color w:val="auto"/>
        </w:rPr>
        <w:t xml:space="preserve">The availability of the </w:t>
      </w:r>
      <w:r w:rsidRPr="00653DCF">
        <w:rPr>
          <w:rFonts w:cs="Arial"/>
          <w:color w:val="auto"/>
        </w:rPr>
        <w:t xml:space="preserve">EIB Funds </w:t>
      </w:r>
      <w:r w:rsidRPr="00653DCF">
        <w:rPr>
          <w:color w:val="auto"/>
        </w:rPr>
        <w:t xml:space="preserve">with respect to any Scheme shall be established by successive allocations of the </w:t>
      </w:r>
      <w:r w:rsidRPr="00653DCF">
        <w:rPr>
          <w:rFonts w:cs="Arial"/>
          <w:color w:val="auto"/>
        </w:rPr>
        <w:t>EIB Funds</w:t>
      </w:r>
      <w:r w:rsidRPr="00653DCF">
        <w:rPr>
          <w:color w:val="auto"/>
        </w:rPr>
        <w:t xml:space="preserve"> to eligible Schemes made by the Bank in accordance with the procedure described in this Article </w:t>
      </w:r>
      <w:r w:rsidRPr="00653DCF">
        <w:rPr>
          <w:color w:val="auto"/>
        </w:rPr>
        <w:fldChar w:fldCharType="begin"/>
      </w:r>
      <w:r w:rsidRPr="00653DCF">
        <w:rPr>
          <w:color w:val="auto"/>
        </w:rPr>
        <w:instrText xml:space="preserve"> REF _Ref440726568 \r \h </w:instrText>
      </w:r>
      <w:r w:rsidRPr="00653DCF">
        <w:rPr>
          <w:color w:val="auto"/>
        </w:rPr>
      </w:r>
      <w:r w:rsidRPr="00653DCF">
        <w:rPr>
          <w:color w:val="auto"/>
        </w:rPr>
        <w:fldChar w:fldCharType="separate"/>
      </w:r>
      <w:r w:rsidR="00E5391B">
        <w:rPr>
          <w:color w:val="auto"/>
        </w:rPr>
        <w:t>1.9</w:t>
      </w:r>
      <w:r w:rsidRPr="00653DCF">
        <w:rPr>
          <w:color w:val="auto"/>
        </w:rPr>
        <w:fldChar w:fldCharType="end"/>
      </w:r>
      <w:r w:rsidRPr="00653DCF">
        <w:rPr>
          <w:color w:val="auto"/>
        </w:rPr>
        <w:t xml:space="preserve"> and in Sections A.1.1 to A.1.4 of Schedule </w:t>
      </w:r>
      <w:r w:rsidRPr="00653DCF">
        <w:rPr>
          <w:color w:val="auto"/>
        </w:rPr>
        <w:fldChar w:fldCharType="begin"/>
      </w:r>
      <w:r w:rsidRPr="00653DCF">
        <w:rPr>
          <w:color w:val="auto"/>
        </w:rPr>
        <w:instrText xml:space="preserve"> REF _Ref426640808 \r \h </w:instrText>
      </w:r>
      <w:r w:rsidRPr="00653DCF">
        <w:rPr>
          <w:color w:val="auto"/>
        </w:rPr>
      </w:r>
      <w:r w:rsidRPr="00653DCF">
        <w:rPr>
          <w:color w:val="auto"/>
        </w:rPr>
        <w:fldChar w:fldCharType="separate"/>
      </w:r>
      <w:r w:rsidR="00E5391B">
        <w:rPr>
          <w:color w:val="auto"/>
        </w:rPr>
        <w:t>A.1</w:t>
      </w:r>
      <w:r w:rsidRPr="00653DCF">
        <w:rPr>
          <w:color w:val="auto"/>
        </w:rPr>
        <w:fldChar w:fldCharType="end"/>
      </w:r>
      <w:r w:rsidRPr="00653DCF">
        <w:rPr>
          <w:color w:val="auto"/>
        </w:rPr>
        <w:t>.</w:t>
      </w:r>
    </w:p>
    <w:p w14:paraId="4DF32733" w14:textId="77777777" w:rsidR="00F0088B" w:rsidRPr="00653DCF" w:rsidRDefault="00F0088B" w:rsidP="0024686A">
      <w:pPr>
        <w:widowControl w:val="0"/>
        <w:numPr>
          <w:ilvl w:val="0"/>
          <w:numId w:val="140"/>
        </w:numPr>
        <w:rPr>
          <w:color w:val="auto"/>
        </w:rPr>
      </w:pPr>
      <w:r w:rsidRPr="00653DCF">
        <w:rPr>
          <w:color w:val="auto"/>
        </w:rPr>
        <w:t>Each Allocation Request for a Scheme to be co-financed with the EU Funds must be submitted together with evidence of EU Funds available for co-financing of such a Scheme.</w:t>
      </w:r>
    </w:p>
    <w:p w14:paraId="0433B429" w14:textId="77777777" w:rsidR="00F0088B" w:rsidRPr="00653DCF" w:rsidRDefault="00F0088B" w:rsidP="0024686A">
      <w:pPr>
        <w:widowControl w:val="0"/>
        <w:numPr>
          <w:ilvl w:val="0"/>
          <w:numId w:val="140"/>
        </w:numPr>
        <w:rPr>
          <w:color w:val="auto"/>
        </w:rPr>
      </w:pPr>
      <w:r w:rsidRPr="00653DCF">
        <w:rPr>
          <w:color w:val="auto"/>
        </w:rPr>
        <w:t>The Bank shall have full discretion whether or not to approve the Allocation Request submitted by the Borrower (acting through the Promoter) following such examination of a Scheme as the Bank deems necessary. The Bank shall, in the event of approval of the Allocation Request, issue a letter of allocation ("</w:t>
      </w:r>
      <w:r w:rsidRPr="00653DCF">
        <w:rPr>
          <w:b/>
          <w:color w:val="auto"/>
        </w:rPr>
        <w:t>Letter of Allocation</w:t>
      </w:r>
      <w:r w:rsidRPr="00653DCF">
        <w:rPr>
          <w:color w:val="auto"/>
        </w:rPr>
        <w:t>"), informing the Borrower (through the Promoter) of its approval of the Scheme(s) submitted and specifying the amount of the EIB Funds, allocated to any such Scheme.</w:t>
      </w:r>
    </w:p>
    <w:p w14:paraId="4E933A32" w14:textId="77777777" w:rsidR="00F0088B" w:rsidRPr="00653DCF" w:rsidRDefault="00F0088B" w:rsidP="007D7C6B">
      <w:pPr>
        <w:pStyle w:val="Heading3"/>
        <w:ind w:left="851"/>
        <w:rPr>
          <w:color w:val="auto"/>
        </w:rPr>
      </w:pPr>
      <w:r w:rsidRPr="00653DCF">
        <w:rPr>
          <w:color w:val="auto"/>
        </w:rPr>
        <w:t>Re-allocation</w:t>
      </w:r>
    </w:p>
    <w:p w14:paraId="012C7DF0" w14:textId="77777777" w:rsidR="00F0088B" w:rsidRPr="00653DCF" w:rsidRDefault="00F0088B" w:rsidP="007D7C6B">
      <w:pPr>
        <w:pStyle w:val="Heading4"/>
        <w:ind w:left="851"/>
        <w:rPr>
          <w:color w:val="auto"/>
        </w:rPr>
      </w:pPr>
      <w:r w:rsidRPr="00653DCF">
        <w:rPr>
          <w:color w:val="auto"/>
        </w:rPr>
        <w:t>RE-ALLOCATION AT THE REQUEST OF THE BORROWER (acting through the Promoter)</w:t>
      </w:r>
    </w:p>
    <w:p w14:paraId="22E817A3" w14:textId="5344CD76" w:rsidR="00F0088B" w:rsidRPr="00653DCF" w:rsidRDefault="00F0088B" w:rsidP="00F0088B">
      <w:pPr>
        <w:rPr>
          <w:color w:val="auto"/>
        </w:rPr>
      </w:pPr>
      <w:r w:rsidRPr="00653DCF">
        <w:rPr>
          <w:color w:val="auto"/>
        </w:rPr>
        <w:t xml:space="preserve">Until the date falling on 3 (three) months before the Final Availability Date the Borrower (acting through the Promoter) may, subject to the procedure described in Articles </w:t>
      </w:r>
      <w:r w:rsidRPr="00653DCF">
        <w:rPr>
          <w:color w:val="auto"/>
        </w:rPr>
        <w:fldChar w:fldCharType="begin"/>
      </w:r>
      <w:r w:rsidRPr="00653DCF">
        <w:rPr>
          <w:color w:val="auto"/>
        </w:rPr>
        <w:instrText xml:space="preserve"> REF _Ref440723950 \r \h </w:instrText>
      </w:r>
      <w:r w:rsidRPr="00653DCF">
        <w:rPr>
          <w:color w:val="auto"/>
        </w:rPr>
      </w:r>
      <w:r w:rsidRPr="00653DCF">
        <w:rPr>
          <w:color w:val="auto"/>
        </w:rPr>
        <w:fldChar w:fldCharType="separate"/>
      </w:r>
      <w:r w:rsidR="00E5391B">
        <w:rPr>
          <w:color w:val="auto"/>
        </w:rPr>
        <w:t>1.9.A</w:t>
      </w:r>
      <w:r w:rsidRPr="00653DCF">
        <w:rPr>
          <w:color w:val="auto"/>
        </w:rPr>
        <w:fldChar w:fldCharType="end"/>
      </w:r>
      <w:r w:rsidRPr="00653DCF">
        <w:rPr>
          <w:color w:val="auto"/>
        </w:rPr>
        <w:t xml:space="preserve"> and </w:t>
      </w:r>
      <w:r w:rsidRPr="00653DCF">
        <w:rPr>
          <w:color w:val="auto"/>
        </w:rPr>
        <w:fldChar w:fldCharType="begin"/>
      </w:r>
      <w:r w:rsidRPr="00653DCF">
        <w:rPr>
          <w:color w:val="auto"/>
        </w:rPr>
        <w:instrText xml:space="preserve"> REF _Ref440724023 \r \h </w:instrText>
      </w:r>
      <w:r w:rsidRPr="00653DCF">
        <w:rPr>
          <w:color w:val="auto"/>
        </w:rPr>
      </w:r>
      <w:r w:rsidRPr="00653DCF">
        <w:rPr>
          <w:color w:val="auto"/>
        </w:rPr>
        <w:fldChar w:fldCharType="separate"/>
      </w:r>
      <w:r w:rsidR="00E5391B">
        <w:rPr>
          <w:color w:val="auto"/>
        </w:rPr>
        <w:t>1.9.B</w:t>
      </w:r>
      <w:r w:rsidRPr="00653DCF">
        <w:rPr>
          <w:color w:val="auto"/>
        </w:rPr>
        <w:fldChar w:fldCharType="end"/>
      </w:r>
      <w:r w:rsidRPr="00653DCF">
        <w:rPr>
          <w:color w:val="auto"/>
        </w:rPr>
        <w:t>, request the Bank to re-allocate any part of the EIB Funds, which has been already allocated. The Promoter’s request should include the reasons for the requested re-allocation.</w:t>
      </w:r>
    </w:p>
    <w:p w14:paraId="3CDF8B94" w14:textId="77777777" w:rsidR="00F0088B" w:rsidRPr="00653DCF" w:rsidRDefault="00F0088B" w:rsidP="007D7C6B">
      <w:pPr>
        <w:pStyle w:val="Heading4"/>
        <w:ind w:left="851"/>
        <w:rPr>
          <w:color w:val="auto"/>
        </w:rPr>
      </w:pPr>
      <w:r w:rsidRPr="00653DCF">
        <w:rPr>
          <w:color w:val="auto"/>
        </w:rPr>
        <w:t>RE-ALLOCATION AT THE REQUEST OF THE BANK</w:t>
      </w:r>
    </w:p>
    <w:p w14:paraId="66FA770E" w14:textId="20766445" w:rsidR="00F0088B" w:rsidRPr="00653DCF" w:rsidRDefault="00F0088B" w:rsidP="00F0088B">
      <w:pPr>
        <w:widowControl w:val="0"/>
        <w:rPr>
          <w:color w:val="auto"/>
        </w:rPr>
      </w:pPr>
      <w:r w:rsidRPr="00653DCF">
        <w:rPr>
          <w:color w:val="auto"/>
        </w:rPr>
        <w:t xml:space="preserve">The Borrower shall propose to re-allocate any part of the EIB Funds which has been allocated in accordance with Article </w:t>
      </w:r>
      <w:r w:rsidRPr="00653DCF">
        <w:rPr>
          <w:color w:val="auto"/>
        </w:rPr>
        <w:fldChar w:fldCharType="begin"/>
      </w:r>
      <w:r w:rsidRPr="00653DCF">
        <w:rPr>
          <w:color w:val="auto"/>
        </w:rPr>
        <w:instrText xml:space="preserve"> REF _Ref440724023 \r \h </w:instrText>
      </w:r>
      <w:r w:rsidRPr="00653DCF">
        <w:rPr>
          <w:color w:val="auto"/>
        </w:rPr>
      </w:r>
      <w:r w:rsidRPr="00653DCF">
        <w:rPr>
          <w:color w:val="auto"/>
        </w:rPr>
        <w:fldChar w:fldCharType="separate"/>
      </w:r>
      <w:r w:rsidR="00E5391B">
        <w:rPr>
          <w:color w:val="auto"/>
        </w:rPr>
        <w:t>1.9.B</w:t>
      </w:r>
      <w:r w:rsidRPr="00653DCF">
        <w:rPr>
          <w:color w:val="auto"/>
        </w:rPr>
        <w:fldChar w:fldCharType="end"/>
      </w:r>
      <w:r w:rsidRPr="00653DCF">
        <w:rPr>
          <w:color w:val="auto"/>
        </w:rPr>
        <w:t>, if any Scheme subject to the Letter of Allocation from the Bank, is or becomes, in the opinion of the Bank, ineligible for financing by the Bank under the Bank's Statute, policies or guidelines or under article 309 of the Treaty on the Functioning of the European Union. The Bank shall notify its opinion to the Promoter in writing.</w:t>
      </w:r>
    </w:p>
    <w:p w14:paraId="31B644C7" w14:textId="77777777" w:rsidR="00F0088B" w:rsidRPr="00653DCF" w:rsidRDefault="00F0088B" w:rsidP="007D7C6B">
      <w:pPr>
        <w:pStyle w:val="Heading4"/>
        <w:ind w:left="851"/>
        <w:rPr>
          <w:color w:val="auto"/>
        </w:rPr>
      </w:pPr>
      <w:r w:rsidRPr="00653DCF">
        <w:rPr>
          <w:color w:val="auto"/>
        </w:rPr>
        <w:t xml:space="preserve">RE-ALLOCATION PROCEDURES </w:t>
      </w:r>
    </w:p>
    <w:p w14:paraId="38796753" w14:textId="77777777" w:rsidR="00F0088B" w:rsidRPr="00653DCF" w:rsidRDefault="00F0088B" w:rsidP="00F0088B">
      <w:pPr>
        <w:widowControl w:val="0"/>
        <w:rPr>
          <w:color w:val="auto"/>
        </w:rPr>
      </w:pPr>
      <w:r w:rsidRPr="00653DCF">
        <w:rPr>
          <w:color w:val="auto"/>
        </w:rPr>
        <w:t xml:space="preserve">The Bank shall carry out any such examination or appraisal, based on such information or documents as the Bank may reasonably require from the Borrower or Promoter with respect to the financing, procurement, implementation, operation and environmental or social impact of, or for a Scheme proposed for re-allocation. </w:t>
      </w:r>
    </w:p>
    <w:p w14:paraId="247DBD9C" w14:textId="77777777" w:rsidR="00F0088B" w:rsidRPr="00653DCF" w:rsidRDefault="00F0088B" w:rsidP="00F0088B">
      <w:pPr>
        <w:widowControl w:val="0"/>
        <w:rPr>
          <w:color w:val="auto"/>
        </w:rPr>
      </w:pPr>
      <w:r w:rsidRPr="00653DCF">
        <w:rPr>
          <w:color w:val="auto"/>
        </w:rPr>
        <w:t>The Bank shall, in the event of approval, issue a Letter of Allocation.</w:t>
      </w:r>
    </w:p>
    <w:p w14:paraId="06DFD714" w14:textId="26E214A8" w:rsidR="00F0088B" w:rsidRPr="001B1253" w:rsidRDefault="001B1253" w:rsidP="00C40040">
      <w:pPr>
        <w:pStyle w:val="ENGLESKI"/>
      </w:pPr>
      <w:r w:rsidRPr="001B1253">
        <w:t>ARTICLE 2</w:t>
      </w:r>
    </w:p>
    <w:p w14:paraId="544ABFBB" w14:textId="77777777" w:rsidR="00F0088B" w:rsidRPr="00653DCF" w:rsidRDefault="00F0088B" w:rsidP="00F0088B">
      <w:pPr>
        <w:pStyle w:val="ArticleTitleEIB"/>
        <w:rPr>
          <w:color w:val="auto"/>
        </w:rPr>
      </w:pPr>
      <w:r w:rsidRPr="00653DCF">
        <w:rPr>
          <w:color w:val="auto"/>
        </w:rPr>
        <w:t>The Loan</w:t>
      </w:r>
    </w:p>
    <w:p w14:paraId="52AA3BE1"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p>
    <w:p w14:paraId="67C8037F" w14:textId="77777777" w:rsidR="00F0088B" w:rsidRPr="00653DCF" w:rsidRDefault="00F0088B" w:rsidP="007D7C6B">
      <w:pPr>
        <w:pStyle w:val="Heading2"/>
        <w:ind w:left="851"/>
        <w:rPr>
          <w:color w:val="auto"/>
        </w:rPr>
      </w:pPr>
      <w:r w:rsidRPr="00653DCF">
        <w:rPr>
          <w:color w:val="auto"/>
        </w:rPr>
        <w:t>Amount of Loan</w:t>
      </w:r>
    </w:p>
    <w:p w14:paraId="7F3B1A64" w14:textId="5E96CE3C" w:rsidR="00F0088B" w:rsidRPr="00653DCF" w:rsidRDefault="00F0088B" w:rsidP="00F0088B">
      <w:pPr>
        <w:rPr>
          <w:color w:val="auto"/>
        </w:rPr>
      </w:pPr>
      <w:r w:rsidRPr="00653DCF">
        <w:rPr>
          <w:color w:val="auto"/>
        </w:rPr>
        <w:t>The Loan shall comprise the aggregate amount of Tranches disbursed by the Bank under the Credit, as confirmed by the Bank pursuant to Article </w:t>
      </w:r>
      <w:r w:rsidRPr="00653DCF">
        <w:rPr>
          <w:color w:val="auto"/>
        </w:rPr>
        <w:fldChar w:fldCharType="begin"/>
      </w:r>
      <w:r w:rsidRPr="00653DCF">
        <w:rPr>
          <w:color w:val="auto"/>
        </w:rPr>
        <w:instrText xml:space="preserve"> REF _Ref426952530 \r \h </w:instrText>
      </w:r>
      <w:r w:rsidRPr="00653DCF">
        <w:rPr>
          <w:color w:val="auto"/>
        </w:rPr>
      </w:r>
      <w:r w:rsidRPr="00653DCF">
        <w:rPr>
          <w:color w:val="auto"/>
        </w:rPr>
        <w:fldChar w:fldCharType="separate"/>
      </w:r>
      <w:r w:rsidR="00E5391B">
        <w:rPr>
          <w:color w:val="auto"/>
        </w:rPr>
        <w:t>2.3</w:t>
      </w:r>
      <w:r w:rsidRPr="00653DCF">
        <w:rPr>
          <w:color w:val="auto"/>
        </w:rPr>
        <w:fldChar w:fldCharType="end"/>
      </w:r>
      <w:r w:rsidRPr="00653DCF">
        <w:rPr>
          <w:color w:val="auto"/>
        </w:rPr>
        <w:t>.</w:t>
      </w:r>
    </w:p>
    <w:p w14:paraId="197066D1" w14:textId="77777777" w:rsidR="00F0088B" w:rsidRPr="00653DCF" w:rsidRDefault="00F0088B" w:rsidP="007D7C6B">
      <w:pPr>
        <w:pStyle w:val="Heading2"/>
        <w:ind w:left="851"/>
        <w:rPr>
          <w:color w:val="auto"/>
        </w:rPr>
      </w:pPr>
      <w:r w:rsidRPr="00653DCF">
        <w:rPr>
          <w:color w:val="auto"/>
        </w:rPr>
        <w:t xml:space="preserve">Currency of payments </w:t>
      </w:r>
    </w:p>
    <w:p w14:paraId="08251667" w14:textId="77777777" w:rsidR="00F0088B" w:rsidRPr="00653DCF" w:rsidRDefault="00F0088B" w:rsidP="00F0088B">
      <w:pPr>
        <w:rPr>
          <w:color w:val="auto"/>
        </w:rPr>
      </w:pPr>
      <w:r w:rsidRPr="00653DCF">
        <w:rPr>
          <w:color w:val="auto"/>
        </w:rPr>
        <w:t>The Borrower shall pay interest, principal and other charges payable in respect of each Tranche in the currency in which the Tranche is disbursed.</w:t>
      </w:r>
    </w:p>
    <w:p w14:paraId="11D922EB" w14:textId="77777777" w:rsidR="00F0088B" w:rsidRPr="00653DCF" w:rsidRDefault="00F0088B" w:rsidP="00F0088B">
      <w:pPr>
        <w:rPr>
          <w:color w:val="auto"/>
        </w:rPr>
      </w:pPr>
      <w:r w:rsidRPr="00653DCF">
        <w:rPr>
          <w:color w:val="auto"/>
        </w:rPr>
        <w:t>Other payments, if any, shall be made in the currency specified by the Bank having regard to the currency of the expenditure to be reimbursed by means of that payment.</w:t>
      </w:r>
    </w:p>
    <w:p w14:paraId="521D5F5F" w14:textId="77777777" w:rsidR="00F0088B" w:rsidRPr="00653DCF" w:rsidRDefault="00F0088B" w:rsidP="007D7C6B">
      <w:pPr>
        <w:pStyle w:val="Heading2"/>
        <w:ind w:left="851"/>
        <w:rPr>
          <w:color w:val="auto"/>
        </w:rPr>
      </w:pPr>
      <w:r w:rsidRPr="00653DCF">
        <w:rPr>
          <w:color w:val="auto"/>
        </w:rPr>
        <w:t>Confirmation by the Bank</w:t>
      </w:r>
    </w:p>
    <w:p w14:paraId="4BE09CB9" w14:textId="009268D1" w:rsidR="00F0088B" w:rsidRPr="00653DCF" w:rsidRDefault="00F0088B" w:rsidP="00F0088B">
      <w:pPr>
        <w:rPr>
          <w:color w:val="auto"/>
        </w:rPr>
      </w:pPr>
      <w:r w:rsidRPr="00653DCF">
        <w:rPr>
          <w:color w:val="auto"/>
        </w:rPr>
        <w:t>The Bank shall deliver to the Borrower the amortisation table referred to in Article </w:t>
      </w:r>
      <w:r w:rsidRPr="00653DCF">
        <w:rPr>
          <w:color w:val="auto"/>
        </w:rPr>
        <w:fldChar w:fldCharType="begin"/>
      </w:r>
      <w:r w:rsidRPr="00653DCF">
        <w:rPr>
          <w:color w:val="auto"/>
        </w:rPr>
        <w:instrText xml:space="preserve"> REF _Ref426952561 \r \h </w:instrText>
      </w:r>
      <w:r w:rsidRPr="00653DCF">
        <w:rPr>
          <w:color w:val="auto"/>
        </w:rPr>
      </w:r>
      <w:r w:rsidRPr="00653DCF">
        <w:rPr>
          <w:color w:val="auto"/>
        </w:rPr>
        <w:fldChar w:fldCharType="separate"/>
      </w:r>
      <w:r w:rsidR="00E5391B">
        <w:rPr>
          <w:color w:val="auto"/>
        </w:rPr>
        <w:t>članak 4</w:t>
      </w:r>
      <w:r w:rsidRPr="00653DCF">
        <w:rPr>
          <w:color w:val="auto"/>
        </w:rPr>
        <w:fldChar w:fldCharType="end"/>
      </w:r>
      <w:r w:rsidRPr="00653DCF">
        <w:rPr>
          <w:color w:val="auto"/>
        </w:rPr>
        <w:t xml:space="preserve">, if any, showing the Disbursement Date, the currency, the amount disbursed, the repayment terms and the interest rate for each Tranche, not later than 10 (ten) calendar days after the Scheduled Disbursement Date for such Tranche. </w:t>
      </w:r>
    </w:p>
    <w:p w14:paraId="02E93D8D" w14:textId="574AC863" w:rsidR="00F0088B" w:rsidRPr="00653DCF" w:rsidRDefault="00B70FBE" w:rsidP="00C40040">
      <w:pPr>
        <w:pStyle w:val="ENGLESKI"/>
      </w:pPr>
      <w:r>
        <w:t>ARTICLE 3</w:t>
      </w:r>
    </w:p>
    <w:p w14:paraId="48EB039E" w14:textId="77777777" w:rsidR="00F0088B" w:rsidRPr="00653DCF" w:rsidRDefault="00F0088B" w:rsidP="00F0088B">
      <w:pPr>
        <w:pStyle w:val="ArticleTitleEIB"/>
        <w:rPr>
          <w:color w:val="auto"/>
        </w:rPr>
      </w:pPr>
      <w:r w:rsidRPr="00653DCF">
        <w:rPr>
          <w:color w:val="auto"/>
        </w:rPr>
        <w:t>Interest</w:t>
      </w:r>
    </w:p>
    <w:p w14:paraId="7AF6A37B"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p>
    <w:p w14:paraId="62EAA9C8" w14:textId="77777777" w:rsidR="00F0088B" w:rsidRPr="00653DCF" w:rsidRDefault="00F0088B" w:rsidP="007D7C6B">
      <w:pPr>
        <w:pStyle w:val="Heading2"/>
        <w:ind w:left="851"/>
        <w:rPr>
          <w:color w:val="auto"/>
        </w:rPr>
      </w:pPr>
      <w:r w:rsidRPr="00653DCF">
        <w:rPr>
          <w:color w:val="auto"/>
        </w:rPr>
        <w:t>Rate of interest</w:t>
      </w:r>
    </w:p>
    <w:p w14:paraId="5F80407C" w14:textId="77777777" w:rsidR="00F0088B" w:rsidRPr="00653DCF" w:rsidRDefault="00F0088B" w:rsidP="007D7C6B">
      <w:pPr>
        <w:pStyle w:val="Heading3"/>
        <w:ind w:left="851"/>
        <w:rPr>
          <w:color w:val="auto"/>
        </w:rPr>
      </w:pPr>
      <w:bookmarkStart w:id="923" w:name="_Toc475441137"/>
      <w:bookmarkStart w:id="924" w:name="_Toc498018632"/>
      <w:bookmarkStart w:id="925" w:name="_Toc508120491"/>
      <w:bookmarkStart w:id="926" w:name="_Toc126080683"/>
      <w:bookmarkStart w:id="927" w:name="_Toc126080815"/>
      <w:r w:rsidRPr="00653DCF">
        <w:rPr>
          <w:color w:val="auto"/>
        </w:rPr>
        <w:t>Fixed Rate Tranches</w:t>
      </w:r>
      <w:bookmarkEnd w:id="923"/>
      <w:bookmarkEnd w:id="924"/>
      <w:bookmarkEnd w:id="925"/>
      <w:bookmarkEnd w:id="926"/>
      <w:bookmarkEnd w:id="927"/>
    </w:p>
    <w:p w14:paraId="5636C54A" w14:textId="77777777" w:rsidR="00F0088B" w:rsidRPr="00653DCF" w:rsidRDefault="00F0088B" w:rsidP="00F0088B">
      <w:pPr>
        <w:rPr>
          <w:color w:val="auto"/>
        </w:rPr>
      </w:pPr>
      <w:r w:rsidRPr="00653DCF">
        <w:rPr>
          <w:color w:val="auto"/>
        </w:rPr>
        <w:t>The Borrower shall pay interest on the outstanding balance of each Fixed Rate Tranche at the Fixed Rate quarterly, semi-annually or annually in arrear on the relevant Payment Dates as specified in the Disbursement Notice,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Date.</w:t>
      </w:r>
    </w:p>
    <w:p w14:paraId="0E3B8579" w14:textId="2BF4C700" w:rsidR="00F0088B" w:rsidRPr="00653DCF" w:rsidRDefault="00F0088B" w:rsidP="00F0088B">
      <w:pPr>
        <w:rPr>
          <w:color w:val="auto"/>
        </w:rPr>
      </w:pPr>
      <w:r w:rsidRPr="00653DCF">
        <w:rPr>
          <w:color w:val="auto"/>
        </w:rPr>
        <w:t>Interest shall be calculated on the basis of Article </w:t>
      </w:r>
      <w:r w:rsidRPr="00653DCF">
        <w:rPr>
          <w:color w:val="auto"/>
        </w:rPr>
        <w:fldChar w:fldCharType="begin"/>
      </w:r>
      <w:r w:rsidRPr="00653DCF">
        <w:rPr>
          <w:color w:val="auto"/>
        </w:rPr>
        <w:instrText xml:space="preserve"> REF _Ref426952698 \r \h </w:instrText>
      </w:r>
      <w:r w:rsidRPr="00653DCF">
        <w:rPr>
          <w:color w:val="auto"/>
        </w:rPr>
      </w:r>
      <w:r w:rsidRPr="00653DCF">
        <w:rPr>
          <w:color w:val="auto"/>
        </w:rPr>
        <w:fldChar w:fldCharType="separate"/>
      </w:r>
      <w:r w:rsidR="00E5391B">
        <w:rPr>
          <w:color w:val="auto"/>
        </w:rPr>
        <w:t>članak 5</w:t>
      </w:r>
      <w:r w:rsidRPr="00653DCF">
        <w:rPr>
          <w:color w:val="auto"/>
        </w:rPr>
        <w:fldChar w:fldCharType="end"/>
      </w:r>
      <w:r w:rsidRPr="00653DCF">
        <w:rPr>
          <w:color w:val="auto"/>
        </w:rPr>
        <w:fldChar w:fldCharType="begin"/>
      </w:r>
      <w:r w:rsidRPr="00653DCF">
        <w:rPr>
          <w:color w:val="auto"/>
        </w:rPr>
        <w:instrText xml:space="preserve"> REF _Ref426952723 \r \h </w:instrText>
      </w:r>
      <w:r w:rsidRPr="00653DCF">
        <w:rPr>
          <w:color w:val="auto"/>
        </w:rPr>
      </w:r>
      <w:r w:rsidRPr="00653DCF">
        <w:rPr>
          <w:color w:val="auto"/>
        </w:rPr>
        <w:fldChar w:fldCharType="separate"/>
      </w:r>
      <w:r w:rsidR="00E5391B">
        <w:rPr>
          <w:color w:val="auto"/>
        </w:rPr>
        <w:t>(a)</w:t>
      </w:r>
      <w:r w:rsidRPr="00653DCF">
        <w:rPr>
          <w:color w:val="auto"/>
        </w:rPr>
        <w:fldChar w:fldCharType="end"/>
      </w:r>
      <w:r w:rsidRPr="00653DCF">
        <w:rPr>
          <w:color w:val="auto"/>
        </w:rPr>
        <w:t xml:space="preserve">. </w:t>
      </w:r>
    </w:p>
    <w:p w14:paraId="1C7C216A" w14:textId="77777777" w:rsidR="00F0088B" w:rsidRPr="00653DCF" w:rsidRDefault="00F0088B" w:rsidP="007D7C6B">
      <w:pPr>
        <w:pStyle w:val="Heading3"/>
        <w:ind w:left="851"/>
        <w:rPr>
          <w:color w:val="auto"/>
        </w:rPr>
      </w:pPr>
      <w:bookmarkStart w:id="928" w:name="_Toc475441138"/>
      <w:bookmarkStart w:id="929" w:name="_Toc498018633"/>
      <w:bookmarkStart w:id="930" w:name="_Toc508120492"/>
      <w:bookmarkStart w:id="931" w:name="_Toc126080684"/>
      <w:bookmarkStart w:id="932" w:name="_Toc126080816"/>
      <w:r w:rsidRPr="00653DCF">
        <w:rPr>
          <w:color w:val="auto"/>
        </w:rPr>
        <w:t>Floating Rate Tranches</w:t>
      </w:r>
      <w:bookmarkEnd w:id="928"/>
      <w:bookmarkEnd w:id="929"/>
      <w:bookmarkEnd w:id="930"/>
      <w:bookmarkEnd w:id="931"/>
      <w:bookmarkEnd w:id="932"/>
    </w:p>
    <w:p w14:paraId="611AAAA9" w14:textId="77777777" w:rsidR="00F0088B" w:rsidRPr="00653DCF" w:rsidRDefault="00F0088B" w:rsidP="00F0088B">
      <w:pPr>
        <w:rPr>
          <w:color w:val="auto"/>
        </w:rPr>
      </w:pPr>
      <w:r w:rsidRPr="00653DCF">
        <w:rPr>
          <w:color w:val="auto"/>
        </w:rPr>
        <w:t>The Borrower shall pay interest on the outstanding balance of each Floating Rate Tranche at the Floating Rate quarterly or semi-annually in arrear on the relevant Payment Dates, as specified in the Disbursement Notice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Date.</w:t>
      </w:r>
    </w:p>
    <w:p w14:paraId="5711F65A" w14:textId="77777777" w:rsidR="00F0088B" w:rsidRPr="00653DCF" w:rsidRDefault="00F0088B" w:rsidP="00F0088B">
      <w:pPr>
        <w:rPr>
          <w:color w:val="auto"/>
        </w:rPr>
      </w:pPr>
      <w:r w:rsidRPr="00653DCF">
        <w:rPr>
          <w:color w:val="auto"/>
        </w:rPr>
        <w:t>The Bank shall notify the Borrower of the Floating Rate within 10 (ten) days following the commencement of each Floating Rate Reference Period.</w:t>
      </w:r>
    </w:p>
    <w:p w14:paraId="6724B62E" w14:textId="402A82A3" w:rsidR="00F0088B" w:rsidRPr="00653DCF" w:rsidRDefault="00F0088B" w:rsidP="00F0088B">
      <w:pPr>
        <w:rPr>
          <w:color w:val="auto"/>
        </w:rPr>
      </w:pPr>
      <w:r w:rsidRPr="00653DCF">
        <w:rPr>
          <w:color w:val="auto"/>
        </w:rPr>
        <w:t>If pursuant to Articles </w:t>
      </w:r>
      <w:r w:rsidRPr="00653DCF">
        <w:rPr>
          <w:color w:val="auto"/>
        </w:rPr>
        <w:fldChar w:fldCharType="begin"/>
      </w:r>
      <w:r w:rsidRPr="00653DCF">
        <w:rPr>
          <w:color w:val="auto"/>
        </w:rPr>
        <w:instrText xml:space="preserve"> REF _Ref511816249 \r \h </w:instrText>
      </w:r>
      <w:r w:rsidRPr="00653DCF">
        <w:rPr>
          <w:color w:val="auto"/>
        </w:rPr>
      </w:r>
      <w:r w:rsidRPr="00653DCF">
        <w:rPr>
          <w:color w:val="auto"/>
        </w:rPr>
        <w:fldChar w:fldCharType="separate"/>
      </w:r>
      <w:r w:rsidR="00E5391B">
        <w:rPr>
          <w:color w:val="auto"/>
        </w:rPr>
        <w:t>1.5</w:t>
      </w:r>
      <w:r w:rsidRPr="00653DCF">
        <w:rPr>
          <w:color w:val="auto"/>
        </w:rPr>
        <w:fldChar w:fldCharType="end"/>
      </w:r>
      <w:r w:rsidRPr="00653DCF">
        <w:rPr>
          <w:color w:val="auto"/>
        </w:rPr>
        <w:t xml:space="preserve"> and </w:t>
      </w:r>
      <w:r w:rsidRPr="00653DCF">
        <w:rPr>
          <w:color w:val="auto"/>
        </w:rPr>
        <w:fldChar w:fldCharType="begin"/>
      </w:r>
      <w:r w:rsidRPr="00653DCF">
        <w:rPr>
          <w:color w:val="auto"/>
        </w:rPr>
        <w:instrText xml:space="preserve"> REF _Ref426975375 \r \h </w:instrText>
      </w:r>
      <w:r w:rsidRPr="00653DCF">
        <w:rPr>
          <w:color w:val="auto"/>
        </w:rPr>
      </w:r>
      <w:r w:rsidRPr="00653DCF">
        <w:rPr>
          <w:color w:val="auto"/>
        </w:rPr>
        <w:fldChar w:fldCharType="separate"/>
      </w:r>
      <w:r w:rsidR="00E5391B">
        <w:rPr>
          <w:color w:val="auto"/>
        </w:rPr>
        <w:t>1.6</w:t>
      </w:r>
      <w:r w:rsidRPr="00653DCF">
        <w:rPr>
          <w:color w:val="auto"/>
        </w:rPr>
        <w:fldChar w:fldCharType="end"/>
      </w:r>
      <w:r w:rsidRPr="00653DCF">
        <w:rPr>
          <w:color w:val="auto"/>
        </w:rPr>
        <w:t xml:space="preserve"> disbursement of any Floating Rate Tranche takes place after the Scheduled Disbursement Date the EURIBOR applicable to the first Floating Rate Reference Period shall be determined in accordance with </w:t>
      </w:r>
      <w:r w:rsidRPr="00653DCF">
        <w:rPr>
          <w:color w:val="auto"/>
        </w:rPr>
        <w:fldChar w:fldCharType="begin"/>
      </w:r>
      <w:r w:rsidRPr="00653DCF">
        <w:rPr>
          <w:color w:val="auto"/>
        </w:rPr>
        <w:instrText xml:space="preserve"> REF _Ref426714274 \r \h </w:instrText>
      </w:r>
      <w:r w:rsidRPr="00653DCF">
        <w:rPr>
          <w:color w:val="auto"/>
        </w:rPr>
      </w:r>
      <w:r w:rsidRPr="00653DCF">
        <w:rPr>
          <w:color w:val="auto"/>
        </w:rPr>
        <w:fldChar w:fldCharType="separate"/>
      </w:r>
      <w:r w:rsidR="00E5391B">
        <w:rPr>
          <w:color w:val="auto"/>
        </w:rPr>
        <w:t>Prilog B</w:t>
      </w:r>
      <w:r w:rsidRPr="00653DCF">
        <w:rPr>
          <w:color w:val="auto"/>
        </w:rPr>
        <w:fldChar w:fldCharType="end"/>
      </w:r>
      <w:r w:rsidRPr="00653DCF">
        <w:rPr>
          <w:color w:val="auto"/>
        </w:rPr>
        <w:t xml:space="preserve"> for the Floating Rate Reference Period commencing on the Disbursement Date and not on the Scheduled Disbursement Date.</w:t>
      </w:r>
    </w:p>
    <w:p w14:paraId="066DFA9A" w14:textId="4B37B5C7" w:rsidR="00F0088B" w:rsidRPr="00653DCF" w:rsidRDefault="00F0088B" w:rsidP="00F0088B">
      <w:pPr>
        <w:rPr>
          <w:color w:val="auto"/>
        </w:rPr>
      </w:pPr>
      <w:r w:rsidRPr="00653DCF">
        <w:rPr>
          <w:color w:val="auto"/>
        </w:rPr>
        <w:t>Interest shall be calculated in respect of each Floating Rate Reference Period on the basis of Article </w:t>
      </w:r>
      <w:r w:rsidRPr="00653DCF">
        <w:rPr>
          <w:color w:val="auto"/>
        </w:rPr>
        <w:fldChar w:fldCharType="begin"/>
      </w:r>
      <w:r w:rsidRPr="00653DCF">
        <w:rPr>
          <w:color w:val="auto"/>
        </w:rPr>
        <w:instrText xml:space="preserve"> REF _Ref426981587 \w \h </w:instrText>
      </w:r>
      <w:r w:rsidRPr="00653DCF">
        <w:rPr>
          <w:color w:val="auto"/>
        </w:rPr>
      </w:r>
      <w:r w:rsidRPr="00653DCF">
        <w:rPr>
          <w:color w:val="auto"/>
        </w:rPr>
        <w:fldChar w:fldCharType="separate"/>
      </w:r>
      <w:r w:rsidR="00E5391B">
        <w:rPr>
          <w:color w:val="auto"/>
        </w:rPr>
        <w:t>članak 5</w:t>
      </w:r>
      <w:r w:rsidRPr="00653DCF">
        <w:rPr>
          <w:color w:val="auto"/>
        </w:rPr>
        <w:fldChar w:fldCharType="end"/>
      </w:r>
      <w:r w:rsidRPr="00653DCF">
        <w:rPr>
          <w:color w:val="auto"/>
        </w:rPr>
        <w:fldChar w:fldCharType="begin"/>
      </w:r>
      <w:r w:rsidRPr="00653DCF">
        <w:rPr>
          <w:color w:val="auto"/>
        </w:rPr>
        <w:instrText xml:space="preserve"> REF _Ref426981522 \w \h \d " "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w:t>
      </w:r>
    </w:p>
    <w:p w14:paraId="44338B09" w14:textId="77777777" w:rsidR="00F0088B" w:rsidRPr="00653DCF" w:rsidRDefault="00F0088B" w:rsidP="007D7C6B">
      <w:pPr>
        <w:pStyle w:val="Heading3"/>
        <w:ind w:left="851"/>
        <w:rPr>
          <w:color w:val="auto"/>
        </w:rPr>
      </w:pPr>
      <w:r w:rsidRPr="00653DCF">
        <w:rPr>
          <w:color w:val="auto"/>
        </w:rPr>
        <w:t>Revision or Conversion of Tranches</w:t>
      </w:r>
    </w:p>
    <w:p w14:paraId="0869AEBE" w14:textId="2815A5F7" w:rsidR="00F0088B" w:rsidRPr="00653DCF" w:rsidRDefault="00F0088B" w:rsidP="00F0088B">
      <w:pPr>
        <w:rPr>
          <w:color w:val="auto"/>
        </w:rPr>
      </w:pPr>
      <w:r w:rsidRPr="00653DCF">
        <w:rPr>
          <w:color w:val="auto"/>
        </w:rPr>
        <w:t xml:space="preserve">Where the Borrower exercises an option to revise or convert the interest rate basis of a Tranche, it shall, from the effective Interest Revision/Conversion Date (in accordance with the procedure set out in </w:t>
      </w:r>
      <w:r w:rsidRPr="00653DCF">
        <w:rPr>
          <w:color w:val="auto"/>
        </w:rPr>
        <w:fldChar w:fldCharType="begin"/>
      </w:r>
      <w:r w:rsidRPr="00653DCF">
        <w:rPr>
          <w:color w:val="auto"/>
        </w:rPr>
        <w:instrText xml:space="preserve"> REF _Ref42343330 \r \h </w:instrText>
      </w:r>
      <w:r w:rsidRPr="00653DCF">
        <w:rPr>
          <w:color w:val="auto"/>
        </w:rPr>
      </w:r>
      <w:r w:rsidRPr="00653DCF">
        <w:rPr>
          <w:color w:val="auto"/>
        </w:rPr>
        <w:fldChar w:fldCharType="separate"/>
      </w:r>
      <w:r w:rsidR="00E5391B">
        <w:rPr>
          <w:color w:val="auto"/>
        </w:rPr>
        <w:t>Prilog D</w:t>
      </w:r>
      <w:r w:rsidRPr="00653DCF">
        <w:rPr>
          <w:color w:val="auto"/>
        </w:rPr>
        <w:fldChar w:fldCharType="end"/>
      </w:r>
      <w:r w:rsidRPr="00653DCF">
        <w:rPr>
          <w:color w:val="auto"/>
        </w:rPr>
        <w:t xml:space="preserve">) pay interest at a rate determined in accordance with the provisions of </w:t>
      </w:r>
      <w:r w:rsidRPr="00653DCF">
        <w:rPr>
          <w:color w:val="auto"/>
        </w:rPr>
        <w:fldChar w:fldCharType="begin"/>
      </w:r>
      <w:r w:rsidRPr="00653DCF">
        <w:rPr>
          <w:color w:val="auto"/>
        </w:rPr>
        <w:instrText xml:space="preserve"> REF _Ref42343330 \r \h </w:instrText>
      </w:r>
      <w:r w:rsidRPr="00653DCF">
        <w:rPr>
          <w:color w:val="auto"/>
        </w:rPr>
      </w:r>
      <w:r w:rsidRPr="00653DCF">
        <w:rPr>
          <w:color w:val="auto"/>
        </w:rPr>
        <w:fldChar w:fldCharType="separate"/>
      </w:r>
      <w:r w:rsidR="00E5391B">
        <w:rPr>
          <w:color w:val="auto"/>
        </w:rPr>
        <w:t>Prilog D</w:t>
      </w:r>
      <w:r w:rsidRPr="00653DCF">
        <w:rPr>
          <w:color w:val="auto"/>
        </w:rPr>
        <w:fldChar w:fldCharType="end"/>
      </w:r>
      <w:r w:rsidRPr="00653DCF">
        <w:rPr>
          <w:color w:val="auto"/>
        </w:rPr>
        <w:t>.</w:t>
      </w:r>
    </w:p>
    <w:p w14:paraId="596153AA" w14:textId="77777777" w:rsidR="00F0088B" w:rsidRPr="00653DCF" w:rsidRDefault="00F0088B" w:rsidP="007D7C6B">
      <w:pPr>
        <w:pStyle w:val="Heading2"/>
        <w:ind w:left="851"/>
        <w:rPr>
          <w:color w:val="auto"/>
        </w:rPr>
      </w:pPr>
      <w:r w:rsidRPr="00653DCF">
        <w:rPr>
          <w:color w:val="auto"/>
        </w:rPr>
        <w:t>Interest on overdue sums</w:t>
      </w:r>
    </w:p>
    <w:p w14:paraId="05D373C8" w14:textId="701B4E09" w:rsidR="00F0088B" w:rsidRPr="00653DCF" w:rsidRDefault="00F0088B" w:rsidP="00F0088B">
      <w:pPr>
        <w:pStyle w:val="NoIndentEIB"/>
        <w:ind w:left="856"/>
        <w:rPr>
          <w:color w:val="auto"/>
        </w:rPr>
      </w:pPr>
      <w:r w:rsidRPr="00653DCF">
        <w:rPr>
          <w:color w:val="auto"/>
        </w:rPr>
        <w:t xml:space="preserve">Without prejudice to </w:t>
      </w:r>
      <w:r w:rsidRPr="00653DCF">
        <w:rPr>
          <w:color w:val="auto"/>
        </w:rPr>
        <w:fldChar w:fldCharType="begin"/>
      </w:r>
      <w:r w:rsidRPr="00653DCF">
        <w:rPr>
          <w:color w:val="auto"/>
        </w:rPr>
        <w:instrText xml:space="preserve"> REF _Ref426981731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 xml:space="preserve"> and by way of exception to Article </w:t>
      </w:r>
      <w:r w:rsidRPr="00653DCF">
        <w:rPr>
          <w:color w:val="auto"/>
        </w:rPr>
        <w:fldChar w:fldCharType="begin"/>
      </w:r>
      <w:r w:rsidRPr="00653DCF">
        <w:rPr>
          <w:color w:val="auto"/>
        </w:rPr>
        <w:instrText xml:space="preserve"> REF _Ref426639513 \r \h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 if the Borrower fails to pay any amount payable by it under this Contract on its due date, interest shall accrue on any overdue amount payable under the terms of this Contract from the due date to the date of actual payment at an annual rate equal to:</w:t>
      </w:r>
    </w:p>
    <w:p w14:paraId="1C0D7D06" w14:textId="77777777" w:rsidR="00F0088B" w:rsidRPr="00653DCF" w:rsidRDefault="00F0088B" w:rsidP="0024686A">
      <w:pPr>
        <w:pStyle w:val="NoIndentEIB"/>
        <w:numPr>
          <w:ilvl w:val="0"/>
          <w:numId w:val="141"/>
        </w:numPr>
        <w:rPr>
          <w:color w:val="auto"/>
        </w:rPr>
      </w:pPr>
      <w:r w:rsidRPr="00653DCF">
        <w:rPr>
          <w:color w:val="auto"/>
        </w:rPr>
        <w:t xml:space="preserve">for overdue sums related to Floating Rate Tranches, the applicable Floating Rate plus 2% (200 basis points); </w:t>
      </w:r>
    </w:p>
    <w:p w14:paraId="4C821FF4" w14:textId="77777777" w:rsidR="00F0088B" w:rsidRPr="00653DCF" w:rsidRDefault="00F0088B" w:rsidP="0024686A">
      <w:pPr>
        <w:pStyle w:val="NoIndentEIB"/>
        <w:numPr>
          <w:ilvl w:val="0"/>
          <w:numId w:val="141"/>
        </w:numPr>
        <w:rPr>
          <w:color w:val="auto"/>
        </w:rPr>
      </w:pPr>
      <w:r w:rsidRPr="00653DCF">
        <w:rPr>
          <w:color w:val="auto"/>
        </w:rPr>
        <w:t>for overdue sums related to Fixed Rate Tranches, the higher of:</w:t>
      </w:r>
    </w:p>
    <w:p w14:paraId="3710A623" w14:textId="77777777" w:rsidR="00F0088B" w:rsidRPr="00653DCF" w:rsidRDefault="00F0088B" w:rsidP="0024686A">
      <w:pPr>
        <w:pStyle w:val="NoIndentEIB"/>
        <w:numPr>
          <w:ilvl w:val="1"/>
          <w:numId w:val="141"/>
        </w:numPr>
        <w:rPr>
          <w:color w:val="auto"/>
        </w:rPr>
      </w:pPr>
      <w:r w:rsidRPr="00653DCF">
        <w:rPr>
          <w:color w:val="auto"/>
        </w:rPr>
        <w:t xml:space="preserve">the applicable Fixed Rate plus 2% (200 basis points); or </w:t>
      </w:r>
    </w:p>
    <w:p w14:paraId="14C26608" w14:textId="77777777" w:rsidR="00F0088B" w:rsidRPr="00653DCF" w:rsidRDefault="00F0088B" w:rsidP="0024686A">
      <w:pPr>
        <w:pStyle w:val="NoIndentEIB"/>
        <w:numPr>
          <w:ilvl w:val="1"/>
          <w:numId w:val="141"/>
        </w:numPr>
        <w:rPr>
          <w:color w:val="auto"/>
        </w:rPr>
      </w:pPr>
      <w:r w:rsidRPr="00653DCF">
        <w:rPr>
          <w:color w:val="auto"/>
        </w:rPr>
        <w:t>the EURIBOR (one month) plus 2% (200 basis points); and</w:t>
      </w:r>
    </w:p>
    <w:p w14:paraId="00D1082B" w14:textId="77777777" w:rsidR="00F0088B" w:rsidRPr="00653DCF" w:rsidRDefault="00F0088B" w:rsidP="0024686A">
      <w:pPr>
        <w:pStyle w:val="NoIndentEIB"/>
        <w:numPr>
          <w:ilvl w:val="0"/>
          <w:numId w:val="141"/>
        </w:numPr>
        <w:rPr>
          <w:color w:val="auto"/>
        </w:rPr>
      </w:pPr>
      <w:r w:rsidRPr="00653DCF">
        <w:rPr>
          <w:color w:val="auto"/>
        </w:rPr>
        <w:t>for overdue sums other than under (a) or (b) above, the EURIBOR (one month) plus 2% (200 basis points),</w:t>
      </w:r>
    </w:p>
    <w:p w14:paraId="6E330321" w14:textId="16B0CED7" w:rsidR="00F0088B" w:rsidRPr="00653DCF" w:rsidRDefault="00F0088B" w:rsidP="00F0088B">
      <w:pPr>
        <w:rPr>
          <w:color w:val="auto"/>
        </w:rPr>
      </w:pPr>
      <w:r w:rsidRPr="00653DCF">
        <w:rPr>
          <w:color w:val="auto"/>
        </w:rPr>
        <w:t>and shall be payable in accordance with the demand of the Bank. For the purpose of determining the EURIBOR in relation to this Article </w:t>
      </w:r>
      <w:r w:rsidRPr="00653DCF">
        <w:rPr>
          <w:color w:val="auto"/>
        </w:rPr>
        <w:fldChar w:fldCharType="begin"/>
      </w:r>
      <w:r w:rsidRPr="00653DCF">
        <w:rPr>
          <w:color w:val="auto"/>
        </w:rPr>
        <w:instrText xml:space="preserve"> REF _Ref426981814 \r \h </w:instrText>
      </w:r>
      <w:r w:rsidRPr="00653DCF">
        <w:rPr>
          <w:color w:val="auto"/>
        </w:rPr>
      </w:r>
      <w:r w:rsidRPr="00653DCF">
        <w:rPr>
          <w:color w:val="auto"/>
        </w:rPr>
        <w:fldChar w:fldCharType="separate"/>
      </w:r>
      <w:r w:rsidR="00E5391B">
        <w:rPr>
          <w:color w:val="auto"/>
        </w:rPr>
        <w:t>3.2</w:t>
      </w:r>
      <w:r w:rsidRPr="00653DCF">
        <w:rPr>
          <w:color w:val="auto"/>
        </w:rPr>
        <w:fldChar w:fldCharType="end"/>
      </w:r>
      <w:r w:rsidRPr="00653DCF">
        <w:rPr>
          <w:color w:val="auto"/>
        </w:rPr>
        <w:fldChar w:fldCharType="begin"/>
      </w:r>
      <w:r w:rsidRPr="00653DCF">
        <w:rPr>
          <w:color w:val="auto"/>
        </w:rPr>
        <w:instrText xml:space="preserve"> REF _Ref126083079 \r \h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 xml:space="preserve"> and </w:t>
      </w:r>
      <w:r w:rsidRPr="00653DCF">
        <w:rPr>
          <w:color w:val="auto"/>
        </w:rPr>
        <w:fldChar w:fldCharType="begin"/>
      </w:r>
      <w:r w:rsidRPr="00653DCF">
        <w:rPr>
          <w:color w:val="auto"/>
        </w:rPr>
        <w:instrText xml:space="preserve"> REF _Ref126076030 \r \h </w:instrText>
      </w:r>
      <w:r w:rsidRPr="00653DCF">
        <w:rPr>
          <w:color w:val="auto"/>
        </w:rPr>
      </w:r>
      <w:r w:rsidRPr="00653DCF">
        <w:rPr>
          <w:color w:val="auto"/>
        </w:rPr>
        <w:fldChar w:fldCharType="separate"/>
      </w:r>
      <w:r w:rsidR="00E5391B">
        <w:rPr>
          <w:color w:val="auto"/>
        </w:rPr>
        <w:t>(c)</w:t>
      </w:r>
      <w:r w:rsidRPr="00653DCF">
        <w:rPr>
          <w:color w:val="auto"/>
        </w:rPr>
        <w:fldChar w:fldCharType="end"/>
      </w:r>
      <w:r w:rsidRPr="00653DCF">
        <w:rPr>
          <w:color w:val="auto"/>
        </w:rPr>
        <w:t xml:space="preserve">, the relevant periods within the meaning of </w:t>
      </w:r>
      <w:r w:rsidRPr="00653DCF">
        <w:rPr>
          <w:color w:val="auto"/>
        </w:rPr>
        <w:fldChar w:fldCharType="begin"/>
      </w:r>
      <w:r w:rsidRPr="00653DCF">
        <w:rPr>
          <w:color w:val="auto"/>
        </w:rPr>
        <w:instrText xml:space="preserve"> REF _Ref426714274 \r \h </w:instrText>
      </w:r>
      <w:r w:rsidRPr="00653DCF">
        <w:rPr>
          <w:color w:val="auto"/>
        </w:rPr>
      </w:r>
      <w:r w:rsidRPr="00653DCF">
        <w:rPr>
          <w:color w:val="auto"/>
        </w:rPr>
        <w:fldChar w:fldCharType="separate"/>
      </w:r>
      <w:r w:rsidR="00E5391B">
        <w:rPr>
          <w:color w:val="auto"/>
        </w:rPr>
        <w:t>Prilog B</w:t>
      </w:r>
      <w:r w:rsidRPr="00653DCF">
        <w:rPr>
          <w:color w:val="auto"/>
        </w:rPr>
        <w:fldChar w:fldCharType="end"/>
      </w:r>
      <w:r w:rsidRPr="00653DCF">
        <w:rPr>
          <w:color w:val="auto"/>
        </w:rPr>
        <w:t xml:space="preserve"> shall be successive periods of 1 (one) month commencing on the due date. </w:t>
      </w:r>
    </w:p>
    <w:p w14:paraId="360BFAF5" w14:textId="2F91CA90" w:rsidR="00F0088B" w:rsidRPr="00653DCF" w:rsidRDefault="00F0088B" w:rsidP="00F0088B">
      <w:pPr>
        <w:rPr>
          <w:color w:val="auto"/>
        </w:rPr>
      </w:pPr>
      <w:r w:rsidRPr="00653DCF">
        <w:rPr>
          <w:color w:val="auto"/>
        </w:rPr>
        <w:t xml:space="preserve">Any unpaid but due interest may be capitalised in conformity with article 1154 of the Luxembourg Civil Code. For the avoidance of doubt, capitalisation of interest shall occur only for interest due but unpaid for a period of more than one year. The Borrower hereby agrees in advance to have the unpaid interest due for a period of more than one year compounded and that as of the capitalisation, such unpaid interest will in turn produce interest at the interest rate set out in this Article </w:t>
      </w:r>
      <w:r w:rsidRPr="00653DCF">
        <w:rPr>
          <w:color w:val="auto"/>
        </w:rPr>
        <w:fldChar w:fldCharType="begin"/>
      </w:r>
      <w:r w:rsidRPr="00653DCF">
        <w:rPr>
          <w:color w:val="auto"/>
        </w:rPr>
        <w:instrText xml:space="preserve"> REF _Ref426981814 \r \h  \* MERGEFORMAT </w:instrText>
      </w:r>
      <w:r w:rsidRPr="00653DCF">
        <w:rPr>
          <w:color w:val="auto"/>
        </w:rPr>
      </w:r>
      <w:r w:rsidRPr="00653DCF">
        <w:rPr>
          <w:color w:val="auto"/>
        </w:rPr>
        <w:fldChar w:fldCharType="separate"/>
      </w:r>
      <w:r w:rsidR="00E5391B">
        <w:rPr>
          <w:color w:val="auto"/>
        </w:rPr>
        <w:t>3.2</w:t>
      </w:r>
      <w:r w:rsidRPr="00653DCF">
        <w:rPr>
          <w:color w:val="auto"/>
        </w:rPr>
        <w:fldChar w:fldCharType="end"/>
      </w:r>
      <w:r w:rsidRPr="00653DCF">
        <w:rPr>
          <w:color w:val="auto"/>
        </w:rPr>
        <w:t>.</w:t>
      </w:r>
    </w:p>
    <w:p w14:paraId="04A752AA" w14:textId="77777777" w:rsidR="00F0088B" w:rsidRPr="00653DCF" w:rsidRDefault="00F0088B" w:rsidP="007D7C6B">
      <w:pPr>
        <w:pStyle w:val="Heading2"/>
        <w:ind w:left="851"/>
        <w:rPr>
          <w:color w:val="auto"/>
        </w:rPr>
      </w:pPr>
      <w:r w:rsidRPr="00653DCF">
        <w:rPr>
          <w:color w:val="auto"/>
        </w:rPr>
        <w:t>Market Disruption Event</w:t>
      </w:r>
    </w:p>
    <w:p w14:paraId="221AE614" w14:textId="77777777" w:rsidR="00F0088B" w:rsidRPr="00653DCF" w:rsidRDefault="00F0088B" w:rsidP="0024686A">
      <w:pPr>
        <w:pStyle w:val="NoIndentEIB"/>
        <w:numPr>
          <w:ilvl w:val="0"/>
          <w:numId w:val="142"/>
        </w:numPr>
        <w:rPr>
          <w:color w:val="auto"/>
        </w:rPr>
      </w:pPr>
      <w:r w:rsidRPr="00653DCF">
        <w:rPr>
          <w:color w:val="auto"/>
        </w:rPr>
        <w:t>If at any time:</w:t>
      </w:r>
    </w:p>
    <w:p w14:paraId="7CF94815" w14:textId="77777777" w:rsidR="00F0088B" w:rsidRPr="00653DCF" w:rsidRDefault="00F0088B" w:rsidP="0024686A">
      <w:pPr>
        <w:pStyle w:val="NoIndentEIB"/>
        <w:numPr>
          <w:ilvl w:val="1"/>
          <w:numId w:val="142"/>
        </w:numPr>
        <w:rPr>
          <w:color w:val="auto"/>
        </w:rPr>
      </w:pPr>
      <w:r w:rsidRPr="00653DCF">
        <w:rPr>
          <w:color w:val="auto"/>
        </w:rPr>
        <w:t xml:space="preserve">from the issuance by the Bank of the Disbursement Notice in respect of a Tranche; and </w:t>
      </w:r>
    </w:p>
    <w:p w14:paraId="024F3E07" w14:textId="41409F58" w:rsidR="00F0088B" w:rsidRPr="00653DCF" w:rsidRDefault="00F0088B" w:rsidP="0024686A">
      <w:pPr>
        <w:pStyle w:val="NoIndentEIB"/>
        <w:numPr>
          <w:ilvl w:val="1"/>
          <w:numId w:val="142"/>
        </w:numPr>
        <w:rPr>
          <w:color w:val="auto"/>
        </w:rPr>
      </w:pPr>
      <w:r w:rsidRPr="00653DCF">
        <w:rPr>
          <w:color w:val="auto"/>
        </w:rPr>
        <w:t xml:space="preserve">until the date falling 30 (thirty) calendar days prior to the Scheduled Disbursement Date for Tranches to be disbursed in EUR; a Market Disruption Event occurs, the Bank may notify the Borrower that this Article </w:t>
      </w:r>
      <w:r w:rsidRPr="00653DCF">
        <w:rPr>
          <w:color w:val="auto"/>
        </w:rPr>
        <w:fldChar w:fldCharType="begin"/>
      </w:r>
      <w:r w:rsidRPr="00653DCF">
        <w:rPr>
          <w:color w:val="auto"/>
        </w:rPr>
        <w:instrText xml:space="preserve"> REF _Ref430853841 \r \h </w:instrText>
      </w:r>
      <w:r w:rsidRPr="00653DCF">
        <w:rPr>
          <w:color w:val="auto"/>
        </w:rPr>
      </w:r>
      <w:r w:rsidRPr="00653DCF">
        <w:rPr>
          <w:color w:val="auto"/>
        </w:rPr>
        <w:fldChar w:fldCharType="separate"/>
      </w:r>
      <w:r w:rsidR="00E5391B">
        <w:rPr>
          <w:color w:val="auto"/>
        </w:rPr>
        <w:t>3.3</w:t>
      </w:r>
      <w:r w:rsidRPr="00653DCF">
        <w:rPr>
          <w:color w:val="auto"/>
        </w:rPr>
        <w:fldChar w:fldCharType="end"/>
      </w:r>
      <w:r w:rsidRPr="00653DCF">
        <w:rPr>
          <w:color w:val="auto"/>
        </w:rPr>
        <w:t xml:space="preserve"> has come into effect.</w:t>
      </w:r>
    </w:p>
    <w:p w14:paraId="350B3157" w14:textId="77777777" w:rsidR="00F0088B" w:rsidRPr="00653DCF" w:rsidRDefault="00F0088B" w:rsidP="0024686A">
      <w:pPr>
        <w:pStyle w:val="NoIndentEIB"/>
        <w:numPr>
          <w:ilvl w:val="0"/>
          <w:numId w:val="142"/>
        </w:numPr>
        <w:rPr>
          <w:color w:val="auto"/>
        </w:rPr>
      </w:pPr>
      <w:r w:rsidRPr="00653DCF">
        <w:rPr>
          <w:color w:val="auto"/>
        </w:rPr>
        <w:t xml:space="preserve">The rate of interest applicable to such Notified Tranche until the Maturity Date or the Interest Revision/Conversion Date, if any,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14:paraId="0970A330" w14:textId="63E5E98F" w:rsidR="00F0088B" w:rsidRPr="00653DCF" w:rsidRDefault="00F0088B" w:rsidP="0024686A">
      <w:pPr>
        <w:pStyle w:val="NoIndentEIB"/>
        <w:numPr>
          <w:ilvl w:val="0"/>
          <w:numId w:val="142"/>
        </w:numPr>
        <w:rPr>
          <w:color w:val="auto"/>
        </w:rPr>
      </w:pPr>
      <w:r w:rsidRPr="00653DCF">
        <w:rPr>
          <w:color w:val="auto"/>
        </w:rPr>
        <w:t xml:space="preserve">The Borrower shall have the right to refuse in writing such disbursement within the deadline specified in the notice and it shall bear charges incurred as a result, if any, in which case the Bank shall not effect the disbursement and the corresponding portion of the Credit shall remain available for disbursement under Article </w:t>
      </w:r>
      <w:r w:rsidRPr="00653DCF">
        <w:rPr>
          <w:color w:val="auto"/>
        </w:rPr>
        <w:fldChar w:fldCharType="begin"/>
      </w:r>
      <w:r w:rsidRPr="00653DCF">
        <w:rPr>
          <w:color w:val="auto"/>
        </w:rPr>
        <w:instrText xml:space="preserve"> REF _Ref426722606 \r \h </w:instrText>
      </w:r>
      <w:r w:rsidRPr="00653DCF">
        <w:rPr>
          <w:color w:val="auto"/>
        </w:rPr>
      </w:r>
      <w:r w:rsidRPr="00653DCF">
        <w:rPr>
          <w:color w:val="auto"/>
        </w:rPr>
        <w:fldChar w:fldCharType="separate"/>
      </w:r>
      <w:r w:rsidR="00E5391B">
        <w:rPr>
          <w:color w:val="auto"/>
        </w:rPr>
        <w:t>1.2</w:t>
      </w:r>
      <w:r w:rsidRPr="00653DCF">
        <w:rPr>
          <w:color w:val="auto"/>
        </w:rPr>
        <w:fldChar w:fldCharType="end"/>
      </w:r>
      <w:r w:rsidRPr="00653DCF">
        <w:rPr>
          <w:color w:val="auto"/>
        </w:rPr>
        <w:t xml:space="preserve">. </w:t>
      </w:r>
    </w:p>
    <w:p w14:paraId="413124FB" w14:textId="77777777" w:rsidR="00F0088B" w:rsidRPr="00653DCF" w:rsidRDefault="00F0088B" w:rsidP="0024686A">
      <w:pPr>
        <w:pStyle w:val="NoIndentEIB"/>
        <w:numPr>
          <w:ilvl w:val="0"/>
          <w:numId w:val="142"/>
        </w:numPr>
        <w:rPr>
          <w:color w:val="auto"/>
        </w:rPr>
      </w:pPr>
      <w:r w:rsidRPr="00653DCF">
        <w:rPr>
          <w:color w:val="auto"/>
        </w:rPr>
        <w:t xml:space="preserve">If the Borrower does not refuse the disbursement in time, the Parties agree that the disbursement in EUR and the conditions thereof shall be fully binding for both Parties. </w:t>
      </w:r>
    </w:p>
    <w:p w14:paraId="15648209" w14:textId="77777777" w:rsidR="00F0088B" w:rsidRPr="00653DCF" w:rsidRDefault="00F0088B" w:rsidP="0024686A">
      <w:pPr>
        <w:pStyle w:val="NoIndentEIB"/>
        <w:numPr>
          <w:ilvl w:val="0"/>
          <w:numId w:val="142"/>
        </w:numPr>
        <w:rPr>
          <w:color w:val="auto"/>
        </w:rPr>
      </w:pPr>
      <w:r w:rsidRPr="00653DCF">
        <w:rPr>
          <w:color w:val="auto"/>
        </w:rPr>
        <w:t xml:space="preserve">The Spread or Fixed Rate previously notified by the Bank shall no longer be applicable. </w:t>
      </w:r>
    </w:p>
    <w:p w14:paraId="4BDD465F" w14:textId="58605D75" w:rsidR="00F0088B" w:rsidRPr="00653DCF" w:rsidRDefault="008D362E" w:rsidP="00C40040">
      <w:pPr>
        <w:pStyle w:val="ENGLESKI"/>
      </w:pPr>
      <w:r>
        <w:t>ARTICLE 4</w:t>
      </w:r>
    </w:p>
    <w:p w14:paraId="02E17FB6" w14:textId="77777777" w:rsidR="00F0088B" w:rsidRPr="00653DCF" w:rsidRDefault="00F0088B" w:rsidP="00F0088B">
      <w:pPr>
        <w:pStyle w:val="ArticleTitleEIB"/>
        <w:rPr>
          <w:color w:val="auto"/>
        </w:rPr>
      </w:pPr>
      <w:r w:rsidRPr="00653DCF">
        <w:rPr>
          <w:color w:val="auto"/>
        </w:rPr>
        <w:t>Repayment</w:t>
      </w:r>
    </w:p>
    <w:p w14:paraId="0BFC85C5" w14:textId="77777777" w:rsidR="00B605A5" w:rsidRPr="00B605A5" w:rsidRDefault="00B605A5" w:rsidP="00B605A5">
      <w:pPr>
        <w:pStyle w:val="ListParagraph"/>
        <w:keepNext/>
        <w:keepLines/>
        <w:numPr>
          <w:ilvl w:val="0"/>
          <w:numId w:val="62"/>
        </w:numPr>
        <w:spacing w:before="360"/>
        <w:contextualSpacing w:val="0"/>
        <w:jc w:val="center"/>
        <w:outlineLvl w:val="0"/>
        <w:rPr>
          <w:rFonts w:eastAsiaTheme="majorEastAsia" w:cstheme="majorBidi"/>
          <w:b/>
          <w:caps/>
          <w:vanish/>
          <w:u w:val="single"/>
        </w:rPr>
      </w:pPr>
    </w:p>
    <w:p w14:paraId="63B44451" w14:textId="3DBCB870" w:rsidR="00F0088B" w:rsidRPr="00653DCF" w:rsidRDefault="00F0088B" w:rsidP="00EF0582">
      <w:pPr>
        <w:pStyle w:val="Heading2"/>
        <w:ind w:left="851"/>
      </w:pPr>
      <w:r w:rsidRPr="00653DCF">
        <w:t>Normal repayment</w:t>
      </w:r>
    </w:p>
    <w:p w14:paraId="15ADCBCB" w14:textId="77777777" w:rsidR="00F0088B" w:rsidRPr="00653DCF" w:rsidRDefault="00F0088B" w:rsidP="00EF0582">
      <w:pPr>
        <w:pStyle w:val="Heading3"/>
        <w:ind w:left="851"/>
        <w:rPr>
          <w:color w:val="auto"/>
        </w:rPr>
      </w:pPr>
      <w:r w:rsidRPr="00653DCF">
        <w:rPr>
          <w:color w:val="auto"/>
        </w:rPr>
        <w:t>Repayment by Instalments</w:t>
      </w:r>
    </w:p>
    <w:p w14:paraId="476FE198" w14:textId="1227823F" w:rsidR="00F0088B" w:rsidRPr="00653DCF" w:rsidRDefault="00F0088B" w:rsidP="0024686A">
      <w:pPr>
        <w:pStyle w:val="NoIndentEIB"/>
        <w:numPr>
          <w:ilvl w:val="0"/>
          <w:numId w:val="101"/>
        </w:numPr>
        <w:rPr>
          <w:color w:val="auto"/>
        </w:rPr>
      </w:pPr>
      <w:r w:rsidRPr="00653DCF">
        <w:rPr>
          <w:color w:val="auto"/>
        </w:rPr>
        <w:t>The Borrower shall repay each Tranche by instalments on the Repayment Dates specified in the relevant Disbursement Notice in accordance with the terms of the amortisation table delivered pursuant to Article </w:t>
      </w:r>
      <w:r w:rsidRPr="00653DCF">
        <w:rPr>
          <w:color w:val="auto"/>
        </w:rPr>
        <w:fldChar w:fldCharType="begin"/>
      </w:r>
      <w:r w:rsidRPr="00653DCF">
        <w:rPr>
          <w:color w:val="auto"/>
        </w:rPr>
        <w:instrText xml:space="preserve"> REF _Ref426982329 \r \h  \* MERGEFORMAT </w:instrText>
      </w:r>
      <w:r w:rsidRPr="00653DCF">
        <w:rPr>
          <w:color w:val="auto"/>
        </w:rPr>
      </w:r>
      <w:r w:rsidRPr="00653DCF">
        <w:rPr>
          <w:color w:val="auto"/>
        </w:rPr>
        <w:fldChar w:fldCharType="separate"/>
      </w:r>
      <w:r w:rsidR="00E5391B">
        <w:rPr>
          <w:color w:val="auto"/>
        </w:rPr>
        <w:t>2.3</w:t>
      </w:r>
      <w:r w:rsidRPr="00653DCF">
        <w:rPr>
          <w:color w:val="auto"/>
        </w:rPr>
        <w:fldChar w:fldCharType="end"/>
      </w:r>
      <w:r w:rsidRPr="00653DCF">
        <w:rPr>
          <w:color w:val="auto"/>
        </w:rPr>
        <w:t xml:space="preserve">. </w:t>
      </w:r>
    </w:p>
    <w:p w14:paraId="2A2E5C90" w14:textId="77777777" w:rsidR="00F0088B" w:rsidRPr="00653DCF" w:rsidRDefault="00F0088B" w:rsidP="0024686A">
      <w:pPr>
        <w:pStyle w:val="NoIndentEIB"/>
        <w:numPr>
          <w:ilvl w:val="0"/>
          <w:numId w:val="101"/>
        </w:numPr>
        <w:rPr>
          <w:color w:val="auto"/>
        </w:rPr>
      </w:pPr>
      <w:r w:rsidRPr="00653DCF">
        <w:rPr>
          <w:color w:val="auto"/>
        </w:rPr>
        <w:t>Each amortisation table shall be drawn up on the basis that:</w:t>
      </w:r>
    </w:p>
    <w:p w14:paraId="4FA1B9B5" w14:textId="77777777" w:rsidR="00F0088B" w:rsidRPr="00653DCF" w:rsidRDefault="00F0088B" w:rsidP="0024686A">
      <w:pPr>
        <w:pStyle w:val="NoIndentEIB"/>
        <w:numPr>
          <w:ilvl w:val="1"/>
          <w:numId w:val="101"/>
        </w:numPr>
        <w:rPr>
          <w:color w:val="auto"/>
        </w:rPr>
      </w:pPr>
      <w:r w:rsidRPr="00653DCF">
        <w:rPr>
          <w:color w:val="auto"/>
        </w:rPr>
        <w:t>in the case of a Fixed Rate Tranche without an Interest Revision/Conversion Date, repayment shall be made quarterly, semi-annually or annually by equal instalments of principal or constant instalments of principal and interest;</w:t>
      </w:r>
    </w:p>
    <w:p w14:paraId="0A5E33D7" w14:textId="77777777" w:rsidR="00F0088B" w:rsidRPr="00653DCF" w:rsidRDefault="00F0088B" w:rsidP="0024686A">
      <w:pPr>
        <w:pStyle w:val="NoIndentEIB"/>
        <w:numPr>
          <w:ilvl w:val="1"/>
          <w:numId w:val="101"/>
        </w:numPr>
        <w:rPr>
          <w:color w:val="auto"/>
        </w:rPr>
      </w:pPr>
      <w:r w:rsidRPr="00653DCF">
        <w:rPr>
          <w:color w:val="auto"/>
        </w:rPr>
        <w:t>in the case of a Fixed Rate Tranche with an Interest Revision/Conversion Date or a Floating Rate Tranche, repayment shall be made by equal quarterly, semi</w:t>
      </w:r>
      <w:r w:rsidRPr="00653DCF">
        <w:rPr>
          <w:color w:val="auto"/>
        </w:rPr>
        <w:noBreakHyphen/>
        <w:t>annual or annual instalments of principal;</w:t>
      </w:r>
    </w:p>
    <w:p w14:paraId="5AF785D6" w14:textId="77777777" w:rsidR="00F0088B" w:rsidRPr="00653DCF" w:rsidRDefault="00F0088B" w:rsidP="0024686A">
      <w:pPr>
        <w:pStyle w:val="NoIndentEIB"/>
        <w:numPr>
          <w:ilvl w:val="1"/>
          <w:numId w:val="101"/>
        </w:numPr>
        <w:rPr>
          <w:color w:val="auto"/>
        </w:rPr>
      </w:pPr>
      <w:r w:rsidRPr="00653DCF">
        <w:rPr>
          <w:color w:val="auto"/>
        </w:rPr>
        <w:t>the first Repayment Date of each Tranche shall fall not earlier than 30 (thirty) days from the Scheduled Disbursement Date and not later than the Repayment Date immediately following the 5</w:t>
      </w:r>
      <w:r w:rsidRPr="00653DCF">
        <w:rPr>
          <w:color w:val="auto"/>
          <w:vertAlign w:val="superscript"/>
        </w:rPr>
        <w:t>th</w:t>
      </w:r>
      <w:r w:rsidRPr="00653DCF">
        <w:rPr>
          <w:color w:val="auto"/>
        </w:rPr>
        <w:t xml:space="preserve"> (fifth) anniversary of the Scheduled Disbursement Date of the Tranche; and</w:t>
      </w:r>
    </w:p>
    <w:p w14:paraId="64D64E90" w14:textId="77777777" w:rsidR="00F0088B" w:rsidRPr="00653DCF" w:rsidRDefault="00F0088B" w:rsidP="0024686A">
      <w:pPr>
        <w:pStyle w:val="NoIndentEIB"/>
        <w:numPr>
          <w:ilvl w:val="1"/>
          <w:numId w:val="101"/>
        </w:numPr>
        <w:rPr>
          <w:color w:val="auto"/>
        </w:rPr>
      </w:pPr>
      <w:r w:rsidRPr="00653DCF">
        <w:rPr>
          <w:color w:val="auto"/>
        </w:rPr>
        <w:t xml:space="preserve">the last Repayment Date of each Tranche shall fall not earlier than 4 (four) years and not later than 30 (thirty) years from the Scheduled Disbursement Date. </w:t>
      </w:r>
    </w:p>
    <w:p w14:paraId="0C90D2C4" w14:textId="77777777" w:rsidR="00F0088B" w:rsidRPr="00653DCF" w:rsidRDefault="00F0088B" w:rsidP="00EF0582">
      <w:pPr>
        <w:pStyle w:val="Heading3"/>
        <w:ind w:left="851"/>
        <w:rPr>
          <w:color w:val="auto"/>
        </w:rPr>
      </w:pPr>
      <w:r w:rsidRPr="00653DCF">
        <w:rPr>
          <w:color w:val="auto"/>
        </w:rPr>
        <w:t>Single instalment</w:t>
      </w:r>
    </w:p>
    <w:p w14:paraId="2AF2649F" w14:textId="77777777" w:rsidR="00F0088B" w:rsidRPr="00653DCF" w:rsidRDefault="00F0088B" w:rsidP="00F0088B">
      <w:pPr>
        <w:pStyle w:val="NoIndentEIB"/>
        <w:ind w:left="856"/>
        <w:rPr>
          <w:color w:val="auto"/>
        </w:rPr>
      </w:pPr>
      <w:r w:rsidRPr="00653DCF">
        <w:rPr>
          <w:color w:val="auto"/>
        </w:rPr>
        <w:t>Alternatively, the Borrower shall repay the Tranche in a single instalment on the sole Repayment Date specified in the Disbursement Notice, being a date falling not less than 3 (three) years or more than 17 (seventeen) years from the Scheduled Disbursement Date.</w:t>
      </w:r>
    </w:p>
    <w:p w14:paraId="300B032D" w14:textId="77777777" w:rsidR="00F0088B" w:rsidRPr="00653DCF" w:rsidRDefault="00F0088B" w:rsidP="00EF0582">
      <w:pPr>
        <w:pStyle w:val="Heading2"/>
        <w:ind w:left="851"/>
        <w:rPr>
          <w:color w:val="auto"/>
        </w:rPr>
      </w:pPr>
      <w:bookmarkStart w:id="933" w:name="_Toc475441144"/>
      <w:bookmarkStart w:id="934" w:name="_Toc498018639"/>
      <w:bookmarkStart w:id="935" w:name="_Toc508120500"/>
      <w:bookmarkStart w:id="936" w:name="_Toc126080690"/>
      <w:bookmarkStart w:id="937" w:name="_Toc126080822"/>
      <w:r w:rsidRPr="00653DCF">
        <w:rPr>
          <w:color w:val="auto"/>
        </w:rPr>
        <w:t>Voluntary prepayment</w:t>
      </w:r>
      <w:bookmarkEnd w:id="933"/>
      <w:bookmarkEnd w:id="934"/>
      <w:bookmarkEnd w:id="935"/>
      <w:bookmarkEnd w:id="936"/>
      <w:bookmarkEnd w:id="937"/>
    </w:p>
    <w:p w14:paraId="31859FE7" w14:textId="77777777" w:rsidR="00F0088B" w:rsidRPr="00653DCF" w:rsidRDefault="00F0088B" w:rsidP="00EF0582">
      <w:pPr>
        <w:pStyle w:val="Heading3"/>
        <w:ind w:left="851"/>
        <w:rPr>
          <w:color w:val="auto"/>
        </w:rPr>
      </w:pPr>
      <w:bookmarkStart w:id="938" w:name="_Ref426715914"/>
      <w:bookmarkStart w:id="939" w:name="_Ref426716070"/>
      <w:bookmarkStart w:id="940" w:name="_Toc475441145"/>
      <w:bookmarkStart w:id="941" w:name="_Toc498018640"/>
      <w:bookmarkStart w:id="942" w:name="_Toc508120501"/>
      <w:bookmarkStart w:id="943" w:name="_Toc126080691"/>
      <w:bookmarkStart w:id="944" w:name="_Toc126080823"/>
      <w:r w:rsidRPr="00653DCF">
        <w:rPr>
          <w:color w:val="auto"/>
        </w:rPr>
        <w:t>Prepayment option</w:t>
      </w:r>
      <w:bookmarkEnd w:id="938"/>
      <w:bookmarkEnd w:id="939"/>
      <w:bookmarkEnd w:id="940"/>
      <w:bookmarkEnd w:id="941"/>
      <w:bookmarkEnd w:id="942"/>
      <w:bookmarkEnd w:id="943"/>
      <w:bookmarkEnd w:id="944"/>
    </w:p>
    <w:p w14:paraId="6E54307D" w14:textId="560CBFFB" w:rsidR="00F0088B" w:rsidRPr="00653DCF" w:rsidRDefault="00F0088B" w:rsidP="00F0088B">
      <w:pPr>
        <w:rPr>
          <w:color w:val="auto"/>
        </w:rPr>
      </w:pPr>
      <w:r w:rsidRPr="00653DCF">
        <w:rPr>
          <w:color w:val="auto"/>
        </w:rPr>
        <w:t>Subject to Articles </w:t>
      </w:r>
      <w:r w:rsidRPr="00653DCF">
        <w:rPr>
          <w:color w:val="auto"/>
        </w:rPr>
        <w:fldChar w:fldCharType="begin"/>
      </w:r>
      <w:r w:rsidRPr="00653DCF">
        <w:rPr>
          <w:color w:val="auto"/>
        </w:rPr>
        <w:instrText xml:space="preserve"> REF _Ref426982374 \r \h </w:instrText>
      </w:r>
      <w:r w:rsidRPr="00653DCF">
        <w:rPr>
          <w:color w:val="auto"/>
        </w:rPr>
      </w:r>
      <w:r w:rsidRPr="00653DCF">
        <w:rPr>
          <w:color w:val="auto"/>
        </w:rPr>
        <w:fldChar w:fldCharType="separate"/>
      </w:r>
      <w:r w:rsidR="00E5391B">
        <w:rPr>
          <w:color w:val="auto"/>
        </w:rPr>
        <w:t>4.2.B</w:t>
      </w:r>
      <w:r w:rsidRPr="00653DCF">
        <w:rPr>
          <w:color w:val="auto"/>
        </w:rPr>
        <w:fldChar w:fldCharType="end"/>
      </w:r>
      <w:r w:rsidRPr="00653DCF">
        <w:rPr>
          <w:color w:val="auto"/>
        </w:rPr>
        <w:t xml:space="preserve">, </w:t>
      </w:r>
      <w:r w:rsidRPr="00653DCF">
        <w:rPr>
          <w:color w:val="auto"/>
        </w:rPr>
        <w:fldChar w:fldCharType="begin"/>
      </w:r>
      <w:r w:rsidRPr="00653DCF">
        <w:rPr>
          <w:color w:val="auto"/>
        </w:rPr>
        <w:instrText xml:space="preserve"> REF _Ref426982399 \r \h </w:instrText>
      </w:r>
      <w:r w:rsidRPr="00653DCF">
        <w:rPr>
          <w:color w:val="auto"/>
        </w:rPr>
      </w:r>
      <w:r w:rsidRPr="00653DCF">
        <w:rPr>
          <w:color w:val="auto"/>
        </w:rPr>
        <w:fldChar w:fldCharType="separate"/>
      </w:r>
      <w:r w:rsidR="00E5391B">
        <w:rPr>
          <w:color w:val="auto"/>
        </w:rPr>
        <w:t>4.2.C</w:t>
      </w:r>
      <w:r w:rsidRPr="00653DCF">
        <w:rPr>
          <w:color w:val="auto"/>
        </w:rPr>
        <w:fldChar w:fldCharType="end"/>
      </w:r>
      <w:r w:rsidRPr="00653DCF">
        <w:rPr>
          <w:color w:val="auto"/>
        </w:rPr>
        <w:t xml:space="preserve"> and </w:t>
      </w:r>
      <w:r w:rsidRPr="00653DCF">
        <w:rPr>
          <w:color w:val="auto"/>
        </w:rPr>
        <w:fldChar w:fldCharType="begin"/>
      </w:r>
      <w:r w:rsidRPr="00653DCF">
        <w:rPr>
          <w:color w:val="auto"/>
        </w:rPr>
        <w:instrText xml:space="preserve"> REF _Ref426982424 \r \h </w:instrText>
      </w:r>
      <w:r w:rsidRPr="00653DCF">
        <w:rPr>
          <w:color w:val="auto"/>
        </w:rPr>
      </w:r>
      <w:r w:rsidRPr="00653DCF">
        <w:rPr>
          <w:color w:val="auto"/>
        </w:rPr>
        <w:fldChar w:fldCharType="separate"/>
      </w:r>
      <w:r w:rsidR="00E5391B">
        <w:rPr>
          <w:color w:val="auto"/>
        </w:rPr>
        <w:t>4.4</w:t>
      </w:r>
      <w:r w:rsidRPr="00653DCF">
        <w:rPr>
          <w:color w:val="auto"/>
        </w:rPr>
        <w:fldChar w:fldCharType="end"/>
      </w:r>
      <w:r w:rsidRPr="00653DCF">
        <w:rPr>
          <w:color w:val="auto"/>
        </w:rPr>
        <w:t>, the Borrower may prepay all or part of any Tranche, together with accrued interest and indemnities if any, upon giving a Prepayment Request with at least 30 (thirty) calendar days' prior notice specifying:</w:t>
      </w:r>
    </w:p>
    <w:p w14:paraId="2ED527DE" w14:textId="77777777" w:rsidR="00F0088B" w:rsidRPr="00653DCF" w:rsidRDefault="00F0088B" w:rsidP="0024686A">
      <w:pPr>
        <w:pStyle w:val="NoIndentEIB"/>
        <w:numPr>
          <w:ilvl w:val="0"/>
          <w:numId w:val="102"/>
        </w:numPr>
        <w:rPr>
          <w:color w:val="auto"/>
        </w:rPr>
      </w:pPr>
      <w:r w:rsidRPr="00653DCF">
        <w:rPr>
          <w:color w:val="auto"/>
        </w:rPr>
        <w:t xml:space="preserve">the Prepayment Amount; </w:t>
      </w:r>
    </w:p>
    <w:p w14:paraId="42673E40" w14:textId="77777777" w:rsidR="00F0088B" w:rsidRPr="00653DCF" w:rsidRDefault="00F0088B" w:rsidP="0024686A">
      <w:pPr>
        <w:pStyle w:val="NoIndentEIB"/>
        <w:numPr>
          <w:ilvl w:val="0"/>
          <w:numId w:val="102"/>
        </w:numPr>
        <w:rPr>
          <w:color w:val="auto"/>
        </w:rPr>
      </w:pPr>
      <w:r w:rsidRPr="00653DCF">
        <w:rPr>
          <w:color w:val="auto"/>
        </w:rPr>
        <w:t>the Prepayment Date, which shall be a Payment Date;</w:t>
      </w:r>
    </w:p>
    <w:p w14:paraId="0DCBE57C" w14:textId="692C35DD" w:rsidR="00F0088B" w:rsidRPr="00653DCF" w:rsidRDefault="00F0088B" w:rsidP="0024686A">
      <w:pPr>
        <w:pStyle w:val="NoIndentEIB"/>
        <w:numPr>
          <w:ilvl w:val="0"/>
          <w:numId w:val="102"/>
        </w:numPr>
        <w:rPr>
          <w:color w:val="auto"/>
        </w:rPr>
      </w:pPr>
      <w:r w:rsidRPr="00653DCF">
        <w:rPr>
          <w:color w:val="auto"/>
        </w:rPr>
        <w:t>if applicable, the choice of application method of the Prepayment Amount in line with Article </w:t>
      </w:r>
      <w:r w:rsidRPr="00653DCF">
        <w:rPr>
          <w:color w:val="auto"/>
        </w:rPr>
        <w:fldChar w:fldCharType="begin"/>
      </w:r>
      <w:r w:rsidRPr="00653DCF">
        <w:rPr>
          <w:color w:val="auto"/>
        </w:rPr>
        <w:instrText xml:space="preserve"> REF _Ref426982926 \w \h </w:instrText>
      </w:r>
      <w:r w:rsidRPr="00653DCF">
        <w:rPr>
          <w:color w:val="auto"/>
        </w:rPr>
      </w:r>
      <w:r w:rsidRPr="00653DCF">
        <w:rPr>
          <w:color w:val="auto"/>
        </w:rPr>
        <w:fldChar w:fldCharType="separate"/>
      </w:r>
      <w:r w:rsidR="00E5391B">
        <w:rPr>
          <w:color w:val="auto"/>
        </w:rPr>
        <w:t>5.5.C</w:t>
      </w:r>
      <w:r w:rsidRPr="00653DCF">
        <w:rPr>
          <w:color w:val="auto"/>
        </w:rPr>
        <w:fldChar w:fldCharType="end"/>
      </w:r>
      <w:r w:rsidRPr="00653DCF">
        <w:rPr>
          <w:color w:val="auto"/>
        </w:rPr>
        <w:fldChar w:fldCharType="begin"/>
      </w:r>
      <w:r w:rsidRPr="00653DCF">
        <w:rPr>
          <w:color w:val="auto"/>
        </w:rPr>
        <w:instrText xml:space="preserve"> REF _Ref426982918 \w \h </w:instrText>
      </w:r>
      <w:r w:rsidRPr="00653DCF">
        <w:rPr>
          <w:color w:val="auto"/>
        </w:rPr>
      </w:r>
      <w:r w:rsidRPr="00653DCF">
        <w:rPr>
          <w:color w:val="auto"/>
        </w:rPr>
        <w:fldChar w:fldCharType="separate"/>
      </w:r>
      <w:r w:rsidR="00E5391B">
        <w:rPr>
          <w:color w:val="auto"/>
        </w:rPr>
        <w:t>(a)</w:t>
      </w:r>
      <w:r w:rsidRPr="00653DCF">
        <w:rPr>
          <w:color w:val="auto"/>
        </w:rPr>
        <w:fldChar w:fldCharType="end"/>
      </w:r>
      <w:r w:rsidRPr="00653DCF">
        <w:rPr>
          <w:color w:val="auto"/>
        </w:rPr>
        <w:t>; and</w:t>
      </w:r>
    </w:p>
    <w:p w14:paraId="622F7D6B" w14:textId="77777777" w:rsidR="00F0088B" w:rsidRPr="00653DCF" w:rsidRDefault="00F0088B" w:rsidP="0024686A">
      <w:pPr>
        <w:pStyle w:val="NoIndentEIB"/>
        <w:numPr>
          <w:ilvl w:val="0"/>
          <w:numId w:val="102"/>
        </w:numPr>
        <w:rPr>
          <w:color w:val="auto"/>
        </w:rPr>
      </w:pPr>
      <w:r w:rsidRPr="00653DCF">
        <w:rPr>
          <w:color w:val="auto"/>
        </w:rPr>
        <w:t xml:space="preserve">the Contract Number. </w:t>
      </w:r>
    </w:p>
    <w:p w14:paraId="52EB54A0" w14:textId="77777777" w:rsidR="00F0088B" w:rsidRPr="00653DCF" w:rsidRDefault="00F0088B" w:rsidP="00F0088B">
      <w:pPr>
        <w:rPr>
          <w:color w:val="auto"/>
        </w:rPr>
      </w:pPr>
      <w:r w:rsidRPr="00653DCF">
        <w:rPr>
          <w:color w:val="auto"/>
        </w:rPr>
        <w:t>The Prepayment Request shall be irrevocable.</w:t>
      </w:r>
    </w:p>
    <w:p w14:paraId="291A6767" w14:textId="77777777" w:rsidR="00F0088B" w:rsidRPr="00653DCF" w:rsidRDefault="00F0088B" w:rsidP="00EF0582">
      <w:pPr>
        <w:pStyle w:val="Heading3"/>
        <w:ind w:left="851"/>
        <w:rPr>
          <w:color w:val="auto"/>
        </w:rPr>
      </w:pPr>
      <w:r w:rsidRPr="00653DCF">
        <w:rPr>
          <w:color w:val="auto"/>
        </w:rPr>
        <w:t>Prepayment indemnity</w:t>
      </w:r>
    </w:p>
    <w:p w14:paraId="74FD95C2" w14:textId="77777777" w:rsidR="00F0088B" w:rsidRPr="00653DCF" w:rsidRDefault="00F0088B" w:rsidP="00EF0582">
      <w:pPr>
        <w:pStyle w:val="Heading4"/>
        <w:ind w:left="851"/>
        <w:rPr>
          <w:color w:val="auto"/>
        </w:rPr>
      </w:pPr>
      <w:r w:rsidRPr="00653DCF">
        <w:rPr>
          <w:color w:val="auto"/>
        </w:rPr>
        <w:t>Fixed rate tranche</w:t>
      </w:r>
    </w:p>
    <w:p w14:paraId="3F672E49" w14:textId="1322C77E" w:rsidR="00F0088B" w:rsidRPr="00653DCF" w:rsidRDefault="00F0088B" w:rsidP="00F0088B">
      <w:pPr>
        <w:rPr>
          <w:color w:val="auto"/>
        </w:rPr>
      </w:pPr>
      <w:r w:rsidRPr="00653DCF">
        <w:rPr>
          <w:color w:val="auto"/>
        </w:rPr>
        <w:t>Subject to Article </w:t>
      </w:r>
      <w:r w:rsidRPr="00653DCF">
        <w:rPr>
          <w:color w:val="auto"/>
        </w:rPr>
        <w:fldChar w:fldCharType="begin"/>
      </w:r>
      <w:r w:rsidRPr="00653DCF">
        <w:rPr>
          <w:color w:val="auto"/>
        </w:rPr>
        <w:instrText xml:space="preserve"> REF _Ref508700864 \n \h </w:instrText>
      </w:r>
      <w:r w:rsidRPr="00653DCF">
        <w:rPr>
          <w:color w:val="auto"/>
        </w:rPr>
      </w:r>
      <w:r w:rsidRPr="00653DCF">
        <w:rPr>
          <w:color w:val="auto"/>
        </w:rPr>
        <w:fldChar w:fldCharType="separate"/>
      </w:r>
      <w:r w:rsidR="00E5391B">
        <w:rPr>
          <w:color w:val="auto"/>
        </w:rPr>
        <w:t>4.2.B(3)</w:t>
      </w:r>
      <w:r w:rsidRPr="00653DCF">
        <w:rPr>
          <w:color w:val="auto"/>
        </w:rPr>
        <w:fldChar w:fldCharType="end"/>
      </w:r>
      <w:r w:rsidRPr="00653DCF">
        <w:rPr>
          <w:color w:val="auto"/>
        </w:rPr>
        <w:t xml:space="preserve"> below, if the Borrower prepays a Fixed Rate Tranche, the Borrower shall pay to the Bank on the Prepayment Date the Prepayment Indemnity in respect of the Fixed Rate Tranche which is being prepaid.</w:t>
      </w:r>
    </w:p>
    <w:p w14:paraId="74677544" w14:textId="77777777" w:rsidR="00F0088B" w:rsidRPr="00653DCF" w:rsidRDefault="00F0088B" w:rsidP="007D7C6B">
      <w:pPr>
        <w:pStyle w:val="Heading4"/>
        <w:ind w:left="851"/>
        <w:rPr>
          <w:color w:val="auto"/>
        </w:rPr>
      </w:pPr>
      <w:r w:rsidRPr="00653DCF">
        <w:rPr>
          <w:color w:val="auto"/>
        </w:rPr>
        <w:t>Floating rate tranche</w:t>
      </w:r>
    </w:p>
    <w:p w14:paraId="400AAE3C" w14:textId="54620C57" w:rsidR="00F0088B" w:rsidRPr="00653DCF" w:rsidRDefault="00F0088B" w:rsidP="00F0088B">
      <w:pPr>
        <w:rPr>
          <w:color w:val="auto"/>
        </w:rPr>
      </w:pPr>
      <w:r w:rsidRPr="00653DCF">
        <w:rPr>
          <w:color w:val="auto"/>
        </w:rPr>
        <w:t>Subject to Article </w:t>
      </w:r>
      <w:r w:rsidRPr="00653DCF">
        <w:rPr>
          <w:color w:val="auto"/>
        </w:rPr>
        <w:fldChar w:fldCharType="begin"/>
      </w:r>
      <w:r w:rsidRPr="00653DCF">
        <w:rPr>
          <w:color w:val="auto"/>
        </w:rPr>
        <w:instrText xml:space="preserve"> REF _Ref508700864 \n \h </w:instrText>
      </w:r>
      <w:r w:rsidRPr="00653DCF">
        <w:rPr>
          <w:color w:val="auto"/>
        </w:rPr>
      </w:r>
      <w:r w:rsidRPr="00653DCF">
        <w:rPr>
          <w:color w:val="auto"/>
        </w:rPr>
        <w:fldChar w:fldCharType="separate"/>
      </w:r>
      <w:r w:rsidR="00E5391B">
        <w:rPr>
          <w:color w:val="auto"/>
        </w:rPr>
        <w:t>4.2.B(3)</w:t>
      </w:r>
      <w:r w:rsidRPr="00653DCF">
        <w:rPr>
          <w:color w:val="auto"/>
        </w:rPr>
        <w:fldChar w:fldCharType="end"/>
      </w:r>
      <w:r w:rsidRPr="00653DCF">
        <w:rPr>
          <w:color w:val="auto"/>
        </w:rPr>
        <w:t xml:space="preserve"> below, the Borrower may prepay a Floating Rate Tranche without indemnity.</w:t>
      </w:r>
    </w:p>
    <w:p w14:paraId="74CB0970" w14:textId="77777777" w:rsidR="00F0088B" w:rsidRPr="00653DCF" w:rsidRDefault="00F0088B" w:rsidP="007D7C6B">
      <w:pPr>
        <w:pStyle w:val="Heading4"/>
        <w:ind w:left="851"/>
        <w:rPr>
          <w:color w:val="auto"/>
        </w:rPr>
      </w:pPr>
      <w:r w:rsidRPr="00653DCF">
        <w:rPr>
          <w:color w:val="auto"/>
        </w:rPr>
        <w:t>REVISION/CONVERSION</w:t>
      </w:r>
    </w:p>
    <w:p w14:paraId="2C35FF21" w14:textId="647BD9A9" w:rsidR="00F0088B" w:rsidRPr="00653DCF" w:rsidRDefault="00F0088B" w:rsidP="00F0088B">
      <w:pPr>
        <w:rPr>
          <w:color w:val="auto"/>
        </w:rPr>
      </w:pPr>
      <w:r w:rsidRPr="00653DCF">
        <w:rPr>
          <w:color w:val="auto"/>
        </w:rPr>
        <w:t xml:space="preserve">Prepayment of a Tranche on its Interest Revision/Conversion Date may be effected without indemnity except if the Borrower has accepted pursuant to </w:t>
      </w:r>
      <w:r w:rsidRPr="00653DCF">
        <w:rPr>
          <w:color w:val="auto"/>
        </w:rPr>
        <w:fldChar w:fldCharType="begin"/>
      </w:r>
      <w:r w:rsidRPr="00653DCF">
        <w:rPr>
          <w:color w:val="auto"/>
        </w:rPr>
        <w:instrText xml:space="preserve"> REF _Ref42343330 \r \h </w:instrText>
      </w:r>
      <w:r w:rsidRPr="00653DCF">
        <w:rPr>
          <w:color w:val="auto"/>
        </w:rPr>
      </w:r>
      <w:r w:rsidRPr="00653DCF">
        <w:rPr>
          <w:color w:val="auto"/>
        </w:rPr>
        <w:fldChar w:fldCharType="separate"/>
      </w:r>
      <w:r w:rsidR="00E5391B">
        <w:rPr>
          <w:color w:val="auto"/>
        </w:rPr>
        <w:t>Prilog D</w:t>
      </w:r>
      <w:r w:rsidRPr="00653DCF">
        <w:rPr>
          <w:color w:val="auto"/>
        </w:rPr>
        <w:fldChar w:fldCharType="end"/>
      </w:r>
      <w:r w:rsidRPr="00653DCF">
        <w:rPr>
          <w:color w:val="auto"/>
        </w:rPr>
        <w:t xml:space="preserve"> a Fixed Rate under an Interest Revision/Conversion Proposal.</w:t>
      </w:r>
    </w:p>
    <w:p w14:paraId="2E896F21" w14:textId="77777777" w:rsidR="00F0088B" w:rsidRPr="00653DCF" w:rsidRDefault="00F0088B" w:rsidP="007D7C6B">
      <w:pPr>
        <w:pStyle w:val="Heading3"/>
        <w:ind w:left="851"/>
        <w:rPr>
          <w:color w:val="auto"/>
        </w:rPr>
      </w:pPr>
      <w:bookmarkStart w:id="945" w:name="_Ref426716041"/>
      <w:bookmarkStart w:id="946" w:name="_Ref426982399"/>
      <w:bookmarkStart w:id="947" w:name="_Ref426982998"/>
      <w:bookmarkStart w:id="948" w:name="_Toc475441147"/>
      <w:bookmarkStart w:id="949" w:name="_Toc498018642"/>
      <w:bookmarkStart w:id="950" w:name="_Toc508120503"/>
      <w:bookmarkStart w:id="951" w:name="_Toc126080693"/>
      <w:bookmarkStart w:id="952" w:name="_Toc126080825"/>
      <w:r w:rsidRPr="00653DCF">
        <w:rPr>
          <w:color w:val="auto"/>
        </w:rPr>
        <w:t>Prepayment mechanics</w:t>
      </w:r>
      <w:bookmarkEnd w:id="945"/>
      <w:bookmarkEnd w:id="946"/>
      <w:bookmarkEnd w:id="947"/>
      <w:bookmarkEnd w:id="948"/>
      <w:bookmarkEnd w:id="949"/>
      <w:bookmarkEnd w:id="950"/>
      <w:bookmarkEnd w:id="951"/>
      <w:bookmarkEnd w:id="952"/>
    </w:p>
    <w:p w14:paraId="69790C2B" w14:textId="60115294" w:rsidR="00F0088B" w:rsidRPr="00653DCF" w:rsidRDefault="00F0088B" w:rsidP="00F0088B">
      <w:pPr>
        <w:rPr>
          <w:color w:val="auto"/>
        </w:rPr>
      </w:pPr>
      <w:r w:rsidRPr="00653DCF">
        <w:rPr>
          <w:color w:val="auto"/>
        </w:rPr>
        <w:t>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Article </w:t>
      </w:r>
      <w:r w:rsidRPr="00653DCF">
        <w:rPr>
          <w:color w:val="auto"/>
        </w:rPr>
        <w:fldChar w:fldCharType="begin"/>
      </w:r>
      <w:r w:rsidRPr="00653DCF">
        <w:rPr>
          <w:color w:val="auto"/>
        </w:rPr>
        <w:instrText xml:space="preserve"> REF _Ref426983534 \r \h </w:instrText>
      </w:r>
      <w:r w:rsidRPr="00653DCF">
        <w:rPr>
          <w:color w:val="auto"/>
        </w:rPr>
      </w:r>
      <w:r w:rsidRPr="00653DCF">
        <w:rPr>
          <w:color w:val="auto"/>
        </w:rPr>
        <w:fldChar w:fldCharType="separate"/>
      </w:r>
      <w:r w:rsidR="00E5391B">
        <w:rPr>
          <w:color w:val="auto"/>
        </w:rPr>
        <w:t>4.2.B</w:t>
      </w:r>
      <w:r w:rsidRPr="00653DCF">
        <w:rPr>
          <w:color w:val="auto"/>
        </w:rPr>
        <w:fldChar w:fldCharType="end"/>
      </w:r>
      <w:r w:rsidRPr="00653DCF">
        <w:rPr>
          <w:color w:val="auto"/>
        </w:rPr>
        <w:t xml:space="preserve"> or, as the case may be, that no indemnity is due, the method of application of the Prepayment Amount and, if a Prepayment Indemnity is applicable, the deadline by which the Borrower may accept the Prepayment Notice.</w:t>
      </w:r>
    </w:p>
    <w:p w14:paraId="63D4BCE3" w14:textId="77777777" w:rsidR="00F0088B" w:rsidRPr="00653DCF" w:rsidRDefault="00F0088B" w:rsidP="00F0088B">
      <w:pPr>
        <w:rPr>
          <w:color w:val="auto"/>
        </w:rPr>
      </w:pPr>
      <w:r w:rsidRPr="00653DCF">
        <w:rPr>
          <w:color w:val="auto"/>
        </w:rPr>
        <w:t>If the Borrower accepts the Prepayment Notice no later than by the deadline (if any) specified in the Prepayment Notice, the Borrower shall effect the prepayment. In any other case, the Borrower may not effect the prepayment.</w:t>
      </w:r>
    </w:p>
    <w:p w14:paraId="735F468D" w14:textId="0EE87A89" w:rsidR="00F0088B" w:rsidRPr="00653DCF" w:rsidRDefault="00F0088B" w:rsidP="00F0088B">
      <w:pPr>
        <w:rPr>
          <w:color w:val="auto"/>
        </w:rPr>
      </w:pPr>
      <w:r w:rsidRPr="00653DCF">
        <w:rPr>
          <w:color w:val="auto"/>
        </w:rPr>
        <w:t xml:space="preserve">The Borrower shall accompany the payment of the Prepayment Amount by the payment of accrued interest, the Prepayment Indemnity due on the Prepayment Amount, as specified in the Prepayment Notice and the fee under Article </w:t>
      </w:r>
      <w:r w:rsidRPr="00653DCF">
        <w:rPr>
          <w:color w:val="auto"/>
        </w:rPr>
        <w:fldChar w:fldCharType="begin"/>
      </w:r>
      <w:r w:rsidRPr="00653DCF">
        <w:rPr>
          <w:color w:val="auto"/>
        </w:rPr>
        <w:instrText xml:space="preserve"> REF _Ref514250499 \r \h </w:instrText>
      </w:r>
      <w:r w:rsidRPr="00653DCF">
        <w:rPr>
          <w:color w:val="auto"/>
        </w:rPr>
      </w:r>
      <w:r w:rsidRPr="00653DCF">
        <w:rPr>
          <w:color w:val="auto"/>
        </w:rPr>
        <w:fldChar w:fldCharType="separate"/>
      </w:r>
      <w:r w:rsidR="00E5391B">
        <w:rPr>
          <w:color w:val="auto"/>
        </w:rPr>
        <w:t>4.2.D</w:t>
      </w:r>
      <w:r w:rsidRPr="00653DCF">
        <w:rPr>
          <w:color w:val="auto"/>
        </w:rPr>
        <w:fldChar w:fldCharType="end"/>
      </w:r>
      <w:r w:rsidRPr="00653DCF">
        <w:rPr>
          <w:color w:val="auto"/>
        </w:rPr>
        <w:t>, if any.</w:t>
      </w:r>
    </w:p>
    <w:p w14:paraId="29227341" w14:textId="77777777" w:rsidR="00F0088B" w:rsidRPr="00653DCF" w:rsidRDefault="00F0088B" w:rsidP="007D7C6B">
      <w:pPr>
        <w:pStyle w:val="Heading3"/>
        <w:ind w:left="851"/>
        <w:rPr>
          <w:color w:val="auto"/>
        </w:rPr>
      </w:pPr>
      <w:r w:rsidRPr="00653DCF">
        <w:rPr>
          <w:color w:val="auto"/>
        </w:rPr>
        <w:t>Administrative Fee</w:t>
      </w:r>
    </w:p>
    <w:p w14:paraId="29AC4AF9" w14:textId="77777777" w:rsidR="00F0088B" w:rsidRPr="00653DCF" w:rsidRDefault="00F0088B" w:rsidP="00F0088B">
      <w:pPr>
        <w:rPr>
          <w:color w:val="auto"/>
        </w:rPr>
      </w:pPr>
      <w:r w:rsidRPr="00653DCF">
        <w:rPr>
          <w:color w:val="auto"/>
        </w:rPr>
        <w:t>If the Borrower prepays a Tranche on a date other than a relevant Payment Date, or if the Bank exceptionally accepts, solely upon the Bank’s discretion, a Prepayment Request with prior notice of less than 30 (thirty) calendar days, the Borrower shall pay to the Bank an administrative fee in such amount as the Bank shall notify to the Borrower.</w:t>
      </w:r>
    </w:p>
    <w:p w14:paraId="51C4FB70" w14:textId="77777777" w:rsidR="00F0088B" w:rsidRPr="00653DCF" w:rsidRDefault="00F0088B" w:rsidP="007D7C6B">
      <w:pPr>
        <w:pStyle w:val="Heading2"/>
        <w:ind w:left="851"/>
        <w:rPr>
          <w:color w:val="auto"/>
        </w:rPr>
      </w:pPr>
      <w:r w:rsidRPr="00653DCF">
        <w:rPr>
          <w:color w:val="auto"/>
        </w:rPr>
        <w:t xml:space="preserve">Compulsory prepayment and cancellation </w:t>
      </w:r>
    </w:p>
    <w:p w14:paraId="0CEECE62" w14:textId="77777777" w:rsidR="00F0088B" w:rsidRPr="00653DCF" w:rsidRDefault="00F0088B" w:rsidP="007D7C6B">
      <w:pPr>
        <w:pStyle w:val="Heading3"/>
        <w:ind w:left="851"/>
        <w:rPr>
          <w:color w:val="auto"/>
        </w:rPr>
      </w:pPr>
      <w:bookmarkStart w:id="953" w:name="_Ref426715988"/>
      <w:bookmarkStart w:id="954" w:name="_Ref427036926"/>
      <w:bookmarkStart w:id="955" w:name="_Toc475441149"/>
      <w:bookmarkStart w:id="956" w:name="_Toc498018644"/>
      <w:bookmarkStart w:id="957" w:name="_Ref427244739"/>
      <w:bookmarkStart w:id="958" w:name="_Ref427244757"/>
      <w:bookmarkStart w:id="959" w:name="_Ref427245001"/>
      <w:bookmarkStart w:id="960" w:name="_Toc508120506"/>
      <w:bookmarkStart w:id="961" w:name="_Toc126080696"/>
      <w:bookmarkStart w:id="962" w:name="_Toc126080828"/>
      <w:r w:rsidRPr="00653DCF">
        <w:rPr>
          <w:color w:val="auto"/>
        </w:rPr>
        <w:t>Prepayment Events</w:t>
      </w:r>
      <w:bookmarkEnd w:id="953"/>
      <w:bookmarkEnd w:id="954"/>
      <w:bookmarkEnd w:id="955"/>
      <w:bookmarkEnd w:id="956"/>
      <w:bookmarkEnd w:id="957"/>
      <w:bookmarkEnd w:id="958"/>
      <w:bookmarkEnd w:id="959"/>
      <w:bookmarkEnd w:id="960"/>
      <w:bookmarkEnd w:id="961"/>
      <w:bookmarkEnd w:id="962"/>
    </w:p>
    <w:p w14:paraId="40703F26" w14:textId="77777777" w:rsidR="00F0088B" w:rsidRPr="00653DCF" w:rsidRDefault="00F0088B" w:rsidP="007D7C6B">
      <w:pPr>
        <w:pStyle w:val="Heading4"/>
        <w:ind w:left="851"/>
        <w:rPr>
          <w:color w:val="auto"/>
        </w:rPr>
      </w:pPr>
      <w:r w:rsidRPr="00653DCF">
        <w:rPr>
          <w:color w:val="auto"/>
        </w:rPr>
        <w:t>Project cost reduction Event</w:t>
      </w:r>
    </w:p>
    <w:p w14:paraId="2D335B77" w14:textId="77777777" w:rsidR="00F0088B" w:rsidRPr="00653DCF" w:rsidRDefault="00F0088B" w:rsidP="0024686A">
      <w:pPr>
        <w:widowControl w:val="0"/>
        <w:numPr>
          <w:ilvl w:val="0"/>
          <w:numId w:val="103"/>
        </w:numPr>
        <w:rPr>
          <w:color w:val="auto"/>
        </w:rPr>
      </w:pPr>
      <w:r w:rsidRPr="00653DCF">
        <w:rPr>
          <w:color w:val="auto"/>
        </w:rPr>
        <w:t xml:space="preserve">The Borrower (acting through the Promoter) shall promptly inform the Bank if a Project Cost Reduction Event has occurred or is likely to occur. </w:t>
      </w:r>
      <w:bookmarkStart w:id="963" w:name="_Ref426589379"/>
      <w:bookmarkStart w:id="964" w:name="_Ref496704331"/>
      <w:r w:rsidRPr="00653DCF">
        <w:rPr>
          <w:color w:val="auto"/>
        </w:rPr>
        <w:t xml:space="preserve">At any time after the occurrence of a Project Cost Reduction Event </w:t>
      </w:r>
      <w:bookmarkEnd w:id="963"/>
      <w:bookmarkEnd w:id="964"/>
      <w:r w:rsidRPr="00653DCF">
        <w:rPr>
          <w:color w:val="auto"/>
        </w:rPr>
        <w:t xml:space="preserve">the Bank may, by notice to the Borrower and the Promoter, cancel the undisbursed portion of the Credit and/or demand prepayment of the Loan Outstanding up to the amount by which the EIB Funds exceeds the limits referred to in paragraph (c) below together with accrued interest and all other amounts accrued and outstanding under this Contract in relation to the proportion of the Loan Outstanding to be prepaid. </w:t>
      </w:r>
    </w:p>
    <w:p w14:paraId="2648A2B9" w14:textId="77777777" w:rsidR="00F0088B" w:rsidRPr="00653DCF" w:rsidRDefault="00F0088B" w:rsidP="0024686A">
      <w:pPr>
        <w:widowControl w:val="0"/>
        <w:numPr>
          <w:ilvl w:val="0"/>
          <w:numId w:val="103"/>
        </w:numPr>
        <w:rPr>
          <w:color w:val="auto"/>
        </w:rPr>
      </w:pPr>
      <w:r w:rsidRPr="00653DCF">
        <w:rPr>
          <w:color w:val="auto"/>
        </w:rPr>
        <w:t>The Borrower shall effect payment of the amount demanded on the date specified by the Bank, such date falling not less than 30 (thirty) days from the date of the demand.</w:t>
      </w:r>
    </w:p>
    <w:p w14:paraId="4B97596A" w14:textId="77777777" w:rsidR="00F0088B" w:rsidRPr="00653DCF" w:rsidRDefault="00F0088B" w:rsidP="0024686A">
      <w:pPr>
        <w:widowControl w:val="0"/>
        <w:numPr>
          <w:ilvl w:val="0"/>
          <w:numId w:val="103"/>
        </w:numPr>
        <w:rPr>
          <w:color w:val="auto"/>
        </w:rPr>
      </w:pPr>
      <w:r w:rsidRPr="00653DCF">
        <w:rPr>
          <w:color w:val="auto"/>
        </w:rPr>
        <w:t>For the purpose of this Article, "</w:t>
      </w:r>
      <w:r w:rsidRPr="00653DCF">
        <w:rPr>
          <w:b/>
          <w:color w:val="auto"/>
        </w:rPr>
        <w:t>Project Cost Reduction Event</w:t>
      </w:r>
      <w:r w:rsidRPr="00653DCF">
        <w:rPr>
          <w:color w:val="auto"/>
        </w:rPr>
        <w:t>" means that the total cost of the Project falls below the figure stated in Recital (b) so that the amount of the EIB Funds exceeds:</w:t>
      </w:r>
    </w:p>
    <w:p w14:paraId="084E18EB" w14:textId="77777777" w:rsidR="00F0088B" w:rsidRPr="00653DCF" w:rsidRDefault="00F0088B" w:rsidP="0024686A">
      <w:pPr>
        <w:widowControl w:val="0"/>
        <w:numPr>
          <w:ilvl w:val="1"/>
          <w:numId w:val="103"/>
        </w:numPr>
        <w:rPr>
          <w:color w:val="auto"/>
        </w:rPr>
      </w:pPr>
      <w:r w:rsidRPr="00653DCF">
        <w:rPr>
          <w:color w:val="auto"/>
        </w:rPr>
        <w:t>50% (fifty per cent) of such total cost of the Project as allocated to the Project by the Bank under any Letter(s) of Allocation;</w:t>
      </w:r>
    </w:p>
    <w:p w14:paraId="371EA7F1" w14:textId="77777777" w:rsidR="00F0088B" w:rsidRPr="00653DCF" w:rsidRDefault="00F0088B" w:rsidP="0024686A">
      <w:pPr>
        <w:widowControl w:val="0"/>
        <w:numPr>
          <w:ilvl w:val="1"/>
          <w:numId w:val="103"/>
        </w:numPr>
        <w:rPr>
          <w:color w:val="auto"/>
        </w:rPr>
      </w:pPr>
      <w:r w:rsidRPr="00653DCF">
        <w:rPr>
          <w:color w:val="auto"/>
        </w:rPr>
        <w:t>when aggregated with the amount of any other EU Funds made available for the Project, 90% (ninety per cent) of such total cost of the Project as allocated to the Project by the Bank under any Letter(s) of Allocation; or</w:t>
      </w:r>
    </w:p>
    <w:p w14:paraId="2E1DA7B6" w14:textId="77777777" w:rsidR="00F0088B" w:rsidRPr="00653DCF" w:rsidRDefault="00F0088B" w:rsidP="0024686A">
      <w:pPr>
        <w:widowControl w:val="0"/>
        <w:numPr>
          <w:ilvl w:val="1"/>
          <w:numId w:val="103"/>
        </w:numPr>
        <w:rPr>
          <w:color w:val="auto"/>
        </w:rPr>
      </w:pPr>
      <w:r w:rsidRPr="00653DCF">
        <w:rPr>
          <w:color w:val="auto"/>
        </w:rPr>
        <w:t>100% (one hundred per cent) of eligible investment costs (as such costs are defined in the Technical Description), in relation to the Project.</w:t>
      </w:r>
    </w:p>
    <w:p w14:paraId="42B7BED1" w14:textId="77777777" w:rsidR="00F0088B" w:rsidRPr="00653DCF" w:rsidRDefault="00F0088B" w:rsidP="007D7C6B">
      <w:pPr>
        <w:pStyle w:val="Heading4"/>
        <w:ind w:left="851"/>
        <w:rPr>
          <w:color w:val="auto"/>
        </w:rPr>
      </w:pPr>
      <w:bookmarkStart w:id="965" w:name="_Ref426692957"/>
      <w:bookmarkStart w:id="966" w:name="_Ref440724440"/>
      <w:r w:rsidRPr="00653DCF">
        <w:rPr>
          <w:color w:val="auto"/>
        </w:rPr>
        <w:t>Change of law</w:t>
      </w:r>
      <w:bookmarkEnd w:id="965"/>
      <w:bookmarkEnd w:id="966"/>
      <w:r w:rsidRPr="00653DCF">
        <w:rPr>
          <w:color w:val="auto"/>
        </w:rPr>
        <w:t xml:space="preserve"> Event</w:t>
      </w:r>
    </w:p>
    <w:p w14:paraId="1E203FA1" w14:textId="77777777" w:rsidR="00F0088B" w:rsidRPr="00653DCF" w:rsidRDefault="00F0088B" w:rsidP="0024686A">
      <w:pPr>
        <w:widowControl w:val="0"/>
        <w:numPr>
          <w:ilvl w:val="0"/>
          <w:numId w:val="128"/>
        </w:numPr>
        <w:rPr>
          <w:color w:val="auto"/>
        </w:rPr>
      </w:pPr>
      <w:r w:rsidRPr="00653DCF">
        <w:rPr>
          <w:color w:val="auto"/>
        </w:rPr>
        <w:t>The Borrower shall promptly inform the Bank if a Change-of-Law Event has occurred or is likely to occur. In such case, or if the Bank has reasonable cause to believe that a Change-of-Law Event has occurred or is about to occur, the Bank may request that the Borrower consult with it. Such consultation shall take place within 30 (thirty) days from the date of the Bank’s request. If, after the lapse of 30 (thirty) days from the date of such request for consultation the Bank is of the opinion that:</w:t>
      </w:r>
    </w:p>
    <w:p w14:paraId="5635C5F3" w14:textId="77777777" w:rsidR="00F0088B" w:rsidRPr="00653DCF" w:rsidRDefault="00F0088B" w:rsidP="0024686A">
      <w:pPr>
        <w:widowControl w:val="0"/>
        <w:numPr>
          <w:ilvl w:val="1"/>
          <w:numId w:val="128"/>
        </w:numPr>
        <w:rPr>
          <w:color w:val="auto"/>
        </w:rPr>
      </w:pPr>
      <w:r w:rsidRPr="00653DCF">
        <w:rPr>
          <w:color w:val="auto"/>
        </w:rPr>
        <w:t>such Change-of-Law Event would materially impair the Borrower’s ability to perform its obligations under this Contract; and</w:t>
      </w:r>
    </w:p>
    <w:p w14:paraId="67F7D989" w14:textId="77777777" w:rsidR="00F0088B" w:rsidRPr="00653DCF" w:rsidRDefault="00F0088B" w:rsidP="0024686A">
      <w:pPr>
        <w:widowControl w:val="0"/>
        <w:numPr>
          <w:ilvl w:val="1"/>
          <w:numId w:val="128"/>
        </w:numPr>
        <w:rPr>
          <w:color w:val="auto"/>
        </w:rPr>
      </w:pPr>
      <w:r w:rsidRPr="00653DCF">
        <w:rPr>
          <w:color w:val="auto"/>
        </w:rPr>
        <w:t xml:space="preserve">the effects of such Change-of-Law Event cannot be mitigated to its satisfaction, </w:t>
      </w:r>
    </w:p>
    <w:p w14:paraId="2A6149F1" w14:textId="77777777" w:rsidR="00F0088B" w:rsidRPr="00653DCF" w:rsidRDefault="00F0088B" w:rsidP="00F0088B">
      <w:pPr>
        <w:ind w:left="1418"/>
        <w:rPr>
          <w:color w:val="auto"/>
        </w:rPr>
      </w:pPr>
      <w:r w:rsidRPr="00653DCF">
        <w:rPr>
          <w:color w:val="auto"/>
        </w:rPr>
        <w:t xml:space="preserve">the Bank may by notice to the Borrower, cancel the undisbursed portion of the Credit and/or demand prepayment of the Loan Outstanding, together with accrued interest and all other amounts accrued and outstanding under this Contract. </w:t>
      </w:r>
    </w:p>
    <w:p w14:paraId="715E6EFA" w14:textId="77777777" w:rsidR="00F0088B" w:rsidRPr="00653DCF" w:rsidRDefault="00F0088B" w:rsidP="0024686A">
      <w:pPr>
        <w:widowControl w:val="0"/>
        <w:numPr>
          <w:ilvl w:val="0"/>
          <w:numId w:val="128"/>
        </w:numPr>
        <w:rPr>
          <w:color w:val="auto"/>
        </w:rPr>
      </w:pPr>
      <w:r w:rsidRPr="00653DCF">
        <w:rPr>
          <w:color w:val="auto"/>
        </w:rPr>
        <w:t>The Borrower shall effect payment of the amount demanded on the date specified by the Bank, such date being a date falling not less than 30 (thirty) days from the date of the demand.</w:t>
      </w:r>
    </w:p>
    <w:p w14:paraId="4ED45126" w14:textId="77777777" w:rsidR="00F0088B" w:rsidRPr="00653DCF" w:rsidRDefault="00F0088B" w:rsidP="0024686A">
      <w:pPr>
        <w:widowControl w:val="0"/>
        <w:numPr>
          <w:ilvl w:val="0"/>
          <w:numId w:val="128"/>
        </w:numPr>
        <w:rPr>
          <w:color w:val="auto"/>
        </w:rPr>
      </w:pPr>
      <w:r w:rsidRPr="00653DCF">
        <w:rPr>
          <w:color w:val="auto"/>
        </w:rPr>
        <w:t>For the purposes of this Article "</w:t>
      </w:r>
      <w:r w:rsidRPr="00653DCF">
        <w:rPr>
          <w:rStyle w:val="BoldEIB"/>
          <w:color w:val="auto"/>
        </w:rPr>
        <w:t>Change-of-Law Event</w:t>
      </w:r>
      <w:r w:rsidRPr="00653DCF">
        <w:rPr>
          <w:color w:val="auto"/>
        </w:rPr>
        <w:t>" means the enactment, promulgation, execution or ratification of or any change in or amendment to any law, rule or regulation (or in the application or official interpretation of any law, rule or regulation) that occurs after the date of this Contract and which could impair the Borrower's ability to perform its obligations under this Contract.</w:t>
      </w:r>
    </w:p>
    <w:p w14:paraId="423A0109" w14:textId="77777777" w:rsidR="00F0088B" w:rsidRPr="00653DCF" w:rsidRDefault="00F0088B" w:rsidP="007D7C6B">
      <w:pPr>
        <w:pStyle w:val="Heading4"/>
        <w:ind w:left="851"/>
        <w:rPr>
          <w:color w:val="auto"/>
        </w:rPr>
      </w:pPr>
      <w:r w:rsidRPr="00653DCF">
        <w:rPr>
          <w:color w:val="auto"/>
        </w:rPr>
        <w:t>Illegality Event</w:t>
      </w:r>
    </w:p>
    <w:p w14:paraId="46469521" w14:textId="77777777" w:rsidR="00F0088B" w:rsidRPr="00653DCF" w:rsidRDefault="00F0088B" w:rsidP="0024686A">
      <w:pPr>
        <w:widowControl w:val="0"/>
        <w:numPr>
          <w:ilvl w:val="0"/>
          <w:numId w:val="104"/>
        </w:numPr>
        <w:rPr>
          <w:color w:val="auto"/>
        </w:rPr>
      </w:pPr>
      <w:r w:rsidRPr="00653DCF">
        <w:rPr>
          <w:color w:val="auto"/>
        </w:rPr>
        <w:t xml:space="preserve">Upon becoming aware of an Illegality Event: </w:t>
      </w:r>
    </w:p>
    <w:p w14:paraId="1CD3EB2E" w14:textId="77777777" w:rsidR="00F0088B" w:rsidRPr="00653DCF" w:rsidRDefault="00F0088B" w:rsidP="0024686A">
      <w:pPr>
        <w:widowControl w:val="0"/>
        <w:numPr>
          <w:ilvl w:val="1"/>
          <w:numId w:val="104"/>
        </w:numPr>
        <w:rPr>
          <w:color w:val="auto"/>
        </w:rPr>
      </w:pPr>
      <w:r w:rsidRPr="00653DCF">
        <w:rPr>
          <w:color w:val="auto"/>
        </w:rPr>
        <w:t>the Bank shall promptly notify the Borrower; and</w:t>
      </w:r>
    </w:p>
    <w:p w14:paraId="08F21589" w14:textId="77777777" w:rsidR="00F0088B" w:rsidRPr="00653DCF" w:rsidRDefault="00F0088B" w:rsidP="0024686A">
      <w:pPr>
        <w:widowControl w:val="0"/>
        <w:numPr>
          <w:ilvl w:val="1"/>
          <w:numId w:val="104"/>
        </w:numPr>
        <w:rPr>
          <w:color w:val="auto"/>
        </w:rPr>
      </w:pPr>
      <w:r w:rsidRPr="00653DCF">
        <w:rPr>
          <w:color w:val="auto"/>
        </w:rPr>
        <w:t>the Bank may immediately (A) suspend or cancel the undisbursed portion of the Credit, and/or (B) demand prepayment of the Loan Outstanding, together with accrued interest and all other amounts accrued and outstanding under this Contract on the date indicated by the Bank in its notice to the Borrower.</w:t>
      </w:r>
    </w:p>
    <w:p w14:paraId="4A30E9BB" w14:textId="77777777" w:rsidR="00F0088B" w:rsidRPr="00653DCF" w:rsidRDefault="00F0088B" w:rsidP="0024686A">
      <w:pPr>
        <w:widowControl w:val="0"/>
        <w:numPr>
          <w:ilvl w:val="0"/>
          <w:numId w:val="104"/>
        </w:numPr>
        <w:rPr>
          <w:color w:val="auto"/>
        </w:rPr>
      </w:pPr>
      <w:r w:rsidRPr="00653DCF">
        <w:rPr>
          <w:color w:val="auto"/>
        </w:rPr>
        <w:t>For the purposes of this Article, "</w:t>
      </w:r>
      <w:r w:rsidRPr="00653DCF">
        <w:rPr>
          <w:rStyle w:val="BoldEIB"/>
          <w:color w:val="auto"/>
        </w:rPr>
        <w:t>Illegality Event</w:t>
      </w:r>
      <w:r w:rsidRPr="00653DCF">
        <w:rPr>
          <w:color w:val="auto"/>
        </w:rPr>
        <w:t>" means that it becomes unlawful in any applicable jurisdiction, or if it becomes contrary to any Sanctions, for the Bank to:</w:t>
      </w:r>
    </w:p>
    <w:p w14:paraId="51839747" w14:textId="77777777" w:rsidR="00F0088B" w:rsidRPr="00653DCF" w:rsidRDefault="00F0088B" w:rsidP="0024686A">
      <w:pPr>
        <w:widowControl w:val="0"/>
        <w:numPr>
          <w:ilvl w:val="1"/>
          <w:numId w:val="104"/>
        </w:numPr>
        <w:rPr>
          <w:color w:val="auto"/>
        </w:rPr>
      </w:pPr>
      <w:r w:rsidRPr="00653DCF">
        <w:rPr>
          <w:color w:val="auto"/>
        </w:rPr>
        <w:t xml:space="preserve">perform any of its obligations as contemplated in this Contract; or </w:t>
      </w:r>
    </w:p>
    <w:p w14:paraId="404F71A9" w14:textId="77777777" w:rsidR="00F0088B" w:rsidRPr="00653DCF" w:rsidRDefault="00F0088B" w:rsidP="0024686A">
      <w:pPr>
        <w:widowControl w:val="0"/>
        <w:numPr>
          <w:ilvl w:val="1"/>
          <w:numId w:val="104"/>
        </w:numPr>
        <w:rPr>
          <w:color w:val="auto"/>
        </w:rPr>
      </w:pPr>
      <w:r w:rsidRPr="00653DCF">
        <w:rPr>
          <w:color w:val="auto"/>
        </w:rPr>
        <w:t>fund or maintain the Loan.</w:t>
      </w:r>
    </w:p>
    <w:p w14:paraId="42C82554" w14:textId="77777777" w:rsidR="00F0088B" w:rsidRPr="00653DCF" w:rsidRDefault="00F0088B" w:rsidP="007D7C6B">
      <w:pPr>
        <w:pStyle w:val="Heading4"/>
        <w:ind w:left="851"/>
        <w:rPr>
          <w:color w:val="auto"/>
        </w:rPr>
      </w:pPr>
      <w:r w:rsidRPr="00653DCF">
        <w:rPr>
          <w:color w:val="auto"/>
        </w:rPr>
        <w:t>NON UTILISATION Event</w:t>
      </w:r>
    </w:p>
    <w:p w14:paraId="134CE58E" w14:textId="431CA932" w:rsidR="00F0088B" w:rsidRPr="00653DCF" w:rsidRDefault="00F0088B" w:rsidP="0024686A">
      <w:pPr>
        <w:widowControl w:val="0"/>
        <w:numPr>
          <w:ilvl w:val="0"/>
          <w:numId w:val="105"/>
        </w:numPr>
        <w:rPr>
          <w:color w:val="auto"/>
        </w:rPr>
      </w:pPr>
      <w:r w:rsidRPr="00653DCF">
        <w:rPr>
          <w:color w:val="auto"/>
        </w:rPr>
        <w:t xml:space="preserve">If at the end of the Allocation Period, a Non Utilisation Event has occurred or is continuing unremedied, the Bank may, in proportion to the amount that failed to be allocated or re-allocated pursuant to Article </w:t>
      </w:r>
      <w:r w:rsidRPr="00653DCF">
        <w:rPr>
          <w:color w:val="auto"/>
          <w:highlight w:val="yellow"/>
        </w:rPr>
        <w:fldChar w:fldCharType="begin"/>
      </w:r>
      <w:r w:rsidRPr="00653DCF">
        <w:rPr>
          <w:color w:val="auto"/>
        </w:rPr>
        <w:instrText xml:space="preserve"> REF _Ref440726568 \r \h </w:instrText>
      </w:r>
      <w:r w:rsidRPr="00653DCF">
        <w:rPr>
          <w:color w:val="auto"/>
          <w:highlight w:val="yellow"/>
        </w:rPr>
      </w:r>
      <w:r w:rsidRPr="00653DCF">
        <w:rPr>
          <w:color w:val="auto"/>
          <w:highlight w:val="yellow"/>
        </w:rPr>
        <w:fldChar w:fldCharType="separate"/>
      </w:r>
      <w:r w:rsidR="00E5391B">
        <w:rPr>
          <w:color w:val="auto"/>
        </w:rPr>
        <w:t>1.9</w:t>
      </w:r>
      <w:r w:rsidRPr="00653DCF">
        <w:rPr>
          <w:color w:val="auto"/>
          <w:highlight w:val="yellow"/>
        </w:rPr>
        <w:fldChar w:fldCharType="end"/>
      </w:r>
      <w:r w:rsidRPr="00653DCF">
        <w:rPr>
          <w:color w:val="auto"/>
        </w:rPr>
        <w:t>, by notice to the Borrower, cancel the undisbursed portion of the Credit and/or demand immediate prepayment of the Loan Outstanding together with accrued interest and all other amounts accrued and outstanding under this Contract on the date indicated by the Bank in its notice to the Borrower.</w:t>
      </w:r>
    </w:p>
    <w:p w14:paraId="080F2A7E" w14:textId="77777777" w:rsidR="00F0088B" w:rsidRPr="00653DCF" w:rsidRDefault="00F0088B" w:rsidP="0024686A">
      <w:pPr>
        <w:widowControl w:val="0"/>
        <w:numPr>
          <w:ilvl w:val="0"/>
          <w:numId w:val="105"/>
        </w:numPr>
        <w:rPr>
          <w:color w:val="auto"/>
        </w:rPr>
      </w:pPr>
      <w:r w:rsidRPr="00653DCF">
        <w:rPr>
          <w:color w:val="auto"/>
        </w:rPr>
        <w:t>For the purposes of this Article, the "</w:t>
      </w:r>
      <w:r w:rsidRPr="00653DCF">
        <w:rPr>
          <w:rStyle w:val="BoldEIB"/>
          <w:color w:val="auto"/>
        </w:rPr>
        <w:t>Non Utilisation Event</w:t>
      </w:r>
      <w:r w:rsidRPr="00653DCF">
        <w:rPr>
          <w:color w:val="auto"/>
        </w:rPr>
        <w:t xml:space="preserve">" means that: </w:t>
      </w:r>
    </w:p>
    <w:p w14:paraId="48DDD633" w14:textId="663FB29F" w:rsidR="00F0088B" w:rsidRPr="00653DCF" w:rsidRDefault="00F0088B" w:rsidP="0024686A">
      <w:pPr>
        <w:widowControl w:val="0"/>
        <w:numPr>
          <w:ilvl w:val="1"/>
          <w:numId w:val="105"/>
        </w:numPr>
        <w:rPr>
          <w:color w:val="auto"/>
        </w:rPr>
      </w:pPr>
      <w:r w:rsidRPr="00653DCF">
        <w:rPr>
          <w:color w:val="auto"/>
        </w:rPr>
        <w:t xml:space="preserve">any part of the EIB Funds has failed to be allocated to any Schemes subject to the Letter(s) of Allocation and pursuant to Article </w:t>
      </w:r>
      <w:r w:rsidRPr="00653DCF">
        <w:rPr>
          <w:color w:val="auto"/>
        </w:rPr>
        <w:fldChar w:fldCharType="begin"/>
      </w:r>
      <w:r w:rsidRPr="00653DCF">
        <w:rPr>
          <w:color w:val="auto"/>
        </w:rPr>
        <w:instrText xml:space="preserve"> REF _Ref440726568 \r \h </w:instrText>
      </w:r>
      <w:r w:rsidRPr="00653DCF">
        <w:rPr>
          <w:color w:val="auto"/>
        </w:rPr>
      </w:r>
      <w:r w:rsidRPr="00653DCF">
        <w:rPr>
          <w:color w:val="auto"/>
        </w:rPr>
        <w:fldChar w:fldCharType="separate"/>
      </w:r>
      <w:r w:rsidR="00E5391B">
        <w:rPr>
          <w:color w:val="auto"/>
        </w:rPr>
        <w:t>1.9</w:t>
      </w:r>
      <w:r w:rsidRPr="00653DCF">
        <w:rPr>
          <w:color w:val="auto"/>
        </w:rPr>
        <w:fldChar w:fldCharType="end"/>
      </w:r>
      <w:r w:rsidRPr="00653DCF">
        <w:rPr>
          <w:color w:val="auto"/>
        </w:rPr>
        <w:t xml:space="preserve">; or </w:t>
      </w:r>
    </w:p>
    <w:p w14:paraId="016F45BD" w14:textId="0901190C" w:rsidR="00F0088B" w:rsidRPr="00653DCF" w:rsidRDefault="00F0088B" w:rsidP="0024686A">
      <w:pPr>
        <w:widowControl w:val="0"/>
        <w:numPr>
          <w:ilvl w:val="1"/>
          <w:numId w:val="105"/>
        </w:numPr>
        <w:rPr>
          <w:color w:val="auto"/>
        </w:rPr>
      </w:pPr>
      <w:r w:rsidRPr="00653DCF">
        <w:rPr>
          <w:color w:val="auto"/>
        </w:rPr>
        <w:t xml:space="preserve">any re-allocation pursuant to Article </w:t>
      </w:r>
      <w:r w:rsidRPr="00653DCF">
        <w:rPr>
          <w:color w:val="auto"/>
        </w:rPr>
        <w:fldChar w:fldCharType="begin"/>
      </w:r>
      <w:r w:rsidRPr="00653DCF">
        <w:rPr>
          <w:color w:val="auto"/>
        </w:rPr>
        <w:instrText xml:space="preserve"> REF _Ref440876210 \r \h </w:instrText>
      </w:r>
      <w:r w:rsidRPr="00653DCF">
        <w:rPr>
          <w:color w:val="auto"/>
        </w:rPr>
      </w:r>
      <w:r w:rsidRPr="00653DCF">
        <w:rPr>
          <w:color w:val="auto"/>
        </w:rPr>
        <w:fldChar w:fldCharType="separate"/>
      </w:r>
      <w:r w:rsidR="00E5391B">
        <w:rPr>
          <w:color w:val="auto"/>
        </w:rPr>
        <w:t>1.9.C</w:t>
      </w:r>
      <w:r w:rsidRPr="00653DCF">
        <w:rPr>
          <w:color w:val="auto"/>
        </w:rPr>
        <w:fldChar w:fldCharType="end"/>
      </w:r>
      <w:r w:rsidRPr="00653DCF">
        <w:rPr>
          <w:color w:val="auto"/>
        </w:rPr>
        <w:t xml:space="preserve"> is not possible or possible only in part.</w:t>
      </w:r>
    </w:p>
    <w:p w14:paraId="24D303A8" w14:textId="77777777" w:rsidR="00F0088B" w:rsidRPr="00653DCF" w:rsidRDefault="00F0088B" w:rsidP="007D7C6B">
      <w:pPr>
        <w:pStyle w:val="Heading4"/>
        <w:ind w:left="851"/>
        <w:rPr>
          <w:color w:val="auto"/>
        </w:rPr>
      </w:pPr>
      <w:bookmarkStart w:id="967" w:name="_Ref440723829"/>
      <w:bookmarkStart w:id="968" w:name="_Ref508526371"/>
      <w:r w:rsidRPr="00653DCF">
        <w:rPr>
          <w:color w:val="auto"/>
        </w:rPr>
        <w:t>AFFECTED SCHEME</w:t>
      </w:r>
      <w:bookmarkEnd w:id="967"/>
      <w:r w:rsidRPr="00653DCF">
        <w:rPr>
          <w:color w:val="auto"/>
        </w:rPr>
        <w:t xml:space="preserve"> Event</w:t>
      </w:r>
      <w:bookmarkEnd w:id="968"/>
    </w:p>
    <w:p w14:paraId="4E400D03" w14:textId="77777777" w:rsidR="00F0088B" w:rsidRPr="00653DCF" w:rsidRDefault="00F0088B" w:rsidP="0024686A">
      <w:pPr>
        <w:widowControl w:val="0"/>
        <w:numPr>
          <w:ilvl w:val="0"/>
          <w:numId w:val="106"/>
        </w:numPr>
        <w:rPr>
          <w:color w:val="auto"/>
        </w:rPr>
      </w:pPr>
      <w:r w:rsidRPr="00653DCF">
        <w:rPr>
          <w:color w:val="auto"/>
        </w:rPr>
        <w:t xml:space="preserve">The Borrower or the Promoter shall promptly inform the Bank if an Affected Scheme Event has occurred. </w:t>
      </w:r>
    </w:p>
    <w:p w14:paraId="0A400E49" w14:textId="77777777" w:rsidR="00F0088B" w:rsidRPr="00653DCF" w:rsidRDefault="00F0088B" w:rsidP="0024686A">
      <w:pPr>
        <w:widowControl w:val="0"/>
        <w:numPr>
          <w:ilvl w:val="0"/>
          <w:numId w:val="106"/>
        </w:numPr>
        <w:rPr>
          <w:color w:val="auto"/>
        </w:rPr>
      </w:pPr>
      <w:r w:rsidRPr="00653DCF">
        <w:rPr>
          <w:color w:val="auto"/>
        </w:rPr>
        <w:t>If the Borrower or the Promoter notify the Bank of an Affected Scheme Event, or if the Bank becomes aware of any such Affected Scheme and notifies the Borrower and the Promoter to that effect, then the Borrower shall, within a period of 60 (sixty) days following its giving, or receiving of any such notice:</w:t>
      </w:r>
    </w:p>
    <w:p w14:paraId="5670CEC0" w14:textId="77777777" w:rsidR="00F0088B" w:rsidRPr="00653DCF" w:rsidRDefault="00F0088B" w:rsidP="0024686A">
      <w:pPr>
        <w:widowControl w:val="0"/>
        <w:numPr>
          <w:ilvl w:val="1"/>
          <w:numId w:val="168"/>
        </w:numPr>
        <w:rPr>
          <w:color w:val="auto"/>
        </w:rPr>
      </w:pPr>
      <w:r w:rsidRPr="00653DCF">
        <w:rPr>
          <w:color w:val="auto"/>
        </w:rPr>
        <w:t xml:space="preserve">take steps to remedy, to the Bank's satisfaction, the event referred to in (a) above; and/or </w:t>
      </w:r>
    </w:p>
    <w:p w14:paraId="40B8797C" w14:textId="1F491FA8" w:rsidR="00F0088B" w:rsidRPr="00653DCF" w:rsidRDefault="00F0088B" w:rsidP="0024686A">
      <w:pPr>
        <w:widowControl w:val="0"/>
        <w:numPr>
          <w:ilvl w:val="1"/>
          <w:numId w:val="168"/>
        </w:numPr>
        <w:rPr>
          <w:color w:val="auto"/>
        </w:rPr>
      </w:pPr>
      <w:r w:rsidRPr="00653DCF">
        <w:rPr>
          <w:color w:val="auto"/>
        </w:rPr>
        <w:t xml:space="preserve">request the Bank to re-allocate any part of the Credit or the EIB Funds allocated to the Affected Scheme to another eligible Scheme pursuant to </w:t>
      </w:r>
      <w:r w:rsidRPr="00653DCF">
        <w:rPr>
          <w:color w:val="auto"/>
        </w:rPr>
        <w:br/>
        <w:t xml:space="preserve">Article </w:t>
      </w:r>
      <w:r w:rsidRPr="00653DCF">
        <w:rPr>
          <w:color w:val="auto"/>
        </w:rPr>
        <w:fldChar w:fldCharType="begin"/>
      </w:r>
      <w:r w:rsidRPr="00653DCF">
        <w:rPr>
          <w:color w:val="auto"/>
        </w:rPr>
        <w:instrText xml:space="preserve"> REF _Ref440876210 \r \h  \* MERGEFORMAT </w:instrText>
      </w:r>
      <w:r w:rsidRPr="00653DCF">
        <w:rPr>
          <w:color w:val="auto"/>
        </w:rPr>
      </w:r>
      <w:r w:rsidRPr="00653DCF">
        <w:rPr>
          <w:color w:val="auto"/>
        </w:rPr>
        <w:fldChar w:fldCharType="separate"/>
      </w:r>
      <w:r w:rsidR="00E5391B">
        <w:rPr>
          <w:color w:val="auto"/>
        </w:rPr>
        <w:t>1.9.C</w:t>
      </w:r>
      <w:r w:rsidRPr="00653DCF">
        <w:rPr>
          <w:color w:val="auto"/>
        </w:rPr>
        <w:fldChar w:fldCharType="end"/>
      </w:r>
      <w:r w:rsidRPr="00653DCF">
        <w:rPr>
          <w:color w:val="auto"/>
        </w:rPr>
        <w:t>,</w:t>
      </w:r>
    </w:p>
    <w:p w14:paraId="00196CCE" w14:textId="77777777" w:rsidR="00F0088B" w:rsidRPr="00653DCF" w:rsidRDefault="00F0088B" w:rsidP="00F0088B">
      <w:pPr>
        <w:widowControl w:val="0"/>
        <w:ind w:left="1423"/>
        <w:rPr>
          <w:color w:val="auto"/>
        </w:rPr>
      </w:pPr>
      <w:r w:rsidRPr="00653DCF">
        <w:rPr>
          <w:color w:val="auto"/>
        </w:rPr>
        <w:t>failing which, the Bank may by further notice to the Borrower demand that the Borrower prepays the Loan Outstanding in the amount originally allocated to any such Affected Scheme on the date indicated by the Bank in its notice to the Borrower.</w:t>
      </w:r>
    </w:p>
    <w:p w14:paraId="6A6FDDBF" w14:textId="77777777" w:rsidR="00F0088B" w:rsidRPr="00653DCF" w:rsidRDefault="00F0088B" w:rsidP="0024686A">
      <w:pPr>
        <w:widowControl w:val="0"/>
        <w:numPr>
          <w:ilvl w:val="0"/>
          <w:numId w:val="106"/>
        </w:numPr>
        <w:rPr>
          <w:color w:val="auto"/>
        </w:rPr>
      </w:pPr>
      <w:r w:rsidRPr="00653DCF">
        <w:rPr>
          <w:color w:val="auto"/>
        </w:rPr>
        <w:t xml:space="preserve">For the purpose of this Contract: </w:t>
      </w:r>
    </w:p>
    <w:p w14:paraId="609ACA18" w14:textId="77777777" w:rsidR="00F0088B" w:rsidRPr="00653DCF" w:rsidRDefault="00F0088B" w:rsidP="0024686A">
      <w:pPr>
        <w:widowControl w:val="0"/>
        <w:numPr>
          <w:ilvl w:val="1"/>
          <w:numId w:val="106"/>
        </w:numPr>
        <w:rPr>
          <w:color w:val="auto"/>
        </w:rPr>
      </w:pPr>
      <w:r w:rsidRPr="00653DCF">
        <w:rPr>
          <w:rStyle w:val="BoldEIB"/>
          <w:b w:val="0"/>
          <w:color w:val="auto"/>
        </w:rPr>
        <w:t>an</w:t>
      </w:r>
      <w:r w:rsidRPr="00653DCF">
        <w:rPr>
          <w:rStyle w:val="BoldEIB"/>
          <w:color w:val="auto"/>
        </w:rPr>
        <w:t xml:space="preserve"> </w:t>
      </w:r>
      <w:r w:rsidRPr="00653DCF">
        <w:rPr>
          <w:rStyle w:val="BoldEIB"/>
          <w:b w:val="0"/>
          <w:color w:val="auto"/>
        </w:rPr>
        <w:t>"</w:t>
      </w:r>
      <w:r w:rsidRPr="00653DCF">
        <w:rPr>
          <w:rStyle w:val="BoldEIB"/>
          <w:color w:val="auto"/>
        </w:rPr>
        <w:t>Affected Scheme</w:t>
      </w:r>
      <w:r w:rsidRPr="00653DCF">
        <w:rPr>
          <w:rStyle w:val="BoldEIB"/>
          <w:b w:val="0"/>
          <w:color w:val="auto"/>
        </w:rPr>
        <w:t>" means a Scheme affected by an Affected Scheme Event;</w:t>
      </w:r>
    </w:p>
    <w:p w14:paraId="2D47DCCD" w14:textId="77777777" w:rsidR="00F0088B" w:rsidRPr="00653DCF" w:rsidRDefault="00F0088B" w:rsidP="0024686A">
      <w:pPr>
        <w:widowControl w:val="0"/>
        <w:numPr>
          <w:ilvl w:val="1"/>
          <w:numId w:val="106"/>
        </w:numPr>
        <w:rPr>
          <w:color w:val="auto"/>
        </w:rPr>
      </w:pPr>
      <w:r w:rsidRPr="00653DCF">
        <w:rPr>
          <w:color w:val="auto"/>
        </w:rPr>
        <w:t>an "</w:t>
      </w:r>
      <w:r w:rsidRPr="00653DCF">
        <w:rPr>
          <w:rStyle w:val="BoldEIB"/>
          <w:color w:val="auto"/>
        </w:rPr>
        <w:t>Affected Scheme Event</w:t>
      </w:r>
      <w:r w:rsidRPr="00653DCF">
        <w:rPr>
          <w:color w:val="auto"/>
        </w:rPr>
        <w:t>" means that:</w:t>
      </w:r>
    </w:p>
    <w:p w14:paraId="38EE7565" w14:textId="77777777" w:rsidR="00F0088B" w:rsidRPr="00653DCF" w:rsidRDefault="00F0088B" w:rsidP="0024686A">
      <w:pPr>
        <w:widowControl w:val="0"/>
        <w:numPr>
          <w:ilvl w:val="2"/>
          <w:numId w:val="106"/>
        </w:numPr>
        <w:rPr>
          <w:color w:val="auto"/>
        </w:rPr>
      </w:pPr>
      <w:r w:rsidRPr="00653DCF">
        <w:rPr>
          <w:color w:val="auto"/>
        </w:rPr>
        <w:t>the Borrower, the Promoter or the Project Company has failed to comply with the Environmental and Social Law or any laws of the European Union and the Republic of Croatia with respect to state aid or public procurement with respect to any Scheme;</w:t>
      </w:r>
    </w:p>
    <w:p w14:paraId="2F1A8420" w14:textId="77777777" w:rsidR="00F0088B" w:rsidRPr="00653DCF" w:rsidRDefault="00F0088B" w:rsidP="0024686A">
      <w:pPr>
        <w:widowControl w:val="0"/>
        <w:numPr>
          <w:ilvl w:val="2"/>
          <w:numId w:val="106"/>
        </w:numPr>
        <w:rPr>
          <w:color w:val="auto"/>
        </w:rPr>
      </w:pPr>
      <w:r w:rsidRPr="00653DCF">
        <w:rPr>
          <w:color w:val="auto"/>
        </w:rPr>
        <w:t>an EU Funds Event has occurred or is likely to occur in relation to any Scheme;</w:t>
      </w:r>
    </w:p>
    <w:p w14:paraId="274B90B3" w14:textId="77777777" w:rsidR="00F0088B" w:rsidRPr="00653DCF" w:rsidRDefault="00F0088B" w:rsidP="0024686A">
      <w:pPr>
        <w:widowControl w:val="0"/>
        <w:numPr>
          <w:ilvl w:val="2"/>
          <w:numId w:val="106"/>
        </w:numPr>
        <w:rPr>
          <w:color w:val="auto"/>
        </w:rPr>
      </w:pPr>
      <w:r w:rsidRPr="00653DCF">
        <w:rPr>
          <w:color w:val="auto"/>
        </w:rPr>
        <w:t xml:space="preserve">the Bank has issued a Letter of Allocation with respect to a Scheme that, contrary to the representation from the Borrower and/or Promoter delivered with any Allocation Request, is subject to the relevant EIA procedures; or </w:t>
      </w:r>
    </w:p>
    <w:p w14:paraId="18FAEB09" w14:textId="77777777" w:rsidR="00F0088B" w:rsidRPr="00653DCF" w:rsidRDefault="00F0088B" w:rsidP="0024686A">
      <w:pPr>
        <w:widowControl w:val="0"/>
        <w:numPr>
          <w:ilvl w:val="2"/>
          <w:numId w:val="106"/>
        </w:numPr>
        <w:rPr>
          <w:color w:val="auto"/>
        </w:rPr>
      </w:pPr>
      <w:r w:rsidRPr="00653DCF">
        <w:rPr>
          <w:color w:val="auto"/>
        </w:rPr>
        <w:t xml:space="preserve">the Borrower or the Promoter has applied the proceeds of the EIB Funds to finance any Scheme that, when applicable, failed to be subject to a relevant EIA procedures or a biodiversity assessment in accordance with the Birds Directive and/or the Habitats Directive; and </w:t>
      </w:r>
    </w:p>
    <w:p w14:paraId="6D178119" w14:textId="77777777" w:rsidR="00F0088B" w:rsidRPr="00653DCF" w:rsidRDefault="00F0088B" w:rsidP="0024686A">
      <w:pPr>
        <w:widowControl w:val="0"/>
        <w:numPr>
          <w:ilvl w:val="1"/>
          <w:numId w:val="106"/>
        </w:numPr>
        <w:rPr>
          <w:color w:val="auto"/>
        </w:rPr>
      </w:pPr>
      <w:r w:rsidRPr="00653DCF">
        <w:rPr>
          <w:color w:val="auto"/>
        </w:rPr>
        <w:t>an "</w:t>
      </w:r>
      <w:r w:rsidRPr="00653DCF">
        <w:rPr>
          <w:b/>
          <w:color w:val="auto"/>
        </w:rPr>
        <w:t>EU Funds Event</w:t>
      </w:r>
      <w:r w:rsidRPr="00653DCF">
        <w:rPr>
          <w:color w:val="auto"/>
        </w:rPr>
        <w:t>" means any of the following (whether directly or indirectly) in relation to any Scheme:</w:t>
      </w:r>
    </w:p>
    <w:p w14:paraId="39C08B34" w14:textId="77777777" w:rsidR="00F0088B" w:rsidRPr="00653DCF" w:rsidRDefault="00F0088B" w:rsidP="0024686A">
      <w:pPr>
        <w:widowControl w:val="0"/>
        <w:numPr>
          <w:ilvl w:val="2"/>
          <w:numId w:val="106"/>
        </w:numPr>
        <w:rPr>
          <w:color w:val="auto"/>
        </w:rPr>
      </w:pPr>
      <w:r w:rsidRPr="00653DCF">
        <w:rPr>
          <w:color w:val="auto"/>
        </w:rPr>
        <w:t xml:space="preserve">the Borrower is required to reimburse or repay any contribution from EU Funds in whole or in part as a result of a recovery, financial correction or similar procedures triggered by any irregularities in relation to such contribution from EU Funds for the reasons attributable to the Borrower; or </w:t>
      </w:r>
    </w:p>
    <w:p w14:paraId="2AA90BC1" w14:textId="77777777" w:rsidR="00F0088B" w:rsidRPr="00653DCF" w:rsidRDefault="00F0088B" w:rsidP="0024686A">
      <w:pPr>
        <w:widowControl w:val="0"/>
        <w:numPr>
          <w:ilvl w:val="2"/>
          <w:numId w:val="106"/>
        </w:numPr>
        <w:rPr>
          <w:color w:val="auto"/>
        </w:rPr>
      </w:pPr>
      <w:r w:rsidRPr="00653DCF">
        <w:rPr>
          <w:color w:val="auto"/>
        </w:rPr>
        <w:t>otherwise than for the reasons indicated in item (1) above, EU Funds cease to be available or have been cancelled in full or in part and the financing of such Scheme from other resources has not been ensured by the Borrower or the Promoter to the satisfaction of the Bank.</w:t>
      </w:r>
    </w:p>
    <w:p w14:paraId="3234B7FE" w14:textId="478E1FF2" w:rsidR="00F0088B" w:rsidRPr="00653DCF" w:rsidRDefault="00F0088B" w:rsidP="0024686A">
      <w:pPr>
        <w:widowControl w:val="0"/>
        <w:numPr>
          <w:ilvl w:val="0"/>
          <w:numId w:val="106"/>
        </w:numPr>
        <w:rPr>
          <w:color w:val="auto"/>
        </w:rPr>
      </w:pPr>
      <w:r w:rsidRPr="00653DCF">
        <w:rPr>
          <w:color w:val="auto"/>
        </w:rPr>
        <w:t xml:space="preserve">In case of substitution of any Affected Scheme with any other Scheme, the allocation deadlines set out in Article </w:t>
      </w:r>
      <w:r w:rsidRPr="00653DCF">
        <w:rPr>
          <w:color w:val="auto"/>
        </w:rPr>
        <w:fldChar w:fldCharType="begin"/>
      </w:r>
      <w:r w:rsidRPr="00653DCF">
        <w:rPr>
          <w:color w:val="auto"/>
        </w:rPr>
        <w:instrText xml:space="preserve"> REF _Ref440726568 \r \h  \* MERGEFORMAT </w:instrText>
      </w:r>
      <w:r w:rsidRPr="00653DCF">
        <w:rPr>
          <w:color w:val="auto"/>
        </w:rPr>
      </w:r>
      <w:r w:rsidRPr="00653DCF">
        <w:rPr>
          <w:color w:val="auto"/>
        </w:rPr>
        <w:fldChar w:fldCharType="separate"/>
      </w:r>
      <w:r w:rsidR="00E5391B">
        <w:rPr>
          <w:color w:val="auto"/>
        </w:rPr>
        <w:t>1.9</w:t>
      </w:r>
      <w:r w:rsidRPr="00653DCF">
        <w:rPr>
          <w:color w:val="auto"/>
        </w:rPr>
        <w:fldChar w:fldCharType="end"/>
      </w:r>
      <w:r w:rsidRPr="00653DCF">
        <w:rPr>
          <w:color w:val="auto"/>
        </w:rPr>
        <w:t xml:space="preserve"> shall not apply. The Borrower or the Promoter shall deliver to the Bank a list of any such substitutions in a form acceptable to the Bank.</w:t>
      </w:r>
    </w:p>
    <w:p w14:paraId="2B834CB0" w14:textId="77777777" w:rsidR="00F0088B" w:rsidRPr="00653DCF" w:rsidRDefault="00F0088B" w:rsidP="007D7C6B">
      <w:pPr>
        <w:pStyle w:val="Heading3"/>
        <w:ind w:left="851"/>
        <w:rPr>
          <w:color w:val="auto"/>
        </w:rPr>
      </w:pPr>
      <w:bookmarkStart w:id="969" w:name="_Toc475441150"/>
      <w:bookmarkStart w:id="970" w:name="_Toc498018645"/>
      <w:bookmarkStart w:id="971" w:name="_Toc508120507"/>
      <w:bookmarkStart w:id="972" w:name="_Toc126080697"/>
      <w:bookmarkStart w:id="973" w:name="_Toc126080829"/>
      <w:r w:rsidRPr="00653DCF">
        <w:rPr>
          <w:color w:val="auto"/>
        </w:rPr>
        <w:t>Prepayment mechanics</w:t>
      </w:r>
      <w:bookmarkEnd w:id="969"/>
      <w:bookmarkEnd w:id="970"/>
      <w:bookmarkEnd w:id="971"/>
      <w:bookmarkEnd w:id="972"/>
      <w:bookmarkEnd w:id="973"/>
    </w:p>
    <w:p w14:paraId="6721C55D" w14:textId="1C08F459" w:rsidR="00F0088B" w:rsidRPr="00653DCF" w:rsidRDefault="00F0088B" w:rsidP="00F0088B">
      <w:pPr>
        <w:rPr>
          <w:color w:val="auto"/>
        </w:rPr>
      </w:pPr>
      <w:r w:rsidRPr="00653DCF">
        <w:rPr>
          <w:color w:val="auto"/>
        </w:rPr>
        <w:t>Any sum demanded by the Bank pursuant to Article </w:t>
      </w:r>
      <w:r w:rsidRPr="00653DCF">
        <w:rPr>
          <w:color w:val="auto"/>
        </w:rPr>
        <w:fldChar w:fldCharType="begin"/>
      </w:r>
      <w:r w:rsidRPr="00653DCF">
        <w:rPr>
          <w:color w:val="auto"/>
        </w:rPr>
        <w:instrText xml:space="preserve"> REF _Ref427036926 \r \h </w:instrText>
      </w:r>
      <w:r w:rsidRPr="00653DCF">
        <w:rPr>
          <w:color w:val="auto"/>
        </w:rPr>
      </w:r>
      <w:r w:rsidRPr="00653DCF">
        <w:rPr>
          <w:color w:val="auto"/>
        </w:rPr>
        <w:fldChar w:fldCharType="separate"/>
      </w:r>
      <w:r w:rsidR="00E5391B">
        <w:rPr>
          <w:color w:val="auto"/>
        </w:rPr>
        <w:t>4.3.A</w:t>
      </w:r>
      <w:r w:rsidRPr="00653DCF">
        <w:rPr>
          <w:color w:val="auto"/>
        </w:rPr>
        <w:fldChar w:fldCharType="end"/>
      </w:r>
      <w:r w:rsidRPr="00653DCF">
        <w:rPr>
          <w:color w:val="auto"/>
        </w:rPr>
        <w:t>, together with any interest or other amounts accrued or outstanding under this Contract including, without limitation, any indemnity due under Article </w:t>
      </w:r>
      <w:r w:rsidRPr="00653DCF">
        <w:rPr>
          <w:color w:val="auto"/>
        </w:rPr>
        <w:fldChar w:fldCharType="begin"/>
      </w:r>
      <w:r w:rsidRPr="00653DCF">
        <w:rPr>
          <w:color w:val="auto"/>
        </w:rPr>
        <w:instrText xml:space="preserve"> REF _Ref427036964 \r \h </w:instrText>
      </w:r>
      <w:r w:rsidRPr="00653DCF">
        <w:rPr>
          <w:color w:val="auto"/>
        </w:rPr>
      </w:r>
      <w:r w:rsidRPr="00653DCF">
        <w:rPr>
          <w:color w:val="auto"/>
        </w:rPr>
        <w:fldChar w:fldCharType="separate"/>
      </w:r>
      <w:r w:rsidR="00E5391B">
        <w:rPr>
          <w:color w:val="auto"/>
        </w:rPr>
        <w:t>4.3.C</w:t>
      </w:r>
      <w:r w:rsidRPr="00653DCF">
        <w:rPr>
          <w:color w:val="auto"/>
        </w:rPr>
        <w:fldChar w:fldCharType="end"/>
      </w:r>
      <w:r w:rsidRPr="00653DCF">
        <w:rPr>
          <w:color w:val="auto"/>
        </w:rPr>
        <w:t xml:space="preserve">, shall be paid on the Prepayment Date indicated by the Bank in its notice of demand. </w:t>
      </w:r>
    </w:p>
    <w:p w14:paraId="159D814A" w14:textId="77777777" w:rsidR="00F0088B" w:rsidRPr="00653DCF" w:rsidRDefault="00F0088B" w:rsidP="007D7C6B">
      <w:pPr>
        <w:pStyle w:val="Heading3"/>
        <w:ind w:left="851"/>
        <w:rPr>
          <w:color w:val="auto"/>
        </w:rPr>
      </w:pPr>
      <w:bookmarkStart w:id="974" w:name="_Ref427036964"/>
      <w:bookmarkStart w:id="975" w:name="_Toc475441151"/>
      <w:bookmarkStart w:id="976" w:name="_Toc498018646"/>
      <w:bookmarkStart w:id="977" w:name="_Toc508120508"/>
      <w:bookmarkStart w:id="978" w:name="_Toc126080698"/>
      <w:bookmarkStart w:id="979" w:name="_Toc126080830"/>
      <w:r w:rsidRPr="00653DCF">
        <w:rPr>
          <w:color w:val="auto"/>
        </w:rPr>
        <w:t>Prepayment indemnity</w:t>
      </w:r>
      <w:bookmarkEnd w:id="974"/>
      <w:bookmarkEnd w:id="975"/>
      <w:bookmarkEnd w:id="976"/>
      <w:bookmarkEnd w:id="977"/>
      <w:bookmarkEnd w:id="978"/>
      <w:bookmarkEnd w:id="979"/>
    </w:p>
    <w:p w14:paraId="5675BB10" w14:textId="77777777" w:rsidR="00F0088B" w:rsidRPr="00653DCF" w:rsidRDefault="00F0088B" w:rsidP="007D7C6B">
      <w:pPr>
        <w:pStyle w:val="Heading4"/>
        <w:ind w:left="851"/>
        <w:rPr>
          <w:color w:val="auto"/>
        </w:rPr>
      </w:pPr>
      <w:r w:rsidRPr="00653DCF">
        <w:rPr>
          <w:color w:val="auto"/>
        </w:rPr>
        <w:t>Fixed Rate Tranche</w:t>
      </w:r>
    </w:p>
    <w:p w14:paraId="7D964414" w14:textId="77777777" w:rsidR="00F0088B" w:rsidRPr="00653DCF" w:rsidRDefault="00F0088B" w:rsidP="00F0088B">
      <w:pPr>
        <w:rPr>
          <w:color w:val="auto"/>
        </w:rPr>
      </w:pPr>
      <w:r w:rsidRPr="00653DCF">
        <w:rPr>
          <w:color w:val="auto"/>
        </w:rPr>
        <w:t>If the Borrower prepays a Fixed Rate Tranche in case of an Indemnifiable Prepayment Event, the Borrower shall pay to the Bank on the Prepayment Date the Prepayment Indemnity in respect of the Fixed Rate Tranche that is being prepaid.</w:t>
      </w:r>
    </w:p>
    <w:p w14:paraId="08BEA95B" w14:textId="77777777" w:rsidR="00F0088B" w:rsidRPr="00653DCF" w:rsidRDefault="00F0088B" w:rsidP="007D7C6B">
      <w:pPr>
        <w:pStyle w:val="Heading4"/>
        <w:ind w:left="851"/>
        <w:rPr>
          <w:color w:val="auto"/>
        </w:rPr>
      </w:pPr>
      <w:r w:rsidRPr="00653DCF">
        <w:rPr>
          <w:color w:val="auto"/>
        </w:rPr>
        <w:t>Floating Rate Tranche</w:t>
      </w:r>
    </w:p>
    <w:p w14:paraId="1573C5BA" w14:textId="77777777" w:rsidR="00F0088B" w:rsidRPr="00653DCF" w:rsidRDefault="00F0088B" w:rsidP="00F0088B">
      <w:pPr>
        <w:rPr>
          <w:color w:val="auto"/>
        </w:rPr>
      </w:pPr>
      <w:r w:rsidRPr="00653DCF">
        <w:rPr>
          <w:color w:val="auto"/>
        </w:rPr>
        <w:t>The Borrower may prepay the Floating Rate Tranches without the Prepayment Indemnity.</w:t>
      </w:r>
    </w:p>
    <w:p w14:paraId="157536DB" w14:textId="77777777" w:rsidR="00F0088B" w:rsidRPr="00653DCF" w:rsidRDefault="00F0088B" w:rsidP="007D7C6B">
      <w:pPr>
        <w:pStyle w:val="Heading2"/>
        <w:ind w:left="851"/>
        <w:rPr>
          <w:color w:val="auto"/>
        </w:rPr>
      </w:pPr>
      <w:r w:rsidRPr="00653DCF">
        <w:rPr>
          <w:color w:val="auto"/>
        </w:rPr>
        <w:t>General</w:t>
      </w:r>
    </w:p>
    <w:p w14:paraId="4CC63192" w14:textId="77777777" w:rsidR="00F0088B" w:rsidRPr="00653DCF" w:rsidRDefault="00F0088B" w:rsidP="007D7C6B">
      <w:pPr>
        <w:pStyle w:val="Heading3"/>
        <w:ind w:left="851"/>
        <w:rPr>
          <w:color w:val="auto"/>
        </w:rPr>
      </w:pPr>
      <w:r w:rsidRPr="00653DCF">
        <w:rPr>
          <w:color w:val="auto"/>
        </w:rPr>
        <w:t>No prejudice to Article 10</w:t>
      </w:r>
    </w:p>
    <w:p w14:paraId="6A6888DA" w14:textId="7C1AE750" w:rsidR="00F0088B" w:rsidRPr="00653DCF" w:rsidRDefault="00F0088B" w:rsidP="00F0088B">
      <w:pPr>
        <w:rPr>
          <w:color w:val="auto"/>
        </w:rPr>
      </w:pPr>
      <w:r w:rsidRPr="00653DCF">
        <w:rPr>
          <w:color w:val="auto"/>
        </w:rPr>
        <w:t xml:space="preserve">This </w:t>
      </w:r>
      <w:r w:rsidRPr="00653DCF">
        <w:rPr>
          <w:color w:val="auto"/>
        </w:rPr>
        <w:fldChar w:fldCharType="begin"/>
      </w:r>
      <w:r w:rsidRPr="00653DCF">
        <w:rPr>
          <w:color w:val="auto"/>
        </w:rPr>
        <w:instrText xml:space="preserve"> REF _Ref427037135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 xml:space="preserve"> shall not prejudice </w:t>
      </w:r>
      <w:r w:rsidRPr="00653DCF">
        <w:rPr>
          <w:color w:val="auto"/>
        </w:rPr>
        <w:fldChar w:fldCharType="begin"/>
      </w:r>
      <w:r w:rsidRPr="00653DCF">
        <w:rPr>
          <w:color w:val="auto"/>
        </w:rPr>
        <w:instrText xml:space="preserve"> REF _Ref426981731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w:t>
      </w:r>
    </w:p>
    <w:p w14:paraId="4756F2BB" w14:textId="77777777" w:rsidR="00F0088B" w:rsidRPr="00653DCF" w:rsidRDefault="00F0088B" w:rsidP="007D7C6B">
      <w:pPr>
        <w:pStyle w:val="Heading3"/>
        <w:ind w:left="851"/>
        <w:rPr>
          <w:color w:val="auto"/>
        </w:rPr>
      </w:pPr>
      <w:r w:rsidRPr="00653DCF">
        <w:rPr>
          <w:color w:val="auto"/>
        </w:rPr>
        <w:t>No reborrowing</w:t>
      </w:r>
    </w:p>
    <w:p w14:paraId="6DAABA1C" w14:textId="77777777" w:rsidR="00F0088B" w:rsidRPr="00653DCF" w:rsidRDefault="00F0088B" w:rsidP="00F0088B">
      <w:pPr>
        <w:rPr>
          <w:color w:val="auto"/>
        </w:rPr>
      </w:pPr>
      <w:r w:rsidRPr="00653DCF">
        <w:rPr>
          <w:color w:val="auto"/>
        </w:rPr>
        <w:t>A repaid or prepaid amount may not be reborrowed.</w:t>
      </w:r>
    </w:p>
    <w:p w14:paraId="49B2BDA1" w14:textId="4CC8A7A3" w:rsidR="00F0088B" w:rsidRPr="00653DCF" w:rsidRDefault="00FC5D6E" w:rsidP="00C40040">
      <w:pPr>
        <w:pStyle w:val="ENGLESKI"/>
      </w:pPr>
      <w:r>
        <w:t>ARTICLE 5</w:t>
      </w:r>
    </w:p>
    <w:p w14:paraId="6921B442" w14:textId="77777777" w:rsidR="00F0088B" w:rsidRPr="00653DCF" w:rsidRDefault="00F0088B" w:rsidP="00F0088B">
      <w:pPr>
        <w:pStyle w:val="ArticleTitleEIB"/>
        <w:rPr>
          <w:color w:val="auto"/>
        </w:rPr>
      </w:pPr>
      <w:r w:rsidRPr="00653DCF">
        <w:rPr>
          <w:color w:val="auto"/>
        </w:rPr>
        <w:t>Payments</w:t>
      </w:r>
    </w:p>
    <w:p w14:paraId="4D0D41F6"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bookmarkStart w:id="980" w:name="_Ref426952698"/>
      <w:bookmarkStart w:id="981" w:name="_Ref426981587"/>
      <w:bookmarkStart w:id="982" w:name="_Toc475441154"/>
      <w:bookmarkStart w:id="983" w:name="_Toc498018649"/>
      <w:bookmarkStart w:id="984" w:name="_Toc508120513"/>
      <w:bookmarkStart w:id="985" w:name="_Toc126080703"/>
      <w:bookmarkStart w:id="986" w:name="_Toc126080835"/>
    </w:p>
    <w:p w14:paraId="10A8491F" w14:textId="77777777" w:rsidR="00F0088B" w:rsidRPr="00653DCF" w:rsidRDefault="00F0088B" w:rsidP="00335497">
      <w:pPr>
        <w:pStyle w:val="Heading2"/>
        <w:ind w:left="851"/>
        <w:rPr>
          <w:color w:val="auto"/>
        </w:rPr>
      </w:pPr>
      <w:r w:rsidRPr="00653DCF">
        <w:rPr>
          <w:color w:val="auto"/>
        </w:rPr>
        <w:t>Day count convention</w:t>
      </w:r>
      <w:bookmarkEnd w:id="980"/>
      <w:bookmarkEnd w:id="981"/>
      <w:bookmarkEnd w:id="982"/>
      <w:bookmarkEnd w:id="983"/>
      <w:bookmarkEnd w:id="984"/>
      <w:bookmarkEnd w:id="985"/>
      <w:bookmarkEnd w:id="986"/>
    </w:p>
    <w:p w14:paraId="2309DA11" w14:textId="77777777" w:rsidR="00F0088B" w:rsidRPr="00653DCF" w:rsidRDefault="00F0088B" w:rsidP="00F0088B">
      <w:pPr>
        <w:rPr>
          <w:color w:val="auto"/>
        </w:rPr>
      </w:pPr>
      <w:r w:rsidRPr="00653DCF">
        <w:rPr>
          <w:color w:val="auto"/>
        </w:rPr>
        <w:t>Any amount due by way of interest, indemnity or the Deferment Fee from the Borrower under this Contract, and calculated in respect of a fraction of a year, shall be determined on the following respective conventions:</w:t>
      </w:r>
    </w:p>
    <w:p w14:paraId="4BFF93AB" w14:textId="77777777" w:rsidR="00F0088B" w:rsidRPr="00653DCF" w:rsidRDefault="00F0088B" w:rsidP="0024686A">
      <w:pPr>
        <w:pStyle w:val="NoIndentEIB"/>
        <w:numPr>
          <w:ilvl w:val="0"/>
          <w:numId w:val="107"/>
        </w:numPr>
        <w:rPr>
          <w:color w:val="auto"/>
        </w:rPr>
      </w:pPr>
      <w:r w:rsidRPr="00653DCF">
        <w:rPr>
          <w:color w:val="auto"/>
        </w:rPr>
        <w:t xml:space="preserve">under a Fixed Rate Tranche, a year of 360 (three hundred and sixty) days and a month of 30 (thirty) days; and </w:t>
      </w:r>
    </w:p>
    <w:p w14:paraId="26D0EAA1" w14:textId="77777777" w:rsidR="00F0088B" w:rsidRPr="00653DCF" w:rsidRDefault="00F0088B" w:rsidP="0024686A">
      <w:pPr>
        <w:pStyle w:val="NoIndentEIB"/>
        <w:numPr>
          <w:ilvl w:val="0"/>
          <w:numId w:val="107"/>
        </w:numPr>
        <w:rPr>
          <w:color w:val="auto"/>
        </w:rPr>
      </w:pPr>
      <w:r w:rsidRPr="00653DCF">
        <w:rPr>
          <w:color w:val="auto"/>
        </w:rPr>
        <w:t>under a Floating Rate Tranche, a year of 360 (three hundred and sixty) days for EUR and the number of days elapsed.</w:t>
      </w:r>
    </w:p>
    <w:p w14:paraId="37C5DE5B" w14:textId="77777777" w:rsidR="00F0088B" w:rsidRPr="00653DCF" w:rsidRDefault="00F0088B" w:rsidP="00335497">
      <w:pPr>
        <w:pStyle w:val="Heading2"/>
        <w:ind w:left="851"/>
        <w:rPr>
          <w:color w:val="auto"/>
        </w:rPr>
      </w:pPr>
      <w:r w:rsidRPr="00653DCF">
        <w:rPr>
          <w:color w:val="auto"/>
        </w:rPr>
        <w:t>Time and place of payment</w:t>
      </w:r>
    </w:p>
    <w:p w14:paraId="3CF027EB" w14:textId="77777777" w:rsidR="00F0088B" w:rsidRPr="00653DCF" w:rsidRDefault="00F0088B" w:rsidP="0024686A">
      <w:pPr>
        <w:pStyle w:val="NoIndentEIB"/>
        <w:numPr>
          <w:ilvl w:val="0"/>
          <w:numId w:val="108"/>
        </w:numPr>
        <w:rPr>
          <w:color w:val="auto"/>
        </w:rPr>
      </w:pPr>
      <w:r w:rsidRPr="00653DCF">
        <w:rPr>
          <w:color w:val="auto"/>
        </w:rPr>
        <w:t>Unless otherwise specified in this Contract or in the Bank’s demand, all sums other than sums of interest, indemnity and principal are payable within 15 (fifteen) days of the Borrower’s receipt of the Bank’s demand.</w:t>
      </w:r>
    </w:p>
    <w:p w14:paraId="64383A8F" w14:textId="5134F580" w:rsidR="00F0088B" w:rsidRPr="00653DCF" w:rsidRDefault="00F0088B" w:rsidP="0024686A">
      <w:pPr>
        <w:pStyle w:val="NoIndentEIB"/>
        <w:numPr>
          <w:ilvl w:val="0"/>
          <w:numId w:val="108"/>
        </w:numPr>
        <w:rPr>
          <w:color w:val="auto"/>
        </w:rPr>
      </w:pPr>
      <w:r w:rsidRPr="00653DCF">
        <w:rPr>
          <w:color w:val="auto"/>
        </w:rPr>
        <w:t xml:space="preserve">Each sum payable by the Borrower under this Contract shall be paid to the relevant account notified by the Bank to the Borrower. The Bank shall notify the account not less than 15 (fifteen) days before the due date for the first payment by the Borrower and shall notify any change of account not less than 15 (fifteen) days before the date of the first payment to which the change applies. This period of notice does not apply in the case of payment under </w:t>
      </w:r>
      <w:r w:rsidRPr="00653DCF">
        <w:rPr>
          <w:color w:val="auto"/>
        </w:rPr>
        <w:fldChar w:fldCharType="begin"/>
      </w:r>
      <w:r w:rsidRPr="00653DCF">
        <w:rPr>
          <w:color w:val="auto"/>
        </w:rPr>
        <w:instrText xml:space="preserve"> REF _Ref426981731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w:t>
      </w:r>
    </w:p>
    <w:p w14:paraId="5C2B7822" w14:textId="77777777" w:rsidR="00F0088B" w:rsidRPr="00653DCF" w:rsidRDefault="00F0088B" w:rsidP="0024686A">
      <w:pPr>
        <w:pStyle w:val="NoIndentEIB"/>
        <w:numPr>
          <w:ilvl w:val="0"/>
          <w:numId w:val="108"/>
        </w:numPr>
        <w:rPr>
          <w:color w:val="auto"/>
        </w:rPr>
      </w:pPr>
      <w:r w:rsidRPr="00653DCF">
        <w:rPr>
          <w:color w:val="auto"/>
        </w:rPr>
        <w:t>The Borrower shall indicate the Contract Number in the payment details for each payment made hereunder.</w:t>
      </w:r>
    </w:p>
    <w:p w14:paraId="0AAC97AE" w14:textId="77777777" w:rsidR="00F0088B" w:rsidRPr="00653DCF" w:rsidRDefault="00F0088B" w:rsidP="0024686A">
      <w:pPr>
        <w:pStyle w:val="NoIndentEIB"/>
        <w:numPr>
          <w:ilvl w:val="0"/>
          <w:numId w:val="108"/>
        </w:numPr>
        <w:rPr>
          <w:color w:val="auto"/>
        </w:rPr>
      </w:pPr>
      <w:r w:rsidRPr="00653DCF">
        <w:rPr>
          <w:color w:val="auto"/>
        </w:rPr>
        <w:t xml:space="preserve">A sum due from the Borrower shall be deemed paid when the Bank receives it. </w:t>
      </w:r>
    </w:p>
    <w:p w14:paraId="1A43B432" w14:textId="77777777" w:rsidR="00F0088B" w:rsidRPr="00653DCF" w:rsidRDefault="00F0088B" w:rsidP="0024686A">
      <w:pPr>
        <w:pStyle w:val="NoIndentEIB"/>
        <w:numPr>
          <w:ilvl w:val="0"/>
          <w:numId w:val="108"/>
        </w:numPr>
        <w:rPr>
          <w:color w:val="auto"/>
        </w:rPr>
      </w:pPr>
      <w:r w:rsidRPr="00653DCF">
        <w:rPr>
          <w:color w:val="auto"/>
        </w:rPr>
        <w:t>Any disbursements by and payments to the Bank under this Contract shall be made using the Disbursement Account (for disbursements by the Bank) and the Payment Account (for payments to the Bank).</w:t>
      </w:r>
    </w:p>
    <w:p w14:paraId="3264AEAB" w14:textId="77777777" w:rsidR="00F0088B" w:rsidRPr="00653DCF" w:rsidRDefault="00F0088B" w:rsidP="00335497">
      <w:pPr>
        <w:pStyle w:val="Heading2"/>
        <w:ind w:left="851"/>
        <w:rPr>
          <w:color w:val="auto"/>
        </w:rPr>
      </w:pPr>
      <w:bookmarkStart w:id="987" w:name="_Toc475441156"/>
      <w:bookmarkStart w:id="988" w:name="_Toc498018651"/>
      <w:bookmarkStart w:id="989" w:name="_Toc508120515"/>
      <w:bookmarkStart w:id="990" w:name="_Toc126080705"/>
      <w:bookmarkStart w:id="991" w:name="_Toc126080837"/>
      <w:r w:rsidRPr="00653DCF">
        <w:rPr>
          <w:color w:val="auto"/>
        </w:rPr>
        <w:t>No set-off by the Borrower</w:t>
      </w:r>
      <w:bookmarkEnd w:id="987"/>
      <w:bookmarkEnd w:id="988"/>
      <w:bookmarkEnd w:id="989"/>
      <w:bookmarkEnd w:id="990"/>
      <w:bookmarkEnd w:id="991"/>
    </w:p>
    <w:p w14:paraId="5B8D9B0E" w14:textId="77777777" w:rsidR="00F0088B" w:rsidRPr="00653DCF" w:rsidRDefault="00F0088B" w:rsidP="00F0088B">
      <w:pPr>
        <w:rPr>
          <w:color w:val="auto"/>
        </w:rPr>
      </w:pPr>
      <w:r w:rsidRPr="00653DCF">
        <w:rPr>
          <w:color w:val="auto"/>
        </w:rPr>
        <w:t>All payments to be made by the Borrower under this Contract shall be calculated and be made without (and free and clear of any deduction for) set-off or counterclaim.</w:t>
      </w:r>
    </w:p>
    <w:p w14:paraId="6282461F" w14:textId="77777777" w:rsidR="00F0088B" w:rsidRPr="00653DCF" w:rsidRDefault="00F0088B" w:rsidP="00335497">
      <w:pPr>
        <w:pStyle w:val="Heading2"/>
        <w:ind w:left="851"/>
        <w:rPr>
          <w:color w:val="auto"/>
        </w:rPr>
      </w:pPr>
      <w:r w:rsidRPr="00653DCF">
        <w:rPr>
          <w:color w:val="auto"/>
        </w:rPr>
        <w:t>Disruption to Payment Systems</w:t>
      </w:r>
    </w:p>
    <w:p w14:paraId="3AC8EB87" w14:textId="77777777" w:rsidR="00F0088B" w:rsidRPr="00653DCF" w:rsidRDefault="00F0088B" w:rsidP="00F0088B">
      <w:pPr>
        <w:rPr>
          <w:color w:val="auto"/>
        </w:rPr>
      </w:pPr>
      <w:r w:rsidRPr="00653DCF">
        <w:rPr>
          <w:color w:val="auto"/>
        </w:rPr>
        <w:t xml:space="preserve">If either the Bank determines (in its discretion) that a Disruption Event has occurred or the Bank is notified by the Borrower that a Disruption Event has occurred: </w:t>
      </w:r>
    </w:p>
    <w:p w14:paraId="490072D5" w14:textId="77777777" w:rsidR="00F0088B" w:rsidRPr="00653DCF" w:rsidRDefault="00F0088B" w:rsidP="0024686A">
      <w:pPr>
        <w:pStyle w:val="NoIndentEIB"/>
        <w:numPr>
          <w:ilvl w:val="0"/>
          <w:numId w:val="109"/>
        </w:numPr>
        <w:rPr>
          <w:color w:val="auto"/>
        </w:rPr>
      </w:pPr>
      <w:r w:rsidRPr="00653DCF">
        <w:rPr>
          <w:color w:val="auto"/>
        </w:rPr>
        <w:t xml:space="preserve">the Bank may, and shall if requested to do so by the Borrower, consult with the Borrower with a view to agreeing with the Borrower such changes to the operation or administration of this Contract as the Bank may deem necessary in the circumstances; </w:t>
      </w:r>
    </w:p>
    <w:p w14:paraId="31423896" w14:textId="5C0C0FAA" w:rsidR="00F0088B" w:rsidRPr="00653DCF" w:rsidRDefault="00F0088B" w:rsidP="0024686A">
      <w:pPr>
        <w:pStyle w:val="NoIndentEIB"/>
        <w:numPr>
          <w:ilvl w:val="0"/>
          <w:numId w:val="109"/>
        </w:numPr>
        <w:rPr>
          <w:color w:val="auto"/>
        </w:rPr>
      </w:pPr>
      <w:r w:rsidRPr="00653DCF">
        <w:rPr>
          <w:color w:val="auto"/>
        </w:rPr>
        <w:t>the Bank shall not be obliged to consult with the Borrower in relation to any changes mentioned in paragraph </w:t>
      </w:r>
      <w:r w:rsidRPr="00653DCF">
        <w:rPr>
          <w:color w:val="auto"/>
        </w:rPr>
        <w:fldChar w:fldCharType="begin"/>
      </w:r>
      <w:r w:rsidRPr="00653DCF">
        <w:rPr>
          <w:color w:val="auto"/>
        </w:rPr>
        <w:instrText xml:space="preserve"> REF _Ref508890546 \n \h </w:instrText>
      </w:r>
      <w:r w:rsidRPr="00653DCF">
        <w:rPr>
          <w:color w:val="auto"/>
        </w:rPr>
      </w:r>
      <w:r w:rsidRPr="00653DCF">
        <w:rPr>
          <w:color w:val="auto"/>
        </w:rPr>
        <w:fldChar w:fldCharType="separate"/>
      </w:r>
      <w:r w:rsidR="00E5391B">
        <w:rPr>
          <w:color w:val="auto"/>
        </w:rPr>
        <w:t>(a)</w:t>
      </w:r>
      <w:r w:rsidRPr="00653DCF">
        <w:rPr>
          <w:color w:val="auto"/>
        </w:rPr>
        <w:fldChar w:fldCharType="end"/>
      </w:r>
      <w:r w:rsidRPr="00653DCF">
        <w:rPr>
          <w:color w:val="auto"/>
        </w:rPr>
        <w:t xml:space="preserve"> if, in its opinion, it is not practicable to do so in the circumstances and, in any event, shall have no obligation to agree to such changes; and</w:t>
      </w:r>
    </w:p>
    <w:p w14:paraId="548198D9" w14:textId="0A5EFA0B" w:rsidR="00F0088B" w:rsidRPr="00653DCF" w:rsidRDefault="00F0088B" w:rsidP="0024686A">
      <w:pPr>
        <w:pStyle w:val="NoIndentEIB"/>
        <w:numPr>
          <w:ilvl w:val="0"/>
          <w:numId w:val="109"/>
        </w:numPr>
        <w:rPr>
          <w:color w:val="auto"/>
        </w:rPr>
      </w:pPr>
      <w:r w:rsidRPr="00653DCF">
        <w:rPr>
          <w:color w:val="auto"/>
        </w:rPr>
        <w:t>the Bank shall not be liable for any damages, costs or losses whatsoever arising as a result of a Disruption Event or for taking or not taking any action pursuant to or in connection with this Article </w:t>
      </w:r>
      <w:r w:rsidRPr="00653DCF">
        <w:rPr>
          <w:color w:val="auto"/>
        </w:rPr>
        <w:fldChar w:fldCharType="begin"/>
      </w:r>
      <w:r w:rsidRPr="00653DCF">
        <w:rPr>
          <w:color w:val="auto"/>
        </w:rPr>
        <w:instrText xml:space="preserve"> REF _Ref426591406 \r \h  \* MERGEFORMAT </w:instrText>
      </w:r>
      <w:r w:rsidRPr="00653DCF">
        <w:rPr>
          <w:color w:val="auto"/>
        </w:rPr>
      </w:r>
      <w:r w:rsidRPr="00653DCF">
        <w:rPr>
          <w:color w:val="auto"/>
        </w:rPr>
        <w:fldChar w:fldCharType="separate"/>
      </w:r>
      <w:r w:rsidR="00E5391B">
        <w:rPr>
          <w:color w:val="auto"/>
        </w:rPr>
        <w:t>5.4</w:t>
      </w:r>
      <w:r w:rsidRPr="00653DCF">
        <w:rPr>
          <w:color w:val="auto"/>
        </w:rPr>
        <w:fldChar w:fldCharType="end"/>
      </w:r>
      <w:r w:rsidRPr="00653DCF">
        <w:rPr>
          <w:color w:val="auto"/>
        </w:rPr>
        <w:t xml:space="preserve">. </w:t>
      </w:r>
    </w:p>
    <w:p w14:paraId="0AD1AC2E" w14:textId="77777777" w:rsidR="00F0088B" w:rsidRPr="00653DCF" w:rsidRDefault="00F0088B" w:rsidP="00335497">
      <w:pPr>
        <w:pStyle w:val="Heading2"/>
        <w:ind w:left="851"/>
        <w:rPr>
          <w:color w:val="auto"/>
        </w:rPr>
      </w:pPr>
      <w:r w:rsidRPr="00653DCF">
        <w:rPr>
          <w:color w:val="auto"/>
        </w:rPr>
        <w:t>Application of sums received</w:t>
      </w:r>
    </w:p>
    <w:p w14:paraId="28C7110B" w14:textId="77777777" w:rsidR="00F0088B" w:rsidRPr="00653DCF" w:rsidRDefault="00F0088B" w:rsidP="00335497">
      <w:pPr>
        <w:pStyle w:val="Heading3"/>
        <w:ind w:left="851"/>
        <w:rPr>
          <w:color w:val="auto"/>
        </w:rPr>
      </w:pPr>
      <w:r w:rsidRPr="00653DCF">
        <w:rPr>
          <w:color w:val="auto"/>
        </w:rPr>
        <w:t>General</w:t>
      </w:r>
    </w:p>
    <w:p w14:paraId="77E58C8A" w14:textId="77777777" w:rsidR="00F0088B" w:rsidRPr="00653DCF" w:rsidRDefault="00F0088B" w:rsidP="00F0088B">
      <w:pPr>
        <w:rPr>
          <w:color w:val="auto"/>
        </w:rPr>
      </w:pPr>
      <w:r w:rsidRPr="00653DCF">
        <w:rPr>
          <w:color w:val="auto"/>
        </w:rPr>
        <w:t xml:space="preserve">Sums received from the Borrower shall only discharge its payment obligations if received in accordance with the terms of this Contract. </w:t>
      </w:r>
    </w:p>
    <w:p w14:paraId="3C4D7727" w14:textId="77777777" w:rsidR="00F0088B" w:rsidRPr="00653DCF" w:rsidRDefault="00F0088B" w:rsidP="00335497">
      <w:pPr>
        <w:pStyle w:val="Heading3"/>
        <w:ind w:left="851"/>
        <w:rPr>
          <w:color w:val="auto"/>
        </w:rPr>
      </w:pPr>
      <w:r w:rsidRPr="00653DCF">
        <w:rPr>
          <w:color w:val="auto"/>
        </w:rPr>
        <w:t>Partial payments</w:t>
      </w:r>
    </w:p>
    <w:p w14:paraId="02E0F81A" w14:textId="77777777" w:rsidR="00F0088B" w:rsidRPr="00653DCF" w:rsidRDefault="00F0088B" w:rsidP="00F0088B">
      <w:pPr>
        <w:rPr>
          <w:color w:val="auto"/>
        </w:rPr>
      </w:pPr>
      <w:r w:rsidRPr="00653DCF">
        <w:rPr>
          <w:color w:val="auto"/>
        </w:rPr>
        <w:t>If the Bank receives a payment that is insufficient to discharge all the amounts then due and payable by the Borrower under this Contract, the Bank shall apply that payment in the order set out below, in or towards:</w:t>
      </w:r>
    </w:p>
    <w:p w14:paraId="0B9AA443" w14:textId="77777777" w:rsidR="00F0088B" w:rsidRPr="00653DCF" w:rsidRDefault="00F0088B" w:rsidP="0024686A">
      <w:pPr>
        <w:pStyle w:val="NoIndentEIB"/>
        <w:numPr>
          <w:ilvl w:val="0"/>
          <w:numId w:val="110"/>
        </w:numPr>
        <w:rPr>
          <w:color w:val="auto"/>
        </w:rPr>
      </w:pPr>
      <w:r w:rsidRPr="00653DCF">
        <w:rPr>
          <w:rStyle w:val="ItalicEIB"/>
          <w:color w:val="auto"/>
        </w:rPr>
        <w:t>pro rata</w:t>
      </w:r>
      <w:r w:rsidRPr="00653DCF">
        <w:rPr>
          <w:color w:val="auto"/>
        </w:rPr>
        <w:t xml:space="preserve"> to each of any unpaid fees, costs, indemnities and expenses due under this Contract;</w:t>
      </w:r>
    </w:p>
    <w:p w14:paraId="469C5544" w14:textId="77777777" w:rsidR="00F0088B" w:rsidRPr="00653DCF" w:rsidRDefault="00F0088B" w:rsidP="0024686A">
      <w:pPr>
        <w:pStyle w:val="NoIndentEIB"/>
        <w:numPr>
          <w:ilvl w:val="0"/>
          <w:numId w:val="110"/>
        </w:numPr>
        <w:rPr>
          <w:color w:val="auto"/>
        </w:rPr>
      </w:pPr>
      <w:r w:rsidRPr="00653DCF">
        <w:rPr>
          <w:color w:val="auto"/>
        </w:rPr>
        <w:t>any accrued interest due but unpaid under this Contract;</w:t>
      </w:r>
    </w:p>
    <w:p w14:paraId="767FE1A4" w14:textId="77777777" w:rsidR="00F0088B" w:rsidRPr="00653DCF" w:rsidRDefault="00F0088B" w:rsidP="0024686A">
      <w:pPr>
        <w:pStyle w:val="NoIndentEIB"/>
        <w:numPr>
          <w:ilvl w:val="0"/>
          <w:numId w:val="110"/>
        </w:numPr>
        <w:rPr>
          <w:color w:val="auto"/>
        </w:rPr>
      </w:pPr>
      <w:r w:rsidRPr="00653DCF">
        <w:rPr>
          <w:color w:val="auto"/>
        </w:rPr>
        <w:t>any principal due but unpaid under this Contract; and</w:t>
      </w:r>
    </w:p>
    <w:p w14:paraId="23003A3B" w14:textId="77777777" w:rsidR="00F0088B" w:rsidRPr="00653DCF" w:rsidRDefault="00F0088B" w:rsidP="0024686A">
      <w:pPr>
        <w:pStyle w:val="NoIndentEIB"/>
        <w:numPr>
          <w:ilvl w:val="0"/>
          <w:numId w:val="110"/>
        </w:numPr>
        <w:rPr>
          <w:color w:val="auto"/>
        </w:rPr>
      </w:pPr>
      <w:r w:rsidRPr="00653DCF">
        <w:rPr>
          <w:color w:val="auto"/>
        </w:rPr>
        <w:t>any other sum due but unpaid under this Contract.</w:t>
      </w:r>
    </w:p>
    <w:p w14:paraId="5AC6A167" w14:textId="77777777" w:rsidR="00F0088B" w:rsidRPr="00653DCF" w:rsidRDefault="00F0088B" w:rsidP="00335497">
      <w:pPr>
        <w:pStyle w:val="Heading3"/>
        <w:ind w:left="851"/>
        <w:rPr>
          <w:color w:val="auto"/>
        </w:rPr>
      </w:pPr>
      <w:r w:rsidRPr="00653DCF">
        <w:rPr>
          <w:color w:val="auto"/>
        </w:rPr>
        <w:t>Allocation of sums related to Tranches</w:t>
      </w:r>
    </w:p>
    <w:p w14:paraId="112AE08F" w14:textId="77777777" w:rsidR="00F0088B" w:rsidRPr="00653DCF" w:rsidRDefault="00F0088B" w:rsidP="0024686A">
      <w:pPr>
        <w:pStyle w:val="NoIndentEIB"/>
        <w:numPr>
          <w:ilvl w:val="0"/>
          <w:numId w:val="111"/>
        </w:numPr>
        <w:rPr>
          <w:color w:val="auto"/>
        </w:rPr>
      </w:pPr>
      <w:r w:rsidRPr="00653DCF">
        <w:rPr>
          <w:color w:val="auto"/>
        </w:rPr>
        <w:t>In case of:</w:t>
      </w:r>
    </w:p>
    <w:p w14:paraId="34F59642" w14:textId="77777777" w:rsidR="00F0088B" w:rsidRPr="00653DCF" w:rsidRDefault="00F0088B" w:rsidP="0024686A">
      <w:pPr>
        <w:pStyle w:val="NoIndentEIB"/>
        <w:numPr>
          <w:ilvl w:val="1"/>
          <w:numId w:val="111"/>
        </w:numPr>
        <w:rPr>
          <w:color w:val="auto"/>
        </w:rPr>
      </w:pPr>
      <w:r w:rsidRPr="00653DCF">
        <w:rPr>
          <w:color w:val="auto"/>
        </w:rPr>
        <w:t>a partial voluntary prepayment of a Tranche that is subject to a repayment in several instalments, the Prepayment Amount shall be applied pro rata to each outstanding instalment, or, at the request of the Borrower, in inverse order of maturity; or</w:t>
      </w:r>
    </w:p>
    <w:p w14:paraId="4C922051" w14:textId="77777777" w:rsidR="00F0088B" w:rsidRPr="00653DCF" w:rsidRDefault="00F0088B" w:rsidP="0024686A">
      <w:pPr>
        <w:pStyle w:val="NoIndentEIB"/>
        <w:numPr>
          <w:ilvl w:val="1"/>
          <w:numId w:val="111"/>
        </w:numPr>
        <w:rPr>
          <w:color w:val="auto"/>
        </w:rPr>
      </w:pPr>
      <w:r w:rsidRPr="00653DCF">
        <w:rPr>
          <w:color w:val="auto"/>
        </w:rPr>
        <w:t>a partial compulsory prepayment of a Tranche that is subject to a repayment in several instalments, the Prepayment Amount shall be applied in reduction of the outstanding instalments in inverse order of maturity.</w:t>
      </w:r>
    </w:p>
    <w:p w14:paraId="1CEEA210" w14:textId="5C44B4E2" w:rsidR="00F0088B" w:rsidRPr="00653DCF" w:rsidRDefault="00F0088B" w:rsidP="0024686A">
      <w:pPr>
        <w:pStyle w:val="NoIndentEIB"/>
        <w:numPr>
          <w:ilvl w:val="0"/>
          <w:numId w:val="111"/>
        </w:numPr>
        <w:rPr>
          <w:color w:val="auto"/>
        </w:rPr>
      </w:pPr>
      <w:r w:rsidRPr="00653DCF">
        <w:rPr>
          <w:color w:val="auto"/>
        </w:rPr>
        <w:t>Sums received by the Bank following a demand under Article </w:t>
      </w:r>
      <w:r w:rsidRPr="00653DCF">
        <w:rPr>
          <w:color w:val="auto"/>
        </w:rPr>
        <w:fldChar w:fldCharType="begin"/>
      </w:r>
      <w:r w:rsidRPr="00653DCF">
        <w:rPr>
          <w:color w:val="auto"/>
        </w:rPr>
        <w:instrText xml:space="preserve"> REF _Ref426625279 \r \h </w:instrText>
      </w:r>
      <w:r w:rsidRPr="00653DCF">
        <w:rPr>
          <w:color w:val="auto"/>
        </w:rPr>
      </w:r>
      <w:r w:rsidRPr="00653DCF">
        <w:rPr>
          <w:color w:val="auto"/>
        </w:rPr>
        <w:fldChar w:fldCharType="separate"/>
      </w:r>
      <w:r w:rsidR="00E5391B">
        <w:rPr>
          <w:color w:val="auto"/>
        </w:rPr>
        <w:t>članak 10</w:t>
      </w:r>
      <w:r w:rsidRPr="00653DCF">
        <w:rPr>
          <w:color w:val="auto"/>
        </w:rPr>
        <w:fldChar w:fldCharType="end"/>
      </w:r>
      <w:r w:rsidRPr="00653DCF">
        <w:rPr>
          <w:color w:val="auto"/>
        </w:rPr>
        <w:t xml:space="preserve"> and applied to a Tranche, shall reduce the outstanding instalments in inverse order of maturity. The Bank may apply sums received between Tranches at its discretion.</w:t>
      </w:r>
    </w:p>
    <w:p w14:paraId="09CC031A" w14:textId="77777777" w:rsidR="00F0088B" w:rsidRPr="00653DCF" w:rsidRDefault="00F0088B" w:rsidP="0024686A">
      <w:pPr>
        <w:pStyle w:val="NoIndentEIB"/>
        <w:numPr>
          <w:ilvl w:val="0"/>
          <w:numId w:val="111"/>
        </w:numPr>
        <w:rPr>
          <w:color w:val="auto"/>
        </w:rPr>
      </w:pPr>
      <w:r w:rsidRPr="00653DCF">
        <w:rPr>
          <w:color w:val="auto"/>
        </w:rPr>
        <w:t>In case of receipt of sums which cannot be identified as applicable to a specific Tranche, and on which there is no agreement between the Bank and the Borrower on their application, the Bank may apply these between Tranches at its discretion.</w:t>
      </w:r>
    </w:p>
    <w:p w14:paraId="729FB444" w14:textId="62D1D713" w:rsidR="00F0088B" w:rsidRPr="00653DCF" w:rsidRDefault="00390CDC" w:rsidP="00C40040">
      <w:pPr>
        <w:pStyle w:val="ENGLESKI"/>
      </w:pPr>
      <w:r>
        <w:t>ARTICLE 6</w:t>
      </w:r>
    </w:p>
    <w:p w14:paraId="73D37AE7" w14:textId="77777777" w:rsidR="00F0088B" w:rsidRPr="00653DCF" w:rsidRDefault="00F0088B" w:rsidP="00F0088B">
      <w:pPr>
        <w:pStyle w:val="ArticleTitleEIB"/>
        <w:rPr>
          <w:color w:val="auto"/>
        </w:rPr>
      </w:pPr>
      <w:r w:rsidRPr="00653DCF">
        <w:rPr>
          <w:color w:val="auto"/>
        </w:rPr>
        <w:t>Borrower undertakings and representations</w:t>
      </w:r>
    </w:p>
    <w:p w14:paraId="131EE6D5" w14:textId="62C6AB99" w:rsidR="00F0088B" w:rsidRPr="00653DCF" w:rsidRDefault="00F0088B" w:rsidP="00F0088B">
      <w:pPr>
        <w:rPr>
          <w:color w:val="auto"/>
        </w:rPr>
      </w:pPr>
      <w:r w:rsidRPr="00653DCF">
        <w:rPr>
          <w:color w:val="auto"/>
        </w:rPr>
        <w:t xml:space="preserve">The undertakings in this </w:t>
      </w:r>
      <w:r w:rsidRPr="00653DCF">
        <w:rPr>
          <w:color w:val="auto"/>
        </w:rPr>
        <w:fldChar w:fldCharType="begin"/>
      </w:r>
      <w:r w:rsidRPr="00653DCF">
        <w:rPr>
          <w:color w:val="auto"/>
        </w:rPr>
        <w:instrText xml:space="preserve"> REF _Ref427037555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 xml:space="preserve"> remain in force from the date of this Contract for so long as any amount is outstanding under this Contract or the Credit is in force.</w:t>
      </w:r>
    </w:p>
    <w:p w14:paraId="238A370C"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p>
    <w:p w14:paraId="086E8DA5" w14:textId="77777777" w:rsidR="00F0088B" w:rsidRPr="00653DCF" w:rsidRDefault="00F0088B" w:rsidP="00335497">
      <w:pPr>
        <w:pStyle w:val="Heading2"/>
        <w:ind w:left="851"/>
        <w:rPr>
          <w:color w:val="auto"/>
        </w:rPr>
      </w:pPr>
      <w:r w:rsidRPr="00653DCF">
        <w:rPr>
          <w:color w:val="auto"/>
        </w:rPr>
        <w:t>Use of Loan and availability of other funds</w:t>
      </w:r>
    </w:p>
    <w:p w14:paraId="143CB4F5" w14:textId="77777777" w:rsidR="00F0088B" w:rsidRPr="00653DCF" w:rsidRDefault="00F0088B" w:rsidP="00F0088B">
      <w:pPr>
        <w:rPr>
          <w:color w:val="auto"/>
        </w:rPr>
      </w:pPr>
      <w:r w:rsidRPr="00653DCF">
        <w:rPr>
          <w:color w:val="auto"/>
        </w:rPr>
        <w:t>The Borrower and the Promoter shall,</w:t>
      </w:r>
      <w:r w:rsidRPr="00653DCF">
        <w:rPr>
          <w:rFonts w:cs="Arial"/>
          <w:color w:val="auto"/>
        </w:rPr>
        <w:t xml:space="preserve"> or shall procure that each Project Company will,</w:t>
      </w:r>
      <w:r w:rsidRPr="00653DCF">
        <w:rPr>
          <w:color w:val="auto"/>
        </w:rPr>
        <w:t xml:space="preserve"> use all amounts borrowed by it under this Contract for the execution of the Project.</w:t>
      </w:r>
    </w:p>
    <w:p w14:paraId="77F6CF73" w14:textId="18DE2C82" w:rsidR="00F0088B" w:rsidRPr="00653DCF" w:rsidRDefault="00F0088B" w:rsidP="00F0088B">
      <w:pPr>
        <w:rPr>
          <w:color w:val="auto"/>
        </w:rPr>
      </w:pPr>
      <w:r w:rsidRPr="00653DCF">
        <w:rPr>
          <w:color w:val="auto"/>
        </w:rPr>
        <w:t>The Borrower and the Promoter shall ensure that they have available to them other funds listed in Recital </w:t>
      </w:r>
      <w:r w:rsidRPr="00653DCF">
        <w:rPr>
          <w:color w:val="auto"/>
        </w:rPr>
        <w:fldChar w:fldCharType="begin"/>
      </w:r>
      <w:r w:rsidRPr="00653DCF">
        <w:rPr>
          <w:color w:val="auto"/>
        </w:rPr>
        <w:instrText xml:space="preserve"> REF _Ref430937797 \r \h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 xml:space="preserve"> and that such funds are expended, to the extent required, on the financing of the Project.</w:t>
      </w:r>
    </w:p>
    <w:p w14:paraId="528174AC" w14:textId="77777777" w:rsidR="00F0088B" w:rsidRPr="00653DCF" w:rsidRDefault="00F0088B" w:rsidP="00335497">
      <w:pPr>
        <w:pStyle w:val="Heading2"/>
        <w:ind w:left="851"/>
        <w:rPr>
          <w:color w:val="auto"/>
        </w:rPr>
      </w:pPr>
      <w:r w:rsidRPr="00653DCF">
        <w:rPr>
          <w:color w:val="auto"/>
        </w:rPr>
        <w:t>Completion of Project</w:t>
      </w:r>
    </w:p>
    <w:p w14:paraId="4B65DB1A" w14:textId="77777777" w:rsidR="00F0088B" w:rsidRPr="00653DCF" w:rsidRDefault="00F0088B" w:rsidP="00F0088B">
      <w:pPr>
        <w:rPr>
          <w:color w:val="auto"/>
        </w:rPr>
      </w:pPr>
      <w:r w:rsidRPr="00653DCF">
        <w:rPr>
          <w:color w:val="auto"/>
        </w:rPr>
        <w:t>The Borrower (acting through the Promoter) shall,</w:t>
      </w:r>
      <w:r w:rsidRPr="00653DCF">
        <w:rPr>
          <w:rFonts w:cs="Arial"/>
          <w:color w:val="auto"/>
        </w:rPr>
        <w:t xml:space="preserve"> or shall procure that each Project Company will, </w:t>
      </w:r>
      <w:r w:rsidRPr="00653DCF">
        <w:rPr>
          <w:color w:val="auto"/>
        </w:rPr>
        <w:t>carry out the Project in accordance with the Technical Description as may be modified from time to time with the approval of the Bank, and complete it by the final date specified therein.</w:t>
      </w:r>
    </w:p>
    <w:p w14:paraId="1D934E83" w14:textId="77777777" w:rsidR="00F0088B" w:rsidRPr="00653DCF" w:rsidRDefault="00F0088B" w:rsidP="00335497">
      <w:pPr>
        <w:pStyle w:val="Heading2"/>
        <w:ind w:left="851"/>
        <w:rPr>
          <w:color w:val="auto"/>
        </w:rPr>
      </w:pPr>
      <w:r w:rsidRPr="00653DCF">
        <w:rPr>
          <w:color w:val="auto"/>
        </w:rPr>
        <w:t>Increased cost of Project</w:t>
      </w:r>
    </w:p>
    <w:p w14:paraId="3737B7CE" w14:textId="1FFA71A6" w:rsidR="00F0088B" w:rsidRPr="00653DCF" w:rsidRDefault="00F0088B" w:rsidP="00F0088B">
      <w:pPr>
        <w:rPr>
          <w:color w:val="auto"/>
        </w:rPr>
      </w:pPr>
      <w:r w:rsidRPr="00653DCF">
        <w:rPr>
          <w:color w:val="auto"/>
        </w:rPr>
        <w:t>If the total cost of the Project exceeds the estimated figure set out in Recital </w:t>
      </w:r>
      <w:r w:rsidRPr="00653DCF">
        <w:rPr>
          <w:color w:val="auto"/>
        </w:rPr>
        <w:fldChar w:fldCharType="begin"/>
      </w:r>
      <w:r w:rsidRPr="00653DCF">
        <w:rPr>
          <w:color w:val="auto"/>
        </w:rPr>
        <w:instrText xml:space="preserve"> REF _Ref430937797 \r \h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 xml:space="preserve">, the Borrower (acting through the Promoter) shall, </w:t>
      </w:r>
      <w:r w:rsidRPr="00653DCF">
        <w:rPr>
          <w:rFonts w:cs="Arial"/>
          <w:color w:val="auto"/>
        </w:rPr>
        <w:t>or shall procure that the relevant Project Company will</w:t>
      </w:r>
      <w:r w:rsidRPr="00653DCF">
        <w:rPr>
          <w:color w:val="auto"/>
        </w:rPr>
        <w:t xml:space="preserve"> obtain the finance to fund the excess cost without recourse to the Bank, so as to enable the Project to be completed in accordance with the Technical Description. The plans for funding the excess cost shall be communicated to the Bank without delay.</w:t>
      </w:r>
    </w:p>
    <w:p w14:paraId="6F9326DC" w14:textId="77777777" w:rsidR="00F0088B" w:rsidRPr="00653DCF" w:rsidRDefault="00F0088B" w:rsidP="00335497">
      <w:pPr>
        <w:pStyle w:val="Heading2"/>
        <w:ind w:left="851"/>
        <w:rPr>
          <w:color w:val="auto"/>
        </w:rPr>
      </w:pPr>
      <w:r w:rsidRPr="00653DCF">
        <w:rPr>
          <w:color w:val="auto"/>
        </w:rPr>
        <w:t>Procurement procedure</w:t>
      </w:r>
    </w:p>
    <w:p w14:paraId="7B46BBA2" w14:textId="77777777" w:rsidR="00F0088B" w:rsidRPr="00653DCF" w:rsidRDefault="00F0088B" w:rsidP="0024686A">
      <w:pPr>
        <w:pStyle w:val="NoIndentEIB"/>
        <w:numPr>
          <w:ilvl w:val="0"/>
          <w:numId w:val="112"/>
        </w:numPr>
        <w:rPr>
          <w:color w:val="auto"/>
        </w:rPr>
      </w:pPr>
      <w:r w:rsidRPr="00653DCF">
        <w:rPr>
          <w:color w:val="auto"/>
        </w:rPr>
        <w:t>The Borrower and the Promoter shall</w:t>
      </w:r>
      <w:r w:rsidRPr="00653DCF">
        <w:rPr>
          <w:rFonts w:cs="Arial"/>
          <w:color w:val="auto"/>
        </w:rPr>
        <w:t>, or shall procure that each Project Company will,</w:t>
      </w:r>
      <w:r w:rsidRPr="00653DCF">
        <w:rPr>
          <w:color w:val="auto"/>
        </w:rPr>
        <w:t xml:space="preserve"> procure works, services or goods for the Project: </w:t>
      </w:r>
    </w:p>
    <w:p w14:paraId="63991D7A" w14:textId="77777777" w:rsidR="00F0088B" w:rsidRPr="00653DCF" w:rsidRDefault="00F0088B" w:rsidP="0024686A">
      <w:pPr>
        <w:pStyle w:val="NoIndentEIB"/>
        <w:numPr>
          <w:ilvl w:val="1"/>
          <w:numId w:val="112"/>
        </w:numPr>
        <w:rPr>
          <w:color w:val="auto"/>
        </w:rPr>
      </w:pPr>
      <w:r w:rsidRPr="00653DCF">
        <w:rPr>
          <w:color w:val="auto"/>
        </w:rPr>
        <w:t>in accordance with EU Law in general and in particular with the relevant European Union procurement directives, if the latter are applicable;</w:t>
      </w:r>
    </w:p>
    <w:p w14:paraId="040CB341" w14:textId="77777777" w:rsidR="00F0088B" w:rsidRPr="00653DCF" w:rsidRDefault="00F0088B" w:rsidP="0024686A">
      <w:pPr>
        <w:pStyle w:val="NoIndentEIB"/>
        <w:numPr>
          <w:ilvl w:val="1"/>
          <w:numId w:val="112"/>
        </w:numPr>
        <w:rPr>
          <w:color w:val="auto"/>
        </w:rPr>
      </w:pPr>
      <w:r w:rsidRPr="00653DCF">
        <w:rPr>
          <w:color w:val="auto"/>
        </w:rPr>
        <w:t>in accordance with procurement procedures which, to the satisfaction of the Bank, respect the criteria of economy and efficiency and the principles of transparency, equal treatment and non-discrimination on the basis of nationality, in case of public contracts not subject to the European Union procurement directives; or</w:t>
      </w:r>
    </w:p>
    <w:p w14:paraId="76458799" w14:textId="77777777" w:rsidR="00F0088B" w:rsidRPr="00653DCF" w:rsidRDefault="00F0088B" w:rsidP="0024686A">
      <w:pPr>
        <w:pStyle w:val="NoIndentEIB"/>
        <w:numPr>
          <w:ilvl w:val="1"/>
          <w:numId w:val="112"/>
        </w:numPr>
        <w:rPr>
          <w:color w:val="auto"/>
        </w:rPr>
      </w:pPr>
      <w:r w:rsidRPr="00653DCF">
        <w:rPr>
          <w:color w:val="auto"/>
        </w:rPr>
        <w:t>in accordance with procurement procedures which, to the satisfaction of the Bank, respect the criteria of economy and efficiency in case of contracts other than public contracts not subject to the European Union procurement directives.</w:t>
      </w:r>
    </w:p>
    <w:p w14:paraId="646FE141" w14:textId="0E35635B" w:rsidR="00F0088B" w:rsidRPr="00653DCF" w:rsidRDefault="00F0088B" w:rsidP="0024686A">
      <w:pPr>
        <w:pStyle w:val="NoIndentEIB"/>
        <w:numPr>
          <w:ilvl w:val="0"/>
          <w:numId w:val="112"/>
        </w:numPr>
        <w:rPr>
          <w:color w:val="auto"/>
        </w:rPr>
      </w:pPr>
      <w:r w:rsidRPr="00653DCF">
        <w:rPr>
          <w:color w:val="auto"/>
        </w:rPr>
        <w:t xml:space="preserve">For cases of paragraphs </w:t>
      </w:r>
      <w:r w:rsidRPr="00653DCF">
        <w:rPr>
          <w:color w:val="auto"/>
        </w:rPr>
        <w:fldChar w:fldCharType="begin"/>
      </w:r>
      <w:r w:rsidRPr="00653DCF">
        <w:rPr>
          <w:color w:val="auto"/>
        </w:rPr>
        <w:instrText xml:space="preserve"> REF _Ref61446030 \r \h </w:instrText>
      </w:r>
      <w:r w:rsidRPr="00653DCF">
        <w:rPr>
          <w:color w:val="auto"/>
        </w:rPr>
      </w:r>
      <w:r w:rsidRPr="00653DCF">
        <w:rPr>
          <w:color w:val="auto"/>
        </w:rPr>
        <w:fldChar w:fldCharType="separate"/>
      </w:r>
      <w:r w:rsidR="00E5391B">
        <w:rPr>
          <w:color w:val="auto"/>
        </w:rPr>
        <w:t>(a)(i)</w:t>
      </w:r>
      <w:r w:rsidRPr="00653DCF">
        <w:rPr>
          <w:color w:val="auto"/>
        </w:rPr>
        <w:fldChar w:fldCharType="end"/>
      </w:r>
      <w:r w:rsidRPr="00653DCF">
        <w:rPr>
          <w:color w:val="auto"/>
        </w:rPr>
        <w:t xml:space="preserve"> and </w:t>
      </w:r>
      <w:r w:rsidRPr="00653DCF">
        <w:rPr>
          <w:color w:val="auto"/>
        </w:rPr>
        <w:fldChar w:fldCharType="begin"/>
      </w:r>
      <w:r w:rsidRPr="00653DCF">
        <w:rPr>
          <w:color w:val="auto"/>
        </w:rPr>
        <w:instrText xml:space="preserve"> REF _Ref61446035 \r \h </w:instrText>
      </w:r>
      <w:r w:rsidRPr="00653DCF">
        <w:rPr>
          <w:color w:val="auto"/>
        </w:rPr>
      </w:r>
      <w:r w:rsidRPr="00653DCF">
        <w:rPr>
          <w:color w:val="auto"/>
        </w:rPr>
        <w:fldChar w:fldCharType="separate"/>
      </w:r>
      <w:r w:rsidR="00E5391B">
        <w:rPr>
          <w:color w:val="auto"/>
        </w:rPr>
        <w:t>(a)(ii)</w:t>
      </w:r>
      <w:r w:rsidRPr="00653DCF">
        <w:rPr>
          <w:color w:val="auto"/>
        </w:rPr>
        <w:fldChar w:fldCharType="end"/>
      </w:r>
      <w:r w:rsidRPr="00653DCF">
        <w:rPr>
          <w:color w:val="auto"/>
        </w:rPr>
        <w:t xml:space="preserve"> above, the Borrower and the Promoter or the Project Company shall request in the tender documents or other reference documents for the procurement procedures referred to in Article </w:t>
      </w:r>
      <w:r w:rsidRPr="00653DCF">
        <w:rPr>
          <w:color w:val="auto"/>
        </w:rPr>
        <w:fldChar w:fldCharType="begin"/>
      </w:r>
      <w:r w:rsidRPr="00653DCF">
        <w:rPr>
          <w:color w:val="auto"/>
        </w:rPr>
        <w:instrText xml:space="preserve"> REF _Ref61446109 \n \h </w:instrText>
      </w:r>
      <w:r w:rsidRPr="00653DCF">
        <w:rPr>
          <w:color w:val="auto"/>
        </w:rPr>
      </w:r>
      <w:r w:rsidRPr="00653DCF">
        <w:rPr>
          <w:color w:val="auto"/>
        </w:rPr>
        <w:fldChar w:fldCharType="separate"/>
      </w:r>
      <w:r w:rsidR="00E5391B">
        <w:rPr>
          <w:color w:val="auto"/>
        </w:rPr>
        <w:t>6.4</w:t>
      </w:r>
      <w:r w:rsidRPr="00653DCF">
        <w:rPr>
          <w:color w:val="auto"/>
        </w:rPr>
        <w:fldChar w:fldCharType="end"/>
      </w:r>
      <w:r w:rsidRPr="00653DCF">
        <w:rPr>
          <w:color w:val="auto"/>
        </w:rPr>
        <w:fldChar w:fldCharType="begin"/>
      </w:r>
      <w:r w:rsidRPr="00653DCF">
        <w:rPr>
          <w:color w:val="auto"/>
        </w:rPr>
        <w:instrText xml:space="preserve"> REF _Ref61446040 \n \h </w:instrText>
      </w:r>
      <w:r w:rsidRPr="00653DCF">
        <w:rPr>
          <w:color w:val="auto"/>
        </w:rPr>
      </w:r>
      <w:r w:rsidRPr="00653DCF">
        <w:rPr>
          <w:color w:val="auto"/>
        </w:rPr>
        <w:fldChar w:fldCharType="separate"/>
      </w:r>
      <w:r w:rsidR="00E5391B">
        <w:rPr>
          <w:color w:val="auto"/>
        </w:rPr>
        <w:t>(a)</w:t>
      </w:r>
      <w:r w:rsidRPr="00653DCF">
        <w:rPr>
          <w:color w:val="auto"/>
        </w:rPr>
        <w:fldChar w:fldCharType="end"/>
      </w:r>
      <w:r w:rsidRPr="00653DCF">
        <w:rPr>
          <w:color w:val="auto"/>
        </w:rPr>
        <w:t xml:space="preserve"> above that the bidder declares whether or not it is subject to any exclusion decision or temporary suspension pursuant to the Exclusion Policy.</w:t>
      </w:r>
    </w:p>
    <w:p w14:paraId="33217160" w14:textId="77777777" w:rsidR="00F0088B" w:rsidRPr="00653DCF" w:rsidRDefault="00F0088B" w:rsidP="0024686A">
      <w:pPr>
        <w:pStyle w:val="NoIndentEIB"/>
        <w:numPr>
          <w:ilvl w:val="0"/>
          <w:numId w:val="112"/>
        </w:numPr>
        <w:rPr>
          <w:color w:val="auto"/>
        </w:rPr>
      </w:pPr>
      <w:r w:rsidRPr="00653DCF">
        <w:rPr>
          <w:color w:val="auto"/>
        </w:rPr>
        <w:t xml:space="preserve">If a bidder declares to the Borrower or the Promoter or the Project Company prior to the contract award that it is subject to any exclusion decision or temporary suspension covered by the Exclusion Policy, the Borrower or the Promoter or the Project Company shall engage with the Bank in good faith and shall make best efforts in order to: </w:t>
      </w:r>
    </w:p>
    <w:p w14:paraId="250745E5" w14:textId="77777777" w:rsidR="00F0088B" w:rsidRPr="00653DCF" w:rsidRDefault="00F0088B" w:rsidP="0024686A">
      <w:pPr>
        <w:pStyle w:val="NoIndentEIB"/>
        <w:numPr>
          <w:ilvl w:val="1"/>
          <w:numId w:val="112"/>
        </w:numPr>
        <w:rPr>
          <w:color w:val="auto"/>
        </w:rPr>
      </w:pPr>
      <w:r w:rsidRPr="00653DCF">
        <w:rPr>
          <w:color w:val="auto"/>
        </w:rPr>
        <w:t>achieve an exclusion of such a bidder under applicable law so that the bidder does not participate in the Project or, should such an exclusion not be possible; or</w:t>
      </w:r>
    </w:p>
    <w:p w14:paraId="231129C0" w14:textId="77777777" w:rsidR="00F0088B" w:rsidRPr="00653DCF" w:rsidRDefault="00F0088B" w:rsidP="0024686A">
      <w:pPr>
        <w:pStyle w:val="NoIndentEIB"/>
        <w:numPr>
          <w:ilvl w:val="1"/>
          <w:numId w:val="112"/>
        </w:numPr>
        <w:rPr>
          <w:color w:val="auto"/>
        </w:rPr>
      </w:pPr>
      <w:r w:rsidRPr="00653DCF">
        <w:rPr>
          <w:color w:val="auto"/>
        </w:rPr>
        <w:t>restructure the scope of the Project so that no proceeds of the Loan be applied towards any works or services under any contract awarded to that bidder, unless otherwise agreed with the Bank.</w:t>
      </w:r>
    </w:p>
    <w:p w14:paraId="647B7022" w14:textId="77777777" w:rsidR="00F0088B" w:rsidRPr="00653DCF" w:rsidRDefault="00F0088B" w:rsidP="00335497">
      <w:pPr>
        <w:pStyle w:val="Heading2"/>
        <w:ind w:left="851"/>
        <w:rPr>
          <w:color w:val="auto"/>
        </w:rPr>
      </w:pPr>
      <w:r w:rsidRPr="00653DCF">
        <w:rPr>
          <w:color w:val="auto"/>
        </w:rPr>
        <w:t>Continuing Project undertakings</w:t>
      </w:r>
    </w:p>
    <w:p w14:paraId="6E89A9D5" w14:textId="77777777" w:rsidR="00F0088B" w:rsidRPr="00653DCF" w:rsidRDefault="00F0088B" w:rsidP="00F0088B">
      <w:pPr>
        <w:rPr>
          <w:color w:val="auto"/>
        </w:rPr>
      </w:pPr>
      <w:r w:rsidRPr="00653DCF">
        <w:rPr>
          <w:color w:val="auto"/>
        </w:rPr>
        <w:t>The Borrower shall</w:t>
      </w:r>
      <w:r w:rsidRPr="00653DCF">
        <w:rPr>
          <w:rFonts w:cs="Arial"/>
          <w:color w:val="auto"/>
        </w:rPr>
        <w:t>, or shall procure that the Promoter and each Project Company will</w:t>
      </w:r>
      <w:r w:rsidRPr="00653DCF">
        <w:rPr>
          <w:color w:val="auto"/>
        </w:rPr>
        <w:t>:</w:t>
      </w:r>
    </w:p>
    <w:p w14:paraId="32453648" w14:textId="77777777" w:rsidR="00F0088B" w:rsidRPr="00653DCF" w:rsidRDefault="00F0088B" w:rsidP="0024686A">
      <w:pPr>
        <w:pStyle w:val="NoIndentEIB"/>
        <w:numPr>
          <w:ilvl w:val="0"/>
          <w:numId w:val="113"/>
        </w:numPr>
        <w:rPr>
          <w:color w:val="auto"/>
        </w:rPr>
      </w:pPr>
      <w:r w:rsidRPr="00653DCF">
        <w:rPr>
          <w:rStyle w:val="BoldEIB"/>
          <w:color w:val="auto"/>
        </w:rPr>
        <w:t>Maintenance</w:t>
      </w:r>
      <w:r w:rsidRPr="00653DCF">
        <w:rPr>
          <w:color w:val="auto"/>
        </w:rPr>
        <w:t>: maintain, repair, overhaul and renew all property forming part of the Project as required to keep it in good working order;</w:t>
      </w:r>
    </w:p>
    <w:p w14:paraId="24404332" w14:textId="77777777" w:rsidR="00F0088B" w:rsidRPr="00653DCF" w:rsidRDefault="00F0088B" w:rsidP="0024686A">
      <w:pPr>
        <w:pStyle w:val="NoIndentEIB"/>
        <w:numPr>
          <w:ilvl w:val="0"/>
          <w:numId w:val="113"/>
        </w:numPr>
        <w:rPr>
          <w:color w:val="auto"/>
        </w:rPr>
      </w:pPr>
      <w:r w:rsidRPr="00653DCF">
        <w:rPr>
          <w:rStyle w:val="BoldEIB"/>
          <w:color w:val="auto"/>
        </w:rPr>
        <w:t>Project assets</w:t>
      </w:r>
      <w:r w:rsidRPr="00653DCF">
        <w:rPr>
          <w:color w:val="auto"/>
        </w:rPr>
        <w:t>: unless the Bank shall have given its prior consent in writing, retain title to and possession of substantially all the assets comprising the Project or, as appropriate, replace and renew such assets and maintain the Project in substantially continuous operation in accordance with its original purpose; the Bank may withhold its consent only where the proposed action would prejudice the Bank's interests as lender to the Borrower or would render the Project ineligible for financing by the Bank under its Statute or under article 309 of the Treaty on the Functioning of the European Union;</w:t>
      </w:r>
    </w:p>
    <w:p w14:paraId="505EA33D" w14:textId="77777777" w:rsidR="00F0088B" w:rsidRPr="00653DCF" w:rsidRDefault="00F0088B" w:rsidP="0024686A">
      <w:pPr>
        <w:pStyle w:val="NoIndentEIB"/>
        <w:numPr>
          <w:ilvl w:val="0"/>
          <w:numId w:val="113"/>
        </w:numPr>
        <w:rPr>
          <w:color w:val="auto"/>
        </w:rPr>
      </w:pPr>
      <w:r w:rsidRPr="00653DCF">
        <w:rPr>
          <w:rStyle w:val="BoldEIB"/>
          <w:color w:val="auto"/>
        </w:rPr>
        <w:t>Insurance</w:t>
      </w:r>
      <w:r w:rsidRPr="00653DCF">
        <w:rPr>
          <w:color w:val="auto"/>
        </w:rPr>
        <w:t>: ensure that all works and property forming part of the Project are adequately insured in accordance with the standard practice for similar works and property of public interest;</w:t>
      </w:r>
    </w:p>
    <w:p w14:paraId="59A93F57" w14:textId="77777777" w:rsidR="00F0088B" w:rsidRPr="00653DCF" w:rsidRDefault="00F0088B" w:rsidP="0024686A">
      <w:pPr>
        <w:pStyle w:val="NoIndentEIB"/>
        <w:numPr>
          <w:ilvl w:val="0"/>
          <w:numId w:val="113"/>
        </w:numPr>
        <w:rPr>
          <w:color w:val="auto"/>
        </w:rPr>
      </w:pPr>
      <w:r w:rsidRPr="00653DCF">
        <w:rPr>
          <w:rStyle w:val="BoldEIB"/>
          <w:color w:val="auto"/>
        </w:rPr>
        <w:t>Rights and Permits</w:t>
      </w:r>
      <w:r w:rsidRPr="00653DCF">
        <w:rPr>
          <w:color w:val="auto"/>
        </w:rPr>
        <w:t>: maintain in force all rights of way or use and all Authorisations necessary for the execution and operation of the Project;</w:t>
      </w:r>
    </w:p>
    <w:p w14:paraId="4CEFC0D3" w14:textId="77777777" w:rsidR="00F0088B" w:rsidRPr="00653DCF" w:rsidRDefault="00F0088B" w:rsidP="0024686A">
      <w:pPr>
        <w:pStyle w:val="NoIndentEIB"/>
        <w:numPr>
          <w:ilvl w:val="0"/>
          <w:numId w:val="113"/>
        </w:numPr>
        <w:rPr>
          <w:color w:val="auto"/>
        </w:rPr>
      </w:pPr>
      <w:r w:rsidRPr="00653DCF">
        <w:rPr>
          <w:rStyle w:val="BoldEIB"/>
          <w:color w:val="auto"/>
        </w:rPr>
        <w:t>Environment and Social Matters</w:t>
      </w:r>
      <w:r w:rsidRPr="00653DCF">
        <w:rPr>
          <w:color w:val="auto"/>
        </w:rPr>
        <w:t xml:space="preserve">: </w:t>
      </w:r>
    </w:p>
    <w:p w14:paraId="24C53ECA" w14:textId="77777777" w:rsidR="00F0088B" w:rsidRPr="00653DCF" w:rsidRDefault="00F0088B" w:rsidP="0024686A">
      <w:pPr>
        <w:pStyle w:val="NoIndentEIB"/>
        <w:numPr>
          <w:ilvl w:val="1"/>
          <w:numId w:val="113"/>
        </w:numPr>
        <w:rPr>
          <w:color w:val="auto"/>
        </w:rPr>
      </w:pPr>
      <w:r w:rsidRPr="00653DCF">
        <w:rPr>
          <w:color w:val="auto"/>
        </w:rPr>
        <w:t>implement and operate the Project materially in compliance with Environmental and Social Law;</w:t>
      </w:r>
    </w:p>
    <w:p w14:paraId="3E068095" w14:textId="77777777" w:rsidR="00F0088B" w:rsidRPr="00653DCF" w:rsidRDefault="00F0088B" w:rsidP="0024686A">
      <w:pPr>
        <w:pStyle w:val="NoIndentEIB"/>
        <w:numPr>
          <w:ilvl w:val="1"/>
          <w:numId w:val="113"/>
        </w:numPr>
        <w:rPr>
          <w:color w:val="auto"/>
        </w:rPr>
      </w:pPr>
      <w:r w:rsidRPr="00653DCF">
        <w:rPr>
          <w:color w:val="auto"/>
        </w:rPr>
        <w:t xml:space="preserve">obtain and maintain requisite Environmental and Social Approvals for the Project; </w:t>
      </w:r>
    </w:p>
    <w:p w14:paraId="1A7FAC9F" w14:textId="77777777" w:rsidR="00F0088B" w:rsidRPr="00653DCF" w:rsidRDefault="00F0088B" w:rsidP="0024686A">
      <w:pPr>
        <w:pStyle w:val="NoIndentEIB"/>
        <w:numPr>
          <w:ilvl w:val="1"/>
          <w:numId w:val="113"/>
        </w:numPr>
        <w:rPr>
          <w:color w:val="auto"/>
        </w:rPr>
      </w:pPr>
      <w:r w:rsidRPr="00653DCF">
        <w:rPr>
          <w:color w:val="auto"/>
        </w:rPr>
        <w:t>comply with any such Environmental and Social Approvals;</w:t>
      </w:r>
    </w:p>
    <w:p w14:paraId="2F0E1718" w14:textId="77777777" w:rsidR="00F0088B" w:rsidRPr="00653DCF" w:rsidRDefault="00F0088B" w:rsidP="0024686A">
      <w:pPr>
        <w:pStyle w:val="NoIndentEIB"/>
        <w:numPr>
          <w:ilvl w:val="1"/>
          <w:numId w:val="113"/>
        </w:numPr>
        <w:rPr>
          <w:color w:val="auto"/>
        </w:rPr>
      </w:pPr>
      <w:r w:rsidRPr="00653DCF">
        <w:rPr>
          <w:color w:val="auto"/>
        </w:rPr>
        <w:t>ensure that, unless the Borrower or the Promoter or the Project Company has obtained relevant Authorisations and the Non-Technical Summary of the EIA has been made available to the public, no proceeds of the EIB Funds will be used to finance any Scheme that is subject to a relevant EIA procedure or biodiversity assessment in accordance with the Birds Directive and the Habitats Directive; and</w:t>
      </w:r>
    </w:p>
    <w:p w14:paraId="4A98CA8F" w14:textId="4FF6D928" w:rsidR="00F0088B" w:rsidRPr="00653DCF" w:rsidRDefault="00F0088B" w:rsidP="0024686A">
      <w:pPr>
        <w:pStyle w:val="NoIndentEIB"/>
        <w:numPr>
          <w:ilvl w:val="1"/>
          <w:numId w:val="113"/>
        </w:numPr>
        <w:rPr>
          <w:color w:val="auto"/>
        </w:rPr>
      </w:pPr>
      <w:r w:rsidRPr="00653DCF">
        <w:rPr>
          <w:color w:val="auto"/>
        </w:rPr>
        <w:t xml:space="preserve">procure and deliver to the Bank, as soon as available, however, no later than before its submission of the Project completion report (pursuant to </w:t>
      </w:r>
      <w:r w:rsidRPr="00653DCF">
        <w:rPr>
          <w:color w:val="auto"/>
        </w:rPr>
        <w:br/>
        <w:t xml:space="preserve">Article </w:t>
      </w:r>
      <w:r w:rsidRPr="00653DCF">
        <w:rPr>
          <w:color w:val="auto"/>
        </w:rPr>
        <w:fldChar w:fldCharType="begin"/>
      </w:r>
      <w:r w:rsidRPr="00653DCF">
        <w:rPr>
          <w:color w:val="auto"/>
        </w:rPr>
        <w:instrText xml:space="preserve"> REF _Ref427242000 \r \h  \* MERGEFORMAT </w:instrText>
      </w:r>
      <w:r w:rsidRPr="00653DCF">
        <w:rPr>
          <w:color w:val="auto"/>
        </w:rPr>
      </w:r>
      <w:r w:rsidRPr="00653DCF">
        <w:rPr>
          <w:color w:val="auto"/>
        </w:rPr>
        <w:fldChar w:fldCharType="separate"/>
      </w:r>
      <w:r w:rsidR="00E5391B">
        <w:rPr>
          <w:color w:val="auto"/>
        </w:rPr>
        <w:t>članak 8</w:t>
      </w:r>
      <w:r w:rsidRPr="00653DCF">
        <w:rPr>
          <w:color w:val="auto"/>
        </w:rPr>
        <w:fldChar w:fldCharType="end"/>
      </w:r>
      <w:r w:rsidRPr="00653DCF">
        <w:rPr>
          <w:color w:val="auto"/>
        </w:rPr>
        <w:fldChar w:fldCharType="begin"/>
      </w:r>
      <w:r w:rsidRPr="00653DCF">
        <w:rPr>
          <w:color w:val="auto"/>
        </w:rPr>
        <w:instrText xml:space="preserve"> REF _Ref497992544 \r \h  \* MERGEFORMAT </w:instrText>
      </w:r>
      <w:r w:rsidRPr="00653DCF">
        <w:rPr>
          <w:color w:val="auto"/>
        </w:rPr>
      </w:r>
      <w:r w:rsidRPr="00653DCF">
        <w:rPr>
          <w:color w:val="auto"/>
        </w:rPr>
        <w:fldChar w:fldCharType="separate"/>
      </w:r>
      <w:r w:rsidR="00E5391B">
        <w:rPr>
          <w:color w:val="auto"/>
        </w:rPr>
        <w:t>(a)(i)</w:t>
      </w:r>
      <w:r w:rsidRPr="00653DCF">
        <w:rPr>
          <w:color w:val="auto"/>
        </w:rPr>
        <w:fldChar w:fldCharType="end"/>
      </w:r>
      <w:r w:rsidRPr="00653DCF">
        <w:rPr>
          <w:color w:val="auto"/>
        </w:rPr>
        <w:t>, below), energy performance certificate(s) in accordance with the Council Directive on Energy Performance of Buildings (Directive 2010/31/EU) in relation to any Scheme comprising any building and provide the Bank with all corresponding information that may be required by the Bank (including the energy efficiency performance indicators for each Scheme, if available and when applicable);</w:t>
      </w:r>
    </w:p>
    <w:p w14:paraId="629FBDCB" w14:textId="77777777" w:rsidR="00F0088B" w:rsidRPr="00653DCF" w:rsidRDefault="00F0088B" w:rsidP="0024686A">
      <w:pPr>
        <w:pStyle w:val="NoIndentEIB"/>
        <w:numPr>
          <w:ilvl w:val="0"/>
          <w:numId w:val="113"/>
        </w:numPr>
        <w:rPr>
          <w:color w:val="auto"/>
        </w:rPr>
      </w:pPr>
      <w:r w:rsidRPr="00653DCF">
        <w:rPr>
          <w:rStyle w:val="BoldEIB"/>
          <w:color w:val="auto"/>
        </w:rPr>
        <w:t>Integrity</w:t>
      </w:r>
      <w:r w:rsidRPr="00653DCF">
        <w:rPr>
          <w:color w:val="auto"/>
        </w:rPr>
        <w:t>: take, within a reasonable timeframe, appropriate measures in respect of:</w:t>
      </w:r>
    </w:p>
    <w:p w14:paraId="2540F987" w14:textId="77777777" w:rsidR="00F0088B" w:rsidRPr="00653DCF" w:rsidRDefault="00F0088B" w:rsidP="0024686A">
      <w:pPr>
        <w:pStyle w:val="NoIndentEIB"/>
        <w:numPr>
          <w:ilvl w:val="1"/>
          <w:numId w:val="113"/>
        </w:numPr>
        <w:rPr>
          <w:color w:val="auto"/>
        </w:rPr>
      </w:pPr>
      <w:r w:rsidRPr="00653DCF">
        <w:rPr>
          <w:color w:val="auto"/>
        </w:rPr>
        <w:t xml:space="preserve">any of its employees with direct control and/or decision powers over any Scheme, the Credit or the Loan; or </w:t>
      </w:r>
    </w:p>
    <w:p w14:paraId="48B16F48" w14:textId="77777777" w:rsidR="00F0088B" w:rsidRPr="00653DCF" w:rsidRDefault="00F0088B" w:rsidP="0024686A">
      <w:pPr>
        <w:pStyle w:val="NoIndentEIB"/>
        <w:numPr>
          <w:ilvl w:val="1"/>
          <w:numId w:val="113"/>
        </w:numPr>
        <w:rPr>
          <w:color w:val="auto"/>
        </w:rPr>
      </w:pPr>
      <w:r w:rsidRPr="00653DCF">
        <w:rPr>
          <w:color w:val="auto"/>
        </w:rPr>
        <w:t xml:space="preserve">any member of management bodies of the Project Company, </w:t>
      </w:r>
    </w:p>
    <w:p w14:paraId="5A0702AF" w14:textId="77777777" w:rsidR="00F0088B" w:rsidRPr="00653DCF" w:rsidRDefault="00F0088B" w:rsidP="00F0088B">
      <w:pPr>
        <w:ind w:left="1423"/>
        <w:rPr>
          <w:color w:val="auto"/>
        </w:rPr>
      </w:pPr>
      <w:r w:rsidRPr="00653DCF">
        <w:rPr>
          <w:color w:val="auto"/>
        </w:rPr>
        <w:t>who has been convicted by a final and irrevocable court ruling of an Illegal Activity perpetrated in the course of the exercise of his/her professional duties, in order to ensure that such member is excluded from any activity in relation to the Credit, Loan or any Scheme or any other financial indebtedness from the Bank;</w:t>
      </w:r>
    </w:p>
    <w:p w14:paraId="59FED222" w14:textId="77777777" w:rsidR="00F0088B" w:rsidRPr="00653DCF" w:rsidRDefault="00F0088B" w:rsidP="0024686A">
      <w:pPr>
        <w:pStyle w:val="NoIndentEIB"/>
        <w:numPr>
          <w:ilvl w:val="0"/>
          <w:numId w:val="113"/>
        </w:numPr>
        <w:rPr>
          <w:color w:val="auto"/>
        </w:rPr>
      </w:pPr>
      <w:r w:rsidRPr="00653DCF">
        <w:rPr>
          <w:rStyle w:val="BoldEIB"/>
          <w:color w:val="auto"/>
        </w:rPr>
        <w:t>Integrity Audit Rights</w:t>
      </w:r>
      <w:r w:rsidRPr="00653DCF">
        <w:rPr>
          <w:color w:val="auto"/>
        </w:rPr>
        <w:t>: ensure that all contracts under the Project to be procured after the date of signature of this Contract in accordance with EU Directives on procurement provide for:</w:t>
      </w:r>
    </w:p>
    <w:p w14:paraId="1FD04509" w14:textId="77777777" w:rsidR="00F0088B" w:rsidRPr="00653DCF" w:rsidRDefault="00F0088B" w:rsidP="0024686A">
      <w:pPr>
        <w:pStyle w:val="NoIndentEIB"/>
        <w:numPr>
          <w:ilvl w:val="1"/>
          <w:numId w:val="113"/>
        </w:numPr>
        <w:rPr>
          <w:color w:val="auto"/>
        </w:rPr>
      </w:pPr>
      <w:r w:rsidRPr="00653DCF">
        <w:rPr>
          <w:color w:val="auto"/>
        </w:rPr>
        <w:t>the requirement that the relevant contractor promptly informs the Bank of a genuine allegation, complaint or information with regard to Illegal Activities related to any Scheme;</w:t>
      </w:r>
    </w:p>
    <w:p w14:paraId="13F52637" w14:textId="77777777" w:rsidR="00F0088B" w:rsidRPr="00653DCF" w:rsidRDefault="00F0088B" w:rsidP="0024686A">
      <w:pPr>
        <w:pStyle w:val="NoIndentEIB"/>
        <w:numPr>
          <w:ilvl w:val="1"/>
          <w:numId w:val="113"/>
        </w:numPr>
        <w:rPr>
          <w:color w:val="auto"/>
        </w:rPr>
      </w:pPr>
      <w:r w:rsidRPr="00653DCF">
        <w:rPr>
          <w:color w:val="auto"/>
        </w:rPr>
        <w:t>the requirement that the relevant contractor keeps books and records of all financial transactions and expenditures in connection with any Scheme; and</w:t>
      </w:r>
    </w:p>
    <w:p w14:paraId="3EC7CB72" w14:textId="77777777" w:rsidR="00F0088B" w:rsidRPr="00653DCF" w:rsidRDefault="00F0088B" w:rsidP="0024686A">
      <w:pPr>
        <w:pStyle w:val="NoIndentEIB"/>
        <w:numPr>
          <w:ilvl w:val="1"/>
          <w:numId w:val="113"/>
        </w:numPr>
        <w:rPr>
          <w:color w:val="auto"/>
        </w:rPr>
      </w:pPr>
      <w:r w:rsidRPr="00653DCF">
        <w:rPr>
          <w:color w:val="auto"/>
        </w:rPr>
        <w:t>the Bank’s right, in relation to an alleged Illegal Activity, to review the books and records of the relevant contractor in relation to any Scheme</w:t>
      </w:r>
      <w:r w:rsidRPr="00653DCF" w:rsidDel="003777B3">
        <w:rPr>
          <w:color w:val="auto"/>
        </w:rPr>
        <w:t xml:space="preserve"> </w:t>
      </w:r>
      <w:r w:rsidRPr="00653DCF">
        <w:rPr>
          <w:color w:val="auto"/>
        </w:rPr>
        <w:t>and to take copies of documents unless prohibited by law;</w:t>
      </w:r>
    </w:p>
    <w:p w14:paraId="11D4A87D" w14:textId="77777777" w:rsidR="00F0088B" w:rsidRPr="00653DCF" w:rsidRDefault="00F0088B" w:rsidP="0024686A">
      <w:pPr>
        <w:pStyle w:val="NoIndentEIB"/>
        <w:numPr>
          <w:ilvl w:val="0"/>
          <w:numId w:val="113"/>
        </w:numPr>
        <w:rPr>
          <w:color w:val="auto"/>
        </w:rPr>
      </w:pPr>
      <w:r w:rsidRPr="00653DCF">
        <w:rPr>
          <w:b/>
          <w:color w:val="auto"/>
        </w:rPr>
        <w:t>Allocation Procedures</w:t>
      </w:r>
      <w:r w:rsidRPr="00653DCF">
        <w:rPr>
          <w:color w:val="auto"/>
        </w:rPr>
        <w:t xml:space="preserve">: comply with the allocation procedures applicable to the Project, as may be modified by the Bank from time to time in accordance with </w:t>
      </w:r>
      <w:r w:rsidRPr="00653DCF">
        <w:rPr>
          <w:color w:val="auto"/>
        </w:rPr>
        <w:br/>
        <w:t>Article 1.9 of this Contract;</w:t>
      </w:r>
    </w:p>
    <w:p w14:paraId="26506F3F" w14:textId="77777777" w:rsidR="00F0088B" w:rsidRPr="00653DCF" w:rsidRDefault="00F0088B" w:rsidP="0024686A">
      <w:pPr>
        <w:pStyle w:val="NoIndentEIB"/>
        <w:numPr>
          <w:ilvl w:val="0"/>
          <w:numId w:val="113"/>
        </w:numPr>
        <w:rPr>
          <w:color w:val="auto"/>
        </w:rPr>
      </w:pPr>
      <w:r w:rsidRPr="00653DCF">
        <w:rPr>
          <w:b/>
          <w:color w:val="auto"/>
        </w:rPr>
        <w:t>Allocation monitoring</w:t>
      </w:r>
      <w:r w:rsidRPr="00653DCF">
        <w:rPr>
          <w:color w:val="auto"/>
        </w:rPr>
        <w:t>: ensure that at the end of the physical implementation of all Schemes under the Project the amount of the EIB Funds disbursed towards such Schemes does not exceed the amount of allocations made by the Bank in relation to all such Schemes under the Letters of Allocation. The Borrower (acting through the Promoter) will promptly inform the Bank when the implementation of any allocated Scheme is suspended or the Scheme is cancelled;</w:t>
      </w:r>
    </w:p>
    <w:p w14:paraId="76C88153" w14:textId="77777777" w:rsidR="00F0088B" w:rsidRPr="00653DCF" w:rsidRDefault="00F0088B" w:rsidP="0024686A">
      <w:pPr>
        <w:pStyle w:val="NoIndentEIB"/>
        <w:widowControl w:val="0"/>
        <w:numPr>
          <w:ilvl w:val="0"/>
          <w:numId w:val="113"/>
        </w:numPr>
        <w:rPr>
          <w:color w:val="auto"/>
        </w:rPr>
      </w:pPr>
      <w:r w:rsidRPr="00653DCF">
        <w:rPr>
          <w:b/>
          <w:bCs/>
          <w:color w:val="auto"/>
        </w:rPr>
        <w:t>Public Service Contract</w:t>
      </w:r>
      <w:r w:rsidRPr="00653DCF">
        <w:rPr>
          <w:color w:val="auto"/>
        </w:rPr>
        <w:t>: prior to allocating any Schemes towards investment in passenger of freight rolling stock, ensure to provide information concerning the operation arrangements, including confirmation of compliance of the current and anticipated follow-up PSC with the Regulation 1370/2007 EU relating to tendering of contracts for provision of passenger railway services. The Borrower or Promoter shall promptly inform the Bank on current and future contracts for national passenger services, specifically planned tender processes, the outcomes of these and all factors with significant influence on timing, content and outcome including-but not limited to</w:t>
      </w:r>
      <w:r w:rsidRPr="00653DCF">
        <w:rPr>
          <w:color w:val="auto"/>
        </w:rPr>
        <w:br/>
        <w:t>legal proceedings, changes to schedules and other important changes thereto;</w:t>
      </w:r>
    </w:p>
    <w:p w14:paraId="05164B43" w14:textId="77777777" w:rsidR="00F0088B" w:rsidRPr="00653DCF" w:rsidRDefault="00F0088B" w:rsidP="0024686A">
      <w:pPr>
        <w:pStyle w:val="NoIndentEIB"/>
        <w:widowControl w:val="0"/>
        <w:numPr>
          <w:ilvl w:val="0"/>
          <w:numId w:val="113"/>
        </w:numPr>
        <w:rPr>
          <w:color w:val="auto"/>
        </w:rPr>
      </w:pPr>
      <w:r w:rsidRPr="00653DCF">
        <w:rPr>
          <w:rStyle w:val="BoldEIB"/>
          <w:color w:val="auto"/>
        </w:rPr>
        <w:t>State aid</w:t>
      </w:r>
      <w:r w:rsidRPr="00653DCF">
        <w:rPr>
          <w:color w:val="auto"/>
        </w:rPr>
        <w:t>: implement and operate the Project in conformity with any laws of the European Union and the Republic of Croatia with respect to state aid.</w:t>
      </w:r>
    </w:p>
    <w:p w14:paraId="4351F16D" w14:textId="77777777" w:rsidR="00F0088B" w:rsidRPr="00653DCF" w:rsidRDefault="00F0088B" w:rsidP="0024686A">
      <w:pPr>
        <w:pStyle w:val="NoIndentEIB"/>
        <w:numPr>
          <w:ilvl w:val="0"/>
          <w:numId w:val="113"/>
        </w:numPr>
        <w:rPr>
          <w:color w:val="auto"/>
        </w:rPr>
      </w:pPr>
      <w:r w:rsidRPr="00653DCF">
        <w:rPr>
          <w:b/>
          <w:color w:val="auto"/>
        </w:rPr>
        <w:t>No double financing</w:t>
      </w:r>
      <w:r w:rsidRPr="00653DCF">
        <w:rPr>
          <w:color w:val="auto"/>
        </w:rPr>
        <w:t>: ensure that no Scheme is financed from the proceeds of any Total Financial Indebtedness made available to the Borrower or to any Project Company by the Bank other than the EIB Funds; and</w:t>
      </w:r>
    </w:p>
    <w:p w14:paraId="39A7C342" w14:textId="77777777" w:rsidR="00F0088B" w:rsidRPr="00653DCF" w:rsidRDefault="00F0088B" w:rsidP="0024686A">
      <w:pPr>
        <w:pStyle w:val="NoIndentEIB"/>
        <w:numPr>
          <w:ilvl w:val="0"/>
          <w:numId w:val="113"/>
        </w:numPr>
        <w:rPr>
          <w:color w:val="auto"/>
        </w:rPr>
      </w:pPr>
      <w:r w:rsidRPr="00653DCF">
        <w:rPr>
          <w:b/>
          <w:color w:val="auto"/>
        </w:rPr>
        <w:t xml:space="preserve">EU Funds: </w:t>
      </w:r>
    </w:p>
    <w:p w14:paraId="73FA7A96" w14:textId="77777777" w:rsidR="00F0088B" w:rsidRPr="00653DCF" w:rsidRDefault="00F0088B" w:rsidP="0024686A">
      <w:pPr>
        <w:widowControl w:val="0"/>
        <w:numPr>
          <w:ilvl w:val="1"/>
          <w:numId w:val="169"/>
        </w:numPr>
        <w:rPr>
          <w:color w:val="auto"/>
        </w:rPr>
      </w:pPr>
      <w:r w:rsidRPr="00653DCF">
        <w:rPr>
          <w:color w:val="auto"/>
        </w:rPr>
        <w:t xml:space="preserve">when available, upon the Bank’s request, provide the Bank with a certified copy of an official application of the Borrower or Promoter or the Project Company for the EU Funds in respect of any Scheme and inform the Bank periodically on the progress of the grant application process; and </w:t>
      </w:r>
    </w:p>
    <w:p w14:paraId="6B3DD4DC" w14:textId="77777777" w:rsidR="00F0088B" w:rsidRPr="00653DCF" w:rsidRDefault="00F0088B" w:rsidP="0024686A">
      <w:pPr>
        <w:widowControl w:val="0"/>
        <w:numPr>
          <w:ilvl w:val="1"/>
          <w:numId w:val="169"/>
        </w:numPr>
        <w:rPr>
          <w:color w:val="auto"/>
        </w:rPr>
      </w:pPr>
      <w:r w:rsidRPr="00653DCF">
        <w:rPr>
          <w:color w:val="auto"/>
        </w:rPr>
        <w:t>ensure that all terms and conditions regarding the EU Funds (whether contractual or statutory) are complied with.</w:t>
      </w:r>
    </w:p>
    <w:p w14:paraId="3E1BEC3D" w14:textId="77777777" w:rsidR="00F0088B" w:rsidRPr="00653DCF" w:rsidRDefault="00F0088B" w:rsidP="0024686A">
      <w:pPr>
        <w:pStyle w:val="NoIndentEIB"/>
        <w:numPr>
          <w:ilvl w:val="0"/>
          <w:numId w:val="113"/>
        </w:numPr>
        <w:rPr>
          <w:color w:val="auto"/>
        </w:rPr>
      </w:pPr>
      <w:r w:rsidRPr="00653DCF">
        <w:rPr>
          <w:b/>
          <w:color w:val="auto"/>
        </w:rPr>
        <w:t>Litigation</w:t>
      </w:r>
      <w:r w:rsidRPr="00653DCF">
        <w:rPr>
          <w:color w:val="auto"/>
        </w:rPr>
        <w:t xml:space="preserve">: procure that the Project Company will, unless prohibited by law, inform the Borrower or Promoter of any material litigation, arbitration, administrative proceedings or investigation carried out by a court, administration or similar public authority, which, to the best of its knowledge and belief, is current, imminent or pending against such Project Company or its controlling entities or members of its management bodies in connection with Illegal Activities related to any Scheme. </w:t>
      </w:r>
    </w:p>
    <w:p w14:paraId="5042C4CA" w14:textId="77777777" w:rsidR="00F0088B" w:rsidRPr="00653DCF" w:rsidRDefault="00F0088B" w:rsidP="0024686A">
      <w:pPr>
        <w:pStyle w:val="NoIndentEIB"/>
        <w:numPr>
          <w:ilvl w:val="0"/>
          <w:numId w:val="113"/>
        </w:numPr>
        <w:rPr>
          <w:color w:val="auto"/>
        </w:rPr>
      </w:pPr>
      <w:r w:rsidRPr="00653DCF">
        <w:rPr>
          <w:b/>
          <w:bCs/>
          <w:color w:val="auto"/>
        </w:rPr>
        <w:t>EIB contribution</w:t>
      </w:r>
      <w:r w:rsidRPr="00653DCF">
        <w:rPr>
          <w:color w:val="auto"/>
        </w:rPr>
        <w:t>: inform the public of its partnership with the Bank in relation to any Schemes financed by EIB Funds by issuing press releases, making the list of Schemes benefiting from EIB funds available to the public, reference the Bank in Scheme sites as its financing partner or otherwise appropriately communicate its partnership with the Bank to the public.</w:t>
      </w:r>
    </w:p>
    <w:p w14:paraId="2C84510D" w14:textId="77777777" w:rsidR="00F0088B" w:rsidRPr="00653DCF" w:rsidRDefault="00F0088B" w:rsidP="00F0088B">
      <w:pPr>
        <w:pStyle w:val="NoIndentEIB"/>
        <w:spacing w:before="240"/>
        <w:ind w:left="856"/>
        <w:rPr>
          <w:b/>
          <w:i/>
          <w:color w:val="auto"/>
          <w:u w:val="single"/>
        </w:rPr>
      </w:pPr>
      <w:r w:rsidRPr="00653DCF">
        <w:rPr>
          <w:b/>
          <w:i/>
          <w:color w:val="auto"/>
          <w:u w:val="single"/>
        </w:rPr>
        <w:t>B. GENERAL UNDERTAKINGS</w:t>
      </w:r>
    </w:p>
    <w:p w14:paraId="6B262721" w14:textId="77777777" w:rsidR="00F0088B" w:rsidRPr="00653DCF" w:rsidRDefault="00F0088B" w:rsidP="00335497">
      <w:pPr>
        <w:pStyle w:val="Heading2"/>
        <w:ind w:left="851"/>
        <w:rPr>
          <w:color w:val="auto"/>
        </w:rPr>
      </w:pPr>
      <w:r w:rsidRPr="00653DCF">
        <w:rPr>
          <w:color w:val="auto"/>
        </w:rPr>
        <w:t>Compliance with laws</w:t>
      </w:r>
    </w:p>
    <w:p w14:paraId="31B7FACD" w14:textId="77777777" w:rsidR="00F0088B" w:rsidRPr="00653DCF" w:rsidRDefault="00F0088B" w:rsidP="00F0088B">
      <w:pPr>
        <w:pStyle w:val="NoIndentEIB"/>
        <w:ind w:left="851"/>
        <w:rPr>
          <w:color w:val="auto"/>
        </w:rPr>
      </w:pPr>
      <w:r w:rsidRPr="00653DCF">
        <w:rPr>
          <w:color w:val="auto"/>
        </w:rPr>
        <w:t>The Borrower and the Promoter shall</w:t>
      </w:r>
      <w:r w:rsidRPr="00653DCF">
        <w:rPr>
          <w:rFonts w:cs="Arial"/>
          <w:color w:val="auto"/>
        </w:rPr>
        <w:t>, and shall procure that each Project Company will</w:t>
      </w:r>
      <w:r w:rsidRPr="00653DCF">
        <w:rPr>
          <w:color w:val="auto"/>
        </w:rPr>
        <w:t xml:space="preserve"> comply, procure and verify compliance in all respects with all laws and regulations of the Republic of Croatia and the EU Law to which it or any Scheme is subject including, but not limited to, Environment (including climate change), Social Matters, railway transport, state aid and public procurement laws.</w:t>
      </w:r>
    </w:p>
    <w:p w14:paraId="7A1D4DD4" w14:textId="77777777" w:rsidR="00F0088B" w:rsidRPr="00653DCF" w:rsidRDefault="00F0088B" w:rsidP="00335497">
      <w:pPr>
        <w:pStyle w:val="Heading2"/>
        <w:ind w:left="851"/>
        <w:rPr>
          <w:color w:val="auto"/>
        </w:rPr>
      </w:pPr>
      <w:r w:rsidRPr="00653DCF">
        <w:rPr>
          <w:color w:val="auto"/>
        </w:rPr>
        <w:t>Books and records</w:t>
      </w:r>
    </w:p>
    <w:p w14:paraId="513FC988" w14:textId="77777777" w:rsidR="00F0088B" w:rsidRPr="00653DCF" w:rsidRDefault="00F0088B" w:rsidP="00F0088B">
      <w:pPr>
        <w:rPr>
          <w:color w:val="auto"/>
        </w:rPr>
      </w:pPr>
      <w:r w:rsidRPr="00653DCF">
        <w:rPr>
          <w:color w:val="auto"/>
        </w:rPr>
        <w:t>The Borrower and the Promoter shall</w:t>
      </w:r>
      <w:r w:rsidRPr="00653DCF">
        <w:rPr>
          <w:rFonts w:cs="Arial"/>
          <w:color w:val="auto"/>
        </w:rPr>
        <w:t xml:space="preserve">, or shall procure that the Borrower, Promoter and each Project Company will </w:t>
      </w:r>
      <w:r w:rsidRPr="00653DCF">
        <w:rPr>
          <w:color w:val="auto"/>
        </w:rPr>
        <w:t>ensure that it has kept and will continue to keep proper books and records of account, in which full and correct entries shall be made of all financial transactions and the assets and business of the relevant Project Company, including expenditures in connection with the Project.</w:t>
      </w:r>
    </w:p>
    <w:p w14:paraId="172348A4" w14:textId="77777777" w:rsidR="00F0088B" w:rsidRPr="00653DCF" w:rsidRDefault="00F0088B" w:rsidP="00335497">
      <w:pPr>
        <w:pStyle w:val="Heading2"/>
        <w:ind w:left="851"/>
        <w:rPr>
          <w:color w:val="auto"/>
        </w:rPr>
      </w:pPr>
      <w:bookmarkStart w:id="992" w:name="_Toc475441172"/>
      <w:bookmarkStart w:id="993" w:name="_Toc498018667"/>
      <w:bookmarkStart w:id="994" w:name="_Toc508120533"/>
      <w:bookmarkStart w:id="995" w:name="_Toc126080722"/>
      <w:bookmarkStart w:id="996" w:name="_Toc126080854"/>
      <w:r w:rsidRPr="00653DCF">
        <w:rPr>
          <w:color w:val="auto"/>
        </w:rPr>
        <w:t>Project Documentation</w:t>
      </w:r>
      <w:bookmarkEnd w:id="992"/>
      <w:bookmarkEnd w:id="993"/>
      <w:bookmarkEnd w:id="994"/>
      <w:bookmarkEnd w:id="995"/>
      <w:bookmarkEnd w:id="996"/>
    </w:p>
    <w:p w14:paraId="3FA67413" w14:textId="77777777" w:rsidR="00F0088B" w:rsidRPr="00653DCF" w:rsidRDefault="00F0088B" w:rsidP="00F0088B">
      <w:pPr>
        <w:rPr>
          <w:color w:val="auto"/>
        </w:rPr>
      </w:pPr>
      <w:r w:rsidRPr="00653DCF">
        <w:rPr>
          <w:color w:val="auto"/>
        </w:rPr>
        <w:t xml:space="preserve">The Borrower and the Promoter shall, or shall procure that each Project Company will, store and maintain up-to-date all relevant documents in respect of the Project, including in particular the environmental studies related to the EIA(s), the EIA Non-Technical Summary, the nature/biodiversity assessments or equivalent documents supporting the compliance with the Birds Directive and the Habitats Directive, and, at the Bank’s request, shall promptly provide any such documentation to the Bank. </w:t>
      </w:r>
      <w:bookmarkStart w:id="997" w:name="_Toc440722260"/>
      <w:bookmarkStart w:id="998" w:name="_Toc440722451"/>
      <w:bookmarkStart w:id="999" w:name="_Toc440722641"/>
      <w:bookmarkStart w:id="1000" w:name="_Toc440894517"/>
      <w:bookmarkEnd w:id="997"/>
      <w:bookmarkEnd w:id="998"/>
      <w:bookmarkEnd w:id="999"/>
      <w:bookmarkEnd w:id="1000"/>
    </w:p>
    <w:p w14:paraId="6FBFD517" w14:textId="77777777" w:rsidR="00F0088B" w:rsidRPr="00653DCF" w:rsidRDefault="00F0088B" w:rsidP="00335497">
      <w:pPr>
        <w:pStyle w:val="Heading2"/>
        <w:shd w:val="clear" w:color="auto" w:fill="FFFFFF" w:themeFill="background1"/>
        <w:ind w:left="851"/>
        <w:rPr>
          <w:color w:val="auto"/>
        </w:rPr>
      </w:pPr>
      <w:r w:rsidRPr="00653DCF">
        <w:rPr>
          <w:color w:val="auto"/>
        </w:rPr>
        <w:t>Data Protection</w:t>
      </w:r>
      <w:r w:rsidRPr="00653DCF">
        <w:rPr>
          <w:color w:val="auto"/>
          <w:vertAlign w:val="superscript"/>
        </w:rPr>
        <w:t xml:space="preserve"> </w:t>
      </w:r>
    </w:p>
    <w:p w14:paraId="2D5ECB8B" w14:textId="77777777" w:rsidR="00F0088B" w:rsidRPr="00653DCF" w:rsidRDefault="00F0088B" w:rsidP="0024686A">
      <w:pPr>
        <w:pStyle w:val="NoIndentEIB"/>
        <w:numPr>
          <w:ilvl w:val="0"/>
          <w:numId w:val="114"/>
        </w:numPr>
        <w:rPr>
          <w:color w:val="auto"/>
        </w:rPr>
      </w:pPr>
      <w:r w:rsidRPr="00653DCF">
        <w:rPr>
          <w:color w:val="auto"/>
        </w:rPr>
        <w:t>When disclosing information (other than mere contact information relating to the members of the personnel of the Borrower, the Promoter or the Project Company involved in the management of this Contract ("</w:t>
      </w:r>
      <w:r w:rsidRPr="00653DCF">
        <w:rPr>
          <w:rStyle w:val="BoldEIB"/>
          <w:color w:val="auto"/>
        </w:rPr>
        <w:t>Contact Data</w:t>
      </w:r>
      <w:r w:rsidRPr="00653DCF">
        <w:rPr>
          <w:color w:val="auto"/>
        </w:rPr>
        <w:t>")) to the Bank in connection with this Contract, the Borrower and the Promoter shall redact or otherwise amend that information (as necessary) so that it does not contain any personal data, except where this Contract specifically requires, or the Bank specifically requests in writing, to disclose such information in the form of personal data.</w:t>
      </w:r>
    </w:p>
    <w:p w14:paraId="28B35476" w14:textId="77777777" w:rsidR="00F0088B" w:rsidRPr="00653DCF" w:rsidRDefault="00F0088B" w:rsidP="0024686A">
      <w:pPr>
        <w:pStyle w:val="NoIndentEIB"/>
        <w:numPr>
          <w:ilvl w:val="0"/>
          <w:numId w:val="114"/>
        </w:numPr>
        <w:rPr>
          <w:color w:val="auto"/>
        </w:rPr>
      </w:pPr>
      <w:r w:rsidRPr="00653DCF">
        <w:rPr>
          <w:color w:val="auto"/>
        </w:rPr>
        <w:t>Before disclosing any personal data (other than Contact Data) to the Bank in connection with this Contract, the Borrower and the Promoter shall ensure that each data subject of such personal data:</w:t>
      </w:r>
    </w:p>
    <w:p w14:paraId="02BBF8DB" w14:textId="77777777" w:rsidR="00F0088B" w:rsidRPr="00653DCF" w:rsidRDefault="00F0088B" w:rsidP="0024686A">
      <w:pPr>
        <w:pStyle w:val="NoIndentEIB"/>
        <w:numPr>
          <w:ilvl w:val="1"/>
          <w:numId w:val="114"/>
        </w:numPr>
        <w:rPr>
          <w:color w:val="auto"/>
        </w:rPr>
      </w:pPr>
      <w:r w:rsidRPr="00653DCF">
        <w:rPr>
          <w:color w:val="auto"/>
        </w:rPr>
        <w:t>has been informed of the disclosure to the Bank (including the categories of personal data to be disclosed); and</w:t>
      </w:r>
    </w:p>
    <w:p w14:paraId="00468FB4" w14:textId="77777777" w:rsidR="00F0088B" w:rsidRPr="00653DCF" w:rsidRDefault="00F0088B" w:rsidP="0024686A">
      <w:pPr>
        <w:pStyle w:val="NoIndentEIB"/>
        <w:numPr>
          <w:ilvl w:val="1"/>
          <w:numId w:val="114"/>
        </w:numPr>
        <w:rPr>
          <w:color w:val="auto"/>
        </w:rPr>
      </w:pPr>
      <w:r w:rsidRPr="00653DCF">
        <w:rPr>
          <w:color w:val="auto"/>
        </w:rPr>
        <w:t>has been advised on the information contained in (or has been provided with an appropriate link to) the Bank’s privacy statement in relation to its lending and investment activities as set out from time to time at https://www.eib.org/en/privacy/lending (or such other address as the Bank may notify to the Borrower in writing from time to time).</w:t>
      </w:r>
    </w:p>
    <w:p w14:paraId="2E038AF7" w14:textId="77777777" w:rsidR="00F0088B" w:rsidRPr="00653DCF" w:rsidRDefault="00F0088B" w:rsidP="00335497">
      <w:pPr>
        <w:pStyle w:val="Heading2"/>
        <w:ind w:left="851"/>
        <w:rPr>
          <w:color w:val="auto"/>
        </w:rPr>
      </w:pPr>
      <w:r w:rsidRPr="00653DCF">
        <w:rPr>
          <w:color w:val="auto"/>
        </w:rPr>
        <w:t>General Representations and Warranties</w:t>
      </w:r>
    </w:p>
    <w:p w14:paraId="58F6F466" w14:textId="77777777" w:rsidR="00F0088B" w:rsidRPr="00653DCF" w:rsidRDefault="00F0088B" w:rsidP="00F0088B">
      <w:pPr>
        <w:rPr>
          <w:color w:val="auto"/>
        </w:rPr>
      </w:pPr>
      <w:r w:rsidRPr="00653DCF">
        <w:rPr>
          <w:color w:val="auto"/>
        </w:rPr>
        <w:t>The Borrower and the Promoter represent and warrant to the Bank that:</w:t>
      </w:r>
    </w:p>
    <w:p w14:paraId="150AD25C" w14:textId="77777777" w:rsidR="00F0088B" w:rsidRPr="00653DCF" w:rsidRDefault="00F0088B" w:rsidP="0024686A">
      <w:pPr>
        <w:pStyle w:val="NoIndentEIB"/>
        <w:numPr>
          <w:ilvl w:val="0"/>
          <w:numId w:val="115"/>
        </w:numPr>
        <w:rPr>
          <w:color w:val="auto"/>
        </w:rPr>
      </w:pPr>
      <w:r w:rsidRPr="00653DCF">
        <w:rPr>
          <w:color w:val="auto"/>
        </w:rPr>
        <w:t>it has the power to execute, deliver and perform its obligations under this Contract and all necessary statutory action has been taken to authorise the execution, delivery and performance of the same by it;</w:t>
      </w:r>
    </w:p>
    <w:p w14:paraId="5B34DD13" w14:textId="77777777" w:rsidR="00F0088B" w:rsidRPr="00653DCF" w:rsidRDefault="00F0088B" w:rsidP="0024686A">
      <w:pPr>
        <w:pStyle w:val="NoIndentEIB"/>
        <w:numPr>
          <w:ilvl w:val="0"/>
          <w:numId w:val="115"/>
        </w:numPr>
        <w:rPr>
          <w:color w:val="auto"/>
        </w:rPr>
      </w:pPr>
      <w:r w:rsidRPr="00653DCF">
        <w:rPr>
          <w:color w:val="auto"/>
        </w:rPr>
        <w:t>this Contract constitutes its legally valid, binding and enforceable obligations;</w:t>
      </w:r>
    </w:p>
    <w:p w14:paraId="161210F3" w14:textId="77777777" w:rsidR="00F0088B" w:rsidRPr="00653DCF" w:rsidRDefault="00F0088B" w:rsidP="0024686A">
      <w:pPr>
        <w:pStyle w:val="NoIndentEIB"/>
        <w:numPr>
          <w:ilvl w:val="0"/>
          <w:numId w:val="115"/>
        </w:numPr>
        <w:rPr>
          <w:color w:val="auto"/>
        </w:rPr>
      </w:pPr>
      <w:r w:rsidRPr="00653DCF">
        <w:rPr>
          <w:color w:val="auto"/>
        </w:rPr>
        <w:t>the execution and delivery of, the performance of its obligations under and compliance with the provisions of this Contract do not and will not contravene or conflict with:</w:t>
      </w:r>
    </w:p>
    <w:p w14:paraId="4E20F518" w14:textId="77777777" w:rsidR="00F0088B" w:rsidRPr="00653DCF" w:rsidRDefault="00F0088B" w:rsidP="0024686A">
      <w:pPr>
        <w:pStyle w:val="NoIndentEIB"/>
        <w:numPr>
          <w:ilvl w:val="1"/>
          <w:numId w:val="115"/>
        </w:numPr>
        <w:rPr>
          <w:color w:val="auto"/>
        </w:rPr>
      </w:pPr>
      <w:r w:rsidRPr="00653DCF">
        <w:rPr>
          <w:color w:val="auto"/>
        </w:rPr>
        <w:t>any applicable law, statute, rule or regulation, or any judgement, decree or permit to which it is subject;</w:t>
      </w:r>
    </w:p>
    <w:p w14:paraId="61678A1C" w14:textId="77777777" w:rsidR="00F0088B" w:rsidRPr="00653DCF" w:rsidRDefault="00F0088B" w:rsidP="0024686A">
      <w:pPr>
        <w:pStyle w:val="NoIndentEIB"/>
        <w:numPr>
          <w:ilvl w:val="1"/>
          <w:numId w:val="115"/>
        </w:numPr>
        <w:rPr>
          <w:color w:val="auto"/>
        </w:rPr>
      </w:pPr>
      <w:r w:rsidRPr="00653DCF">
        <w:rPr>
          <w:color w:val="auto"/>
        </w:rPr>
        <w:t>any agreement or other instrument binding upon it which might reasonably be expected to have a material adverse effect on its ability to perform its obligations under this Contract; and</w:t>
      </w:r>
    </w:p>
    <w:p w14:paraId="5C2A3FB1" w14:textId="77777777" w:rsidR="00F0088B" w:rsidRPr="00653DCF" w:rsidRDefault="00F0088B" w:rsidP="0024686A">
      <w:pPr>
        <w:pStyle w:val="NoIndentEIB"/>
        <w:numPr>
          <w:ilvl w:val="0"/>
          <w:numId w:val="115"/>
        </w:numPr>
        <w:rPr>
          <w:color w:val="auto"/>
        </w:rPr>
      </w:pPr>
      <w:r w:rsidRPr="00653DCF">
        <w:rPr>
          <w:color w:val="auto"/>
        </w:rPr>
        <w:t>there has been no Material Adverse Change since 21 November 2023;</w:t>
      </w:r>
    </w:p>
    <w:p w14:paraId="5BDA5C3D" w14:textId="77777777" w:rsidR="00F0088B" w:rsidRPr="00653DCF" w:rsidRDefault="00F0088B" w:rsidP="0024686A">
      <w:pPr>
        <w:pStyle w:val="NoIndentEIB"/>
        <w:numPr>
          <w:ilvl w:val="0"/>
          <w:numId w:val="115"/>
        </w:numPr>
        <w:rPr>
          <w:color w:val="auto"/>
        </w:rPr>
      </w:pPr>
      <w:r w:rsidRPr="00653DCF">
        <w:rPr>
          <w:color w:val="auto"/>
        </w:rPr>
        <w:t>no event or circumstance which constitutes an Event of Default has occurred and is continuing unremedied or unwaived;</w:t>
      </w:r>
    </w:p>
    <w:p w14:paraId="6311826D" w14:textId="77777777" w:rsidR="00F0088B" w:rsidRPr="00653DCF" w:rsidRDefault="00F0088B" w:rsidP="0024686A">
      <w:pPr>
        <w:pStyle w:val="NoIndentEIB"/>
        <w:numPr>
          <w:ilvl w:val="0"/>
          <w:numId w:val="115"/>
        </w:numPr>
        <w:rPr>
          <w:color w:val="auto"/>
        </w:rPr>
      </w:pPr>
      <w:r w:rsidRPr="00653DCF">
        <w:rPr>
          <w:color w:val="auto"/>
        </w:rPr>
        <w:t>no litigation, arbitration, administrative proceedings or investigation in connection with the implementation of the Project is current or to its knowledge is threatened or pending before any court, arbitral body or agency which has resulted or if adversely determined is reasonably likely to result in a Material Adverse Change, nor is there subsisting against it or the Project Company any unsatisfied judgement or award which has resulted or is reasonably likely to result in a Material Adverse Change;</w:t>
      </w:r>
    </w:p>
    <w:p w14:paraId="31C56983" w14:textId="77777777" w:rsidR="00F0088B" w:rsidRPr="00653DCF" w:rsidRDefault="00F0088B" w:rsidP="0024686A">
      <w:pPr>
        <w:pStyle w:val="NoIndentEIB"/>
        <w:numPr>
          <w:ilvl w:val="0"/>
          <w:numId w:val="115"/>
        </w:numPr>
        <w:rPr>
          <w:color w:val="auto"/>
        </w:rPr>
      </w:pPr>
      <w:r w:rsidRPr="00653DCF">
        <w:rPr>
          <w:color w:val="auto"/>
        </w:rPr>
        <w:t>it has obtained all necessary Authorisations in connection with this Contract and in order to lawfully comply with its obligations hereunder, and the Project and all such Authorisations are in full force and effect and admissible in evidence;</w:t>
      </w:r>
    </w:p>
    <w:p w14:paraId="7D6D9F3A" w14:textId="77777777" w:rsidR="00F0088B" w:rsidRPr="00653DCF" w:rsidRDefault="00F0088B" w:rsidP="0024686A">
      <w:pPr>
        <w:pStyle w:val="NoIndentEIB"/>
        <w:numPr>
          <w:ilvl w:val="0"/>
          <w:numId w:val="115"/>
        </w:numPr>
        <w:rPr>
          <w:color w:val="auto"/>
        </w:rPr>
      </w:pPr>
      <w:r w:rsidRPr="00653DCF">
        <w:rPr>
          <w:color w:val="auto"/>
        </w:rPr>
        <w:t xml:space="preserve">its payment obligations under this Contract rank not less than </w:t>
      </w:r>
      <w:r w:rsidRPr="00653DCF">
        <w:rPr>
          <w:rStyle w:val="ItalicEIB"/>
          <w:color w:val="auto"/>
        </w:rPr>
        <w:t xml:space="preserve">pari passu </w:t>
      </w:r>
      <w:r w:rsidRPr="00653DCF">
        <w:rPr>
          <w:color w:val="auto"/>
        </w:rPr>
        <w:t xml:space="preserve">in right of payment with all other present and future unsecured and unsubordinated obligations under any of its Debt Instruments except for obligations mandatorily preferred by law; </w:t>
      </w:r>
    </w:p>
    <w:p w14:paraId="71826FB3" w14:textId="7078FBBA" w:rsidR="00F0088B" w:rsidRPr="00653DCF" w:rsidRDefault="00F0088B" w:rsidP="0024686A">
      <w:pPr>
        <w:pStyle w:val="NoIndentEIB"/>
        <w:numPr>
          <w:ilvl w:val="0"/>
          <w:numId w:val="115"/>
        </w:numPr>
        <w:rPr>
          <w:color w:val="auto"/>
        </w:rPr>
      </w:pPr>
      <w:r w:rsidRPr="00653DCF">
        <w:rPr>
          <w:color w:val="auto"/>
        </w:rPr>
        <w:t>it is in compliance with Article </w:t>
      </w:r>
      <w:r w:rsidRPr="00653DCF">
        <w:rPr>
          <w:color w:val="auto"/>
        </w:rPr>
        <w:fldChar w:fldCharType="begin"/>
      </w:r>
      <w:r w:rsidRPr="00653DCF">
        <w:rPr>
          <w:color w:val="auto"/>
        </w:rPr>
        <w:instrText xml:space="preserve"> REF _Ref427037908 \r \h </w:instrText>
      </w:r>
      <w:r w:rsidRPr="00653DCF">
        <w:rPr>
          <w:color w:val="auto"/>
        </w:rPr>
      </w:r>
      <w:r w:rsidRPr="00653DCF">
        <w:rPr>
          <w:color w:val="auto"/>
        </w:rPr>
        <w:fldChar w:fldCharType="separate"/>
      </w:r>
      <w:r w:rsidR="00E5391B">
        <w:rPr>
          <w:color w:val="auto"/>
        </w:rPr>
        <w:t>6.5</w:t>
      </w:r>
      <w:r w:rsidRPr="00653DCF">
        <w:rPr>
          <w:color w:val="auto"/>
        </w:rPr>
        <w:fldChar w:fldCharType="end"/>
      </w:r>
      <w:r w:rsidRPr="00653DCF">
        <w:rPr>
          <w:color w:val="auto"/>
        </w:rPr>
        <w:fldChar w:fldCharType="begin"/>
      </w:r>
      <w:r w:rsidRPr="00653DCF">
        <w:rPr>
          <w:color w:val="auto"/>
        </w:rPr>
        <w:instrText xml:space="preserve"> REF _Ref427037950 \r \h </w:instrText>
      </w:r>
      <w:r w:rsidRPr="00653DCF">
        <w:rPr>
          <w:color w:val="auto"/>
        </w:rPr>
      </w:r>
      <w:r w:rsidRPr="00653DCF">
        <w:rPr>
          <w:color w:val="auto"/>
        </w:rPr>
        <w:fldChar w:fldCharType="separate"/>
      </w:r>
      <w:r w:rsidR="00E5391B">
        <w:rPr>
          <w:color w:val="auto"/>
        </w:rPr>
        <w:t>(e)</w:t>
      </w:r>
      <w:r w:rsidRPr="00653DCF">
        <w:rPr>
          <w:color w:val="auto"/>
        </w:rPr>
        <w:fldChar w:fldCharType="end"/>
      </w:r>
      <w:r w:rsidRPr="00653DCF">
        <w:rPr>
          <w:color w:val="auto"/>
        </w:rPr>
        <w:t xml:space="preserve"> and to the best of its knowledge and belief (having made due and careful enquiry) no material Environmental or Social Claim has been commenced or is threatened against it in relation to any Scheme; and</w:t>
      </w:r>
    </w:p>
    <w:p w14:paraId="34041B24" w14:textId="6B140598" w:rsidR="00F0088B" w:rsidRPr="00653DCF" w:rsidRDefault="00F0088B" w:rsidP="0024686A">
      <w:pPr>
        <w:pStyle w:val="NoIndentEIB"/>
        <w:numPr>
          <w:ilvl w:val="0"/>
          <w:numId w:val="115"/>
        </w:numPr>
        <w:rPr>
          <w:color w:val="auto"/>
        </w:rPr>
      </w:pPr>
      <w:r w:rsidRPr="00653DCF">
        <w:rPr>
          <w:color w:val="auto"/>
        </w:rPr>
        <w:t xml:space="preserve">it and each of the Project Company is in compliance with all undertakings under this </w:t>
      </w:r>
      <w:r w:rsidRPr="00653DCF">
        <w:rPr>
          <w:color w:val="auto"/>
        </w:rPr>
        <w:fldChar w:fldCharType="begin"/>
      </w:r>
      <w:r w:rsidRPr="00653DCF">
        <w:rPr>
          <w:color w:val="auto"/>
        </w:rPr>
        <w:instrText xml:space="preserve"> REF _Ref427037555 \r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w:t>
      </w:r>
    </w:p>
    <w:p w14:paraId="1C920A53" w14:textId="59F89109" w:rsidR="00F0088B" w:rsidRPr="00653DCF" w:rsidRDefault="00F0088B" w:rsidP="00F0088B">
      <w:pPr>
        <w:rPr>
          <w:color w:val="auto"/>
        </w:rPr>
      </w:pPr>
      <w:r w:rsidRPr="00653DCF">
        <w:rPr>
          <w:color w:val="auto"/>
        </w:rPr>
        <w:t>The representations and warranties set out above are made on the date of this Contract and are, with the exception of the representation set out in paragraph </w:t>
      </w:r>
      <w:r w:rsidRPr="00653DCF">
        <w:rPr>
          <w:color w:val="auto"/>
        </w:rPr>
        <w:fldChar w:fldCharType="begin"/>
      </w:r>
      <w:r w:rsidRPr="00653DCF">
        <w:rPr>
          <w:color w:val="auto"/>
        </w:rPr>
        <w:instrText xml:space="preserve"> REF _Ref427038100 \r \h </w:instrText>
      </w:r>
      <w:r w:rsidRPr="00653DCF">
        <w:rPr>
          <w:color w:val="auto"/>
        </w:rPr>
      </w:r>
      <w:r w:rsidRPr="00653DCF">
        <w:rPr>
          <w:color w:val="auto"/>
        </w:rPr>
        <w:fldChar w:fldCharType="separate"/>
      </w:r>
      <w:r w:rsidR="00E5391B">
        <w:rPr>
          <w:color w:val="auto"/>
        </w:rPr>
        <w:t>(d)</w:t>
      </w:r>
      <w:r w:rsidRPr="00653DCF">
        <w:rPr>
          <w:color w:val="auto"/>
        </w:rPr>
        <w:fldChar w:fldCharType="end"/>
      </w:r>
      <w:r w:rsidRPr="00653DCF">
        <w:rPr>
          <w:color w:val="auto"/>
        </w:rPr>
        <w:t xml:space="preserve"> above, deemed repeated with reference to the facts and circumstances then existing on the date of each Disbursement Request, the date of each Compliance Certificate, each Disbursement Date and each Payment Date.</w:t>
      </w:r>
    </w:p>
    <w:p w14:paraId="29A2C841" w14:textId="06AAF22B" w:rsidR="00F0088B" w:rsidRPr="00653DCF" w:rsidRDefault="00390CDC" w:rsidP="00C40040">
      <w:pPr>
        <w:pStyle w:val="ENGLESKI"/>
      </w:pPr>
      <w:r>
        <w:t>ARTICLE 7</w:t>
      </w:r>
    </w:p>
    <w:p w14:paraId="64E91EA2" w14:textId="77777777" w:rsidR="00F0088B" w:rsidRPr="00653DCF" w:rsidRDefault="00F0088B" w:rsidP="00F0088B">
      <w:pPr>
        <w:pStyle w:val="ArticleTitleEIB"/>
        <w:rPr>
          <w:color w:val="auto"/>
        </w:rPr>
      </w:pPr>
      <w:r w:rsidRPr="00653DCF">
        <w:rPr>
          <w:color w:val="auto"/>
        </w:rPr>
        <w:t>Security</w:t>
      </w:r>
    </w:p>
    <w:p w14:paraId="5E490F75" w14:textId="61E299C1" w:rsidR="00F0088B" w:rsidRPr="00653DCF" w:rsidRDefault="00F0088B" w:rsidP="00F0088B">
      <w:pPr>
        <w:rPr>
          <w:color w:val="auto"/>
        </w:rPr>
      </w:pPr>
      <w:r w:rsidRPr="00653DCF">
        <w:rPr>
          <w:color w:val="auto"/>
        </w:rPr>
        <w:t xml:space="preserve">The undertakings in this </w:t>
      </w:r>
      <w:r w:rsidRPr="00653DCF">
        <w:rPr>
          <w:color w:val="auto"/>
        </w:rPr>
        <w:fldChar w:fldCharType="begin"/>
      </w:r>
      <w:r w:rsidRPr="00653DCF">
        <w:rPr>
          <w:color w:val="auto"/>
        </w:rPr>
        <w:instrText xml:space="preserve"> REF _Ref426595472 \n \h </w:instrText>
      </w:r>
      <w:r w:rsidRPr="00653DCF">
        <w:rPr>
          <w:color w:val="auto"/>
        </w:rPr>
      </w:r>
      <w:r w:rsidRPr="00653DCF">
        <w:rPr>
          <w:color w:val="auto"/>
        </w:rPr>
        <w:fldChar w:fldCharType="separate"/>
      </w:r>
      <w:r w:rsidR="00E5391B">
        <w:rPr>
          <w:color w:val="auto"/>
        </w:rPr>
        <w:t>0</w:t>
      </w:r>
      <w:r w:rsidRPr="00653DCF">
        <w:rPr>
          <w:color w:val="auto"/>
        </w:rPr>
        <w:fldChar w:fldCharType="end"/>
      </w:r>
      <w:r w:rsidRPr="00653DCF">
        <w:rPr>
          <w:color w:val="auto"/>
        </w:rPr>
        <w:t xml:space="preserve"> remain in force from the date of this Contract for so long as any amount is outstanding under this Contract or the Credit is in force.</w:t>
      </w:r>
    </w:p>
    <w:p w14:paraId="33E2D6D8" w14:textId="77777777" w:rsidR="00F0088B" w:rsidRPr="00653DCF" w:rsidRDefault="00F0088B" w:rsidP="00F0088B">
      <w:pPr>
        <w:pStyle w:val="ListParagraph"/>
        <w:keepNext/>
        <w:keepLines/>
        <w:numPr>
          <w:ilvl w:val="0"/>
          <w:numId w:val="62"/>
        </w:numPr>
        <w:spacing w:before="360"/>
        <w:contextualSpacing w:val="0"/>
        <w:jc w:val="center"/>
        <w:outlineLvl w:val="0"/>
        <w:rPr>
          <w:rStyle w:val="ItalicEIB"/>
          <w:rFonts w:eastAsiaTheme="majorEastAsia" w:cstheme="majorBidi"/>
          <w:b/>
          <w:caps/>
          <w:vanish/>
          <w:color w:val="auto"/>
          <w:u w:val="single"/>
        </w:rPr>
      </w:pPr>
    </w:p>
    <w:p w14:paraId="2058E00E" w14:textId="77777777" w:rsidR="00F0088B" w:rsidRPr="00653DCF" w:rsidRDefault="00F0088B" w:rsidP="00335497">
      <w:pPr>
        <w:pStyle w:val="Heading2"/>
        <w:ind w:left="851"/>
        <w:rPr>
          <w:color w:val="auto"/>
        </w:rPr>
      </w:pPr>
      <w:r w:rsidRPr="00653DCF">
        <w:rPr>
          <w:rStyle w:val="ItalicEIB"/>
          <w:color w:val="auto"/>
        </w:rPr>
        <w:t>Pari passu</w:t>
      </w:r>
      <w:r w:rsidRPr="00653DCF">
        <w:rPr>
          <w:color w:val="auto"/>
        </w:rPr>
        <w:t xml:space="preserve"> ranking</w:t>
      </w:r>
    </w:p>
    <w:p w14:paraId="0C984CC9" w14:textId="77777777" w:rsidR="00F0088B" w:rsidRPr="00653DCF" w:rsidRDefault="00F0088B" w:rsidP="00F0088B">
      <w:pPr>
        <w:rPr>
          <w:color w:val="auto"/>
        </w:rPr>
      </w:pPr>
      <w:r w:rsidRPr="00653DCF">
        <w:rPr>
          <w:color w:val="auto"/>
        </w:rPr>
        <w:t xml:space="preserve">The Borrower shall ensure that its payment obligations under this Contract rank, and will rank, not less than </w:t>
      </w:r>
      <w:r w:rsidRPr="00653DCF">
        <w:rPr>
          <w:rStyle w:val="ItalicEIB"/>
          <w:color w:val="auto"/>
        </w:rPr>
        <w:t>pari passu</w:t>
      </w:r>
      <w:r w:rsidRPr="00653DCF">
        <w:rPr>
          <w:color w:val="auto"/>
        </w:rPr>
        <w:t xml:space="preserve"> in right of payment with all other present and future unsecured obligations under any of its Debt Instruments except for obligations mandatorily preferred by law applying to companies generally.</w:t>
      </w:r>
    </w:p>
    <w:p w14:paraId="49C66A60" w14:textId="77777777" w:rsidR="00F0088B" w:rsidRPr="00653DCF" w:rsidRDefault="00F0088B" w:rsidP="00F0088B">
      <w:pPr>
        <w:rPr>
          <w:color w:val="auto"/>
        </w:rPr>
      </w:pPr>
      <w:r w:rsidRPr="00653DCF">
        <w:rPr>
          <w:color w:val="auto"/>
        </w:rPr>
        <w:t xml:space="preserve">In particular, if the Bank makes a demand under Article 10.1 or if an event or potential event of default under any unsecured and unsubordinated Debt Instrument of the Borrower or of any of its agencies or instrumentalities has occurred and is continuing, the Borrower shall not make (or authorize) any payment in respect of any other such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Debt Instrument bears to the total debt outstanding under that Instrument. For this purpose, any payment of a Debt Instrument that is made out of the proceeds of the issue of another instrument, to which substantially the same persons that hold claims under the Debt Instrument have subscribed, shall be disregarded. </w:t>
      </w:r>
    </w:p>
    <w:p w14:paraId="5BEBB6EC" w14:textId="430D0FB4" w:rsidR="00F0088B" w:rsidRDefault="00F0088B" w:rsidP="00F0088B">
      <w:pPr>
        <w:rPr>
          <w:color w:val="auto"/>
        </w:rPr>
      </w:pPr>
      <w:r w:rsidRPr="00653DCF">
        <w:rPr>
          <w:color w:val="auto"/>
        </w:rPr>
        <w:t>In this Contract, “</w:t>
      </w:r>
      <w:r w:rsidRPr="00653DCF">
        <w:rPr>
          <w:b/>
          <w:bCs/>
          <w:color w:val="auto"/>
        </w:rPr>
        <w:t>Debt Instrument</w:t>
      </w:r>
      <w:r w:rsidRPr="00653DCF">
        <w:rPr>
          <w:color w:val="auto"/>
        </w:rPr>
        <w:t>” means (a) an instrument, including any receipt or statement of account, evidencing or constituting an obligation to repay a loan, deposit, advance or similar extension of credit (including without limitation any extension of credit under a refinancing or rescheduling agreement), (b) an obligation evidenced by a bond, debenture or similar written evidence of indebtedness or (c) a guarantee of an obligation arising under a Debt Instrument of another.</w:t>
      </w:r>
    </w:p>
    <w:p w14:paraId="6720482D" w14:textId="77777777" w:rsidR="00CB3A2D" w:rsidRPr="00653DCF" w:rsidRDefault="00CB3A2D" w:rsidP="00F0088B">
      <w:pPr>
        <w:rPr>
          <w:color w:val="auto"/>
        </w:rPr>
      </w:pPr>
    </w:p>
    <w:p w14:paraId="7CD55199" w14:textId="77777777" w:rsidR="00F0088B" w:rsidRPr="00653DCF" w:rsidRDefault="00F0088B" w:rsidP="00335497">
      <w:pPr>
        <w:pStyle w:val="Heading2"/>
        <w:ind w:left="851"/>
        <w:rPr>
          <w:color w:val="auto"/>
        </w:rPr>
      </w:pPr>
      <w:r w:rsidRPr="00653DCF">
        <w:rPr>
          <w:color w:val="auto"/>
        </w:rPr>
        <w:t>Additional Security</w:t>
      </w:r>
    </w:p>
    <w:p w14:paraId="1EA860EE" w14:textId="77777777" w:rsidR="00F0088B" w:rsidRPr="00653DCF" w:rsidRDefault="00F0088B" w:rsidP="00F0088B">
      <w:pPr>
        <w:widowControl w:val="0"/>
        <w:rPr>
          <w:color w:val="auto"/>
        </w:rPr>
      </w:pPr>
      <w:r w:rsidRPr="00653DCF">
        <w:rPr>
          <w:color w:val="auto"/>
        </w:rPr>
        <w:t>Should the Borrower grant to a third party any security for the performance of any Debt Instrument or any preference or priority in respect thereof, the Borrower shall, if so required by the Bank, provide to the Bank equivalent security for the performance of its obligations under this Contract or grant to the Bank equivalent preference or priority.</w:t>
      </w:r>
    </w:p>
    <w:p w14:paraId="3C9B582A" w14:textId="77777777" w:rsidR="00F0088B" w:rsidRPr="00653DCF" w:rsidRDefault="00F0088B" w:rsidP="00335497">
      <w:pPr>
        <w:pStyle w:val="Heading2"/>
        <w:ind w:left="851"/>
        <w:rPr>
          <w:rFonts w:cs="Arial"/>
          <w:color w:val="auto"/>
        </w:rPr>
      </w:pPr>
      <w:r w:rsidRPr="00653DCF">
        <w:rPr>
          <w:rFonts w:cs="Arial"/>
          <w:color w:val="auto"/>
        </w:rPr>
        <w:t>Clauses by inclusion</w:t>
      </w:r>
    </w:p>
    <w:p w14:paraId="2E920499" w14:textId="77777777" w:rsidR="00F0088B" w:rsidRPr="00653DCF" w:rsidRDefault="00F0088B" w:rsidP="00F0088B">
      <w:pPr>
        <w:widowControl w:val="0"/>
        <w:rPr>
          <w:rFonts w:cs="Arial"/>
          <w:color w:val="auto"/>
        </w:rPr>
      </w:pPr>
      <w:r w:rsidRPr="00653DCF">
        <w:rPr>
          <w:rFonts w:cs="Arial"/>
          <w:color w:val="auto"/>
        </w:rPr>
        <w:t xml:space="preserve">If the Borrower concludes with any other medium or long term financial creditor a financing agreement that includes a loss-of-rating clause or a covenant or other provision regarding </w:t>
      </w:r>
      <w:r w:rsidRPr="00653DCF">
        <w:rPr>
          <w:rFonts w:cs="Arial"/>
          <w:i/>
          <w:iCs/>
          <w:color w:val="auto"/>
        </w:rPr>
        <w:t>pari passu</w:t>
      </w:r>
      <w:r w:rsidRPr="00653DCF">
        <w:rPr>
          <w:rFonts w:cs="Arial"/>
          <w:color w:val="auto"/>
        </w:rPr>
        <w:t xml:space="preserve"> ranking or cross default, if applicable, that is stricter than any equivalent provision of this Contract, the Borrower shall so inform the Bank and shall, at the request of the Bank, execute an agreement to amend this Contract so as to provide for an equivalent provision in favour of the Bank.</w:t>
      </w:r>
    </w:p>
    <w:p w14:paraId="32C7240B" w14:textId="466F284E" w:rsidR="00F0088B" w:rsidRPr="00653DCF" w:rsidRDefault="007D7C64" w:rsidP="00C40040">
      <w:pPr>
        <w:pStyle w:val="ENGLESKI"/>
      </w:pPr>
      <w:r>
        <w:t>ARTICLE 8</w:t>
      </w:r>
    </w:p>
    <w:p w14:paraId="1CBE9842" w14:textId="77777777" w:rsidR="00F0088B" w:rsidRPr="00653DCF" w:rsidRDefault="00F0088B" w:rsidP="00F0088B">
      <w:pPr>
        <w:pStyle w:val="ArticleTitleEIB"/>
        <w:rPr>
          <w:color w:val="auto"/>
        </w:rPr>
      </w:pPr>
      <w:r w:rsidRPr="00653DCF">
        <w:rPr>
          <w:color w:val="auto"/>
        </w:rPr>
        <w:t>Information and Visits</w:t>
      </w:r>
    </w:p>
    <w:p w14:paraId="56E3E2C8"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p>
    <w:p w14:paraId="7F800571" w14:textId="77777777" w:rsidR="00F0088B" w:rsidRPr="00653DCF" w:rsidRDefault="00F0088B" w:rsidP="00335497">
      <w:pPr>
        <w:pStyle w:val="Heading2"/>
        <w:ind w:left="851"/>
        <w:rPr>
          <w:color w:val="auto"/>
        </w:rPr>
      </w:pPr>
      <w:r w:rsidRPr="00653DCF">
        <w:rPr>
          <w:color w:val="auto"/>
        </w:rPr>
        <w:t>Information concerning the Project</w:t>
      </w:r>
    </w:p>
    <w:p w14:paraId="6D5DCABE" w14:textId="77777777" w:rsidR="00F0088B" w:rsidRPr="00653DCF" w:rsidRDefault="00F0088B" w:rsidP="00F0088B">
      <w:pPr>
        <w:rPr>
          <w:color w:val="auto"/>
        </w:rPr>
      </w:pPr>
      <w:r w:rsidRPr="00653DCF">
        <w:rPr>
          <w:color w:val="auto"/>
        </w:rPr>
        <w:t>The Borrower shall, or shall procure that the Promoter or the Project Company will:</w:t>
      </w:r>
    </w:p>
    <w:p w14:paraId="4237BD41" w14:textId="77777777" w:rsidR="00F0088B" w:rsidRPr="00653DCF" w:rsidRDefault="00F0088B" w:rsidP="0024686A">
      <w:pPr>
        <w:pStyle w:val="NoIndentEIB"/>
        <w:numPr>
          <w:ilvl w:val="0"/>
          <w:numId w:val="116"/>
        </w:numPr>
        <w:rPr>
          <w:color w:val="auto"/>
        </w:rPr>
      </w:pPr>
      <w:r w:rsidRPr="00653DCF">
        <w:rPr>
          <w:color w:val="auto"/>
        </w:rPr>
        <w:t>deliver to the Bank:</w:t>
      </w:r>
    </w:p>
    <w:p w14:paraId="6F64458B" w14:textId="77777777" w:rsidR="00F0088B" w:rsidRPr="00653DCF" w:rsidRDefault="00F0088B" w:rsidP="0024686A">
      <w:pPr>
        <w:pStyle w:val="NoIndentEIB"/>
        <w:numPr>
          <w:ilvl w:val="1"/>
          <w:numId w:val="116"/>
        </w:numPr>
        <w:rPr>
          <w:color w:val="auto"/>
        </w:rPr>
      </w:pPr>
      <w:r w:rsidRPr="00653DCF">
        <w:rPr>
          <w:color w:val="auto"/>
        </w:rPr>
        <w:t xml:space="preserve">the information in content and in form, and at the times, specified in Schedule A.2 or otherwise as agreed from time to time by the Parties; and </w:t>
      </w:r>
    </w:p>
    <w:p w14:paraId="74CCEB04" w14:textId="77777777" w:rsidR="00F0088B" w:rsidRPr="00653DCF" w:rsidRDefault="00F0088B" w:rsidP="0024686A">
      <w:pPr>
        <w:pStyle w:val="NoIndentEIB"/>
        <w:numPr>
          <w:ilvl w:val="1"/>
          <w:numId w:val="116"/>
        </w:numPr>
        <w:rPr>
          <w:color w:val="auto"/>
        </w:rPr>
      </w:pPr>
      <w:r w:rsidRPr="00653DCF">
        <w:rPr>
          <w:color w:val="auto"/>
        </w:rPr>
        <w:t>any such information or further document concerning the financing, procurement, implementation, operation and Environment or Social Matters of or for any Scheme as the Bank may reasonably require within a reasonable time,</w:t>
      </w:r>
    </w:p>
    <w:p w14:paraId="7460ECAA" w14:textId="77777777" w:rsidR="00F0088B" w:rsidRPr="00653DCF" w:rsidRDefault="00F0088B" w:rsidP="00F0088B">
      <w:pPr>
        <w:ind w:left="1418"/>
        <w:rPr>
          <w:color w:val="auto"/>
        </w:rPr>
      </w:pPr>
      <w:r w:rsidRPr="00653DCF">
        <w:rPr>
          <w:color w:val="auto"/>
        </w:rPr>
        <w:t>provided always that if such information or document is not delivered to the Bank on time, and the Borrower or the Promoter or the Project Company do not rectify the omission within a reasonable time set by the Bank in writing, the Bank may remedy the deficiency, to the extent feasible, by employing its own staff or a consultant or any other third party, at the Borrower’s expense and the Borrower or the Promoter or the Project Company shall provide such persons with all assistance necessary for the purpose;</w:t>
      </w:r>
    </w:p>
    <w:p w14:paraId="45642B78" w14:textId="77777777" w:rsidR="00F0088B" w:rsidRPr="00653DCF" w:rsidRDefault="00F0088B" w:rsidP="0024686A">
      <w:pPr>
        <w:pStyle w:val="NoIndentEIB"/>
        <w:numPr>
          <w:ilvl w:val="0"/>
          <w:numId w:val="116"/>
        </w:numPr>
        <w:rPr>
          <w:color w:val="auto"/>
        </w:rPr>
      </w:pPr>
      <w:r w:rsidRPr="00653DCF">
        <w:rPr>
          <w:color w:val="auto"/>
        </w:rPr>
        <w:t>submit for the approval of the Bank without delay any material change to the Project, also taking into account the disclosures made to the Bank in connection with the Project prior to the signing of this Contract, in respect of, inter alia, the price, design, plans, timetable or to the expenditure programme or financing plan for the Project;</w:t>
      </w:r>
    </w:p>
    <w:p w14:paraId="2EE48239" w14:textId="77777777" w:rsidR="00F0088B" w:rsidRPr="00653DCF" w:rsidRDefault="00F0088B" w:rsidP="0024686A">
      <w:pPr>
        <w:pStyle w:val="NoIndentEIB"/>
        <w:numPr>
          <w:ilvl w:val="0"/>
          <w:numId w:val="116"/>
        </w:numPr>
        <w:rPr>
          <w:color w:val="auto"/>
        </w:rPr>
      </w:pPr>
      <w:r w:rsidRPr="00653DCF">
        <w:rPr>
          <w:color w:val="auto"/>
        </w:rPr>
        <w:t>promptly inform the Bank, or shall procure that the Project Company will promptly inform the Bank, as soon as it becomes aware of or as soon as it is informed thereof by the Project Company of:</w:t>
      </w:r>
    </w:p>
    <w:p w14:paraId="0F648034" w14:textId="77777777" w:rsidR="00F0088B" w:rsidRPr="00653DCF" w:rsidRDefault="00F0088B" w:rsidP="0024686A">
      <w:pPr>
        <w:pStyle w:val="NoIndentEIB"/>
        <w:numPr>
          <w:ilvl w:val="1"/>
          <w:numId w:val="116"/>
        </w:numPr>
        <w:rPr>
          <w:color w:val="auto"/>
        </w:rPr>
      </w:pPr>
      <w:r w:rsidRPr="00653DCF">
        <w:rPr>
          <w:color w:val="auto"/>
        </w:rPr>
        <w:t xml:space="preserve">any action or protest initiated or any objection raised by any third party or any genuine complaint received by the Borrower or the Promoter or by the relevant Project Company which is material or any material Environmental or Social Claim that is to its knowledge (or to the knowledge of the relevant Project Company) commenced, pending or threatened against it with regard to Environment, Social Matters or other matters affecting any Scheme; </w:t>
      </w:r>
    </w:p>
    <w:p w14:paraId="1D9706E9" w14:textId="77777777" w:rsidR="00F0088B" w:rsidRPr="00653DCF" w:rsidRDefault="00F0088B" w:rsidP="0024686A">
      <w:pPr>
        <w:pStyle w:val="NoIndentEIB"/>
        <w:numPr>
          <w:ilvl w:val="1"/>
          <w:numId w:val="116"/>
        </w:numPr>
        <w:rPr>
          <w:color w:val="auto"/>
        </w:rPr>
      </w:pPr>
      <w:r w:rsidRPr="00653DCF">
        <w:rPr>
          <w:color w:val="auto"/>
        </w:rPr>
        <w:t>any fact or event known to the Borrower or the Promoter, which may substantially prejudice or affect the conditions of execution or operation of any Scheme;</w:t>
      </w:r>
    </w:p>
    <w:p w14:paraId="45F0DF14" w14:textId="77777777" w:rsidR="00F0088B" w:rsidRPr="00653DCF" w:rsidRDefault="00F0088B" w:rsidP="0024686A">
      <w:pPr>
        <w:pStyle w:val="NoIndentEIB"/>
        <w:numPr>
          <w:ilvl w:val="1"/>
          <w:numId w:val="116"/>
        </w:numPr>
        <w:rPr>
          <w:color w:val="auto"/>
        </w:rPr>
      </w:pPr>
      <w:r w:rsidRPr="00653DCF">
        <w:rPr>
          <w:color w:val="auto"/>
        </w:rPr>
        <w:t>any incident or accident relating to any Scheme which has or is likely to have a significant adverse effect on the Environment or on Social Matters;</w:t>
      </w:r>
    </w:p>
    <w:p w14:paraId="44AAD237" w14:textId="77777777" w:rsidR="00F0088B" w:rsidRPr="00653DCF" w:rsidRDefault="00F0088B" w:rsidP="0024686A">
      <w:pPr>
        <w:pStyle w:val="NoIndentEIB"/>
        <w:numPr>
          <w:ilvl w:val="1"/>
          <w:numId w:val="116"/>
        </w:numPr>
        <w:rPr>
          <w:color w:val="auto"/>
        </w:rPr>
      </w:pPr>
      <w:r w:rsidRPr="00653DCF">
        <w:rPr>
          <w:color w:val="auto"/>
        </w:rPr>
        <w:t xml:space="preserve">a genuine allegation, complaint or information with regard to Illegal Activities </w:t>
      </w:r>
      <w:bookmarkStart w:id="1001" w:name="_Hlk115873935"/>
      <w:r w:rsidRPr="00653DCF">
        <w:rPr>
          <w:color w:val="auto"/>
        </w:rPr>
        <w:t xml:space="preserve">or any EU Sanctions </w:t>
      </w:r>
      <w:bookmarkEnd w:id="1001"/>
      <w:r w:rsidRPr="00653DCF">
        <w:rPr>
          <w:color w:val="auto"/>
        </w:rPr>
        <w:t xml:space="preserve">related to any Scheme; </w:t>
      </w:r>
    </w:p>
    <w:p w14:paraId="684F5A8D" w14:textId="77777777" w:rsidR="00F0088B" w:rsidRPr="00653DCF" w:rsidRDefault="00F0088B" w:rsidP="0024686A">
      <w:pPr>
        <w:pStyle w:val="NoIndentEIB"/>
        <w:numPr>
          <w:ilvl w:val="1"/>
          <w:numId w:val="116"/>
        </w:numPr>
        <w:rPr>
          <w:color w:val="auto"/>
        </w:rPr>
      </w:pPr>
      <w:r w:rsidRPr="00653DCF">
        <w:rPr>
          <w:color w:val="auto"/>
        </w:rPr>
        <w:t>any self-declared exclusion by a bidder that occurs prior to the contract award and is covered by the Exclusion Policy;</w:t>
      </w:r>
    </w:p>
    <w:p w14:paraId="4751B381" w14:textId="77777777" w:rsidR="00F0088B" w:rsidRPr="00653DCF" w:rsidRDefault="00F0088B" w:rsidP="0024686A">
      <w:pPr>
        <w:pStyle w:val="NoIndentEIB"/>
        <w:numPr>
          <w:ilvl w:val="1"/>
          <w:numId w:val="116"/>
        </w:numPr>
        <w:rPr>
          <w:color w:val="auto"/>
        </w:rPr>
      </w:pPr>
      <w:r w:rsidRPr="00653DCF">
        <w:rPr>
          <w:color w:val="auto"/>
        </w:rPr>
        <w:t xml:space="preserve">any material non-compliance by it with any applicable Environmental and Social Law; </w:t>
      </w:r>
    </w:p>
    <w:p w14:paraId="2460455D" w14:textId="77777777" w:rsidR="00F0088B" w:rsidRPr="00653DCF" w:rsidRDefault="00F0088B" w:rsidP="0024686A">
      <w:pPr>
        <w:pStyle w:val="NoIndentEIB"/>
        <w:numPr>
          <w:ilvl w:val="1"/>
          <w:numId w:val="116"/>
        </w:numPr>
        <w:rPr>
          <w:color w:val="auto"/>
        </w:rPr>
      </w:pPr>
      <w:r w:rsidRPr="00653DCF">
        <w:rPr>
          <w:color w:val="auto"/>
        </w:rPr>
        <w:t>any suspension, revocation or material modification of any Environmental and Social Approval; and</w:t>
      </w:r>
    </w:p>
    <w:p w14:paraId="1C51D109" w14:textId="77777777" w:rsidR="00F0088B" w:rsidRPr="00653DCF" w:rsidRDefault="00F0088B" w:rsidP="0024686A">
      <w:pPr>
        <w:pStyle w:val="NoIndentEIB"/>
        <w:numPr>
          <w:ilvl w:val="1"/>
          <w:numId w:val="116"/>
        </w:numPr>
        <w:rPr>
          <w:color w:val="auto"/>
        </w:rPr>
      </w:pPr>
      <w:r w:rsidRPr="00653DCF">
        <w:rPr>
          <w:color w:val="auto"/>
        </w:rPr>
        <w:t>any suspension or cancelation of the implementation of any Scheme,</w:t>
      </w:r>
    </w:p>
    <w:p w14:paraId="09CD0E5B" w14:textId="77777777" w:rsidR="00F0088B" w:rsidRPr="00653DCF" w:rsidRDefault="00F0088B" w:rsidP="00F0088B">
      <w:pPr>
        <w:pStyle w:val="NoIndentEIB"/>
        <w:ind w:left="1423"/>
        <w:rPr>
          <w:color w:val="auto"/>
        </w:rPr>
      </w:pPr>
      <w:r w:rsidRPr="00653DCF">
        <w:rPr>
          <w:color w:val="auto"/>
        </w:rPr>
        <w:t xml:space="preserve">and set out the action to be taken with respect to such matters; </w:t>
      </w:r>
    </w:p>
    <w:p w14:paraId="1AAC627F" w14:textId="77777777" w:rsidR="00F0088B" w:rsidRPr="00653DCF" w:rsidRDefault="00F0088B" w:rsidP="0024686A">
      <w:pPr>
        <w:pStyle w:val="NoIndentEIB"/>
        <w:numPr>
          <w:ilvl w:val="0"/>
          <w:numId w:val="116"/>
        </w:numPr>
        <w:rPr>
          <w:color w:val="auto"/>
        </w:rPr>
      </w:pPr>
      <w:r w:rsidRPr="00653DCF">
        <w:rPr>
          <w:color w:val="auto"/>
        </w:rPr>
        <w:t xml:space="preserve">at the end of the Allocation Period, provide the Bank with sufficient evidence and information in the form satisfactory to the Bank confirming that the EIB Funds do not exceed: </w:t>
      </w:r>
    </w:p>
    <w:p w14:paraId="624B66C5" w14:textId="77777777" w:rsidR="00F0088B" w:rsidRPr="00653DCF" w:rsidRDefault="00F0088B" w:rsidP="0024686A">
      <w:pPr>
        <w:numPr>
          <w:ilvl w:val="1"/>
          <w:numId w:val="170"/>
        </w:numPr>
        <w:rPr>
          <w:color w:val="auto"/>
        </w:rPr>
      </w:pPr>
      <w:r w:rsidRPr="00653DCF">
        <w:rPr>
          <w:color w:val="auto"/>
        </w:rPr>
        <w:t xml:space="preserve">50% (fifty per cent) of the total cost of the Project, as allocated to the Project by the Bank under any Letter(s) of Allocation; or </w:t>
      </w:r>
    </w:p>
    <w:p w14:paraId="01B27C18" w14:textId="77777777" w:rsidR="00F0088B" w:rsidRPr="00653DCF" w:rsidRDefault="00F0088B" w:rsidP="0024686A">
      <w:pPr>
        <w:numPr>
          <w:ilvl w:val="1"/>
          <w:numId w:val="170"/>
        </w:numPr>
        <w:ind w:left="1990"/>
        <w:rPr>
          <w:color w:val="auto"/>
        </w:rPr>
      </w:pPr>
      <w:r w:rsidRPr="00653DCF">
        <w:rPr>
          <w:color w:val="auto"/>
        </w:rPr>
        <w:t>when aggregated with any EU Funds available for the Project, 90% (ninety per cent) of the total cost of the Project, as allocated to the Project under any Letter(s) of Allocation;</w:t>
      </w:r>
    </w:p>
    <w:p w14:paraId="374F671B" w14:textId="77777777" w:rsidR="00F0088B" w:rsidRPr="00653DCF" w:rsidRDefault="00F0088B" w:rsidP="0024686A">
      <w:pPr>
        <w:numPr>
          <w:ilvl w:val="1"/>
          <w:numId w:val="170"/>
        </w:numPr>
        <w:ind w:left="1990"/>
        <w:rPr>
          <w:color w:val="auto"/>
        </w:rPr>
      </w:pPr>
      <w:r w:rsidRPr="00653DCF">
        <w:rPr>
          <w:color w:val="auto"/>
        </w:rPr>
        <w:t>100% (one hundred per cent) of eligible investment costs (as such costs are defined in the Technical Description), in relation to the Project;</w:t>
      </w:r>
    </w:p>
    <w:p w14:paraId="7C334E19" w14:textId="535061B4" w:rsidR="00F0088B" w:rsidRPr="00653DCF" w:rsidRDefault="00F0088B" w:rsidP="0024686A">
      <w:pPr>
        <w:pStyle w:val="NoIndentEIB"/>
        <w:numPr>
          <w:ilvl w:val="0"/>
          <w:numId w:val="116"/>
        </w:numPr>
        <w:rPr>
          <w:color w:val="auto"/>
        </w:rPr>
      </w:pPr>
      <w:r w:rsidRPr="00653DCF">
        <w:rPr>
          <w:color w:val="auto"/>
        </w:rPr>
        <w:t xml:space="preserve">upon request from the Bank, promptly (however, not later than within 10 (ten) Business Days) deliver to the Bank documents referred to in Article </w:t>
      </w:r>
      <w:r w:rsidRPr="00653DCF">
        <w:rPr>
          <w:color w:val="auto"/>
        </w:rPr>
        <w:fldChar w:fldCharType="begin"/>
      </w:r>
      <w:r w:rsidRPr="00653DCF">
        <w:rPr>
          <w:color w:val="auto"/>
        </w:rPr>
        <w:instrText xml:space="preserve"> REF _Ref427242093 \r \h </w:instrText>
      </w:r>
      <w:r w:rsidRPr="00653DCF">
        <w:rPr>
          <w:color w:val="auto"/>
        </w:rPr>
      </w:r>
      <w:r w:rsidRPr="00653DCF">
        <w:rPr>
          <w:color w:val="auto"/>
        </w:rPr>
        <w:fldChar w:fldCharType="separate"/>
      </w:r>
      <w:r w:rsidR="00E5391B">
        <w:rPr>
          <w:color w:val="auto"/>
        </w:rPr>
        <w:t>6.5</w:t>
      </w:r>
      <w:r w:rsidRPr="00653DCF">
        <w:rPr>
          <w:color w:val="auto"/>
        </w:rPr>
        <w:fldChar w:fldCharType="end"/>
      </w:r>
      <w:r w:rsidRPr="00653DCF">
        <w:rPr>
          <w:color w:val="auto"/>
        </w:rPr>
        <w:fldChar w:fldCharType="begin"/>
      </w:r>
      <w:r w:rsidRPr="00653DCF">
        <w:rPr>
          <w:color w:val="auto"/>
        </w:rPr>
        <w:instrText xml:space="preserve"> REF _Ref508568839 \r \h </w:instrText>
      </w:r>
      <w:r w:rsidRPr="00653DCF">
        <w:rPr>
          <w:color w:val="auto"/>
        </w:rPr>
      </w:r>
      <w:r w:rsidRPr="00653DCF">
        <w:rPr>
          <w:color w:val="auto"/>
        </w:rPr>
        <w:fldChar w:fldCharType="separate"/>
      </w:r>
      <w:r w:rsidR="00E5391B">
        <w:rPr>
          <w:color w:val="auto"/>
        </w:rPr>
        <w:t>(e)(iv)</w:t>
      </w:r>
      <w:r w:rsidRPr="00653DCF">
        <w:rPr>
          <w:color w:val="auto"/>
        </w:rPr>
        <w:fldChar w:fldCharType="end"/>
      </w:r>
      <w:r w:rsidRPr="00653DCF">
        <w:rPr>
          <w:color w:val="auto"/>
        </w:rPr>
        <w:t xml:space="preserve"> or procure that the relevant Project Company promptly (however, not later than within 10 (ten) Business Days) delivers such documents to the Bank; </w:t>
      </w:r>
    </w:p>
    <w:p w14:paraId="57481D60" w14:textId="77777777" w:rsidR="00F0088B" w:rsidRPr="00653DCF" w:rsidRDefault="00F0088B" w:rsidP="0024686A">
      <w:pPr>
        <w:pStyle w:val="NoIndentEIB"/>
        <w:numPr>
          <w:ilvl w:val="0"/>
          <w:numId w:val="116"/>
        </w:numPr>
        <w:rPr>
          <w:color w:val="auto"/>
        </w:rPr>
      </w:pPr>
      <w:r w:rsidRPr="00653DCF">
        <w:rPr>
          <w:color w:val="auto"/>
        </w:rPr>
        <w:t>not later than within 5 (five) days after the Promoter becomes aware thereof, inform the Bank of any suspension of any payment by the European Commission in respect of any Scheme and/or of any initiation by the European Commission of an infringement procedure or of legal proceedings before the Court of Justice of the European Union for non-compliance with the EU Law with respect to any Scheme;</w:t>
      </w:r>
    </w:p>
    <w:p w14:paraId="049BD54E" w14:textId="77777777" w:rsidR="00F0088B" w:rsidRPr="00653DCF" w:rsidRDefault="00F0088B" w:rsidP="0024686A">
      <w:pPr>
        <w:pStyle w:val="NoIndentEIB"/>
        <w:numPr>
          <w:ilvl w:val="0"/>
          <w:numId w:val="116"/>
        </w:numPr>
        <w:rPr>
          <w:color w:val="auto"/>
        </w:rPr>
      </w:pPr>
      <w:r w:rsidRPr="00653DCF">
        <w:rPr>
          <w:color w:val="auto"/>
        </w:rPr>
        <w:t>promptly inform the Bank about any material modifications in the Borrower’s or Promoter’s planning and development strategies and, if so requested, promptly deliver to the Bank a copy of any such modification or any new strategy, together with any relevant documents;</w:t>
      </w:r>
    </w:p>
    <w:p w14:paraId="6952B440" w14:textId="03984D99" w:rsidR="00F0088B" w:rsidRPr="00653DCF" w:rsidRDefault="00F0088B" w:rsidP="0024686A">
      <w:pPr>
        <w:pStyle w:val="NoIndentEIB"/>
        <w:numPr>
          <w:ilvl w:val="0"/>
          <w:numId w:val="116"/>
        </w:numPr>
        <w:rPr>
          <w:color w:val="auto"/>
        </w:rPr>
      </w:pPr>
      <w:r w:rsidRPr="00653DCF">
        <w:rPr>
          <w:color w:val="auto"/>
        </w:rPr>
        <w:t xml:space="preserve">promptly inform the Bank for the purpose of Article </w:t>
      </w:r>
      <w:r w:rsidRPr="00653DCF">
        <w:rPr>
          <w:color w:val="auto"/>
        </w:rPr>
        <w:fldChar w:fldCharType="begin"/>
      </w:r>
      <w:r w:rsidRPr="00653DCF">
        <w:rPr>
          <w:color w:val="auto"/>
        </w:rPr>
        <w:instrText xml:space="preserve"> REF _Ref508568963 \r \h  \* MERGEFORMAT </w:instrText>
      </w:r>
      <w:r w:rsidRPr="00653DCF">
        <w:rPr>
          <w:color w:val="auto"/>
        </w:rPr>
      </w:r>
      <w:r w:rsidRPr="00653DCF">
        <w:rPr>
          <w:color w:val="auto"/>
        </w:rPr>
        <w:fldChar w:fldCharType="separate"/>
      </w:r>
      <w:r w:rsidR="00E5391B">
        <w:rPr>
          <w:color w:val="auto"/>
        </w:rPr>
        <w:t>4.3.A(4)</w:t>
      </w:r>
      <w:r w:rsidRPr="00653DCF">
        <w:rPr>
          <w:color w:val="auto"/>
        </w:rPr>
        <w:fldChar w:fldCharType="end"/>
      </w:r>
      <w:r w:rsidRPr="00653DCF">
        <w:rPr>
          <w:color w:val="auto"/>
        </w:rPr>
        <w:t xml:space="preserve"> in case the EIB Funds disbursed towards the Schemes under the Project exceeds the amount of allocations made by the Bank in relation to such Schemes under respective Letter(s) of Allocation;</w:t>
      </w:r>
    </w:p>
    <w:p w14:paraId="24D9EDD1" w14:textId="77777777" w:rsidR="00F0088B" w:rsidRPr="00653DCF" w:rsidRDefault="00F0088B" w:rsidP="0024686A">
      <w:pPr>
        <w:pStyle w:val="NoIndentEIB"/>
        <w:numPr>
          <w:ilvl w:val="0"/>
          <w:numId w:val="116"/>
        </w:numPr>
        <w:rPr>
          <w:color w:val="auto"/>
        </w:rPr>
      </w:pPr>
      <w:r w:rsidRPr="00653DCF">
        <w:rPr>
          <w:color w:val="auto"/>
        </w:rPr>
        <w:t>promptly inform the Bank of the completion and the results of a Public Tender, in particular the public railway services contract, Public Service Contract arrangements, including confirmation of compliance of the public service contracts for provision of railway passenger service by rail with the EU Law (including the tendering thereof) and in particular with Regulation 1370/2007 EU;</w:t>
      </w:r>
    </w:p>
    <w:p w14:paraId="57853A59" w14:textId="77777777" w:rsidR="00F0088B" w:rsidRPr="00653DCF" w:rsidRDefault="00F0088B" w:rsidP="0024686A">
      <w:pPr>
        <w:pStyle w:val="NoIndentEIB"/>
        <w:numPr>
          <w:ilvl w:val="0"/>
          <w:numId w:val="116"/>
        </w:numPr>
        <w:rPr>
          <w:color w:val="auto"/>
        </w:rPr>
      </w:pPr>
      <w:r w:rsidRPr="00653DCF">
        <w:rPr>
          <w:color w:val="auto"/>
        </w:rPr>
        <w:t>in case a subsidy is notified to the European Commission in relation to a Scheme, promptly inform the Bank of the outcome of the notification procedure and any potential conditions imposed by the European Commission;</w:t>
      </w:r>
    </w:p>
    <w:p w14:paraId="2D1C56DA" w14:textId="77777777" w:rsidR="00F0088B" w:rsidRPr="00653DCF" w:rsidRDefault="00F0088B" w:rsidP="0024686A">
      <w:pPr>
        <w:pStyle w:val="NoIndentEIB"/>
        <w:numPr>
          <w:ilvl w:val="0"/>
          <w:numId w:val="116"/>
        </w:numPr>
        <w:rPr>
          <w:color w:val="auto"/>
        </w:rPr>
      </w:pPr>
      <w:r w:rsidRPr="00653DCF">
        <w:rPr>
          <w:color w:val="auto"/>
        </w:rPr>
        <w:t>deliver, or shall procure that each Project Company will deliver to the Bank, if so requested:</w:t>
      </w:r>
    </w:p>
    <w:p w14:paraId="333CBFF7" w14:textId="4FAA924C" w:rsidR="00F0088B" w:rsidRPr="00653DCF" w:rsidRDefault="00F0088B" w:rsidP="0024686A">
      <w:pPr>
        <w:pStyle w:val="NoIndentEIB"/>
        <w:numPr>
          <w:ilvl w:val="1"/>
          <w:numId w:val="116"/>
        </w:numPr>
        <w:rPr>
          <w:color w:val="auto"/>
        </w:rPr>
      </w:pPr>
      <w:r w:rsidRPr="00653DCF">
        <w:rPr>
          <w:color w:val="auto"/>
        </w:rPr>
        <w:t>a certificate of its insurers showing fulfilment of the requirements of Article </w:t>
      </w:r>
      <w:r w:rsidRPr="00653DCF">
        <w:rPr>
          <w:color w:val="auto"/>
        </w:rPr>
        <w:fldChar w:fldCharType="begin"/>
      </w:r>
      <w:r w:rsidRPr="00653DCF">
        <w:rPr>
          <w:color w:val="auto"/>
        </w:rPr>
        <w:instrText xml:space="preserve"> REF _Ref427039514 \r \h </w:instrText>
      </w:r>
      <w:r w:rsidRPr="00653DCF">
        <w:rPr>
          <w:color w:val="auto"/>
        </w:rPr>
      </w:r>
      <w:r w:rsidRPr="00653DCF">
        <w:rPr>
          <w:color w:val="auto"/>
        </w:rPr>
        <w:fldChar w:fldCharType="separate"/>
      </w:r>
      <w:r w:rsidR="00E5391B">
        <w:rPr>
          <w:color w:val="auto"/>
        </w:rPr>
        <w:t>6.5</w:t>
      </w:r>
      <w:r w:rsidRPr="00653DCF">
        <w:rPr>
          <w:color w:val="auto"/>
        </w:rPr>
        <w:fldChar w:fldCharType="end"/>
      </w:r>
      <w:r w:rsidRPr="00653DCF">
        <w:rPr>
          <w:color w:val="auto"/>
        </w:rPr>
        <w:fldChar w:fldCharType="begin"/>
      </w:r>
      <w:r w:rsidRPr="00653DCF">
        <w:rPr>
          <w:color w:val="auto"/>
        </w:rPr>
        <w:instrText xml:space="preserve"> REF _Ref426951506 \r \h </w:instrText>
      </w:r>
      <w:r w:rsidRPr="00653DCF">
        <w:rPr>
          <w:color w:val="auto"/>
        </w:rPr>
      </w:r>
      <w:r w:rsidRPr="00653DCF">
        <w:rPr>
          <w:color w:val="auto"/>
        </w:rPr>
        <w:fldChar w:fldCharType="separate"/>
      </w:r>
      <w:r w:rsidR="00E5391B">
        <w:rPr>
          <w:color w:val="auto"/>
        </w:rPr>
        <w:t>(c)</w:t>
      </w:r>
      <w:r w:rsidRPr="00653DCF">
        <w:rPr>
          <w:color w:val="auto"/>
        </w:rPr>
        <w:fldChar w:fldCharType="end"/>
      </w:r>
      <w:r w:rsidRPr="00653DCF">
        <w:rPr>
          <w:color w:val="auto"/>
        </w:rPr>
        <w:t>;</w:t>
      </w:r>
    </w:p>
    <w:p w14:paraId="3C9D273F" w14:textId="77777777" w:rsidR="00F0088B" w:rsidRPr="00653DCF" w:rsidRDefault="00F0088B" w:rsidP="0024686A">
      <w:pPr>
        <w:pStyle w:val="NoIndentEIB"/>
        <w:numPr>
          <w:ilvl w:val="1"/>
          <w:numId w:val="116"/>
        </w:numPr>
        <w:rPr>
          <w:color w:val="auto"/>
        </w:rPr>
      </w:pPr>
      <w:r w:rsidRPr="00653DCF">
        <w:rPr>
          <w:color w:val="auto"/>
        </w:rPr>
        <w:t>annually, a list of policies in force covering the insured property forming part of the Project, together with confirmation of payment of the current premiums;</w:t>
      </w:r>
    </w:p>
    <w:p w14:paraId="73F75E6C" w14:textId="77777777" w:rsidR="00F0088B" w:rsidRPr="00653DCF" w:rsidRDefault="00F0088B" w:rsidP="0024686A">
      <w:pPr>
        <w:numPr>
          <w:ilvl w:val="1"/>
          <w:numId w:val="116"/>
        </w:numPr>
        <w:rPr>
          <w:color w:val="auto"/>
        </w:rPr>
      </w:pPr>
      <w:r w:rsidRPr="00653DCF">
        <w:rPr>
          <w:color w:val="auto"/>
        </w:rPr>
        <w:t>relevant updates (if any) on Project’s procurement procedures; and</w:t>
      </w:r>
    </w:p>
    <w:p w14:paraId="73EE3A76" w14:textId="77BBD566" w:rsidR="00F0088B" w:rsidRPr="00653DCF" w:rsidRDefault="00F0088B" w:rsidP="0024686A">
      <w:pPr>
        <w:numPr>
          <w:ilvl w:val="1"/>
          <w:numId w:val="116"/>
        </w:numPr>
        <w:rPr>
          <w:color w:val="auto"/>
        </w:rPr>
      </w:pPr>
      <w:r w:rsidRPr="00653DCF">
        <w:rPr>
          <w:color w:val="auto"/>
        </w:rPr>
        <w:t xml:space="preserve">evidence of compliance with the undertakings under Article </w:t>
      </w:r>
      <w:r w:rsidRPr="00653DCF">
        <w:rPr>
          <w:color w:val="auto"/>
          <w:highlight w:val="yellow"/>
        </w:rPr>
        <w:fldChar w:fldCharType="begin"/>
      </w:r>
      <w:r w:rsidRPr="00653DCF">
        <w:rPr>
          <w:color w:val="auto"/>
        </w:rPr>
        <w:instrText xml:space="preserve"> REF _Ref427242093 \r \h </w:instrText>
      </w:r>
      <w:r w:rsidRPr="00653DCF">
        <w:rPr>
          <w:color w:val="auto"/>
          <w:highlight w:val="yellow"/>
        </w:rPr>
      </w:r>
      <w:r w:rsidRPr="00653DCF">
        <w:rPr>
          <w:color w:val="auto"/>
          <w:highlight w:val="yellow"/>
        </w:rPr>
        <w:fldChar w:fldCharType="separate"/>
      </w:r>
      <w:r w:rsidR="00E5391B">
        <w:rPr>
          <w:color w:val="auto"/>
        </w:rPr>
        <w:t>6.5</w:t>
      </w:r>
      <w:r w:rsidRPr="00653DCF">
        <w:rPr>
          <w:color w:val="auto"/>
          <w:highlight w:val="yellow"/>
        </w:rPr>
        <w:fldChar w:fldCharType="end"/>
      </w:r>
      <w:r w:rsidRPr="00653DCF">
        <w:rPr>
          <w:color w:val="auto"/>
        </w:rPr>
        <w:t>.</w:t>
      </w:r>
    </w:p>
    <w:p w14:paraId="1545A9FF" w14:textId="77777777" w:rsidR="00F0088B" w:rsidRPr="00653DCF" w:rsidRDefault="00F0088B" w:rsidP="00335497">
      <w:pPr>
        <w:pStyle w:val="Heading2"/>
        <w:ind w:left="851"/>
        <w:rPr>
          <w:color w:val="auto"/>
        </w:rPr>
      </w:pPr>
      <w:r w:rsidRPr="00653DCF">
        <w:rPr>
          <w:color w:val="auto"/>
        </w:rPr>
        <w:t xml:space="preserve">Information concerning the Borrower, the Promoter and the Project Company </w:t>
      </w:r>
    </w:p>
    <w:p w14:paraId="2C97491F" w14:textId="77777777" w:rsidR="00F0088B" w:rsidRPr="00653DCF" w:rsidRDefault="00F0088B" w:rsidP="00F0088B">
      <w:pPr>
        <w:rPr>
          <w:color w:val="auto"/>
        </w:rPr>
      </w:pPr>
      <w:r w:rsidRPr="00653DCF">
        <w:rPr>
          <w:color w:val="auto"/>
        </w:rPr>
        <w:t>The Borrower shall:</w:t>
      </w:r>
    </w:p>
    <w:p w14:paraId="42DCE78E" w14:textId="77777777" w:rsidR="00F0088B" w:rsidRPr="00653DCF" w:rsidRDefault="00F0088B" w:rsidP="0024686A">
      <w:pPr>
        <w:pStyle w:val="NoIndentEIB"/>
        <w:numPr>
          <w:ilvl w:val="0"/>
          <w:numId w:val="127"/>
        </w:numPr>
        <w:rPr>
          <w:color w:val="auto"/>
        </w:rPr>
      </w:pPr>
      <w:r w:rsidRPr="00653DCF">
        <w:rPr>
          <w:color w:val="auto"/>
        </w:rPr>
        <w:t>deliver to the Bank:</w:t>
      </w:r>
    </w:p>
    <w:p w14:paraId="2FABFC64" w14:textId="77777777" w:rsidR="00F0088B" w:rsidRPr="00653DCF" w:rsidRDefault="00F0088B" w:rsidP="0024686A">
      <w:pPr>
        <w:pStyle w:val="NoIndentEIB"/>
        <w:numPr>
          <w:ilvl w:val="1"/>
          <w:numId w:val="118"/>
        </w:numPr>
        <w:rPr>
          <w:color w:val="auto"/>
        </w:rPr>
      </w:pPr>
      <w:r w:rsidRPr="00653DCF">
        <w:rPr>
          <w:color w:val="auto"/>
        </w:rPr>
        <w:t>such further information, evidence or document concerning:</w:t>
      </w:r>
    </w:p>
    <w:p w14:paraId="73FE5EF1" w14:textId="77777777" w:rsidR="00F0088B" w:rsidRPr="00653DCF" w:rsidRDefault="00F0088B" w:rsidP="0024686A">
      <w:pPr>
        <w:pStyle w:val="NoIndentEIB"/>
        <w:numPr>
          <w:ilvl w:val="2"/>
          <w:numId w:val="118"/>
        </w:numPr>
        <w:rPr>
          <w:color w:val="auto"/>
        </w:rPr>
      </w:pPr>
      <w:r w:rsidRPr="00653DCF">
        <w:rPr>
          <w:color w:val="auto"/>
        </w:rPr>
        <w:t>it’s or on the Project Companies’ general financial situation as the Bank may reasonably require; and</w:t>
      </w:r>
    </w:p>
    <w:p w14:paraId="008D42DC" w14:textId="77777777" w:rsidR="00F0088B" w:rsidRPr="00653DCF" w:rsidRDefault="00F0088B" w:rsidP="0024686A">
      <w:pPr>
        <w:pStyle w:val="NoIndentEIB"/>
        <w:numPr>
          <w:ilvl w:val="2"/>
          <w:numId w:val="118"/>
        </w:numPr>
        <w:rPr>
          <w:color w:val="auto"/>
        </w:rPr>
      </w:pPr>
      <w:r w:rsidRPr="00653DCF">
        <w:rPr>
          <w:color w:val="auto"/>
        </w:rPr>
        <w:t>compliance with the due diligence requirements of the Bank for the Borrower or a Project Company, including, but not limited to "know your customer" (</w:t>
      </w:r>
      <w:r w:rsidRPr="00653DCF">
        <w:rPr>
          <w:i/>
          <w:color w:val="auto"/>
        </w:rPr>
        <w:t>KYC</w:t>
      </w:r>
      <w:r w:rsidRPr="00653DCF">
        <w:rPr>
          <w:color w:val="auto"/>
        </w:rPr>
        <w:t>) or similar identification and verification procedures,</w:t>
      </w:r>
    </w:p>
    <w:p w14:paraId="464A9669" w14:textId="77777777" w:rsidR="00F0088B" w:rsidRPr="00653DCF" w:rsidRDefault="00F0088B" w:rsidP="00F0088B">
      <w:pPr>
        <w:pStyle w:val="NoIndentEIB"/>
        <w:ind w:left="1990"/>
        <w:rPr>
          <w:color w:val="auto"/>
        </w:rPr>
      </w:pPr>
      <w:r w:rsidRPr="00653DCF">
        <w:rPr>
          <w:color w:val="auto"/>
        </w:rPr>
        <w:t>when requested and within a reasonable time; and</w:t>
      </w:r>
    </w:p>
    <w:p w14:paraId="36792598" w14:textId="77777777" w:rsidR="00F0088B" w:rsidRPr="00653DCF" w:rsidRDefault="00F0088B" w:rsidP="0024686A">
      <w:pPr>
        <w:pStyle w:val="NoIndentEIB"/>
        <w:numPr>
          <w:ilvl w:val="0"/>
          <w:numId w:val="117"/>
        </w:numPr>
        <w:rPr>
          <w:color w:val="auto"/>
        </w:rPr>
      </w:pPr>
      <w:r w:rsidRPr="00653DCF">
        <w:rPr>
          <w:color w:val="auto"/>
        </w:rPr>
        <w:t>inform the Bank immediately of:</w:t>
      </w:r>
    </w:p>
    <w:p w14:paraId="60A4094A" w14:textId="77777777" w:rsidR="00F0088B" w:rsidRPr="00653DCF" w:rsidRDefault="00F0088B" w:rsidP="0024686A">
      <w:pPr>
        <w:pStyle w:val="NoIndentEIB"/>
        <w:numPr>
          <w:ilvl w:val="1"/>
          <w:numId w:val="117"/>
        </w:numPr>
        <w:rPr>
          <w:color w:val="auto"/>
        </w:rPr>
      </w:pPr>
      <w:r w:rsidRPr="00653DCF">
        <w:rPr>
          <w:color w:val="auto"/>
        </w:rPr>
        <w:t>any event or decision that constitutes or may result in a Prepayment Event;</w:t>
      </w:r>
    </w:p>
    <w:p w14:paraId="10054A41" w14:textId="77777777" w:rsidR="00F0088B" w:rsidRPr="00653DCF" w:rsidRDefault="00F0088B" w:rsidP="0024686A">
      <w:pPr>
        <w:pStyle w:val="NoIndentEIB"/>
        <w:numPr>
          <w:ilvl w:val="1"/>
          <w:numId w:val="117"/>
        </w:numPr>
        <w:rPr>
          <w:color w:val="auto"/>
        </w:rPr>
      </w:pPr>
      <w:r w:rsidRPr="00653DCF">
        <w:rPr>
          <w:color w:val="auto"/>
        </w:rPr>
        <w:t>any intention on its part</w:t>
      </w:r>
      <w:r w:rsidRPr="00653DCF">
        <w:rPr>
          <w:rFonts w:cs="Arial"/>
          <w:color w:val="auto"/>
        </w:rPr>
        <w:t>, or on the part of any Project Company, to relinquish ownership of any material component of the Project</w:t>
      </w:r>
      <w:r w:rsidRPr="00653DCF">
        <w:rPr>
          <w:color w:val="auto"/>
        </w:rPr>
        <w:t>;</w:t>
      </w:r>
    </w:p>
    <w:p w14:paraId="35FE6872" w14:textId="77777777" w:rsidR="00F0088B" w:rsidRPr="00653DCF" w:rsidRDefault="00F0088B" w:rsidP="0024686A">
      <w:pPr>
        <w:pStyle w:val="NoIndentEIB"/>
        <w:numPr>
          <w:ilvl w:val="1"/>
          <w:numId w:val="117"/>
        </w:numPr>
        <w:rPr>
          <w:color w:val="auto"/>
        </w:rPr>
      </w:pPr>
      <w:r w:rsidRPr="00653DCF">
        <w:rPr>
          <w:color w:val="auto"/>
        </w:rPr>
        <w:t>any intention on its part to grant any Security over any of its assets in favour of a third party;</w:t>
      </w:r>
    </w:p>
    <w:p w14:paraId="7BF9A62B" w14:textId="77777777" w:rsidR="00F0088B" w:rsidRPr="00653DCF" w:rsidRDefault="00F0088B" w:rsidP="0024686A">
      <w:pPr>
        <w:pStyle w:val="NoIndentEIB"/>
        <w:numPr>
          <w:ilvl w:val="1"/>
          <w:numId w:val="117"/>
        </w:numPr>
        <w:rPr>
          <w:color w:val="auto"/>
        </w:rPr>
      </w:pPr>
      <w:r w:rsidRPr="00653DCF">
        <w:rPr>
          <w:color w:val="auto"/>
        </w:rPr>
        <w:t>any fact or event that is reasonably likely to prevent the substantial fulfilment of any obligation of the Borrower under this Contract;</w:t>
      </w:r>
    </w:p>
    <w:p w14:paraId="3368A7C6" w14:textId="77777777" w:rsidR="00F0088B" w:rsidRPr="00653DCF" w:rsidRDefault="00F0088B" w:rsidP="0024686A">
      <w:pPr>
        <w:pStyle w:val="NoIndentEIB"/>
        <w:numPr>
          <w:ilvl w:val="1"/>
          <w:numId w:val="117"/>
        </w:numPr>
        <w:rPr>
          <w:color w:val="auto"/>
        </w:rPr>
      </w:pPr>
      <w:r w:rsidRPr="00653DCF">
        <w:rPr>
          <w:color w:val="auto"/>
        </w:rPr>
        <w:t>any Event of Default having occurred or being threatened or anticipated;</w:t>
      </w:r>
    </w:p>
    <w:p w14:paraId="50F91CFD" w14:textId="77777777" w:rsidR="00F0088B" w:rsidRPr="00653DCF" w:rsidRDefault="00F0088B" w:rsidP="0024686A">
      <w:pPr>
        <w:pStyle w:val="NoIndentEIB"/>
        <w:numPr>
          <w:ilvl w:val="1"/>
          <w:numId w:val="117"/>
        </w:numPr>
        <w:rPr>
          <w:color w:val="auto"/>
        </w:rPr>
      </w:pPr>
      <w:r w:rsidRPr="00653DCF">
        <w:rPr>
          <w:color w:val="auto"/>
        </w:rPr>
        <w:t xml:space="preserve">unless prohibited by law, any material litigation, arbitration, administrative proceedings or investigation carried out by a court, administration or similar public authority, which, to the best of its knowledge and belief, is current, imminent or pending against (A) the agents of the Borrower with control and/or decision making power over the Loan or the Project </w:t>
      </w:r>
      <w:r w:rsidRPr="00653DCF">
        <w:rPr>
          <w:rFonts w:eastAsia="Calibri"/>
          <w:color w:val="auto"/>
        </w:rPr>
        <w:t xml:space="preserve">or </w:t>
      </w:r>
      <w:r w:rsidRPr="00653DCF">
        <w:rPr>
          <w:color w:val="auto"/>
        </w:rPr>
        <w:t>(B) the management bodies or agents of the Promoter with control and/or decision making power over the Loan or the Project</w:t>
      </w:r>
      <w:r w:rsidRPr="00653DCF">
        <w:rPr>
          <w:rFonts w:eastAsia="Calibri"/>
          <w:color w:val="auto"/>
        </w:rPr>
        <w:t xml:space="preserve"> or (C) </w:t>
      </w:r>
      <w:r w:rsidRPr="00653DCF">
        <w:rPr>
          <w:color w:val="auto"/>
        </w:rPr>
        <w:t xml:space="preserve">the management bodies of any Project Company </w:t>
      </w:r>
      <w:r w:rsidRPr="00653DCF">
        <w:rPr>
          <w:rFonts w:eastAsia="Calibri"/>
          <w:color w:val="auto"/>
        </w:rPr>
        <w:t>in connection with</w:t>
      </w:r>
      <w:r w:rsidRPr="00653DCF">
        <w:rPr>
          <w:color w:val="auto"/>
        </w:rPr>
        <w:t xml:space="preserve"> Illegal Activities related to the Credit, the Loan or any Scheme; </w:t>
      </w:r>
    </w:p>
    <w:p w14:paraId="7FD9E960" w14:textId="13A341FD" w:rsidR="00F0088B" w:rsidRPr="00653DCF" w:rsidRDefault="00F0088B" w:rsidP="0024686A">
      <w:pPr>
        <w:pStyle w:val="NoIndentEIB"/>
        <w:numPr>
          <w:ilvl w:val="1"/>
          <w:numId w:val="117"/>
        </w:numPr>
        <w:rPr>
          <w:color w:val="auto"/>
        </w:rPr>
      </w:pPr>
      <w:r w:rsidRPr="00653DCF">
        <w:rPr>
          <w:color w:val="auto"/>
        </w:rPr>
        <w:t>any measure taken by the Borrower, the Promoter or any Project Company pursuant to Article </w:t>
      </w:r>
      <w:r w:rsidRPr="00653DCF">
        <w:rPr>
          <w:color w:val="auto"/>
        </w:rPr>
        <w:fldChar w:fldCharType="begin"/>
      </w:r>
      <w:r w:rsidRPr="00653DCF">
        <w:rPr>
          <w:color w:val="auto"/>
        </w:rPr>
        <w:instrText xml:space="preserve"> REF _Ref427242093 \r \h </w:instrText>
      </w:r>
      <w:r w:rsidRPr="00653DCF">
        <w:rPr>
          <w:color w:val="auto"/>
        </w:rPr>
      </w:r>
      <w:r w:rsidRPr="00653DCF">
        <w:rPr>
          <w:color w:val="auto"/>
        </w:rPr>
        <w:fldChar w:fldCharType="separate"/>
      </w:r>
      <w:r w:rsidR="00E5391B">
        <w:rPr>
          <w:color w:val="auto"/>
        </w:rPr>
        <w:t>6.5</w:t>
      </w:r>
      <w:r w:rsidRPr="00653DCF">
        <w:rPr>
          <w:color w:val="auto"/>
        </w:rPr>
        <w:fldChar w:fldCharType="end"/>
      </w:r>
      <w:r w:rsidRPr="00653DCF">
        <w:rPr>
          <w:color w:val="auto"/>
        </w:rPr>
        <w:fldChar w:fldCharType="begin"/>
      </w:r>
      <w:r w:rsidRPr="00653DCF">
        <w:rPr>
          <w:color w:val="auto"/>
        </w:rPr>
        <w:instrText xml:space="preserve"> REF _Ref113555192 \r \h </w:instrText>
      </w:r>
      <w:r w:rsidRPr="00653DCF">
        <w:rPr>
          <w:color w:val="auto"/>
        </w:rPr>
      </w:r>
      <w:r w:rsidRPr="00653DCF">
        <w:rPr>
          <w:color w:val="auto"/>
        </w:rPr>
        <w:fldChar w:fldCharType="separate"/>
      </w:r>
      <w:r w:rsidR="00E5391B">
        <w:rPr>
          <w:color w:val="auto"/>
        </w:rPr>
        <w:t>(f)</w:t>
      </w:r>
      <w:r w:rsidRPr="00653DCF">
        <w:rPr>
          <w:color w:val="auto"/>
        </w:rPr>
        <w:fldChar w:fldCharType="end"/>
      </w:r>
      <w:r w:rsidRPr="00653DCF">
        <w:rPr>
          <w:color w:val="auto"/>
        </w:rPr>
        <w:t xml:space="preserve"> of this Contract;</w:t>
      </w:r>
    </w:p>
    <w:p w14:paraId="65DB156A" w14:textId="77777777" w:rsidR="00F0088B" w:rsidRPr="00653DCF" w:rsidRDefault="00F0088B" w:rsidP="0024686A">
      <w:pPr>
        <w:pStyle w:val="NoIndentEIB"/>
        <w:numPr>
          <w:ilvl w:val="1"/>
          <w:numId w:val="117"/>
        </w:numPr>
        <w:rPr>
          <w:color w:val="auto"/>
        </w:rPr>
      </w:pPr>
      <w:r w:rsidRPr="00653DCF">
        <w:rPr>
          <w:color w:val="auto"/>
        </w:rPr>
        <w:t>of any genuine allegation, complaint or information with regard to Illegal Activity related to any funds made available out of the proceeds of the Loan or any Scheme;</w:t>
      </w:r>
    </w:p>
    <w:p w14:paraId="20D161FF" w14:textId="77777777" w:rsidR="00F0088B" w:rsidRPr="00653DCF" w:rsidRDefault="00F0088B" w:rsidP="0024686A">
      <w:pPr>
        <w:pStyle w:val="NoIndentEIB"/>
        <w:numPr>
          <w:ilvl w:val="1"/>
          <w:numId w:val="117"/>
        </w:numPr>
        <w:rPr>
          <w:color w:val="auto"/>
        </w:rPr>
      </w:pPr>
      <w:r w:rsidRPr="00653DCF">
        <w:rPr>
          <w:color w:val="auto"/>
        </w:rPr>
        <w:t>any claim, action, proceeding, formal notice or investigation relating to any EU Sanctions, concerning the Borrower, or the Promoter or any Relevant Person.</w:t>
      </w:r>
    </w:p>
    <w:p w14:paraId="1BA928FD" w14:textId="77777777" w:rsidR="00F0088B" w:rsidRPr="00653DCF" w:rsidRDefault="00F0088B" w:rsidP="00335497">
      <w:pPr>
        <w:pStyle w:val="Heading2"/>
        <w:ind w:left="851"/>
        <w:rPr>
          <w:color w:val="auto"/>
        </w:rPr>
      </w:pPr>
      <w:r w:rsidRPr="00653DCF">
        <w:rPr>
          <w:color w:val="auto"/>
        </w:rPr>
        <w:t>Visits by the Bank</w:t>
      </w:r>
    </w:p>
    <w:p w14:paraId="439631F9" w14:textId="77777777" w:rsidR="00F0088B" w:rsidRPr="00653DCF" w:rsidRDefault="00F0088B" w:rsidP="00F0088B">
      <w:pPr>
        <w:rPr>
          <w:color w:val="auto"/>
        </w:rPr>
      </w:pPr>
      <w:r w:rsidRPr="00653DCF">
        <w:rPr>
          <w:color w:val="auto"/>
        </w:rPr>
        <w:t>The Borrower and the Promoter shall</w:t>
      </w:r>
      <w:r w:rsidRPr="00653DCF">
        <w:rPr>
          <w:rFonts w:cs="Arial"/>
          <w:color w:val="auto"/>
        </w:rPr>
        <w:t>, or shall procure that each Project Company will,</w:t>
      </w:r>
      <w:r w:rsidRPr="00653DCF">
        <w:rPr>
          <w:color w:val="auto"/>
        </w:rPr>
        <w:t xml:space="preserve"> allow persons designated by the Bank, as well as persons designated by other institutions or bodies of the European Union when so required by the relevant mandatory provisions of the EU Law: </w:t>
      </w:r>
    </w:p>
    <w:p w14:paraId="740802E8" w14:textId="77777777" w:rsidR="00F0088B" w:rsidRPr="00653DCF" w:rsidRDefault="00F0088B" w:rsidP="0024686A">
      <w:pPr>
        <w:pStyle w:val="NoIndentEIB"/>
        <w:numPr>
          <w:ilvl w:val="0"/>
          <w:numId w:val="119"/>
        </w:numPr>
        <w:rPr>
          <w:color w:val="auto"/>
        </w:rPr>
      </w:pPr>
      <w:r w:rsidRPr="00653DCF">
        <w:rPr>
          <w:color w:val="auto"/>
        </w:rPr>
        <w:t>to visit the sites, installations and works comprising the Project;</w:t>
      </w:r>
    </w:p>
    <w:p w14:paraId="72647C3C" w14:textId="77777777" w:rsidR="00F0088B" w:rsidRPr="00653DCF" w:rsidRDefault="00F0088B" w:rsidP="0024686A">
      <w:pPr>
        <w:pStyle w:val="NoIndentEIB"/>
        <w:numPr>
          <w:ilvl w:val="0"/>
          <w:numId w:val="119"/>
        </w:numPr>
        <w:rPr>
          <w:color w:val="auto"/>
        </w:rPr>
      </w:pPr>
      <w:r w:rsidRPr="00653DCF">
        <w:rPr>
          <w:color w:val="auto"/>
        </w:rPr>
        <w:t>to interview representatives of the Borrower, Promoter and/or Project Company’s and not obstruct contacts with any other person involved in or affected by the Project; and</w:t>
      </w:r>
    </w:p>
    <w:p w14:paraId="13FEF0AD" w14:textId="77777777" w:rsidR="00F0088B" w:rsidRPr="00653DCF" w:rsidRDefault="00F0088B" w:rsidP="0024686A">
      <w:pPr>
        <w:pStyle w:val="NoIndentEIB"/>
        <w:numPr>
          <w:ilvl w:val="0"/>
          <w:numId w:val="119"/>
        </w:numPr>
        <w:rPr>
          <w:color w:val="auto"/>
        </w:rPr>
      </w:pPr>
      <w:r w:rsidRPr="00653DCF">
        <w:rPr>
          <w:color w:val="auto"/>
        </w:rPr>
        <w:t>to review the Borrower’s, Promoter’s and/or Project Company’s books and records in relation to the execution of the Project and to be able to take copies of related documents unless prohibited by law.</w:t>
      </w:r>
    </w:p>
    <w:p w14:paraId="3663DF76" w14:textId="77777777" w:rsidR="00F0088B" w:rsidRPr="00653DCF" w:rsidRDefault="00F0088B" w:rsidP="00F0088B">
      <w:pPr>
        <w:rPr>
          <w:color w:val="auto"/>
        </w:rPr>
      </w:pPr>
      <w:r w:rsidRPr="00653DCF">
        <w:rPr>
          <w:color w:val="auto"/>
        </w:rPr>
        <w:t xml:space="preserve">The Borrower (acting through the Promoter) shall provide the Bank, or ensure that the Bank is provided, with all necessary assistance for the purposes described in this Article. </w:t>
      </w:r>
    </w:p>
    <w:p w14:paraId="308077B4" w14:textId="77777777" w:rsidR="00F0088B" w:rsidRPr="00653DCF" w:rsidRDefault="00F0088B" w:rsidP="00F0088B">
      <w:pPr>
        <w:rPr>
          <w:color w:val="auto"/>
        </w:rPr>
      </w:pPr>
      <w:r w:rsidRPr="00653DCF">
        <w:rPr>
          <w:color w:val="auto"/>
        </w:rPr>
        <w:t xml:space="preserve">The Borrower and Promoter acknowledge that the Bank may be obliged to communicate information relating to the Borrower and Promoter and the Project to any competent institution or body of the European Union in accordance with the relevant mandatory provisions of EU Law. </w:t>
      </w:r>
    </w:p>
    <w:p w14:paraId="4B7CF2F5" w14:textId="7AEB225B" w:rsidR="00F0088B" w:rsidRPr="00653DCF" w:rsidRDefault="00E540F9" w:rsidP="00C40040">
      <w:pPr>
        <w:pStyle w:val="ENGLESKI"/>
      </w:pPr>
      <w:r>
        <w:t>ARTICLE 9</w:t>
      </w:r>
    </w:p>
    <w:p w14:paraId="13816E2F" w14:textId="77777777" w:rsidR="00F0088B" w:rsidRPr="00653DCF" w:rsidRDefault="00F0088B" w:rsidP="00F0088B">
      <w:pPr>
        <w:pStyle w:val="ArticleTitleEIB"/>
        <w:rPr>
          <w:color w:val="auto"/>
        </w:rPr>
      </w:pPr>
      <w:r w:rsidRPr="00653DCF">
        <w:rPr>
          <w:color w:val="auto"/>
        </w:rPr>
        <w:t>Charges and expenses</w:t>
      </w:r>
    </w:p>
    <w:p w14:paraId="676CB7FF"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p>
    <w:p w14:paraId="50DB90F2" w14:textId="77777777" w:rsidR="00F0088B" w:rsidRPr="00653DCF" w:rsidRDefault="00F0088B" w:rsidP="00335497">
      <w:pPr>
        <w:pStyle w:val="Heading2"/>
        <w:ind w:left="851"/>
        <w:rPr>
          <w:color w:val="auto"/>
        </w:rPr>
      </w:pPr>
      <w:r w:rsidRPr="00653DCF">
        <w:rPr>
          <w:color w:val="auto"/>
        </w:rPr>
        <w:t>Taxes, duties and fees</w:t>
      </w:r>
    </w:p>
    <w:p w14:paraId="12546F8E" w14:textId="77777777" w:rsidR="00F0088B" w:rsidRPr="00653DCF" w:rsidRDefault="00F0088B" w:rsidP="00F0088B">
      <w:pPr>
        <w:rPr>
          <w:color w:val="auto"/>
        </w:rPr>
      </w:pPr>
      <w:r w:rsidRPr="00653DCF">
        <w:rPr>
          <w:color w:val="auto"/>
        </w:rPr>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14:paraId="4C4853AE" w14:textId="77777777" w:rsidR="00F0088B" w:rsidRPr="00653DCF" w:rsidRDefault="00F0088B" w:rsidP="00F0088B">
      <w:pPr>
        <w:rPr>
          <w:color w:val="auto"/>
        </w:rPr>
      </w:pPr>
      <w:r w:rsidRPr="00653DCF">
        <w:rPr>
          <w:color w:val="auto"/>
        </w:rPr>
        <w:t>The Borrower shall pay all principal, interest, indemnities and other amounts due under this Contract gross without any withholding or deduction of any national or local impositions whatsoever required by law or under an agreement with a governmental authority or otherwise. If the Borrower is obliged to make any such withholding or deduction, it shall gross up the payment to the Bank so that after withholding or deduction, the net amount received by the Bank is equivalent to the sum due.</w:t>
      </w:r>
    </w:p>
    <w:p w14:paraId="0DBF23CA" w14:textId="77777777" w:rsidR="00F0088B" w:rsidRPr="00653DCF" w:rsidRDefault="00F0088B" w:rsidP="00335497">
      <w:pPr>
        <w:pStyle w:val="Heading2"/>
        <w:ind w:left="851"/>
        <w:rPr>
          <w:color w:val="auto"/>
        </w:rPr>
      </w:pPr>
      <w:r w:rsidRPr="00653DCF">
        <w:rPr>
          <w:color w:val="auto"/>
        </w:rPr>
        <w:t>Other charges</w:t>
      </w:r>
    </w:p>
    <w:p w14:paraId="78CCAD3C" w14:textId="77777777" w:rsidR="00F0088B" w:rsidRPr="00653DCF" w:rsidRDefault="00F0088B" w:rsidP="00F0088B">
      <w:pPr>
        <w:rPr>
          <w:color w:val="auto"/>
        </w:rPr>
      </w:pPr>
      <w:r w:rsidRPr="00653DCF">
        <w:rPr>
          <w:color w:val="auto"/>
        </w:rPr>
        <w:t>The Borrower shall bear all charges and expenses, including professional, banking or exchange charges incurred in connection with the preparation, execution, implementation, enforcement and termination of this Contract or any related document, any amendment, supplement or waiver in respect of this Contract or any related document, and in the amendment, creation, management, enforcement and realisation of any Security for the Loan.</w:t>
      </w:r>
    </w:p>
    <w:p w14:paraId="5F1EC11E" w14:textId="77777777" w:rsidR="00F0088B" w:rsidRPr="00653DCF" w:rsidRDefault="00F0088B" w:rsidP="00335497">
      <w:pPr>
        <w:pStyle w:val="Heading2"/>
        <w:ind w:left="851"/>
        <w:rPr>
          <w:color w:val="auto"/>
        </w:rPr>
      </w:pPr>
      <w:r w:rsidRPr="00653DCF">
        <w:rPr>
          <w:color w:val="auto"/>
        </w:rPr>
        <w:t>Increased costs, indemnity and set-off</w:t>
      </w:r>
    </w:p>
    <w:p w14:paraId="39E39283" w14:textId="77777777" w:rsidR="00F0088B" w:rsidRPr="00653DCF" w:rsidRDefault="00F0088B" w:rsidP="0024686A">
      <w:pPr>
        <w:pStyle w:val="NoIndentEIB"/>
        <w:numPr>
          <w:ilvl w:val="0"/>
          <w:numId w:val="120"/>
        </w:numPr>
        <w:rPr>
          <w:color w:val="auto"/>
        </w:rPr>
      </w:pPr>
      <w:r w:rsidRPr="00653DCF">
        <w:rPr>
          <w:color w:val="auto"/>
        </w:rPr>
        <w:t>The Borrower shall pay to the Bank any costs or expenses incurred or suffered by the Bank as a consequence of the introduction of or any change in (or in the interpretation, administration or application of) any law or regulation or compliance with any law or regulation which occurs after the date of signature of this Contract, in accordance with or as a result of which:</w:t>
      </w:r>
    </w:p>
    <w:p w14:paraId="6A7873AB" w14:textId="77777777" w:rsidR="00F0088B" w:rsidRPr="00653DCF" w:rsidRDefault="00F0088B" w:rsidP="0024686A">
      <w:pPr>
        <w:pStyle w:val="NoIndentEIB"/>
        <w:numPr>
          <w:ilvl w:val="1"/>
          <w:numId w:val="120"/>
        </w:numPr>
        <w:rPr>
          <w:color w:val="auto"/>
        </w:rPr>
      </w:pPr>
      <w:r w:rsidRPr="00653DCF">
        <w:rPr>
          <w:color w:val="auto"/>
        </w:rPr>
        <w:t xml:space="preserve">the Bank is obliged to incur additional costs in order to fund or perform its obligations under this Contract; or </w:t>
      </w:r>
    </w:p>
    <w:p w14:paraId="29FA5D49" w14:textId="77777777" w:rsidR="00F0088B" w:rsidRPr="00653DCF" w:rsidRDefault="00F0088B" w:rsidP="0024686A">
      <w:pPr>
        <w:pStyle w:val="NoIndentEIB"/>
        <w:numPr>
          <w:ilvl w:val="1"/>
          <w:numId w:val="120"/>
        </w:numPr>
        <w:rPr>
          <w:color w:val="auto"/>
        </w:rPr>
      </w:pPr>
      <w:r w:rsidRPr="00653DCF">
        <w:rPr>
          <w:color w:val="auto"/>
        </w:rPr>
        <w:t>any amount owed to the Bank under this Contract or the financial income resulting from the granting of the Credit or the Loan by the Bank to the Borrower is reduced or eliminated.</w:t>
      </w:r>
    </w:p>
    <w:p w14:paraId="04D97E28" w14:textId="77777777" w:rsidR="00F0088B" w:rsidRPr="00653DCF" w:rsidRDefault="00F0088B" w:rsidP="0024686A">
      <w:pPr>
        <w:pStyle w:val="NoIndentEIB"/>
        <w:numPr>
          <w:ilvl w:val="0"/>
          <w:numId w:val="120"/>
        </w:numPr>
        <w:rPr>
          <w:color w:val="auto"/>
        </w:rPr>
      </w:pPr>
      <w:r w:rsidRPr="00653DCF">
        <w:rPr>
          <w:color w:val="auto"/>
        </w:rPr>
        <w:t>Without prejudice to any other rights of the Bank under this Contract or under any applicable law, the Borrower shall indemnify and hold the Bank harmless from and against any loss incurred as a result of any full or partial discharge that takes place in a manner other than as expressly set out in this Contract.</w:t>
      </w:r>
    </w:p>
    <w:p w14:paraId="26C986B2" w14:textId="77777777" w:rsidR="00F0088B" w:rsidRPr="00653DCF" w:rsidRDefault="00F0088B" w:rsidP="0024686A">
      <w:pPr>
        <w:pStyle w:val="NoIndentEIB"/>
        <w:numPr>
          <w:ilvl w:val="0"/>
          <w:numId w:val="120"/>
        </w:numPr>
        <w:rPr>
          <w:color w:val="auto"/>
        </w:rPr>
      </w:pPr>
      <w:r w:rsidRPr="00653DCF">
        <w:rPr>
          <w:color w:val="auto"/>
        </w:rPr>
        <w:t>The Bank may set off any matured obligation due from the Borrower under this Contract (to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14:paraId="1C411D0E" w14:textId="5A58A28B" w:rsidR="00F0088B" w:rsidRPr="00653DCF" w:rsidRDefault="00FF4CF1" w:rsidP="00C40040">
      <w:pPr>
        <w:pStyle w:val="ENGLESKI"/>
      </w:pPr>
      <w:r>
        <w:t>ARTICLE 10</w:t>
      </w:r>
    </w:p>
    <w:p w14:paraId="09045305" w14:textId="77777777" w:rsidR="00F0088B" w:rsidRPr="00653DCF" w:rsidRDefault="00F0088B" w:rsidP="00F0088B">
      <w:pPr>
        <w:pStyle w:val="ArticleTitleEIB"/>
        <w:rPr>
          <w:color w:val="auto"/>
        </w:rPr>
      </w:pPr>
      <w:r w:rsidRPr="00653DCF">
        <w:rPr>
          <w:color w:val="auto"/>
        </w:rPr>
        <w:t>Events of Default</w:t>
      </w:r>
    </w:p>
    <w:p w14:paraId="05F18B63"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p>
    <w:p w14:paraId="1E7CFAA8" w14:textId="77777777" w:rsidR="00F0088B" w:rsidRPr="00653DCF" w:rsidRDefault="00F0088B" w:rsidP="00335497">
      <w:pPr>
        <w:pStyle w:val="Heading2"/>
        <w:ind w:left="851"/>
        <w:rPr>
          <w:color w:val="auto"/>
        </w:rPr>
      </w:pPr>
      <w:r w:rsidRPr="00653DCF">
        <w:rPr>
          <w:color w:val="auto"/>
        </w:rPr>
        <w:t>Right to demand repayment</w:t>
      </w:r>
    </w:p>
    <w:p w14:paraId="3BA8C085" w14:textId="77777777" w:rsidR="00F0088B" w:rsidRPr="00653DCF" w:rsidRDefault="00F0088B" w:rsidP="00F0088B">
      <w:pPr>
        <w:rPr>
          <w:color w:val="auto"/>
        </w:rPr>
      </w:pPr>
      <w:r w:rsidRPr="00653DCF">
        <w:rPr>
          <w:color w:val="auto"/>
        </w:rPr>
        <w:t>The Borrower shall repay all or part of the Loan Outstanding (as requested by the Bank) forthwith, together with accrued interest and all other accrued or outstanding amounts under this Contract, upon written demand being made by the Bank in accordance with the following provisions.</w:t>
      </w:r>
    </w:p>
    <w:p w14:paraId="53EE7EB7" w14:textId="77777777" w:rsidR="00F0088B" w:rsidRPr="00653DCF" w:rsidRDefault="00F0088B" w:rsidP="00335497">
      <w:pPr>
        <w:pStyle w:val="Heading3"/>
        <w:ind w:left="851"/>
        <w:rPr>
          <w:color w:val="auto"/>
        </w:rPr>
      </w:pPr>
      <w:bookmarkStart w:id="1002" w:name="_Ref426625212"/>
      <w:bookmarkStart w:id="1003" w:name="_Toc475441188"/>
      <w:bookmarkStart w:id="1004" w:name="_Toc498018683"/>
      <w:bookmarkStart w:id="1005" w:name="_Toc508120550"/>
      <w:bookmarkStart w:id="1006" w:name="_Toc126080740"/>
      <w:bookmarkStart w:id="1007" w:name="_Toc126080872"/>
      <w:r w:rsidRPr="00653DCF">
        <w:rPr>
          <w:color w:val="auto"/>
        </w:rPr>
        <w:t>Immediate demand</w:t>
      </w:r>
      <w:bookmarkEnd w:id="1002"/>
      <w:bookmarkEnd w:id="1003"/>
      <w:bookmarkEnd w:id="1004"/>
      <w:bookmarkEnd w:id="1005"/>
      <w:bookmarkEnd w:id="1006"/>
      <w:bookmarkEnd w:id="1007"/>
    </w:p>
    <w:p w14:paraId="7F80087F" w14:textId="77777777" w:rsidR="00F0088B" w:rsidRPr="00653DCF" w:rsidRDefault="00F0088B" w:rsidP="00F0088B">
      <w:pPr>
        <w:rPr>
          <w:color w:val="auto"/>
        </w:rPr>
      </w:pPr>
      <w:r w:rsidRPr="00653DCF">
        <w:rPr>
          <w:color w:val="auto"/>
        </w:rPr>
        <w:t>The Bank may make such demand immediately without prior notice (</w:t>
      </w:r>
      <w:r w:rsidRPr="00653DCF">
        <w:rPr>
          <w:rStyle w:val="ItalicEIB"/>
          <w:color w:val="auto"/>
        </w:rPr>
        <w:t>mise en demeure préalable</w:t>
      </w:r>
      <w:r w:rsidRPr="00653DCF">
        <w:rPr>
          <w:color w:val="auto"/>
        </w:rPr>
        <w:t>) or any judicial or extra judicial step:</w:t>
      </w:r>
    </w:p>
    <w:p w14:paraId="6DD2DE0E" w14:textId="77777777" w:rsidR="00F0088B" w:rsidRPr="00653DCF" w:rsidRDefault="00F0088B" w:rsidP="0024686A">
      <w:pPr>
        <w:pStyle w:val="NoIndentEIB"/>
        <w:numPr>
          <w:ilvl w:val="0"/>
          <w:numId w:val="121"/>
        </w:numPr>
        <w:rPr>
          <w:color w:val="auto"/>
        </w:rPr>
      </w:pPr>
      <w:r w:rsidRPr="00653DCF">
        <w:rPr>
          <w:color w:val="auto"/>
        </w:rPr>
        <w:t>if the Borrower does not pay on the due date any amount payable pursuant to this Contract at the place and in the currency in which it is expressed to be payable, unless:</w:t>
      </w:r>
    </w:p>
    <w:p w14:paraId="4D9DAAE8" w14:textId="77777777" w:rsidR="00F0088B" w:rsidRPr="00653DCF" w:rsidRDefault="00F0088B" w:rsidP="0024686A">
      <w:pPr>
        <w:pStyle w:val="NoIndentEIB"/>
        <w:numPr>
          <w:ilvl w:val="1"/>
          <w:numId w:val="121"/>
        </w:numPr>
        <w:rPr>
          <w:color w:val="auto"/>
        </w:rPr>
      </w:pPr>
      <w:r w:rsidRPr="00653DCF">
        <w:rPr>
          <w:color w:val="auto"/>
        </w:rPr>
        <w:t xml:space="preserve">its failure to pay is caused by an administrative or technical error or a Disruption Event; and </w:t>
      </w:r>
    </w:p>
    <w:p w14:paraId="34B26ECF" w14:textId="77777777" w:rsidR="00F0088B" w:rsidRPr="00653DCF" w:rsidRDefault="00F0088B" w:rsidP="0024686A">
      <w:pPr>
        <w:pStyle w:val="NoIndentEIB"/>
        <w:numPr>
          <w:ilvl w:val="1"/>
          <w:numId w:val="121"/>
        </w:numPr>
        <w:rPr>
          <w:color w:val="auto"/>
        </w:rPr>
      </w:pPr>
      <w:r w:rsidRPr="00653DCF">
        <w:rPr>
          <w:color w:val="auto"/>
        </w:rPr>
        <w:t>payment is made within 3 (three) Business Days of its due date;</w:t>
      </w:r>
    </w:p>
    <w:p w14:paraId="3C51BD96" w14:textId="77777777" w:rsidR="00F0088B" w:rsidRPr="00653DCF" w:rsidRDefault="00F0088B" w:rsidP="0024686A">
      <w:pPr>
        <w:pStyle w:val="NoIndentEIB"/>
        <w:numPr>
          <w:ilvl w:val="0"/>
          <w:numId w:val="121"/>
        </w:numPr>
        <w:rPr>
          <w:color w:val="auto"/>
        </w:rPr>
      </w:pPr>
      <w:r w:rsidRPr="00653DCF">
        <w:rPr>
          <w:color w:val="auto"/>
        </w:rPr>
        <w:t>if any information or document given to the Bank by or on behalf of the Borrower or the Promoter or the Project Company or any representation, warranty or statement made or deemed to be made by the Borrower in, pursuant to, or for the purposes of entering into this Contract or in connection with the negotiation or performance of this Contract is or proves to have been incorrect, incomplete or misleading in any material respect;</w:t>
      </w:r>
    </w:p>
    <w:p w14:paraId="26E2FAC9" w14:textId="77777777" w:rsidR="00F0088B" w:rsidRPr="00653DCF" w:rsidRDefault="00F0088B" w:rsidP="0024686A">
      <w:pPr>
        <w:pStyle w:val="NoIndentEIB"/>
        <w:numPr>
          <w:ilvl w:val="0"/>
          <w:numId w:val="121"/>
        </w:numPr>
        <w:rPr>
          <w:color w:val="auto"/>
        </w:rPr>
      </w:pPr>
      <w:bookmarkStart w:id="1008" w:name="_Ref427039154"/>
      <w:r w:rsidRPr="00653DCF">
        <w:rPr>
          <w:color w:val="auto"/>
        </w:rPr>
        <w:t>if,</w:t>
      </w:r>
      <w:bookmarkEnd w:id="1008"/>
      <w:r w:rsidRPr="00653DCF">
        <w:rPr>
          <w:color w:val="auto"/>
        </w:rPr>
        <w:t xml:space="preserve"> following any default in relation thereto, the Borrower is required or is capable of being required or will, following expiry of any applicable contractual grace period, be required or be capable of being required to prepay, discharge, close out or terminate ahead of maturity any other loan or obligation arising out of any financial transaction or any commitment for any other loan or obligation arising out of any financial transaction is cancelled or suspended;</w:t>
      </w:r>
    </w:p>
    <w:p w14:paraId="6CBBBBF2" w14:textId="77777777" w:rsidR="00F0088B" w:rsidRPr="00653DCF" w:rsidRDefault="00F0088B" w:rsidP="0024686A">
      <w:pPr>
        <w:pStyle w:val="NoIndentEIB"/>
        <w:numPr>
          <w:ilvl w:val="0"/>
          <w:numId w:val="121"/>
        </w:numPr>
        <w:rPr>
          <w:color w:val="auto"/>
        </w:rPr>
      </w:pPr>
      <w:r w:rsidRPr="00653DCF">
        <w:rPr>
          <w:color w:val="auto"/>
        </w:rPr>
        <w:t>if the Borrower is unable to pay its debts as they fall due, or suspends its debts, or makes or, without prior written notice to the Bank, seeks to make a composition with its creditors, including a moratorium, or, as a result of material financial difficulties, commences negotiations with one or more of its creditors with a view to rescheduling any of its financial indebtedness (by way of voluntary arrangement, scheme of arrangement or otherwise);</w:t>
      </w:r>
    </w:p>
    <w:p w14:paraId="79262554" w14:textId="77777777" w:rsidR="00F0088B" w:rsidRPr="00653DCF" w:rsidRDefault="00F0088B" w:rsidP="0024686A">
      <w:pPr>
        <w:pStyle w:val="NoIndentEIB"/>
        <w:numPr>
          <w:ilvl w:val="0"/>
          <w:numId w:val="121"/>
        </w:numPr>
        <w:rPr>
          <w:color w:val="auto"/>
        </w:rPr>
      </w:pPr>
      <w:r w:rsidRPr="00653DCF">
        <w:rPr>
          <w:color w:val="auto"/>
        </w:rPr>
        <w:t>if the Borrower defaults in the performance of any obligation in respect of any loan granted by the Bank or financial instrument entered into with the Bank or made to it from the resources of the Bank or the European Union;</w:t>
      </w:r>
    </w:p>
    <w:p w14:paraId="4772EF71" w14:textId="77777777" w:rsidR="00F0088B" w:rsidRPr="00653DCF" w:rsidRDefault="00F0088B" w:rsidP="0024686A">
      <w:pPr>
        <w:pStyle w:val="NoIndentEIB"/>
        <w:numPr>
          <w:ilvl w:val="0"/>
          <w:numId w:val="121"/>
        </w:numPr>
        <w:rPr>
          <w:color w:val="auto"/>
        </w:rPr>
      </w:pPr>
      <w:r w:rsidRPr="00653DCF">
        <w:rPr>
          <w:color w:val="auto"/>
        </w:rPr>
        <w:t>if a Material Adverse Change occurs, as compared with the Borrower’s condition at the date of this Contract;</w:t>
      </w:r>
    </w:p>
    <w:p w14:paraId="1F58997F" w14:textId="77777777" w:rsidR="00F0088B" w:rsidRPr="00653DCF" w:rsidRDefault="00F0088B" w:rsidP="0024686A">
      <w:pPr>
        <w:pStyle w:val="NoIndentEIB"/>
        <w:numPr>
          <w:ilvl w:val="0"/>
          <w:numId w:val="121"/>
        </w:numPr>
        <w:rPr>
          <w:color w:val="auto"/>
        </w:rPr>
      </w:pPr>
      <w:r w:rsidRPr="00653DCF">
        <w:rPr>
          <w:color w:val="auto"/>
        </w:rPr>
        <w:t>if it is or becomes unlawful for the Borrower to perform any of its obligations under this Contract or this Contract is not effective in accordance with its terms or is alleged by the Borrower to be ineffective in accordance with its terms.</w:t>
      </w:r>
    </w:p>
    <w:p w14:paraId="25054FA4" w14:textId="77777777" w:rsidR="00F0088B" w:rsidRPr="00653DCF" w:rsidRDefault="00F0088B" w:rsidP="00335497">
      <w:pPr>
        <w:pStyle w:val="Heading3"/>
        <w:ind w:left="851"/>
        <w:rPr>
          <w:color w:val="auto"/>
        </w:rPr>
      </w:pPr>
      <w:r w:rsidRPr="00653DCF">
        <w:rPr>
          <w:color w:val="auto"/>
        </w:rPr>
        <w:t>Demand after notice to remedy</w:t>
      </w:r>
    </w:p>
    <w:p w14:paraId="57CD0A63" w14:textId="77777777" w:rsidR="00F0088B" w:rsidRPr="00653DCF" w:rsidRDefault="00F0088B" w:rsidP="00F0088B">
      <w:pPr>
        <w:rPr>
          <w:color w:val="auto"/>
        </w:rPr>
      </w:pPr>
      <w:r w:rsidRPr="00653DCF">
        <w:rPr>
          <w:color w:val="auto"/>
        </w:rPr>
        <w:t>The Bank may also make such demand without prior notice (</w:t>
      </w:r>
      <w:r w:rsidRPr="00653DCF">
        <w:rPr>
          <w:rStyle w:val="ItalicEIB"/>
          <w:color w:val="auto"/>
        </w:rPr>
        <w:t>mise en demeure préalable</w:t>
      </w:r>
      <w:r w:rsidRPr="00653DCF">
        <w:rPr>
          <w:color w:val="auto"/>
        </w:rPr>
        <w:t>) or any judicial or extra judicial step (without prejudice to any notice referred to below):</w:t>
      </w:r>
    </w:p>
    <w:p w14:paraId="70146090" w14:textId="72C3A4F1" w:rsidR="00F0088B" w:rsidRPr="00653DCF" w:rsidRDefault="00F0088B" w:rsidP="0024686A">
      <w:pPr>
        <w:pStyle w:val="NoIndentEIB"/>
        <w:numPr>
          <w:ilvl w:val="0"/>
          <w:numId w:val="122"/>
        </w:numPr>
        <w:rPr>
          <w:color w:val="auto"/>
        </w:rPr>
      </w:pPr>
      <w:r w:rsidRPr="00653DCF">
        <w:rPr>
          <w:color w:val="auto"/>
        </w:rPr>
        <w:t>if the Borrower fails to comply with any provision of this Contract (other than those referred to in Article </w:t>
      </w:r>
      <w:r w:rsidRPr="00653DCF">
        <w:rPr>
          <w:color w:val="auto"/>
        </w:rPr>
        <w:fldChar w:fldCharType="begin"/>
      </w:r>
      <w:r w:rsidRPr="00653DCF">
        <w:rPr>
          <w:color w:val="auto"/>
        </w:rPr>
        <w:instrText xml:space="preserve"> REF _Ref426625212 \r \h  \* MERGEFORMAT </w:instrText>
      </w:r>
      <w:r w:rsidRPr="00653DCF">
        <w:rPr>
          <w:color w:val="auto"/>
        </w:rPr>
      </w:r>
      <w:r w:rsidRPr="00653DCF">
        <w:rPr>
          <w:color w:val="auto"/>
        </w:rPr>
        <w:fldChar w:fldCharType="separate"/>
      </w:r>
      <w:r w:rsidR="00E5391B">
        <w:rPr>
          <w:color w:val="auto"/>
        </w:rPr>
        <w:t>10.1.A</w:t>
      </w:r>
      <w:r w:rsidRPr="00653DCF">
        <w:rPr>
          <w:color w:val="auto"/>
        </w:rPr>
        <w:fldChar w:fldCharType="end"/>
      </w:r>
      <w:r w:rsidRPr="00653DCF">
        <w:rPr>
          <w:color w:val="auto"/>
        </w:rPr>
        <w:t>); or</w:t>
      </w:r>
    </w:p>
    <w:p w14:paraId="58C96408" w14:textId="77777777" w:rsidR="00F0088B" w:rsidRPr="00653DCF" w:rsidRDefault="00F0088B" w:rsidP="0024686A">
      <w:pPr>
        <w:pStyle w:val="NoIndentEIB"/>
        <w:numPr>
          <w:ilvl w:val="0"/>
          <w:numId w:val="122"/>
        </w:numPr>
        <w:rPr>
          <w:color w:val="auto"/>
        </w:rPr>
      </w:pPr>
      <w:r w:rsidRPr="00653DCF">
        <w:rPr>
          <w:color w:val="auto"/>
        </w:rPr>
        <w:t>if any fact related to the Borrower or the Project stated in the Recitals materially alters and is not materially restored and if the alteration either prejudices the interests of the Bank as lender to the Borrower or adversely affects the implementation or operation of the Project,</w:t>
      </w:r>
    </w:p>
    <w:p w14:paraId="410F5A27" w14:textId="77777777" w:rsidR="00F0088B" w:rsidRPr="00653DCF" w:rsidRDefault="00F0088B" w:rsidP="00F0088B">
      <w:pPr>
        <w:rPr>
          <w:color w:val="auto"/>
        </w:rPr>
      </w:pPr>
      <w:r w:rsidRPr="00653DCF">
        <w:rPr>
          <w:color w:val="auto"/>
        </w:rPr>
        <w:t xml:space="preserve">unless the non-compliance or circumstance giving rise to the non-compliance is capable of remedy and is remedied within a reasonable period of time specified in a notice served by the Bank on the Borrower. </w:t>
      </w:r>
    </w:p>
    <w:p w14:paraId="05025C71" w14:textId="77777777" w:rsidR="00F0088B" w:rsidRPr="00653DCF" w:rsidRDefault="00F0088B" w:rsidP="00335497">
      <w:pPr>
        <w:pStyle w:val="Heading2"/>
        <w:ind w:left="851"/>
        <w:rPr>
          <w:color w:val="auto"/>
        </w:rPr>
      </w:pPr>
      <w:r w:rsidRPr="00653DCF">
        <w:rPr>
          <w:color w:val="auto"/>
        </w:rPr>
        <w:t>Other rights at law</w:t>
      </w:r>
    </w:p>
    <w:p w14:paraId="46A11F76" w14:textId="2CDF97CB" w:rsidR="00F0088B" w:rsidRPr="00653DCF" w:rsidRDefault="00F0088B" w:rsidP="00F0088B">
      <w:pPr>
        <w:rPr>
          <w:color w:val="auto"/>
        </w:rPr>
      </w:pPr>
      <w:r w:rsidRPr="00653DCF">
        <w:rPr>
          <w:color w:val="auto"/>
        </w:rPr>
        <w:t>Article </w:t>
      </w:r>
      <w:r w:rsidRPr="00653DCF">
        <w:rPr>
          <w:color w:val="auto"/>
        </w:rPr>
        <w:fldChar w:fldCharType="begin"/>
      </w:r>
      <w:r w:rsidRPr="00653DCF">
        <w:rPr>
          <w:color w:val="auto"/>
        </w:rPr>
        <w:instrText xml:space="preserve"> REF _Ref426625279 \r \h </w:instrText>
      </w:r>
      <w:r w:rsidRPr="00653DCF">
        <w:rPr>
          <w:color w:val="auto"/>
        </w:rPr>
      </w:r>
      <w:r w:rsidRPr="00653DCF">
        <w:rPr>
          <w:color w:val="auto"/>
        </w:rPr>
        <w:fldChar w:fldCharType="separate"/>
      </w:r>
      <w:r w:rsidR="00E5391B">
        <w:rPr>
          <w:color w:val="auto"/>
        </w:rPr>
        <w:t>članak 10</w:t>
      </w:r>
      <w:r w:rsidRPr="00653DCF">
        <w:rPr>
          <w:color w:val="auto"/>
        </w:rPr>
        <w:fldChar w:fldCharType="end"/>
      </w:r>
      <w:r w:rsidRPr="00653DCF">
        <w:rPr>
          <w:color w:val="auto"/>
        </w:rPr>
        <w:t xml:space="preserve"> shall not restrict any other right of the Bank at law to require prepayment of the Loan Outstanding.</w:t>
      </w:r>
    </w:p>
    <w:p w14:paraId="2E40C57D" w14:textId="77777777" w:rsidR="00F0088B" w:rsidRPr="00653DCF" w:rsidRDefault="00F0088B" w:rsidP="00335497">
      <w:pPr>
        <w:pStyle w:val="Heading2"/>
        <w:ind w:left="851"/>
        <w:rPr>
          <w:color w:val="auto"/>
        </w:rPr>
      </w:pPr>
      <w:bookmarkStart w:id="1009" w:name="_Ref426625437"/>
      <w:bookmarkStart w:id="1010" w:name="_Toc475441191"/>
      <w:bookmarkStart w:id="1011" w:name="_Toc498018686"/>
      <w:bookmarkStart w:id="1012" w:name="_Toc508120553"/>
      <w:bookmarkStart w:id="1013" w:name="_Toc126080743"/>
      <w:bookmarkStart w:id="1014" w:name="_Toc126080875"/>
      <w:r w:rsidRPr="00653DCF">
        <w:rPr>
          <w:color w:val="auto"/>
        </w:rPr>
        <w:t>Indemnity</w:t>
      </w:r>
      <w:bookmarkEnd w:id="1009"/>
      <w:bookmarkEnd w:id="1010"/>
      <w:bookmarkEnd w:id="1011"/>
      <w:bookmarkEnd w:id="1012"/>
      <w:bookmarkEnd w:id="1013"/>
      <w:bookmarkEnd w:id="1014"/>
    </w:p>
    <w:p w14:paraId="05E51B2A" w14:textId="77777777" w:rsidR="00F0088B" w:rsidRPr="00653DCF" w:rsidRDefault="00F0088B" w:rsidP="00335497">
      <w:pPr>
        <w:pStyle w:val="Heading3"/>
        <w:ind w:left="851"/>
        <w:rPr>
          <w:color w:val="auto"/>
        </w:rPr>
      </w:pPr>
      <w:bookmarkStart w:id="1015" w:name="_Ref486436574"/>
      <w:bookmarkStart w:id="1016" w:name="_Toc475441192"/>
      <w:bookmarkStart w:id="1017" w:name="_Toc498018687"/>
      <w:bookmarkStart w:id="1018" w:name="_Toc508120554"/>
      <w:bookmarkStart w:id="1019" w:name="_Toc126080744"/>
      <w:bookmarkStart w:id="1020" w:name="_Toc126080876"/>
      <w:r w:rsidRPr="00653DCF">
        <w:rPr>
          <w:color w:val="auto"/>
        </w:rPr>
        <w:t>Fixed Rate Tranches</w:t>
      </w:r>
      <w:bookmarkEnd w:id="1015"/>
      <w:bookmarkEnd w:id="1016"/>
      <w:bookmarkEnd w:id="1017"/>
      <w:bookmarkEnd w:id="1018"/>
      <w:bookmarkEnd w:id="1019"/>
      <w:bookmarkEnd w:id="1020"/>
      <w:r w:rsidRPr="00653DCF">
        <w:rPr>
          <w:color w:val="auto"/>
        </w:rPr>
        <w:t xml:space="preserve"> </w:t>
      </w:r>
    </w:p>
    <w:p w14:paraId="414FCA10" w14:textId="5CA091FB" w:rsidR="00F0088B" w:rsidRPr="00653DCF" w:rsidRDefault="00F0088B" w:rsidP="00F0088B">
      <w:pPr>
        <w:rPr>
          <w:color w:val="auto"/>
        </w:rPr>
      </w:pPr>
      <w:r w:rsidRPr="00653DCF">
        <w:rPr>
          <w:color w:val="auto"/>
        </w:rPr>
        <w:t>In case of demand under Article </w:t>
      </w:r>
      <w:r w:rsidRPr="00653DCF">
        <w:rPr>
          <w:color w:val="auto"/>
        </w:rPr>
        <w:fldChar w:fldCharType="begin"/>
      </w:r>
      <w:r w:rsidRPr="00653DCF">
        <w:rPr>
          <w:color w:val="auto"/>
        </w:rPr>
        <w:instrText xml:space="preserve"> REF _Ref426625279 \r \h </w:instrText>
      </w:r>
      <w:r w:rsidRPr="00653DCF">
        <w:rPr>
          <w:color w:val="auto"/>
        </w:rPr>
      </w:r>
      <w:r w:rsidRPr="00653DCF">
        <w:rPr>
          <w:color w:val="auto"/>
        </w:rPr>
        <w:fldChar w:fldCharType="separate"/>
      </w:r>
      <w:r w:rsidR="00E5391B">
        <w:rPr>
          <w:color w:val="auto"/>
        </w:rPr>
        <w:t>članak 10</w:t>
      </w:r>
      <w:r w:rsidRPr="00653DCF">
        <w:rPr>
          <w:color w:val="auto"/>
        </w:rPr>
        <w:fldChar w:fldCharType="end"/>
      </w:r>
      <w:r w:rsidRPr="00653DCF">
        <w:rPr>
          <w:color w:val="auto"/>
        </w:rPr>
        <w:t xml:space="preserve"> in respect of any Fixed Rate Tranche, the Borrower shall pay to the Bank the amount demanded together with the indemnity on any amount of principal due to be prepaid. Such indemnity shall (i) accrue from the due date for payment specified in the Bank’s notice of demand and be calculated on the basis that prepayment is effected on the date so specified, and (ii) be for the amount communicated by the Bank to the Borrower as the present value (calculated as of the date of the prepayment) of the excess, if any, of:</w:t>
      </w:r>
    </w:p>
    <w:p w14:paraId="2D079D4F" w14:textId="77777777" w:rsidR="00F0088B" w:rsidRPr="00653DCF" w:rsidRDefault="00F0088B" w:rsidP="0024686A">
      <w:pPr>
        <w:pStyle w:val="NoIndentEIB"/>
        <w:numPr>
          <w:ilvl w:val="0"/>
          <w:numId w:val="123"/>
        </w:numPr>
        <w:rPr>
          <w:color w:val="auto"/>
        </w:rPr>
      </w:pPr>
      <w:r w:rsidRPr="00653DCF">
        <w:rPr>
          <w:color w:val="auto"/>
        </w:rPr>
        <w:t>the interest that would accrue thereafter on the amount prepaid over the period from the date of prepayment to the Interest Revision/Conversion Date, if any, or the Maturity Date, if it were not prepaid; over</w:t>
      </w:r>
    </w:p>
    <w:p w14:paraId="182A9CD8" w14:textId="77777777" w:rsidR="00F0088B" w:rsidRPr="00653DCF" w:rsidRDefault="00F0088B" w:rsidP="0024686A">
      <w:pPr>
        <w:pStyle w:val="NoIndentEIB"/>
        <w:numPr>
          <w:ilvl w:val="0"/>
          <w:numId w:val="123"/>
        </w:numPr>
        <w:rPr>
          <w:color w:val="auto"/>
        </w:rPr>
      </w:pPr>
      <w:r w:rsidRPr="00653DCF">
        <w:rPr>
          <w:color w:val="auto"/>
        </w:rPr>
        <w:t>the interest that would so accrue over that period, if it were calculated at the Redeployment Rate, less 0.19% (nineteen basis points).</w:t>
      </w:r>
    </w:p>
    <w:p w14:paraId="35CFC656" w14:textId="77777777" w:rsidR="00F0088B" w:rsidRPr="00653DCF" w:rsidRDefault="00F0088B" w:rsidP="00F0088B">
      <w:pPr>
        <w:rPr>
          <w:color w:val="auto"/>
        </w:rPr>
      </w:pPr>
      <w:r w:rsidRPr="00653DCF">
        <w:rPr>
          <w:color w:val="auto"/>
        </w:rPr>
        <w:t>The said present value shall be calculated at a discount rate equal to the Redeployment Rate, applied as of each relevant Payment Date of the applicable Tranche.</w:t>
      </w:r>
    </w:p>
    <w:p w14:paraId="7EF8B019" w14:textId="77777777" w:rsidR="00F0088B" w:rsidRPr="00653DCF" w:rsidRDefault="00F0088B" w:rsidP="00335497">
      <w:pPr>
        <w:pStyle w:val="Heading3"/>
        <w:ind w:left="851"/>
        <w:rPr>
          <w:color w:val="auto"/>
        </w:rPr>
      </w:pPr>
      <w:bookmarkStart w:id="1021" w:name="_Toc475441193"/>
      <w:bookmarkStart w:id="1022" w:name="_Toc498018688"/>
      <w:bookmarkStart w:id="1023" w:name="_Toc508120555"/>
      <w:bookmarkStart w:id="1024" w:name="_Toc126080745"/>
      <w:bookmarkStart w:id="1025" w:name="_Toc126080877"/>
      <w:r w:rsidRPr="00653DCF">
        <w:rPr>
          <w:color w:val="auto"/>
        </w:rPr>
        <w:t>Floating Rate Tranches</w:t>
      </w:r>
      <w:bookmarkEnd w:id="1021"/>
      <w:bookmarkEnd w:id="1022"/>
      <w:bookmarkEnd w:id="1023"/>
      <w:bookmarkEnd w:id="1024"/>
      <w:bookmarkEnd w:id="1025"/>
    </w:p>
    <w:p w14:paraId="2588ADA3" w14:textId="72E5F567" w:rsidR="00F0088B" w:rsidRPr="00653DCF" w:rsidRDefault="00F0088B" w:rsidP="00F0088B">
      <w:pPr>
        <w:rPr>
          <w:color w:val="auto"/>
        </w:rPr>
      </w:pPr>
      <w:r w:rsidRPr="00653DCF">
        <w:rPr>
          <w:color w:val="auto"/>
        </w:rPr>
        <w:t>In case of demand under Article </w:t>
      </w:r>
      <w:r w:rsidRPr="00653DCF">
        <w:rPr>
          <w:color w:val="auto"/>
        </w:rPr>
        <w:fldChar w:fldCharType="begin"/>
      </w:r>
      <w:r w:rsidRPr="00653DCF">
        <w:rPr>
          <w:color w:val="auto"/>
        </w:rPr>
        <w:instrText xml:space="preserve"> REF _Ref426625279 \r \h </w:instrText>
      </w:r>
      <w:r w:rsidRPr="00653DCF">
        <w:rPr>
          <w:color w:val="auto"/>
        </w:rPr>
      </w:r>
      <w:r w:rsidRPr="00653DCF">
        <w:rPr>
          <w:color w:val="auto"/>
        </w:rPr>
        <w:fldChar w:fldCharType="separate"/>
      </w:r>
      <w:r w:rsidR="00E5391B">
        <w:rPr>
          <w:color w:val="auto"/>
        </w:rPr>
        <w:t>članak 10</w:t>
      </w:r>
      <w:r w:rsidRPr="00653DCF">
        <w:rPr>
          <w:color w:val="auto"/>
        </w:rPr>
        <w:fldChar w:fldCharType="end"/>
      </w:r>
      <w:r w:rsidRPr="00653DCF">
        <w:rPr>
          <w:color w:val="auto"/>
        </w:rPr>
        <w:t xml:space="preserve"> in respect of any Floating Rate Tranche, the Borrower shall pay to the Bank the amount demanded together with a sum equal to the present value of 0.19% (nineteen basis points) per annum calculated and accruing on the amount of principal due to be prepaid in the same manner as interest would have been calculated and would have accrued, if that amount had remained outstanding according to the applicable amortisation schedule of the Tranche, until the Interest Revision/Conversion Date, if any, or the Maturity Date.</w:t>
      </w:r>
    </w:p>
    <w:p w14:paraId="077A181E" w14:textId="77777777" w:rsidR="00F0088B" w:rsidRPr="00653DCF" w:rsidRDefault="00F0088B" w:rsidP="00F0088B">
      <w:pPr>
        <w:rPr>
          <w:color w:val="auto"/>
        </w:rPr>
      </w:pPr>
      <w:r w:rsidRPr="00653DCF">
        <w:rPr>
          <w:color w:val="auto"/>
        </w:rPr>
        <w:t xml:space="preserve">The value shall be calculated at a discount rate equal to the Redeployment Rate applied as of each relevant Payment Date. </w:t>
      </w:r>
    </w:p>
    <w:p w14:paraId="71FBD877" w14:textId="77777777" w:rsidR="00F0088B" w:rsidRPr="00653DCF" w:rsidRDefault="00F0088B" w:rsidP="00335497">
      <w:pPr>
        <w:pStyle w:val="Heading3"/>
        <w:ind w:left="851"/>
        <w:rPr>
          <w:color w:val="auto"/>
        </w:rPr>
      </w:pPr>
      <w:r w:rsidRPr="00653DCF">
        <w:rPr>
          <w:color w:val="auto"/>
        </w:rPr>
        <w:t>General</w:t>
      </w:r>
    </w:p>
    <w:p w14:paraId="65AC3574" w14:textId="7305853B" w:rsidR="00F0088B" w:rsidRPr="00653DCF" w:rsidRDefault="00F0088B" w:rsidP="00F0088B">
      <w:pPr>
        <w:rPr>
          <w:color w:val="auto"/>
        </w:rPr>
      </w:pPr>
      <w:r w:rsidRPr="00653DCF">
        <w:rPr>
          <w:color w:val="auto"/>
        </w:rPr>
        <w:t>Amounts due by the Borrower pursuant to this Article </w:t>
      </w:r>
      <w:r w:rsidRPr="00653DCF">
        <w:rPr>
          <w:color w:val="auto"/>
        </w:rPr>
        <w:fldChar w:fldCharType="begin"/>
      </w:r>
      <w:r w:rsidRPr="00653DCF">
        <w:rPr>
          <w:color w:val="auto"/>
        </w:rPr>
        <w:instrText xml:space="preserve"> REF _Ref426625437 \r \h </w:instrText>
      </w:r>
      <w:r w:rsidRPr="00653DCF">
        <w:rPr>
          <w:color w:val="auto"/>
        </w:rPr>
      </w:r>
      <w:r w:rsidRPr="00653DCF">
        <w:rPr>
          <w:color w:val="auto"/>
        </w:rPr>
        <w:fldChar w:fldCharType="separate"/>
      </w:r>
      <w:r w:rsidR="00E5391B">
        <w:rPr>
          <w:color w:val="auto"/>
        </w:rPr>
        <w:t>10.3</w:t>
      </w:r>
      <w:r w:rsidRPr="00653DCF">
        <w:rPr>
          <w:color w:val="auto"/>
        </w:rPr>
        <w:fldChar w:fldCharType="end"/>
      </w:r>
      <w:r w:rsidRPr="00653DCF">
        <w:rPr>
          <w:color w:val="auto"/>
        </w:rPr>
        <w:t xml:space="preserve"> shall be payable on the date specified in the Bank’s demand.</w:t>
      </w:r>
    </w:p>
    <w:p w14:paraId="1A8B9675" w14:textId="77777777" w:rsidR="00F0088B" w:rsidRPr="00653DCF" w:rsidRDefault="00F0088B" w:rsidP="00335497">
      <w:pPr>
        <w:pStyle w:val="Heading2"/>
        <w:ind w:left="851"/>
        <w:rPr>
          <w:color w:val="auto"/>
        </w:rPr>
      </w:pPr>
      <w:bookmarkStart w:id="1026" w:name="_Toc475441195"/>
      <w:bookmarkStart w:id="1027" w:name="_Toc498018690"/>
      <w:bookmarkStart w:id="1028" w:name="_Toc508120557"/>
      <w:bookmarkStart w:id="1029" w:name="_Toc126080747"/>
      <w:bookmarkStart w:id="1030" w:name="_Toc126080879"/>
      <w:r w:rsidRPr="00653DCF">
        <w:rPr>
          <w:color w:val="auto"/>
        </w:rPr>
        <w:t>Non-Waiver</w:t>
      </w:r>
      <w:bookmarkEnd w:id="1026"/>
      <w:bookmarkEnd w:id="1027"/>
      <w:bookmarkEnd w:id="1028"/>
      <w:bookmarkEnd w:id="1029"/>
      <w:bookmarkEnd w:id="1030"/>
    </w:p>
    <w:p w14:paraId="7817CEE2" w14:textId="77777777" w:rsidR="00F0088B" w:rsidRPr="00653DCF" w:rsidRDefault="00F0088B" w:rsidP="00F0088B">
      <w:pPr>
        <w:rPr>
          <w:color w:val="auto"/>
        </w:rPr>
      </w:pPr>
      <w:r w:rsidRPr="00653DCF">
        <w:rPr>
          <w:color w:val="auto"/>
        </w:rPr>
        <w:t>No failure or delay or single or partial exercise by the Bank in exercising any of its rights or remedies under this Contract shall be construed as a waiver of such right or remedy. The rights and remedies provided in this Contract are cumulative and not exclusive of any rights or remedies provided by law.</w:t>
      </w:r>
    </w:p>
    <w:p w14:paraId="44689FC6" w14:textId="6880AAB0" w:rsidR="00F0088B" w:rsidRPr="00653DCF" w:rsidRDefault="0040421F" w:rsidP="00C40040">
      <w:pPr>
        <w:pStyle w:val="ENGLESKI"/>
      </w:pPr>
      <w:r>
        <w:t>ARTICLE 11</w:t>
      </w:r>
    </w:p>
    <w:p w14:paraId="7CC64984" w14:textId="77777777" w:rsidR="00F0088B" w:rsidRPr="00653DCF" w:rsidRDefault="00F0088B" w:rsidP="00F0088B">
      <w:pPr>
        <w:pStyle w:val="ArticleTitleEIB"/>
        <w:rPr>
          <w:color w:val="auto"/>
        </w:rPr>
      </w:pPr>
      <w:r w:rsidRPr="00653DCF">
        <w:rPr>
          <w:color w:val="auto"/>
        </w:rPr>
        <w:t>Law and jurisdiction, miscellaneous</w:t>
      </w:r>
    </w:p>
    <w:p w14:paraId="5DFF3DF2"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p>
    <w:p w14:paraId="23F84375" w14:textId="77777777" w:rsidR="00F0088B" w:rsidRPr="00653DCF" w:rsidRDefault="00F0088B" w:rsidP="00335497">
      <w:pPr>
        <w:pStyle w:val="Heading2"/>
        <w:ind w:left="851"/>
        <w:rPr>
          <w:color w:val="auto"/>
        </w:rPr>
      </w:pPr>
      <w:r w:rsidRPr="00653DCF">
        <w:rPr>
          <w:color w:val="auto"/>
        </w:rPr>
        <w:t>Governing Law</w:t>
      </w:r>
    </w:p>
    <w:p w14:paraId="0640B17B" w14:textId="77777777" w:rsidR="00F0088B" w:rsidRPr="00653DCF" w:rsidRDefault="00F0088B" w:rsidP="00F0088B">
      <w:pPr>
        <w:rPr>
          <w:color w:val="auto"/>
        </w:rPr>
      </w:pPr>
      <w:r w:rsidRPr="00653DCF">
        <w:rPr>
          <w:color w:val="auto"/>
        </w:rPr>
        <w:t>This Contract and any non-contractual obligations arising out of or in connection with it shall be governed by the laws of Luxembourg.</w:t>
      </w:r>
    </w:p>
    <w:p w14:paraId="7AE56437" w14:textId="77777777" w:rsidR="00F0088B" w:rsidRPr="00653DCF" w:rsidRDefault="00F0088B" w:rsidP="00335497">
      <w:pPr>
        <w:pStyle w:val="Heading2"/>
        <w:ind w:left="851"/>
        <w:rPr>
          <w:color w:val="auto"/>
        </w:rPr>
      </w:pPr>
      <w:r w:rsidRPr="00653DCF">
        <w:rPr>
          <w:color w:val="auto"/>
        </w:rPr>
        <w:t>Jurisdiction</w:t>
      </w:r>
    </w:p>
    <w:p w14:paraId="4D429C73" w14:textId="77777777" w:rsidR="00F0088B" w:rsidRPr="00653DCF" w:rsidRDefault="00F0088B" w:rsidP="0024686A">
      <w:pPr>
        <w:pStyle w:val="NoIndentEIB"/>
        <w:numPr>
          <w:ilvl w:val="0"/>
          <w:numId w:val="124"/>
        </w:numPr>
        <w:rPr>
          <w:color w:val="auto"/>
        </w:rPr>
      </w:pPr>
      <w:r w:rsidRPr="00653DCF">
        <w:rPr>
          <w:color w:val="auto"/>
        </w:rPr>
        <w:t>The Court of Justice of the European Union has exclusive jurisdiction to settle any dispute (a "</w:t>
      </w:r>
      <w:r w:rsidRPr="00653DCF">
        <w:rPr>
          <w:b/>
          <w:bCs/>
          <w:color w:val="auto"/>
        </w:rPr>
        <w:t>Dispute</w:t>
      </w:r>
      <w:r w:rsidRPr="00653DCF">
        <w:rPr>
          <w:color w:val="auto"/>
        </w:rPr>
        <w:t>") arising out of or in connection with this Contract (including a dispute regarding the existence, validity or termination of this Contract or the consequences of its nullity) or any non-contractual obligation arising out of or in connection with this Contract.</w:t>
      </w:r>
    </w:p>
    <w:p w14:paraId="0F78B508" w14:textId="77777777" w:rsidR="00F0088B" w:rsidRPr="00653DCF" w:rsidRDefault="00F0088B" w:rsidP="0024686A">
      <w:pPr>
        <w:pStyle w:val="NoIndentEIB"/>
        <w:numPr>
          <w:ilvl w:val="0"/>
          <w:numId w:val="124"/>
        </w:numPr>
        <w:rPr>
          <w:color w:val="auto"/>
        </w:rPr>
      </w:pPr>
      <w:r w:rsidRPr="00653DCF">
        <w:rPr>
          <w:color w:val="auto"/>
        </w:rPr>
        <w:t>The parties agree that the Court of Justice of the European Union is the most appropriate and convenient court to settle Disputes between them and, accordingly, that they will not argue to the contrary. In particular, the parties to this Contract hereby waive any immunity from or right to object to the jurisdiction of this court. A decision of the court given pursuant to this Article shall be conclusive and binding on each party without restriction or reservation.</w:t>
      </w:r>
    </w:p>
    <w:p w14:paraId="24C5B1CD" w14:textId="77777777" w:rsidR="00F0088B" w:rsidRPr="00653DCF" w:rsidRDefault="00F0088B" w:rsidP="00335497">
      <w:pPr>
        <w:pStyle w:val="Heading2"/>
        <w:ind w:left="851"/>
        <w:rPr>
          <w:color w:val="auto"/>
        </w:rPr>
      </w:pPr>
      <w:r w:rsidRPr="00653DCF">
        <w:rPr>
          <w:color w:val="auto"/>
        </w:rPr>
        <w:t>Place of performance</w:t>
      </w:r>
    </w:p>
    <w:p w14:paraId="4F42BA4C" w14:textId="77777777" w:rsidR="00F0088B" w:rsidRPr="00653DCF" w:rsidRDefault="00F0088B" w:rsidP="00F0088B">
      <w:pPr>
        <w:rPr>
          <w:color w:val="auto"/>
        </w:rPr>
      </w:pPr>
      <w:r w:rsidRPr="00653DCF">
        <w:rPr>
          <w:color w:val="auto"/>
        </w:rPr>
        <w:t xml:space="preserve">Unless otherwise specifically agreed by the Bank in writing, the place of performance under this Contract, </w:t>
      </w:r>
      <w:r w:rsidRPr="00653DCF">
        <w:rPr>
          <w:rFonts w:cs="Arial"/>
          <w:color w:val="auto"/>
        </w:rPr>
        <w:t>except for Project related undertakings</w:t>
      </w:r>
      <w:r w:rsidRPr="00653DCF">
        <w:rPr>
          <w:color w:val="auto"/>
        </w:rPr>
        <w:t>, shall be the seat of the Bank.</w:t>
      </w:r>
    </w:p>
    <w:p w14:paraId="4DF1D19F" w14:textId="77777777" w:rsidR="00F0088B" w:rsidRPr="00653DCF" w:rsidRDefault="00F0088B" w:rsidP="00335497">
      <w:pPr>
        <w:pStyle w:val="Heading2"/>
        <w:ind w:left="851"/>
        <w:rPr>
          <w:color w:val="auto"/>
        </w:rPr>
      </w:pPr>
      <w:r w:rsidRPr="00653DCF">
        <w:rPr>
          <w:color w:val="auto"/>
        </w:rPr>
        <w:t>Evidence of sums due</w:t>
      </w:r>
    </w:p>
    <w:p w14:paraId="51039CB3" w14:textId="77777777" w:rsidR="00F0088B" w:rsidRPr="00653DCF" w:rsidRDefault="00F0088B" w:rsidP="00F0088B">
      <w:pPr>
        <w:rPr>
          <w:color w:val="auto"/>
        </w:rPr>
      </w:pPr>
      <w:r w:rsidRPr="00653DCF">
        <w:rPr>
          <w:color w:val="auto"/>
        </w:rPr>
        <w:t>In any legal action arising out of this Contract the certificate of the Bank as to any amount or rate due to the Bank under this Contract shall, in the absence of manifest error, be prima facie evidence of such amount or rate.</w:t>
      </w:r>
    </w:p>
    <w:p w14:paraId="129F5400" w14:textId="77777777" w:rsidR="00F0088B" w:rsidRPr="00653DCF" w:rsidRDefault="00F0088B" w:rsidP="00335497">
      <w:pPr>
        <w:pStyle w:val="Heading2"/>
        <w:ind w:left="851"/>
        <w:rPr>
          <w:color w:val="auto"/>
        </w:rPr>
      </w:pPr>
      <w:bookmarkStart w:id="1031" w:name="_Toc475441201"/>
      <w:bookmarkStart w:id="1032" w:name="_Toc498018696"/>
      <w:bookmarkStart w:id="1033" w:name="_Toc508120563"/>
      <w:bookmarkStart w:id="1034" w:name="_Toc126080753"/>
      <w:bookmarkStart w:id="1035" w:name="_Toc126080885"/>
      <w:r w:rsidRPr="00653DCF">
        <w:rPr>
          <w:color w:val="auto"/>
        </w:rPr>
        <w:t>Entire Agreement</w:t>
      </w:r>
      <w:bookmarkEnd w:id="1031"/>
      <w:bookmarkEnd w:id="1032"/>
      <w:bookmarkEnd w:id="1033"/>
      <w:bookmarkEnd w:id="1034"/>
      <w:bookmarkEnd w:id="1035"/>
    </w:p>
    <w:p w14:paraId="056636BB" w14:textId="77777777" w:rsidR="00F0088B" w:rsidRPr="00653DCF" w:rsidRDefault="00F0088B" w:rsidP="00F0088B">
      <w:pPr>
        <w:rPr>
          <w:color w:val="auto"/>
        </w:rPr>
      </w:pPr>
      <w:r w:rsidRPr="00653DCF">
        <w:rPr>
          <w:color w:val="auto"/>
        </w:rPr>
        <w:t>This Contract constitutes the entire agreement between the Bank and the Borrower in relation to the provision of the Credit hereunder, and supersedes any previous agreement, whether express or implied, on the same matter.</w:t>
      </w:r>
    </w:p>
    <w:p w14:paraId="3D4E5649" w14:textId="77777777" w:rsidR="00F0088B" w:rsidRPr="00653DCF" w:rsidRDefault="00F0088B" w:rsidP="00335497">
      <w:pPr>
        <w:pStyle w:val="Heading2"/>
        <w:ind w:left="851"/>
        <w:rPr>
          <w:color w:val="auto"/>
        </w:rPr>
      </w:pPr>
      <w:bookmarkStart w:id="1036" w:name="_Toc475441202"/>
      <w:bookmarkStart w:id="1037" w:name="_Toc498018697"/>
      <w:bookmarkStart w:id="1038" w:name="_Toc508120564"/>
      <w:bookmarkStart w:id="1039" w:name="_Toc126080754"/>
      <w:bookmarkStart w:id="1040" w:name="_Toc126080886"/>
      <w:r w:rsidRPr="00653DCF">
        <w:rPr>
          <w:color w:val="auto"/>
        </w:rPr>
        <w:t>Invalidity</w:t>
      </w:r>
      <w:bookmarkEnd w:id="1036"/>
      <w:bookmarkEnd w:id="1037"/>
      <w:bookmarkEnd w:id="1038"/>
      <w:bookmarkEnd w:id="1039"/>
      <w:bookmarkEnd w:id="1040"/>
    </w:p>
    <w:p w14:paraId="01510AC3" w14:textId="77777777" w:rsidR="00F0088B" w:rsidRPr="00653DCF" w:rsidRDefault="00F0088B" w:rsidP="00F0088B">
      <w:pPr>
        <w:rPr>
          <w:color w:val="auto"/>
        </w:rPr>
      </w:pPr>
      <w:r w:rsidRPr="00653DCF">
        <w:rPr>
          <w:color w:val="auto"/>
        </w:rPr>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14:paraId="1D167EF5" w14:textId="77777777" w:rsidR="00F0088B" w:rsidRPr="00653DCF" w:rsidRDefault="00F0088B" w:rsidP="0024686A">
      <w:pPr>
        <w:pStyle w:val="NoIndentEIB"/>
        <w:numPr>
          <w:ilvl w:val="0"/>
          <w:numId w:val="125"/>
        </w:numPr>
        <w:rPr>
          <w:color w:val="auto"/>
        </w:rPr>
      </w:pPr>
      <w:r w:rsidRPr="00653DCF">
        <w:rPr>
          <w:color w:val="auto"/>
        </w:rPr>
        <w:t>the legality, validity or enforceability in that jurisdiction of any other term of this Contract or the effectiveness in any other respect of this Contract in that jurisdiction; or</w:t>
      </w:r>
    </w:p>
    <w:p w14:paraId="0311459D" w14:textId="77777777" w:rsidR="00F0088B" w:rsidRPr="00653DCF" w:rsidRDefault="00F0088B" w:rsidP="0024686A">
      <w:pPr>
        <w:pStyle w:val="NoIndentEIB"/>
        <w:numPr>
          <w:ilvl w:val="0"/>
          <w:numId w:val="125"/>
        </w:numPr>
        <w:rPr>
          <w:color w:val="auto"/>
        </w:rPr>
      </w:pPr>
      <w:r w:rsidRPr="00653DCF">
        <w:rPr>
          <w:color w:val="auto"/>
        </w:rPr>
        <w:t>the legality, validity or enforceability in other jurisdictions of that or any other term of this Contract or the effectiveness of this Contract under the laws of such other jurisdictions.</w:t>
      </w:r>
    </w:p>
    <w:p w14:paraId="48A85763" w14:textId="77777777" w:rsidR="00F0088B" w:rsidRPr="00653DCF" w:rsidRDefault="00F0088B" w:rsidP="00335497">
      <w:pPr>
        <w:pStyle w:val="Heading2"/>
        <w:ind w:left="851"/>
        <w:rPr>
          <w:color w:val="auto"/>
        </w:rPr>
      </w:pPr>
      <w:bookmarkStart w:id="1041" w:name="_Toc475441203"/>
      <w:bookmarkStart w:id="1042" w:name="_Toc498018698"/>
      <w:bookmarkStart w:id="1043" w:name="_Toc508120565"/>
      <w:bookmarkStart w:id="1044" w:name="_Toc126080755"/>
      <w:bookmarkStart w:id="1045" w:name="_Toc126080887"/>
      <w:r w:rsidRPr="00653DCF">
        <w:rPr>
          <w:color w:val="auto"/>
        </w:rPr>
        <w:t>Amendments</w:t>
      </w:r>
      <w:bookmarkEnd w:id="1041"/>
      <w:bookmarkEnd w:id="1042"/>
      <w:bookmarkEnd w:id="1043"/>
      <w:bookmarkEnd w:id="1044"/>
      <w:bookmarkEnd w:id="1045"/>
    </w:p>
    <w:p w14:paraId="7D2D4DC3" w14:textId="77777777" w:rsidR="00F0088B" w:rsidRPr="00653DCF" w:rsidRDefault="00F0088B" w:rsidP="00F0088B">
      <w:pPr>
        <w:rPr>
          <w:color w:val="auto"/>
        </w:rPr>
      </w:pPr>
      <w:r w:rsidRPr="00653DCF">
        <w:rPr>
          <w:color w:val="auto"/>
        </w:rPr>
        <w:t>Any amendment to this Contract shall be made in writing and shall be signed by the Parties.</w:t>
      </w:r>
    </w:p>
    <w:p w14:paraId="4E0D345D" w14:textId="77777777" w:rsidR="00F0088B" w:rsidRPr="00653DCF" w:rsidRDefault="00F0088B" w:rsidP="00335497">
      <w:pPr>
        <w:pStyle w:val="Heading2"/>
        <w:ind w:left="851"/>
        <w:rPr>
          <w:color w:val="auto"/>
        </w:rPr>
      </w:pPr>
      <w:bookmarkStart w:id="1046" w:name="_Toc475441204"/>
      <w:bookmarkStart w:id="1047" w:name="_Toc498018699"/>
      <w:bookmarkStart w:id="1048" w:name="_Toc508120566"/>
      <w:bookmarkStart w:id="1049" w:name="_Toc126080756"/>
      <w:bookmarkStart w:id="1050" w:name="_Toc126080888"/>
      <w:r w:rsidRPr="00653DCF">
        <w:rPr>
          <w:color w:val="auto"/>
        </w:rPr>
        <w:t>Counterparts</w:t>
      </w:r>
      <w:bookmarkEnd w:id="1046"/>
      <w:bookmarkEnd w:id="1047"/>
      <w:bookmarkEnd w:id="1048"/>
      <w:bookmarkEnd w:id="1049"/>
      <w:bookmarkEnd w:id="1050"/>
    </w:p>
    <w:p w14:paraId="6B9EBDCE" w14:textId="77777777" w:rsidR="00F0088B" w:rsidRPr="00653DCF" w:rsidRDefault="00F0088B" w:rsidP="00F0088B">
      <w:pPr>
        <w:rPr>
          <w:color w:val="auto"/>
        </w:rPr>
      </w:pPr>
      <w:r w:rsidRPr="00653DCF">
        <w:rPr>
          <w:color w:val="auto"/>
        </w:rPr>
        <w:t>This Contract may be executed in any number of counterparts, all of which taken together shall constitute one and the same instrument. Each counterpart is an original, but all counterparts shall together constitute one and the same instrument.</w:t>
      </w:r>
    </w:p>
    <w:p w14:paraId="43E488DD" w14:textId="688D0B8D" w:rsidR="00F0088B" w:rsidRPr="00653DCF" w:rsidRDefault="00992CF6" w:rsidP="00C40040">
      <w:pPr>
        <w:pStyle w:val="ENGLESKI"/>
      </w:pPr>
      <w:r>
        <w:t>ARTICLE 12</w:t>
      </w:r>
    </w:p>
    <w:p w14:paraId="31635808" w14:textId="77777777" w:rsidR="00F0088B" w:rsidRPr="00653DCF" w:rsidRDefault="00F0088B" w:rsidP="00F0088B">
      <w:pPr>
        <w:pStyle w:val="ArticleTitleEIB"/>
        <w:rPr>
          <w:color w:val="auto"/>
        </w:rPr>
      </w:pPr>
      <w:r w:rsidRPr="00653DCF">
        <w:rPr>
          <w:color w:val="auto"/>
        </w:rPr>
        <w:t>Final clauses</w:t>
      </w:r>
    </w:p>
    <w:p w14:paraId="4B350B44" w14:textId="77777777" w:rsidR="00F0088B" w:rsidRPr="00653DCF" w:rsidRDefault="00F0088B" w:rsidP="00F0088B">
      <w:pPr>
        <w:pStyle w:val="ListParagraph"/>
        <w:keepNext/>
        <w:keepLines/>
        <w:numPr>
          <w:ilvl w:val="0"/>
          <w:numId w:val="62"/>
        </w:numPr>
        <w:spacing w:before="360"/>
        <w:contextualSpacing w:val="0"/>
        <w:jc w:val="center"/>
        <w:outlineLvl w:val="0"/>
        <w:rPr>
          <w:rFonts w:eastAsiaTheme="majorEastAsia" w:cstheme="majorBidi"/>
          <w:b/>
          <w:caps/>
          <w:vanish/>
          <w:color w:val="auto"/>
          <w:u w:val="single"/>
        </w:rPr>
      </w:pPr>
    </w:p>
    <w:p w14:paraId="4CFDF9CF" w14:textId="77777777" w:rsidR="00F0088B" w:rsidRPr="00653DCF" w:rsidRDefault="00F0088B" w:rsidP="00335497">
      <w:pPr>
        <w:pStyle w:val="Heading2"/>
        <w:ind w:left="851"/>
        <w:rPr>
          <w:color w:val="auto"/>
        </w:rPr>
      </w:pPr>
      <w:r w:rsidRPr="00653DCF">
        <w:rPr>
          <w:color w:val="auto"/>
        </w:rPr>
        <w:t xml:space="preserve">Notices </w:t>
      </w:r>
    </w:p>
    <w:p w14:paraId="46654654" w14:textId="77777777" w:rsidR="00F0088B" w:rsidRPr="00653DCF" w:rsidRDefault="00F0088B" w:rsidP="00F0088B">
      <w:pPr>
        <w:rPr>
          <w:color w:val="auto"/>
        </w:rPr>
      </w:pPr>
      <w:r w:rsidRPr="00653DCF">
        <w:rPr>
          <w:color w:val="auto"/>
        </w:rPr>
        <w:t>For the avoidance of doubt, all notices and other communication under this Contract by the Bank to the Borrower shall be sent to the Ministry of Finance with copy to the Ministry of the Sea, Transport and Infrastructure, and all notices and other communication under this Contract by the Bank to the Promoter shall be sent to the Ministry of the Sea, Transport and Infrastructure with copy to the Ministry of Finance.</w:t>
      </w:r>
    </w:p>
    <w:p w14:paraId="3647CCF9" w14:textId="77777777" w:rsidR="00F0088B" w:rsidRPr="00653DCF" w:rsidRDefault="00F0088B" w:rsidP="00F0088B">
      <w:pPr>
        <w:rPr>
          <w:color w:val="auto"/>
        </w:rPr>
      </w:pPr>
      <w:r w:rsidRPr="00653DCF">
        <w:rPr>
          <w:color w:val="auto"/>
        </w:rPr>
        <w:t>For the avoidance of doubt, all notices and other communication under this Contract by the Promoter to the Bank shall be sent through or with copy to the Ministry of Finance, and all notices and other communications given under this Contract by the Borrower to the Bank shall be sent by the Ministry of Finance with copy to the Ministry of the Sea, Transport and Infrastructure.</w:t>
      </w:r>
    </w:p>
    <w:p w14:paraId="7B8F38BB" w14:textId="77777777" w:rsidR="00F0088B" w:rsidRPr="00653DCF" w:rsidRDefault="00F0088B" w:rsidP="00335497">
      <w:pPr>
        <w:pStyle w:val="Heading3"/>
        <w:ind w:left="851"/>
        <w:rPr>
          <w:color w:val="auto"/>
        </w:rPr>
      </w:pPr>
      <w:r w:rsidRPr="00653DCF">
        <w:rPr>
          <w:color w:val="auto"/>
        </w:rPr>
        <w:t>Form of Notice</w:t>
      </w:r>
    </w:p>
    <w:p w14:paraId="40805AB1" w14:textId="77777777" w:rsidR="00F0088B" w:rsidRPr="00653DCF" w:rsidRDefault="00F0088B" w:rsidP="0024686A">
      <w:pPr>
        <w:pStyle w:val="NoIndentEIB"/>
        <w:numPr>
          <w:ilvl w:val="0"/>
          <w:numId w:val="143"/>
        </w:numPr>
        <w:rPr>
          <w:color w:val="auto"/>
        </w:rPr>
      </w:pPr>
      <w:r w:rsidRPr="00653DCF">
        <w:rPr>
          <w:color w:val="auto"/>
        </w:rPr>
        <w:t>Any notice or other communication given under this Contract must be in writing and, unless otherwise stated, may be made by letter or electronic mail.</w:t>
      </w:r>
    </w:p>
    <w:p w14:paraId="1723FC6A" w14:textId="77777777" w:rsidR="00F0088B" w:rsidRPr="00653DCF" w:rsidRDefault="00F0088B" w:rsidP="0024686A">
      <w:pPr>
        <w:pStyle w:val="NoIndentEIB"/>
        <w:numPr>
          <w:ilvl w:val="0"/>
          <w:numId w:val="143"/>
        </w:numPr>
        <w:rPr>
          <w:color w:val="auto"/>
        </w:rPr>
      </w:pPr>
      <w:r w:rsidRPr="00653DCF">
        <w:rPr>
          <w:color w:val="auto"/>
        </w:rPr>
        <w:t xml:space="preserve">Notices and other communications for which fixed periods are laid down in this Contract or which themselves fix periods binding on the addressee, may be made by hand delivery, registered letter or by electronic mail. Such notices and communications shall be deemed to have been received by the other Party: </w:t>
      </w:r>
    </w:p>
    <w:p w14:paraId="5A972641" w14:textId="77777777" w:rsidR="00F0088B" w:rsidRPr="00653DCF" w:rsidRDefault="00F0088B" w:rsidP="0024686A">
      <w:pPr>
        <w:pStyle w:val="NoIndentEIB"/>
        <w:numPr>
          <w:ilvl w:val="1"/>
          <w:numId w:val="121"/>
        </w:numPr>
        <w:rPr>
          <w:color w:val="auto"/>
        </w:rPr>
      </w:pPr>
      <w:r w:rsidRPr="00653DCF">
        <w:rPr>
          <w:color w:val="auto"/>
        </w:rPr>
        <w:t>on the date of delivery in relation to a hand-delivered or registered letter;</w:t>
      </w:r>
    </w:p>
    <w:p w14:paraId="73A36AD8" w14:textId="77777777" w:rsidR="00F0088B" w:rsidRPr="00653DCF" w:rsidRDefault="00F0088B" w:rsidP="0024686A">
      <w:pPr>
        <w:pStyle w:val="NoIndentEIB"/>
        <w:numPr>
          <w:ilvl w:val="1"/>
          <w:numId w:val="121"/>
        </w:numPr>
        <w:rPr>
          <w:color w:val="auto"/>
        </w:rPr>
      </w:pPr>
      <w:r w:rsidRPr="00653DCF">
        <w:rPr>
          <w:color w:val="auto"/>
        </w:rPr>
        <w:t>in the case of any electronic mail:</w:t>
      </w:r>
    </w:p>
    <w:p w14:paraId="5F46DB80" w14:textId="49CA71E6" w:rsidR="00F0088B" w:rsidRPr="00653DCF" w:rsidRDefault="00F0088B" w:rsidP="0024686A">
      <w:pPr>
        <w:pStyle w:val="NoIndentEIB"/>
        <w:numPr>
          <w:ilvl w:val="2"/>
          <w:numId w:val="121"/>
        </w:numPr>
        <w:rPr>
          <w:color w:val="auto"/>
        </w:rPr>
      </w:pPr>
      <w:r w:rsidRPr="00653DCF">
        <w:rPr>
          <w:color w:val="auto"/>
        </w:rPr>
        <w:t xml:space="preserve">(except for Disbursement Notice referred to in paragraph </w:t>
      </w:r>
      <w:r w:rsidRPr="00653DCF">
        <w:rPr>
          <w:color w:val="auto"/>
        </w:rPr>
        <w:fldChar w:fldCharType="begin"/>
      </w:r>
      <w:r w:rsidRPr="00653DCF">
        <w:rPr>
          <w:color w:val="auto"/>
        </w:rPr>
        <w:instrText xml:space="preserve"> REF _Ref61447421 \n \h </w:instrText>
      </w:r>
      <w:r w:rsidRPr="00653DCF">
        <w:rPr>
          <w:color w:val="auto"/>
        </w:rPr>
      </w:r>
      <w:r w:rsidRPr="00653DCF">
        <w:rPr>
          <w:color w:val="auto"/>
        </w:rPr>
        <w:fldChar w:fldCharType="separate"/>
      </w:r>
      <w:r w:rsidR="00E5391B">
        <w:rPr>
          <w:color w:val="auto"/>
        </w:rPr>
        <w:t>(2)</w:t>
      </w:r>
      <w:r w:rsidRPr="00653DCF">
        <w:rPr>
          <w:color w:val="auto"/>
        </w:rPr>
        <w:fldChar w:fldCharType="end"/>
      </w:r>
      <w:r w:rsidRPr="00653DCF">
        <w:rPr>
          <w:color w:val="auto"/>
        </w:rPr>
        <w:t xml:space="preserve"> below), only    when such electronic mail is actually received in readable form and only if it is addressed in such a manner as the other Party shall specify for this purpose; and  </w:t>
      </w:r>
    </w:p>
    <w:p w14:paraId="3C5FA13B" w14:textId="77777777" w:rsidR="00F0088B" w:rsidRPr="00653DCF" w:rsidRDefault="00F0088B" w:rsidP="0024686A">
      <w:pPr>
        <w:pStyle w:val="NoIndentEIB"/>
        <w:numPr>
          <w:ilvl w:val="2"/>
          <w:numId w:val="121"/>
        </w:numPr>
        <w:rPr>
          <w:color w:val="auto"/>
        </w:rPr>
      </w:pPr>
      <w:r w:rsidRPr="00653DCF">
        <w:rPr>
          <w:color w:val="auto"/>
        </w:rPr>
        <w:t>which contains a Disbursement Notice, only when such electronic mail is sent by the Bank to the Borrower.</w:t>
      </w:r>
    </w:p>
    <w:p w14:paraId="3BB92535" w14:textId="77777777" w:rsidR="00F0088B" w:rsidRPr="00653DCF" w:rsidRDefault="00F0088B" w:rsidP="0024686A">
      <w:pPr>
        <w:pStyle w:val="NoIndentEIB"/>
        <w:numPr>
          <w:ilvl w:val="0"/>
          <w:numId w:val="143"/>
        </w:numPr>
        <w:rPr>
          <w:color w:val="auto"/>
        </w:rPr>
      </w:pPr>
      <w:r w:rsidRPr="00653DCF">
        <w:rPr>
          <w:color w:val="auto"/>
        </w:rPr>
        <w:t>Any notice provided by the Borrower to the Bank by electronic mail shall:</w:t>
      </w:r>
    </w:p>
    <w:p w14:paraId="48D534C0" w14:textId="77777777" w:rsidR="00F0088B" w:rsidRPr="00653DCF" w:rsidRDefault="00F0088B" w:rsidP="0024686A">
      <w:pPr>
        <w:pStyle w:val="NoIndentEIB"/>
        <w:numPr>
          <w:ilvl w:val="1"/>
          <w:numId w:val="143"/>
        </w:numPr>
        <w:rPr>
          <w:color w:val="auto"/>
        </w:rPr>
      </w:pPr>
      <w:r w:rsidRPr="00653DCF">
        <w:rPr>
          <w:color w:val="auto"/>
        </w:rPr>
        <w:t>mention the Contract Number in the subject line; and</w:t>
      </w:r>
    </w:p>
    <w:p w14:paraId="36558311" w14:textId="77777777" w:rsidR="00F0088B" w:rsidRPr="00653DCF" w:rsidRDefault="00F0088B" w:rsidP="0024686A">
      <w:pPr>
        <w:pStyle w:val="NoIndentEIB"/>
        <w:numPr>
          <w:ilvl w:val="1"/>
          <w:numId w:val="143"/>
        </w:numPr>
        <w:rPr>
          <w:color w:val="auto"/>
        </w:rPr>
      </w:pPr>
      <w:r w:rsidRPr="00653DCF">
        <w:rPr>
          <w:color w:val="auto"/>
        </w:rPr>
        <w:t>be in the form of a non-editable electronic image (pdf, tif or other common non editable file format agreed between the Parties) of the notice signed by an Authorised Signatory with individual representation right or by two or more Authorised Signatories with joint representation right of the Borrower, as appropriate, attached to the electronic mail.</w:t>
      </w:r>
    </w:p>
    <w:p w14:paraId="0991EA70" w14:textId="77777777" w:rsidR="00F0088B" w:rsidRPr="00653DCF" w:rsidRDefault="00F0088B" w:rsidP="0024686A">
      <w:pPr>
        <w:pStyle w:val="NoIndentEIB"/>
        <w:numPr>
          <w:ilvl w:val="0"/>
          <w:numId w:val="143"/>
        </w:numPr>
        <w:rPr>
          <w:color w:val="auto"/>
        </w:rPr>
      </w:pPr>
      <w:r w:rsidRPr="00653DCF">
        <w:rPr>
          <w:color w:val="auto"/>
        </w:rPr>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p>
    <w:p w14:paraId="3DDB7433" w14:textId="34BDC55B" w:rsidR="00F0088B" w:rsidRPr="00653DCF" w:rsidRDefault="00F0088B" w:rsidP="0024686A">
      <w:pPr>
        <w:pStyle w:val="NoIndentEIB"/>
        <w:numPr>
          <w:ilvl w:val="0"/>
          <w:numId w:val="143"/>
        </w:numPr>
        <w:rPr>
          <w:color w:val="auto"/>
        </w:rPr>
      </w:pPr>
      <w:r w:rsidRPr="00653DCF">
        <w:rPr>
          <w:color w:val="auto"/>
        </w:rPr>
        <w:t>Without affecting the validity of electronic mail notices or communication made in accordance with this Article </w:t>
      </w:r>
      <w:r w:rsidRPr="00653DCF">
        <w:rPr>
          <w:color w:val="auto"/>
        </w:rPr>
        <w:fldChar w:fldCharType="begin"/>
      </w:r>
      <w:r w:rsidRPr="00653DCF">
        <w:rPr>
          <w:color w:val="auto"/>
        </w:rPr>
        <w:instrText xml:space="preserve"> REF _Ref487687478 \r \h </w:instrText>
      </w:r>
      <w:r w:rsidRPr="00653DCF">
        <w:rPr>
          <w:color w:val="auto"/>
        </w:rPr>
      </w:r>
      <w:r w:rsidRPr="00653DCF">
        <w:rPr>
          <w:color w:val="auto"/>
        </w:rPr>
        <w:fldChar w:fldCharType="separate"/>
      </w:r>
      <w:r w:rsidR="00E5391B">
        <w:rPr>
          <w:color w:val="auto"/>
        </w:rPr>
        <w:t>članak 12</w:t>
      </w:r>
      <w:r w:rsidRPr="00653DCF">
        <w:rPr>
          <w:color w:val="auto"/>
        </w:rPr>
        <w:fldChar w:fldCharType="end"/>
      </w:r>
      <w:r w:rsidRPr="00653DCF">
        <w:rPr>
          <w:color w:val="auto"/>
        </w:rPr>
        <w:t>, the following notices, communications and documents shall also be sent by registered letter to the relevant Party at the latest on the immediately following Business Day:</w:t>
      </w:r>
    </w:p>
    <w:p w14:paraId="27059422" w14:textId="77777777" w:rsidR="00F0088B" w:rsidRPr="00653DCF" w:rsidRDefault="00F0088B" w:rsidP="0024686A">
      <w:pPr>
        <w:pStyle w:val="NoIndentEIB"/>
        <w:numPr>
          <w:ilvl w:val="1"/>
          <w:numId w:val="143"/>
        </w:numPr>
        <w:rPr>
          <w:color w:val="auto"/>
        </w:rPr>
      </w:pPr>
      <w:r w:rsidRPr="00653DCF">
        <w:rPr>
          <w:color w:val="auto"/>
        </w:rPr>
        <w:t>Disbursement Request;</w:t>
      </w:r>
    </w:p>
    <w:p w14:paraId="1C109A65" w14:textId="1E839DAB" w:rsidR="00F0088B" w:rsidRPr="00653DCF" w:rsidRDefault="00F0088B" w:rsidP="0024686A">
      <w:pPr>
        <w:pStyle w:val="NoIndentEIB"/>
        <w:numPr>
          <w:ilvl w:val="1"/>
          <w:numId w:val="143"/>
        </w:numPr>
        <w:rPr>
          <w:color w:val="auto"/>
        </w:rPr>
      </w:pPr>
      <w:r w:rsidRPr="00653DCF">
        <w:rPr>
          <w:color w:val="auto"/>
        </w:rPr>
        <w:t>revocation of a Disbursement Request according to Article </w:t>
      </w:r>
      <w:r w:rsidRPr="00653DCF">
        <w:rPr>
          <w:color w:val="auto"/>
        </w:rPr>
        <w:fldChar w:fldCharType="begin"/>
      </w:r>
      <w:r w:rsidRPr="00653DCF">
        <w:rPr>
          <w:color w:val="auto"/>
        </w:rPr>
        <w:instrText xml:space="preserve"> REF _Ref426713118 \r \h  \* MERGEFORMAT </w:instrText>
      </w:r>
      <w:r w:rsidRPr="00653DCF">
        <w:rPr>
          <w:color w:val="auto"/>
        </w:rPr>
      </w:r>
      <w:r w:rsidRPr="00653DCF">
        <w:rPr>
          <w:color w:val="auto"/>
        </w:rPr>
        <w:fldChar w:fldCharType="separate"/>
      </w:r>
      <w:r w:rsidR="00E5391B">
        <w:rPr>
          <w:color w:val="auto"/>
        </w:rPr>
        <w:t>1.2.C</w:t>
      </w:r>
      <w:r w:rsidRPr="00653DCF">
        <w:rPr>
          <w:color w:val="auto"/>
        </w:rPr>
        <w:fldChar w:fldCharType="end"/>
      </w:r>
      <w:r w:rsidRPr="00653DCF">
        <w:rPr>
          <w:color w:val="auto"/>
        </w:rPr>
        <w:fldChar w:fldCharType="begin"/>
      </w:r>
      <w:r w:rsidRPr="00653DCF">
        <w:rPr>
          <w:color w:val="auto"/>
        </w:rPr>
        <w:instrText xml:space="preserve"> REF _Ref466908822 \r \h  \* MERGEFORMAT </w:instrText>
      </w:r>
      <w:r w:rsidRPr="00653DCF">
        <w:rPr>
          <w:color w:val="auto"/>
        </w:rPr>
      </w:r>
      <w:r w:rsidRPr="00653DCF">
        <w:rPr>
          <w:color w:val="auto"/>
        </w:rPr>
        <w:fldChar w:fldCharType="separate"/>
      </w:r>
      <w:r w:rsidR="00E5391B">
        <w:rPr>
          <w:color w:val="auto"/>
        </w:rPr>
        <w:t>(b)</w:t>
      </w:r>
      <w:r w:rsidRPr="00653DCF">
        <w:rPr>
          <w:color w:val="auto"/>
        </w:rPr>
        <w:fldChar w:fldCharType="end"/>
      </w:r>
      <w:r w:rsidRPr="00653DCF">
        <w:rPr>
          <w:color w:val="auto"/>
        </w:rPr>
        <w:t>;</w:t>
      </w:r>
    </w:p>
    <w:p w14:paraId="43FFD774" w14:textId="77777777" w:rsidR="00F0088B" w:rsidRPr="00653DCF" w:rsidRDefault="00F0088B" w:rsidP="0024686A">
      <w:pPr>
        <w:pStyle w:val="NoIndentEIB"/>
        <w:numPr>
          <w:ilvl w:val="1"/>
          <w:numId w:val="143"/>
        </w:numPr>
        <w:rPr>
          <w:color w:val="auto"/>
        </w:rPr>
      </w:pPr>
      <w:r w:rsidRPr="00653DCF">
        <w:rPr>
          <w:color w:val="auto"/>
        </w:rPr>
        <w:t>any notices and communication in respect of the deferment, cancellation and suspension of a disbursement of any Tranche, interest revision or conversion of any Tranche, Market Disruption Event, Prepayment Request, Prepayment Notice, Event of Default, any demand for prepayment; and</w:t>
      </w:r>
    </w:p>
    <w:p w14:paraId="48F950E9" w14:textId="77777777" w:rsidR="00F0088B" w:rsidRPr="00653DCF" w:rsidRDefault="00F0088B" w:rsidP="0024686A">
      <w:pPr>
        <w:pStyle w:val="NoIndentEIB"/>
        <w:numPr>
          <w:ilvl w:val="1"/>
          <w:numId w:val="143"/>
        </w:numPr>
        <w:rPr>
          <w:color w:val="auto"/>
        </w:rPr>
      </w:pPr>
      <w:r w:rsidRPr="00653DCF">
        <w:rPr>
          <w:color w:val="auto"/>
        </w:rPr>
        <w:t>any other notice, communication or document required by the Bank.</w:t>
      </w:r>
    </w:p>
    <w:p w14:paraId="1FA1D755" w14:textId="77777777" w:rsidR="00F0088B" w:rsidRPr="00653DCF" w:rsidRDefault="00F0088B" w:rsidP="0024686A">
      <w:pPr>
        <w:pStyle w:val="NoIndentEIB"/>
        <w:numPr>
          <w:ilvl w:val="0"/>
          <w:numId w:val="143"/>
        </w:numPr>
        <w:rPr>
          <w:color w:val="auto"/>
        </w:rPr>
      </w:pPr>
      <w:r w:rsidRPr="00653DCF">
        <w:rPr>
          <w:color w:val="auto"/>
        </w:rPr>
        <w:t>The Parties agree that any above communication (including via electronic mail) is an accepted form of communication, shall constitute admissible evidence in court and shall have the same evidential value as an agreement under hand (</w:t>
      </w:r>
      <w:r w:rsidRPr="00653DCF">
        <w:rPr>
          <w:rStyle w:val="ItalicEIB"/>
          <w:color w:val="auto"/>
        </w:rPr>
        <w:t>sous seing privé</w:t>
      </w:r>
      <w:r w:rsidRPr="00653DCF">
        <w:rPr>
          <w:color w:val="auto"/>
        </w:rPr>
        <w:t>).</w:t>
      </w:r>
    </w:p>
    <w:p w14:paraId="1ECEA5CF" w14:textId="77777777" w:rsidR="00F0088B" w:rsidRPr="00653DCF" w:rsidRDefault="00F0088B" w:rsidP="00335497">
      <w:pPr>
        <w:pStyle w:val="Heading3"/>
        <w:ind w:left="851"/>
        <w:rPr>
          <w:color w:val="auto"/>
        </w:rPr>
      </w:pPr>
      <w:r w:rsidRPr="00653DCF">
        <w:rPr>
          <w:color w:val="auto"/>
        </w:rPr>
        <w:t>Addresses</w:t>
      </w:r>
    </w:p>
    <w:p w14:paraId="78BBA613" w14:textId="77777777" w:rsidR="00F0088B" w:rsidRPr="00653DCF" w:rsidRDefault="00F0088B" w:rsidP="00F0088B">
      <w:pPr>
        <w:rPr>
          <w:color w:val="auto"/>
        </w:rPr>
      </w:pPr>
      <w:r w:rsidRPr="00653DCF">
        <w:rPr>
          <w:color w:val="auto"/>
        </w:rPr>
        <w:t>The address and electronic mail address (and the department, for whose attention the communication is to be made) of each Party for any communication to be made or document to be delivered under or in connection with this Contract is:</w:t>
      </w:r>
    </w:p>
    <w:tbl>
      <w:tblPr>
        <w:tblStyle w:val="TableEIB"/>
        <w:tblW w:w="0" w:type="auto"/>
        <w:tblLook w:val="04A0" w:firstRow="1" w:lastRow="0" w:firstColumn="1" w:lastColumn="0" w:noHBand="0" w:noVBand="1"/>
      </w:tblPr>
      <w:tblGrid>
        <w:gridCol w:w="2263"/>
        <w:gridCol w:w="5953"/>
      </w:tblGrid>
      <w:tr w:rsidR="00F0088B" w:rsidRPr="00653DCF" w14:paraId="155F8AFB" w14:textId="77777777" w:rsidTr="00E07A51">
        <w:tc>
          <w:tcPr>
            <w:tcW w:w="2263" w:type="dxa"/>
          </w:tcPr>
          <w:p w14:paraId="51DF29BA" w14:textId="77777777" w:rsidR="00F0088B" w:rsidRPr="00653DCF" w:rsidRDefault="00F0088B" w:rsidP="00E07A51">
            <w:pPr>
              <w:ind w:left="0"/>
              <w:rPr>
                <w:color w:val="auto"/>
              </w:rPr>
            </w:pPr>
            <w:r w:rsidRPr="00653DCF">
              <w:rPr>
                <w:color w:val="auto"/>
              </w:rPr>
              <w:t>For the Bank:</w:t>
            </w:r>
          </w:p>
        </w:tc>
        <w:tc>
          <w:tcPr>
            <w:tcW w:w="5953" w:type="dxa"/>
          </w:tcPr>
          <w:p w14:paraId="7950A41A" w14:textId="77777777" w:rsidR="00F0088B" w:rsidRPr="00653DCF" w:rsidRDefault="00F0088B" w:rsidP="00E07A51">
            <w:pPr>
              <w:ind w:left="0"/>
              <w:rPr>
                <w:color w:val="auto"/>
              </w:rPr>
            </w:pPr>
            <w:r w:rsidRPr="00653DCF">
              <w:rPr>
                <w:color w:val="auto"/>
              </w:rPr>
              <w:t>Attention: Operations</w:t>
            </w:r>
          </w:p>
          <w:p w14:paraId="25B469FD" w14:textId="77777777" w:rsidR="00F0088B" w:rsidRPr="00653DCF" w:rsidRDefault="00F0088B" w:rsidP="00E07A51">
            <w:pPr>
              <w:ind w:left="0"/>
              <w:rPr>
                <w:color w:val="auto"/>
              </w:rPr>
            </w:pPr>
            <w:r w:rsidRPr="00653DCF">
              <w:rPr>
                <w:color w:val="auto"/>
              </w:rPr>
              <w:t>Adriatic Sea Department/Division for Croatia, Slovenia public sector &amp; corporates Adriatic Sea</w:t>
            </w:r>
          </w:p>
          <w:p w14:paraId="1552E229" w14:textId="77777777" w:rsidR="00F0088B" w:rsidRPr="00653DCF" w:rsidRDefault="00F0088B" w:rsidP="00E07A51">
            <w:pPr>
              <w:ind w:left="0"/>
              <w:rPr>
                <w:color w:val="auto"/>
                <w:lang w:val="de-DE"/>
              </w:rPr>
            </w:pPr>
            <w:r w:rsidRPr="00653DCF">
              <w:rPr>
                <w:color w:val="auto"/>
                <w:lang w:val="de-DE"/>
              </w:rPr>
              <w:t>100 boulevard Konrad Adenauer</w:t>
            </w:r>
          </w:p>
          <w:p w14:paraId="27BAEACE" w14:textId="77777777" w:rsidR="00F0088B" w:rsidRPr="00653DCF" w:rsidRDefault="00F0088B" w:rsidP="00E07A51">
            <w:pPr>
              <w:ind w:left="0"/>
              <w:rPr>
                <w:color w:val="auto"/>
                <w:lang w:val="de-DE"/>
              </w:rPr>
            </w:pPr>
            <w:r w:rsidRPr="00653DCF">
              <w:rPr>
                <w:color w:val="auto"/>
                <w:lang w:val="de-DE"/>
              </w:rPr>
              <w:t>L-2950 Luxembourg</w:t>
            </w:r>
          </w:p>
          <w:p w14:paraId="48CEA53F" w14:textId="77777777" w:rsidR="00F0088B" w:rsidRPr="00653DCF" w:rsidRDefault="00F0088B" w:rsidP="00E07A51">
            <w:pPr>
              <w:ind w:left="0"/>
              <w:rPr>
                <w:color w:val="auto"/>
                <w:lang w:val="de-DE"/>
              </w:rPr>
            </w:pPr>
            <w:r w:rsidRPr="00653DCF">
              <w:rPr>
                <w:color w:val="auto"/>
                <w:lang w:val="de-DE"/>
              </w:rPr>
              <w:t>E-mail address: contactline-95797@eib.org</w:t>
            </w:r>
          </w:p>
          <w:p w14:paraId="3AA63582" w14:textId="77777777" w:rsidR="00F0088B" w:rsidRPr="00653DCF" w:rsidRDefault="00F0088B" w:rsidP="00E07A51">
            <w:pPr>
              <w:spacing w:after="0"/>
              <w:ind w:left="0"/>
              <w:rPr>
                <w:color w:val="auto"/>
                <w:lang w:val="de-DE"/>
              </w:rPr>
            </w:pPr>
          </w:p>
        </w:tc>
      </w:tr>
      <w:tr w:rsidR="00F0088B" w:rsidRPr="00653DCF" w14:paraId="79F93B7A" w14:textId="77777777" w:rsidTr="00E07A51">
        <w:tc>
          <w:tcPr>
            <w:tcW w:w="2263" w:type="dxa"/>
          </w:tcPr>
          <w:p w14:paraId="0D636EFE" w14:textId="77777777" w:rsidR="00F0088B" w:rsidRPr="00653DCF" w:rsidRDefault="00F0088B" w:rsidP="00E07A51">
            <w:pPr>
              <w:ind w:left="0"/>
              <w:rPr>
                <w:color w:val="auto"/>
              </w:rPr>
            </w:pPr>
            <w:r w:rsidRPr="00653DCF">
              <w:rPr>
                <w:color w:val="auto"/>
              </w:rPr>
              <w:t>For the Borrower:</w:t>
            </w:r>
          </w:p>
        </w:tc>
        <w:tc>
          <w:tcPr>
            <w:tcW w:w="5953" w:type="dxa"/>
          </w:tcPr>
          <w:p w14:paraId="3AA5B567" w14:textId="77777777" w:rsidR="00F0088B" w:rsidRPr="00653DCF" w:rsidRDefault="00F0088B" w:rsidP="00E07A51">
            <w:pPr>
              <w:ind w:left="0"/>
              <w:rPr>
                <w:color w:val="auto"/>
              </w:rPr>
            </w:pPr>
            <w:r w:rsidRPr="00653DCF">
              <w:rPr>
                <w:color w:val="auto"/>
              </w:rPr>
              <w:t>Attention: Ministry of Finance</w:t>
            </w:r>
          </w:p>
          <w:p w14:paraId="022D13ED" w14:textId="77777777" w:rsidR="00F0088B" w:rsidRPr="00653DCF" w:rsidRDefault="00F0088B" w:rsidP="00E07A51">
            <w:pPr>
              <w:ind w:left="0"/>
              <w:rPr>
                <w:color w:val="auto"/>
              </w:rPr>
            </w:pPr>
            <w:r w:rsidRPr="00653DCF">
              <w:rPr>
                <w:color w:val="auto"/>
              </w:rPr>
              <w:t>Katančićeva 5</w:t>
            </w:r>
          </w:p>
          <w:p w14:paraId="166226F8" w14:textId="77777777" w:rsidR="00F0088B" w:rsidRPr="00653DCF" w:rsidRDefault="00F0088B" w:rsidP="00E07A51">
            <w:pPr>
              <w:ind w:left="0"/>
              <w:rPr>
                <w:color w:val="auto"/>
              </w:rPr>
            </w:pPr>
            <w:r w:rsidRPr="00653DCF">
              <w:rPr>
                <w:color w:val="auto"/>
              </w:rPr>
              <w:t>10 000 Zagreb</w:t>
            </w:r>
          </w:p>
          <w:p w14:paraId="4E7DB097" w14:textId="77777777" w:rsidR="00F0088B" w:rsidRPr="00653DCF" w:rsidRDefault="00F0088B" w:rsidP="00E07A51">
            <w:pPr>
              <w:ind w:left="0"/>
              <w:rPr>
                <w:color w:val="auto"/>
              </w:rPr>
            </w:pPr>
            <w:r w:rsidRPr="00653DCF">
              <w:rPr>
                <w:color w:val="auto"/>
              </w:rPr>
              <w:t>Croatia</w:t>
            </w:r>
          </w:p>
          <w:p w14:paraId="46EC800D" w14:textId="77777777" w:rsidR="00F0088B" w:rsidRPr="00653DCF" w:rsidRDefault="00F0088B" w:rsidP="00E07A51">
            <w:pPr>
              <w:spacing w:after="240"/>
              <w:ind w:left="0"/>
              <w:rPr>
                <w:color w:val="auto"/>
              </w:rPr>
            </w:pPr>
            <w:r w:rsidRPr="00653DCF">
              <w:rPr>
                <w:color w:val="auto"/>
              </w:rPr>
              <w:t>E-mail address: kabinet@mfin.hr</w:t>
            </w:r>
          </w:p>
        </w:tc>
      </w:tr>
      <w:tr w:rsidR="00F0088B" w:rsidRPr="00653DCF" w14:paraId="58DA6891" w14:textId="77777777" w:rsidTr="00E07A51">
        <w:tc>
          <w:tcPr>
            <w:tcW w:w="2263" w:type="dxa"/>
          </w:tcPr>
          <w:p w14:paraId="696B9F78" w14:textId="77777777" w:rsidR="00F0088B" w:rsidRPr="00653DCF" w:rsidRDefault="00F0088B" w:rsidP="00E07A51">
            <w:pPr>
              <w:ind w:left="0"/>
              <w:rPr>
                <w:color w:val="auto"/>
              </w:rPr>
            </w:pPr>
            <w:r w:rsidRPr="00653DCF">
              <w:rPr>
                <w:color w:val="auto"/>
              </w:rPr>
              <w:t>For the Promoter:</w:t>
            </w:r>
          </w:p>
        </w:tc>
        <w:tc>
          <w:tcPr>
            <w:tcW w:w="5953" w:type="dxa"/>
          </w:tcPr>
          <w:p w14:paraId="60D1AB03" w14:textId="77777777" w:rsidR="00F0088B" w:rsidRPr="00653DCF" w:rsidRDefault="00F0088B" w:rsidP="00E07A51">
            <w:pPr>
              <w:ind w:left="0"/>
              <w:rPr>
                <w:color w:val="auto"/>
              </w:rPr>
            </w:pPr>
            <w:r w:rsidRPr="00653DCF">
              <w:rPr>
                <w:color w:val="auto"/>
              </w:rPr>
              <w:t>Attention: Ministry of the Sea, Transport and Infrastructure</w:t>
            </w:r>
          </w:p>
          <w:p w14:paraId="669A8BEC" w14:textId="77777777" w:rsidR="00F0088B" w:rsidRPr="00653DCF" w:rsidRDefault="00F0088B" w:rsidP="00E07A51">
            <w:pPr>
              <w:ind w:left="0"/>
              <w:rPr>
                <w:color w:val="auto"/>
              </w:rPr>
            </w:pPr>
            <w:r w:rsidRPr="00653DCF">
              <w:rPr>
                <w:color w:val="auto"/>
              </w:rPr>
              <w:t>Prisavlje 14</w:t>
            </w:r>
          </w:p>
          <w:p w14:paraId="51F6C3E9" w14:textId="77777777" w:rsidR="00F0088B" w:rsidRPr="00653DCF" w:rsidRDefault="00F0088B" w:rsidP="00E07A51">
            <w:pPr>
              <w:ind w:left="0"/>
              <w:rPr>
                <w:color w:val="auto"/>
              </w:rPr>
            </w:pPr>
            <w:r w:rsidRPr="00653DCF">
              <w:rPr>
                <w:color w:val="auto"/>
              </w:rPr>
              <w:t>10 000 Zagreb</w:t>
            </w:r>
          </w:p>
          <w:p w14:paraId="02C6A00F" w14:textId="77777777" w:rsidR="00F0088B" w:rsidRPr="00653DCF" w:rsidRDefault="00F0088B" w:rsidP="00E07A51">
            <w:pPr>
              <w:ind w:left="0"/>
              <w:rPr>
                <w:color w:val="auto"/>
              </w:rPr>
            </w:pPr>
            <w:r w:rsidRPr="00653DCF">
              <w:rPr>
                <w:color w:val="auto"/>
              </w:rPr>
              <w:t>Croatia</w:t>
            </w:r>
          </w:p>
          <w:p w14:paraId="18F70DD5" w14:textId="77777777" w:rsidR="00F0088B" w:rsidRPr="00653DCF" w:rsidRDefault="00F0088B" w:rsidP="00E07A51">
            <w:pPr>
              <w:ind w:left="0"/>
              <w:rPr>
                <w:color w:val="auto"/>
              </w:rPr>
            </w:pPr>
            <w:r w:rsidRPr="00653DCF">
              <w:rPr>
                <w:color w:val="auto"/>
              </w:rPr>
              <w:t>E-mail address: ministar@mmpi.hr</w:t>
            </w:r>
          </w:p>
        </w:tc>
      </w:tr>
    </w:tbl>
    <w:p w14:paraId="4DEA5865" w14:textId="77777777" w:rsidR="00F0088B" w:rsidRPr="00653DCF" w:rsidRDefault="00F0088B" w:rsidP="00335497">
      <w:pPr>
        <w:pStyle w:val="Heading3"/>
        <w:ind w:left="851"/>
        <w:rPr>
          <w:color w:val="auto"/>
        </w:rPr>
      </w:pPr>
      <w:r w:rsidRPr="00653DCF">
        <w:rPr>
          <w:color w:val="auto"/>
        </w:rPr>
        <w:t>Notification of communication details</w:t>
      </w:r>
    </w:p>
    <w:p w14:paraId="324DECBD" w14:textId="77777777" w:rsidR="00F0088B" w:rsidRPr="00653DCF" w:rsidRDefault="00F0088B" w:rsidP="00F0088B">
      <w:pPr>
        <w:rPr>
          <w:color w:val="auto"/>
        </w:rPr>
      </w:pPr>
      <w:r w:rsidRPr="00653DCF">
        <w:rPr>
          <w:color w:val="auto"/>
        </w:rPr>
        <w:t>The Bank and the Borrower shall promptly notify the other Party in writing of any change in their respective communication details.</w:t>
      </w:r>
    </w:p>
    <w:p w14:paraId="727FE486" w14:textId="77777777" w:rsidR="00F0088B" w:rsidRPr="00653DCF" w:rsidRDefault="00F0088B" w:rsidP="00335497">
      <w:pPr>
        <w:pStyle w:val="Heading2"/>
        <w:ind w:left="851"/>
        <w:rPr>
          <w:color w:val="auto"/>
        </w:rPr>
      </w:pPr>
      <w:r w:rsidRPr="00653DCF">
        <w:rPr>
          <w:color w:val="auto"/>
        </w:rPr>
        <w:t>English language</w:t>
      </w:r>
    </w:p>
    <w:p w14:paraId="2F6EEF07" w14:textId="77777777" w:rsidR="00F0088B" w:rsidRPr="00653DCF" w:rsidRDefault="00F0088B" w:rsidP="0024686A">
      <w:pPr>
        <w:pStyle w:val="NoIndentEIB"/>
        <w:numPr>
          <w:ilvl w:val="0"/>
          <w:numId w:val="126"/>
        </w:numPr>
        <w:rPr>
          <w:color w:val="auto"/>
        </w:rPr>
      </w:pPr>
      <w:r w:rsidRPr="00653DCF">
        <w:rPr>
          <w:color w:val="auto"/>
        </w:rPr>
        <w:t>Any notice or communication given under or in connection with this Contract must be in English.</w:t>
      </w:r>
    </w:p>
    <w:p w14:paraId="4DD4AD3E" w14:textId="77777777" w:rsidR="00F0088B" w:rsidRPr="00653DCF" w:rsidRDefault="00F0088B" w:rsidP="0024686A">
      <w:pPr>
        <w:pStyle w:val="NoIndentEIB"/>
        <w:numPr>
          <w:ilvl w:val="0"/>
          <w:numId w:val="126"/>
        </w:numPr>
        <w:rPr>
          <w:color w:val="auto"/>
        </w:rPr>
      </w:pPr>
      <w:r w:rsidRPr="00653DCF">
        <w:rPr>
          <w:color w:val="auto"/>
        </w:rPr>
        <w:t>All other documents provided under or in connection with this Contract must be:</w:t>
      </w:r>
    </w:p>
    <w:p w14:paraId="73070B39" w14:textId="77777777" w:rsidR="00F0088B" w:rsidRPr="00653DCF" w:rsidRDefault="00F0088B" w:rsidP="0024686A">
      <w:pPr>
        <w:pStyle w:val="NoIndentEIB"/>
        <w:numPr>
          <w:ilvl w:val="1"/>
          <w:numId w:val="176"/>
        </w:numPr>
        <w:rPr>
          <w:color w:val="auto"/>
        </w:rPr>
      </w:pPr>
      <w:r w:rsidRPr="00653DCF">
        <w:rPr>
          <w:color w:val="auto"/>
        </w:rPr>
        <w:t>in English; or</w:t>
      </w:r>
    </w:p>
    <w:p w14:paraId="70467287" w14:textId="77777777" w:rsidR="00F0088B" w:rsidRPr="00653DCF" w:rsidRDefault="00F0088B" w:rsidP="0024686A">
      <w:pPr>
        <w:pStyle w:val="NoIndentEIB"/>
        <w:numPr>
          <w:ilvl w:val="1"/>
          <w:numId w:val="176"/>
        </w:numPr>
        <w:rPr>
          <w:color w:val="auto"/>
        </w:rPr>
      </w:pPr>
      <w:r w:rsidRPr="00653DCF">
        <w:rPr>
          <w:color w:val="auto"/>
        </w:rPr>
        <w:t>if not in English, and if so required by the Bank, accompanied by a certified English translation and, in this case, the English translation will prevail.</w:t>
      </w:r>
    </w:p>
    <w:p w14:paraId="59A4A9BD" w14:textId="77777777" w:rsidR="00F0088B" w:rsidRPr="00653DCF" w:rsidRDefault="00F0088B" w:rsidP="00335497">
      <w:pPr>
        <w:pStyle w:val="Heading2"/>
        <w:ind w:left="851"/>
        <w:rPr>
          <w:color w:val="auto"/>
        </w:rPr>
      </w:pPr>
      <w:r w:rsidRPr="00653DCF">
        <w:rPr>
          <w:color w:val="auto"/>
        </w:rPr>
        <w:t>Recitals, Schedules and Annexes</w:t>
      </w:r>
    </w:p>
    <w:p w14:paraId="1D10ABE0" w14:textId="77777777" w:rsidR="00F0088B" w:rsidRPr="00653DCF" w:rsidRDefault="00F0088B" w:rsidP="00F0088B">
      <w:pPr>
        <w:rPr>
          <w:color w:val="auto"/>
        </w:rPr>
      </w:pPr>
      <w:r w:rsidRPr="00653DCF">
        <w:rPr>
          <w:color w:val="auto"/>
        </w:rPr>
        <w:t>The Recitals and following Schedules form part of this Contract:</w:t>
      </w:r>
    </w:p>
    <w:tbl>
      <w:tblPr>
        <w:tblStyle w:val="TableEIB"/>
        <w:tblW w:w="0" w:type="auto"/>
        <w:tblLook w:val="04A0" w:firstRow="1" w:lastRow="0" w:firstColumn="1" w:lastColumn="0" w:noHBand="0" w:noVBand="1"/>
      </w:tblPr>
      <w:tblGrid>
        <w:gridCol w:w="1630"/>
        <w:gridCol w:w="6586"/>
      </w:tblGrid>
      <w:tr w:rsidR="0029590D" w:rsidRPr="00653DCF" w14:paraId="4E9A5A79" w14:textId="77777777" w:rsidTr="009A515A">
        <w:tc>
          <w:tcPr>
            <w:tcW w:w="1630" w:type="dxa"/>
          </w:tcPr>
          <w:p w14:paraId="239E7FA7" w14:textId="07B130AE" w:rsidR="00F0088B" w:rsidRPr="00653DCF" w:rsidRDefault="00025C61" w:rsidP="00E07A51">
            <w:pPr>
              <w:ind w:left="0"/>
              <w:rPr>
                <w:color w:val="auto"/>
              </w:rPr>
            </w:pPr>
            <w:r>
              <w:rPr>
                <w:color w:val="auto"/>
              </w:rPr>
              <w:t>Schedule A</w:t>
            </w:r>
          </w:p>
        </w:tc>
        <w:tc>
          <w:tcPr>
            <w:tcW w:w="6586" w:type="dxa"/>
          </w:tcPr>
          <w:p w14:paraId="1293E3E4" w14:textId="5F030547" w:rsidR="00F0088B" w:rsidRPr="00653DCF" w:rsidRDefault="00025C61" w:rsidP="00E07A51">
            <w:pPr>
              <w:ind w:left="0"/>
              <w:rPr>
                <w:color w:val="auto"/>
              </w:rPr>
            </w:pPr>
            <w:r w:rsidRPr="00025C61">
              <w:rPr>
                <w:color w:val="auto"/>
              </w:rPr>
              <w:t>Project Specification and Reporting</w:t>
            </w:r>
          </w:p>
        </w:tc>
      </w:tr>
      <w:tr w:rsidR="0029590D" w:rsidRPr="00653DCF" w14:paraId="4CB1741D" w14:textId="77777777" w:rsidTr="009A515A">
        <w:tc>
          <w:tcPr>
            <w:tcW w:w="1630" w:type="dxa"/>
          </w:tcPr>
          <w:p w14:paraId="128DBA16" w14:textId="539AB543" w:rsidR="00F0088B" w:rsidRPr="00653DCF" w:rsidRDefault="00025C61" w:rsidP="00E07A51">
            <w:pPr>
              <w:ind w:left="0"/>
              <w:rPr>
                <w:color w:val="auto"/>
              </w:rPr>
            </w:pPr>
            <w:r>
              <w:rPr>
                <w:color w:val="auto"/>
              </w:rPr>
              <w:t>Schedule B</w:t>
            </w:r>
          </w:p>
        </w:tc>
        <w:tc>
          <w:tcPr>
            <w:tcW w:w="6586" w:type="dxa"/>
          </w:tcPr>
          <w:p w14:paraId="6228A792" w14:textId="4C68947B" w:rsidR="00F0088B" w:rsidRPr="00025C61" w:rsidRDefault="00025C61" w:rsidP="00025C61">
            <w:pPr>
              <w:pStyle w:val="SubSchedule1EIB"/>
              <w:numPr>
                <w:ilvl w:val="1"/>
                <w:numId w:val="94"/>
              </w:numPr>
              <w:jc w:val="both"/>
              <w:rPr>
                <w:b w:val="0"/>
                <w:color w:val="auto"/>
                <w:u w:val="none"/>
              </w:rPr>
            </w:pPr>
            <w:r w:rsidRPr="00025C61">
              <w:rPr>
                <w:b w:val="0"/>
                <w:color w:val="auto"/>
                <w:u w:val="none"/>
              </w:rPr>
              <w:t>Definition of EURIBOR</w:t>
            </w:r>
          </w:p>
        </w:tc>
      </w:tr>
      <w:tr w:rsidR="009A515A" w:rsidRPr="00653DCF" w14:paraId="64528785" w14:textId="77777777" w:rsidTr="009A515A">
        <w:tc>
          <w:tcPr>
            <w:tcW w:w="1630" w:type="dxa"/>
          </w:tcPr>
          <w:p w14:paraId="4EC061D6" w14:textId="79B7B0D5" w:rsidR="009A515A" w:rsidRPr="00653DCF" w:rsidRDefault="00025C61" w:rsidP="009A515A">
            <w:pPr>
              <w:pStyle w:val="NoIndentEIB"/>
              <w:rPr>
                <w:color w:val="auto"/>
              </w:rPr>
            </w:pPr>
            <w:r>
              <w:rPr>
                <w:color w:val="auto"/>
              </w:rPr>
              <w:t>Schedule C</w:t>
            </w:r>
          </w:p>
        </w:tc>
        <w:tc>
          <w:tcPr>
            <w:tcW w:w="6586" w:type="dxa"/>
          </w:tcPr>
          <w:p w14:paraId="45763EC3" w14:textId="39725D3A" w:rsidR="009A515A" w:rsidRPr="00653DCF" w:rsidRDefault="00025C61" w:rsidP="009A515A">
            <w:pPr>
              <w:ind w:left="0"/>
              <w:rPr>
                <w:color w:val="auto"/>
              </w:rPr>
            </w:pPr>
            <w:r w:rsidRPr="00025C61">
              <w:rPr>
                <w:color w:val="auto"/>
              </w:rPr>
              <w:t>Form of Disbursement Request (Article 1.2.B)</w:t>
            </w:r>
          </w:p>
        </w:tc>
      </w:tr>
      <w:tr w:rsidR="0029590D" w:rsidRPr="00653DCF" w14:paraId="5F386890" w14:textId="77777777" w:rsidTr="009A515A">
        <w:tc>
          <w:tcPr>
            <w:tcW w:w="1630" w:type="dxa"/>
          </w:tcPr>
          <w:p w14:paraId="4D25DA7F" w14:textId="66295E83" w:rsidR="00F0088B" w:rsidRPr="00653DCF" w:rsidRDefault="00025C61" w:rsidP="00025C61">
            <w:pPr>
              <w:ind w:left="0"/>
              <w:rPr>
                <w:color w:val="auto"/>
              </w:rPr>
            </w:pPr>
            <w:r>
              <w:rPr>
                <w:color w:val="auto"/>
              </w:rPr>
              <w:t>Schedule D</w:t>
            </w:r>
          </w:p>
        </w:tc>
        <w:tc>
          <w:tcPr>
            <w:tcW w:w="6586" w:type="dxa"/>
          </w:tcPr>
          <w:p w14:paraId="403C2A88" w14:textId="30C62F14" w:rsidR="00F0088B" w:rsidRPr="00653DCF" w:rsidRDefault="00025C61" w:rsidP="00E07A51">
            <w:pPr>
              <w:ind w:left="0"/>
              <w:rPr>
                <w:color w:val="auto"/>
              </w:rPr>
            </w:pPr>
            <w:r w:rsidRPr="00025C61">
              <w:rPr>
                <w:color w:val="auto"/>
              </w:rPr>
              <w:t>Interest Rate Revision and Conversion</w:t>
            </w:r>
          </w:p>
        </w:tc>
      </w:tr>
      <w:tr w:rsidR="0029590D" w:rsidRPr="00653DCF" w14:paraId="74C76DDD" w14:textId="77777777" w:rsidTr="009A515A">
        <w:tc>
          <w:tcPr>
            <w:tcW w:w="1630" w:type="dxa"/>
          </w:tcPr>
          <w:p w14:paraId="12104F41" w14:textId="1BE6C84E" w:rsidR="00F0088B" w:rsidRPr="00653DCF" w:rsidRDefault="00025C61" w:rsidP="00E07A51">
            <w:pPr>
              <w:ind w:left="0"/>
              <w:rPr>
                <w:color w:val="auto"/>
              </w:rPr>
            </w:pPr>
            <w:r>
              <w:rPr>
                <w:color w:val="auto"/>
              </w:rPr>
              <w:t>Schedule E</w:t>
            </w:r>
          </w:p>
        </w:tc>
        <w:tc>
          <w:tcPr>
            <w:tcW w:w="6586" w:type="dxa"/>
          </w:tcPr>
          <w:p w14:paraId="16BD3C85" w14:textId="1B34B3BC" w:rsidR="00F0088B" w:rsidRPr="00653DCF" w:rsidRDefault="00025C61" w:rsidP="00E07A51">
            <w:pPr>
              <w:ind w:left="0"/>
              <w:rPr>
                <w:color w:val="auto"/>
              </w:rPr>
            </w:pPr>
            <w:r w:rsidRPr="00025C61">
              <w:rPr>
                <w:color w:val="auto"/>
              </w:rPr>
              <w:t>Certificates to be provided by the Borrower</w:t>
            </w:r>
          </w:p>
        </w:tc>
      </w:tr>
    </w:tbl>
    <w:p w14:paraId="21CEB64A" w14:textId="77777777" w:rsidR="00F0088B" w:rsidRPr="00653DCF" w:rsidRDefault="00F0088B" w:rsidP="00F0088B">
      <w:pPr>
        <w:rPr>
          <w:color w:val="auto"/>
        </w:rPr>
      </w:pPr>
    </w:p>
    <w:p w14:paraId="12340A3B" w14:textId="77777777" w:rsidR="00F0088B" w:rsidRPr="00653DCF" w:rsidRDefault="00F0088B" w:rsidP="00F0088B">
      <w:pPr>
        <w:rPr>
          <w:color w:val="auto"/>
        </w:rPr>
      </w:pPr>
    </w:p>
    <w:p w14:paraId="717928A3" w14:textId="77777777" w:rsidR="00F0088B" w:rsidRPr="00653DCF" w:rsidRDefault="00F0088B" w:rsidP="00F0088B">
      <w:pPr>
        <w:rPr>
          <w:color w:val="auto"/>
        </w:rPr>
      </w:pPr>
      <w:r w:rsidRPr="00653DCF">
        <w:rPr>
          <w:color w:val="auto"/>
        </w:rPr>
        <w:t>The following Annexes are attached hereto:</w:t>
      </w:r>
    </w:p>
    <w:tbl>
      <w:tblPr>
        <w:tblStyle w:val="TableEIB"/>
        <w:tblW w:w="0" w:type="auto"/>
        <w:tblLook w:val="04A0" w:firstRow="1" w:lastRow="0" w:firstColumn="1" w:lastColumn="0" w:noHBand="0" w:noVBand="1"/>
      </w:tblPr>
      <w:tblGrid>
        <w:gridCol w:w="1634"/>
        <w:gridCol w:w="6582"/>
      </w:tblGrid>
      <w:tr w:rsidR="00F0088B" w:rsidRPr="00653DCF" w14:paraId="6CB12876" w14:textId="77777777" w:rsidTr="00E07A51">
        <w:tc>
          <w:tcPr>
            <w:tcW w:w="1634" w:type="dxa"/>
          </w:tcPr>
          <w:p w14:paraId="5018DFB0" w14:textId="6B4AEF22" w:rsidR="00F0088B" w:rsidRPr="00653DCF" w:rsidRDefault="00F0088B" w:rsidP="00E07A51">
            <w:pPr>
              <w:ind w:left="0"/>
              <w:rPr>
                <w:color w:val="auto"/>
              </w:rPr>
            </w:pPr>
            <w:r w:rsidRPr="00653DCF">
              <w:rPr>
                <w:color w:val="auto"/>
              </w:rPr>
              <w:fldChar w:fldCharType="begin"/>
            </w:r>
            <w:r w:rsidRPr="00653DCF">
              <w:rPr>
                <w:color w:val="auto"/>
              </w:rPr>
              <w:instrText xml:space="preserve"> REF _Ref508723114 \r \h </w:instrText>
            </w:r>
            <w:r w:rsidRPr="00653DCF">
              <w:rPr>
                <w:color w:val="auto"/>
              </w:rPr>
            </w:r>
            <w:r w:rsidRPr="00653DCF">
              <w:rPr>
                <w:color w:val="auto"/>
              </w:rPr>
              <w:fldChar w:fldCharType="separate"/>
            </w:r>
            <w:r w:rsidR="00E5391B">
              <w:rPr>
                <w:color w:val="auto"/>
              </w:rPr>
              <w:t>Annex I</w:t>
            </w:r>
            <w:r w:rsidRPr="00653DCF">
              <w:rPr>
                <w:color w:val="auto"/>
              </w:rPr>
              <w:fldChar w:fldCharType="end"/>
            </w:r>
          </w:p>
        </w:tc>
        <w:tc>
          <w:tcPr>
            <w:tcW w:w="6582" w:type="dxa"/>
          </w:tcPr>
          <w:p w14:paraId="654A411F" w14:textId="242F1969" w:rsidR="00F0088B" w:rsidRPr="00653DCF" w:rsidRDefault="00F0088B" w:rsidP="00E07A51">
            <w:pPr>
              <w:ind w:left="34"/>
              <w:rPr>
                <w:color w:val="auto"/>
              </w:rPr>
            </w:pPr>
            <w:r w:rsidRPr="00653DCF">
              <w:rPr>
                <w:color w:val="auto"/>
              </w:rPr>
              <w:fldChar w:fldCharType="begin"/>
            </w:r>
            <w:r w:rsidRPr="00653DCF">
              <w:rPr>
                <w:color w:val="auto"/>
              </w:rPr>
              <w:instrText xml:space="preserve"> REF _Ref508637009 \h </w:instrText>
            </w:r>
            <w:r w:rsidRPr="00653DCF">
              <w:rPr>
                <w:color w:val="auto"/>
              </w:rPr>
            </w:r>
            <w:r w:rsidRPr="00653DCF">
              <w:rPr>
                <w:color w:val="auto"/>
              </w:rPr>
              <w:fldChar w:fldCharType="separate"/>
            </w:r>
            <w:r w:rsidR="00E5391B" w:rsidRPr="00653DCF">
              <w:rPr>
                <w:color w:val="auto"/>
              </w:rPr>
              <w:t xml:space="preserve">Form of legal opinion from the </w:t>
            </w:r>
            <w:r w:rsidRPr="00653DCF">
              <w:rPr>
                <w:color w:val="auto"/>
              </w:rPr>
              <w:fldChar w:fldCharType="end"/>
            </w:r>
            <w:r w:rsidRPr="00653DCF">
              <w:rPr>
                <w:color w:val="auto"/>
              </w:rPr>
              <w:t>Minister of Justice</w:t>
            </w:r>
          </w:p>
        </w:tc>
      </w:tr>
      <w:tr w:rsidR="00F0088B" w:rsidRPr="00653DCF" w14:paraId="5537A96F" w14:textId="77777777" w:rsidTr="00E07A51">
        <w:tc>
          <w:tcPr>
            <w:tcW w:w="1634" w:type="dxa"/>
          </w:tcPr>
          <w:p w14:paraId="636A2DC7" w14:textId="77777777" w:rsidR="00F0088B" w:rsidRPr="00653DCF" w:rsidRDefault="00F0088B" w:rsidP="00E07A51">
            <w:pPr>
              <w:ind w:left="0"/>
              <w:rPr>
                <w:color w:val="auto"/>
              </w:rPr>
            </w:pPr>
            <w:r w:rsidRPr="00653DCF">
              <w:rPr>
                <w:color w:val="auto"/>
              </w:rPr>
              <w:t>Annex II</w:t>
            </w:r>
          </w:p>
        </w:tc>
        <w:tc>
          <w:tcPr>
            <w:tcW w:w="6582" w:type="dxa"/>
          </w:tcPr>
          <w:p w14:paraId="7B6B0F52" w14:textId="10584458" w:rsidR="00F0088B" w:rsidRPr="00653DCF" w:rsidRDefault="00AA6B1D" w:rsidP="00E07A51">
            <w:pPr>
              <w:ind w:left="34"/>
              <w:rPr>
                <w:color w:val="auto"/>
              </w:rPr>
            </w:pPr>
            <w:r>
              <w:rPr>
                <w:color w:val="auto"/>
              </w:rPr>
              <w:t>Form A/B</w:t>
            </w:r>
          </w:p>
        </w:tc>
      </w:tr>
    </w:tbl>
    <w:p w14:paraId="536BEFD9" w14:textId="77777777" w:rsidR="00F0088B" w:rsidRPr="00653DCF" w:rsidRDefault="00F0088B" w:rsidP="00335497">
      <w:pPr>
        <w:pStyle w:val="Heading2"/>
        <w:ind w:left="851"/>
        <w:rPr>
          <w:color w:val="auto"/>
        </w:rPr>
      </w:pPr>
      <w:r w:rsidRPr="00653DCF">
        <w:rPr>
          <w:color w:val="auto"/>
        </w:rPr>
        <w:t>Entry into force</w:t>
      </w:r>
    </w:p>
    <w:p w14:paraId="6EDD4094" w14:textId="77777777" w:rsidR="00F0088B" w:rsidRPr="00653DCF" w:rsidRDefault="00F0088B" w:rsidP="00F0088B">
      <w:pPr>
        <w:rPr>
          <w:color w:val="auto"/>
        </w:rPr>
      </w:pPr>
      <w:r w:rsidRPr="00653DCF">
        <w:rPr>
          <w:color w:val="auto"/>
        </w:rPr>
        <w:t>This Contract shall enter into force on the date of entry into force of the law of its ratification.</w:t>
      </w:r>
    </w:p>
    <w:p w14:paraId="39036B6C" w14:textId="77777777" w:rsidR="00F0088B" w:rsidRPr="00653DCF" w:rsidRDefault="00F0088B" w:rsidP="00F0088B">
      <w:pPr>
        <w:rPr>
          <w:rStyle w:val="BoldEIB"/>
          <w:b w:val="0"/>
          <w:color w:val="auto"/>
        </w:rPr>
        <w:sectPr w:rsidR="00F0088B" w:rsidRPr="00653DCF" w:rsidSect="00910CD5">
          <w:footnotePr>
            <w:numRestart w:val="eachSect"/>
          </w:footnotePr>
          <w:pgSz w:w="11906" w:h="16838"/>
          <w:pgMar w:top="1417" w:right="1417" w:bottom="1417" w:left="1417" w:header="708" w:footer="708" w:gutter="0"/>
          <w:cols w:space="708"/>
          <w:formProt w:val="0"/>
          <w:titlePg/>
          <w:docGrid w:linePitch="360"/>
        </w:sectPr>
      </w:pPr>
    </w:p>
    <w:p w14:paraId="06A515C3" w14:textId="77777777" w:rsidR="00AA6B1D" w:rsidRDefault="00AA6B1D">
      <w:pPr>
        <w:spacing w:after="200" w:line="276" w:lineRule="auto"/>
        <w:ind w:left="0"/>
        <w:jc w:val="left"/>
        <w:rPr>
          <w:rStyle w:val="BoldEIB"/>
          <w:b w:val="0"/>
          <w:color w:val="auto"/>
        </w:rPr>
      </w:pPr>
      <w:r>
        <w:rPr>
          <w:rStyle w:val="BoldEIB"/>
          <w:b w:val="0"/>
          <w:color w:val="auto"/>
        </w:rPr>
        <w:br w:type="page"/>
      </w:r>
    </w:p>
    <w:p w14:paraId="533CD93D" w14:textId="6363CC64" w:rsidR="00F0088B" w:rsidRPr="00653DCF" w:rsidRDefault="00F0088B" w:rsidP="00F0088B">
      <w:pPr>
        <w:ind w:right="1181"/>
        <w:jc w:val="center"/>
        <w:rPr>
          <w:rStyle w:val="BoldEIB"/>
          <w:b w:val="0"/>
          <w:color w:val="auto"/>
        </w:rPr>
      </w:pPr>
      <w:r w:rsidRPr="00653DCF">
        <w:rPr>
          <w:rStyle w:val="BoldEIB"/>
          <w:b w:val="0"/>
          <w:color w:val="auto"/>
        </w:rPr>
        <w:t xml:space="preserve">Signature page for </w:t>
      </w:r>
      <w:r w:rsidRPr="00653DCF">
        <w:rPr>
          <w:color w:val="auto"/>
        </w:rPr>
        <w:t>Contract Number (FI N°) 95.797</w:t>
      </w:r>
    </w:p>
    <w:p w14:paraId="6066CC2E" w14:textId="77777777" w:rsidR="00F0088B" w:rsidRPr="00653DCF" w:rsidRDefault="00F0088B" w:rsidP="00F0088B">
      <w:pPr>
        <w:ind w:left="0"/>
        <w:rPr>
          <w:rStyle w:val="BoldEIB"/>
          <w:b w:val="0"/>
          <w:color w:val="auto"/>
        </w:rPr>
      </w:pPr>
    </w:p>
    <w:p w14:paraId="62B3E470" w14:textId="77777777" w:rsidR="00F0088B" w:rsidRPr="00653DCF" w:rsidRDefault="00F0088B" w:rsidP="00F0088B">
      <w:pPr>
        <w:ind w:right="1181"/>
        <w:rPr>
          <w:color w:val="auto"/>
        </w:rPr>
      </w:pPr>
      <w:r w:rsidRPr="00653DCF">
        <w:rPr>
          <w:rStyle w:val="BoldEIB"/>
          <w:b w:val="0"/>
          <w:color w:val="auto"/>
        </w:rPr>
        <w:t>T</w:t>
      </w:r>
      <w:r w:rsidRPr="00653DCF">
        <w:rPr>
          <w:color w:val="auto"/>
        </w:rPr>
        <w:t>he Parties have caused this Contract to be executed in the English language by way of exchange by e-mail of a digital copy of the Contract duly executed by the Parties.</w:t>
      </w:r>
    </w:p>
    <w:p w14:paraId="2A4F93D3" w14:textId="77777777" w:rsidR="00F0088B" w:rsidRPr="00653DCF" w:rsidRDefault="00F0088B" w:rsidP="00F0088B">
      <w:pPr>
        <w:ind w:right="1181"/>
        <w:rPr>
          <w:color w:val="auto"/>
        </w:rPr>
      </w:pPr>
      <w:r w:rsidRPr="00653DCF">
        <w:rPr>
          <w:color w:val="auto"/>
        </w:rPr>
        <w:t>Without prejudice to the above and for the purposes of keeping records of the execution of this Contract, 3 (three) hardcopy originals, executed on behalf of the Bank, shall be sent to the Borrower, which shall execute each original. The receipt by the Bank of 2 (two) originals of this Contract shall constitute a condition precedent for the disbursement of the first Tranche.</w:t>
      </w:r>
    </w:p>
    <w:p w14:paraId="49E6D826" w14:textId="77777777" w:rsidR="00F0088B" w:rsidRPr="00653DCF" w:rsidRDefault="00F0088B" w:rsidP="00F0088B">
      <w:pPr>
        <w:rPr>
          <w:color w:val="auto"/>
        </w:rPr>
      </w:pPr>
    </w:p>
    <w:p w14:paraId="37FF031F" w14:textId="77777777" w:rsidR="00F0088B" w:rsidRPr="00653DCF" w:rsidRDefault="00F0088B" w:rsidP="00F0088B">
      <w:pPr>
        <w:widowControl w:val="0"/>
        <w:tabs>
          <w:tab w:val="left" w:pos="720"/>
          <w:tab w:val="left" w:pos="896"/>
        </w:tabs>
        <w:ind w:left="854"/>
        <w:rPr>
          <w:rFonts w:cs="Arial"/>
          <w:color w:val="auto"/>
        </w:rPr>
      </w:pPr>
    </w:p>
    <w:p w14:paraId="4D278385" w14:textId="017EB8C6" w:rsidR="00F0088B" w:rsidRPr="004C7CC5" w:rsidRDefault="00F0088B" w:rsidP="00F0088B">
      <w:pPr>
        <w:widowControl w:val="0"/>
        <w:tabs>
          <w:tab w:val="left" w:pos="720"/>
          <w:tab w:val="left" w:pos="896"/>
          <w:tab w:val="left" w:pos="2835"/>
        </w:tabs>
        <w:ind w:left="854"/>
        <w:rPr>
          <w:rFonts w:cs="Arial"/>
          <w:color w:val="auto"/>
        </w:rPr>
      </w:pPr>
      <w:r w:rsidRPr="004C7CC5">
        <w:rPr>
          <w:rFonts w:cs="Arial"/>
          <w:color w:val="auto"/>
        </w:rPr>
        <w:t xml:space="preserve">In Zagreb, this </w:t>
      </w:r>
      <w:r w:rsidR="001B5B57">
        <w:rPr>
          <w:rFonts w:cs="Arial"/>
          <w:color w:val="auto"/>
        </w:rPr>
        <w:t>17</w:t>
      </w:r>
      <w:r w:rsidRPr="004C7CC5">
        <w:rPr>
          <w:rFonts w:cs="Arial"/>
          <w:color w:val="auto"/>
          <w:sz w:val="18"/>
        </w:rPr>
        <w:t xml:space="preserve"> </w:t>
      </w:r>
      <w:r w:rsidRPr="004C7CC5">
        <w:rPr>
          <w:rFonts w:cs="Arial"/>
          <w:color w:val="auto"/>
        </w:rPr>
        <w:t xml:space="preserve">day of </w:t>
      </w:r>
      <w:r w:rsidR="001B5B57">
        <w:rPr>
          <w:color w:val="auto"/>
          <w:szCs w:val="32"/>
        </w:rPr>
        <w:t>Jannuary</w:t>
      </w:r>
      <w:r w:rsidRPr="004C7CC5">
        <w:rPr>
          <w:color w:val="auto"/>
          <w:szCs w:val="32"/>
        </w:rPr>
        <w:t xml:space="preserve"> 2024</w:t>
      </w:r>
      <w:r w:rsidRPr="00335497" w:rsidDel="00B9232A">
        <w:rPr>
          <w:rFonts w:cs="Arial"/>
          <w:color w:val="auto"/>
        </w:rPr>
        <w:t xml:space="preserve"> </w:t>
      </w:r>
      <w:r w:rsidRPr="00335497">
        <w:rPr>
          <w:rFonts w:cs="Arial"/>
          <w:color w:val="auto"/>
        </w:rPr>
        <w:t>and</w:t>
      </w:r>
    </w:p>
    <w:p w14:paraId="7FED5530" w14:textId="1B5691F0" w:rsidR="00F0088B" w:rsidRPr="00653DCF" w:rsidRDefault="00F0088B" w:rsidP="00F0088B">
      <w:pPr>
        <w:widowControl w:val="0"/>
        <w:tabs>
          <w:tab w:val="left" w:pos="720"/>
          <w:tab w:val="left" w:pos="896"/>
        </w:tabs>
        <w:ind w:left="854"/>
        <w:rPr>
          <w:rFonts w:cs="Arial"/>
          <w:color w:val="auto"/>
        </w:rPr>
      </w:pPr>
      <w:r w:rsidRPr="004C7CC5">
        <w:rPr>
          <w:rFonts w:cs="Arial"/>
          <w:color w:val="auto"/>
        </w:rPr>
        <w:t xml:space="preserve">in Luxembourg, this </w:t>
      </w:r>
      <w:r w:rsidR="001B5B57" w:rsidRPr="001B5B57">
        <w:rPr>
          <w:rFonts w:cs="Arial"/>
          <w:bCs/>
          <w:color w:val="auto"/>
        </w:rPr>
        <w:t>22</w:t>
      </w:r>
      <w:r w:rsidR="001B5B57" w:rsidRPr="001B5B57">
        <w:rPr>
          <w:rFonts w:cs="Arial"/>
          <w:bCs/>
          <w:color w:val="auto"/>
          <w:vertAlign w:val="superscript"/>
        </w:rPr>
        <w:t>nd</w:t>
      </w:r>
      <w:r w:rsidRPr="004C7CC5">
        <w:rPr>
          <w:rFonts w:cs="Arial"/>
          <w:color w:val="auto"/>
          <w:sz w:val="18"/>
        </w:rPr>
        <w:t xml:space="preserve"> </w:t>
      </w:r>
      <w:r w:rsidRPr="004C7CC5">
        <w:rPr>
          <w:rFonts w:cs="Arial"/>
          <w:color w:val="auto"/>
        </w:rPr>
        <w:t xml:space="preserve">day of </w:t>
      </w:r>
      <w:r w:rsidR="001B5B57" w:rsidRPr="001B5B57">
        <w:rPr>
          <w:color w:val="auto"/>
          <w:szCs w:val="32"/>
        </w:rPr>
        <w:t xml:space="preserve">January </w:t>
      </w:r>
      <w:r w:rsidR="004C7CC5" w:rsidRPr="004C7CC5">
        <w:rPr>
          <w:color w:val="auto"/>
          <w:szCs w:val="32"/>
        </w:rPr>
        <w:t>2024</w:t>
      </w:r>
      <w:r w:rsidRPr="004C7CC5">
        <w:rPr>
          <w:rFonts w:cs="Arial"/>
          <w:color w:val="auto"/>
          <w:sz w:val="18"/>
        </w:rPr>
        <w:t>.</w:t>
      </w:r>
    </w:p>
    <w:tbl>
      <w:tblPr>
        <w:tblStyle w:val="TableEIB"/>
        <w:tblW w:w="0" w:type="auto"/>
        <w:tblLook w:val="04A0" w:firstRow="1" w:lastRow="0" w:firstColumn="1" w:lastColumn="0" w:noHBand="0" w:noVBand="1"/>
      </w:tblPr>
      <w:tblGrid>
        <w:gridCol w:w="2091"/>
        <w:gridCol w:w="2090"/>
        <w:gridCol w:w="4178"/>
      </w:tblGrid>
      <w:tr w:rsidR="00F0088B" w:rsidRPr="00653DCF" w14:paraId="595A11AF" w14:textId="77777777" w:rsidTr="00E07A51">
        <w:tc>
          <w:tcPr>
            <w:tcW w:w="2108" w:type="dxa"/>
          </w:tcPr>
          <w:p w14:paraId="4EEA0467" w14:textId="77777777" w:rsidR="00F0088B" w:rsidRPr="00653DCF" w:rsidRDefault="00F0088B" w:rsidP="00E07A51">
            <w:pPr>
              <w:pStyle w:val="CenterEIB"/>
              <w:rPr>
                <w:color w:val="auto"/>
              </w:rPr>
            </w:pPr>
          </w:p>
        </w:tc>
        <w:tc>
          <w:tcPr>
            <w:tcW w:w="2108" w:type="dxa"/>
          </w:tcPr>
          <w:p w14:paraId="02B7C7E7" w14:textId="77777777" w:rsidR="00F0088B" w:rsidRPr="00653DCF" w:rsidRDefault="00F0088B" w:rsidP="00E07A51">
            <w:pPr>
              <w:pStyle w:val="CenterEIB"/>
              <w:rPr>
                <w:color w:val="auto"/>
              </w:rPr>
            </w:pPr>
          </w:p>
        </w:tc>
        <w:tc>
          <w:tcPr>
            <w:tcW w:w="4216" w:type="dxa"/>
          </w:tcPr>
          <w:p w14:paraId="5F7C8C48" w14:textId="77777777" w:rsidR="00F0088B" w:rsidRPr="00653DCF" w:rsidRDefault="00F0088B" w:rsidP="00E07A51">
            <w:pPr>
              <w:pStyle w:val="CenterEIB"/>
              <w:rPr>
                <w:color w:val="auto"/>
              </w:rPr>
            </w:pPr>
          </w:p>
          <w:p w14:paraId="481E9C2C" w14:textId="77777777" w:rsidR="00F0088B" w:rsidRPr="00653DCF" w:rsidRDefault="00F0088B" w:rsidP="00E07A51">
            <w:pPr>
              <w:pStyle w:val="CenterEIB"/>
              <w:rPr>
                <w:color w:val="auto"/>
              </w:rPr>
            </w:pPr>
          </w:p>
        </w:tc>
      </w:tr>
    </w:tbl>
    <w:tbl>
      <w:tblPr>
        <w:tblStyle w:val="TableGrid1"/>
        <w:tblW w:w="86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207"/>
        <w:gridCol w:w="2463"/>
      </w:tblGrid>
      <w:tr w:rsidR="00F0088B" w:rsidRPr="00653DCF" w14:paraId="5EDAE7F2" w14:textId="77777777" w:rsidTr="00E07A51">
        <w:tc>
          <w:tcPr>
            <w:tcW w:w="2972" w:type="dxa"/>
          </w:tcPr>
          <w:p w14:paraId="6F654E46" w14:textId="77777777" w:rsidR="00F0088B" w:rsidRPr="00653DCF" w:rsidRDefault="00F0088B" w:rsidP="00E07A51">
            <w:pPr>
              <w:tabs>
                <w:tab w:val="left" w:pos="2350"/>
              </w:tabs>
              <w:ind w:left="0" w:right="395"/>
              <w:jc w:val="center"/>
              <w:rPr>
                <w:color w:val="auto"/>
              </w:rPr>
            </w:pPr>
            <w:r w:rsidRPr="00653DCF">
              <w:rPr>
                <w:color w:val="auto"/>
              </w:rPr>
              <w:t>Signed for and on behalf of</w:t>
            </w:r>
          </w:p>
        </w:tc>
        <w:tc>
          <w:tcPr>
            <w:tcW w:w="5670" w:type="dxa"/>
            <w:gridSpan w:val="2"/>
          </w:tcPr>
          <w:p w14:paraId="1C78BC42" w14:textId="77777777" w:rsidR="00F0088B" w:rsidRPr="00653DCF" w:rsidRDefault="00F0088B" w:rsidP="00E07A51">
            <w:pPr>
              <w:tabs>
                <w:tab w:val="left" w:pos="2350"/>
              </w:tabs>
              <w:ind w:left="0" w:right="395"/>
              <w:jc w:val="center"/>
              <w:rPr>
                <w:color w:val="auto"/>
              </w:rPr>
            </w:pPr>
            <w:r w:rsidRPr="00653DCF">
              <w:rPr>
                <w:color w:val="auto"/>
              </w:rPr>
              <w:t>Signed for and on behalf of</w:t>
            </w:r>
          </w:p>
        </w:tc>
      </w:tr>
      <w:tr w:rsidR="00F0088B" w:rsidRPr="00653DCF" w14:paraId="60A51908" w14:textId="77777777" w:rsidTr="00E07A51">
        <w:tc>
          <w:tcPr>
            <w:tcW w:w="2972" w:type="dxa"/>
          </w:tcPr>
          <w:p w14:paraId="0F01230E" w14:textId="77777777" w:rsidR="00F0088B" w:rsidRPr="00653DCF" w:rsidRDefault="00F0088B" w:rsidP="00E07A51">
            <w:pPr>
              <w:tabs>
                <w:tab w:val="left" w:pos="2350"/>
              </w:tabs>
              <w:ind w:left="0" w:right="395"/>
              <w:jc w:val="center"/>
              <w:rPr>
                <w:color w:val="auto"/>
              </w:rPr>
            </w:pPr>
            <w:r w:rsidRPr="00653DCF">
              <w:rPr>
                <w:color w:val="auto"/>
              </w:rPr>
              <w:t>THE REPUBLIC OF CROATIA</w:t>
            </w:r>
          </w:p>
        </w:tc>
        <w:tc>
          <w:tcPr>
            <w:tcW w:w="5670" w:type="dxa"/>
            <w:gridSpan w:val="2"/>
          </w:tcPr>
          <w:p w14:paraId="39AA9864" w14:textId="77777777" w:rsidR="00F0088B" w:rsidRPr="00653DCF" w:rsidRDefault="00F0088B" w:rsidP="00E07A51">
            <w:pPr>
              <w:tabs>
                <w:tab w:val="left" w:pos="2350"/>
              </w:tabs>
              <w:ind w:left="0" w:right="395"/>
              <w:jc w:val="center"/>
              <w:rPr>
                <w:color w:val="auto"/>
              </w:rPr>
            </w:pPr>
            <w:r w:rsidRPr="00653DCF">
              <w:rPr>
                <w:color w:val="auto"/>
                <w:lang w:val="it-IT"/>
              </w:rPr>
              <w:t>EUROPEAN INVESTMENT BANK</w:t>
            </w:r>
          </w:p>
        </w:tc>
      </w:tr>
      <w:tr w:rsidR="00F0088B" w:rsidRPr="00653DCF" w14:paraId="13C22963" w14:textId="77777777" w:rsidTr="00E07A51">
        <w:tc>
          <w:tcPr>
            <w:tcW w:w="2972" w:type="dxa"/>
          </w:tcPr>
          <w:p w14:paraId="38BE268B" w14:textId="77777777" w:rsidR="00F0088B" w:rsidRPr="00653DCF" w:rsidRDefault="00F0088B" w:rsidP="00E07A51">
            <w:pPr>
              <w:tabs>
                <w:tab w:val="left" w:pos="2350"/>
              </w:tabs>
              <w:ind w:left="0" w:right="395"/>
              <w:jc w:val="center"/>
              <w:rPr>
                <w:color w:val="auto"/>
              </w:rPr>
            </w:pPr>
            <w:r w:rsidRPr="00653DCF">
              <w:rPr>
                <w:color w:val="auto"/>
              </w:rPr>
              <w:t>The Minister of Finance</w:t>
            </w:r>
          </w:p>
        </w:tc>
        <w:tc>
          <w:tcPr>
            <w:tcW w:w="3207" w:type="dxa"/>
          </w:tcPr>
          <w:p w14:paraId="71D965C7" w14:textId="77777777" w:rsidR="00F0088B" w:rsidRPr="00653DCF" w:rsidRDefault="00F0088B" w:rsidP="00E07A51">
            <w:pPr>
              <w:tabs>
                <w:tab w:val="left" w:pos="2350"/>
              </w:tabs>
              <w:ind w:left="0" w:right="395"/>
              <w:jc w:val="center"/>
              <w:rPr>
                <w:color w:val="auto"/>
              </w:rPr>
            </w:pPr>
            <w:r w:rsidRPr="00653DCF">
              <w:rPr>
                <w:rFonts w:cs="Arial"/>
                <w:color w:val="auto"/>
              </w:rPr>
              <w:t>Head of Division</w:t>
            </w:r>
          </w:p>
        </w:tc>
        <w:tc>
          <w:tcPr>
            <w:tcW w:w="2463" w:type="dxa"/>
          </w:tcPr>
          <w:p w14:paraId="3C2287D7" w14:textId="77777777" w:rsidR="00F0088B" w:rsidRPr="00653DCF" w:rsidRDefault="00F0088B" w:rsidP="00E07A51">
            <w:pPr>
              <w:tabs>
                <w:tab w:val="left" w:pos="2350"/>
              </w:tabs>
              <w:ind w:left="0" w:right="395"/>
              <w:jc w:val="center"/>
              <w:rPr>
                <w:color w:val="auto"/>
              </w:rPr>
            </w:pPr>
            <w:r w:rsidRPr="00653DCF">
              <w:rPr>
                <w:rFonts w:cs="Arial"/>
                <w:color w:val="auto"/>
              </w:rPr>
              <w:t>Loan Officer</w:t>
            </w:r>
          </w:p>
        </w:tc>
      </w:tr>
      <w:tr w:rsidR="00F0088B" w:rsidRPr="00653DCF" w14:paraId="5521C629" w14:textId="77777777" w:rsidTr="00E07A51">
        <w:tc>
          <w:tcPr>
            <w:tcW w:w="2972" w:type="dxa"/>
          </w:tcPr>
          <w:p w14:paraId="1ABA6C1F" w14:textId="77777777" w:rsidR="00F0088B" w:rsidRPr="00653DCF" w:rsidRDefault="00F0088B" w:rsidP="00E07A51">
            <w:pPr>
              <w:tabs>
                <w:tab w:val="left" w:pos="2350"/>
              </w:tabs>
              <w:ind w:left="0" w:right="395"/>
              <w:jc w:val="center"/>
              <w:rPr>
                <w:rFonts w:cs="Arial"/>
                <w:color w:val="auto"/>
              </w:rPr>
            </w:pPr>
          </w:p>
          <w:p w14:paraId="7CD29ABA" w14:textId="77777777" w:rsidR="00F0088B" w:rsidRPr="00653DCF" w:rsidRDefault="00F0088B" w:rsidP="00E07A51">
            <w:pPr>
              <w:tabs>
                <w:tab w:val="left" w:pos="2350"/>
              </w:tabs>
              <w:ind w:left="0" w:right="395"/>
              <w:jc w:val="center"/>
              <w:rPr>
                <w:rFonts w:cs="Arial"/>
                <w:color w:val="auto"/>
              </w:rPr>
            </w:pPr>
          </w:p>
          <w:p w14:paraId="3686DDFD" w14:textId="77777777" w:rsidR="00F0088B" w:rsidRPr="00653DCF" w:rsidRDefault="00F0088B" w:rsidP="00E07A51">
            <w:pPr>
              <w:tabs>
                <w:tab w:val="left" w:pos="2350"/>
              </w:tabs>
              <w:ind w:left="0" w:right="395"/>
              <w:jc w:val="center"/>
              <w:rPr>
                <w:color w:val="auto"/>
              </w:rPr>
            </w:pPr>
            <w:r w:rsidRPr="00653DCF">
              <w:rPr>
                <w:color w:val="auto"/>
              </w:rPr>
              <w:t>Marko PRIMORAC</w:t>
            </w:r>
          </w:p>
        </w:tc>
        <w:tc>
          <w:tcPr>
            <w:tcW w:w="3207" w:type="dxa"/>
          </w:tcPr>
          <w:p w14:paraId="6EFEF5AB" w14:textId="77777777" w:rsidR="00F0088B" w:rsidRPr="00653DCF" w:rsidRDefault="00F0088B" w:rsidP="00E07A51">
            <w:pPr>
              <w:tabs>
                <w:tab w:val="left" w:pos="2350"/>
              </w:tabs>
              <w:ind w:left="0" w:right="395"/>
              <w:jc w:val="center"/>
              <w:rPr>
                <w:color w:val="auto"/>
              </w:rPr>
            </w:pPr>
          </w:p>
          <w:p w14:paraId="46239B41" w14:textId="77777777" w:rsidR="00F0088B" w:rsidRPr="00653DCF" w:rsidRDefault="00F0088B" w:rsidP="00E07A51">
            <w:pPr>
              <w:tabs>
                <w:tab w:val="left" w:pos="2350"/>
              </w:tabs>
              <w:ind w:left="0" w:right="395"/>
              <w:jc w:val="center"/>
              <w:rPr>
                <w:color w:val="auto"/>
              </w:rPr>
            </w:pPr>
          </w:p>
          <w:p w14:paraId="5F07E973" w14:textId="77777777" w:rsidR="00F0088B" w:rsidRPr="00653DCF" w:rsidRDefault="00F0088B" w:rsidP="00E07A51">
            <w:pPr>
              <w:tabs>
                <w:tab w:val="left" w:pos="2350"/>
              </w:tabs>
              <w:ind w:left="0" w:right="395"/>
              <w:jc w:val="center"/>
              <w:rPr>
                <w:color w:val="auto"/>
              </w:rPr>
            </w:pPr>
            <w:r w:rsidRPr="00653DCF">
              <w:rPr>
                <w:rFonts w:cs="Arial"/>
                <w:color w:val="auto"/>
              </w:rPr>
              <w:t>Hanna KARCZEWSKA</w:t>
            </w:r>
          </w:p>
        </w:tc>
        <w:tc>
          <w:tcPr>
            <w:tcW w:w="2463" w:type="dxa"/>
          </w:tcPr>
          <w:p w14:paraId="4D93BCA4" w14:textId="77777777" w:rsidR="00F0088B" w:rsidRPr="00653DCF" w:rsidRDefault="00F0088B" w:rsidP="00E07A51">
            <w:pPr>
              <w:tabs>
                <w:tab w:val="left" w:pos="2350"/>
              </w:tabs>
              <w:ind w:left="0" w:right="395"/>
              <w:jc w:val="center"/>
              <w:rPr>
                <w:color w:val="auto"/>
              </w:rPr>
            </w:pPr>
          </w:p>
          <w:p w14:paraId="37B8AD94" w14:textId="77777777" w:rsidR="00F0088B" w:rsidRPr="00653DCF" w:rsidRDefault="00F0088B" w:rsidP="00E07A51">
            <w:pPr>
              <w:tabs>
                <w:tab w:val="left" w:pos="2350"/>
              </w:tabs>
              <w:ind w:left="0" w:right="395"/>
              <w:jc w:val="center"/>
              <w:rPr>
                <w:color w:val="auto"/>
              </w:rPr>
            </w:pPr>
          </w:p>
          <w:p w14:paraId="42E7E3FA" w14:textId="77777777" w:rsidR="00F0088B" w:rsidRPr="00653DCF" w:rsidRDefault="00F0088B" w:rsidP="00E07A51">
            <w:pPr>
              <w:tabs>
                <w:tab w:val="left" w:pos="2350"/>
              </w:tabs>
              <w:ind w:left="0" w:right="395"/>
              <w:jc w:val="center"/>
              <w:rPr>
                <w:color w:val="auto"/>
              </w:rPr>
            </w:pPr>
            <w:r w:rsidRPr="00653DCF">
              <w:rPr>
                <w:rFonts w:cs="Arial"/>
                <w:color w:val="auto"/>
              </w:rPr>
              <w:t xml:space="preserve">Olga </w:t>
            </w:r>
            <w:r w:rsidRPr="00653DCF">
              <w:rPr>
                <w:rFonts w:cs="Arial"/>
                <w:caps/>
                <w:color w:val="auto"/>
              </w:rPr>
              <w:t>Pascenco</w:t>
            </w:r>
          </w:p>
        </w:tc>
      </w:tr>
    </w:tbl>
    <w:p w14:paraId="0BBBF2A8" w14:textId="77777777" w:rsidR="00F0088B" w:rsidRPr="00653DCF" w:rsidRDefault="00F0088B" w:rsidP="00F0088B">
      <w:pPr>
        <w:ind w:left="851"/>
        <w:jc w:val="center"/>
        <w:rPr>
          <w:color w:val="auto"/>
        </w:rPr>
      </w:pPr>
    </w:p>
    <w:p w14:paraId="4458CFC1" w14:textId="77777777" w:rsidR="00F0088B" w:rsidRPr="00653DCF" w:rsidRDefault="00F0088B" w:rsidP="00F0088B">
      <w:pPr>
        <w:spacing w:after="200" w:line="276" w:lineRule="auto"/>
        <w:ind w:left="0"/>
        <w:jc w:val="left"/>
        <w:rPr>
          <w:b/>
          <w:color w:val="auto"/>
        </w:rPr>
      </w:pPr>
      <w:r w:rsidRPr="00653DCF">
        <w:rPr>
          <w:color w:val="auto"/>
        </w:rPr>
        <w:br w:type="page"/>
      </w:r>
    </w:p>
    <w:p w14:paraId="1E26E5D9" w14:textId="77777777" w:rsidR="00F0088B" w:rsidRPr="00653DCF" w:rsidRDefault="00F0088B" w:rsidP="00F0088B">
      <w:pPr>
        <w:pStyle w:val="ScheduleEIB0"/>
        <w:ind w:left="8931" w:right="472" w:hanging="709"/>
        <w:rPr>
          <w:color w:val="auto"/>
        </w:rPr>
      </w:pPr>
    </w:p>
    <w:p w14:paraId="554C7B4A" w14:textId="77777777" w:rsidR="00F0088B" w:rsidRPr="00653DCF" w:rsidRDefault="00F0088B" w:rsidP="00F0088B">
      <w:pPr>
        <w:pStyle w:val="SubSchedule1EIB"/>
        <w:numPr>
          <w:ilvl w:val="1"/>
          <w:numId w:val="94"/>
        </w:numPr>
        <w:rPr>
          <w:color w:val="auto"/>
        </w:rPr>
      </w:pPr>
      <w:r w:rsidRPr="00653DCF">
        <w:rPr>
          <w:color w:val="auto"/>
        </w:rPr>
        <w:t>Project Specification and Reporting</w:t>
      </w:r>
    </w:p>
    <w:p w14:paraId="7222AE55" w14:textId="77777777" w:rsidR="00F0088B" w:rsidRPr="00653DCF" w:rsidRDefault="00F0088B" w:rsidP="0024686A">
      <w:pPr>
        <w:pStyle w:val="SubSchedule3EIB0"/>
        <w:numPr>
          <w:ilvl w:val="3"/>
          <w:numId w:val="172"/>
        </w:numPr>
        <w:rPr>
          <w:b/>
          <w:bCs/>
          <w:color w:val="auto"/>
        </w:rPr>
      </w:pPr>
      <w:r w:rsidRPr="00653DCF">
        <w:rPr>
          <w:b/>
          <w:bCs/>
          <w:color w:val="auto"/>
        </w:rPr>
        <w:t>Technical Description</w:t>
      </w:r>
    </w:p>
    <w:p w14:paraId="3786D4A9" w14:textId="7EBBA135" w:rsidR="00F0088B" w:rsidRPr="00653DCF" w:rsidRDefault="00F0088B" w:rsidP="0024686A">
      <w:pPr>
        <w:pStyle w:val="SubSchedule4EIB"/>
        <w:numPr>
          <w:ilvl w:val="4"/>
          <w:numId w:val="173"/>
        </w:numPr>
        <w:ind w:left="1211"/>
        <w:rPr>
          <w:color w:val="auto"/>
        </w:rPr>
      </w:pPr>
      <w:r w:rsidRPr="00653DCF">
        <w:rPr>
          <w:color w:val="auto"/>
        </w:rPr>
        <w:t xml:space="preserve">Purpose, Location </w:t>
      </w:r>
    </w:p>
    <w:p w14:paraId="4A9932E2" w14:textId="77777777" w:rsidR="00F0088B" w:rsidRPr="00653DCF" w:rsidRDefault="00F0088B" w:rsidP="00F0088B">
      <w:pPr>
        <w:ind w:right="-141"/>
        <w:rPr>
          <w:color w:val="auto"/>
        </w:rPr>
      </w:pPr>
      <w:r w:rsidRPr="00653DCF">
        <w:rPr>
          <w:color w:val="auto"/>
        </w:rPr>
        <w:t>The Project, financing of which is structured as a framework loan, consists of supporting railway schemes in Croatia developed by the Ministry of the Sea, Transport and Infrastructure (MSTI) of Croatia as the Promoter and aligned with the objectives of the Transport Development Strategy of the Republic of Croatia for period 2017-2030, Sector policy letter entitled "Modernization and Restructuring of the Railway Sector", Railway System Development Strategy of the Republic of Croatia until 2032, National Plan for Railway Infrastructure Development for the period until 2030, National Plan for Managing Railway Infrastructure and Service Facilities and for Development Rail Transport Service for the period until 2030.</w:t>
      </w:r>
    </w:p>
    <w:p w14:paraId="7241D99F" w14:textId="77777777" w:rsidR="00F0088B" w:rsidRPr="00653DCF" w:rsidRDefault="00F0088B" w:rsidP="00F0088B">
      <w:pPr>
        <w:spacing w:after="240"/>
        <w:ind w:right="-141"/>
        <w:rPr>
          <w:b/>
          <w:bCs/>
          <w:color w:val="auto"/>
        </w:rPr>
      </w:pPr>
      <w:r w:rsidRPr="00653DCF">
        <w:rPr>
          <w:b/>
          <w:bCs/>
          <w:color w:val="auto"/>
        </w:rPr>
        <w:t>Description</w:t>
      </w:r>
    </w:p>
    <w:p w14:paraId="63469A93" w14:textId="77777777" w:rsidR="00F0088B" w:rsidRPr="00653DCF" w:rsidRDefault="00F0088B" w:rsidP="00F0088B">
      <w:pPr>
        <w:ind w:right="-141"/>
        <w:rPr>
          <w:color w:val="auto"/>
        </w:rPr>
      </w:pPr>
      <w:r w:rsidRPr="00653DCF">
        <w:rPr>
          <w:color w:val="auto"/>
        </w:rPr>
        <w:t>The Project includes railway infrastructure and rolling stock schemes. Some schemes may be co-financed by EU grants. The eligible investments are as follows:</w:t>
      </w:r>
    </w:p>
    <w:p w14:paraId="26A4F64F" w14:textId="77777777" w:rsidR="00F0088B" w:rsidRPr="00653DCF" w:rsidRDefault="00F0088B" w:rsidP="00F0088B">
      <w:pPr>
        <w:rPr>
          <w:color w:val="auto"/>
        </w:rPr>
      </w:pPr>
    </w:p>
    <w:tbl>
      <w:tblPr>
        <w:tblStyle w:val="TableGrid2"/>
        <w:tblW w:w="8641" w:type="dxa"/>
        <w:tblInd w:w="846" w:type="dxa"/>
        <w:tblLook w:val="04A0" w:firstRow="1" w:lastRow="0" w:firstColumn="1" w:lastColumn="0" w:noHBand="0" w:noVBand="1"/>
      </w:tblPr>
      <w:tblGrid>
        <w:gridCol w:w="2250"/>
        <w:gridCol w:w="6391"/>
      </w:tblGrid>
      <w:tr w:rsidR="00F0088B" w:rsidRPr="00653DCF" w14:paraId="680A6AB4" w14:textId="77777777" w:rsidTr="00E07A51">
        <w:tc>
          <w:tcPr>
            <w:tcW w:w="2250" w:type="dxa"/>
          </w:tcPr>
          <w:p w14:paraId="218A06AC" w14:textId="77777777" w:rsidR="00F0088B" w:rsidRPr="00653DCF" w:rsidRDefault="00F0088B" w:rsidP="00E07A51">
            <w:pPr>
              <w:spacing w:before="120"/>
              <w:ind w:left="0"/>
              <w:rPr>
                <w:rFonts w:cs="Arial"/>
                <w:bCs/>
                <w:color w:val="auto"/>
              </w:rPr>
            </w:pPr>
          </w:p>
        </w:tc>
        <w:tc>
          <w:tcPr>
            <w:tcW w:w="6391" w:type="dxa"/>
          </w:tcPr>
          <w:p w14:paraId="472EC362" w14:textId="77777777" w:rsidR="00F0088B" w:rsidRPr="00653DCF" w:rsidRDefault="00F0088B" w:rsidP="00E07A51">
            <w:pPr>
              <w:spacing w:before="120"/>
              <w:ind w:left="0"/>
              <w:rPr>
                <w:rFonts w:cs="Arial"/>
                <w:b/>
                <w:color w:val="auto"/>
              </w:rPr>
            </w:pPr>
            <w:r w:rsidRPr="00653DCF">
              <w:rPr>
                <w:rFonts w:cs="Arial"/>
                <w:b/>
                <w:color w:val="auto"/>
              </w:rPr>
              <w:t>Eligible Investments</w:t>
            </w:r>
          </w:p>
        </w:tc>
      </w:tr>
      <w:tr w:rsidR="00F0088B" w:rsidRPr="00653DCF" w14:paraId="1FFD86B1" w14:textId="77777777" w:rsidTr="00E07A51">
        <w:tc>
          <w:tcPr>
            <w:tcW w:w="2250" w:type="dxa"/>
          </w:tcPr>
          <w:p w14:paraId="72AC6F01" w14:textId="77777777" w:rsidR="00F0088B" w:rsidRPr="00653DCF" w:rsidRDefault="00F0088B" w:rsidP="00E07A51">
            <w:pPr>
              <w:spacing w:after="0"/>
              <w:ind w:left="0"/>
              <w:rPr>
                <w:rFonts w:cs="Arial"/>
                <w:bCs/>
                <w:color w:val="auto"/>
              </w:rPr>
            </w:pPr>
            <w:r w:rsidRPr="00653DCF">
              <w:rPr>
                <w:rFonts w:cs="Arial"/>
                <w:bCs/>
                <w:color w:val="auto"/>
              </w:rPr>
              <w:t xml:space="preserve">Railway infrastructure </w:t>
            </w:r>
          </w:p>
          <w:p w14:paraId="5C2B5D9E" w14:textId="77777777" w:rsidR="00F0088B" w:rsidRPr="00653DCF" w:rsidRDefault="00F0088B" w:rsidP="00E07A51">
            <w:pPr>
              <w:spacing w:after="0"/>
              <w:ind w:left="0"/>
              <w:rPr>
                <w:rFonts w:cs="Arial"/>
                <w:bCs/>
                <w:color w:val="auto"/>
              </w:rPr>
            </w:pPr>
          </w:p>
          <w:p w14:paraId="06B351BD" w14:textId="77777777" w:rsidR="00F0088B" w:rsidRPr="00653DCF" w:rsidRDefault="00F0088B" w:rsidP="00E07A51">
            <w:pPr>
              <w:spacing w:after="0"/>
              <w:ind w:left="0"/>
              <w:rPr>
                <w:rFonts w:cs="Arial"/>
                <w:bCs/>
                <w:color w:val="auto"/>
              </w:rPr>
            </w:pPr>
          </w:p>
        </w:tc>
        <w:tc>
          <w:tcPr>
            <w:tcW w:w="6391" w:type="dxa"/>
          </w:tcPr>
          <w:p w14:paraId="2853833F" w14:textId="77777777" w:rsidR="00F0088B" w:rsidRPr="00653DCF" w:rsidRDefault="00F0088B" w:rsidP="00E07A51">
            <w:pPr>
              <w:ind w:left="0"/>
              <w:rPr>
                <w:bCs/>
                <w:color w:val="auto"/>
              </w:rPr>
            </w:pPr>
            <w:r w:rsidRPr="00653DCF">
              <w:rPr>
                <w:rFonts w:cs="Arial"/>
                <w:bCs/>
                <w:color w:val="auto"/>
              </w:rPr>
              <w:t xml:space="preserve">Rehabilitation, modernisation and new construction of strategic </w:t>
            </w:r>
            <w:r w:rsidRPr="00653DCF">
              <w:rPr>
                <w:rFonts w:cs="Arial"/>
                <w:bCs/>
                <w:color w:val="auto"/>
              </w:rPr>
              <w:br/>
              <w:t xml:space="preserve">(TEN-T), national, regional and local railway infrastructure under the responsibility </w:t>
            </w:r>
            <w:r w:rsidRPr="00653DCF">
              <w:rPr>
                <w:bCs/>
                <w:color w:val="auto"/>
              </w:rPr>
              <w:t>of HŽI:</w:t>
            </w:r>
          </w:p>
          <w:p w14:paraId="26DEDB95" w14:textId="77777777" w:rsidR="00F0088B" w:rsidRPr="00653DCF" w:rsidRDefault="00F0088B" w:rsidP="00E07A51">
            <w:pPr>
              <w:numPr>
                <w:ilvl w:val="0"/>
                <w:numId w:val="76"/>
              </w:numPr>
              <w:ind w:left="357" w:hanging="357"/>
              <w:rPr>
                <w:rFonts w:cs="Arial"/>
                <w:bCs/>
                <w:color w:val="auto"/>
              </w:rPr>
            </w:pPr>
            <w:r w:rsidRPr="00653DCF">
              <w:rPr>
                <w:rFonts w:cs="Arial"/>
                <w:bCs/>
                <w:color w:val="auto"/>
              </w:rPr>
              <w:t xml:space="preserve">Technical components may include railway tracks, structures, civil engineering, signalling and electronic control systems, passenger stations and stops and </w:t>
            </w:r>
            <w:r w:rsidRPr="00653DCF">
              <w:rPr>
                <w:bCs/>
                <w:color w:val="auto"/>
              </w:rPr>
              <w:t>ancillary investments</w:t>
            </w:r>
            <w:r w:rsidRPr="00653DCF">
              <w:rPr>
                <w:rFonts w:cs="Arial"/>
                <w:bCs/>
                <w:color w:val="auto"/>
              </w:rPr>
              <w:t xml:space="preserve"> such as rail safety schemes, road, cycling and walking infrastructure;</w:t>
            </w:r>
          </w:p>
          <w:p w14:paraId="4E9AB8D9" w14:textId="77777777" w:rsidR="00F0088B" w:rsidRPr="00653DCF" w:rsidRDefault="00F0088B" w:rsidP="00E07A51">
            <w:pPr>
              <w:numPr>
                <w:ilvl w:val="0"/>
                <w:numId w:val="76"/>
              </w:numPr>
              <w:ind w:left="357" w:hanging="357"/>
              <w:rPr>
                <w:rFonts w:cs="Arial"/>
                <w:bCs/>
                <w:color w:val="auto"/>
              </w:rPr>
            </w:pPr>
            <w:r w:rsidRPr="00653DCF">
              <w:rPr>
                <w:rFonts w:cs="Arial"/>
                <w:bCs/>
                <w:color w:val="auto"/>
              </w:rPr>
              <w:t>Preparatory works and studies, as far as associated to the technical components above;</w:t>
            </w:r>
          </w:p>
          <w:p w14:paraId="20B22EE1" w14:textId="77777777" w:rsidR="00F0088B" w:rsidRPr="00653DCF" w:rsidRDefault="00F0088B" w:rsidP="00E07A51">
            <w:pPr>
              <w:numPr>
                <w:ilvl w:val="0"/>
                <w:numId w:val="76"/>
              </w:numPr>
              <w:ind w:left="357" w:hanging="357"/>
              <w:rPr>
                <w:rFonts w:cs="Arial"/>
                <w:bCs/>
                <w:color w:val="auto"/>
              </w:rPr>
            </w:pPr>
            <w:r w:rsidRPr="00653DCF">
              <w:rPr>
                <w:rFonts w:cs="Arial"/>
                <w:bCs/>
                <w:color w:val="auto"/>
              </w:rPr>
              <w:t>Development of supporting capabilities such as new railway specific software (timetable management, etc.);</w:t>
            </w:r>
          </w:p>
          <w:p w14:paraId="6EBD439B" w14:textId="77777777" w:rsidR="00F0088B" w:rsidRPr="00653DCF" w:rsidRDefault="00F0088B" w:rsidP="00E07A51">
            <w:pPr>
              <w:numPr>
                <w:ilvl w:val="0"/>
                <w:numId w:val="76"/>
              </w:numPr>
              <w:ind w:left="357" w:hanging="357"/>
              <w:rPr>
                <w:rFonts w:cs="Arial"/>
                <w:bCs/>
                <w:color w:val="auto"/>
              </w:rPr>
            </w:pPr>
            <w:r w:rsidRPr="00653DCF">
              <w:rPr>
                <w:rFonts w:cs="Arial"/>
                <w:bCs/>
                <w:color w:val="auto"/>
              </w:rPr>
              <w:t xml:space="preserve">Rail depots, including but not limited to those for rolling stock under responsibility of HŽPP; </w:t>
            </w:r>
          </w:p>
          <w:p w14:paraId="6DD7714A" w14:textId="77777777" w:rsidR="00F0088B" w:rsidRPr="00653DCF" w:rsidRDefault="00F0088B" w:rsidP="00E07A51">
            <w:pPr>
              <w:numPr>
                <w:ilvl w:val="0"/>
                <w:numId w:val="76"/>
              </w:numPr>
              <w:spacing w:after="0"/>
              <w:ind w:left="360"/>
              <w:rPr>
                <w:rFonts w:cs="Arial"/>
                <w:bCs/>
                <w:color w:val="auto"/>
              </w:rPr>
            </w:pPr>
            <w:r w:rsidRPr="00653DCF">
              <w:rPr>
                <w:rFonts w:cs="Arial"/>
                <w:bCs/>
                <w:color w:val="auto"/>
              </w:rPr>
              <w:t>Schemes may include, installation of infrastructure for the use of renewable and alternative energy sources.</w:t>
            </w:r>
          </w:p>
          <w:p w14:paraId="7D2217F1" w14:textId="77777777" w:rsidR="00F0088B" w:rsidRPr="00653DCF" w:rsidRDefault="00F0088B" w:rsidP="00E07A51">
            <w:pPr>
              <w:spacing w:after="0"/>
              <w:ind w:left="360"/>
              <w:rPr>
                <w:rFonts w:cs="Arial"/>
                <w:bCs/>
                <w:color w:val="auto"/>
              </w:rPr>
            </w:pPr>
          </w:p>
        </w:tc>
      </w:tr>
      <w:tr w:rsidR="00F0088B" w:rsidRPr="00653DCF" w14:paraId="42FE3133" w14:textId="77777777" w:rsidTr="00E07A51">
        <w:tc>
          <w:tcPr>
            <w:tcW w:w="2250" w:type="dxa"/>
          </w:tcPr>
          <w:p w14:paraId="5C24FDCE" w14:textId="77777777" w:rsidR="00F0088B" w:rsidRPr="00653DCF" w:rsidRDefault="00F0088B" w:rsidP="00E07A51">
            <w:pPr>
              <w:spacing w:after="0"/>
              <w:ind w:left="0"/>
              <w:rPr>
                <w:rFonts w:cs="Arial"/>
                <w:bCs/>
                <w:color w:val="auto"/>
              </w:rPr>
            </w:pPr>
            <w:r w:rsidRPr="00653DCF">
              <w:rPr>
                <w:rFonts w:cs="Arial"/>
                <w:bCs/>
                <w:color w:val="auto"/>
              </w:rPr>
              <w:t>Train rolling stock and depots</w:t>
            </w:r>
          </w:p>
        </w:tc>
        <w:tc>
          <w:tcPr>
            <w:tcW w:w="6391" w:type="dxa"/>
          </w:tcPr>
          <w:p w14:paraId="1229A8F2" w14:textId="77777777" w:rsidR="00F0088B" w:rsidRPr="00653DCF" w:rsidRDefault="00F0088B" w:rsidP="00E07A51">
            <w:pPr>
              <w:ind w:left="0"/>
              <w:rPr>
                <w:rFonts w:cs="Arial"/>
                <w:bCs/>
                <w:color w:val="auto"/>
              </w:rPr>
            </w:pPr>
            <w:r w:rsidRPr="00653DCF">
              <w:rPr>
                <w:rFonts w:cs="Arial"/>
                <w:bCs/>
                <w:color w:val="auto"/>
              </w:rPr>
              <w:t>Purchase of new rolling stock (passenger and freight trains) by HŽPP:</w:t>
            </w:r>
          </w:p>
          <w:p w14:paraId="63430EF9" w14:textId="77777777" w:rsidR="00F0088B" w:rsidRPr="00653DCF" w:rsidRDefault="00F0088B" w:rsidP="00E07A51">
            <w:pPr>
              <w:numPr>
                <w:ilvl w:val="0"/>
                <w:numId w:val="77"/>
              </w:numPr>
              <w:ind w:left="357" w:hanging="357"/>
              <w:rPr>
                <w:rFonts w:cs="Arial"/>
                <w:bCs/>
                <w:color w:val="auto"/>
              </w:rPr>
            </w:pPr>
            <w:r w:rsidRPr="00653DCF">
              <w:rPr>
                <w:rFonts w:cs="Arial"/>
                <w:bCs/>
                <w:color w:val="auto"/>
              </w:rPr>
              <w:t>Battery powered multiple units (BMU);</w:t>
            </w:r>
          </w:p>
          <w:p w14:paraId="1EA2561A" w14:textId="77777777" w:rsidR="00F0088B" w:rsidRPr="00653DCF" w:rsidRDefault="00F0088B" w:rsidP="00E07A51">
            <w:pPr>
              <w:numPr>
                <w:ilvl w:val="0"/>
                <w:numId w:val="77"/>
              </w:numPr>
              <w:ind w:left="357" w:hanging="357"/>
              <w:rPr>
                <w:rFonts w:cs="Arial"/>
                <w:bCs/>
                <w:color w:val="auto"/>
              </w:rPr>
            </w:pPr>
            <w:r w:rsidRPr="00653DCF">
              <w:rPr>
                <w:rFonts w:cs="Arial"/>
                <w:bCs/>
                <w:color w:val="auto"/>
              </w:rPr>
              <w:t>Battery electric powered multiple units (BEMUs);</w:t>
            </w:r>
          </w:p>
          <w:p w14:paraId="54CDEFA5" w14:textId="77777777" w:rsidR="00F0088B" w:rsidRPr="00653DCF" w:rsidRDefault="00F0088B" w:rsidP="00E07A51">
            <w:pPr>
              <w:numPr>
                <w:ilvl w:val="0"/>
                <w:numId w:val="77"/>
              </w:numPr>
              <w:ind w:left="357" w:hanging="357"/>
              <w:rPr>
                <w:rFonts w:cs="Arial"/>
                <w:bCs/>
                <w:color w:val="auto"/>
              </w:rPr>
            </w:pPr>
            <w:r w:rsidRPr="00653DCF">
              <w:rPr>
                <w:rFonts w:cs="Arial"/>
                <w:bCs/>
                <w:color w:val="auto"/>
              </w:rPr>
              <w:t>Charging infrastructure for battery using trains (BMUs and BEMUs);</w:t>
            </w:r>
          </w:p>
          <w:p w14:paraId="7B6F82BA" w14:textId="77777777" w:rsidR="00F0088B" w:rsidRPr="00653DCF" w:rsidRDefault="00F0088B" w:rsidP="00E07A51">
            <w:pPr>
              <w:numPr>
                <w:ilvl w:val="0"/>
                <w:numId w:val="77"/>
              </w:numPr>
              <w:spacing w:after="0"/>
              <w:rPr>
                <w:rFonts w:cs="Arial"/>
                <w:bCs/>
                <w:color w:val="auto"/>
              </w:rPr>
            </w:pPr>
            <w:r w:rsidRPr="00653DCF">
              <w:rPr>
                <w:color w:val="auto"/>
              </w:rPr>
              <w:t>Trains and passenger coaches which have zero direct (tailpipe) CO2 emission when operated on a track with necessary infrastructure, and use a conventional engine where such infrastructure is not available (bi mode).</w:t>
            </w:r>
          </w:p>
          <w:p w14:paraId="7FF70816" w14:textId="77777777" w:rsidR="00F0088B" w:rsidRPr="00653DCF" w:rsidRDefault="00F0088B" w:rsidP="00E07A51">
            <w:pPr>
              <w:spacing w:after="0"/>
              <w:ind w:left="360"/>
              <w:rPr>
                <w:rFonts w:cs="Arial"/>
                <w:bCs/>
                <w:color w:val="auto"/>
              </w:rPr>
            </w:pPr>
          </w:p>
        </w:tc>
      </w:tr>
    </w:tbl>
    <w:p w14:paraId="2CB23916" w14:textId="77777777" w:rsidR="00F0088B" w:rsidRPr="00653DCF" w:rsidRDefault="00F0088B" w:rsidP="00F0088B">
      <w:pPr>
        <w:ind w:left="0" w:right="-141"/>
        <w:rPr>
          <w:color w:val="auto"/>
        </w:rPr>
      </w:pPr>
    </w:p>
    <w:p w14:paraId="4C44C660" w14:textId="779A46DF" w:rsidR="00F0088B" w:rsidRDefault="00F0088B" w:rsidP="00F0088B">
      <w:pPr>
        <w:ind w:right="-141"/>
        <w:rPr>
          <w:color w:val="auto"/>
        </w:rPr>
      </w:pPr>
      <w:r w:rsidRPr="00653DCF">
        <w:rPr>
          <w:color w:val="auto"/>
        </w:rPr>
        <w:t>All schemes shall be aligned with the EIB Transport Lending Policy and EIB Climate Bank Roadmap. Schemes shall comply with the application of relevant TSI standards including:</w:t>
      </w:r>
    </w:p>
    <w:p w14:paraId="749DDB4F" w14:textId="77777777" w:rsidR="009227C1" w:rsidRPr="00653DCF" w:rsidRDefault="009227C1" w:rsidP="00F0088B">
      <w:pPr>
        <w:ind w:right="-141"/>
        <w:rPr>
          <w:color w:val="auto"/>
        </w:rPr>
      </w:pPr>
    </w:p>
    <w:p w14:paraId="057B325C" w14:textId="77777777" w:rsidR="00F0088B" w:rsidRPr="00653DCF" w:rsidRDefault="00F0088B" w:rsidP="00F0088B">
      <w:pPr>
        <w:ind w:right="1181"/>
        <w:rPr>
          <w:color w:val="auto"/>
        </w:rPr>
      </w:pPr>
      <w:r w:rsidRPr="00653DCF">
        <w:rPr>
          <w:color w:val="auto"/>
        </w:rPr>
        <w:t>o</w:t>
      </w:r>
      <w:r w:rsidRPr="00653DCF">
        <w:rPr>
          <w:color w:val="auto"/>
        </w:rPr>
        <w:tab/>
        <w:t>Regulation 2014/1299/EU (Infrastructure),</w:t>
      </w:r>
    </w:p>
    <w:p w14:paraId="6247B2F6" w14:textId="77777777" w:rsidR="00F0088B" w:rsidRPr="00653DCF" w:rsidRDefault="00F0088B" w:rsidP="00F0088B">
      <w:pPr>
        <w:ind w:right="1"/>
        <w:rPr>
          <w:color w:val="auto"/>
        </w:rPr>
      </w:pPr>
      <w:r w:rsidRPr="00653DCF">
        <w:rPr>
          <w:color w:val="auto"/>
        </w:rPr>
        <w:t>o</w:t>
      </w:r>
      <w:r w:rsidRPr="00653DCF">
        <w:rPr>
          <w:color w:val="auto"/>
        </w:rPr>
        <w:tab/>
        <w:t>Regulation 2014/1303 (Safety in railway tunnels),</w:t>
      </w:r>
    </w:p>
    <w:p w14:paraId="73A96267" w14:textId="77777777" w:rsidR="00F0088B" w:rsidRPr="00653DCF" w:rsidRDefault="00F0088B" w:rsidP="00F0088B">
      <w:pPr>
        <w:ind w:left="1418" w:right="1" w:hanging="567"/>
        <w:rPr>
          <w:color w:val="auto"/>
        </w:rPr>
      </w:pPr>
      <w:r w:rsidRPr="00653DCF">
        <w:rPr>
          <w:color w:val="auto"/>
        </w:rPr>
        <w:t>o</w:t>
      </w:r>
      <w:r w:rsidRPr="00653DCF">
        <w:rPr>
          <w:color w:val="auto"/>
        </w:rPr>
        <w:tab/>
        <w:t>Regulation 2014/1300/EU (Accessibility for persons with reduced mobility and disabilities),</w:t>
      </w:r>
    </w:p>
    <w:p w14:paraId="4430FDDB" w14:textId="77777777" w:rsidR="00F0088B" w:rsidRPr="00653DCF" w:rsidRDefault="00F0088B" w:rsidP="00F0088B">
      <w:pPr>
        <w:ind w:right="1"/>
        <w:rPr>
          <w:color w:val="auto"/>
        </w:rPr>
      </w:pPr>
      <w:r w:rsidRPr="00653DCF">
        <w:rPr>
          <w:color w:val="auto"/>
        </w:rPr>
        <w:t>o</w:t>
      </w:r>
      <w:r w:rsidRPr="00653DCF">
        <w:rPr>
          <w:color w:val="auto"/>
        </w:rPr>
        <w:tab/>
        <w:t>Regulation 2014/1301/EU (Energy), and</w:t>
      </w:r>
    </w:p>
    <w:p w14:paraId="26879EE4" w14:textId="77777777" w:rsidR="00F0088B" w:rsidRPr="00653DCF" w:rsidRDefault="00F0088B" w:rsidP="00F0088B">
      <w:pPr>
        <w:ind w:right="1"/>
        <w:rPr>
          <w:color w:val="auto"/>
        </w:rPr>
      </w:pPr>
      <w:r w:rsidRPr="00653DCF">
        <w:rPr>
          <w:color w:val="auto"/>
        </w:rPr>
        <w:t>o</w:t>
      </w:r>
      <w:r w:rsidRPr="00653DCF">
        <w:rPr>
          <w:color w:val="auto"/>
        </w:rPr>
        <w:tab/>
        <w:t>Regulation (EU) 2023/1695 (Control command and signalling).</w:t>
      </w:r>
    </w:p>
    <w:p w14:paraId="3BE74C9F" w14:textId="77777777" w:rsidR="00F0088B" w:rsidRPr="00653DCF" w:rsidRDefault="00F0088B" w:rsidP="00F0088B">
      <w:pPr>
        <w:ind w:right="1"/>
        <w:rPr>
          <w:color w:val="auto"/>
        </w:rPr>
      </w:pPr>
      <w:r w:rsidRPr="00653DCF">
        <w:rPr>
          <w:color w:val="auto"/>
        </w:rPr>
        <w:t>o</w:t>
      </w:r>
      <w:r w:rsidRPr="00653DCF">
        <w:rPr>
          <w:color w:val="auto"/>
        </w:rPr>
        <w:tab/>
        <w:t>Regulation (EU) 1302/2014 (Locomotives and Passengers)</w:t>
      </w:r>
    </w:p>
    <w:p w14:paraId="337347A7" w14:textId="77777777" w:rsidR="00F0088B" w:rsidRPr="00653DCF" w:rsidRDefault="00F0088B" w:rsidP="00F0088B">
      <w:pPr>
        <w:ind w:right="1"/>
        <w:rPr>
          <w:color w:val="auto"/>
        </w:rPr>
      </w:pPr>
      <w:r w:rsidRPr="00653DCF">
        <w:rPr>
          <w:color w:val="auto"/>
        </w:rPr>
        <w:t>o</w:t>
      </w:r>
      <w:r w:rsidRPr="00653DCF">
        <w:rPr>
          <w:color w:val="auto"/>
        </w:rPr>
        <w:tab/>
        <w:t>Regulation (EU) 321/2013 (Freight wagons)</w:t>
      </w:r>
    </w:p>
    <w:p w14:paraId="6890ADFA" w14:textId="77777777" w:rsidR="00F0088B" w:rsidRPr="00653DCF" w:rsidRDefault="00F0088B" w:rsidP="00F0088B">
      <w:pPr>
        <w:ind w:right="1"/>
        <w:rPr>
          <w:color w:val="auto"/>
        </w:rPr>
      </w:pPr>
      <w:r w:rsidRPr="00653DCF">
        <w:rPr>
          <w:color w:val="auto"/>
        </w:rPr>
        <w:t>o</w:t>
      </w:r>
      <w:r w:rsidRPr="00653DCF">
        <w:rPr>
          <w:color w:val="auto"/>
        </w:rPr>
        <w:tab/>
        <w:t>Regulation (EU) 1305/2014 (Telematics Applications for Freight Service)</w:t>
      </w:r>
    </w:p>
    <w:p w14:paraId="116F47A2" w14:textId="77777777" w:rsidR="00F0088B" w:rsidRPr="00653DCF" w:rsidRDefault="00F0088B" w:rsidP="00F0088B">
      <w:pPr>
        <w:ind w:right="1"/>
        <w:rPr>
          <w:color w:val="auto"/>
        </w:rPr>
      </w:pPr>
      <w:r w:rsidRPr="00653DCF">
        <w:rPr>
          <w:color w:val="auto"/>
        </w:rPr>
        <w:t>o</w:t>
      </w:r>
      <w:r w:rsidRPr="00653DCF">
        <w:rPr>
          <w:color w:val="auto"/>
        </w:rPr>
        <w:tab/>
        <w:t>Regulation (EU) 454/2011 (Telematics Applications for Passenger Service)</w:t>
      </w:r>
    </w:p>
    <w:p w14:paraId="751BD655" w14:textId="77777777" w:rsidR="00F0088B" w:rsidRPr="00653DCF" w:rsidRDefault="00F0088B" w:rsidP="00F0088B">
      <w:pPr>
        <w:ind w:left="1436" w:right="1" w:hanging="580"/>
        <w:rPr>
          <w:color w:val="auto"/>
        </w:rPr>
      </w:pPr>
      <w:r w:rsidRPr="00653DCF">
        <w:rPr>
          <w:color w:val="auto"/>
        </w:rPr>
        <w:t>o</w:t>
      </w:r>
      <w:r w:rsidRPr="00653DCF">
        <w:rPr>
          <w:color w:val="auto"/>
        </w:rPr>
        <w:tab/>
        <w:t>Regulation (EU) 2023/1694 amending Regulations (EU) No 321/2013, (EU) No 1299/2014, (EU) No 1300/2014, (EU) No 1301/2014, (EU) No 1302/2014, (EU) No 1304/2014 and Implementing Regulation (EU) 2019/777</w:t>
      </w:r>
    </w:p>
    <w:p w14:paraId="47FA7BD5" w14:textId="77777777" w:rsidR="00F0088B" w:rsidRPr="00653DCF" w:rsidRDefault="00F0088B" w:rsidP="00F0088B">
      <w:pPr>
        <w:ind w:left="1436" w:right="1" w:hanging="580"/>
        <w:rPr>
          <w:color w:val="auto"/>
        </w:rPr>
      </w:pPr>
      <w:r w:rsidRPr="00653DCF">
        <w:rPr>
          <w:color w:val="auto"/>
        </w:rPr>
        <w:t>o</w:t>
      </w:r>
      <w:r w:rsidRPr="00653DCF">
        <w:rPr>
          <w:color w:val="auto"/>
        </w:rPr>
        <w:tab/>
        <w:t>The positive assessed national rules notified to the Commission in accordance with Article 8 of Directive (EU) 2016/798 and Article 14 of Directive (EU) 2016/797.</w:t>
      </w:r>
    </w:p>
    <w:p w14:paraId="6F6D6514" w14:textId="77777777" w:rsidR="00F0088B" w:rsidRPr="00653DCF" w:rsidRDefault="00F0088B" w:rsidP="00F0088B">
      <w:pPr>
        <w:spacing w:before="240"/>
        <w:ind w:right="1"/>
        <w:rPr>
          <w:b/>
          <w:bCs/>
          <w:color w:val="auto"/>
        </w:rPr>
      </w:pPr>
      <w:r w:rsidRPr="00653DCF">
        <w:rPr>
          <w:b/>
          <w:bCs/>
          <w:color w:val="auto"/>
        </w:rPr>
        <w:t>Calendar</w:t>
      </w:r>
    </w:p>
    <w:p w14:paraId="52CBB423" w14:textId="77777777" w:rsidR="00F0088B" w:rsidRPr="00653DCF" w:rsidRDefault="00F0088B" w:rsidP="00F0088B">
      <w:pPr>
        <w:ind w:right="1"/>
        <w:rPr>
          <w:color w:val="auto"/>
        </w:rPr>
      </w:pPr>
      <w:r w:rsidRPr="00653DCF">
        <w:rPr>
          <w:color w:val="auto"/>
        </w:rPr>
        <w:t>The schemes will be implemented in the period 2024-2032.</w:t>
      </w:r>
    </w:p>
    <w:p w14:paraId="6BCA96ED" w14:textId="77777777" w:rsidR="00F0088B" w:rsidRPr="00653DCF" w:rsidRDefault="00F0088B" w:rsidP="00F0088B">
      <w:pPr>
        <w:spacing w:before="240"/>
        <w:ind w:right="1"/>
        <w:rPr>
          <w:b/>
          <w:bCs/>
          <w:color w:val="auto"/>
        </w:rPr>
      </w:pPr>
      <w:r w:rsidRPr="00653DCF">
        <w:rPr>
          <w:b/>
          <w:bCs/>
          <w:color w:val="auto"/>
        </w:rPr>
        <w:t>Allocation Procedure</w:t>
      </w:r>
    </w:p>
    <w:p w14:paraId="560CF7BC" w14:textId="77777777" w:rsidR="00F0088B" w:rsidRPr="00653DCF" w:rsidRDefault="00F0088B" w:rsidP="00F0088B">
      <w:pPr>
        <w:ind w:right="1"/>
        <w:rPr>
          <w:color w:val="auto"/>
        </w:rPr>
      </w:pPr>
      <w:r w:rsidRPr="00653DCF">
        <w:rPr>
          <w:color w:val="auto"/>
        </w:rPr>
        <w:t>The Bank’s loan will be allocated to eligible schemes, satisfying the conditions listed in the technical description with procedures commensurate with the scheme size and in line with applicable framework loan procedures:</w:t>
      </w:r>
    </w:p>
    <w:p w14:paraId="4A88C807" w14:textId="77777777" w:rsidR="00F0088B" w:rsidRPr="00653DCF" w:rsidRDefault="00F0088B" w:rsidP="00F0088B">
      <w:pPr>
        <w:ind w:left="1418" w:right="1" w:hanging="562"/>
        <w:rPr>
          <w:color w:val="auto"/>
        </w:rPr>
      </w:pPr>
      <w:r w:rsidRPr="00653DCF">
        <w:rPr>
          <w:color w:val="auto"/>
        </w:rPr>
        <w:t>•</w:t>
      </w:r>
      <w:r w:rsidRPr="00653DCF">
        <w:rPr>
          <w:color w:val="auto"/>
        </w:rPr>
        <w:tab/>
        <w:t>Eligible schemes with an investment cost below EUR 25 million are selected by the Promoter. The choices are subject to confirmation of eligibility by the Bank’s services after disbursement to the schemes concerned. The Promoter shall submit an Allocation Request in a form required by the Bank (as defined in this Schedule A.1.2 below).</w:t>
      </w:r>
    </w:p>
    <w:p w14:paraId="7C6EA17C" w14:textId="77777777" w:rsidR="00F0088B" w:rsidRPr="00653DCF" w:rsidRDefault="00F0088B" w:rsidP="00F0088B">
      <w:pPr>
        <w:ind w:left="1418" w:right="1" w:hanging="562"/>
        <w:rPr>
          <w:color w:val="auto"/>
        </w:rPr>
      </w:pPr>
      <w:r w:rsidRPr="00653DCF">
        <w:rPr>
          <w:color w:val="auto"/>
        </w:rPr>
        <w:t>•</w:t>
      </w:r>
      <w:r w:rsidRPr="00653DCF">
        <w:rPr>
          <w:color w:val="auto"/>
        </w:rPr>
        <w:tab/>
        <w:t>Eligible schemes with a cost between EUR 25 million and EUR 50 million are submitted to the Bank for approval before allocating Bank funds to the schemes, using a template as defined in Schedule A.1.2 or a feasibility study. The Bank keeps the right to ask for additional information; partial or in-depth appraisal of the scheme will be undertaken, if judged necessary. Appraisal of such schemes may result in additional conditions and/or undertakings that will be stated in the Allocation Letter. Should the Borrower not accept these conditions/undertakings it should inform the Bank in writing within 10 days from the receipt of the Allocation Letter and the Bank will proceed with re-allocation.</w:t>
      </w:r>
    </w:p>
    <w:p w14:paraId="3B36164C" w14:textId="77777777" w:rsidR="00F0088B" w:rsidRPr="00653DCF" w:rsidRDefault="00F0088B" w:rsidP="00F0088B">
      <w:pPr>
        <w:ind w:left="1418" w:right="1" w:hanging="562"/>
        <w:rPr>
          <w:color w:val="auto"/>
        </w:rPr>
      </w:pPr>
      <w:r w:rsidRPr="00653DCF">
        <w:rPr>
          <w:color w:val="auto"/>
        </w:rPr>
        <w:t>•</w:t>
      </w:r>
      <w:r w:rsidRPr="00653DCF">
        <w:rPr>
          <w:color w:val="auto"/>
        </w:rPr>
        <w:tab/>
        <w:t>Eligible schemes with a cost above EUR 50 million are to be treated, in principle, as separate loans and appraised separately by the Bank’s services. Schemes will be subject to approval before allocation of the loan’s funds to the scheme. The Promoter shall provide documentation requested by the Bank, at its discretion, as individually indicated by the Bank to the Promoter. Appraisal of such schemes may result in additional conditions and/or undertakings that will be stated in the Allocation Letter. Should the Borrower not accept these conditions/undertakings it should inform the Bank in writing within 10 days from the receipt of the Allocation Letter and the Bank will proceed with re-allocation.</w:t>
      </w:r>
    </w:p>
    <w:p w14:paraId="25022C04" w14:textId="77777777" w:rsidR="00F0088B" w:rsidRPr="00653DCF" w:rsidRDefault="00F0088B" w:rsidP="00F0088B">
      <w:pPr>
        <w:ind w:right="1"/>
        <w:rPr>
          <w:color w:val="auto"/>
        </w:rPr>
      </w:pPr>
      <w:r w:rsidRPr="00653DCF">
        <w:rPr>
          <w:color w:val="auto"/>
        </w:rPr>
        <w:t>•</w:t>
      </w:r>
      <w:r w:rsidRPr="00653DCF">
        <w:rPr>
          <w:color w:val="auto"/>
        </w:rPr>
        <w:tab/>
        <w:t>All Allocation Requests will include a procurement plan for the corresponding schemes.</w:t>
      </w:r>
    </w:p>
    <w:p w14:paraId="5F5F5717" w14:textId="77777777" w:rsidR="00F0088B" w:rsidRPr="00653DCF" w:rsidRDefault="00F0088B" w:rsidP="00F0088B">
      <w:pPr>
        <w:ind w:right="1"/>
        <w:rPr>
          <w:color w:val="auto"/>
        </w:rPr>
      </w:pPr>
      <w:r w:rsidRPr="00653DCF">
        <w:rPr>
          <w:color w:val="auto"/>
        </w:rPr>
        <w:t>•</w:t>
      </w:r>
      <w:r w:rsidRPr="00653DCF">
        <w:rPr>
          <w:color w:val="auto"/>
        </w:rPr>
        <w:tab/>
        <w:t>The final allocation date shall not exceed 31 December 2032.</w:t>
      </w:r>
    </w:p>
    <w:p w14:paraId="679CEBB0" w14:textId="77777777" w:rsidR="00F0088B" w:rsidRPr="00653DCF" w:rsidRDefault="00F0088B" w:rsidP="00F0088B">
      <w:pPr>
        <w:spacing w:after="200" w:line="276" w:lineRule="auto"/>
        <w:ind w:left="0" w:right="1181"/>
        <w:jc w:val="left"/>
        <w:rPr>
          <w:color w:val="auto"/>
        </w:rPr>
      </w:pPr>
      <w:r w:rsidRPr="00653DCF">
        <w:rPr>
          <w:color w:val="auto"/>
        </w:rPr>
        <w:br w:type="page"/>
      </w:r>
    </w:p>
    <w:p w14:paraId="0A0AB314" w14:textId="77777777" w:rsidR="00F0088B" w:rsidRPr="00653DCF" w:rsidRDefault="00F0088B" w:rsidP="0024686A">
      <w:pPr>
        <w:pStyle w:val="SubSchedule4EIB"/>
        <w:numPr>
          <w:ilvl w:val="4"/>
          <w:numId w:val="173"/>
        </w:numPr>
        <w:ind w:left="993" w:hanging="993"/>
        <w:rPr>
          <w:b w:val="0"/>
          <w:bCs/>
          <w:color w:val="auto"/>
        </w:rPr>
      </w:pPr>
      <w:r w:rsidRPr="00653DCF">
        <w:rPr>
          <w:bCs/>
          <w:color w:val="auto"/>
        </w:rPr>
        <w:t>Standard Template for Allocation Request for All Schemes</w:t>
      </w:r>
    </w:p>
    <w:p w14:paraId="5784CE92" w14:textId="77777777" w:rsidR="00F0088B" w:rsidRPr="00653DCF" w:rsidRDefault="00F0088B" w:rsidP="00F0088B">
      <w:pPr>
        <w:spacing w:after="200" w:line="276" w:lineRule="auto"/>
        <w:ind w:left="0"/>
        <w:jc w:val="left"/>
        <w:rPr>
          <w:b/>
          <w:bCs/>
          <w:color w:val="auto"/>
        </w:rPr>
      </w:pPr>
      <w:r w:rsidRPr="00653DCF">
        <w:rPr>
          <w:b/>
          <w:bCs/>
          <w:noProof/>
          <w:color w:val="auto"/>
          <w:lang w:val="hr-HR" w:eastAsia="hr-HR"/>
        </w:rPr>
        <w:drawing>
          <wp:inline distT="0" distB="0" distL="0" distR="0" wp14:anchorId="61961B18" wp14:editId="569A5A35">
            <wp:extent cx="5224780" cy="7492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4780" cy="7492365"/>
                    </a:xfrm>
                    <a:prstGeom prst="rect">
                      <a:avLst/>
                    </a:prstGeom>
                    <a:noFill/>
                  </pic:spPr>
                </pic:pic>
              </a:graphicData>
            </a:graphic>
          </wp:inline>
        </w:drawing>
      </w:r>
    </w:p>
    <w:p w14:paraId="1CF59BBF" w14:textId="77777777" w:rsidR="00F0088B" w:rsidRPr="00653DCF" w:rsidRDefault="00F0088B" w:rsidP="00F0088B">
      <w:pPr>
        <w:spacing w:after="200" w:line="276" w:lineRule="auto"/>
        <w:ind w:left="0"/>
        <w:jc w:val="left"/>
        <w:rPr>
          <w:color w:val="auto"/>
        </w:rPr>
      </w:pPr>
      <w:r w:rsidRPr="00653DCF">
        <w:rPr>
          <w:color w:val="auto"/>
        </w:rPr>
        <w:br w:type="page"/>
      </w:r>
    </w:p>
    <w:p w14:paraId="1564A6A9" w14:textId="77777777" w:rsidR="00F0088B" w:rsidRPr="00653DCF" w:rsidRDefault="00F0088B" w:rsidP="00F0088B">
      <w:pPr>
        <w:ind w:hanging="856"/>
        <w:rPr>
          <w:color w:val="auto"/>
        </w:rPr>
      </w:pPr>
      <w:r w:rsidRPr="00653DCF">
        <w:rPr>
          <w:noProof/>
          <w:color w:val="auto"/>
          <w:lang w:val="hr-HR" w:eastAsia="hr-HR"/>
        </w:rPr>
        <w:drawing>
          <wp:inline distT="0" distB="0" distL="0" distR="0" wp14:anchorId="7A839212" wp14:editId="2487AF2E">
            <wp:extent cx="5584190" cy="824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4190" cy="8248650"/>
                    </a:xfrm>
                    <a:prstGeom prst="rect">
                      <a:avLst/>
                    </a:prstGeom>
                    <a:noFill/>
                  </pic:spPr>
                </pic:pic>
              </a:graphicData>
            </a:graphic>
          </wp:inline>
        </w:drawing>
      </w:r>
    </w:p>
    <w:p w14:paraId="515A64AE" w14:textId="77777777" w:rsidR="00F0088B" w:rsidRPr="00653DCF" w:rsidRDefault="00F0088B" w:rsidP="00F0088B">
      <w:pPr>
        <w:spacing w:after="200" w:line="276" w:lineRule="auto"/>
        <w:ind w:left="0"/>
        <w:jc w:val="left"/>
        <w:rPr>
          <w:color w:val="auto"/>
        </w:rPr>
      </w:pPr>
      <w:r w:rsidRPr="00653DCF">
        <w:rPr>
          <w:color w:val="auto"/>
        </w:rPr>
        <w:br w:type="page"/>
      </w:r>
    </w:p>
    <w:p w14:paraId="13D54566" w14:textId="77777777" w:rsidR="00F0088B" w:rsidRPr="00653DCF" w:rsidRDefault="00F0088B" w:rsidP="0024686A">
      <w:pPr>
        <w:pStyle w:val="SubSchedule4EIB"/>
        <w:numPr>
          <w:ilvl w:val="4"/>
          <w:numId w:val="173"/>
        </w:numPr>
        <w:ind w:left="993" w:right="1039" w:hanging="993"/>
        <w:rPr>
          <w:color w:val="auto"/>
        </w:rPr>
      </w:pPr>
      <w:r w:rsidRPr="00653DCF">
        <w:rPr>
          <w:color w:val="auto"/>
        </w:rPr>
        <w:t>Project Fiche for Schemes with total costs between EUR 25 million and EUR 50 million</w:t>
      </w:r>
    </w:p>
    <w:p w14:paraId="77D419E4" w14:textId="77777777" w:rsidR="00F0088B" w:rsidRPr="00653DCF" w:rsidRDefault="00F0088B" w:rsidP="00F0088B">
      <w:pPr>
        <w:pBdr>
          <w:top w:val="single" w:sz="4" w:space="1" w:color="auto"/>
          <w:left w:val="single" w:sz="4" w:space="4" w:color="auto"/>
          <w:bottom w:val="single" w:sz="4" w:space="1" w:color="auto"/>
          <w:right w:val="single" w:sz="4" w:space="4" w:color="auto"/>
        </w:pBdr>
        <w:shd w:val="clear" w:color="auto" w:fill="E0E0E0"/>
        <w:ind w:right="283" w:hanging="714"/>
        <w:jc w:val="center"/>
        <w:rPr>
          <w:bCs/>
          <w:caps/>
          <w:color w:val="auto"/>
        </w:rPr>
      </w:pPr>
      <w:r w:rsidRPr="00653DCF">
        <w:rPr>
          <w:b/>
          <w:bCs/>
          <w:caps/>
          <w:color w:val="auto"/>
        </w:rPr>
        <w:t xml:space="preserve">PROJECT fiche </w:t>
      </w:r>
      <w:r w:rsidRPr="00653DCF">
        <w:rPr>
          <w:b/>
          <w:bCs/>
          <w:caps/>
          <w:color w:val="auto"/>
        </w:rPr>
        <w:br/>
      </w:r>
      <w:r w:rsidRPr="00653DCF">
        <w:rPr>
          <w:bCs/>
          <w:caps/>
          <w:color w:val="auto"/>
        </w:rPr>
        <w:t>(</w:t>
      </w:r>
      <w:r w:rsidRPr="00653DCF">
        <w:rPr>
          <w:bCs/>
          <w:color w:val="auto"/>
        </w:rPr>
        <w:t>for Schemes with total costs between EUR 25million-50million)</w:t>
      </w:r>
    </w:p>
    <w:p w14:paraId="1EF236BE" w14:textId="7D51A773" w:rsidR="00F0088B" w:rsidRPr="00653DCF" w:rsidRDefault="00F0088B" w:rsidP="00E07A51">
      <w:pPr>
        <w:ind w:right="1181"/>
        <w:jc w:val="center"/>
        <w:rPr>
          <w:b/>
          <w:bCs/>
          <w:color w:val="auto"/>
        </w:rPr>
      </w:pPr>
      <w:r w:rsidRPr="00653DCF">
        <w:rPr>
          <w:b/>
          <w:bCs/>
          <w:color w:val="auto"/>
        </w:rPr>
        <w:t>FRAMEWORK LOAN FOR THE PROJECT “REVITALIZATION OF THE RAILWAY SYSTEM OF THE REPUBLIC OF CROATIA”</w:t>
      </w:r>
      <w:r w:rsidR="00E07A51" w:rsidRPr="00653DCF">
        <w:rPr>
          <w:rStyle w:val="FootnoteReference"/>
          <w:b/>
          <w:bCs/>
          <w:color w:val="auto"/>
        </w:rPr>
        <w:footnoteReference w:customMarkFollows="1" w:id="17"/>
        <w:sym w:font="Symbol" w:char="F032"/>
      </w:r>
      <w:r w:rsidRPr="00653DCF">
        <w:rPr>
          <w:b/>
          <w:bCs/>
          <w:color w:val="auto"/>
        </w:rPr>
        <w:t>(2022-0660)</w:t>
      </w:r>
    </w:p>
    <w:p w14:paraId="4D2AD4B0" w14:textId="77777777" w:rsidR="00F0088B" w:rsidRPr="00653DCF" w:rsidRDefault="00F0088B" w:rsidP="00F0088B">
      <w:pPr>
        <w:ind w:right="1181"/>
        <w:rPr>
          <w:i/>
          <w:color w:val="auto"/>
          <w:sz w:val="16"/>
          <w:szCs w:val="16"/>
        </w:rPr>
      </w:pPr>
      <w:r w:rsidRPr="00653DCF">
        <w:rPr>
          <w:i/>
          <w:color w:val="auto"/>
          <w:sz w:val="16"/>
          <w:szCs w:val="16"/>
        </w:rPr>
        <w:t>This fiche could be replaced by any internal document (e.g. application submitted by the beneficiary) providing the same information.</w:t>
      </w:r>
    </w:p>
    <w:p w14:paraId="7F2E5094" w14:textId="77777777" w:rsidR="00F0088B" w:rsidRPr="00653DCF" w:rsidRDefault="00F0088B" w:rsidP="00F0088B">
      <w:pPr>
        <w:jc w:val="center"/>
        <w:rPr>
          <w:b/>
          <w:color w:val="auto"/>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03"/>
        <w:gridCol w:w="4602"/>
      </w:tblGrid>
      <w:tr w:rsidR="00F0088B" w:rsidRPr="00653DCF" w14:paraId="78CAA5E8" w14:textId="77777777" w:rsidTr="00E07A51">
        <w:tc>
          <w:tcPr>
            <w:tcW w:w="4605" w:type="dxa"/>
            <w:vMerge w:val="restart"/>
            <w:tcBorders>
              <w:top w:val="single" w:sz="4" w:space="0" w:color="auto"/>
              <w:left w:val="single" w:sz="4" w:space="0" w:color="auto"/>
              <w:right w:val="single" w:sz="4" w:space="0" w:color="auto"/>
            </w:tcBorders>
            <w:hideMark/>
          </w:tcPr>
          <w:p w14:paraId="2ED64C81" w14:textId="77777777" w:rsidR="00F0088B" w:rsidRPr="00653DCF" w:rsidRDefault="00F0088B" w:rsidP="00E07A51">
            <w:pPr>
              <w:rPr>
                <w:color w:val="auto"/>
              </w:rPr>
            </w:pPr>
            <w:r w:rsidRPr="00653DCF">
              <w:rPr>
                <w:color w:val="auto"/>
                <w:u w:val="single"/>
              </w:rPr>
              <w:t>Scheme Name</w:t>
            </w:r>
            <w:r w:rsidRPr="00653DCF">
              <w:rPr>
                <w:color w:val="auto"/>
              </w:rPr>
              <w:t xml:space="preserve">: </w:t>
            </w:r>
          </w:p>
          <w:p w14:paraId="6E41CBC0" w14:textId="77777777" w:rsidR="00F0088B" w:rsidRPr="00653DCF" w:rsidRDefault="00F0088B" w:rsidP="00E07A51">
            <w:pPr>
              <w:rPr>
                <w:color w:val="auto"/>
              </w:rPr>
            </w:pPr>
          </w:p>
          <w:p w14:paraId="6D326B40" w14:textId="77777777" w:rsidR="00F0088B" w:rsidRPr="00653DCF" w:rsidRDefault="00F0088B" w:rsidP="00E07A51">
            <w:pPr>
              <w:rPr>
                <w:color w:val="auto"/>
              </w:rPr>
            </w:pPr>
          </w:p>
          <w:p w14:paraId="424962AC" w14:textId="77777777" w:rsidR="00F0088B" w:rsidRPr="00653DCF" w:rsidRDefault="00F0088B" w:rsidP="00E07A51">
            <w:pPr>
              <w:rPr>
                <w:color w:val="auto"/>
              </w:rPr>
            </w:pPr>
          </w:p>
          <w:p w14:paraId="145B3408" w14:textId="77777777" w:rsidR="00F0088B" w:rsidRPr="00653DCF" w:rsidRDefault="00F0088B" w:rsidP="00E07A51">
            <w:pPr>
              <w:rPr>
                <w:color w:val="auto"/>
                <w:u w:val="single"/>
              </w:rPr>
            </w:pPr>
            <w:r w:rsidRPr="00653DCF">
              <w:rPr>
                <w:color w:val="auto"/>
                <w:u w:val="single"/>
              </w:rPr>
              <w:t>Scheme reference number</w:t>
            </w:r>
            <w:r w:rsidRPr="00653DCF">
              <w:rPr>
                <w:color w:val="auto"/>
              </w:rPr>
              <w:t>:</w:t>
            </w:r>
          </w:p>
          <w:p w14:paraId="09E7DEB1" w14:textId="77777777" w:rsidR="00F0088B" w:rsidRPr="00653DCF" w:rsidRDefault="00F0088B" w:rsidP="00E07A51">
            <w:pPr>
              <w:rPr>
                <w:color w:val="auto"/>
                <w:u w:val="single"/>
              </w:rPr>
            </w:pPr>
          </w:p>
          <w:p w14:paraId="1F56E03A" w14:textId="77777777" w:rsidR="00F0088B" w:rsidRPr="00653DCF" w:rsidRDefault="00F0088B" w:rsidP="00E07A51">
            <w:pPr>
              <w:rPr>
                <w:color w:val="auto"/>
              </w:rPr>
            </w:pPr>
            <w:r w:rsidRPr="00653DCF">
              <w:rPr>
                <w:color w:val="auto"/>
                <w:u w:val="single"/>
              </w:rPr>
              <w:t>Implementing body</w:t>
            </w:r>
            <w:r w:rsidRPr="00653DCF">
              <w:rPr>
                <w:color w:val="auto"/>
              </w:rPr>
              <w:t xml:space="preserve">: </w:t>
            </w:r>
          </w:p>
          <w:p w14:paraId="62E4E630" w14:textId="77777777" w:rsidR="00F0088B" w:rsidRPr="00653DCF" w:rsidRDefault="00F0088B" w:rsidP="00E07A51">
            <w:pPr>
              <w:rPr>
                <w:color w:val="auto"/>
              </w:rPr>
            </w:pPr>
          </w:p>
          <w:p w14:paraId="025FA678" w14:textId="77777777" w:rsidR="00F0088B" w:rsidRPr="00653DCF" w:rsidRDefault="00F0088B" w:rsidP="00E07A51">
            <w:pPr>
              <w:rPr>
                <w:color w:val="auto"/>
              </w:rPr>
            </w:pPr>
            <w:r w:rsidRPr="00653DCF">
              <w:rPr>
                <w:color w:val="auto"/>
                <w:u w:val="single"/>
              </w:rPr>
              <w:t>Contact Person</w:t>
            </w:r>
            <w:r w:rsidRPr="00653DCF">
              <w:rPr>
                <w:color w:val="auto"/>
              </w:rPr>
              <w:t xml:space="preserve">:  </w:t>
            </w:r>
          </w:p>
          <w:p w14:paraId="2A81F3B5" w14:textId="77777777" w:rsidR="00F0088B" w:rsidRPr="00653DCF" w:rsidRDefault="00F0088B" w:rsidP="00E07A51">
            <w:pPr>
              <w:rPr>
                <w:color w:val="auto"/>
              </w:rPr>
            </w:pPr>
          </w:p>
          <w:p w14:paraId="566F1D61" w14:textId="77777777" w:rsidR="00F0088B" w:rsidRPr="00653DCF" w:rsidRDefault="00F0088B" w:rsidP="00E07A51">
            <w:pPr>
              <w:rPr>
                <w:color w:val="auto"/>
              </w:rPr>
            </w:pPr>
            <w:r w:rsidRPr="00653DCF">
              <w:rPr>
                <w:color w:val="auto"/>
                <w:u w:val="single"/>
              </w:rPr>
              <w:t>Contact (e-mail, telephone)</w:t>
            </w:r>
            <w:r w:rsidRPr="00653DCF">
              <w:rPr>
                <w:color w:val="auto"/>
              </w:rPr>
              <w:t xml:space="preserve">: </w:t>
            </w:r>
          </w:p>
        </w:tc>
        <w:tc>
          <w:tcPr>
            <w:tcW w:w="4605" w:type="dxa"/>
            <w:tcBorders>
              <w:top w:val="single" w:sz="4" w:space="0" w:color="auto"/>
              <w:left w:val="single" w:sz="4" w:space="0" w:color="auto"/>
              <w:bottom w:val="nil"/>
              <w:right w:val="single" w:sz="4" w:space="0" w:color="auto"/>
            </w:tcBorders>
          </w:tcPr>
          <w:p w14:paraId="7FC6ECAC" w14:textId="77777777" w:rsidR="00F0088B" w:rsidRPr="00653DCF" w:rsidRDefault="00F0088B" w:rsidP="00E07A51">
            <w:pPr>
              <w:rPr>
                <w:color w:val="auto"/>
              </w:rPr>
            </w:pPr>
            <w:r w:rsidRPr="00653DCF">
              <w:rPr>
                <w:color w:val="auto"/>
                <w:u w:val="single"/>
              </w:rPr>
              <w:t>Scheme promoter</w:t>
            </w:r>
            <w:r w:rsidRPr="00653DCF">
              <w:rPr>
                <w:color w:val="auto"/>
              </w:rPr>
              <w:t xml:space="preserve">: </w:t>
            </w:r>
          </w:p>
          <w:p w14:paraId="0D728BE8" w14:textId="77777777" w:rsidR="00F0088B" w:rsidRPr="00653DCF" w:rsidRDefault="00F0088B" w:rsidP="00E07A51">
            <w:pPr>
              <w:rPr>
                <w:color w:val="auto"/>
              </w:rPr>
            </w:pPr>
          </w:p>
          <w:p w14:paraId="7E6DFBD9" w14:textId="77777777" w:rsidR="00F0088B" w:rsidRPr="00653DCF" w:rsidRDefault="00F0088B" w:rsidP="00E07A51">
            <w:pPr>
              <w:rPr>
                <w:color w:val="auto"/>
              </w:rPr>
            </w:pPr>
            <w:r w:rsidRPr="00653DCF">
              <w:rPr>
                <w:color w:val="auto"/>
                <w:u w:val="single"/>
              </w:rPr>
              <w:t>Location</w:t>
            </w:r>
            <w:r w:rsidRPr="00653DCF">
              <w:rPr>
                <w:color w:val="auto"/>
              </w:rPr>
              <w:t xml:space="preserve">: </w:t>
            </w:r>
          </w:p>
          <w:p w14:paraId="5C63B95A" w14:textId="77777777" w:rsidR="00F0088B" w:rsidRPr="00653DCF" w:rsidRDefault="00F0088B" w:rsidP="00E07A51">
            <w:pPr>
              <w:rPr>
                <w:color w:val="auto"/>
                <w:u w:val="single"/>
              </w:rPr>
            </w:pPr>
          </w:p>
        </w:tc>
      </w:tr>
      <w:tr w:rsidR="00F0088B" w:rsidRPr="00653DCF" w14:paraId="66629291" w14:textId="77777777" w:rsidTr="00E07A51">
        <w:trPr>
          <w:trHeight w:val="1194"/>
        </w:trPr>
        <w:tc>
          <w:tcPr>
            <w:tcW w:w="4605" w:type="dxa"/>
            <w:vMerge/>
            <w:tcBorders>
              <w:left w:val="single" w:sz="4" w:space="0" w:color="auto"/>
              <w:right w:val="single" w:sz="4" w:space="0" w:color="auto"/>
            </w:tcBorders>
          </w:tcPr>
          <w:p w14:paraId="114BAAEC" w14:textId="77777777" w:rsidR="00F0088B" w:rsidRPr="00653DCF" w:rsidRDefault="00F0088B" w:rsidP="00E07A51">
            <w:pPr>
              <w:rPr>
                <w:color w:val="auto"/>
              </w:rPr>
            </w:pPr>
          </w:p>
        </w:tc>
        <w:tc>
          <w:tcPr>
            <w:tcW w:w="4605" w:type="dxa"/>
            <w:tcBorders>
              <w:top w:val="nil"/>
              <w:left w:val="single" w:sz="4" w:space="0" w:color="auto"/>
              <w:bottom w:val="nil"/>
              <w:right w:val="single" w:sz="4" w:space="0" w:color="auto"/>
            </w:tcBorders>
          </w:tcPr>
          <w:p w14:paraId="1EE8DA1B" w14:textId="77777777" w:rsidR="00F0088B" w:rsidRPr="00653DCF" w:rsidRDefault="00F0088B" w:rsidP="00E07A51">
            <w:pPr>
              <w:rPr>
                <w:color w:val="auto"/>
              </w:rPr>
            </w:pPr>
            <w:r w:rsidRPr="00653DCF">
              <w:rPr>
                <w:color w:val="auto"/>
                <w:u w:val="single"/>
              </w:rPr>
              <w:t>Sector</w:t>
            </w:r>
            <w:r w:rsidRPr="00653DCF">
              <w:rPr>
                <w:color w:val="auto"/>
              </w:rPr>
              <w:t xml:space="preserve">: </w:t>
            </w:r>
          </w:p>
          <w:p w14:paraId="66040464" w14:textId="77777777" w:rsidR="00F0088B" w:rsidRPr="00653DCF" w:rsidRDefault="00F0088B" w:rsidP="00E07A51">
            <w:pPr>
              <w:rPr>
                <w:color w:val="auto"/>
              </w:rPr>
            </w:pPr>
          </w:p>
          <w:p w14:paraId="43294E37" w14:textId="77777777" w:rsidR="00F0088B" w:rsidRPr="00653DCF" w:rsidRDefault="00F0088B" w:rsidP="00E07A51">
            <w:pPr>
              <w:rPr>
                <w:color w:val="auto"/>
              </w:rPr>
            </w:pPr>
            <w:r w:rsidRPr="00653DCF">
              <w:rPr>
                <w:color w:val="auto"/>
                <w:u w:val="single"/>
              </w:rPr>
              <w:t>Type</w:t>
            </w:r>
            <w:r w:rsidRPr="00653DCF">
              <w:rPr>
                <w:color w:val="auto"/>
              </w:rPr>
              <w:t xml:space="preserve">: new Project/ extension/ rehabilitation </w:t>
            </w:r>
          </w:p>
          <w:p w14:paraId="22AA5E50" w14:textId="77777777" w:rsidR="00F0088B" w:rsidRPr="00653DCF" w:rsidRDefault="00F0088B" w:rsidP="00E07A51">
            <w:pPr>
              <w:rPr>
                <w:color w:val="auto"/>
              </w:rPr>
            </w:pPr>
          </w:p>
          <w:p w14:paraId="7CF0DDBA" w14:textId="77777777" w:rsidR="00F0088B" w:rsidRPr="00653DCF" w:rsidRDefault="00F0088B" w:rsidP="00E07A51">
            <w:pPr>
              <w:rPr>
                <w:color w:val="auto"/>
              </w:rPr>
            </w:pPr>
            <w:r w:rsidRPr="00653DCF">
              <w:rPr>
                <w:color w:val="auto"/>
                <w:u w:val="single"/>
              </w:rPr>
              <w:t>Date</w:t>
            </w:r>
            <w:r w:rsidRPr="00653DCF">
              <w:rPr>
                <w:color w:val="auto"/>
              </w:rPr>
              <w:t xml:space="preserve">: </w:t>
            </w:r>
          </w:p>
          <w:p w14:paraId="3F773164" w14:textId="77777777" w:rsidR="00F0088B" w:rsidRPr="00653DCF" w:rsidRDefault="00F0088B" w:rsidP="00E07A51">
            <w:pPr>
              <w:rPr>
                <w:color w:val="auto"/>
                <w:u w:val="single"/>
              </w:rPr>
            </w:pPr>
          </w:p>
          <w:p w14:paraId="5AAE96E1" w14:textId="77777777" w:rsidR="00F0088B" w:rsidRPr="00653DCF" w:rsidRDefault="00F0088B" w:rsidP="00E07A51">
            <w:pPr>
              <w:rPr>
                <w:color w:val="auto"/>
              </w:rPr>
            </w:pPr>
            <w:r w:rsidRPr="00653DCF">
              <w:rPr>
                <w:color w:val="auto"/>
                <w:u w:val="single"/>
              </w:rPr>
              <w:t>Signature</w:t>
            </w:r>
            <w:r w:rsidRPr="00653DCF">
              <w:rPr>
                <w:color w:val="auto"/>
              </w:rPr>
              <w:t>:</w:t>
            </w:r>
          </w:p>
          <w:p w14:paraId="76DF0F80" w14:textId="77777777" w:rsidR="00F0088B" w:rsidRPr="00653DCF" w:rsidRDefault="00F0088B" w:rsidP="00E07A51">
            <w:pPr>
              <w:rPr>
                <w:color w:val="auto"/>
              </w:rPr>
            </w:pPr>
          </w:p>
        </w:tc>
      </w:tr>
      <w:tr w:rsidR="00F0088B" w:rsidRPr="00653DCF" w14:paraId="6FDA250C" w14:textId="77777777" w:rsidTr="00E07A51">
        <w:trPr>
          <w:trHeight w:val="71"/>
        </w:trPr>
        <w:tc>
          <w:tcPr>
            <w:tcW w:w="4605" w:type="dxa"/>
            <w:vMerge/>
            <w:tcBorders>
              <w:left w:val="single" w:sz="4" w:space="0" w:color="auto"/>
              <w:bottom w:val="single" w:sz="4" w:space="0" w:color="auto"/>
              <w:right w:val="single" w:sz="4" w:space="0" w:color="auto"/>
            </w:tcBorders>
          </w:tcPr>
          <w:p w14:paraId="6E9DA242" w14:textId="77777777" w:rsidR="00F0088B" w:rsidRPr="00653DCF" w:rsidRDefault="00F0088B" w:rsidP="00E07A51">
            <w:pPr>
              <w:rPr>
                <w:color w:val="auto"/>
              </w:rPr>
            </w:pPr>
          </w:p>
        </w:tc>
        <w:tc>
          <w:tcPr>
            <w:tcW w:w="4605" w:type="dxa"/>
            <w:tcBorders>
              <w:top w:val="nil"/>
              <w:left w:val="single" w:sz="4" w:space="0" w:color="auto"/>
              <w:bottom w:val="single" w:sz="4" w:space="0" w:color="auto"/>
              <w:right w:val="single" w:sz="4" w:space="0" w:color="auto"/>
            </w:tcBorders>
          </w:tcPr>
          <w:p w14:paraId="3066B929" w14:textId="77777777" w:rsidR="00F0088B" w:rsidRPr="00653DCF" w:rsidRDefault="00F0088B" w:rsidP="00E07A51">
            <w:pPr>
              <w:rPr>
                <w:color w:val="auto"/>
              </w:rPr>
            </w:pPr>
          </w:p>
        </w:tc>
      </w:tr>
    </w:tbl>
    <w:p w14:paraId="1ECC1E52" w14:textId="77777777" w:rsidR="00F0088B" w:rsidRPr="00653DCF" w:rsidRDefault="00F0088B" w:rsidP="00F0088B">
      <w:pPr>
        <w:rPr>
          <w:b/>
          <w:color w:val="auto"/>
        </w:rPr>
      </w:pPr>
    </w:p>
    <w:p w14:paraId="17B3E511" w14:textId="77777777" w:rsidR="00F0088B" w:rsidRPr="00653DCF" w:rsidRDefault="00F0088B" w:rsidP="0024686A">
      <w:pPr>
        <w:numPr>
          <w:ilvl w:val="0"/>
          <w:numId w:val="97"/>
        </w:numPr>
        <w:tabs>
          <w:tab w:val="clear" w:pos="340"/>
        </w:tabs>
        <w:spacing w:after="0"/>
        <w:ind w:left="709" w:hanging="709"/>
        <w:rPr>
          <w:b/>
          <w:color w:val="auto"/>
          <w:u w:val="single"/>
        </w:rPr>
      </w:pPr>
      <w:r w:rsidRPr="00653DCF">
        <w:rPr>
          <w:b/>
          <w:color w:val="auto"/>
          <w:u w:val="single"/>
        </w:rPr>
        <w:t>Scheme</w:t>
      </w:r>
    </w:p>
    <w:p w14:paraId="6B677645" w14:textId="77777777" w:rsidR="00F0088B" w:rsidRPr="00653DCF" w:rsidRDefault="00F0088B" w:rsidP="0024686A">
      <w:pPr>
        <w:numPr>
          <w:ilvl w:val="1"/>
          <w:numId w:val="98"/>
        </w:numPr>
        <w:spacing w:after="0"/>
        <w:rPr>
          <w:b/>
          <w:color w:val="auto"/>
        </w:rPr>
      </w:pPr>
      <w:r w:rsidRPr="00653DCF">
        <w:rPr>
          <w:b/>
          <w:color w:val="auto"/>
        </w:rPr>
        <w:t xml:space="preserve">Background </w:t>
      </w:r>
    </w:p>
    <w:p w14:paraId="7B311EA3" w14:textId="77777777" w:rsidR="00F0088B" w:rsidRPr="00653DCF" w:rsidRDefault="00F0088B" w:rsidP="00F0088B">
      <w:pPr>
        <w:ind w:left="540"/>
        <w:rPr>
          <w:color w:val="auto"/>
          <w:sz w:val="16"/>
          <w:szCs w:val="16"/>
        </w:rPr>
      </w:pPr>
    </w:p>
    <w:p w14:paraId="267150DF" w14:textId="77777777" w:rsidR="00F0088B" w:rsidRPr="00653DCF" w:rsidRDefault="00F0088B" w:rsidP="0024686A">
      <w:pPr>
        <w:numPr>
          <w:ilvl w:val="1"/>
          <w:numId w:val="98"/>
        </w:numPr>
        <w:spacing w:before="120"/>
        <w:ind w:left="0" w:firstLine="0"/>
        <w:rPr>
          <w:b/>
          <w:color w:val="auto"/>
        </w:rPr>
      </w:pPr>
      <w:r w:rsidRPr="00653DCF">
        <w:rPr>
          <w:b/>
          <w:color w:val="auto"/>
        </w:rPr>
        <w:t>Reasons for undertaking the Project and key objectives</w:t>
      </w:r>
    </w:p>
    <w:p w14:paraId="64384603" w14:textId="77777777" w:rsidR="00F0088B" w:rsidRPr="00653DCF" w:rsidRDefault="00F0088B" w:rsidP="00F0088B">
      <w:pPr>
        <w:ind w:left="0" w:firstLine="720"/>
        <w:rPr>
          <w:color w:val="auto"/>
        </w:rPr>
      </w:pPr>
      <w:r w:rsidRPr="00653DCF">
        <w:rPr>
          <w:color w:val="auto"/>
        </w:rPr>
        <w:t>(Please refer to the strategic plans to which Project is integrated).</w:t>
      </w:r>
    </w:p>
    <w:p w14:paraId="5DE2DA79" w14:textId="77777777" w:rsidR="00F0088B" w:rsidRPr="00653DCF" w:rsidRDefault="00F0088B" w:rsidP="0024686A">
      <w:pPr>
        <w:numPr>
          <w:ilvl w:val="1"/>
          <w:numId w:val="98"/>
        </w:numPr>
        <w:spacing w:before="120" w:after="0"/>
        <w:ind w:left="0" w:firstLine="0"/>
        <w:rPr>
          <w:b/>
          <w:color w:val="auto"/>
        </w:rPr>
      </w:pPr>
      <w:r w:rsidRPr="00653DCF">
        <w:rPr>
          <w:b/>
          <w:color w:val="auto"/>
        </w:rPr>
        <w:t xml:space="preserve">Technical description of the Project including relevant key dimensions and capacities </w:t>
      </w:r>
    </w:p>
    <w:p w14:paraId="62E437AF" w14:textId="77777777" w:rsidR="00F0088B" w:rsidRPr="00653DCF" w:rsidRDefault="00F0088B" w:rsidP="00F0088B">
      <w:pPr>
        <w:pStyle w:val="text"/>
        <w:autoSpaceDE w:val="0"/>
        <w:autoSpaceDN w:val="0"/>
        <w:adjustRightInd w:val="0"/>
        <w:ind w:left="0"/>
        <w:rPr>
          <w:rFonts w:cs="Arial"/>
          <w:lang w:val="en-GB"/>
        </w:rPr>
      </w:pPr>
    </w:p>
    <w:p w14:paraId="68392BB5" w14:textId="77777777" w:rsidR="00F0088B" w:rsidRPr="00653DCF" w:rsidRDefault="00F0088B" w:rsidP="0024686A">
      <w:pPr>
        <w:numPr>
          <w:ilvl w:val="1"/>
          <w:numId w:val="98"/>
        </w:numPr>
        <w:spacing w:before="120" w:after="0"/>
        <w:ind w:left="0" w:firstLine="0"/>
        <w:rPr>
          <w:b/>
          <w:color w:val="auto"/>
        </w:rPr>
      </w:pPr>
      <w:r w:rsidRPr="00653DCF">
        <w:rPr>
          <w:b/>
          <w:color w:val="auto"/>
        </w:rPr>
        <w:t>Entity(ies) responsible for Project design, construction and supervision</w:t>
      </w:r>
    </w:p>
    <w:p w14:paraId="744EB79C" w14:textId="77777777" w:rsidR="00F0088B" w:rsidRPr="00653DCF" w:rsidRDefault="00F0088B" w:rsidP="00F0088B">
      <w:pPr>
        <w:ind w:left="540"/>
        <w:rPr>
          <w:color w:val="auto"/>
          <w:sz w:val="10"/>
        </w:rPr>
      </w:pPr>
      <w:r w:rsidRPr="00653DCF">
        <w:rPr>
          <w:color w:val="auto"/>
        </w:rPr>
        <w:t xml:space="preserve"> </w:t>
      </w:r>
    </w:p>
    <w:p w14:paraId="0AE6DB5A" w14:textId="77777777" w:rsidR="00F0088B" w:rsidRPr="00653DCF" w:rsidRDefault="00F0088B" w:rsidP="0024686A">
      <w:pPr>
        <w:numPr>
          <w:ilvl w:val="1"/>
          <w:numId w:val="98"/>
        </w:numPr>
        <w:spacing w:before="120"/>
        <w:ind w:left="0" w:firstLine="0"/>
        <w:rPr>
          <w:color w:val="auto"/>
        </w:rPr>
      </w:pPr>
      <w:r w:rsidRPr="00653DCF">
        <w:rPr>
          <w:b/>
          <w:color w:val="auto"/>
        </w:rPr>
        <w:t xml:space="preserve">Investment cost </w:t>
      </w:r>
      <w:r w:rsidRPr="00653DCF">
        <w:rPr>
          <w:color w:val="auto"/>
        </w:rPr>
        <w:t>(total)</w:t>
      </w:r>
      <w:r w:rsidRPr="00653DCF">
        <w:rPr>
          <w:color w:val="auto"/>
        </w:rPr>
        <w:tab/>
      </w:r>
      <w:r w:rsidRPr="00653DCF">
        <w:rPr>
          <w:b/>
          <w:color w:val="auto"/>
        </w:rPr>
        <w:tab/>
      </w:r>
      <w:r w:rsidRPr="00653DCF">
        <w:rPr>
          <w:b/>
          <w:color w:val="auto"/>
        </w:rPr>
        <w:tab/>
      </w:r>
      <w:r w:rsidRPr="00653DCF">
        <w:rPr>
          <w:b/>
          <w:color w:val="auto"/>
        </w:rPr>
        <w:tab/>
      </w:r>
      <w:r w:rsidRPr="00653DCF">
        <w:rPr>
          <w:b/>
          <w:color w:val="auto"/>
        </w:rPr>
        <w:tab/>
      </w:r>
      <w:r w:rsidRPr="00653DCF">
        <w:rPr>
          <w:b/>
          <w:color w:val="auto"/>
        </w:rPr>
        <w:tab/>
      </w:r>
      <w:r w:rsidRPr="00653DCF">
        <w:rPr>
          <w:color w:val="auto"/>
        </w:rPr>
        <w:t>in EUR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4"/>
        <w:gridCol w:w="2430"/>
      </w:tblGrid>
      <w:tr w:rsidR="00F0088B" w:rsidRPr="00653DCF" w14:paraId="0B00558F" w14:textId="77777777" w:rsidTr="00E07A51">
        <w:tc>
          <w:tcPr>
            <w:tcW w:w="5804" w:type="dxa"/>
            <w:tcBorders>
              <w:top w:val="single" w:sz="4" w:space="0" w:color="auto"/>
              <w:left w:val="single" w:sz="4" w:space="0" w:color="auto"/>
              <w:bottom w:val="nil"/>
              <w:right w:val="single" w:sz="4" w:space="0" w:color="auto"/>
            </w:tcBorders>
            <w:hideMark/>
          </w:tcPr>
          <w:p w14:paraId="5579D2F3" w14:textId="77777777" w:rsidR="00F0088B" w:rsidRPr="00653DCF" w:rsidRDefault="00F0088B" w:rsidP="00E07A51">
            <w:pPr>
              <w:spacing w:before="20" w:after="20"/>
              <w:rPr>
                <w:color w:val="auto"/>
              </w:rPr>
            </w:pPr>
            <w:r w:rsidRPr="00653DCF">
              <w:rPr>
                <w:color w:val="auto"/>
              </w:rPr>
              <w:t>Engineering and supervision</w:t>
            </w:r>
          </w:p>
        </w:tc>
        <w:tc>
          <w:tcPr>
            <w:tcW w:w="2430" w:type="dxa"/>
            <w:tcBorders>
              <w:top w:val="single" w:sz="4" w:space="0" w:color="auto"/>
              <w:left w:val="single" w:sz="4" w:space="0" w:color="auto"/>
              <w:bottom w:val="nil"/>
              <w:right w:val="single" w:sz="4" w:space="0" w:color="auto"/>
            </w:tcBorders>
            <w:hideMark/>
          </w:tcPr>
          <w:p w14:paraId="3D9EAA84" w14:textId="77777777" w:rsidR="00F0088B" w:rsidRPr="00653DCF" w:rsidRDefault="00F0088B" w:rsidP="00E07A51">
            <w:pPr>
              <w:spacing w:before="20" w:after="20"/>
              <w:jc w:val="center"/>
              <w:rPr>
                <w:color w:val="auto"/>
              </w:rPr>
            </w:pPr>
            <w:r w:rsidRPr="00653DCF">
              <w:rPr>
                <w:color w:val="auto"/>
              </w:rPr>
              <w:t>-</w:t>
            </w:r>
          </w:p>
        </w:tc>
      </w:tr>
      <w:tr w:rsidR="00F0088B" w:rsidRPr="00653DCF" w14:paraId="2CD3400A" w14:textId="77777777" w:rsidTr="00E07A51">
        <w:tc>
          <w:tcPr>
            <w:tcW w:w="5804" w:type="dxa"/>
            <w:tcBorders>
              <w:top w:val="nil"/>
              <w:left w:val="single" w:sz="4" w:space="0" w:color="auto"/>
              <w:bottom w:val="nil"/>
              <w:right w:val="single" w:sz="4" w:space="0" w:color="auto"/>
            </w:tcBorders>
            <w:hideMark/>
          </w:tcPr>
          <w:p w14:paraId="26DF0CFE" w14:textId="77777777" w:rsidR="00F0088B" w:rsidRPr="00653DCF" w:rsidRDefault="00F0088B" w:rsidP="00E07A51">
            <w:pPr>
              <w:spacing w:before="20" w:after="20"/>
              <w:rPr>
                <w:color w:val="auto"/>
              </w:rPr>
            </w:pPr>
            <w:r w:rsidRPr="00653DCF">
              <w:rPr>
                <w:color w:val="auto"/>
              </w:rPr>
              <w:t>Land</w:t>
            </w:r>
          </w:p>
        </w:tc>
        <w:tc>
          <w:tcPr>
            <w:tcW w:w="2430" w:type="dxa"/>
            <w:tcBorders>
              <w:top w:val="nil"/>
              <w:left w:val="single" w:sz="4" w:space="0" w:color="auto"/>
              <w:bottom w:val="nil"/>
              <w:right w:val="single" w:sz="4" w:space="0" w:color="auto"/>
            </w:tcBorders>
            <w:hideMark/>
          </w:tcPr>
          <w:p w14:paraId="56022F09" w14:textId="77777777" w:rsidR="00F0088B" w:rsidRPr="00653DCF" w:rsidRDefault="00F0088B" w:rsidP="00E07A51">
            <w:pPr>
              <w:spacing w:before="20" w:after="20"/>
              <w:jc w:val="center"/>
              <w:rPr>
                <w:color w:val="auto"/>
              </w:rPr>
            </w:pPr>
            <w:r w:rsidRPr="00653DCF">
              <w:rPr>
                <w:color w:val="auto"/>
              </w:rPr>
              <w:t>-</w:t>
            </w:r>
          </w:p>
        </w:tc>
      </w:tr>
      <w:tr w:rsidR="00F0088B" w:rsidRPr="00653DCF" w14:paraId="530219B9" w14:textId="77777777" w:rsidTr="00E07A51">
        <w:tc>
          <w:tcPr>
            <w:tcW w:w="5804" w:type="dxa"/>
            <w:tcBorders>
              <w:top w:val="nil"/>
              <w:left w:val="single" w:sz="4" w:space="0" w:color="auto"/>
              <w:bottom w:val="nil"/>
              <w:right w:val="single" w:sz="4" w:space="0" w:color="auto"/>
            </w:tcBorders>
            <w:hideMark/>
          </w:tcPr>
          <w:p w14:paraId="3F4C9C52" w14:textId="77777777" w:rsidR="00F0088B" w:rsidRPr="00653DCF" w:rsidRDefault="00F0088B" w:rsidP="00E07A51">
            <w:pPr>
              <w:spacing w:before="20" w:after="20"/>
              <w:rPr>
                <w:color w:val="auto"/>
              </w:rPr>
            </w:pPr>
            <w:r w:rsidRPr="00653DCF">
              <w:rPr>
                <w:color w:val="auto"/>
              </w:rPr>
              <w:t>Civil works (Building work)</w:t>
            </w:r>
          </w:p>
        </w:tc>
        <w:tc>
          <w:tcPr>
            <w:tcW w:w="2430" w:type="dxa"/>
            <w:tcBorders>
              <w:top w:val="nil"/>
              <w:left w:val="single" w:sz="4" w:space="0" w:color="auto"/>
              <w:bottom w:val="nil"/>
              <w:right w:val="single" w:sz="4" w:space="0" w:color="auto"/>
            </w:tcBorders>
            <w:hideMark/>
          </w:tcPr>
          <w:p w14:paraId="7915C3B6" w14:textId="77777777" w:rsidR="00F0088B" w:rsidRPr="00653DCF" w:rsidRDefault="00F0088B" w:rsidP="00E07A51">
            <w:pPr>
              <w:spacing w:before="20" w:after="20"/>
              <w:jc w:val="center"/>
              <w:rPr>
                <w:color w:val="auto"/>
              </w:rPr>
            </w:pPr>
            <w:r w:rsidRPr="00653DCF">
              <w:rPr>
                <w:color w:val="auto"/>
              </w:rPr>
              <w:t>-</w:t>
            </w:r>
          </w:p>
        </w:tc>
      </w:tr>
      <w:tr w:rsidR="00F0088B" w:rsidRPr="00653DCF" w14:paraId="6EAD3E5B" w14:textId="77777777" w:rsidTr="00E07A51">
        <w:tc>
          <w:tcPr>
            <w:tcW w:w="5804" w:type="dxa"/>
            <w:tcBorders>
              <w:top w:val="nil"/>
              <w:left w:val="single" w:sz="4" w:space="0" w:color="auto"/>
              <w:bottom w:val="nil"/>
              <w:right w:val="single" w:sz="4" w:space="0" w:color="auto"/>
            </w:tcBorders>
            <w:hideMark/>
          </w:tcPr>
          <w:p w14:paraId="12A1AABF" w14:textId="77777777" w:rsidR="00F0088B" w:rsidRPr="00653DCF" w:rsidRDefault="00F0088B" w:rsidP="00E07A51">
            <w:pPr>
              <w:spacing w:before="20" w:after="20"/>
              <w:rPr>
                <w:color w:val="auto"/>
              </w:rPr>
            </w:pPr>
            <w:r w:rsidRPr="00653DCF">
              <w:rPr>
                <w:color w:val="auto"/>
              </w:rPr>
              <w:t>Equipment</w:t>
            </w:r>
          </w:p>
        </w:tc>
        <w:tc>
          <w:tcPr>
            <w:tcW w:w="2430" w:type="dxa"/>
            <w:tcBorders>
              <w:top w:val="nil"/>
              <w:left w:val="single" w:sz="4" w:space="0" w:color="auto"/>
              <w:bottom w:val="nil"/>
              <w:right w:val="single" w:sz="4" w:space="0" w:color="auto"/>
            </w:tcBorders>
            <w:hideMark/>
          </w:tcPr>
          <w:p w14:paraId="5F202160" w14:textId="77777777" w:rsidR="00F0088B" w:rsidRPr="00653DCF" w:rsidRDefault="00F0088B" w:rsidP="00E07A51">
            <w:pPr>
              <w:spacing w:before="20" w:after="20"/>
              <w:jc w:val="center"/>
              <w:rPr>
                <w:color w:val="auto"/>
              </w:rPr>
            </w:pPr>
            <w:r w:rsidRPr="00653DCF">
              <w:rPr>
                <w:color w:val="auto"/>
              </w:rPr>
              <w:t>-</w:t>
            </w:r>
          </w:p>
        </w:tc>
      </w:tr>
      <w:tr w:rsidR="00F0088B" w:rsidRPr="00653DCF" w14:paraId="46F6C0BF" w14:textId="77777777" w:rsidTr="00E07A51">
        <w:tc>
          <w:tcPr>
            <w:tcW w:w="5804" w:type="dxa"/>
            <w:tcBorders>
              <w:top w:val="nil"/>
              <w:left w:val="single" w:sz="4" w:space="0" w:color="auto"/>
              <w:bottom w:val="nil"/>
              <w:right w:val="single" w:sz="4" w:space="0" w:color="auto"/>
            </w:tcBorders>
            <w:hideMark/>
          </w:tcPr>
          <w:p w14:paraId="073E2B23" w14:textId="77777777" w:rsidR="00F0088B" w:rsidRPr="00653DCF" w:rsidRDefault="00F0088B" w:rsidP="00E07A51">
            <w:pPr>
              <w:spacing w:before="20" w:after="20"/>
              <w:rPr>
                <w:color w:val="auto"/>
              </w:rPr>
            </w:pPr>
            <w:r w:rsidRPr="00653DCF">
              <w:rPr>
                <w:color w:val="auto"/>
              </w:rPr>
              <w:t>Miscellaneous</w:t>
            </w:r>
          </w:p>
        </w:tc>
        <w:tc>
          <w:tcPr>
            <w:tcW w:w="2430" w:type="dxa"/>
            <w:tcBorders>
              <w:top w:val="nil"/>
              <w:left w:val="single" w:sz="4" w:space="0" w:color="auto"/>
              <w:bottom w:val="nil"/>
              <w:right w:val="single" w:sz="4" w:space="0" w:color="auto"/>
            </w:tcBorders>
            <w:hideMark/>
          </w:tcPr>
          <w:p w14:paraId="77099DC7" w14:textId="77777777" w:rsidR="00F0088B" w:rsidRPr="00653DCF" w:rsidRDefault="00F0088B" w:rsidP="00E07A51">
            <w:pPr>
              <w:spacing w:before="20" w:after="20"/>
              <w:jc w:val="center"/>
              <w:rPr>
                <w:color w:val="auto"/>
              </w:rPr>
            </w:pPr>
            <w:r w:rsidRPr="00653DCF">
              <w:rPr>
                <w:color w:val="auto"/>
              </w:rPr>
              <w:t>-</w:t>
            </w:r>
          </w:p>
        </w:tc>
      </w:tr>
      <w:tr w:rsidR="00F0088B" w:rsidRPr="00653DCF" w14:paraId="3548B87A" w14:textId="77777777" w:rsidTr="00E07A51">
        <w:tc>
          <w:tcPr>
            <w:tcW w:w="5804" w:type="dxa"/>
            <w:tcBorders>
              <w:top w:val="nil"/>
              <w:left w:val="single" w:sz="4" w:space="0" w:color="auto"/>
              <w:bottom w:val="nil"/>
              <w:right w:val="single" w:sz="4" w:space="0" w:color="auto"/>
            </w:tcBorders>
            <w:hideMark/>
          </w:tcPr>
          <w:p w14:paraId="034D3722" w14:textId="77777777" w:rsidR="00F0088B" w:rsidRPr="00653DCF" w:rsidRDefault="00F0088B" w:rsidP="00E07A51">
            <w:pPr>
              <w:tabs>
                <w:tab w:val="right" w:pos="5724"/>
              </w:tabs>
              <w:spacing w:before="20" w:after="20"/>
              <w:rPr>
                <w:color w:val="auto"/>
              </w:rPr>
            </w:pPr>
            <w:r w:rsidRPr="00653DCF">
              <w:rPr>
                <w:color w:val="auto"/>
              </w:rPr>
              <w:t>Technical contingencies</w:t>
            </w:r>
            <w:r w:rsidRPr="00653DCF">
              <w:rPr>
                <w:color w:val="auto"/>
              </w:rPr>
              <w:tab/>
            </w:r>
          </w:p>
        </w:tc>
        <w:tc>
          <w:tcPr>
            <w:tcW w:w="2430" w:type="dxa"/>
            <w:tcBorders>
              <w:top w:val="nil"/>
              <w:left w:val="single" w:sz="4" w:space="0" w:color="auto"/>
              <w:bottom w:val="nil"/>
              <w:right w:val="single" w:sz="4" w:space="0" w:color="auto"/>
            </w:tcBorders>
            <w:hideMark/>
          </w:tcPr>
          <w:p w14:paraId="4448BB5D" w14:textId="77777777" w:rsidR="00F0088B" w:rsidRPr="00653DCF" w:rsidRDefault="00F0088B" w:rsidP="00E07A51">
            <w:pPr>
              <w:spacing w:before="20" w:after="20"/>
              <w:jc w:val="center"/>
              <w:rPr>
                <w:color w:val="auto"/>
              </w:rPr>
            </w:pPr>
            <w:r w:rsidRPr="00653DCF">
              <w:rPr>
                <w:color w:val="auto"/>
              </w:rPr>
              <w:t>-</w:t>
            </w:r>
          </w:p>
        </w:tc>
      </w:tr>
      <w:tr w:rsidR="00F0088B" w:rsidRPr="00653DCF" w14:paraId="148E32C2" w14:textId="77777777" w:rsidTr="00E07A51">
        <w:tc>
          <w:tcPr>
            <w:tcW w:w="5804" w:type="dxa"/>
            <w:tcBorders>
              <w:top w:val="nil"/>
              <w:left w:val="single" w:sz="4" w:space="0" w:color="auto"/>
              <w:bottom w:val="nil"/>
              <w:right w:val="single" w:sz="4" w:space="0" w:color="auto"/>
            </w:tcBorders>
            <w:hideMark/>
          </w:tcPr>
          <w:p w14:paraId="41D9FB0F" w14:textId="77777777" w:rsidR="00F0088B" w:rsidRPr="00653DCF" w:rsidRDefault="00F0088B" w:rsidP="00E07A51">
            <w:pPr>
              <w:spacing w:before="20" w:after="20"/>
              <w:rPr>
                <w:color w:val="auto"/>
              </w:rPr>
            </w:pPr>
            <w:r w:rsidRPr="00653DCF">
              <w:rPr>
                <w:color w:val="auto"/>
              </w:rPr>
              <w:t>Price contingencies (…% escalation p.a.), if applicable</w:t>
            </w:r>
          </w:p>
        </w:tc>
        <w:tc>
          <w:tcPr>
            <w:tcW w:w="2430" w:type="dxa"/>
            <w:tcBorders>
              <w:top w:val="nil"/>
              <w:left w:val="single" w:sz="4" w:space="0" w:color="auto"/>
              <w:bottom w:val="nil"/>
              <w:right w:val="single" w:sz="4" w:space="0" w:color="auto"/>
            </w:tcBorders>
            <w:hideMark/>
          </w:tcPr>
          <w:p w14:paraId="62814703" w14:textId="77777777" w:rsidR="00F0088B" w:rsidRPr="00653DCF" w:rsidRDefault="00F0088B" w:rsidP="00E07A51">
            <w:pPr>
              <w:spacing w:before="20" w:after="20"/>
              <w:jc w:val="center"/>
              <w:rPr>
                <w:color w:val="auto"/>
              </w:rPr>
            </w:pPr>
            <w:r w:rsidRPr="00653DCF">
              <w:rPr>
                <w:color w:val="auto"/>
              </w:rPr>
              <w:t>-</w:t>
            </w:r>
          </w:p>
        </w:tc>
      </w:tr>
      <w:tr w:rsidR="00F0088B" w:rsidRPr="00653DCF" w14:paraId="3D87CBD7" w14:textId="77777777" w:rsidTr="00E07A51">
        <w:tc>
          <w:tcPr>
            <w:tcW w:w="5804" w:type="dxa"/>
            <w:tcBorders>
              <w:top w:val="nil"/>
              <w:left w:val="single" w:sz="4" w:space="0" w:color="auto"/>
              <w:bottom w:val="nil"/>
              <w:right w:val="single" w:sz="4" w:space="0" w:color="auto"/>
            </w:tcBorders>
          </w:tcPr>
          <w:p w14:paraId="2E3DE8D6" w14:textId="77777777" w:rsidR="00F0088B" w:rsidRPr="00653DCF" w:rsidRDefault="00F0088B" w:rsidP="00E07A51">
            <w:pPr>
              <w:spacing w:before="20" w:after="20"/>
              <w:rPr>
                <w:color w:val="auto"/>
                <w:sz w:val="8"/>
                <w:szCs w:val="8"/>
              </w:rPr>
            </w:pPr>
          </w:p>
        </w:tc>
        <w:tc>
          <w:tcPr>
            <w:tcW w:w="2430" w:type="dxa"/>
            <w:tcBorders>
              <w:top w:val="nil"/>
              <w:left w:val="single" w:sz="4" w:space="0" w:color="auto"/>
              <w:bottom w:val="nil"/>
              <w:right w:val="single" w:sz="4" w:space="0" w:color="auto"/>
            </w:tcBorders>
          </w:tcPr>
          <w:p w14:paraId="181A219A" w14:textId="77777777" w:rsidR="00F0088B" w:rsidRPr="00653DCF" w:rsidRDefault="00F0088B" w:rsidP="00E07A51">
            <w:pPr>
              <w:spacing w:before="20" w:after="20"/>
              <w:jc w:val="center"/>
              <w:rPr>
                <w:color w:val="auto"/>
                <w:sz w:val="8"/>
                <w:szCs w:val="8"/>
              </w:rPr>
            </w:pPr>
          </w:p>
        </w:tc>
      </w:tr>
      <w:tr w:rsidR="00F0088B" w:rsidRPr="00653DCF" w14:paraId="56CF75C8" w14:textId="77777777" w:rsidTr="00E07A51">
        <w:tc>
          <w:tcPr>
            <w:tcW w:w="5804" w:type="dxa"/>
            <w:tcBorders>
              <w:top w:val="nil"/>
              <w:left w:val="single" w:sz="4" w:space="0" w:color="auto"/>
              <w:bottom w:val="single" w:sz="4" w:space="0" w:color="auto"/>
              <w:right w:val="single" w:sz="4" w:space="0" w:color="auto"/>
            </w:tcBorders>
            <w:hideMark/>
          </w:tcPr>
          <w:p w14:paraId="1DA3C81B" w14:textId="77777777" w:rsidR="00F0088B" w:rsidRPr="00653DCF" w:rsidRDefault="00F0088B" w:rsidP="00E07A51">
            <w:pPr>
              <w:spacing w:before="20" w:after="20"/>
              <w:rPr>
                <w:color w:val="auto"/>
              </w:rPr>
            </w:pPr>
            <w:r w:rsidRPr="00653DCF">
              <w:rPr>
                <w:color w:val="auto"/>
              </w:rPr>
              <w:t>Interest during construction</w:t>
            </w:r>
          </w:p>
        </w:tc>
        <w:tc>
          <w:tcPr>
            <w:tcW w:w="2430" w:type="dxa"/>
            <w:tcBorders>
              <w:top w:val="nil"/>
              <w:left w:val="single" w:sz="4" w:space="0" w:color="auto"/>
              <w:bottom w:val="single" w:sz="4" w:space="0" w:color="auto"/>
              <w:right w:val="single" w:sz="4" w:space="0" w:color="auto"/>
            </w:tcBorders>
            <w:hideMark/>
          </w:tcPr>
          <w:p w14:paraId="2F4074D9" w14:textId="77777777" w:rsidR="00F0088B" w:rsidRPr="00653DCF" w:rsidRDefault="00F0088B" w:rsidP="00E07A51">
            <w:pPr>
              <w:spacing w:before="20" w:after="20"/>
              <w:jc w:val="center"/>
              <w:rPr>
                <w:color w:val="auto"/>
              </w:rPr>
            </w:pPr>
            <w:r w:rsidRPr="00653DCF">
              <w:rPr>
                <w:color w:val="auto"/>
              </w:rPr>
              <w:t>-</w:t>
            </w:r>
          </w:p>
        </w:tc>
      </w:tr>
      <w:tr w:rsidR="00F0088B" w:rsidRPr="00653DCF" w14:paraId="32CF4629" w14:textId="77777777" w:rsidTr="00E07A51">
        <w:tc>
          <w:tcPr>
            <w:tcW w:w="5804" w:type="dxa"/>
            <w:tcBorders>
              <w:top w:val="single" w:sz="4" w:space="0" w:color="auto"/>
              <w:left w:val="single" w:sz="4" w:space="0" w:color="auto"/>
              <w:bottom w:val="single" w:sz="4" w:space="0" w:color="auto"/>
              <w:right w:val="single" w:sz="4" w:space="0" w:color="auto"/>
            </w:tcBorders>
            <w:hideMark/>
          </w:tcPr>
          <w:p w14:paraId="6FE66866" w14:textId="77777777" w:rsidR="00F0088B" w:rsidRPr="00653DCF" w:rsidRDefault="00F0088B" w:rsidP="00E07A51">
            <w:pPr>
              <w:spacing w:before="120"/>
              <w:rPr>
                <w:b/>
                <w:color w:val="auto"/>
              </w:rPr>
            </w:pPr>
            <w:r w:rsidRPr="00653DCF">
              <w:rPr>
                <w:b/>
                <w:color w:val="auto"/>
              </w:rPr>
              <w:t>Total</w:t>
            </w:r>
          </w:p>
        </w:tc>
        <w:tc>
          <w:tcPr>
            <w:tcW w:w="2430" w:type="dxa"/>
            <w:tcBorders>
              <w:top w:val="single" w:sz="4" w:space="0" w:color="auto"/>
              <w:left w:val="single" w:sz="4" w:space="0" w:color="auto"/>
              <w:bottom w:val="single" w:sz="4" w:space="0" w:color="auto"/>
              <w:right w:val="single" w:sz="4" w:space="0" w:color="auto"/>
            </w:tcBorders>
            <w:hideMark/>
          </w:tcPr>
          <w:p w14:paraId="753FFCB9" w14:textId="77777777" w:rsidR="00F0088B" w:rsidRPr="00653DCF" w:rsidRDefault="00F0088B" w:rsidP="00E07A51">
            <w:pPr>
              <w:spacing w:before="120"/>
              <w:jc w:val="center"/>
              <w:rPr>
                <w:b/>
                <w:color w:val="auto"/>
              </w:rPr>
            </w:pPr>
            <w:r w:rsidRPr="00653DCF">
              <w:rPr>
                <w:b/>
                <w:color w:val="auto"/>
              </w:rPr>
              <w:t>-</w:t>
            </w:r>
          </w:p>
        </w:tc>
      </w:tr>
    </w:tbl>
    <w:p w14:paraId="54C35D99" w14:textId="77777777" w:rsidR="00F0088B" w:rsidRPr="00653DCF" w:rsidRDefault="00F0088B" w:rsidP="00F0088B">
      <w:pPr>
        <w:rPr>
          <w:b/>
          <w:color w:val="auto"/>
          <w:sz w:val="10"/>
        </w:rPr>
      </w:pPr>
    </w:p>
    <w:p w14:paraId="65EA9417" w14:textId="77777777" w:rsidR="00F0088B" w:rsidRPr="00653DCF" w:rsidRDefault="00F0088B" w:rsidP="0024686A">
      <w:pPr>
        <w:pStyle w:val="text"/>
        <w:numPr>
          <w:ilvl w:val="2"/>
          <w:numId w:val="171"/>
        </w:numPr>
        <w:autoSpaceDE w:val="0"/>
        <w:autoSpaceDN w:val="0"/>
        <w:adjustRightInd w:val="0"/>
        <w:rPr>
          <w:rFonts w:cs="Arial"/>
          <w:b/>
          <w:lang w:val="en-GB"/>
        </w:rPr>
      </w:pPr>
      <w:r w:rsidRPr="00653DCF">
        <w:rPr>
          <w:rFonts w:cs="Arial"/>
          <w:b/>
          <w:lang w:val="en-GB"/>
        </w:rPr>
        <w:t>Financial plan and requested allocation</w:t>
      </w:r>
    </w:p>
    <w:p w14:paraId="73402A91" w14:textId="77777777" w:rsidR="00F0088B" w:rsidRPr="00653DCF" w:rsidRDefault="00F0088B" w:rsidP="00F0088B">
      <w:pPr>
        <w:pStyle w:val="text"/>
        <w:autoSpaceDE w:val="0"/>
        <w:autoSpaceDN w:val="0"/>
        <w:adjustRightInd w:val="0"/>
        <w:ind w:left="0"/>
        <w:rPr>
          <w:rFonts w:cs="Arial"/>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8"/>
        <w:gridCol w:w="2477"/>
      </w:tblGrid>
      <w:tr w:rsidR="00F0088B" w:rsidRPr="00653DCF" w14:paraId="5D3EA3C4" w14:textId="77777777" w:rsidTr="00E07A51">
        <w:tc>
          <w:tcPr>
            <w:tcW w:w="5768" w:type="dxa"/>
            <w:tcBorders>
              <w:top w:val="single" w:sz="4" w:space="0" w:color="auto"/>
              <w:left w:val="single" w:sz="4" w:space="0" w:color="auto"/>
              <w:bottom w:val="single" w:sz="4" w:space="0" w:color="auto"/>
              <w:right w:val="single" w:sz="4" w:space="0" w:color="auto"/>
            </w:tcBorders>
            <w:hideMark/>
          </w:tcPr>
          <w:p w14:paraId="7FADF24F" w14:textId="77777777" w:rsidR="00F0088B" w:rsidRPr="00653DCF" w:rsidRDefault="00F0088B" w:rsidP="00E07A51">
            <w:pPr>
              <w:pStyle w:val="text"/>
              <w:autoSpaceDE w:val="0"/>
              <w:autoSpaceDN w:val="0"/>
              <w:adjustRightInd w:val="0"/>
              <w:ind w:left="0"/>
              <w:rPr>
                <w:rFonts w:cs="Arial"/>
                <w:b/>
                <w:lang w:val="en-GB"/>
              </w:rPr>
            </w:pPr>
            <w:r w:rsidRPr="00653DCF">
              <w:rPr>
                <w:rFonts w:cs="Arial"/>
                <w:b/>
                <w:lang w:val="en-GB"/>
              </w:rPr>
              <w:t>Sources of financing</w:t>
            </w:r>
          </w:p>
        </w:tc>
        <w:tc>
          <w:tcPr>
            <w:tcW w:w="2477" w:type="dxa"/>
            <w:tcBorders>
              <w:top w:val="single" w:sz="4" w:space="0" w:color="auto"/>
              <w:left w:val="single" w:sz="4" w:space="0" w:color="auto"/>
              <w:bottom w:val="single" w:sz="4" w:space="0" w:color="auto"/>
              <w:right w:val="single" w:sz="4" w:space="0" w:color="auto"/>
            </w:tcBorders>
            <w:hideMark/>
          </w:tcPr>
          <w:p w14:paraId="4F35C7CB" w14:textId="77777777" w:rsidR="00F0088B" w:rsidRPr="00653DCF" w:rsidRDefault="00F0088B" w:rsidP="00E07A51">
            <w:pPr>
              <w:pStyle w:val="text"/>
              <w:autoSpaceDE w:val="0"/>
              <w:autoSpaceDN w:val="0"/>
              <w:adjustRightInd w:val="0"/>
              <w:ind w:left="0"/>
              <w:jc w:val="center"/>
              <w:rPr>
                <w:rFonts w:cs="Arial"/>
                <w:b/>
                <w:lang w:val="en-GB"/>
              </w:rPr>
            </w:pPr>
            <w:r w:rsidRPr="00653DCF">
              <w:rPr>
                <w:rFonts w:cs="Arial"/>
                <w:b/>
                <w:lang w:val="en-GB"/>
              </w:rPr>
              <w:t>in EUR</w:t>
            </w:r>
          </w:p>
        </w:tc>
      </w:tr>
      <w:tr w:rsidR="00F0088B" w:rsidRPr="00653DCF" w14:paraId="094D7271" w14:textId="77777777" w:rsidTr="00E07A51">
        <w:tc>
          <w:tcPr>
            <w:tcW w:w="5768" w:type="dxa"/>
            <w:tcBorders>
              <w:top w:val="single" w:sz="4" w:space="0" w:color="auto"/>
              <w:left w:val="single" w:sz="4" w:space="0" w:color="auto"/>
              <w:bottom w:val="single" w:sz="4" w:space="0" w:color="auto"/>
              <w:right w:val="single" w:sz="4" w:space="0" w:color="auto"/>
            </w:tcBorders>
            <w:hideMark/>
          </w:tcPr>
          <w:p w14:paraId="471D7B0E" w14:textId="77777777" w:rsidR="00F0088B" w:rsidRPr="00653DCF" w:rsidRDefault="00F0088B" w:rsidP="00E07A51">
            <w:pPr>
              <w:pStyle w:val="text"/>
              <w:autoSpaceDE w:val="0"/>
              <w:autoSpaceDN w:val="0"/>
              <w:adjustRightInd w:val="0"/>
              <w:ind w:left="0"/>
              <w:rPr>
                <w:rFonts w:cs="Arial"/>
                <w:lang w:val="en-GB"/>
              </w:rPr>
            </w:pPr>
            <w:r w:rsidRPr="00653DCF">
              <w:rPr>
                <w:rFonts w:cs="Arial"/>
                <w:lang w:val="en-GB"/>
              </w:rPr>
              <w:t>EU funds</w:t>
            </w:r>
          </w:p>
        </w:tc>
        <w:tc>
          <w:tcPr>
            <w:tcW w:w="2477" w:type="dxa"/>
            <w:tcBorders>
              <w:top w:val="single" w:sz="4" w:space="0" w:color="auto"/>
              <w:left w:val="single" w:sz="4" w:space="0" w:color="auto"/>
              <w:bottom w:val="single" w:sz="4" w:space="0" w:color="auto"/>
              <w:right w:val="single" w:sz="4" w:space="0" w:color="auto"/>
            </w:tcBorders>
          </w:tcPr>
          <w:p w14:paraId="5106B4A8" w14:textId="77777777" w:rsidR="00F0088B" w:rsidRPr="00653DCF" w:rsidRDefault="00F0088B" w:rsidP="00E07A51">
            <w:pPr>
              <w:pStyle w:val="text"/>
              <w:autoSpaceDE w:val="0"/>
              <w:autoSpaceDN w:val="0"/>
              <w:adjustRightInd w:val="0"/>
              <w:ind w:left="0"/>
              <w:rPr>
                <w:rFonts w:cs="Arial"/>
                <w:lang w:val="en-GB"/>
              </w:rPr>
            </w:pPr>
          </w:p>
        </w:tc>
      </w:tr>
      <w:tr w:rsidR="00F0088B" w:rsidRPr="00653DCF" w14:paraId="57172E95" w14:textId="77777777" w:rsidTr="00E07A51">
        <w:tc>
          <w:tcPr>
            <w:tcW w:w="5768" w:type="dxa"/>
            <w:tcBorders>
              <w:top w:val="single" w:sz="4" w:space="0" w:color="auto"/>
              <w:left w:val="single" w:sz="4" w:space="0" w:color="auto"/>
              <w:bottom w:val="single" w:sz="4" w:space="0" w:color="auto"/>
              <w:right w:val="single" w:sz="4" w:space="0" w:color="auto"/>
            </w:tcBorders>
            <w:hideMark/>
          </w:tcPr>
          <w:p w14:paraId="7B2C119E" w14:textId="77777777" w:rsidR="00F0088B" w:rsidRPr="00653DCF" w:rsidRDefault="00F0088B" w:rsidP="00E07A51">
            <w:pPr>
              <w:pStyle w:val="text"/>
              <w:autoSpaceDE w:val="0"/>
              <w:autoSpaceDN w:val="0"/>
              <w:adjustRightInd w:val="0"/>
              <w:ind w:left="0"/>
              <w:rPr>
                <w:rFonts w:cs="Arial"/>
                <w:lang w:val="en-GB"/>
              </w:rPr>
            </w:pPr>
            <w:r w:rsidRPr="00653DCF">
              <w:rPr>
                <w:rFonts w:cs="Arial"/>
                <w:lang w:val="en-GB"/>
              </w:rPr>
              <w:t>National budget</w:t>
            </w:r>
          </w:p>
        </w:tc>
        <w:tc>
          <w:tcPr>
            <w:tcW w:w="2477" w:type="dxa"/>
            <w:tcBorders>
              <w:top w:val="single" w:sz="4" w:space="0" w:color="auto"/>
              <w:left w:val="single" w:sz="4" w:space="0" w:color="auto"/>
              <w:bottom w:val="single" w:sz="4" w:space="0" w:color="auto"/>
              <w:right w:val="single" w:sz="4" w:space="0" w:color="auto"/>
            </w:tcBorders>
          </w:tcPr>
          <w:p w14:paraId="64ACDFEB" w14:textId="77777777" w:rsidR="00F0088B" w:rsidRPr="00653DCF" w:rsidRDefault="00F0088B" w:rsidP="00E07A51">
            <w:pPr>
              <w:pStyle w:val="text"/>
              <w:autoSpaceDE w:val="0"/>
              <w:autoSpaceDN w:val="0"/>
              <w:adjustRightInd w:val="0"/>
              <w:ind w:left="0"/>
              <w:rPr>
                <w:rFonts w:cs="Arial"/>
                <w:lang w:val="en-GB"/>
              </w:rPr>
            </w:pPr>
          </w:p>
        </w:tc>
      </w:tr>
      <w:tr w:rsidR="00F0088B" w:rsidRPr="00653DCF" w14:paraId="4ADB1807" w14:textId="77777777" w:rsidTr="00E07A51">
        <w:tc>
          <w:tcPr>
            <w:tcW w:w="5768" w:type="dxa"/>
            <w:tcBorders>
              <w:top w:val="single" w:sz="4" w:space="0" w:color="auto"/>
              <w:left w:val="single" w:sz="4" w:space="0" w:color="auto"/>
              <w:bottom w:val="single" w:sz="4" w:space="0" w:color="auto"/>
              <w:right w:val="single" w:sz="4" w:space="0" w:color="auto"/>
            </w:tcBorders>
            <w:hideMark/>
          </w:tcPr>
          <w:p w14:paraId="2F62FFC5" w14:textId="77777777" w:rsidR="00F0088B" w:rsidRPr="00653DCF" w:rsidRDefault="00F0088B" w:rsidP="00E07A51">
            <w:pPr>
              <w:pStyle w:val="text"/>
              <w:autoSpaceDE w:val="0"/>
              <w:autoSpaceDN w:val="0"/>
              <w:adjustRightInd w:val="0"/>
              <w:ind w:left="0"/>
              <w:rPr>
                <w:rFonts w:cs="Arial"/>
                <w:lang w:val="en-GB"/>
              </w:rPr>
            </w:pPr>
            <w:r w:rsidRPr="00653DCF">
              <w:rPr>
                <w:rFonts w:cs="Arial"/>
                <w:lang w:val="en-GB"/>
              </w:rPr>
              <w:t>Other</w:t>
            </w:r>
          </w:p>
        </w:tc>
        <w:tc>
          <w:tcPr>
            <w:tcW w:w="2477" w:type="dxa"/>
            <w:tcBorders>
              <w:top w:val="single" w:sz="4" w:space="0" w:color="auto"/>
              <w:left w:val="single" w:sz="4" w:space="0" w:color="auto"/>
              <w:bottom w:val="single" w:sz="4" w:space="0" w:color="auto"/>
              <w:right w:val="single" w:sz="4" w:space="0" w:color="auto"/>
            </w:tcBorders>
          </w:tcPr>
          <w:p w14:paraId="03FAE2CA" w14:textId="77777777" w:rsidR="00F0088B" w:rsidRPr="00653DCF" w:rsidRDefault="00F0088B" w:rsidP="00E07A51">
            <w:pPr>
              <w:pStyle w:val="text"/>
              <w:autoSpaceDE w:val="0"/>
              <w:autoSpaceDN w:val="0"/>
              <w:adjustRightInd w:val="0"/>
              <w:ind w:left="0"/>
              <w:rPr>
                <w:rFonts w:cs="Arial"/>
                <w:lang w:val="en-GB"/>
              </w:rPr>
            </w:pPr>
          </w:p>
        </w:tc>
      </w:tr>
      <w:tr w:rsidR="00F0088B" w:rsidRPr="00653DCF" w14:paraId="321617E4" w14:textId="77777777" w:rsidTr="00E07A51">
        <w:tc>
          <w:tcPr>
            <w:tcW w:w="5768" w:type="dxa"/>
            <w:tcBorders>
              <w:top w:val="single" w:sz="4" w:space="0" w:color="auto"/>
              <w:left w:val="single" w:sz="4" w:space="0" w:color="auto"/>
              <w:bottom w:val="single" w:sz="4" w:space="0" w:color="auto"/>
              <w:right w:val="single" w:sz="4" w:space="0" w:color="auto"/>
            </w:tcBorders>
            <w:hideMark/>
          </w:tcPr>
          <w:p w14:paraId="5235AAAB" w14:textId="77777777" w:rsidR="00F0088B" w:rsidRPr="00653DCF" w:rsidRDefault="00F0088B" w:rsidP="00E07A51">
            <w:pPr>
              <w:pStyle w:val="text"/>
              <w:autoSpaceDE w:val="0"/>
              <w:autoSpaceDN w:val="0"/>
              <w:adjustRightInd w:val="0"/>
              <w:ind w:left="0"/>
              <w:rPr>
                <w:rFonts w:cs="Arial"/>
                <w:lang w:val="en-GB"/>
              </w:rPr>
            </w:pPr>
            <w:r w:rsidRPr="00653DCF">
              <w:rPr>
                <w:rFonts w:cs="Arial"/>
                <w:b/>
                <w:lang w:val="en-GB"/>
              </w:rPr>
              <w:t>Total</w:t>
            </w:r>
          </w:p>
        </w:tc>
        <w:tc>
          <w:tcPr>
            <w:tcW w:w="2477" w:type="dxa"/>
            <w:tcBorders>
              <w:top w:val="single" w:sz="4" w:space="0" w:color="auto"/>
              <w:left w:val="single" w:sz="4" w:space="0" w:color="auto"/>
              <w:bottom w:val="single" w:sz="4" w:space="0" w:color="auto"/>
              <w:right w:val="single" w:sz="4" w:space="0" w:color="auto"/>
            </w:tcBorders>
          </w:tcPr>
          <w:p w14:paraId="6FE15210" w14:textId="77777777" w:rsidR="00F0088B" w:rsidRPr="00653DCF" w:rsidRDefault="00F0088B" w:rsidP="00E07A51">
            <w:pPr>
              <w:pStyle w:val="text"/>
              <w:autoSpaceDE w:val="0"/>
              <w:autoSpaceDN w:val="0"/>
              <w:adjustRightInd w:val="0"/>
              <w:ind w:left="0"/>
              <w:rPr>
                <w:rFonts w:cs="Arial"/>
                <w:lang w:val="en-GB"/>
              </w:rPr>
            </w:pPr>
          </w:p>
        </w:tc>
      </w:tr>
      <w:tr w:rsidR="00F0088B" w:rsidRPr="00653DCF" w14:paraId="31B4D448" w14:textId="77777777" w:rsidTr="00E07A51">
        <w:tc>
          <w:tcPr>
            <w:tcW w:w="5768" w:type="dxa"/>
            <w:tcBorders>
              <w:top w:val="single" w:sz="4" w:space="0" w:color="auto"/>
              <w:left w:val="single" w:sz="4" w:space="0" w:color="auto"/>
              <w:bottom w:val="single" w:sz="4" w:space="0" w:color="auto"/>
              <w:right w:val="single" w:sz="4" w:space="0" w:color="auto"/>
            </w:tcBorders>
            <w:hideMark/>
          </w:tcPr>
          <w:p w14:paraId="149F44D9" w14:textId="77777777" w:rsidR="00F0088B" w:rsidRPr="00653DCF" w:rsidRDefault="00F0088B" w:rsidP="00E07A51">
            <w:pPr>
              <w:pStyle w:val="text"/>
              <w:autoSpaceDE w:val="0"/>
              <w:autoSpaceDN w:val="0"/>
              <w:adjustRightInd w:val="0"/>
              <w:ind w:left="0"/>
              <w:rPr>
                <w:rFonts w:cs="Arial"/>
                <w:lang w:val="en-GB"/>
              </w:rPr>
            </w:pPr>
            <w:r w:rsidRPr="00653DCF">
              <w:rPr>
                <w:rFonts w:cs="Arial"/>
                <w:lang w:val="en-GB"/>
              </w:rPr>
              <w:t>of which requested EIB loan</w:t>
            </w:r>
          </w:p>
        </w:tc>
        <w:tc>
          <w:tcPr>
            <w:tcW w:w="2477" w:type="dxa"/>
            <w:tcBorders>
              <w:top w:val="single" w:sz="4" w:space="0" w:color="auto"/>
              <w:left w:val="single" w:sz="4" w:space="0" w:color="auto"/>
              <w:bottom w:val="single" w:sz="4" w:space="0" w:color="auto"/>
              <w:right w:val="single" w:sz="4" w:space="0" w:color="auto"/>
            </w:tcBorders>
          </w:tcPr>
          <w:p w14:paraId="3D20E318" w14:textId="77777777" w:rsidR="00F0088B" w:rsidRPr="00653DCF" w:rsidRDefault="00F0088B" w:rsidP="00E07A51">
            <w:pPr>
              <w:pStyle w:val="text"/>
              <w:autoSpaceDE w:val="0"/>
              <w:autoSpaceDN w:val="0"/>
              <w:adjustRightInd w:val="0"/>
              <w:ind w:left="0"/>
              <w:rPr>
                <w:rFonts w:cs="Arial"/>
                <w:lang w:val="en-GB"/>
              </w:rPr>
            </w:pPr>
          </w:p>
        </w:tc>
      </w:tr>
    </w:tbl>
    <w:p w14:paraId="0140895B" w14:textId="77777777" w:rsidR="00F0088B" w:rsidRPr="00653DCF" w:rsidRDefault="00F0088B" w:rsidP="0024686A">
      <w:pPr>
        <w:numPr>
          <w:ilvl w:val="1"/>
          <w:numId w:val="98"/>
        </w:numPr>
        <w:spacing w:before="120"/>
        <w:ind w:left="0" w:firstLine="0"/>
        <w:rPr>
          <w:b/>
          <w:color w:val="auto"/>
        </w:rPr>
      </w:pPr>
      <w:r w:rsidRPr="00653DCF">
        <w:rPr>
          <w:b/>
          <w:color w:val="auto"/>
        </w:rPr>
        <w:t xml:space="preserve">Expected expenditure schedule </w:t>
      </w:r>
      <w:r w:rsidRPr="00653DCF">
        <w:rPr>
          <w:color w:val="auto"/>
        </w:rPr>
        <w:t>(in EUR)</w:t>
      </w:r>
    </w:p>
    <w:tbl>
      <w:tblPr>
        <w:tblW w:w="8460" w:type="dxa"/>
        <w:tblInd w:w="701" w:type="dxa"/>
        <w:tblLayout w:type="fixed"/>
        <w:tblLook w:val="04A0" w:firstRow="1" w:lastRow="0" w:firstColumn="1" w:lastColumn="0" w:noHBand="0" w:noVBand="1"/>
      </w:tblPr>
      <w:tblGrid>
        <w:gridCol w:w="1559"/>
        <w:gridCol w:w="1560"/>
        <w:gridCol w:w="1111"/>
        <w:gridCol w:w="1410"/>
        <w:gridCol w:w="1164"/>
        <w:gridCol w:w="1656"/>
      </w:tblGrid>
      <w:tr w:rsidR="00F0088B" w:rsidRPr="00653DCF" w14:paraId="4BFFD3B9" w14:textId="77777777" w:rsidTr="00E07A51">
        <w:trPr>
          <w:cantSplit/>
        </w:trPr>
        <w:tc>
          <w:tcPr>
            <w:tcW w:w="1559" w:type="dxa"/>
            <w:tcBorders>
              <w:top w:val="single" w:sz="6" w:space="0" w:color="auto"/>
              <w:left w:val="single" w:sz="6" w:space="0" w:color="auto"/>
              <w:bottom w:val="single" w:sz="6" w:space="0" w:color="auto"/>
              <w:right w:val="single" w:sz="6" w:space="0" w:color="auto"/>
            </w:tcBorders>
            <w:hideMark/>
          </w:tcPr>
          <w:p w14:paraId="23E20834" w14:textId="77777777" w:rsidR="00F0088B" w:rsidRPr="00653DCF" w:rsidRDefault="00F0088B" w:rsidP="00E07A51">
            <w:pPr>
              <w:tabs>
                <w:tab w:val="left" w:pos="426"/>
              </w:tabs>
              <w:jc w:val="center"/>
              <w:rPr>
                <w:b/>
                <w:color w:val="auto"/>
              </w:rPr>
            </w:pPr>
            <w:r w:rsidRPr="00653DCF">
              <w:rPr>
                <w:b/>
                <w:color w:val="auto"/>
              </w:rPr>
              <w:t>year</w:t>
            </w:r>
          </w:p>
        </w:tc>
        <w:tc>
          <w:tcPr>
            <w:tcW w:w="1560" w:type="dxa"/>
            <w:tcBorders>
              <w:top w:val="single" w:sz="6" w:space="0" w:color="auto"/>
              <w:left w:val="single" w:sz="6" w:space="0" w:color="auto"/>
              <w:bottom w:val="single" w:sz="6" w:space="0" w:color="auto"/>
              <w:right w:val="single" w:sz="6" w:space="0" w:color="auto"/>
            </w:tcBorders>
            <w:hideMark/>
          </w:tcPr>
          <w:p w14:paraId="316189CF" w14:textId="77777777" w:rsidR="00F0088B" w:rsidRPr="00653DCF" w:rsidRDefault="00F0088B" w:rsidP="00E07A51">
            <w:pPr>
              <w:tabs>
                <w:tab w:val="left" w:pos="426"/>
              </w:tabs>
              <w:jc w:val="center"/>
              <w:rPr>
                <w:b/>
                <w:color w:val="auto"/>
              </w:rPr>
            </w:pPr>
            <w:r w:rsidRPr="00653DCF">
              <w:rPr>
                <w:b/>
                <w:color w:val="auto"/>
              </w:rPr>
              <w:t>2024</w:t>
            </w:r>
          </w:p>
        </w:tc>
        <w:tc>
          <w:tcPr>
            <w:tcW w:w="1111" w:type="dxa"/>
            <w:tcBorders>
              <w:top w:val="single" w:sz="6" w:space="0" w:color="auto"/>
              <w:left w:val="single" w:sz="6" w:space="0" w:color="auto"/>
              <w:bottom w:val="single" w:sz="6" w:space="0" w:color="auto"/>
              <w:right w:val="single" w:sz="6" w:space="0" w:color="auto"/>
            </w:tcBorders>
            <w:hideMark/>
          </w:tcPr>
          <w:p w14:paraId="05F0A428" w14:textId="77777777" w:rsidR="00F0088B" w:rsidRPr="00653DCF" w:rsidRDefault="00F0088B" w:rsidP="00E07A51">
            <w:pPr>
              <w:tabs>
                <w:tab w:val="left" w:pos="426"/>
              </w:tabs>
              <w:jc w:val="center"/>
              <w:rPr>
                <w:b/>
                <w:color w:val="auto"/>
              </w:rPr>
            </w:pPr>
            <w:r w:rsidRPr="00653DCF">
              <w:rPr>
                <w:b/>
                <w:color w:val="auto"/>
              </w:rPr>
              <w:t>…</w:t>
            </w:r>
          </w:p>
        </w:tc>
        <w:tc>
          <w:tcPr>
            <w:tcW w:w="1410" w:type="dxa"/>
            <w:tcBorders>
              <w:top w:val="single" w:sz="6" w:space="0" w:color="auto"/>
              <w:left w:val="single" w:sz="6" w:space="0" w:color="auto"/>
              <w:bottom w:val="single" w:sz="6" w:space="0" w:color="auto"/>
              <w:right w:val="single" w:sz="6" w:space="0" w:color="auto"/>
            </w:tcBorders>
            <w:hideMark/>
          </w:tcPr>
          <w:p w14:paraId="7BD6351B" w14:textId="77777777" w:rsidR="00F0088B" w:rsidRPr="00653DCF" w:rsidRDefault="00F0088B" w:rsidP="00E07A51">
            <w:pPr>
              <w:tabs>
                <w:tab w:val="left" w:pos="426"/>
              </w:tabs>
              <w:jc w:val="center"/>
              <w:rPr>
                <w:b/>
                <w:color w:val="auto"/>
              </w:rPr>
            </w:pPr>
            <w:r w:rsidRPr="00653DCF">
              <w:rPr>
                <w:b/>
                <w:color w:val="auto"/>
              </w:rPr>
              <w:t>…</w:t>
            </w:r>
          </w:p>
        </w:tc>
        <w:tc>
          <w:tcPr>
            <w:tcW w:w="1164" w:type="dxa"/>
            <w:tcBorders>
              <w:top w:val="single" w:sz="6" w:space="0" w:color="auto"/>
              <w:left w:val="single" w:sz="6" w:space="0" w:color="auto"/>
              <w:bottom w:val="single" w:sz="6" w:space="0" w:color="auto"/>
              <w:right w:val="single" w:sz="6" w:space="0" w:color="auto"/>
            </w:tcBorders>
            <w:hideMark/>
          </w:tcPr>
          <w:p w14:paraId="63C0598F" w14:textId="77777777" w:rsidR="00F0088B" w:rsidRPr="00653DCF" w:rsidRDefault="00F0088B" w:rsidP="00E07A51">
            <w:pPr>
              <w:tabs>
                <w:tab w:val="left" w:pos="426"/>
              </w:tabs>
              <w:jc w:val="center"/>
              <w:rPr>
                <w:b/>
                <w:color w:val="auto"/>
              </w:rPr>
            </w:pPr>
            <w:r w:rsidRPr="00653DCF">
              <w:rPr>
                <w:b/>
                <w:color w:val="auto"/>
              </w:rPr>
              <w:t>n</w:t>
            </w:r>
          </w:p>
        </w:tc>
        <w:tc>
          <w:tcPr>
            <w:tcW w:w="1656" w:type="dxa"/>
            <w:tcBorders>
              <w:top w:val="single" w:sz="6" w:space="0" w:color="auto"/>
              <w:left w:val="single" w:sz="6" w:space="0" w:color="auto"/>
              <w:bottom w:val="single" w:sz="6" w:space="0" w:color="auto"/>
              <w:right w:val="single" w:sz="6" w:space="0" w:color="auto"/>
            </w:tcBorders>
            <w:hideMark/>
          </w:tcPr>
          <w:p w14:paraId="6538B836" w14:textId="77777777" w:rsidR="00F0088B" w:rsidRPr="00653DCF" w:rsidRDefault="00F0088B" w:rsidP="00E07A51">
            <w:pPr>
              <w:jc w:val="center"/>
              <w:rPr>
                <w:b/>
                <w:color w:val="auto"/>
              </w:rPr>
            </w:pPr>
            <w:r w:rsidRPr="00653DCF">
              <w:rPr>
                <w:b/>
                <w:color w:val="auto"/>
              </w:rPr>
              <w:t>Total</w:t>
            </w:r>
          </w:p>
        </w:tc>
      </w:tr>
      <w:tr w:rsidR="00F0088B" w:rsidRPr="00653DCF" w14:paraId="198D1391" w14:textId="77777777" w:rsidTr="00E07A51">
        <w:trPr>
          <w:cantSplit/>
        </w:trPr>
        <w:tc>
          <w:tcPr>
            <w:tcW w:w="1559" w:type="dxa"/>
            <w:tcBorders>
              <w:top w:val="single" w:sz="6" w:space="0" w:color="auto"/>
              <w:left w:val="single" w:sz="6" w:space="0" w:color="auto"/>
              <w:bottom w:val="single" w:sz="6" w:space="0" w:color="auto"/>
              <w:right w:val="single" w:sz="6" w:space="0" w:color="auto"/>
            </w:tcBorders>
            <w:hideMark/>
          </w:tcPr>
          <w:p w14:paraId="306A2D76" w14:textId="77777777" w:rsidR="00F0088B" w:rsidRPr="00653DCF" w:rsidRDefault="00F0088B" w:rsidP="00E07A51">
            <w:pPr>
              <w:tabs>
                <w:tab w:val="left" w:pos="426"/>
              </w:tabs>
              <w:jc w:val="center"/>
              <w:rPr>
                <w:b/>
                <w:color w:val="auto"/>
              </w:rPr>
            </w:pPr>
            <w:r w:rsidRPr="00653DCF">
              <w:rPr>
                <w:b/>
                <w:color w:val="auto"/>
              </w:rPr>
              <w:t>EUR</w:t>
            </w:r>
          </w:p>
        </w:tc>
        <w:tc>
          <w:tcPr>
            <w:tcW w:w="1560" w:type="dxa"/>
            <w:tcBorders>
              <w:top w:val="single" w:sz="6" w:space="0" w:color="auto"/>
              <w:left w:val="single" w:sz="6" w:space="0" w:color="auto"/>
              <w:bottom w:val="single" w:sz="6" w:space="0" w:color="auto"/>
              <w:right w:val="single" w:sz="6" w:space="0" w:color="auto"/>
            </w:tcBorders>
          </w:tcPr>
          <w:p w14:paraId="745EC5C1" w14:textId="77777777" w:rsidR="00F0088B" w:rsidRPr="00653DCF" w:rsidRDefault="00F0088B" w:rsidP="00E07A51">
            <w:pPr>
              <w:tabs>
                <w:tab w:val="left" w:pos="426"/>
              </w:tabs>
              <w:jc w:val="center"/>
              <w:rPr>
                <w:color w:val="auto"/>
              </w:rPr>
            </w:pPr>
          </w:p>
        </w:tc>
        <w:tc>
          <w:tcPr>
            <w:tcW w:w="1111" w:type="dxa"/>
            <w:tcBorders>
              <w:top w:val="single" w:sz="6" w:space="0" w:color="auto"/>
              <w:left w:val="single" w:sz="6" w:space="0" w:color="auto"/>
              <w:bottom w:val="single" w:sz="6" w:space="0" w:color="auto"/>
              <w:right w:val="single" w:sz="6" w:space="0" w:color="auto"/>
            </w:tcBorders>
          </w:tcPr>
          <w:p w14:paraId="72D57EA9" w14:textId="77777777" w:rsidR="00F0088B" w:rsidRPr="00653DCF" w:rsidRDefault="00F0088B" w:rsidP="00E07A51">
            <w:pPr>
              <w:tabs>
                <w:tab w:val="left" w:pos="426"/>
              </w:tabs>
              <w:jc w:val="center"/>
              <w:rPr>
                <w:color w:val="auto"/>
              </w:rPr>
            </w:pPr>
          </w:p>
        </w:tc>
        <w:tc>
          <w:tcPr>
            <w:tcW w:w="1410" w:type="dxa"/>
            <w:tcBorders>
              <w:top w:val="single" w:sz="6" w:space="0" w:color="auto"/>
              <w:left w:val="single" w:sz="6" w:space="0" w:color="auto"/>
              <w:bottom w:val="single" w:sz="6" w:space="0" w:color="auto"/>
              <w:right w:val="single" w:sz="6" w:space="0" w:color="auto"/>
            </w:tcBorders>
          </w:tcPr>
          <w:p w14:paraId="03691BD9" w14:textId="77777777" w:rsidR="00F0088B" w:rsidRPr="00653DCF" w:rsidRDefault="00F0088B" w:rsidP="00E07A51">
            <w:pPr>
              <w:tabs>
                <w:tab w:val="left" w:pos="426"/>
              </w:tabs>
              <w:jc w:val="center"/>
              <w:rPr>
                <w:color w:val="auto"/>
              </w:rPr>
            </w:pPr>
          </w:p>
        </w:tc>
        <w:tc>
          <w:tcPr>
            <w:tcW w:w="1164" w:type="dxa"/>
            <w:tcBorders>
              <w:top w:val="single" w:sz="6" w:space="0" w:color="auto"/>
              <w:left w:val="single" w:sz="6" w:space="0" w:color="auto"/>
              <w:bottom w:val="single" w:sz="6" w:space="0" w:color="auto"/>
              <w:right w:val="single" w:sz="6" w:space="0" w:color="auto"/>
            </w:tcBorders>
          </w:tcPr>
          <w:p w14:paraId="725E1072" w14:textId="77777777" w:rsidR="00F0088B" w:rsidRPr="00653DCF" w:rsidRDefault="00F0088B" w:rsidP="00E07A51">
            <w:pPr>
              <w:tabs>
                <w:tab w:val="left" w:pos="426"/>
              </w:tabs>
              <w:ind w:firstLine="162"/>
              <w:jc w:val="center"/>
              <w:rPr>
                <w:color w:val="auto"/>
              </w:rPr>
            </w:pPr>
          </w:p>
        </w:tc>
        <w:tc>
          <w:tcPr>
            <w:tcW w:w="1656" w:type="dxa"/>
            <w:tcBorders>
              <w:top w:val="single" w:sz="6" w:space="0" w:color="auto"/>
              <w:left w:val="single" w:sz="6" w:space="0" w:color="auto"/>
              <w:bottom w:val="single" w:sz="6" w:space="0" w:color="auto"/>
              <w:right w:val="single" w:sz="6" w:space="0" w:color="auto"/>
            </w:tcBorders>
          </w:tcPr>
          <w:p w14:paraId="1DA9E399" w14:textId="77777777" w:rsidR="00F0088B" w:rsidRPr="00653DCF" w:rsidRDefault="00F0088B" w:rsidP="00E07A51">
            <w:pPr>
              <w:ind w:firstLine="162"/>
              <w:jc w:val="center"/>
              <w:rPr>
                <w:color w:val="auto"/>
              </w:rPr>
            </w:pPr>
          </w:p>
        </w:tc>
      </w:tr>
    </w:tbl>
    <w:p w14:paraId="543450E1" w14:textId="77777777" w:rsidR="00F0088B" w:rsidRPr="00653DCF" w:rsidRDefault="00F0088B" w:rsidP="00F0088B">
      <w:pPr>
        <w:rPr>
          <w:color w:val="auto"/>
          <w:sz w:val="10"/>
        </w:rPr>
      </w:pPr>
    </w:p>
    <w:p w14:paraId="760FB235" w14:textId="77777777" w:rsidR="00F0088B" w:rsidRPr="00653DCF" w:rsidRDefault="00F0088B" w:rsidP="0024686A">
      <w:pPr>
        <w:numPr>
          <w:ilvl w:val="1"/>
          <w:numId w:val="98"/>
        </w:numPr>
        <w:spacing w:before="120" w:after="0"/>
        <w:ind w:left="0" w:firstLine="0"/>
        <w:rPr>
          <w:b/>
          <w:color w:val="auto"/>
        </w:rPr>
      </w:pPr>
      <w:r w:rsidRPr="00653DCF">
        <w:rPr>
          <w:b/>
          <w:color w:val="auto"/>
        </w:rPr>
        <w:t>Expected technical/ economical life-span (years)</w:t>
      </w:r>
    </w:p>
    <w:p w14:paraId="53349FBA" w14:textId="77777777" w:rsidR="00F0088B" w:rsidRPr="00653DCF" w:rsidRDefault="00F0088B" w:rsidP="0024686A">
      <w:pPr>
        <w:numPr>
          <w:ilvl w:val="1"/>
          <w:numId w:val="98"/>
        </w:numPr>
        <w:spacing w:before="120"/>
        <w:ind w:left="0" w:firstLine="0"/>
        <w:rPr>
          <w:b/>
          <w:color w:val="auto"/>
        </w:rPr>
      </w:pPr>
      <w:r w:rsidRPr="00653DCF">
        <w:rPr>
          <w:b/>
          <w:color w:val="auto"/>
        </w:rPr>
        <w:t>Implementation period (dates: month, year)</w:t>
      </w:r>
    </w:p>
    <w:p w14:paraId="24E081CE" w14:textId="77777777" w:rsidR="00F0088B" w:rsidRPr="00653DCF" w:rsidRDefault="00F0088B" w:rsidP="0024686A">
      <w:pPr>
        <w:numPr>
          <w:ilvl w:val="0"/>
          <w:numId w:val="144"/>
        </w:numPr>
        <w:ind w:left="1077" w:hanging="357"/>
        <w:rPr>
          <w:color w:val="auto"/>
        </w:rPr>
      </w:pPr>
      <w:r w:rsidRPr="00653DCF">
        <w:rPr>
          <w:color w:val="auto"/>
        </w:rPr>
        <w:t xml:space="preserve">Start: </w:t>
      </w:r>
    </w:p>
    <w:p w14:paraId="53E09081" w14:textId="77777777" w:rsidR="00F0088B" w:rsidRPr="00653DCF" w:rsidRDefault="00F0088B" w:rsidP="0024686A">
      <w:pPr>
        <w:numPr>
          <w:ilvl w:val="0"/>
          <w:numId w:val="144"/>
        </w:numPr>
        <w:ind w:left="1077" w:hanging="357"/>
        <w:rPr>
          <w:bCs/>
          <w:color w:val="auto"/>
        </w:rPr>
      </w:pPr>
      <w:r w:rsidRPr="00653DCF">
        <w:rPr>
          <w:color w:val="auto"/>
        </w:rPr>
        <w:t xml:space="preserve">Completion: </w:t>
      </w:r>
    </w:p>
    <w:p w14:paraId="69148871" w14:textId="77777777" w:rsidR="00F0088B" w:rsidRPr="00653DCF" w:rsidRDefault="00F0088B" w:rsidP="0024686A">
      <w:pPr>
        <w:numPr>
          <w:ilvl w:val="1"/>
          <w:numId w:val="98"/>
        </w:numPr>
        <w:spacing w:before="120"/>
        <w:jc w:val="left"/>
        <w:rPr>
          <w:color w:val="auto"/>
        </w:rPr>
      </w:pPr>
      <w:r w:rsidRPr="00653DCF">
        <w:rPr>
          <w:b/>
          <w:color w:val="auto"/>
        </w:rPr>
        <w:t>Authorisation required to implement/operate the Project</w:t>
      </w:r>
    </w:p>
    <w:p w14:paraId="53C34040" w14:textId="77777777" w:rsidR="00F0088B" w:rsidRPr="00653DCF" w:rsidRDefault="00F0088B" w:rsidP="00F0088B">
      <w:pPr>
        <w:spacing w:after="0"/>
        <w:ind w:left="720"/>
        <w:rPr>
          <w:color w:val="auto"/>
        </w:rPr>
      </w:pPr>
      <w:r w:rsidRPr="00653DCF">
        <w:rPr>
          <w:color w:val="auto"/>
        </w:rPr>
        <w:t>Please provide the name(s) of the authority(ties) issuing the relevant permit(s) and whether or not the authorisation(s) has (have) been issued. If permits are not issued, please indicate the expected date.</w:t>
      </w:r>
    </w:p>
    <w:p w14:paraId="0484B1FE" w14:textId="77777777" w:rsidR="00F0088B" w:rsidRPr="00653DCF" w:rsidRDefault="00F0088B" w:rsidP="0024686A">
      <w:pPr>
        <w:numPr>
          <w:ilvl w:val="1"/>
          <w:numId w:val="98"/>
        </w:numPr>
        <w:spacing w:before="120"/>
        <w:jc w:val="left"/>
        <w:rPr>
          <w:color w:val="auto"/>
        </w:rPr>
      </w:pPr>
      <w:r w:rsidRPr="00653DCF">
        <w:rPr>
          <w:b/>
          <w:color w:val="auto"/>
        </w:rPr>
        <w:t xml:space="preserve">Jobs affected by the investment </w:t>
      </w:r>
      <w:r w:rsidRPr="00653DCF">
        <w:rPr>
          <w:b/>
          <w:color w:val="auto"/>
        </w:rPr>
        <w:br/>
      </w:r>
      <w:r w:rsidRPr="00653DCF">
        <w:rPr>
          <w:color w:val="auto"/>
        </w:rPr>
        <w:t>Number of jobs that will be created, secured or lost as a consequence of the Project.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46"/>
      </w:tblGrid>
      <w:tr w:rsidR="00F0088B" w:rsidRPr="00653DCF" w14:paraId="48A76B8F" w14:textId="77777777" w:rsidTr="00E07A51">
        <w:tc>
          <w:tcPr>
            <w:tcW w:w="5760" w:type="dxa"/>
            <w:tcBorders>
              <w:top w:val="single" w:sz="4" w:space="0" w:color="auto"/>
              <w:left w:val="single" w:sz="4" w:space="0" w:color="auto"/>
              <w:bottom w:val="single" w:sz="4" w:space="0" w:color="auto"/>
              <w:right w:val="single" w:sz="4" w:space="0" w:color="auto"/>
            </w:tcBorders>
            <w:hideMark/>
          </w:tcPr>
          <w:p w14:paraId="71AD0F79" w14:textId="77777777" w:rsidR="00F0088B" w:rsidRPr="00653DCF" w:rsidRDefault="00F0088B" w:rsidP="0024686A">
            <w:pPr>
              <w:numPr>
                <w:ilvl w:val="0"/>
                <w:numId w:val="148"/>
              </w:numPr>
              <w:spacing w:after="0"/>
              <w:ind w:left="252" w:hanging="252"/>
              <w:rPr>
                <w:color w:val="auto"/>
              </w:rPr>
            </w:pPr>
            <w:r w:rsidRPr="00653DCF">
              <w:rPr>
                <w:color w:val="auto"/>
              </w:rPr>
              <w:t>during construction:</w:t>
            </w:r>
          </w:p>
        </w:tc>
        <w:tc>
          <w:tcPr>
            <w:tcW w:w="2446" w:type="dxa"/>
            <w:tcBorders>
              <w:top w:val="single" w:sz="4" w:space="0" w:color="auto"/>
              <w:left w:val="single" w:sz="4" w:space="0" w:color="auto"/>
              <w:bottom w:val="single" w:sz="4" w:space="0" w:color="auto"/>
              <w:right w:val="single" w:sz="4" w:space="0" w:color="auto"/>
            </w:tcBorders>
          </w:tcPr>
          <w:p w14:paraId="173789A0" w14:textId="77777777" w:rsidR="00F0088B" w:rsidRPr="00653DCF" w:rsidRDefault="00F0088B" w:rsidP="00E07A51">
            <w:pPr>
              <w:rPr>
                <w:color w:val="auto"/>
              </w:rPr>
            </w:pPr>
          </w:p>
        </w:tc>
      </w:tr>
      <w:tr w:rsidR="00F0088B" w:rsidRPr="00653DCF" w14:paraId="09E3558D" w14:textId="77777777" w:rsidTr="00E07A51">
        <w:tc>
          <w:tcPr>
            <w:tcW w:w="5760" w:type="dxa"/>
            <w:tcBorders>
              <w:top w:val="single" w:sz="4" w:space="0" w:color="auto"/>
              <w:left w:val="single" w:sz="4" w:space="0" w:color="auto"/>
              <w:bottom w:val="single" w:sz="4" w:space="0" w:color="auto"/>
              <w:right w:val="single" w:sz="4" w:space="0" w:color="auto"/>
            </w:tcBorders>
            <w:hideMark/>
          </w:tcPr>
          <w:p w14:paraId="59D61BC6" w14:textId="77777777" w:rsidR="00F0088B" w:rsidRPr="00653DCF" w:rsidRDefault="00F0088B" w:rsidP="0024686A">
            <w:pPr>
              <w:numPr>
                <w:ilvl w:val="0"/>
                <w:numId w:val="148"/>
              </w:numPr>
              <w:spacing w:after="0"/>
              <w:ind w:left="252" w:hanging="252"/>
              <w:rPr>
                <w:color w:val="auto"/>
              </w:rPr>
            </w:pPr>
            <w:r w:rsidRPr="00653DCF">
              <w:rPr>
                <w:color w:val="auto"/>
              </w:rPr>
              <w:t>post construction (operation and maintenance) – secured:</w:t>
            </w:r>
          </w:p>
        </w:tc>
        <w:tc>
          <w:tcPr>
            <w:tcW w:w="2446" w:type="dxa"/>
            <w:tcBorders>
              <w:top w:val="single" w:sz="4" w:space="0" w:color="auto"/>
              <w:left w:val="single" w:sz="4" w:space="0" w:color="auto"/>
              <w:bottom w:val="single" w:sz="4" w:space="0" w:color="auto"/>
              <w:right w:val="single" w:sz="4" w:space="0" w:color="auto"/>
            </w:tcBorders>
          </w:tcPr>
          <w:p w14:paraId="05F45812" w14:textId="77777777" w:rsidR="00F0088B" w:rsidRPr="00653DCF" w:rsidRDefault="00F0088B" w:rsidP="00E07A51">
            <w:pPr>
              <w:rPr>
                <w:color w:val="auto"/>
              </w:rPr>
            </w:pPr>
          </w:p>
        </w:tc>
      </w:tr>
    </w:tbl>
    <w:p w14:paraId="7155BFBC" w14:textId="77777777" w:rsidR="00F0088B" w:rsidRPr="00653DCF" w:rsidRDefault="00F0088B" w:rsidP="0024686A">
      <w:pPr>
        <w:numPr>
          <w:ilvl w:val="1"/>
          <w:numId w:val="98"/>
        </w:numPr>
        <w:spacing w:before="120"/>
        <w:jc w:val="left"/>
        <w:rPr>
          <w:b/>
          <w:color w:val="auto"/>
        </w:rPr>
      </w:pPr>
      <w:r w:rsidRPr="00653DCF">
        <w:rPr>
          <w:b/>
          <w:color w:val="auto"/>
        </w:rPr>
        <w:t>Physical indicators</w:t>
      </w:r>
    </w:p>
    <w:p w14:paraId="01A99460" w14:textId="77777777" w:rsidR="00F0088B" w:rsidRPr="00653DCF" w:rsidRDefault="00F0088B" w:rsidP="00F0088B">
      <w:pPr>
        <w:ind w:left="720"/>
        <w:rPr>
          <w:color w:val="auto"/>
        </w:rPr>
      </w:pPr>
      <w:r w:rsidRPr="00653DCF">
        <w:rPr>
          <w:color w:val="auto"/>
        </w:rPr>
        <w:t>Please indicate (quantify) planned physical output/result of the Project.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967"/>
        <w:gridCol w:w="2015"/>
      </w:tblGrid>
      <w:tr w:rsidR="00F0088B" w:rsidRPr="00653DCF" w14:paraId="150D7166" w14:textId="77777777" w:rsidTr="00E07A51">
        <w:tc>
          <w:tcPr>
            <w:tcW w:w="4252" w:type="dxa"/>
            <w:tcBorders>
              <w:top w:val="single" w:sz="4" w:space="0" w:color="auto"/>
              <w:left w:val="single" w:sz="4" w:space="0" w:color="auto"/>
              <w:bottom w:val="single" w:sz="4" w:space="0" w:color="auto"/>
              <w:right w:val="single" w:sz="4" w:space="0" w:color="auto"/>
            </w:tcBorders>
            <w:hideMark/>
          </w:tcPr>
          <w:p w14:paraId="61ADCAC4" w14:textId="77777777" w:rsidR="00F0088B" w:rsidRPr="00653DCF" w:rsidRDefault="00F0088B" w:rsidP="00E07A51">
            <w:pPr>
              <w:rPr>
                <w:b/>
                <w:color w:val="auto"/>
              </w:rPr>
            </w:pPr>
            <w:r w:rsidRPr="00653DCF">
              <w:rPr>
                <w:b/>
                <w:color w:val="auto"/>
              </w:rPr>
              <w:t>Indicator name and definition</w:t>
            </w:r>
          </w:p>
        </w:tc>
        <w:tc>
          <w:tcPr>
            <w:tcW w:w="1967" w:type="dxa"/>
            <w:tcBorders>
              <w:top w:val="single" w:sz="4" w:space="0" w:color="auto"/>
              <w:left w:val="single" w:sz="4" w:space="0" w:color="auto"/>
              <w:bottom w:val="single" w:sz="4" w:space="0" w:color="auto"/>
              <w:right w:val="single" w:sz="4" w:space="0" w:color="auto"/>
            </w:tcBorders>
            <w:hideMark/>
          </w:tcPr>
          <w:p w14:paraId="63489B44" w14:textId="77777777" w:rsidR="00F0088B" w:rsidRPr="00653DCF" w:rsidRDefault="00F0088B" w:rsidP="00E07A51">
            <w:pPr>
              <w:rPr>
                <w:b/>
                <w:color w:val="auto"/>
              </w:rPr>
            </w:pPr>
            <w:r w:rsidRPr="00653DCF">
              <w:rPr>
                <w:b/>
                <w:color w:val="auto"/>
              </w:rPr>
              <w:t>Baseline (year)</w:t>
            </w:r>
          </w:p>
        </w:tc>
        <w:tc>
          <w:tcPr>
            <w:tcW w:w="2015" w:type="dxa"/>
            <w:tcBorders>
              <w:top w:val="single" w:sz="4" w:space="0" w:color="auto"/>
              <w:left w:val="single" w:sz="4" w:space="0" w:color="auto"/>
              <w:bottom w:val="single" w:sz="4" w:space="0" w:color="auto"/>
              <w:right w:val="single" w:sz="4" w:space="0" w:color="auto"/>
            </w:tcBorders>
            <w:hideMark/>
          </w:tcPr>
          <w:p w14:paraId="737971BE" w14:textId="77777777" w:rsidR="00F0088B" w:rsidRPr="00653DCF" w:rsidRDefault="00F0088B" w:rsidP="00E07A51">
            <w:pPr>
              <w:rPr>
                <w:b/>
                <w:color w:val="auto"/>
              </w:rPr>
            </w:pPr>
            <w:r w:rsidRPr="00653DCF">
              <w:rPr>
                <w:b/>
                <w:color w:val="auto"/>
              </w:rPr>
              <w:t>Target value (year)</w:t>
            </w:r>
          </w:p>
        </w:tc>
      </w:tr>
      <w:tr w:rsidR="00F0088B" w:rsidRPr="00653DCF" w14:paraId="6642A9AB" w14:textId="77777777" w:rsidTr="00E07A51">
        <w:tc>
          <w:tcPr>
            <w:tcW w:w="4252" w:type="dxa"/>
            <w:tcBorders>
              <w:top w:val="single" w:sz="4" w:space="0" w:color="auto"/>
              <w:left w:val="single" w:sz="4" w:space="0" w:color="auto"/>
              <w:bottom w:val="single" w:sz="4" w:space="0" w:color="auto"/>
              <w:right w:val="single" w:sz="4" w:space="0" w:color="auto"/>
            </w:tcBorders>
            <w:hideMark/>
          </w:tcPr>
          <w:p w14:paraId="3FC414C5" w14:textId="77777777" w:rsidR="00F0088B" w:rsidRPr="00653DCF" w:rsidRDefault="00F0088B" w:rsidP="0024686A">
            <w:pPr>
              <w:numPr>
                <w:ilvl w:val="0"/>
                <w:numId w:val="149"/>
              </w:numPr>
              <w:spacing w:after="0"/>
              <w:rPr>
                <w:color w:val="auto"/>
              </w:rPr>
            </w:pPr>
            <w:r w:rsidRPr="00653DCF">
              <w:rPr>
                <w:color w:val="auto"/>
              </w:rPr>
              <w:t>…</w:t>
            </w:r>
          </w:p>
        </w:tc>
        <w:tc>
          <w:tcPr>
            <w:tcW w:w="1967" w:type="dxa"/>
            <w:tcBorders>
              <w:top w:val="single" w:sz="4" w:space="0" w:color="auto"/>
              <w:left w:val="single" w:sz="4" w:space="0" w:color="auto"/>
              <w:bottom w:val="single" w:sz="4" w:space="0" w:color="auto"/>
              <w:right w:val="single" w:sz="4" w:space="0" w:color="auto"/>
            </w:tcBorders>
          </w:tcPr>
          <w:p w14:paraId="605DA4AD" w14:textId="77777777" w:rsidR="00F0088B" w:rsidRPr="00653DCF" w:rsidRDefault="00F0088B" w:rsidP="00E07A51">
            <w:pPr>
              <w:rPr>
                <w:color w:val="auto"/>
              </w:rPr>
            </w:pPr>
          </w:p>
        </w:tc>
        <w:tc>
          <w:tcPr>
            <w:tcW w:w="2015" w:type="dxa"/>
            <w:tcBorders>
              <w:top w:val="single" w:sz="4" w:space="0" w:color="auto"/>
              <w:left w:val="single" w:sz="4" w:space="0" w:color="auto"/>
              <w:bottom w:val="single" w:sz="4" w:space="0" w:color="auto"/>
              <w:right w:val="single" w:sz="4" w:space="0" w:color="auto"/>
            </w:tcBorders>
          </w:tcPr>
          <w:p w14:paraId="03837C42" w14:textId="77777777" w:rsidR="00F0088B" w:rsidRPr="00653DCF" w:rsidRDefault="00F0088B" w:rsidP="00E07A51">
            <w:pPr>
              <w:rPr>
                <w:color w:val="auto"/>
              </w:rPr>
            </w:pPr>
          </w:p>
        </w:tc>
      </w:tr>
      <w:tr w:rsidR="00F0088B" w:rsidRPr="00653DCF" w14:paraId="1B254008" w14:textId="77777777" w:rsidTr="00E07A51">
        <w:tc>
          <w:tcPr>
            <w:tcW w:w="4252" w:type="dxa"/>
            <w:tcBorders>
              <w:top w:val="single" w:sz="4" w:space="0" w:color="auto"/>
              <w:left w:val="single" w:sz="4" w:space="0" w:color="auto"/>
              <w:bottom w:val="single" w:sz="4" w:space="0" w:color="auto"/>
              <w:right w:val="single" w:sz="4" w:space="0" w:color="auto"/>
            </w:tcBorders>
          </w:tcPr>
          <w:p w14:paraId="26740015" w14:textId="77777777" w:rsidR="00F0088B" w:rsidRPr="00653DCF" w:rsidRDefault="00F0088B" w:rsidP="0024686A">
            <w:pPr>
              <w:numPr>
                <w:ilvl w:val="0"/>
                <w:numId w:val="149"/>
              </w:numPr>
              <w:spacing w:after="0"/>
              <w:ind w:left="252" w:hanging="252"/>
              <w:rPr>
                <w:color w:val="auto"/>
              </w:rPr>
            </w:pPr>
          </w:p>
        </w:tc>
        <w:tc>
          <w:tcPr>
            <w:tcW w:w="1967" w:type="dxa"/>
            <w:tcBorders>
              <w:top w:val="single" w:sz="4" w:space="0" w:color="auto"/>
              <w:left w:val="single" w:sz="4" w:space="0" w:color="auto"/>
              <w:bottom w:val="single" w:sz="4" w:space="0" w:color="auto"/>
              <w:right w:val="single" w:sz="4" w:space="0" w:color="auto"/>
            </w:tcBorders>
          </w:tcPr>
          <w:p w14:paraId="4B33DBE0" w14:textId="77777777" w:rsidR="00F0088B" w:rsidRPr="00653DCF" w:rsidRDefault="00F0088B" w:rsidP="00E07A51">
            <w:pPr>
              <w:rPr>
                <w:color w:val="auto"/>
              </w:rPr>
            </w:pPr>
          </w:p>
        </w:tc>
        <w:tc>
          <w:tcPr>
            <w:tcW w:w="2015" w:type="dxa"/>
            <w:tcBorders>
              <w:top w:val="single" w:sz="4" w:space="0" w:color="auto"/>
              <w:left w:val="single" w:sz="4" w:space="0" w:color="auto"/>
              <w:bottom w:val="single" w:sz="4" w:space="0" w:color="auto"/>
              <w:right w:val="single" w:sz="4" w:space="0" w:color="auto"/>
            </w:tcBorders>
          </w:tcPr>
          <w:p w14:paraId="1F870DB3" w14:textId="77777777" w:rsidR="00F0088B" w:rsidRPr="00653DCF" w:rsidRDefault="00F0088B" w:rsidP="00E07A51">
            <w:pPr>
              <w:rPr>
                <w:color w:val="auto"/>
              </w:rPr>
            </w:pPr>
          </w:p>
        </w:tc>
      </w:tr>
      <w:tr w:rsidR="00F0088B" w:rsidRPr="00653DCF" w14:paraId="3D4FF199" w14:textId="77777777" w:rsidTr="00E07A51">
        <w:tc>
          <w:tcPr>
            <w:tcW w:w="4252" w:type="dxa"/>
            <w:tcBorders>
              <w:top w:val="single" w:sz="4" w:space="0" w:color="auto"/>
              <w:left w:val="single" w:sz="4" w:space="0" w:color="auto"/>
              <w:bottom w:val="single" w:sz="4" w:space="0" w:color="auto"/>
              <w:right w:val="single" w:sz="4" w:space="0" w:color="auto"/>
            </w:tcBorders>
          </w:tcPr>
          <w:p w14:paraId="7F1628A0" w14:textId="77777777" w:rsidR="00F0088B" w:rsidRPr="00653DCF" w:rsidRDefault="00F0088B" w:rsidP="0024686A">
            <w:pPr>
              <w:numPr>
                <w:ilvl w:val="0"/>
                <w:numId w:val="149"/>
              </w:numPr>
              <w:spacing w:after="0"/>
              <w:ind w:left="252" w:hanging="252"/>
              <w:rPr>
                <w:color w:val="auto"/>
              </w:rPr>
            </w:pPr>
          </w:p>
        </w:tc>
        <w:tc>
          <w:tcPr>
            <w:tcW w:w="1967" w:type="dxa"/>
            <w:tcBorders>
              <w:top w:val="single" w:sz="4" w:space="0" w:color="auto"/>
              <w:left w:val="single" w:sz="4" w:space="0" w:color="auto"/>
              <w:bottom w:val="single" w:sz="4" w:space="0" w:color="auto"/>
              <w:right w:val="single" w:sz="4" w:space="0" w:color="auto"/>
            </w:tcBorders>
          </w:tcPr>
          <w:p w14:paraId="10218B66" w14:textId="77777777" w:rsidR="00F0088B" w:rsidRPr="00653DCF" w:rsidRDefault="00F0088B" w:rsidP="00E07A51">
            <w:pPr>
              <w:rPr>
                <w:color w:val="auto"/>
              </w:rPr>
            </w:pPr>
          </w:p>
        </w:tc>
        <w:tc>
          <w:tcPr>
            <w:tcW w:w="2015" w:type="dxa"/>
            <w:tcBorders>
              <w:top w:val="single" w:sz="4" w:space="0" w:color="auto"/>
              <w:left w:val="single" w:sz="4" w:space="0" w:color="auto"/>
              <w:bottom w:val="single" w:sz="4" w:space="0" w:color="auto"/>
              <w:right w:val="single" w:sz="4" w:space="0" w:color="auto"/>
            </w:tcBorders>
          </w:tcPr>
          <w:p w14:paraId="71ED7289" w14:textId="77777777" w:rsidR="00F0088B" w:rsidRPr="00653DCF" w:rsidRDefault="00F0088B" w:rsidP="00E07A51">
            <w:pPr>
              <w:rPr>
                <w:color w:val="auto"/>
              </w:rPr>
            </w:pPr>
          </w:p>
        </w:tc>
      </w:tr>
    </w:tbl>
    <w:p w14:paraId="3EF44FED" w14:textId="77777777" w:rsidR="00F0088B" w:rsidRPr="00653DCF" w:rsidRDefault="00F0088B" w:rsidP="0024686A">
      <w:pPr>
        <w:numPr>
          <w:ilvl w:val="1"/>
          <w:numId w:val="98"/>
        </w:numPr>
        <w:spacing w:before="120"/>
        <w:jc w:val="left"/>
        <w:rPr>
          <w:b/>
          <w:color w:val="auto"/>
        </w:rPr>
      </w:pPr>
      <w:r w:rsidRPr="00653DCF">
        <w:rPr>
          <w:b/>
          <w:color w:val="auto"/>
        </w:rPr>
        <w:t xml:space="preserve">Procurement </w:t>
      </w:r>
    </w:p>
    <w:p w14:paraId="3DAB0CAB" w14:textId="77777777" w:rsidR="00F0088B" w:rsidRPr="00653DCF" w:rsidRDefault="00F0088B" w:rsidP="00F0088B">
      <w:pPr>
        <w:ind w:left="709"/>
        <w:rPr>
          <w:color w:val="auto"/>
        </w:rPr>
      </w:pPr>
      <w:r w:rsidRPr="00653DCF">
        <w:rPr>
          <w:color w:val="auto"/>
        </w:rPr>
        <w:t>Number of contracts, their value and types of tender procedures, timetable.</w:t>
      </w:r>
    </w:p>
    <w:p w14:paraId="6611C03B" w14:textId="77777777" w:rsidR="00F0088B" w:rsidRPr="00653DCF" w:rsidRDefault="00F0088B" w:rsidP="0024686A">
      <w:pPr>
        <w:numPr>
          <w:ilvl w:val="1"/>
          <w:numId w:val="98"/>
        </w:numPr>
        <w:spacing w:before="120"/>
        <w:jc w:val="left"/>
        <w:rPr>
          <w:b/>
          <w:color w:val="auto"/>
        </w:rPr>
      </w:pPr>
      <w:r w:rsidRPr="00653DCF">
        <w:rPr>
          <w:b/>
          <w:color w:val="auto"/>
        </w:rPr>
        <w:t>Environmental impacts</w:t>
      </w:r>
    </w:p>
    <w:p w14:paraId="5208758B" w14:textId="77777777" w:rsidR="00F0088B" w:rsidRPr="00653DCF" w:rsidRDefault="00F0088B" w:rsidP="005E159E">
      <w:pPr>
        <w:numPr>
          <w:ilvl w:val="0"/>
          <w:numId w:val="145"/>
        </w:numPr>
        <w:tabs>
          <w:tab w:val="left" w:pos="1080"/>
        </w:tabs>
        <w:ind w:left="1077" w:right="143" w:hanging="357"/>
        <w:rPr>
          <w:color w:val="auto"/>
        </w:rPr>
      </w:pPr>
      <w:r w:rsidRPr="00653DCF">
        <w:rPr>
          <w:color w:val="auto"/>
        </w:rPr>
        <w:t>Please explain briefly the effects of the Project on the environment.</w:t>
      </w:r>
    </w:p>
    <w:p w14:paraId="299234BB" w14:textId="77777777" w:rsidR="00F0088B" w:rsidRPr="00653DCF" w:rsidRDefault="00F0088B" w:rsidP="005E159E">
      <w:pPr>
        <w:numPr>
          <w:ilvl w:val="0"/>
          <w:numId w:val="145"/>
        </w:numPr>
        <w:tabs>
          <w:tab w:val="left" w:pos="1080"/>
        </w:tabs>
        <w:ind w:left="1077" w:right="143" w:hanging="357"/>
        <w:rPr>
          <w:color w:val="auto"/>
        </w:rPr>
      </w:pPr>
      <w:r w:rsidRPr="00653DCF">
        <w:rPr>
          <w:color w:val="auto"/>
        </w:rPr>
        <w:t>Does the Project have any particular environmental risks or benefits?</w:t>
      </w:r>
    </w:p>
    <w:p w14:paraId="68FDBE9A" w14:textId="77777777" w:rsidR="00F0088B" w:rsidRPr="00653DCF" w:rsidRDefault="00F0088B" w:rsidP="005E159E">
      <w:pPr>
        <w:numPr>
          <w:ilvl w:val="0"/>
          <w:numId w:val="145"/>
        </w:numPr>
        <w:tabs>
          <w:tab w:val="left" w:pos="1080"/>
        </w:tabs>
        <w:spacing w:after="0"/>
        <w:ind w:left="1080" w:right="143"/>
        <w:rPr>
          <w:color w:val="auto"/>
        </w:rPr>
      </w:pPr>
      <w:r w:rsidRPr="00653DCF">
        <w:rPr>
          <w:color w:val="auto"/>
        </w:rPr>
        <w:t xml:space="preserve">Compliance with environmental requirements (local, national, EU) and a summary description of mitigating measures adopted, if any; indicate if an EIA is required and if the Project is located within/impacts a Natura 2000 sites or any other nature conservation </w:t>
      </w:r>
      <w:r w:rsidRPr="00653DCF">
        <w:rPr>
          <w:color w:val="auto"/>
        </w:rPr>
        <w:br/>
        <w:t xml:space="preserve">site- in the affirmative cases, please provide information on the relevant assessment and administrative decisions for such projects, the Bank services may require further information. Please enclose the Non-Technical Summary of the EIA, and </w:t>
      </w:r>
      <w:r w:rsidRPr="00653DCF">
        <w:rPr>
          <w:rFonts w:cs="Arial"/>
          <w:color w:val="auto"/>
        </w:rPr>
        <w:t xml:space="preserve">Form A or </w:t>
      </w:r>
      <w:r w:rsidRPr="00653DCF">
        <w:rPr>
          <w:rFonts w:cs="Arial"/>
          <w:color w:val="auto"/>
        </w:rPr>
        <w:br/>
        <w:t>Form B signed by the environmental competent authority (if appropriate).</w:t>
      </w:r>
    </w:p>
    <w:p w14:paraId="6985FD86" w14:textId="77777777" w:rsidR="00F0088B" w:rsidRPr="00653DCF" w:rsidRDefault="00F0088B" w:rsidP="0024686A">
      <w:pPr>
        <w:numPr>
          <w:ilvl w:val="1"/>
          <w:numId w:val="98"/>
        </w:numPr>
        <w:spacing w:before="120"/>
        <w:jc w:val="left"/>
        <w:rPr>
          <w:b/>
          <w:color w:val="auto"/>
        </w:rPr>
      </w:pPr>
      <w:r w:rsidRPr="00653DCF">
        <w:rPr>
          <w:b/>
          <w:color w:val="auto"/>
        </w:rPr>
        <w:t>Operation and maintenance of the facilities:</w:t>
      </w:r>
    </w:p>
    <w:p w14:paraId="545BE6E1" w14:textId="77777777" w:rsidR="00F0088B" w:rsidRPr="00653DCF" w:rsidRDefault="00F0088B" w:rsidP="0024686A">
      <w:pPr>
        <w:numPr>
          <w:ilvl w:val="0"/>
          <w:numId w:val="146"/>
        </w:numPr>
        <w:spacing w:after="0"/>
        <w:ind w:left="1080"/>
        <w:rPr>
          <w:color w:val="auto"/>
        </w:rPr>
      </w:pPr>
      <w:r w:rsidRPr="00653DCF">
        <w:rPr>
          <w:color w:val="auto"/>
        </w:rPr>
        <w:t xml:space="preserve">Organisation in charge of the operation and maintenance of the Scheme: </w:t>
      </w:r>
    </w:p>
    <w:p w14:paraId="64B52079" w14:textId="77777777" w:rsidR="00F0088B" w:rsidRPr="00653DCF" w:rsidRDefault="00F0088B" w:rsidP="0024686A">
      <w:pPr>
        <w:numPr>
          <w:ilvl w:val="0"/>
          <w:numId w:val="146"/>
        </w:numPr>
        <w:spacing w:after="0"/>
        <w:ind w:left="1080"/>
        <w:rPr>
          <w:color w:val="auto"/>
        </w:rPr>
      </w:pPr>
      <w:r w:rsidRPr="00653DCF">
        <w:rPr>
          <w:color w:val="auto"/>
        </w:rPr>
        <w:t>Operating and maintenance costs and available budget for operation and maintenance:</w:t>
      </w:r>
    </w:p>
    <w:p w14:paraId="13ABC0E3" w14:textId="77777777" w:rsidR="00F0088B" w:rsidRPr="00653DCF" w:rsidRDefault="00F0088B" w:rsidP="0024686A">
      <w:pPr>
        <w:numPr>
          <w:ilvl w:val="1"/>
          <w:numId w:val="98"/>
        </w:numPr>
        <w:spacing w:before="120"/>
        <w:jc w:val="left"/>
        <w:rPr>
          <w:b/>
          <w:color w:val="auto"/>
        </w:rPr>
      </w:pPr>
      <w:r w:rsidRPr="00653DCF">
        <w:rPr>
          <w:b/>
          <w:color w:val="auto"/>
        </w:rPr>
        <w:t>Economic and financial aspects</w:t>
      </w:r>
    </w:p>
    <w:p w14:paraId="3F1392C4" w14:textId="77777777" w:rsidR="00F0088B" w:rsidRPr="00653DCF" w:rsidRDefault="00F0088B" w:rsidP="0024686A">
      <w:pPr>
        <w:numPr>
          <w:ilvl w:val="0"/>
          <w:numId w:val="147"/>
        </w:numPr>
        <w:ind w:left="1077" w:hanging="357"/>
        <w:rPr>
          <w:color w:val="auto"/>
        </w:rPr>
      </w:pPr>
      <w:r w:rsidRPr="00653DCF">
        <w:rPr>
          <w:color w:val="auto"/>
        </w:rPr>
        <w:t>Population served by the Scheme, or other pertinent demand analysis. In the case of road scheme actual and forecast traffic flows have to be included.</w:t>
      </w:r>
    </w:p>
    <w:p w14:paraId="6CF23BEC" w14:textId="77777777" w:rsidR="00F0088B" w:rsidRPr="00653DCF" w:rsidRDefault="00F0088B" w:rsidP="0024686A">
      <w:pPr>
        <w:numPr>
          <w:ilvl w:val="0"/>
          <w:numId w:val="147"/>
        </w:numPr>
        <w:ind w:left="1077" w:hanging="357"/>
        <w:rPr>
          <w:color w:val="auto"/>
        </w:rPr>
      </w:pPr>
      <w:r w:rsidRPr="00653DCF">
        <w:rPr>
          <w:color w:val="auto"/>
        </w:rPr>
        <w:t>If applicable, a summary of cost-benefit or economic feasibility analysis.</w:t>
      </w:r>
    </w:p>
    <w:p w14:paraId="23F1BAF5" w14:textId="77777777" w:rsidR="00F0088B" w:rsidRPr="00653DCF" w:rsidRDefault="00F0088B" w:rsidP="005E159E">
      <w:pPr>
        <w:numPr>
          <w:ilvl w:val="0"/>
          <w:numId w:val="147"/>
        </w:numPr>
        <w:spacing w:after="0"/>
        <w:ind w:left="1080" w:right="143"/>
        <w:rPr>
          <w:color w:val="auto"/>
        </w:rPr>
      </w:pPr>
      <w:r w:rsidRPr="00653DCF">
        <w:rPr>
          <w:color w:val="auto"/>
        </w:rPr>
        <w:t>If applicable, cost recovery mechanism (Will users be required to contribute to the cost of the Scheme? Tariff policy?).</w:t>
      </w:r>
    </w:p>
    <w:p w14:paraId="0B9E03FA" w14:textId="77777777" w:rsidR="00F0088B" w:rsidRPr="00653DCF" w:rsidRDefault="00F0088B" w:rsidP="0024686A">
      <w:pPr>
        <w:numPr>
          <w:ilvl w:val="0"/>
          <w:numId w:val="97"/>
        </w:numPr>
        <w:spacing w:before="120"/>
        <w:rPr>
          <w:b/>
          <w:color w:val="auto"/>
          <w:u w:val="single"/>
        </w:rPr>
      </w:pPr>
      <w:r w:rsidRPr="00653DCF">
        <w:rPr>
          <w:b/>
          <w:color w:val="auto"/>
          <w:u w:val="single"/>
        </w:rPr>
        <w:t>Overall conclusions and recommendations</w:t>
      </w:r>
    </w:p>
    <w:p w14:paraId="480B3F6C" w14:textId="77777777" w:rsidR="00F0088B" w:rsidRPr="00653DCF" w:rsidRDefault="00F0088B" w:rsidP="00F0088B">
      <w:pPr>
        <w:pBdr>
          <w:top w:val="single" w:sz="4" w:space="1" w:color="auto"/>
          <w:left w:val="single" w:sz="4" w:space="4" w:color="auto"/>
          <w:bottom w:val="single" w:sz="4" w:space="1" w:color="auto"/>
          <w:right w:val="single" w:sz="4" w:space="4" w:color="auto"/>
        </w:pBdr>
        <w:ind w:left="142"/>
        <w:rPr>
          <w:color w:val="auto"/>
        </w:rPr>
      </w:pPr>
    </w:p>
    <w:p w14:paraId="728CF583" w14:textId="77777777" w:rsidR="00F0088B" w:rsidRPr="00653DCF" w:rsidRDefault="00F0088B" w:rsidP="00F0088B">
      <w:pPr>
        <w:pBdr>
          <w:top w:val="single" w:sz="4" w:space="1" w:color="auto"/>
          <w:left w:val="single" w:sz="4" w:space="4" w:color="auto"/>
          <w:bottom w:val="single" w:sz="4" w:space="1" w:color="auto"/>
          <w:right w:val="single" w:sz="4" w:space="4" w:color="auto"/>
        </w:pBdr>
        <w:ind w:left="142"/>
        <w:rPr>
          <w:color w:val="auto"/>
        </w:rPr>
      </w:pPr>
    </w:p>
    <w:p w14:paraId="24B39648" w14:textId="77777777" w:rsidR="00F0088B" w:rsidRPr="00653DCF" w:rsidRDefault="00F0088B" w:rsidP="00F0088B">
      <w:pPr>
        <w:pBdr>
          <w:top w:val="single" w:sz="4" w:space="1" w:color="auto"/>
          <w:left w:val="single" w:sz="4" w:space="4" w:color="auto"/>
          <w:bottom w:val="single" w:sz="4" w:space="1" w:color="auto"/>
          <w:right w:val="single" w:sz="4" w:space="4" w:color="auto"/>
        </w:pBdr>
        <w:ind w:left="142"/>
        <w:rPr>
          <w:color w:val="auto"/>
        </w:rPr>
      </w:pPr>
    </w:p>
    <w:p w14:paraId="18990D05" w14:textId="77777777" w:rsidR="00F0088B" w:rsidRPr="00653DCF" w:rsidRDefault="00F0088B" w:rsidP="00F0088B">
      <w:pPr>
        <w:ind w:hanging="856"/>
        <w:rPr>
          <w:rFonts w:cs="Arial"/>
          <w:b/>
          <w:color w:val="auto"/>
          <w:lang w:val="fr-FR"/>
        </w:rPr>
      </w:pPr>
      <w:r w:rsidRPr="00653DCF">
        <w:rPr>
          <w:color w:val="auto"/>
          <w:lang w:val="fr-FR"/>
        </w:rPr>
        <w:t>Place:</w:t>
      </w:r>
      <w:r w:rsidRPr="00653DCF">
        <w:rPr>
          <w:color w:val="auto"/>
          <w:lang w:val="fr-FR"/>
        </w:rPr>
        <w:tab/>
      </w:r>
      <w:r w:rsidRPr="00653DCF">
        <w:rPr>
          <w:color w:val="auto"/>
          <w:lang w:val="fr-FR"/>
        </w:rPr>
        <w:tab/>
      </w:r>
      <w:r w:rsidRPr="00653DCF">
        <w:rPr>
          <w:color w:val="auto"/>
          <w:lang w:val="fr-FR"/>
        </w:rPr>
        <w:tab/>
        <w:t xml:space="preserve">Date: </w:t>
      </w:r>
      <w:r w:rsidRPr="00653DCF">
        <w:rPr>
          <w:color w:val="auto"/>
          <w:lang w:val="fr-FR"/>
        </w:rPr>
        <w:tab/>
      </w:r>
      <w:r w:rsidRPr="00653DCF">
        <w:rPr>
          <w:color w:val="auto"/>
          <w:lang w:val="fr-FR"/>
        </w:rPr>
        <w:tab/>
      </w:r>
      <w:r w:rsidRPr="00653DCF">
        <w:rPr>
          <w:color w:val="auto"/>
          <w:lang w:val="fr-FR"/>
        </w:rPr>
        <w:tab/>
        <w:t>Promoter:</w:t>
      </w:r>
      <w:r w:rsidRPr="00653DCF">
        <w:rPr>
          <w:color w:val="auto"/>
          <w:lang w:val="fr-FR"/>
        </w:rPr>
        <w:tab/>
      </w:r>
      <w:r w:rsidRPr="00653DCF">
        <w:rPr>
          <w:color w:val="auto"/>
          <w:lang w:val="fr-FR"/>
        </w:rPr>
        <w:tab/>
      </w:r>
      <w:r w:rsidRPr="00653DCF">
        <w:rPr>
          <w:color w:val="auto"/>
          <w:lang w:val="fr-FR"/>
        </w:rPr>
        <w:tab/>
        <w:t>Responsible person:</w:t>
      </w:r>
    </w:p>
    <w:p w14:paraId="42952985" w14:textId="77777777" w:rsidR="00F0088B" w:rsidRPr="00653DCF" w:rsidRDefault="00F0088B" w:rsidP="00F0088B">
      <w:pPr>
        <w:spacing w:after="200" w:line="276" w:lineRule="auto"/>
        <w:ind w:left="0"/>
        <w:jc w:val="left"/>
        <w:rPr>
          <w:rFonts w:cs="Arial"/>
          <w:i/>
          <w:color w:val="auto"/>
          <w:lang w:val="fr-FR"/>
        </w:rPr>
      </w:pPr>
      <w:r w:rsidRPr="00653DCF">
        <w:rPr>
          <w:rFonts w:cs="Arial"/>
          <w:i/>
          <w:color w:val="auto"/>
          <w:lang w:val="fr-FR"/>
        </w:rPr>
        <w:br w:type="page"/>
      </w:r>
    </w:p>
    <w:p w14:paraId="6F66AFB3" w14:textId="77777777" w:rsidR="00F0088B" w:rsidRPr="00653DCF" w:rsidRDefault="00F0088B" w:rsidP="0024686A">
      <w:pPr>
        <w:pStyle w:val="SubSchedule4EIB"/>
        <w:numPr>
          <w:ilvl w:val="4"/>
          <w:numId w:val="173"/>
        </w:numPr>
        <w:ind w:left="993" w:hanging="993"/>
        <w:rPr>
          <w:bCs/>
          <w:color w:val="auto"/>
          <w:lang w:val="fr-FR"/>
        </w:rPr>
      </w:pPr>
      <w:r w:rsidRPr="00653DCF">
        <w:rPr>
          <w:bCs/>
          <w:color w:val="auto"/>
          <w:lang w:val="fr-FR"/>
        </w:rPr>
        <w:t>Indicative project list</w:t>
      </w:r>
    </w:p>
    <w:p w14:paraId="516F64CE" w14:textId="77777777" w:rsidR="00F0088B" w:rsidRPr="00653DCF" w:rsidRDefault="00F0088B" w:rsidP="00F0088B">
      <w:pPr>
        <w:ind w:left="0"/>
        <w:rPr>
          <w:color w:val="auto"/>
          <w:lang w:val="fr-FR"/>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78"/>
        <w:gridCol w:w="2127"/>
        <w:gridCol w:w="2796"/>
      </w:tblGrid>
      <w:tr w:rsidR="00F0088B" w:rsidRPr="00653DCF" w14:paraId="2813F668" w14:textId="77777777" w:rsidTr="00E07A51">
        <w:trPr>
          <w:trHeight w:val="300"/>
          <w:tblHeader/>
        </w:trPr>
        <w:tc>
          <w:tcPr>
            <w:tcW w:w="1039" w:type="dxa"/>
            <w:shd w:val="clear" w:color="auto" w:fill="auto"/>
            <w:noWrap/>
            <w:vAlign w:val="bottom"/>
            <w:hideMark/>
          </w:tcPr>
          <w:p w14:paraId="397B199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Promoter</w:t>
            </w:r>
          </w:p>
        </w:tc>
        <w:tc>
          <w:tcPr>
            <w:tcW w:w="3678" w:type="dxa"/>
            <w:shd w:val="clear" w:color="auto" w:fill="auto"/>
            <w:noWrap/>
            <w:vAlign w:val="bottom"/>
            <w:hideMark/>
          </w:tcPr>
          <w:p w14:paraId="4290844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Enforcement measure</w:t>
            </w:r>
          </w:p>
        </w:tc>
        <w:tc>
          <w:tcPr>
            <w:tcW w:w="2127" w:type="dxa"/>
            <w:shd w:val="clear" w:color="auto" w:fill="auto"/>
            <w:noWrap/>
            <w:vAlign w:val="bottom"/>
            <w:hideMark/>
          </w:tcPr>
          <w:p w14:paraId="3D2F5EE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Line type</w:t>
            </w:r>
          </w:p>
        </w:tc>
        <w:tc>
          <w:tcPr>
            <w:tcW w:w="2796" w:type="dxa"/>
            <w:shd w:val="clear" w:color="auto" w:fill="auto"/>
            <w:vAlign w:val="bottom"/>
            <w:hideMark/>
          </w:tcPr>
          <w:p w14:paraId="5D5885D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Project name</w:t>
            </w:r>
          </w:p>
        </w:tc>
      </w:tr>
      <w:tr w:rsidR="00F0088B" w:rsidRPr="00653DCF" w14:paraId="78969EEA" w14:textId="77777777" w:rsidTr="00E07A51">
        <w:trPr>
          <w:trHeight w:val="300"/>
          <w:tblHeader/>
        </w:trPr>
        <w:tc>
          <w:tcPr>
            <w:tcW w:w="1039" w:type="dxa"/>
            <w:shd w:val="clear" w:color="auto" w:fill="auto"/>
            <w:noWrap/>
            <w:vAlign w:val="bottom"/>
            <w:hideMark/>
          </w:tcPr>
          <w:p w14:paraId="20E0B11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66F5EFB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03F9C96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20AF1A7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Remediation of tracks and switches in Zagreb GK and Sesvete stations</w:t>
            </w:r>
          </w:p>
        </w:tc>
      </w:tr>
      <w:tr w:rsidR="00F0088B" w:rsidRPr="00653DCF" w14:paraId="4F3B2275" w14:textId="77777777" w:rsidTr="00E07A51">
        <w:trPr>
          <w:trHeight w:val="300"/>
          <w:tblHeader/>
        </w:trPr>
        <w:tc>
          <w:tcPr>
            <w:tcW w:w="1039" w:type="dxa"/>
            <w:shd w:val="clear" w:color="auto" w:fill="auto"/>
            <w:noWrap/>
            <w:vAlign w:val="bottom"/>
            <w:hideMark/>
          </w:tcPr>
          <w:p w14:paraId="455B81D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629151F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7C03A09D"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3235A65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Rehabilitation of railway line on section Sibinj-Okučani, track and switch repair in stations</w:t>
            </w:r>
          </w:p>
        </w:tc>
      </w:tr>
      <w:tr w:rsidR="00F0088B" w:rsidRPr="00653DCF" w14:paraId="2D102E42" w14:textId="77777777" w:rsidTr="00E07A51">
        <w:trPr>
          <w:trHeight w:val="300"/>
          <w:tblHeader/>
        </w:trPr>
        <w:tc>
          <w:tcPr>
            <w:tcW w:w="1039" w:type="dxa"/>
            <w:shd w:val="clear" w:color="auto" w:fill="auto"/>
            <w:noWrap/>
            <w:vAlign w:val="bottom"/>
            <w:hideMark/>
          </w:tcPr>
          <w:p w14:paraId="2AA5CDF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35DACF4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264D9A4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0A2448F9"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Rehabilitation of the railway M402 Sava Rasputnica – Zagreb Ranžirni</w:t>
            </w:r>
            <w:r w:rsidRPr="00653DCF">
              <w:rPr>
                <w:rFonts w:eastAsia="Times New Roman" w:cs="Arial"/>
                <w:color w:val="auto"/>
              </w:rPr>
              <w:br/>
              <w:t>station – Zagreb Klara LK and DK</w:t>
            </w:r>
          </w:p>
        </w:tc>
      </w:tr>
      <w:tr w:rsidR="00F0088B" w:rsidRPr="00653DCF" w14:paraId="456F1F3D" w14:textId="77777777" w:rsidTr="00E07A51">
        <w:trPr>
          <w:trHeight w:val="300"/>
          <w:tblHeader/>
        </w:trPr>
        <w:tc>
          <w:tcPr>
            <w:tcW w:w="1039" w:type="dxa"/>
            <w:shd w:val="clear" w:color="auto" w:fill="auto"/>
            <w:noWrap/>
            <w:vAlign w:val="bottom"/>
            <w:hideMark/>
          </w:tcPr>
          <w:p w14:paraId="60CB5D7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74CE512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2A0B858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Mechanisation</w:t>
            </w:r>
          </w:p>
        </w:tc>
        <w:tc>
          <w:tcPr>
            <w:tcW w:w="2796" w:type="dxa"/>
            <w:shd w:val="clear" w:color="auto" w:fill="auto"/>
            <w:vAlign w:val="bottom"/>
            <w:hideMark/>
          </w:tcPr>
          <w:p w14:paraId="170F6A5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Acquisition of new modern strategic and small track-side machinery</w:t>
            </w:r>
          </w:p>
        </w:tc>
      </w:tr>
      <w:tr w:rsidR="00F0088B" w:rsidRPr="00653DCF" w14:paraId="5B2DB435" w14:textId="77777777" w:rsidTr="00E07A51">
        <w:trPr>
          <w:trHeight w:val="300"/>
          <w:tblHeader/>
        </w:trPr>
        <w:tc>
          <w:tcPr>
            <w:tcW w:w="1039" w:type="dxa"/>
            <w:shd w:val="clear" w:color="auto" w:fill="auto"/>
            <w:noWrap/>
            <w:vAlign w:val="bottom"/>
            <w:hideMark/>
          </w:tcPr>
          <w:p w14:paraId="530E314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6284C9D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1B3FB8D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Complete railway network</w:t>
            </w:r>
          </w:p>
        </w:tc>
        <w:tc>
          <w:tcPr>
            <w:tcW w:w="2796" w:type="dxa"/>
            <w:shd w:val="clear" w:color="auto" w:fill="auto"/>
            <w:vAlign w:val="bottom"/>
            <w:hideMark/>
          </w:tcPr>
          <w:p w14:paraId="76A2B60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Rehabilitation of local railway lines back to defined line speed - Procurement of spare parts and equipment for maintenance purposes</w:t>
            </w:r>
          </w:p>
        </w:tc>
      </w:tr>
      <w:tr w:rsidR="00F0088B" w:rsidRPr="00653DCF" w14:paraId="59FF2D5B" w14:textId="77777777" w:rsidTr="00E07A51">
        <w:trPr>
          <w:trHeight w:val="300"/>
          <w:tblHeader/>
        </w:trPr>
        <w:tc>
          <w:tcPr>
            <w:tcW w:w="1039" w:type="dxa"/>
            <w:shd w:val="clear" w:color="auto" w:fill="auto"/>
            <w:noWrap/>
            <w:vAlign w:val="bottom"/>
            <w:hideMark/>
          </w:tcPr>
          <w:p w14:paraId="03673FBB"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2B04A0A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6B951271"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Complete railway network</w:t>
            </w:r>
          </w:p>
        </w:tc>
        <w:tc>
          <w:tcPr>
            <w:tcW w:w="2796" w:type="dxa"/>
            <w:shd w:val="clear" w:color="auto" w:fill="auto"/>
            <w:vAlign w:val="bottom"/>
            <w:hideMark/>
          </w:tcPr>
          <w:p w14:paraId="50F1741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Rehabilitation of local railway lines back to defined line speed - Procurement of strategic material for the purpose of speed raising on railway lines</w:t>
            </w:r>
          </w:p>
        </w:tc>
      </w:tr>
      <w:tr w:rsidR="00F0088B" w:rsidRPr="00653DCF" w14:paraId="74E66AD2" w14:textId="77777777" w:rsidTr="00E07A51">
        <w:trPr>
          <w:trHeight w:val="300"/>
          <w:tblHeader/>
        </w:trPr>
        <w:tc>
          <w:tcPr>
            <w:tcW w:w="1039" w:type="dxa"/>
            <w:shd w:val="clear" w:color="auto" w:fill="auto"/>
            <w:noWrap/>
            <w:vAlign w:val="bottom"/>
            <w:hideMark/>
          </w:tcPr>
          <w:p w14:paraId="2D7BF33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072D97A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7B2007B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16D4986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Ensurance of Zagreb GK-Dugo Selo with an SS device</w:t>
            </w:r>
          </w:p>
        </w:tc>
      </w:tr>
      <w:tr w:rsidR="00F0088B" w:rsidRPr="00653DCF" w14:paraId="51AC872D" w14:textId="77777777" w:rsidTr="00E07A51">
        <w:trPr>
          <w:trHeight w:val="300"/>
          <w:tblHeader/>
        </w:trPr>
        <w:tc>
          <w:tcPr>
            <w:tcW w:w="1039" w:type="dxa"/>
            <w:shd w:val="clear" w:color="auto" w:fill="auto"/>
            <w:noWrap/>
            <w:vAlign w:val="bottom"/>
            <w:hideMark/>
          </w:tcPr>
          <w:p w14:paraId="469CF339"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0E2BB22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3D5DE02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556D002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section Sibinj – Slavonski Brod, dk and Ik (2x7.3km), on the Novska-Tovarnik-DG (state border) line</w:t>
            </w:r>
          </w:p>
        </w:tc>
      </w:tr>
      <w:tr w:rsidR="00F0088B" w:rsidRPr="00653DCF" w14:paraId="27DAC5AF" w14:textId="77777777" w:rsidTr="00E07A51">
        <w:trPr>
          <w:trHeight w:val="300"/>
          <w:tblHeader/>
        </w:trPr>
        <w:tc>
          <w:tcPr>
            <w:tcW w:w="1039" w:type="dxa"/>
            <w:shd w:val="clear" w:color="auto" w:fill="auto"/>
            <w:noWrap/>
            <w:vAlign w:val="bottom"/>
            <w:hideMark/>
          </w:tcPr>
          <w:p w14:paraId="62CAB87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1613956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0856968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7CD8E51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the section Strizivojna Vrpolje – Ivankovo (21.3 km), on the Novska-Tovarnik-DG (state border) line</w:t>
            </w:r>
          </w:p>
        </w:tc>
      </w:tr>
      <w:tr w:rsidR="00F0088B" w:rsidRPr="00653DCF" w14:paraId="217C3180" w14:textId="77777777" w:rsidTr="00E07A51">
        <w:trPr>
          <w:trHeight w:val="300"/>
          <w:tblHeader/>
        </w:trPr>
        <w:tc>
          <w:tcPr>
            <w:tcW w:w="1039" w:type="dxa"/>
            <w:shd w:val="clear" w:color="auto" w:fill="auto"/>
            <w:noWrap/>
            <w:vAlign w:val="bottom"/>
            <w:hideMark/>
          </w:tcPr>
          <w:p w14:paraId="0EDE81F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092C03A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7895A06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1F37246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the section Andrijevci-Garčin Ik (7.8 km) and Strizivojna Vrpolje-Andrijevci dk (8.9 km), on the line Novska-Vinkovci-Tovarnik-DG (state border)</w:t>
            </w:r>
          </w:p>
        </w:tc>
      </w:tr>
      <w:tr w:rsidR="00F0088B" w:rsidRPr="00653DCF" w14:paraId="2D8E21BF" w14:textId="77777777" w:rsidTr="00E07A51">
        <w:trPr>
          <w:trHeight w:val="300"/>
          <w:tblHeader/>
        </w:trPr>
        <w:tc>
          <w:tcPr>
            <w:tcW w:w="1039" w:type="dxa"/>
            <w:shd w:val="clear" w:color="auto" w:fill="auto"/>
            <w:noWrap/>
            <w:vAlign w:val="bottom"/>
            <w:hideMark/>
          </w:tcPr>
          <w:p w14:paraId="3483CA2D"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3EEFEF8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15C5A77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5AB6B01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Adjustment of SS devices on section Vinkovci-Tovarnik</w:t>
            </w:r>
          </w:p>
        </w:tc>
      </w:tr>
      <w:tr w:rsidR="00F0088B" w:rsidRPr="00653DCF" w14:paraId="453B0531" w14:textId="77777777" w:rsidTr="00E07A51">
        <w:trPr>
          <w:trHeight w:val="300"/>
          <w:tblHeader/>
        </w:trPr>
        <w:tc>
          <w:tcPr>
            <w:tcW w:w="1039" w:type="dxa"/>
            <w:shd w:val="clear" w:color="auto" w:fill="auto"/>
            <w:noWrap/>
            <w:vAlign w:val="bottom"/>
            <w:hideMark/>
          </w:tcPr>
          <w:p w14:paraId="40B1697D"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7128B6B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41F6E10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3722985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Reconstruction of the existing track and construction of the second railway line on the section Dugo Selo – Križevci</w:t>
            </w:r>
          </w:p>
        </w:tc>
      </w:tr>
      <w:tr w:rsidR="00F0088B" w:rsidRPr="00653DCF" w14:paraId="78147654" w14:textId="77777777" w:rsidTr="00E07A51">
        <w:trPr>
          <w:trHeight w:val="300"/>
          <w:tblHeader/>
        </w:trPr>
        <w:tc>
          <w:tcPr>
            <w:tcW w:w="1039" w:type="dxa"/>
            <w:shd w:val="clear" w:color="auto" w:fill="auto"/>
            <w:noWrap/>
            <w:vAlign w:val="bottom"/>
            <w:hideMark/>
          </w:tcPr>
          <w:p w14:paraId="0442FC8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18DD69DB"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0132C89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1446B82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Reconstruction of the existing track and construction of the second railway line on the Križevci – Koprivnica section – state border</w:t>
            </w:r>
          </w:p>
        </w:tc>
      </w:tr>
      <w:tr w:rsidR="00F0088B" w:rsidRPr="00653DCF" w14:paraId="6723CB03" w14:textId="77777777" w:rsidTr="00E07A51">
        <w:trPr>
          <w:trHeight w:val="300"/>
          <w:tblHeader/>
        </w:trPr>
        <w:tc>
          <w:tcPr>
            <w:tcW w:w="1039" w:type="dxa"/>
            <w:shd w:val="clear" w:color="auto" w:fill="auto"/>
            <w:noWrap/>
            <w:vAlign w:val="bottom"/>
            <w:hideMark/>
          </w:tcPr>
          <w:p w14:paraId="440C740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2CCB39C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0B748B5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11117E3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section Ogulin – (Moravice) (29.4 km), on the Zagreb Gk – Rijeka railway</w:t>
            </w:r>
          </w:p>
        </w:tc>
      </w:tr>
      <w:tr w:rsidR="00F0088B" w:rsidRPr="00653DCF" w14:paraId="4AEEEEE7" w14:textId="77777777" w:rsidTr="00E07A51">
        <w:trPr>
          <w:trHeight w:val="300"/>
          <w:tblHeader/>
        </w:trPr>
        <w:tc>
          <w:tcPr>
            <w:tcW w:w="1039" w:type="dxa"/>
            <w:shd w:val="clear" w:color="auto" w:fill="auto"/>
            <w:noWrap/>
            <w:vAlign w:val="bottom"/>
            <w:hideMark/>
          </w:tcPr>
          <w:p w14:paraId="6330136B"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4665EE3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4F6FFDC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1668BB8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the section Generalski Stol-(Oštarije) (21.4 km), on the Zagreb Gk – Rijeka railway</w:t>
            </w:r>
          </w:p>
        </w:tc>
      </w:tr>
      <w:tr w:rsidR="00F0088B" w:rsidRPr="00653DCF" w14:paraId="193F576E" w14:textId="77777777" w:rsidTr="00E07A51">
        <w:trPr>
          <w:trHeight w:val="300"/>
          <w:tblHeader/>
        </w:trPr>
        <w:tc>
          <w:tcPr>
            <w:tcW w:w="1039" w:type="dxa"/>
            <w:shd w:val="clear" w:color="auto" w:fill="auto"/>
            <w:noWrap/>
            <w:vAlign w:val="bottom"/>
            <w:hideMark/>
          </w:tcPr>
          <w:p w14:paraId="4B4FEAF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53F6A1E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37AF263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555AD8E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Ensurance of Slavonski Šamac station and railways Strizivojna Vrpolje-Slavonski Šamac railway with SS equipment</w:t>
            </w:r>
          </w:p>
        </w:tc>
      </w:tr>
      <w:tr w:rsidR="00F0088B" w:rsidRPr="00653DCF" w14:paraId="75620ECF" w14:textId="77777777" w:rsidTr="00E07A51">
        <w:trPr>
          <w:trHeight w:val="300"/>
          <w:tblHeader/>
        </w:trPr>
        <w:tc>
          <w:tcPr>
            <w:tcW w:w="1039" w:type="dxa"/>
            <w:shd w:val="clear" w:color="auto" w:fill="auto"/>
            <w:noWrap/>
            <w:vAlign w:val="bottom"/>
            <w:hideMark/>
          </w:tcPr>
          <w:p w14:paraId="2E09DE1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4B991A7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4B998E2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5CEFC4E9"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Modernisation and renewal of Oštarije – Knin railway SS devices</w:t>
            </w:r>
          </w:p>
        </w:tc>
      </w:tr>
      <w:tr w:rsidR="00F0088B" w:rsidRPr="00653DCF" w14:paraId="22DC08ED" w14:textId="77777777" w:rsidTr="00E07A51">
        <w:trPr>
          <w:trHeight w:val="300"/>
          <w:tblHeader/>
        </w:trPr>
        <w:tc>
          <w:tcPr>
            <w:tcW w:w="1039" w:type="dxa"/>
            <w:shd w:val="clear" w:color="auto" w:fill="auto"/>
            <w:noWrap/>
            <w:vAlign w:val="bottom"/>
            <w:hideMark/>
          </w:tcPr>
          <w:p w14:paraId="4DDF182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02AF75A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2041527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Regional lines</w:t>
            </w:r>
          </w:p>
        </w:tc>
        <w:tc>
          <w:tcPr>
            <w:tcW w:w="2796" w:type="dxa"/>
            <w:shd w:val="clear" w:color="auto" w:fill="auto"/>
            <w:vAlign w:val="bottom"/>
            <w:hideMark/>
          </w:tcPr>
          <w:p w14:paraId="0504C3E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section Kloštar-Koprivnica-Varaždin (74.7 km) on line R202 Varaždin – Dalj and sections Varaždin – Čakovec (11.8 km) on line R201 Zaprešić-Čakovec</w:t>
            </w:r>
          </w:p>
        </w:tc>
      </w:tr>
      <w:tr w:rsidR="00F0088B" w:rsidRPr="00653DCF" w14:paraId="11010B91" w14:textId="77777777" w:rsidTr="00E07A51">
        <w:trPr>
          <w:trHeight w:val="300"/>
          <w:tblHeader/>
        </w:trPr>
        <w:tc>
          <w:tcPr>
            <w:tcW w:w="1039" w:type="dxa"/>
            <w:shd w:val="clear" w:color="auto" w:fill="auto"/>
            <w:noWrap/>
            <w:vAlign w:val="bottom"/>
            <w:hideMark/>
          </w:tcPr>
          <w:p w14:paraId="6E4F32AD"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6F581B1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2214587D"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Regional lines</w:t>
            </w:r>
          </w:p>
        </w:tc>
        <w:tc>
          <w:tcPr>
            <w:tcW w:w="2796" w:type="dxa"/>
            <w:shd w:val="clear" w:color="auto" w:fill="auto"/>
            <w:vAlign w:val="bottom"/>
            <w:hideMark/>
          </w:tcPr>
          <w:p w14:paraId="0193752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Osijek-Koška section (33 km) on the R202 Varaždin-Dalj line</w:t>
            </w:r>
          </w:p>
        </w:tc>
      </w:tr>
      <w:tr w:rsidR="00F0088B" w:rsidRPr="00653DCF" w14:paraId="398B6DD5" w14:textId="77777777" w:rsidTr="00E07A51">
        <w:trPr>
          <w:trHeight w:val="300"/>
          <w:tblHeader/>
        </w:trPr>
        <w:tc>
          <w:tcPr>
            <w:tcW w:w="1039" w:type="dxa"/>
            <w:shd w:val="clear" w:color="auto" w:fill="auto"/>
            <w:noWrap/>
            <w:vAlign w:val="bottom"/>
            <w:hideMark/>
          </w:tcPr>
          <w:p w14:paraId="7025835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6A2C280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3B09B751"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Complete railway network</w:t>
            </w:r>
          </w:p>
        </w:tc>
        <w:tc>
          <w:tcPr>
            <w:tcW w:w="2796" w:type="dxa"/>
            <w:shd w:val="clear" w:color="auto" w:fill="auto"/>
            <w:vAlign w:val="bottom"/>
            <w:hideMark/>
          </w:tcPr>
          <w:p w14:paraId="7ECA7F8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Preparation of technical documentation of technical protection of HŽI (definition of the project task, design of the technical protection system) Implementation of the technical protection system and expert supervision of the execution of works</w:t>
            </w:r>
          </w:p>
        </w:tc>
      </w:tr>
      <w:tr w:rsidR="00F0088B" w:rsidRPr="00653DCF" w14:paraId="6421AD3C" w14:textId="77777777" w:rsidTr="00E07A51">
        <w:trPr>
          <w:trHeight w:val="300"/>
          <w:tblHeader/>
        </w:trPr>
        <w:tc>
          <w:tcPr>
            <w:tcW w:w="1039" w:type="dxa"/>
            <w:shd w:val="clear" w:color="auto" w:fill="auto"/>
            <w:noWrap/>
            <w:vAlign w:val="center"/>
          </w:tcPr>
          <w:p w14:paraId="35014DB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center"/>
          </w:tcPr>
          <w:p w14:paraId="0E0FF87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center"/>
          </w:tcPr>
          <w:p w14:paraId="15BBDEE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Complete railway network</w:t>
            </w:r>
          </w:p>
        </w:tc>
        <w:tc>
          <w:tcPr>
            <w:tcW w:w="2796" w:type="dxa"/>
            <w:shd w:val="clear" w:color="auto" w:fill="auto"/>
            <w:vAlign w:val="center"/>
          </w:tcPr>
          <w:p w14:paraId="6362E61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Disposal of waste sleepers, track, bridge and scraper</w:t>
            </w:r>
          </w:p>
        </w:tc>
      </w:tr>
      <w:tr w:rsidR="00F0088B" w:rsidRPr="00653DCF" w14:paraId="2B854752" w14:textId="77777777" w:rsidTr="00E07A51">
        <w:trPr>
          <w:trHeight w:val="300"/>
          <w:tblHeader/>
        </w:trPr>
        <w:tc>
          <w:tcPr>
            <w:tcW w:w="1039" w:type="dxa"/>
            <w:shd w:val="clear" w:color="auto" w:fill="auto"/>
            <w:noWrap/>
            <w:vAlign w:val="bottom"/>
            <w:hideMark/>
          </w:tcPr>
          <w:p w14:paraId="7AFFCF6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42C599B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31A794F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Complete railway network</w:t>
            </w:r>
          </w:p>
        </w:tc>
        <w:tc>
          <w:tcPr>
            <w:tcW w:w="2796" w:type="dxa"/>
            <w:shd w:val="clear" w:color="auto" w:fill="auto"/>
            <w:vAlign w:val="bottom"/>
            <w:hideMark/>
          </w:tcPr>
          <w:p w14:paraId="050BA9F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FRMCS system with GSM-R compatibility</w:t>
            </w:r>
          </w:p>
        </w:tc>
      </w:tr>
      <w:tr w:rsidR="00F0088B" w:rsidRPr="00653DCF" w14:paraId="470A5095" w14:textId="77777777" w:rsidTr="00E07A51">
        <w:trPr>
          <w:trHeight w:val="300"/>
          <w:tblHeader/>
        </w:trPr>
        <w:tc>
          <w:tcPr>
            <w:tcW w:w="1039" w:type="dxa"/>
            <w:shd w:val="clear" w:color="auto" w:fill="auto"/>
            <w:noWrap/>
            <w:vAlign w:val="bottom"/>
            <w:hideMark/>
          </w:tcPr>
          <w:p w14:paraId="330DEAA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37F00F0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0F7CDA1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Technical documentation</w:t>
            </w:r>
          </w:p>
        </w:tc>
        <w:tc>
          <w:tcPr>
            <w:tcW w:w="2796" w:type="dxa"/>
            <w:shd w:val="clear" w:color="auto" w:fill="auto"/>
            <w:vAlign w:val="bottom"/>
            <w:hideMark/>
          </w:tcPr>
          <w:p w14:paraId="43C7120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Preparation of technical documentation for modernisation and electrification of railway section R106, section Zabok – Krapina – Đurmanec – DG (state border), L=27 km</w:t>
            </w:r>
          </w:p>
        </w:tc>
      </w:tr>
      <w:tr w:rsidR="00F0088B" w:rsidRPr="00653DCF" w14:paraId="07C51C19" w14:textId="77777777" w:rsidTr="00E07A51">
        <w:trPr>
          <w:trHeight w:val="300"/>
          <w:tblHeader/>
        </w:trPr>
        <w:tc>
          <w:tcPr>
            <w:tcW w:w="1039" w:type="dxa"/>
            <w:shd w:val="clear" w:color="auto" w:fill="auto"/>
            <w:noWrap/>
            <w:vAlign w:val="bottom"/>
            <w:hideMark/>
          </w:tcPr>
          <w:p w14:paraId="71C2420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446B5DC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65F9A2B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Technical documentation</w:t>
            </w:r>
          </w:p>
        </w:tc>
        <w:tc>
          <w:tcPr>
            <w:tcW w:w="2796" w:type="dxa"/>
            <w:shd w:val="clear" w:color="auto" w:fill="auto"/>
            <w:vAlign w:val="bottom"/>
            <w:hideMark/>
          </w:tcPr>
          <w:p w14:paraId="34E31C6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Preparation of project documentation for modernisation and electrification of railway line L102, Savski Marof-Kumrovec-DG (state border), L= 38.5 km</w:t>
            </w:r>
          </w:p>
        </w:tc>
      </w:tr>
      <w:tr w:rsidR="00F0088B" w:rsidRPr="00653DCF" w14:paraId="7AC6F870" w14:textId="77777777" w:rsidTr="00E07A51">
        <w:trPr>
          <w:trHeight w:val="300"/>
          <w:tblHeader/>
        </w:trPr>
        <w:tc>
          <w:tcPr>
            <w:tcW w:w="1039" w:type="dxa"/>
            <w:shd w:val="clear" w:color="auto" w:fill="auto"/>
            <w:noWrap/>
            <w:vAlign w:val="bottom"/>
            <w:hideMark/>
          </w:tcPr>
          <w:p w14:paraId="2FD3908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625D1DC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294D4499"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Technical documentation</w:t>
            </w:r>
          </w:p>
        </w:tc>
        <w:tc>
          <w:tcPr>
            <w:tcW w:w="2796" w:type="dxa"/>
            <w:shd w:val="clear" w:color="auto" w:fill="auto"/>
            <w:vAlign w:val="bottom"/>
            <w:hideMark/>
          </w:tcPr>
          <w:p w14:paraId="144D767B"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Development and preparation of the main design of the Bibinje railway bypass</w:t>
            </w:r>
          </w:p>
        </w:tc>
      </w:tr>
      <w:tr w:rsidR="00F0088B" w:rsidRPr="00653DCF" w14:paraId="12BA9BE1" w14:textId="77777777" w:rsidTr="00E07A51">
        <w:trPr>
          <w:trHeight w:val="300"/>
          <w:tblHeader/>
        </w:trPr>
        <w:tc>
          <w:tcPr>
            <w:tcW w:w="1039" w:type="dxa"/>
            <w:shd w:val="clear" w:color="auto" w:fill="auto"/>
            <w:noWrap/>
            <w:vAlign w:val="bottom"/>
            <w:hideMark/>
          </w:tcPr>
          <w:p w14:paraId="3E35E3E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3474576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6E49DF6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Buildings in function of transport</w:t>
            </w:r>
          </w:p>
        </w:tc>
        <w:tc>
          <w:tcPr>
            <w:tcW w:w="2796" w:type="dxa"/>
            <w:shd w:val="clear" w:color="auto" w:fill="auto"/>
            <w:vAlign w:val="bottom"/>
            <w:hideMark/>
          </w:tcPr>
          <w:p w14:paraId="230BB20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Preparation of technical documentation (conceptual project, main design and detailed design) for the complete renovation of the Zagreb GK building</w:t>
            </w:r>
          </w:p>
        </w:tc>
      </w:tr>
      <w:tr w:rsidR="00F0088B" w:rsidRPr="00653DCF" w14:paraId="1FE15F78" w14:textId="77777777" w:rsidTr="00E07A51">
        <w:trPr>
          <w:trHeight w:val="300"/>
          <w:tblHeader/>
        </w:trPr>
        <w:tc>
          <w:tcPr>
            <w:tcW w:w="1039" w:type="dxa"/>
            <w:shd w:val="clear" w:color="auto" w:fill="auto"/>
            <w:noWrap/>
            <w:vAlign w:val="bottom"/>
            <w:hideMark/>
          </w:tcPr>
          <w:p w14:paraId="1BFAC39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7E2DF17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4396116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Buildings in function of transport</w:t>
            </w:r>
          </w:p>
        </w:tc>
        <w:tc>
          <w:tcPr>
            <w:tcW w:w="2796" w:type="dxa"/>
            <w:shd w:val="clear" w:color="auto" w:fill="auto"/>
            <w:vAlign w:val="bottom"/>
            <w:hideMark/>
          </w:tcPr>
          <w:p w14:paraId="6F26002B"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Execution of the complete renovation of the building of the Zagreb Central Station</w:t>
            </w:r>
          </w:p>
        </w:tc>
      </w:tr>
      <w:tr w:rsidR="00F0088B" w:rsidRPr="00653DCF" w14:paraId="2476F002" w14:textId="77777777" w:rsidTr="00E07A51">
        <w:trPr>
          <w:trHeight w:val="300"/>
          <w:tblHeader/>
        </w:trPr>
        <w:tc>
          <w:tcPr>
            <w:tcW w:w="1039" w:type="dxa"/>
            <w:shd w:val="clear" w:color="auto" w:fill="auto"/>
            <w:noWrap/>
            <w:vAlign w:val="bottom"/>
            <w:hideMark/>
          </w:tcPr>
          <w:p w14:paraId="24183D29"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50EF1B1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5.1 Improvement of the Control-Command and Signalling System</w:t>
            </w:r>
          </w:p>
        </w:tc>
        <w:tc>
          <w:tcPr>
            <w:tcW w:w="2127" w:type="dxa"/>
            <w:shd w:val="clear" w:color="auto" w:fill="auto"/>
            <w:noWrap/>
            <w:vAlign w:val="bottom"/>
            <w:hideMark/>
          </w:tcPr>
          <w:p w14:paraId="7FEE5ED2"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IT</w:t>
            </w:r>
          </w:p>
        </w:tc>
        <w:tc>
          <w:tcPr>
            <w:tcW w:w="2796" w:type="dxa"/>
            <w:shd w:val="clear" w:color="auto" w:fill="auto"/>
            <w:vAlign w:val="bottom"/>
            <w:hideMark/>
          </w:tcPr>
          <w:p w14:paraId="76B8A3F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A new working timetable tool</w:t>
            </w:r>
          </w:p>
        </w:tc>
      </w:tr>
      <w:tr w:rsidR="00F0088B" w:rsidRPr="00653DCF" w14:paraId="2714FD7E" w14:textId="77777777" w:rsidTr="00E07A51">
        <w:trPr>
          <w:trHeight w:val="300"/>
          <w:tblHeader/>
        </w:trPr>
        <w:tc>
          <w:tcPr>
            <w:tcW w:w="1039" w:type="dxa"/>
            <w:shd w:val="clear" w:color="auto" w:fill="auto"/>
            <w:noWrap/>
            <w:vAlign w:val="bottom"/>
            <w:hideMark/>
          </w:tcPr>
          <w:p w14:paraId="01E235E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5E3A82BB"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05B6396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Local railways</w:t>
            </w:r>
          </w:p>
        </w:tc>
        <w:tc>
          <w:tcPr>
            <w:tcW w:w="2796" w:type="dxa"/>
            <w:shd w:val="clear" w:color="auto" w:fill="auto"/>
            <w:vAlign w:val="bottom"/>
            <w:hideMark/>
          </w:tcPr>
          <w:p w14:paraId="3AC4B30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Preparation of technical documentation for reconstruction of line L103 on section Ozalj-Kamanje</w:t>
            </w:r>
          </w:p>
        </w:tc>
      </w:tr>
      <w:tr w:rsidR="00F0088B" w:rsidRPr="00653DCF" w14:paraId="728DE1C3" w14:textId="77777777" w:rsidTr="00E07A51">
        <w:trPr>
          <w:trHeight w:val="300"/>
          <w:tblHeader/>
        </w:trPr>
        <w:tc>
          <w:tcPr>
            <w:tcW w:w="1039" w:type="dxa"/>
            <w:shd w:val="clear" w:color="auto" w:fill="auto"/>
            <w:noWrap/>
            <w:vAlign w:val="bottom"/>
            <w:hideMark/>
          </w:tcPr>
          <w:p w14:paraId="6B4D9E7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1BC5375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77E7CA1B"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Local railways</w:t>
            </w:r>
          </w:p>
        </w:tc>
        <w:tc>
          <w:tcPr>
            <w:tcW w:w="2796" w:type="dxa"/>
            <w:shd w:val="clear" w:color="auto" w:fill="auto"/>
            <w:vAlign w:val="bottom"/>
            <w:hideMark/>
          </w:tcPr>
          <w:p w14:paraId="12416A0B"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Track repair on the Daruvar-</w:t>
            </w:r>
            <w:r w:rsidRPr="00653DCF">
              <w:rPr>
                <w:color w:val="auto"/>
              </w:rPr>
              <w:t xml:space="preserve"> </w:t>
            </w:r>
            <w:r w:rsidRPr="00653DCF">
              <w:rPr>
                <w:rFonts w:eastAsia="Times New Roman" w:cs="Arial"/>
                <w:color w:val="auto"/>
              </w:rPr>
              <w:t>Pčelić section, 41.2 km long</w:t>
            </w:r>
          </w:p>
        </w:tc>
      </w:tr>
      <w:tr w:rsidR="00F0088B" w:rsidRPr="00653DCF" w14:paraId="45419492" w14:textId="77777777" w:rsidTr="00E07A51">
        <w:trPr>
          <w:trHeight w:val="300"/>
          <w:tblHeader/>
        </w:trPr>
        <w:tc>
          <w:tcPr>
            <w:tcW w:w="1039" w:type="dxa"/>
            <w:shd w:val="clear" w:color="auto" w:fill="auto"/>
            <w:noWrap/>
            <w:vAlign w:val="bottom"/>
            <w:hideMark/>
          </w:tcPr>
          <w:p w14:paraId="481AF7C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4D9FF2D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0C341DB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4665AA4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the existing track on the section Dugo Selo – Križevci (25.4 km), on the line DG (state border) – Botovo – Dugo Selo</w:t>
            </w:r>
          </w:p>
        </w:tc>
      </w:tr>
      <w:tr w:rsidR="00F0088B" w:rsidRPr="00653DCF" w14:paraId="391DFE5C" w14:textId="77777777" w:rsidTr="00E07A51">
        <w:trPr>
          <w:trHeight w:val="300"/>
          <w:tblHeader/>
        </w:trPr>
        <w:tc>
          <w:tcPr>
            <w:tcW w:w="1039" w:type="dxa"/>
            <w:shd w:val="clear" w:color="auto" w:fill="auto"/>
            <w:noWrap/>
            <w:vAlign w:val="bottom"/>
            <w:hideMark/>
          </w:tcPr>
          <w:p w14:paraId="7FED82C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55BEC8A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1325CB0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2BE9884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Renewal of sections Donji Kraljevec-Kotoriba (11.6 km), Kotoriba-DG (state border) (3.8 km) and DG (state border) -Čakovec (8.4 km) on line M501 DG (state border)-Čakovec-Kotoriba-DG (state border)</w:t>
            </w:r>
          </w:p>
        </w:tc>
      </w:tr>
      <w:tr w:rsidR="00F0088B" w:rsidRPr="00653DCF" w14:paraId="3C9AC32F" w14:textId="77777777" w:rsidTr="00E07A51">
        <w:trPr>
          <w:trHeight w:val="300"/>
          <w:tblHeader/>
        </w:trPr>
        <w:tc>
          <w:tcPr>
            <w:tcW w:w="1039" w:type="dxa"/>
            <w:shd w:val="clear" w:color="auto" w:fill="auto"/>
            <w:noWrap/>
            <w:vAlign w:val="bottom"/>
            <w:hideMark/>
          </w:tcPr>
          <w:p w14:paraId="4EB3DED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6578F2FC"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6C0EAAAD"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09B695B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Modernisation and renewal of the Knin – Split SS devices</w:t>
            </w:r>
          </w:p>
        </w:tc>
      </w:tr>
      <w:tr w:rsidR="00F0088B" w:rsidRPr="00653DCF" w14:paraId="21A63F4B" w14:textId="77777777" w:rsidTr="00E07A51">
        <w:trPr>
          <w:trHeight w:val="300"/>
          <w:tblHeader/>
        </w:trPr>
        <w:tc>
          <w:tcPr>
            <w:tcW w:w="1039" w:type="dxa"/>
            <w:shd w:val="clear" w:color="auto" w:fill="auto"/>
            <w:noWrap/>
            <w:vAlign w:val="bottom"/>
            <w:hideMark/>
          </w:tcPr>
          <w:p w14:paraId="183EA7E9"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36BC543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71F768C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Regional lines</w:t>
            </w:r>
          </w:p>
        </w:tc>
        <w:tc>
          <w:tcPr>
            <w:tcW w:w="2796" w:type="dxa"/>
            <w:shd w:val="clear" w:color="auto" w:fill="auto"/>
            <w:vAlign w:val="bottom"/>
            <w:hideMark/>
          </w:tcPr>
          <w:p w14:paraId="3B7C110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Ensurance of Varaždin and Čakovec Stations with SS devices</w:t>
            </w:r>
          </w:p>
        </w:tc>
      </w:tr>
      <w:tr w:rsidR="00F0088B" w:rsidRPr="00653DCF" w14:paraId="467B7E34" w14:textId="77777777" w:rsidTr="00E07A51">
        <w:trPr>
          <w:trHeight w:val="300"/>
          <w:tblHeader/>
        </w:trPr>
        <w:tc>
          <w:tcPr>
            <w:tcW w:w="1039" w:type="dxa"/>
            <w:shd w:val="clear" w:color="auto" w:fill="auto"/>
            <w:noWrap/>
            <w:vAlign w:val="bottom"/>
            <w:hideMark/>
          </w:tcPr>
          <w:p w14:paraId="01D6DC7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2AD582C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5C05C35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Local railways</w:t>
            </w:r>
          </w:p>
        </w:tc>
        <w:tc>
          <w:tcPr>
            <w:tcW w:w="2796" w:type="dxa"/>
            <w:shd w:val="clear" w:color="auto" w:fill="auto"/>
            <w:vAlign w:val="bottom"/>
            <w:hideMark/>
          </w:tcPr>
          <w:p w14:paraId="6423A4F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Ensurance of Osijek station and railways 1208 Vinkovci-Osijek, section Osijek – Laslovo-Korod with SS devices</w:t>
            </w:r>
          </w:p>
        </w:tc>
      </w:tr>
      <w:tr w:rsidR="00F0088B" w:rsidRPr="00653DCF" w14:paraId="33C3710D" w14:textId="77777777" w:rsidTr="00E07A51">
        <w:trPr>
          <w:trHeight w:val="300"/>
          <w:tblHeader/>
        </w:trPr>
        <w:tc>
          <w:tcPr>
            <w:tcW w:w="1039" w:type="dxa"/>
            <w:shd w:val="clear" w:color="auto" w:fill="auto"/>
            <w:noWrap/>
            <w:vAlign w:val="center"/>
            <w:hideMark/>
          </w:tcPr>
          <w:p w14:paraId="0AA563C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center"/>
            <w:hideMark/>
          </w:tcPr>
          <w:p w14:paraId="05F105A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3.1. Energy renovation of locations managed and owned by public railway companies</w:t>
            </w:r>
          </w:p>
        </w:tc>
        <w:tc>
          <w:tcPr>
            <w:tcW w:w="2127" w:type="dxa"/>
            <w:shd w:val="clear" w:color="auto" w:fill="auto"/>
            <w:noWrap/>
            <w:vAlign w:val="center"/>
            <w:hideMark/>
          </w:tcPr>
          <w:p w14:paraId="0A71F0D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Buildings in function of transport</w:t>
            </w:r>
          </w:p>
        </w:tc>
        <w:tc>
          <w:tcPr>
            <w:tcW w:w="2796" w:type="dxa"/>
            <w:shd w:val="clear" w:color="auto" w:fill="auto"/>
            <w:vAlign w:val="center"/>
            <w:hideMark/>
          </w:tcPr>
          <w:p w14:paraId="5032466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Heating renovation project for facilities managed by HŽI</w:t>
            </w:r>
          </w:p>
        </w:tc>
      </w:tr>
      <w:tr w:rsidR="00F0088B" w:rsidRPr="00653DCF" w14:paraId="56B231C5" w14:textId="77777777" w:rsidTr="00E07A51">
        <w:trPr>
          <w:trHeight w:val="300"/>
          <w:tblHeader/>
        </w:trPr>
        <w:tc>
          <w:tcPr>
            <w:tcW w:w="1039" w:type="dxa"/>
            <w:shd w:val="clear" w:color="auto" w:fill="auto"/>
            <w:noWrap/>
            <w:vAlign w:val="bottom"/>
            <w:hideMark/>
          </w:tcPr>
          <w:p w14:paraId="6BD4C9D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5D4F962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513FD1E5"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186430D6"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Remediation of tracks and switches in the station Kopanica – Beravci, Slavonski Šamac</w:t>
            </w:r>
          </w:p>
        </w:tc>
      </w:tr>
      <w:tr w:rsidR="00F0088B" w:rsidRPr="00653DCF" w14:paraId="612213E4" w14:textId="77777777" w:rsidTr="00E07A51">
        <w:trPr>
          <w:trHeight w:val="300"/>
          <w:tblHeader/>
        </w:trPr>
        <w:tc>
          <w:tcPr>
            <w:tcW w:w="1039" w:type="dxa"/>
            <w:shd w:val="clear" w:color="auto" w:fill="auto"/>
            <w:noWrap/>
            <w:vAlign w:val="bottom"/>
            <w:hideMark/>
          </w:tcPr>
          <w:p w14:paraId="0D2C3CF8"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752BA6D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26AD9C5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6D54969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Restoration of the unstable embankment “Tresetište”. Track DG (state border) – Čakovec – Kotoriba – DG (state border)</w:t>
            </w:r>
          </w:p>
        </w:tc>
      </w:tr>
      <w:tr w:rsidR="00F0088B" w:rsidRPr="00653DCF" w14:paraId="1B1DE425" w14:textId="77777777" w:rsidTr="00E07A51">
        <w:trPr>
          <w:trHeight w:val="300"/>
          <w:tblHeader/>
        </w:trPr>
        <w:tc>
          <w:tcPr>
            <w:tcW w:w="1039" w:type="dxa"/>
            <w:shd w:val="clear" w:color="auto" w:fill="auto"/>
            <w:noWrap/>
            <w:vAlign w:val="center"/>
          </w:tcPr>
          <w:p w14:paraId="7362078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 xml:space="preserve">HŽI </w:t>
            </w:r>
          </w:p>
        </w:tc>
        <w:tc>
          <w:tcPr>
            <w:tcW w:w="3678" w:type="dxa"/>
            <w:shd w:val="clear" w:color="auto" w:fill="auto"/>
            <w:noWrap/>
            <w:vAlign w:val="center"/>
          </w:tcPr>
          <w:p w14:paraId="12C820B0"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3.1. Energy renovation of locations managed and owned by public railway companies</w:t>
            </w:r>
          </w:p>
          <w:p w14:paraId="229AB49D"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3.3. Installation of infrastructure for the use of renewable and alternative energy sources</w:t>
            </w:r>
          </w:p>
        </w:tc>
        <w:tc>
          <w:tcPr>
            <w:tcW w:w="2127" w:type="dxa"/>
            <w:shd w:val="clear" w:color="auto" w:fill="auto"/>
            <w:noWrap/>
            <w:vAlign w:val="center"/>
          </w:tcPr>
          <w:p w14:paraId="240FB91D"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Buildings in function of transport</w:t>
            </w:r>
          </w:p>
        </w:tc>
        <w:tc>
          <w:tcPr>
            <w:tcW w:w="2796" w:type="dxa"/>
            <w:shd w:val="clear" w:color="auto" w:fill="auto"/>
            <w:vAlign w:val="center"/>
          </w:tcPr>
          <w:p w14:paraId="0A3D4B5B" w14:textId="77777777" w:rsidR="00F0088B" w:rsidRPr="00653DCF" w:rsidRDefault="00F0088B" w:rsidP="00E07A51">
            <w:pPr>
              <w:spacing w:after="0"/>
              <w:ind w:left="0"/>
              <w:jc w:val="left"/>
              <w:rPr>
                <w:rFonts w:eastAsia="Times New Roman" w:cs="Arial"/>
                <w:color w:val="auto"/>
              </w:rPr>
            </w:pPr>
          </w:p>
          <w:p w14:paraId="6C808FEA"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Energy renovation of buildings</w:t>
            </w:r>
          </w:p>
        </w:tc>
      </w:tr>
      <w:tr w:rsidR="00F0088B" w:rsidRPr="00653DCF" w14:paraId="119A7E6A" w14:textId="77777777" w:rsidTr="00E07A51">
        <w:trPr>
          <w:trHeight w:val="300"/>
          <w:tblHeader/>
        </w:trPr>
        <w:tc>
          <w:tcPr>
            <w:tcW w:w="1039" w:type="dxa"/>
            <w:shd w:val="clear" w:color="auto" w:fill="auto"/>
            <w:noWrap/>
            <w:vAlign w:val="bottom"/>
            <w:hideMark/>
          </w:tcPr>
          <w:p w14:paraId="64C614B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1E158FF1"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1.2. Improvement of the railway infrastructure maintenance system</w:t>
            </w:r>
          </w:p>
        </w:tc>
        <w:tc>
          <w:tcPr>
            <w:tcW w:w="2127" w:type="dxa"/>
            <w:shd w:val="clear" w:color="auto" w:fill="auto"/>
            <w:noWrap/>
            <w:vAlign w:val="bottom"/>
            <w:hideMark/>
          </w:tcPr>
          <w:p w14:paraId="3C3FD3C3"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Local railways</w:t>
            </w:r>
          </w:p>
        </w:tc>
        <w:tc>
          <w:tcPr>
            <w:tcW w:w="2796" w:type="dxa"/>
            <w:shd w:val="clear" w:color="auto" w:fill="auto"/>
            <w:vAlign w:val="bottom"/>
            <w:hideMark/>
          </w:tcPr>
          <w:p w14:paraId="77ABB70E"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Railway remediation and remediation of tracks and switches in Pleternica and Čaglin stations</w:t>
            </w:r>
          </w:p>
        </w:tc>
      </w:tr>
      <w:tr w:rsidR="00F0088B" w:rsidRPr="00653DCF" w14:paraId="1132EFFC" w14:textId="77777777" w:rsidTr="00E07A51">
        <w:trPr>
          <w:trHeight w:val="300"/>
          <w:tblHeader/>
        </w:trPr>
        <w:tc>
          <w:tcPr>
            <w:tcW w:w="1039" w:type="dxa"/>
            <w:shd w:val="clear" w:color="auto" w:fill="auto"/>
            <w:noWrap/>
            <w:vAlign w:val="bottom"/>
            <w:hideMark/>
          </w:tcPr>
          <w:p w14:paraId="6EF05264"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HŽI</w:t>
            </w:r>
          </w:p>
        </w:tc>
        <w:tc>
          <w:tcPr>
            <w:tcW w:w="3678" w:type="dxa"/>
            <w:shd w:val="clear" w:color="auto" w:fill="auto"/>
            <w:noWrap/>
            <w:vAlign w:val="bottom"/>
            <w:hideMark/>
          </w:tcPr>
          <w:p w14:paraId="1495B4C7"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M 2.2. Preparation and implementation of railway infrastructure renewal and modernisation programmes</w:t>
            </w:r>
          </w:p>
        </w:tc>
        <w:tc>
          <w:tcPr>
            <w:tcW w:w="2127" w:type="dxa"/>
            <w:shd w:val="clear" w:color="auto" w:fill="auto"/>
            <w:noWrap/>
            <w:vAlign w:val="bottom"/>
            <w:hideMark/>
          </w:tcPr>
          <w:p w14:paraId="4E44DFE1"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International railways</w:t>
            </w:r>
          </w:p>
        </w:tc>
        <w:tc>
          <w:tcPr>
            <w:tcW w:w="2796" w:type="dxa"/>
            <w:shd w:val="clear" w:color="auto" w:fill="auto"/>
            <w:vAlign w:val="bottom"/>
            <w:hideMark/>
          </w:tcPr>
          <w:p w14:paraId="434D8D4F" w14:textId="77777777" w:rsidR="00F0088B" w:rsidRPr="00653DCF" w:rsidRDefault="00F0088B" w:rsidP="00E07A51">
            <w:pPr>
              <w:spacing w:after="0"/>
              <w:ind w:left="0"/>
              <w:jc w:val="left"/>
              <w:rPr>
                <w:rFonts w:eastAsia="Times New Roman" w:cs="Arial"/>
                <w:color w:val="auto"/>
              </w:rPr>
            </w:pPr>
            <w:r w:rsidRPr="00653DCF">
              <w:rPr>
                <w:rFonts w:eastAsia="Times New Roman" w:cs="Arial"/>
                <w:color w:val="auto"/>
              </w:rPr>
              <w:t>Renovation of the Split Tunnel</w:t>
            </w:r>
          </w:p>
        </w:tc>
      </w:tr>
      <w:tr w:rsidR="00F0088B" w:rsidRPr="00653DCF" w14:paraId="4525FBB8" w14:textId="77777777" w:rsidTr="00E07A51">
        <w:trPr>
          <w:trHeight w:val="300"/>
          <w:tblHeader/>
        </w:trPr>
        <w:tc>
          <w:tcPr>
            <w:tcW w:w="1039" w:type="dxa"/>
            <w:shd w:val="clear" w:color="auto" w:fill="auto"/>
            <w:noWrap/>
          </w:tcPr>
          <w:p w14:paraId="6A2D59AE" w14:textId="77777777" w:rsidR="00F0088B" w:rsidRPr="00653DCF" w:rsidRDefault="00F0088B" w:rsidP="00E07A51">
            <w:pPr>
              <w:spacing w:after="0"/>
              <w:ind w:left="0"/>
              <w:jc w:val="left"/>
              <w:rPr>
                <w:rFonts w:eastAsia="Times New Roman" w:cs="Arial"/>
                <w:color w:val="auto"/>
              </w:rPr>
            </w:pPr>
            <w:r w:rsidRPr="00653DCF">
              <w:rPr>
                <w:color w:val="auto"/>
              </w:rPr>
              <w:t>HŽPP</w:t>
            </w:r>
          </w:p>
        </w:tc>
        <w:tc>
          <w:tcPr>
            <w:tcW w:w="3678" w:type="dxa"/>
            <w:shd w:val="clear" w:color="auto" w:fill="auto"/>
            <w:noWrap/>
          </w:tcPr>
          <w:p w14:paraId="68D65ED2" w14:textId="77777777" w:rsidR="00F0088B" w:rsidRPr="00653DCF" w:rsidRDefault="00F0088B" w:rsidP="00E07A51">
            <w:pPr>
              <w:spacing w:after="0"/>
              <w:ind w:left="0"/>
              <w:jc w:val="left"/>
              <w:rPr>
                <w:rFonts w:eastAsia="Times New Roman" w:cs="Arial"/>
                <w:color w:val="auto"/>
              </w:rPr>
            </w:pPr>
            <w:r w:rsidRPr="00653DCF">
              <w:rPr>
                <w:color w:val="auto"/>
              </w:rPr>
              <w:t>TLC Zagreb – project documentation and construction</w:t>
            </w:r>
          </w:p>
        </w:tc>
        <w:tc>
          <w:tcPr>
            <w:tcW w:w="2127" w:type="dxa"/>
            <w:shd w:val="clear" w:color="auto" w:fill="auto"/>
            <w:noWrap/>
            <w:vAlign w:val="bottom"/>
          </w:tcPr>
          <w:p w14:paraId="03008CBD" w14:textId="77777777" w:rsidR="00F0088B" w:rsidRPr="00653DCF" w:rsidRDefault="00F0088B" w:rsidP="00E07A51">
            <w:pPr>
              <w:spacing w:after="0"/>
              <w:ind w:left="0"/>
              <w:jc w:val="left"/>
              <w:rPr>
                <w:rFonts w:eastAsia="Times New Roman" w:cs="Arial"/>
                <w:color w:val="auto"/>
              </w:rPr>
            </w:pPr>
          </w:p>
        </w:tc>
        <w:tc>
          <w:tcPr>
            <w:tcW w:w="2796" w:type="dxa"/>
            <w:shd w:val="clear" w:color="auto" w:fill="auto"/>
            <w:vAlign w:val="bottom"/>
          </w:tcPr>
          <w:p w14:paraId="4723D818" w14:textId="77777777" w:rsidR="00F0088B" w:rsidRPr="00653DCF" w:rsidRDefault="00F0088B" w:rsidP="00E07A51">
            <w:pPr>
              <w:spacing w:after="0"/>
              <w:ind w:left="0"/>
              <w:jc w:val="left"/>
              <w:rPr>
                <w:rFonts w:eastAsia="Times New Roman" w:cs="Arial"/>
                <w:color w:val="auto"/>
              </w:rPr>
            </w:pPr>
          </w:p>
        </w:tc>
      </w:tr>
      <w:tr w:rsidR="00F0088B" w:rsidRPr="00653DCF" w14:paraId="2C453F40" w14:textId="77777777" w:rsidTr="00E07A51">
        <w:trPr>
          <w:trHeight w:val="300"/>
          <w:tblHeader/>
        </w:trPr>
        <w:tc>
          <w:tcPr>
            <w:tcW w:w="1039" w:type="dxa"/>
            <w:shd w:val="clear" w:color="auto" w:fill="auto"/>
            <w:noWrap/>
          </w:tcPr>
          <w:p w14:paraId="5D369B02" w14:textId="77777777" w:rsidR="00F0088B" w:rsidRPr="00653DCF" w:rsidRDefault="00F0088B" w:rsidP="00E07A51">
            <w:pPr>
              <w:spacing w:after="0"/>
              <w:ind w:left="0"/>
              <w:jc w:val="left"/>
              <w:rPr>
                <w:rFonts w:eastAsia="Times New Roman" w:cs="Arial"/>
                <w:color w:val="auto"/>
              </w:rPr>
            </w:pPr>
            <w:r w:rsidRPr="00653DCF">
              <w:rPr>
                <w:color w:val="auto"/>
              </w:rPr>
              <w:t>HŽPP</w:t>
            </w:r>
          </w:p>
        </w:tc>
        <w:tc>
          <w:tcPr>
            <w:tcW w:w="3678" w:type="dxa"/>
            <w:shd w:val="clear" w:color="auto" w:fill="auto"/>
            <w:noWrap/>
          </w:tcPr>
          <w:p w14:paraId="12E57B6A" w14:textId="77777777" w:rsidR="00F0088B" w:rsidRPr="00653DCF" w:rsidRDefault="00F0088B" w:rsidP="00E07A51">
            <w:pPr>
              <w:spacing w:after="0"/>
              <w:ind w:left="0"/>
              <w:jc w:val="left"/>
              <w:rPr>
                <w:rFonts w:eastAsia="Times New Roman" w:cs="Arial"/>
                <w:color w:val="auto"/>
              </w:rPr>
            </w:pPr>
            <w:r w:rsidRPr="00653DCF">
              <w:rPr>
                <w:color w:val="auto"/>
              </w:rPr>
              <w:t>Investments in service facility Centar Split</w:t>
            </w:r>
          </w:p>
        </w:tc>
        <w:tc>
          <w:tcPr>
            <w:tcW w:w="2127" w:type="dxa"/>
            <w:shd w:val="clear" w:color="auto" w:fill="auto"/>
            <w:noWrap/>
            <w:vAlign w:val="bottom"/>
          </w:tcPr>
          <w:p w14:paraId="08BC4344" w14:textId="77777777" w:rsidR="00F0088B" w:rsidRPr="00653DCF" w:rsidRDefault="00F0088B" w:rsidP="00E07A51">
            <w:pPr>
              <w:spacing w:after="0"/>
              <w:ind w:left="0"/>
              <w:jc w:val="left"/>
              <w:rPr>
                <w:rFonts w:eastAsia="Times New Roman" w:cs="Arial"/>
                <w:color w:val="auto"/>
              </w:rPr>
            </w:pPr>
          </w:p>
        </w:tc>
        <w:tc>
          <w:tcPr>
            <w:tcW w:w="2796" w:type="dxa"/>
            <w:shd w:val="clear" w:color="auto" w:fill="auto"/>
            <w:vAlign w:val="bottom"/>
          </w:tcPr>
          <w:p w14:paraId="396D2C32" w14:textId="77777777" w:rsidR="00F0088B" w:rsidRPr="00653DCF" w:rsidRDefault="00F0088B" w:rsidP="00E07A51">
            <w:pPr>
              <w:spacing w:after="0"/>
              <w:ind w:left="0"/>
              <w:jc w:val="left"/>
              <w:rPr>
                <w:rFonts w:eastAsia="Times New Roman" w:cs="Arial"/>
                <w:color w:val="auto"/>
              </w:rPr>
            </w:pPr>
          </w:p>
        </w:tc>
      </w:tr>
      <w:tr w:rsidR="00F0088B" w:rsidRPr="00653DCF" w14:paraId="464310D9" w14:textId="77777777" w:rsidTr="00E07A51">
        <w:trPr>
          <w:trHeight w:val="300"/>
          <w:tblHeader/>
        </w:trPr>
        <w:tc>
          <w:tcPr>
            <w:tcW w:w="1039" w:type="dxa"/>
            <w:shd w:val="clear" w:color="auto" w:fill="auto"/>
            <w:noWrap/>
          </w:tcPr>
          <w:p w14:paraId="77983FDB" w14:textId="77777777" w:rsidR="00F0088B" w:rsidRPr="00653DCF" w:rsidRDefault="00F0088B" w:rsidP="00E07A51">
            <w:pPr>
              <w:spacing w:after="0"/>
              <w:ind w:left="0"/>
              <w:jc w:val="left"/>
              <w:rPr>
                <w:rFonts w:eastAsia="Times New Roman" w:cs="Arial"/>
                <w:color w:val="auto"/>
              </w:rPr>
            </w:pPr>
            <w:r w:rsidRPr="00653DCF">
              <w:rPr>
                <w:color w:val="auto"/>
              </w:rPr>
              <w:t>HŽPP</w:t>
            </w:r>
          </w:p>
        </w:tc>
        <w:tc>
          <w:tcPr>
            <w:tcW w:w="3678" w:type="dxa"/>
            <w:shd w:val="clear" w:color="auto" w:fill="auto"/>
            <w:noWrap/>
          </w:tcPr>
          <w:p w14:paraId="26D6AAF2" w14:textId="77777777" w:rsidR="00F0088B" w:rsidRPr="00653DCF" w:rsidRDefault="00F0088B" w:rsidP="00E07A51">
            <w:pPr>
              <w:spacing w:after="0"/>
              <w:ind w:left="0"/>
              <w:jc w:val="left"/>
              <w:rPr>
                <w:rFonts w:eastAsia="Times New Roman" w:cs="Arial"/>
                <w:color w:val="auto"/>
                <w:lang w:val="fr-BE"/>
              </w:rPr>
            </w:pPr>
            <w:r w:rsidRPr="00653DCF">
              <w:rPr>
                <w:color w:val="auto"/>
                <w:lang w:val="fr-BE"/>
              </w:rPr>
              <w:t>6 Bi Mode trains (Zagreb-Split)</w:t>
            </w:r>
          </w:p>
        </w:tc>
        <w:tc>
          <w:tcPr>
            <w:tcW w:w="2127" w:type="dxa"/>
            <w:shd w:val="clear" w:color="auto" w:fill="auto"/>
            <w:noWrap/>
            <w:vAlign w:val="bottom"/>
          </w:tcPr>
          <w:p w14:paraId="1468DF75" w14:textId="77777777" w:rsidR="00F0088B" w:rsidRPr="00653DCF" w:rsidRDefault="00F0088B" w:rsidP="00E07A51">
            <w:pPr>
              <w:spacing w:after="0"/>
              <w:ind w:left="0"/>
              <w:jc w:val="left"/>
              <w:rPr>
                <w:rFonts w:eastAsia="Times New Roman" w:cs="Arial"/>
                <w:color w:val="auto"/>
                <w:lang w:val="fr-BE"/>
              </w:rPr>
            </w:pPr>
          </w:p>
        </w:tc>
        <w:tc>
          <w:tcPr>
            <w:tcW w:w="2796" w:type="dxa"/>
            <w:shd w:val="clear" w:color="auto" w:fill="auto"/>
            <w:vAlign w:val="bottom"/>
          </w:tcPr>
          <w:p w14:paraId="1651414E" w14:textId="77777777" w:rsidR="00F0088B" w:rsidRPr="00653DCF" w:rsidRDefault="00F0088B" w:rsidP="00E07A51">
            <w:pPr>
              <w:spacing w:after="0"/>
              <w:ind w:left="0"/>
              <w:jc w:val="left"/>
              <w:rPr>
                <w:rFonts w:eastAsia="Times New Roman" w:cs="Arial"/>
                <w:color w:val="auto"/>
                <w:lang w:val="fr-BE"/>
              </w:rPr>
            </w:pPr>
          </w:p>
        </w:tc>
      </w:tr>
      <w:tr w:rsidR="00F0088B" w:rsidRPr="00653DCF" w14:paraId="00D8638D" w14:textId="77777777" w:rsidTr="00E07A51">
        <w:trPr>
          <w:trHeight w:val="300"/>
          <w:tblHeader/>
        </w:trPr>
        <w:tc>
          <w:tcPr>
            <w:tcW w:w="1039" w:type="dxa"/>
            <w:shd w:val="clear" w:color="auto" w:fill="auto"/>
            <w:noWrap/>
          </w:tcPr>
          <w:p w14:paraId="15EA2190" w14:textId="77777777" w:rsidR="00F0088B" w:rsidRPr="00653DCF" w:rsidRDefault="00F0088B" w:rsidP="00E07A51">
            <w:pPr>
              <w:spacing w:after="0"/>
              <w:ind w:left="0"/>
              <w:jc w:val="left"/>
              <w:rPr>
                <w:rFonts w:eastAsia="Times New Roman" w:cs="Arial"/>
                <w:color w:val="auto"/>
              </w:rPr>
            </w:pPr>
            <w:r w:rsidRPr="00653DCF">
              <w:rPr>
                <w:color w:val="auto"/>
              </w:rPr>
              <w:t>HŽPP</w:t>
            </w:r>
          </w:p>
        </w:tc>
        <w:tc>
          <w:tcPr>
            <w:tcW w:w="3678" w:type="dxa"/>
            <w:shd w:val="clear" w:color="auto" w:fill="auto"/>
            <w:noWrap/>
          </w:tcPr>
          <w:p w14:paraId="521644CA" w14:textId="77777777" w:rsidR="00F0088B" w:rsidRPr="00653DCF" w:rsidRDefault="00F0088B" w:rsidP="00E07A51">
            <w:pPr>
              <w:spacing w:after="0"/>
              <w:ind w:left="0"/>
              <w:jc w:val="left"/>
              <w:rPr>
                <w:rFonts w:eastAsia="Times New Roman" w:cs="Arial"/>
                <w:color w:val="auto"/>
              </w:rPr>
            </w:pPr>
            <w:r w:rsidRPr="00653DCF">
              <w:rPr>
                <w:color w:val="auto"/>
              </w:rPr>
              <w:t>4 battery powered trains (Split and Istria region)</w:t>
            </w:r>
          </w:p>
        </w:tc>
        <w:tc>
          <w:tcPr>
            <w:tcW w:w="2127" w:type="dxa"/>
            <w:shd w:val="clear" w:color="auto" w:fill="auto"/>
            <w:noWrap/>
            <w:vAlign w:val="bottom"/>
          </w:tcPr>
          <w:p w14:paraId="3B59CB0E" w14:textId="77777777" w:rsidR="00F0088B" w:rsidRPr="00653DCF" w:rsidRDefault="00F0088B" w:rsidP="00E07A51">
            <w:pPr>
              <w:spacing w:after="0"/>
              <w:ind w:left="0"/>
              <w:jc w:val="left"/>
              <w:rPr>
                <w:rFonts w:eastAsia="Times New Roman" w:cs="Arial"/>
                <w:color w:val="auto"/>
              </w:rPr>
            </w:pPr>
          </w:p>
        </w:tc>
        <w:tc>
          <w:tcPr>
            <w:tcW w:w="2796" w:type="dxa"/>
            <w:shd w:val="clear" w:color="auto" w:fill="auto"/>
            <w:vAlign w:val="bottom"/>
          </w:tcPr>
          <w:p w14:paraId="7ECFB179" w14:textId="77777777" w:rsidR="00F0088B" w:rsidRPr="00653DCF" w:rsidRDefault="00F0088B" w:rsidP="00E07A51">
            <w:pPr>
              <w:spacing w:after="0"/>
              <w:ind w:left="0"/>
              <w:jc w:val="left"/>
              <w:rPr>
                <w:rFonts w:eastAsia="Times New Roman" w:cs="Arial"/>
                <w:color w:val="auto"/>
              </w:rPr>
            </w:pPr>
          </w:p>
        </w:tc>
      </w:tr>
      <w:tr w:rsidR="00F0088B" w:rsidRPr="00653DCF" w14:paraId="578A659D" w14:textId="77777777" w:rsidTr="00E07A51">
        <w:trPr>
          <w:trHeight w:val="300"/>
          <w:tblHeader/>
        </w:trPr>
        <w:tc>
          <w:tcPr>
            <w:tcW w:w="1039" w:type="dxa"/>
            <w:shd w:val="clear" w:color="auto" w:fill="auto"/>
            <w:noWrap/>
          </w:tcPr>
          <w:p w14:paraId="086FBD9E" w14:textId="77777777" w:rsidR="00F0088B" w:rsidRPr="00653DCF" w:rsidRDefault="00F0088B" w:rsidP="00E07A51">
            <w:pPr>
              <w:spacing w:after="0"/>
              <w:ind w:left="0"/>
              <w:jc w:val="left"/>
              <w:rPr>
                <w:rFonts w:eastAsia="Times New Roman" w:cs="Arial"/>
                <w:color w:val="auto"/>
              </w:rPr>
            </w:pPr>
            <w:r w:rsidRPr="00653DCF">
              <w:rPr>
                <w:color w:val="auto"/>
              </w:rPr>
              <w:t>HŽPP</w:t>
            </w:r>
          </w:p>
        </w:tc>
        <w:tc>
          <w:tcPr>
            <w:tcW w:w="3678" w:type="dxa"/>
            <w:shd w:val="clear" w:color="auto" w:fill="auto"/>
            <w:noWrap/>
          </w:tcPr>
          <w:p w14:paraId="41C9FC04" w14:textId="77777777" w:rsidR="00F0088B" w:rsidRPr="00653DCF" w:rsidRDefault="00F0088B" w:rsidP="00E07A51">
            <w:pPr>
              <w:spacing w:after="0"/>
              <w:ind w:left="0"/>
              <w:jc w:val="left"/>
              <w:rPr>
                <w:rFonts w:eastAsia="Times New Roman" w:cs="Arial"/>
                <w:color w:val="auto"/>
              </w:rPr>
            </w:pPr>
            <w:r w:rsidRPr="00653DCF">
              <w:rPr>
                <w:color w:val="auto"/>
              </w:rPr>
              <w:t>4 battery electric trains (Zagreb-Krapina, Zagreb-Bjelovar)</w:t>
            </w:r>
          </w:p>
        </w:tc>
        <w:tc>
          <w:tcPr>
            <w:tcW w:w="2127" w:type="dxa"/>
            <w:shd w:val="clear" w:color="auto" w:fill="auto"/>
            <w:noWrap/>
            <w:vAlign w:val="bottom"/>
          </w:tcPr>
          <w:p w14:paraId="7CD5EB78" w14:textId="77777777" w:rsidR="00F0088B" w:rsidRPr="00653DCF" w:rsidRDefault="00F0088B" w:rsidP="00E07A51">
            <w:pPr>
              <w:spacing w:after="0"/>
              <w:ind w:left="0"/>
              <w:jc w:val="left"/>
              <w:rPr>
                <w:rFonts w:eastAsia="Times New Roman" w:cs="Arial"/>
                <w:color w:val="auto"/>
              </w:rPr>
            </w:pPr>
          </w:p>
        </w:tc>
        <w:tc>
          <w:tcPr>
            <w:tcW w:w="2796" w:type="dxa"/>
            <w:shd w:val="clear" w:color="auto" w:fill="auto"/>
            <w:vAlign w:val="bottom"/>
          </w:tcPr>
          <w:p w14:paraId="35B7642A" w14:textId="77777777" w:rsidR="00F0088B" w:rsidRPr="00653DCF" w:rsidRDefault="00F0088B" w:rsidP="00E07A51">
            <w:pPr>
              <w:spacing w:after="0"/>
              <w:ind w:left="0"/>
              <w:jc w:val="left"/>
              <w:rPr>
                <w:rFonts w:eastAsia="Times New Roman" w:cs="Arial"/>
                <w:color w:val="auto"/>
              </w:rPr>
            </w:pPr>
          </w:p>
        </w:tc>
      </w:tr>
      <w:tr w:rsidR="00F0088B" w:rsidRPr="00653DCF" w14:paraId="27E4E35E" w14:textId="77777777" w:rsidTr="00E07A51">
        <w:trPr>
          <w:trHeight w:val="300"/>
          <w:tblHeader/>
        </w:trPr>
        <w:tc>
          <w:tcPr>
            <w:tcW w:w="1039" w:type="dxa"/>
            <w:shd w:val="clear" w:color="auto" w:fill="auto"/>
            <w:noWrap/>
          </w:tcPr>
          <w:p w14:paraId="73692760" w14:textId="77777777" w:rsidR="00F0088B" w:rsidRPr="00653DCF" w:rsidRDefault="00F0088B" w:rsidP="00E07A51">
            <w:pPr>
              <w:spacing w:after="0"/>
              <w:ind w:left="0"/>
              <w:jc w:val="left"/>
              <w:rPr>
                <w:rFonts w:eastAsia="Times New Roman" w:cs="Arial"/>
                <w:color w:val="auto"/>
              </w:rPr>
            </w:pPr>
            <w:r w:rsidRPr="00653DCF">
              <w:rPr>
                <w:color w:val="auto"/>
              </w:rPr>
              <w:t>HŽPP</w:t>
            </w:r>
          </w:p>
        </w:tc>
        <w:tc>
          <w:tcPr>
            <w:tcW w:w="3678" w:type="dxa"/>
            <w:shd w:val="clear" w:color="auto" w:fill="auto"/>
            <w:noWrap/>
          </w:tcPr>
          <w:p w14:paraId="24188AEF" w14:textId="77777777" w:rsidR="00F0088B" w:rsidRPr="00653DCF" w:rsidRDefault="00F0088B" w:rsidP="00E07A51">
            <w:pPr>
              <w:spacing w:after="0"/>
              <w:ind w:left="0"/>
              <w:jc w:val="left"/>
              <w:rPr>
                <w:rFonts w:eastAsia="Times New Roman" w:cs="Arial"/>
                <w:color w:val="auto"/>
              </w:rPr>
            </w:pPr>
            <w:r w:rsidRPr="00653DCF">
              <w:rPr>
                <w:color w:val="auto"/>
              </w:rPr>
              <w:t>Charging stations for battery trains – Lupoglav and Požega (Velika)</w:t>
            </w:r>
          </w:p>
        </w:tc>
        <w:tc>
          <w:tcPr>
            <w:tcW w:w="2127" w:type="dxa"/>
            <w:shd w:val="clear" w:color="auto" w:fill="auto"/>
            <w:noWrap/>
            <w:vAlign w:val="bottom"/>
          </w:tcPr>
          <w:p w14:paraId="5C96AC71" w14:textId="77777777" w:rsidR="00F0088B" w:rsidRPr="00653DCF" w:rsidRDefault="00F0088B" w:rsidP="00E07A51">
            <w:pPr>
              <w:spacing w:after="0"/>
              <w:ind w:left="0"/>
              <w:jc w:val="left"/>
              <w:rPr>
                <w:rFonts w:eastAsia="Times New Roman" w:cs="Arial"/>
                <w:color w:val="auto"/>
              </w:rPr>
            </w:pPr>
          </w:p>
        </w:tc>
        <w:tc>
          <w:tcPr>
            <w:tcW w:w="2796" w:type="dxa"/>
            <w:shd w:val="clear" w:color="auto" w:fill="auto"/>
            <w:vAlign w:val="bottom"/>
          </w:tcPr>
          <w:p w14:paraId="1B625F0B" w14:textId="77777777" w:rsidR="00F0088B" w:rsidRPr="00653DCF" w:rsidRDefault="00F0088B" w:rsidP="00E07A51">
            <w:pPr>
              <w:spacing w:after="0"/>
              <w:ind w:left="0"/>
              <w:jc w:val="left"/>
              <w:rPr>
                <w:rFonts w:eastAsia="Times New Roman" w:cs="Arial"/>
                <w:color w:val="auto"/>
              </w:rPr>
            </w:pPr>
          </w:p>
        </w:tc>
      </w:tr>
      <w:tr w:rsidR="00F0088B" w:rsidRPr="00653DCF" w14:paraId="7622F87D" w14:textId="77777777" w:rsidTr="00E07A51">
        <w:trPr>
          <w:trHeight w:val="300"/>
          <w:tblHeader/>
        </w:trPr>
        <w:tc>
          <w:tcPr>
            <w:tcW w:w="1039" w:type="dxa"/>
            <w:shd w:val="clear" w:color="auto" w:fill="auto"/>
            <w:noWrap/>
          </w:tcPr>
          <w:p w14:paraId="12F353BC" w14:textId="77777777" w:rsidR="00F0088B" w:rsidRPr="00653DCF" w:rsidRDefault="00F0088B" w:rsidP="00E07A51">
            <w:pPr>
              <w:spacing w:after="0"/>
              <w:ind w:left="0"/>
              <w:jc w:val="left"/>
              <w:rPr>
                <w:rFonts w:eastAsia="Times New Roman" w:cs="Arial"/>
                <w:color w:val="auto"/>
              </w:rPr>
            </w:pPr>
            <w:r w:rsidRPr="00653DCF">
              <w:rPr>
                <w:color w:val="auto"/>
              </w:rPr>
              <w:t>HŽPP</w:t>
            </w:r>
          </w:p>
        </w:tc>
        <w:tc>
          <w:tcPr>
            <w:tcW w:w="3678" w:type="dxa"/>
            <w:shd w:val="clear" w:color="auto" w:fill="auto"/>
            <w:noWrap/>
          </w:tcPr>
          <w:p w14:paraId="1BE00AD2" w14:textId="77777777" w:rsidR="00F0088B" w:rsidRPr="00653DCF" w:rsidRDefault="00F0088B" w:rsidP="00E07A51">
            <w:pPr>
              <w:spacing w:after="0"/>
              <w:ind w:left="0"/>
              <w:jc w:val="left"/>
              <w:rPr>
                <w:rFonts w:eastAsia="Times New Roman" w:cs="Arial"/>
                <w:color w:val="auto"/>
              </w:rPr>
            </w:pPr>
            <w:r w:rsidRPr="00653DCF">
              <w:rPr>
                <w:color w:val="auto"/>
              </w:rPr>
              <w:t>2 trains (EBMV and BMV) and charging stations from NRRP - difference - insufficient funds to complete the project</w:t>
            </w:r>
          </w:p>
        </w:tc>
        <w:tc>
          <w:tcPr>
            <w:tcW w:w="2127" w:type="dxa"/>
            <w:shd w:val="clear" w:color="auto" w:fill="auto"/>
            <w:noWrap/>
            <w:vAlign w:val="bottom"/>
          </w:tcPr>
          <w:p w14:paraId="7D0BE49D" w14:textId="77777777" w:rsidR="00F0088B" w:rsidRPr="00653DCF" w:rsidRDefault="00F0088B" w:rsidP="00E07A51">
            <w:pPr>
              <w:spacing w:after="0"/>
              <w:ind w:left="0"/>
              <w:jc w:val="left"/>
              <w:rPr>
                <w:rFonts w:eastAsia="Times New Roman" w:cs="Arial"/>
                <w:color w:val="auto"/>
              </w:rPr>
            </w:pPr>
          </w:p>
        </w:tc>
        <w:tc>
          <w:tcPr>
            <w:tcW w:w="2796" w:type="dxa"/>
            <w:shd w:val="clear" w:color="auto" w:fill="auto"/>
            <w:vAlign w:val="bottom"/>
          </w:tcPr>
          <w:p w14:paraId="4C4E626E" w14:textId="77777777" w:rsidR="00F0088B" w:rsidRPr="00653DCF" w:rsidRDefault="00F0088B" w:rsidP="00E07A51">
            <w:pPr>
              <w:spacing w:after="0"/>
              <w:ind w:left="0"/>
              <w:jc w:val="left"/>
              <w:rPr>
                <w:rFonts w:eastAsia="Times New Roman" w:cs="Arial"/>
                <w:color w:val="auto"/>
              </w:rPr>
            </w:pPr>
          </w:p>
        </w:tc>
      </w:tr>
      <w:tr w:rsidR="00F0088B" w:rsidRPr="00653DCF" w14:paraId="43137358" w14:textId="77777777" w:rsidTr="00E07A51">
        <w:trPr>
          <w:trHeight w:val="300"/>
          <w:tblHeader/>
        </w:trPr>
        <w:tc>
          <w:tcPr>
            <w:tcW w:w="1039" w:type="dxa"/>
            <w:shd w:val="clear" w:color="auto" w:fill="auto"/>
            <w:noWrap/>
          </w:tcPr>
          <w:p w14:paraId="36A3CE25" w14:textId="77777777" w:rsidR="00F0088B" w:rsidRPr="00653DCF" w:rsidRDefault="00F0088B" w:rsidP="00E07A51">
            <w:pPr>
              <w:spacing w:after="0"/>
              <w:ind w:left="0"/>
              <w:jc w:val="left"/>
              <w:rPr>
                <w:rFonts w:eastAsia="Times New Roman" w:cs="Arial"/>
                <w:color w:val="auto"/>
              </w:rPr>
            </w:pPr>
            <w:r w:rsidRPr="00653DCF">
              <w:rPr>
                <w:color w:val="auto"/>
              </w:rPr>
              <w:t>HŽPP</w:t>
            </w:r>
          </w:p>
        </w:tc>
        <w:tc>
          <w:tcPr>
            <w:tcW w:w="3678" w:type="dxa"/>
            <w:shd w:val="clear" w:color="auto" w:fill="auto"/>
            <w:noWrap/>
          </w:tcPr>
          <w:p w14:paraId="4528294C" w14:textId="77777777" w:rsidR="00F0088B" w:rsidRPr="00653DCF" w:rsidRDefault="00F0088B" w:rsidP="00E07A51">
            <w:pPr>
              <w:spacing w:after="0"/>
              <w:ind w:left="0"/>
              <w:jc w:val="left"/>
              <w:rPr>
                <w:rFonts w:eastAsia="Times New Roman" w:cs="Arial"/>
                <w:color w:val="auto"/>
              </w:rPr>
            </w:pPr>
            <w:r w:rsidRPr="00653DCF">
              <w:rPr>
                <w:color w:val="auto"/>
              </w:rPr>
              <w:t>Upgrading stationary power connectors to alternative sources of energy</w:t>
            </w:r>
          </w:p>
        </w:tc>
        <w:tc>
          <w:tcPr>
            <w:tcW w:w="2127" w:type="dxa"/>
            <w:shd w:val="clear" w:color="auto" w:fill="auto"/>
            <w:noWrap/>
            <w:vAlign w:val="bottom"/>
          </w:tcPr>
          <w:p w14:paraId="30C529DE" w14:textId="77777777" w:rsidR="00F0088B" w:rsidRPr="00653DCF" w:rsidRDefault="00F0088B" w:rsidP="00E07A51">
            <w:pPr>
              <w:spacing w:after="0"/>
              <w:ind w:left="0"/>
              <w:jc w:val="left"/>
              <w:rPr>
                <w:rFonts w:eastAsia="Times New Roman" w:cs="Arial"/>
                <w:color w:val="auto"/>
              </w:rPr>
            </w:pPr>
          </w:p>
        </w:tc>
        <w:tc>
          <w:tcPr>
            <w:tcW w:w="2796" w:type="dxa"/>
            <w:shd w:val="clear" w:color="auto" w:fill="auto"/>
            <w:vAlign w:val="bottom"/>
          </w:tcPr>
          <w:p w14:paraId="16E3FAA6" w14:textId="77777777" w:rsidR="00F0088B" w:rsidRPr="00653DCF" w:rsidRDefault="00F0088B" w:rsidP="00E07A51">
            <w:pPr>
              <w:spacing w:after="0"/>
              <w:ind w:left="0"/>
              <w:jc w:val="left"/>
              <w:rPr>
                <w:rFonts w:eastAsia="Times New Roman" w:cs="Arial"/>
                <w:color w:val="auto"/>
              </w:rPr>
            </w:pPr>
          </w:p>
        </w:tc>
      </w:tr>
    </w:tbl>
    <w:p w14:paraId="5C3CC3EB" w14:textId="77777777" w:rsidR="00F0088B" w:rsidRPr="00653DCF" w:rsidRDefault="00F0088B" w:rsidP="00F0088B">
      <w:pPr>
        <w:pStyle w:val="SubSchedule3EIB0"/>
        <w:numPr>
          <w:ilvl w:val="0"/>
          <w:numId w:val="0"/>
        </w:numPr>
        <w:ind w:left="1440" w:hanging="360"/>
        <w:jc w:val="both"/>
        <w:rPr>
          <w:b/>
          <w:bCs/>
          <w:color w:val="auto"/>
        </w:rPr>
      </w:pPr>
    </w:p>
    <w:p w14:paraId="2234FD1E" w14:textId="77777777" w:rsidR="00F0088B" w:rsidRPr="00653DCF" w:rsidRDefault="00F0088B" w:rsidP="00F0088B">
      <w:pPr>
        <w:spacing w:after="200" w:line="276" w:lineRule="auto"/>
        <w:ind w:left="0"/>
        <w:jc w:val="left"/>
        <w:rPr>
          <w:b/>
          <w:bCs/>
          <w:color w:val="auto"/>
          <w:u w:val="single"/>
        </w:rPr>
      </w:pPr>
      <w:r w:rsidRPr="00653DCF">
        <w:rPr>
          <w:b/>
          <w:bCs/>
          <w:color w:val="auto"/>
        </w:rPr>
        <w:br w:type="page"/>
      </w:r>
    </w:p>
    <w:p w14:paraId="65DF2D35" w14:textId="77777777" w:rsidR="00F0088B" w:rsidRPr="00653DCF" w:rsidRDefault="00F0088B" w:rsidP="0024686A">
      <w:pPr>
        <w:pStyle w:val="SubSchedule3EIB0"/>
        <w:numPr>
          <w:ilvl w:val="3"/>
          <w:numId w:val="172"/>
        </w:numPr>
        <w:rPr>
          <w:b/>
          <w:bCs/>
          <w:color w:val="auto"/>
        </w:rPr>
      </w:pPr>
      <w:r w:rsidRPr="00653DCF">
        <w:rPr>
          <w:b/>
          <w:bCs/>
          <w:color w:val="auto"/>
        </w:rPr>
        <w:t>PROJECT INFORMATION TO BE SENT TO THE BANK AND METHOD OF TRANSMISSION</w:t>
      </w:r>
    </w:p>
    <w:p w14:paraId="3DD624C5" w14:textId="77777777" w:rsidR="00F0088B" w:rsidRPr="00653DCF" w:rsidRDefault="00F0088B" w:rsidP="00F0088B">
      <w:pPr>
        <w:pStyle w:val="text"/>
        <w:spacing w:after="240"/>
        <w:rPr>
          <w:rFonts w:cs="Arial"/>
          <w:u w:val="single"/>
          <w:lang w:val="en-US"/>
        </w:rPr>
      </w:pPr>
      <w:r w:rsidRPr="00653DCF">
        <w:rPr>
          <w:rFonts w:cs="Arial"/>
          <w:lang w:val="en-US"/>
        </w:rPr>
        <w:t>A.2.1</w:t>
      </w:r>
      <w:r w:rsidRPr="00653DCF">
        <w:rPr>
          <w:rFonts w:cs="Arial"/>
          <w:lang w:val="en-US"/>
        </w:rPr>
        <w:tab/>
      </w:r>
      <w:r w:rsidRPr="00653DCF">
        <w:rPr>
          <w:rFonts w:cs="Arial"/>
          <w:u w:val="single"/>
          <w:lang w:val="en-US"/>
        </w:rPr>
        <w:t>Dispatch of information: designation of the person responsible</w:t>
      </w:r>
    </w:p>
    <w:p w14:paraId="5B4D5D3A" w14:textId="77777777" w:rsidR="00F0088B" w:rsidRPr="00653DCF" w:rsidRDefault="00F0088B" w:rsidP="00F0088B">
      <w:pPr>
        <w:pStyle w:val="text"/>
        <w:rPr>
          <w:rFonts w:cs="Arial"/>
          <w:lang w:val="en-US"/>
        </w:rPr>
      </w:pPr>
      <w:r w:rsidRPr="00653DCF">
        <w:rPr>
          <w:rFonts w:cs="Arial"/>
          <w:lang w:val="en-US"/>
        </w:rPr>
        <w:t>The information below has to be sent to the Bank under the responsibility of:</w:t>
      </w:r>
    </w:p>
    <w:p w14:paraId="41FE54BC" w14:textId="77777777" w:rsidR="00F0088B" w:rsidRPr="00653DCF" w:rsidRDefault="00F0088B" w:rsidP="00F0088B">
      <w:pPr>
        <w:pStyle w:val="text"/>
        <w:ind w:left="1069"/>
        <w:rPr>
          <w:rFonts w:cs="Arial"/>
          <w:lang w:val="en-US"/>
        </w:rPr>
      </w:pPr>
    </w:p>
    <w:tbl>
      <w:tblPr>
        <w:tblW w:w="8789"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64"/>
        <w:gridCol w:w="2977"/>
      </w:tblGrid>
      <w:tr w:rsidR="00F0088B" w:rsidRPr="00653DCF" w14:paraId="6742CFFA" w14:textId="77777777" w:rsidTr="00E07A51">
        <w:trPr>
          <w:cantSplit/>
        </w:trPr>
        <w:tc>
          <w:tcPr>
            <w:tcW w:w="2448" w:type="dxa"/>
            <w:tcBorders>
              <w:top w:val="single" w:sz="8" w:space="0" w:color="auto"/>
              <w:left w:val="single" w:sz="8" w:space="0" w:color="auto"/>
              <w:bottom w:val="single" w:sz="8" w:space="0" w:color="auto"/>
              <w:right w:val="single" w:sz="8" w:space="0" w:color="auto"/>
            </w:tcBorders>
          </w:tcPr>
          <w:p w14:paraId="550581E5" w14:textId="77777777" w:rsidR="00F0088B" w:rsidRPr="00653DCF" w:rsidRDefault="00F0088B" w:rsidP="00E07A51">
            <w:pPr>
              <w:pStyle w:val="text"/>
              <w:ind w:left="0"/>
              <w:rPr>
                <w:rFonts w:cs="Arial"/>
                <w:b/>
                <w:lang w:val="en-GB"/>
              </w:rPr>
            </w:pPr>
            <w:r w:rsidRPr="00653DCF">
              <w:rPr>
                <w:rFonts w:cs="Arial"/>
                <w:b/>
                <w:bCs/>
              </w:rPr>
              <w:t> </w:t>
            </w:r>
          </w:p>
        </w:tc>
        <w:tc>
          <w:tcPr>
            <w:tcW w:w="3364" w:type="dxa"/>
            <w:tcBorders>
              <w:top w:val="single" w:sz="8" w:space="0" w:color="auto"/>
              <w:left w:val="nil"/>
              <w:bottom w:val="single" w:sz="8" w:space="0" w:color="auto"/>
              <w:right w:val="single" w:sz="8" w:space="0" w:color="auto"/>
            </w:tcBorders>
          </w:tcPr>
          <w:p w14:paraId="4F55009D" w14:textId="77777777" w:rsidR="00F0088B" w:rsidRPr="00653DCF" w:rsidRDefault="00F0088B" w:rsidP="00E07A51">
            <w:pPr>
              <w:pStyle w:val="text"/>
              <w:ind w:left="0"/>
              <w:rPr>
                <w:rFonts w:cs="Arial"/>
                <w:b/>
                <w:iCs/>
                <w:highlight w:val="yellow"/>
                <w:lang w:val="en-GB"/>
              </w:rPr>
            </w:pPr>
            <w:r w:rsidRPr="00653DCF">
              <w:rPr>
                <w:rFonts w:cs="Arial"/>
                <w:b/>
                <w:bCs/>
              </w:rPr>
              <w:t>Financial Contact</w:t>
            </w:r>
          </w:p>
        </w:tc>
        <w:tc>
          <w:tcPr>
            <w:tcW w:w="2977" w:type="dxa"/>
            <w:tcBorders>
              <w:top w:val="single" w:sz="8" w:space="0" w:color="auto"/>
              <w:left w:val="nil"/>
              <w:bottom w:val="single" w:sz="8" w:space="0" w:color="auto"/>
              <w:right w:val="single" w:sz="8" w:space="0" w:color="auto"/>
            </w:tcBorders>
          </w:tcPr>
          <w:p w14:paraId="0B055963" w14:textId="77777777" w:rsidR="00F0088B" w:rsidRPr="00653DCF" w:rsidRDefault="00F0088B" w:rsidP="00E07A51">
            <w:pPr>
              <w:pStyle w:val="text"/>
              <w:ind w:left="0"/>
              <w:rPr>
                <w:rFonts w:cs="Arial"/>
                <w:b/>
                <w:iCs/>
                <w:highlight w:val="yellow"/>
                <w:lang w:val="en-GB"/>
              </w:rPr>
            </w:pPr>
            <w:r w:rsidRPr="00653DCF">
              <w:rPr>
                <w:rFonts w:cs="Arial"/>
                <w:b/>
                <w:bCs/>
              </w:rPr>
              <w:t>Technical Contact</w:t>
            </w:r>
          </w:p>
        </w:tc>
      </w:tr>
      <w:tr w:rsidR="00F0088B" w:rsidRPr="00653DCF" w14:paraId="74C901BC" w14:textId="77777777" w:rsidTr="00E07A51">
        <w:trPr>
          <w:cantSplit/>
        </w:trPr>
        <w:tc>
          <w:tcPr>
            <w:tcW w:w="2448" w:type="dxa"/>
            <w:tcBorders>
              <w:top w:val="nil"/>
              <w:left w:val="single" w:sz="8" w:space="0" w:color="auto"/>
              <w:bottom w:val="single" w:sz="8" w:space="0" w:color="auto"/>
              <w:right w:val="single" w:sz="8" w:space="0" w:color="auto"/>
            </w:tcBorders>
          </w:tcPr>
          <w:p w14:paraId="09319FB0" w14:textId="77777777" w:rsidR="00F0088B" w:rsidRPr="00653DCF" w:rsidRDefault="00F0088B" w:rsidP="00E07A51">
            <w:pPr>
              <w:pStyle w:val="text"/>
              <w:ind w:left="0"/>
              <w:rPr>
                <w:rFonts w:cs="Arial"/>
                <w:highlight w:val="yellow"/>
                <w:lang w:val="en-GB"/>
              </w:rPr>
            </w:pPr>
            <w:r w:rsidRPr="00653DCF">
              <w:rPr>
                <w:rFonts w:cs="Arial"/>
              </w:rPr>
              <w:t>Company</w:t>
            </w:r>
          </w:p>
        </w:tc>
        <w:tc>
          <w:tcPr>
            <w:tcW w:w="3364" w:type="dxa"/>
            <w:tcBorders>
              <w:top w:val="nil"/>
              <w:left w:val="nil"/>
              <w:bottom w:val="single" w:sz="8" w:space="0" w:color="auto"/>
              <w:right w:val="single" w:sz="8" w:space="0" w:color="auto"/>
            </w:tcBorders>
          </w:tcPr>
          <w:p w14:paraId="4FC7CBB3" w14:textId="77777777" w:rsidR="00F0088B" w:rsidRPr="00653DCF" w:rsidRDefault="00F0088B" w:rsidP="00E07A51">
            <w:pPr>
              <w:pStyle w:val="text"/>
              <w:ind w:left="0"/>
              <w:rPr>
                <w:rFonts w:cs="Arial"/>
                <w:i/>
                <w:iCs/>
                <w:highlight w:val="yellow"/>
                <w:lang w:val="en-GB"/>
              </w:rPr>
            </w:pPr>
            <w:r w:rsidRPr="00653DCF">
              <w:rPr>
                <w:rFonts w:cs="Arial"/>
              </w:rPr>
              <w:t>Ministy of Finance</w:t>
            </w:r>
          </w:p>
        </w:tc>
        <w:tc>
          <w:tcPr>
            <w:tcW w:w="2977" w:type="dxa"/>
            <w:tcBorders>
              <w:top w:val="nil"/>
              <w:left w:val="nil"/>
              <w:bottom w:val="single" w:sz="8" w:space="0" w:color="auto"/>
              <w:right w:val="single" w:sz="8" w:space="0" w:color="auto"/>
            </w:tcBorders>
          </w:tcPr>
          <w:p w14:paraId="3EDE64AC" w14:textId="77777777" w:rsidR="00F0088B" w:rsidRPr="00653DCF" w:rsidRDefault="00F0088B" w:rsidP="00E07A51">
            <w:pPr>
              <w:pStyle w:val="text"/>
              <w:ind w:left="0"/>
              <w:rPr>
                <w:rFonts w:cs="Arial"/>
                <w:i/>
                <w:iCs/>
                <w:highlight w:val="yellow"/>
                <w:lang w:val="en-GB"/>
              </w:rPr>
            </w:pPr>
            <w:r w:rsidRPr="00653DCF">
              <w:rPr>
                <w:rFonts w:cs="Arial"/>
                <w:lang w:val="en-GB"/>
              </w:rPr>
              <w:t>Ministry of the Sea, Transport and Infrastructure</w:t>
            </w:r>
          </w:p>
        </w:tc>
      </w:tr>
      <w:tr w:rsidR="00F0088B" w:rsidRPr="00653DCF" w14:paraId="5F4E2C66" w14:textId="77777777" w:rsidTr="00E07A51">
        <w:trPr>
          <w:cantSplit/>
        </w:trPr>
        <w:tc>
          <w:tcPr>
            <w:tcW w:w="2448" w:type="dxa"/>
            <w:tcBorders>
              <w:top w:val="nil"/>
              <w:left w:val="single" w:sz="8" w:space="0" w:color="auto"/>
              <w:bottom w:val="single" w:sz="8" w:space="0" w:color="auto"/>
              <w:right w:val="single" w:sz="8" w:space="0" w:color="auto"/>
            </w:tcBorders>
          </w:tcPr>
          <w:p w14:paraId="5E546EAC" w14:textId="77777777" w:rsidR="00F0088B" w:rsidRPr="00653DCF" w:rsidRDefault="00F0088B" w:rsidP="00E07A51">
            <w:pPr>
              <w:pStyle w:val="text"/>
              <w:ind w:left="0"/>
              <w:rPr>
                <w:rFonts w:cs="Arial"/>
                <w:highlight w:val="yellow"/>
                <w:lang w:val="en-GB"/>
              </w:rPr>
            </w:pPr>
            <w:r w:rsidRPr="00653DCF">
              <w:rPr>
                <w:rFonts w:cs="Arial"/>
              </w:rPr>
              <w:t>Contact person</w:t>
            </w:r>
          </w:p>
        </w:tc>
        <w:tc>
          <w:tcPr>
            <w:tcW w:w="3364" w:type="dxa"/>
            <w:tcBorders>
              <w:top w:val="nil"/>
              <w:left w:val="nil"/>
              <w:bottom w:val="single" w:sz="8" w:space="0" w:color="auto"/>
              <w:right w:val="single" w:sz="8" w:space="0" w:color="auto"/>
            </w:tcBorders>
          </w:tcPr>
          <w:p w14:paraId="6826B38B" w14:textId="77777777" w:rsidR="00F0088B" w:rsidRPr="00653DCF" w:rsidRDefault="00F0088B" w:rsidP="00E07A51">
            <w:pPr>
              <w:pStyle w:val="text"/>
              <w:ind w:left="0"/>
              <w:rPr>
                <w:rFonts w:cs="Arial"/>
                <w:i/>
                <w:iCs/>
                <w:highlight w:val="yellow"/>
                <w:lang w:val="en-GB"/>
              </w:rPr>
            </w:pPr>
            <w:r w:rsidRPr="00653DCF">
              <w:rPr>
                <w:rFonts w:cs="Arial"/>
                <w:lang w:val="en-GB"/>
              </w:rPr>
              <w:t>Sector for European Union and International Financial Relations</w:t>
            </w:r>
          </w:p>
        </w:tc>
        <w:tc>
          <w:tcPr>
            <w:tcW w:w="2977" w:type="dxa"/>
            <w:tcBorders>
              <w:top w:val="nil"/>
              <w:left w:val="nil"/>
              <w:bottom w:val="single" w:sz="8" w:space="0" w:color="auto"/>
              <w:right w:val="single" w:sz="8" w:space="0" w:color="auto"/>
            </w:tcBorders>
          </w:tcPr>
          <w:p w14:paraId="2FC2CD63" w14:textId="77777777" w:rsidR="00F0088B" w:rsidRPr="00653DCF" w:rsidRDefault="00F0088B" w:rsidP="00E07A51">
            <w:pPr>
              <w:pStyle w:val="text"/>
              <w:ind w:left="0"/>
              <w:rPr>
                <w:rFonts w:cs="Arial"/>
                <w:i/>
                <w:iCs/>
                <w:highlight w:val="yellow"/>
                <w:lang w:val="en-GB"/>
              </w:rPr>
            </w:pPr>
            <w:r w:rsidRPr="00653DCF">
              <w:rPr>
                <w:rFonts w:cs="Arial"/>
                <w:lang w:val="en-GB"/>
              </w:rPr>
              <w:t>Directorate for Railway Infrastructure and Transport</w:t>
            </w:r>
          </w:p>
        </w:tc>
      </w:tr>
      <w:tr w:rsidR="00F0088B" w:rsidRPr="00653DCF" w14:paraId="7076E297" w14:textId="77777777" w:rsidTr="00E07A51">
        <w:trPr>
          <w:cantSplit/>
        </w:trPr>
        <w:tc>
          <w:tcPr>
            <w:tcW w:w="2448" w:type="dxa"/>
            <w:tcBorders>
              <w:top w:val="nil"/>
              <w:left w:val="single" w:sz="8" w:space="0" w:color="auto"/>
              <w:bottom w:val="single" w:sz="8" w:space="0" w:color="auto"/>
              <w:right w:val="single" w:sz="8" w:space="0" w:color="auto"/>
            </w:tcBorders>
          </w:tcPr>
          <w:p w14:paraId="550A324D" w14:textId="77777777" w:rsidR="00F0088B" w:rsidRPr="00653DCF" w:rsidRDefault="00F0088B" w:rsidP="00E07A51">
            <w:pPr>
              <w:pStyle w:val="text"/>
              <w:ind w:left="0"/>
              <w:rPr>
                <w:rFonts w:cs="Arial"/>
                <w:highlight w:val="yellow"/>
                <w:lang w:val="en-GB"/>
              </w:rPr>
            </w:pPr>
            <w:r w:rsidRPr="00653DCF">
              <w:rPr>
                <w:rFonts w:cs="Arial"/>
              </w:rPr>
              <w:t>Title</w:t>
            </w:r>
          </w:p>
        </w:tc>
        <w:tc>
          <w:tcPr>
            <w:tcW w:w="3364" w:type="dxa"/>
            <w:tcBorders>
              <w:top w:val="nil"/>
              <w:left w:val="nil"/>
              <w:bottom w:val="single" w:sz="8" w:space="0" w:color="auto"/>
              <w:right w:val="single" w:sz="8" w:space="0" w:color="auto"/>
            </w:tcBorders>
          </w:tcPr>
          <w:p w14:paraId="0338875F" w14:textId="77777777" w:rsidR="00F0088B" w:rsidRPr="00653DCF" w:rsidRDefault="00F0088B" w:rsidP="00E07A51">
            <w:pPr>
              <w:pStyle w:val="text"/>
              <w:ind w:left="0"/>
              <w:rPr>
                <w:rFonts w:cs="Arial"/>
                <w:i/>
                <w:iCs/>
                <w:highlight w:val="yellow"/>
                <w:lang w:val="en-GB"/>
              </w:rPr>
            </w:pPr>
            <w:r w:rsidRPr="00653DCF">
              <w:rPr>
                <w:rFonts w:cs="Arial"/>
              </w:rPr>
              <w:t>not applicable</w:t>
            </w:r>
          </w:p>
        </w:tc>
        <w:tc>
          <w:tcPr>
            <w:tcW w:w="2977" w:type="dxa"/>
            <w:tcBorders>
              <w:top w:val="nil"/>
              <w:left w:val="nil"/>
              <w:bottom w:val="single" w:sz="8" w:space="0" w:color="auto"/>
              <w:right w:val="single" w:sz="8" w:space="0" w:color="auto"/>
            </w:tcBorders>
          </w:tcPr>
          <w:p w14:paraId="2AAE015C" w14:textId="77777777" w:rsidR="00F0088B" w:rsidRPr="00653DCF" w:rsidRDefault="00F0088B" w:rsidP="00E07A51">
            <w:pPr>
              <w:pStyle w:val="text"/>
              <w:ind w:left="0"/>
              <w:rPr>
                <w:rFonts w:cs="Arial"/>
                <w:i/>
                <w:iCs/>
                <w:highlight w:val="yellow"/>
                <w:lang w:val="en-GB"/>
              </w:rPr>
            </w:pPr>
            <w:r w:rsidRPr="00653DCF">
              <w:rPr>
                <w:rFonts w:cs="Arial"/>
              </w:rPr>
              <w:t>not applicable</w:t>
            </w:r>
          </w:p>
        </w:tc>
      </w:tr>
      <w:tr w:rsidR="00F0088B" w:rsidRPr="00653DCF" w14:paraId="6673EC6A" w14:textId="77777777" w:rsidTr="00E07A51">
        <w:trPr>
          <w:cantSplit/>
        </w:trPr>
        <w:tc>
          <w:tcPr>
            <w:tcW w:w="2448" w:type="dxa"/>
            <w:tcBorders>
              <w:top w:val="nil"/>
              <w:left w:val="single" w:sz="8" w:space="0" w:color="auto"/>
              <w:bottom w:val="single" w:sz="8" w:space="0" w:color="auto"/>
              <w:right w:val="single" w:sz="8" w:space="0" w:color="auto"/>
            </w:tcBorders>
          </w:tcPr>
          <w:p w14:paraId="1BDFA63B" w14:textId="77777777" w:rsidR="00F0088B" w:rsidRPr="00653DCF" w:rsidRDefault="00F0088B" w:rsidP="00E07A51">
            <w:pPr>
              <w:pStyle w:val="text"/>
              <w:ind w:left="0"/>
              <w:rPr>
                <w:rFonts w:cs="Arial"/>
                <w:highlight w:val="yellow"/>
                <w:lang w:val="en-GB"/>
              </w:rPr>
            </w:pPr>
            <w:r w:rsidRPr="00653DCF">
              <w:rPr>
                <w:rFonts w:cs="Arial"/>
                <w:lang w:val="en-GB"/>
              </w:rPr>
              <w:t>Function / Department financial and technical</w:t>
            </w:r>
          </w:p>
        </w:tc>
        <w:tc>
          <w:tcPr>
            <w:tcW w:w="3364" w:type="dxa"/>
            <w:tcBorders>
              <w:top w:val="nil"/>
              <w:left w:val="nil"/>
              <w:bottom w:val="single" w:sz="8" w:space="0" w:color="auto"/>
              <w:right w:val="single" w:sz="8" w:space="0" w:color="auto"/>
            </w:tcBorders>
          </w:tcPr>
          <w:p w14:paraId="6DF8E425" w14:textId="77777777" w:rsidR="00F0088B" w:rsidRPr="00653DCF" w:rsidRDefault="00F0088B" w:rsidP="00E07A51">
            <w:pPr>
              <w:pStyle w:val="text"/>
              <w:ind w:left="0"/>
              <w:rPr>
                <w:rFonts w:cs="Arial"/>
                <w:i/>
                <w:iCs/>
                <w:highlight w:val="yellow"/>
                <w:lang w:val="en-GB"/>
              </w:rPr>
            </w:pPr>
            <w:r w:rsidRPr="00653DCF">
              <w:rPr>
                <w:rFonts w:cs="Arial"/>
              </w:rPr>
              <w:t>not applicable</w:t>
            </w:r>
          </w:p>
        </w:tc>
        <w:tc>
          <w:tcPr>
            <w:tcW w:w="2977" w:type="dxa"/>
            <w:tcBorders>
              <w:top w:val="nil"/>
              <w:left w:val="nil"/>
              <w:bottom w:val="single" w:sz="8" w:space="0" w:color="auto"/>
              <w:right w:val="single" w:sz="8" w:space="0" w:color="auto"/>
            </w:tcBorders>
          </w:tcPr>
          <w:p w14:paraId="005560EC" w14:textId="77777777" w:rsidR="00F0088B" w:rsidRPr="00653DCF" w:rsidRDefault="00F0088B" w:rsidP="00E07A51">
            <w:pPr>
              <w:pStyle w:val="text"/>
              <w:ind w:left="0"/>
              <w:rPr>
                <w:rFonts w:cs="Arial"/>
                <w:i/>
                <w:iCs/>
                <w:highlight w:val="yellow"/>
                <w:lang w:val="en-GB"/>
              </w:rPr>
            </w:pPr>
            <w:r w:rsidRPr="00653DCF">
              <w:rPr>
                <w:rFonts w:cs="Arial"/>
              </w:rPr>
              <w:t>not applicable</w:t>
            </w:r>
          </w:p>
        </w:tc>
      </w:tr>
      <w:tr w:rsidR="00F0088B" w:rsidRPr="00653DCF" w14:paraId="4962892D" w14:textId="77777777" w:rsidTr="00E07A51">
        <w:trPr>
          <w:cantSplit/>
        </w:trPr>
        <w:tc>
          <w:tcPr>
            <w:tcW w:w="2448" w:type="dxa"/>
            <w:tcBorders>
              <w:top w:val="nil"/>
              <w:left w:val="single" w:sz="8" w:space="0" w:color="auto"/>
              <w:bottom w:val="single" w:sz="8" w:space="0" w:color="auto"/>
              <w:right w:val="single" w:sz="8" w:space="0" w:color="auto"/>
            </w:tcBorders>
          </w:tcPr>
          <w:p w14:paraId="08417E92" w14:textId="77777777" w:rsidR="00F0088B" w:rsidRPr="00653DCF" w:rsidRDefault="00F0088B" w:rsidP="00E07A51">
            <w:pPr>
              <w:pStyle w:val="text"/>
              <w:ind w:left="0"/>
              <w:rPr>
                <w:rFonts w:cs="Arial"/>
                <w:highlight w:val="yellow"/>
                <w:lang w:val="en-GB"/>
              </w:rPr>
            </w:pPr>
            <w:r w:rsidRPr="00653DCF">
              <w:rPr>
                <w:rFonts w:cs="Arial"/>
              </w:rPr>
              <w:t>Address</w:t>
            </w:r>
          </w:p>
        </w:tc>
        <w:tc>
          <w:tcPr>
            <w:tcW w:w="3364" w:type="dxa"/>
            <w:tcBorders>
              <w:top w:val="nil"/>
              <w:left w:val="nil"/>
              <w:bottom w:val="single" w:sz="8" w:space="0" w:color="auto"/>
              <w:right w:val="single" w:sz="8" w:space="0" w:color="auto"/>
            </w:tcBorders>
          </w:tcPr>
          <w:p w14:paraId="53A163A8" w14:textId="77777777" w:rsidR="00F0088B" w:rsidRPr="00653DCF" w:rsidRDefault="00F0088B" w:rsidP="00E07A51">
            <w:pPr>
              <w:pStyle w:val="text"/>
              <w:ind w:left="0"/>
              <w:rPr>
                <w:rFonts w:cs="Arial"/>
                <w:i/>
                <w:iCs/>
                <w:highlight w:val="yellow"/>
                <w:lang w:val="en-GB"/>
              </w:rPr>
            </w:pPr>
            <w:r w:rsidRPr="00653DCF">
              <w:rPr>
                <w:rFonts w:cs="Arial"/>
                <w:lang w:val="en-GB"/>
              </w:rPr>
              <w:t>Katančićeva 5, 10000 Zagreb, Republic of Croatia</w:t>
            </w:r>
          </w:p>
        </w:tc>
        <w:tc>
          <w:tcPr>
            <w:tcW w:w="2977" w:type="dxa"/>
            <w:tcBorders>
              <w:top w:val="nil"/>
              <w:left w:val="nil"/>
              <w:bottom w:val="single" w:sz="8" w:space="0" w:color="auto"/>
              <w:right w:val="single" w:sz="8" w:space="0" w:color="auto"/>
            </w:tcBorders>
          </w:tcPr>
          <w:p w14:paraId="7178FBD8" w14:textId="77777777" w:rsidR="00F0088B" w:rsidRPr="00653DCF" w:rsidRDefault="00F0088B" w:rsidP="00E07A51">
            <w:pPr>
              <w:pStyle w:val="text"/>
              <w:ind w:left="0"/>
              <w:rPr>
                <w:rFonts w:cs="Arial"/>
                <w:i/>
                <w:iCs/>
                <w:highlight w:val="yellow"/>
                <w:lang w:val="en-GB"/>
              </w:rPr>
            </w:pPr>
            <w:r w:rsidRPr="00653DCF">
              <w:rPr>
                <w:rFonts w:cs="Arial"/>
                <w:lang w:val="en-GB"/>
              </w:rPr>
              <w:t>Prisavlje 14, 10000 Zagreb, Republic of Croatia</w:t>
            </w:r>
          </w:p>
        </w:tc>
      </w:tr>
      <w:tr w:rsidR="00F0088B" w:rsidRPr="00653DCF" w14:paraId="51E40242" w14:textId="77777777" w:rsidTr="00E07A51">
        <w:trPr>
          <w:cantSplit/>
        </w:trPr>
        <w:tc>
          <w:tcPr>
            <w:tcW w:w="2448" w:type="dxa"/>
            <w:tcBorders>
              <w:top w:val="nil"/>
              <w:left w:val="single" w:sz="8" w:space="0" w:color="auto"/>
              <w:bottom w:val="single" w:sz="8" w:space="0" w:color="auto"/>
              <w:right w:val="single" w:sz="8" w:space="0" w:color="auto"/>
            </w:tcBorders>
          </w:tcPr>
          <w:p w14:paraId="643558FD" w14:textId="77777777" w:rsidR="00F0088B" w:rsidRPr="00653DCF" w:rsidRDefault="00F0088B" w:rsidP="00E07A51">
            <w:pPr>
              <w:pStyle w:val="text"/>
              <w:ind w:left="0"/>
              <w:rPr>
                <w:rFonts w:cs="Arial"/>
                <w:highlight w:val="yellow"/>
                <w:lang w:val="en-GB"/>
              </w:rPr>
            </w:pPr>
            <w:r w:rsidRPr="00653DCF">
              <w:rPr>
                <w:rFonts w:cs="Arial"/>
              </w:rPr>
              <w:t>Phone</w:t>
            </w:r>
          </w:p>
        </w:tc>
        <w:tc>
          <w:tcPr>
            <w:tcW w:w="3364" w:type="dxa"/>
            <w:tcBorders>
              <w:top w:val="nil"/>
              <w:left w:val="nil"/>
              <w:bottom w:val="single" w:sz="8" w:space="0" w:color="auto"/>
              <w:right w:val="single" w:sz="8" w:space="0" w:color="auto"/>
            </w:tcBorders>
          </w:tcPr>
          <w:p w14:paraId="6DA3D359" w14:textId="77777777" w:rsidR="00F0088B" w:rsidRPr="00653DCF" w:rsidRDefault="00F0088B" w:rsidP="00E07A51">
            <w:pPr>
              <w:pStyle w:val="text"/>
              <w:ind w:left="0"/>
              <w:rPr>
                <w:rFonts w:cs="Arial"/>
                <w:i/>
                <w:iCs/>
                <w:highlight w:val="yellow"/>
                <w:lang w:val="en-GB"/>
              </w:rPr>
            </w:pPr>
            <w:r w:rsidRPr="00653DCF">
              <w:rPr>
                <w:rFonts w:cs="Arial"/>
              </w:rPr>
              <w:t>+385 1 4591 258</w:t>
            </w:r>
          </w:p>
        </w:tc>
        <w:tc>
          <w:tcPr>
            <w:tcW w:w="2977" w:type="dxa"/>
            <w:tcBorders>
              <w:top w:val="nil"/>
              <w:left w:val="nil"/>
              <w:bottom w:val="single" w:sz="8" w:space="0" w:color="auto"/>
              <w:right w:val="single" w:sz="8" w:space="0" w:color="auto"/>
            </w:tcBorders>
          </w:tcPr>
          <w:p w14:paraId="40EFFDAF" w14:textId="77777777" w:rsidR="00F0088B" w:rsidRPr="00653DCF" w:rsidRDefault="00F0088B" w:rsidP="00E07A51">
            <w:pPr>
              <w:pStyle w:val="text"/>
              <w:ind w:left="0"/>
              <w:rPr>
                <w:rFonts w:cs="Arial"/>
                <w:i/>
                <w:iCs/>
                <w:highlight w:val="yellow"/>
                <w:lang w:val="en-GB"/>
              </w:rPr>
            </w:pPr>
            <w:r w:rsidRPr="00653DCF">
              <w:rPr>
                <w:rFonts w:cs="Arial"/>
              </w:rPr>
              <w:t>+385 1 3784 504</w:t>
            </w:r>
          </w:p>
        </w:tc>
      </w:tr>
      <w:tr w:rsidR="00F0088B" w:rsidRPr="00653DCF" w14:paraId="6D45A62A" w14:textId="77777777" w:rsidTr="00E07A51">
        <w:trPr>
          <w:cantSplit/>
        </w:trPr>
        <w:tc>
          <w:tcPr>
            <w:tcW w:w="2448" w:type="dxa"/>
            <w:tcBorders>
              <w:top w:val="nil"/>
              <w:left w:val="single" w:sz="8" w:space="0" w:color="auto"/>
              <w:bottom w:val="single" w:sz="8" w:space="0" w:color="auto"/>
              <w:right w:val="single" w:sz="8" w:space="0" w:color="auto"/>
            </w:tcBorders>
          </w:tcPr>
          <w:p w14:paraId="33377618" w14:textId="77777777" w:rsidR="00F0088B" w:rsidRPr="00653DCF" w:rsidRDefault="00F0088B" w:rsidP="00E07A51">
            <w:pPr>
              <w:pStyle w:val="text"/>
              <w:ind w:left="0"/>
              <w:rPr>
                <w:rFonts w:cs="Arial"/>
                <w:highlight w:val="yellow"/>
                <w:lang w:val="en-GB"/>
              </w:rPr>
            </w:pPr>
            <w:r w:rsidRPr="00653DCF">
              <w:rPr>
                <w:rFonts w:cs="Arial"/>
              </w:rPr>
              <w:t>Fax</w:t>
            </w:r>
          </w:p>
        </w:tc>
        <w:tc>
          <w:tcPr>
            <w:tcW w:w="3364" w:type="dxa"/>
            <w:tcBorders>
              <w:top w:val="nil"/>
              <w:left w:val="nil"/>
              <w:bottom w:val="single" w:sz="8" w:space="0" w:color="auto"/>
              <w:right w:val="single" w:sz="8" w:space="0" w:color="auto"/>
            </w:tcBorders>
          </w:tcPr>
          <w:p w14:paraId="71BA4192" w14:textId="77777777" w:rsidR="00F0088B" w:rsidRPr="00653DCF" w:rsidRDefault="00F0088B" w:rsidP="00E07A51">
            <w:pPr>
              <w:pStyle w:val="text"/>
              <w:ind w:left="0"/>
              <w:rPr>
                <w:rFonts w:cs="Arial"/>
                <w:i/>
                <w:iCs/>
                <w:highlight w:val="yellow"/>
                <w:lang w:val="en-GB"/>
              </w:rPr>
            </w:pPr>
            <w:r w:rsidRPr="00653DCF">
              <w:rPr>
                <w:rFonts w:cs="Arial"/>
              </w:rPr>
              <w:t>+385 1 4922 598</w:t>
            </w:r>
          </w:p>
        </w:tc>
        <w:tc>
          <w:tcPr>
            <w:tcW w:w="2977" w:type="dxa"/>
            <w:tcBorders>
              <w:top w:val="nil"/>
              <w:left w:val="nil"/>
              <w:bottom w:val="single" w:sz="8" w:space="0" w:color="auto"/>
              <w:right w:val="single" w:sz="8" w:space="0" w:color="auto"/>
            </w:tcBorders>
          </w:tcPr>
          <w:p w14:paraId="1172697D" w14:textId="77777777" w:rsidR="00F0088B" w:rsidRPr="00653DCF" w:rsidRDefault="00F0088B" w:rsidP="00E07A51">
            <w:pPr>
              <w:pStyle w:val="text"/>
              <w:ind w:left="0"/>
              <w:rPr>
                <w:rFonts w:cs="Arial"/>
                <w:i/>
                <w:iCs/>
                <w:highlight w:val="yellow"/>
                <w:lang w:val="en-GB"/>
              </w:rPr>
            </w:pPr>
            <w:r w:rsidRPr="00653DCF">
              <w:rPr>
                <w:rFonts w:cs="Arial"/>
              </w:rPr>
              <w:t>+385 1 3784 591</w:t>
            </w:r>
          </w:p>
        </w:tc>
      </w:tr>
      <w:tr w:rsidR="00F0088B" w:rsidRPr="00653DCF" w14:paraId="385C79D7" w14:textId="77777777" w:rsidTr="00E07A51">
        <w:trPr>
          <w:cantSplit/>
        </w:trPr>
        <w:tc>
          <w:tcPr>
            <w:tcW w:w="2448" w:type="dxa"/>
            <w:tcBorders>
              <w:top w:val="nil"/>
              <w:left w:val="single" w:sz="8" w:space="0" w:color="auto"/>
              <w:bottom w:val="single" w:sz="8" w:space="0" w:color="auto"/>
              <w:right w:val="single" w:sz="8" w:space="0" w:color="auto"/>
            </w:tcBorders>
          </w:tcPr>
          <w:p w14:paraId="24049D95" w14:textId="77777777" w:rsidR="00F0088B" w:rsidRPr="00653DCF" w:rsidRDefault="00F0088B" w:rsidP="00E07A51">
            <w:pPr>
              <w:pStyle w:val="text"/>
              <w:ind w:left="0"/>
              <w:rPr>
                <w:rFonts w:cs="Arial"/>
                <w:highlight w:val="yellow"/>
                <w:lang w:val="en-GB"/>
              </w:rPr>
            </w:pPr>
            <w:r w:rsidRPr="00653DCF">
              <w:rPr>
                <w:rFonts w:cs="Arial"/>
              </w:rPr>
              <w:t>Email</w:t>
            </w:r>
          </w:p>
        </w:tc>
        <w:tc>
          <w:tcPr>
            <w:tcW w:w="3364" w:type="dxa"/>
            <w:tcBorders>
              <w:top w:val="nil"/>
              <w:left w:val="nil"/>
              <w:bottom w:val="single" w:sz="8" w:space="0" w:color="auto"/>
              <w:right w:val="single" w:sz="8" w:space="0" w:color="auto"/>
            </w:tcBorders>
          </w:tcPr>
          <w:p w14:paraId="601E2E93" w14:textId="77777777" w:rsidR="00F0088B" w:rsidRPr="00653DCF" w:rsidRDefault="001617BF" w:rsidP="00E07A51">
            <w:pPr>
              <w:pStyle w:val="text"/>
              <w:ind w:left="0"/>
              <w:rPr>
                <w:rFonts w:cs="Arial"/>
                <w:i/>
                <w:iCs/>
                <w:highlight w:val="yellow"/>
                <w:lang w:val="en-GB"/>
              </w:rPr>
            </w:pPr>
            <w:hyperlink r:id="rId26" w:history="1">
              <w:r w:rsidR="00F0088B" w:rsidRPr="00653DCF">
                <w:rPr>
                  <w:rStyle w:val="Hyperlink"/>
                  <w:rFonts w:cs="Arial"/>
                  <w:color w:val="auto"/>
                </w:rPr>
                <w:t>sectorifr@mfin.hr</w:t>
              </w:r>
            </w:hyperlink>
          </w:p>
        </w:tc>
        <w:tc>
          <w:tcPr>
            <w:tcW w:w="2977" w:type="dxa"/>
            <w:tcBorders>
              <w:top w:val="nil"/>
              <w:left w:val="nil"/>
              <w:bottom w:val="single" w:sz="8" w:space="0" w:color="auto"/>
              <w:right w:val="single" w:sz="8" w:space="0" w:color="auto"/>
            </w:tcBorders>
          </w:tcPr>
          <w:p w14:paraId="00EDA841" w14:textId="77777777" w:rsidR="00F0088B" w:rsidRPr="00653DCF" w:rsidRDefault="001617BF" w:rsidP="00E07A51">
            <w:pPr>
              <w:pStyle w:val="text"/>
              <w:ind w:left="0"/>
              <w:rPr>
                <w:rFonts w:cs="Arial"/>
                <w:i/>
                <w:iCs/>
                <w:lang w:val="en-GB"/>
              </w:rPr>
            </w:pPr>
            <w:hyperlink r:id="rId27" w:history="1">
              <w:r w:rsidR="00F0088B" w:rsidRPr="00653DCF">
                <w:rPr>
                  <w:rStyle w:val="Hyperlink"/>
                  <w:rFonts w:cs="Arial"/>
                  <w:color w:val="auto"/>
                </w:rPr>
                <w:t>uprava.zeljeznice@mmpi.hr</w:t>
              </w:r>
            </w:hyperlink>
          </w:p>
        </w:tc>
      </w:tr>
    </w:tbl>
    <w:p w14:paraId="4EBAF7BC" w14:textId="77777777" w:rsidR="00F0088B" w:rsidRPr="00653DCF" w:rsidRDefault="00F0088B" w:rsidP="00F0088B">
      <w:pPr>
        <w:pStyle w:val="text"/>
        <w:ind w:left="1069"/>
        <w:rPr>
          <w:rFonts w:cs="Arial"/>
          <w:lang w:val="en-US"/>
        </w:rPr>
      </w:pPr>
    </w:p>
    <w:p w14:paraId="75BEC94D" w14:textId="77777777" w:rsidR="00F0088B" w:rsidRPr="00653DCF" w:rsidRDefault="00F0088B" w:rsidP="00F0088B">
      <w:pPr>
        <w:pStyle w:val="text"/>
        <w:jc w:val="left"/>
        <w:rPr>
          <w:rFonts w:cs="Arial"/>
          <w:lang w:val="en-GB"/>
        </w:rPr>
      </w:pPr>
      <w:r w:rsidRPr="00653DCF">
        <w:rPr>
          <w:rFonts w:cs="Arial"/>
          <w:lang w:val="en-GB"/>
        </w:rPr>
        <w:t xml:space="preserve">The above-mentioned contact person(s) is (are) the responsible contact(s) for the time being. </w:t>
      </w:r>
    </w:p>
    <w:p w14:paraId="333D7F4B" w14:textId="77777777" w:rsidR="00F0088B" w:rsidRPr="00653DCF" w:rsidRDefault="00F0088B" w:rsidP="00F0088B">
      <w:pPr>
        <w:pStyle w:val="text"/>
        <w:jc w:val="left"/>
        <w:rPr>
          <w:rFonts w:cs="Arial"/>
          <w:lang w:val="en-GB"/>
        </w:rPr>
      </w:pPr>
      <w:r w:rsidRPr="00653DCF">
        <w:rPr>
          <w:rFonts w:cs="Arial"/>
          <w:lang w:val="en-GB"/>
        </w:rPr>
        <w:t>The Borrower (acting through the Promoter) shall inform the EIB immediately in case of any change.</w:t>
      </w:r>
    </w:p>
    <w:p w14:paraId="59491E83" w14:textId="77777777" w:rsidR="00F0088B" w:rsidRPr="00653DCF" w:rsidRDefault="00F0088B" w:rsidP="00F0088B">
      <w:pPr>
        <w:pStyle w:val="text"/>
        <w:ind w:left="1069"/>
        <w:rPr>
          <w:rFonts w:cs="Arial"/>
          <w:lang w:val="en-US"/>
        </w:rPr>
      </w:pPr>
    </w:p>
    <w:p w14:paraId="65245F41" w14:textId="77777777" w:rsidR="00F0088B" w:rsidRPr="00653DCF" w:rsidRDefault="00F0088B" w:rsidP="00F0088B">
      <w:pPr>
        <w:pStyle w:val="text"/>
        <w:rPr>
          <w:rFonts w:cs="Arial"/>
          <w:lang w:val="en-GB"/>
        </w:rPr>
      </w:pPr>
      <w:r w:rsidRPr="00653DCF">
        <w:rPr>
          <w:rFonts w:cs="Arial"/>
          <w:lang w:val="en-US"/>
        </w:rPr>
        <w:t>A.2.2.</w:t>
      </w:r>
      <w:r w:rsidRPr="00653DCF">
        <w:rPr>
          <w:rFonts w:cs="Arial"/>
          <w:lang w:val="en-US"/>
        </w:rPr>
        <w:tab/>
      </w:r>
      <w:r w:rsidRPr="00653DCF">
        <w:rPr>
          <w:rFonts w:cs="Arial"/>
          <w:u w:val="single"/>
          <w:lang w:val="en-US"/>
        </w:rPr>
        <w:t>Information on specific subjects</w:t>
      </w:r>
      <w:r w:rsidRPr="00653DCF">
        <w:rPr>
          <w:rFonts w:cs="Arial"/>
          <w:lang w:val="en-US"/>
        </w:rPr>
        <w:t xml:space="preserve"> </w:t>
      </w:r>
    </w:p>
    <w:p w14:paraId="3F672E62" w14:textId="77777777" w:rsidR="00F0088B" w:rsidRPr="00653DCF" w:rsidRDefault="00F0088B" w:rsidP="00F0088B">
      <w:pPr>
        <w:pStyle w:val="text"/>
        <w:rPr>
          <w:rFonts w:cs="Arial"/>
          <w:lang w:val="en-US"/>
        </w:rPr>
      </w:pPr>
    </w:p>
    <w:p w14:paraId="746B4369" w14:textId="77777777" w:rsidR="00F0088B" w:rsidRPr="00653DCF" w:rsidRDefault="00F0088B" w:rsidP="00F0088B">
      <w:pPr>
        <w:pStyle w:val="text"/>
        <w:rPr>
          <w:rFonts w:cs="Arial"/>
          <w:lang w:val="en-US"/>
        </w:rPr>
      </w:pPr>
      <w:r w:rsidRPr="00653DCF">
        <w:rPr>
          <w:rFonts w:cs="Arial"/>
          <w:lang w:val="en-US"/>
        </w:rPr>
        <w:t>The Borrower (acting through the Promoter) shall deliver to the Bank the following information at the latest by the deadline indicated below.</w:t>
      </w:r>
    </w:p>
    <w:p w14:paraId="5205FCDE" w14:textId="77777777" w:rsidR="00F0088B" w:rsidRPr="00653DCF" w:rsidRDefault="00F0088B" w:rsidP="00F0088B">
      <w:pPr>
        <w:pStyle w:val="text"/>
        <w:ind w:left="1069"/>
        <w:rPr>
          <w:rFonts w:cs="Arial"/>
          <w:lang w:val="en-US"/>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394"/>
        <w:gridCol w:w="2395"/>
      </w:tblGrid>
      <w:tr w:rsidR="00F0088B" w:rsidRPr="00653DCF" w14:paraId="5E9C9166" w14:textId="77777777" w:rsidTr="00E07A51">
        <w:trPr>
          <w:cantSplit/>
        </w:trPr>
        <w:tc>
          <w:tcPr>
            <w:tcW w:w="6394" w:type="dxa"/>
            <w:tcBorders>
              <w:bottom w:val="single" w:sz="4" w:space="0" w:color="auto"/>
            </w:tcBorders>
          </w:tcPr>
          <w:p w14:paraId="4AC2B5E0" w14:textId="77777777" w:rsidR="00F0088B" w:rsidRPr="00653DCF" w:rsidRDefault="00F0088B" w:rsidP="00E07A51">
            <w:pPr>
              <w:pStyle w:val="text"/>
              <w:ind w:left="0"/>
              <w:rPr>
                <w:rFonts w:cs="Arial"/>
                <w:b/>
                <w:bCs/>
                <w:lang w:val="fr-BE"/>
              </w:rPr>
            </w:pPr>
            <w:r w:rsidRPr="00653DCF">
              <w:rPr>
                <w:rFonts w:cs="Arial"/>
                <w:b/>
                <w:bCs/>
                <w:lang w:val="fr-BE"/>
              </w:rPr>
              <w:t>Document / information</w:t>
            </w:r>
          </w:p>
        </w:tc>
        <w:tc>
          <w:tcPr>
            <w:tcW w:w="2395" w:type="dxa"/>
            <w:tcBorders>
              <w:bottom w:val="single" w:sz="4" w:space="0" w:color="auto"/>
            </w:tcBorders>
          </w:tcPr>
          <w:p w14:paraId="2AC83B6D" w14:textId="77777777" w:rsidR="00F0088B" w:rsidRPr="00653DCF" w:rsidRDefault="00F0088B" w:rsidP="00E07A51">
            <w:pPr>
              <w:pStyle w:val="text"/>
              <w:ind w:left="0"/>
              <w:rPr>
                <w:rFonts w:cs="Arial"/>
                <w:b/>
                <w:bCs/>
                <w:lang w:val="fr-BE"/>
              </w:rPr>
            </w:pPr>
            <w:r w:rsidRPr="00653DCF">
              <w:rPr>
                <w:rFonts w:cs="Arial"/>
                <w:b/>
                <w:bCs/>
                <w:lang w:val="fr-BE"/>
              </w:rPr>
              <w:t>Deadline</w:t>
            </w:r>
          </w:p>
        </w:tc>
      </w:tr>
      <w:tr w:rsidR="00F0088B" w:rsidRPr="00653DCF" w14:paraId="23755082" w14:textId="77777777" w:rsidTr="00E07A51">
        <w:trPr>
          <w:cantSplit/>
        </w:trPr>
        <w:tc>
          <w:tcPr>
            <w:tcW w:w="6394" w:type="dxa"/>
          </w:tcPr>
          <w:p w14:paraId="3782D6DD" w14:textId="77777777" w:rsidR="00F0088B" w:rsidRPr="00653DCF" w:rsidRDefault="00F0088B" w:rsidP="00E07A51">
            <w:pPr>
              <w:pStyle w:val="text"/>
              <w:ind w:left="0"/>
              <w:rPr>
                <w:rFonts w:cs="Arial"/>
                <w:i/>
                <w:iCs/>
                <w:lang w:val="en-GB"/>
              </w:rPr>
            </w:pPr>
            <w:r w:rsidRPr="00653DCF">
              <w:rPr>
                <w:rFonts w:cs="Arial"/>
                <w:i/>
                <w:iCs/>
                <w:lang w:val="en-GB"/>
              </w:rPr>
              <w:t>Copy of the signed Project Agreement</w:t>
            </w:r>
          </w:p>
        </w:tc>
        <w:tc>
          <w:tcPr>
            <w:tcW w:w="2395" w:type="dxa"/>
          </w:tcPr>
          <w:p w14:paraId="3179A9D6" w14:textId="77777777" w:rsidR="00F0088B" w:rsidRPr="00653DCF" w:rsidRDefault="00F0088B" w:rsidP="00E07A51">
            <w:pPr>
              <w:pStyle w:val="text"/>
              <w:ind w:left="0"/>
              <w:rPr>
                <w:rFonts w:cs="Arial"/>
                <w:i/>
                <w:iCs/>
                <w:lang w:val="en-GB"/>
              </w:rPr>
            </w:pPr>
            <w:r w:rsidRPr="00653DCF">
              <w:rPr>
                <w:rFonts w:cs="Arial"/>
                <w:i/>
                <w:iCs/>
                <w:lang w:val="en-GB"/>
              </w:rPr>
              <w:t>Before first disbursement</w:t>
            </w:r>
          </w:p>
        </w:tc>
      </w:tr>
      <w:tr w:rsidR="00F0088B" w:rsidRPr="00653DCF" w14:paraId="11EEE650" w14:textId="77777777" w:rsidTr="00E07A51">
        <w:trPr>
          <w:cantSplit/>
        </w:trPr>
        <w:tc>
          <w:tcPr>
            <w:tcW w:w="6394" w:type="dxa"/>
          </w:tcPr>
          <w:p w14:paraId="669E55EE" w14:textId="77777777" w:rsidR="00F0088B" w:rsidRPr="00653DCF" w:rsidRDefault="00F0088B" w:rsidP="00E07A51">
            <w:pPr>
              <w:pStyle w:val="text"/>
              <w:ind w:left="0"/>
              <w:rPr>
                <w:rFonts w:cs="Arial"/>
                <w:i/>
                <w:iCs/>
                <w:lang w:val="en-GB"/>
              </w:rPr>
            </w:pPr>
            <w:r w:rsidRPr="00653DCF">
              <w:rPr>
                <w:rFonts w:cs="Arial"/>
                <w:i/>
                <w:iCs/>
                <w:lang w:val="en-GB"/>
              </w:rPr>
              <w:t>Copy of Public Service Contract for HŽPP ending in 2028.</w:t>
            </w:r>
          </w:p>
        </w:tc>
        <w:tc>
          <w:tcPr>
            <w:tcW w:w="2395" w:type="dxa"/>
          </w:tcPr>
          <w:p w14:paraId="635368F8" w14:textId="77777777" w:rsidR="00F0088B" w:rsidRPr="00653DCF" w:rsidRDefault="00F0088B" w:rsidP="00E07A51">
            <w:pPr>
              <w:pStyle w:val="text"/>
              <w:ind w:left="0"/>
              <w:rPr>
                <w:rFonts w:cs="Arial"/>
                <w:i/>
                <w:iCs/>
                <w:lang w:val="en-GB"/>
              </w:rPr>
            </w:pPr>
            <w:r w:rsidRPr="00653DCF">
              <w:rPr>
                <w:rFonts w:cs="Arial"/>
                <w:i/>
                <w:iCs/>
                <w:lang w:val="en-GB"/>
              </w:rPr>
              <w:t>Before first rolling stock disbursement</w:t>
            </w:r>
          </w:p>
        </w:tc>
      </w:tr>
      <w:tr w:rsidR="00F0088B" w:rsidRPr="00653DCF" w14:paraId="121536A5" w14:textId="77777777" w:rsidTr="00E07A51">
        <w:trPr>
          <w:cantSplit/>
        </w:trPr>
        <w:tc>
          <w:tcPr>
            <w:tcW w:w="6394" w:type="dxa"/>
          </w:tcPr>
          <w:p w14:paraId="150633FA" w14:textId="77777777" w:rsidR="00F0088B" w:rsidRPr="00653DCF" w:rsidRDefault="00F0088B" w:rsidP="00E07A51">
            <w:pPr>
              <w:pStyle w:val="text"/>
              <w:ind w:left="0"/>
              <w:rPr>
                <w:rFonts w:cs="Arial"/>
                <w:i/>
                <w:iCs/>
                <w:lang w:val="en-GB"/>
              </w:rPr>
            </w:pPr>
            <w:r w:rsidRPr="00653DCF">
              <w:rPr>
                <w:rFonts w:cs="Arial"/>
                <w:i/>
                <w:iCs/>
                <w:lang w:val="en-GB"/>
              </w:rPr>
              <w:t>Before the first allocations towards Project of HŽPP, the promoter shall confirm that there no outstanding state aid issues relating to the public service contract for the railway operator.</w:t>
            </w:r>
          </w:p>
        </w:tc>
        <w:tc>
          <w:tcPr>
            <w:tcW w:w="2395" w:type="dxa"/>
          </w:tcPr>
          <w:p w14:paraId="2A04B80B" w14:textId="77777777" w:rsidR="00F0088B" w:rsidRPr="00653DCF" w:rsidRDefault="00F0088B" w:rsidP="00E07A51">
            <w:pPr>
              <w:pStyle w:val="text"/>
              <w:ind w:left="0"/>
              <w:rPr>
                <w:rFonts w:cs="Arial"/>
                <w:i/>
                <w:iCs/>
                <w:lang w:val="en-GB"/>
              </w:rPr>
            </w:pPr>
            <w:r w:rsidRPr="00653DCF">
              <w:rPr>
                <w:rFonts w:cs="Arial"/>
                <w:i/>
                <w:iCs/>
                <w:lang w:val="en-GB"/>
              </w:rPr>
              <w:t>Before first allocations towards Project of HŽPP</w:t>
            </w:r>
          </w:p>
        </w:tc>
      </w:tr>
      <w:tr w:rsidR="00F0088B" w:rsidRPr="00653DCF" w14:paraId="158A58F5" w14:textId="77777777" w:rsidTr="00E07A51">
        <w:trPr>
          <w:cantSplit/>
        </w:trPr>
        <w:tc>
          <w:tcPr>
            <w:tcW w:w="6394" w:type="dxa"/>
          </w:tcPr>
          <w:p w14:paraId="52DE17B4" w14:textId="77777777" w:rsidR="00F0088B" w:rsidRPr="00653DCF" w:rsidRDefault="00F0088B" w:rsidP="00E07A51">
            <w:pPr>
              <w:pStyle w:val="text"/>
              <w:ind w:left="0"/>
              <w:rPr>
                <w:rFonts w:cs="Arial"/>
                <w:lang w:val="en-GB"/>
              </w:rPr>
            </w:pPr>
            <w:r w:rsidRPr="00653DCF">
              <w:rPr>
                <w:rFonts w:cs="Arial"/>
                <w:i/>
                <w:iCs/>
                <w:lang w:val="en-GB"/>
              </w:rPr>
              <w:t>Copy of tender notice for Public Service Contract following current contract ending in 2028.</w:t>
            </w:r>
          </w:p>
        </w:tc>
        <w:tc>
          <w:tcPr>
            <w:tcW w:w="2395" w:type="dxa"/>
          </w:tcPr>
          <w:p w14:paraId="2D404456" w14:textId="77777777" w:rsidR="00F0088B" w:rsidRPr="00653DCF" w:rsidRDefault="00F0088B" w:rsidP="00E07A51">
            <w:pPr>
              <w:pStyle w:val="text"/>
              <w:ind w:left="0"/>
              <w:rPr>
                <w:rFonts w:cs="Arial"/>
                <w:i/>
                <w:iCs/>
                <w:lang w:val="en-GB"/>
              </w:rPr>
            </w:pPr>
            <w:r w:rsidRPr="00653DCF">
              <w:rPr>
                <w:rFonts w:cs="Arial"/>
                <w:i/>
                <w:iCs/>
                <w:lang w:val="en-GB"/>
              </w:rPr>
              <w:t>At time of publication</w:t>
            </w:r>
          </w:p>
        </w:tc>
      </w:tr>
      <w:tr w:rsidR="00F0088B" w:rsidRPr="00653DCF" w14:paraId="748BF7CB" w14:textId="77777777" w:rsidTr="00E07A51">
        <w:trPr>
          <w:cantSplit/>
        </w:trPr>
        <w:tc>
          <w:tcPr>
            <w:tcW w:w="6394" w:type="dxa"/>
          </w:tcPr>
          <w:p w14:paraId="77836DF1" w14:textId="77777777" w:rsidR="00F0088B" w:rsidRPr="00653DCF" w:rsidRDefault="00F0088B" w:rsidP="00E07A51">
            <w:pPr>
              <w:pStyle w:val="text"/>
              <w:ind w:left="0"/>
              <w:rPr>
                <w:rFonts w:cs="Arial"/>
                <w:i/>
                <w:iCs/>
                <w:lang w:val="en-GB"/>
              </w:rPr>
            </w:pPr>
            <w:r w:rsidRPr="00653DCF">
              <w:rPr>
                <w:rFonts w:cs="Arial"/>
                <w:i/>
                <w:iCs/>
                <w:lang w:val="en-GB"/>
              </w:rPr>
              <w:t>Copy of contact award notice for Public Service Contract following current contract ending in 2028.</w:t>
            </w:r>
          </w:p>
        </w:tc>
        <w:tc>
          <w:tcPr>
            <w:tcW w:w="2395" w:type="dxa"/>
          </w:tcPr>
          <w:p w14:paraId="081DA693" w14:textId="77777777" w:rsidR="00F0088B" w:rsidRPr="00653DCF" w:rsidRDefault="00F0088B" w:rsidP="00E07A51">
            <w:pPr>
              <w:pStyle w:val="text"/>
              <w:ind w:left="0"/>
              <w:rPr>
                <w:rFonts w:cs="Arial"/>
                <w:i/>
                <w:iCs/>
                <w:lang w:val="en-GB"/>
              </w:rPr>
            </w:pPr>
            <w:r w:rsidRPr="00653DCF">
              <w:rPr>
                <w:rFonts w:cs="Arial"/>
                <w:i/>
                <w:iCs/>
                <w:lang w:val="en-GB"/>
              </w:rPr>
              <w:t>At time of publication</w:t>
            </w:r>
          </w:p>
        </w:tc>
      </w:tr>
      <w:tr w:rsidR="00F0088B" w:rsidRPr="00653DCF" w14:paraId="715A8181" w14:textId="77777777" w:rsidTr="00E07A51">
        <w:trPr>
          <w:cantSplit/>
        </w:trPr>
        <w:tc>
          <w:tcPr>
            <w:tcW w:w="6394" w:type="dxa"/>
          </w:tcPr>
          <w:p w14:paraId="38AE0EE6" w14:textId="77777777" w:rsidR="00F0088B" w:rsidRPr="00653DCF" w:rsidRDefault="00F0088B" w:rsidP="00E07A51">
            <w:pPr>
              <w:pStyle w:val="text"/>
              <w:ind w:left="0"/>
              <w:rPr>
                <w:rFonts w:cs="Arial"/>
                <w:i/>
                <w:iCs/>
                <w:lang w:val="en-GB"/>
              </w:rPr>
            </w:pPr>
            <w:r w:rsidRPr="00653DCF">
              <w:rPr>
                <w:rFonts w:cs="Arial"/>
                <w:i/>
                <w:iCs/>
                <w:lang w:val="en-GB"/>
              </w:rPr>
              <w:t>Overview of Project pipeline with updated costings and clearly marked additions and removals.</w:t>
            </w:r>
          </w:p>
        </w:tc>
        <w:tc>
          <w:tcPr>
            <w:tcW w:w="2395" w:type="dxa"/>
          </w:tcPr>
          <w:p w14:paraId="087E539E" w14:textId="77777777" w:rsidR="00F0088B" w:rsidRPr="00653DCF" w:rsidRDefault="00F0088B" w:rsidP="00E07A51">
            <w:pPr>
              <w:pStyle w:val="text"/>
              <w:ind w:left="0"/>
              <w:rPr>
                <w:rFonts w:cs="Arial"/>
                <w:i/>
                <w:iCs/>
                <w:lang w:val="en-GB"/>
              </w:rPr>
            </w:pPr>
            <w:r w:rsidRPr="00653DCF">
              <w:rPr>
                <w:rFonts w:cs="Arial"/>
                <w:i/>
                <w:iCs/>
                <w:lang w:val="en-GB"/>
              </w:rPr>
              <w:t>Annually, 1 October of each year</w:t>
            </w:r>
          </w:p>
        </w:tc>
      </w:tr>
    </w:tbl>
    <w:p w14:paraId="3827190A" w14:textId="77777777" w:rsidR="00F0088B" w:rsidRPr="00653DCF" w:rsidRDefault="00F0088B" w:rsidP="00F0088B">
      <w:pPr>
        <w:rPr>
          <w:color w:val="auto"/>
        </w:rPr>
      </w:pPr>
    </w:p>
    <w:p w14:paraId="4EF8731E" w14:textId="77777777" w:rsidR="00F0088B" w:rsidRPr="00653DCF" w:rsidRDefault="00F0088B" w:rsidP="00F0088B">
      <w:pPr>
        <w:spacing w:after="200" w:line="276" w:lineRule="auto"/>
        <w:ind w:left="0"/>
        <w:jc w:val="left"/>
        <w:rPr>
          <w:color w:val="auto"/>
        </w:rPr>
      </w:pPr>
      <w:r w:rsidRPr="00653DCF">
        <w:rPr>
          <w:color w:val="auto"/>
        </w:rPr>
        <w:br w:type="page"/>
      </w:r>
    </w:p>
    <w:p w14:paraId="2C65219D" w14:textId="77777777" w:rsidR="00F0088B" w:rsidRPr="00653DCF" w:rsidRDefault="00F0088B" w:rsidP="00F0088B">
      <w:pPr>
        <w:pStyle w:val="text"/>
        <w:rPr>
          <w:lang w:val="en-US"/>
        </w:rPr>
      </w:pPr>
      <w:r w:rsidRPr="00653DCF">
        <w:rPr>
          <w:rFonts w:cs="Arial"/>
          <w:lang w:val="en-US"/>
        </w:rPr>
        <w:t>A.2.3.</w:t>
      </w:r>
      <w:r w:rsidRPr="00653DCF">
        <w:rPr>
          <w:rFonts w:cs="Arial"/>
          <w:lang w:val="en-US"/>
        </w:rPr>
        <w:tab/>
      </w:r>
      <w:r w:rsidRPr="00653DCF">
        <w:rPr>
          <w:rFonts w:cs="Arial"/>
          <w:u w:val="single"/>
          <w:lang w:val="en-US"/>
        </w:rPr>
        <w:t>Information on the Project’s implementation</w:t>
      </w:r>
      <w:r w:rsidRPr="00653DCF">
        <w:rPr>
          <w:rFonts w:cs="Arial"/>
          <w:lang w:val="en-US"/>
        </w:rPr>
        <w:t xml:space="preserve"> </w:t>
      </w:r>
    </w:p>
    <w:p w14:paraId="3EC74419" w14:textId="77777777" w:rsidR="00F0088B" w:rsidRPr="00653DCF" w:rsidRDefault="00F0088B" w:rsidP="00F0088B">
      <w:pPr>
        <w:spacing w:after="0"/>
        <w:ind w:left="0"/>
        <w:rPr>
          <w:rFonts w:eastAsia="Times New Roman" w:cs="Arial"/>
          <w:color w:val="auto"/>
          <w:lang w:val="en-US"/>
        </w:rPr>
      </w:pPr>
    </w:p>
    <w:p w14:paraId="7D8C5888" w14:textId="77777777" w:rsidR="00F0088B" w:rsidRPr="00653DCF" w:rsidRDefault="00F0088B" w:rsidP="00F0088B">
      <w:pPr>
        <w:spacing w:after="0"/>
        <w:ind w:left="709"/>
        <w:rPr>
          <w:rFonts w:eastAsia="Times New Roman" w:cs="Arial"/>
          <w:color w:val="auto"/>
          <w:lang w:val="en-US"/>
        </w:rPr>
      </w:pPr>
      <w:r w:rsidRPr="00653DCF">
        <w:rPr>
          <w:rFonts w:eastAsia="Times New Roman" w:cs="Arial"/>
          <w:color w:val="auto"/>
          <w:lang w:val="en-US"/>
        </w:rPr>
        <w:t>The Borrower (acting through the Promoter) shall deliver to the Bank the following information on Project progress during implementation at the latest by the deadline indicated below.</w:t>
      </w:r>
    </w:p>
    <w:p w14:paraId="0C2D575D" w14:textId="77777777" w:rsidR="00F0088B" w:rsidRPr="00653DCF" w:rsidRDefault="00F0088B" w:rsidP="00F0088B">
      <w:pPr>
        <w:spacing w:after="0"/>
        <w:ind w:left="0"/>
        <w:rPr>
          <w:rFonts w:eastAsia="Times New Roman" w:cs="Arial"/>
          <w:color w:val="auto"/>
          <w:lang w:val="en-US"/>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095"/>
        <w:gridCol w:w="1134"/>
        <w:gridCol w:w="1560"/>
      </w:tblGrid>
      <w:tr w:rsidR="00F0088B" w:rsidRPr="00653DCF" w14:paraId="2E5B4E31" w14:textId="77777777" w:rsidTr="00E07A51">
        <w:trPr>
          <w:cantSplit/>
          <w:trHeight w:val="572"/>
        </w:trPr>
        <w:tc>
          <w:tcPr>
            <w:tcW w:w="6095" w:type="dxa"/>
            <w:tcBorders>
              <w:bottom w:val="single" w:sz="4" w:space="0" w:color="auto"/>
            </w:tcBorders>
          </w:tcPr>
          <w:p w14:paraId="427D4B4C" w14:textId="77777777" w:rsidR="00F0088B" w:rsidRPr="00653DCF" w:rsidRDefault="00F0088B" w:rsidP="00E07A51">
            <w:pPr>
              <w:spacing w:after="0"/>
              <w:ind w:left="0"/>
              <w:rPr>
                <w:rFonts w:eastAsia="Times New Roman" w:cs="Arial"/>
                <w:b/>
                <w:bCs/>
                <w:color w:val="auto"/>
                <w:lang w:val="fr-BE"/>
              </w:rPr>
            </w:pPr>
            <w:r w:rsidRPr="00653DCF">
              <w:rPr>
                <w:rFonts w:eastAsia="Times New Roman" w:cs="Arial"/>
                <w:b/>
                <w:bCs/>
                <w:color w:val="auto"/>
                <w:lang w:val="fr-BE"/>
              </w:rPr>
              <w:t>Document / information</w:t>
            </w:r>
          </w:p>
        </w:tc>
        <w:tc>
          <w:tcPr>
            <w:tcW w:w="1134" w:type="dxa"/>
            <w:tcBorders>
              <w:bottom w:val="single" w:sz="4" w:space="0" w:color="auto"/>
            </w:tcBorders>
          </w:tcPr>
          <w:p w14:paraId="5BBE8B82" w14:textId="77777777" w:rsidR="00F0088B" w:rsidRPr="00653DCF" w:rsidRDefault="00F0088B" w:rsidP="00E07A51">
            <w:pPr>
              <w:spacing w:after="0"/>
              <w:ind w:left="0"/>
              <w:rPr>
                <w:rFonts w:eastAsia="Times New Roman" w:cs="Arial"/>
                <w:b/>
                <w:bCs/>
                <w:color w:val="auto"/>
                <w:lang w:val="fr-BE"/>
              </w:rPr>
            </w:pPr>
            <w:r w:rsidRPr="00653DCF">
              <w:rPr>
                <w:rFonts w:eastAsia="Times New Roman" w:cs="Arial"/>
                <w:b/>
                <w:bCs/>
                <w:color w:val="auto"/>
                <w:lang w:val="fr-BE"/>
              </w:rPr>
              <w:t>Deadline</w:t>
            </w:r>
          </w:p>
        </w:tc>
        <w:tc>
          <w:tcPr>
            <w:tcW w:w="1560" w:type="dxa"/>
            <w:tcBorders>
              <w:bottom w:val="single" w:sz="4" w:space="0" w:color="auto"/>
            </w:tcBorders>
          </w:tcPr>
          <w:p w14:paraId="37FADF75" w14:textId="77777777" w:rsidR="00F0088B" w:rsidRPr="00653DCF" w:rsidRDefault="00F0088B" w:rsidP="00E07A51">
            <w:pPr>
              <w:spacing w:after="0"/>
              <w:ind w:left="0"/>
              <w:rPr>
                <w:rFonts w:eastAsia="Times New Roman" w:cs="Arial"/>
                <w:b/>
                <w:bCs/>
                <w:color w:val="auto"/>
              </w:rPr>
            </w:pPr>
            <w:r w:rsidRPr="00653DCF">
              <w:rPr>
                <w:rFonts w:eastAsia="Times New Roman" w:cs="Arial"/>
                <w:b/>
                <w:iCs/>
                <w:color w:val="auto"/>
              </w:rPr>
              <w:t>Frequency of reporting</w:t>
            </w:r>
          </w:p>
        </w:tc>
      </w:tr>
      <w:tr w:rsidR="00F0088B" w:rsidRPr="00653DCF" w14:paraId="7B51F8A7" w14:textId="77777777" w:rsidTr="00E07A51">
        <w:trPr>
          <w:cantSplit/>
        </w:trPr>
        <w:tc>
          <w:tcPr>
            <w:tcW w:w="6095" w:type="dxa"/>
          </w:tcPr>
          <w:p w14:paraId="7FD37A99" w14:textId="77777777" w:rsidR="00F0088B" w:rsidRPr="00653DCF" w:rsidRDefault="00F0088B" w:rsidP="00E07A51">
            <w:pPr>
              <w:ind w:left="0"/>
              <w:rPr>
                <w:rFonts w:eastAsia="Times New Roman" w:cs="Arial"/>
                <w:color w:val="auto"/>
              </w:rPr>
            </w:pPr>
            <w:r w:rsidRPr="00653DCF">
              <w:rPr>
                <w:rFonts w:eastAsia="Times New Roman" w:cs="Arial"/>
                <w:color w:val="auto"/>
              </w:rPr>
              <w:t>Project Progress Report, including:</w:t>
            </w:r>
          </w:p>
          <w:p w14:paraId="6F1346C0" w14:textId="77777777" w:rsidR="00F0088B" w:rsidRPr="00653DCF" w:rsidRDefault="00F0088B" w:rsidP="00E07A51">
            <w:pPr>
              <w:numPr>
                <w:ilvl w:val="0"/>
                <w:numId w:val="87"/>
              </w:numPr>
              <w:spacing w:after="0"/>
              <w:rPr>
                <w:rFonts w:eastAsia="Times New Roman" w:cs="Arial"/>
                <w:i/>
                <w:iCs/>
                <w:color w:val="auto"/>
              </w:rPr>
            </w:pPr>
            <w:r w:rsidRPr="00653DCF">
              <w:rPr>
                <w:rFonts w:eastAsia="Times New Roman" w:cs="Arial"/>
                <w:i/>
                <w:iCs/>
                <w:color w:val="auto"/>
              </w:rPr>
              <w:t>A brief update on the Technical Description, explaining the reasons for significant changes vs. initial scope;</w:t>
            </w:r>
          </w:p>
          <w:p w14:paraId="518E27AA" w14:textId="77777777" w:rsidR="00F0088B" w:rsidRPr="00653DCF" w:rsidRDefault="00F0088B" w:rsidP="00E07A51">
            <w:pPr>
              <w:numPr>
                <w:ilvl w:val="0"/>
                <w:numId w:val="87"/>
              </w:numPr>
              <w:spacing w:after="0"/>
              <w:rPr>
                <w:rFonts w:eastAsia="Times New Roman" w:cs="Arial"/>
                <w:i/>
                <w:iCs/>
                <w:color w:val="auto"/>
              </w:rPr>
            </w:pPr>
            <w:r w:rsidRPr="00653DCF">
              <w:rPr>
                <w:rFonts w:eastAsia="Times New Roman" w:cs="Arial"/>
                <w:i/>
                <w:iCs/>
                <w:color w:val="auto"/>
              </w:rPr>
              <w:t>Update on the date of completion of each of the main Project’s components, explaining reasons for any possible delay;</w:t>
            </w:r>
          </w:p>
          <w:p w14:paraId="55947E99" w14:textId="77777777" w:rsidR="00F0088B" w:rsidRPr="00653DCF" w:rsidRDefault="00F0088B" w:rsidP="00E07A51">
            <w:pPr>
              <w:numPr>
                <w:ilvl w:val="0"/>
                <w:numId w:val="87"/>
              </w:numPr>
              <w:spacing w:after="0"/>
              <w:rPr>
                <w:rFonts w:eastAsia="Times New Roman" w:cs="Arial"/>
                <w:i/>
                <w:iCs/>
                <w:color w:val="auto"/>
              </w:rPr>
            </w:pPr>
            <w:r w:rsidRPr="00653DCF">
              <w:rPr>
                <w:rFonts w:eastAsia="Times New Roman" w:cs="Arial"/>
                <w:i/>
                <w:iCs/>
                <w:color w:val="auto"/>
              </w:rPr>
              <w:t>Update on the Project pipeline including but not limited to costs, dates for implementation, explaining reasons for variations;</w:t>
            </w:r>
          </w:p>
          <w:p w14:paraId="3CC98541" w14:textId="77777777" w:rsidR="00F0088B" w:rsidRPr="00653DCF" w:rsidRDefault="00F0088B" w:rsidP="00E07A51">
            <w:pPr>
              <w:numPr>
                <w:ilvl w:val="0"/>
                <w:numId w:val="87"/>
              </w:numPr>
              <w:spacing w:after="0"/>
              <w:rPr>
                <w:rFonts w:eastAsia="Times New Roman" w:cs="Arial"/>
                <w:i/>
                <w:iCs/>
                <w:color w:val="auto"/>
              </w:rPr>
            </w:pPr>
            <w:r w:rsidRPr="00653DCF">
              <w:rPr>
                <w:rFonts w:eastAsia="Times New Roman" w:cs="Arial"/>
                <w:i/>
                <w:iCs/>
                <w:color w:val="auto"/>
              </w:rPr>
              <w:t>A description of any major issue with impact on the environment and/or social impact for individual Projects or the Project pipeline overall;</w:t>
            </w:r>
          </w:p>
          <w:p w14:paraId="1A09E801" w14:textId="77777777" w:rsidR="00F0088B" w:rsidRPr="00653DCF" w:rsidRDefault="00F0088B" w:rsidP="00E07A51">
            <w:pPr>
              <w:numPr>
                <w:ilvl w:val="0"/>
                <w:numId w:val="87"/>
              </w:numPr>
              <w:spacing w:after="0"/>
              <w:rPr>
                <w:rFonts w:eastAsia="Times New Roman" w:cs="Arial"/>
                <w:i/>
                <w:iCs/>
                <w:color w:val="auto"/>
              </w:rPr>
            </w:pPr>
            <w:r w:rsidRPr="00653DCF">
              <w:rPr>
                <w:rFonts w:eastAsia="Times New Roman" w:cs="Arial"/>
                <w:i/>
                <w:iCs/>
                <w:color w:val="auto"/>
              </w:rPr>
              <w:t>Update of the procurement plans for the schemes to which the loan has been allocated;</w:t>
            </w:r>
          </w:p>
          <w:p w14:paraId="09163C98" w14:textId="77777777" w:rsidR="00F0088B" w:rsidRPr="00653DCF" w:rsidRDefault="00F0088B" w:rsidP="00E07A51">
            <w:pPr>
              <w:numPr>
                <w:ilvl w:val="0"/>
                <w:numId w:val="87"/>
              </w:numPr>
              <w:spacing w:after="0"/>
              <w:rPr>
                <w:rFonts w:eastAsia="Times New Roman" w:cs="Arial"/>
                <w:i/>
                <w:iCs/>
                <w:color w:val="auto"/>
              </w:rPr>
            </w:pPr>
            <w:r w:rsidRPr="00653DCF">
              <w:rPr>
                <w:rFonts w:eastAsia="Times New Roman" w:cs="Arial"/>
                <w:i/>
                <w:iCs/>
                <w:color w:val="auto"/>
              </w:rPr>
              <w:t>Update on national railway usage for passenger and freight markets;</w:t>
            </w:r>
          </w:p>
          <w:p w14:paraId="351F389C" w14:textId="77777777" w:rsidR="00F0088B" w:rsidRPr="00653DCF" w:rsidRDefault="00F0088B" w:rsidP="00E07A51">
            <w:pPr>
              <w:numPr>
                <w:ilvl w:val="0"/>
                <w:numId w:val="87"/>
              </w:numPr>
              <w:spacing w:after="0"/>
              <w:rPr>
                <w:rFonts w:eastAsia="Times New Roman" w:cs="Arial"/>
                <w:color w:val="auto"/>
              </w:rPr>
            </w:pPr>
            <w:r w:rsidRPr="00653DCF">
              <w:rPr>
                <w:rFonts w:eastAsia="Times New Roman" w:cs="Arial"/>
                <w:i/>
                <w:iCs/>
                <w:color w:val="auto"/>
              </w:rPr>
              <w:t>Any significant issue that has occurred and any significant risk that may affect the framework loan’s operations;</w:t>
            </w:r>
          </w:p>
          <w:p w14:paraId="09CB84A7" w14:textId="77777777" w:rsidR="00F0088B" w:rsidRPr="00653DCF" w:rsidRDefault="00F0088B" w:rsidP="00E07A51">
            <w:pPr>
              <w:numPr>
                <w:ilvl w:val="0"/>
                <w:numId w:val="87"/>
              </w:numPr>
              <w:spacing w:after="0"/>
              <w:rPr>
                <w:rFonts w:eastAsia="Times New Roman" w:cs="Arial"/>
                <w:color w:val="auto"/>
              </w:rPr>
            </w:pPr>
            <w:r w:rsidRPr="00653DCF">
              <w:rPr>
                <w:rFonts w:eastAsia="Times New Roman" w:cs="Arial"/>
                <w:i/>
                <w:iCs/>
                <w:color w:val="auto"/>
              </w:rPr>
              <w:t>Any significant issue that has occurred and any significant risk that may affect the framework loan’s allocated or likely soon to be allocated;</w:t>
            </w:r>
          </w:p>
          <w:p w14:paraId="5FACB52F" w14:textId="77777777" w:rsidR="00F0088B" w:rsidRPr="00653DCF" w:rsidRDefault="00F0088B" w:rsidP="00E07A51">
            <w:pPr>
              <w:numPr>
                <w:ilvl w:val="0"/>
                <w:numId w:val="87"/>
              </w:numPr>
              <w:spacing w:after="0"/>
              <w:rPr>
                <w:rFonts w:eastAsia="Times New Roman" w:cs="Arial"/>
                <w:color w:val="auto"/>
              </w:rPr>
            </w:pPr>
            <w:r w:rsidRPr="00653DCF">
              <w:rPr>
                <w:rFonts w:eastAsia="Times New Roman" w:cs="Arial"/>
                <w:i/>
                <w:iCs/>
                <w:color w:val="auto"/>
              </w:rPr>
              <w:t>Any legal action concerning the Project that may be on-going;</w:t>
            </w:r>
          </w:p>
          <w:p w14:paraId="7FAFC6F4" w14:textId="77777777" w:rsidR="00F0088B" w:rsidRPr="00653DCF" w:rsidRDefault="00F0088B" w:rsidP="00E07A51">
            <w:pPr>
              <w:numPr>
                <w:ilvl w:val="0"/>
                <w:numId w:val="87"/>
              </w:numPr>
              <w:spacing w:after="0"/>
              <w:contextualSpacing/>
              <w:rPr>
                <w:rFonts w:eastAsia="Times New Roman" w:cs="Arial"/>
                <w:i/>
                <w:color w:val="auto"/>
              </w:rPr>
            </w:pPr>
            <w:r w:rsidRPr="00653DCF">
              <w:rPr>
                <w:rFonts w:eastAsia="Times New Roman" w:cs="Arial"/>
                <w:i/>
                <w:color w:val="auto"/>
              </w:rPr>
              <w:t>Non-confidential Project-related pictures, if available;</w:t>
            </w:r>
          </w:p>
          <w:p w14:paraId="15707AA6" w14:textId="77777777" w:rsidR="00F0088B" w:rsidRPr="00653DCF" w:rsidRDefault="00F0088B" w:rsidP="00E07A51">
            <w:pPr>
              <w:numPr>
                <w:ilvl w:val="0"/>
                <w:numId w:val="87"/>
              </w:numPr>
              <w:spacing w:after="160" w:line="256" w:lineRule="auto"/>
              <w:contextualSpacing/>
              <w:rPr>
                <w:rFonts w:ascii="Calibri" w:eastAsia="Times New Roman" w:hAnsi="Calibri" w:cs="Times New Roman"/>
                <w:i/>
                <w:color w:val="auto"/>
              </w:rPr>
            </w:pPr>
            <w:r w:rsidRPr="00653DCF">
              <w:rPr>
                <w:rFonts w:eastAsia="Times New Roman" w:cs="Times New Roman"/>
                <w:i/>
                <w:color w:val="auto"/>
              </w:rPr>
              <w:t>Any update in the Promoter’s or the Project Companies’ decarbonisation plan (including targets) or climate resilience plan since contract signature;</w:t>
            </w:r>
          </w:p>
          <w:p w14:paraId="171DFD76" w14:textId="77777777" w:rsidR="00F0088B" w:rsidRPr="00653DCF" w:rsidRDefault="00F0088B" w:rsidP="00E07A51">
            <w:pPr>
              <w:numPr>
                <w:ilvl w:val="0"/>
                <w:numId w:val="87"/>
              </w:numPr>
              <w:spacing w:after="160" w:line="256" w:lineRule="auto"/>
              <w:contextualSpacing/>
              <w:rPr>
                <w:rFonts w:ascii="Calibri" w:eastAsia="Times New Roman" w:hAnsi="Calibri" w:cs="Times New Roman"/>
                <w:i/>
                <w:color w:val="auto"/>
              </w:rPr>
            </w:pPr>
            <w:r w:rsidRPr="00653DCF">
              <w:rPr>
                <w:rFonts w:eastAsia="Times New Roman" w:cs="Times New Roman"/>
                <w:i/>
                <w:color w:val="auto"/>
              </w:rPr>
              <w:t>An updated Project pipeline including high Project description, anticipated cost and construction period.</w:t>
            </w:r>
          </w:p>
        </w:tc>
        <w:tc>
          <w:tcPr>
            <w:tcW w:w="1134" w:type="dxa"/>
          </w:tcPr>
          <w:p w14:paraId="74915275" w14:textId="77777777" w:rsidR="00F0088B" w:rsidRPr="00653DCF" w:rsidRDefault="00F0088B" w:rsidP="00E07A51">
            <w:pPr>
              <w:spacing w:after="0"/>
              <w:ind w:left="0"/>
              <w:rPr>
                <w:rFonts w:eastAsia="Times New Roman" w:cs="Arial"/>
                <w:i/>
                <w:iCs/>
                <w:color w:val="auto"/>
              </w:rPr>
            </w:pPr>
            <w:r w:rsidRPr="00653DCF">
              <w:rPr>
                <w:rFonts w:eastAsia="Times New Roman" w:cs="Arial"/>
                <w:i/>
                <w:iCs/>
                <w:color w:val="auto"/>
              </w:rPr>
              <w:t>30 June of each year</w:t>
            </w:r>
          </w:p>
        </w:tc>
        <w:tc>
          <w:tcPr>
            <w:tcW w:w="1560" w:type="dxa"/>
          </w:tcPr>
          <w:p w14:paraId="0615545C" w14:textId="77777777" w:rsidR="00F0088B" w:rsidRPr="00653DCF" w:rsidRDefault="00F0088B" w:rsidP="00E07A51">
            <w:pPr>
              <w:spacing w:after="0"/>
              <w:ind w:left="0"/>
              <w:rPr>
                <w:rFonts w:eastAsia="Times New Roman" w:cs="Arial"/>
                <w:i/>
                <w:iCs/>
                <w:color w:val="auto"/>
              </w:rPr>
            </w:pPr>
            <w:r w:rsidRPr="00653DCF">
              <w:rPr>
                <w:rFonts w:eastAsia="Times New Roman" w:cs="Arial"/>
                <w:i/>
                <w:iCs/>
                <w:color w:val="auto"/>
              </w:rPr>
              <w:t>Annually</w:t>
            </w:r>
          </w:p>
        </w:tc>
      </w:tr>
    </w:tbl>
    <w:p w14:paraId="12BD1775" w14:textId="77777777" w:rsidR="00F0088B" w:rsidRPr="00653DCF" w:rsidRDefault="00F0088B" w:rsidP="00F0088B">
      <w:pPr>
        <w:spacing w:after="0"/>
        <w:ind w:left="0"/>
        <w:rPr>
          <w:rFonts w:eastAsia="Times New Roman" w:cs="Arial"/>
          <w:color w:val="auto"/>
          <w:u w:val="single"/>
          <w:lang w:val="en-US"/>
        </w:rPr>
      </w:pPr>
    </w:p>
    <w:p w14:paraId="7B398F7C" w14:textId="77777777" w:rsidR="00F0088B" w:rsidRPr="00653DCF" w:rsidRDefault="00F0088B" w:rsidP="00F0088B">
      <w:pPr>
        <w:spacing w:after="0"/>
        <w:ind w:left="0" w:firstLine="709"/>
        <w:jc w:val="left"/>
        <w:rPr>
          <w:rFonts w:eastAsia="Times New Roman" w:cs="Arial"/>
          <w:color w:val="auto"/>
          <w:u w:val="single"/>
          <w:lang w:val="en-US"/>
        </w:rPr>
      </w:pPr>
      <w:r w:rsidRPr="00653DCF">
        <w:rPr>
          <w:rFonts w:eastAsia="Times New Roman" w:cs="Arial"/>
          <w:color w:val="auto"/>
          <w:lang w:val="en-US"/>
        </w:rPr>
        <w:t>A.2.4.</w:t>
      </w:r>
      <w:r w:rsidRPr="00653DCF">
        <w:rPr>
          <w:rFonts w:eastAsia="Times New Roman" w:cs="Arial"/>
          <w:color w:val="auto"/>
          <w:lang w:val="en-US"/>
        </w:rPr>
        <w:tab/>
      </w:r>
      <w:r w:rsidRPr="00653DCF">
        <w:rPr>
          <w:rFonts w:eastAsia="Times New Roman" w:cs="Arial"/>
          <w:color w:val="auto"/>
          <w:u w:val="single"/>
          <w:lang w:val="en-US"/>
        </w:rPr>
        <w:t xml:space="preserve">Information on the end of works and first year of operation </w:t>
      </w:r>
    </w:p>
    <w:p w14:paraId="6A4279C9" w14:textId="77777777" w:rsidR="00F0088B" w:rsidRPr="00653DCF" w:rsidRDefault="00F0088B" w:rsidP="00F0088B">
      <w:pPr>
        <w:spacing w:after="0"/>
        <w:ind w:left="709"/>
        <w:rPr>
          <w:rFonts w:eastAsia="Times New Roman" w:cs="Arial"/>
          <w:color w:val="auto"/>
          <w:lang w:val="en-US"/>
        </w:rPr>
      </w:pPr>
    </w:p>
    <w:p w14:paraId="13470A09" w14:textId="77777777" w:rsidR="00F0088B" w:rsidRPr="00653DCF" w:rsidRDefault="00F0088B" w:rsidP="00F0088B">
      <w:pPr>
        <w:ind w:left="709"/>
        <w:rPr>
          <w:rFonts w:eastAsia="Times New Roman" w:cs="Arial"/>
          <w:color w:val="auto"/>
          <w:lang w:val="en-US"/>
        </w:rPr>
      </w:pPr>
      <w:r w:rsidRPr="00653DCF">
        <w:rPr>
          <w:rFonts w:eastAsia="Times New Roman" w:cs="Arial"/>
          <w:color w:val="auto"/>
          <w:lang w:val="en-US"/>
        </w:rPr>
        <w:t>The Borrower (acting through the Promoter) shall deliver to the Bank the following information on Project completion and initial operation at the latest by the deadline indicated below.</w:t>
      </w: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F0088B" w:rsidRPr="00653DCF" w14:paraId="54CD8D23" w14:textId="77777777" w:rsidTr="00E07A51">
        <w:trPr>
          <w:cantSplit/>
        </w:trPr>
        <w:tc>
          <w:tcPr>
            <w:tcW w:w="6771" w:type="dxa"/>
            <w:tcBorders>
              <w:bottom w:val="single" w:sz="4" w:space="0" w:color="auto"/>
            </w:tcBorders>
          </w:tcPr>
          <w:p w14:paraId="2758B1F8" w14:textId="77777777" w:rsidR="00F0088B" w:rsidRPr="00653DCF" w:rsidRDefault="00F0088B" w:rsidP="00E07A51">
            <w:pPr>
              <w:spacing w:after="0"/>
              <w:ind w:left="0"/>
              <w:rPr>
                <w:rFonts w:eastAsia="Times New Roman" w:cs="Arial"/>
                <w:b/>
                <w:bCs/>
                <w:color w:val="auto"/>
              </w:rPr>
            </w:pPr>
            <w:r w:rsidRPr="00653DCF">
              <w:rPr>
                <w:rFonts w:eastAsia="Times New Roman" w:cs="Arial"/>
                <w:b/>
                <w:bCs/>
                <w:color w:val="auto"/>
              </w:rPr>
              <w:t>Document / information</w:t>
            </w:r>
          </w:p>
        </w:tc>
        <w:tc>
          <w:tcPr>
            <w:tcW w:w="2126" w:type="dxa"/>
            <w:tcBorders>
              <w:bottom w:val="single" w:sz="4" w:space="0" w:color="auto"/>
            </w:tcBorders>
          </w:tcPr>
          <w:p w14:paraId="10B04180" w14:textId="77777777" w:rsidR="00F0088B" w:rsidRPr="00653DCF" w:rsidRDefault="00F0088B" w:rsidP="00E07A51">
            <w:pPr>
              <w:spacing w:after="0"/>
              <w:ind w:left="0"/>
              <w:jc w:val="left"/>
              <w:rPr>
                <w:rFonts w:eastAsia="Times New Roman" w:cs="Arial"/>
                <w:b/>
                <w:bCs/>
                <w:color w:val="auto"/>
              </w:rPr>
            </w:pPr>
            <w:r w:rsidRPr="00653DCF">
              <w:rPr>
                <w:rFonts w:eastAsia="Times New Roman" w:cs="Arial"/>
                <w:b/>
                <w:bCs/>
                <w:color w:val="auto"/>
              </w:rPr>
              <w:t xml:space="preserve">Date of delivery </w:t>
            </w:r>
            <w:r w:rsidRPr="00653DCF">
              <w:rPr>
                <w:rFonts w:eastAsia="Times New Roman" w:cs="Arial"/>
                <w:b/>
                <w:bCs/>
                <w:color w:val="auto"/>
              </w:rPr>
              <w:br/>
              <w:t>to the Bank</w:t>
            </w:r>
          </w:p>
        </w:tc>
      </w:tr>
      <w:tr w:rsidR="00F0088B" w:rsidRPr="00653DCF" w14:paraId="6BBAB511" w14:textId="77777777" w:rsidTr="00E07A51">
        <w:trPr>
          <w:cantSplit/>
        </w:trPr>
        <w:tc>
          <w:tcPr>
            <w:tcW w:w="6771" w:type="dxa"/>
          </w:tcPr>
          <w:p w14:paraId="6CAC560C" w14:textId="77777777" w:rsidR="00F0088B" w:rsidRPr="00653DCF" w:rsidRDefault="00F0088B" w:rsidP="00E07A51">
            <w:pPr>
              <w:ind w:left="0"/>
              <w:rPr>
                <w:rFonts w:eastAsia="Times New Roman" w:cs="Arial"/>
                <w:color w:val="auto"/>
              </w:rPr>
            </w:pPr>
            <w:r w:rsidRPr="00653DCF">
              <w:rPr>
                <w:rFonts w:eastAsia="Times New Roman" w:cs="Arial"/>
                <w:color w:val="auto"/>
              </w:rPr>
              <w:t xml:space="preserve">Project Completion Report, including: </w:t>
            </w:r>
          </w:p>
          <w:p w14:paraId="2A6DFE80"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A final Technical Description of the Project as completed, explaining the reasons for any significant change compared to the Technical Description in Schedule A.1;</w:t>
            </w:r>
          </w:p>
          <w:p w14:paraId="58C93CF4"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European Vehicle Numbers of the rolling stock financed by the Bank;</w:t>
            </w:r>
          </w:p>
          <w:p w14:paraId="3B344F48"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The date of completion of each of the main Project’s components, explaining reasons for any possible delay;</w:t>
            </w:r>
          </w:p>
          <w:p w14:paraId="60D2538C"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The final cost of the Project, explaining reasons for any possible cost variations vs. initial budgeted cost;</w:t>
            </w:r>
          </w:p>
          <w:p w14:paraId="7FDC0C41"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Update of the procurement plans for the schemes to which the loan has been allocated;</w:t>
            </w:r>
          </w:p>
          <w:p w14:paraId="37CF171E"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Employment effects of the Project: person-days required during implementation as well as permanent new jobs created;</w:t>
            </w:r>
          </w:p>
          <w:p w14:paraId="1EB6BD55"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A description of any major issue with impact on the environment or social impacts;</w:t>
            </w:r>
          </w:p>
          <w:p w14:paraId="638A1AC7"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Update on the Project’s demand or usage and comments;</w:t>
            </w:r>
          </w:p>
          <w:p w14:paraId="44322746"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Any significant issue that has occurred and any significant risk that may affect the Project’s operation;</w:t>
            </w:r>
          </w:p>
          <w:p w14:paraId="5319803F" w14:textId="77777777" w:rsidR="00F0088B" w:rsidRPr="00653DCF" w:rsidRDefault="00F0088B" w:rsidP="00E07A51">
            <w:pPr>
              <w:numPr>
                <w:ilvl w:val="0"/>
                <w:numId w:val="87"/>
              </w:numPr>
              <w:spacing w:after="0"/>
              <w:jc w:val="left"/>
              <w:rPr>
                <w:rFonts w:eastAsia="Times New Roman" w:cs="Arial"/>
                <w:color w:val="auto"/>
              </w:rPr>
            </w:pPr>
            <w:r w:rsidRPr="00653DCF">
              <w:rPr>
                <w:rFonts w:eastAsia="Times New Roman" w:cs="Arial"/>
                <w:i/>
                <w:iCs/>
                <w:color w:val="auto"/>
              </w:rPr>
              <w:t>Any legal action concerning the Project that may be on-going;</w:t>
            </w:r>
          </w:p>
          <w:p w14:paraId="1459C63C"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Any update in the Promoter’s or Project Comapnies’ decarbonisation plan (including targets) or climate resilience plan since contract signature;</w:t>
            </w:r>
          </w:p>
          <w:p w14:paraId="53169B00" w14:textId="77777777" w:rsidR="00F0088B" w:rsidRPr="00653DCF" w:rsidRDefault="00F0088B" w:rsidP="00E07A51">
            <w:pPr>
              <w:numPr>
                <w:ilvl w:val="0"/>
                <w:numId w:val="87"/>
              </w:numPr>
              <w:spacing w:after="0"/>
              <w:jc w:val="left"/>
              <w:rPr>
                <w:rFonts w:eastAsia="Times New Roman" w:cs="Arial"/>
                <w:i/>
                <w:iCs/>
                <w:color w:val="auto"/>
              </w:rPr>
            </w:pPr>
            <w:r w:rsidRPr="00653DCF">
              <w:rPr>
                <w:rFonts w:eastAsia="Times New Roman" w:cs="Arial"/>
                <w:i/>
                <w:iCs/>
                <w:color w:val="auto"/>
              </w:rPr>
              <w:t>Non-confidential Project-related pictures, if available.</w:t>
            </w:r>
          </w:p>
        </w:tc>
        <w:tc>
          <w:tcPr>
            <w:tcW w:w="2126" w:type="dxa"/>
          </w:tcPr>
          <w:p w14:paraId="2545397A" w14:textId="77777777" w:rsidR="00F0088B" w:rsidRPr="00653DCF" w:rsidRDefault="00F0088B" w:rsidP="00E07A51">
            <w:pPr>
              <w:spacing w:after="0"/>
              <w:ind w:left="0"/>
              <w:rPr>
                <w:rFonts w:eastAsia="Times New Roman" w:cs="Arial"/>
                <w:i/>
                <w:iCs/>
                <w:color w:val="auto"/>
              </w:rPr>
            </w:pPr>
            <w:r w:rsidRPr="00653DCF">
              <w:rPr>
                <w:rFonts w:eastAsia="Times New Roman" w:cs="Arial"/>
                <w:i/>
                <w:iCs/>
                <w:color w:val="auto"/>
              </w:rPr>
              <w:t>March 2034, 15 months after final year of implementation</w:t>
            </w:r>
          </w:p>
        </w:tc>
      </w:tr>
    </w:tbl>
    <w:p w14:paraId="74C12C68" w14:textId="77777777" w:rsidR="00F0088B" w:rsidRPr="00653DCF" w:rsidRDefault="00F0088B" w:rsidP="00F0088B">
      <w:pPr>
        <w:spacing w:after="0"/>
        <w:ind w:left="1069"/>
        <w:rPr>
          <w:rFonts w:eastAsia="Times New Roman" w:cs="Arial"/>
          <w:color w:val="auto"/>
        </w:rPr>
      </w:pPr>
    </w:p>
    <w:p w14:paraId="31D18CE4" w14:textId="77777777" w:rsidR="00F0088B" w:rsidRPr="00653DCF" w:rsidRDefault="00F0088B" w:rsidP="00F0088B">
      <w:pPr>
        <w:pStyle w:val="SubSchedule4EIB"/>
        <w:numPr>
          <w:ilvl w:val="0"/>
          <w:numId w:val="0"/>
        </w:numPr>
        <w:ind w:firstLine="567"/>
        <w:rPr>
          <w:color w:val="auto"/>
        </w:rPr>
      </w:pPr>
      <w:r w:rsidRPr="00653DCF">
        <w:rPr>
          <w:color w:val="auto"/>
        </w:rPr>
        <w:t>Language of reports</w:t>
      </w:r>
    </w:p>
    <w:p w14:paraId="4F16CB16" w14:textId="77777777" w:rsidR="00F0088B" w:rsidRPr="00653DCF" w:rsidRDefault="00F0088B" w:rsidP="00F0088B">
      <w:pPr>
        <w:ind w:left="284" w:firstLine="289"/>
        <w:rPr>
          <w:color w:val="auto"/>
        </w:rPr>
      </w:pPr>
      <w:r w:rsidRPr="00653DCF">
        <w:rPr>
          <w:color w:val="auto"/>
        </w:rPr>
        <w:t xml:space="preserve">All reports shall be delivered in English. </w:t>
      </w:r>
    </w:p>
    <w:p w14:paraId="3879F70A" w14:textId="77777777" w:rsidR="00F0088B" w:rsidRPr="00653DCF" w:rsidRDefault="00F0088B" w:rsidP="00F0088B">
      <w:pPr>
        <w:rPr>
          <w:color w:val="auto"/>
        </w:rPr>
      </w:pPr>
    </w:p>
    <w:p w14:paraId="3A0711A0" w14:textId="77777777" w:rsidR="00F0088B" w:rsidRPr="00653DCF" w:rsidRDefault="00F0088B" w:rsidP="00F0088B">
      <w:pPr>
        <w:rPr>
          <w:color w:val="auto"/>
        </w:rPr>
      </w:pPr>
    </w:p>
    <w:p w14:paraId="3C3BFC8B" w14:textId="77777777" w:rsidR="00F0088B" w:rsidRPr="00653DCF" w:rsidRDefault="00F0088B" w:rsidP="00F0088B">
      <w:pPr>
        <w:spacing w:after="200" w:line="276" w:lineRule="auto"/>
        <w:ind w:left="0"/>
        <w:jc w:val="left"/>
        <w:rPr>
          <w:color w:val="auto"/>
        </w:rPr>
      </w:pPr>
      <w:r w:rsidRPr="00653DCF">
        <w:rPr>
          <w:color w:val="auto"/>
        </w:rPr>
        <w:br w:type="page"/>
      </w:r>
    </w:p>
    <w:p w14:paraId="64543D08" w14:textId="30772071" w:rsidR="00F0088B" w:rsidRPr="00653DCF" w:rsidRDefault="009227C1" w:rsidP="009227C1">
      <w:pPr>
        <w:pStyle w:val="ScheduleEIB0"/>
        <w:numPr>
          <w:ilvl w:val="0"/>
          <w:numId w:val="0"/>
        </w:numPr>
        <w:ind w:right="1"/>
        <w:rPr>
          <w:color w:val="auto"/>
        </w:rPr>
      </w:pPr>
      <w:r>
        <w:rPr>
          <w:color w:val="auto"/>
        </w:rPr>
        <w:t>Schedule B</w:t>
      </w:r>
    </w:p>
    <w:p w14:paraId="0EB64243" w14:textId="77777777" w:rsidR="00F0088B" w:rsidRPr="00653DCF" w:rsidRDefault="00F0088B" w:rsidP="0024686A">
      <w:pPr>
        <w:pStyle w:val="SubSchedule1EIB"/>
        <w:numPr>
          <w:ilvl w:val="1"/>
          <w:numId w:val="172"/>
        </w:numPr>
        <w:rPr>
          <w:color w:val="auto"/>
        </w:rPr>
      </w:pPr>
      <w:r w:rsidRPr="00653DCF">
        <w:rPr>
          <w:color w:val="auto"/>
        </w:rPr>
        <w:t>Definition of EURIBOR</w:t>
      </w:r>
    </w:p>
    <w:p w14:paraId="0118BC77" w14:textId="77777777" w:rsidR="00F0088B" w:rsidRPr="00653DCF" w:rsidRDefault="00F0088B" w:rsidP="005E159E">
      <w:pPr>
        <w:pStyle w:val="SubSchedule2EIB"/>
        <w:keepNext w:val="0"/>
        <w:keepLines w:val="0"/>
        <w:widowControl w:val="0"/>
        <w:numPr>
          <w:ilvl w:val="0"/>
          <w:numId w:val="0"/>
        </w:numPr>
        <w:ind w:left="856" w:right="426"/>
        <w:rPr>
          <w:color w:val="auto"/>
        </w:rPr>
      </w:pPr>
      <w:r w:rsidRPr="00653DCF">
        <w:rPr>
          <w:color w:val="auto"/>
        </w:rPr>
        <w:t>EURIBOR</w:t>
      </w:r>
    </w:p>
    <w:p w14:paraId="2D02D695" w14:textId="77777777" w:rsidR="00F0088B" w:rsidRPr="00653DCF" w:rsidRDefault="00F0088B" w:rsidP="00F0088B">
      <w:pPr>
        <w:rPr>
          <w:color w:val="auto"/>
        </w:rPr>
      </w:pPr>
      <w:r w:rsidRPr="00653DCF">
        <w:rPr>
          <w:color w:val="auto"/>
        </w:rPr>
        <w:t>"</w:t>
      </w:r>
      <w:r w:rsidRPr="00653DCF">
        <w:rPr>
          <w:rStyle w:val="BoldEIB"/>
          <w:color w:val="auto"/>
        </w:rPr>
        <w:t>EURIBOR</w:t>
      </w:r>
      <w:r w:rsidRPr="00653DCF">
        <w:rPr>
          <w:color w:val="auto"/>
        </w:rPr>
        <w:t>" means:</w:t>
      </w:r>
    </w:p>
    <w:p w14:paraId="60EED231" w14:textId="77777777" w:rsidR="00F0088B" w:rsidRPr="00653DCF" w:rsidRDefault="00F0088B" w:rsidP="005E159E">
      <w:pPr>
        <w:pStyle w:val="NoIndentEIB"/>
        <w:numPr>
          <w:ilvl w:val="0"/>
          <w:numId w:val="150"/>
        </w:numPr>
        <w:ind w:right="1"/>
        <w:rPr>
          <w:color w:val="auto"/>
        </w:rPr>
      </w:pPr>
      <w:r w:rsidRPr="00653DCF">
        <w:rPr>
          <w:color w:val="auto"/>
        </w:rPr>
        <w:t xml:space="preserve">in respect of a relevant period of less than one month, the Screen Rate (as defined below) for a term of one month; </w:t>
      </w:r>
    </w:p>
    <w:p w14:paraId="450292C1" w14:textId="77777777" w:rsidR="00F0088B" w:rsidRPr="00653DCF" w:rsidRDefault="00F0088B" w:rsidP="0024686A">
      <w:pPr>
        <w:pStyle w:val="NoIndentEIB"/>
        <w:numPr>
          <w:ilvl w:val="0"/>
          <w:numId w:val="150"/>
        </w:numPr>
        <w:rPr>
          <w:color w:val="auto"/>
        </w:rPr>
      </w:pPr>
      <w:r w:rsidRPr="00653DCF">
        <w:rPr>
          <w:color w:val="auto"/>
        </w:rPr>
        <w:t>in respect of a relevant period of one or more months for which a Screen Rate is available, the applicable Screen Rate for a term for the corresponding number of months; and</w:t>
      </w:r>
    </w:p>
    <w:p w14:paraId="0EC4DC52" w14:textId="77777777" w:rsidR="00F0088B" w:rsidRPr="00653DCF" w:rsidRDefault="00F0088B" w:rsidP="0024686A">
      <w:pPr>
        <w:pStyle w:val="NoIndentEIB"/>
        <w:numPr>
          <w:ilvl w:val="0"/>
          <w:numId w:val="150"/>
        </w:numPr>
        <w:rPr>
          <w:color w:val="auto"/>
        </w:rPr>
      </w:pPr>
      <w:r w:rsidRPr="00653DCF">
        <w:rPr>
          <w:color w:val="auto"/>
        </w:rP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14:paraId="3144DFFA" w14:textId="77777777" w:rsidR="00F0088B" w:rsidRPr="00653DCF" w:rsidRDefault="00F0088B" w:rsidP="00F0088B">
      <w:pPr>
        <w:spacing w:after="0"/>
        <w:ind w:left="851"/>
        <w:rPr>
          <w:color w:val="auto"/>
        </w:rPr>
      </w:pPr>
      <w:r w:rsidRPr="00653DCF">
        <w:rPr>
          <w:color w:val="auto"/>
        </w:rPr>
        <w:t>(the period for which the rate is taken or from which the rates are interpolated being the "</w:t>
      </w:r>
      <w:r w:rsidRPr="00653DCF">
        <w:rPr>
          <w:rStyle w:val="BoldEIB"/>
          <w:color w:val="auto"/>
        </w:rPr>
        <w:t>Representative Period</w:t>
      </w:r>
      <w:r w:rsidRPr="00653DCF">
        <w:rPr>
          <w:color w:val="auto"/>
        </w:rPr>
        <w:t>").</w:t>
      </w:r>
    </w:p>
    <w:p w14:paraId="3A513769" w14:textId="77777777" w:rsidR="00F0088B" w:rsidRPr="00653DCF" w:rsidRDefault="00F0088B" w:rsidP="00F0088B">
      <w:pPr>
        <w:spacing w:after="0"/>
        <w:ind w:left="851"/>
        <w:rPr>
          <w:color w:val="auto"/>
        </w:rPr>
      </w:pPr>
    </w:p>
    <w:p w14:paraId="58C79CD2" w14:textId="77777777" w:rsidR="00F0088B" w:rsidRPr="00653DCF" w:rsidRDefault="00F0088B" w:rsidP="00F0088B">
      <w:pPr>
        <w:ind w:left="851"/>
        <w:rPr>
          <w:color w:val="auto"/>
        </w:rPr>
      </w:pPr>
      <w:r w:rsidRPr="00653DCF">
        <w:rPr>
          <w:color w:val="auto"/>
        </w:rPr>
        <w:t>For the purposes of paragraphs (a) to (c) above:</w:t>
      </w:r>
    </w:p>
    <w:p w14:paraId="7CD810C8" w14:textId="77777777" w:rsidR="00F0088B" w:rsidRPr="00653DCF" w:rsidRDefault="00F0088B" w:rsidP="0024686A">
      <w:pPr>
        <w:pStyle w:val="NoIndentEIB"/>
        <w:numPr>
          <w:ilvl w:val="1"/>
          <w:numId w:val="150"/>
        </w:numPr>
        <w:rPr>
          <w:color w:val="auto"/>
        </w:rPr>
      </w:pPr>
      <w:r w:rsidRPr="00653DCF">
        <w:rPr>
          <w:color w:val="auto"/>
        </w:rPr>
        <w:t>"</w:t>
      </w:r>
      <w:r w:rsidRPr="00653DCF">
        <w:rPr>
          <w:rStyle w:val="BoldEIB"/>
          <w:color w:val="auto"/>
        </w:rPr>
        <w:t>available</w:t>
      </w:r>
      <w:r w:rsidRPr="00653DCF">
        <w:rPr>
          <w:color w:val="auto"/>
        </w:rPr>
        <w:t>" means the rates, for given maturities, that are calculated and published by Global Rate Set Systems Ltd (GRSS), or such other service provider selected by the European Money Markets Institute (EMMI), or any successor to that function of EMMI, as determined by the Bank; and</w:t>
      </w:r>
    </w:p>
    <w:p w14:paraId="0808C976" w14:textId="77777777" w:rsidR="00F0088B" w:rsidRPr="00653DCF" w:rsidRDefault="00F0088B" w:rsidP="0024686A">
      <w:pPr>
        <w:pStyle w:val="NoIndentEIB"/>
        <w:numPr>
          <w:ilvl w:val="1"/>
          <w:numId w:val="150"/>
        </w:numPr>
        <w:rPr>
          <w:color w:val="auto"/>
        </w:rPr>
      </w:pPr>
      <w:r w:rsidRPr="00653DCF">
        <w:rPr>
          <w:color w:val="auto"/>
        </w:rPr>
        <w:t>"</w:t>
      </w:r>
      <w:r w:rsidRPr="00653DCF">
        <w:rPr>
          <w:rStyle w:val="BoldEIB"/>
          <w:color w:val="auto"/>
        </w:rPr>
        <w:t>Screen Rate</w:t>
      </w:r>
      <w:r w:rsidRPr="00653DCF">
        <w:rPr>
          <w:color w:val="auto"/>
        </w:rPr>
        <w:t>" means the rate of interest for deposits in EUR for the relevant period as published at 11.00 a.m., Brussels time, or at a later time acceptable to the Bank on the day (the "</w:t>
      </w:r>
      <w:r w:rsidRPr="00653DCF">
        <w:rPr>
          <w:rStyle w:val="BoldEIB"/>
          <w:color w:val="auto"/>
        </w:rPr>
        <w:t>Reset Date</w:t>
      </w:r>
      <w:r w:rsidRPr="00653DCF">
        <w:rPr>
          <w:color w:val="auto"/>
        </w:rPr>
        <w:t>") which falls 2 (two) Relevant Business Days prior to the first day of the relevant period, on Reuters page EURIBOR 01 or its successor page or, failing which, by any other means of publication chosen for this purpose by the Bank.</w:t>
      </w:r>
    </w:p>
    <w:p w14:paraId="542570A2" w14:textId="77777777" w:rsidR="00F0088B" w:rsidRPr="00653DCF" w:rsidRDefault="00F0088B" w:rsidP="00F0088B">
      <w:pPr>
        <w:spacing w:after="0"/>
        <w:ind w:left="851"/>
        <w:rPr>
          <w:rFonts w:eastAsia="SimSun" w:cs="Arial"/>
          <w:color w:val="auto"/>
          <w:lang w:val="en-US" w:eastAsia="zh-CN" w:bidi="ar-AE"/>
        </w:rPr>
      </w:pPr>
      <w:r w:rsidRPr="00653DCF">
        <w:rPr>
          <w:color w:val="auto"/>
        </w:rPr>
        <w:t>If such Screen Rate is not so published, the Bank shall request the principal offices of four major banks in the euro-zone, selected by the Bank, to quote the rate at which EUR deposits in a comparable amount are offered by each of them, as at approximately 11:00 a.m., Brussels time on the Reset Date to prime banks in the euro-zone interbank market for a period equal to the Representative Period. If at least 2 (two) quotations are provided, the rate for that Reset Date will be the arithmetic mean of the quotations. If no sufficient quotations are provided as requested, the rate for that Reset Date will be the arithmetic mean of the rates quoted by major banks in the euro-zone, selected by the Bank, at approximately 11:00 a.m., Brussels time, on the day which falls 2 (two) Relevant Business Days after the Reset Date, for loans in EUR in a comparable amount to leading European banks for a period equal to the Representative Period.</w:t>
      </w:r>
      <w:r w:rsidRPr="00653DCF">
        <w:rPr>
          <w:rFonts w:eastAsia="SimSun" w:cs="Arial"/>
          <w:color w:val="auto"/>
          <w:lang w:val="en-US" w:eastAsia="zh-CN" w:bidi="ar-AE"/>
        </w:rPr>
        <w:t xml:space="preserve"> The Bank shall inform the Borrower without delay of the quotations received by the Bank.</w:t>
      </w:r>
    </w:p>
    <w:p w14:paraId="3B5EDC9B" w14:textId="77777777" w:rsidR="00F0088B" w:rsidRPr="00653DCF" w:rsidRDefault="00F0088B" w:rsidP="00F0088B">
      <w:pPr>
        <w:spacing w:after="0"/>
        <w:ind w:left="851"/>
        <w:rPr>
          <w:rFonts w:eastAsia="SimSun" w:cs="Arial"/>
          <w:color w:val="auto"/>
          <w:lang w:val="en-US" w:eastAsia="zh-CN" w:bidi="ar-AE"/>
        </w:rPr>
      </w:pPr>
    </w:p>
    <w:p w14:paraId="4141F369" w14:textId="77777777" w:rsidR="00F0088B" w:rsidRPr="00653DCF" w:rsidRDefault="00F0088B" w:rsidP="00F0088B">
      <w:pPr>
        <w:spacing w:after="0"/>
        <w:ind w:left="851"/>
        <w:rPr>
          <w:color w:val="auto"/>
        </w:rPr>
      </w:pPr>
      <w:r w:rsidRPr="00653DCF">
        <w:rPr>
          <w:color w:val="auto"/>
        </w:rPr>
        <w:t>All percentages resulting from any calculations referred to in this Schedule will be rounded, if necessary, to the nearest one thousandth of a percentage point, with halves being rounded up.</w:t>
      </w:r>
    </w:p>
    <w:p w14:paraId="1A23D977" w14:textId="77777777" w:rsidR="00F0088B" w:rsidRPr="00653DCF" w:rsidRDefault="00F0088B" w:rsidP="00F0088B">
      <w:pPr>
        <w:spacing w:after="0"/>
        <w:ind w:left="851"/>
        <w:rPr>
          <w:color w:val="auto"/>
        </w:rPr>
      </w:pPr>
    </w:p>
    <w:p w14:paraId="6C5A674B" w14:textId="77777777" w:rsidR="00F0088B" w:rsidRPr="00653DCF" w:rsidRDefault="00F0088B" w:rsidP="00F0088B">
      <w:pPr>
        <w:spacing w:after="0"/>
        <w:ind w:left="851"/>
        <w:rPr>
          <w:color w:val="auto"/>
        </w:rPr>
      </w:pPr>
      <w:r w:rsidRPr="00653DCF">
        <w:rPr>
          <w:color w:val="auto"/>
        </w:rPr>
        <w:t>If any of the foregoing provisions becomes inconsistent with provisions adopted under the aegis of EMMI (or any successor to that function of EMMI as determined by the Bank) in respect of EURIBOR, the Bank may by notice to the Borrower amend the provision to bring it into line with such other provisions.</w:t>
      </w:r>
    </w:p>
    <w:p w14:paraId="6339A9DF" w14:textId="77777777" w:rsidR="00F0088B" w:rsidRPr="00653DCF" w:rsidRDefault="00F0088B" w:rsidP="00F0088B">
      <w:pPr>
        <w:spacing w:after="0"/>
        <w:ind w:left="851"/>
        <w:rPr>
          <w:color w:val="auto"/>
        </w:rPr>
      </w:pPr>
    </w:p>
    <w:p w14:paraId="29264013" w14:textId="77777777" w:rsidR="0084004D" w:rsidRDefault="00F0088B" w:rsidP="00F0088B">
      <w:pPr>
        <w:spacing w:after="0"/>
        <w:rPr>
          <w:rFonts w:eastAsia="SimSun" w:cs="Arial"/>
          <w:color w:val="auto"/>
          <w:lang w:val="en-US" w:eastAsia="zh-CN" w:bidi="ar-AE"/>
        </w:rPr>
      </w:pPr>
      <w:r w:rsidRPr="00653DCF">
        <w:rPr>
          <w:rFonts w:eastAsia="SimSun" w:cs="Arial"/>
          <w:color w:val="auto"/>
          <w:lang w:val="en-US" w:eastAsia="zh-CN" w:bidi="ar-AE"/>
        </w:rPr>
        <w:t>If the Screen Rate becomes permanently unavailable, the EURIBOR replacement rate will be the rate (inclusive of any spreads or adjustments) formally recommended by (i) the working group on euro risk-free rates established by the European Central Bank (ECB), the Financial Services and Markets Authority (FSMA), the European Securities and Markets Authority (ESMA) and the European Commission, or (ii) the European Money Market Institute, as the</w:t>
      </w:r>
    </w:p>
    <w:p w14:paraId="6B06F26A" w14:textId="77777777" w:rsidR="0084004D" w:rsidRDefault="0084004D" w:rsidP="00F0088B">
      <w:pPr>
        <w:spacing w:after="0"/>
        <w:rPr>
          <w:rFonts w:eastAsia="SimSun" w:cs="Arial"/>
          <w:color w:val="auto"/>
          <w:lang w:val="en-US" w:eastAsia="zh-CN" w:bidi="ar-AE"/>
        </w:rPr>
      </w:pPr>
    </w:p>
    <w:p w14:paraId="19AD3680" w14:textId="77777777" w:rsidR="0084004D" w:rsidRDefault="0084004D" w:rsidP="00F0088B">
      <w:pPr>
        <w:spacing w:after="0"/>
        <w:rPr>
          <w:rFonts w:eastAsia="SimSun" w:cs="Arial"/>
          <w:color w:val="auto"/>
          <w:lang w:val="en-US" w:eastAsia="zh-CN" w:bidi="ar-AE"/>
        </w:rPr>
      </w:pPr>
    </w:p>
    <w:p w14:paraId="3636B325" w14:textId="4116E623" w:rsidR="00F0088B" w:rsidRPr="00653DCF" w:rsidRDefault="00F0088B" w:rsidP="00F0088B">
      <w:pPr>
        <w:spacing w:after="0"/>
        <w:rPr>
          <w:rFonts w:eastAsia="SimSun" w:cs="Arial"/>
          <w:color w:val="auto"/>
          <w:lang w:eastAsia="zh-CN" w:bidi="ar-AE"/>
        </w:rPr>
      </w:pPr>
      <w:r w:rsidRPr="00653DCF">
        <w:rPr>
          <w:rFonts w:eastAsia="SimSun" w:cs="Arial"/>
          <w:color w:val="auto"/>
          <w:lang w:val="en-US" w:eastAsia="zh-CN" w:bidi="ar-AE"/>
        </w:rPr>
        <w:t>administrator of EURIBOR, or (iii) the competent authority responsible under Regulation (EU) 2016/1011 for supervising the European Money Market Institute, as the administrator of the EURIBOR, or (iv) the national competent authorities designated under Regulation (EU) 2016/1011, or (v) the European Central Bank.</w:t>
      </w:r>
    </w:p>
    <w:p w14:paraId="6B8351D4" w14:textId="77777777" w:rsidR="00F0088B" w:rsidRPr="00653DCF" w:rsidRDefault="00F0088B" w:rsidP="00F0088B">
      <w:pPr>
        <w:spacing w:after="0"/>
        <w:ind w:left="851"/>
        <w:rPr>
          <w:color w:val="auto"/>
        </w:rPr>
      </w:pPr>
    </w:p>
    <w:p w14:paraId="27E7257B" w14:textId="77777777" w:rsidR="00F0088B" w:rsidRPr="00653DCF" w:rsidRDefault="00F0088B" w:rsidP="00F0088B">
      <w:pPr>
        <w:widowControl w:val="0"/>
        <w:rPr>
          <w:color w:val="auto"/>
        </w:rPr>
      </w:pPr>
      <w:r w:rsidRPr="00653DCF">
        <w:rPr>
          <w:color w:val="auto"/>
        </w:rPr>
        <w:t>If no Screen Rate and/or the EURIBOR replacement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14:paraId="6995B613" w14:textId="77777777" w:rsidR="00F0088B" w:rsidRPr="00653DCF" w:rsidRDefault="00F0088B" w:rsidP="00F0088B">
      <w:pPr>
        <w:spacing w:after="200" w:line="276" w:lineRule="auto"/>
        <w:ind w:left="0"/>
        <w:jc w:val="left"/>
        <w:rPr>
          <w:color w:val="auto"/>
        </w:rPr>
      </w:pPr>
      <w:r w:rsidRPr="00653DCF">
        <w:rPr>
          <w:color w:val="auto"/>
        </w:rPr>
        <w:br w:type="page"/>
      </w:r>
    </w:p>
    <w:p w14:paraId="6EE22B44" w14:textId="3E8124F3" w:rsidR="009227C1" w:rsidRPr="009227C1" w:rsidRDefault="009227C1" w:rsidP="009227C1">
      <w:pPr>
        <w:pStyle w:val="SubSchedule1EIB"/>
        <w:numPr>
          <w:ilvl w:val="1"/>
          <w:numId w:val="172"/>
        </w:numPr>
        <w:jc w:val="right"/>
        <w:rPr>
          <w:color w:val="auto"/>
          <w:u w:val="none"/>
        </w:rPr>
      </w:pPr>
      <w:r w:rsidRPr="009227C1">
        <w:rPr>
          <w:color w:val="auto"/>
          <w:u w:val="none"/>
        </w:rPr>
        <w:t>Schedule C</w:t>
      </w:r>
      <w:r w:rsidRPr="009227C1">
        <w:rPr>
          <w:rFonts w:ascii="Arial Bold" w:hAnsi="Arial Bold"/>
          <w:color w:val="auto"/>
          <w:u w:val="none"/>
          <w:vertAlign w:val="superscript"/>
        </w:rPr>
        <w:t>3</w:t>
      </w:r>
    </w:p>
    <w:p w14:paraId="7EAE1E1C" w14:textId="061CEE80" w:rsidR="00F0088B" w:rsidRPr="00653DCF" w:rsidRDefault="00F0088B" w:rsidP="0024686A">
      <w:pPr>
        <w:pStyle w:val="SubSchedule1EIB"/>
        <w:numPr>
          <w:ilvl w:val="1"/>
          <w:numId w:val="172"/>
        </w:numPr>
        <w:rPr>
          <w:color w:val="auto"/>
        </w:rPr>
      </w:pPr>
      <w:r w:rsidRPr="00653DCF">
        <w:rPr>
          <w:color w:val="auto"/>
        </w:rPr>
        <w:t>Form of Disbursement Request (Article </w:t>
      </w:r>
      <w:r w:rsidRPr="00653DCF">
        <w:rPr>
          <w:color w:val="auto"/>
        </w:rPr>
        <w:fldChar w:fldCharType="begin"/>
      </w:r>
      <w:r w:rsidRPr="00653DCF">
        <w:rPr>
          <w:color w:val="auto"/>
        </w:rPr>
        <w:instrText xml:space="preserve"> REF _Ref426638944 \r \h  \* MERGEFORMAT </w:instrText>
      </w:r>
      <w:r w:rsidRPr="00653DCF">
        <w:rPr>
          <w:color w:val="auto"/>
        </w:rPr>
      </w:r>
      <w:r w:rsidRPr="00653DCF">
        <w:rPr>
          <w:color w:val="auto"/>
        </w:rPr>
        <w:fldChar w:fldCharType="separate"/>
      </w:r>
      <w:r w:rsidR="00E5391B">
        <w:rPr>
          <w:color w:val="auto"/>
        </w:rPr>
        <w:t>1.2.B</w:t>
      </w:r>
      <w:r w:rsidRPr="00653DCF">
        <w:rPr>
          <w:color w:val="auto"/>
        </w:rPr>
        <w:fldChar w:fldCharType="end"/>
      </w:r>
      <w:r w:rsidRPr="00653DCF">
        <w:rPr>
          <w:color w:val="auto"/>
        </w:rPr>
        <w:t>)</w:t>
      </w:r>
    </w:p>
    <w:p w14:paraId="78C621E3" w14:textId="77777777" w:rsidR="00F0088B" w:rsidRPr="00653DCF" w:rsidRDefault="00F0088B" w:rsidP="00F0088B">
      <w:pPr>
        <w:pStyle w:val="CenterEIB"/>
        <w:rPr>
          <w:color w:val="auto"/>
        </w:rPr>
      </w:pPr>
      <w:r w:rsidRPr="00653DCF">
        <w:rPr>
          <w:color w:val="auto"/>
        </w:rPr>
        <w:t>Disbursement Request</w:t>
      </w:r>
    </w:p>
    <w:p w14:paraId="640EFC45" w14:textId="04878E9B" w:rsidR="00F0088B" w:rsidRPr="00653DCF" w:rsidRDefault="00F0088B" w:rsidP="00F0088B">
      <w:pPr>
        <w:ind w:left="0"/>
        <w:jc w:val="center"/>
        <w:rPr>
          <w:color w:val="auto"/>
        </w:rPr>
      </w:pPr>
      <w:r w:rsidRPr="00653DCF">
        <w:rPr>
          <w:color w:val="auto"/>
        </w:rPr>
        <w:t>FRAMEWORK LOAN FOR THE PROJECT “REVITALIZATION OF THE RAILWAY SYSTEM OF THE REPUBLIC OF CROATIA”</w:t>
      </w:r>
      <w:r w:rsidR="00E07A51" w:rsidRPr="00653DCF">
        <w:rPr>
          <w:rStyle w:val="FootnoteReference"/>
          <w:color w:val="auto"/>
        </w:rPr>
        <w:footnoteReference w:customMarkFollows="1" w:id="18"/>
        <w:sym w:font="Symbol" w:char="F034"/>
      </w:r>
    </w:p>
    <w:tbl>
      <w:tblPr>
        <w:tblW w:w="9990" w:type="dxa"/>
        <w:tblInd w:w="-3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450"/>
        <w:gridCol w:w="1170"/>
        <w:gridCol w:w="3060"/>
        <w:gridCol w:w="330"/>
        <w:gridCol w:w="1830"/>
        <w:gridCol w:w="668"/>
        <w:gridCol w:w="1942"/>
      </w:tblGrid>
      <w:tr w:rsidR="00F0088B" w:rsidRPr="00653DCF" w14:paraId="6886B73B" w14:textId="77777777" w:rsidTr="00E07A51">
        <w:trPr>
          <w:cantSplit/>
          <w:trHeight w:val="543"/>
        </w:trPr>
        <w:tc>
          <w:tcPr>
            <w:tcW w:w="7380" w:type="dxa"/>
            <w:gridSpan w:val="6"/>
            <w:tcBorders>
              <w:top w:val="nil"/>
              <w:left w:val="nil"/>
              <w:bottom w:val="nil"/>
              <w:right w:val="double" w:sz="4" w:space="0" w:color="auto"/>
            </w:tcBorders>
            <w:vAlign w:val="center"/>
          </w:tcPr>
          <w:p w14:paraId="2DF0D82E" w14:textId="77777777" w:rsidR="00F0088B" w:rsidRPr="00653DCF" w:rsidRDefault="00F0088B" w:rsidP="00E07A51">
            <w:pPr>
              <w:ind w:left="0"/>
              <w:jc w:val="right"/>
              <w:rPr>
                <w:b/>
                <w:color w:val="auto"/>
                <w:sz w:val="14"/>
              </w:rPr>
            </w:pPr>
            <w:r w:rsidRPr="00653DCF">
              <w:rPr>
                <w:b/>
                <w:color w:val="auto"/>
                <w:sz w:val="14"/>
              </w:rPr>
              <w:t>Date</w:t>
            </w:r>
            <w:r w:rsidRPr="00653DCF">
              <w:rPr>
                <w:b/>
                <w:color w:val="auto"/>
                <w:sz w:val="14"/>
                <w:szCs w:val="14"/>
              </w:rPr>
              <w:t xml:space="preserve"> </w:t>
            </w:r>
          </w:p>
        </w:tc>
        <w:tc>
          <w:tcPr>
            <w:tcW w:w="2610" w:type="dxa"/>
            <w:gridSpan w:val="2"/>
            <w:tcBorders>
              <w:top w:val="double" w:sz="4" w:space="0" w:color="auto"/>
              <w:left w:val="double" w:sz="4" w:space="0" w:color="auto"/>
              <w:bottom w:val="double" w:sz="4" w:space="0" w:color="auto"/>
              <w:right w:val="double" w:sz="4" w:space="0" w:color="auto"/>
            </w:tcBorders>
            <w:vAlign w:val="center"/>
          </w:tcPr>
          <w:p w14:paraId="0BA232E2" w14:textId="77777777" w:rsidR="00F0088B" w:rsidRPr="00653DCF" w:rsidRDefault="00F0088B" w:rsidP="00E07A51">
            <w:pPr>
              <w:spacing w:before="40" w:after="40"/>
              <w:ind w:left="0"/>
              <w:jc w:val="left"/>
              <w:rPr>
                <w:color w:val="auto"/>
                <w:sz w:val="14"/>
                <w:szCs w:val="14"/>
              </w:rPr>
            </w:pPr>
          </w:p>
        </w:tc>
      </w:tr>
      <w:tr w:rsidR="00F0088B" w:rsidRPr="00653DCF" w14:paraId="3B921A6B"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90" w:type="dxa"/>
            <w:gridSpan w:val="8"/>
            <w:tcBorders>
              <w:top w:val="nil"/>
              <w:left w:val="nil"/>
              <w:bottom w:val="nil"/>
              <w:right w:val="nil"/>
            </w:tcBorders>
          </w:tcPr>
          <w:p w14:paraId="133035F1" w14:textId="77777777" w:rsidR="00F0088B" w:rsidRPr="00653DCF" w:rsidRDefault="00F0088B" w:rsidP="00E07A51">
            <w:pPr>
              <w:ind w:left="-45"/>
              <w:rPr>
                <w:color w:val="auto"/>
                <w:sz w:val="14"/>
                <w:szCs w:val="14"/>
              </w:rPr>
            </w:pPr>
            <w:r w:rsidRPr="00653DCF">
              <w:rPr>
                <w:color w:val="auto"/>
                <w:sz w:val="14"/>
                <w:szCs w:val="14"/>
              </w:rPr>
              <w:t>Please proceed with the following disbursement:</w:t>
            </w:r>
          </w:p>
        </w:tc>
      </w:tr>
      <w:tr w:rsidR="00F0088B" w:rsidRPr="00653DCF" w14:paraId="5A96F09C"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5"/>
        </w:trPr>
        <w:tc>
          <w:tcPr>
            <w:tcW w:w="2160" w:type="dxa"/>
            <w:gridSpan w:val="3"/>
            <w:tcBorders>
              <w:top w:val="nil"/>
              <w:left w:val="nil"/>
              <w:bottom w:val="nil"/>
              <w:right w:val="double" w:sz="4" w:space="0" w:color="auto"/>
            </w:tcBorders>
          </w:tcPr>
          <w:p w14:paraId="6F0C59BA" w14:textId="77777777" w:rsidR="00F0088B" w:rsidRPr="00653DCF" w:rsidRDefault="00F0088B" w:rsidP="00E07A51">
            <w:pPr>
              <w:ind w:left="-45"/>
              <w:rPr>
                <w:b/>
                <w:color w:val="auto"/>
                <w:sz w:val="14"/>
                <w:szCs w:val="14"/>
              </w:rPr>
            </w:pPr>
          </w:p>
          <w:p w14:paraId="47DB3320" w14:textId="77777777" w:rsidR="00F0088B" w:rsidRPr="00653DCF" w:rsidRDefault="00F0088B" w:rsidP="00E07A51">
            <w:pPr>
              <w:ind w:left="-45"/>
              <w:rPr>
                <w:color w:val="auto"/>
                <w:sz w:val="14"/>
                <w:szCs w:val="14"/>
              </w:rPr>
            </w:pPr>
            <w:r w:rsidRPr="00653DCF">
              <w:rPr>
                <w:b/>
                <w:color w:val="auto"/>
                <w:sz w:val="14"/>
                <w:szCs w:val="14"/>
              </w:rPr>
              <w:t>Contract name</w:t>
            </w:r>
          </w:p>
        </w:tc>
        <w:tc>
          <w:tcPr>
            <w:tcW w:w="7830" w:type="dxa"/>
            <w:gridSpan w:val="5"/>
            <w:tcBorders>
              <w:top w:val="double" w:sz="4" w:space="0" w:color="auto"/>
              <w:left w:val="double" w:sz="4" w:space="0" w:color="auto"/>
              <w:right w:val="double" w:sz="4" w:space="0" w:color="auto"/>
            </w:tcBorders>
            <w:vAlign w:val="center"/>
          </w:tcPr>
          <w:p w14:paraId="3F452486" w14:textId="77777777" w:rsidR="00F0088B" w:rsidRPr="00653DCF" w:rsidRDefault="00F0088B" w:rsidP="00E07A51">
            <w:pPr>
              <w:ind w:left="475"/>
              <w:rPr>
                <w:color w:val="auto"/>
                <w:sz w:val="14"/>
                <w:szCs w:val="14"/>
              </w:rPr>
            </w:pPr>
            <w:r w:rsidRPr="00653DCF">
              <w:rPr>
                <w:color w:val="auto"/>
                <w:sz w:val="14"/>
                <w:szCs w:val="14"/>
              </w:rPr>
              <w:t>FRAMEWORK LOAN FOR THE PROJECT “REVITALIZATION OF THE RAILWAY SYSTEM OF THE REPUBLIC OF CROATIA”</w:t>
            </w:r>
          </w:p>
        </w:tc>
      </w:tr>
      <w:tr w:rsidR="00F0088B" w:rsidRPr="00653DCF" w14:paraId="329D8EE8"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7"/>
        </w:trPr>
        <w:tc>
          <w:tcPr>
            <w:tcW w:w="2160" w:type="dxa"/>
            <w:gridSpan w:val="3"/>
            <w:tcBorders>
              <w:top w:val="nil"/>
              <w:left w:val="nil"/>
              <w:bottom w:val="nil"/>
              <w:right w:val="double" w:sz="4" w:space="0" w:color="auto"/>
            </w:tcBorders>
          </w:tcPr>
          <w:p w14:paraId="6B9978E5" w14:textId="77777777" w:rsidR="00F0088B" w:rsidRPr="00653DCF" w:rsidRDefault="00F0088B" w:rsidP="00E07A51">
            <w:pPr>
              <w:ind w:left="-45"/>
              <w:rPr>
                <w:color w:val="auto"/>
                <w:sz w:val="14"/>
                <w:szCs w:val="14"/>
              </w:rPr>
            </w:pPr>
          </w:p>
          <w:p w14:paraId="79BFDC6E" w14:textId="77777777" w:rsidR="00F0088B" w:rsidRPr="00653DCF" w:rsidRDefault="00F0088B" w:rsidP="00E07A51">
            <w:pPr>
              <w:ind w:left="-45"/>
              <w:rPr>
                <w:b/>
                <w:color w:val="auto"/>
                <w:sz w:val="14"/>
              </w:rPr>
            </w:pPr>
            <w:r w:rsidRPr="00653DCF">
              <w:rPr>
                <w:b/>
                <w:color w:val="auto"/>
                <w:sz w:val="14"/>
              </w:rPr>
              <w:t xml:space="preserve">Contract </w:t>
            </w:r>
            <w:r w:rsidRPr="00653DCF">
              <w:rPr>
                <w:b/>
                <w:color w:val="auto"/>
                <w:sz w:val="14"/>
                <w:szCs w:val="14"/>
              </w:rPr>
              <w:t>number</w:t>
            </w:r>
          </w:p>
        </w:tc>
        <w:tc>
          <w:tcPr>
            <w:tcW w:w="7830" w:type="dxa"/>
            <w:gridSpan w:val="5"/>
            <w:tcBorders>
              <w:top w:val="single" w:sz="4" w:space="0" w:color="auto"/>
              <w:left w:val="double" w:sz="4" w:space="0" w:color="auto"/>
              <w:right w:val="double" w:sz="4" w:space="0" w:color="auto"/>
            </w:tcBorders>
            <w:vAlign w:val="center"/>
          </w:tcPr>
          <w:p w14:paraId="50784FE3" w14:textId="77777777" w:rsidR="00F0088B" w:rsidRPr="00653DCF" w:rsidRDefault="00F0088B" w:rsidP="00E07A51">
            <w:pPr>
              <w:ind w:left="475"/>
              <w:rPr>
                <w:color w:val="auto"/>
                <w:sz w:val="14"/>
              </w:rPr>
            </w:pPr>
            <w:r w:rsidRPr="00653DCF">
              <w:rPr>
                <w:color w:val="auto"/>
                <w:sz w:val="14"/>
                <w:szCs w:val="14"/>
              </w:rPr>
              <w:t>95.797</w:t>
            </w:r>
          </w:p>
        </w:tc>
      </w:tr>
      <w:tr w:rsidR="00F0088B" w:rsidRPr="00653DCF" w14:paraId="25136592"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2"/>
        </w:trPr>
        <w:tc>
          <w:tcPr>
            <w:tcW w:w="2160" w:type="dxa"/>
            <w:gridSpan w:val="3"/>
            <w:tcBorders>
              <w:top w:val="nil"/>
              <w:left w:val="nil"/>
              <w:bottom w:val="nil"/>
              <w:right w:val="double" w:sz="4" w:space="0" w:color="auto"/>
            </w:tcBorders>
          </w:tcPr>
          <w:p w14:paraId="61803325" w14:textId="77777777" w:rsidR="00F0088B" w:rsidRPr="00653DCF" w:rsidRDefault="00F0088B" w:rsidP="00E07A51">
            <w:pPr>
              <w:ind w:left="-45"/>
              <w:rPr>
                <w:color w:val="auto"/>
                <w:sz w:val="14"/>
                <w:szCs w:val="14"/>
              </w:rPr>
            </w:pPr>
          </w:p>
          <w:p w14:paraId="0E36FC9E" w14:textId="77777777" w:rsidR="00F0088B" w:rsidRPr="00653DCF" w:rsidRDefault="00F0088B" w:rsidP="00E07A51">
            <w:pPr>
              <w:ind w:left="-45"/>
              <w:rPr>
                <w:b/>
                <w:color w:val="auto"/>
                <w:sz w:val="14"/>
                <w:szCs w:val="14"/>
              </w:rPr>
            </w:pPr>
            <w:r w:rsidRPr="00653DCF">
              <w:rPr>
                <w:b/>
                <w:color w:val="auto"/>
                <w:sz w:val="14"/>
                <w:szCs w:val="14"/>
              </w:rPr>
              <w:t>Preferred disbursement date</w:t>
            </w:r>
          </w:p>
        </w:tc>
        <w:tc>
          <w:tcPr>
            <w:tcW w:w="7830" w:type="dxa"/>
            <w:gridSpan w:val="5"/>
            <w:tcBorders>
              <w:top w:val="single" w:sz="4" w:space="0" w:color="auto"/>
              <w:left w:val="double" w:sz="4" w:space="0" w:color="auto"/>
              <w:right w:val="double" w:sz="4" w:space="0" w:color="auto"/>
            </w:tcBorders>
            <w:vAlign w:val="center"/>
          </w:tcPr>
          <w:p w14:paraId="6E85FBA2" w14:textId="77777777" w:rsidR="00F0088B" w:rsidRPr="00653DCF" w:rsidRDefault="00F0088B" w:rsidP="00E07A51">
            <w:pPr>
              <w:ind w:left="475"/>
              <w:rPr>
                <w:color w:val="auto"/>
                <w:sz w:val="14"/>
                <w:szCs w:val="14"/>
              </w:rPr>
            </w:pPr>
          </w:p>
        </w:tc>
      </w:tr>
      <w:tr w:rsidR="00F0088B" w:rsidRPr="00653DCF" w14:paraId="23904CE5"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2160" w:type="dxa"/>
            <w:gridSpan w:val="3"/>
            <w:tcBorders>
              <w:top w:val="nil"/>
              <w:left w:val="nil"/>
              <w:bottom w:val="nil"/>
              <w:right w:val="double" w:sz="4" w:space="0" w:color="auto"/>
            </w:tcBorders>
          </w:tcPr>
          <w:p w14:paraId="742C6548" w14:textId="77777777" w:rsidR="00F0088B" w:rsidRPr="00653DCF" w:rsidRDefault="00F0088B" w:rsidP="00E07A51">
            <w:pPr>
              <w:ind w:left="-45"/>
              <w:rPr>
                <w:color w:val="auto"/>
                <w:sz w:val="14"/>
                <w:szCs w:val="14"/>
              </w:rPr>
            </w:pPr>
          </w:p>
          <w:p w14:paraId="663673CA" w14:textId="77777777" w:rsidR="00F0088B" w:rsidRPr="00653DCF" w:rsidRDefault="00F0088B" w:rsidP="00E07A51">
            <w:pPr>
              <w:ind w:left="-45"/>
              <w:rPr>
                <w:color w:val="auto"/>
                <w:sz w:val="14"/>
                <w:szCs w:val="14"/>
              </w:rPr>
            </w:pPr>
            <w:r w:rsidRPr="00653DCF">
              <w:rPr>
                <w:b/>
                <w:color w:val="auto"/>
                <w:sz w:val="14"/>
              </w:rPr>
              <w:t>Currency</w:t>
            </w:r>
            <w:r w:rsidRPr="00653DCF">
              <w:rPr>
                <w:color w:val="auto"/>
                <w:sz w:val="14"/>
                <w:szCs w:val="14"/>
              </w:rPr>
              <w:t xml:space="preserve"> and </w:t>
            </w:r>
            <w:r w:rsidRPr="00653DCF">
              <w:rPr>
                <w:b/>
                <w:color w:val="auto"/>
                <w:sz w:val="14"/>
                <w:szCs w:val="14"/>
              </w:rPr>
              <w:t>Amount</w:t>
            </w:r>
          </w:p>
        </w:tc>
        <w:tc>
          <w:tcPr>
            <w:tcW w:w="7830" w:type="dxa"/>
            <w:gridSpan w:val="5"/>
            <w:tcBorders>
              <w:top w:val="single" w:sz="4" w:space="0" w:color="auto"/>
              <w:left w:val="double" w:sz="4" w:space="0" w:color="auto"/>
              <w:bottom w:val="double" w:sz="4" w:space="0" w:color="auto"/>
              <w:right w:val="double" w:sz="4" w:space="0" w:color="auto"/>
            </w:tcBorders>
            <w:vAlign w:val="center"/>
          </w:tcPr>
          <w:p w14:paraId="5204F74E" w14:textId="77777777" w:rsidR="00F0088B" w:rsidRPr="00653DCF" w:rsidRDefault="00F0088B" w:rsidP="00E07A51">
            <w:pPr>
              <w:ind w:left="475"/>
              <w:rPr>
                <w:color w:val="auto"/>
                <w:sz w:val="14"/>
                <w:szCs w:val="14"/>
              </w:rPr>
            </w:pPr>
          </w:p>
        </w:tc>
      </w:tr>
      <w:tr w:rsidR="00F0088B" w:rsidRPr="00653DCF" w14:paraId="2ED8A98D"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2"/>
        </w:trPr>
        <w:tc>
          <w:tcPr>
            <w:tcW w:w="2160" w:type="dxa"/>
            <w:gridSpan w:val="3"/>
            <w:tcBorders>
              <w:top w:val="nil"/>
              <w:left w:val="nil"/>
              <w:bottom w:val="nil"/>
              <w:right w:val="nil"/>
            </w:tcBorders>
          </w:tcPr>
          <w:p w14:paraId="71E2B3B2" w14:textId="77777777" w:rsidR="00F0088B" w:rsidRPr="00653DCF" w:rsidRDefault="00F0088B" w:rsidP="00E07A51">
            <w:pPr>
              <w:ind w:left="0"/>
              <w:rPr>
                <w:color w:val="auto"/>
                <w:sz w:val="14"/>
                <w:szCs w:val="14"/>
              </w:rPr>
            </w:pPr>
          </w:p>
        </w:tc>
        <w:tc>
          <w:tcPr>
            <w:tcW w:w="3060" w:type="dxa"/>
            <w:tcBorders>
              <w:top w:val="double" w:sz="4" w:space="0" w:color="auto"/>
              <w:left w:val="nil"/>
              <w:bottom w:val="single" w:sz="4" w:space="0" w:color="FFFFFF"/>
              <w:right w:val="nil"/>
            </w:tcBorders>
            <w:vAlign w:val="center"/>
          </w:tcPr>
          <w:p w14:paraId="2114B0F2" w14:textId="77777777" w:rsidR="00F0088B" w:rsidRPr="00653DCF" w:rsidRDefault="00F0088B" w:rsidP="00E07A51">
            <w:pPr>
              <w:ind w:left="473"/>
              <w:rPr>
                <w:color w:val="auto"/>
                <w:sz w:val="14"/>
              </w:rPr>
            </w:pPr>
          </w:p>
        </w:tc>
        <w:tc>
          <w:tcPr>
            <w:tcW w:w="330" w:type="dxa"/>
            <w:tcBorders>
              <w:top w:val="double" w:sz="4" w:space="0" w:color="auto"/>
              <w:left w:val="nil"/>
              <w:bottom w:val="double" w:sz="4" w:space="0" w:color="auto"/>
              <w:right w:val="nil"/>
            </w:tcBorders>
            <w:vAlign w:val="center"/>
          </w:tcPr>
          <w:p w14:paraId="31D5025D" w14:textId="77777777" w:rsidR="00F0088B" w:rsidRPr="00653DCF" w:rsidRDefault="00F0088B" w:rsidP="00E07A51">
            <w:pPr>
              <w:ind w:left="473"/>
              <w:rPr>
                <w:color w:val="auto"/>
                <w:sz w:val="14"/>
                <w:szCs w:val="14"/>
              </w:rPr>
            </w:pPr>
          </w:p>
        </w:tc>
        <w:tc>
          <w:tcPr>
            <w:tcW w:w="2498" w:type="dxa"/>
            <w:gridSpan w:val="2"/>
            <w:tcBorders>
              <w:top w:val="double" w:sz="4" w:space="0" w:color="auto"/>
              <w:left w:val="nil"/>
              <w:bottom w:val="double" w:sz="4" w:space="0" w:color="auto"/>
              <w:right w:val="nil"/>
            </w:tcBorders>
            <w:vAlign w:val="center"/>
          </w:tcPr>
          <w:p w14:paraId="53C88A71" w14:textId="77777777" w:rsidR="00F0088B" w:rsidRPr="0084004D" w:rsidRDefault="00F0088B" w:rsidP="00E07A51">
            <w:pPr>
              <w:ind w:left="473"/>
              <w:rPr>
                <w:color w:val="auto"/>
              </w:rPr>
            </w:pPr>
          </w:p>
        </w:tc>
        <w:tc>
          <w:tcPr>
            <w:tcW w:w="1942" w:type="dxa"/>
            <w:tcBorders>
              <w:top w:val="double" w:sz="4" w:space="0" w:color="auto"/>
              <w:left w:val="nil"/>
              <w:bottom w:val="double" w:sz="4" w:space="0" w:color="auto"/>
              <w:right w:val="nil"/>
            </w:tcBorders>
            <w:vAlign w:val="center"/>
          </w:tcPr>
          <w:p w14:paraId="4F73F707" w14:textId="77777777" w:rsidR="00F0088B" w:rsidRPr="00653DCF" w:rsidRDefault="00F0088B" w:rsidP="00E07A51">
            <w:pPr>
              <w:ind w:left="473"/>
              <w:rPr>
                <w:color w:val="auto"/>
                <w:sz w:val="14"/>
                <w:szCs w:val="14"/>
              </w:rPr>
            </w:pPr>
          </w:p>
        </w:tc>
      </w:tr>
      <w:tr w:rsidR="00F0088B" w:rsidRPr="00653DCF" w14:paraId="3893D189"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720"/>
        </w:trPr>
        <w:tc>
          <w:tcPr>
            <w:tcW w:w="450" w:type="dxa"/>
            <w:vMerge w:val="restart"/>
            <w:tcBorders>
              <w:top w:val="double" w:sz="4" w:space="0" w:color="auto"/>
              <w:left w:val="double" w:sz="4" w:space="0" w:color="auto"/>
              <w:right w:val="double" w:sz="4" w:space="0" w:color="auto"/>
            </w:tcBorders>
            <w:textDirection w:val="btLr"/>
          </w:tcPr>
          <w:p w14:paraId="48ED502D" w14:textId="77777777" w:rsidR="00F0088B" w:rsidRPr="00653DCF" w:rsidRDefault="00F0088B" w:rsidP="00E07A51">
            <w:pPr>
              <w:tabs>
                <w:tab w:val="left" w:pos="720"/>
                <w:tab w:val="left" w:pos="896"/>
              </w:tabs>
              <w:ind w:left="854"/>
              <w:jc w:val="center"/>
              <w:rPr>
                <w:b/>
                <w:color w:val="auto"/>
                <w:sz w:val="14"/>
                <w:szCs w:val="14"/>
              </w:rPr>
            </w:pPr>
            <w:r w:rsidRPr="00653DCF">
              <w:rPr>
                <w:b/>
                <w:color w:val="auto"/>
                <w:sz w:val="14"/>
                <w:szCs w:val="14"/>
              </w:rPr>
              <w:t>I N T E R E S T</w:t>
            </w:r>
          </w:p>
        </w:tc>
        <w:tc>
          <w:tcPr>
            <w:tcW w:w="4230" w:type="dxa"/>
            <w:gridSpan w:val="2"/>
            <w:tcBorders>
              <w:top w:val="nil"/>
              <w:left w:val="double" w:sz="4" w:space="0" w:color="auto"/>
              <w:bottom w:val="nil"/>
              <w:right w:val="double" w:sz="4" w:space="0" w:color="auto"/>
            </w:tcBorders>
          </w:tcPr>
          <w:p w14:paraId="5329B2E7" w14:textId="77777777" w:rsidR="00F0088B" w:rsidRPr="00653DCF" w:rsidRDefault="00F0088B" w:rsidP="00E07A51">
            <w:pPr>
              <w:ind w:left="0"/>
              <w:rPr>
                <w:bCs/>
                <w:color w:val="auto"/>
                <w:sz w:val="16"/>
                <w:szCs w:val="16"/>
              </w:rPr>
            </w:pPr>
          </w:p>
          <w:p w14:paraId="01C1189F" w14:textId="6D770E06" w:rsidR="00F0088B" w:rsidRPr="00653DCF" w:rsidRDefault="00F0088B" w:rsidP="00E07A51">
            <w:pPr>
              <w:ind w:left="0"/>
              <w:rPr>
                <w:color w:val="auto"/>
                <w:sz w:val="16"/>
              </w:rPr>
            </w:pPr>
            <w:r w:rsidRPr="00653DCF">
              <w:rPr>
                <w:bCs/>
                <w:color w:val="auto"/>
                <w:sz w:val="16"/>
                <w:szCs w:val="16"/>
              </w:rPr>
              <w:t>Interest</w:t>
            </w:r>
            <w:r w:rsidRPr="00653DCF">
              <w:rPr>
                <w:color w:val="auto"/>
                <w:sz w:val="16"/>
              </w:rPr>
              <w:t xml:space="preserve"> rate basis (Art. </w:t>
            </w:r>
            <w:r w:rsidRPr="00653DCF">
              <w:rPr>
                <w:color w:val="auto"/>
                <w:sz w:val="16"/>
              </w:rPr>
              <w:fldChar w:fldCharType="begin"/>
            </w:r>
            <w:r w:rsidRPr="00653DCF">
              <w:rPr>
                <w:color w:val="auto"/>
                <w:sz w:val="16"/>
              </w:rPr>
              <w:instrText xml:space="preserve"> REF _Ref426639513 \r \h  \* MERGEFORMAT </w:instrText>
            </w:r>
            <w:r w:rsidRPr="00653DCF">
              <w:rPr>
                <w:color w:val="auto"/>
                <w:sz w:val="16"/>
              </w:rPr>
            </w:r>
            <w:r w:rsidRPr="00653DCF">
              <w:rPr>
                <w:color w:val="auto"/>
                <w:sz w:val="16"/>
              </w:rPr>
              <w:fldChar w:fldCharType="separate"/>
            </w:r>
            <w:r w:rsidR="00E5391B">
              <w:rPr>
                <w:color w:val="auto"/>
                <w:sz w:val="16"/>
              </w:rPr>
              <w:t>članak 3</w:t>
            </w:r>
            <w:r w:rsidRPr="00653DCF">
              <w:rPr>
                <w:color w:val="auto"/>
                <w:sz w:val="16"/>
              </w:rPr>
              <w:fldChar w:fldCharType="end"/>
            </w:r>
            <w:r w:rsidRPr="00653DCF">
              <w:rPr>
                <w:color w:val="auto"/>
                <w:sz w:val="16"/>
              </w:rPr>
              <w:t>)</w:t>
            </w:r>
          </w:p>
        </w:tc>
        <w:tc>
          <w:tcPr>
            <w:tcW w:w="4770" w:type="dxa"/>
            <w:gridSpan w:val="4"/>
            <w:tcBorders>
              <w:left w:val="double" w:sz="4" w:space="0" w:color="auto"/>
              <w:right w:val="double" w:sz="4" w:space="0" w:color="auto"/>
            </w:tcBorders>
            <w:vAlign w:val="center"/>
          </w:tcPr>
          <w:p w14:paraId="67DA30ED" w14:textId="77777777" w:rsidR="00F0088B" w:rsidRPr="00653DCF" w:rsidRDefault="00F0088B" w:rsidP="00E07A51">
            <w:pPr>
              <w:spacing w:after="60"/>
              <w:ind w:left="58"/>
              <w:rPr>
                <w:b/>
                <w:bCs/>
                <w:color w:val="auto"/>
                <w:sz w:val="14"/>
                <w:szCs w:val="14"/>
              </w:rPr>
            </w:pPr>
          </w:p>
        </w:tc>
      </w:tr>
      <w:tr w:rsidR="00F0088B" w:rsidRPr="00653DCF" w14:paraId="389CADFC"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113"/>
        </w:trPr>
        <w:tc>
          <w:tcPr>
            <w:tcW w:w="450" w:type="dxa"/>
            <w:vMerge/>
            <w:tcBorders>
              <w:left w:val="double" w:sz="4" w:space="0" w:color="auto"/>
              <w:right w:val="double" w:sz="4" w:space="0" w:color="auto"/>
            </w:tcBorders>
          </w:tcPr>
          <w:p w14:paraId="19DA52A8" w14:textId="77777777" w:rsidR="00F0088B" w:rsidRPr="00653DCF" w:rsidRDefault="00F0088B" w:rsidP="00E07A51">
            <w:pPr>
              <w:tabs>
                <w:tab w:val="left" w:pos="720"/>
                <w:tab w:val="left" w:pos="896"/>
              </w:tabs>
              <w:ind w:left="854"/>
              <w:jc w:val="center"/>
              <w:rPr>
                <w:color w:val="auto"/>
                <w:sz w:val="14"/>
                <w:szCs w:val="14"/>
              </w:rPr>
            </w:pPr>
          </w:p>
        </w:tc>
        <w:tc>
          <w:tcPr>
            <w:tcW w:w="4230" w:type="dxa"/>
            <w:gridSpan w:val="2"/>
            <w:tcBorders>
              <w:top w:val="nil"/>
              <w:left w:val="double" w:sz="4" w:space="0" w:color="auto"/>
              <w:bottom w:val="nil"/>
              <w:right w:val="double" w:sz="4" w:space="0" w:color="auto"/>
            </w:tcBorders>
          </w:tcPr>
          <w:p w14:paraId="67A1C15C" w14:textId="77777777" w:rsidR="00F0088B" w:rsidRPr="00653DCF" w:rsidRDefault="00F0088B" w:rsidP="00E07A51">
            <w:pPr>
              <w:ind w:left="0"/>
              <w:rPr>
                <w:color w:val="auto"/>
                <w:sz w:val="16"/>
              </w:rPr>
            </w:pPr>
            <w:r w:rsidRPr="00653DCF">
              <w:rPr>
                <w:color w:val="auto"/>
                <w:sz w:val="16"/>
              </w:rPr>
              <w:t xml:space="preserve">Rate </w:t>
            </w:r>
            <w:r w:rsidRPr="00653DCF">
              <w:rPr>
                <w:bCs/>
                <w:color w:val="auto"/>
                <w:sz w:val="16"/>
                <w:szCs w:val="16"/>
              </w:rPr>
              <w:t>(%)</w:t>
            </w:r>
            <w:r w:rsidRPr="00653DCF">
              <w:rPr>
                <w:color w:val="auto"/>
                <w:sz w:val="16"/>
              </w:rPr>
              <w:t xml:space="preserve"> or Spread</w:t>
            </w:r>
            <w:r w:rsidRPr="00653DCF">
              <w:rPr>
                <w:bCs/>
                <w:color w:val="auto"/>
                <w:sz w:val="16"/>
                <w:szCs w:val="16"/>
              </w:rPr>
              <w:t xml:space="preserve"> (basis points</w:t>
            </w:r>
            <w:r w:rsidRPr="00653DCF">
              <w:rPr>
                <w:color w:val="auto"/>
                <w:sz w:val="16"/>
              </w:rPr>
              <w:t>)</w:t>
            </w:r>
          </w:p>
          <w:p w14:paraId="4383C774" w14:textId="77777777" w:rsidR="00F0088B" w:rsidRPr="00653DCF" w:rsidRDefault="00F0088B" w:rsidP="00E07A51">
            <w:pPr>
              <w:ind w:left="0"/>
              <w:rPr>
                <w:color w:val="auto"/>
                <w:sz w:val="16"/>
              </w:rPr>
            </w:pPr>
            <w:r w:rsidRPr="00653DCF">
              <w:rPr>
                <w:bCs/>
                <w:color w:val="auto"/>
                <w:sz w:val="14"/>
                <w:szCs w:val="14"/>
              </w:rPr>
              <w:t xml:space="preserve"> </w:t>
            </w:r>
          </w:p>
        </w:tc>
        <w:tc>
          <w:tcPr>
            <w:tcW w:w="4770" w:type="dxa"/>
            <w:gridSpan w:val="4"/>
            <w:tcBorders>
              <w:left w:val="double" w:sz="4" w:space="0" w:color="auto"/>
              <w:right w:val="double" w:sz="4" w:space="0" w:color="auto"/>
            </w:tcBorders>
            <w:vAlign w:val="center"/>
          </w:tcPr>
          <w:p w14:paraId="31878F99" w14:textId="77777777" w:rsidR="00F0088B" w:rsidRPr="00653DCF" w:rsidRDefault="00F0088B" w:rsidP="00E07A51">
            <w:pPr>
              <w:spacing w:after="60"/>
              <w:ind w:left="58"/>
              <w:rPr>
                <w:b/>
                <w:bCs/>
                <w:color w:val="auto"/>
                <w:sz w:val="14"/>
                <w:szCs w:val="14"/>
              </w:rPr>
            </w:pPr>
          </w:p>
        </w:tc>
      </w:tr>
      <w:tr w:rsidR="00F0088B" w:rsidRPr="00653DCF" w14:paraId="15565655"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907"/>
        </w:trPr>
        <w:tc>
          <w:tcPr>
            <w:tcW w:w="450" w:type="dxa"/>
            <w:vMerge/>
            <w:tcBorders>
              <w:left w:val="double" w:sz="4" w:space="0" w:color="auto"/>
              <w:right w:val="double" w:sz="4" w:space="0" w:color="auto"/>
            </w:tcBorders>
          </w:tcPr>
          <w:p w14:paraId="6DCB685F" w14:textId="77777777" w:rsidR="00F0088B" w:rsidRPr="00653DCF" w:rsidRDefault="00F0088B" w:rsidP="00E07A51">
            <w:pPr>
              <w:tabs>
                <w:tab w:val="left" w:pos="720"/>
                <w:tab w:val="left" w:pos="896"/>
              </w:tabs>
              <w:ind w:left="854"/>
              <w:jc w:val="center"/>
              <w:rPr>
                <w:color w:val="auto"/>
                <w:sz w:val="14"/>
                <w:szCs w:val="14"/>
              </w:rPr>
            </w:pPr>
          </w:p>
        </w:tc>
        <w:tc>
          <w:tcPr>
            <w:tcW w:w="4230" w:type="dxa"/>
            <w:gridSpan w:val="2"/>
            <w:tcBorders>
              <w:top w:val="nil"/>
              <w:left w:val="double" w:sz="4" w:space="0" w:color="auto"/>
              <w:bottom w:val="nil"/>
              <w:right w:val="double" w:sz="4" w:space="0" w:color="auto"/>
            </w:tcBorders>
          </w:tcPr>
          <w:p w14:paraId="2F6FFDD2" w14:textId="77777777" w:rsidR="00F0088B" w:rsidRPr="00653DCF" w:rsidRDefault="00F0088B" w:rsidP="00E07A51">
            <w:pPr>
              <w:ind w:left="0"/>
              <w:rPr>
                <w:bCs/>
                <w:color w:val="auto"/>
                <w:sz w:val="16"/>
                <w:szCs w:val="16"/>
              </w:rPr>
            </w:pPr>
          </w:p>
          <w:p w14:paraId="76693E1F" w14:textId="44424538" w:rsidR="00F0088B" w:rsidRPr="00653DCF" w:rsidRDefault="00F0088B" w:rsidP="00E07A51">
            <w:pPr>
              <w:ind w:left="0"/>
              <w:rPr>
                <w:color w:val="auto"/>
                <w:sz w:val="16"/>
              </w:rPr>
            </w:pPr>
            <w:r w:rsidRPr="00653DCF">
              <w:rPr>
                <w:color w:val="auto"/>
                <w:sz w:val="16"/>
              </w:rPr>
              <w:t>Frequency (Art. </w:t>
            </w:r>
            <w:r w:rsidRPr="00653DCF">
              <w:rPr>
                <w:color w:val="auto"/>
                <w:sz w:val="16"/>
              </w:rPr>
              <w:fldChar w:fldCharType="begin"/>
            </w:r>
            <w:r w:rsidRPr="00653DCF">
              <w:rPr>
                <w:color w:val="auto"/>
                <w:sz w:val="16"/>
              </w:rPr>
              <w:instrText xml:space="preserve"> REF _Ref426639513 \r \h  \* MERGEFORMAT </w:instrText>
            </w:r>
            <w:r w:rsidRPr="00653DCF">
              <w:rPr>
                <w:color w:val="auto"/>
                <w:sz w:val="16"/>
              </w:rPr>
            </w:r>
            <w:r w:rsidRPr="00653DCF">
              <w:rPr>
                <w:color w:val="auto"/>
                <w:sz w:val="16"/>
              </w:rPr>
              <w:fldChar w:fldCharType="separate"/>
            </w:r>
            <w:r w:rsidR="00E5391B">
              <w:rPr>
                <w:color w:val="auto"/>
                <w:sz w:val="16"/>
              </w:rPr>
              <w:t>članak 3</w:t>
            </w:r>
            <w:r w:rsidRPr="00653DCF">
              <w:rPr>
                <w:color w:val="auto"/>
                <w:sz w:val="16"/>
              </w:rPr>
              <w:fldChar w:fldCharType="end"/>
            </w:r>
            <w:r w:rsidRPr="00653DCF">
              <w:rPr>
                <w:color w:val="auto"/>
                <w:sz w:val="16"/>
              </w:rPr>
              <w:t>)</w:t>
            </w:r>
          </w:p>
        </w:tc>
        <w:tc>
          <w:tcPr>
            <w:tcW w:w="4770" w:type="dxa"/>
            <w:gridSpan w:val="4"/>
            <w:tcBorders>
              <w:left w:val="double" w:sz="4" w:space="0" w:color="auto"/>
              <w:right w:val="double" w:sz="4" w:space="0" w:color="auto"/>
            </w:tcBorders>
            <w:vAlign w:val="center"/>
          </w:tcPr>
          <w:p w14:paraId="3E812D7D" w14:textId="77777777" w:rsidR="00F0088B" w:rsidRPr="00653DCF" w:rsidRDefault="00F0088B" w:rsidP="00E07A51">
            <w:pPr>
              <w:spacing w:after="60"/>
              <w:ind w:left="58"/>
              <w:rPr>
                <w:bCs/>
                <w:color w:val="auto"/>
                <w:sz w:val="14"/>
                <w:szCs w:val="14"/>
              </w:rPr>
            </w:pPr>
            <w:r w:rsidRPr="00653DCF">
              <w:rPr>
                <w:bCs/>
                <w:color w:val="auto"/>
                <w:sz w:val="14"/>
                <w:szCs w:val="14"/>
              </w:rPr>
              <w:t xml:space="preserve">Annual </w:t>
            </w:r>
            <w:r w:rsidRPr="00653DCF">
              <w:rPr>
                <w:bCs/>
                <w:color w:val="auto"/>
                <w:sz w:val="14"/>
                <w:szCs w:val="14"/>
              </w:rPr>
              <w:tab/>
            </w:r>
            <w:r w:rsidRPr="00653DCF">
              <w:rPr>
                <w:bCs/>
                <w:color w:val="auto"/>
                <w:sz w:val="14"/>
                <w:szCs w:val="14"/>
              </w:rPr>
              <w:tab/>
            </w:r>
            <w:r w:rsidRPr="00653DCF">
              <w:rPr>
                <w:bCs/>
                <w:color w:val="auto"/>
                <w:sz w:val="14"/>
                <w:szCs w:val="14"/>
              </w:rPr>
              <w:sym w:font="Wingdings" w:char="F06F"/>
            </w:r>
          </w:p>
          <w:p w14:paraId="7CBAE28F" w14:textId="77777777" w:rsidR="00F0088B" w:rsidRPr="00653DCF" w:rsidRDefault="00F0088B" w:rsidP="00E07A51">
            <w:pPr>
              <w:spacing w:after="60"/>
              <w:ind w:left="58"/>
              <w:rPr>
                <w:bCs/>
                <w:color w:val="auto"/>
                <w:sz w:val="14"/>
                <w:szCs w:val="14"/>
              </w:rPr>
            </w:pPr>
            <w:r w:rsidRPr="00653DCF">
              <w:rPr>
                <w:bCs/>
                <w:color w:val="auto"/>
                <w:sz w:val="14"/>
                <w:szCs w:val="14"/>
              </w:rPr>
              <w:t>Semi-annual</w:t>
            </w:r>
            <w:r w:rsidRPr="00653DCF">
              <w:rPr>
                <w:bCs/>
                <w:color w:val="auto"/>
                <w:sz w:val="14"/>
                <w:szCs w:val="14"/>
              </w:rPr>
              <w:tab/>
            </w:r>
            <w:r w:rsidRPr="00653DCF">
              <w:rPr>
                <w:bCs/>
                <w:color w:val="auto"/>
                <w:sz w:val="14"/>
                <w:szCs w:val="14"/>
              </w:rPr>
              <w:sym w:font="Wingdings" w:char="F06F"/>
            </w:r>
          </w:p>
          <w:p w14:paraId="28927319" w14:textId="77777777" w:rsidR="00F0088B" w:rsidRPr="00653DCF" w:rsidRDefault="00F0088B" w:rsidP="00E07A51">
            <w:pPr>
              <w:spacing w:after="60"/>
              <w:ind w:left="58"/>
              <w:rPr>
                <w:b/>
                <w:bCs/>
                <w:color w:val="auto"/>
                <w:sz w:val="14"/>
                <w:szCs w:val="14"/>
              </w:rPr>
            </w:pPr>
            <w:r w:rsidRPr="00653DCF">
              <w:rPr>
                <w:bCs/>
                <w:color w:val="auto"/>
                <w:sz w:val="14"/>
                <w:szCs w:val="14"/>
              </w:rPr>
              <w:t>Quarterly</w:t>
            </w:r>
            <w:r w:rsidRPr="00653DCF">
              <w:rPr>
                <w:bCs/>
                <w:color w:val="auto"/>
                <w:sz w:val="14"/>
                <w:szCs w:val="14"/>
              </w:rPr>
              <w:tab/>
            </w:r>
            <w:r w:rsidRPr="00653DCF">
              <w:rPr>
                <w:bCs/>
                <w:color w:val="auto"/>
                <w:sz w:val="14"/>
                <w:szCs w:val="14"/>
              </w:rPr>
              <w:tab/>
            </w:r>
            <w:r w:rsidRPr="00653DCF">
              <w:rPr>
                <w:bCs/>
                <w:color w:val="auto"/>
                <w:sz w:val="14"/>
                <w:szCs w:val="14"/>
              </w:rPr>
              <w:sym w:font="Wingdings" w:char="F06F"/>
            </w:r>
          </w:p>
        </w:tc>
      </w:tr>
      <w:tr w:rsidR="00F0088B" w:rsidRPr="00653DCF" w14:paraId="780A9E76"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710"/>
        </w:trPr>
        <w:tc>
          <w:tcPr>
            <w:tcW w:w="450" w:type="dxa"/>
            <w:vMerge/>
            <w:tcBorders>
              <w:left w:val="double" w:sz="4" w:space="0" w:color="auto"/>
              <w:right w:val="double" w:sz="4" w:space="0" w:color="auto"/>
            </w:tcBorders>
          </w:tcPr>
          <w:p w14:paraId="2C3AC2F6" w14:textId="77777777" w:rsidR="00F0088B" w:rsidRPr="00653DCF" w:rsidRDefault="00F0088B" w:rsidP="00E07A51">
            <w:pPr>
              <w:tabs>
                <w:tab w:val="left" w:pos="720"/>
                <w:tab w:val="left" w:pos="896"/>
              </w:tabs>
              <w:ind w:left="854"/>
              <w:jc w:val="center"/>
              <w:rPr>
                <w:color w:val="auto"/>
                <w:sz w:val="14"/>
                <w:szCs w:val="14"/>
              </w:rPr>
            </w:pPr>
          </w:p>
        </w:tc>
        <w:tc>
          <w:tcPr>
            <w:tcW w:w="4230" w:type="dxa"/>
            <w:gridSpan w:val="2"/>
            <w:tcBorders>
              <w:top w:val="nil"/>
              <w:left w:val="double" w:sz="4" w:space="0" w:color="auto"/>
              <w:bottom w:val="nil"/>
              <w:right w:val="double" w:sz="4" w:space="0" w:color="auto"/>
            </w:tcBorders>
          </w:tcPr>
          <w:p w14:paraId="6556272A" w14:textId="77777777" w:rsidR="00F0088B" w:rsidRPr="00653DCF" w:rsidRDefault="00F0088B" w:rsidP="00E07A51">
            <w:pPr>
              <w:ind w:left="0"/>
              <w:rPr>
                <w:bCs/>
                <w:color w:val="auto"/>
                <w:sz w:val="16"/>
                <w:szCs w:val="16"/>
              </w:rPr>
            </w:pPr>
          </w:p>
          <w:p w14:paraId="35296142" w14:textId="77777777" w:rsidR="00F0088B" w:rsidRPr="00653DCF" w:rsidRDefault="00F0088B" w:rsidP="00E07A51">
            <w:pPr>
              <w:ind w:left="0"/>
              <w:rPr>
                <w:color w:val="auto"/>
                <w:sz w:val="16"/>
              </w:rPr>
            </w:pPr>
            <w:r w:rsidRPr="00653DCF">
              <w:rPr>
                <w:color w:val="auto"/>
                <w:sz w:val="16"/>
              </w:rPr>
              <w:t>Payment Dates (Art. 3.1)</w:t>
            </w:r>
          </w:p>
        </w:tc>
        <w:tc>
          <w:tcPr>
            <w:tcW w:w="4770" w:type="dxa"/>
            <w:gridSpan w:val="4"/>
            <w:tcBorders>
              <w:left w:val="double" w:sz="4" w:space="0" w:color="auto"/>
              <w:right w:val="double" w:sz="4" w:space="0" w:color="auto"/>
            </w:tcBorders>
            <w:vAlign w:val="center"/>
          </w:tcPr>
          <w:p w14:paraId="0F84E324" w14:textId="77777777" w:rsidR="00F0088B" w:rsidRPr="00653DCF" w:rsidRDefault="00F0088B" w:rsidP="00E07A51">
            <w:pPr>
              <w:spacing w:after="60"/>
              <w:ind w:left="58"/>
              <w:rPr>
                <w:b/>
                <w:bCs/>
                <w:color w:val="auto"/>
                <w:sz w:val="14"/>
                <w:szCs w:val="14"/>
              </w:rPr>
            </w:pPr>
          </w:p>
        </w:tc>
      </w:tr>
      <w:tr w:rsidR="00F0088B" w:rsidRPr="00653DCF" w14:paraId="2BDD7620"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730"/>
        </w:trPr>
        <w:tc>
          <w:tcPr>
            <w:tcW w:w="450" w:type="dxa"/>
            <w:vMerge/>
            <w:tcBorders>
              <w:left w:val="double" w:sz="4" w:space="0" w:color="auto"/>
              <w:right w:val="double" w:sz="4" w:space="0" w:color="auto"/>
            </w:tcBorders>
          </w:tcPr>
          <w:p w14:paraId="4A6E1286" w14:textId="77777777" w:rsidR="00F0088B" w:rsidRPr="00653DCF" w:rsidRDefault="00F0088B" w:rsidP="00E07A51">
            <w:pPr>
              <w:tabs>
                <w:tab w:val="left" w:pos="720"/>
                <w:tab w:val="left" w:pos="896"/>
              </w:tabs>
              <w:ind w:left="854"/>
              <w:jc w:val="center"/>
              <w:rPr>
                <w:color w:val="auto"/>
                <w:sz w:val="14"/>
                <w:szCs w:val="14"/>
              </w:rPr>
            </w:pPr>
          </w:p>
        </w:tc>
        <w:tc>
          <w:tcPr>
            <w:tcW w:w="4230" w:type="dxa"/>
            <w:gridSpan w:val="2"/>
            <w:tcBorders>
              <w:top w:val="nil"/>
              <w:left w:val="double" w:sz="4" w:space="0" w:color="auto"/>
              <w:bottom w:val="nil"/>
              <w:right w:val="double" w:sz="4" w:space="0" w:color="auto"/>
            </w:tcBorders>
          </w:tcPr>
          <w:p w14:paraId="7BC969AE" w14:textId="77777777" w:rsidR="00F0088B" w:rsidRPr="00653DCF" w:rsidRDefault="00F0088B" w:rsidP="00E07A51">
            <w:pPr>
              <w:ind w:left="0"/>
              <w:rPr>
                <w:bCs/>
                <w:color w:val="auto"/>
                <w:sz w:val="16"/>
                <w:szCs w:val="16"/>
              </w:rPr>
            </w:pPr>
          </w:p>
          <w:p w14:paraId="78E83197" w14:textId="77777777" w:rsidR="00F0088B" w:rsidRPr="00653DCF" w:rsidRDefault="00F0088B" w:rsidP="00E07A51">
            <w:pPr>
              <w:ind w:left="0"/>
              <w:rPr>
                <w:color w:val="auto"/>
                <w:sz w:val="16"/>
              </w:rPr>
            </w:pPr>
            <w:r w:rsidRPr="00653DCF">
              <w:rPr>
                <w:color w:val="auto"/>
                <w:sz w:val="16"/>
              </w:rPr>
              <w:t>Interest Revision/Conversion date (if any)</w:t>
            </w:r>
          </w:p>
        </w:tc>
        <w:tc>
          <w:tcPr>
            <w:tcW w:w="4770" w:type="dxa"/>
            <w:gridSpan w:val="4"/>
            <w:tcBorders>
              <w:left w:val="double" w:sz="4" w:space="0" w:color="auto"/>
              <w:bottom w:val="single" w:sz="4" w:space="0" w:color="auto"/>
              <w:right w:val="double" w:sz="4" w:space="0" w:color="auto"/>
            </w:tcBorders>
            <w:vAlign w:val="center"/>
          </w:tcPr>
          <w:p w14:paraId="7EC377F2" w14:textId="77777777" w:rsidR="00F0088B" w:rsidRPr="00653DCF" w:rsidRDefault="00F0088B" w:rsidP="00E07A51">
            <w:pPr>
              <w:spacing w:after="60"/>
              <w:ind w:left="58"/>
              <w:rPr>
                <w:b/>
                <w:bCs/>
                <w:color w:val="auto"/>
                <w:sz w:val="14"/>
                <w:szCs w:val="14"/>
              </w:rPr>
            </w:pPr>
          </w:p>
        </w:tc>
      </w:tr>
      <w:tr w:rsidR="00F0088B" w:rsidRPr="00653DCF" w14:paraId="76118E3F"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907"/>
        </w:trPr>
        <w:tc>
          <w:tcPr>
            <w:tcW w:w="450" w:type="dxa"/>
            <w:vMerge w:val="restart"/>
            <w:tcBorders>
              <w:left w:val="double" w:sz="4" w:space="0" w:color="auto"/>
              <w:right w:val="double" w:sz="4" w:space="0" w:color="auto"/>
            </w:tcBorders>
            <w:textDirection w:val="btLr"/>
          </w:tcPr>
          <w:p w14:paraId="6A098329" w14:textId="77777777" w:rsidR="00F0088B" w:rsidRPr="00653DCF" w:rsidRDefault="00F0088B" w:rsidP="00E07A51">
            <w:pPr>
              <w:tabs>
                <w:tab w:val="left" w:pos="720"/>
                <w:tab w:val="left" w:pos="896"/>
              </w:tabs>
              <w:ind w:left="854"/>
              <w:jc w:val="center"/>
              <w:rPr>
                <w:rFonts w:cs="Arial"/>
                <w:b/>
                <w:color w:val="auto"/>
                <w:spacing w:val="20"/>
                <w:sz w:val="14"/>
                <w:szCs w:val="14"/>
              </w:rPr>
            </w:pPr>
            <w:r w:rsidRPr="00653DCF">
              <w:rPr>
                <w:rFonts w:cs="Arial"/>
                <w:b/>
                <w:color w:val="auto"/>
                <w:spacing w:val="20"/>
                <w:sz w:val="14"/>
                <w:szCs w:val="14"/>
              </w:rPr>
              <w:t>C A P I T A L</w:t>
            </w:r>
          </w:p>
        </w:tc>
        <w:tc>
          <w:tcPr>
            <w:tcW w:w="4230" w:type="dxa"/>
            <w:gridSpan w:val="2"/>
            <w:tcBorders>
              <w:top w:val="nil"/>
              <w:left w:val="double" w:sz="4" w:space="0" w:color="auto"/>
              <w:bottom w:val="nil"/>
              <w:right w:val="double" w:sz="4" w:space="0" w:color="auto"/>
            </w:tcBorders>
          </w:tcPr>
          <w:p w14:paraId="09F9BE6C" w14:textId="77777777" w:rsidR="00F0088B" w:rsidRPr="00653DCF" w:rsidRDefault="00F0088B" w:rsidP="00E07A51">
            <w:pPr>
              <w:ind w:left="0"/>
              <w:rPr>
                <w:bCs/>
                <w:color w:val="auto"/>
                <w:sz w:val="16"/>
                <w:szCs w:val="16"/>
              </w:rPr>
            </w:pPr>
          </w:p>
          <w:p w14:paraId="4D0AF8BF" w14:textId="77777777" w:rsidR="00F0088B" w:rsidRPr="00653DCF" w:rsidRDefault="00F0088B" w:rsidP="00E07A51">
            <w:pPr>
              <w:ind w:left="0"/>
              <w:rPr>
                <w:color w:val="auto"/>
                <w:sz w:val="16"/>
              </w:rPr>
            </w:pPr>
            <w:r w:rsidRPr="00653DCF">
              <w:rPr>
                <w:color w:val="auto"/>
                <w:sz w:val="16"/>
              </w:rPr>
              <w:t>Repayment frequency</w:t>
            </w:r>
          </w:p>
        </w:tc>
        <w:tc>
          <w:tcPr>
            <w:tcW w:w="4770" w:type="dxa"/>
            <w:gridSpan w:val="4"/>
            <w:tcBorders>
              <w:left w:val="double" w:sz="4" w:space="0" w:color="auto"/>
              <w:right w:val="double" w:sz="4" w:space="0" w:color="auto"/>
            </w:tcBorders>
            <w:vAlign w:val="center"/>
          </w:tcPr>
          <w:p w14:paraId="38F5841D" w14:textId="77777777" w:rsidR="00F0088B" w:rsidRPr="00653DCF" w:rsidRDefault="00F0088B" w:rsidP="00E07A51">
            <w:pPr>
              <w:spacing w:after="60"/>
              <w:ind w:left="58"/>
              <w:rPr>
                <w:bCs/>
                <w:color w:val="auto"/>
                <w:sz w:val="14"/>
                <w:szCs w:val="14"/>
              </w:rPr>
            </w:pPr>
            <w:r w:rsidRPr="00653DCF">
              <w:rPr>
                <w:bCs/>
                <w:color w:val="auto"/>
                <w:sz w:val="14"/>
                <w:szCs w:val="14"/>
              </w:rPr>
              <w:t xml:space="preserve">Annual </w:t>
            </w:r>
            <w:r w:rsidRPr="00653DCF">
              <w:rPr>
                <w:bCs/>
                <w:color w:val="auto"/>
                <w:sz w:val="14"/>
                <w:szCs w:val="14"/>
              </w:rPr>
              <w:tab/>
            </w:r>
            <w:r w:rsidRPr="00653DCF">
              <w:rPr>
                <w:bCs/>
                <w:color w:val="auto"/>
                <w:sz w:val="14"/>
                <w:szCs w:val="14"/>
              </w:rPr>
              <w:tab/>
            </w:r>
            <w:r w:rsidRPr="00653DCF">
              <w:rPr>
                <w:bCs/>
                <w:color w:val="auto"/>
                <w:sz w:val="14"/>
                <w:szCs w:val="14"/>
              </w:rPr>
              <w:sym w:font="Wingdings" w:char="F06F"/>
            </w:r>
          </w:p>
          <w:p w14:paraId="3DDA2660" w14:textId="77777777" w:rsidR="00F0088B" w:rsidRPr="00653DCF" w:rsidRDefault="00F0088B" w:rsidP="00E07A51">
            <w:pPr>
              <w:spacing w:after="60"/>
              <w:ind w:left="58"/>
              <w:rPr>
                <w:bCs/>
                <w:color w:val="auto"/>
                <w:sz w:val="14"/>
                <w:szCs w:val="14"/>
              </w:rPr>
            </w:pPr>
            <w:r w:rsidRPr="00653DCF">
              <w:rPr>
                <w:bCs/>
                <w:color w:val="auto"/>
                <w:sz w:val="14"/>
                <w:szCs w:val="14"/>
              </w:rPr>
              <w:t>Semi-annual</w:t>
            </w:r>
            <w:r w:rsidRPr="00653DCF">
              <w:rPr>
                <w:bCs/>
                <w:color w:val="auto"/>
                <w:sz w:val="14"/>
                <w:szCs w:val="14"/>
              </w:rPr>
              <w:tab/>
            </w:r>
            <w:r w:rsidRPr="00653DCF">
              <w:rPr>
                <w:bCs/>
                <w:color w:val="auto"/>
                <w:sz w:val="14"/>
                <w:szCs w:val="14"/>
              </w:rPr>
              <w:sym w:font="Wingdings" w:char="F06F"/>
            </w:r>
          </w:p>
          <w:p w14:paraId="74FF028B" w14:textId="77777777" w:rsidR="00F0088B" w:rsidRPr="00653DCF" w:rsidRDefault="00F0088B" w:rsidP="00E07A51">
            <w:pPr>
              <w:spacing w:after="60"/>
              <w:ind w:left="58"/>
              <w:rPr>
                <w:b/>
                <w:bCs/>
                <w:color w:val="auto"/>
                <w:sz w:val="14"/>
                <w:szCs w:val="14"/>
              </w:rPr>
            </w:pPr>
            <w:r w:rsidRPr="00653DCF">
              <w:rPr>
                <w:bCs/>
                <w:color w:val="auto"/>
                <w:sz w:val="14"/>
                <w:szCs w:val="14"/>
              </w:rPr>
              <w:t>Quarterly</w:t>
            </w:r>
            <w:r w:rsidRPr="00653DCF">
              <w:rPr>
                <w:bCs/>
                <w:color w:val="auto"/>
                <w:sz w:val="14"/>
                <w:szCs w:val="14"/>
              </w:rPr>
              <w:tab/>
            </w:r>
            <w:r w:rsidRPr="00653DCF">
              <w:rPr>
                <w:bCs/>
                <w:color w:val="auto"/>
                <w:sz w:val="14"/>
                <w:szCs w:val="14"/>
              </w:rPr>
              <w:tab/>
            </w:r>
            <w:r w:rsidRPr="00653DCF">
              <w:rPr>
                <w:bCs/>
                <w:color w:val="auto"/>
                <w:sz w:val="14"/>
                <w:szCs w:val="14"/>
              </w:rPr>
              <w:sym w:font="Wingdings" w:char="F06F"/>
            </w:r>
          </w:p>
        </w:tc>
      </w:tr>
      <w:tr w:rsidR="00F0088B" w:rsidRPr="00653DCF" w14:paraId="7A07149C"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1000"/>
        </w:trPr>
        <w:tc>
          <w:tcPr>
            <w:tcW w:w="450" w:type="dxa"/>
            <w:vMerge/>
            <w:tcBorders>
              <w:left w:val="double" w:sz="4" w:space="0" w:color="auto"/>
              <w:right w:val="double" w:sz="4" w:space="0" w:color="auto"/>
            </w:tcBorders>
          </w:tcPr>
          <w:p w14:paraId="1A8AFB8D" w14:textId="77777777" w:rsidR="00F0088B" w:rsidRPr="00653DCF" w:rsidRDefault="00F0088B" w:rsidP="00E07A51">
            <w:pPr>
              <w:tabs>
                <w:tab w:val="left" w:pos="720"/>
                <w:tab w:val="left" w:pos="896"/>
              </w:tabs>
              <w:ind w:left="854"/>
              <w:rPr>
                <w:color w:val="auto"/>
                <w:sz w:val="14"/>
                <w:szCs w:val="14"/>
              </w:rPr>
            </w:pPr>
          </w:p>
        </w:tc>
        <w:tc>
          <w:tcPr>
            <w:tcW w:w="4230" w:type="dxa"/>
            <w:gridSpan w:val="2"/>
            <w:tcBorders>
              <w:top w:val="nil"/>
              <w:left w:val="double" w:sz="4" w:space="0" w:color="auto"/>
              <w:bottom w:val="nil"/>
              <w:right w:val="double" w:sz="4" w:space="0" w:color="auto"/>
            </w:tcBorders>
          </w:tcPr>
          <w:p w14:paraId="60E12304" w14:textId="77777777" w:rsidR="00F0088B" w:rsidRPr="00653DCF" w:rsidRDefault="00F0088B" w:rsidP="00E07A51">
            <w:pPr>
              <w:ind w:left="0"/>
              <w:rPr>
                <w:bCs/>
                <w:color w:val="auto"/>
                <w:sz w:val="16"/>
                <w:szCs w:val="16"/>
              </w:rPr>
            </w:pPr>
          </w:p>
          <w:p w14:paraId="380945A4" w14:textId="1688CBD0" w:rsidR="00F0088B" w:rsidRPr="00653DCF" w:rsidRDefault="00F0088B" w:rsidP="00E07A51">
            <w:pPr>
              <w:ind w:left="0"/>
              <w:rPr>
                <w:color w:val="auto"/>
                <w:sz w:val="16"/>
              </w:rPr>
            </w:pPr>
            <w:r w:rsidRPr="00653DCF">
              <w:rPr>
                <w:color w:val="auto"/>
                <w:sz w:val="16"/>
              </w:rPr>
              <w:t>Repayment methodology (Art. </w:t>
            </w:r>
            <w:r w:rsidRPr="00653DCF">
              <w:rPr>
                <w:color w:val="auto"/>
                <w:sz w:val="16"/>
              </w:rPr>
              <w:fldChar w:fldCharType="begin"/>
            </w:r>
            <w:r w:rsidRPr="00653DCF">
              <w:rPr>
                <w:color w:val="auto"/>
                <w:sz w:val="16"/>
              </w:rPr>
              <w:instrText xml:space="preserve"> REF _Ref426715009 \r \h  \* MERGEFORMAT </w:instrText>
            </w:r>
            <w:r w:rsidRPr="00653DCF">
              <w:rPr>
                <w:color w:val="auto"/>
                <w:sz w:val="16"/>
              </w:rPr>
            </w:r>
            <w:r w:rsidRPr="00653DCF">
              <w:rPr>
                <w:color w:val="auto"/>
                <w:sz w:val="16"/>
              </w:rPr>
              <w:fldChar w:fldCharType="separate"/>
            </w:r>
            <w:r w:rsidR="00E5391B">
              <w:rPr>
                <w:color w:val="auto"/>
                <w:sz w:val="16"/>
              </w:rPr>
              <w:t>članak 4</w:t>
            </w:r>
            <w:r w:rsidRPr="00653DCF">
              <w:rPr>
                <w:color w:val="auto"/>
                <w:sz w:val="16"/>
              </w:rPr>
              <w:fldChar w:fldCharType="end"/>
            </w:r>
            <w:r w:rsidRPr="00653DCF">
              <w:rPr>
                <w:color w:val="auto"/>
                <w:sz w:val="16"/>
              </w:rPr>
              <w:t>)</w:t>
            </w:r>
          </w:p>
        </w:tc>
        <w:tc>
          <w:tcPr>
            <w:tcW w:w="4770" w:type="dxa"/>
            <w:gridSpan w:val="4"/>
            <w:tcBorders>
              <w:left w:val="double" w:sz="4" w:space="0" w:color="auto"/>
              <w:right w:val="double" w:sz="4" w:space="0" w:color="auto"/>
            </w:tcBorders>
            <w:vAlign w:val="center"/>
          </w:tcPr>
          <w:p w14:paraId="56C181B7" w14:textId="77777777" w:rsidR="00F0088B" w:rsidRPr="00653DCF" w:rsidRDefault="00F0088B" w:rsidP="00E07A51">
            <w:pPr>
              <w:spacing w:after="60"/>
              <w:ind w:left="58"/>
              <w:rPr>
                <w:bCs/>
                <w:color w:val="auto"/>
                <w:sz w:val="14"/>
                <w:szCs w:val="14"/>
              </w:rPr>
            </w:pPr>
            <w:r w:rsidRPr="00653DCF">
              <w:rPr>
                <w:bCs/>
                <w:color w:val="auto"/>
                <w:sz w:val="14"/>
                <w:szCs w:val="14"/>
              </w:rPr>
              <w:t>Equal instalments</w:t>
            </w:r>
            <w:r w:rsidRPr="00653DCF">
              <w:rPr>
                <w:bCs/>
                <w:color w:val="auto"/>
                <w:sz w:val="14"/>
                <w:szCs w:val="14"/>
              </w:rPr>
              <w:tab/>
            </w:r>
            <w:r w:rsidRPr="00653DCF">
              <w:rPr>
                <w:bCs/>
                <w:color w:val="auto"/>
                <w:sz w:val="14"/>
                <w:szCs w:val="14"/>
              </w:rPr>
              <w:sym w:font="Wingdings" w:char="F06F"/>
            </w:r>
          </w:p>
          <w:p w14:paraId="589A1ADA" w14:textId="77777777" w:rsidR="00F0088B" w:rsidRPr="00653DCF" w:rsidRDefault="00F0088B" w:rsidP="00E07A51">
            <w:pPr>
              <w:spacing w:after="60"/>
              <w:ind w:left="58"/>
              <w:rPr>
                <w:bCs/>
                <w:color w:val="auto"/>
                <w:sz w:val="14"/>
                <w:szCs w:val="14"/>
              </w:rPr>
            </w:pPr>
            <w:r w:rsidRPr="00653DCF">
              <w:rPr>
                <w:bCs/>
                <w:color w:val="auto"/>
                <w:sz w:val="14"/>
                <w:szCs w:val="14"/>
              </w:rPr>
              <w:t>Constant annuities</w:t>
            </w:r>
            <w:r w:rsidRPr="00653DCF">
              <w:rPr>
                <w:bCs/>
                <w:color w:val="auto"/>
                <w:sz w:val="14"/>
                <w:szCs w:val="14"/>
              </w:rPr>
              <w:tab/>
            </w:r>
            <w:r w:rsidRPr="00653DCF">
              <w:rPr>
                <w:bCs/>
                <w:color w:val="auto"/>
                <w:sz w:val="14"/>
                <w:szCs w:val="14"/>
              </w:rPr>
              <w:sym w:font="Wingdings" w:char="F06F"/>
            </w:r>
          </w:p>
          <w:p w14:paraId="2B050114" w14:textId="77777777" w:rsidR="00F0088B" w:rsidRPr="00653DCF" w:rsidRDefault="00F0088B" w:rsidP="00E07A51">
            <w:pPr>
              <w:spacing w:after="60"/>
              <w:ind w:left="58"/>
              <w:rPr>
                <w:b/>
                <w:bCs/>
                <w:color w:val="auto"/>
                <w:sz w:val="14"/>
                <w:szCs w:val="14"/>
              </w:rPr>
            </w:pPr>
          </w:p>
        </w:tc>
      </w:tr>
      <w:tr w:rsidR="00F0088B" w:rsidRPr="00653DCF" w14:paraId="4A22C711"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667"/>
        </w:trPr>
        <w:tc>
          <w:tcPr>
            <w:tcW w:w="450" w:type="dxa"/>
            <w:vMerge/>
            <w:tcBorders>
              <w:left w:val="double" w:sz="4" w:space="0" w:color="auto"/>
              <w:right w:val="double" w:sz="4" w:space="0" w:color="auto"/>
            </w:tcBorders>
          </w:tcPr>
          <w:p w14:paraId="7CAE9549" w14:textId="77777777" w:rsidR="00F0088B" w:rsidRPr="00653DCF" w:rsidRDefault="00F0088B" w:rsidP="00E07A51">
            <w:pPr>
              <w:tabs>
                <w:tab w:val="left" w:pos="720"/>
                <w:tab w:val="left" w:pos="896"/>
              </w:tabs>
              <w:ind w:left="854"/>
              <w:rPr>
                <w:color w:val="auto"/>
                <w:sz w:val="14"/>
                <w:szCs w:val="14"/>
              </w:rPr>
            </w:pPr>
          </w:p>
        </w:tc>
        <w:tc>
          <w:tcPr>
            <w:tcW w:w="4230" w:type="dxa"/>
            <w:gridSpan w:val="2"/>
            <w:tcBorders>
              <w:top w:val="nil"/>
              <w:left w:val="double" w:sz="4" w:space="0" w:color="auto"/>
              <w:bottom w:val="nil"/>
              <w:right w:val="double" w:sz="4" w:space="0" w:color="auto"/>
            </w:tcBorders>
          </w:tcPr>
          <w:p w14:paraId="50A21205" w14:textId="77777777" w:rsidR="00F0088B" w:rsidRPr="00653DCF" w:rsidRDefault="00F0088B" w:rsidP="00E07A51">
            <w:pPr>
              <w:ind w:left="0"/>
              <w:rPr>
                <w:bCs/>
                <w:color w:val="auto"/>
                <w:sz w:val="16"/>
                <w:szCs w:val="16"/>
              </w:rPr>
            </w:pPr>
          </w:p>
          <w:p w14:paraId="749A376F" w14:textId="77777777" w:rsidR="00F0088B" w:rsidRPr="00653DCF" w:rsidRDefault="00F0088B" w:rsidP="00E07A51">
            <w:pPr>
              <w:ind w:left="0"/>
              <w:rPr>
                <w:color w:val="auto"/>
                <w:sz w:val="16"/>
              </w:rPr>
            </w:pPr>
            <w:r w:rsidRPr="00653DCF">
              <w:rPr>
                <w:color w:val="auto"/>
                <w:sz w:val="16"/>
              </w:rPr>
              <w:t>First Repayment Date</w:t>
            </w:r>
          </w:p>
        </w:tc>
        <w:tc>
          <w:tcPr>
            <w:tcW w:w="4770" w:type="dxa"/>
            <w:gridSpan w:val="4"/>
            <w:tcBorders>
              <w:left w:val="double" w:sz="4" w:space="0" w:color="auto"/>
              <w:right w:val="double" w:sz="4" w:space="0" w:color="auto"/>
            </w:tcBorders>
            <w:vAlign w:val="center"/>
          </w:tcPr>
          <w:p w14:paraId="5B4D938F" w14:textId="77777777" w:rsidR="00F0088B" w:rsidRPr="00653DCF" w:rsidRDefault="00F0088B" w:rsidP="00E07A51">
            <w:pPr>
              <w:spacing w:after="60"/>
              <w:ind w:left="58"/>
              <w:rPr>
                <w:b/>
                <w:bCs/>
                <w:color w:val="auto"/>
                <w:sz w:val="14"/>
                <w:szCs w:val="14"/>
              </w:rPr>
            </w:pPr>
          </w:p>
        </w:tc>
      </w:tr>
      <w:tr w:rsidR="00F0088B" w:rsidRPr="00653DCF" w14:paraId="618FB50F" w14:textId="77777777" w:rsidTr="00E0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hRule="exact" w:val="640"/>
        </w:trPr>
        <w:tc>
          <w:tcPr>
            <w:tcW w:w="450" w:type="dxa"/>
            <w:vMerge/>
            <w:tcBorders>
              <w:left w:val="double" w:sz="4" w:space="0" w:color="auto"/>
              <w:bottom w:val="double" w:sz="4" w:space="0" w:color="auto"/>
              <w:right w:val="double" w:sz="4" w:space="0" w:color="auto"/>
            </w:tcBorders>
          </w:tcPr>
          <w:p w14:paraId="333BA327" w14:textId="77777777" w:rsidR="00F0088B" w:rsidRPr="00653DCF" w:rsidRDefault="00F0088B" w:rsidP="00E07A51">
            <w:pPr>
              <w:tabs>
                <w:tab w:val="left" w:pos="720"/>
                <w:tab w:val="left" w:pos="896"/>
              </w:tabs>
              <w:ind w:left="854"/>
              <w:rPr>
                <w:color w:val="auto"/>
                <w:sz w:val="14"/>
                <w:szCs w:val="14"/>
              </w:rPr>
            </w:pPr>
          </w:p>
        </w:tc>
        <w:tc>
          <w:tcPr>
            <w:tcW w:w="4230" w:type="dxa"/>
            <w:gridSpan w:val="2"/>
            <w:tcBorders>
              <w:top w:val="nil"/>
              <w:left w:val="double" w:sz="4" w:space="0" w:color="auto"/>
              <w:bottom w:val="nil"/>
              <w:right w:val="double" w:sz="4" w:space="0" w:color="auto"/>
            </w:tcBorders>
          </w:tcPr>
          <w:p w14:paraId="11EEF00E" w14:textId="77777777" w:rsidR="00F0088B" w:rsidRPr="00653DCF" w:rsidRDefault="00F0088B" w:rsidP="00E07A51">
            <w:pPr>
              <w:ind w:left="0"/>
              <w:rPr>
                <w:color w:val="auto"/>
                <w:sz w:val="16"/>
              </w:rPr>
            </w:pPr>
          </w:p>
          <w:p w14:paraId="167BF73F" w14:textId="77777777" w:rsidR="00F0088B" w:rsidRPr="00653DCF" w:rsidRDefault="00F0088B" w:rsidP="00E07A51">
            <w:pPr>
              <w:ind w:left="0"/>
              <w:rPr>
                <w:color w:val="auto"/>
                <w:sz w:val="16"/>
              </w:rPr>
            </w:pPr>
            <w:r w:rsidRPr="00653DCF">
              <w:rPr>
                <w:color w:val="auto"/>
                <w:sz w:val="16"/>
              </w:rPr>
              <w:t>Last Repayment Date</w:t>
            </w:r>
          </w:p>
          <w:p w14:paraId="2CC8DB2B" w14:textId="77777777" w:rsidR="00F0088B" w:rsidRPr="00653DCF" w:rsidRDefault="00F0088B" w:rsidP="00E07A51">
            <w:pPr>
              <w:ind w:left="0"/>
              <w:rPr>
                <w:color w:val="auto"/>
                <w:sz w:val="16"/>
              </w:rPr>
            </w:pPr>
          </w:p>
          <w:p w14:paraId="308CCBB3" w14:textId="77777777" w:rsidR="00F0088B" w:rsidRPr="00653DCF" w:rsidRDefault="00F0088B" w:rsidP="00E07A51">
            <w:pPr>
              <w:ind w:left="0"/>
              <w:rPr>
                <w:color w:val="auto"/>
                <w:sz w:val="16"/>
              </w:rPr>
            </w:pPr>
          </w:p>
        </w:tc>
        <w:tc>
          <w:tcPr>
            <w:tcW w:w="4770" w:type="dxa"/>
            <w:gridSpan w:val="4"/>
            <w:tcBorders>
              <w:left w:val="double" w:sz="4" w:space="0" w:color="auto"/>
              <w:bottom w:val="double" w:sz="4" w:space="0" w:color="auto"/>
              <w:right w:val="double" w:sz="4" w:space="0" w:color="auto"/>
            </w:tcBorders>
            <w:vAlign w:val="center"/>
          </w:tcPr>
          <w:p w14:paraId="246F6C05" w14:textId="77777777" w:rsidR="00F0088B" w:rsidRPr="00653DCF" w:rsidRDefault="00F0088B" w:rsidP="00E07A51">
            <w:pPr>
              <w:spacing w:after="60"/>
              <w:ind w:left="58"/>
              <w:rPr>
                <w:b/>
                <w:bCs/>
                <w:color w:val="auto"/>
                <w:sz w:val="14"/>
                <w:szCs w:val="14"/>
              </w:rPr>
            </w:pPr>
          </w:p>
        </w:tc>
      </w:tr>
    </w:tbl>
    <w:p w14:paraId="6121F7F5" w14:textId="77777777" w:rsidR="00F0088B" w:rsidRPr="00653DCF" w:rsidRDefault="00F0088B" w:rsidP="00F0088B">
      <w:pPr>
        <w:rPr>
          <w:color w:val="auto"/>
          <w:sz w:val="16"/>
          <w:szCs w:val="16"/>
        </w:rPr>
      </w:pPr>
    </w:p>
    <w:p w14:paraId="6F326757" w14:textId="77777777" w:rsidR="00F0088B" w:rsidRPr="00653DCF" w:rsidRDefault="00F0088B" w:rsidP="00F0088B">
      <w:pPr>
        <w:rPr>
          <w:color w:val="auto"/>
          <w:sz w:val="16"/>
          <w:szCs w:val="16"/>
        </w:rPr>
      </w:pPr>
    </w:p>
    <w:p w14:paraId="7BB35FAD" w14:textId="77777777" w:rsidR="00F0088B" w:rsidRPr="00653DCF" w:rsidRDefault="00F0088B" w:rsidP="00F0088B">
      <w:pPr>
        <w:rPr>
          <w:color w:val="auto"/>
          <w:sz w:val="16"/>
          <w:szCs w:val="16"/>
        </w:rPr>
      </w:pPr>
    </w:p>
    <w:p w14:paraId="2B6A5F6B" w14:textId="77777777" w:rsidR="00F0088B" w:rsidRPr="00653DCF" w:rsidRDefault="00F0088B" w:rsidP="00F0088B">
      <w:pPr>
        <w:rPr>
          <w:color w:val="auto"/>
          <w:sz w:val="16"/>
          <w:szCs w:val="16"/>
        </w:rPr>
      </w:pPr>
    </w:p>
    <w:p w14:paraId="2ADB512E" w14:textId="77777777" w:rsidR="00F0088B" w:rsidRPr="00653DCF" w:rsidRDefault="00F0088B" w:rsidP="00F0088B">
      <w:pPr>
        <w:pBdr>
          <w:top w:val="single" w:sz="4" w:space="1" w:color="auto"/>
          <w:left w:val="single" w:sz="4" w:space="4" w:color="auto"/>
          <w:bottom w:val="single" w:sz="4" w:space="1" w:color="auto"/>
          <w:right w:val="single" w:sz="4" w:space="4" w:color="auto"/>
        </w:pBdr>
        <w:tabs>
          <w:tab w:val="left" w:pos="720"/>
          <w:tab w:val="left" w:pos="896"/>
        </w:tabs>
        <w:ind w:left="854"/>
        <w:jc w:val="center"/>
        <w:rPr>
          <w:b/>
          <w:color w:val="auto"/>
          <w:sz w:val="16"/>
          <w:szCs w:val="16"/>
        </w:rPr>
      </w:pPr>
      <w:r w:rsidRPr="00653DCF">
        <w:rPr>
          <w:b/>
          <w:color w:val="auto"/>
          <w:sz w:val="16"/>
          <w:szCs w:val="16"/>
        </w:rPr>
        <w:t>IMPORTANT NOTICE TO THE BORROWER:</w:t>
      </w:r>
    </w:p>
    <w:p w14:paraId="3AC62C3A" w14:textId="77777777" w:rsidR="00F0088B" w:rsidRPr="00653DCF" w:rsidRDefault="00F0088B" w:rsidP="00F0088B">
      <w:pPr>
        <w:pBdr>
          <w:top w:val="single" w:sz="4" w:space="1" w:color="auto"/>
          <w:left w:val="single" w:sz="4" w:space="4" w:color="auto"/>
          <w:bottom w:val="single" w:sz="4" w:space="1" w:color="auto"/>
          <w:right w:val="single" w:sz="4" w:space="4" w:color="auto"/>
        </w:pBdr>
        <w:tabs>
          <w:tab w:val="left" w:pos="720"/>
          <w:tab w:val="left" w:pos="896"/>
        </w:tabs>
        <w:ind w:left="854"/>
        <w:rPr>
          <w:b/>
          <w:color w:val="auto"/>
          <w:sz w:val="16"/>
          <w:szCs w:val="16"/>
        </w:rPr>
      </w:pPr>
      <w:r w:rsidRPr="00653DCF">
        <w:rPr>
          <w:b/>
          <w:color w:val="auto"/>
          <w:sz w:val="16"/>
          <w:szCs w:val="16"/>
        </w:rPr>
        <w:t>PLEASE ENSURE THAT THE LIST OF AUTHORISED SIGNATORIES AND ACCOUNTS PROVIDED TO THE BANK HAS BEEN DULY UPDATED PRIOR TO THE SUBMISSION OF ANY DISBURSEMENT REQUEST. IN THE EVENT THAT ANY SIGNATORIES OR ACCOUNTS APPEARING IN THIS DISBURSEMENT REQUEST ARE NOT INCLUDED IN THE LATEST LIST OF AUTHORISED SIGNATORIES AND ACCOUNTS (AS DISBURSEMENT ACCOUNT) RECEIVED BY THE BANK, THIS DISBURSEMENT REQUEST SHALL BE REGARDED AS NOT HAVING BEEN MADE.</w:t>
      </w:r>
    </w:p>
    <w:p w14:paraId="5F9B70BB" w14:textId="23168385" w:rsidR="00F0088B" w:rsidRPr="00653DCF" w:rsidRDefault="00F0088B" w:rsidP="00F0088B">
      <w:pPr>
        <w:pBdr>
          <w:top w:val="single" w:sz="4" w:space="1" w:color="auto"/>
          <w:left w:val="single" w:sz="4" w:space="4" w:color="auto"/>
          <w:bottom w:val="single" w:sz="4" w:space="1" w:color="auto"/>
          <w:right w:val="single" w:sz="4" w:space="4" w:color="auto"/>
        </w:pBdr>
        <w:tabs>
          <w:tab w:val="left" w:pos="720"/>
          <w:tab w:val="left" w:pos="896"/>
        </w:tabs>
        <w:ind w:left="854"/>
        <w:rPr>
          <w:color w:val="auto"/>
          <w:sz w:val="16"/>
          <w:szCs w:val="16"/>
        </w:rPr>
      </w:pPr>
      <w:r w:rsidRPr="00653DCF">
        <w:rPr>
          <w:b/>
          <w:color w:val="auto"/>
          <w:sz w:val="16"/>
          <w:szCs w:val="16"/>
        </w:rPr>
        <w:t xml:space="preserve">IN ADDITION, IF THIS IS THE FIRST DISBURSEMENT REQUEST UNDER THE FINANCE CONTRACT, THE CONDITIONS SET OUT IN ARTICLE </w:t>
      </w:r>
      <w:r w:rsidRPr="00653DCF">
        <w:rPr>
          <w:b/>
          <w:color w:val="auto"/>
          <w:sz w:val="16"/>
          <w:szCs w:val="16"/>
        </w:rPr>
        <w:fldChar w:fldCharType="begin"/>
      </w:r>
      <w:r w:rsidRPr="00653DCF">
        <w:rPr>
          <w:b/>
          <w:color w:val="auto"/>
          <w:sz w:val="16"/>
          <w:szCs w:val="16"/>
        </w:rPr>
        <w:instrText xml:space="preserve"> REF _Ref519595029 \r \h </w:instrText>
      </w:r>
      <w:r w:rsidRPr="00653DCF">
        <w:rPr>
          <w:b/>
          <w:color w:val="auto"/>
          <w:sz w:val="16"/>
          <w:szCs w:val="16"/>
        </w:rPr>
      </w:r>
      <w:r w:rsidRPr="00653DCF">
        <w:rPr>
          <w:b/>
          <w:color w:val="auto"/>
          <w:sz w:val="16"/>
          <w:szCs w:val="16"/>
        </w:rPr>
        <w:fldChar w:fldCharType="separate"/>
      </w:r>
      <w:r w:rsidR="00E5391B">
        <w:rPr>
          <w:b/>
          <w:color w:val="auto"/>
          <w:sz w:val="16"/>
          <w:szCs w:val="16"/>
        </w:rPr>
        <w:t>1.4.A</w:t>
      </w:r>
      <w:r w:rsidRPr="00653DCF">
        <w:rPr>
          <w:b/>
          <w:color w:val="auto"/>
          <w:sz w:val="16"/>
          <w:szCs w:val="16"/>
        </w:rPr>
        <w:fldChar w:fldCharType="end"/>
      </w:r>
      <w:r w:rsidRPr="00653DCF">
        <w:rPr>
          <w:b/>
          <w:color w:val="auto"/>
          <w:sz w:val="16"/>
          <w:szCs w:val="16"/>
        </w:rPr>
        <w:t xml:space="preserve"> OF THE FINANCE CONTRACT MUST HAVE BEEN MET TO THE SATISFACTION OF THE BANK PRIOR TO THE DATE HEREOF.</w:t>
      </w:r>
    </w:p>
    <w:p w14:paraId="69409098" w14:textId="77777777" w:rsidR="00F0088B" w:rsidRPr="00653DCF" w:rsidRDefault="00F0088B" w:rsidP="00F0088B">
      <w:pPr>
        <w:rPr>
          <w:color w:val="auto"/>
        </w:rPr>
      </w:pPr>
    </w:p>
    <w:p w14:paraId="6CF80F2D" w14:textId="77777777" w:rsidR="00F0088B" w:rsidRPr="00653DCF" w:rsidRDefault="00F0088B" w:rsidP="00F0088B">
      <w:pPr>
        <w:rPr>
          <w:color w:val="auto"/>
          <w:sz w:val="16"/>
          <w:szCs w:val="16"/>
        </w:rPr>
      </w:pPr>
      <w:r w:rsidRPr="00653DCF">
        <w:rPr>
          <w:color w:val="auto"/>
          <w:sz w:val="16"/>
          <w:szCs w:val="16"/>
        </w:rPr>
        <w:t xml:space="preserve">Disbursement Account (as defined in the Finance Contract) to be credited:  </w:t>
      </w:r>
      <w:r w:rsidRPr="00653DCF">
        <w:rPr>
          <w:color w:val="auto"/>
          <w:sz w:val="16"/>
          <w:szCs w:val="16"/>
        </w:rPr>
        <w:tab/>
      </w:r>
    </w:p>
    <w:p w14:paraId="036B2A23" w14:textId="77777777" w:rsidR="00F0088B" w:rsidRPr="00653DCF" w:rsidRDefault="00F0088B" w:rsidP="00F0088B">
      <w:pPr>
        <w:tabs>
          <w:tab w:val="left" w:pos="9072"/>
        </w:tabs>
        <w:rPr>
          <w:color w:val="auto"/>
          <w:sz w:val="16"/>
          <w:szCs w:val="16"/>
        </w:rPr>
      </w:pPr>
      <w:r w:rsidRPr="00653DCF">
        <w:rPr>
          <w:color w:val="auto"/>
          <w:sz w:val="16"/>
          <w:szCs w:val="16"/>
        </w:rPr>
        <w:t>Disbursement Account N°: …………………………………………………………………………………………….</w:t>
      </w:r>
    </w:p>
    <w:p w14:paraId="413C2CB3" w14:textId="77777777" w:rsidR="00F0088B" w:rsidRPr="00653DCF" w:rsidRDefault="00F0088B" w:rsidP="00F0088B">
      <w:pPr>
        <w:rPr>
          <w:color w:val="auto"/>
          <w:sz w:val="16"/>
          <w:szCs w:val="16"/>
        </w:rPr>
      </w:pPr>
      <w:r w:rsidRPr="00653DCF">
        <w:rPr>
          <w:color w:val="auto"/>
          <w:sz w:val="16"/>
          <w:szCs w:val="16"/>
        </w:rPr>
        <w:t>Disbursement Account Holder/Beneficiary: …………………………………………………………………………</w:t>
      </w:r>
    </w:p>
    <w:p w14:paraId="3C8B9A68" w14:textId="77777777" w:rsidR="00F0088B" w:rsidRPr="00653DCF" w:rsidRDefault="00F0088B" w:rsidP="00F0088B">
      <w:pPr>
        <w:rPr>
          <w:color w:val="auto"/>
          <w:sz w:val="16"/>
          <w:szCs w:val="16"/>
        </w:rPr>
      </w:pPr>
      <w:r w:rsidRPr="00653DCF">
        <w:rPr>
          <w:color w:val="auto"/>
          <w:sz w:val="16"/>
          <w:szCs w:val="16"/>
        </w:rPr>
        <w:t>(please, provide IBAN format if the country is included in IBAN Registry published by SWIFT, otherwise an appropriate format in line with the local banking practice should be provided)</w:t>
      </w:r>
    </w:p>
    <w:p w14:paraId="52AF5748" w14:textId="77777777" w:rsidR="00F0088B" w:rsidRPr="00653DCF" w:rsidRDefault="00F0088B" w:rsidP="00F0088B">
      <w:pPr>
        <w:tabs>
          <w:tab w:val="right" w:pos="9072"/>
        </w:tabs>
        <w:rPr>
          <w:color w:val="auto"/>
          <w:sz w:val="16"/>
          <w:szCs w:val="16"/>
        </w:rPr>
      </w:pPr>
      <w:r w:rsidRPr="00653DCF">
        <w:rPr>
          <w:color w:val="auto"/>
          <w:sz w:val="16"/>
          <w:szCs w:val="16"/>
        </w:rPr>
        <w:t>Bank name and address: ……………………………………………..……………………………...</w:t>
      </w:r>
    </w:p>
    <w:p w14:paraId="2BB43448" w14:textId="77777777" w:rsidR="00F0088B" w:rsidRPr="00653DCF" w:rsidRDefault="00F0088B" w:rsidP="00F0088B">
      <w:pPr>
        <w:rPr>
          <w:color w:val="auto"/>
          <w:sz w:val="16"/>
          <w:szCs w:val="16"/>
        </w:rPr>
      </w:pPr>
      <w:r w:rsidRPr="00653DCF">
        <w:rPr>
          <w:color w:val="auto"/>
          <w:sz w:val="16"/>
          <w:szCs w:val="16"/>
        </w:rPr>
        <w:t>Bank identification code (BIC): ………………………………………………………………………</w:t>
      </w:r>
    </w:p>
    <w:p w14:paraId="3B4680CE" w14:textId="77777777" w:rsidR="00F0088B" w:rsidRPr="00653DCF" w:rsidRDefault="00F0088B" w:rsidP="00F0088B">
      <w:pPr>
        <w:rPr>
          <w:color w:val="auto"/>
          <w:sz w:val="16"/>
          <w:szCs w:val="16"/>
        </w:rPr>
      </w:pPr>
      <w:r w:rsidRPr="00653DCF">
        <w:rPr>
          <w:color w:val="auto"/>
          <w:sz w:val="16"/>
          <w:szCs w:val="16"/>
        </w:rPr>
        <w:t>Payment details to be provided: …………………………………………………………………….</w:t>
      </w:r>
    </w:p>
    <w:p w14:paraId="1AC81FBA" w14:textId="77777777" w:rsidR="00F0088B" w:rsidRPr="00653DCF" w:rsidRDefault="00F0088B" w:rsidP="00F0088B">
      <w:pPr>
        <w:rPr>
          <w:color w:val="auto"/>
          <w:sz w:val="16"/>
          <w:szCs w:val="16"/>
        </w:rPr>
      </w:pPr>
      <w:r w:rsidRPr="00653DCF">
        <w:rPr>
          <w:color w:val="auto"/>
          <w:sz w:val="16"/>
          <w:szCs w:val="16"/>
        </w:rPr>
        <w:t>Please transmit information relevant to:</w:t>
      </w:r>
    </w:p>
    <w:p w14:paraId="0A75E197" w14:textId="77777777" w:rsidR="00F0088B" w:rsidRPr="00653DCF" w:rsidRDefault="00F0088B" w:rsidP="00F0088B">
      <w:pPr>
        <w:rPr>
          <w:color w:val="auto"/>
          <w:sz w:val="16"/>
          <w:szCs w:val="16"/>
        </w:rPr>
      </w:pPr>
      <w:r w:rsidRPr="00653DCF">
        <w:rPr>
          <w:color w:val="auto"/>
          <w:sz w:val="16"/>
          <w:szCs w:val="16"/>
        </w:rPr>
        <w:t xml:space="preserve">Name(s) of the Borrower's Authorised Signatory (as defined in the Finance Contract) </w:t>
      </w:r>
    </w:p>
    <w:p w14:paraId="675C081D" w14:textId="77777777" w:rsidR="00F0088B" w:rsidRPr="00653DCF" w:rsidRDefault="00F0088B" w:rsidP="00F0088B">
      <w:pPr>
        <w:rPr>
          <w:color w:val="auto"/>
          <w:sz w:val="16"/>
          <w:szCs w:val="16"/>
        </w:rPr>
      </w:pPr>
    </w:p>
    <w:p w14:paraId="50B02B75" w14:textId="77777777" w:rsidR="00F0088B" w:rsidRPr="00653DCF" w:rsidRDefault="00F0088B" w:rsidP="00F0088B">
      <w:pPr>
        <w:rPr>
          <w:color w:val="auto"/>
          <w:sz w:val="16"/>
          <w:szCs w:val="16"/>
        </w:rPr>
      </w:pPr>
      <w:r w:rsidRPr="00653DCF">
        <w:rPr>
          <w:color w:val="auto"/>
          <w:sz w:val="16"/>
          <w:szCs w:val="16"/>
        </w:rPr>
        <w:t>………………………………………………………..………………………………………………..</w:t>
      </w:r>
    </w:p>
    <w:p w14:paraId="11800910" w14:textId="77777777" w:rsidR="00F0088B" w:rsidRPr="00653DCF" w:rsidRDefault="00F0088B" w:rsidP="00F0088B">
      <w:pPr>
        <w:rPr>
          <w:color w:val="auto"/>
          <w:sz w:val="16"/>
          <w:szCs w:val="16"/>
        </w:rPr>
      </w:pPr>
      <w:r w:rsidRPr="00653DCF">
        <w:rPr>
          <w:color w:val="auto"/>
          <w:sz w:val="16"/>
          <w:szCs w:val="16"/>
        </w:rPr>
        <w:t xml:space="preserve">Signatures of the Borrower’s Authorised Signatory (as defined in the Finance Contract) </w:t>
      </w:r>
    </w:p>
    <w:p w14:paraId="77E87151" w14:textId="77777777" w:rsidR="00F0088B" w:rsidRPr="00653DCF" w:rsidRDefault="00F0088B" w:rsidP="00F0088B">
      <w:pPr>
        <w:spacing w:after="200" w:line="276" w:lineRule="auto"/>
        <w:ind w:left="0"/>
        <w:jc w:val="left"/>
        <w:rPr>
          <w:b/>
          <w:color w:val="auto"/>
        </w:rPr>
      </w:pPr>
      <w:r w:rsidRPr="00653DCF">
        <w:rPr>
          <w:color w:val="auto"/>
        </w:rPr>
        <w:br w:type="page"/>
      </w:r>
    </w:p>
    <w:p w14:paraId="65F4AD93" w14:textId="084649D8" w:rsidR="00F418ED" w:rsidRDefault="00F418ED" w:rsidP="00F418ED">
      <w:pPr>
        <w:pStyle w:val="SubSchedule1EIB"/>
        <w:numPr>
          <w:ilvl w:val="1"/>
          <w:numId w:val="172"/>
        </w:numPr>
        <w:jc w:val="right"/>
        <w:rPr>
          <w:color w:val="auto"/>
        </w:rPr>
      </w:pPr>
      <w:r>
        <w:rPr>
          <w:color w:val="auto"/>
          <w:u w:val="none"/>
        </w:rPr>
        <w:t>Schedule D</w:t>
      </w:r>
    </w:p>
    <w:p w14:paraId="3DF64734" w14:textId="09178276" w:rsidR="00F0088B" w:rsidRPr="00653DCF" w:rsidRDefault="00F0088B" w:rsidP="0024686A">
      <w:pPr>
        <w:pStyle w:val="SubSchedule1EIB"/>
        <w:numPr>
          <w:ilvl w:val="1"/>
          <w:numId w:val="172"/>
        </w:numPr>
        <w:rPr>
          <w:color w:val="auto"/>
        </w:rPr>
      </w:pPr>
      <w:r w:rsidRPr="00653DCF">
        <w:rPr>
          <w:color w:val="auto"/>
        </w:rPr>
        <w:t>Interest Rate Revision and Conversion</w:t>
      </w:r>
    </w:p>
    <w:p w14:paraId="2C16768D" w14:textId="77777777" w:rsidR="00F0088B" w:rsidRPr="00653DCF" w:rsidRDefault="00F0088B" w:rsidP="00F0088B">
      <w:pPr>
        <w:rPr>
          <w:color w:val="auto"/>
        </w:rPr>
      </w:pPr>
      <w:r w:rsidRPr="00653DCF">
        <w:rPr>
          <w:color w:val="auto"/>
        </w:rPr>
        <w:t>If an Interest Revision/Conversion Date has been included in the Disbursement Notice for a Tranche, the following provisions shall apply.</w:t>
      </w:r>
    </w:p>
    <w:p w14:paraId="74CEBED5" w14:textId="77777777" w:rsidR="00F0088B" w:rsidRPr="00653DCF" w:rsidRDefault="00F0088B" w:rsidP="0024686A">
      <w:pPr>
        <w:pStyle w:val="SubSchedule2EIB0"/>
        <w:numPr>
          <w:ilvl w:val="2"/>
          <w:numId w:val="172"/>
        </w:numPr>
        <w:ind w:left="851" w:hanging="851"/>
        <w:rPr>
          <w:color w:val="auto"/>
        </w:rPr>
      </w:pPr>
      <w:r w:rsidRPr="00653DCF">
        <w:rPr>
          <w:color w:val="auto"/>
        </w:rPr>
        <w:t>Mechanics of Interest Revision/Conversion</w:t>
      </w:r>
    </w:p>
    <w:p w14:paraId="3A7BF9C0" w14:textId="77777777" w:rsidR="00F0088B" w:rsidRPr="00653DCF" w:rsidRDefault="00F0088B" w:rsidP="00F0088B">
      <w:pPr>
        <w:rPr>
          <w:color w:val="auto"/>
        </w:rPr>
      </w:pPr>
      <w:r w:rsidRPr="00653DCF">
        <w:rPr>
          <w:color w:val="auto"/>
        </w:rPr>
        <w:t>Upon receiving an Interest Revision/Conversion Request the Bank shall, during the period commencing 60 (sixty) days and ending 30 (thirty) days before the Interest Revision/Conversion Date, deliver to the Borrower an Interest Revision/Conversion Proposal stating:</w:t>
      </w:r>
    </w:p>
    <w:p w14:paraId="412904B4" w14:textId="397D10D2" w:rsidR="00F0088B" w:rsidRPr="00653DCF" w:rsidRDefault="00F0088B" w:rsidP="0024686A">
      <w:pPr>
        <w:pStyle w:val="NoIndentEIB"/>
        <w:numPr>
          <w:ilvl w:val="0"/>
          <w:numId w:val="151"/>
        </w:numPr>
        <w:rPr>
          <w:color w:val="auto"/>
        </w:rPr>
      </w:pPr>
      <w:r w:rsidRPr="00653DCF">
        <w:rPr>
          <w:color w:val="auto"/>
        </w:rPr>
        <w:t>the Fixed Rate and/or Spread that would apply to the Tranche, or of its part indicated in the Interest Revision/Conversion Request pursuant to Article </w:t>
      </w:r>
      <w:r w:rsidRPr="00653DCF">
        <w:rPr>
          <w:color w:val="auto"/>
        </w:rPr>
        <w:fldChar w:fldCharType="begin"/>
      </w:r>
      <w:r w:rsidRPr="00653DCF">
        <w:rPr>
          <w:color w:val="auto"/>
        </w:rPr>
        <w:instrText xml:space="preserve"> REF _Ref426639513 \r \h  \* MERGEFORMAT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 and</w:t>
      </w:r>
    </w:p>
    <w:p w14:paraId="5DA651F1" w14:textId="73FA98F2" w:rsidR="00F0088B" w:rsidRPr="00653DCF" w:rsidRDefault="00F0088B" w:rsidP="0024686A">
      <w:pPr>
        <w:pStyle w:val="NoIndentEIB"/>
        <w:numPr>
          <w:ilvl w:val="0"/>
          <w:numId w:val="151"/>
        </w:numPr>
        <w:rPr>
          <w:color w:val="auto"/>
        </w:rPr>
      </w:pPr>
      <w:r w:rsidRPr="00653DCF">
        <w:rPr>
          <w:color w:val="auto"/>
        </w:rPr>
        <w:t>that such rate shall apply until the Maturity Date or until a new Interest Revision/Conversion Date, if any, and that interest is payable quarterly, semi-annually or annually, in accordance with Article </w:t>
      </w:r>
      <w:r w:rsidRPr="00653DCF">
        <w:rPr>
          <w:color w:val="auto"/>
        </w:rPr>
        <w:fldChar w:fldCharType="begin"/>
      </w:r>
      <w:r w:rsidRPr="00653DCF">
        <w:rPr>
          <w:color w:val="auto"/>
        </w:rPr>
        <w:instrText xml:space="preserve"> REF _Ref426639513 \w \h </w:instrText>
      </w:r>
      <w:r w:rsidRPr="00653DCF">
        <w:rPr>
          <w:color w:val="auto"/>
        </w:rPr>
      </w:r>
      <w:r w:rsidRPr="00653DCF">
        <w:rPr>
          <w:color w:val="auto"/>
        </w:rPr>
        <w:fldChar w:fldCharType="separate"/>
      </w:r>
      <w:r w:rsidR="00E5391B">
        <w:rPr>
          <w:color w:val="auto"/>
        </w:rPr>
        <w:t>članak 3</w:t>
      </w:r>
      <w:r w:rsidRPr="00653DCF">
        <w:rPr>
          <w:color w:val="auto"/>
        </w:rPr>
        <w:fldChar w:fldCharType="end"/>
      </w:r>
      <w:r w:rsidRPr="00653DCF">
        <w:rPr>
          <w:color w:val="auto"/>
        </w:rPr>
        <w:t>, in arrear on designated Payment Dates.</w:t>
      </w:r>
    </w:p>
    <w:p w14:paraId="50A2819C" w14:textId="77777777" w:rsidR="00F0088B" w:rsidRPr="00653DCF" w:rsidRDefault="00F0088B" w:rsidP="00F0088B">
      <w:pPr>
        <w:rPr>
          <w:color w:val="auto"/>
        </w:rPr>
      </w:pPr>
      <w:r w:rsidRPr="00653DCF">
        <w:rPr>
          <w:color w:val="auto"/>
        </w:rPr>
        <w:t>The Borrower may accept in writing an Interest Revision/Conversion Proposal by the deadline specified therein.</w:t>
      </w:r>
    </w:p>
    <w:p w14:paraId="05532F91" w14:textId="77777777" w:rsidR="00F0088B" w:rsidRPr="00653DCF" w:rsidRDefault="00F0088B" w:rsidP="00F0088B">
      <w:pPr>
        <w:rPr>
          <w:color w:val="auto"/>
        </w:rPr>
      </w:pPr>
      <w:r w:rsidRPr="00653DCF">
        <w:rPr>
          <w:color w:val="auto"/>
        </w:rPr>
        <w:t>Any amendment to this Contract requested by the Bank in this connection shall be effected by an agreement to be concluded not later than 15 (fifteen) days prior to the relevant Interest Revision/Conversion Date.</w:t>
      </w:r>
    </w:p>
    <w:p w14:paraId="635484BF" w14:textId="77777777" w:rsidR="00F0088B" w:rsidRPr="00653DCF" w:rsidRDefault="00F0088B" w:rsidP="00F0088B">
      <w:pPr>
        <w:rPr>
          <w:color w:val="auto"/>
        </w:rPr>
      </w:pPr>
      <w:r w:rsidRPr="00653DCF">
        <w:rPr>
          <w:color w:val="auto"/>
        </w:rPr>
        <w:t>Fixed Rates and Spreads are available for periods of not less than 4 (four) years or, in the absence of a repayment of principal during that period, not less than 3 (three) years.</w:t>
      </w:r>
    </w:p>
    <w:p w14:paraId="3C7580A2" w14:textId="77777777" w:rsidR="00F0088B" w:rsidRPr="00653DCF" w:rsidRDefault="00F0088B" w:rsidP="0024686A">
      <w:pPr>
        <w:pStyle w:val="SubSchedule2EIB0"/>
        <w:numPr>
          <w:ilvl w:val="2"/>
          <w:numId w:val="172"/>
        </w:numPr>
        <w:ind w:left="851" w:hanging="851"/>
        <w:rPr>
          <w:color w:val="auto"/>
        </w:rPr>
      </w:pPr>
      <w:r w:rsidRPr="00653DCF">
        <w:rPr>
          <w:color w:val="auto"/>
        </w:rPr>
        <w:t>Effects of Interest Revision/Conversion</w:t>
      </w:r>
    </w:p>
    <w:p w14:paraId="02D49A40" w14:textId="77777777" w:rsidR="00F0088B" w:rsidRPr="00653DCF" w:rsidRDefault="00F0088B" w:rsidP="00F0088B">
      <w:pPr>
        <w:rPr>
          <w:color w:val="auto"/>
        </w:rPr>
      </w:pPr>
      <w:r w:rsidRPr="00653DCF">
        <w:rPr>
          <w:color w:val="auto"/>
        </w:rPr>
        <w:t>If the Borrower duly accepts in writing a Fixed Rate or a Spread in respect of an Interest Revision/Conversion Proposal, the Borrower shall pay accrued interest on the Interest Revision/Conversion Date and thereafter on the designated Payment Dates.</w:t>
      </w:r>
    </w:p>
    <w:p w14:paraId="312E4319" w14:textId="77777777" w:rsidR="00F0088B" w:rsidRPr="00653DCF" w:rsidRDefault="00F0088B" w:rsidP="00F0088B">
      <w:pPr>
        <w:rPr>
          <w:color w:val="auto"/>
        </w:rPr>
      </w:pPr>
      <w:r w:rsidRPr="00653DCF">
        <w:rPr>
          <w:color w:val="auto"/>
        </w:rPr>
        <w:t xml:space="preserve">Prior to the Interest Revision/Conversion Date, the relevant provisions of this Contract and Disbursement Notice shall apply to the Tranche in its entirety. From and including the Interest Revision/Conversion Date onwards, the provisions contained in the Interest Revision/Conversion Proposal relating to the new Fixed Rate or Spread shall apply to the Tranche (or any part thereof, as indicated in the Interest Revision/Conversion Request) until the new Interest Revision/Conversion Date, if any, or until the Maturity Date. </w:t>
      </w:r>
    </w:p>
    <w:p w14:paraId="56D0D240" w14:textId="77777777" w:rsidR="00F0088B" w:rsidRPr="00653DCF" w:rsidRDefault="00F0088B" w:rsidP="0024686A">
      <w:pPr>
        <w:pStyle w:val="SubSchedule2EIB0"/>
        <w:numPr>
          <w:ilvl w:val="2"/>
          <w:numId w:val="172"/>
        </w:numPr>
        <w:ind w:left="851" w:hanging="851"/>
        <w:rPr>
          <w:color w:val="auto"/>
        </w:rPr>
      </w:pPr>
      <w:bookmarkStart w:id="1051" w:name="_Ref61441091"/>
      <w:r w:rsidRPr="00653DCF">
        <w:rPr>
          <w:color w:val="auto"/>
        </w:rPr>
        <w:t>Partial or no Interest Revision/Conversion</w:t>
      </w:r>
      <w:bookmarkEnd w:id="1051"/>
      <w:r w:rsidRPr="00653DCF">
        <w:rPr>
          <w:color w:val="auto"/>
        </w:rPr>
        <w:t xml:space="preserve"> </w:t>
      </w:r>
    </w:p>
    <w:p w14:paraId="241ECCA0" w14:textId="77777777" w:rsidR="00F0088B" w:rsidRPr="00653DCF" w:rsidRDefault="00F0088B" w:rsidP="00F0088B">
      <w:pPr>
        <w:rPr>
          <w:color w:val="auto"/>
        </w:rPr>
      </w:pPr>
      <w:r w:rsidRPr="00653DCF">
        <w:rPr>
          <w:color w:val="auto"/>
        </w:rPr>
        <w:t>In case of a partial Interest Revision/Conversion, the Borrower will repay, without indemnity, on the Interest Revision/Conversion Date the part of the Tranche that is not covered by the Interest Revision/Conversion Request and which is therefore not subject to</w:t>
      </w:r>
      <w:r w:rsidRPr="00653DCF" w:rsidDel="000D6679">
        <w:rPr>
          <w:color w:val="auto"/>
        </w:rPr>
        <w:t xml:space="preserve"> </w:t>
      </w:r>
      <w:r w:rsidRPr="00653DCF">
        <w:rPr>
          <w:color w:val="auto"/>
        </w:rPr>
        <w:t>the Interest Revision/Conversion.</w:t>
      </w:r>
    </w:p>
    <w:p w14:paraId="4C9CD4C4" w14:textId="77777777" w:rsidR="00F0088B" w:rsidRPr="00653DCF" w:rsidRDefault="00F0088B" w:rsidP="00F0088B">
      <w:pPr>
        <w:rPr>
          <w:color w:val="auto"/>
        </w:rPr>
      </w:pPr>
      <w:r w:rsidRPr="00653DCF">
        <w:rPr>
          <w:color w:val="auto"/>
        </w:rPr>
        <w:t xml:space="preserve">If the Borrower does not submit an Interest Revision/Conversion Request or does not accept in writing the Interest Revision/Conversion Proposal for the Tranche or if the Parties fail to effect an amendment requested by the Bank pursuant to paragraph A above, the Borrower shall repay the Tranche in full on the Interest Revision/Conversion Date, without indemnity. </w:t>
      </w:r>
    </w:p>
    <w:p w14:paraId="379B3759" w14:textId="77777777" w:rsidR="00F0088B" w:rsidRPr="00653DCF" w:rsidRDefault="00F0088B" w:rsidP="00F0088B">
      <w:pPr>
        <w:rPr>
          <w:color w:val="auto"/>
        </w:rPr>
      </w:pPr>
    </w:p>
    <w:p w14:paraId="58A72A7F" w14:textId="77777777" w:rsidR="00F0088B" w:rsidRPr="00653DCF" w:rsidRDefault="00F0088B" w:rsidP="00F0088B">
      <w:pPr>
        <w:rPr>
          <w:color w:val="auto"/>
        </w:rPr>
      </w:pPr>
      <w:r w:rsidRPr="00653DCF">
        <w:rPr>
          <w:color w:val="auto"/>
        </w:rPr>
        <w:br w:type="page"/>
      </w:r>
    </w:p>
    <w:p w14:paraId="4380A3BD" w14:textId="7B48C3B1" w:rsidR="00F418ED" w:rsidRDefault="00F418ED" w:rsidP="00F418ED">
      <w:pPr>
        <w:pStyle w:val="SubSchedule1EIB"/>
        <w:numPr>
          <w:ilvl w:val="1"/>
          <w:numId w:val="172"/>
        </w:numPr>
        <w:jc w:val="right"/>
        <w:rPr>
          <w:color w:val="auto"/>
        </w:rPr>
      </w:pPr>
      <w:r>
        <w:rPr>
          <w:color w:val="auto"/>
          <w:u w:val="none"/>
        </w:rPr>
        <w:t>Schedule E</w:t>
      </w:r>
    </w:p>
    <w:p w14:paraId="0D4F3568" w14:textId="0E2F313D" w:rsidR="00F0088B" w:rsidRPr="00653DCF" w:rsidRDefault="00F0088B" w:rsidP="0024686A">
      <w:pPr>
        <w:pStyle w:val="SubSchedule1EIB"/>
        <w:numPr>
          <w:ilvl w:val="1"/>
          <w:numId w:val="172"/>
        </w:numPr>
        <w:rPr>
          <w:color w:val="auto"/>
        </w:rPr>
      </w:pPr>
      <w:r w:rsidRPr="00653DCF">
        <w:rPr>
          <w:color w:val="auto"/>
        </w:rPr>
        <w:t>Certificates to be provided by the Borrower</w:t>
      </w:r>
    </w:p>
    <w:p w14:paraId="32C0A1A3" w14:textId="48221F11" w:rsidR="00F0088B" w:rsidRPr="00653DCF" w:rsidRDefault="002E637E" w:rsidP="002E637E">
      <w:pPr>
        <w:pStyle w:val="SubSchedule3EIB0"/>
        <w:numPr>
          <w:ilvl w:val="0"/>
          <w:numId w:val="0"/>
        </w:numPr>
        <w:ind w:left="1080"/>
        <w:rPr>
          <w:b/>
          <w:bCs/>
          <w:color w:val="auto"/>
        </w:rPr>
      </w:pPr>
      <w:r w:rsidRPr="002E637E">
        <w:rPr>
          <w:bCs/>
          <w:color w:val="auto"/>
        </w:rPr>
        <w:t>E.1</w:t>
      </w:r>
      <w:r w:rsidRPr="002E637E">
        <w:rPr>
          <w:bCs/>
          <w:color w:val="auto"/>
          <w:u w:val="none"/>
        </w:rPr>
        <w:t xml:space="preserve"> </w:t>
      </w:r>
      <w:r w:rsidR="00F0088B" w:rsidRPr="00653DCF">
        <w:rPr>
          <w:b/>
          <w:bCs/>
          <w:color w:val="auto"/>
        </w:rPr>
        <w:t>Form of Certificate from Borrower (Article </w:t>
      </w:r>
      <w:r w:rsidR="00364B4D" w:rsidRPr="00653DCF">
        <w:rPr>
          <w:b/>
          <w:bCs/>
          <w:color w:val="auto"/>
        </w:rPr>
        <w:t>1.4.D</w:t>
      </w:r>
      <w:r w:rsidR="00F0088B" w:rsidRPr="00653DCF">
        <w:rPr>
          <w:b/>
          <w:bCs/>
          <w:color w:val="auto"/>
        </w:rPr>
        <w:t>)</w:t>
      </w:r>
    </w:p>
    <w:tbl>
      <w:tblPr>
        <w:tblStyle w:val="TableEIB"/>
        <w:tblW w:w="0" w:type="auto"/>
        <w:tblLook w:val="04A0" w:firstRow="1" w:lastRow="0" w:firstColumn="1" w:lastColumn="0" w:noHBand="0" w:noVBand="1"/>
      </w:tblPr>
      <w:tblGrid>
        <w:gridCol w:w="953"/>
        <w:gridCol w:w="7406"/>
      </w:tblGrid>
      <w:tr w:rsidR="00F0088B" w:rsidRPr="00653DCF" w14:paraId="515B3E27" w14:textId="77777777" w:rsidTr="00E07A51">
        <w:tc>
          <w:tcPr>
            <w:tcW w:w="953" w:type="dxa"/>
          </w:tcPr>
          <w:p w14:paraId="2305AF4D" w14:textId="77777777" w:rsidR="00F0088B" w:rsidRPr="00653DCF" w:rsidRDefault="00F0088B" w:rsidP="00E07A51">
            <w:pPr>
              <w:tabs>
                <w:tab w:val="left" w:pos="1701"/>
              </w:tabs>
              <w:ind w:left="0"/>
              <w:rPr>
                <w:color w:val="auto"/>
              </w:rPr>
            </w:pPr>
            <w:r w:rsidRPr="00653DCF">
              <w:rPr>
                <w:color w:val="auto"/>
              </w:rPr>
              <w:t>From:</w:t>
            </w:r>
          </w:p>
        </w:tc>
        <w:tc>
          <w:tcPr>
            <w:tcW w:w="7479" w:type="dxa"/>
          </w:tcPr>
          <w:p w14:paraId="2C22E295" w14:textId="77777777" w:rsidR="00F0088B" w:rsidRPr="00653DCF" w:rsidRDefault="00F0088B" w:rsidP="00E07A51">
            <w:pPr>
              <w:tabs>
                <w:tab w:val="left" w:pos="1701"/>
              </w:tabs>
              <w:ind w:left="0"/>
              <w:rPr>
                <w:color w:val="auto"/>
              </w:rPr>
            </w:pPr>
            <w:r w:rsidRPr="00653DCF">
              <w:rPr>
                <w:color w:val="auto"/>
              </w:rPr>
              <w:t>The Republic of Croatia</w:t>
            </w:r>
          </w:p>
        </w:tc>
      </w:tr>
      <w:tr w:rsidR="00F0088B" w:rsidRPr="00653DCF" w14:paraId="7E8A58E1" w14:textId="77777777" w:rsidTr="00E07A51">
        <w:tc>
          <w:tcPr>
            <w:tcW w:w="953" w:type="dxa"/>
          </w:tcPr>
          <w:p w14:paraId="346C37B5" w14:textId="77777777" w:rsidR="00F0088B" w:rsidRPr="00653DCF" w:rsidRDefault="00F0088B" w:rsidP="00E07A51">
            <w:pPr>
              <w:tabs>
                <w:tab w:val="left" w:pos="1701"/>
              </w:tabs>
              <w:ind w:left="0"/>
              <w:rPr>
                <w:color w:val="auto"/>
              </w:rPr>
            </w:pPr>
            <w:r w:rsidRPr="00653DCF">
              <w:rPr>
                <w:color w:val="auto"/>
              </w:rPr>
              <w:t>To:</w:t>
            </w:r>
          </w:p>
        </w:tc>
        <w:tc>
          <w:tcPr>
            <w:tcW w:w="7479" w:type="dxa"/>
          </w:tcPr>
          <w:p w14:paraId="36A1F6EB" w14:textId="77777777" w:rsidR="00F0088B" w:rsidRPr="00653DCF" w:rsidRDefault="00F0088B" w:rsidP="00E07A51">
            <w:pPr>
              <w:tabs>
                <w:tab w:val="left" w:pos="1701"/>
              </w:tabs>
              <w:ind w:left="0"/>
              <w:rPr>
                <w:color w:val="auto"/>
              </w:rPr>
            </w:pPr>
            <w:r w:rsidRPr="00653DCF">
              <w:rPr>
                <w:color w:val="auto"/>
              </w:rPr>
              <w:t>European Investment Bank</w:t>
            </w:r>
          </w:p>
        </w:tc>
      </w:tr>
      <w:tr w:rsidR="00F0088B" w:rsidRPr="00653DCF" w14:paraId="50703B3B" w14:textId="77777777" w:rsidTr="00E07A51">
        <w:tc>
          <w:tcPr>
            <w:tcW w:w="953" w:type="dxa"/>
          </w:tcPr>
          <w:p w14:paraId="1C80A2D5" w14:textId="77777777" w:rsidR="00F0088B" w:rsidRPr="00653DCF" w:rsidRDefault="00F0088B" w:rsidP="00E07A51">
            <w:pPr>
              <w:tabs>
                <w:tab w:val="left" w:pos="1701"/>
              </w:tabs>
              <w:ind w:left="0"/>
              <w:rPr>
                <w:color w:val="auto"/>
              </w:rPr>
            </w:pPr>
            <w:r w:rsidRPr="00653DCF">
              <w:rPr>
                <w:color w:val="auto"/>
              </w:rPr>
              <w:t>Date:</w:t>
            </w:r>
          </w:p>
        </w:tc>
        <w:tc>
          <w:tcPr>
            <w:tcW w:w="7479" w:type="dxa"/>
          </w:tcPr>
          <w:p w14:paraId="0DF378DC" w14:textId="77777777" w:rsidR="00F0088B" w:rsidRPr="00653DCF" w:rsidRDefault="00F0088B" w:rsidP="00E07A51">
            <w:pPr>
              <w:tabs>
                <w:tab w:val="left" w:pos="1701"/>
              </w:tabs>
              <w:ind w:left="0"/>
              <w:rPr>
                <w:color w:val="auto"/>
              </w:rPr>
            </w:pPr>
          </w:p>
        </w:tc>
      </w:tr>
      <w:tr w:rsidR="00F0088B" w:rsidRPr="00653DCF" w14:paraId="0A9A167F" w14:textId="77777777" w:rsidTr="00E07A51">
        <w:tc>
          <w:tcPr>
            <w:tcW w:w="953" w:type="dxa"/>
          </w:tcPr>
          <w:p w14:paraId="7C9D1FD2" w14:textId="77777777" w:rsidR="00F0088B" w:rsidRPr="0090554A" w:rsidRDefault="00F0088B" w:rsidP="00E07A51">
            <w:pPr>
              <w:tabs>
                <w:tab w:val="left" w:pos="1701"/>
              </w:tabs>
              <w:ind w:left="0"/>
              <w:rPr>
                <w:color w:val="auto"/>
              </w:rPr>
            </w:pPr>
            <w:r w:rsidRPr="0090554A">
              <w:rPr>
                <w:color w:val="auto"/>
              </w:rPr>
              <w:t>Subject:</w:t>
            </w:r>
          </w:p>
        </w:tc>
        <w:tc>
          <w:tcPr>
            <w:tcW w:w="7479" w:type="dxa"/>
          </w:tcPr>
          <w:p w14:paraId="32DAAFE1" w14:textId="77777777" w:rsidR="00F0088B" w:rsidRPr="0090554A" w:rsidRDefault="00F0088B" w:rsidP="00E07A51">
            <w:pPr>
              <w:tabs>
                <w:tab w:val="left" w:pos="1701"/>
              </w:tabs>
              <w:ind w:left="0"/>
              <w:rPr>
                <w:color w:val="auto"/>
              </w:rPr>
            </w:pPr>
            <w:r w:rsidRPr="0090554A">
              <w:rPr>
                <w:color w:val="auto"/>
              </w:rPr>
              <w:t>Finance Contract between European Investment Bank and the Republic of Croatia dated [/] (the "</w:t>
            </w:r>
            <w:r w:rsidRPr="0090554A">
              <w:rPr>
                <w:rStyle w:val="BoldEIB"/>
                <w:color w:val="auto"/>
              </w:rPr>
              <w:t>Finance Contract</w:t>
            </w:r>
            <w:r w:rsidRPr="0090554A">
              <w:rPr>
                <w:color w:val="auto"/>
              </w:rPr>
              <w:t>")</w:t>
            </w:r>
          </w:p>
        </w:tc>
      </w:tr>
      <w:tr w:rsidR="00F0088B" w:rsidRPr="00653DCF" w14:paraId="21B4AC5F" w14:textId="77777777" w:rsidTr="00E07A51">
        <w:tc>
          <w:tcPr>
            <w:tcW w:w="953" w:type="dxa"/>
            <w:tcBorders>
              <w:bottom w:val="single" w:sz="4" w:space="0" w:color="auto"/>
            </w:tcBorders>
          </w:tcPr>
          <w:p w14:paraId="545DABC0" w14:textId="77777777" w:rsidR="00F0088B" w:rsidRPr="00653DCF" w:rsidRDefault="00F0088B" w:rsidP="00E07A51">
            <w:pPr>
              <w:tabs>
                <w:tab w:val="left" w:pos="1701"/>
              </w:tabs>
              <w:ind w:left="0"/>
              <w:rPr>
                <w:color w:val="auto"/>
              </w:rPr>
            </w:pPr>
          </w:p>
        </w:tc>
        <w:tc>
          <w:tcPr>
            <w:tcW w:w="7479" w:type="dxa"/>
            <w:tcBorders>
              <w:bottom w:val="single" w:sz="4" w:space="0" w:color="auto"/>
            </w:tcBorders>
          </w:tcPr>
          <w:p w14:paraId="2892C5A2" w14:textId="77777777" w:rsidR="00F0088B" w:rsidRPr="00653DCF" w:rsidRDefault="00F0088B" w:rsidP="00E07A51">
            <w:pPr>
              <w:tabs>
                <w:tab w:val="left" w:pos="1701"/>
              </w:tabs>
              <w:ind w:left="0"/>
              <w:rPr>
                <w:color w:val="auto"/>
              </w:rPr>
            </w:pPr>
            <w:r w:rsidRPr="00653DCF">
              <w:rPr>
                <w:color w:val="auto"/>
              </w:rPr>
              <w:t xml:space="preserve">Contract Number </w:t>
            </w:r>
            <w:r w:rsidRPr="00653DCF">
              <w:rPr>
                <w:color w:val="auto"/>
              </w:rPr>
              <w:fldChar w:fldCharType="begin">
                <w:ffData>
                  <w:name w:val=""/>
                  <w:enabled/>
                  <w:calcOnExit w:val="0"/>
                  <w:textInput>
                    <w:default w:val="95.797"/>
                  </w:textInput>
                </w:ffData>
              </w:fldChar>
            </w:r>
            <w:r w:rsidRPr="00653DCF">
              <w:rPr>
                <w:color w:val="auto"/>
              </w:rPr>
              <w:instrText xml:space="preserve"> FORMTEXT </w:instrText>
            </w:r>
            <w:r w:rsidRPr="00653DCF">
              <w:rPr>
                <w:color w:val="auto"/>
              </w:rPr>
            </w:r>
            <w:r w:rsidRPr="00653DCF">
              <w:rPr>
                <w:color w:val="auto"/>
              </w:rPr>
              <w:fldChar w:fldCharType="separate"/>
            </w:r>
            <w:r w:rsidRPr="00653DCF">
              <w:rPr>
                <w:noProof/>
                <w:color w:val="auto"/>
              </w:rPr>
              <w:t>95.797</w:t>
            </w:r>
            <w:r w:rsidRPr="00653DCF">
              <w:rPr>
                <w:color w:val="auto"/>
              </w:rPr>
              <w:fldChar w:fldCharType="end"/>
            </w:r>
            <w:r w:rsidRPr="00653DCF">
              <w:rPr>
                <w:color w:val="auto"/>
              </w:rPr>
              <w:tab/>
              <w:t xml:space="preserve">Operation Number </w:t>
            </w:r>
            <w:r w:rsidRPr="00653DCF">
              <w:rPr>
                <w:color w:val="auto"/>
              </w:rPr>
              <w:fldChar w:fldCharType="begin">
                <w:ffData>
                  <w:name w:val=""/>
                  <w:enabled/>
                  <w:calcOnExit w:val="0"/>
                  <w:textInput>
                    <w:default w:val="2022-0660"/>
                  </w:textInput>
                </w:ffData>
              </w:fldChar>
            </w:r>
            <w:r w:rsidRPr="00653DCF">
              <w:rPr>
                <w:color w:val="auto"/>
              </w:rPr>
              <w:instrText xml:space="preserve"> FORMTEXT </w:instrText>
            </w:r>
            <w:r w:rsidRPr="00653DCF">
              <w:rPr>
                <w:color w:val="auto"/>
              </w:rPr>
            </w:r>
            <w:r w:rsidRPr="00653DCF">
              <w:rPr>
                <w:color w:val="auto"/>
              </w:rPr>
              <w:fldChar w:fldCharType="separate"/>
            </w:r>
            <w:r w:rsidRPr="00653DCF">
              <w:rPr>
                <w:noProof/>
                <w:color w:val="auto"/>
              </w:rPr>
              <w:t>2022-0660</w:t>
            </w:r>
            <w:r w:rsidRPr="00653DCF">
              <w:rPr>
                <w:color w:val="auto"/>
              </w:rPr>
              <w:fldChar w:fldCharType="end"/>
            </w:r>
          </w:p>
        </w:tc>
      </w:tr>
    </w:tbl>
    <w:p w14:paraId="2B458E28" w14:textId="77777777" w:rsidR="00F0088B" w:rsidRPr="00653DCF" w:rsidRDefault="00F0088B" w:rsidP="00F0088B">
      <w:pPr>
        <w:rPr>
          <w:color w:val="auto"/>
        </w:rPr>
      </w:pPr>
    </w:p>
    <w:p w14:paraId="266B5F9C" w14:textId="77777777" w:rsidR="00F0088B" w:rsidRPr="00653DCF" w:rsidRDefault="00F0088B" w:rsidP="00F0088B">
      <w:pPr>
        <w:rPr>
          <w:color w:val="auto"/>
        </w:rPr>
      </w:pPr>
      <w:r w:rsidRPr="00653DCF">
        <w:rPr>
          <w:color w:val="auto"/>
        </w:rPr>
        <w:t>Dear Sirs,</w:t>
      </w:r>
    </w:p>
    <w:p w14:paraId="003FBDAA" w14:textId="77777777" w:rsidR="00F0088B" w:rsidRPr="00653DCF" w:rsidRDefault="00F0088B" w:rsidP="00F0088B">
      <w:pPr>
        <w:rPr>
          <w:color w:val="auto"/>
        </w:rPr>
      </w:pPr>
      <w:r w:rsidRPr="00653DCF">
        <w:rPr>
          <w:color w:val="auto"/>
        </w:rPr>
        <w:t>We refer to the Finance Contract. Terms defined in the Finance Contract have the same meaning when used in this letter.</w:t>
      </w:r>
    </w:p>
    <w:p w14:paraId="285BDC01" w14:textId="440B939C" w:rsidR="00F0088B" w:rsidRPr="00653DCF" w:rsidRDefault="00F0088B" w:rsidP="00F0088B">
      <w:pPr>
        <w:rPr>
          <w:color w:val="auto"/>
        </w:rPr>
      </w:pPr>
      <w:r w:rsidRPr="00653DCF">
        <w:rPr>
          <w:color w:val="auto"/>
        </w:rPr>
        <w:t>For the purposes of Article </w:t>
      </w:r>
      <w:r w:rsidRPr="00653DCF">
        <w:rPr>
          <w:color w:val="auto"/>
        </w:rPr>
        <w:fldChar w:fldCharType="begin"/>
      </w:r>
      <w:r w:rsidRPr="00653DCF">
        <w:rPr>
          <w:color w:val="auto"/>
        </w:rPr>
        <w:instrText xml:space="preserve"> REF _Ref426639107 \r \h </w:instrText>
      </w:r>
      <w:r w:rsidRPr="00653DCF">
        <w:rPr>
          <w:color w:val="auto"/>
        </w:rPr>
      </w:r>
      <w:r w:rsidRPr="00653DCF">
        <w:rPr>
          <w:color w:val="auto"/>
        </w:rPr>
        <w:fldChar w:fldCharType="separate"/>
      </w:r>
      <w:r w:rsidR="00E5391B">
        <w:rPr>
          <w:color w:val="auto"/>
        </w:rPr>
        <w:t>1.4</w:t>
      </w:r>
      <w:r w:rsidRPr="00653DCF">
        <w:rPr>
          <w:color w:val="auto"/>
        </w:rPr>
        <w:fldChar w:fldCharType="end"/>
      </w:r>
      <w:r w:rsidRPr="00653DCF">
        <w:rPr>
          <w:color w:val="auto"/>
        </w:rPr>
        <w:t xml:space="preserve"> of the Finance Contract we hereby certify to you as follows:</w:t>
      </w:r>
    </w:p>
    <w:p w14:paraId="6713E383" w14:textId="77777777" w:rsidR="00F0088B" w:rsidRPr="00653DCF" w:rsidRDefault="00F0088B" w:rsidP="0024686A">
      <w:pPr>
        <w:pStyle w:val="NoIndentEIB"/>
        <w:numPr>
          <w:ilvl w:val="0"/>
          <w:numId w:val="152"/>
        </w:numPr>
        <w:rPr>
          <w:color w:val="auto"/>
        </w:rPr>
      </w:pPr>
      <w:r w:rsidRPr="00653DCF">
        <w:rPr>
          <w:color w:val="auto"/>
        </w:rPr>
        <w:t>no Security of the type prohibited under Article 7.2 has been created or is in existence;</w:t>
      </w:r>
    </w:p>
    <w:p w14:paraId="010BF5F4" w14:textId="7F9F57F2" w:rsidR="00F0088B" w:rsidRPr="00653DCF" w:rsidRDefault="00F0088B" w:rsidP="0024686A">
      <w:pPr>
        <w:pStyle w:val="NoIndentEIB"/>
        <w:numPr>
          <w:ilvl w:val="0"/>
          <w:numId w:val="152"/>
        </w:numPr>
        <w:rPr>
          <w:color w:val="auto"/>
        </w:rPr>
      </w:pPr>
      <w:r w:rsidRPr="00653DCF">
        <w:rPr>
          <w:color w:val="auto"/>
        </w:rPr>
        <w:t>there has been no material change to any aspect of the Project or in respect of which we are obliged to report under Article </w:t>
      </w:r>
      <w:r w:rsidRPr="00653DCF">
        <w:rPr>
          <w:color w:val="auto"/>
        </w:rPr>
        <w:fldChar w:fldCharType="begin"/>
      </w:r>
      <w:r w:rsidRPr="00653DCF">
        <w:rPr>
          <w:color w:val="auto"/>
        </w:rPr>
        <w:instrText xml:space="preserve"> REF _Ref426640702 \r \h </w:instrText>
      </w:r>
      <w:r w:rsidRPr="00653DCF">
        <w:rPr>
          <w:color w:val="auto"/>
        </w:rPr>
      </w:r>
      <w:r w:rsidRPr="00653DCF">
        <w:rPr>
          <w:color w:val="auto"/>
        </w:rPr>
        <w:fldChar w:fldCharType="separate"/>
      </w:r>
      <w:r w:rsidR="00E5391B">
        <w:rPr>
          <w:color w:val="auto"/>
        </w:rPr>
        <w:t>članak 8</w:t>
      </w:r>
      <w:r w:rsidRPr="00653DCF">
        <w:rPr>
          <w:color w:val="auto"/>
        </w:rPr>
        <w:fldChar w:fldCharType="end"/>
      </w:r>
      <w:r w:rsidRPr="00653DCF">
        <w:rPr>
          <w:color w:val="auto"/>
        </w:rPr>
        <w:t xml:space="preserve">, save as previously communicated by us; </w:t>
      </w:r>
    </w:p>
    <w:p w14:paraId="42E7518E" w14:textId="77777777" w:rsidR="00F0088B" w:rsidRPr="00653DCF" w:rsidRDefault="00F0088B" w:rsidP="0024686A">
      <w:pPr>
        <w:pStyle w:val="NoIndentEIB"/>
        <w:numPr>
          <w:ilvl w:val="0"/>
          <w:numId w:val="152"/>
        </w:numPr>
        <w:rPr>
          <w:color w:val="auto"/>
        </w:rPr>
      </w:pPr>
      <w:r w:rsidRPr="00653DCF">
        <w:rPr>
          <w:color w:val="auto"/>
        </w:rPr>
        <w:t>no event or circumstance which constitutes or would with the passage of time or the giving of notice or the making of any determination under the Finance Contract (or any combination of the foregoing) constitute a Prepayment Event or an Event of Default has occurred and is continuing unremedied or unwaived;</w:t>
      </w:r>
    </w:p>
    <w:p w14:paraId="3F308C1B" w14:textId="77777777" w:rsidR="00F0088B" w:rsidRPr="00653DCF" w:rsidRDefault="00F0088B" w:rsidP="0024686A">
      <w:pPr>
        <w:pStyle w:val="NoIndentEIB"/>
        <w:numPr>
          <w:ilvl w:val="0"/>
          <w:numId w:val="152"/>
        </w:numPr>
        <w:rPr>
          <w:color w:val="auto"/>
        </w:rPr>
      </w:pPr>
      <w:r w:rsidRPr="00653DCF">
        <w:rPr>
          <w:color w:val="auto"/>
        </w:rPr>
        <w:t>we have sufficient funds available to ensure the timely completion and implementation of the Project in accordance with Schedule A;</w:t>
      </w:r>
    </w:p>
    <w:p w14:paraId="447BACBE" w14:textId="77777777" w:rsidR="00F0088B" w:rsidRPr="00653DCF" w:rsidRDefault="00F0088B" w:rsidP="0024686A">
      <w:pPr>
        <w:pStyle w:val="NoIndentEIB"/>
        <w:numPr>
          <w:ilvl w:val="0"/>
          <w:numId w:val="152"/>
        </w:numPr>
        <w:rPr>
          <w:color w:val="auto"/>
        </w:rPr>
      </w:pPr>
      <w:r w:rsidRPr="00653DCF">
        <w:rPr>
          <w:color w:val="auto"/>
        </w:rPr>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the Project Companies any unsatisfied judgement or award;</w:t>
      </w:r>
    </w:p>
    <w:p w14:paraId="579ED30F" w14:textId="0B34A15B" w:rsidR="00F0088B" w:rsidRPr="00653DCF" w:rsidRDefault="00F0088B" w:rsidP="0024686A">
      <w:pPr>
        <w:pStyle w:val="NoIndentEIB"/>
        <w:numPr>
          <w:ilvl w:val="0"/>
          <w:numId w:val="152"/>
        </w:numPr>
        <w:rPr>
          <w:color w:val="auto"/>
        </w:rPr>
      </w:pPr>
      <w:r w:rsidRPr="00653DCF">
        <w:rPr>
          <w:color w:val="auto"/>
        </w:rPr>
        <w:t>the representations and warranties to be made or repeated by us under Article </w:t>
      </w:r>
      <w:r w:rsidRPr="00653DCF">
        <w:rPr>
          <w:color w:val="auto"/>
        </w:rPr>
        <w:fldChar w:fldCharType="begin"/>
      </w:r>
      <w:r w:rsidRPr="00653DCF">
        <w:rPr>
          <w:color w:val="auto"/>
        </w:rPr>
        <w:instrText xml:space="preserve"> REF _Ref62665226 \r \h </w:instrText>
      </w:r>
      <w:r w:rsidRPr="00653DCF">
        <w:rPr>
          <w:color w:val="auto"/>
        </w:rPr>
      </w:r>
      <w:r w:rsidRPr="00653DCF">
        <w:rPr>
          <w:color w:val="auto"/>
        </w:rPr>
        <w:fldChar w:fldCharType="separate"/>
      </w:r>
      <w:r w:rsidR="00E5391B">
        <w:rPr>
          <w:color w:val="auto"/>
        </w:rPr>
        <w:t>6.10</w:t>
      </w:r>
      <w:r w:rsidRPr="00653DCF">
        <w:rPr>
          <w:color w:val="auto"/>
        </w:rPr>
        <w:fldChar w:fldCharType="end"/>
      </w:r>
      <w:r w:rsidRPr="00653DCF">
        <w:rPr>
          <w:color w:val="auto"/>
        </w:rPr>
        <w:t xml:space="preserve"> are true in all material respects; </w:t>
      </w:r>
    </w:p>
    <w:p w14:paraId="0313BEB8" w14:textId="77777777" w:rsidR="00F0088B" w:rsidRPr="00653DCF" w:rsidRDefault="00F0088B" w:rsidP="0024686A">
      <w:pPr>
        <w:pStyle w:val="NoIndentEIB"/>
        <w:numPr>
          <w:ilvl w:val="0"/>
          <w:numId w:val="152"/>
        </w:numPr>
        <w:rPr>
          <w:color w:val="auto"/>
        </w:rPr>
      </w:pPr>
      <w:r w:rsidRPr="00653DCF">
        <w:rPr>
          <w:color w:val="auto"/>
        </w:rPr>
        <w:t xml:space="preserve">no Material Adverse Change has occurred, as compared with the situation at the date of the Finance Contract; </w:t>
      </w:r>
    </w:p>
    <w:p w14:paraId="27884B46" w14:textId="77777777" w:rsidR="00F0088B" w:rsidRPr="00653DCF" w:rsidRDefault="00F0088B" w:rsidP="0024686A">
      <w:pPr>
        <w:widowControl w:val="0"/>
        <w:numPr>
          <w:ilvl w:val="0"/>
          <w:numId w:val="152"/>
        </w:numPr>
        <w:rPr>
          <w:color w:val="auto"/>
        </w:rPr>
      </w:pPr>
      <w:r w:rsidRPr="00653DCF">
        <w:rPr>
          <w:color w:val="auto"/>
        </w:rPr>
        <w:t>the most recent List of Authorised Signatories and Accounts provided to the Bank by the Borrower is up-to-date and the Bank may rely on the information set out therein.</w:t>
      </w:r>
    </w:p>
    <w:p w14:paraId="32BC7946" w14:textId="77777777" w:rsidR="00F0088B" w:rsidRPr="00653DCF" w:rsidRDefault="00F0088B" w:rsidP="00F0088B">
      <w:pPr>
        <w:widowControl w:val="0"/>
        <w:rPr>
          <w:color w:val="auto"/>
        </w:rPr>
      </w:pPr>
      <w:r w:rsidRPr="00653DCF">
        <w:rPr>
          <w:color w:val="auto"/>
        </w:rPr>
        <w:t>We undertake to immediately notify the Bank if any the above fails to be true or correct as of the Disbursement Date for the proposed Tranche.</w:t>
      </w:r>
    </w:p>
    <w:p w14:paraId="03854FCB" w14:textId="77777777" w:rsidR="00F0088B" w:rsidRPr="00653DCF" w:rsidRDefault="00F0088B" w:rsidP="00F0088B">
      <w:pPr>
        <w:rPr>
          <w:color w:val="auto"/>
        </w:rPr>
      </w:pPr>
      <w:r w:rsidRPr="00653DCF">
        <w:rPr>
          <w:color w:val="auto"/>
        </w:rPr>
        <w:t>Yours faithfully,</w:t>
      </w:r>
    </w:p>
    <w:p w14:paraId="2C52DEA9" w14:textId="77777777" w:rsidR="00F0088B" w:rsidRPr="00653DCF" w:rsidRDefault="00F0088B" w:rsidP="00F0088B">
      <w:pPr>
        <w:rPr>
          <w:color w:val="auto"/>
        </w:rPr>
      </w:pPr>
      <w:r w:rsidRPr="00653DCF">
        <w:rPr>
          <w:color w:val="auto"/>
        </w:rPr>
        <w:t>For and on behalf of the Republic of Croatia</w:t>
      </w:r>
    </w:p>
    <w:p w14:paraId="0234D0EA" w14:textId="77777777" w:rsidR="00F0088B" w:rsidRPr="00653DCF" w:rsidRDefault="00F0088B" w:rsidP="00F0088B">
      <w:pPr>
        <w:rPr>
          <w:color w:val="auto"/>
          <w:u w:val="single"/>
        </w:rPr>
      </w:pPr>
      <w:r w:rsidRPr="00653DCF">
        <w:rPr>
          <w:color w:val="auto"/>
          <w:u w:val="single"/>
        </w:rPr>
        <w:br w:type="page"/>
      </w:r>
    </w:p>
    <w:p w14:paraId="3F3F5A7A" w14:textId="77777777" w:rsidR="00F0088B" w:rsidRPr="00653DCF" w:rsidRDefault="00F0088B" w:rsidP="00F0088B">
      <w:pPr>
        <w:pStyle w:val="Annex"/>
        <w:numPr>
          <w:ilvl w:val="0"/>
          <w:numId w:val="93"/>
        </w:numPr>
        <w:ind w:left="714" w:hanging="357"/>
        <w:outlineLvl w:val="0"/>
        <w:rPr>
          <w:color w:val="auto"/>
        </w:rPr>
      </w:pPr>
      <w:bookmarkStart w:id="1052" w:name="_Toc475441220"/>
      <w:bookmarkStart w:id="1053" w:name="_Toc498018719"/>
      <w:bookmarkStart w:id="1054" w:name="_Toc508120586"/>
      <w:bookmarkStart w:id="1055" w:name="_Toc126080907"/>
      <w:bookmarkStart w:id="1056" w:name="_Toc149048432"/>
      <w:bookmarkStart w:id="1057" w:name="_Toc508120587"/>
      <w:bookmarkStart w:id="1058" w:name="_Toc126080909"/>
      <w:bookmarkStart w:id="1059" w:name="_Ref508628135"/>
      <w:bookmarkStart w:id="1060" w:name="_Ref508723114"/>
      <w:bookmarkEnd w:id="1052"/>
      <w:bookmarkEnd w:id="1053"/>
      <w:bookmarkEnd w:id="1054"/>
      <w:bookmarkEnd w:id="1055"/>
      <w:bookmarkEnd w:id="1056"/>
      <w:bookmarkEnd w:id="1057"/>
      <w:bookmarkEnd w:id="1058"/>
    </w:p>
    <w:p w14:paraId="7C7EE05F" w14:textId="77777777" w:rsidR="00F0088B" w:rsidRPr="00653DCF" w:rsidRDefault="00F0088B" w:rsidP="0024686A">
      <w:pPr>
        <w:pStyle w:val="SubSchedule1EIB"/>
        <w:numPr>
          <w:ilvl w:val="1"/>
          <w:numId w:val="172"/>
        </w:numPr>
        <w:rPr>
          <w:color w:val="auto"/>
        </w:rPr>
      </w:pPr>
      <w:bookmarkStart w:id="1061" w:name="_Ref508637009"/>
      <w:bookmarkStart w:id="1062" w:name="_Toc126080776"/>
      <w:bookmarkStart w:id="1063" w:name="_Toc126080910"/>
      <w:bookmarkEnd w:id="1059"/>
      <w:bookmarkEnd w:id="1060"/>
      <w:r w:rsidRPr="00653DCF">
        <w:rPr>
          <w:color w:val="auto"/>
        </w:rPr>
        <w:t xml:space="preserve">Form of legal opinion from the </w:t>
      </w:r>
      <w:bookmarkEnd w:id="1061"/>
      <w:bookmarkEnd w:id="1062"/>
      <w:bookmarkEnd w:id="1063"/>
      <w:r w:rsidRPr="00653DCF">
        <w:rPr>
          <w:color w:val="auto"/>
        </w:rPr>
        <w:t>Minister of Justice</w:t>
      </w:r>
    </w:p>
    <w:tbl>
      <w:tblPr>
        <w:tblStyle w:val="TableEIB"/>
        <w:tblW w:w="0" w:type="auto"/>
        <w:tblLook w:val="04A0" w:firstRow="1" w:lastRow="0" w:firstColumn="1" w:lastColumn="0" w:noHBand="0" w:noVBand="1"/>
      </w:tblPr>
      <w:tblGrid>
        <w:gridCol w:w="953"/>
        <w:gridCol w:w="7406"/>
      </w:tblGrid>
      <w:tr w:rsidR="00F0088B" w:rsidRPr="00653DCF" w14:paraId="2C742F8C" w14:textId="77777777" w:rsidTr="00E07A51">
        <w:tc>
          <w:tcPr>
            <w:tcW w:w="953" w:type="dxa"/>
          </w:tcPr>
          <w:p w14:paraId="2A729C7E" w14:textId="77777777" w:rsidR="00F0088B" w:rsidRPr="00653DCF" w:rsidRDefault="00F0088B" w:rsidP="00E07A51">
            <w:pPr>
              <w:tabs>
                <w:tab w:val="left" w:pos="1701"/>
              </w:tabs>
              <w:ind w:left="0"/>
              <w:rPr>
                <w:color w:val="auto"/>
              </w:rPr>
            </w:pPr>
            <w:r w:rsidRPr="00653DCF">
              <w:rPr>
                <w:color w:val="auto"/>
              </w:rPr>
              <w:t>To:</w:t>
            </w:r>
          </w:p>
        </w:tc>
        <w:tc>
          <w:tcPr>
            <w:tcW w:w="7479" w:type="dxa"/>
          </w:tcPr>
          <w:p w14:paraId="09EA4A8B" w14:textId="77777777" w:rsidR="00F0088B" w:rsidRPr="00653DCF" w:rsidRDefault="00F0088B" w:rsidP="00E07A51">
            <w:pPr>
              <w:tabs>
                <w:tab w:val="left" w:pos="1701"/>
              </w:tabs>
              <w:ind w:left="0"/>
              <w:rPr>
                <w:color w:val="auto"/>
                <w:lang w:val="de-DE"/>
              </w:rPr>
            </w:pPr>
            <w:r w:rsidRPr="00653DCF">
              <w:rPr>
                <w:color w:val="auto"/>
                <w:lang w:val="de-DE"/>
              </w:rPr>
              <w:t>European Investment Bank</w:t>
            </w:r>
          </w:p>
          <w:p w14:paraId="7C3A75E2" w14:textId="77777777" w:rsidR="00F0088B" w:rsidRPr="00653DCF" w:rsidRDefault="00F0088B" w:rsidP="00E07A51">
            <w:pPr>
              <w:pStyle w:val="NoIndentEIB"/>
              <w:rPr>
                <w:color w:val="auto"/>
                <w:lang w:val="de-DE"/>
              </w:rPr>
            </w:pPr>
            <w:r w:rsidRPr="00653DCF">
              <w:rPr>
                <w:color w:val="auto"/>
                <w:lang w:val="de-DE"/>
              </w:rPr>
              <w:t>100, Boulevard Konrad Adenauer</w:t>
            </w:r>
          </w:p>
          <w:p w14:paraId="69C95290" w14:textId="77777777" w:rsidR="00F0088B" w:rsidRPr="00653DCF" w:rsidRDefault="00F0088B" w:rsidP="00E07A51">
            <w:pPr>
              <w:pStyle w:val="NoIndentEIB"/>
              <w:rPr>
                <w:color w:val="auto"/>
                <w:lang w:val="de-DE"/>
              </w:rPr>
            </w:pPr>
            <w:r w:rsidRPr="00653DCF">
              <w:rPr>
                <w:color w:val="auto"/>
                <w:lang w:val="de-DE"/>
              </w:rPr>
              <w:t>L-2950 Luxembourg</w:t>
            </w:r>
          </w:p>
          <w:p w14:paraId="6B715B11" w14:textId="77777777" w:rsidR="00F0088B" w:rsidRPr="00653DCF" w:rsidRDefault="00F0088B" w:rsidP="00E07A51">
            <w:pPr>
              <w:pStyle w:val="NoIndentEIB"/>
              <w:rPr>
                <w:color w:val="auto"/>
              </w:rPr>
            </w:pPr>
            <w:r w:rsidRPr="00653DCF">
              <w:rPr>
                <w:color w:val="auto"/>
              </w:rPr>
              <w:t xml:space="preserve">Grand Duchy of Luxembourg </w:t>
            </w:r>
          </w:p>
          <w:p w14:paraId="76BF8592" w14:textId="77777777" w:rsidR="00F0088B" w:rsidRPr="00653DCF" w:rsidRDefault="00F0088B" w:rsidP="00E07A51">
            <w:pPr>
              <w:pStyle w:val="NoIndentEIB"/>
              <w:rPr>
                <w:color w:val="auto"/>
              </w:rPr>
            </w:pPr>
            <w:r w:rsidRPr="00653DCF">
              <w:rPr>
                <w:color w:val="auto"/>
              </w:rPr>
              <w:t>For the attention of: Legal Department – Operations</w:t>
            </w:r>
          </w:p>
        </w:tc>
      </w:tr>
      <w:tr w:rsidR="00F0088B" w:rsidRPr="00653DCF" w14:paraId="4457C967" w14:textId="77777777" w:rsidTr="00E07A51">
        <w:tc>
          <w:tcPr>
            <w:tcW w:w="953" w:type="dxa"/>
          </w:tcPr>
          <w:p w14:paraId="0050CAEE" w14:textId="77777777" w:rsidR="00F0088B" w:rsidRPr="00653DCF" w:rsidRDefault="00F0088B" w:rsidP="00E07A51">
            <w:pPr>
              <w:tabs>
                <w:tab w:val="left" w:pos="1701"/>
              </w:tabs>
              <w:ind w:left="0"/>
              <w:rPr>
                <w:color w:val="auto"/>
              </w:rPr>
            </w:pPr>
            <w:r w:rsidRPr="00653DCF">
              <w:rPr>
                <w:color w:val="auto"/>
              </w:rPr>
              <w:t>From:</w:t>
            </w:r>
          </w:p>
        </w:tc>
        <w:tc>
          <w:tcPr>
            <w:tcW w:w="7479" w:type="dxa"/>
          </w:tcPr>
          <w:p w14:paraId="3685C15C" w14:textId="77777777" w:rsidR="00F0088B" w:rsidRPr="00653DCF" w:rsidRDefault="00F0088B" w:rsidP="00E07A51">
            <w:pPr>
              <w:tabs>
                <w:tab w:val="left" w:pos="1701"/>
              </w:tabs>
              <w:ind w:left="0"/>
              <w:rPr>
                <w:color w:val="auto"/>
              </w:rPr>
            </w:pPr>
            <w:r w:rsidRPr="00653DCF">
              <w:rPr>
                <w:color w:val="auto"/>
              </w:rPr>
              <w:t>Minister of Justice of the Republic of Croatia</w:t>
            </w:r>
          </w:p>
        </w:tc>
      </w:tr>
      <w:tr w:rsidR="00F0088B" w:rsidRPr="00653DCF" w14:paraId="1C7EF8BB" w14:textId="77777777" w:rsidTr="00E07A51">
        <w:tc>
          <w:tcPr>
            <w:tcW w:w="953" w:type="dxa"/>
          </w:tcPr>
          <w:p w14:paraId="76D65A9E" w14:textId="77777777" w:rsidR="00F0088B" w:rsidRPr="00653DCF" w:rsidRDefault="00F0088B" w:rsidP="00E07A51">
            <w:pPr>
              <w:tabs>
                <w:tab w:val="left" w:pos="1701"/>
              </w:tabs>
              <w:ind w:left="0"/>
              <w:rPr>
                <w:color w:val="auto"/>
              </w:rPr>
            </w:pPr>
            <w:r w:rsidRPr="00653DCF">
              <w:rPr>
                <w:color w:val="auto"/>
              </w:rPr>
              <w:t>Date:</w:t>
            </w:r>
          </w:p>
        </w:tc>
        <w:tc>
          <w:tcPr>
            <w:tcW w:w="7479" w:type="dxa"/>
          </w:tcPr>
          <w:p w14:paraId="185F5650" w14:textId="77777777" w:rsidR="00F0088B" w:rsidRPr="00653DCF" w:rsidRDefault="00F0088B" w:rsidP="00E07A51">
            <w:pPr>
              <w:tabs>
                <w:tab w:val="left" w:pos="1701"/>
              </w:tabs>
              <w:ind w:left="0"/>
              <w:rPr>
                <w:color w:val="auto"/>
              </w:rPr>
            </w:pPr>
          </w:p>
        </w:tc>
      </w:tr>
      <w:tr w:rsidR="00F0088B" w:rsidRPr="00653DCF" w14:paraId="634C4FDF" w14:textId="77777777" w:rsidTr="00E07A51">
        <w:tc>
          <w:tcPr>
            <w:tcW w:w="953" w:type="dxa"/>
          </w:tcPr>
          <w:p w14:paraId="4E18E437" w14:textId="77777777" w:rsidR="00F0088B" w:rsidRPr="00653DCF" w:rsidRDefault="00F0088B" w:rsidP="00E07A51">
            <w:pPr>
              <w:tabs>
                <w:tab w:val="left" w:pos="1701"/>
              </w:tabs>
              <w:ind w:left="0"/>
              <w:rPr>
                <w:color w:val="auto"/>
              </w:rPr>
            </w:pPr>
            <w:r w:rsidRPr="00653DCF">
              <w:rPr>
                <w:color w:val="auto"/>
              </w:rPr>
              <w:t>Subject:</w:t>
            </w:r>
          </w:p>
        </w:tc>
        <w:tc>
          <w:tcPr>
            <w:tcW w:w="7479" w:type="dxa"/>
          </w:tcPr>
          <w:p w14:paraId="2BF7FA5B" w14:textId="77777777" w:rsidR="00F0088B" w:rsidRPr="00653DCF" w:rsidRDefault="00F0088B" w:rsidP="00E07A51">
            <w:pPr>
              <w:tabs>
                <w:tab w:val="left" w:pos="1701"/>
              </w:tabs>
              <w:ind w:left="0"/>
              <w:rPr>
                <w:color w:val="auto"/>
              </w:rPr>
            </w:pPr>
            <w:r w:rsidRPr="00653DCF">
              <w:rPr>
                <w:color w:val="auto"/>
              </w:rPr>
              <w:t>Finance Contract between European Investment Bank and the Republic of Croatia dated [/] (the "</w:t>
            </w:r>
            <w:r w:rsidRPr="00653DCF">
              <w:rPr>
                <w:rStyle w:val="BoldEIB"/>
                <w:color w:val="auto"/>
              </w:rPr>
              <w:t>Finance Contract</w:t>
            </w:r>
            <w:r w:rsidRPr="00653DCF">
              <w:rPr>
                <w:color w:val="auto"/>
              </w:rPr>
              <w:t>")</w:t>
            </w:r>
          </w:p>
        </w:tc>
      </w:tr>
      <w:tr w:rsidR="00F0088B" w:rsidRPr="00653DCF" w14:paraId="5EC088BA" w14:textId="77777777" w:rsidTr="00E07A51">
        <w:tc>
          <w:tcPr>
            <w:tcW w:w="953" w:type="dxa"/>
            <w:tcBorders>
              <w:bottom w:val="single" w:sz="4" w:space="0" w:color="auto"/>
            </w:tcBorders>
          </w:tcPr>
          <w:p w14:paraId="01A0FD8D" w14:textId="77777777" w:rsidR="00F0088B" w:rsidRPr="00653DCF" w:rsidRDefault="00F0088B" w:rsidP="00E07A51">
            <w:pPr>
              <w:tabs>
                <w:tab w:val="left" w:pos="1701"/>
              </w:tabs>
              <w:ind w:left="0"/>
              <w:rPr>
                <w:color w:val="auto"/>
              </w:rPr>
            </w:pPr>
          </w:p>
        </w:tc>
        <w:tc>
          <w:tcPr>
            <w:tcW w:w="7479" w:type="dxa"/>
            <w:tcBorders>
              <w:bottom w:val="single" w:sz="4" w:space="0" w:color="auto"/>
            </w:tcBorders>
          </w:tcPr>
          <w:p w14:paraId="182BAE0B" w14:textId="77777777" w:rsidR="00F0088B" w:rsidRPr="00653DCF" w:rsidRDefault="00F0088B" w:rsidP="00E07A51">
            <w:pPr>
              <w:tabs>
                <w:tab w:val="left" w:pos="1701"/>
              </w:tabs>
              <w:ind w:left="0"/>
              <w:rPr>
                <w:color w:val="auto"/>
              </w:rPr>
            </w:pPr>
            <w:r w:rsidRPr="00653DCF">
              <w:rPr>
                <w:color w:val="auto"/>
              </w:rPr>
              <w:t xml:space="preserve">Contract Number </w:t>
            </w:r>
            <w:r w:rsidRPr="00653DCF">
              <w:rPr>
                <w:color w:val="auto"/>
              </w:rPr>
              <w:fldChar w:fldCharType="begin">
                <w:ffData>
                  <w:name w:val=""/>
                  <w:enabled/>
                  <w:calcOnExit w:val="0"/>
                  <w:textInput>
                    <w:default w:val="95.797"/>
                  </w:textInput>
                </w:ffData>
              </w:fldChar>
            </w:r>
            <w:r w:rsidRPr="00653DCF">
              <w:rPr>
                <w:color w:val="auto"/>
              </w:rPr>
              <w:instrText xml:space="preserve"> FORMTEXT </w:instrText>
            </w:r>
            <w:r w:rsidRPr="00653DCF">
              <w:rPr>
                <w:color w:val="auto"/>
              </w:rPr>
            </w:r>
            <w:r w:rsidRPr="00653DCF">
              <w:rPr>
                <w:color w:val="auto"/>
              </w:rPr>
              <w:fldChar w:fldCharType="separate"/>
            </w:r>
            <w:r w:rsidRPr="00653DCF">
              <w:rPr>
                <w:noProof/>
                <w:color w:val="auto"/>
              </w:rPr>
              <w:t>95.797</w:t>
            </w:r>
            <w:r w:rsidRPr="00653DCF">
              <w:rPr>
                <w:color w:val="auto"/>
              </w:rPr>
              <w:fldChar w:fldCharType="end"/>
            </w:r>
            <w:r w:rsidRPr="00653DCF">
              <w:rPr>
                <w:color w:val="auto"/>
              </w:rPr>
              <w:tab/>
              <w:t xml:space="preserve">Operation Number </w:t>
            </w:r>
            <w:r w:rsidRPr="00653DCF">
              <w:rPr>
                <w:color w:val="auto"/>
              </w:rPr>
              <w:fldChar w:fldCharType="begin">
                <w:ffData>
                  <w:name w:val=""/>
                  <w:enabled/>
                  <w:calcOnExit w:val="0"/>
                  <w:textInput>
                    <w:default w:val="2022-0660"/>
                  </w:textInput>
                </w:ffData>
              </w:fldChar>
            </w:r>
            <w:r w:rsidRPr="00653DCF">
              <w:rPr>
                <w:color w:val="auto"/>
              </w:rPr>
              <w:instrText xml:space="preserve"> FORMTEXT </w:instrText>
            </w:r>
            <w:r w:rsidRPr="00653DCF">
              <w:rPr>
                <w:color w:val="auto"/>
              </w:rPr>
            </w:r>
            <w:r w:rsidRPr="00653DCF">
              <w:rPr>
                <w:color w:val="auto"/>
              </w:rPr>
              <w:fldChar w:fldCharType="separate"/>
            </w:r>
            <w:r w:rsidRPr="00653DCF">
              <w:rPr>
                <w:noProof/>
                <w:color w:val="auto"/>
              </w:rPr>
              <w:t>2022-0660</w:t>
            </w:r>
            <w:r w:rsidRPr="00653DCF">
              <w:rPr>
                <w:color w:val="auto"/>
              </w:rPr>
              <w:fldChar w:fldCharType="end"/>
            </w:r>
          </w:p>
        </w:tc>
      </w:tr>
    </w:tbl>
    <w:p w14:paraId="1B4A3DC6" w14:textId="77777777" w:rsidR="00F0088B" w:rsidRPr="00653DCF" w:rsidRDefault="00F0088B" w:rsidP="00F0088B">
      <w:pPr>
        <w:rPr>
          <w:color w:val="auto"/>
        </w:rPr>
      </w:pPr>
    </w:p>
    <w:p w14:paraId="0A3089D5" w14:textId="77777777" w:rsidR="00F0088B" w:rsidRPr="00653DCF" w:rsidRDefault="00F0088B" w:rsidP="00F0088B">
      <w:pPr>
        <w:rPr>
          <w:color w:val="auto"/>
        </w:rPr>
      </w:pPr>
      <w:r w:rsidRPr="00653DCF">
        <w:rPr>
          <w:color w:val="auto"/>
        </w:rPr>
        <w:t>Dear Sirs,</w:t>
      </w:r>
    </w:p>
    <w:p w14:paraId="03246D00" w14:textId="77777777" w:rsidR="00F0088B" w:rsidRPr="00653DCF" w:rsidRDefault="00F0088B" w:rsidP="00F0088B">
      <w:pPr>
        <w:rPr>
          <w:color w:val="auto"/>
        </w:rPr>
      </w:pPr>
    </w:p>
    <w:p w14:paraId="27764A74" w14:textId="1B08D14D" w:rsidR="00F0088B" w:rsidRPr="00653DCF" w:rsidRDefault="00F0088B" w:rsidP="00F0088B">
      <w:pPr>
        <w:rPr>
          <w:color w:val="auto"/>
        </w:rPr>
      </w:pPr>
      <w:r w:rsidRPr="00653DCF">
        <w:rPr>
          <w:color w:val="auto"/>
        </w:rPr>
        <w:t>I am giving this opinion pursuant to Article 1.4.B(b) of the Finance Contract (the "</w:t>
      </w:r>
      <w:r w:rsidRPr="00653DCF">
        <w:rPr>
          <w:b/>
          <w:bCs/>
          <w:color w:val="auto"/>
        </w:rPr>
        <w:t>Finance Contract</w:t>
      </w:r>
      <w:r w:rsidRPr="00653DCF">
        <w:rPr>
          <w:color w:val="auto"/>
        </w:rPr>
        <w:t>") for the FRAMEWORK LOAN FOR THE PROJECT “REVITALIZATION OF THE RAILWAY SYSTEM OF THE REPUBLIC OF CROATIA”</w:t>
      </w:r>
      <w:r w:rsidR="00755F3F" w:rsidRPr="00653DCF">
        <w:rPr>
          <w:rStyle w:val="FootnoteReference"/>
          <w:color w:val="auto"/>
        </w:rPr>
        <w:footnoteReference w:customMarkFollows="1" w:id="19"/>
        <w:sym w:font="Symbol" w:char="F035"/>
      </w:r>
      <w:r w:rsidRPr="00653DCF">
        <w:rPr>
          <w:color w:val="auto"/>
        </w:rPr>
        <w:t xml:space="preserve"> in an amount of EUR 400,000,000 (four hundred million euros) made on [/] 2024 between the Republic of Croatia, represented by the Minister of Finance (the "</w:t>
      </w:r>
      <w:r w:rsidRPr="00653DCF">
        <w:rPr>
          <w:b/>
          <w:bCs/>
          <w:color w:val="auto"/>
        </w:rPr>
        <w:t>Borrower</w:t>
      </w:r>
      <w:r w:rsidRPr="00653DCF">
        <w:rPr>
          <w:color w:val="auto"/>
        </w:rPr>
        <w:t>") and the European Investment Bank (the "</w:t>
      </w:r>
      <w:r w:rsidRPr="00653DCF">
        <w:rPr>
          <w:b/>
          <w:bCs/>
          <w:color w:val="auto"/>
        </w:rPr>
        <w:t>Bank</w:t>
      </w:r>
      <w:r w:rsidRPr="00653DCF">
        <w:rPr>
          <w:color w:val="auto"/>
        </w:rPr>
        <w:t>").</w:t>
      </w:r>
    </w:p>
    <w:p w14:paraId="0013197E" w14:textId="77777777" w:rsidR="00F0088B" w:rsidRPr="00653DCF" w:rsidRDefault="00F0088B" w:rsidP="00F0088B">
      <w:pPr>
        <w:rPr>
          <w:color w:val="auto"/>
        </w:rPr>
      </w:pPr>
      <w:r w:rsidRPr="00653DCF">
        <w:rPr>
          <w:color w:val="auto"/>
        </w:rPr>
        <w:t>All terms used herein and not otherwise defined shall have the same meaning as in the Finance Contract.</w:t>
      </w:r>
    </w:p>
    <w:p w14:paraId="77C5969D" w14:textId="77777777" w:rsidR="00F0088B" w:rsidRPr="00653DCF" w:rsidRDefault="00F0088B" w:rsidP="00F0088B">
      <w:pPr>
        <w:rPr>
          <w:color w:val="auto"/>
        </w:rPr>
      </w:pPr>
      <w:r w:rsidRPr="00653DCF">
        <w:rPr>
          <w:color w:val="auto"/>
        </w:rPr>
        <w:t xml:space="preserve">In my capacity as the Minister of Justice of the Republic of Croatia, I have examined an original of the Finance Contract and I have examined such laws, documents and other matters as I have deemed necessary or appropriate for the purpose of giving this opinion. Based upon the foregoing, I am of the opinion and state, respectively, that, in line with, </w:t>
      </w:r>
      <w:r w:rsidRPr="00653DCF">
        <w:rPr>
          <w:i/>
          <w:iCs/>
          <w:color w:val="auto"/>
        </w:rPr>
        <w:t>inter alia</w:t>
      </w:r>
      <w:r w:rsidRPr="00653DCF">
        <w:rPr>
          <w:color w:val="auto"/>
        </w:rPr>
        <w:t>, the Constitution of the Republic of Croatia and the Law on the Conclusion and Execution of Treaties:</w:t>
      </w:r>
    </w:p>
    <w:p w14:paraId="72300CCE" w14:textId="77777777" w:rsidR="00F0088B" w:rsidRPr="00653DCF" w:rsidRDefault="00F0088B" w:rsidP="00F0088B">
      <w:pPr>
        <w:widowControl w:val="0"/>
        <w:tabs>
          <w:tab w:val="left" w:pos="1418"/>
        </w:tabs>
        <w:ind w:left="1418" w:right="141" w:hanging="567"/>
        <w:rPr>
          <w:color w:val="auto"/>
        </w:rPr>
      </w:pPr>
      <w:r w:rsidRPr="00653DCF">
        <w:rPr>
          <w:color w:val="auto"/>
        </w:rPr>
        <w:t>1.</w:t>
      </w:r>
      <w:r w:rsidRPr="00653DCF">
        <w:rPr>
          <w:color w:val="auto"/>
        </w:rPr>
        <w:tab/>
        <w:t>Subject to the foregoing, I am of the opinion that the Finance Contract has been duly signed and delivered on behalf of the Borrower by the Minister of Finance, representing the Republic of Croatia in accordance with all applicable provisions, including but not limited to any law on public finances, currently in force;</w:t>
      </w:r>
    </w:p>
    <w:p w14:paraId="3868278F" w14:textId="77777777" w:rsidR="00F0088B" w:rsidRPr="00653DCF" w:rsidRDefault="00F0088B" w:rsidP="00F0088B">
      <w:pPr>
        <w:widowControl w:val="0"/>
        <w:tabs>
          <w:tab w:val="left" w:pos="1418"/>
        </w:tabs>
        <w:ind w:left="1418" w:right="141" w:hanging="567"/>
        <w:rPr>
          <w:color w:val="auto"/>
        </w:rPr>
      </w:pPr>
      <w:r w:rsidRPr="00653DCF">
        <w:rPr>
          <w:color w:val="auto"/>
        </w:rPr>
        <w:t>2.</w:t>
      </w:r>
      <w:r w:rsidRPr="00653DCF">
        <w:rPr>
          <w:color w:val="auto"/>
        </w:rPr>
        <w:tab/>
        <w:t>No provision exists in the Republic of Croatia, which would make it necessary that the Finance Contract be filed, recorded or enrolled with any court or authority in order to ensure its legality, validity or enforceability, other than the publication of notice of the execution, delivery, ratification and performance of the Finance Contract, which has been completed;</w:t>
      </w:r>
    </w:p>
    <w:p w14:paraId="0EC26202" w14:textId="77777777" w:rsidR="00F0088B" w:rsidRPr="00653DCF" w:rsidRDefault="00F0088B" w:rsidP="00F0088B">
      <w:pPr>
        <w:widowControl w:val="0"/>
        <w:tabs>
          <w:tab w:val="left" w:pos="1418"/>
        </w:tabs>
        <w:ind w:left="1418" w:right="141" w:hanging="567"/>
        <w:rPr>
          <w:color w:val="auto"/>
        </w:rPr>
      </w:pPr>
      <w:r w:rsidRPr="00653DCF">
        <w:rPr>
          <w:color w:val="auto"/>
        </w:rPr>
        <w:t>3.</w:t>
      </w:r>
      <w:r w:rsidRPr="00653DCF">
        <w:rPr>
          <w:color w:val="auto"/>
        </w:rPr>
        <w:tab/>
        <w:t>No authorisation by any other authority is necessary in order to ensure the legality, validity or enforceability of the Finance Contract, other than the ratification of the Finance Contract by the Croatian Parliament, which has been performed;</w:t>
      </w:r>
    </w:p>
    <w:p w14:paraId="52369E06" w14:textId="77777777" w:rsidR="00F0088B" w:rsidRPr="00653DCF" w:rsidRDefault="00F0088B" w:rsidP="00F0088B">
      <w:pPr>
        <w:widowControl w:val="0"/>
        <w:tabs>
          <w:tab w:val="left" w:pos="1418"/>
        </w:tabs>
        <w:ind w:left="1418" w:right="141" w:hanging="567"/>
        <w:rPr>
          <w:color w:val="auto"/>
        </w:rPr>
      </w:pPr>
      <w:r w:rsidRPr="00653DCF">
        <w:rPr>
          <w:color w:val="auto"/>
        </w:rPr>
        <w:t>4.</w:t>
      </w:r>
      <w:r w:rsidRPr="00653DCF">
        <w:rPr>
          <w:color w:val="auto"/>
        </w:rPr>
        <w:tab/>
        <w:t>The choice of the law of the Grand Duchy of Luxembourg as the law governing the Finance Contract is valid and enforceable;</w:t>
      </w:r>
    </w:p>
    <w:p w14:paraId="4D7814E7" w14:textId="77777777" w:rsidR="000B3DF3" w:rsidRDefault="00F0088B" w:rsidP="00F0088B">
      <w:pPr>
        <w:widowControl w:val="0"/>
        <w:tabs>
          <w:tab w:val="left" w:pos="1418"/>
        </w:tabs>
        <w:ind w:left="1418" w:right="141" w:hanging="567"/>
        <w:rPr>
          <w:color w:val="auto"/>
        </w:rPr>
      </w:pPr>
      <w:r w:rsidRPr="00653DCF">
        <w:rPr>
          <w:color w:val="auto"/>
        </w:rPr>
        <w:t xml:space="preserve">5. </w:t>
      </w:r>
      <w:r w:rsidRPr="00653DCF">
        <w:rPr>
          <w:color w:val="auto"/>
        </w:rPr>
        <w:tab/>
        <w:t>Pursuant to Article 11.2 of the Finance Contract, the Court of Justice of the European</w:t>
      </w:r>
    </w:p>
    <w:p w14:paraId="11E909F8" w14:textId="77777777" w:rsidR="000B3DF3" w:rsidRDefault="000B3DF3" w:rsidP="00F0088B">
      <w:pPr>
        <w:widowControl w:val="0"/>
        <w:tabs>
          <w:tab w:val="left" w:pos="1418"/>
        </w:tabs>
        <w:ind w:left="1418" w:right="141" w:hanging="567"/>
        <w:rPr>
          <w:color w:val="auto"/>
        </w:rPr>
      </w:pPr>
    </w:p>
    <w:p w14:paraId="145927F8" w14:textId="52392B2D" w:rsidR="00F0088B" w:rsidRPr="00653DCF" w:rsidRDefault="000B3DF3" w:rsidP="00F0088B">
      <w:pPr>
        <w:widowControl w:val="0"/>
        <w:tabs>
          <w:tab w:val="left" w:pos="1418"/>
        </w:tabs>
        <w:ind w:left="1418" w:right="141" w:hanging="567"/>
        <w:rPr>
          <w:color w:val="auto"/>
        </w:rPr>
      </w:pPr>
      <w:r>
        <w:rPr>
          <w:color w:val="auto"/>
        </w:rPr>
        <w:tab/>
      </w:r>
      <w:r w:rsidR="00F0088B" w:rsidRPr="00653DCF">
        <w:rPr>
          <w:color w:val="auto"/>
        </w:rPr>
        <w:t>Union shall have jurisdiction in connection with any claim or dispute between the Borrower and the Bank, and any judgement of such court pertaining to the Finance Contract may be enforced in the Republic of Croatia. The waiver of immunity under said Article 11.2 of the Finance Contract is a legally valid and binding obligation of the Borrower;</w:t>
      </w:r>
    </w:p>
    <w:p w14:paraId="3B5F1C20" w14:textId="77777777" w:rsidR="00F0088B" w:rsidRPr="00653DCF" w:rsidRDefault="00F0088B" w:rsidP="00F0088B">
      <w:pPr>
        <w:widowControl w:val="0"/>
        <w:tabs>
          <w:tab w:val="left" w:pos="1418"/>
        </w:tabs>
        <w:ind w:left="1418" w:right="141" w:hanging="567"/>
        <w:rPr>
          <w:color w:val="auto"/>
        </w:rPr>
      </w:pPr>
      <w:r w:rsidRPr="00653DCF">
        <w:rPr>
          <w:color w:val="auto"/>
        </w:rPr>
        <w:t>6.</w:t>
      </w:r>
      <w:r w:rsidRPr="00653DCF">
        <w:rPr>
          <w:color w:val="auto"/>
        </w:rPr>
        <w:tab/>
        <w:t>No taxes, duties, fees or other charges, including, without limitation, any registration or transfer tax, stamp duty or similar levy, imposed by the Borrower or any political subdivision or taxing authority thereof or therein are payable in connection with the execution and delivery of the Finance Contract, nor in connection with any payment to be made by the Borrower to the Bank pursuant to the same Finance Contract.</w:t>
      </w:r>
    </w:p>
    <w:p w14:paraId="4AC6D8F5" w14:textId="77777777" w:rsidR="00F0088B" w:rsidRPr="00653DCF" w:rsidRDefault="00F0088B" w:rsidP="00F0088B">
      <w:pPr>
        <w:widowControl w:val="0"/>
        <w:spacing w:before="120"/>
        <w:ind w:left="851"/>
        <w:rPr>
          <w:color w:val="auto"/>
        </w:rPr>
      </w:pPr>
      <w:r w:rsidRPr="00653DCF">
        <w:rPr>
          <w:color w:val="auto"/>
        </w:rPr>
        <w:t>Based on the foregoing, I am of the opinion that all requirements currently applicable to the Borrower and/or governing the Finance Contract in relation to the laws of the Republic of Croatia have been complied with and that the Finance Contract constitutes valid and legal obligation of the Borrower enforceable in accordance with its terms.</w:t>
      </w:r>
    </w:p>
    <w:p w14:paraId="497E06F8" w14:textId="77777777" w:rsidR="00F0088B" w:rsidRPr="00653DCF" w:rsidRDefault="00F0088B" w:rsidP="00F0088B">
      <w:pPr>
        <w:widowControl w:val="0"/>
        <w:spacing w:before="120"/>
        <w:ind w:left="851"/>
        <w:rPr>
          <w:color w:val="auto"/>
        </w:rPr>
      </w:pPr>
    </w:p>
    <w:p w14:paraId="02DE3B61" w14:textId="77777777" w:rsidR="00F0088B" w:rsidRPr="00653DCF" w:rsidRDefault="00F0088B" w:rsidP="00F0088B">
      <w:pPr>
        <w:jc w:val="center"/>
        <w:rPr>
          <w:color w:val="auto"/>
        </w:rPr>
      </w:pPr>
      <w:r w:rsidRPr="00653DCF">
        <w:rPr>
          <w:color w:val="auto"/>
        </w:rPr>
        <w:t>Yours faithfully,</w:t>
      </w:r>
    </w:p>
    <w:p w14:paraId="22989F34" w14:textId="77777777" w:rsidR="00F0088B" w:rsidRPr="00653DCF" w:rsidRDefault="00F0088B" w:rsidP="00F0088B">
      <w:pPr>
        <w:widowControl w:val="0"/>
        <w:ind w:left="0"/>
        <w:rPr>
          <w:color w:val="auto"/>
        </w:rPr>
      </w:pPr>
    </w:p>
    <w:p w14:paraId="542052C0" w14:textId="77777777" w:rsidR="00F0088B" w:rsidRPr="00653DCF" w:rsidRDefault="00F0088B" w:rsidP="00F0088B">
      <w:pPr>
        <w:spacing w:after="200" w:line="276" w:lineRule="auto"/>
        <w:ind w:left="0"/>
        <w:rPr>
          <w:b/>
          <w:color w:val="auto"/>
          <w:u w:val="single"/>
        </w:rPr>
      </w:pPr>
      <w:r w:rsidRPr="00653DCF">
        <w:rPr>
          <w:color w:val="auto"/>
        </w:rPr>
        <w:br w:type="page"/>
      </w:r>
    </w:p>
    <w:p w14:paraId="77137DD1" w14:textId="77777777" w:rsidR="00F0088B" w:rsidRPr="00653DCF" w:rsidRDefault="00F0088B" w:rsidP="00F0088B">
      <w:pPr>
        <w:pStyle w:val="Annex"/>
        <w:numPr>
          <w:ilvl w:val="0"/>
          <w:numId w:val="0"/>
        </w:numPr>
        <w:ind w:left="720"/>
        <w:outlineLvl w:val="0"/>
        <w:rPr>
          <w:color w:val="auto"/>
        </w:rPr>
      </w:pPr>
      <w:r w:rsidRPr="00653DCF">
        <w:rPr>
          <w:color w:val="auto"/>
        </w:rPr>
        <w:t>Annex II</w:t>
      </w:r>
    </w:p>
    <w:p w14:paraId="41CEB49C" w14:textId="77777777" w:rsidR="00F0088B" w:rsidRPr="00653DCF" w:rsidRDefault="00F0088B" w:rsidP="0024686A">
      <w:pPr>
        <w:pStyle w:val="SubSchedule1EIB"/>
        <w:numPr>
          <w:ilvl w:val="1"/>
          <w:numId w:val="172"/>
        </w:numPr>
        <w:rPr>
          <w:color w:val="auto"/>
        </w:rPr>
      </w:pPr>
      <w:r w:rsidRPr="00653DCF">
        <w:rPr>
          <w:color w:val="auto"/>
        </w:rPr>
        <w:t>Form A/B</w:t>
      </w:r>
    </w:p>
    <w:p w14:paraId="31F39DEA" w14:textId="5D640863" w:rsidR="00F0088B" w:rsidRPr="00653DCF" w:rsidRDefault="00F0088B" w:rsidP="00F0088B">
      <w:pPr>
        <w:keepNext/>
        <w:keepLines/>
        <w:numPr>
          <w:ilvl w:val="3"/>
          <w:numId w:val="0"/>
        </w:numPr>
        <w:tabs>
          <w:tab w:val="left" w:pos="2268"/>
        </w:tabs>
        <w:overflowPunct w:val="0"/>
        <w:autoSpaceDE w:val="0"/>
        <w:autoSpaceDN w:val="0"/>
        <w:adjustRightInd w:val="0"/>
        <w:spacing w:before="240" w:after="60"/>
        <w:jc w:val="center"/>
        <w:textAlignment w:val="baseline"/>
        <w:outlineLvl w:val="3"/>
        <w:rPr>
          <w:b/>
          <w:bCs/>
          <w:color w:val="auto"/>
        </w:rPr>
      </w:pPr>
      <w:r w:rsidRPr="00653DCF">
        <w:rPr>
          <w:b/>
          <w:bCs/>
          <w:color w:val="auto"/>
        </w:rPr>
        <w:t>FRAMEWORK LOAN FOR THE PROJECT “REVITALIZATION OF THE RAILWAY SYSTEM OF THE REPUBLIC OF CROATIA”</w:t>
      </w:r>
      <w:r w:rsidR="00755F3F" w:rsidRPr="00653DCF">
        <w:rPr>
          <w:rStyle w:val="FootnoteReference"/>
          <w:b/>
          <w:bCs/>
          <w:color w:val="auto"/>
        </w:rPr>
        <w:footnoteReference w:customMarkFollows="1" w:id="20"/>
        <w:sym w:font="Symbol" w:char="F036"/>
      </w:r>
    </w:p>
    <w:p w14:paraId="69FDDA4B" w14:textId="77777777" w:rsidR="00F0088B" w:rsidRPr="00653DCF" w:rsidRDefault="00F0088B" w:rsidP="00F0088B">
      <w:pPr>
        <w:keepNext/>
        <w:keepLines/>
        <w:numPr>
          <w:ilvl w:val="3"/>
          <w:numId w:val="0"/>
        </w:numPr>
        <w:tabs>
          <w:tab w:val="left" w:pos="2268"/>
        </w:tabs>
        <w:overflowPunct w:val="0"/>
        <w:autoSpaceDE w:val="0"/>
        <w:autoSpaceDN w:val="0"/>
        <w:adjustRightInd w:val="0"/>
        <w:spacing w:before="240" w:after="60"/>
        <w:textAlignment w:val="baseline"/>
        <w:outlineLvl w:val="3"/>
        <w:rPr>
          <w:rFonts w:eastAsia="Calibri" w:cs="Arial"/>
          <w:b/>
          <w:bCs/>
          <w:color w:val="auto"/>
          <w:sz w:val="24"/>
          <w:szCs w:val="24"/>
          <w:lang w:val="hr-HR"/>
        </w:rPr>
      </w:pPr>
      <w:r w:rsidRPr="00653DCF">
        <w:rPr>
          <w:rFonts w:eastAsia="Calibri" w:cs="Arial"/>
          <w:b/>
          <w:bCs/>
          <w:color w:val="auto"/>
          <w:sz w:val="24"/>
          <w:szCs w:val="24"/>
          <w:lang w:val="hr-HR"/>
        </w:rPr>
        <w:t>I. DIO – FORM A- PART 1</w:t>
      </w:r>
    </w:p>
    <w:p w14:paraId="4AAC699B" w14:textId="77777777" w:rsidR="00F0088B" w:rsidRPr="00653DCF" w:rsidRDefault="00F0088B" w:rsidP="00F0088B">
      <w:pPr>
        <w:keepNext/>
        <w:keepLines/>
        <w:numPr>
          <w:ilvl w:val="3"/>
          <w:numId w:val="0"/>
        </w:numPr>
        <w:tabs>
          <w:tab w:val="left" w:pos="2268"/>
        </w:tabs>
        <w:overflowPunct w:val="0"/>
        <w:autoSpaceDE w:val="0"/>
        <w:autoSpaceDN w:val="0"/>
        <w:adjustRightInd w:val="0"/>
        <w:spacing w:before="240" w:after="60"/>
        <w:textAlignment w:val="baseline"/>
        <w:outlineLvl w:val="3"/>
        <w:rPr>
          <w:rFonts w:eastAsia="Calibri" w:cs="Arial"/>
          <w:b/>
          <w:bCs/>
          <w:color w:val="auto"/>
          <w:sz w:val="24"/>
          <w:szCs w:val="24"/>
          <w:lang w:val="hr-HR"/>
        </w:rPr>
      </w:pPr>
      <w:r w:rsidRPr="00653DCF">
        <w:rPr>
          <w:rFonts w:eastAsia="Calibri" w:cs="Arial"/>
          <w:b/>
          <w:bCs/>
          <w:color w:val="auto"/>
          <w:sz w:val="24"/>
          <w:szCs w:val="24"/>
          <w:lang w:val="hr-HR"/>
        </w:rPr>
        <w:t>Obrazac A – Ocjena prihvatljivosti sukladno članku 6. stavak 3. nije bila potrebna</w:t>
      </w:r>
    </w:p>
    <w:p w14:paraId="535C2A89" w14:textId="7E34AF1F" w:rsidR="00F0088B" w:rsidRPr="00653DCF" w:rsidRDefault="00F0088B" w:rsidP="00F0088B">
      <w:pPr>
        <w:keepLines/>
        <w:pBdr>
          <w:top w:val="single" w:sz="4" w:space="1" w:color="auto"/>
          <w:left w:val="single" w:sz="4" w:space="4" w:color="auto"/>
          <w:bottom w:val="single" w:sz="4" w:space="1" w:color="auto"/>
          <w:right w:val="single" w:sz="4" w:space="0" w:color="auto"/>
        </w:pBdr>
        <w:shd w:val="clear" w:color="auto" w:fill="D9D9D9"/>
        <w:tabs>
          <w:tab w:val="left" w:pos="2268"/>
        </w:tabs>
        <w:overflowPunct w:val="0"/>
        <w:autoSpaceDE w:val="0"/>
        <w:autoSpaceDN w:val="0"/>
        <w:adjustRightInd w:val="0"/>
        <w:ind w:left="994"/>
        <w:jc w:val="center"/>
        <w:textAlignment w:val="baseline"/>
        <w:rPr>
          <w:rFonts w:eastAsia="Calibri" w:cs="Arial"/>
          <w:color w:val="auto"/>
          <w:lang w:val="hr-HR"/>
        </w:rPr>
      </w:pPr>
      <w:r w:rsidRPr="00653DCF">
        <w:rPr>
          <w:rFonts w:eastAsia="Calibri" w:cs="Arial"/>
          <w:b/>
          <w:bCs/>
          <w:color w:val="auto"/>
          <w:lang w:val="hr-HR"/>
        </w:rPr>
        <w:t>IZJAVA TIJELA NADLEŽNOG ZA PRAĆENJE STANJA</w:t>
      </w:r>
      <w:r w:rsidRPr="00653DCF">
        <w:rPr>
          <w:rFonts w:eastAsia="Calibri" w:cs="Arial"/>
          <w:b/>
          <w:bCs/>
          <w:color w:val="auto"/>
          <w:lang w:val="hr-HR"/>
        </w:rPr>
        <w:br/>
        <w:t>NA PODRUČJIMA OD VAŽNOSTI ZA ZAŠTITU PRIRODE</w:t>
      </w:r>
      <w:r w:rsidR="00755F3F" w:rsidRPr="00653DCF">
        <w:rPr>
          <w:rStyle w:val="FootnoteReference"/>
          <w:rFonts w:eastAsia="Calibri" w:cs="Arial"/>
          <w:b/>
          <w:bCs/>
          <w:color w:val="auto"/>
          <w:lang w:val="hr-HR"/>
        </w:rPr>
        <w:footnoteReference w:customMarkFollows="1" w:id="21"/>
        <w:sym w:font="Symbol" w:char="F037"/>
      </w:r>
    </w:p>
    <w:p w14:paraId="11D8B1B3"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4125D108" w14:textId="77777777" w:rsidR="00F0088B" w:rsidRPr="00653DCF" w:rsidRDefault="00F0088B" w:rsidP="00F0088B">
      <w:pPr>
        <w:keepLines/>
        <w:tabs>
          <w:tab w:val="left" w:pos="2268"/>
          <w:tab w:val="right" w:leader="dot" w:pos="8364"/>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Nadležno tijelo:</w:t>
      </w:r>
      <w:r w:rsidRPr="00653DCF">
        <w:rPr>
          <w:rFonts w:eastAsia="Calibri" w:cs="Arial"/>
          <w:color w:val="auto"/>
          <w:lang w:val="hr-HR"/>
        </w:rPr>
        <w:tab/>
        <w:t>,</w:t>
      </w:r>
    </w:p>
    <w:p w14:paraId="62D0F1CD"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04D933C5" w14:textId="55AABD90" w:rsidR="00F0088B" w:rsidRPr="00653DCF" w:rsidRDefault="00F0088B" w:rsidP="00F0088B">
      <w:pPr>
        <w:keepLines/>
        <w:tabs>
          <w:tab w:val="left" w:pos="2268"/>
          <w:tab w:val="right" w:leader="dot" w:pos="8364"/>
        </w:tabs>
        <w:overflowPunct w:val="0"/>
        <w:autoSpaceDE w:val="0"/>
        <w:autoSpaceDN w:val="0"/>
        <w:adjustRightInd w:val="0"/>
        <w:spacing w:line="276" w:lineRule="auto"/>
        <w:ind w:left="994"/>
        <w:textAlignment w:val="baseline"/>
        <w:rPr>
          <w:rFonts w:eastAsia="Calibri" w:cs="Arial"/>
          <w:color w:val="auto"/>
          <w:lang w:val="hr-HR"/>
        </w:rPr>
      </w:pPr>
      <w:r w:rsidRPr="00653DCF">
        <w:rPr>
          <w:rFonts w:eastAsia="Calibri" w:cs="Arial"/>
          <w:color w:val="auto"/>
          <w:lang w:val="hr-HR"/>
        </w:rPr>
        <w:t>nakon što je ispitalo prijedlog projekta</w:t>
      </w:r>
      <w:r w:rsidR="00755F3F" w:rsidRPr="00653DCF">
        <w:rPr>
          <w:rStyle w:val="FootnoteReference"/>
          <w:rFonts w:eastAsia="Calibri" w:cs="Arial"/>
          <w:color w:val="auto"/>
          <w:lang w:val="hr-HR"/>
        </w:rPr>
        <w:footnoteReference w:customMarkFollows="1" w:id="22"/>
        <w:sym w:font="Symbol" w:char="F038"/>
      </w:r>
      <w:r w:rsidRPr="00653DCF">
        <w:rPr>
          <w:rFonts w:eastAsia="Calibri" w:cs="Arial"/>
          <w:color w:val="auto"/>
          <w:lang w:val="hr-HR"/>
        </w:rPr>
        <w:tab/>
      </w:r>
    </w:p>
    <w:p w14:paraId="1BA3CE6E"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76331ED6" w14:textId="77777777" w:rsidR="00F0088B" w:rsidRPr="00653DCF" w:rsidRDefault="00F0088B" w:rsidP="00F0088B">
      <w:pPr>
        <w:keepLines/>
        <w:tabs>
          <w:tab w:val="left" w:pos="2268"/>
          <w:tab w:val="right" w:leader="dot" w:pos="8364"/>
        </w:tabs>
        <w:overflowPunct w:val="0"/>
        <w:autoSpaceDE w:val="0"/>
        <w:autoSpaceDN w:val="0"/>
        <w:adjustRightInd w:val="0"/>
        <w:spacing w:line="276" w:lineRule="auto"/>
        <w:ind w:left="994"/>
        <w:textAlignment w:val="baseline"/>
        <w:rPr>
          <w:rFonts w:eastAsia="Calibri" w:cs="Arial"/>
          <w:color w:val="auto"/>
          <w:sz w:val="22"/>
          <w:szCs w:val="22"/>
          <w:lang w:val="hr-HR"/>
        </w:rPr>
      </w:pPr>
      <w:r w:rsidRPr="00653DCF">
        <w:rPr>
          <w:rFonts w:eastAsia="Calibri" w:cs="Arial"/>
          <w:color w:val="auto"/>
          <w:lang w:val="hr-HR"/>
        </w:rPr>
        <w:t>koji će se izvoditi na području:</w:t>
      </w:r>
      <w:r w:rsidRPr="00653DCF">
        <w:rPr>
          <w:rFonts w:eastAsia="Calibri" w:cs="Arial"/>
          <w:color w:val="auto"/>
          <w:sz w:val="22"/>
          <w:szCs w:val="22"/>
          <w:lang w:val="hr-HR"/>
        </w:rPr>
        <w:t>.</w:t>
      </w:r>
      <w:r w:rsidRPr="00653DCF">
        <w:rPr>
          <w:rFonts w:eastAsia="Calibri" w:cs="Arial"/>
          <w:color w:val="auto"/>
          <w:sz w:val="22"/>
          <w:szCs w:val="22"/>
          <w:lang w:val="hr-HR"/>
        </w:rPr>
        <w:tab/>
      </w:r>
    </w:p>
    <w:p w14:paraId="2232DF85" w14:textId="77777777" w:rsidR="00F0088B" w:rsidRPr="00653DCF" w:rsidRDefault="00F0088B" w:rsidP="00F0088B">
      <w:pPr>
        <w:keepLines/>
        <w:tabs>
          <w:tab w:val="left" w:pos="2268"/>
          <w:tab w:val="right" w:leader="dot" w:pos="8364"/>
        </w:tabs>
        <w:overflowPunct w:val="0"/>
        <w:autoSpaceDE w:val="0"/>
        <w:autoSpaceDN w:val="0"/>
        <w:adjustRightInd w:val="0"/>
        <w:spacing w:line="276" w:lineRule="auto"/>
        <w:ind w:left="994"/>
        <w:textAlignment w:val="baseline"/>
        <w:rPr>
          <w:rFonts w:eastAsia="Calibri" w:cs="Arial"/>
          <w:color w:val="auto"/>
          <w:lang w:val="hr-HR"/>
        </w:rPr>
      </w:pPr>
    </w:p>
    <w:p w14:paraId="14B5BAD3"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izjavljuje kako nije izgledno da će projekt imati značajan utjecaj na područje iz mreže NATURA 2000 iz sljedećih razloga:</w:t>
      </w:r>
    </w:p>
    <w:p w14:paraId="1ACCEB66"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426F6B1E"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ascii="Calibri" w:eastAsia="Calibri" w:hAnsi="Calibri" w:cs="Calibri"/>
          <w:noProof/>
          <w:color w:val="auto"/>
          <w:sz w:val="22"/>
          <w:szCs w:val="22"/>
          <w:lang w:val="hr-HR" w:eastAsia="hr-HR"/>
        </w:rPr>
        <mc:AlternateContent>
          <mc:Choice Requires="wps">
            <w:drawing>
              <wp:anchor distT="0" distB="0" distL="114300" distR="114300" simplePos="0" relativeHeight="251667456" behindDoc="0" locked="0" layoutInCell="1" allowOverlap="1" wp14:anchorId="04584E42" wp14:editId="4ABEE596">
                <wp:simplePos x="0" y="0"/>
                <wp:positionH relativeFrom="column">
                  <wp:align>center</wp:align>
                </wp:positionH>
                <wp:positionV relativeFrom="paragraph">
                  <wp:posOffset>0</wp:posOffset>
                </wp:positionV>
                <wp:extent cx="5905500" cy="10382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FFFFFF"/>
                        </a:solidFill>
                        <a:ln w="9525">
                          <a:solidFill>
                            <a:srgbClr val="000000"/>
                          </a:solidFill>
                          <a:miter lim="800000"/>
                          <a:headEnd/>
                          <a:tailEnd/>
                        </a:ln>
                      </wps:spPr>
                      <wps:txbx>
                        <w:txbxContent>
                          <w:p w14:paraId="3BB364FE" w14:textId="77777777" w:rsidR="00CB3A2D" w:rsidRDefault="00CB3A2D" w:rsidP="00F00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4E42" id="Text Box 2" o:spid="_x0000_s1029" type="#_x0000_t202" style="position:absolute;left:0;text-align:left;margin-left:0;margin-top:0;width:465pt;height:81.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">
                <v:textbox>
                  <w:txbxContent>
                    <w:p w14:paraId="3BB364FE" w14:textId="77777777" w:rsidR="00CB3A2D" w:rsidRDefault="00CB3A2D" w:rsidP="00F0088B"/>
                  </w:txbxContent>
                </v:textbox>
              </v:shape>
            </w:pict>
          </mc:Fallback>
        </mc:AlternateContent>
      </w:r>
    </w:p>
    <w:p w14:paraId="476D272E"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4184DBEA"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sz w:val="24"/>
          <w:szCs w:val="24"/>
          <w:lang w:val="hr-HR"/>
        </w:rPr>
      </w:pPr>
    </w:p>
    <w:p w14:paraId="20F56F6F"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sz w:val="24"/>
          <w:szCs w:val="24"/>
          <w:lang w:val="hr-HR"/>
        </w:rPr>
      </w:pPr>
    </w:p>
    <w:p w14:paraId="02C0BD7C"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sz w:val="24"/>
          <w:szCs w:val="24"/>
          <w:lang w:val="hr-HR"/>
        </w:rPr>
      </w:pPr>
    </w:p>
    <w:p w14:paraId="3731EE74"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119598A9"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Stoga se smatra kako ocjena prihvatljivosti propisana člankom 6. stavak 3. nije potrebna.</w:t>
      </w:r>
    </w:p>
    <w:p w14:paraId="330E3E92"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br/>
        <w:t>U prilogu je sadržan zemljovid u mjerilu 1:100.000 (ili najbližem mogućem mjerilu) koji prikazuje lokaciju projekta kao i zahvaćena područja iz mreže NATURA 2000, ako takva postoje.</w:t>
      </w:r>
    </w:p>
    <w:p w14:paraId="44834333"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7AB5E566" w14:textId="77777777" w:rsidR="00F0088B" w:rsidRPr="00653DCF" w:rsidRDefault="00F0088B" w:rsidP="00F0088B">
      <w:pPr>
        <w:keepLines/>
        <w:tabs>
          <w:tab w:val="left" w:pos="2268"/>
          <w:tab w:val="right" w:leader="dot" w:pos="5387"/>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Datum (dd/mm/gggg):</w:t>
      </w:r>
    </w:p>
    <w:p w14:paraId="2F2E6D25"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231DFE48" w14:textId="77777777" w:rsidR="00F0088B" w:rsidRPr="00653DCF" w:rsidRDefault="00F0088B" w:rsidP="00F0088B">
      <w:pPr>
        <w:keepLines/>
        <w:tabs>
          <w:tab w:val="left" w:pos="2268"/>
          <w:tab w:val="right" w:leader="dot" w:pos="5387"/>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Potpis:</w:t>
      </w:r>
      <w:r w:rsidRPr="00653DCF">
        <w:rPr>
          <w:rFonts w:eastAsia="Calibri" w:cs="Arial"/>
          <w:color w:val="auto"/>
          <w:lang w:val="hr-HR"/>
        </w:rPr>
        <w:tab/>
      </w:r>
    </w:p>
    <w:p w14:paraId="50B0E1D4"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2CD45B68" w14:textId="77777777" w:rsidR="00F0088B" w:rsidRPr="00653DCF" w:rsidRDefault="00F0088B" w:rsidP="00F0088B">
      <w:pPr>
        <w:keepLines/>
        <w:tabs>
          <w:tab w:val="left" w:pos="2268"/>
          <w:tab w:val="right" w:leader="dot" w:pos="5387"/>
        </w:tabs>
        <w:overflowPunct w:val="0"/>
        <w:autoSpaceDE w:val="0"/>
        <w:autoSpaceDN w:val="0"/>
        <w:adjustRightInd w:val="0"/>
        <w:spacing w:line="276" w:lineRule="auto"/>
        <w:ind w:left="994"/>
        <w:textAlignment w:val="baseline"/>
        <w:rPr>
          <w:rFonts w:eastAsia="Calibri" w:cs="Arial"/>
          <w:color w:val="auto"/>
          <w:lang w:val="hr-HR"/>
        </w:rPr>
      </w:pPr>
      <w:r w:rsidRPr="00653DCF">
        <w:rPr>
          <w:rFonts w:eastAsia="Calibri" w:cs="Arial"/>
          <w:color w:val="auto"/>
          <w:lang w:val="hr-HR"/>
        </w:rPr>
        <w:t>Ime i prezime:</w:t>
      </w:r>
      <w:r w:rsidRPr="00653DCF">
        <w:rPr>
          <w:rFonts w:eastAsia="Calibri" w:cs="Arial"/>
          <w:color w:val="auto"/>
          <w:lang w:val="hr-HR"/>
        </w:rPr>
        <w:tab/>
      </w:r>
    </w:p>
    <w:p w14:paraId="69C37301"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0A1FDF7C" w14:textId="77777777" w:rsidR="00F0088B" w:rsidRPr="00653DCF" w:rsidRDefault="00F0088B" w:rsidP="00F0088B">
      <w:pPr>
        <w:keepLines/>
        <w:tabs>
          <w:tab w:val="left" w:pos="2268"/>
          <w:tab w:val="right" w:leader="dot" w:pos="5387"/>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Dužnost:</w:t>
      </w:r>
      <w:r w:rsidRPr="00653DCF">
        <w:rPr>
          <w:rFonts w:eastAsia="Calibri" w:cs="Arial"/>
          <w:color w:val="auto"/>
          <w:lang w:val="hr-HR"/>
        </w:rPr>
        <w:tab/>
      </w:r>
    </w:p>
    <w:p w14:paraId="03CD3DAA"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73C35D46" w14:textId="77777777" w:rsidR="00F0088B" w:rsidRPr="00653DCF" w:rsidRDefault="00F0088B" w:rsidP="00F0088B">
      <w:pPr>
        <w:keepLines/>
        <w:tabs>
          <w:tab w:val="left" w:pos="2268"/>
          <w:tab w:val="right" w:leader="dot" w:pos="5387"/>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Organizacija:</w:t>
      </w:r>
      <w:r w:rsidRPr="00653DCF">
        <w:rPr>
          <w:rFonts w:eastAsia="Calibri" w:cs="Arial"/>
          <w:color w:val="auto"/>
          <w:lang w:val="hr-HR"/>
        </w:rPr>
        <w:tab/>
      </w:r>
    </w:p>
    <w:p w14:paraId="28DE4150"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(Tijelo nadležno za praćenje stanja na područjima iz mreže NATURA 2000)</w:t>
      </w:r>
    </w:p>
    <w:p w14:paraId="717C6FB4"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4DD63DD5"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Službeni pečat:</w:t>
      </w:r>
    </w:p>
    <w:p w14:paraId="2F0EEE85"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b/>
          <w:bCs/>
          <w:color w:val="auto"/>
          <w:sz w:val="24"/>
          <w:szCs w:val="24"/>
          <w:lang w:val="hr-HR"/>
        </w:rPr>
      </w:pPr>
      <w:r w:rsidRPr="00653DCF">
        <w:rPr>
          <w:rFonts w:eastAsia="Calibri" w:cs="Arial"/>
          <w:b/>
          <w:bCs/>
          <w:color w:val="auto"/>
          <w:sz w:val="24"/>
          <w:szCs w:val="24"/>
          <w:lang w:val="hr-HR"/>
        </w:rPr>
        <w:br w:type="page"/>
      </w:r>
    </w:p>
    <w:p w14:paraId="6AE12B7F" w14:textId="3B002CF9" w:rsidR="00F0088B" w:rsidRPr="00653DCF" w:rsidRDefault="00F0088B" w:rsidP="00F0088B">
      <w:pPr>
        <w:keepNext/>
        <w:keepLines/>
        <w:numPr>
          <w:ilvl w:val="3"/>
          <w:numId w:val="0"/>
        </w:numPr>
        <w:tabs>
          <w:tab w:val="left" w:pos="2268"/>
        </w:tabs>
        <w:overflowPunct w:val="0"/>
        <w:autoSpaceDE w:val="0"/>
        <w:autoSpaceDN w:val="0"/>
        <w:adjustRightInd w:val="0"/>
        <w:spacing w:before="240" w:after="60"/>
        <w:textAlignment w:val="baseline"/>
        <w:outlineLvl w:val="3"/>
        <w:rPr>
          <w:rFonts w:eastAsia="Calibri" w:cs="Arial"/>
          <w:b/>
          <w:bCs/>
          <w:color w:val="auto"/>
          <w:sz w:val="24"/>
          <w:szCs w:val="24"/>
          <w:lang w:val="hr-HR"/>
        </w:rPr>
      </w:pPr>
      <w:r w:rsidRPr="00653DCF">
        <w:rPr>
          <w:rFonts w:eastAsia="Calibri" w:cs="Arial"/>
          <w:b/>
          <w:bCs/>
          <w:color w:val="auto"/>
          <w:sz w:val="24"/>
          <w:szCs w:val="24"/>
          <w:lang w:val="hr-HR"/>
        </w:rPr>
        <w:t>II. DIO – FORM A- PART 2</w:t>
      </w:r>
    </w:p>
    <w:p w14:paraId="5B4E9667" w14:textId="77777777" w:rsidR="00F0088B" w:rsidRPr="00653DCF" w:rsidRDefault="00F0088B" w:rsidP="00F0088B">
      <w:pPr>
        <w:keepNext/>
        <w:keepLines/>
        <w:numPr>
          <w:ilvl w:val="3"/>
          <w:numId w:val="0"/>
        </w:numPr>
        <w:tabs>
          <w:tab w:val="left" w:pos="2268"/>
        </w:tabs>
        <w:overflowPunct w:val="0"/>
        <w:autoSpaceDE w:val="0"/>
        <w:autoSpaceDN w:val="0"/>
        <w:adjustRightInd w:val="0"/>
        <w:spacing w:before="240" w:after="60"/>
        <w:textAlignment w:val="baseline"/>
        <w:outlineLvl w:val="3"/>
        <w:rPr>
          <w:rFonts w:eastAsia="Calibri" w:cs="Arial"/>
          <w:b/>
          <w:bCs/>
          <w:color w:val="auto"/>
          <w:sz w:val="24"/>
          <w:szCs w:val="24"/>
          <w:lang w:val="hr-HR"/>
        </w:rPr>
      </w:pPr>
      <w:r w:rsidRPr="00653DCF">
        <w:rPr>
          <w:rFonts w:eastAsia="Calibri" w:cs="Arial"/>
          <w:b/>
          <w:bCs/>
          <w:color w:val="auto"/>
          <w:sz w:val="24"/>
          <w:szCs w:val="24"/>
          <w:lang w:val="hr-HR"/>
        </w:rPr>
        <w:t>Obrazac A – Procjena utjecaja na područje NATURA 2000 – Nema rizika značajnog utjecaja</w:t>
      </w:r>
    </w:p>
    <w:p w14:paraId="70ECE394" w14:textId="225C92EC" w:rsidR="00F0088B" w:rsidRPr="00653DCF" w:rsidRDefault="00F0088B" w:rsidP="00F0088B">
      <w:pPr>
        <w:keepLines/>
        <w:pBdr>
          <w:top w:val="single" w:sz="4" w:space="1" w:color="auto"/>
          <w:left w:val="single" w:sz="4" w:space="4" w:color="auto"/>
          <w:bottom w:val="single" w:sz="4" w:space="1" w:color="auto"/>
          <w:right w:val="single" w:sz="4" w:space="0" w:color="auto"/>
        </w:pBdr>
        <w:shd w:val="clear" w:color="auto" w:fill="D9D9D9"/>
        <w:tabs>
          <w:tab w:val="left" w:pos="2268"/>
        </w:tabs>
        <w:overflowPunct w:val="0"/>
        <w:autoSpaceDE w:val="0"/>
        <w:autoSpaceDN w:val="0"/>
        <w:adjustRightInd w:val="0"/>
        <w:ind w:left="994"/>
        <w:jc w:val="center"/>
        <w:textAlignment w:val="baseline"/>
        <w:rPr>
          <w:rFonts w:eastAsia="Calibri" w:cs="Arial"/>
          <w:color w:val="auto"/>
          <w:lang w:val="hr-HR"/>
        </w:rPr>
      </w:pPr>
      <w:r w:rsidRPr="00653DCF">
        <w:rPr>
          <w:rFonts w:eastAsia="Calibri" w:cs="Arial"/>
          <w:b/>
          <w:bCs/>
          <w:color w:val="auto"/>
          <w:lang w:val="hr-HR"/>
        </w:rPr>
        <w:t>IZJAVA TIJELA NADLEŽNOG ZA PRAĆENJE STANJA</w:t>
      </w:r>
      <w:r w:rsidRPr="00653DCF">
        <w:rPr>
          <w:rFonts w:eastAsia="Calibri" w:cs="Arial"/>
          <w:b/>
          <w:bCs/>
          <w:color w:val="auto"/>
          <w:lang w:val="hr-HR"/>
        </w:rPr>
        <w:br/>
        <w:t>NA PODRUČJIMA OD VAŽNOSTI ZA ZAŠTITU PRIRODE</w:t>
      </w:r>
      <w:r w:rsidR="00755F3F" w:rsidRPr="00653DCF">
        <w:rPr>
          <w:rStyle w:val="FootnoteReference"/>
          <w:rFonts w:eastAsia="Calibri" w:cs="Arial"/>
          <w:b/>
          <w:bCs/>
          <w:color w:val="auto"/>
          <w:lang w:val="hr-HR"/>
        </w:rPr>
        <w:footnoteReference w:customMarkFollows="1" w:id="23"/>
        <w:sym w:font="Symbol" w:char="F039"/>
      </w:r>
    </w:p>
    <w:p w14:paraId="4AE38FC3"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170F145E" w14:textId="77777777" w:rsidR="00F0088B" w:rsidRPr="00653DCF" w:rsidRDefault="00F0088B" w:rsidP="00F0088B">
      <w:pPr>
        <w:keepLines/>
        <w:tabs>
          <w:tab w:val="left" w:pos="2268"/>
          <w:tab w:val="right" w:leader="dot" w:pos="8647"/>
        </w:tabs>
        <w:overflowPunct w:val="0"/>
        <w:autoSpaceDE w:val="0"/>
        <w:autoSpaceDN w:val="0"/>
        <w:adjustRightInd w:val="0"/>
        <w:spacing w:before="120" w:after="240" w:line="276" w:lineRule="auto"/>
        <w:ind w:left="994"/>
        <w:textAlignment w:val="baseline"/>
        <w:rPr>
          <w:rFonts w:eastAsia="Calibri" w:cs="Arial"/>
          <w:color w:val="auto"/>
          <w:lang w:val="hr-HR"/>
        </w:rPr>
      </w:pPr>
      <w:r w:rsidRPr="00653DCF">
        <w:rPr>
          <w:rFonts w:eastAsia="Calibri" w:cs="Arial"/>
          <w:color w:val="auto"/>
          <w:lang w:val="hr-HR"/>
        </w:rPr>
        <w:t>Nadležno tijelo</w:t>
      </w:r>
      <w:r w:rsidRPr="00653DCF">
        <w:rPr>
          <w:rFonts w:eastAsia="Calibri" w:cs="Arial"/>
          <w:color w:val="auto"/>
          <w:lang w:val="hr-HR"/>
        </w:rPr>
        <w:tab/>
        <w:t>,</w:t>
      </w:r>
    </w:p>
    <w:p w14:paraId="388D1C89" w14:textId="28D772F7" w:rsidR="00F0088B" w:rsidRPr="00653DCF" w:rsidRDefault="00F0088B" w:rsidP="00F0088B">
      <w:pPr>
        <w:keepLines/>
        <w:tabs>
          <w:tab w:val="left" w:pos="2268"/>
          <w:tab w:val="right" w:leader="dot" w:pos="8647"/>
        </w:tabs>
        <w:overflowPunct w:val="0"/>
        <w:autoSpaceDE w:val="0"/>
        <w:autoSpaceDN w:val="0"/>
        <w:adjustRightInd w:val="0"/>
        <w:spacing w:before="120" w:after="240" w:line="276" w:lineRule="auto"/>
        <w:ind w:left="994"/>
        <w:textAlignment w:val="baseline"/>
        <w:rPr>
          <w:rFonts w:eastAsia="Calibri" w:cs="Arial"/>
          <w:color w:val="auto"/>
          <w:lang w:val="hr-HR"/>
        </w:rPr>
      </w:pPr>
      <w:r w:rsidRPr="00653DCF">
        <w:rPr>
          <w:rFonts w:eastAsia="Calibri" w:cs="Arial"/>
          <w:color w:val="auto"/>
          <w:lang w:val="hr-HR"/>
        </w:rPr>
        <w:t>nakon što je ispitalo prijedlog projekta</w:t>
      </w:r>
      <w:r w:rsidR="00755F3F" w:rsidRPr="00653DCF">
        <w:rPr>
          <w:rStyle w:val="FootnoteReference"/>
          <w:rFonts w:eastAsia="Calibri" w:cs="Arial"/>
          <w:color w:val="auto"/>
          <w:lang w:val="hr-HR"/>
        </w:rPr>
        <w:footnoteReference w:customMarkFollows="1" w:id="24"/>
        <w:sym w:font="Symbol" w:char="F031"/>
      </w:r>
      <w:r w:rsidR="00755F3F" w:rsidRPr="00653DCF">
        <w:rPr>
          <w:rStyle w:val="FootnoteReference"/>
          <w:rFonts w:eastAsia="Calibri" w:cs="Arial"/>
          <w:color w:val="auto"/>
          <w:lang w:val="hr-HR"/>
        </w:rPr>
        <w:sym w:font="Symbol" w:char="F030"/>
      </w:r>
      <w:r w:rsidRPr="00653DCF">
        <w:rPr>
          <w:rFonts w:eastAsia="Calibri" w:cs="Arial"/>
          <w:color w:val="auto"/>
          <w:lang w:val="hr-HR"/>
        </w:rPr>
        <w:tab/>
        <w:t>,</w:t>
      </w:r>
    </w:p>
    <w:p w14:paraId="188C8B10" w14:textId="77777777" w:rsidR="00F0088B" w:rsidRPr="00653DCF" w:rsidRDefault="00F0088B" w:rsidP="00F0088B">
      <w:pPr>
        <w:keepLines/>
        <w:tabs>
          <w:tab w:val="left" w:pos="2268"/>
          <w:tab w:val="right" w:leader="dot" w:pos="8647"/>
        </w:tabs>
        <w:overflowPunct w:val="0"/>
        <w:autoSpaceDE w:val="0"/>
        <w:autoSpaceDN w:val="0"/>
        <w:adjustRightInd w:val="0"/>
        <w:spacing w:before="120" w:after="240" w:line="276" w:lineRule="auto"/>
        <w:ind w:left="994"/>
        <w:textAlignment w:val="baseline"/>
        <w:rPr>
          <w:rFonts w:eastAsia="Calibri" w:cs="Arial"/>
          <w:color w:val="auto"/>
          <w:lang w:val="hr-HR"/>
        </w:rPr>
      </w:pPr>
      <w:r w:rsidRPr="00653DCF">
        <w:rPr>
          <w:rFonts w:eastAsia="Calibri" w:cs="Arial"/>
          <w:color w:val="auto"/>
          <w:lang w:val="hr-HR"/>
        </w:rPr>
        <w:t>koji će se izvoditi na</w:t>
      </w:r>
      <w:r w:rsidRPr="00653DCF">
        <w:rPr>
          <w:rFonts w:eastAsia="Calibri" w:cs="Arial"/>
          <w:color w:val="auto"/>
          <w:lang w:val="hr-HR"/>
        </w:rPr>
        <w:tab/>
        <w:t>,</w:t>
      </w:r>
    </w:p>
    <w:p w14:paraId="62BFAFBD" w14:textId="71C20BAA" w:rsidR="00F0088B" w:rsidRPr="00653DCF" w:rsidRDefault="00F0088B" w:rsidP="00F0088B">
      <w:pPr>
        <w:keepLines/>
        <w:tabs>
          <w:tab w:val="left" w:pos="2268"/>
        </w:tabs>
        <w:overflowPunct w:val="0"/>
        <w:autoSpaceDE w:val="0"/>
        <w:autoSpaceDN w:val="0"/>
        <w:adjustRightInd w:val="0"/>
        <w:spacing w:before="120" w:after="240"/>
        <w:ind w:left="994"/>
        <w:textAlignment w:val="baseline"/>
        <w:rPr>
          <w:rFonts w:eastAsia="Calibri" w:cs="Arial"/>
          <w:color w:val="auto"/>
          <w:lang w:val="hr-HR"/>
        </w:rPr>
      </w:pPr>
      <w:r w:rsidRPr="00653DCF">
        <w:rPr>
          <w:rFonts w:eastAsia="Calibri" w:cs="Arial"/>
          <w:color w:val="auto"/>
          <w:lang w:val="hr-HR"/>
        </w:rPr>
        <w:t xml:space="preserve">izjavljuje kako, slijedom ocjene prihvatljivosti propisane člankom 6. stavak 3. Direktive 92/43/EEZ, projekt neće imati značajnih utjecaja na područje od važnosti za zaštitu </w:t>
      </w:r>
      <w:r w:rsidR="00E4778B" w:rsidRPr="00653DCF">
        <w:rPr>
          <w:rFonts w:eastAsia="Calibri" w:cs="Arial"/>
          <w:color w:val="auto"/>
          <w:lang w:val="hr-HR"/>
        </w:rPr>
        <w:t>prio</w:t>
      </w:r>
      <w:r w:rsidRPr="00653DCF">
        <w:rPr>
          <w:rFonts w:eastAsia="Calibri" w:cs="Arial"/>
          <w:color w:val="auto"/>
          <w:lang w:val="hr-HR"/>
        </w:rPr>
        <w:t>rode</w:t>
      </w:r>
      <w:r w:rsidRPr="00653DCF">
        <w:rPr>
          <w:rFonts w:eastAsia="Calibri" w:cs="Arial"/>
          <w:color w:val="auto"/>
          <w:vertAlign w:val="superscript"/>
          <w:lang w:val="hr-HR"/>
        </w:rPr>
        <w:t>1</w:t>
      </w:r>
      <w:r w:rsidRPr="00653DCF">
        <w:rPr>
          <w:rFonts w:eastAsia="Calibri" w:cs="Arial"/>
          <w:color w:val="auto"/>
          <w:lang w:val="hr-HR"/>
        </w:rPr>
        <w:t>.</w:t>
      </w:r>
    </w:p>
    <w:p w14:paraId="6EC5D813" w14:textId="77777777" w:rsidR="00F0088B" w:rsidRPr="00653DCF" w:rsidRDefault="00F0088B" w:rsidP="00F0088B">
      <w:pPr>
        <w:keepLines/>
        <w:tabs>
          <w:tab w:val="left" w:pos="2268"/>
        </w:tabs>
        <w:overflowPunct w:val="0"/>
        <w:autoSpaceDE w:val="0"/>
        <w:autoSpaceDN w:val="0"/>
        <w:adjustRightInd w:val="0"/>
        <w:spacing w:before="120" w:after="240"/>
        <w:ind w:left="994"/>
        <w:textAlignment w:val="baseline"/>
        <w:rPr>
          <w:rFonts w:eastAsia="Calibri" w:cs="Arial"/>
          <w:color w:val="auto"/>
          <w:lang w:val="hr-HR"/>
        </w:rPr>
      </w:pPr>
      <w:r w:rsidRPr="00653DCF">
        <w:rPr>
          <w:rFonts w:eastAsia="Calibri" w:cs="Arial"/>
          <w:color w:val="auto"/>
          <w:lang w:val="hr-HR"/>
        </w:rPr>
        <w:t>Molimo vas da iznesete sažetak zaključaka ocjene prihvatljivosti obavljene sukladno članku 6. stavak 3. Direktive 92/43/EEZ:</w:t>
      </w:r>
    </w:p>
    <w:p w14:paraId="36FF38C1" w14:textId="77777777" w:rsidR="00F0088B" w:rsidRPr="00653DCF" w:rsidRDefault="00F0088B" w:rsidP="00F0088B">
      <w:pPr>
        <w:keepLines/>
        <w:tabs>
          <w:tab w:val="left" w:pos="2268"/>
        </w:tabs>
        <w:overflowPunct w:val="0"/>
        <w:autoSpaceDE w:val="0"/>
        <w:autoSpaceDN w:val="0"/>
        <w:adjustRightInd w:val="0"/>
        <w:spacing w:before="120" w:after="240"/>
        <w:ind w:left="994"/>
        <w:textAlignment w:val="baseline"/>
        <w:rPr>
          <w:rFonts w:eastAsia="Calibri" w:cs="Arial"/>
          <w:color w:val="auto"/>
          <w:lang w:val="hr-HR"/>
        </w:rPr>
      </w:pPr>
      <w:r w:rsidRPr="00653DCF">
        <w:rPr>
          <w:rFonts w:ascii="Calibri" w:eastAsia="Calibri" w:hAnsi="Calibri" w:cs="Calibri"/>
          <w:noProof/>
          <w:color w:val="auto"/>
          <w:sz w:val="22"/>
          <w:szCs w:val="22"/>
          <w:lang w:val="hr-HR" w:eastAsia="hr-HR"/>
        </w:rPr>
        <mc:AlternateContent>
          <mc:Choice Requires="wps">
            <w:drawing>
              <wp:anchor distT="0" distB="0" distL="114300" distR="114300" simplePos="0" relativeHeight="251668480" behindDoc="0" locked="0" layoutInCell="1" allowOverlap="1" wp14:anchorId="187A7A65" wp14:editId="2DB6326F">
                <wp:simplePos x="0" y="0"/>
                <wp:positionH relativeFrom="column">
                  <wp:align>center</wp:align>
                </wp:positionH>
                <wp:positionV relativeFrom="paragraph">
                  <wp:posOffset>0</wp:posOffset>
                </wp:positionV>
                <wp:extent cx="5821045" cy="1323975"/>
                <wp:effectExtent l="9525" t="9525" r="825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323975"/>
                        </a:xfrm>
                        <a:prstGeom prst="rect">
                          <a:avLst/>
                        </a:prstGeom>
                        <a:solidFill>
                          <a:srgbClr val="FFFFFF"/>
                        </a:solidFill>
                        <a:ln w="9525">
                          <a:solidFill>
                            <a:srgbClr val="000000"/>
                          </a:solidFill>
                          <a:miter lim="800000"/>
                          <a:headEnd/>
                          <a:tailEnd/>
                        </a:ln>
                      </wps:spPr>
                      <wps:txbx>
                        <w:txbxContent>
                          <w:p w14:paraId="6C3627B5" w14:textId="77777777" w:rsidR="00CB3A2D" w:rsidRDefault="00CB3A2D" w:rsidP="00F00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7A65" id="Text Box 3" o:spid="_x0000_s1030" type="#_x0000_t202" style="position:absolute;left:0;text-align:left;margin-left:0;margin-top:0;width:458.35pt;height:104.2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jGLgIAAFg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">
                <v:textbox>
                  <w:txbxContent>
                    <w:p w14:paraId="6C3627B5" w14:textId="77777777" w:rsidR="00CB3A2D" w:rsidRDefault="00CB3A2D" w:rsidP="00F0088B"/>
                  </w:txbxContent>
                </v:textbox>
              </v:shape>
            </w:pict>
          </mc:Fallback>
        </mc:AlternateContent>
      </w:r>
    </w:p>
    <w:p w14:paraId="783114A8" w14:textId="77777777" w:rsidR="00F0088B" w:rsidRPr="00653DCF" w:rsidRDefault="00F0088B" w:rsidP="00F0088B">
      <w:pPr>
        <w:keepLines/>
        <w:tabs>
          <w:tab w:val="left" w:pos="2268"/>
        </w:tabs>
        <w:overflowPunct w:val="0"/>
        <w:autoSpaceDE w:val="0"/>
        <w:autoSpaceDN w:val="0"/>
        <w:adjustRightInd w:val="0"/>
        <w:spacing w:before="120" w:after="240"/>
        <w:ind w:left="994"/>
        <w:textAlignment w:val="baseline"/>
        <w:rPr>
          <w:rFonts w:eastAsia="Calibri" w:cs="Arial"/>
          <w:color w:val="auto"/>
          <w:lang w:val="hr-HR"/>
        </w:rPr>
      </w:pPr>
    </w:p>
    <w:p w14:paraId="0DF27B5A" w14:textId="77777777" w:rsidR="00F0088B" w:rsidRPr="00653DCF" w:rsidRDefault="00F0088B" w:rsidP="00F0088B">
      <w:pPr>
        <w:keepLines/>
        <w:tabs>
          <w:tab w:val="left" w:pos="2268"/>
        </w:tabs>
        <w:overflowPunct w:val="0"/>
        <w:autoSpaceDE w:val="0"/>
        <w:autoSpaceDN w:val="0"/>
        <w:adjustRightInd w:val="0"/>
        <w:spacing w:before="120" w:after="240"/>
        <w:ind w:left="994"/>
        <w:textAlignment w:val="baseline"/>
        <w:rPr>
          <w:rFonts w:eastAsia="Calibri" w:cs="Arial"/>
          <w:color w:val="auto"/>
          <w:lang w:val="hr-HR"/>
        </w:rPr>
      </w:pPr>
    </w:p>
    <w:p w14:paraId="2A72EB29" w14:textId="77777777" w:rsidR="00F0088B" w:rsidRPr="00653DCF" w:rsidRDefault="00F0088B" w:rsidP="00F0088B">
      <w:pPr>
        <w:keepLines/>
        <w:tabs>
          <w:tab w:val="left" w:pos="2268"/>
        </w:tabs>
        <w:overflowPunct w:val="0"/>
        <w:autoSpaceDE w:val="0"/>
        <w:autoSpaceDN w:val="0"/>
        <w:adjustRightInd w:val="0"/>
        <w:spacing w:before="120" w:after="240"/>
        <w:ind w:left="994"/>
        <w:textAlignment w:val="baseline"/>
        <w:rPr>
          <w:rFonts w:eastAsia="Calibri" w:cs="Arial"/>
          <w:color w:val="auto"/>
          <w:lang w:val="hr-HR"/>
        </w:rPr>
      </w:pPr>
    </w:p>
    <w:p w14:paraId="15B457F8" w14:textId="77777777" w:rsidR="00F0088B" w:rsidRPr="00653DCF" w:rsidRDefault="00F0088B" w:rsidP="00F0088B">
      <w:pPr>
        <w:keepLines/>
        <w:tabs>
          <w:tab w:val="left" w:pos="2268"/>
        </w:tabs>
        <w:overflowPunct w:val="0"/>
        <w:autoSpaceDE w:val="0"/>
        <w:autoSpaceDN w:val="0"/>
        <w:adjustRightInd w:val="0"/>
        <w:spacing w:before="120" w:after="240"/>
        <w:ind w:left="994"/>
        <w:textAlignment w:val="baseline"/>
        <w:rPr>
          <w:rFonts w:eastAsia="Calibri" w:cs="Arial"/>
          <w:color w:val="auto"/>
          <w:lang w:val="hr-HR"/>
        </w:rPr>
      </w:pPr>
    </w:p>
    <w:p w14:paraId="429F70ED"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r w:rsidRPr="00653DCF">
        <w:rPr>
          <w:rFonts w:eastAsia="Calibri" w:cs="Arial"/>
          <w:color w:val="auto"/>
          <w:lang w:val="hr-HR"/>
        </w:rPr>
        <w:t>Molimo vas da iznesete sažeti prikaz mjera ublažavanja neophodnih za potrebe projekta:</w:t>
      </w:r>
    </w:p>
    <w:p w14:paraId="79BC17E6"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r w:rsidRPr="00653DCF">
        <w:rPr>
          <w:rFonts w:ascii="Calibri" w:eastAsia="Calibri" w:hAnsi="Calibri" w:cs="Calibri"/>
          <w:noProof/>
          <w:color w:val="auto"/>
          <w:sz w:val="22"/>
          <w:szCs w:val="22"/>
          <w:lang w:val="hr-HR" w:eastAsia="hr-HR"/>
        </w:rPr>
        <mc:AlternateContent>
          <mc:Choice Requires="wps">
            <w:drawing>
              <wp:anchor distT="0" distB="0" distL="114300" distR="114300" simplePos="0" relativeHeight="251669504" behindDoc="0" locked="0" layoutInCell="1" allowOverlap="1" wp14:anchorId="41B99993" wp14:editId="084580A9">
                <wp:simplePos x="0" y="0"/>
                <wp:positionH relativeFrom="column">
                  <wp:align>center</wp:align>
                </wp:positionH>
                <wp:positionV relativeFrom="paragraph">
                  <wp:posOffset>0</wp:posOffset>
                </wp:positionV>
                <wp:extent cx="5734050" cy="990600"/>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749E36DF" w14:textId="77777777" w:rsidR="00CB3A2D" w:rsidRDefault="00CB3A2D" w:rsidP="00F00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9993" id="Text Box 4" o:spid="_x0000_s1031" type="#_x0000_t202" style="position:absolute;left:0;text-align:left;margin-left:0;margin-top:0;width:451.5pt;height:78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jjLAIAAFc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">
                <v:textbox>
                  <w:txbxContent>
                    <w:p w14:paraId="749E36DF" w14:textId="77777777" w:rsidR="00CB3A2D" w:rsidRDefault="00CB3A2D" w:rsidP="00F0088B"/>
                  </w:txbxContent>
                </v:textbox>
              </v:shape>
            </w:pict>
          </mc:Fallback>
        </mc:AlternateContent>
      </w:r>
    </w:p>
    <w:p w14:paraId="3FEDD0A9"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p>
    <w:p w14:paraId="216AB1D9"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p>
    <w:p w14:paraId="15358C21"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p>
    <w:p w14:paraId="424D8D9A"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r w:rsidRPr="00653DCF">
        <w:rPr>
          <w:rFonts w:eastAsia="Calibri" w:cs="Arial"/>
          <w:color w:val="auto"/>
          <w:lang w:val="hr-HR"/>
        </w:rPr>
        <w:t>U prilogu je sadržan zemljovid u mjerilu 1:100.000 (ili najbližem mogućem mjerilu) koji prikazuje lokaciju projekta kao i područje od važnosti za zaštitu prirode.</w:t>
      </w:r>
    </w:p>
    <w:p w14:paraId="343E2EF4"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r w:rsidRPr="00653DCF">
        <w:rPr>
          <w:rFonts w:eastAsia="Calibri" w:cs="Arial"/>
          <w:color w:val="auto"/>
          <w:lang w:val="hr-HR"/>
        </w:rPr>
        <w:t>Potpis:</w:t>
      </w:r>
    </w:p>
    <w:p w14:paraId="509C1098" w14:textId="2E6A0CDE" w:rsidR="00F0088B"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r w:rsidRPr="00653DCF">
        <w:rPr>
          <w:rFonts w:eastAsia="Calibri" w:cs="Arial"/>
          <w:color w:val="auto"/>
          <w:lang w:val="hr-HR"/>
        </w:rPr>
        <w:t>Ime i prezime i dužnost:</w:t>
      </w:r>
    </w:p>
    <w:p w14:paraId="357C79D0" w14:textId="77777777" w:rsidR="002E637E" w:rsidRPr="00653DCF" w:rsidRDefault="002E637E"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p>
    <w:p w14:paraId="0E357BC7"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r w:rsidRPr="00653DCF">
        <w:rPr>
          <w:rFonts w:eastAsia="Calibri" w:cs="Arial"/>
          <w:color w:val="auto"/>
          <w:lang w:val="hr-HR"/>
        </w:rPr>
        <w:t>Organizacija (tijelo nadležno za praćenje stanja na područjima iz mreže NATURA 2000)</w:t>
      </w:r>
    </w:p>
    <w:p w14:paraId="34DA2BA1" w14:textId="77777777" w:rsidR="00F0088B" w:rsidRPr="00653DCF" w:rsidRDefault="00F0088B" w:rsidP="00F0088B">
      <w:pPr>
        <w:keepLines/>
        <w:tabs>
          <w:tab w:val="left" w:pos="2268"/>
        </w:tabs>
        <w:overflowPunct w:val="0"/>
        <w:autoSpaceDE w:val="0"/>
        <w:autoSpaceDN w:val="0"/>
        <w:adjustRightInd w:val="0"/>
        <w:spacing w:before="240" w:after="240"/>
        <w:ind w:left="994"/>
        <w:textAlignment w:val="baseline"/>
        <w:rPr>
          <w:rFonts w:eastAsia="Calibri" w:cs="Arial"/>
          <w:color w:val="auto"/>
          <w:lang w:val="hr-HR"/>
        </w:rPr>
      </w:pPr>
      <w:r w:rsidRPr="00653DCF">
        <w:rPr>
          <w:rFonts w:eastAsia="Calibri" w:cs="Arial"/>
          <w:color w:val="auto"/>
          <w:lang w:val="hr-HR"/>
        </w:rPr>
        <w:t>Službeni pečat:</w:t>
      </w:r>
    </w:p>
    <w:p w14:paraId="30C88B04" w14:textId="77777777" w:rsidR="00F0088B" w:rsidRPr="00653DCF" w:rsidRDefault="00F0088B" w:rsidP="00F0088B">
      <w:pPr>
        <w:keepNext/>
        <w:keepLines/>
        <w:numPr>
          <w:ilvl w:val="3"/>
          <w:numId w:val="0"/>
        </w:numPr>
        <w:tabs>
          <w:tab w:val="left" w:pos="2268"/>
        </w:tabs>
        <w:overflowPunct w:val="0"/>
        <w:autoSpaceDE w:val="0"/>
        <w:autoSpaceDN w:val="0"/>
        <w:adjustRightInd w:val="0"/>
        <w:spacing w:before="240" w:after="60"/>
        <w:textAlignment w:val="baseline"/>
        <w:outlineLvl w:val="3"/>
        <w:rPr>
          <w:rFonts w:eastAsia="Calibri" w:cs="Arial"/>
          <w:b/>
          <w:bCs/>
          <w:color w:val="auto"/>
          <w:sz w:val="24"/>
          <w:szCs w:val="24"/>
          <w:lang w:val="hr-HR"/>
        </w:rPr>
      </w:pPr>
      <w:r w:rsidRPr="00653DCF">
        <w:rPr>
          <w:rFonts w:eastAsia="Calibri" w:cs="Arial"/>
          <w:b/>
          <w:bCs/>
          <w:color w:val="auto"/>
          <w:sz w:val="24"/>
          <w:szCs w:val="24"/>
          <w:lang w:val="hr-HR"/>
        </w:rPr>
        <w:t>Obrazac B – Rizik značajnog utjecaja – FORM B</w:t>
      </w:r>
    </w:p>
    <w:p w14:paraId="1889F5E4"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7FAAF2B5" w14:textId="625BB728" w:rsidR="00F0088B" w:rsidRPr="00653DCF" w:rsidRDefault="00F0088B" w:rsidP="00F0088B">
      <w:pPr>
        <w:keepLines/>
        <w:pBdr>
          <w:top w:val="single" w:sz="4" w:space="1" w:color="auto"/>
          <w:left w:val="single" w:sz="4" w:space="4" w:color="auto"/>
          <w:bottom w:val="single" w:sz="4" w:space="1" w:color="auto"/>
          <w:right w:val="single" w:sz="4" w:space="4" w:color="auto"/>
        </w:pBdr>
        <w:shd w:val="clear" w:color="auto" w:fill="D9D9D9"/>
        <w:tabs>
          <w:tab w:val="left" w:pos="2268"/>
        </w:tabs>
        <w:overflowPunct w:val="0"/>
        <w:autoSpaceDE w:val="0"/>
        <w:autoSpaceDN w:val="0"/>
        <w:adjustRightInd w:val="0"/>
        <w:ind w:left="994"/>
        <w:jc w:val="center"/>
        <w:textAlignment w:val="baseline"/>
        <w:rPr>
          <w:rFonts w:eastAsia="Calibri" w:cs="Arial"/>
          <w:color w:val="auto"/>
          <w:sz w:val="22"/>
          <w:szCs w:val="22"/>
          <w:lang w:val="hr-HR"/>
        </w:rPr>
      </w:pPr>
      <w:r w:rsidRPr="00653DCF">
        <w:rPr>
          <w:rFonts w:eastAsia="Calibri" w:cs="Arial"/>
          <w:b/>
          <w:bCs/>
          <w:color w:val="auto"/>
          <w:sz w:val="22"/>
          <w:szCs w:val="22"/>
          <w:lang w:val="hr-HR"/>
        </w:rPr>
        <w:t>PODACI TIJELA NADLEŽNOG ZA PRAĆENJE STANJA</w:t>
      </w:r>
      <w:r w:rsidRPr="00653DCF">
        <w:rPr>
          <w:rFonts w:eastAsia="Calibri" w:cs="Arial"/>
          <w:b/>
          <w:bCs/>
          <w:color w:val="auto"/>
          <w:sz w:val="22"/>
          <w:szCs w:val="22"/>
          <w:lang w:val="hr-HR"/>
        </w:rPr>
        <w:br/>
        <w:t>NA PODRUČJIMA OD VAŽNOSTI ZA ZAŠTITU PRIRODE</w:t>
      </w:r>
      <w:r w:rsidR="00755F3F" w:rsidRPr="00653DCF">
        <w:rPr>
          <w:rStyle w:val="FootnoteReference"/>
          <w:rFonts w:eastAsia="Calibri" w:cs="Arial"/>
          <w:b/>
          <w:bCs/>
          <w:color w:val="auto"/>
          <w:sz w:val="22"/>
          <w:szCs w:val="22"/>
          <w:lang w:val="hr-HR"/>
        </w:rPr>
        <w:footnoteReference w:customMarkFollows="1" w:id="25"/>
        <w:sym w:font="Symbol" w:char="F031"/>
      </w:r>
      <w:r w:rsidR="00755F3F" w:rsidRPr="00653DCF">
        <w:rPr>
          <w:rStyle w:val="FootnoteReference"/>
          <w:rFonts w:eastAsia="Calibri" w:cs="Arial"/>
          <w:b/>
          <w:bCs/>
          <w:color w:val="auto"/>
          <w:sz w:val="22"/>
          <w:szCs w:val="22"/>
          <w:lang w:val="hr-HR"/>
        </w:rPr>
        <w:sym w:font="Symbol" w:char="F031"/>
      </w:r>
    </w:p>
    <w:p w14:paraId="5C2E0383" w14:textId="77777777" w:rsidR="00F0088B" w:rsidRPr="00653DCF" w:rsidRDefault="00F0088B" w:rsidP="00F0088B">
      <w:pPr>
        <w:keepLines/>
        <w:tabs>
          <w:tab w:val="left" w:pos="2268"/>
          <w:tab w:val="right" w:leader="dot" w:pos="8364"/>
        </w:tabs>
        <w:overflowPunct w:val="0"/>
        <w:autoSpaceDE w:val="0"/>
        <w:autoSpaceDN w:val="0"/>
        <w:adjustRightInd w:val="0"/>
        <w:spacing w:before="120" w:after="240" w:line="276" w:lineRule="auto"/>
        <w:ind w:left="994"/>
        <w:textAlignment w:val="baseline"/>
        <w:rPr>
          <w:rFonts w:eastAsia="Calibri" w:cs="Arial"/>
          <w:color w:val="auto"/>
          <w:lang w:val="hr-HR"/>
        </w:rPr>
      </w:pPr>
    </w:p>
    <w:p w14:paraId="6C4998DF" w14:textId="77777777" w:rsidR="00F0088B" w:rsidRPr="00653DCF" w:rsidRDefault="00F0088B" w:rsidP="00F0088B">
      <w:pPr>
        <w:keepLines/>
        <w:tabs>
          <w:tab w:val="left" w:pos="2268"/>
          <w:tab w:val="right" w:leader="dot" w:pos="8364"/>
        </w:tabs>
        <w:overflowPunct w:val="0"/>
        <w:autoSpaceDE w:val="0"/>
        <w:autoSpaceDN w:val="0"/>
        <w:adjustRightInd w:val="0"/>
        <w:spacing w:before="120" w:after="240" w:line="276" w:lineRule="auto"/>
        <w:ind w:left="994"/>
        <w:textAlignment w:val="baseline"/>
        <w:rPr>
          <w:rFonts w:eastAsia="Calibri" w:cs="Arial"/>
          <w:color w:val="auto"/>
          <w:lang w:val="hr-HR"/>
        </w:rPr>
      </w:pPr>
      <w:r w:rsidRPr="00653DCF">
        <w:rPr>
          <w:rFonts w:eastAsia="Calibri" w:cs="Arial"/>
          <w:color w:val="auto"/>
          <w:lang w:val="hr-HR"/>
        </w:rPr>
        <w:t>Nadležno tijelo</w:t>
      </w:r>
      <w:r w:rsidRPr="00653DCF">
        <w:rPr>
          <w:rFonts w:eastAsia="Calibri" w:cs="Arial"/>
          <w:color w:val="auto"/>
          <w:lang w:val="hr-HR"/>
        </w:rPr>
        <w:tab/>
        <w:t>,</w:t>
      </w:r>
    </w:p>
    <w:p w14:paraId="5E7A8C82" w14:textId="02C04BB1" w:rsidR="00F0088B" w:rsidRPr="00653DCF" w:rsidRDefault="00F0088B" w:rsidP="00F0088B">
      <w:pPr>
        <w:keepLines/>
        <w:tabs>
          <w:tab w:val="left" w:pos="2268"/>
          <w:tab w:val="right" w:leader="dot" w:pos="8364"/>
        </w:tabs>
        <w:overflowPunct w:val="0"/>
        <w:autoSpaceDE w:val="0"/>
        <w:autoSpaceDN w:val="0"/>
        <w:adjustRightInd w:val="0"/>
        <w:spacing w:before="120" w:after="240" w:line="276" w:lineRule="auto"/>
        <w:ind w:left="994"/>
        <w:textAlignment w:val="baseline"/>
        <w:rPr>
          <w:rFonts w:eastAsia="Calibri" w:cs="Arial"/>
          <w:color w:val="auto"/>
          <w:lang w:val="hr-HR"/>
        </w:rPr>
      </w:pPr>
      <w:r w:rsidRPr="00653DCF">
        <w:rPr>
          <w:rFonts w:eastAsia="Calibri" w:cs="Arial"/>
          <w:color w:val="auto"/>
          <w:lang w:val="hr-HR"/>
        </w:rPr>
        <w:t>nakon što je ispitalo</w:t>
      </w:r>
      <w:r w:rsidR="00755F3F" w:rsidRPr="00653DCF">
        <w:rPr>
          <w:rStyle w:val="FootnoteReference"/>
          <w:rFonts w:eastAsia="Calibri" w:cs="Arial"/>
          <w:color w:val="auto"/>
          <w:lang w:val="hr-HR"/>
        </w:rPr>
        <w:footnoteReference w:customMarkFollows="1" w:id="26"/>
        <w:sym w:font="Symbol" w:char="F031"/>
      </w:r>
      <w:r w:rsidR="00755F3F" w:rsidRPr="00653DCF">
        <w:rPr>
          <w:rStyle w:val="FootnoteReference"/>
          <w:rFonts w:eastAsia="Calibri" w:cs="Arial"/>
          <w:color w:val="auto"/>
          <w:lang w:val="hr-HR"/>
        </w:rPr>
        <w:sym w:font="Symbol" w:char="F032"/>
      </w:r>
      <w:r w:rsidR="00755F3F" w:rsidRPr="00653DCF">
        <w:rPr>
          <w:color w:val="auto"/>
        </w:rPr>
        <w:t xml:space="preserve"> </w:t>
      </w:r>
      <w:r w:rsidRPr="00653DCF">
        <w:rPr>
          <w:rFonts w:eastAsia="Calibri" w:cs="Arial"/>
          <w:color w:val="auto"/>
          <w:lang w:val="hr-HR"/>
        </w:rPr>
        <w:t>prijedlog projekta</w:t>
      </w:r>
      <w:r w:rsidRPr="00653DCF">
        <w:rPr>
          <w:rFonts w:eastAsia="Calibri" w:cs="Arial"/>
          <w:color w:val="auto"/>
          <w:lang w:val="hr-HR"/>
        </w:rPr>
        <w:tab/>
        <w:t>,</w:t>
      </w:r>
    </w:p>
    <w:p w14:paraId="1E6D4DD7" w14:textId="77777777" w:rsidR="00F0088B" w:rsidRPr="00653DCF" w:rsidRDefault="00F0088B" w:rsidP="00F0088B">
      <w:pPr>
        <w:keepLines/>
        <w:tabs>
          <w:tab w:val="left" w:pos="2268"/>
          <w:tab w:val="right" w:leader="dot" w:pos="8364"/>
        </w:tabs>
        <w:overflowPunct w:val="0"/>
        <w:autoSpaceDE w:val="0"/>
        <w:autoSpaceDN w:val="0"/>
        <w:adjustRightInd w:val="0"/>
        <w:spacing w:before="120" w:after="240" w:line="276" w:lineRule="auto"/>
        <w:ind w:left="994"/>
        <w:textAlignment w:val="baseline"/>
        <w:rPr>
          <w:rFonts w:eastAsia="Calibri" w:cs="Arial"/>
          <w:color w:val="auto"/>
          <w:lang w:val="hr-HR"/>
        </w:rPr>
      </w:pPr>
      <w:r w:rsidRPr="00653DCF">
        <w:rPr>
          <w:rFonts w:eastAsia="Calibri" w:cs="Arial"/>
          <w:color w:val="auto"/>
          <w:lang w:val="hr-HR"/>
        </w:rPr>
        <w:t>koji će se izvoditi na području</w:t>
      </w:r>
      <w:r w:rsidRPr="00653DCF">
        <w:rPr>
          <w:rFonts w:eastAsia="Calibri" w:cs="Arial"/>
          <w:color w:val="auto"/>
          <w:lang w:val="hr-HR"/>
        </w:rPr>
        <w:tab/>
      </w:r>
    </w:p>
    <w:p w14:paraId="624FF92F"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3117763D"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iznosi sljedeće podatke i dokumentaciju koja se Europskoj komisiji dostavlja (označiti odgovarajuće polje):</w:t>
      </w:r>
    </w:p>
    <w:p w14:paraId="6C1FC6CB"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1A1A4246"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na uvid (čl. 6. st. 4.(1))</w:t>
      </w:r>
      <w:r w:rsidRPr="00653DCF">
        <w:rPr>
          <w:rFonts w:eastAsia="Calibri" w:cs="Arial"/>
          <w:color w:val="auto"/>
          <w:lang w:val="hr-HR"/>
        </w:rPr>
        <w:tab/>
      </w:r>
      <w:r w:rsidRPr="00653DCF">
        <w:rPr>
          <w:rFonts w:eastAsia="Calibri" w:cs="Arial"/>
          <w:color w:val="auto"/>
          <w:lang w:val="hr-HR"/>
        </w:rPr>
        <w:sym w:font="Wingdings" w:char="F06F"/>
      </w:r>
      <w:r w:rsidRPr="00653DCF">
        <w:rPr>
          <w:rFonts w:eastAsia="Calibri" w:cs="Arial"/>
          <w:color w:val="auto"/>
          <w:lang w:val="hr-HR"/>
        </w:rPr>
        <w:tab/>
      </w:r>
      <w:r w:rsidRPr="00653DCF">
        <w:rPr>
          <w:rFonts w:eastAsia="Calibri" w:cs="Arial"/>
          <w:color w:val="auto"/>
          <w:lang w:val="hr-HR"/>
        </w:rPr>
        <w:tab/>
      </w:r>
      <w:r w:rsidRPr="00653DCF">
        <w:rPr>
          <w:rFonts w:eastAsia="Calibri" w:cs="Arial"/>
          <w:color w:val="auto"/>
          <w:lang w:val="hr-HR"/>
        </w:rPr>
        <w:tab/>
        <w:t xml:space="preserve">na davanje mišljenja (čl. 6. st. 4.(2)) </w:t>
      </w:r>
      <w:r w:rsidRPr="00653DCF">
        <w:rPr>
          <w:rFonts w:eastAsia="Calibri" w:cs="Arial"/>
          <w:color w:val="auto"/>
          <w:lang w:val="hr-HR"/>
        </w:rPr>
        <w:tab/>
      </w:r>
      <w:r w:rsidRPr="00653DCF">
        <w:rPr>
          <w:rFonts w:eastAsia="Calibri" w:cs="Arial"/>
          <w:color w:val="auto"/>
          <w:lang w:val="hr-HR"/>
        </w:rPr>
        <w:sym w:font="Wingdings" w:char="F06F"/>
      </w:r>
    </w:p>
    <w:p w14:paraId="7C6D39E3"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Država članica</w:t>
      </w:r>
      <w:r w:rsidRPr="00653DCF">
        <w:rPr>
          <w:rFonts w:eastAsia="Calibri" w:cs="Arial"/>
          <w:i/>
          <w:iCs/>
          <w:color w:val="auto"/>
          <w:lang w:val="hr-HR"/>
        </w:rPr>
        <w:t>:</w:t>
      </w:r>
    </w:p>
    <w:p w14:paraId="0552BE18"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lang w:val="hr-HR"/>
        </w:rPr>
      </w:pPr>
    </w:p>
    <w:p w14:paraId="52533F50"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Nadležno domaće tijelo</w:t>
      </w:r>
      <w:r w:rsidRPr="00653DCF">
        <w:rPr>
          <w:rFonts w:eastAsia="Calibri" w:cs="Arial"/>
          <w:i/>
          <w:iCs/>
          <w:color w:val="auto"/>
          <w:lang w:val="hr-HR"/>
        </w:rPr>
        <w:t>:</w:t>
      </w:r>
    </w:p>
    <w:p w14:paraId="5EB0BA6D"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lang w:val="hr-HR"/>
        </w:rPr>
      </w:pPr>
    </w:p>
    <w:p w14:paraId="3CECC3AF"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Adresa</w:t>
      </w:r>
      <w:r w:rsidRPr="00653DCF">
        <w:rPr>
          <w:rFonts w:eastAsia="Calibri" w:cs="Arial"/>
          <w:i/>
          <w:iCs/>
          <w:color w:val="auto"/>
          <w:lang w:val="hr-HR"/>
        </w:rPr>
        <w:t>:</w:t>
      </w:r>
    </w:p>
    <w:p w14:paraId="621BF37A"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lang w:val="hr-HR"/>
        </w:rPr>
      </w:pPr>
    </w:p>
    <w:p w14:paraId="65588687"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Osoba za kontakte</w:t>
      </w:r>
      <w:r w:rsidRPr="00653DCF">
        <w:rPr>
          <w:rFonts w:eastAsia="Calibri" w:cs="Arial"/>
          <w:i/>
          <w:iCs/>
          <w:color w:val="auto"/>
          <w:lang w:val="hr-HR"/>
        </w:rPr>
        <w:t>:</w:t>
      </w:r>
    </w:p>
    <w:p w14:paraId="102DE8E0"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iCs/>
          <w:color w:val="auto"/>
          <w:lang w:val="hr-HR"/>
        </w:rPr>
      </w:pPr>
    </w:p>
    <w:p w14:paraId="4C4B8834"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Tel., faks, e-pošta</w:t>
      </w:r>
      <w:r w:rsidRPr="00653DCF">
        <w:rPr>
          <w:rFonts w:eastAsia="Calibri" w:cs="Arial"/>
          <w:i/>
          <w:iCs/>
          <w:color w:val="auto"/>
          <w:lang w:val="hr-HR"/>
        </w:rPr>
        <w:t>:</w:t>
      </w:r>
    </w:p>
    <w:p w14:paraId="08B520E4"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lang w:val="hr-HR"/>
        </w:rPr>
      </w:pPr>
    </w:p>
    <w:p w14:paraId="27BB70D2"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Datum</w:t>
      </w:r>
      <w:r w:rsidRPr="00653DCF">
        <w:rPr>
          <w:rFonts w:eastAsia="Calibri" w:cs="Arial"/>
          <w:i/>
          <w:iCs/>
          <w:color w:val="auto"/>
          <w:lang w:val="hr-HR"/>
        </w:rPr>
        <w:t>:</w:t>
      </w:r>
    </w:p>
    <w:p w14:paraId="5CE3DF49"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i/>
          <w:iCs/>
          <w:color w:val="auto"/>
          <w:lang w:val="hr-HR"/>
        </w:rPr>
      </w:pPr>
    </w:p>
    <w:p w14:paraId="2CF9D9CC" w14:textId="77777777" w:rsidR="00F0088B" w:rsidRPr="00653DCF" w:rsidRDefault="00F0088B" w:rsidP="00F0088B">
      <w:pPr>
        <w:keepLines/>
        <w:pBdr>
          <w:top w:val="single" w:sz="6" w:space="29" w:color="auto"/>
          <w:left w:val="single" w:sz="6" w:space="0" w:color="auto"/>
          <w:bottom w:val="single" w:sz="6" w:space="1" w:color="auto"/>
          <w:right w:val="single" w:sz="6" w:space="4" w:color="auto"/>
        </w:pBdr>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Sadrži li obavijest osjetljive podatke? Ako sadrži, molimo da ih naznačite i obrazložite.</w:t>
      </w:r>
    </w:p>
    <w:p w14:paraId="08253EA1" w14:textId="77777777" w:rsidR="00F0088B" w:rsidRPr="00653DCF" w:rsidRDefault="00F0088B" w:rsidP="00F0088B">
      <w:pPr>
        <w:keepLines/>
        <w:tabs>
          <w:tab w:val="left" w:pos="2268"/>
        </w:tabs>
        <w:overflowPunct w:val="0"/>
        <w:autoSpaceDE w:val="0"/>
        <w:autoSpaceDN w:val="0"/>
        <w:adjustRightInd w:val="0"/>
        <w:ind w:left="0"/>
        <w:textAlignment w:val="baseline"/>
        <w:rPr>
          <w:rFonts w:eastAsia="Calibri" w:cs="Arial"/>
          <w:color w:val="auto"/>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0088B" w:rsidRPr="00653DCF" w14:paraId="564605A5" w14:textId="77777777" w:rsidTr="00E07A51">
        <w:tc>
          <w:tcPr>
            <w:tcW w:w="8522" w:type="dxa"/>
          </w:tcPr>
          <w:p w14:paraId="17E05FF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5CE200F" w14:textId="77777777" w:rsidR="00F0088B" w:rsidRPr="00653DCF" w:rsidRDefault="00F0088B" w:rsidP="0024686A">
            <w:pPr>
              <w:keepLines/>
              <w:numPr>
                <w:ilvl w:val="0"/>
                <w:numId w:val="174"/>
              </w:numPr>
              <w:tabs>
                <w:tab w:val="left" w:pos="2268"/>
              </w:tabs>
              <w:overflowPunct w:val="0"/>
              <w:autoSpaceDE w:val="0"/>
              <w:autoSpaceDN w:val="0"/>
              <w:adjustRightInd w:val="0"/>
              <w:spacing w:after="200" w:line="276" w:lineRule="auto"/>
              <w:jc w:val="center"/>
              <w:textAlignment w:val="baseline"/>
              <w:rPr>
                <w:rFonts w:eastAsia="Calibri" w:cs="Arial"/>
                <w:color w:val="auto"/>
                <w:lang w:val="hr-HR"/>
              </w:rPr>
            </w:pPr>
            <w:r w:rsidRPr="00653DCF">
              <w:rPr>
                <w:rFonts w:eastAsia="Calibri" w:cs="Arial"/>
                <w:color w:val="auto"/>
                <w:lang w:val="hr-HR"/>
              </w:rPr>
              <w:t>PLAN ILI PROJEKT</w:t>
            </w:r>
          </w:p>
          <w:p w14:paraId="1FB0A21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36F78B30" w14:textId="77777777" w:rsidTr="00E07A51">
        <w:tc>
          <w:tcPr>
            <w:tcW w:w="8522" w:type="dxa"/>
            <w:tcBorders>
              <w:left w:val="nil"/>
              <w:right w:val="nil"/>
            </w:tcBorders>
          </w:tcPr>
          <w:p w14:paraId="57536FD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769F6A1B" w14:textId="77777777" w:rsidTr="00E07A51">
        <w:tc>
          <w:tcPr>
            <w:tcW w:w="8522" w:type="dxa"/>
          </w:tcPr>
          <w:p w14:paraId="51A38DB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Naziv plana/projekta:</w:t>
            </w:r>
          </w:p>
          <w:p w14:paraId="0A80D18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AF2909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6A1D05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8C176A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Predlagatelj:</w:t>
            </w:r>
          </w:p>
          <w:p w14:paraId="10F1226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DC2C04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35780B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EF0EDC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Sažetak plana ili projekta koji ima utjecaj na predmetno područje:</w:t>
            </w:r>
          </w:p>
          <w:p w14:paraId="0BDEBF3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B5A653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5EAC13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A02E56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C27370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7779BA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29B3CC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877290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E6D0A9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83C2D2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79E0DE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5877E9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A0FC7A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A6C6F3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CF2BD3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751979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032111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BC67BE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Opis i lokacija projektnih sastavnica i djelatnosti s potencijalnim učincima, uz točnu naznaku pogođenih područja (uključujući zemljovide):</w:t>
            </w:r>
          </w:p>
          <w:p w14:paraId="188BC04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45B631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0F45AC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94AF80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C19204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AF8D20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bl>
    <w:p w14:paraId="5CB673C9"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5E84C819"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0088B" w:rsidRPr="00653DCF" w14:paraId="1682FFE6" w14:textId="77777777" w:rsidTr="00E07A51">
        <w:tc>
          <w:tcPr>
            <w:tcW w:w="8522" w:type="dxa"/>
          </w:tcPr>
          <w:p w14:paraId="26FD5E5F" w14:textId="77777777" w:rsidR="00F0088B" w:rsidRPr="00653DCF" w:rsidRDefault="00F0088B" w:rsidP="00E07A51">
            <w:pPr>
              <w:keepLines/>
              <w:tabs>
                <w:tab w:val="left" w:pos="2268"/>
              </w:tabs>
              <w:overflowPunct w:val="0"/>
              <w:autoSpaceDE w:val="0"/>
              <w:autoSpaceDN w:val="0"/>
              <w:adjustRightInd w:val="0"/>
              <w:ind w:left="994"/>
              <w:jc w:val="center"/>
              <w:textAlignment w:val="baseline"/>
              <w:rPr>
                <w:rFonts w:eastAsia="Calibri" w:cs="Arial"/>
                <w:color w:val="auto"/>
                <w:lang w:val="hr-HR"/>
              </w:rPr>
            </w:pPr>
          </w:p>
          <w:p w14:paraId="611A1C94" w14:textId="53758A5C" w:rsidR="00F0088B" w:rsidRPr="00653DCF" w:rsidRDefault="00F0088B" w:rsidP="00E07A51">
            <w:pPr>
              <w:keepLines/>
              <w:tabs>
                <w:tab w:val="left" w:pos="2268"/>
              </w:tabs>
              <w:overflowPunct w:val="0"/>
              <w:autoSpaceDE w:val="0"/>
              <w:autoSpaceDN w:val="0"/>
              <w:adjustRightInd w:val="0"/>
              <w:ind w:left="994"/>
              <w:jc w:val="center"/>
              <w:textAlignment w:val="baseline"/>
              <w:rPr>
                <w:rFonts w:eastAsia="Calibri" w:cs="Arial"/>
                <w:color w:val="auto"/>
                <w:lang w:val="hr-HR"/>
              </w:rPr>
            </w:pPr>
            <w:r w:rsidRPr="00653DCF">
              <w:rPr>
                <w:rFonts w:eastAsia="Calibri" w:cs="Arial"/>
                <w:color w:val="auto"/>
                <w:lang w:val="hr-HR"/>
              </w:rPr>
              <w:t>2. OCJENA NEGATIVNIH UTJECAJA</w:t>
            </w:r>
            <w:r w:rsidR="000002A8" w:rsidRPr="00653DCF">
              <w:rPr>
                <w:rStyle w:val="FootnoteReference"/>
                <w:rFonts w:eastAsia="Calibri" w:cs="Arial"/>
                <w:color w:val="auto"/>
                <w:lang w:val="hr-HR"/>
              </w:rPr>
              <w:footnoteReference w:customMarkFollows="1" w:id="27"/>
              <w:sym w:font="Symbol" w:char="F031"/>
            </w:r>
            <w:r w:rsidR="000002A8" w:rsidRPr="00653DCF">
              <w:rPr>
                <w:rStyle w:val="FootnoteReference"/>
                <w:rFonts w:eastAsia="Calibri" w:cs="Arial"/>
                <w:color w:val="auto"/>
                <w:lang w:val="hr-HR"/>
              </w:rPr>
              <w:sym w:font="Symbol" w:char="F033"/>
            </w:r>
          </w:p>
          <w:p w14:paraId="41C7513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22E315B9" w14:textId="77777777" w:rsidTr="00E07A51">
        <w:tc>
          <w:tcPr>
            <w:tcW w:w="8522" w:type="dxa"/>
            <w:tcBorders>
              <w:left w:val="nil"/>
              <w:right w:val="nil"/>
            </w:tcBorders>
          </w:tcPr>
          <w:p w14:paraId="3A9FE36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600D6959" w14:textId="77777777" w:rsidTr="00E07A51">
        <w:trPr>
          <w:trHeight w:val="523"/>
        </w:trPr>
        <w:tc>
          <w:tcPr>
            <w:tcW w:w="8522" w:type="dxa"/>
          </w:tcPr>
          <w:p w14:paraId="7CC51BF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Naziv i oznaka pogođenog (pogođenih) područja iz mreže Natura 2000:</w:t>
            </w:r>
          </w:p>
          <w:p w14:paraId="30CFCB8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EC07F7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Molimo vas da označite odgovarajuće polje.</w:t>
            </w:r>
          </w:p>
          <w:p w14:paraId="29E6EE9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B5CFCF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Wingdings" w:char="F06F"/>
            </w:r>
            <w:r w:rsidRPr="00653DCF">
              <w:rPr>
                <w:rFonts w:eastAsia="Calibri" w:cs="Arial"/>
                <w:color w:val="auto"/>
                <w:lang w:val="hr-HR"/>
              </w:rPr>
              <w:t xml:space="preserve"> područje posebne zaštite (</w:t>
            </w:r>
            <w:r w:rsidRPr="00653DCF">
              <w:rPr>
                <w:rFonts w:eastAsia="Calibri" w:cs="Arial"/>
                <w:b/>
                <w:bCs/>
                <w:color w:val="auto"/>
                <w:lang w:val="hr-HR"/>
              </w:rPr>
              <w:t>SPA</w:t>
            </w:r>
            <w:r w:rsidRPr="00653DCF">
              <w:rPr>
                <w:rFonts w:eastAsia="Calibri" w:cs="Arial"/>
                <w:color w:val="auto"/>
                <w:lang w:val="hr-HR"/>
              </w:rPr>
              <w:t>) prema Direktivi o pticama</w:t>
            </w:r>
          </w:p>
          <w:p w14:paraId="59605F5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136C33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Wingdings" w:char="F06F"/>
            </w:r>
            <w:r w:rsidRPr="00653DCF">
              <w:rPr>
                <w:rFonts w:eastAsia="Calibri" w:cs="Arial"/>
                <w:color w:val="auto"/>
                <w:lang w:val="hr-HR"/>
              </w:rPr>
              <w:t xml:space="preserve"> područje posebne zaštite/posebno područje zaštite (</w:t>
            </w:r>
            <w:r w:rsidRPr="00653DCF">
              <w:rPr>
                <w:rFonts w:eastAsia="Calibri" w:cs="Arial"/>
                <w:b/>
                <w:bCs/>
                <w:color w:val="auto"/>
                <w:lang w:val="hr-HR"/>
              </w:rPr>
              <w:t>SCI/SAC</w:t>
            </w:r>
            <w:r w:rsidRPr="00653DCF">
              <w:rPr>
                <w:rFonts w:eastAsia="Calibri" w:cs="Arial"/>
                <w:color w:val="auto"/>
                <w:lang w:val="hr-HR"/>
              </w:rPr>
              <w:t>) prema Direktivi o staništima</w:t>
            </w:r>
          </w:p>
          <w:p w14:paraId="0CEB94F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4BF3B0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Wingdings" w:char="F06F"/>
            </w:r>
            <w:r w:rsidRPr="00653DCF">
              <w:rPr>
                <w:rFonts w:eastAsia="Calibri" w:cs="Arial"/>
                <w:color w:val="auto"/>
                <w:lang w:val="hr-HR"/>
              </w:rPr>
              <w:t xml:space="preserve"> područje na kojem se</w:t>
            </w:r>
            <w:r w:rsidRPr="00653DCF">
              <w:rPr>
                <w:rFonts w:eastAsia="Calibri" w:cs="Arial"/>
                <w:b/>
                <w:bCs/>
                <w:color w:val="auto"/>
                <w:lang w:val="hr-HR"/>
              </w:rPr>
              <w:t xml:space="preserve"> nalazi</w:t>
            </w:r>
            <w:r w:rsidRPr="00653DCF">
              <w:rPr>
                <w:rFonts w:eastAsia="Calibri" w:cs="Arial"/>
                <w:color w:val="auto"/>
                <w:lang w:val="hr-HR"/>
              </w:rPr>
              <w:t xml:space="preserve"> neko </w:t>
            </w:r>
            <w:r w:rsidRPr="00653DCF">
              <w:rPr>
                <w:rFonts w:eastAsia="Calibri" w:cs="Arial"/>
                <w:b/>
                <w:bCs/>
                <w:color w:val="auto"/>
                <w:lang w:val="hr-HR"/>
              </w:rPr>
              <w:t>prioritetno</w:t>
            </w:r>
            <w:r w:rsidRPr="00653DCF">
              <w:rPr>
                <w:rFonts w:eastAsia="Calibri" w:cs="Arial"/>
                <w:color w:val="auto"/>
                <w:lang w:val="hr-HR"/>
              </w:rPr>
              <w:t xml:space="preserve"> stanište/vrsta</w:t>
            </w:r>
          </w:p>
          <w:p w14:paraId="774826D9" w14:textId="77777777" w:rsidR="00F0088B" w:rsidRPr="00653DCF" w:rsidRDefault="00F0088B" w:rsidP="00E07A51">
            <w:pPr>
              <w:keepLines/>
              <w:tabs>
                <w:tab w:val="left" w:pos="2268"/>
              </w:tabs>
              <w:overflowPunct w:val="0"/>
              <w:autoSpaceDE w:val="0"/>
              <w:autoSpaceDN w:val="0"/>
              <w:adjustRightInd w:val="0"/>
              <w:spacing w:before="200"/>
              <w:ind w:left="994"/>
              <w:textAlignment w:val="baseline"/>
              <w:rPr>
                <w:rFonts w:eastAsia="Calibri" w:cs="Arial"/>
                <w:color w:val="auto"/>
                <w:lang w:val="hr-HR"/>
              </w:rPr>
            </w:pPr>
          </w:p>
          <w:p w14:paraId="2607529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b/>
                <w:bCs/>
                <w:color w:val="auto"/>
                <w:lang w:val="hr-HR"/>
              </w:rPr>
            </w:pPr>
            <w:r w:rsidRPr="00653DCF">
              <w:rPr>
                <w:rFonts w:eastAsia="Calibri" w:cs="Arial"/>
                <w:color w:val="auto"/>
                <w:lang w:val="hr-HR"/>
              </w:rPr>
              <w:sym w:font="Wingdings" w:char="F06F"/>
            </w:r>
            <w:r w:rsidRPr="00653DCF">
              <w:rPr>
                <w:rFonts w:eastAsia="Calibri" w:cs="Arial"/>
                <w:color w:val="auto"/>
                <w:lang w:val="hr-HR"/>
              </w:rPr>
              <w:t xml:space="preserve"> </w:t>
            </w:r>
            <w:r w:rsidRPr="00653DCF">
              <w:rPr>
                <w:rFonts w:eastAsia="Calibri" w:cs="Arial"/>
                <w:b/>
                <w:bCs/>
                <w:color w:val="auto"/>
                <w:lang w:val="hr-HR"/>
              </w:rPr>
              <w:t xml:space="preserve">pogođena </w:t>
            </w:r>
            <w:r w:rsidRPr="00653DCF">
              <w:rPr>
                <w:rFonts w:eastAsia="Calibri" w:cs="Arial"/>
                <w:color w:val="auto"/>
                <w:lang w:val="hr-HR"/>
              </w:rPr>
              <w:t xml:space="preserve">su </w:t>
            </w:r>
            <w:r w:rsidRPr="00653DCF">
              <w:rPr>
                <w:rFonts w:eastAsia="Calibri" w:cs="Arial"/>
                <w:b/>
                <w:bCs/>
                <w:color w:val="auto"/>
                <w:lang w:val="hr-HR"/>
              </w:rPr>
              <w:t xml:space="preserve">prioritetna </w:t>
            </w:r>
            <w:r w:rsidRPr="00653DCF">
              <w:rPr>
                <w:rFonts w:eastAsia="Calibri" w:cs="Arial"/>
                <w:color w:val="auto"/>
                <w:lang w:val="hr-HR"/>
              </w:rPr>
              <w:t>staništa/vrste</w:t>
            </w:r>
          </w:p>
          <w:p w14:paraId="01F812C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4F5C87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Wingdings" w:char="F06F"/>
            </w:r>
            <w:r w:rsidRPr="00653DCF">
              <w:rPr>
                <w:rFonts w:eastAsia="Calibri" w:cs="Arial"/>
                <w:color w:val="auto"/>
                <w:lang w:val="hr-HR"/>
              </w:rPr>
              <w:t xml:space="preserve"> močvarno područje od međunarodne važnosti, koje je kao takvo određeno sukladno </w:t>
            </w:r>
            <w:r w:rsidRPr="00653DCF">
              <w:rPr>
                <w:rFonts w:eastAsia="Calibri" w:cs="Arial"/>
                <w:b/>
                <w:bCs/>
                <w:color w:val="auto"/>
                <w:lang w:val="hr-HR"/>
              </w:rPr>
              <w:t>Ramsarskoj konvenciji</w:t>
            </w:r>
            <w:r w:rsidRPr="00653DCF">
              <w:rPr>
                <w:rFonts w:eastAsia="Calibri" w:cs="Arial"/>
                <w:color w:val="auto"/>
                <w:lang w:val="hr-HR"/>
              </w:rPr>
              <w:t xml:space="preserve"> ili ispunjava uvjete za takvu zaštitu</w:t>
            </w:r>
          </w:p>
          <w:p w14:paraId="04186B75" w14:textId="77777777" w:rsidR="00F0088B" w:rsidRPr="00653DCF" w:rsidRDefault="00F0088B" w:rsidP="00E07A51">
            <w:pPr>
              <w:keepLines/>
              <w:tabs>
                <w:tab w:val="left" w:pos="2268"/>
              </w:tabs>
              <w:overflowPunct w:val="0"/>
              <w:autoSpaceDE w:val="0"/>
              <w:autoSpaceDN w:val="0"/>
              <w:adjustRightInd w:val="0"/>
              <w:spacing w:before="200"/>
              <w:ind w:left="994"/>
              <w:textAlignment w:val="baseline"/>
              <w:rPr>
                <w:rFonts w:eastAsia="Calibri" w:cs="Arial"/>
                <w:color w:val="auto"/>
                <w:lang w:val="hr-HR"/>
              </w:rPr>
            </w:pPr>
          </w:p>
          <w:p w14:paraId="37DF130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Wingdings" w:char="F06F"/>
            </w:r>
            <w:r w:rsidRPr="00653DCF">
              <w:rPr>
                <w:rFonts w:eastAsia="Calibri" w:cs="Arial"/>
                <w:color w:val="auto"/>
                <w:lang w:val="hr-HR"/>
              </w:rPr>
              <w:t xml:space="preserve"> područje uvršteno u najnoviji popis</w:t>
            </w:r>
            <w:r w:rsidRPr="00653DCF">
              <w:rPr>
                <w:rFonts w:eastAsia="Calibri" w:cs="Arial"/>
                <w:b/>
                <w:bCs/>
                <w:color w:val="auto"/>
                <w:lang w:val="hr-HR"/>
              </w:rPr>
              <w:t xml:space="preserve"> područja važnih za ptice</w:t>
            </w:r>
            <w:r w:rsidRPr="00653DCF">
              <w:rPr>
                <w:rFonts w:eastAsia="Calibri" w:cs="Arial"/>
                <w:color w:val="auto"/>
                <w:lang w:val="hr-HR"/>
              </w:rPr>
              <w:t xml:space="preserve"> (IBA) ili (ako postoji) kakav istovrijedan iscrpniji znanstveni popis prihvaćen od domaćih nadležnih tijela</w:t>
            </w:r>
          </w:p>
          <w:p w14:paraId="03EA2E91" w14:textId="77777777" w:rsidR="00F0088B" w:rsidRPr="00653DCF" w:rsidRDefault="00F0088B" w:rsidP="00E07A51">
            <w:pPr>
              <w:keepLines/>
              <w:tabs>
                <w:tab w:val="left" w:pos="2268"/>
              </w:tabs>
              <w:overflowPunct w:val="0"/>
              <w:autoSpaceDE w:val="0"/>
              <w:autoSpaceDN w:val="0"/>
              <w:adjustRightInd w:val="0"/>
              <w:spacing w:before="200"/>
              <w:ind w:left="994"/>
              <w:textAlignment w:val="baseline"/>
              <w:rPr>
                <w:rFonts w:eastAsia="Calibri" w:cs="Arial"/>
                <w:color w:val="auto"/>
                <w:lang w:val="hr-HR"/>
              </w:rPr>
            </w:pPr>
          </w:p>
          <w:p w14:paraId="4A09328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Wingdings" w:char="F06F"/>
            </w:r>
            <w:r w:rsidRPr="00653DCF">
              <w:rPr>
                <w:rFonts w:eastAsia="Calibri" w:cs="Arial"/>
                <w:color w:val="auto"/>
                <w:lang w:val="hr-HR"/>
              </w:rPr>
              <w:t xml:space="preserve"> područje na koje se primjenjuje </w:t>
            </w:r>
            <w:r w:rsidRPr="00653DCF">
              <w:rPr>
                <w:rFonts w:eastAsia="Calibri" w:cs="Arial"/>
                <w:b/>
                <w:bCs/>
                <w:color w:val="auto"/>
                <w:lang w:val="hr-HR"/>
              </w:rPr>
              <w:t>Bernska konvencija</w:t>
            </w:r>
            <w:r w:rsidRPr="00653DCF">
              <w:rPr>
                <w:rFonts w:eastAsia="Calibri" w:cs="Arial"/>
                <w:color w:val="auto"/>
                <w:lang w:val="hr-HR"/>
              </w:rPr>
              <w:t xml:space="preserve"> o zaštiti europskih divljih vrsta i prirodnih staništa (čl. 4.), a osobito područje koje ispunjava kriterije </w:t>
            </w:r>
            <w:r w:rsidRPr="00653DCF">
              <w:rPr>
                <w:rFonts w:eastAsia="Calibri" w:cs="Arial"/>
                <w:b/>
                <w:bCs/>
                <w:color w:val="auto"/>
                <w:lang w:val="hr-HR"/>
              </w:rPr>
              <w:t>Smaragdne mreže</w:t>
            </w:r>
          </w:p>
          <w:p w14:paraId="5DE4A50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79B258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Wingdings" w:char="F06F"/>
            </w:r>
            <w:r w:rsidRPr="00653DCF">
              <w:rPr>
                <w:rFonts w:eastAsia="Calibri" w:cs="Arial"/>
                <w:color w:val="auto"/>
                <w:lang w:val="hr-HR"/>
              </w:rPr>
              <w:t xml:space="preserve"> područja zaštićena domaćim propisima o zaštiti prirode</w:t>
            </w:r>
          </w:p>
          <w:p w14:paraId="05FA8F4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8580A6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4933F2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Ciljevi očuvanja područja i ključne značajke koje doprinose njegovoj cjelovitosti:</w:t>
            </w:r>
          </w:p>
          <w:p w14:paraId="7FEA5DDB" w14:textId="0FB8D184" w:rsidR="00F0088B"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04A7611" w14:textId="77777777" w:rsidR="00CE49D5" w:rsidRPr="00653DCF" w:rsidRDefault="00CE49D5"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D1F9E9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113961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Staništa i vrste koje će biti pogođene štetnim posljedicama (npr. naznaka njihove reprezentativnosti i, ako je primjenjivo sukladno čl. 17., stanja njihove očuvanosti i stupnja izoliranosti te njihovih uloga i funkcija na predmetnom području).</w:t>
            </w:r>
          </w:p>
          <w:p w14:paraId="0770DF2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02D678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8E9A51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670727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Važnost područja za staništa i vrste koje će biti pogođene (npr. obrazloženje uloge predmetnog područja na državnoj razini i unutar biogeografske regije te u odnosu na cjelovitost mreže Natura 2000).</w:t>
            </w:r>
          </w:p>
          <w:p w14:paraId="52E562F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512FFF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4F1825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022098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Opis očekivanih štetnih utjecaja (nestanak staništa/vrsta, pogoršanje stanja, uznemiravanje vrsta, izravni i neizravni učinci itd.), razmjera utjecaja (površina staništa i broj vrsta ili područja na kojima se one javljaju, a koja su pogođena projektom), važnosti i veličine (npr. razmatranje pogođene površine ili populacije u odnosu na ukupnu površinu ili populaciju na razini predmetnog područja i, možebitno, cijele zemlje) te lokacije (uključujući zemljovide).</w:t>
            </w:r>
          </w:p>
          <w:p w14:paraId="74D3D27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D3ECE7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D8388F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A2A4E8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Možebitne kumulativne i ine posljedice koje bi po svoj prilici mogle nastati uslijed provedbe plana ili projekta koji je predmet ocjene u sprezi s provedbom drugih planova ili projekata.</w:t>
            </w:r>
          </w:p>
          <w:p w14:paraId="7414B44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954794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8BCA9D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Mjere ublažavanja predviđene projektom (opis načina na koji će se iste provesti i na koji će se time izbjeći li umanjiti nepovoljne posljedice po predmetno područje).</w:t>
            </w:r>
          </w:p>
          <w:p w14:paraId="18CBDD1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FEE9D1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bl>
    <w:p w14:paraId="7D8F6E0B"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0088B" w:rsidRPr="00653DCF" w14:paraId="1E41C4EA" w14:textId="77777777" w:rsidTr="00E07A51">
        <w:tc>
          <w:tcPr>
            <w:tcW w:w="8522" w:type="dxa"/>
          </w:tcPr>
          <w:p w14:paraId="027D9FB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8653C46" w14:textId="77777777" w:rsidR="00F0088B" w:rsidRPr="00653DCF" w:rsidRDefault="00F0088B" w:rsidP="0024686A">
            <w:pPr>
              <w:keepLines/>
              <w:numPr>
                <w:ilvl w:val="0"/>
                <w:numId w:val="175"/>
              </w:numPr>
              <w:tabs>
                <w:tab w:val="left" w:pos="2268"/>
              </w:tabs>
              <w:overflowPunct w:val="0"/>
              <w:autoSpaceDE w:val="0"/>
              <w:autoSpaceDN w:val="0"/>
              <w:adjustRightInd w:val="0"/>
              <w:spacing w:after="200" w:line="276" w:lineRule="auto"/>
              <w:jc w:val="center"/>
              <w:textAlignment w:val="baseline"/>
              <w:rPr>
                <w:rFonts w:eastAsia="Calibri" w:cs="Arial"/>
                <w:color w:val="auto"/>
                <w:lang w:val="hr-HR"/>
              </w:rPr>
            </w:pPr>
            <w:r w:rsidRPr="00653DCF">
              <w:rPr>
                <w:rFonts w:eastAsia="Calibri" w:cs="Arial"/>
                <w:color w:val="auto"/>
                <w:lang w:val="hr-HR"/>
              </w:rPr>
              <w:t>ZAMJENSKA RJEŠENJA</w:t>
            </w:r>
          </w:p>
          <w:p w14:paraId="4EC6088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1E7DF7FF" w14:textId="77777777" w:rsidTr="00E07A51">
        <w:tc>
          <w:tcPr>
            <w:tcW w:w="8522" w:type="dxa"/>
            <w:tcBorders>
              <w:left w:val="nil"/>
              <w:right w:val="nil"/>
            </w:tcBorders>
          </w:tcPr>
          <w:p w14:paraId="5C2BFC6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3A9F804D" w14:textId="77777777" w:rsidTr="00E07A51">
        <w:tc>
          <w:tcPr>
            <w:tcW w:w="8522" w:type="dxa"/>
          </w:tcPr>
          <w:p w14:paraId="619FB48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Naznaka i opis mogućih zamjenskih rješenja, uključujući mogućnost neprovođenja projekta, tj. “nultu” opciju (navesti kako su utvrđena, koji su postupci i metode korišteni itd.)</w:t>
            </w:r>
          </w:p>
          <w:p w14:paraId="46DE409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75FCF1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199A6F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EA6146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468F39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95557E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A19D1F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B97FE0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0F8B5C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06229F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0F1F6E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D99B889" w14:textId="0E8AD9C3" w:rsidR="00F0088B"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FD0BE8A" w14:textId="77777777" w:rsidR="00CE49D5" w:rsidRPr="00653DCF" w:rsidRDefault="00CE49D5"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D49379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CE64AD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9D1C96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027A61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C1CADD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Ocjena zamjenskih rješenja koja su razmotrena i obrazloženje odabranog zamjenskog rješenja (razlozi zbog kojih su nadležna domaća tijela zaključila kako ne postoje nikakva zamjenska rješenja)</w:t>
            </w:r>
          </w:p>
          <w:p w14:paraId="3346863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3970BA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4A5BC5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537067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AFFA0D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BC9B53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438D9E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40CB9E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745A3B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5A6B5E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79CC2D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3EAC7B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0FC474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947C83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1D9844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0B4A55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D378C4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70DDEA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A22A81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E987AB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AA9777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258925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AF27DA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3CB410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78B008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bl>
    <w:p w14:paraId="1409D43B"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0088B" w:rsidRPr="00653DCF" w14:paraId="021A4008" w14:textId="77777777" w:rsidTr="00E07A51">
        <w:tc>
          <w:tcPr>
            <w:tcW w:w="8522" w:type="dxa"/>
          </w:tcPr>
          <w:p w14:paraId="4DC2F1EE" w14:textId="5DDEDD80" w:rsidR="00F0088B" w:rsidRPr="00653DCF" w:rsidRDefault="00F0088B" w:rsidP="00E07A51">
            <w:pPr>
              <w:keepLines/>
              <w:tabs>
                <w:tab w:val="left" w:pos="2268"/>
              </w:tabs>
              <w:overflowPunct w:val="0"/>
              <w:autoSpaceDE w:val="0"/>
              <w:autoSpaceDN w:val="0"/>
              <w:adjustRightInd w:val="0"/>
              <w:ind w:left="994"/>
              <w:jc w:val="center"/>
              <w:textAlignment w:val="baseline"/>
              <w:rPr>
                <w:rFonts w:eastAsia="Calibri" w:cs="Arial"/>
                <w:color w:val="auto"/>
                <w:lang w:val="hr-HR"/>
              </w:rPr>
            </w:pPr>
            <w:r w:rsidRPr="00653DCF">
              <w:rPr>
                <w:rFonts w:eastAsia="Calibri" w:cs="Arial"/>
                <w:color w:val="auto"/>
                <w:lang w:val="hr-HR"/>
              </w:rPr>
              <w:br w:type="page"/>
            </w:r>
          </w:p>
          <w:p w14:paraId="4AC8047D" w14:textId="77777777" w:rsidR="00F0088B" w:rsidRPr="00653DCF" w:rsidRDefault="00F0088B" w:rsidP="0024686A">
            <w:pPr>
              <w:keepLines/>
              <w:numPr>
                <w:ilvl w:val="0"/>
                <w:numId w:val="175"/>
              </w:numPr>
              <w:tabs>
                <w:tab w:val="left" w:pos="2268"/>
              </w:tabs>
              <w:overflowPunct w:val="0"/>
              <w:autoSpaceDE w:val="0"/>
              <w:autoSpaceDN w:val="0"/>
              <w:adjustRightInd w:val="0"/>
              <w:spacing w:after="200" w:line="276" w:lineRule="auto"/>
              <w:jc w:val="center"/>
              <w:textAlignment w:val="baseline"/>
              <w:rPr>
                <w:rFonts w:eastAsia="Calibri" w:cs="Arial"/>
                <w:color w:val="auto"/>
                <w:lang w:val="hr-HR"/>
              </w:rPr>
            </w:pPr>
            <w:r w:rsidRPr="00653DCF">
              <w:rPr>
                <w:rFonts w:eastAsia="Calibri" w:cs="Arial"/>
                <w:color w:val="auto"/>
                <w:lang w:val="hr-HR"/>
              </w:rPr>
              <w:t>IMPERATIVNI RAZLOZI PRETEŽUĆEG JAVNOG INTERESA</w:t>
            </w:r>
          </w:p>
          <w:p w14:paraId="7660FEC2" w14:textId="77777777" w:rsidR="00F0088B" w:rsidRPr="00653DCF" w:rsidRDefault="00F0088B" w:rsidP="00E07A51">
            <w:pPr>
              <w:keepLines/>
              <w:tabs>
                <w:tab w:val="left" w:pos="2268"/>
              </w:tabs>
              <w:overflowPunct w:val="0"/>
              <w:autoSpaceDE w:val="0"/>
              <w:autoSpaceDN w:val="0"/>
              <w:adjustRightInd w:val="0"/>
              <w:ind w:left="994"/>
              <w:jc w:val="center"/>
              <w:textAlignment w:val="baseline"/>
              <w:rPr>
                <w:rFonts w:eastAsia="Calibri" w:cs="Arial"/>
                <w:color w:val="auto"/>
                <w:lang w:val="hr-HR"/>
              </w:rPr>
            </w:pPr>
          </w:p>
        </w:tc>
      </w:tr>
      <w:tr w:rsidR="00F0088B" w:rsidRPr="00653DCF" w14:paraId="47564D35" w14:textId="77777777" w:rsidTr="00E07A51">
        <w:tc>
          <w:tcPr>
            <w:tcW w:w="8522" w:type="dxa"/>
            <w:tcBorders>
              <w:left w:val="nil"/>
              <w:right w:val="nil"/>
            </w:tcBorders>
          </w:tcPr>
          <w:p w14:paraId="4417279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13BF133F" w14:textId="77777777" w:rsidTr="00E07A51">
        <w:tc>
          <w:tcPr>
            <w:tcW w:w="8522" w:type="dxa"/>
          </w:tcPr>
          <w:p w14:paraId="54DCBF1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Razlog za provedbu ovog plana ili projekta unatoč njegovim negativnim utjecajima</w:t>
            </w:r>
            <w:r w:rsidRPr="00653DCF">
              <w:rPr>
                <w:rFonts w:eastAsia="Calibri" w:cs="Arial"/>
                <w:i/>
                <w:iCs/>
                <w:color w:val="auto"/>
                <w:lang w:val="hr-HR"/>
              </w:rPr>
              <w:t>:</w:t>
            </w:r>
          </w:p>
          <w:p w14:paraId="339B070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p>
          <w:p w14:paraId="5D6A850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p>
          <w:p w14:paraId="5A7ED27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sym w:font="Monotype Sorts" w:char="F09C"/>
            </w:r>
            <w:r w:rsidRPr="00653DCF">
              <w:rPr>
                <w:rFonts w:eastAsia="Calibri" w:cs="Arial"/>
                <w:color w:val="auto"/>
                <w:lang w:val="hr-HR"/>
              </w:rPr>
              <w:tab/>
              <w:t>Imperativni razlozi pretežućeg javnog interesa, uključujući razloge društvene ili gospodarske naravi (u slučaju da nema prioritetnih staništa/vrsta)</w:t>
            </w:r>
          </w:p>
          <w:p w14:paraId="4E5DB09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p>
          <w:p w14:paraId="7B4B9C7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Monotype Sorts" w:char="F09C"/>
            </w:r>
            <w:r w:rsidRPr="00653DCF">
              <w:rPr>
                <w:rFonts w:eastAsia="Calibri" w:cs="Arial"/>
                <w:color w:val="auto"/>
                <w:lang w:val="hr-HR"/>
              </w:rPr>
              <w:tab/>
              <w:t>ljudsko zdravlje</w:t>
            </w:r>
          </w:p>
          <w:p w14:paraId="1EBF643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p>
          <w:p w14:paraId="2F7569A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Monotype Sorts" w:char="F09C"/>
            </w:r>
            <w:r w:rsidRPr="00653DCF">
              <w:rPr>
                <w:rFonts w:eastAsia="Calibri" w:cs="Arial"/>
                <w:color w:val="auto"/>
                <w:lang w:val="hr-HR"/>
              </w:rPr>
              <w:tab/>
              <w:t>javna sigurnost</w:t>
            </w:r>
          </w:p>
          <w:p w14:paraId="4663F2C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p>
          <w:p w14:paraId="0366A45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sym w:font="Monotype Sorts" w:char="F09C"/>
            </w:r>
            <w:r w:rsidRPr="00653DCF">
              <w:rPr>
                <w:rFonts w:eastAsia="Calibri" w:cs="Arial"/>
                <w:color w:val="auto"/>
                <w:lang w:val="hr-HR"/>
              </w:rPr>
              <w:tab/>
              <w:t>korisne posljedice od prvenstvene važnosti za okoliš</w:t>
            </w:r>
          </w:p>
          <w:p w14:paraId="13BAD5A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p>
          <w:p w14:paraId="01A4194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sym w:font="Monotype Sorts" w:char="F09C"/>
            </w:r>
            <w:r w:rsidRPr="00653DCF">
              <w:rPr>
                <w:rFonts w:eastAsia="Calibri" w:cs="Arial"/>
                <w:color w:val="auto"/>
                <w:lang w:val="hr-HR"/>
              </w:rPr>
              <w:tab/>
              <w:t>ostali imperativni razlozi pretežućeg javnog interesa</w:t>
            </w:r>
          </w:p>
          <w:p w14:paraId="0F6B757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8853B0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A37669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A683AA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BA0431F" w14:textId="55848339"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i/>
                <w:iCs/>
                <w:color w:val="auto"/>
                <w:lang w:val="hr-HR"/>
              </w:rPr>
            </w:pPr>
            <w:r w:rsidRPr="00653DCF">
              <w:rPr>
                <w:rFonts w:eastAsia="Calibri" w:cs="Arial"/>
                <w:color w:val="auto"/>
                <w:lang w:val="hr-HR"/>
              </w:rPr>
              <w:t>Opis i obrazloženje prevage tih razloga</w:t>
            </w:r>
            <w:r w:rsidR="000002A8" w:rsidRPr="00653DCF">
              <w:rPr>
                <w:rStyle w:val="FootnoteReference"/>
                <w:rFonts w:eastAsia="Calibri" w:cs="Arial"/>
                <w:color w:val="auto"/>
                <w:lang w:val="hr-HR"/>
              </w:rPr>
              <w:footnoteReference w:customMarkFollows="1" w:id="28"/>
              <w:sym w:font="Symbol" w:char="F031"/>
            </w:r>
            <w:r w:rsidR="000002A8" w:rsidRPr="00653DCF">
              <w:rPr>
                <w:rStyle w:val="FootnoteReference"/>
                <w:rFonts w:eastAsia="Calibri" w:cs="Arial"/>
                <w:color w:val="auto"/>
                <w:lang w:val="hr-HR"/>
              </w:rPr>
              <w:sym w:font="Symbol" w:char="F034"/>
            </w:r>
            <w:r w:rsidRPr="00653DCF">
              <w:rPr>
                <w:rFonts w:eastAsia="Calibri" w:cs="Arial"/>
                <w:color w:val="auto"/>
                <w:lang w:val="hr-HR"/>
              </w:rPr>
              <w:t>:</w:t>
            </w:r>
          </w:p>
          <w:p w14:paraId="7E3BE1D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A54C0D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075CA3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1DAC9D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17D0EC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5ABA70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5348C9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C03681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9BDC46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02563A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56D30F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8FC8D7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BCC9D6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0C7B7F55" w14:textId="77777777" w:rsidTr="00E07A51">
        <w:tc>
          <w:tcPr>
            <w:tcW w:w="8522" w:type="dxa"/>
          </w:tcPr>
          <w:p w14:paraId="24520C6A" w14:textId="77777777" w:rsidR="00F0088B" w:rsidRPr="00653DCF" w:rsidRDefault="00F0088B" w:rsidP="00E07A51">
            <w:pPr>
              <w:keepLines/>
              <w:tabs>
                <w:tab w:val="left" w:pos="2268"/>
              </w:tabs>
              <w:overflowPunct w:val="0"/>
              <w:autoSpaceDE w:val="0"/>
              <w:autoSpaceDN w:val="0"/>
              <w:adjustRightInd w:val="0"/>
              <w:ind w:left="994"/>
              <w:jc w:val="center"/>
              <w:textAlignment w:val="baseline"/>
              <w:rPr>
                <w:rFonts w:eastAsia="Calibri" w:cs="Arial"/>
                <w:color w:val="auto"/>
                <w:lang w:val="hr-HR"/>
              </w:rPr>
            </w:pPr>
          </w:p>
          <w:p w14:paraId="7AB2FEA5" w14:textId="45024033" w:rsidR="00F0088B" w:rsidRPr="00653DCF" w:rsidRDefault="00F0088B" w:rsidP="0024686A">
            <w:pPr>
              <w:keepLines/>
              <w:numPr>
                <w:ilvl w:val="0"/>
                <w:numId w:val="175"/>
              </w:numPr>
              <w:tabs>
                <w:tab w:val="left" w:pos="2268"/>
              </w:tabs>
              <w:overflowPunct w:val="0"/>
              <w:autoSpaceDE w:val="0"/>
              <w:autoSpaceDN w:val="0"/>
              <w:adjustRightInd w:val="0"/>
              <w:spacing w:after="200" w:line="276" w:lineRule="auto"/>
              <w:jc w:val="center"/>
              <w:textAlignment w:val="baseline"/>
              <w:rPr>
                <w:rFonts w:eastAsia="Calibri" w:cs="Arial"/>
                <w:color w:val="auto"/>
                <w:lang w:val="hr-HR"/>
              </w:rPr>
            </w:pPr>
            <w:r w:rsidRPr="00653DCF">
              <w:rPr>
                <w:rFonts w:eastAsia="Calibri" w:cs="Arial"/>
                <w:color w:val="auto"/>
                <w:lang w:val="hr-HR"/>
              </w:rPr>
              <w:t>KOMPENZACIJSKE MJERE</w:t>
            </w:r>
            <w:r w:rsidR="000002A8" w:rsidRPr="00653DCF">
              <w:rPr>
                <w:rStyle w:val="FootnoteReference"/>
                <w:rFonts w:eastAsia="Calibri" w:cs="Arial"/>
                <w:color w:val="auto"/>
                <w:lang w:val="hr-HR"/>
              </w:rPr>
              <w:footnoteReference w:customMarkFollows="1" w:id="29"/>
              <w:sym w:font="Symbol" w:char="F031"/>
            </w:r>
            <w:r w:rsidR="000002A8" w:rsidRPr="00653DCF">
              <w:rPr>
                <w:rStyle w:val="FootnoteReference"/>
                <w:rFonts w:eastAsia="Calibri" w:cs="Arial"/>
                <w:color w:val="auto"/>
                <w:lang w:val="hr-HR"/>
              </w:rPr>
              <w:sym w:font="Symbol" w:char="F035"/>
            </w:r>
          </w:p>
          <w:p w14:paraId="3FDFEC5D" w14:textId="77777777" w:rsidR="00F0088B" w:rsidRPr="00653DCF" w:rsidRDefault="00F0088B" w:rsidP="00E07A51">
            <w:pPr>
              <w:keepLines/>
              <w:tabs>
                <w:tab w:val="left" w:pos="2268"/>
              </w:tabs>
              <w:overflowPunct w:val="0"/>
              <w:autoSpaceDE w:val="0"/>
              <w:autoSpaceDN w:val="0"/>
              <w:adjustRightInd w:val="0"/>
              <w:ind w:left="994"/>
              <w:jc w:val="center"/>
              <w:textAlignment w:val="baseline"/>
              <w:rPr>
                <w:rFonts w:eastAsia="Calibri" w:cs="Arial"/>
                <w:color w:val="auto"/>
                <w:lang w:val="hr-HR"/>
              </w:rPr>
            </w:pPr>
          </w:p>
        </w:tc>
      </w:tr>
      <w:tr w:rsidR="00F0088B" w:rsidRPr="00653DCF" w14:paraId="77BCD8AE" w14:textId="77777777" w:rsidTr="00E07A51">
        <w:tc>
          <w:tcPr>
            <w:tcW w:w="8522" w:type="dxa"/>
            <w:tcBorders>
              <w:left w:val="nil"/>
              <w:right w:val="nil"/>
            </w:tcBorders>
          </w:tcPr>
          <w:p w14:paraId="78D0A7A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r w:rsidR="00F0088B" w:rsidRPr="00653DCF" w14:paraId="0DE423C3" w14:textId="77777777" w:rsidTr="00E07A51">
        <w:tc>
          <w:tcPr>
            <w:tcW w:w="8522" w:type="dxa"/>
          </w:tcPr>
          <w:p w14:paraId="22D186C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Ciljevi, ciljna obilježja (staništa i vrste) i ekološki procesi/funkcije koje treba kompenzirati (razlozi, zašto su te mjere prikladne za kompenziranje negativnih utjecaja))</w:t>
            </w:r>
          </w:p>
          <w:p w14:paraId="5B2BFB4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1537FC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B58C1F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716ED9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5A4814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Obuhvat kompenzacijskih mjera (površina područja, brojnost populacije)</w:t>
            </w:r>
          </w:p>
          <w:p w14:paraId="33017EE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B6F320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3DEE78C"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965B7C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E47556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Naznaka i lokacija područja obuhvaćenih kompenzacijskim mjerama (uključujući zemljovide)</w:t>
            </w:r>
          </w:p>
          <w:p w14:paraId="51A45F0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9DD9C9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5CDA7B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DA82DA3"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7EBA05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Dosadašnje stanje i uvjeti na područjima obuhvaćenim kompenzacijskim mjerama (postojeća staništa i njihovo stanje, vrsta zemljišta, namjena zemljišta itd.)</w:t>
            </w:r>
          </w:p>
          <w:p w14:paraId="15738A3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C8B356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38D8CAF"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85AF99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526759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Očekivani rezultati i obrazloženje načina na koji će se predloženim mjerama kompenzirati štetni utjecaji na cjelovitost područja i omogućiti očuvanje cjelovitosti mreže Natura 2000</w:t>
            </w:r>
          </w:p>
          <w:p w14:paraId="3F7A0A6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7ED13FD"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D24A833" w14:textId="6E8C0C19" w:rsidR="00F0088B"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DB91B5D" w14:textId="77777777" w:rsidR="003F37A6" w:rsidRPr="00653DCF" w:rsidRDefault="003F37A6"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2559DD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19944D58"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Vremenski raspored provedbe kompenzacijskih mjera (uključujući dugoročnu provedbu), uz naznaku rokova u kojima se očekuje ostvarivanje očekivanih rezultata</w:t>
            </w:r>
          </w:p>
          <w:p w14:paraId="6967EA7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29A5AE7"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069E25F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C222FB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Metode i tehnike koje se predlažu za provedbu kompenzacijskih mjera i ocjena njihove izvodljivosti i moguće djelotvornosti</w:t>
            </w:r>
          </w:p>
          <w:p w14:paraId="468E77C5"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6295A232"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17C4C0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87C952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Troškovi i financiranje predloženih kompenzacijskih mjera</w:t>
            </w:r>
          </w:p>
          <w:p w14:paraId="1E7314B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3FEEB3F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37B758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259AC76"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53A2FF0"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Odgovornost za provedbu kompenzacijskih mjera</w:t>
            </w:r>
          </w:p>
          <w:p w14:paraId="544DFACE"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E9B8AF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402F6001"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7482CF44"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595659CA"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r w:rsidRPr="00653DCF">
              <w:rPr>
                <w:rFonts w:eastAsia="Calibri" w:cs="Arial"/>
                <w:color w:val="auto"/>
                <w:lang w:val="hr-HR"/>
              </w:rPr>
              <w:t>Praćenje provedbe kompenzacijskih mjera gdje god je to predviđeno (npr. ako postoji neizvjesnost u pogledu djelotvornosti mjera), ocjena rezultata i poduzimanje daljnjih koraka</w:t>
            </w:r>
          </w:p>
          <w:p w14:paraId="60BF7E69"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p w14:paraId="2D616ECB" w14:textId="77777777" w:rsidR="00F0088B" w:rsidRPr="00653DCF" w:rsidRDefault="00F0088B" w:rsidP="00E07A51">
            <w:pPr>
              <w:keepLines/>
              <w:tabs>
                <w:tab w:val="left" w:pos="2268"/>
              </w:tabs>
              <w:overflowPunct w:val="0"/>
              <w:autoSpaceDE w:val="0"/>
              <w:autoSpaceDN w:val="0"/>
              <w:adjustRightInd w:val="0"/>
              <w:ind w:left="994"/>
              <w:textAlignment w:val="baseline"/>
              <w:rPr>
                <w:rFonts w:eastAsia="Calibri" w:cs="Arial"/>
                <w:color w:val="auto"/>
                <w:lang w:val="hr-HR"/>
              </w:rPr>
            </w:pPr>
          </w:p>
        </w:tc>
      </w:tr>
    </w:tbl>
    <w:p w14:paraId="043CA44B" w14:textId="77777777" w:rsidR="00F0088B" w:rsidRPr="00653DCF" w:rsidRDefault="00F0088B" w:rsidP="00F0088B">
      <w:pPr>
        <w:keepLines/>
        <w:tabs>
          <w:tab w:val="left" w:pos="2268"/>
        </w:tabs>
        <w:overflowPunct w:val="0"/>
        <w:autoSpaceDE w:val="0"/>
        <w:autoSpaceDN w:val="0"/>
        <w:adjustRightInd w:val="0"/>
        <w:ind w:left="994"/>
        <w:textAlignment w:val="baseline"/>
        <w:rPr>
          <w:rFonts w:eastAsia="Calibri" w:cs="Arial"/>
          <w:color w:val="auto"/>
          <w:lang w:val="hr-HR"/>
        </w:rPr>
      </w:pPr>
    </w:p>
    <w:p w14:paraId="25778A6B" w14:textId="77777777" w:rsidR="00F0088B" w:rsidRPr="00653DCF" w:rsidRDefault="00F0088B" w:rsidP="00F0088B">
      <w:pPr>
        <w:pStyle w:val="NoIndentEIB"/>
        <w:rPr>
          <w:b/>
          <w:bCs/>
          <w:color w:val="auto"/>
          <w:lang w:val="hr-HR"/>
        </w:rPr>
        <w:sectPr w:rsidR="00F0088B" w:rsidRPr="00653DCF" w:rsidSect="009E7113">
          <w:type w:val="continuous"/>
          <w:pgSz w:w="11906" w:h="16838"/>
          <w:pgMar w:top="1417" w:right="1274" w:bottom="1417" w:left="1417" w:header="708" w:footer="708" w:gutter="0"/>
          <w:cols w:space="708"/>
          <w:formProt w:val="0"/>
          <w:titlePg/>
          <w:docGrid w:linePitch="360"/>
        </w:sectPr>
      </w:pPr>
    </w:p>
    <w:p w14:paraId="7605F50C" w14:textId="77777777" w:rsidR="00F0088B" w:rsidRPr="00653DCF" w:rsidRDefault="00F0088B" w:rsidP="00F0088B">
      <w:pPr>
        <w:spacing w:after="200" w:line="276" w:lineRule="auto"/>
        <w:ind w:left="0"/>
        <w:jc w:val="center"/>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Članak 3.</w:t>
      </w:r>
    </w:p>
    <w:p w14:paraId="5D96C6D1" w14:textId="77777777" w:rsidR="00F0088B" w:rsidRPr="00653DCF" w:rsidRDefault="00F0088B" w:rsidP="00F0088B">
      <w:pPr>
        <w:spacing w:after="0"/>
        <w:ind w:left="0" w:firstLine="708"/>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color w:val="auto"/>
          <w:sz w:val="24"/>
          <w:szCs w:val="24"/>
          <w:lang w:val="hr-HR" w:eastAsia="hr-HR"/>
        </w:rPr>
        <w:t>Financijske obveze koje će nastati za Republiku Hrvatsku kao zajmoprimca temeljem Ugovora iz članka 1. ovoga Zakona planirat će se i podmirivati u skladu sa odredbama propisa o izvršavanju državnog proračuna Republike Hrvatske za godine prema planovima otplate do konačne otplate zajma.</w:t>
      </w:r>
    </w:p>
    <w:p w14:paraId="7C562AB2" w14:textId="77777777" w:rsidR="00F0088B" w:rsidRPr="00653DCF" w:rsidRDefault="00F0088B" w:rsidP="00F0088B">
      <w:pPr>
        <w:spacing w:after="0"/>
        <w:ind w:left="0"/>
        <w:jc w:val="left"/>
        <w:rPr>
          <w:rFonts w:ascii="Times New Roman" w:eastAsia="Times New Roman" w:hAnsi="Times New Roman" w:cs="Times New Roman"/>
          <w:color w:val="auto"/>
          <w:sz w:val="24"/>
          <w:szCs w:val="24"/>
          <w:lang w:val="hr-HR" w:eastAsia="hr-HR"/>
        </w:rPr>
      </w:pPr>
    </w:p>
    <w:p w14:paraId="10B0E8A7" w14:textId="77777777" w:rsidR="00F0088B" w:rsidRPr="00653DCF" w:rsidRDefault="00F0088B" w:rsidP="00F0088B">
      <w:pPr>
        <w:spacing w:after="200" w:line="276" w:lineRule="auto"/>
        <w:ind w:left="0"/>
        <w:jc w:val="center"/>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Članak 4.</w:t>
      </w:r>
    </w:p>
    <w:p w14:paraId="6DD9F70D" w14:textId="35CFFF8F"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ab/>
        <w:t xml:space="preserve">Provedba ovoga Zakona u djelokrugu je tijela državne uprave </w:t>
      </w:r>
      <w:r w:rsidR="00AF5133" w:rsidRPr="00653DCF">
        <w:rPr>
          <w:rFonts w:ascii="Times New Roman" w:eastAsia="Times New Roman" w:hAnsi="Times New Roman" w:cs="Times New Roman"/>
          <w:color w:val="auto"/>
          <w:sz w:val="24"/>
          <w:szCs w:val="24"/>
          <w:lang w:val="hr-HR" w:eastAsia="hr-HR"/>
        </w:rPr>
        <w:t>nadležn</w:t>
      </w:r>
      <w:r w:rsidR="00AF5133">
        <w:rPr>
          <w:rFonts w:ascii="Times New Roman" w:eastAsia="Times New Roman" w:hAnsi="Times New Roman" w:cs="Times New Roman"/>
          <w:color w:val="auto"/>
          <w:sz w:val="24"/>
          <w:szCs w:val="24"/>
          <w:lang w:val="hr-HR" w:eastAsia="hr-HR"/>
        </w:rPr>
        <w:t>ih</w:t>
      </w:r>
      <w:r w:rsidR="00AF5133" w:rsidRPr="00653DCF">
        <w:rPr>
          <w:rFonts w:ascii="Times New Roman" w:eastAsia="Times New Roman" w:hAnsi="Times New Roman" w:cs="Times New Roman"/>
          <w:color w:val="auto"/>
          <w:sz w:val="24"/>
          <w:szCs w:val="24"/>
          <w:lang w:val="hr-HR" w:eastAsia="hr-HR"/>
        </w:rPr>
        <w:t xml:space="preserve"> </w:t>
      </w:r>
      <w:r w:rsidRPr="00653DCF">
        <w:rPr>
          <w:rFonts w:ascii="Times New Roman" w:eastAsia="Times New Roman" w:hAnsi="Times New Roman" w:cs="Times New Roman"/>
          <w:color w:val="auto"/>
          <w:sz w:val="24"/>
          <w:szCs w:val="24"/>
          <w:lang w:val="hr-HR" w:eastAsia="hr-HR"/>
        </w:rPr>
        <w:t>za poslove financija</w:t>
      </w:r>
      <w:r w:rsidR="009A237C">
        <w:rPr>
          <w:rFonts w:ascii="Times New Roman" w:eastAsia="Times New Roman" w:hAnsi="Times New Roman" w:cs="Times New Roman"/>
          <w:color w:val="auto"/>
          <w:sz w:val="24"/>
          <w:szCs w:val="24"/>
          <w:lang w:val="hr-HR" w:eastAsia="hr-HR"/>
        </w:rPr>
        <w:t>,</w:t>
      </w:r>
      <w:r w:rsidRPr="00653DCF">
        <w:rPr>
          <w:rFonts w:ascii="Times New Roman" w:eastAsia="Times New Roman" w:hAnsi="Times New Roman" w:cs="Times New Roman"/>
          <w:color w:val="auto"/>
          <w:sz w:val="24"/>
          <w:szCs w:val="24"/>
          <w:lang w:val="hr-HR" w:eastAsia="hr-HR"/>
        </w:rPr>
        <w:t xml:space="preserve"> prometa i infrastrukture.</w:t>
      </w:r>
    </w:p>
    <w:p w14:paraId="5DE7AA41" w14:textId="77777777" w:rsidR="00F0088B" w:rsidRPr="00653DCF" w:rsidRDefault="00F0088B" w:rsidP="00F0088B">
      <w:pPr>
        <w:spacing w:after="0"/>
        <w:ind w:left="0"/>
        <w:jc w:val="center"/>
        <w:rPr>
          <w:rFonts w:ascii="Times New Roman" w:eastAsia="Times New Roman" w:hAnsi="Times New Roman" w:cs="Times New Roman"/>
          <w:b/>
          <w:color w:val="auto"/>
          <w:sz w:val="24"/>
          <w:szCs w:val="24"/>
          <w:lang w:val="hr-HR" w:eastAsia="hr-HR"/>
        </w:rPr>
      </w:pPr>
    </w:p>
    <w:p w14:paraId="1B7B5542" w14:textId="77777777" w:rsidR="00F0088B" w:rsidRPr="00653DCF" w:rsidRDefault="00F0088B" w:rsidP="00F0088B">
      <w:pPr>
        <w:spacing w:after="0"/>
        <w:ind w:left="0"/>
        <w:jc w:val="center"/>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Članak 5.</w:t>
      </w:r>
    </w:p>
    <w:p w14:paraId="6582900E" w14:textId="77777777" w:rsidR="00F0088B" w:rsidRPr="00653DCF" w:rsidRDefault="00F0088B" w:rsidP="00F0088B">
      <w:pPr>
        <w:spacing w:after="0"/>
        <w:ind w:left="0"/>
        <w:jc w:val="center"/>
        <w:rPr>
          <w:rFonts w:ascii="Times New Roman" w:eastAsia="Times New Roman" w:hAnsi="Times New Roman" w:cs="Times New Roman"/>
          <w:b/>
          <w:color w:val="auto"/>
          <w:sz w:val="24"/>
          <w:szCs w:val="24"/>
          <w:lang w:val="hr-HR" w:eastAsia="hr-HR"/>
        </w:rPr>
      </w:pPr>
    </w:p>
    <w:p w14:paraId="2F630F83" w14:textId="287BEF2C" w:rsidR="00F0088B" w:rsidRDefault="00DA327B" w:rsidP="00AD0221">
      <w:pPr>
        <w:spacing w:after="0"/>
        <w:ind w:left="0" w:firstLine="720"/>
        <w:rPr>
          <w:rFonts w:ascii="Times New Roman" w:eastAsia="Times New Roman" w:hAnsi="Times New Roman" w:cs="Times New Roman"/>
          <w:color w:val="auto"/>
          <w:sz w:val="24"/>
          <w:szCs w:val="24"/>
          <w:lang w:val="hr-HR" w:eastAsia="hr-HR"/>
        </w:rPr>
      </w:pPr>
      <w:r>
        <w:rPr>
          <w:rFonts w:ascii="Times New Roman" w:eastAsia="Times New Roman" w:hAnsi="Times New Roman" w:cs="Times New Roman"/>
          <w:color w:val="auto"/>
          <w:sz w:val="24"/>
          <w:szCs w:val="24"/>
          <w:lang w:val="hr-HR" w:eastAsia="hr-HR"/>
        </w:rPr>
        <w:t>Ugovor o financiranju iz članka 1. o</w:t>
      </w:r>
      <w:r w:rsidR="00AD0221">
        <w:rPr>
          <w:rFonts w:ascii="Times New Roman" w:eastAsia="Times New Roman" w:hAnsi="Times New Roman" w:cs="Times New Roman"/>
          <w:color w:val="auto"/>
          <w:sz w:val="24"/>
          <w:szCs w:val="24"/>
          <w:lang w:val="hr-HR" w:eastAsia="hr-HR"/>
        </w:rPr>
        <w:t>voga Zakona stupa na snagu datumom</w:t>
      </w:r>
      <w:r>
        <w:rPr>
          <w:rFonts w:ascii="Times New Roman" w:eastAsia="Times New Roman" w:hAnsi="Times New Roman" w:cs="Times New Roman"/>
          <w:color w:val="auto"/>
          <w:sz w:val="24"/>
          <w:szCs w:val="24"/>
          <w:lang w:val="hr-HR" w:eastAsia="hr-HR"/>
        </w:rPr>
        <w:t xml:space="preserve"> stupanja na snagu ovoga Zakona.</w:t>
      </w:r>
    </w:p>
    <w:p w14:paraId="5A1D1A04" w14:textId="77777777" w:rsidR="00AD0221" w:rsidRPr="00653DCF" w:rsidRDefault="00AD0221" w:rsidP="00F0088B">
      <w:pPr>
        <w:spacing w:after="0"/>
        <w:ind w:left="0"/>
        <w:rPr>
          <w:rFonts w:ascii="Times New Roman" w:eastAsia="Times New Roman" w:hAnsi="Times New Roman" w:cs="Times New Roman"/>
          <w:b/>
          <w:color w:val="auto"/>
          <w:sz w:val="24"/>
          <w:szCs w:val="24"/>
          <w:lang w:val="hr-HR" w:eastAsia="hr-HR"/>
        </w:rPr>
      </w:pPr>
    </w:p>
    <w:p w14:paraId="0656E5BE" w14:textId="77777777" w:rsidR="00F0088B" w:rsidRPr="00653DCF" w:rsidRDefault="00F0088B" w:rsidP="00F0088B">
      <w:pPr>
        <w:spacing w:after="0"/>
        <w:ind w:left="0"/>
        <w:jc w:val="center"/>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Članak 6.</w:t>
      </w:r>
    </w:p>
    <w:p w14:paraId="4EB852A2" w14:textId="77777777" w:rsidR="00F0088B" w:rsidRPr="00653DCF" w:rsidRDefault="00F0088B" w:rsidP="00F0088B">
      <w:pPr>
        <w:spacing w:after="0"/>
        <w:ind w:left="0"/>
        <w:jc w:val="center"/>
        <w:rPr>
          <w:rFonts w:ascii="Times New Roman" w:eastAsia="Times New Roman" w:hAnsi="Times New Roman" w:cs="Times New Roman"/>
          <w:b/>
          <w:color w:val="auto"/>
          <w:sz w:val="24"/>
          <w:szCs w:val="24"/>
          <w:lang w:val="hr-HR" w:eastAsia="hr-HR"/>
        </w:rPr>
      </w:pPr>
    </w:p>
    <w:p w14:paraId="1046FBED" w14:textId="77777777" w:rsidR="00F0088B" w:rsidRPr="00653DCF" w:rsidRDefault="00F0088B" w:rsidP="00F0088B">
      <w:pPr>
        <w:spacing w:after="0"/>
        <w:ind w:left="0" w:firstLine="708"/>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Ovaj Zakon stupa na snagu osmoga dana od dana objave u „Narodnim novinama“.</w:t>
      </w:r>
    </w:p>
    <w:p w14:paraId="0E3B7C3B" w14:textId="77777777" w:rsidR="00F0088B" w:rsidRPr="00653DCF" w:rsidRDefault="00F0088B" w:rsidP="00F0088B">
      <w:pPr>
        <w:spacing w:after="0"/>
        <w:ind w:left="0"/>
        <w:rPr>
          <w:rFonts w:ascii="Times New Roman" w:eastAsia="Times New Roman" w:hAnsi="Times New Roman" w:cs="Times New Roman"/>
          <w:b/>
          <w:color w:val="auto"/>
          <w:sz w:val="24"/>
          <w:szCs w:val="24"/>
          <w:lang w:val="hr-HR" w:eastAsia="hr-HR"/>
        </w:rPr>
      </w:pPr>
    </w:p>
    <w:p w14:paraId="1B19A1B4" w14:textId="77777777" w:rsidR="00F0088B" w:rsidRPr="00653DCF" w:rsidRDefault="00F0088B" w:rsidP="00F0088B">
      <w:pPr>
        <w:spacing w:after="0"/>
        <w:ind w:left="0"/>
        <w:rPr>
          <w:rFonts w:ascii="Times New Roman" w:eastAsia="Times New Roman" w:hAnsi="Times New Roman" w:cs="Times New Roman"/>
          <w:b/>
          <w:color w:val="auto"/>
          <w:sz w:val="24"/>
          <w:szCs w:val="24"/>
          <w:lang w:val="hr-HR" w:eastAsia="hr-HR"/>
        </w:rPr>
      </w:pPr>
    </w:p>
    <w:p w14:paraId="415D27B2"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2DC89F12"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048B535A"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7009670E"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33C3693D" w14:textId="77777777" w:rsidR="00F0088B" w:rsidRPr="00653DCF" w:rsidRDefault="00F0088B" w:rsidP="00F0088B">
      <w:pPr>
        <w:spacing w:after="0"/>
        <w:ind w:left="0"/>
        <w:jc w:val="righ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t>Predsjednik Hrvatskoga sabora</w:t>
      </w:r>
    </w:p>
    <w:p w14:paraId="6AA92B64" w14:textId="77777777" w:rsidR="00F0088B" w:rsidRPr="00653DCF" w:rsidRDefault="00F0088B" w:rsidP="00F0088B">
      <w:pPr>
        <w:spacing w:after="0"/>
        <w:ind w:left="0"/>
        <w:jc w:val="righ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p>
    <w:p w14:paraId="76F27A2F" w14:textId="77777777" w:rsidR="00F0088B" w:rsidRPr="00653DCF" w:rsidRDefault="00F0088B" w:rsidP="00F0088B">
      <w:pPr>
        <w:spacing w:after="0"/>
        <w:ind w:left="0"/>
        <w:jc w:val="right"/>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r>
      <w:r w:rsidRPr="00653DCF">
        <w:rPr>
          <w:rFonts w:ascii="Times New Roman" w:eastAsia="Times New Roman" w:hAnsi="Times New Roman" w:cs="Times New Roman"/>
          <w:color w:val="auto"/>
          <w:sz w:val="24"/>
          <w:szCs w:val="24"/>
          <w:lang w:val="hr-HR" w:eastAsia="hr-HR"/>
        </w:rPr>
        <w:tab/>
        <w:t>Gordan Jandroković</w:t>
      </w:r>
    </w:p>
    <w:p w14:paraId="4F465BA1" w14:textId="77777777" w:rsidR="00F0088B" w:rsidRPr="00653DCF" w:rsidRDefault="00F0088B" w:rsidP="00F0088B">
      <w:pPr>
        <w:spacing w:after="0"/>
        <w:ind w:left="0"/>
        <w:jc w:val="left"/>
        <w:rPr>
          <w:rFonts w:ascii="Times New Roman" w:eastAsia="Times New Roman" w:hAnsi="Times New Roman" w:cs="Times New Roman"/>
          <w:color w:val="auto"/>
          <w:sz w:val="24"/>
          <w:szCs w:val="24"/>
          <w:lang w:val="hr-HR" w:eastAsia="hr-HR"/>
        </w:rPr>
      </w:pPr>
    </w:p>
    <w:p w14:paraId="59360162" w14:textId="77777777" w:rsidR="00F0088B" w:rsidRPr="00653DCF" w:rsidRDefault="00F0088B" w:rsidP="00F0088B">
      <w:pPr>
        <w:spacing w:after="0"/>
        <w:ind w:left="0"/>
        <w:jc w:val="center"/>
        <w:outlineLvl w:val="0"/>
        <w:rPr>
          <w:rFonts w:ascii="Times New Roman" w:eastAsia="Times New Roman" w:hAnsi="Times New Roman" w:cs="Times New Roman"/>
          <w:b/>
          <w:color w:val="auto"/>
          <w:sz w:val="24"/>
          <w:szCs w:val="24"/>
          <w:lang w:val="hr-HR" w:eastAsia="hr-HR"/>
        </w:rPr>
      </w:pPr>
    </w:p>
    <w:p w14:paraId="07DFFAE6" w14:textId="77777777" w:rsidR="00F0088B" w:rsidRPr="00653DCF" w:rsidRDefault="00F0088B" w:rsidP="00F0088B">
      <w:pPr>
        <w:spacing w:after="0"/>
        <w:ind w:left="0"/>
        <w:jc w:val="center"/>
        <w:outlineLvl w:val="0"/>
        <w:rPr>
          <w:rFonts w:ascii="Times New Roman" w:eastAsia="Times New Roman" w:hAnsi="Times New Roman" w:cs="Times New Roman"/>
          <w:b/>
          <w:color w:val="auto"/>
          <w:sz w:val="24"/>
          <w:szCs w:val="24"/>
          <w:lang w:val="hr-HR" w:eastAsia="hr-HR"/>
        </w:rPr>
      </w:pPr>
    </w:p>
    <w:p w14:paraId="36A90B6B" w14:textId="77777777" w:rsidR="00F0088B" w:rsidRPr="00653DCF" w:rsidRDefault="00F0088B" w:rsidP="00F0088B">
      <w:pPr>
        <w:spacing w:after="0"/>
        <w:ind w:left="0"/>
        <w:jc w:val="center"/>
        <w:outlineLvl w:val="0"/>
        <w:rPr>
          <w:rFonts w:ascii="Times New Roman" w:eastAsia="Times New Roman" w:hAnsi="Times New Roman" w:cs="Times New Roman"/>
          <w:b/>
          <w:color w:val="auto"/>
          <w:sz w:val="24"/>
          <w:szCs w:val="24"/>
          <w:lang w:val="hr-HR" w:eastAsia="hr-HR"/>
        </w:rPr>
      </w:pPr>
    </w:p>
    <w:p w14:paraId="0E27D4C0" w14:textId="77777777" w:rsidR="00F0088B" w:rsidRPr="00653DCF" w:rsidRDefault="00F0088B" w:rsidP="00F0088B">
      <w:pPr>
        <w:spacing w:after="0"/>
        <w:ind w:left="0"/>
        <w:jc w:val="center"/>
        <w:outlineLvl w:val="0"/>
        <w:rPr>
          <w:rFonts w:ascii="Times New Roman" w:eastAsia="Times New Roman" w:hAnsi="Times New Roman" w:cs="Times New Roman"/>
          <w:b/>
          <w:color w:val="auto"/>
          <w:sz w:val="24"/>
          <w:szCs w:val="24"/>
          <w:lang w:val="hr-HR" w:eastAsia="hr-HR"/>
        </w:rPr>
      </w:pPr>
    </w:p>
    <w:p w14:paraId="29198B2A" w14:textId="77777777" w:rsidR="00F0088B" w:rsidRPr="00653DCF" w:rsidRDefault="00F0088B" w:rsidP="00F0088B">
      <w:pPr>
        <w:spacing w:after="0"/>
        <w:ind w:left="0"/>
        <w:jc w:val="center"/>
        <w:outlineLvl w:val="0"/>
        <w:rPr>
          <w:rFonts w:ascii="Times New Roman" w:eastAsia="Times New Roman" w:hAnsi="Times New Roman" w:cs="Times New Roman"/>
          <w:b/>
          <w:color w:val="auto"/>
          <w:sz w:val="24"/>
          <w:szCs w:val="24"/>
          <w:lang w:val="hr-HR" w:eastAsia="hr-HR"/>
        </w:rPr>
      </w:pPr>
    </w:p>
    <w:p w14:paraId="53FC93B0" w14:textId="77777777" w:rsidR="00F0088B" w:rsidRPr="00653DCF" w:rsidRDefault="00F0088B" w:rsidP="00F0088B">
      <w:pPr>
        <w:spacing w:after="0"/>
        <w:ind w:left="0"/>
        <w:jc w:val="center"/>
        <w:outlineLvl w:val="0"/>
        <w:rPr>
          <w:rFonts w:ascii="Times New Roman" w:eastAsia="Times New Roman" w:hAnsi="Times New Roman" w:cs="Times New Roman"/>
          <w:b/>
          <w:color w:val="auto"/>
          <w:sz w:val="24"/>
          <w:szCs w:val="24"/>
          <w:lang w:val="hr-HR" w:eastAsia="hr-HR"/>
        </w:rPr>
      </w:pPr>
    </w:p>
    <w:p w14:paraId="1BBAA114" w14:textId="77777777" w:rsidR="00F0088B" w:rsidRPr="00653DCF" w:rsidRDefault="00F0088B" w:rsidP="00F0088B">
      <w:pPr>
        <w:spacing w:after="0"/>
        <w:ind w:left="0"/>
        <w:jc w:val="center"/>
        <w:outlineLvl w:val="0"/>
        <w:rPr>
          <w:rFonts w:ascii="Times New Roman" w:eastAsia="Times New Roman" w:hAnsi="Times New Roman" w:cs="Times New Roman"/>
          <w:b/>
          <w:color w:val="auto"/>
          <w:sz w:val="24"/>
          <w:szCs w:val="24"/>
          <w:lang w:val="hr-HR" w:eastAsia="hr-HR"/>
        </w:rPr>
      </w:pPr>
    </w:p>
    <w:p w14:paraId="61C24372" w14:textId="77777777" w:rsidR="00F0088B" w:rsidRPr="00653DCF" w:rsidRDefault="00F0088B" w:rsidP="00F0088B">
      <w:pPr>
        <w:spacing w:after="0"/>
        <w:ind w:left="0"/>
        <w:jc w:val="center"/>
        <w:outlineLvl w:val="0"/>
        <w:rPr>
          <w:rFonts w:ascii="Times New Roman" w:eastAsia="Times New Roman" w:hAnsi="Times New Roman" w:cs="Times New Roman"/>
          <w:b/>
          <w:color w:val="auto"/>
          <w:sz w:val="24"/>
          <w:szCs w:val="24"/>
          <w:lang w:val="hr-HR" w:eastAsia="hr-HR"/>
        </w:rPr>
      </w:pPr>
      <w:r w:rsidRPr="00653DCF">
        <w:rPr>
          <w:rFonts w:ascii="Times New Roman" w:eastAsia="Times New Roman" w:hAnsi="Times New Roman" w:cs="Times New Roman"/>
          <w:b/>
          <w:color w:val="auto"/>
          <w:sz w:val="24"/>
          <w:szCs w:val="24"/>
          <w:lang w:val="hr-HR" w:eastAsia="hr-HR"/>
        </w:rPr>
        <w:br w:type="page"/>
        <w:t xml:space="preserve">OBRAZLOŽENJE </w:t>
      </w:r>
    </w:p>
    <w:p w14:paraId="74A25BAE"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13A4184D" w14:textId="1349D7FA"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Člankom 1.</w:t>
      </w:r>
      <w:r w:rsidRPr="00653DCF">
        <w:rPr>
          <w:rFonts w:ascii="Times New Roman" w:eastAsia="Times New Roman" w:hAnsi="Times New Roman" w:cs="Times New Roman"/>
          <w:color w:val="auto"/>
          <w:sz w:val="24"/>
          <w:szCs w:val="24"/>
          <w:lang w:val="hr-HR" w:eastAsia="hr-HR"/>
        </w:rPr>
        <w:t xml:space="preserve"> Konačnog prijedloga Zakona utvrđuje se da Hrvatski sabor potvrđuje Ugovor o financiranju između Republike Hrvatske i Europske investicijske banke za Projekt „Revitalizacija željezničkog sustava Republike Hrvatske“ iz okvirnog zajma, sukladno članku 140. stavku 1. Ustava Republike Hrvatske („Narodne novine“, </w:t>
      </w:r>
      <w:r w:rsidR="00910E24" w:rsidRPr="00653DCF">
        <w:rPr>
          <w:rFonts w:ascii="Times New Roman" w:eastAsia="Times New Roman" w:hAnsi="Times New Roman" w:cs="Times New Roman"/>
          <w:color w:val="auto"/>
          <w:sz w:val="24"/>
          <w:szCs w:val="24"/>
          <w:lang w:val="hr-HR" w:eastAsia="hr-HR"/>
        </w:rPr>
        <w:t>br</w:t>
      </w:r>
      <w:r w:rsidR="00910E24">
        <w:rPr>
          <w:rFonts w:ascii="Times New Roman" w:eastAsia="Times New Roman" w:hAnsi="Times New Roman" w:cs="Times New Roman"/>
          <w:color w:val="auto"/>
          <w:sz w:val="24"/>
          <w:szCs w:val="24"/>
          <w:lang w:val="hr-HR" w:eastAsia="hr-HR"/>
        </w:rPr>
        <w:t>.</w:t>
      </w:r>
      <w:r w:rsidR="00910E24" w:rsidRPr="00653DCF">
        <w:rPr>
          <w:rFonts w:ascii="Times New Roman" w:eastAsia="Times New Roman" w:hAnsi="Times New Roman" w:cs="Times New Roman"/>
          <w:color w:val="auto"/>
          <w:sz w:val="24"/>
          <w:szCs w:val="24"/>
          <w:lang w:val="hr-HR" w:eastAsia="hr-HR"/>
        </w:rPr>
        <w:t xml:space="preserve"> </w:t>
      </w:r>
      <w:r w:rsidRPr="00653DCF">
        <w:rPr>
          <w:rFonts w:ascii="Times New Roman" w:eastAsia="Times New Roman" w:hAnsi="Times New Roman" w:cs="Times New Roman"/>
          <w:color w:val="auto"/>
          <w:sz w:val="24"/>
          <w:szCs w:val="24"/>
          <w:lang w:val="hr-HR" w:eastAsia="hr-HR"/>
        </w:rPr>
        <w:t>85/10. – pročišćeni tekst i 5/14. – Odluka Ustavnog suda Republike Hrvatske), čime se iskazuje formalni pristanak Republike Hrvatske da bude vezana ovim Ugovorom o financiranju, na temelju čega će ovaj pristanak biti iskazan i u odnosima s drugom ugovornom strankom.</w:t>
      </w:r>
    </w:p>
    <w:p w14:paraId="1944FFA4" w14:textId="77777777" w:rsidR="00F0088B" w:rsidRPr="00653DCF" w:rsidRDefault="00F0088B" w:rsidP="00F0088B">
      <w:pPr>
        <w:spacing w:after="0"/>
        <w:ind w:left="0"/>
        <w:rPr>
          <w:rFonts w:ascii="Times New Roman" w:eastAsia="Times New Roman" w:hAnsi="Times New Roman" w:cs="Times New Roman"/>
          <w:b/>
          <w:color w:val="auto"/>
          <w:sz w:val="24"/>
          <w:szCs w:val="24"/>
          <w:lang w:val="hr-HR" w:eastAsia="hr-HR"/>
        </w:rPr>
      </w:pPr>
    </w:p>
    <w:p w14:paraId="070FFCDD"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Članak 2.</w:t>
      </w:r>
      <w:r w:rsidRPr="00653DCF">
        <w:rPr>
          <w:rFonts w:ascii="Times New Roman" w:eastAsia="Times New Roman" w:hAnsi="Times New Roman" w:cs="Times New Roman"/>
          <w:color w:val="auto"/>
          <w:sz w:val="24"/>
          <w:szCs w:val="24"/>
          <w:lang w:val="hr-HR" w:eastAsia="hr-HR"/>
        </w:rPr>
        <w:t xml:space="preserve"> sadrži tekst Ugovora o financiranju između Republike Hrvatske i Europske investicijske banke za Projekt „Revitalizacija željezničkog sustava Republike Hrvatske“ iz okvirnog zajma, u izvorniku na engleskom jeziku i u prijevodu na hrvatski jezik.</w:t>
      </w:r>
    </w:p>
    <w:p w14:paraId="0B646C4D"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269B7A6D"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 xml:space="preserve">Člankom 3. </w:t>
      </w:r>
      <w:r w:rsidRPr="00653DCF">
        <w:rPr>
          <w:rFonts w:ascii="Times New Roman" w:eastAsia="Times New Roman" w:hAnsi="Times New Roman" w:cs="Times New Roman"/>
          <w:color w:val="auto"/>
          <w:sz w:val="24"/>
          <w:szCs w:val="24"/>
          <w:lang w:val="hr-HR" w:eastAsia="hr-HR"/>
        </w:rPr>
        <w:t>propisuje se način planiranja i podmirivanja financijskih obveza koje nastaju za Republiku Hrvatsku kao zajmoprimca na temelju Ugovora o financiranju.</w:t>
      </w:r>
    </w:p>
    <w:p w14:paraId="35B460C5"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63F12FBE" w14:textId="49D80F4B"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 xml:space="preserve">Člankom 4. </w:t>
      </w:r>
      <w:r w:rsidRPr="00653DCF">
        <w:rPr>
          <w:rFonts w:ascii="Times New Roman" w:eastAsia="Times New Roman" w:hAnsi="Times New Roman" w:cs="Times New Roman"/>
          <w:color w:val="auto"/>
          <w:sz w:val="24"/>
          <w:szCs w:val="24"/>
          <w:lang w:val="hr-HR" w:eastAsia="hr-HR"/>
        </w:rPr>
        <w:t xml:space="preserve">utvrđeno je da je provedba ovoga Zakona u djelokrugu tijela državne uprave </w:t>
      </w:r>
      <w:r w:rsidR="00183999" w:rsidRPr="00653DCF">
        <w:rPr>
          <w:rFonts w:ascii="Times New Roman" w:eastAsia="Times New Roman" w:hAnsi="Times New Roman" w:cs="Times New Roman"/>
          <w:color w:val="auto"/>
          <w:sz w:val="24"/>
          <w:szCs w:val="24"/>
          <w:lang w:val="hr-HR" w:eastAsia="hr-HR"/>
        </w:rPr>
        <w:t>nadležn</w:t>
      </w:r>
      <w:r w:rsidR="00183999">
        <w:rPr>
          <w:rFonts w:ascii="Times New Roman" w:eastAsia="Times New Roman" w:hAnsi="Times New Roman" w:cs="Times New Roman"/>
          <w:color w:val="auto"/>
          <w:sz w:val="24"/>
          <w:szCs w:val="24"/>
          <w:lang w:val="hr-HR" w:eastAsia="hr-HR"/>
        </w:rPr>
        <w:t xml:space="preserve">ih </w:t>
      </w:r>
      <w:r w:rsidRPr="00653DCF">
        <w:rPr>
          <w:rFonts w:ascii="Times New Roman" w:eastAsia="Times New Roman" w:hAnsi="Times New Roman" w:cs="Times New Roman"/>
          <w:color w:val="auto"/>
          <w:sz w:val="24"/>
          <w:szCs w:val="24"/>
          <w:lang w:val="hr-HR" w:eastAsia="hr-HR"/>
        </w:rPr>
        <w:t>za poslove financija</w:t>
      </w:r>
      <w:r w:rsidR="00183999">
        <w:rPr>
          <w:rFonts w:ascii="Times New Roman" w:eastAsia="Times New Roman" w:hAnsi="Times New Roman" w:cs="Times New Roman"/>
          <w:color w:val="auto"/>
          <w:sz w:val="24"/>
          <w:szCs w:val="24"/>
          <w:lang w:val="hr-HR" w:eastAsia="hr-HR"/>
        </w:rPr>
        <w:t>,</w:t>
      </w:r>
      <w:r w:rsidRPr="00653DCF">
        <w:rPr>
          <w:rFonts w:ascii="Times New Roman" w:eastAsia="Times New Roman" w:hAnsi="Times New Roman" w:cs="Times New Roman"/>
          <w:color w:val="auto"/>
          <w:sz w:val="24"/>
          <w:szCs w:val="24"/>
          <w:lang w:val="hr-HR" w:eastAsia="hr-HR"/>
        </w:rPr>
        <w:t xml:space="preserve"> prometa i infrastrukture.</w:t>
      </w:r>
    </w:p>
    <w:p w14:paraId="36C1857C"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392AAA62" w14:textId="7C59028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Člankom 5.</w:t>
      </w:r>
      <w:r w:rsidRPr="00653DCF">
        <w:rPr>
          <w:rFonts w:ascii="Times New Roman" w:eastAsia="Times New Roman" w:hAnsi="Times New Roman" w:cs="Times New Roman"/>
          <w:color w:val="auto"/>
          <w:sz w:val="24"/>
          <w:szCs w:val="24"/>
          <w:lang w:val="hr-HR" w:eastAsia="hr-HR"/>
        </w:rPr>
        <w:t xml:space="preserve"> utvrđuje se da Ugovor o financiranju između Republike Hrvatske i Europske investicijske banke za Projekt „Revitalizacija željezničkog sustava Republike Hrvatske“ </w:t>
      </w:r>
      <w:r w:rsidRPr="00183999">
        <w:rPr>
          <w:rFonts w:ascii="Times New Roman" w:eastAsia="Times New Roman" w:hAnsi="Times New Roman" w:cs="Times New Roman"/>
          <w:color w:val="auto"/>
          <w:sz w:val="24"/>
          <w:szCs w:val="24"/>
          <w:lang w:val="hr-HR" w:eastAsia="hr-HR"/>
        </w:rPr>
        <w:t>iz okvirnog zajma</w:t>
      </w:r>
      <w:r w:rsidR="00183999">
        <w:rPr>
          <w:rFonts w:ascii="Times New Roman" w:eastAsia="Times New Roman" w:hAnsi="Times New Roman" w:cs="Times New Roman"/>
          <w:color w:val="auto"/>
          <w:sz w:val="24"/>
          <w:szCs w:val="24"/>
          <w:lang w:val="hr-HR" w:eastAsia="hr-HR"/>
        </w:rPr>
        <w:t xml:space="preserve"> stupa na snagu d</w:t>
      </w:r>
      <w:r w:rsidR="009F1FA1">
        <w:rPr>
          <w:rFonts w:ascii="Times New Roman" w:eastAsia="Times New Roman" w:hAnsi="Times New Roman" w:cs="Times New Roman"/>
          <w:color w:val="auto"/>
          <w:sz w:val="24"/>
          <w:szCs w:val="24"/>
          <w:lang w:val="hr-HR" w:eastAsia="hr-HR"/>
        </w:rPr>
        <w:t>atumom</w:t>
      </w:r>
      <w:r w:rsidR="00183999">
        <w:rPr>
          <w:rFonts w:ascii="Times New Roman" w:eastAsia="Times New Roman" w:hAnsi="Times New Roman" w:cs="Times New Roman"/>
          <w:color w:val="auto"/>
          <w:sz w:val="24"/>
          <w:szCs w:val="24"/>
          <w:lang w:val="hr-HR" w:eastAsia="hr-HR"/>
        </w:rPr>
        <w:t xml:space="preserve"> stupanja na snagu ovoga Zakona</w:t>
      </w:r>
      <w:r w:rsidRPr="00653DCF">
        <w:rPr>
          <w:rFonts w:ascii="Times New Roman" w:eastAsia="Times New Roman" w:hAnsi="Times New Roman" w:cs="Times New Roman"/>
          <w:color w:val="auto"/>
          <w:sz w:val="24"/>
          <w:szCs w:val="24"/>
          <w:lang w:val="hr-HR" w:eastAsia="hr-HR"/>
        </w:rPr>
        <w:t>.</w:t>
      </w:r>
    </w:p>
    <w:p w14:paraId="34D73E41"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p>
    <w:p w14:paraId="407C167C" w14:textId="77777777" w:rsidR="00F0088B" w:rsidRPr="00653DCF" w:rsidRDefault="00F0088B" w:rsidP="00F0088B">
      <w:pPr>
        <w:spacing w:after="0"/>
        <w:ind w:left="0"/>
        <w:rPr>
          <w:rFonts w:ascii="Times New Roman" w:eastAsia="Times New Roman" w:hAnsi="Times New Roman" w:cs="Times New Roman"/>
          <w:color w:val="auto"/>
          <w:sz w:val="24"/>
          <w:szCs w:val="24"/>
          <w:lang w:val="hr-HR" w:eastAsia="hr-HR"/>
        </w:rPr>
      </w:pPr>
      <w:r w:rsidRPr="00653DCF">
        <w:rPr>
          <w:rFonts w:ascii="Times New Roman" w:eastAsia="Times New Roman" w:hAnsi="Times New Roman" w:cs="Times New Roman"/>
          <w:b/>
          <w:color w:val="auto"/>
          <w:sz w:val="24"/>
          <w:szCs w:val="24"/>
          <w:lang w:val="hr-HR" w:eastAsia="hr-HR"/>
        </w:rPr>
        <w:t>Člankom 6</w:t>
      </w:r>
      <w:r w:rsidRPr="00653DCF">
        <w:rPr>
          <w:rFonts w:ascii="Times New Roman" w:eastAsia="Times New Roman" w:hAnsi="Times New Roman" w:cs="Times New Roman"/>
          <w:color w:val="auto"/>
          <w:sz w:val="24"/>
          <w:szCs w:val="24"/>
          <w:lang w:val="hr-HR" w:eastAsia="hr-HR"/>
        </w:rPr>
        <w:t>. utvrđuje se stupanje na snagu ovoga Zakona.</w:t>
      </w:r>
    </w:p>
    <w:p w14:paraId="737768D6" w14:textId="77777777" w:rsidR="00F0088B" w:rsidRPr="00653DCF" w:rsidRDefault="00F0088B" w:rsidP="00F0088B">
      <w:pPr>
        <w:spacing w:after="0"/>
        <w:ind w:left="0"/>
        <w:jc w:val="left"/>
        <w:rPr>
          <w:rFonts w:ascii="Times New Roman" w:eastAsia="Times New Roman" w:hAnsi="Times New Roman" w:cs="Times New Roman"/>
          <w:color w:val="auto"/>
          <w:sz w:val="24"/>
          <w:szCs w:val="24"/>
          <w:lang w:val="hr-HR" w:eastAsia="hr-HR"/>
        </w:rPr>
      </w:pPr>
    </w:p>
    <w:p w14:paraId="46FDD91F" w14:textId="77777777" w:rsidR="00F0088B" w:rsidRPr="00653DCF" w:rsidRDefault="00F0088B" w:rsidP="00F0088B">
      <w:pPr>
        <w:pStyle w:val="NoIndentEIB"/>
        <w:rPr>
          <w:b/>
          <w:bCs/>
          <w:color w:val="auto"/>
          <w:lang w:val="hr-HR"/>
        </w:rPr>
      </w:pPr>
    </w:p>
    <w:p w14:paraId="137F4C03" w14:textId="77777777" w:rsidR="00F0088B" w:rsidRPr="00653DCF" w:rsidRDefault="00F0088B" w:rsidP="00F0088B">
      <w:pPr>
        <w:pStyle w:val="NoIndentEIB"/>
        <w:rPr>
          <w:b/>
          <w:color w:val="auto"/>
        </w:rPr>
      </w:pPr>
    </w:p>
    <w:p w14:paraId="1593C916" w14:textId="77777777" w:rsidR="00F0088B" w:rsidRPr="00653DCF" w:rsidRDefault="00F0088B" w:rsidP="00F0088B">
      <w:pPr>
        <w:rPr>
          <w:color w:val="auto"/>
        </w:rPr>
      </w:pPr>
    </w:p>
    <w:p w14:paraId="4A54BD62" w14:textId="01D04A2A" w:rsidR="007A2A6F" w:rsidRPr="00653DCF" w:rsidRDefault="007A2A6F" w:rsidP="0017632C">
      <w:pPr>
        <w:keepLines/>
        <w:tabs>
          <w:tab w:val="left" w:pos="2268"/>
        </w:tabs>
        <w:overflowPunct w:val="0"/>
        <w:autoSpaceDE w:val="0"/>
        <w:autoSpaceDN w:val="0"/>
        <w:adjustRightInd w:val="0"/>
        <w:ind w:left="994"/>
        <w:textAlignment w:val="baseline"/>
        <w:rPr>
          <w:b/>
          <w:color w:val="auto"/>
        </w:rPr>
      </w:pPr>
    </w:p>
    <w:sectPr w:rsidR="007A2A6F" w:rsidRPr="00653DCF" w:rsidSect="004E6B54">
      <w:pgSz w:w="11906" w:h="16838"/>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7393" w14:textId="77777777" w:rsidR="00CB3A2D" w:rsidRDefault="00CB3A2D">
      <w:pPr>
        <w:spacing w:after="0"/>
      </w:pPr>
      <w:r>
        <w:separator/>
      </w:r>
    </w:p>
    <w:p w14:paraId="2637D0B4" w14:textId="77777777" w:rsidR="00CB3A2D" w:rsidRDefault="00CB3A2D"/>
    <w:p w14:paraId="464E5E6F" w14:textId="77777777" w:rsidR="00CB3A2D" w:rsidRDefault="00CB3A2D"/>
  </w:endnote>
  <w:endnote w:type="continuationSeparator" w:id="0">
    <w:p w14:paraId="070D8C33" w14:textId="77777777" w:rsidR="00CB3A2D" w:rsidRDefault="00CB3A2D">
      <w:pPr>
        <w:spacing w:after="0"/>
      </w:pPr>
      <w:r>
        <w:continuationSeparator/>
      </w:r>
    </w:p>
    <w:p w14:paraId="2DC836C7" w14:textId="77777777" w:rsidR="00CB3A2D" w:rsidRDefault="00CB3A2D"/>
    <w:p w14:paraId="74EA373F" w14:textId="77777777" w:rsidR="00CB3A2D" w:rsidRDefault="00CB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Monotype Sorts">
    <w:altName w:val="Segoe UI 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04657"/>
      <w:docPartObj>
        <w:docPartGallery w:val="Page Numbers (Bottom of Page)"/>
        <w:docPartUnique/>
      </w:docPartObj>
    </w:sdtPr>
    <w:sdtEndPr>
      <w:rPr>
        <w:noProof/>
      </w:rPr>
    </w:sdtEndPr>
    <w:sdtContent>
      <w:p w14:paraId="2CF5C458" w14:textId="24083675" w:rsidR="00CB3A2D" w:rsidRDefault="00CB3A2D">
        <w:pPr>
          <w:pStyle w:val="Footer"/>
          <w:jc w:val="right"/>
        </w:pPr>
        <w:r>
          <w:fldChar w:fldCharType="begin"/>
        </w:r>
        <w:r>
          <w:instrText xml:space="preserve"> PAGE   \* MERGEFORMAT </w:instrText>
        </w:r>
        <w:r>
          <w:fldChar w:fldCharType="separate"/>
        </w:r>
        <w:r w:rsidR="001617BF">
          <w:rPr>
            <w:noProof/>
          </w:rPr>
          <w:t>2</w:t>
        </w:r>
        <w:r>
          <w:rPr>
            <w:noProof/>
          </w:rPr>
          <w:fldChar w:fldCharType="end"/>
        </w:r>
      </w:p>
    </w:sdtContent>
  </w:sdt>
  <w:p w14:paraId="27034760" w14:textId="77777777" w:rsidR="00CB3A2D" w:rsidRDefault="00CB3A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479491"/>
      <w:docPartObj>
        <w:docPartGallery w:val="Page Numbers (Bottom of Page)"/>
        <w:docPartUnique/>
      </w:docPartObj>
    </w:sdtPr>
    <w:sdtEndPr>
      <w:rPr>
        <w:noProof/>
      </w:rPr>
    </w:sdtEndPr>
    <w:sdtContent>
      <w:p w14:paraId="2AFF074E" w14:textId="62134E85" w:rsidR="00CB3A2D" w:rsidRDefault="00CB3A2D">
        <w:pPr>
          <w:pStyle w:val="Footer"/>
          <w:jc w:val="right"/>
        </w:pPr>
        <w:r>
          <w:t>9</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B592" w14:textId="2117EAE7" w:rsidR="00CB3A2D" w:rsidRPr="00C2551C" w:rsidRDefault="00CB3A2D">
    <w:pPr>
      <w:pStyle w:val="Footer"/>
      <w:jc w:val="right"/>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4AF45" w14:textId="77777777" w:rsidR="00CB3A2D" w:rsidRDefault="00CB3A2D">
      <w:pPr>
        <w:spacing w:after="0"/>
      </w:pPr>
      <w:r>
        <w:separator/>
      </w:r>
    </w:p>
    <w:p w14:paraId="6DA4CF5E" w14:textId="77777777" w:rsidR="00CB3A2D" w:rsidRDefault="00CB3A2D"/>
    <w:p w14:paraId="66B4392A" w14:textId="77777777" w:rsidR="00CB3A2D" w:rsidRDefault="00CB3A2D"/>
  </w:footnote>
  <w:footnote w:type="continuationSeparator" w:id="0">
    <w:p w14:paraId="04491E07" w14:textId="77777777" w:rsidR="00CB3A2D" w:rsidRDefault="00CB3A2D">
      <w:pPr>
        <w:spacing w:after="0"/>
      </w:pPr>
      <w:r>
        <w:continuationSeparator/>
      </w:r>
    </w:p>
    <w:p w14:paraId="0411B874" w14:textId="77777777" w:rsidR="00CB3A2D" w:rsidRDefault="00CB3A2D"/>
    <w:p w14:paraId="36DDFFAD" w14:textId="77777777" w:rsidR="00CB3A2D" w:rsidRDefault="00CB3A2D"/>
  </w:footnote>
  <w:footnote w:id="1">
    <w:p w14:paraId="140B0DFD" w14:textId="2F37F328" w:rsidR="00CB3A2D" w:rsidRPr="00494772" w:rsidRDefault="00CB3A2D">
      <w:pPr>
        <w:pStyle w:val="FootnoteText"/>
        <w:rPr>
          <w:lang w:val="hr-HR"/>
        </w:rPr>
      </w:pPr>
      <w:r w:rsidRPr="00F87004">
        <w:rPr>
          <w:rStyle w:val="FootnoteReference"/>
          <w:color w:val="auto"/>
        </w:rPr>
        <w:footnoteRef/>
      </w:r>
      <w:r w:rsidRPr="00F87004">
        <w:rPr>
          <w:color w:val="auto"/>
        </w:rPr>
        <w:t xml:space="preserve"> Identifikacija projekta u sustavu EIB Serapis glasi OKVIRNI ZAJAM ZA RAZVOJ ŽELJEZNICE U HRVATSKOJ</w:t>
      </w:r>
    </w:p>
  </w:footnote>
  <w:footnote w:id="2">
    <w:p w14:paraId="1BB7C4A8" w14:textId="4EF7A6AC" w:rsidR="00CB3A2D" w:rsidRPr="00494772" w:rsidRDefault="00CB3A2D">
      <w:pPr>
        <w:pStyle w:val="FootnoteText"/>
        <w:rPr>
          <w:lang w:val="hr-HR"/>
        </w:rPr>
      </w:pPr>
      <w:r w:rsidRPr="008A0BF6">
        <w:rPr>
          <w:rStyle w:val="FootnoteReference"/>
          <w:color w:val="auto"/>
        </w:rPr>
        <w:footnoteRef/>
      </w:r>
      <w:r w:rsidRPr="008A0BF6">
        <w:rPr>
          <w:color w:val="auto"/>
        </w:rPr>
        <w:t xml:space="preserve"> Identifikacija projekta u sustavu EIB Serapis glasi OKVIRNI ZAJAM ZA RAZVOJ ŽELJEZNICE U HRVATSKOJ</w:t>
      </w:r>
    </w:p>
  </w:footnote>
  <w:footnote w:id="3">
    <w:p w14:paraId="1DA818C5" w14:textId="086200D6" w:rsidR="00CB3A2D" w:rsidRPr="00514E31" w:rsidRDefault="00CB3A2D">
      <w:pPr>
        <w:pStyle w:val="FootnoteText"/>
        <w:rPr>
          <w:color w:val="auto"/>
        </w:rPr>
      </w:pPr>
      <w:r w:rsidRPr="00C44B25">
        <w:rPr>
          <w:rStyle w:val="FootnoteReference"/>
          <w:color w:val="000000" w:themeColor="text1"/>
        </w:rPr>
        <w:footnoteRef/>
      </w:r>
      <w:r w:rsidRPr="00514E31">
        <w:rPr>
          <w:color w:val="auto"/>
        </w:rPr>
        <w:t xml:space="preserve"> Dostavlja se na memorandumu Zajmoprimca.</w:t>
      </w:r>
    </w:p>
  </w:footnote>
  <w:footnote w:id="4">
    <w:p w14:paraId="54EBD134" w14:textId="3B970DE1" w:rsidR="00CB3A2D" w:rsidRPr="00C91E7D" w:rsidRDefault="00CB3A2D">
      <w:pPr>
        <w:pStyle w:val="FootnoteText"/>
        <w:rPr>
          <w:lang w:val="hr-HR"/>
        </w:rPr>
      </w:pPr>
      <w:r w:rsidRPr="00514E31">
        <w:rPr>
          <w:rStyle w:val="FootnoteReference"/>
          <w:color w:val="auto"/>
        </w:rPr>
        <w:footnoteRef/>
      </w:r>
      <w:r w:rsidRPr="00514E31">
        <w:rPr>
          <w:color w:val="auto"/>
        </w:rPr>
        <w:t xml:space="preserve"> </w:t>
      </w:r>
      <w:r w:rsidRPr="00514E31">
        <w:rPr>
          <w:color w:val="auto"/>
          <w:szCs w:val="16"/>
          <w:lang w:val="hr-HR"/>
        </w:rPr>
        <w:t>Identifikacija projekta u sustavu EIB Serapis glasi OKVIRNI ZAJAM ZA RAZVOJ ŽELJEZNICE U HRVATSKOJ</w:t>
      </w:r>
    </w:p>
  </w:footnote>
  <w:footnote w:id="5">
    <w:p w14:paraId="08150897" w14:textId="766B0B7E" w:rsidR="00CB3A2D" w:rsidRPr="007A3FEC" w:rsidRDefault="00CB3A2D">
      <w:pPr>
        <w:pStyle w:val="FootnoteText"/>
        <w:rPr>
          <w:lang w:val="hr-HR"/>
        </w:rPr>
      </w:pPr>
      <w:r w:rsidRPr="00587166">
        <w:rPr>
          <w:rStyle w:val="FootnoteReference"/>
          <w:color w:val="auto"/>
        </w:rPr>
        <w:footnoteRef/>
      </w:r>
      <w:r w:rsidRPr="00587166">
        <w:rPr>
          <w:color w:val="auto"/>
        </w:rPr>
        <w:t xml:space="preserve"> </w:t>
      </w:r>
      <w:r w:rsidRPr="00514E31">
        <w:rPr>
          <w:color w:val="auto"/>
          <w:szCs w:val="16"/>
          <w:lang w:val="hr-HR"/>
        </w:rPr>
        <w:t>Identifikacija projekta u sustavu EIB Serapis glasi OKVIRNI ZAJAM ZA RAZVOJ ŽELJEZNICE U HRVATSKOJ</w:t>
      </w:r>
    </w:p>
  </w:footnote>
  <w:footnote w:id="6">
    <w:p w14:paraId="59F87432" w14:textId="3D6726D1" w:rsidR="00CB3A2D" w:rsidRPr="00F87004" w:rsidRDefault="00CB3A2D">
      <w:pPr>
        <w:pStyle w:val="FootnoteText"/>
        <w:rPr>
          <w:color w:val="auto"/>
          <w:lang w:val="hr-HR"/>
        </w:rPr>
      </w:pPr>
      <w:r w:rsidRPr="00F87004">
        <w:rPr>
          <w:rStyle w:val="FootnoteReference"/>
          <w:color w:val="auto"/>
        </w:rPr>
        <w:footnoteRef/>
      </w:r>
      <w:r w:rsidRPr="00F87004">
        <w:rPr>
          <w:color w:val="auto"/>
        </w:rPr>
        <w:t xml:space="preserve"> Identifikacija projekta u sustavu EIB Serapis glasi OKVIRNI ZAJAM ZA RAZVOJ ŽELJEZNICE U HRVATSKOJ</w:t>
      </w:r>
    </w:p>
  </w:footnote>
  <w:footnote w:id="7">
    <w:p w14:paraId="416B720B" w14:textId="3E91D27F" w:rsidR="00CB3A2D" w:rsidRPr="00F87004" w:rsidRDefault="00CB3A2D" w:rsidP="008F28DF">
      <w:pPr>
        <w:pStyle w:val="FootnoteText"/>
        <w:ind w:left="284" w:hanging="284"/>
        <w:rPr>
          <w:color w:val="auto"/>
          <w:lang w:val="hr-HR"/>
        </w:rPr>
      </w:pPr>
      <w:r w:rsidRPr="00F87004">
        <w:rPr>
          <w:rStyle w:val="FootnoteReference"/>
          <w:color w:val="auto"/>
        </w:rPr>
        <w:footnoteRef/>
      </w:r>
      <w:r w:rsidRPr="00F87004">
        <w:rPr>
          <w:color w:val="auto"/>
        </w:rPr>
        <w:t xml:space="preserve"> </w:t>
      </w:r>
      <w:r>
        <w:rPr>
          <w:color w:val="auto"/>
        </w:rPr>
        <w:t xml:space="preserve">    </w:t>
      </w:r>
      <w:r w:rsidRPr="00F87004">
        <w:rPr>
          <w:color w:val="auto"/>
        </w:rPr>
        <w:t>Riječ je o područjima koja su zaštićena kao dio mreže Natura 2000 (uključujući posebna područja zaštite i područja posebne zaštite), potencijalnim područjima Natura 2000, područjima zaštićenim prema Ramsarskoj konvenciji, područjima za ptice, područjima iz Smaragdne mreže i drugim područjima, već prema okolnostima.</w:t>
      </w:r>
    </w:p>
  </w:footnote>
  <w:footnote w:id="8">
    <w:p w14:paraId="7FD48830" w14:textId="50C430A4" w:rsidR="00CB3A2D" w:rsidRDefault="00CB3A2D">
      <w:pPr>
        <w:pStyle w:val="FootnoteText"/>
        <w:tabs>
          <w:tab w:val="left" w:pos="540"/>
        </w:tabs>
        <w:ind w:left="284" w:hanging="284"/>
      </w:pPr>
      <w:r w:rsidRPr="00F87004">
        <w:rPr>
          <w:rStyle w:val="FootnoteReference"/>
          <w:rFonts w:cs="Arial"/>
          <w:color w:val="auto"/>
        </w:rPr>
        <w:footnoteRef/>
      </w:r>
      <w:r>
        <w:rPr>
          <w:rFonts w:cs="Arial"/>
          <w:color w:val="auto"/>
        </w:rPr>
        <w:t xml:space="preserve">      </w:t>
      </w:r>
      <w:r w:rsidRPr="00F87004">
        <w:rPr>
          <w:rFonts w:cs="Arial"/>
          <w:color w:val="auto"/>
        </w:rPr>
        <w:t>Uzimajući u obzir zahtjeve iz članka 6. Stavak 3. Direktive 92/43/EEZ o očuvanju prirodnih staništa i divlje faune i flore.</w:t>
      </w:r>
    </w:p>
  </w:footnote>
  <w:footnote w:id="9">
    <w:p w14:paraId="1779A542" w14:textId="77777777" w:rsidR="00CB3A2D" w:rsidRPr="00514E31" w:rsidRDefault="00CB3A2D">
      <w:pPr>
        <w:pStyle w:val="FootnoteText"/>
        <w:tabs>
          <w:tab w:val="left" w:pos="567"/>
        </w:tabs>
        <w:ind w:left="284" w:hanging="284"/>
        <w:rPr>
          <w:color w:val="auto"/>
        </w:rPr>
      </w:pPr>
      <w:r w:rsidRPr="00514E31">
        <w:rPr>
          <w:rStyle w:val="FootnoteReference"/>
          <w:rFonts w:cs="Arial"/>
          <w:color w:val="auto"/>
        </w:rPr>
        <w:footnoteRef/>
      </w:r>
      <w:r w:rsidRPr="00514E31">
        <w:rPr>
          <w:rFonts w:cs="Arial"/>
          <w:color w:val="auto"/>
        </w:rPr>
        <w:tab/>
        <w:t>Riječ je o područjima koja su zaštićena kao dio mreže Natura 2000 (uključujući posebna područja zaštite i područja posebne zaštite), potencijalnim područjima Natura 2000, područjima zaštićenim prema Ramsarskoj konvenciji, područjima za ptice, područjima iz Smaragdne mreže i drugim područjima, već prema okolnostima.</w:t>
      </w:r>
    </w:p>
  </w:footnote>
  <w:footnote w:id="10">
    <w:p w14:paraId="30C59D49" w14:textId="77777777" w:rsidR="00CB3A2D" w:rsidRDefault="00CB3A2D">
      <w:pPr>
        <w:pStyle w:val="FootnoteText"/>
        <w:tabs>
          <w:tab w:val="left" w:pos="567"/>
        </w:tabs>
        <w:ind w:left="284" w:hanging="284"/>
      </w:pPr>
      <w:r w:rsidRPr="00514E31">
        <w:rPr>
          <w:rStyle w:val="FootnoteReference"/>
          <w:rFonts w:cs="Arial"/>
          <w:color w:val="auto"/>
        </w:rPr>
        <w:footnoteRef/>
      </w:r>
      <w:r w:rsidRPr="00514E31">
        <w:rPr>
          <w:rFonts w:cs="Arial"/>
          <w:color w:val="auto"/>
        </w:rPr>
        <w:tab/>
        <w:t>Uzimajući u obzir zahtjeve iz članka 6. Stavak 3. Direktive 92/43/EEZ o očuvanju prirodnih staništa i divlje faune i flore.</w:t>
      </w:r>
    </w:p>
  </w:footnote>
  <w:footnote w:id="11">
    <w:p w14:paraId="282FB7DD" w14:textId="77777777" w:rsidR="00CB3A2D" w:rsidRPr="00514E31" w:rsidRDefault="00CB3A2D">
      <w:pPr>
        <w:pStyle w:val="FootnoteText"/>
        <w:tabs>
          <w:tab w:val="left" w:pos="567"/>
        </w:tabs>
        <w:ind w:left="284" w:hanging="284"/>
        <w:rPr>
          <w:color w:val="auto"/>
        </w:rPr>
      </w:pPr>
      <w:r w:rsidRPr="00514E31">
        <w:rPr>
          <w:rStyle w:val="FootnoteReference"/>
          <w:rFonts w:cs="Arial"/>
          <w:color w:val="auto"/>
        </w:rPr>
        <w:footnoteRef/>
      </w:r>
      <w:r w:rsidRPr="00514E31">
        <w:rPr>
          <w:rFonts w:cs="Arial"/>
          <w:color w:val="auto"/>
        </w:rPr>
        <w:tab/>
        <w:t>Riječ je o područjima koja su zaštićena kao dio mreže Natura 2000 (uključujući posebna područja zaštite i područja posebne zaštite), potencijalnim područjima Natura 2000, područjima zaštićenim prema Ramsarskoj konvenciji, područjima za ptice, područjima iz Smaragdne mreže i drugim područjima, već prema okolnostima.</w:t>
      </w:r>
    </w:p>
  </w:footnote>
  <w:footnote w:id="12">
    <w:p w14:paraId="49AD518E" w14:textId="77777777" w:rsidR="00CB3A2D" w:rsidRDefault="00CB3A2D">
      <w:pPr>
        <w:pStyle w:val="FootnoteText"/>
        <w:tabs>
          <w:tab w:val="left" w:pos="567"/>
        </w:tabs>
        <w:ind w:left="284" w:hanging="284"/>
      </w:pPr>
      <w:r w:rsidRPr="00514E31">
        <w:rPr>
          <w:rStyle w:val="FootnoteReference"/>
          <w:rFonts w:cs="Arial"/>
          <w:color w:val="auto"/>
        </w:rPr>
        <w:footnoteRef/>
      </w:r>
      <w:r w:rsidRPr="00514E31">
        <w:rPr>
          <w:rFonts w:cs="Arial"/>
          <w:color w:val="auto"/>
        </w:rPr>
        <w:tab/>
        <w:t>Uzimajući u obzir zahtjeve iz članka 6. Stavak 4. Direktive 92/43/EEZ o očuvanju prirodnih staništa i divlje faune i flore.</w:t>
      </w:r>
    </w:p>
  </w:footnote>
  <w:footnote w:id="13">
    <w:p w14:paraId="191E9E3D" w14:textId="77777777" w:rsidR="00CB3A2D" w:rsidRDefault="00CB3A2D">
      <w:pPr>
        <w:pStyle w:val="FootnoteText"/>
        <w:ind w:left="284" w:hanging="284"/>
      </w:pPr>
      <w:r w:rsidRPr="00514E31">
        <w:rPr>
          <w:rStyle w:val="FootnoteReference"/>
          <w:rFonts w:cs="Arial"/>
          <w:color w:val="auto"/>
        </w:rPr>
        <w:footnoteRef/>
      </w:r>
      <w:r w:rsidRPr="00514E31">
        <w:rPr>
          <w:rFonts w:cs="Arial"/>
          <w:color w:val="auto"/>
        </w:rPr>
        <w:tab/>
        <w:t>Napomena: Naglasak treba staviti na svoj vlastiti utjecaj na staništa i vrste zbog kojih je predmetno područje poslano za smještaj u mreži Natura 2000. Potrebno je navesti sve podatke koji bi mogli biti bitni u svakom pojedinom pojedinom slučaju, ovisno o ovdašnjim uvjetima po zahvaćene vrste i staništa.</w:t>
      </w:r>
    </w:p>
  </w:footnote>
  <w:footnote w:id="14">
    <w:p w14:paraId="46A941FB" w14:textId="72544091" w:rsidR="00CB3A2D" w:rsidRDefault="00CB3A2D">
      <w:pPr>
        <w:pStyle w:val="FootnoteText"/>
        <w:ind w:left="284" w:hanging="284"/>
      </w:pPr>
      <w:r w:rsidRPr="00514E31">
        <w:rPr>
          <w:rStyle w:val="FootnoteReference"/>
          <w:rFonts w:cs="Arial"/>
          <w:color w:val="auto"/>
        </w:rPr>
        <w:footnoteRef/>
      </w:r>
      <w:r w:rsidRPr="00514E31">
        <w:rPr>
          <w:rFonts w:cs="Arial"/>
          <w:color w:val="auto"/>
        </w:rPr>
        <w:tab/>
      </w:r>
      <w:r w:rsidRPr="00514E31">
        <w:rPr>
          <w:rFonts w:cs="Arial"/>
          <w:color w:val="auto"/>
          <w:szCs w:val="16"/>
          <w:lang w:val="hr-HR"/>
        </w:rPr>
        <w:t>Potrebna razina podrobnosti može se razlikovati ovisno o tome dostavlja li se obavijest na uvid ili radi dobivanja mišljenja.</w:t>
      </w:r>
    </w:p>
  </w:footnote>
  <w:footnote w:id="15">
    <w:p w14:paraId="66552062" w14:textId="53F94D8F" w:rsidR="00CB3A2D" w:rsidRDefault="00CB3A2D">
      <w:pPr>
        <w:pStyle w:val="FootnoteText"/>
        <w:ind w:left="284" w:hanging="284"/>
      </w:pPr>
      <w:r w:rsidRPr="00514E31">
        <w:rPr>
          <w:rStyle w:val="FootnoteReference"/>
          <w:rFonts w:cs="Arial"/>
          <w:color w:val="auto"/>
        </w:rPr>
        <w:footnoteRef/>
      </w:r>
      <w:r w:rsidRPr="00514E31">
        <w:rPr>
          <w:color w:val="auto"/>
        </w:rPr>
        <w:tab/>
      </w:r>
      <w:r w:rsidRPr="00514E31">
        <w:rPr>
          <w:rFonts w:cs="Arial"/>
          <w:color w:val="auto"/>
          <w:szCs w:val="16"/>
          <w:lang w:val="hr-HR"/>
        </w:rPr>
        <w:t>Potrebna razina podrobnosti može se razlikovati ovisno o tome dostavlja li se obavijest na uvid ili radi dobivanja mišljenja.</w:t>
      </w:r>
    </w:p>
  </w:footnote>
  <w:footnote w:id="16">
    <w:p w14:paraId="6D658837" w14:textId="77777777" w:rsidR="00CB3A2D" w:rsidRPr="00987765" w:rsidRDefault="00CB3A2D" w:rsidP="00F0088B">
      <w:pPr>
        <w:pStyle w:val="FootnoteText"/>
      </w:pPr>
      <w:r w:rsidRPr="001B7FC2">
        <w:rPr>
          <w:rStyle w:val="FootnoteReference"/>
          <w:color w:val="auto"/>
        </w:rPr>
        <w:footnoteRef/>
      </w:r>
      <w:r w:rsidRPr="001B7FC2">
        <w:rPr>
          <w:color w:val="auto"/>
        </w:rPr>
        <w:t xml:space="preserve"> The EIB identification of the Project in Serapis is RAILWAY DEVELOPMENT FRAMEWORK LOAN CROATIA</w:t>
      </w:r>
    </w:p>
  </w:footnote>
  <w:footnote w:id="17">
    <w:p w14:paraId="409A5F95" w14:textId="36B90F8E" w:rsidR="00CB3A2D" w:rsidRPr="009E7113" w:rsidRDefault="00CB3A2D">
      <w:pPr>
        <w:pStyle w:val="FootnoteText"/>
        <w:rPr>
          <w:lang w:val="hr-HR"/>
        </w:rPr>
      </w:pPr>
      <w:r w:rsidRPr="00E07A51">
        <w:rPr>
          <w:rStyle w:val="FootnoteReference"/>
        </w:rPr>
        <w:sym w:font="Symbol" w:char="F032"/>
      </w:r>
      <w:r>
        <w:t xml:space="preserve"> </w:t>
      </w:r>
      <w:r w:rsidRPr="001B7FC2">
        <w:rPr>
          <w:color w:val="auto"/>
        </w:rPr>
        <w:t>The EIB identification of the Project in Serapis is RAILWAY DEVELOPMENT FRAMEWORK LOAN CROATIA</w:t>
      </w:r>
    </w:p>
  </w:footnote>
  <w:footnote w:id="18">
    <w:p w14:paraId="3AA0CC25" w14:textId="0D5B2928" w:rsidR="00CB3A2D" w:rsidRDefault="00CB3A2D" w:rsidP="009227C1">
      <w:pPr>
        <w:pStyle w:val="FootnoteText"/>
        <w:rPr>
          <w:color w:val="auto"/>
        </w:rPr>
      </w:pPr>
      <w:r>
        <w:rPr>
          <w:rStyle w:val="FootnoteReference"/>
          <w:color w:val="auto"/>
        </w:rPr>
        <w:t>3</w:t>
      </w:r>
      <w:r>
        <w:rPr>
          <w:color w:val="auto"/>
        </w:rPr>
        <w:t xml:space="preserve"> </w:t>
      </w:r>
      <w:r w:rsidRPr="001B7FC2">
        <w:rPr>
          <w:color w:val="auto"/>
          <w:szCs w:val="16"/>
        </w:rPr>
        <w:t>To be provided on paper bearing the Borrower’s letterhead</w:t>
      </w:r>
    </w:p>
    <w:p w14:paraId="73D717BE" w14:textId="2DBD4102" w:rsidR="00CB3A2D" w:rsidRPr="009227C1" w:rsidRDefault="00CB3A2D" w:rsidP="009227C1">
      <w:pPr>
        <w:pStyle w:val="FootnoteText"/>
        <w:rPr>
          <w:color w:val="auto"/>
        </w:rPr>
      </w:pPr>
      <w:r w:rsidRPr="009227C1">
        <w:rPr>
          <w:color w:val="auto"/>
          <w:vertAlign w:val="superscript"/>
        </w:rPr>
        <w:t>4</w:t>
      </w:r>
      <w:r>
        <w:rPr>
          <w:color w:val="auto"/>
        </w:rPr>
        <w:t xml:space="preserve"> </w:t>
      </w:r>
      <w:r w:rsidRPr="001B7FC2">
        <w:rPr>
          <w:color w:val="auto"/>
        </w:rPr>
        <w:t>The EIB identification of the Project in Serapis is RAILWAY DEVELOPMENT FRAMEWORK LOAN CROATIA</w:t>
      </w:r>
    </w:p>
  </w:footnote>
  <w:footnote w:id="19">
    <w:p w14:paraId="4024A3E0" w14:textId="4ED7D48C" w:rsidR="00CB3A2D" w:rsidRPr="00755F3F" w:rsidRDefault="00CB3A2D">
      <w:pPr>
        <w:pStyle w:val="FootnoteText"/>
        <w:rPr>
          <w:lang w:val="hr-HR"/>
        </w:rPr>
      </w:pPr>
      <w:r w:rsidRPr="0090554A">
        <w:rPr>
          <w:rStyle w:val="FootnoteReference"/>
          <w:color w:val="auto"/>
        </w:rPr>
        <w:sym w:font="Symbol" w:char="F035"/>
      </w:r>
      <w:r>
        <w:t xml:space="preserve"> </w:t>
      </w:r>
      <w:r w:rsidRPr="00097E09">
        <w:rPr>
          <w:color w:val="auto"/>
        </w:rPr>
        <w:t>The EIB identification of the Project in Serapis is RAILWAY DEVELOPMENT FRAMEWORK LOAN CROATIA</w:t>
      </w:r>
    </w:p>
  </w:footnote>
  <w:footnote w:id="20">
    <w:p w14:paraId="58262B25" w14:textId="34B6A1A5" w:rsidR="00CB3A2D" w:rsidRPr="00755F3F" w:rsidRDefault="00CB3A2D">
      <w:pPr>
        <w:pStyle w:val="FootnoteText"/>
        <w:rPr>
          <w:lang w:val="hr-HR"/>
        </w:rPr>
      </w:pPr>
      <w:r w:rsidRPr="0090554A">
        <w:rPr>
          <w:rStyle w:val="FootnoteReference"/>
          <w:color w:val="auto"/>
        </w:rPr>
        <w:sym w:font="Symbol" w:char="F036"/>
      </w:r>
      <w:r>
        <w:t xml:space="preserve"> </w:t>
      </w:r>
      <w:r w:rsidRPr="00F73027">
        <w:rPr>
          <w:color w:val="auto"/>
        </w:rPr>
        <w:t>The EIB identification of the Project in Serapis is RAILWAY DEVELOPMENT FRAMEWORK LOAN CROATIA</w:t>
      </w:r>
    </w:p>
  </w:footnote>
  <w:footnote w:id="21">
    <w:p w14:paraId="786840A6" w14:textId="4A734C10" w:rsidR="00CB3A2D" w:rsidRPr="00755F3F" w:rsidRDefault="00CB3A2D" w:rsidP="00755F3F">
      <w:pPr>
        <w:pStyle w:val="FootnoteText"/>
        <w:ind w:left="113" w:hanging="113"/>
        <w:rPr>
          <w:lang w:val="hr-HR"/>
        </w:rPr>
      </w:pPr>
      <w:r w:rsidRPr="0090554A">
        <w:rPr>
          <w:rStyle w:val="FootnoteReference"/>
          <w:color w:val="auto"/>
        </w:rPr>
        <w:sym w:font="Symbol" w:char="F037"/>
      </w:r>
      <w:r>
        <w:t xml:space="preserve"> </w:t>
      </w:r>
      <w:r w:rsidRPr="00F73027">
        <w:rPr>
          <w:rFonts w:cs="Arial"/>
          <w:color w:val="auto"/>
          <w:szCs w:val="16"/>
          <w:lang w:val="hr-HR"/>
        </w:rPr>
        <w:t>Riječ je o područjima koja su zaštićena kao dio mreže Natura 2000 (uključujući posebna područja zaštite i područja posebne zaštite), potencijalnim područjima Natura 2000, područjima zaštićenim sukladno Ramsarskoj konvenciji, područjima važnim za ptice, područjima iz Smaragdne mreže i drugim područjima, već prema okolnostima.</w:t>
      </w:r>
    </w:p>
  </w:footnote>
  <w:footnote w:id="22">
    <w:p w14:paraId="6A5F4CD4" w14:textId="77781AD8" w:rsidR="00CB3A2D" w:rsidRPr="00755F3F" w:rsidRDefault="00CB3A2D">
      <w:pPr>
        <w:pStyle w:val="FootnoteText"/>
        <w:rPr>
          <w:lang w:val="hr-HR"/>
        </w:rPr>
      </w:pPr>
      <w:r w:rsidRPr="0090554A">
        <w:rPr>
          <w:rStyle w:val="FootnoteReference"/>
          <w:color w:val="auto"/>
        </w:rPr>
        <w:sym w:font="Symbol" w:char="F038"/>
      </w:r>
      <w:r w:rsidRPr="0090554A">
        <w:rPr>
          <w:color w:val="auto"/>
        </w:rPr>
        <w:t xml:space="preserve"> </w:t>
      </w:r>
      <w:r w:rsidRPr="00F73027">
        <w:rPr>
          <w:rFonts w:cs="Arial"/>
          <w:color w:val="auto"/>
          <w:szCs w:val="16"/>
          <w:lang w:val="hr-HR"/>
        </w:rPr>
        <w:t>Uzimajući u obzir zahtjeve iz članka 6. stavak 3. Direktive 92/43/EEZ o očuvanju prirodnih staništa i divlje faune i flore</w:t>
      </w:r>
    </w:p>
  </w:footnote>
  <w:footnote w:id="23">
    <w:p w14:paraId="3C075807" w14:textId="41BC7DA5" w:rsidR="00CB3A2D" w:rsidRPr="00755F3F" w:rsidRDefault="00CB3A2D" w:rsidP="00755F3F">
      <w:pPr>
        <w:pStyle w:val="FootnoteText"/>
        <w:ind w:left="113" w:hanging="113"/>
        <w:rPr>
          <w:lang w:val="hr-HR"/>
        </w:rPr>
      </w:pPr>
      <w:r w:rsidRPr="0090554A">
        <w:rPr>
          <w:rStyle w:val="FootnoteReference"/>
          <w:color w:val="auto"/>
        </w:rPr>
        <w:sym w:font="Symbol" w:char="F039"/>
      </w:r>
      <w:r w:rsidRPr="0090554A">
        <w:rPr>
          <w:color w:val="auto"/>
        </w:rPr>
        <w:t xml:space="preserve"> </w:t>
      </w:r>
      <w:r w:rsidRPr="00F73027">
        <w:rPr>
          <w:rFonts w:cs="Arial"/>
          <w:color w:val="auto"/>
          <w:szCs w:val="16"/>
          <w:lang w:val="hr-HR"/>
        </w:rPr>
        <w:t>Riječ je o područjima koja su zaštićena kao dio mreže Natura 2000 (uključujući posebna područja zaštite i područja posebne zaštite), potencijalnim područjima Natura 2000, područjima zaštićenim sukladno Ramsarskoj konvenciji, područjima važnim za ptice, područjima iz Smaragdne mreže i drugim područjima, već prema okolnostima</w:t>
      </w:r>
    </w:p>
  </w:footnote>
  <w:footnote w:id="24">
    <w:p w14:paraId="3C05DE38" w14:textId="4657940C" w:rsidR="00CB3A2D" w:rsidRPr="00755F3F" w:rsidRDefault="00CB3A2D">
      <w:pPr>
        <w:pStyle w:val="FootnoteText"/>
        <w:rPr>
          <w:lang w:val="hr-HR"/>
        </w:rPr>
      </w:pPr>
      <w:r w:rsidRPr="0090554A">
        <w:rPr>
          <w:rStyle w:val="FootnoteReference"/>
          <w:color w:val="auto"/>
        </w:rPr>
        <w:sym w:font="Symbol" w:char="F031"/>
      </w:r>
      <w:r w:rsidRPr="0090554A">
        <w:rPr>
          <w:rStyle w:val="FootnoteReference"/>
          <w:color w:val="auto"/>
        </w:rPr>
        <w:sym w:font="Symbol" w:char="F030"/>
      </w:r>
      <w:r>
        <w:t xml:space="preserve"> </w:t>
      </w:r>
      <w:r w:rsidRPr="00F73027">
        <w:rPr>
          <w:rFonts w:cs="Arial"/>
          <w:color w:val="auto"/>
          <w:szCs w:val="16"/>
          <w:lang w:val="hr-HR"/>
        </w:rPr>
        <w:t>Uzimajući u obzir zahtjeve iz članka 6. stavak 3. Direktive 92/43/EEZ o očuvanju prirodnih staništa i divlje faune i flore.</w:t>
      </w:r>
    </w:p>
  </w:footnote>
  <w:footnote w:id="25">
    <w:p w14:paraId="73BA220D" w14:textId="63A8E5F4" w:rsidR="00CB3A2D" w:rsidRPr="00755F3F" w:rsidRDefault="00CB3A2D" w:rsidP="00755F3F">
      <w:pPr>
        <w:pStyle w:val="FootnoteText"/>
        <w:ind w:left="170" w:hanging="170"/>
        <w:rPr>
          <w:lang w:val="hr-HR"/>
        </w:rPr>
      </w:pPr>
      <w:r w:rsidRPr="006B7845">
        <w:rPr>
          <w:rStyle w:val="FootnoteReference"/>
          <w:color w:val="auto"/>
        </w:rPr>
        <w:sym w:font="Symbol" w:char="F031"/>
      </w:r>
      <w:r w:rsidRPr="006B7845">
        <w:rPr>
          <w:rStyle w:val="FootnoteReference"/>
          <w:color w:val="auto"/>
        </w:rPr>
        <w:sym w:font="Symbol" w:char="F031"/>
      </w:r>
      <w:r>
        <w:t xml:space="preserve"> </w:t>
      </w:r>
      <w:r w:rsidRPr="00F73027">
        <w:rPr>
          <w:rFonts w:cs="Arial"/>
          <w:color w:val="auto"/>
          <w:szCs w:val="16"/>
          <w:lang w:val="hr-HR"/>
        </w:rPr>
        <w:t>Riječ je o područjima koja su zaštićena kao dio mreže Natura 2000 (uključujući posebna područja zaštite i područja posebne zaštite), potencijalnim područjima Natura 2000, područjima zaštićenim sukladno Ramsarskoj konvenciji, područjima važnim za ptice, područjima iz Smaragdne mreže i drugim područjima, već prema okolnostima.</w:t>
      </w:r>
    </w:p>
  </w:footnote>
  <w:footnote w:id="26">
    <w:p w14:paraId="3812A771" w14:textId="06C614A9" w:rsidR="00CB3A2D" w:rsidRPr="00755F3F" w:rsidRDefault="00CB3A2D">
      <w:pPr>
        <w:pStyle w:val="FootnoteText"/>
        <w:rPr>
          <w:lang w:val="hr-HR"/>
        </w:rPr>
      </w:pPr>
      <w:r w:rsidRPr="006B7845">
        <w:rPr>
          <w:rStyle w:val="FootnoteReference"/>
          <w:color w:val="auto"/>
        </w:rPr>
        <w:sym w:font="Symbol" w:char="F031"/>
      </w:r>
      <w:r w:rsidRPr="006B7845">
        <w:rPr>
          <w:rStyle w:val="FootnoteReference"/>
          <w:color w:val="auto"/>
        </w:rPr>
        <w:sym w:font="Symbol" w:char="F032"/>
      </w:r>
      <w:r>
        <w:t xml:space="preserve"> </w:t>
      </w:r>
      <w:r w:rsidRPr="00F73027">
        <w:rPr>
          <w:rFonts w:cs="Arial"/>
          <w:color w:val="auto"/>
          <w:szCs w:val="16"/>
          <w:lang w:val="hr-HR"/>
        </w:rPr>
        <w:t>Uzimajući u obzir zahtjeve iz članka 6. stavak 4. Direktive 92/43/EEZ o očuvanju prirodnih staništa i divlje faune i flore</w:t>
      </w:r>
    </w:p>
  </w:footnote>
  <w:footnote w:id="27">
    <w:p w14:paraId="23A6E805" w14:textId="47D203D1" w:rsidR="00CB3A2D" w:rsidRPr="000002A8" w:rsidRDefault="00CB3A2D" w:rsidP="000002A8">
      <w:pPr>
        <w:pStyle w:val="FootnoteText"/>
        <w:ind w:left="170" w:hanging="170"/>
        <w:rPr>
          <w:lang w:val="hr-HR"/>
        </w:rPr>
      </w:pPr>
      <w:r w:rsidRPr="006B7845">
        <w:rPr>
          <w:rStyle w:val="FootnoteReference"/>
          <w:color w:val="auto"/>
        </w:rPr>
        <w:sym w:font="Symbol" w:char="F031"/>
      </w:r>
      <w:r w:rsidRPr="006B7845">
        <w:rPr>
          <w:rStyle w:val="FootnoteReference"/>
          <w:color w:val="auto"/>
        </w:rPr>
        <w:sym w:font="Symbol" w:char="F033"/>
      </w:r>
      <w:r>
        <w:t xml:space="preserve"> </w:t>
      </w:r>
      <w:r w:rsidRPr="00F73027">
        <w:rPr>
          <w:rFonts w:cs="Arial"/>
          <w:color w:val="auto"/>
          <w:szCs w:val="16"/>
          <w:lang w:val="hr-HR"/>
        </w:rPr>
        <w:t>Napomena: Naglasak treba staviti na očekivane štetne utjecaje na staništa i vrste zbog kojih je predmetno područje predloženo za uvrštenje u mrežu Natura 2000. Potrebno je navesti sve podatke koji bi mogli biti bitni u svakom pojedinom slučaju, ovisno o utvrđenim posljedicama po zahvaćene vrste i staništa.</w:t>
      </w:r>
    </w:p>
  </w:footnote>
  <w:footnote w:id="28">
    <w:p w14:paraId="7B1F98D3" w14:textId="13CDB424" w:rsidR="00CB3A2D" w:rsidRPr="000002A8" w:rsidRDefault="00CB3A2D">
      <w:pPr>
        <w:pStyle w:val="FootnoteText"/>
        <w:rPr>
          <w:lang w:val="hr-HR"/>
        </w:rPr>
      </w:pPr>
      <w:r w:rsidRPr="00653DCF">
        <w:rPr>
          <w:rStyle w:val="FootnoteReference"/>
          <w:color w:val="auto"/>
        </w:rPr>
        <w:sym w:font="Symbol" w:char="F031"/>
      </w:r>
      <w:r w:rsidRPr="00653DCF">
        <w:rPr>
          <w:rStyle w:val="FootnoteReference"/>
          <w:color w:val="auto"/>
        </w:rPr>
        <w:sym w:font="Symbol" w:char="F034"/>
      </w:r>
      <w:r>
        <w:t xml:space="preserve"> </w:t>
      </w:r>
      <w:r w:rsidRPr="00F73027">
        <w:rPr>
          <w:rFonts w:cs="Arial"/>
          <w:color w:val="auto"/>
          <w:szCs w:val="16"/>
          <w:lang w:val="hr-HR"/>
        </w:rPr>
        <w:t>Potrebna razina podrobnosti može se razlikovati ovisno o tome dostavlja li se obavijest na uvid ili radi dobivanja mišljenja.</w:t>
      </w:r>
    </w:p>
  </w:footnote>
  <w:footnote w:id="29">
    <w:p w14:paraId="36460078" w14:textId="505416F9" w:rsidR="00CB3A2D" w:rsidRPr="000002A8" w:rsidRDefault="00CB3A2D">
      <w:pPr>
        <w:pStyle w:val="FootnoteText"/>
        <w:rPr>
          <w:lang w:val="hr-HR"/>
        </w:rPr>
      </w:pPr>
      <w:r w:rsidRPr="00653DCF">
        <w:rPr>
          <w:rStyle w:val="FootnoteReference"/>
          <w:color w:val="auto"/>
        </w:rPr>
        <w:sym w:font="Symbol" w:char="F031"/>
      </w:r>
      <w:r w:rsidRPr="00653DCF">
        <w:rPr>
          <w:rStyle w:val="FootnoteReference"/>
          <w:color w:val="auto"/>
        </w:rPr>
        <w:sym w:font="Symbol" w:char="F035"/>
      </w:r>
      <w:r>
        <w:t xml:space="preserve"> </w:t>
      </w:r>
      <w:r w:rsidRPr="00F73027">
        <w:rPr>
          <w:rFonts w:cs="Arial"/>
          <w:color w:val="auto"/>
          <w:szCs w:val="16"/>
          <w:lang w:val="hr-HR"/>
        </w:rPr>
        <w:t>Potrebna razina podrobnosti može se razlikovati ovisno o tome dostavlja li se obavijest na uvid ili radi dobivanja mišljenja</w:t>
      </w:r>
      <w:r w:rsidRPr="00F73027">
        <w:rPr>
          <w:color w:val="auto"/>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961C" w14:textId="32193DC1" w:rsidR="00CB3A2D" w:rsidRDefault="00CB3A2D">
    <w:pPr>
      <w:pStyle w:val="Header"/>
    </w:pPr>
    <w:r>
      <w:rPr>
        <w:noProof/>
        <w:lang w:val="hr-HR" w:eastAsia="hr-HR"/>
      </w:rPr>
      <mc:AlternateContent>
        <mc:Choice Requires="wps">
          <w:drawing>
            <wp:anchor distT="0" distB="0" distL="0" distR="0" simplePos="0" relativeHeight="251657216" behindDoc="0" locked="0" layoutInCell="1" allowOverlap="1" wp14:anchorId="0D62F0AE" wp14:editId="17ADCF3A">
              <wp:simplePos x="635" y="635"/>
              <wp:positionH relativeFrom="page">
                <wp:align>center</wp:align>
              </wp:positionH>
              <wp:positionV relativeFrom="page">
                <wp:align>top</wp:align>
              </wp:positionV>
              <wp:extent cx="443865" cy="443865"/>
              <wp:effectExtent l="0" t="0" r="5080" b="16510"/>
              <wp:wrapNone/>
              <wp:docPr id="4" name="Okvir za unos teksta 4." descr="Corporate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C1BB08" w14:textId="2D30E964" w:rsidR="00CB3A2D" w:rsidRDefault="00CB3A2D">
                          <w:pPr>
                            <w:pStyle w:val="P68B1DB1-Normal38"/>
                            <w:spacing w:after="0"/>
                          </w:pPr>
                          <w:r>
                            <w:t>Korporativna uporaba</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62F0AE" id="_x0000_t202" coordsize="21600,21600" o:spt="202" path="m,l,21600r21600,l21600,xe">
              <v:stroke joinstyle="miter"/>
              <v:path gradientshapeok="t" o:connecttype="rect"/>
            </v:shapetype>
            <v:shape id="_x0000_s1032" type="#_x0000_t202" alt="Corporate Use" style="position:absolute;left:0;text-align:left;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" filled="f" stroked="f">
              <v:textbox style="mso-fit-shape-to-text:t" inset="0,15pt,0,0">
                <w:txbxContent>
                  <w:p w14:paraId="12C1BB08" w14:textId="2D30E964" w:rsidR="00CB3A2D" w:rsidRDefault="00CB3A2D">
                    <w:pPr>
                      <w:pStyle w:val="P68B1DB1-Normal38"/>
                      <w:spacing w:after="0"/>
                    </w:pPr>
                    <w:r>
                      <w:t>Korporativna uporaba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9A0"/>
    <w:multiLevelType w:val="multilevel"/>
    <w:tmpl w:val="E3802090"/>
    <w:numStyleLink w:val="ListsEIB"/>
  </w:abstractNum>
  <w:abstractNum w:abstractNumId="1" w15:restartNumberingAfterBreak="0">
    <w:nsid w:val="036203B4"/>
    <w:multiLevelType w:val="multilevel"/>
    <w:tmpl w:val="E3802090"/>
    <w:numStyleLink w:val="ListsEIB"/>
  </w:abstractNum>
  <w:abstractNum w:abstractNumId="2" w15:restartNumberingAfterBreak="0">
    <w:nsid w:val="04CF38BE"/>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 w15:restartNumberingAfterBreak="0">
    <w:nsid w:val="05820BFB"/>
    <w:multiLevelType w:val="hybridMultilevel"/>
    <w:tmpl w:val="7A6E2BB4"/>
    <w:lvl w:ilvl="0" w:tplc="1E38CB54">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7B4300"/>
    <w:multiLevelType w:val="multilevel"/>
    <w:tmpl w:val="E3802090"/>
    <w:numStyleLink w:val="ListsEIB"/>
  </w:abstractNum>
  <w:abstractNum w:abstractNumId="5" w15:restartNumberingAfterBreak="0">
    <w:nsid w:val="0684132C"/>
    <w:multiLevelType w:val="multilevel"/>
    <w:tmpl w:val="A42CA7FA"/>
    <w:lvl w:ilvl="0">
      <w:start w:val="1"/>
      <w:numFmt w:val="decimal"/>
      <w:lvlText w:val="%1"/>
      <w:lvlJc w:val="left"/>
      <w:pPr>
        <w:tabs>
          <w:tab w:val="num" w:pos="720"/>
        </w:tabs>
        <w:ind w:left="720" w:hanging="720"/>
      </w:pPr>
      <w:rPr>
        <w:b/>
      </w:rPr>
    </w:lvl>
    <w:lvl w:ilvl="1">
      <w:start w:val="1"/>
      <w:numFmt w:val="decimal"/>
      <w:lvlRestart w:val="0"/>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6AA5023"/>
    <w:multiLevelType w:val="multilevel"/>
    <w:tmpl w:val="7B2E334E"/>
    <w:styleLink w:val="HeadingsEIB"/>
    <w:lvl w:ilvl="0">
      <w:start w:val="1"/>
      <w:numFmt w:val="decimal"/>
      <w:suff w:val="nothing"/>
      <w:lvlText w:val="Article %1"/>
      <w:lvlJc w:val="left"/>
      <w:pPr>
        <w:ind w:left="357" w:hanging="357"/>
      </w:pPr>
      <w:rPr>
        <w:rFonts w:ascii="Arial Bold" w:hAnsi="Arial Bold" w:hint="default"/>
        <w:b/>
        <w:i w:val="0"/>
        <w:caps/>
        <w:vanish w:val="0"/>
        <w:sz w:val="20"/>
        <w:u w:val="single"/>
      </w:rPr>
    </w:lvl>
    <w:lvl w:ilvl="1">
      <w:start w:val="1"/>
      <w:numFmt w:val="decimal"/>
      <w:lvlText w:val="%1.%2"/>
      <w:lvlJc w:val="left"/>
      <w:pPr>
        <w:ind w:left="856" w:hanging="856"/>
      </w:pPr>
      <w:rPr>
        <w:rFonts w:hint="default"/>
        <w:b/>
        <w:i w:val="0"/>
      </w:rPr>
    </w:lvl>
    <w:lvl w:ilvl="2">
      <w:start w:val="1"/>
      <w:numFmt w:val="upperLetter"/>
      <w:lvlText w:val="%1.%2.%3"/>
      <w:lvlJc w:val="left"/>
      <w:pPr>
        <w:ind w:left="856" w:hanging="856"/>
      </w:pPr>
      <w:rPr>
        <w:rFonts w:hint="default"/>
        <w:b/>
        <w:i w:val="0"/>
      </w:rPr>
    </w:lvl>
    <w:lvl w:ilvl="3">
      <w:start w:val="1"/>
      <w:numFmt w:val="decimal"/>
      <w:lvlText w:val="%1.%2.%3(%4)"/>
      <w:lvlJc w:val="left"/>
      <w:pPr>
        <w:ind w:left="856" w:hanging="856"/>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07F43AF1"/>
    <w:multiLevelType w:val="multilevel"/>
    <w:tmpl w:val="BFC46A68"/>
    <w:lvl w:ilvl="0">
      <w:start w:val="2"/>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8" w15:restartNumberingAfterBreak="0">
    <w:nsid w:val="08A9689C"/>
    <w:multiLevelType w:val="multilevel"/>
    <w:tmpl w:val="E3802090"/>
    <w:numStyleLink w:val="ListsEIB"/>
  </w:abstractNum>
  <w:abstractNum w:abstractNumId="9" w15:restartNumberingAfterBreak="0">
    <w:nsid w:val="0A645CB9"/>
    <w:multiLevelType w:val="multilevel"/>
    <w:tmpl w:val="EC5AE206"/>
    <w:lvl w:ilvl="0">
      <w:start w:val="1"/>
      <w:numFmt w:val="upperRoman"/>
      <w:pStyle w:val="Annex"/>
      <w:suff w:val="nothing"/>
      <w:lvlText w:val="Dodatak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0" w15:restartNumberingAfterBreak="0">
    <w:nsid w:val="0C083DD2"/>
    <w:multiLevelType w:val="multilevel"/>
    <w:tmpl w:val="E3802090"/>
    <w:numStyleLink w:val="ListsEIB0"/>
  </w:abstractNum>
  <w:abstractNum w:abstractNumId="11" w15:restartNumberingAfterBreak="0">
    <w:nsid w:val="0C455233"/>
    <w:multiLevelType w:val="multilevel"/>
    <w:tmpl w:val="BD5A9B42"/>
    <w:styleLink w:val="Annexes"/>
    <w:lvl w:ilvl="0">
      <w:start w:val="1"/>
      <w:numFmt w:val="upperRoman"/>
      <w:suff w:val="nothing"/>
      <w:lvlText w:val="Annex %1"/>
      <w:lvlJc w:val="left"/>
      <w:pPr>
        <w:ind w:left="720" w:hanging="360"/>
      </w:pPr>
      <w:rPr>
        <w:rFonts w:ascii="Arial" w:hAnsi="Arial" w:hint="default"/>
      </w:rPr>
    </w:lvl>
    <w:lvl w:ilvl="1">
      <w:start w:val="1"/>
      <w:numFmt w:val="none"/>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2" w15:restartNumberingAfterBreak="0">
    <w:nsid w:val="0C997B5F"/>
    <w:multiLevelType w:val="multilevel"/>
    <w:tmpl w:val="85EAE4F6"/>
    <w:lvl w:ilvl="0">
      <w:start w:val="1"/>
      <w:numFmt w:val="decimal"/>
      <w:lvlText w:val="%1"/>
      <w:lvlJc w:val="left"/>
      <w:pPr>
        <w:tabs>
          <w:tab w:val="num" w:pos="435"/>
        </w:tabs>
        <w:ind w:left="435" w:hanging="435"/>
      </w:pPr>
    </w:lvl>
    <w:lvl w:ilvl="1">
      <w:start w:val="5"/>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D6349D2"/>
    <w:multiLevelType w:val="multilevel"/>
    <w:tmpl w:val="DF927D6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 w15:restartNumberingAfterBreak="0">
    <w:nsid w:val="0DF7696E"/>
    <w:multiLevelType w:val="multilevel"/>
    <w:tmpl w:val="0720A40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5" w15:restartNumberingAfterBreak="0">
    <w:nsid w:val="0ED77427"/>
    <w:multiLevelType w:val="multilevel"/>
    <w:tmpl w:val="E3802090"/>
    <w:numStyleLink w:val="ListsEIB"/>
  </w:abstractNum>
  <w:abstractNum w:abstractNumId="16" w15:restartNumberingAfterBreak="0">
    <w:nsid w:val="0F765852"/>
    <w:multiLevelType w:val="multilevel"/>
    <w:tmpl w:val="1CE4C53C"/>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7" w15:restartNumberingAfterBreak="0">
    <w:nsid w:val="11773A83"/>
    <w:multiLevelType w:val="multilevel"/>
    <w:tmpl w:val="E3802090"/>
    <w:numStyleLink w:val="ListsEIB"/>
  </w:abstractNum>
  <w:abstractNum w:abstractNumId="18" w15:restartNumberingAfterBreak="0">
    <w:nsid w:val="12447249"/>
    <w:multiLevelType w:val="multilevel"/>
    <w:tmpl w:val="E3802090"/>
    <w:numStyleLink w:val="ListsEIB"/>
  </w:abstractNum>
  <w:abstractNum w:abstractNumId="19" w15:restartNumberingAfterBreak="0">
    <w:nsid w:val="12765E2E"/>
    <w:multiLevelType w:val="multilevel"/>
    <w:tmpl w:val="E3802090"/>
    <w:numStyleLink w:val="ListsEIB"/>
  </w:abstractNum>
  <w:abstractNum w:abstractNumId="20" w15:restartNumberingAfterBreak="0">
    <w:nsid w:val="13293502"/>
    <w:multiLevelType w:val="multilevel"/>
    <w:tmpl w:val="E3802090"/>
    <w:numStyleLink w:val="ListsEIB"/>
  </w:abstractNum>
  <w:abstractNum w:abstractNumId="21" w15:restartNumberingAfterBreak="0">
    <w:nsid w:val="13747127"/>
    <w:multiLevelType w:val="multilevel"/>
    <w:tmpl w:val="1E66764E"/>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22" w15:restartNumberingAfterBreak="0">
    <w:nsid w:val="13832CBE"/>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23" w15:restartNumberingAfterBreak="0">
    <w:nsid w:val="13A31707"/>
    <w:multiLevelType w:val="multilevel"/>
    <w:tmpl w:val="C0C4A5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24" w15:restartNumberingAfterBreak="0">
    <w:nsid w:val="14A52094"/>
    <w:multiLevelType w:val="multilevel"/>
    <w:tmpl w:val="E3802090"/>
    <w:numStyleLink w:val="ListsEIB"/>
  </w:abstractNum>
  <w:abstractNum w:abstractNumId="25" w15:restartNumberingAfterBreak="0">
    <w:nsid w:val="16A31008"/>
    <w:multiLevelType w:val="multilevel"/>
    <w:tmpl w:val="E3802090"/>
    <w:numStyleLink w:val="ListsEIB"/>
  </w:abstractNum>
  <w:abstractNum w:abstractNumId="26" w15:restartNumberingAfterBreak="0">
    <w:nsid w:val="17B356B6"/>
    <w:multiLevelType w:val="multilevel"/>
    <w:tmpl w:val="E3802090"/>
    <w:numStyleLink w:val="ListsEIB"/>
  </w:abstractNum>
  <w:abstractNum w:abstractNumId="27" w15:restartNumberingAfterBreak="0">
    <w:nsid w:val="19B60E4A"/>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28" w15:restartNumberingAfterBreak="0">
    <w:nsid w:val="19E76EDD"/>
    <w:multiLevelType w:val="multilevel"/>
    <w:tmpl w:val="9DF664B6"/>
    <w:numStyleLink w:val="SchedulesLists"/>
  </w:abstractNum>
  <w:abstractNum w:abstractNumId="29" w15:restartNumberingAfterBreak="0">
    <w:nsid w:val="1A607BA5"/>
    <w:multiLevelType w:val="multilevel"/>
    <w:tmpl w:val="6A68877C"/>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0" w15:restartNumberingAfterBreak="0">
    <w:nsid w:val="1D1F71D4"/>
    <w:multiLevelType w:val="hybridMultilevel"/>
    <w:tmpl w:val="4362574E"/>
    <w:lvl w:ilvl="0" w:tplc="25629204">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D49247C"/>
    <w:multiLevelType w:val="multilevel"/>
    <w:tmpl w:val="8DDEF06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2" w15:restartNumberingAfterBreak="0">
    <w:nsid w:val="1D557529"/>
    <w:multiLevelType w:val="multilevel"/>
    <w:tmpl w:val="224C13A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3" w15:restartNumberingAfterBreak="0">
    <w:nsid w:val="1DBA3095"/>
    <w:multiLevelType w:val="multilevel"/>
    <w:tmpl w:val="9582048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4" w15:restartNumberingAfterBreak="0">
    <w:nsid w:val="1E1C5E23"/>
    <w:multiLevelType w:val="multilevel"/>
    <w:tmpl w:val="E3802090"/>
    <w:numStyleLink w:val="ListsEIB"/>
  </w:abstractNum>
  <w:abstractNum w:abstractNumId="35" w15:restartNumberingAfterBreak="0">
    <w:nsid w:val="1E654BBC"/>
    <w:multiLevelType w:val="multilevel"/>
    <w:tmpl w:val="655859D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6" w15:restartNumberingAfterBreak="0">
    <w:nsid w:val="1F204A6E"/>
    <w:multiLevelType w:val="hybridMultilevel"/>
    <w:tmpl w:val="2C505222"/>
    <w:lvl w:ilvl="0" w:tplc="F9200C24">
      <w:start w:val="1"/>
      <w:numFmt w:val="lowerLetter"/>
      <w:lvlText w:val="%1)"/>
      <w:lvlJc w:val="left"/>
      <w:pPr>
        <w:tabs>
          <w:tab w:val="num" w:pos="720"/>
        </w:tabs>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F7C1308"/>
    <w:multiLevelType w:val="multilevel"/>
    <w:tmpl w:val="6F50A9C4"/>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8" w15:restartNumberingAfterBreak="0">
    <w:nsid w:val="1FC57B38"/>
    <w:multiLevelType w:val="multilevel"/>
    <w:tmpl w:val="E520AEDE"/>
    <w:lvl w:ilvl="0">
      <w:start w:val="1"/>
      <w:numFmt w:val="upperLetter"/>
      <w:suff w:val="nothing"/>
      <w:lvlText w:val="Prilog %1"/>
      <w:lvlJc w:val="left"/>
      <w:pPr>
        <w:ind w:left="360" w:hanging="360"/>
      </w:pPr>
      <w:rPr>
        <w:rFonts w:ascii="Arial" w:hAnsi="Arial" w:hint="default"/>
        <w:b/>
        <w:i w:val="0"/>
        <w:caps w:val="0"/>
        <w:sz w:val="20"/>
      </w:rPr>
    </w:lvl>
    <w:lvl w:ilvl="1">
      <w:start w:val="1"/>
      <w:numFmt w:val="none"/>
      <w:suff w:val="nothing"/>
      <w:lvlText w:val=""/>
      <w:lvlJc w:val="left"/>
      <w:pPr>
        <w:ind w:left="0" w:firstLine="0"/>
      </w:pPr>
      <w:rPr>
        <w:rFonts w:hint="default"/>
      </w:rPr>
    </w:lvl>
    <w:lvl w:ilvl="2">
      <w:start w:val="1"/>
      <w:numFmt w:val="upperLetter"/>
      <w:pStyle w:val="SubSchedule2EIB"/>
      <w:lvlText w:val="%3."/>
      <w:lvlJc w:val="left"/>
      <w:pPr>
        <w:ind w:left="1080" w:hanging="360"/>
      </w:pPr>
      <w:rPr>
        <w:rFonts w:hint="default"/>
        <w:b/>
        <w:i w:val="0"/>
      </w:rPr>
    </w:lvl>
    <w:lvl w:ilvl="3">
      <w:start w:val="1"/>
      <w:numFmt w:val="decimal"/>
      <w:lvlRestart w:val="1"/>
      <w:pStyle w:val="SubSchedule3EIB"/>
      <w:lvlText w:val="%1.%4"/>
      <w:lvlJc w:val="left"/>
      <w:pPr>
        <w:ind w:left="1440" w:hanging="360"/>
      </w:pPr>
      <w:rPr>
        <w:rFonts w:hint="default"/>
        <w:b w:val="0"/>
        <w:i w:val="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FD846E0"/>
    <w:multiLevelType w:val="hybridMultilevel"/>
    <w:tmpl w:val="2F20282C"/>
    <w:lvl w:ilvl="0" w:tplc="BF5CCC34">
      <w:start w:val="1"/>
      <w:numFmt w:val="upperRoman"/>
      <w:lvlText w:val="%1."/>
      <w:lvlJc w:val="left"/>
      <w:pPr>
        <w:tabs>
          <w:tab w:val="num" w:pos="720"/>
        </w:tabs>
        <w:ind w:left="720" w:hanging="720"/>
      </w:pPr>
    </w:lvl>
    <w:lvl w:ilvl="1" w:tplc="080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2"/>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1FF77C63"/>
    <w:multiLevelType w:val="multilevel"/>
    <w:tmpl w:val="E3802090"/>
    <w:numStyleLink w:val="ListsEIB"/>
  </w:abstractNum>
  <w:abstractNum w:abstractNumId="41" w15:restartNumberingAfterBreak="0">
    <w:nsid w:val="20366702"/>
    <w:multiLevelType w:val="multilevel"/>
    <w:tmpl w:val="342001A8"/>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2" w15:restartNumberingAfterBreak="0">
    <w:nsid w:val="209F2109"/>
    <w:multiLevelType w:val="multilevel"/>
    <w:tmpl w:val="E3802090"/>
    <w:numStyleLink w:val="ListsEIB"/>
  </w:abstractNum>
  <w:abstractNum w:abstractNumId="43" w15:restartNumberingAfterBreak="0">
    <w:nsid w:val="22072531"/>
    <w:multiLevelType w:val="multilevel"/>
    <w:tmpl w:val="E3802090"/>
    <w:numStyleLink w:val="ListsEIB"/>
  </w:abstractNum>
  <w:abstractNum w:abstractNumId="44" w15:restartNumberingAfterBreak="0">
    <w:nsid w:val="22B063CC"/>
    <w:multiLevelType w:val="multilevel"/>
    <w:tmpl w:val="9C2E1C68"/>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5" w15:restartNumberingAfterBreak="0">
    <w:nsid w:val="236F1ACB"/>
    <w:multiLevelType w:val="multilevel"/>
    <w:tmpl w:val="FA3EA9D4"/>
    <w:lvl w:ilvl="0">
      <w:start w:val="1"/>
      <w:numFmt w:val="lowerRoman"/>
      <w:lvlText w:val="(%1)"/>
      <w:lvlJc w:val="left"/>
      <w:pPr>
        <w:ind w:left="1990" w:hanging="567"/>
      </w:pPr>
      <w:rPr>
        <w:rFonts w:hint="default"/>
        <w:sz w:val="20"/>
      </w:rPr>
    </w:lvl>
    <w:lvl w:ilvl="1">
      <w:start w:val="1"/>
      <w:numFmt w:val="lowerRoman"/>
      <w:lvlText w:val="(%2)"/>
      <w:lvlJc w:val="left"/>
      <w:pPr>
        <w:ind w:left="2557" w:hanging="567"/>
      </w:pPr>
      <w:rPr>
        <w:rFonts w:hint="default"/>
      </w:rPr>
    </w:lvl>
    <w:lvl w:ilvl="2">
      <w:start w:val="1"/>
      <w:numFmt w:val="decimal"/>
      <w:lvlText w:val="(%3)"/>
      <w:lvlJc w:val="left"/>
      <w:pPr>
        <w:ind w:left="3124" w:hanging="567"/>
      </w:pPr>
      <w:rPr>
        <w:rFonts w:hint="default"/>
      </w:rPr>
    </w:lvl>
    <w:lvl w:ilvl="3">
      <w:start w:val="1"/>
      <w:numFmt w:val="none"/>
      <w:lvlText w:val=""/>
      <w:lvlJc w:val="left"/>
      <w:pPr>
        <w:ind w:left="3124" w:hanging="1477"/>
      </w:pPr>
      <w:rPr>
        <w:rFonts w:hint="default"/>
      </w:rPr>
    </w:lvl>
    <w:lvl w:ilvl="4">
      <w:start w:val="1"/>
      <w:numFmt w:val="none"/>
      <w:lvlText w:val=""/>
      <w:lvlJc w:val="left"/>
      <w:pPr>
        <w:ind w:left="3124" w:hanging="1117"/>
      </w:pPr>
      <w:rPr>
        <w:rFonts w:hint="default"/>
      </w:rPr>
    </w:lvl>
    <w:lvl w:ilvl="5">
      <w:start w:val="1"/>
      <w:numFmt w:val="none"/>
      <w:lvlText w:val=""/>
      <w:lvlJc w:val="left"/>
      <w:pPr>
        <w:ind w:left="3124" w:hanging="757"/>
      </w:pPr>
      <w:rPr>
        <w:rFonts w:hint="default"/>
      </w:rPr>
    </w:lvl>
    <w:lvl w:ilvl="6">
      <w:start w:val="1"/>
      <w:numFmt w:val="none"/>
      <w:lvlText w:val=""/>
      <w:lvlJc w:val="left"/>
      <w:pPr>
        <w:ind w:left="3124" w:hanging="397"/>
      </w:pPr>
      <w:rPr>
        <w:rFonts w:hint="default"/>
      </w:rPr>
    </w:lvl>
    <w:lvl w:ilvl="7">
      <w:start w:val="1"/>
      <w:numFmt w:val="none"/>
      <w:lvlText w:val=""/>
      <w:lvlJc w:val="left"/>
      <w:pPr>
        <w:ind w:left="3124" w:hanging="37"/>
      </w:pPr>
      <w:rPr>
        <w:rFonts w:hint="default"/>
      </w:rPr>
    </w:lvl>
    <w:lvl w:ilvl="8">
      <w:start w:val="1"/>
      <w:numFmt w:val="none"/>
      <w:lvlText w:val=""/>
      <w:lvlJc w:val="left"/>
      <w:pPr>
        <w:ind w:left="3124" w:firstLine="323"/>
      </w:pPr>
      <w:rPr>
        <w:rFonts w:hint="default"/>
      </w:rPr>
    </w:lvl>
  </w:abstractNum>
  <w:abstractNum w:abstractNumId="46" w15:restartNumberingAfterBreak="0">
    <w:nsid w:val="24A3302E"/>
    <w:multiLevelType w:val="multilevel"/>
    <w:tmpl w:val="38B2957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7" w15:restartNumberingAfterBreak="0">
    <w:nsid w:val="267C0FD9"/>
    <w:multiLevelType w:val="multilevel"/>
    <w:tmpl w:val="EEE43300"/>
    <w:lvl w:ilvl="0">
      <w:start w:val="1"/>
      <w:numFmt w:val="upperLetter"/>
      <w:suff w:val="nothing"/>
      <w:lvlText w:val="Prilog %1"/>
      <w:lvlJc w:val="left"/>
      <w:pPr>
        <w:ind w:left="360" w:hanging="360"/>
      </w:pPr>
      <w:rPr>
        <w:rFonts w:ascii="Arial" w:hAnsi="Arial" w:hint="default"/>
        <w:b/>
        <w:i w:val="0"/>
        <w:caps w:val="0"/>
        <w:sz w:val="20"/>
      </w:rPr>
    </w:lvl>
    <w:lvl w:ilvl="1">
      <w:start w:val="1"/>
      <w:numFmt w:val="none"/>
      <w:suff w:val="nothing"/>
      <w:lvlText w:val=""/>
      <w:lvlJc w:val="left"/>
      <w:pPr>
        <w:ind w:left="0" w:firstLine="0"/>
      </w:pPr>
      <w:rPr>
        <w:rFonts w:hint="default"/>
      </w:rPr>
    </w:lvl>
    <w:lvl w:ilvl="2">
      <w:start w:val="1"/>
      <w:numFmt w:val="upperLetter"/>
      <w:lvlText w:val="%3."/>
      <w:lvlJc w:val="left"/>
      <w:pPr>
        <w:ind w:left="1080" w:hanging="360"/>
      </w:pPr>
      <w:rPr>
        <w:rFonts w:hint="default"/>
        <w:b/>
        <w:i w:val="0"/>
      </w:rPr>
    </w:lvl>
    <w:lvl w:ilvl="3">
      <w:start w:val="1"/>
      <w:numFmt w:val="decimal"/>
      <w:lvlRestart w:val="1"/>
      <w:lvlText w:val="%1.%4"/>
      <w:lvlJc w:val="left"/>
      <w:pPr>
        <w:ind w:left="1440" w:hanging="360"/>
      </w:pPr>
      <w:rPr>
        <w:rFonts w:hint="default"/>
        <w:b w:val="0"/>
        <w:i w:val="0"/>
        <w:u w:val="single"/>
      </w:rPr>
    </w:lvl>
    <w:lvl w:ilvl="4">
      <w:start w:val="1"/>
      <w:numFmt w:val="upperLetter"/>
      <w:lvlText w:val="%5.1.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69B2F40"/>
    <w:multiLevelType w:val="hybridMultilevel"/>
    <w:tmpl w:val="B25E5918"/>
    <w:lvl w:ilvl="0" w:tplc="95A2E5E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7645539"/>
    <w:multiLevelType w:val="multilevel"/>
    <w:tmpl w:val="BB22AAF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50" w15:restartNumberingAfterBreak="0">
    <w:nsid w:val="27D13A03"/>
    <w:multiLevelType w:val="multilevel"/>
    <w:tmpl w:val="E3802090"/>
    <w:numStyleLink w:val="ListsEIB"/>
  </w:abstractNum>
  <w:abstractNum w:abstractNumId="51" w15:restartNumberingAfterBreak="0">
    <w:nsid w:val="27F527F8"/>
    <w:multiLevelType w:val="multilevel"/>
    <w:tmpl w:val="E3802090"/>
    <w:styleLink w:val="ListsEIB"/>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52" w15:restartNumberingAfterBreak="0">
    <w:nsid w:val="280E4A06"/>
    <w:multiLevelType w:val="multilevel"/>
    <w:tmpl w:val="E3802090"/>
    <w:numStyleLink w:val="ListsEIB"/>
  </w:abstractNum>
  <w:abstractNum w:abstractNumId="53" w15:restartNumberingAfterBreak="0">
    <w:nsid w:val="283C4918"/>
    <w:multiLevelType w:val="multilevel"/>
    <w:tmpl w:val="E3802090"/>
    <w:numStyleLink w:val="ListsEIB"/>
  </w:abstractNum>
  <w:abstractNum w:abstractNumId="54" w15:restartNumberingAfterBreak="0">
    <w:nsid w:val="2B7E2E20"/>
    <w:multiLevelType w:val="multilevel"/>
    <w:tmpl w:val="E3802090"/>
    <w:numStyleLink w:val="ListsEIB"/>
  </w:abstractNum>
  <w:abstractNum w:abstractNumId="55" w15:restartNumberingAfterBreak="0">
    <w:nsid w:val="2BE07AA6"/>
    <w:multiLevelType w:val="multilevel"/>
    <w:tmpl w:val="9DF664B6"/>
    <w:styleLink w:val="SchedulesLists"/>
    <w:lvl w:ilvl="0">
      <w:start w:val="1"/>
      <w:numFmt w:val="upperLetter"/>
      <w:suff w:val="nothing"/>
      <w:lvlText w:val="Schedule %1"/>
      <w:lvlJc w:val="left"/>
      <w:pPr>
        <w:ind w:left="360" w:hanging="360"/>
      </w:pPr>
      <w:rPr>
        <w:rFonts w:ascii="Arial" w:hAnsi="Arial" w:hint="default"/>
        <w:b/>
        <w:i w:val="0"/>
        <w:caps w:val="0"/>
        <w:sz w:val="20"/>
      </w:rPr>
    </w:lvl>
    <w:lvl w:ilvl="1">
      <w:start w:val="1"/>
      <w:numFmt w:val="none"/>
      <w:suff w:val="nothing"/>
      <w:lvlText w:val=""/>
      <w:lvlJc w:val="left"/>
      <w:pPr>
        <w:ind w:left="0" w:firstLine="0"/>
      </w:pPr>
      <w:rPr>
        <w:rFonts w:hint="default"/>
      </w:rPr>
    </w:lvl>
    <w:lvl w:ilvl="2">
      <w:start w:val="1"/>
      <w:numFmt w:val="upperLetter"/>
      <w:lvlText w:val="%3."/>
      <w:lvlJc w:val="left"/>
      <w:pPr>
        <w:ind w:left="1080" w:hanging="360"/>
      </w:pPr>
      <w:rPr>
        <w:rFonts w:hint="default"/>
        <w:b/>
        <w:i w:val="0"/>
      </w:rPr>
    </w:lvl>
    <w:lvl w:ilvl="3">
      <w:start w:val="1"/>
      <w:numFmt w:val="decimal"/>
      <w:lvlRestart w:val="1"/>
      <w:lvlText w:val="%1.%4"/>
      <w:lvlJc w:val="left"/>
      <w:pPr>
        <w:ind w:left="1440" w:hanging="360"/>
      </w:pPr>
      <w:rPr>
        <w:rFonts w:hint="default"/>
        <w:b w:val="0"/>
        <w:i w:val="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D7473C4"/>
    <w:multiLevelType w:val="multilevel"/>
    <w:tmpl w:val="E3802090"/>
    <w:numStyleLink w:val="ListsEIB"/>
  </w:abstractNum>
  <w:abstractNum w:abstractNumId="57" w15:restartNumberingAfterBreak="0">
    <w:nsid w:val="2DA306FC"/>
    <w:multiLevelType w:val="hybridMultilevel"/>
    <w:tmpl w:val="C31C96AC"/>
    <w:lvl w:ilvl="0" w:tplc="D70EBD44">
      <w:start w:val="1"/>
      <w:numFmt w:val="lowerLetter"/>
      <w:lvlText w:val="%1)"/>
      <w:lvlJc w:val="left"/>
      <w:pPr>
        <w:tabs>
          <w:tab w:val="num" w:pos="720"/>
        </w:tabs>
        <w:ind w:left="720" w:hanging="360"/>
      </w:pPr>
      <w:rPr>
        <w:b w:val="0"/>
        <w:color w:val="auto"/>
      </w:rPr>
    </w:lvl>
    <w:lvl w:ilvl="1" w:tplc="04150001">
      <w:start w:val="1"/>
      <w:numFmt w:val="bullet"/>
      <w:lvlText w:val=""/>
      <w:lvlJc w:val="left"/>
      <w:pPr>
        <w:tabs>
          <w:tab w:val="num" w:pos="1440"/>
        </w:tabs>
        <w:ind w:left="1440" w:hanging="360"/>
      </w:pPr>
      <w:rPr>
        <w:rFonts w:ascii="Symbol" w:hAnsi="Symbol" w:hint="default"/>
        <w:color w:val="0000FF"/>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2E982DAD"/>
    <w:multiLevelType w:val="hybridMultilevel"/>
    <w:tmpl w:val="B25E5918"/>
    <w:lvl w:ilvl="0" w:tplc="95A2E5E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EA94277"/>
    <w:multiLevelType w:val="multilevel"/>
    <w:tmpl w:val="C1DEDA6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0" w15:restartNumberingAfterBreak="0">
    <w:nsid w:val="2EC45964"/>
    <w:multiLevelType w:val="multilevel"/>
    <w:tmpl w:val="97A880D8"/>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1" w15:restartNumberingAfterBreak="0">
    <w:nsid w:val="2F8E23C8"/>
    <w:multiLevelType w:val="multilevel"/>
    <w:tmpl w:val="E3802090"/>
    <w:numStyleLink w:val="ListsEIB"/>
  </w:abstractNum>
  <w:abstractNum w:abstractNumId="62" w15:restartNumberingAfterBreak="0">
    <w:nsid w:val="302E1E0D"/>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3" w15:restartNumberingAfterBreak="0">
    <w:nsid w:val="31455108"/>
    <w:multiLevelType w:val="multilevel"/>
    <w:tmpl w:val="FA3EA9D4"/>
    <w:lvl w:ilvl="0">
      <w:start w:val="1"/>
      <w:numFmt w:val="lowerRoman"/>
      <w:lvlText w:val="(%1)"/>
      <w:lvlJc w:val="left"/>
      <w:pPr>
        <w:ind w:left="1990" w:hanging="567"/>
      </w:pPr>
      <w:rPr>
        <w:rFonts w:hint="default"/>
        <w:sz w:val="20"/>
      </w:rPr>
    </w:lvl>
    <w:lvl w:ilvl="1">
      <w:start w:val="1"/>
      <w:numFmt w:val="lowerRoman"/>
      <w:lvlText w:val="(%2)"/>
      <w:lvlJc w:val="left"/>
      <w:pPr>
        <w:ind w:left="2557" w:hanging="567"/>
      </w:pPr>
      <w:rPr>
        <w:rFonts w:hint="default"/>
      </w:rPr>
    </w:lvl>
    <w:lvl w:ilvl="2">
      <w:start w:val="1"/>
      <w:numFmt w:val="decimal"/>
      <w:lvlText w:val="(%3)"/>
      <w:lvlJc w:val="left"/>
      <w:pPr>
        <w:ind w:left="3124" w:hanging="567"/>
      </w:pPr>
      <w:rPr>
        <w:rFonts w:hint="default"/>
      </w:rPr>
    </w:lvl>
    <w:lvl w:ilvl="3">
      <w:start w:val="1"/>
      <w:numFmt w:val="none"/>
      <w:lvlText w:val=""/>
      <w:lvlJc w:val="left"/>
      <w:pPr>
        <w:ind w:left="3124" w:hanging="1477"/>
      </w:pPr>
      <w:rPr>
        <w:rFonts w:hint="default"/>
      </w:rPr>
    </w:lvl>
    <w:lvl w:ilvl="4">
      <w:start w:val="1"/>
      <w:numFmt w:val="none"/>
      <w:lvlText w:val=""/>
      <w:lvlJc w:val="left"/>
      <w:pPr>
        <w:ind w:left="3124" w:hanging="1117"/>
      </w:pPr>
      <w:rPr>
        <w:rFonts w:hint="default"/>
      </w:rPr>
    </w:lvl>
    <w:lvl w:ilvl="5">
      <w:start w:val="1"/>
      <w:numFmt w:val="none"/>
      <w:lvlText w:val=""/>
      <w:lvlJc w:val="left"/>
      <w:pPr>
        <w:ind w:left="3124" w:hanging="757"/>
      </w:pPr>
      <w:rPr>
        <w:rFonts w:hint="default"/>
      </w:rPr>
    </w:lvl>
    <w:lvl w:ilvl="6">
      <w:start w:val="1"/>
      <w:numFmt w:val="none"/>
      <w:lvlText w:val=""/>
      <w:lvlJc w:val="left"/>
      <w:pPr>
        <w:ind w:left="3124" w:hanging="397"/>
      </w:pPr>
      <w:rPr>
        <w:rFonts w:hint="default"/>
      </w:rPr>
    </w:lvl>
    <w:lvl w:ilvl="7">
      <w:start w:val="1"/>
      <w:numFmt w:val="none"/>
      <w:lvlText w:val=""/>
      <w:lvlJc w:val="left"/>
      <w:pPr>
        <w:ind w:left="3124" w:hanging="37"/>
      </w:pPr>
      <w:rPr>
        <w:rFonts w:hint="default"/>
      </w:rPr>
    </w:lvl>
    <w:lvl w:ilvl="8">
      <w:start w:val="1"/>
      <w:numFmt w:val="none"/>
      <w:lvlText w:val=""/>
      <w:lvlJc w:val="left"/>
      <w:pPr>
        <w:ind w:left="3124" w:firstLine="323"/>
      </w:pPr>
      <w:rPr>
        <w:rFonts w:hint="default"/>
      </w:rPr>
    </w:lvl>
  </w:abstractNum>
  <w:abstractNum w:abstractNumId="64" w15:restartNumberingAfterBreak="0">
    <w:nsid w:val="32A523FA"/>
    <w:multiLevelType w:val="multilevel"/>
    <w:tmpl w:val="B078667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5" w15:restartNumberingAfterBreak="0">
    <w:nsid w:val="32C743B9"/>
    <w:multiLevelType w:val="multilevel"/>
    <w:tmpl w:val="1048043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6" w15:restartNumberingAfterBreak="0">
    <w:nsid w:val="33D6473E"/>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7" w15:restartNumberingAfterBreak="0">
    <w:nsid w:val="34420B3D"/>
    <w:multiLevelType w:val="multilevel"/>
    <w:tmpl w:val="DF904B74"/>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8" w15:restartNumberingAfterBreak="0">
    <w:nsid w:val="34544548"/>
    <w:multiLevelType w:val="multilevel"/>
    <w:tmpl w:val="5B2C21A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9" w15:restartNumberingAfterBreak="0">
    <w:nsid w:val="34804260"/>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70" w15:restartNumberingAfterBreak="0">
    <w:nsid w:val="34C777BE"/>
    <w:multiLevelType w:val="multilevel"/>
    <w:tmpl w:val="B50C351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71" w15:restartNumberingAfterBreak="0">
    <w:nsid w:val="35FB1C36"/>
    <w:multiLevelType w:val="multilevel"/>
    <w:tmpl w:val="E3802090"/>
    <w:numStyleLink w:val="ListsEIB0"/>
  </w:abstractNum>
  <w:abstractNum w:abstractNumId="72" w15:restartNumberingAfterBreak="0">
    <w:nsid w:val="360C1B7A"/>
    <w:multiLevelType w:val="multilevel"/>
    <w:tmpl w:val="E3802090"/>
    <w:styleLink w:val="ListsEIB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73" w15:restartNumberingAfterBreak="0">
    <w:nsid w:val="361336C9"/>
    <w:multiLevelType w:val="hybridMultilevel"/>
    <w:tmpl w:val="940E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6826527"/>
    <w:multiLevelType w:val="multilevel"/>
    <w:tmpl w:val="C3064C48"/>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75" w15:restartNumberingAfterBreak="0">
    <w:nsid w:val="37D77F32"/>
    <w:multiLevelType w:val="multilevel"/>
    <w:tmpl w:val="D1403E58"/>
    <w:styleLink w:val="HeadingsEIB0"/>
    <w:lvl w:ilvl="0">
      <w:start w:val="1"/>
      <w:numFmt w:val="decimal"/>
      <w:suff w:val="nothing"/>
      <w:lvlText w:val="Article %1"/>
      <w:lvlJc w:val="left"/>
      <w:pPr>
        <w:ind w:left="5319" w:hanging="357"/>
      </w:pPr>
      <w:rPr>
        <w:rFonts w:ascii="Arial" w:hAnsi="Arial" w:hint="default"/>
        <w:b/>
        <w:i w:val="0"/>
        <w:caps/>
        <w:vanish w:val="0"/>
        <w:sz w:val="20"/>
        <w:u w:val="single"/>
      </w:rPr>
    </w:lvl>
    <w:lvl w:ilvl="1">
      <w:start w:val="1"/>
      <w:numFmt w:val="decimal"/>
      <w:lvlText w:val="%1.%2"/>
      <w:lvlJc w:val="left"/>
      <w:pPr>
        <w:ind w:left="856" w:hanging="856"/>
      </w:pPr>
      <w:rPr>
        <w:rFonts w:hint="default"/>
        <w:b/>
        <w:i w:val="0"/>
      </w:rPr>
    </w:lvl>
    <w:lvl w:ilvl="2">
      <w:start w:val="1"/>
      <w:numFmt w:val="upperLetter"/>
      <w:lvlText w:val="%1.%2.%3"/>
      <w:lvlJc w:val="left"/>
      <w:pPr>
        <w:ind w:left="856" w:hanging="856"/>
      </w:pPr>
      <w:rPr>
        <w:rFonts w:hint="default"/>
        <w:b/>
        <w:i w:val="0"/>
      </w:rPr>
    </w:lvl>
    <w:lvl w:ilvl="3">
      <w:start w:val="1"/>
      <w:numFmt w:val="decimal"/>
      <w:lvlText w:val="%1.%2.%3(%4)"/>
      <w:lvlJc w:val="left"/>
      <w:pPr>
        <w:ind w:left="856" w:hanging="856"/>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6" w15:restartNumberingAfterBreak="0">
    <w:nsid w:val="380D7BB5"/>
    <w:multiLevelType w:val="multilevel"/>
    <w:tmpl w:val="823A6DAE"/>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77" w15:restartNumberingAfterBreak="0">
    <w:nsid w:val="384030FB"/>
    <w:multiLevelType w:val="multilevel"/>
    <w:tmpl w:val="E3802090"/>
    <w:numStyleLink w:val="ListsEIB"/>
  </w:abstractNum>
  <w:abstractNum w:abstractNumId="78" w15:restartNumberingAfterBreak="0">
    <w:nsid w:val="39827887"/>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79" w15:restartNumberingAfterBreak="0">
    <w:nsid w:val="3A093621"/>
    <w:multiLevelType w:val="hybridMultilevel"/>
    <w:tmpl w:val="940E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79449A"/>
    <w:multiLevelType w:val="hybridMultilevel"/>
    <w:tmpl w:val="CD76C5D8"/>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212D72"/>
    <w:multiLevelType w:val="multilevel"/>
    <w:tmpl w:val="E3802090"/>
    <w:numStyleLink w:val="ListsEIB0"/>
  </w:abstractNum>
  <w:abstractNum w:abstractNumId="82" w15:restartNumberingAfterBreak="0">
    <w:nsid w:val="3F415071"/>
    <w:multiLevelType w:val="multilevel"/>
    <w:tmpl w:val="E41240BA"/>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456BB3"/>
    <w:multiLevelType w:val="multilevel"/>
    <w:tmpl w:val="E222B358"/>
    <w:lvl w:ilvl="0">
      <w:start w:val="1"/>
      <w:numFmt w:val="decimal"/>
      <w:pStyle w:val="Heading1"/>
      <w:suff w:val="nothing"/>
      <w:lvlText w:val="članak %1."/>
      <w:lvlJc w:val="center"/>
      <w:pPr>
        <w:ind w:left="7627" w:hanging="680"/>
      </w:pPr>
      <w:rPr>
        <w:b/>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849" w:hanging="856"/>
      </w:pPr>
      <w:rPr>
        <w:rFonts w:hint="default"/>
        <w:b/>
        <w:i w:val="0"/>
      </w:rPr>
    </w:lvl>
    <w:lvl w:ilvl="2">
      <w:start w:val="1"/>
      <w:numFmt w:val="upperLetter"/>
      <w:pStyle w:val="Heading3"/>
      <w:lvlText w:val="%1.%2.%3"/>
      <w:lvlJc w:val="left"/>
      <w:pPr>
        <w:ind w:left="1849" w:hanging="856"/>
      </w:pPr>
      <w:rPr>
        <w:rFonts w:hint="default"/>
        <w:b/>
        <w:i w:val="0"/>
      </w:rPr>
    </w:lvl>
    <w:lvl w:ilvl="3">
      <w:start w:val="1"/>
      <w:numFmt w:val="decimal"/>
      <w:pStyle w:val="Heading4"/>
      <w:lvlText w:val="%1.%2.%3(%4)"/>
      <w:lvlJc w:val="left"/>
      <w:pPr>
        <w:ind w:left="1849" w:hanging="856"/>
      </w:pPr>
      <w:rPr>
        <w:rFonts w:hint="default"/>
      </w:rPr>
    </w:lvl>
    <w:lvl w:ilvl="4">
      <w:start w:val="1"/>
      <w:numFmt w:val="lowerLetter"/>
      <w:lvlText w:val="(%5)"/>
      <w:lvlJc w:val="left"/>
      <w:pPr>
        <w:ind w:left="2778" w:hanging="357"/>
      </w:pPr>
      <w:rPr>
        <w:rFonts w:hint="default"/>
      </w:rPr>
    </w:lvl>
    <w:lvl w:ilvl="5">
      <w:start w:val="1"/>
      <w:numFmt w:val="lowerRoman"/>
      <w:lvlText w:val="(%6)"/>
      <w:lvlJc w:val="left"/>
      <w:pPr>
        <w:ind w:left="3135" w:hanging="357"/>
      </w:pPr>
      <w:rPr>
        <w:rFonts w:hint="default"/>
      </w:rPr>
    </w:lvl>
    <w:lvl w:ilvl="6">
      <w:start w:val="1"/>
      <w:numFmt w:val="decimal"/>
      <w:lvlText w:val="%7."/>
      <w:lvlJc w:val="left"/>
      <w:pPr>
        <w:ind w:left="3492" w:hanging="357"/>
      </w:pPr>
      <w:rPr>
        <w:rFonts w:hint="default"/>
      </w:rPr>
    </w:lvl>
    <w:lvl w:ilvl="7">
      <w:start w:val="1"/>
      <w:numFmt w:val="lowerLetter"/>
      <w:lvlText w:val="%8."/>
      <w:lvlJc w:val="left"/>
      <w:pPr>
        <w:ind w:left="3849" w:hanging="357"/>
      </w:pPr>
      <w:rPr>
        <w:rFonts w:hint="default"/>
      </w:rPr>
    </w:lvl>
    <w:lvl w:ilvl="8">
      <w:start w:val="1"/>
      <w:numFmt w:val="lowerRoman"/>
      <w:lvlText w:val="%9."/>
      <w:lvlJc w:val="left"/>
      <w:pPr>
        <w:ind w:left="4206" w:hanging="357"/>
      </w:pPr>
      <w:rPr>
        <w:rFonts w:hint="default"/>
      </w:rPr>
    </w:lvl>
  </w:abstractNum>
  <w:abstractNum w:abstractNumId="84" w15:restartNumberingAfterBreak="0">
    <w:nsid w:val="3F7E032F"/>
    <w:multiLevelType w:val="multilevel"/>
    <w:tmpl w:val="8FAEB284"/>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85" w15:restartNumberingAfterBreak="0">
    <w:nsid w:val="402F06DA"/>
    <w:multiLevelType w:val="multilevel"/>
    <w:tmpl w:val="43D257AA"/>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86" w15:restartNumberingAfterBreak="0">
    <w:nsid w:val="41C55C27"/>
    <w:multiLevelType w:val="multilevel"/>
    <w:tmpl w:val="754C7A3A"/>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87" w15:restartNumberingAfterBreak="0">
    <w:nsid w:val="42405304"/>
    <w:multiLevelType w:val="multilevel"/>
    <w:tmpl w:val="3C9CBAFC"/>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88" w15:restartNumberingAfterBreak="0">
    <w:nsid w:val="428E7D32"/>
    <w:multiLevelType w:val="multilevel"/>
    <w:tmpl w:val="E3802090"/>
    <w:numStyleLink w:val="ListsEIB0"/>
  </w:abstractNum>
  <w:abstractNum w:abstractNumId="89" w15:restartNumberingAfterBreak="0">
    <w:nsid w:val="43670860"/>
    <w:multiLevelType w:val="multilevel"/>
    <w:tmpl w:val="323800B4"/>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90" w15:restartNumberingAfterBreak="0">
    <w:nsid w:val="43880CE5"/>
    <w:multiLevelType w:val="multilevel"/>
    <w:tmpl w:val="D2BAE91A"/>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91" w15:restartNumberingAfterBreak="0">
    <w:nsid w:val="43A0112D"/>
    <w:multiLevelType w:val="multilevel"/>
    <w:tmpl w:val="69D2F7EA"/>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92" w15:restartNumberingAfterBreak="0">
    <w:nsid w:val="45D703EA"/>
    <w:multiLevelType w:val="multilevel"/>
    <w:tmpl w:val="70D870E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93" w15:restartNumberingAfterBreak="0">
    <w:nsid w:val="46B01D75"/>
    <w:multiLevelType w:val="multilevel"/>
    <w:tmpl w:val="2B548A4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94" w15:restartNumberingAfterBreak="0">
    <w:nsid w:val="488F684E"/>
    <w:multiLevelType w:val="multilevel"/>
    <w:tmpl w:val="E3802090"/>
    <w:numStyleLink w:val="ListsEIB"/>
  </w:abstractNum>
  <w:abstractNum w:abstractNumId="95" w15:restartNumberingAfterBreak="0">
    <w:nsid w:val="48F518F0"/>
    <w:multiLevelType w:val="hybridMultilevel"/>
    <w:tmpl w:val="848A2CB8"/>
    <w:lvl w:ilvl="0" w:tplc="EF1831C2">
      <w:start w:val="1"/>
      <w:numFmt w:val="decimal"/>
      <w:lvlText w:val="Article %1"/>
      <w:lvlJc w:val="left"/>
      <w:pPr>
        <w:ind w:left="1174" w:hanging="360"/>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96" w15:restartNumberingAfterBreak="0">
    <w:nsid w:val="4910303C"/>
    <w:multiLevelType w:val="hybridMultilevel"/>
    <w:tmpl w:val="86C4A36E"/>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49410E2A"/>
    <w:multiLevelType w:val="multilevel"/>
    <w:tmpl w:val="A42CA7FA"/>
    <w:lvl w:ilvl="0">
      <w:start w:val="1"/>
      <w:numFmt w:val="decimal"/>
      <w:lvlText w:val="%1"/>
      <w:lvlJc w:val="left"/>
      <w:pPr>
        <w:tabs>
          <w:tab w:val="num" w:pos="720"/>
        </w:tabs>
        <w:ind w:left="720" w:hanging="720"/>
      </w:pPr>
      <w:rPr>
        <w:b/>
      </w:rPr>
    </w:lvl>
    <w:lvl w:ilvl="1">
      <w:start w:val="1"/>
      <w:numFmt w:val="decimal"/>
      <w:lvlRestart w:val="0"/>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8" w15:restartNumberingAfterBreak="0">
    <w:nsid w:val="49423FA4"/>
    <w:multiLevelType w:val="multilevel"/>
    <w:tmpl w:val="E3802090"/>
    <w:numStyleLink w:val="ListsEIB"/>
  </w:abstractNum>
  <w:abstractNum w:abstractNumId="99" w15:restartNumberingAfterBreak="0">
    <w:nsid w:val="4A9D3C81"/>
    <w:multiLevelType w:val="multilevel"/>
    <w:tmpl w:val="E3802090"/>
    <w:numStyleLink w:val="ListsEIB0"/>
  </w:abstractNum>
  <w:abstractNum w:abstractNumId="100" w15:restartNumberingAfterBreak="0">
    <w:nsid w:val="4B361AA8"/>
    <w:multiLevelType w:val="multilevel"/>
    <w:tmpl w:val="5A6EBC26"/>
    <w:lvl w:ilvl="0">
      <w:start w:val="1"/>
      <w:numFmt w:val="upperLetter"/>
      <w:suff w:val="nothing"/>
      <w:lvlText w:val="Prilog %1"/>
      <w:lvlJc w:val="left"/>
      <w:pPr>
        <w:ind w:left="360" w:hanging="360"/>
      </w:pPr>
      <w:rPr>
        <w:rFonts w:ascii="Arial" w:hAnsi="Arial" w:hint="default"/>
        <w:b/>
        <w:i w:val="0"/>
        <w:caps w:val="0"/>
        <w:sz w:val="20"/>
      </w:rPr>
    </w:lvl>
    <w:lvl w:ilvl="1">
      <w:start w:val="2"/>
      <w:numFmt w:val="none"/>
      <w:suff w:val="nothing"/>
      <w:lvlText w:val=""/>
      <w:lvlJc w:val="left"/>
      <w:pPr>
        <w:ind w:left="0" w:firstLine="0"/>
      </w:pPr>
      <w:rPr>
        <w:rFonts w:hint="default"/>
      </w:rPr>
    </w:lvl>
    <w:lvl w:ilvl="2">
      <w:start w:val="1"/>
      <w:numFmt w:val="upperLetter"/>
      <w:lvlText w:val="%3."/>
      <w:lvlJc w:val="left"/>
      <w:pPr>
        <w:ind w:left="1080" w:hanging="360"/>
      </w:pPr>
      <w:rPr>
        <w:rFonts w:hint="default"/>
        <w:b/>
        <w:i w:val="0"/>
      </w:rPr>
    </w:lvl>
    <w:lvl w:ilvl="3">
      <w:start w:val="1"/>
      <w:numFmt w:val="decimal"/>
      <w:lvlRestart w:val="1"/>
      <w:lvlText w:val="%1.%4"/>
      <w:lvlJc w:val="left"/>
      <w:pPr>
        <w:ind w:left="1440" w:hanging="360"/>
      </w:pPr>
      <w:rPr>
        <w:rFonts w:hint="default"/>
        <w:b w:val="0"/>
        <w:i w:val="0"/>
        <w:u w:val="single"/>
      </w:rPr>
    </w:lvl>
    <w:lvl w:ilvl="4">
      <w:start w:val="1"/>
      <w:numFmt w:val="upperLetter"/>
      <w:lvlText w:val="%5.1.3"/>
      <w:lvlJc w:val="left"/>
      <w:pPr>
        <w:ind w:left="1800" w:hanging="360"/>
      </w:pPr>
      <w:rPr>
        <w:rFonts w:ascii="Arial Bold" w:hAnsi="Arial Bold"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4C395A52"/>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02" w15:restartNumberingAfterBreak="0">
    <w:nsid w:val="4D113A04"/>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03" w15:restartNumberingAfterBreak="0">
    <w:nsid w:val="4D4A5A22"/>
    <w:multiLevelType w:val="multilevel"/>
    <w:tmpl w:val="14B0EF48"/>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04" w15:restartNumberingAfterBreak="0">
    <w:nsid w:val="4DAD266F"/>
    <w:multiLevelType w:val="hybridMultilevel"/>
    <w:tmpl w:val="7338A9D6"/>
    <w:lvl w:ilvl="0" w:tplc="0415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5" w15:restartNumberingAfterBreak="0">
    <w:nsid w:val="4E027B59"/>
    <w:multiLevelType w:val="multilevel"/>
    <w:tmpl w:val="E3802090"/>
    <w:numStyleLink w:val="ListsEIB"/>
  </w:abstractNum>
  <w:abstractNum w:abstractNumId="106" w15:restartNumberingAfterBreak="0">
    <w:nsid w:val="4E487736"/>
    <w:multiLevelType w:val="multilevel"/>
    <w:tmpl w:val="116E0148"/>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07" w15:restartNumberingAfterBreak="0">
    <w:nsid w:val="4E717B41"/>
    <w:multiLevelType w:val="multilevel"/>
    <w:tmpl w:val="43381BD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08" w15:restartNumberingAfterBreak="0">
    <w:nsid w:val="4F7619EF"/>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09" w15:restartNumberingAfterBreak="0">
    <w:nsid w:val="4F8905E7"/>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10" w15:restartNumberingAfterBreak="0">
    <w:nsid w:val="50EC34EC"/>
    <w:multiLevelType w:val="multilevel"/>
    <w:tmpl w:val="E3802090"/>
    <w:numStyleLink w:val="ListsEIB"/>
  </w:abstractNum>
  <w:abstractNum w:abstractNumId="111" w15:restartNumberingAfterBreak="0">
    <w:nsid w:val="54AE4E8B"/>
    <w:multiLevelType w:val="hybridMultilevel"/>
    <w:tmpl w:val="D12404B0"/>
    <w:lvl w:ilvl="0" w:tplc="0D0ABA24">
      <w:start w:val="1"/>
      <w:numFmt w:val="decimal"/>
      <w:lvlText w:val="%1."/>
      <w:lvlJc w:val="left"/>
      <w:pPr>
        <w:tabs>
          <w:tab w:val="num" w:pos="340"/>
        </w:tabs>
        <w:ind w:left="340" w:hanging="340"/>
      </w:pPr>
      <w:rPr>
        <w:rFonts w:ascii="Arial" w:hAnsi="Arial" w:cs="Times New Roman" w:hint="default"/>
        <w:b/>
        <w:i w:val="0"/>
        <w:sz w:val="20"/>
      </w:rPr>
    </w:lvl>
    <w:lvl w:ilvl="1" w:tplc="71043C0E">
      <w:numFmt w:val="none"/>
      <w:lvlText w:val=""/>
      <w:lvlJc w:val="left"/>
      <w:pPr>
        <w:tabs>
          <w:tab w:val="num" w:pos="360"/>
        </w:tabs>
        <w:ind w:left="0" w:firstLine="0"/>
      </w:pPr>
    </w:lvl>
    <w:lvl w:ilvl="2" w:tplc="3AD8F9B8">
      <w:numFmt w:val="none"/>
      <w:lvlText w:val=""/>
      <w:lvlJc w:val="left"/>
      <w:pPr>
        <w:tabs>
          <w:tab w:val="num" w:pos="360"/>
        </w:tabs>
        <w:ind w:left="0" w:firstLine="0"/>
      </w:pPr>
    </w:lvl>
    <w:lvl w:ilvl="3" w:tplc="A824EC7E">
      <w:numFmt w:val="none"/>
      <w:lvlText w:val=""/>
      <w:lvlJc w:val="left"/>
      <w:pPr>
        <w:tabs>
          <w:tab w:val="num" w:pos="360"/>
        </w:tabs>
        <w:ind w:left="0" w:firstLine="0"/>
      </w:pPr>
    </w:lvl>
    <w:lvl w:ilvl="4" w:tplc="514A0AA6">
      <w:numFmt w:val="none"/>
      <w:lvlText w:val=""/>
      <w:lvlJc w:val="left"/>
      <w:pPr>
        <w:tabs>
          <w:tab w:val="num" w:pos="360"/>
        </w:tabs>
        <w:ind w:left="0" w:firstLine="0"/>
      </w:pPr>
    </w:lvl>
    <w:lvl w:ilvl="5" w:tplc="06BCB2DA">
      <w:numFmt w:val="none"/>
      <w:lvlText w:val=""/>
      <w:lvlJc w:val="left"/>
      <w:pPr>
        <w:tabs>
          <w:tab w:val="num" w:pos="360"/>
        </w:tabs>
        <w:ind w:left="0" w:firstLine="0"/>
      </w:pPr>
    </w:lvl>
    <w:lvl w:ilvl="6" w:tplc="E244E200">
      <w:numFmt w:val="none"/>
      <w:lvlText w:val=""/>
      <w:lvlJc w:val="left"/>
      <w:pPr>
        <w:tabs>
          <w:tab w:val="num" w:pos="360"/>
        </w:tabs>
        <w:ind w:left="0" w:firstLine="0"/>
      </w:pPr>
    </w:lvl>
    <w:lvl w:ilvl="7" w:tplc="C4D225E2">
      <w:numFmt w:val="none"/>
      <w:lvlText w:val=""/>
      <w:lvlJc w:val="left"/>
      <w:pPr>
        <w:tabs>
          <w:tab w:val="num" w:pos="360"/>
        </w:tabs>
        <w:ind w:left="0" w:firstLine="0"/>
      </w:pPr>
    </w:lvl>
    <w:lvl w:ilvl="8" w:tplc="96723130">
      <w:numFmt w:val="none"/>
      <w:lvlText w:val=""/>
      <w:lvlJc w:val="left"/>
      <w:pPr>
        <w:tabs>
          <w:tab w:val="num" w:pos="360"/>
        </w:tabs>
        <w:ind w:left="0" w:firstLine="0"/>
      </w:pPr>
    </w:lvl>
  </w:abstractNum>
  <w:abstractNum w:abstractNumId="112" w15:restartNumberingAfterBreak="0">
    <w:nsid w:val="54B5765C"/>
    <w:multiLevelType w:val="multilevel"/>
    <w:tmpl w:val="450087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13" w15:restartNumberingAfterBreak="0">
    <w:nsid w:val="550A2FAE"/>
    <w:multiLevelType w:val="multilevel"/>
    <w:tmpl w:val="E3802090"/>
    <w:numStyleLink w:val="ListsEIB"/>
  </w:abstractNum>
  <w:abstractNum w:abstractNumId="114" w15:restartNumberingAfterBreak="0">
    <w:nsid w:val="551972F4"/>
    <w:multiLevelType w:val="hybridMultilevel"/>
    <w:tmpl w:val="D12404B0"/>
    <w:lvl w:ilvl="0" w:tplc="0D0ABA24">
      <w:start w:val="1"/>
      <w:numFmt w:val="decimal"/>
      <w:lvlText w:val="%1."/>
      <w:lvlJc w:val="left"/>
      <w:pPr>
        <w:tabs>
          <w:tab w:val="num" w:pos="340"/>
        </w:tabs>
        <w:ind w:left="340" w:hanging="340"/>
      </w:pPr>
      <w:rPr>
        <w:rFonts w:ascii="Arial" w:hAnsi="Arial" w:cs="Times New Roman" w:hint="default"/>
        <w:b/>
        <w:i w:val="0"/>
        <w:sz w:val="20"/>
      </w:rPr>
    </w:lvl>
    <w:lvl w:ilvl="1" w:tplc="71043C0E">
      <w:numFmt w:val="none"/>
      <w:lvlText w:val=""/>
      <w:lvlJc w:val="left"/>
      <w:pPr>
        <w:tabs>
          <w:tab w:val="num" w:pos="360"/>
        </w:tabs>
        <w:ind w:left="0" w:firstLine="0"/>
      </w:pPr>
    </w:lvl>
    <w:lvl w:ilvl="2" w:tplc="3AD8F9B8">
      <w:numFmt w:val="none"/>
      <w:lvlText w:val=""/>
      <w:lvlJc w:val="left"/>
      <w:pPr>
        <w:tabs>
          <w:tab w:val="num" w:pos="360"/>
        </w:tabs>
        <w:ind w:left="0" w:firstLine="0"/>
      </w:pPr>
    </w:lvl>
    <w:lvl w:ilvl="3" w:tplc="A824EC7E">
      <w:numFmt w:val="none"/>
      <w:lvlText w:val=""/>
      <w:lvlJc w:val="left"/>
      <w:pPr>
        <w:tabs>
          <w:tab w:val="num" w:pos="360"/>
        </w:tabs>
        <w:ind w:left="0" w:firstLine="0"/>
      </w:pPr>
    </w:lvl>
    <w:lvl w:ilvl="4" w:tplc="514A0AA6">
      <w:numFmt w:val="none"/>
      <w:lvlText w:val=""/>
      <w:lvlJc w:val="left"/>
      <w:pPr>
        <w:tabs>
          <w:tab w:val="num" w:pos="360"/>
        </w:tabs>
        <w:ind w:left="0" w:firstLine="0"/>
      </w:pPr>
    </w:lvl>
    <w:lvl w:ilvl="5" w:tplc="06BCB2DA">
      <w:numFmt w:val="none"/>
      <w:lvlText w:val=""/>
      <w:lvlJc w:val="left"/>
      <w:pPr>
        <w:tabs>
          <w:tab w:val="num" w:pos="360"/>
        </w:tabs>
        <w:ind w:left="0" w:firstLine="0"/>
      </w:pPr>
    </w:lvl>
    <w:lvl w:ilvl="6" w:tplc="E244E200">
      <w:numFmt w:val="none"/>
      <w:lvlText w:val=""/>
      <w:lvlJc w:val="left"/>
      <w:pPr>
        <w:tabs>
          <w:tab w:val="num" w:pos="360"/>
        </w:tabs>
        <w:ind w:left="0" w:firstLine="0"/>
      </w:pPr>
    </w:lvl>
    <w:lvl w:ilvl="7" w:tplc="C4D225E2">
      <w:numFmt w:val="none"/>
      <w:lvlText w:val=""/>
      <w:lvlJc w:val="left"/>
      <w:pPr>
        <w:tabs>
          <w:tab w:val="num" w:pos="360"/>
        </w:tabs>
        <w:ind w:left="0" w:firstLine="0"/>
      </w:pPr>
    </w:lvl>
    <w:lvl w:ilvl="8" w:tplc="96723130">
      <w:numFmt w:val="none"/>
      <w:lvlText w:val=""/>
      <w:lvlJc w:val="left"/>
      <w:pPr>
        <w:tabs>
          <w:tab w:val="num" w:pos="360"/>
        </w:tabs>
        <w:ind w:left="0" w:firstLine="0"/>
      </w:pPr>
    </w:lvl>
  </w:abstractNum>
  <w:abstractNum w:abstractNumId="115" w15:restartNumberingAfterBreak="0">
    <w:nsid w:val="5551551B"/>
    <w:multiLevelType w:val="multilevel"/>
    <w:tmpl w:val="E51C1EBE"/>
    <w:lvl w:ilvl="0">
      <w:start w:val="1"/>
      <w:numFmt w:val="upperLetter"/>
      <w:suff w:val="nothing"/>
      <w:lvlText w:val="Schedule %1"/>
      <w:lvlJc w:val="left"/>
      <w:pPr>
        <w:ind w:left="360" w:hanging="360"/>
      </w:pPr>
      <w:rPr>
        <w:rFonts w:ascii="Arial" w:hAnsi="Arial" w:hint="default"/>
        <w:b/>
        <w:i w:val="0"/>
        <w:caps w:val="0"/>
        <w:sz w:val="20"/>
      </w:rPr>
    </w:lvl>
    <w:lvl w:ilvl="1">
      <w:start w:val="1"/>
      <w:numFmt w:val="none"/>
      <w:suff w:val="nothing"/>
      <w:lvlText w:val=""/>
      <w:lvlJc w:val="left"/>
      <w:pPr>
        <w:ind w:left="0" w:firstLine="0"/>
      </w:pPr>
      <w:rPr>
        <w:rFonts w:hint="default"/>
      </w:rPr>
    </w:lvl>
    <w:lvl w:ilvl="2">
      <w:start w:val="1"/>
      <w:numFmt w:val="upperLetter"/>
      <w:lvlText w:val="%3."/>
      <w:lvlJc w:val="left"/>
      <w:pPr>
        <w:ind w:left="1080" w:hanging="360"/>
      </w:pPr>
      <w:rPr>
        <w:rFonts w:hint="default"/>
        <w:b/>
        <w:i w:val="0"/>
      </w:rPr>
    </w:lvl>
    <w:lvl w:ilvl="3">
      <w:start w:val="1"/>
      <w:numFmt w:val="decimal"/>
      <w:lvlRestart w:val="1"/>
      <w:lvlText w:val="%1.%4"/>
      <w:lvlJc w:val="left"/>
      <w:pPr>
        <w:ind w:left="1440" w:hanging="360"/>
      </w:pPr>
      <w:rPr>
        <w:rFonts w:hint="default"/>
        <w:b w:val="0"/>
        <w:i w:val="0"/>
        <w:u w:val="single"/>
      </w:rPr>
    </w:lvl>
    <w:lvl w:ilvl="4">
      <w:start w:val="1"/>
      <w:numFmt w:val="decimal"/>
      <w:lvlText w:val="%1.%4.%5"/>
      <w:lvlJc w:val="left"/>
      <w:pPr>
        <w:ind w:left="1800" w:hanging="360"/>
      </w:pPr>
      <w:rPr>
        <w:rFonts w:hint="default"/>
        <w:b/>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56943552"/>
    <w:multiLevelType w:val="multilevel"/>
    <w:tmpl w:val="D810770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17" w15:restartNumberingAfterBreak="0">
    <w:nsid w:val="57116849"/>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18" w15:restartNumberingAfterBreak="0">
    <w:nsid w:val="57146C9E"/>
    <w:multiLevelType w:val="multilevel"/>
    <w:tmpl w:val="E3802090"/>
    <w:numStyleLink w:val="ListsEIB"/>
  </w:abstractNum>
  <w:abstractNum w:abstractNumId="119" w15:restartNumberingAfterBreak="0">
    <w:nsid w:val="57535343"/>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20" w15:restartNumberingAfterBreak="0">
    <w:nsid w:val="57871D6A"/>
    <w:multiLevelType w:val="multilevel"/>
    <w:tmpl w:val="E3802090"/>
    <w:numStyleLink w:val="ListsEIB"/>
  </w:abstractNum>
  <w:abstractNum w:abstractNumId="121" w15:restartNumberingAfterBreak="0">
    <w:nsid w:val="57EB12DB"/>
    <w:multiLevelType w:val="multilevel"/>
    <w:tmpl w:val="CF2A003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22" w15:restartNumberingAfterBreak="0">
    <w:nsid w:val="58B434B3"/>
    <w:multiLevelType w:val="hybridMultilevel"/>
    <w:tmpl w:val="084CBB6C"/>
    <w:lvl w:ilvl="0" w:tplc="5B24D3A4">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5B896B80"/>
    <w:multiLevelType w:val="multilevel"/>
    <w:tmpl w:val="E3802090"/>
    <w:numStyleLink w:val="ListsEIB"/>
  </w:abstractNum>
  <w:abstractNum w:abstractNumId="124" w15:restartNumberingAfterBreak="0">
    <w:nsid w:val="5BC13B38"/>
    <w:multiLevelType w:val="multilevel"/>
    <w:tmpl w:val="CE4CAD94"/>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25" w15:restartNumberingAfterBreak="0">
    <w:nsid w:val="5C1B3889"/>
    <w:multiLevelType w:val="multilevel"/>
    <w:tmpl w:val="A8EC00A4"/>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26" w15:restartNumberingAfterBreak="0">
    <w:nsid w:val="5CE5064F"/>
    <w:multiLevelType w:val="multilevel"/>
    <w:tmpl w:val="13888B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27" w15:restartNumberingAfterBreak="0">
    <w:nsid w:val="5D6C45FD"/>
    <w:multiLevelType w:val="multilevel"/>
    <w:tmpl w:val="F558C404"/>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28" w15:restartNumberingAfterBreak="0">
    <w:nsid w:val="5E4836C8"/>
    <w:multiLevelType w:val="hybridMultilevel"/>
    <w:tmpl w:val="B336BB82"/>
    <w:lvl w:ilvl="0" w:tplc="9C6C608E">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5E9F4F6F"/>
    <w:multiLevelType w:val="multilevel"/>
    <w:tmpl w:val="8CE8221A"/>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30" w15:restartNumberingAfterBreak="0">
    <w:nsid w:val="5FF33E97"/>
    <w:multiLevelType w:val="multilevel"/>
    <w:tmpl w:val="B7BADFA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31" w15:restartNumberingAfterBreak="0">
    <w:nsid w:val="60D930D5"/>
    <w:multiLevelType w:val="hybridMultilevel"/>
    <w:tmpl w:val="4AB2F8E6"/>
    <w:lvl w:ilvl="0" w:tplc="0415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2" w15:restartNumberingAfterBreak="0">
    <w:nsid w:val="60FA252E"/>
    <w:multiLevelType w:val="multilevel"/>
    <w:tmpl w:val="5A4C7AF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33" w15:restartNumberingAfterBreak="0">
    <w:nsid w:val="61997B82"/>
    <w:multiLevelType w:val="multilevel"/>
    <w:tmpl w:val="E3802090"/>
    <w:numStyleLink w:val="ListsEIB0"/>
  </w:abstractNum>
  <w:abstractNum w:abstractNumId="134" w15:restartNumberingAfterBreak="0">
    <w:nsid w:val="61D504C2"/>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35" w15:restartNumberingAfterBreak="0">
    <w:nsid w:val="61F94FF0"/>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36" w15:restartNumberingAfterBreak="0">
    <w:nsid w:val="635871FA"/>
    <w:multiLevelType w:val="hybridMultilevel"/>
    <w:tmpl w:val="9428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38A75D9"/>
    <w:multiLevelType w:val="multilevel"/>
    <w:tmpl w:val="C8863D2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38" w15:restartNumberingAfterBreak="0">
    <w:nsid w:val="646B2955"/>
    <w:multiLevelType w:val="multilevel"/>
    <w:tmpl w:val="3ABE06EC"/>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39" w15:restartNumberingAfterBreak="0">
    <w:nsid w:val="65C338C9"/>
    <w:multiLevelType w:val="multilevel"/>
    <w:tmpl w:val="8132F9C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0" w15:restartNumberingAfterBreak="0">
    <w:nsid w:val="66A9379E"/>
    <w:multiLevelType w:val="multilevel"/>
    <w:tmpl w:val="8EC6B1F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1" w15:restartNumberingAfterBreak="0">
    <w:nsid w:val="68D20110"/>
    <w:multiLevelType w:val="multilevel"/>
    <w:tmpl w:val="7DBADDA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2" w15:restartNumberingAfterBreak="0">
    <w:nsid w:val="68F959FA"/>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3" w15:restartNumberingAfterBreak="0">
    <w:nsid w:val="69FC34C2"/>
    <w:multiLevelType w:val="hybridMultilevel"/>
    <w:tmpl w:val="4BBA7E9E"/>
    <w:lvl w:ilvl="0" w:tplc="0415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4" w15:restartNumberingAfterBreak="0">
    <w:nsid w:val="6A842511"/>
    <w:multiLevelType w:val="multilevel"/>
    <w:tmpl w:val="E3802090"/>
    <w:numStyleLink w:val="ListsEIB0"/>
  </w:abstractNum>
  <w:abstractNum w:abstractNumId="145" w15:restartNumberingAfterBreak="0">
    <w:nsid w:val="6B207E82"/>
    <w:multiLevelType w:val="multilevel"/>
    <w:tmpl w:val="D2269AE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6" w15:restartNumberingAfterBreak="0">
    <w:nsid w:val="6C777278"/>
    <w:multiLevelType w:val="multilevel"/>
    <w:tmpl w:val="A4B06EA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7" w15:restartNumberingAfterBreak="0">
    <w:nsid w:val="6D423F79"/>
    <w:multiLevelType w:val="multilevel"/>
    <w:tmpl w:val="18C46AAC"/>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8" w15:restartNumberingAfterBreak="0">
    <w:nsid w:val="6DE95FEB"/>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9" w15:restartNumberingAfterBreak="0">
    <w:nsid w:val="6E951D7F"/>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50" w15:restartNumberingAfterBreak="0">
    <w:nsid w:val="6F6B219E"/>
    <w:multiLevelType w:val="multilevel"/>
    <w:tmpl w:val="E3802090"/>
    <w:numStyleLink w:val="ListsEIB"/>
  </w:abstractNum>
  <w:abstractNum w:abstractNumId="151" w15:restartNumberingAfterBreak="0">
    <w:nsid w:val="6FC65A96"/>
    <w:multiLevelType w:val="multilevel"/>
    <w:tmpl w:val="9D5C3C4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52" w15:restartNumberingAfterBreak="0">
    <w:nsid w:val="706C2F1A"/>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53" w15:restartNumberingAfterBreak="0">
    <w:nsid w:val="70900869"/>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54" w15:restartNumberingAfterBreak="0">
    <w:nsid w:val="71372765"/>
    <w:multiLevelType w:val="multilevel"/>
    <w:tmpl w:val="622E0908"/>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55" w15:restartNumberingAfterBreak="0">
    <w:nsid w:val="71A35C93"/>
    <w:multiLevelType w:val="multilevel"/>
    <w:tmpl w:val="E3802090"/>
    <w:numStyleLink w:val="ListsEIB"/>
  </w:abstractNum>
  <w:abstractNum w:abstractNumId="156" w15:restartNumberingAfterBreak="0">
    <w:nsid w:val="71C03582"/>
    <w:multiLevelType w:val="multilevel"/>
    <w:tmpl w:val="E3802090"/>
    <w:numStyleLink w:val="ListsEIB"/>
  </w:abstractNum>
  <w:abstractNum w:abstractNumId="157" w15:restartNumberingAfterBreak="0">
    <w:nsid w:val="742C0E5C"/>
    <w:multiLevelType w:val="multilevel"/>
    <w:tmpl w:val="8E9A333C"/>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58" w15:restartNumberingAfterBreak="0">
    <w:nsid w:val="752969AD"/>
    <w:multiLevelType w:val="multilevel"/>
    <w:tmpl w:val="E3802090"/>
    <w:numStyleLink w:val="ListsEIB"/>
  </w:abstractNum>
  <w:abstractNum w:abstractNumId="159" w15:restartNumberingAfterBreak="0">
    <w:nsid w:val="755645AB"/>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60" w15:restartNumberingAfterBreak="0">
    <w:nsid w:val="75AD46F1"/>
    <w:multiLevelType w:val="hybridMultilevel"/>
    <w:tmpl w:val="B582BE1E"/>
    <w:lvl w:ilvl="0" w:tplc="08090001">
      <w:start w:val="1"/>
      <w:numFmt w:val="bullet"/>
      <w:lvlText w:val=""/>
      <w:lvlJc w:val="left"/>
      <w:pPr>
        <w:ind w:left="720" w:hanging="360"/>
      </w:pPr>
      <w:rPr>
        <w:rFonts w:ascii="Symbol" w:hAnsi="Symbol" w:hint="default"/>
      </w:rPr>
    </w:lvl>
    <w:lvl w:ilvl="1" w:tplc="983485AA">
      <w:numFmt w:val="bullet"/>
      <w:lvlText w:val="•"/>
      <w:lvlJc w:val="left"/>
      <w:pPr>
        <w:ind w:left="1810" w:hanging="7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5B16757"/>
    <w:multiLevelType w:val="hybridMultilevel"/>
    <w:tmpl w:val="7FE4D18E"/>
    <w:lvl w:ilvl="0" w:tplc="0415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2" w15:restartNumberingAfterBreak="0">
    <w:nsid w:val="76142245"/>
    <w:multiLevelType w:val="multilevel"/>
    <w:tmpl w:val="020CEE14"/>
    <w:lvl w:ilvl="0">
      <w:start w:val="1"/>
      <w:numFmt w:val="upperLetter"/>
      <w:pStyle w:val="ScheduleEIB"/>
      <w:suff w:val="nothing"/>
      <w:lvlText w:val="Prilog %1"/>
      <w:lvlJc w:val="left"/>
      <w:pPr>
        <w:ind w:left="9291" w:hanging="360"/>
      </w:pPr>
      <w:rPr>
        <w:rFonts w:ascii="Arial" w:hAnsi="Arial" w:hint="default"/>
        <w:b/>
        <w:i w:val="0"/>
        <w:caps w:val="0"/>
        <w:sz w:val="20"/>
      </w:rPr>
    </w:lvl>
    <w:lvl w:ilvl="1">
      <w:start w:val="2"/>
      <w:numFmt w:val="none"/>
      <w:pStyle w:val="SubSchedule1EIB"/>
      <w:suff w:val="nothing"/>
      <w:lvlText w:val=""/>
      <w:lvlJc w:val="left"/>
      <w:pPr>
        <w:ind w:left="0" w:firstLine="0"/>
      </w:pPr>
      <w:rPr>
        <w:rFonts w:hint="default"/>
      </w:rPr>
    </w:lvl>
    <w:lvl w:ilvl="2">
      <w:start w:val="1"/>
      <w:numFmt w:val="upperLetter"/>
      <w:pStyle w:val="SubSchedule2EIB0"/>
      <w:lvlText w:val="%3."/>
      <w:lvlJc w:val="left"/>
      <w:pPr>
        <w:ind w:left="1080" w:hanging="360"/>
      </w:pPr>
      <w:rPr>
        <w:rFonts w:hint="default"/>
        <w:b/>
        <w:i w:val="0"/>
      </w:rPr>
    </w:lvl>
    <w:lvl w:ilvl="3">
      <w:start w:val="1"/>
      <w:numFmt w:val="decimal"/>
      <w:lvlRestart w:val="1"/>
      <w:pStyle w:val="SubSchedule3EIB0"/>
      <w:lvlText w:val="%1.%4"/>
      <w:lvlJc w:val="left"/>
      <w:pPr>
        <w:ind w:left="1440" w:hanging="360"/>
      </w:pPr>
      <w:rPr>
        <w:rFonts w:hint="default"/>
        <w:b w:val="0"/>
        <w:i w:val="0"/>
        <w:u w:val="single"/>
      </w:rPr>
    </w:lvl>
    <w:lvl w:ilvl="4">
      <w:start w:val="1"/>
      <w:numFmt w:val="upperLetter"/>
      <w:pStyle w:val="SubSchedule4EIB"/>
      <w:lvlText w:val="%5.1.4"/>
      <w:lvlJc w:val="left"/>
      <w:pPr>
        <w:ind w:left="1800" w:hanging="360"/>
      </w:pPr>
      <w:rPr>
        <w:rFonts w:ascii="Arial Bold" w:hAnsi="Arial Bold"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763B04B8"/>
    <w:multiLevelType w:val="multilevel"/>
    <w:tmpl w:val="9E72FC7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64" w15:restartNumberingAfterBreak="0">
    <w:nsid w:val="77BA6CA4"/>
    <w:multiLevelType w:val="multilevel"/>
    <w:tmpl w:val="EEE43300"/>
    <w:lvl w:ilvl="0">
      <w:start w:val="1"/>
      <w:numFmt w:val="upperLetter"/>
      <w:suff w:val="nothing"/>
      <w:lvlText w:val="Prilog %1"/>
      <w:lvlJc w:val="left"/>
      <w:pPr>
        <w:ind w:left="360" w:hanging="360"/>
      </w:pPr>
      <w:rPr>
        <w:rFonts w:ascii="Arial" w:hAnsi="Arial" w:hint="default"/>
        <w:b/>
        <w:i w:val="0"/>
        <w:caps w:val="0"/>
        <w:sz w:val="20"/>
      </w:rPr>
    </w:lvl>
    <w:lvl w:ilvl="1">
      <w:start w:val="1"/>
      <w:numFmt w:val="none"/>
      <w:suff w:val="nothing"/>
      <w:lvlText w:val=""/>
      <w:lvlJc w:val="left"/>
      <w:pPr>
        <w:ind w:left="0" w:firstLine="0"/>
      </w:pPr>
      <w:rPr>
        <w:rFonts w:hint="default"/>
      </w:rPr>
    </w:lvl>
    <w:lvl w:ilvl="2">
      <w:start w:val="1"/>
      <w:numFmt w:val="upperLetter"/>
      <w:lvlText w:val="%3."/>
      <w:lvlJc w:val="left"/>
      <w:pPr>
        <w:ind w:left="1080" w:hanging="360"/>
      </w:pPr>
      <w:rPr>
        <w:rFonts w:hint="default"/>
        <w:b/>
        <w:i w:val="0"/>
      </w:rPr>
    </w:lvl>
    <w:lvl w:ilvl="3">
      <w:start w:val="1"/>
      <w:numFmt w:val="decimal"/>
      <w:lvlRestart w:val="1"/>
      <w:lvlText w:val="%1.%4"/>
      <w:lvlJc w:val="left"/>
      <w:pPr>
        <w:ind w:left="1440" w:hanging="360"/>
      </w:pPr>
      <w:rPr>
        <w:rFonts w:hint="default"/>
        <w:b w:val="0"/>
        <w:i w:val="0"/>
        <w:u w:val="single"/>
      </w:rPr>
    </w:lvl>
    <w:lvl w:ilvl="4">
      <w:start w:val="1"/>
      <w:numFmt w:val="upperLetter"/>
      <w:lvlText w:val="%5.1.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79C13B8F"/>
    <w:multiLevelType w:val="multilevel"/>
    <w:tmpl w:val="E3802090"/>
    <w:numStyleLink w:val="ListsEIB"/>
  </w:abstractNum>
  <w:abstractNum w:abstractNumId="166" w15:restartNumberingAfterBreak="0">
    <w:nsid w:val="7A241699"/>
    <w:multiLevelType w:val="multilevel"/>
    <w:tmpl w:val="E3802090"/>
    <w:numStyleLink w:val="ListsEIB0"/>
  </w:abstractNum>
  <w:abstractNum w:abstractNumId="167" w15:restartNumberingAfterBreak="0">
    <w:nsid w:val="7AAD1C66"/>
    <w:multiLevelType w:val="multilevel"/>
    <w:tmpl w:val="16F871D2"/>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68" w15:restartNumberingAfterBreak="0">
    <w:nsid w:val="7ACF3500"/>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69" w15:restartNumberingAfterBreak="0">
    <w:nsid w:val="7BDC7EDD"/>
    <w:multiLevelType w:val="hybridMultilevel"/>
    <w:tmpl w:val="5B4A92CE"/>
    <w:lvl w:ilvl="0" w:tplc="2918CD06">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7CC012CB"/>
    <w:multiLevelType w:val="multilevel"/>
    <w:tmpl w:val="65F24B24"/>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71" w15:restartNumberingAfterBreak="0">
    <w:nsid w:val="7ECE7860"/>
    <w:multiLevelType w:val="multilevel"/>
    <w:tmpl w:val="F1F6FA0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63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num w:numId="1">
    <w:abstractNumId w:val="51"/>
  </w:num>
  <w:num w:numId="2">
    <w:abstractNumId w:val="55"/>
  </w:num>
  <w:num w:numId="3">
    <w:abstractNumId w:val="94"/>
  </w:num>
  <w:num w:numId="4">
    <w:abstractNumId w:val="26"/>
  </w:num>
  <w:num w:numId="5">
    <w:abstractNumId w:val="110"/>
  </w:num>
  <w:num w:numId="6">
    <w:abstractNumId w:val="120"/>
  </w:num>
  <w:num w:numId="7">
    <w:abstractNumId w:val="1"/>
  </w:num>
  <w:num w:numId="8">
    <w:abstractNumId w:val="34"/>
  </w:num>
  <w:num w:numId="9">
    <w:abstractNumId w:val="10"/>
  </w:num>
  <w:num w:numId="10">
    <w:abstractNumId w:val="25"/>
  </w:num>
  <w:num w:numId="11">
    <w:abstractNumId w:val="61"/>
  </w:num>
  <w:num w:numId="12">
    <w:abstractNumId w:val="8"/>
  </w:num>
  <w:num w:numId="13">
    <w:abstractNumId w:val="40"/>
  </w:num>
  <w:num w:numId="14">
    <w:abstractNumId w:val="156"/>
  </w:num>
  <w:num w:numId="15">
    <w:abstractNumId w:val="56"/>
  </w:num>
  <w:num w:numId="16">
    <w:abstractNumId w:val="105"/>
  </w:num>
  <w:num w:numId="17">
    <w:abstractNumId w:val="20"/>
  </w:num>
  <w:num w:numId="18">
    <w:abstractNumId w:val="98"/>
  </w:num>
  <w:num w:numId="19">
    <w:abstractNumId w:val="54"/>
  </w:num>
  <w:num w:numId="20">
    <w:abstractNumId w:val="43"/>
  </w:num>
  <w:num w:numId="21">
    <w:abstractNumId w:val="15"/>
  </w:num>
  <w:num w:numId="22">
    <w:abstractNumId w:val="0"/>
  </w:num>
  <w:num w:numId="23">
    <w:abstractNumId w:val="24"/>
  </w:num>
  <w:num w:numId="24">
    <w:abstractNumId w:val="19"/>
  </w:num>
  <w:num w:numId="25">
    <w:abstractNumId w:val="18"/>
  </w:num>
  <w:num w:numId="26">
    <w:abstractNumId w:val="144"/>
    <w:lvlOverride w:ilvl="0">
      <w:lvl w:ilvl="0">
        <w:start w:val="1"/>
        <w:numFmt w:val="lowerLetter"/>
        <w:lvlText w:val="(%1)"/>
        <w:lvlJc w:val="left"/>
        <w:pPr>
          <w:ind w:left="1423" w:hanging="567"/>
        </w:pPr>
        <w:rPr>
          <w:rFonts w:ascii="Arial" w:hAnsi="Arial" w:hint="default"/>
          <w:sz w:val="20"/>
        </w:rPr>
      </w:lvl>
    </w:lvlOverride>
    <w:lvlOverride w:ilvl="1">
      <w:lvl w:ilvl="1">
        <w:start w:val="1"/>
        <w:numFmt w:val="lowerRoman"/>
        <w:lvlText w:val="(%2)"/>
        <w:lvlJc w:val="left"/>
        <w:pPr>
          <w:ind w:left="1985" w:hanging="567"/>
        </w:pPr>
        <w:rPr>
          <w:rFonts w:hint="default"/>
        </w:rPr>
      </w:lvl>
    </w:lvlOverride>
    <w:lvlOverride w:ilvl="2">
      <w:lvl w:ilvl="2">
        <w:start w:val="1"/>
        <w:numFmt w:val="decimal"/>
        <w:lvlText w:val="(%3)"/>
        <w:lvlJc w:val="left"/>
        <w:pPr>
          <w:ind w:left="2557" w:hanging="567"/>
        </w:pPr>
        <w:rPr>
          <w:rFonts w:hint="default"/>
        </w:rPr>
      </w:lvl>
    </w:lvlOverride>
    <w:lvlOverride w:ilvl="3">
      <w:lvl w:ilvl="3">
        <w:start w:val="1"/>
        <w:numFmt w:val="none"/>
        <w:lvlText w:val=""/>
        <w:lvlJc w:val="left"/>
        <w:pPr>
          <w:ind w:left="2557" w:hanging="1477"/>
        </w:pPr>
        <w:rPr>
          <w:rFonts w:hint="default"/>
        </w:rPr>
      </w:lvl>
    </w:lvlOverride>
    <w:lvlOverride w:ilvl="4">
      <w:lvl w:ilvl="4">
        <w:start w:val="1"/>
        <w:numFmt w:val="none"/>
        <w:lvlText w:val=""/>
        <w:lvlJc w:val="left"/>
        <w:pPr>
          <w:ind w:left="2557" w:hanging="1117"/>
        </w:pPr>
        <w:rPr>
          <w:rFonts w:hint="default"/>
        </w:rPr>
      </w:lvl>
    </w:lvlOverride>
    <w:lvlOverride w:ilvl="5">
      <w:lvl w:ilvl="5">
        <w:start w:val="1"/>
        <w:numFmt w:val="none"/>
        <w:lvlText w:val=""/>
        <w:lvlJc w:val="left"/>
        <w:pPr>
          <w:ind w:left="2557" w:hanging="757"/>
        </w:pPr>
        <w:rPr>
          <w:rFonts w:hint="default"/>
        </w:rPr>
      </w:lvl>
    </w:lvlOverride>
    <w:lvlOverride w:ilvl="6">
      <w:lvl w:ilvl="6">
        <w:start w:val="1"/>
        <w:numFmt w:val="none"/>
        <w:lvlText w:val=""/>
        <w:lvlJc w:val="left"/>
        <w:pPr>
          <w:ind w:left="2557" w:hanging="397"/>
        </w:pPr>
        <w:rPr>
          <w:rFonts w:hint="default"/>
        </w:rPr>
      </w:lvl>
    </w:lvlOverride>
    <w:lvlOverride w:ilvl="7">
      <w:lvl w:ilvl="7">
        <w:start w:val="1"/>
        <w:numFmt w:val="none"/>
        <w:lvlText w:val=""/>
        <w:lvlJc w:val="left"/>
        <w:pPr>
          <w:ind w:left="2557" w:hanging="37"/>
        </w:pPr>
        <w:rPr>
          <w:rFonts w:hint="default"/>
        </w:rPr>
      </w:lvl>
    </w:lvlOverride>
    <w:lvlOverride w:ilvl="8">
      <w:lvl w:ilvl="8">
        <w:start w:val="1"/>
        <w:numFmt w:val="none"/>
        <w:lvlText w:val=""/>
        <w:lvlJc w:val="left"/>
        <w:pPr>
          <w:ind w:left="2557" w:firstLine="323"/>
        </w:pPr>
        <w:rPr>
          <w:rFonts w:hint="default"/>
        </w:rPr>
      </w:lvl>
    </w:lvlOverride>
  </w:num>
  <w:num w:numId="27">
    <w:abstractNumId w:val="118"/>
  </w:num>
  <w:num w:numId="28">
    <w:abstractNumId w:val="4"/>
  </w:num>
  <w:num w:numId="29">
    <w:abstractNumId w:val="17"/>
  </w:num>
  <w:num w:numId="30">
    <w:abstractNumId w:val="53"/>
  </w:num>
  <w:num w:numId="31">
    <w:abstractNumId w:val="155"/>
  </w:num>
  <w:num w:numId="32">
    <w:abstractNumId w:val="42"/>
  </w:num>
  <w:num w:numId="33">
    <w:abstractNumId w:val="52"/>
  </w:num>
  <w:num w:numId="34">
    <w:abstractNumId w:val="50"/>
  </w:num>
  <w:num w:numId="35">
    <w:abstractNumId w:val="123"/>
  </w:num>
  <w:num w:numId="36">
    <w:abstractNumId w:val="113"/>
  </w:num>
  <w:num w:numId="37">
    <w:abstractNumId w:val="75"/>
  </w:num>
  <w:num w:numId="38">
    <w:abstractNumId w:val="134"/>
  </w:num>
  <w:num w:numId="39">
    <w:abstractNumId w:val="159"/>
  </w:num>
  <w:num w:numId="40">
    <w:abstractNumId w:val="148"/>
  </w:num>
  <w:num w:numId="41">
    <w:abstractNumId w:val="78"/>
  </w:num>
  <w:num w:numId="42">
    <w:abstractNumId w:val="22"/>
  </w:num>
  <w:num w:numId="43">
    <w:abstractNumId w:val="107"/>
  </w:num>
  <w:num w:numId="44">
    <w:abstractNumId w:val="135"/>
  </w:num>
  <w:num w:numId="45">
    <w:abstractNumId w:val="108"/>
  </w:num>
  <w:num w:numId="46">
    <w:abstractNumId w:val="165"/>
  </w:num>
  <w:num w:numId="47">
    <w:abstractNumId w:val="153"/>
  </w:num>
  <w:num w:numId="48">
    <w:abstractNumId w:val="45"/>
  </w:num>
  <w:num w:numId="49">
    <w:abstractNumId w:val="168"/>
  </w:num>
  <w:num w:numId="50">
    <w:abstractNumId w:val="72"/>
  </w:num>
  <w:num w:numId="51">
    <w:abstractNumId w:val="6"/>
  </w:num>
  <w:num w:numId="52">
    <w:abstractNumId w:val="81"/>
  </w:num>
  <w:num w:numId="53">
    <w:abstractNumId w:val="133"/>
  </w:num>
  <w:num w:numId="54">
    <w:abstractNumId w:val="152"/>
  </w:num>
  <w:num w:numId="55">
    <w:abstractNumId w:val="88"/>
  </w:num>
  <w:num w:numId="56">
    <w:abstractNumId w:val="102"/>
  </w:num>
  <w:num w:numId="57">
    <w:abstractNumId w:val="166"/>
  </w:num>
  <w:num w:numId="58">
    <w:abstractNumId w:val="99"/>
  </w:num>
  <w:num w:numId="59">
    <w:abstractNumId w:val="69"/>
  </w:num>
  <w:num w:numId="60">
    <w:abstractNumId w:val="149"/>
  </w:num>
  <w:num w:numId="61">
    <w:abstractNumId w:val="11"/>
  </w:num>
  <w:num w:numId="62">
    <w:abstractNumId w:val="83"/>
  </w:num>
  <w:num w:numId="63">
    <w:abstractNumId w:val="77"/>
  </w:num>
  <w:num w:numId="64">
    <w:abstractNumId w:val="73"/>
  </w:num>
  <w:num w:numId="65">
    <w:abstractNumId w:val="48"/>
  </w:num>
  <w:num w:numId="66">
    <w:abstractNumId w:val="66"/>
  </w:num>
  <w:num w:numId="67">
    <w:abstractNumId w:val="119"/>
  </w:num>
  <w:num w:numId="68">
    <w:abstractNumId w:val="27"/>
  </w:num>
  <w:num w:numId="69">
    <w:abstractNumId w:val="158"/>
  </w:num>
  <w:num w:numId="70">
    <w:abstractNumId w:val="62"/>
  </w:num>
  <w:num w:numId="71">
    <w:abstractNumId w:val="150"/>
  </w:num>
  <w:num w:numId="72">
    <w:abstractNumId w:val="103"/>
  </w:num>
  <w:num w:numId="73">
    <w:abstractNumId w:val="71"/>
  </w:num>
  <w:num w:numId="74">
    <w:abstractNumId w:val="28"/>
    <w:lvlOverride w:ilvl="0">
      <w:lvl w:ilvl="0">
        <w:start w:val="1"/>
        <w:numFmt w:val="upperLetter"/>
        <w:pStyle w:val="ScheduleEIB0"/>
        <w:suff w:val="nothing"/>
        <w:lvlText w:val="Schedule %1"/>
        <w:lvlJc w:val="left"/>
        <w:pPr>
          <w:ind w:left="9433" w:hanging="360"/>
        </w:pPr>
        <w:rPr>
          <w:rFonts w:ascii="Arial" w:hAnsi="Arial" w:hint="default"/>
          <w:b/>
          <w:i w:val="0"/>
          <w:caps w:val="0"/>
          <w:sz w:val="20"/>
        </w:rPr>
      </w:lvl>
    </w:lvlOverride>
    <w:lvlOverride w:ilvl="1">
      <w:lvl w:ilvl="1">
        <w:start w:val="1"/>
        <w:numFmt w:val="none"/>
        <w:pStyle w:val="SubSchedule1EIB0"/>
        <w:suff w:val="nothing"/>
        <w:lvlText w:val=""/>
        <w:lvlJc w:val="left"/>
        <w:pPr>
          <w:ind w:left="0" w:firstLine="0"/>
        </w:pPr>
        <w:rPr>
          <w:rFonts w:hint="default"/>
        </w:rPr>
      </w:lvl>
    </w:lvlOverride>
    <w:lvlOverride w:ilvl="2">
      <w:lvl w:ilvl="2">
        <w:start w:val="1"/>
        <w:numFmt w:val="upperLetter"/>
        <w:lvlText w:val="%3."/>
        <w:lvlJc w:val="left"/>
        <w:pPr>
          <w:ind w:left="1080" w:hanging="360"/>
        </w:pPr>
        <w:rPr>
          <w:rFonts w:hint="default"/>
          <w:b/>
          <w:i w:val="0"/>
        </w:rPr>
      </w:lvl>
    </w:lvlOverride>
    <w:lvlOverride w:ilvl="3">
      <w:lvl w:ilvl="3">
        <w:start w:val="1"/>
        <w:numFmt w:val="decimal"/>
        <w:lvlRestart w:val="1"/>
        <w:lvlText w:val="%1.%4"/>
        <w:lvlJc w:val="left"/>
        <w:pPr>
          <w:ind w:left="1440" w:hanging="360"/>
        </w:pPr>
        <w:rPr>
          <w:rFonts w:hint="default"/>
          <w:b w:val="0"/>
          <w:i w:val="0"/>
          <w:u w:val="single"/>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5">
    <w:abstractNumId w:val="117"/>
  </w:num>
  <w:num w:numId="76">
    <w:abstractNumId w:val="160"/>
  </w:num>
  <w:num w:numId="77">
    <w:abstractNumId w:val="136"/>
  </w:num>
  <w:num w:numId="78">
    <w:abstractNumId w:val="111"/>
    <w:lvlOverride w:ilvl="0">
      <w:startOverride w:val="1"/>
    </w:lvlOverride>
    <w:lvlOverride w:ilvl="1"/>
    <w:lvlOverride w:ilvl="2"/>
    <w:lvlOverride w:ilvl="3"/>
    <w:lvlOverride w:ilvl="4"/>
    <w:lvlOverride w:ilvl="5"/>
    <w:lvlOverride w:ilvl="6"/>
    <w:lvlOverride w:ilvl="7"/>
    <w:lvlOverride w:ilvl="8"/>
  </w:num>
  <w:num w:numId="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lvlOverride w:ilvl="2"/>
    <w:lvlOverride w:ilvl="3"/>
    <w:lvlOverride w:ilvl="4"/>
    <w:lvlOverride w:ilvl="5"/>
    <w:lvlOverride w:ilvl="6"/>
    <w:lvlOverride w:ilvl="7"/>
    <w:lvlOverride w:ilvl="8"/>
  </w:num>
  <w:num w:numId="8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6"/>
  </w:num>
  <w:num w:numId="88">
    <w:abstractNumId w:val="38"/>
  </w:num>
  <w:num w:numId="89">
    <w:abstractNumId w:val="164"/>
    <w:lvlOverride w:ilvl="0">
      <w:lvl w:ilvl="0">
        <w:start w:val="1"/>
        <w:numFmt w:val="upperLetter"/>
        <w:suff w:val="nothing"/>
        <w:lvlText w:val="Prilog %1"/>
        <w:lvlJc w:val="left"/>
        <w:pPr>
          <w:ind w:left="360" w:hanging="360"/>
        </w:pPr>
        <w:rPr>
          <w:rFonts w:ascii="Arial" w:hAnsi="Arial" w:hint="default"/>
          <w:b/>
          <w:i w:val="0"/>
          <w:caps w:val="0"/>
          <w:sz w:val="20"/>
        </w:rPr>
      </w:lvl>
    </w:lvlOverride>
    <w:lvlOverride w:ilvl="1">
      <w:lvl w:ilvl="1">
        <w:start w:val="1"/>
        <w:numFmt w:val="none"/>
        <w:suff w:val="nothing"/>
        <w:lvlText w:val=""/>
        <w:lvlJc w:val="left"/>
        <w:pPr>
          <w:ind w:left="0" w:firstLine="0"/>
        </w:pPr>
        <w:rPr>
          <w:rFonts w:hint="default"/>
        </w:rPr>
      </w:lvl>
    </w:lvlOverride>
    <w:lvlOverride w:ilvl="2">
      <w:lvl w:ilvl="2">
        <w:start w:val="1"/>
        <w:numFmt w:val="upperLetter"/>
        <w:lvlText w:val="%3."/>
        <w:lvlJc w:val="left"/>
        <w:pPr>
          <w:ind w:left="1080" w:hanging="360"/>
        </w:pPr>
        <w:rPr>
          <w:rFonts w:hint="default"/>
          <w:b/>
          <w:i w:val="0"/>
        </w:rPr>
      </w:lvl>
    </w:lvlOverride>
    <w:lvlOverride w:ilvl="3">
      <w:lvl w:ilvl="3">
        <w:start w:val="1"/>
        <w:numFmt w:val="decimal"/>
        <w:lvlRestart w:val="1"/>
        <w:lvlText w:val="%1.%4"/>
        <w:lvlJc w:val="left"/>
        <w:pPr>
          <w:ind w:left="1440" w:hanging="360"/>
        </w:pPr>
        <w:rPr>
          <w:rFonts w:hint="default"/>
          <w:b w:val="0"/>
          <w:i w:val="0"/>
          <w:u w:val="single"/>
        </w:rPr>
      </w:lvl>
    </w:lvlOverride>
    <w:lvlOverride w:ilvl="4">
      <w:lvl w:ilvl="4">
        <w:start w:val="1"/>
        <w:numFmt w:val="upperLetter"/>
        <w:lvlText w:val="%5.1.1"/>
        <w:lvlJc w:val="left"/>
        <w:pPr>
          <w:ind w:left="1637"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0">
    <w:abstractNumId w:val="100"/>
    <w:lvlOverride w:ilvl="0">
      <w:lvl w:ilvl="0">
        <w:start w:val="1"/>
        <w:numFmt w:val="upperLetter"/>
        <w:suff w:val="nothing"/>
        <w:lvlText w:val="Prilog %1"/>
        <w:lvlJc w:val="left"/>
        <w:pPr>
          <w:ind w:left="360" w:hanging="360"/>
        </w:pPr>
        <w:rPr>
          <w:rFonts w:ascii="Arial" w:hAnsi="Arial" w:hint="default"/>
          <w:b/>
          <w:i w:val="0"/>
          <w:caps w:val="0"/>
          <w:sz w:val="20"/>
        </w:rPr>
      </w:lvl>
    </w:lvlOverride>
    <w:lvlOverride w:ilvl="1">
      <w:lvl w:ilvl="1">
        <w:start w:val="2"/>
        <w:numFmt w:val="none"/>
        <w:suff w:val="nothing"/>
        <w:lvlText w:val=""/>
        <w:lvlJc w:val="left"/>
        <w:pPr>
          <w:ind w:left="0" w:firstLine="0"/>
        </w:pPr>
        <w:rPr>
          <w:rFonts w:hint="default"/>
        </w:rPr>
      </w:lvl>
    </w:lvlOverride>
    <w:lvlOverride w:ilvl="2">
      <w:lvl w:ilvl="2">
        <w:start w:val="1"/>
        <w:numFmt w:val="upperLetter"/>
        <w:lvlText w:val="%3."/>
        <w:lvlJc w:val="left"/>
        <w:pPr>
          <w:ind w:left="1080" w:hanging="360"/>
        </w:pPr>
        <w:rPr>
          <w:rFonts w:hint="default"/>
          <w:b/>
          <w:i w:val="0"/>
        </w:rPr>
      </w:lvl>
    </w:lvlOverride>
    <w:lvlOverride w:ilvl="3">
      <w:lvl w:ilvl="3">
        <w:start w:val="1"/>
        <w:numFmt w:val="decimal"/>
        <w:lvlRestart w:val="1"/>
        <w:lvlText w:val="%1.%4"/>
        <w:lvlJc w:val="left"/>
        <w:pPr>
          <w:ind w:left="1440" w:hanging="360"/>
        </w:pPr>
        <w:rPr>
          <w:rFonts w:hint="default"/>
          <w:b w:val="0"/>
          <w:i w:val="0"/>
          <w:u w:val="single"/>
        </w:rPr>
      </w:lvl>
    </w:lvlOverride>
    <w:lvlOverride w:ilvl="4">
      <w:lvl w:ilvl="4">
        <w:start w:val="1"/>
        <w:numFmt w:val="upperLetter"/>
        <w:lvlText w:val="%5.1.2"/>
        <w:lvlJc w:val="left"/>
        <w:pPr>
          <w:ind w:left="1800" w:hanging="360"/>
        </w:pPr>
        <w:rPr>
          <w:rFonts w:ascii="Arial Bold" w:hAnsi="Arial Bold" w:hint="default"/>
          <w:b/>
          <w:i w:val="0"/>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1">
    <w:abstractNumId w:val="10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2"/>
  </w:num>
  <w:num w:numId="93">
    <w:abstractNumId w:val="11"/>
    <w:lvlOverride w:ilvl="0">
      <w:lvl w:ilvl="0">
        <w:start w:val="1"/>
        <w:numFmt w:val="upperRoman"/>
        <w:suff w:val="nothing"/>
        <w:lvlText w:val="Annex %1"/>
        <w:lvlJc w:val="left"/>
        <w:pPr>
          <w:ind w:left="720" w:hanging="360"/>
        </w:pPr>
        <w:rPr>
          <w:rFonts w:ascii="Arial" w:hAnsi="Arial" w:hint="default"/>
          <w:b/>
        </w:rPr>
      </w:lvl>
    </w:lvlOverride>
  </w:num>
  <w:num w:numId="94">
    <w:abstractNumId w:val="164"/>
  </w:num>
  <w:num w:numId="95">
    <w:abstractNumId w:val="9"/>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4"/>
  </w:num>
  <w:num w:numId="98">
    <w:abstractNumId w:val="5"/>
  </w:num>
  <w:num w:numId="99">
    <w:abstractNumId w:val="39"/>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32"/>
  </w:num>
  <w:num w:numId="102">
    <w:abstractNumId w:val="74"/>
  </w:num>
  <w:num w:numId="103">
    <w:abstractNumId w:val="116"/>
  </w:num>
  <w:num w:numId="104">
    <w:abstractNumId w:val="76"/>
  </w:num>
  <w:num w:numId="105">
    <w:abstractNumId w:val="112"/>
  </w:num>
  <w:num w:numId="106">
    <w:abstractNumId w:val="84"/>
  </w:num>
  <w:num w:numId="107">
    <w:abstractNumId w:val="124"/>
  </w:num>
  <w:num w:numId="108">
    <w:abstractNumId w:val="106"/>
  </w:num>
  <w:num w:numId="109">
    <w:abstractNumId w:val="126"/>
  </w:num>
  <w:num w:numId="110">
    <w:abstractNumId w:val="92"/>
  </w:num>
  <w:num w:numId="111">
    <w:abstractNumId w:val="14"/>
  </w:num>
  <w:num w:numId="112">
    <w:abstractNumId w:val="151"/>
  </w:num>
  <w:num w:numId="113">
    <w:abstractNumId w:val="141"/>
  </w:num>
  <w:num w:numId="114">
    <w:abstractNumId w:val="29"/>
  </w:num>
  <w:num w:numId="115">
    <w:abstractNumId w:val="67"/>
  </w:num>
  <w:num w:numId="116">
    <w:abstractNumId w:val="44"/>
  </w:num>
  <w:num w:numId="117">
    <w:abstractNumId w:val="7"/>
  </w:num>
  <w:num w:numId="118">
    <w:abstractNumId w:val="127"/>
  </w:num>
  <w:num w:numId="119">
    <w:abstractNumId w:val="171"/>
  </w:num>
  <w:num w:numId="120">
    <w:abstractNumId w:val="41"/>
  </w:num>
  <w:num w:numId="121">
    <w:abstractNumId w:val="125"/>
  </w:num>
  <w:num w:numId="122">
    <w:abstractNumId w:val="87"/>
  </w:num>
  <w:num w:numId="123">
    <w:abstractNumId w:val="89"/>
  </w:num>
  <w:num w:numId="124">
    <w:abstractNumId w:val="145"/>
  </w:num>
  <w:num w:numId="125">
    <w:abstractNumId w:val="90"/>
  </w:num>
  <w:num w:numId="126">
    <w:abstractNumId w:val="85"/>
  </w:num>
  <w:num w:numId="127">
    <w:abstractNumId w:val="65"/>
  </w:num>
  <w:num w:numId="128">
    <w:abstractNumId w:val="64"/>
  </w:num>
  <w:num w:numId="129">
    <w:abstractNumId w:val="132"/>
  </w:num>
  <w:num w:numId="130">
    <w:abstractNumId w:val="93"/>
  </w:num>
  <w:num w:numId="131">
    <w:abstractNumId w:val="154"/>
  </w:num>
  <w:num w:numId="132">
    <w:abstractNumId w:val="46"/>
  </w:num>
  <w:num w:numId="133">
    <w:abstractNumId w:val="129"/>
  </w:num>
  <w:num w:numId="134">
    <w:abstractNumId w:val="138"/>
  </w:num>
  <w:num w:numId="135">
    <w:abstractNumId w:val="137"/>
  </w:num>
  <w:num w:numId="136">
    <w:abstractNumId w:val="163"/>
  </w:num>
  <w:num w:numId="137">
    <w:abstractNumId w:val="167"/>
  </w:num>
  <w:num w:numId="138">
    <w:abstractNumId w:val="68"/>
  </w:num>
  <w:num w:numId="139">
    <w:abstractNumId w:val="49"/>
  </w:num>
  <w:num w:numId="140">
    <w:abstractNumId w:val="13"/>
  </w:num>
  <w:num w:numId="141">
    <w:abstractNumId w:val="21"/>
  </w:num>
  <w:num w:numId="142">
    <w:abstractNumId w:val="35"/>
  </w:num>
  <w:num w:numId="143">
    <w:abstractNumId w:val="91"/>
  </w:num>
  <w:num w:numId="144">
    <w:abstractNumId w:val="36"/>
  </w:num>
  <w:num w:numId="145">
    <w:abstractNumId w:val="30"/>
  </w:num>
  <w:num w:numId="146">
    <w:abstractNumId w:val="169"/>
  </w:num>
  <w:num w:numId="147">
    <w:abstractNumId w:val="122"/>
  </w:num>
  <w:num w:numId="148">
    <w:abstractNumId w:val="128"/>
  </w:num>
  <w:num w:numId="149">
    <w:abstractNumId w:val="3"/>
  </w:num>
  <w:num w:numId="150">
    <w:abstractNumId w:val="16"/>
  </w:num>
  <w:num w:numId="151">
    <w:abstractNumId w:val="140"/>
  </w:num>
  <w:num w:numId="152">
    <w:abstractNumId w:val="130"/>
  </w:num>
  <w:num w:numId="153">
    <w:abstractNumId w:val="157"/>
  </w:num>
  <w:num w:numId="154">
    <w:abstractNumId w:val="121"/>
  </w:num>
  <w:num w:numId="155">
    <w:abstractNumId w:val="37"/>
  </w:num>
  <w:num w:numId="156">
    <w:abstractNumId w:val="146"/>
  </w:num>
  <w:num w:numId="157">
    <w:abstractNumId w:val="170"/>
  </w:num>
  <w:num w:numId="158">
    <w:abstractNumId w:val="86"/>
  </w:num>
  <w:num w:numId="159">
    <w:abstractNumId w:val="60"/>
  </w:num>
  <w:num w:numId="160">
    <w:abstractNumId w:val="33"/>
  </w:num>
  <w:num w:numId="161">
    <w:abstractNumId w:val="70"/>
  </w:num>
  <w:num w:numId="162">
    <w:abstractNumId w:val="23"/>
  </w:num>
  <w:num w:numId="163">
    <w:abstractNumId w:val="139"/>
  </w:num>
  <w:num w:numId="164">
    <w:abstractNumId w:val="147"/>
  </w:num>
  <w:num w:numId="165">
    <w:abstractNumId w:val="59"/>
  </w:num>
  <w:num w:numId="166">
    <w:abstractNumId w:val="31"/>
  </w:num>
  <w:num w:numId="167">
    <w:abstractNumId w:val="63"/>
  </w:num>
  <w:num w:numId="168">
    <w:abstractNumId w:val="142"/>
  </w:num>
  <w:num w:numId="169">
    <w:abstractNumId w:val="101"/>
  </w:num>
  <w:num w:numId="170">
    <w:abstractNumId w:val="109"/>
  </w:num>
  <w:num w:numId="171">
    <w:abstractNumId w:val="82"/>
  </w:num>
  <w:num w:numId="172">
    <w:abstractNumId w:val="47"/>
  </w:num>
  <w:num w:numId="173">
    <w:abstractNumId w:val="115"/>
  </w:num>
  <w:num w:numId="174">
    <w:abstractNumId w:val="79"/>
  </w:num>
  <w:num w:numId="175">
    <w:abstractNumId w:val="58"/>
  </w:num>
  <w:num w:numId="176">
    <w:abstractNumId w:val="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ocumentProtection w:edit="forms" w:enforcement="0"/>
  <w:defaultTabStop w:val="720"/>
  <w:hyphenationZone w:val="425"/>
  <w:defaultTableStyle w:val="TableEIB"/>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94"/>
    <w:rsid w:val="00000172"/>
    <w:rsid w:val="000002A8"/>
    <w:rsid w:val="00000366"/>
    <w:rsid w:val="00000994"/>
    <w:rsid w:val="00000CD7"/>
    <w:rsid w:val="00000D60"/>
    <w:rsid w:val="00000E70"/>
    <w:rsid w:val="00001511"/>
    <w:rsid w:val="00001641"/>
    <w:rsid w:val="00001710"/>
    <w:rsid w:val="000023A8"/>
    <w:rsid w:val="00002C4B"/>
    <w:rsid w:val="00002DC8"/>
    <w:rsid w:val="00003107"/>
    <w:rsid w:val="000032D1"/>
    <w:rsid w:val="0000348D"/>
    <w:rsid w:val="00003726"/>
    <w:rsid w:val="00003BCA"/>
    <w:rsid w:val="00003D58"/>
    <w:rsid w:val="00003F32"/>
    <w:rsid w:val="0000403F"/>
    <w:rsid w:val="000042D8"/>
    <w:rsid w:val="00004A4C"/>
    <w:rsid w:val="00005D32"/>
    <w:rsid w:val="0000613E"/>
    <w:rsid w:val="0000667E"/>
    <w:rsid w:val="00006693"/>
    <w:rsid w:val="0000682C"/>
    <w:rsid w:val="0000698F"/>
    <w:rsid w:val="00006B3C"/>
    <w:rsid w:val="00007014"/>
    <w:rsid w:val="00007293"/>
    <w:rsid w:val="00007400"/>
    <w:rsid w:val="000077FA"/>
    <w:rsid w:val="000079B5"/>
    <w:rsid w:val="000100F8"/>
    <w:rsid w:val="000101DC"/>
    <w:rsid w:val="000103E4"/>
    <w:rsid w:val="00010A2D"/>
    <w:rsid w:val="00010BE0"/>
    <w:rsid w:val="00010C5B"/>
    <w:rsid w:val="00010CBE"/>
    <w:rsid w:val="00010D7F"/>
    <w:rsid w:val="0001102B"/>
    <w:rsid w:val="000110D5"/>
    <w:rsid w:val="000115A6"/>
    <w:rsid w:val="00011FA5"/>
    <w:rsid w:val="00012501"/>
    <w:rsid w:val="0001270A"/>
    <w:rsid w:val="00013895"/>
    <w:rsid w:val="00013950"/>
    <w:rsid w:val="00013A8D"/>
    <w:rsid w:val="00013D41"/>
    <w:rsid w:val="00013D49"/>
    <w:rsid w:val="000148D7"/>
    <w:rsid w:val="00014AB0"/>
    <w:rsid w:val="00014C98"/>
    <w:rsid w:val="00015D6A"/>
    <w:rsid w:val="000163EE"/>
    <w:rsid w:val="00016B18"/>
    <w:rsid w:val="00017188"/>
    <w:rsid w:val="00017788"/>
    <w:rsid w:val="00017EF2"/>
    <w:rsid w:val="0002028C"/>
    <w:rsid w:val="00020530"/>
    <w:rsid w:val="00020603"/>
    <w:rsid w:val="0002061B"/>
    <w:rsid w:val="0002088F"/>
    <w:rsid w:val="000213F3"/>
    <w:rsid w:val="000214A6"/>
    <w:rsid w:val="00022213"/>
    <w:rsid w:val="0002249F"/>
    <w:rsid w:val="0002253E"/>
    <w:rsid w:val="0002257F"/>
    <w:rsid w:val="00022AD6"/>
    <w:rsid w:val="00022F47"/>
    <w:rsid w:val="00023479"/>
    <w:rsid w:val="00023BC9"/>
    <w:rsid w:val="000244C0"/>
    <w:rsid w:val="0002506F"/>
    <w:rsid w:val="000251A8"/>
    <w:rsid w:val="000254CE"/>
    <w:rsid w:val="0002570E"/>
    <w:rsid w:val="00025907"/>
    <w:rsid w:val="0002599B"/>
    <w:rsid w:val="00025C61"/>
    <w:rsid w:val="00026255"/>
    <w:rsid w:val="00026DC2"/>
    <w:rsid w:val="0002731C"/>
    <w:rsid w:val="000278C0"/>
    <w:rsid w:val="00027A79"/>
    <w:rsid w:val="00027A82"/>
    <w:rsid w:val="00027CD0"/>
    <w:rsid w:val="00027E4F"/>
    <w:rsid w:val="000304B5"/>
    <w:rsid w:val="000305DE"/>
    <w:rsid w:val="0003062C"/>
    <w:rsid w:val="000306D1"/>
    <w:rsid w:val="00030810"/>
    <w:rsid w:val="00030A22"/>
    <w:rsid w:val="00030A5F"/>
    <w:rsid w:val="00030B41"/>
    <w:rsid w:val="00030E77"/>
    <w:rsid w:val="000311CC"/>
    <w:rsid w:val="000320D2"/>
    <w:rsid w:val="000324AE"/>
    <w:rsid w:val="000326BC"/>
    <w:rsid w:val="000332BC"/>
    <w:rsid w:val="00033EA0"/>
    <w:rsid w:val="00034407"/>
    <w:rsid w:val="00034D58"/>
    <w:rsid w:val="0003511F"/>
    <w:rsid w:val="0003539B"/>
    <w:rsid w:val="000358AC"/>
    <w:rsid w:val="000358DF"/>
    <w:rsid w:val="00035D87"/>
    <w:rsid w:val="00035D8B"/>
    <w:rsid w:val="00035EBF"/>
    <w:rsid w:val="0003613D"/>
    <w:rsid w:val="000362AA"/>
    <w:rsid w:val="000363DF"/>
    <w:rsid w:val="00036FA0"/>
    <w:rsid w:val="00037566"/>
    <w:rsid w:val="000379C4"/>
    <w:rsid w:val="00037BC7"/>
    <w:rsid w:val="00037CE4"/>
    <w:rsid w:val="00037E74"/>
    <w:rsid w:val="00037E80"/>
    <w:rsid w:val="00040060"/>
    <w:rsid w:val="000407F4"/>
    <w:rsid w:val="00040C6E"/>
    <w:rsid w:val="000413CB"/>
    <w:rsid w:val="0004158D"/>
    <w:rsid w:val="00041945"/>
    <w:rsid w:val="00041F89"/>
    <w:rsid w:val="00042353"/>
    <w:rsid w:val="00042BC3"/>
    <w:rsid w:val="000431EC"/>
    <w:rsid w:val="000432BA"/>
    <w:rsid w:val="000433BE"/>
    <w:rsid w:val="00043945"/>
    <w:rsid w:val="00043E87"/>
    <w:rsid w:val="00044C31"/>
    <w:rsid w:val="00044FB6"/>
    <w:rsid w:val="00045791"/>
    <w:rsid w:val="00045902"/>
    <w:rsid w:val="00045C17"/>
    <w:rsid w:val="00045FC2"/>
    <w:rsid w:val="00046095"/>
    <w:rsid w:val="000464CA"/>
    <w:rsid w:val="000468DD"/>
    <w:rsid w:val="000470D1"/>
    <w:rsid w:val="00047273"/>
    <w:rsid w:val="0004774B"/>
    <w:rsid w:val="00047F83"/>
    <w:rsid w:val="00050318"/>
    <w:rsid w:val="00050D58"/>
    <w:rsid w:val="00051865"/>
    <w:rsid w:val="00051910"/>
    <w:rsid w:val="00051AD5"/>
    <w:rsid w:val="00051D99"/>
    <w:rsid w:val="00052122"/>
    <w:rsid w:val="000527AD"/>
    <w:rsid w:val="00053014"/>
    <w:rsid w:val="000532FB"/>
    <w:rsid w:val="00053479"/>
    <w:rsid w:val="000535AB"/>
    <w:rsid w:val="00053F46"/>
    <w:rsid w:val="0005412F"/>
    <w:rsid w:val="000541EF"/>
    <w:rsid w:val="00054BAC"/>
    <w:rsid w:val="000552D0"/>
    <w:rsid w:val="0005581B"/>
    <w:rsid w:val="00055A97"/>
    <w:rsid w:val="00056157"/>
    <w:rsid w:val="00056195"/>
    <w:rsid w:val="000564B4"/>
    <w:rsid w:val="000565E5"/>
    <w:rsid w:val="000566C3"/>
    <w:rsid w:val="00056ADB"/>
    <w:rsid w:val="00056BE8"/>
    <w:rsid w:val="00056D02"/>
    <w:rsid w:val="00057ED2"/>
    <w:rsid w:val="00060109"/>
    <w:rsid w:val="00060360"/>
    <w:rsid w:val="00060371"/>
    <w:rsid w:val="000608CA"/>
    <w:rsid w:val="000627CF"/>
    <w:rsid w:val="00062800"/>
    <w:rsid w:val="00062C6A"/>
    <w:rsid w:val="000630B5"/>
    <w:rsid w:val="0006317A"/>
    <w:rsid w:val="000631C6"/>
    <w:rsid w:val="00063814"/>
    <w:rsid w:val="000639AF"/>
    <w:rsid w:val="00063C10"/>
    <w:rsid w:val="00063CB7"/>
    <w:rsid w:val="00064F15"/>
    <w:rsid w:val="00065892"/>
    <w:rsid w:val="00065A60"/>
    <w:rsid w:val="00065CDD"/>
    <w:rsid w:val="00065E28"/>
    <w:rsid w:val="0006601E"/>
    <w:rsid w:val="00066CD2"/>
    <w:rsid w:val="00066D3F"/>
    <w:rsid w:val="00066DA0"/>
    <w:rsid w:val="00067701"/>
    <w:rsid w:val="00067895"/>
    <w:rsid w:val="00067A52"/>
    <w:rsid w:val="00067D68"/>
    <w:rsid w:val="00070AE4"/>
    <w:rsid w:val="00070D22"/>
    <w:rsid w:val="00071E80"/>
    <w:rsid w:val="00072F48"/>
    <w:rsid w:val="000732ED"/>
    <w:rsid w:val="0007351D"/>
    <w:rsid w:val="00073D0B"/>
    <w:rsid w:val="00073E25"/>
    <w:rsid w:val="00074624"/>
    <w:rsid w:val="0007462F"/>
    <w:rsid w:val="00075A62"/>
    <w:rsid w:val="00076222"/>
    <w:rsid w:val="00076897"/>
    <w:rsid w:val="0007690F"/>
    <w:rsid w:val="00076F61"/>
    <w:rsid w:val="0007723F"/>
    <w:rsid w:val="0007730F"/>
    <w:rsid w:val="00077377"/>
    <w:rsid w:val="00077448"/>
    <w:rsid w:val="00077A60"/>
    <w:rsid w:val="00080352"/>
    <w:rsid w:val="0008061F"/>
    <w:rsid w:val="000807A2"/>
    <w:rsid w:val="00080F4E"/>
    <w:rsid w:val="00081961"/>
    <w:rsid w:val="00081BB9"/>
    <w:rsid w:val="00081BCA"/>
    <w:rsid w:val="00081D9E"/>
    <w:rsid w:val="00082017"/>
    <w:rsid w:val="000826D1"/>
    <w:rsid w:val="00082E8D"/>
    <w:rsid w:val="00083540"/>
    <w:rsid w:val="00083D65"/>
    <w:rsid w:val="00084138"/>
    <w:rsid w:val="000849EA"/>
    <w:rsid w:val="00084A72"/>
    <w:rsid w:val="00084B95"/>
    <w:rsid w:val="00084BF1"/>
    <w:rsid w:val="00085636"/>
    <w:rsid w:val="00085A87"/>
    <w:rsid w:val="00085B94"/>
    <w:rsid w:val="00086137"/>
    <w:rsid w:val="00086A5C"/>
    <w:rsid w:val="00086E8A"/>
    <w:rsid w:val="00086F90"/>
    <w:rsid w:val="00087270"/>
    <w:rsid w:val="000877D2"/>
    <w:rsid w:val="00087858"/>
    <w:rsid w:val="00087A27"/>
    <w:rsid w:val="00090230"/>
    <w:rsid w:val="0009089A"/>
    <w:rsid w:val="00091057"/>
    <w:rsid w:val="00091190"/>
    <w:rsid w:val="0009369D"/>
    <w:rsid w:val="00093E41"/>
    <w:rsid w:val="00093F72"/>
    <w:rsid w:val="00094068"/>
    <w:rsid w:val="000946FD"/>
    <w:rsid w:val="00094956"/>
    <w:rsid w:val="000949BE"/>
    <w:rsid w:val="00094B56"/>
    <w:rsid w:val="0009551D"/>
    <w:rsid w:val="00095581"/>
    <w:rsid w:val="00095783"/>
    <w:rsid w:val="00095795"/>
    <w:rsid w:val="00095ABF"/>
    <w:rsid w:val="00096734"/>
    <w:rsid w:val="000974ED"/>
    <w:rsid w:val="0009768F"/>
    <w:rsid w:val="00097C01"/>
    <w:rsid w:val="00097CE0"/>
    <w:rsid w:val="00097DA9"/>
    <w:rsid w:val="000A07AD"/>
    <w:rsid w:val="000A1595"/>
    <w:rsid w:val="000A186E"/>
    <w:rsid w:val="000A1A73"/>
    <w:rsid w:val="000A1B54"/>
    <w:rsid w:val="000A1FFD"/>
    <w:rsid w:val="000A20AE"/>
    <w:rsid w:val="000A21CA"/>
    <w:rsid w:val="000A2995"/>
    <w:rsid w:val="000A3AA1"/>
    <w:rsid w:val="000A3D28"/>
    <w:rsid w:val="000A3FDF"/>
    <w:rsid w:val="000A4029"/>
    <w:rsid w:val="000A41DB"/>
    <w:rsid w:val="000A460F"/>
    <w:rsid w:val="000A476D"/>
    <w:rsid w:val="000A4E9B"/>
    <w:rsid w:val="000A5271"/>
    <w:rsid w:val="000A571B"/>
    <w:rsid w:val="000A6A12"/>
    <w:rsid w:val="000A6A4E"/>
    <w:rsid w:val="000A7A70"/>
    <w:rsid w:val="000A7FF2"/>
    <w:rsid w:val="000B04F0"/>
    <w:rsid w:val="000B069B"/>
    <w:rsid w:val="000B06AA"/>
    <w:rsid w:val="000B0941"/>
    <w:rsid w:val="000B0C5E"/>
    <w:rsid w:val="000B1604"/>
    <w:rsid w:val="000B22A6"/>
    <w:rsid w:val="000B25F0"/>
    <w:rsid w:val="000B2691"/>
    <w:rsid w:val="000B26EC"/>
    <w:rsid w:val="000B2B27"/>
    <w:rsid w:val="000B2F30"/>
    <w:rsid w:val="000B2FF9"/>
    <w:rsid w:val="000B3DF3"/>
    <w:rsid w:val="000B4029"/>
    <w:rsid w:val="000B4D35"/>
    <w:rsid w:val="000B4E86"/>
    <w:rsid w:val="000B56BB"/>
    <w:rsid w:val="000B5A8F"/>
    <w:rsid w:val="000B6271"/>
    <w:rsid w:val="000B6843"/>
    <w:rsid w:val="000B6A31"/>
    <w:rsid w:val="000B6C13"/>
    <w:rsid w:val="000B7255"/>
    <w:rsid w:val="000B7BF8"/>
    <w:rsid w:val="000B7FE3"/>
    <w:rsid w:val="000C0494"/>
    <w:rsid w:val="000C07F6"/>
    <w:rsid w:val="000C0986"/>
    <w:rsid w:val="000C0B55"/>
    <w:rsid w:val="000C1187"/>
    <w:rsid w:val="000C1330"/>
    <w:rsid w:val="000C17A2"/>
    <w:rsid w:val="000C1876"/>
    <w:rsid w:val="000C18C3"/>
    <w:rsid w:val="000C2032"/>
    <w:rsid w:val="000C23CB"/>
    <w:rsid w:val="000C458A"/>
    <w:rsid w:val="000C45B0"/>
    <w:rsid w:val="000C4617"/>
    <w:rsid w:val="000C4D55"/>
    <w:rsid w:val="000C4ECF"/>
    <w:rsid w:val="000C511D"/>
    <w:rsid w:val="000C557C"/>
    <w:rsid w:val="000C5A39"/>
    <w:rsid w:val="000C6211"/>
    <w:rsid w:val="000C7119"/>
    <w:rsid w:val="000C715C"/>
    <w:rsid w:val="000C71EB"/>
    <w:rsid w:val="000C75D0"/>
    <w:rsid w:val="000D055D"/>
    <w:rsid w:val="000D0D7C"/>
    <w:rsid w:val="000D0D83"/>
    <w:rsid w:val="000D0EA3"/>
    <w:rsid w:val="000D1393"/>
    <w:rsid w:val="000D1697"/>
    <w:rsid w:val="000D1799"/>
    <w:rsid w:val="000D1BBE"/>
    <w:rsid w:val="000D21FE"/>
    <w:rsid w:val="000D35F5"/>
    <w:rsid w:val="000D39F1"/>
    <w:rsid w:val="000D3F69"/>
    <w:rsid w:val="000D4A93"/>
    <w:rsid w:val="000D4F66"/>
    <w:rsid w:val="000D50E0"/>
    <w:rsid w:val="000D6679"/>
    <w:rsid w:val="000D67B1"/>
    <w:rsid w:val="000D7171"/>
    <w:rsid w:val="000D7383"/>
    <w:rsid w:val="000D7FE5"/>
    <w:rsid w:val="000E006C"/>
    <w:rsid w:val="000E01B0"/>
    <w:rsid w:val="000E01F6"/>
    <w:rsid w:val="000E08A1"/>
    <w:rsid w:val="000E0D17"/>
    <w:rsid w:val="000E1333"/>
    <w:rsid w:val="000E1930"/>
    <w:rsid w:val="000E2DF9"/>
    <w:rsid w:val="000E31F6"/>
    <w:rsid w:val="000E34E0"/>
    <w:rsid w:val="000E39FA"/>
    <w:rsid w:val="000E469A"/>
    <w:rsid w:val="000E52FB"/>
    <w:rsid w:val="000E652D"/>
    <w:rsid w:val="000E6F8C"/>
    <w:rsid w:val="000E7430"/>
    <w:rsid w:val="000E7D81"/>
    <w:rsid w:val="000E7E84"/>
    <w:rsid w:val="000E7EBA"/>
    <w:rsid w:val="000E7FC1"/>
    <w:rsid w:val="000F0277"/>
    <w:rsid w:val="000F034C"/>
    <w:rsid w:val="000F0376"/>
    <w:rsid w:val="000F03DA"/>
    <w:rsid w:val="000F068E"/>
    <w:rsid w:val="000F0966"/>
    <w:rsid w:val="000F18C7"/>
    <w:rsid w:val="000F1E7C"/>
    <w:rsid w:val="000F1EC7"/>
    <w:rsid w:val="000F2046"/>
    <w:rsid w:val="000F23F6"/>
    <w:rsid w:val="000F316A"/>
    <w:rsid w:val="000F317A"/>
    <w:rsid w:val="000F342D"/>
    <w:rsid w:val="000F3CA7"/>
    <w:rsid w:val="000F40D6"/>
    <w:rsid w:val="000F4727"/>
    <w:rsid w:val="000F4743"/>
    <w:rsid w:val="000F5035"/>
    <w:rsid w:val="000F51F1"/>
    <w:rsid w:val="000F5306"/>
    <w:rsid w:val="000F582B"/>
    <w:rsid w:val="000F5881"/>
    <w:rsid w:val="000F6DE2"/>
    <w:rsid w:val="000F6F2A"/>
    <w:rsid w:val="000F6FB8"/>
    <w:rsid w:val="000F7842"/>
    <w:rsid w:val="000F79BC"/>
    <w:rsid w:val="000F7F67"/>
    <w:rsid w:val="00100137"/>
    <w:rsid w:val="001003AC"/>
    <w:rsid w:val="001011A6"/>
    <w:rsid w:val="001015AD"/>
    <w:rsid w:val="0010198A"/>
    <w:rsid w:val="001021DB"/>
    <w:rsid w:val="00102615"/>
    <w:rsid w:val="00103266"/>
    <w:rsid w:val="00103B52"/>
    <w:rsid w:val="00104264"/>
    <w:rsid w:val="0010474D"/>
    <w:rsid w:val="00104DD8"/>
    <w:rsid w:val="0010502C"/>
    <w:rsid w:val="00105EA4"/>
    <w:rsid w:val="001061D4"/>
    <w:rsid w:val="00106272"/>
    <w:rsid w:val="0010696F"/>
    <w:rsid w:val="001069E1"/>
    <w:rsid w:val="00106D25"/>
    <w:rsid w:val="00107E85"/>
    <w:rsid w:val="0011002F"/>
    <w:rsid w:val="001100D2"/>
    <w:rsid w:val="001108F7"/>
    <w:rsid w:val="00110A3A"/>
    <w:rsid w:val="001113D7"/>
    <w:rsid w:val="00111437"/>
    <w:rsid w:val="001114E5"/>
    <w:rsid w:val="0011189D"/>
    <w:rsid w:val="001124E6"/>
    <w:rsid w:val="00113206"/>
    <w:rsid w:val="001133A7"/>
    <w:rsid w:val="00113633"/>
    <w:rsid w:val="00113737"/>
    <w:rsid w:val="001140D2"/>
    <w:rsid w:val="001144CC"/>
    <w:rsid w:val="0011468E"/>
    <w:rsid w:val="001146C4"/>
    <w:rsid w:val="001153F5"/>
    <w:rsid w:val="00115601"/>
    <w:rsid w:val="00115F69"/>
    <w:rsid w:val="001167C5"/>
    <w:rsid w:val="00116BF2"/>
    <w:rsid w:val="0011707C"/>
    <w:rsid w:val="0011709F"/>
    <w:rsid w:val="001171A5"/>
    <w:rsid w:val="001178C2"/>
    <w:rsid w:val="00120BA8"/>
    <w:rsid w:val="00120DEA"/>
    <w:rsid w:val="00121078"/>
    <w:rsid w:val="0012158D"/>
    <w:rsid w:val="00121695"/>
    <w:rsid w:val="00121B66"/>
    <w:rsid w:val="0012269C"/>
    <w:rsid w:val="00122722"/>
    <w:rsid w:val="0012311D"/>
    <w:rsid w:val="0012335D"/>
    <w:rsid w:val="00123416"/>
    <w:rsid w:val="0012371A"/>
    <w:rsid w:val="001239ED"/>
    <w:rsid w:val="00123E65"/>
    <w:rsid w:val="00124553"/>
    <w:rsid w:val="0012466E"/>
    <w:rsid w:val="00124BDD"/>
    <w:rsid w:val="00125002"/>
    <w:rsid w:val="001253B5"/>
    <w:rsid w:val="00125D16"/>
    <w:rsid w:val="00125E38"/>
    <w:rsid w:val="00125F7E"/>
    <w:rsid w:val="001274F4"/>
    <w:rsid w:val="00127BA4"/>
    <w:rsid w:val="001301B0"/>
    <w:rsid w:val="00130280"/>
    <w:rsid w:val="00130A26"/>
    <w:rsid w:val="00130C65"/>
    <w:rsid w:val="00130CE2"/>
    <w:rsid w:val="00130FBF"/>
    <w:rsid w:val="00131022"/>
    <w:rsid w:val="0013160A"/>
    <w:rsid w:val="001319A1"/>
    <w:rsid w:val="00131E42"/>
    <w:rsid w:val="001324F4"/>
    <w:rsid w:val="00132591"/>
    <w:rsid w:val="001327D5"/>
    <w:rsid w:val="00132A5D"/>
    <w:rsid w:val="00132CC7"/>
    <w:rsid w:val="00132ED8"/>
    <w:rsid w:val="00133972"/>
    <w:rsid w:val="00134077"/>
    <w:rsid w:val="0013408A"/>
    <w:rsid w:val="001341C9"/>
    <w:rsid w:val="00134531"/>
    <w:rsid w:val="0013494C"/>
    <w:rsid w:val="00134A30"/>
    <w:rsid w:val="00134C6E"/>
    <w:rsid w:val="0013508B"/>
    <w:rsid w:val="001355EA"/>
    <w:rsid w:val="00135835"/>
    <w:rsid w:val="0013610E"/>
    <w:rsid w:val="00136495"/>
    <w:rsid w:val="001367B4"/>
    <w:rsid w:val="00137014"/>
    <w:rsid w:val="0013707B"/>
    <w:rsid w:val="001371FE"/>
    <w:rsid w:val="00137313"/>
    <w:rsid w:val="0013736B"/>
    <w:rsid w:val="00137543"/>
    <w:rsid w:val="00140942"/>
    <w:rsid w:val="00140B08"/>
    <w:rsid w:val="00140DEC"/>
    <w:rsid w:val="00140E17"/>
    <w:rsid w:val="00140EEC"/>
    <w:rsid w:val="00140F62"/>
    <w:rsid w:val="00141249"/>
    <w:rsid w:val="00141685"/>
    <w:rsid w:val="001418A1"/>
    <w:rsid w:val="00142356"/>
    <w:rsid w:val="00142AFD"/>
    <w:rsid w:val="00142F5D"/>
    <w:rsid w:val="001432B3"/>
    <w:rsid w:val="00143405"/>
    <w:rsid w:val="00143731"/>
    <w:rsid w:val="001439AF"/>
    <w:rsid w:val="00143DF7"/>
    <w:rsid w:val="0014426A"/>
    <w:rsid w:val="0014512F"/>
    <w:rsid w:val="00145616"/>
    <w:rsid w:val="00145D4A"/>
    <w:rsid w:val="00146196"/>
    <w:rsid w:val="0014676A"/>
    <w:rsid w:val="0014684D"/>
    <w:rsid w:val="00146A1B"/>
    <w:rsid w:val="00146FE2"/>
    <w:rsid w:val="00150517"/>
    <w:rsid w:val="00150AE7"/>
    <w:rsid w:val="00150E1B"/>
    <w:rsid w:val="00151370"/>
    <w:rsid w:val="0015142C"/>
    <w:rsid w:val="0015144C"/>
    <w:rsid w:val="00151E0A"/>
    <w:rsid w:val="00152356"/>
    <w:rsid w:val="0015274C"/>
    <w:rsid w:val="0015351E"/>
    <w:rsid w:val="00153687"/>
    <w:rsid w:val="00153C6E"/>
    <w:rsid w:val="00154284"/>
    <w:rsid w:val="00154593"/>
    <w:rsid w:val="00155885"/>
    <w:rsid w:val="00155EAF"/>
    <w:rsid w:val="00156989"/>
    <w:rsid w:val="00157185"/>
    <w:rsid w:val="00157953"/>
    <w:rsid w:val="0016038A"/>
    <w:rsid w:val="0016041C"/>
    <w:rsid w:val="00160844"/>
    <w:rsid w:val="00160C4F"/>
    <w:rsid w:val="00160C51"/>
    <w:rsid w:val="001615C9"/>
    <w:rsid w:val="001617BF"/>
    <w:rsid w:val="00162531"/>
    <w:rsid w:val="00162624"/>
    <w:rsid w:val="00162852"/>
    <w:rsid w:val="00162B90"/>
    <w:rsid w:val="0016369A"/>
    <w:rsid w:val="00164092"/>
    <w:rsid w:val="001640A9"/>
    <w:rsid w:val="001644DA"/>
    <w:rsid w:val="001648CC"/>
    <w:rsid w:val="001648FB"/>
    <w:rsid w:val="00165EBA"/>
    <w:rsid w:val="001668C3"/>
    <w:rsid w:val="00166AF6"/>
    <w:rsid w:val="00166BC8"/>
    <w:rsid w:val="00166BEB"/>
    <w:rsid w:val="00166D51"/>
    <w:rsid w:val="00166FAD"/>
    <w:rsid w:val="0016755E"/>
    <w:rsid w:val="00167A77"/>
    <w:rsid w:val="00167E3E"/>
    <w:rsid w:val="0017143E"/>
    <w:rsid w:val="001717C4"/>
    <w:rsid w:val="00171DB5"/>
    <w:rsid w:val="00171E19"/>
    <w:rsid w:val="00173A95"/>
    <w:rsid w:val="00173B41"/>
    <w:rsid w:val="00173BC8"/>
    <w:rsid w:val="00173C07"/>
    <w:rsid w:val="00173EDD"/>
    <w:rsid w:val="001740CA"/>
    <w:rsid w:val="0017507B"/>
    <w:rsid w:val="001750B3"/>
    <w:rsid w:val="0017552D"/>
    <w:rsid w:val="00175A30"/>
    <w:rsid w:val="00175E23"/>
    <w:rsid w:val="00176033"/>
    <w:rsid w:val="00176077"/>
    <w:rsid w:val="0017632C"/>
    <w:rsid w:val="00177710"/>
    <w:rsid w:val="00177714"/>
    <w:rsid w:val="001777A1"/>
    <w:rsid w:val="00177A1B"/>
    <w:rsid w:val="00177BF2"/>
    <w:rsid w:val="001801E6"/>
    <w:rsid w:val="00180702"/>
    <w:rsid w:val="00181692"/>
    <w:rsid w:val="00181781"/>
    <w:rsid w:val="00181BE2"/>
    <w:rsid w:val="00182451"/>
    <w:rsid w:val="0018293E"/>
    <w:rsid w:val="00182A9E"/>
    <w:rsid w:val="00182F38"/>
    <w:rsid w:val="0018333D"/>
    <w:rsid w:val="0018369F"/>
    <w:rsid w:val="00183999"/>
    <w:rsid w:val="00183C1B"/>
    <w:rsid w:val="001843F8"/>
    <w:rsid w:val="00184647"/>
    <w:rsid w:val="00184963"/>
    <w:rsid w:val="00184A1C"/>
    <w:rsid w:val="00184AB1"/>
    <w:rsid w:val="00184B97"/>
    <w:rsid w:val="00185BC7"/>
    <w:rsid w:val="00185D46"/>
    <w:rsid w:val="001861E6"/>
    <w:rsid w:val="0018679F"/>
    <w:rsid w:val="00186AEB"/>
    <w:rsid w:val="0018702B"/>
    <w:rsid w:val="00187177"/>
    <w:rsid w:val="001879CB"/>
    <w:rsid w:val="00187CCF"/>
    <w:rsid w:val="00190876"/>
    <w:rsid w:val="0019089E"/>
    <w:rsid w:val="00190D09"/>
    <w:rsid w:val="00190DF9"/>
    <w:rsid w:val="00191096"/>
    <w:rsid w:val="00191396"/>
    <w:rsid w:val="00191D28"/>
    <w:rsid w:val="001920C7"/>
    <w:rsid w:val="00192508"/>
    <w:rsid w:val="001925C9"/>
    <w:rsid w:val="00192A2E"/>
    <w:rsid w:val="00192AFE"/>
    <w:rsid w:val="00192B69"/>
    <w:rsid w:val="00193636"/>
    <w:rsid w:val="001937F4"/>
    <w:rsid w:val="00193958"/>
    <w:rsid w:val="00193F04"/>
    <w:rsid w:val="00194060"/>
    <w:rsid w:val="00194147"/>
    <w:rsid w:val="00194768"/>
    <w:rsid w:val="001949EF"/>
    <w:rsid w:val="00194A9C"/>
    <w:rsid w:val="0019533C"/>
    <w:rsid w:val="001955C1"/>
    <w:rsid w:val="00195637"/>
    <w:rsid w:val="00196218"/>
    <w:rsid w:val="001970C3"/>
    <w:rsid w:val="0019772B"/>
    <w:rsid w:val="00197A03"/>
    <w:rsid w:val="001A004E"/>
    <w:rsid w:val="001A009E"/>
    <w:rsid w:val="001A00B6"/>
    <w:rsid w:val="001A0D85"/>
    <w:rsid w:val="001A0DBA"/>
    <w:rsid w:val="001A185C"/>
    <w:rsid w:val="001A1BF7"/>
    <w:rsid w:val="001A1FEF"/>
    <w:rsid w:val="001A26EF"/>
    <w:rsid w:val="001A2937"/>
    <w:rsid w:val="001A2BD4"/>
    <w:rsid w:val="001A3E8D"/>
    <w:rsid w:val="001A46B7"/>
    <w:rsid w:val="001A5161"/>
    <w:rsid w:val="001A5948"/>
    <w:rsid w:val="001A5DDB"/>
    <w:rsid w:val="001A610D"/>
    <w:rsid w:val="001A6210"/>
    <w:rsid w:val="001A6F71"/>
    <w:rsid w:val="001A724F"/>
    <w:rsid w:val="001A7CBF"/>
    <w:rsid w:val="001A7D35"/>
    <w:rsid w:val="001A7EE8"/>
    <w:rsid w:val="001B011A"/>
    <w:rsid w:val="001B0E42"/>
    <w:rsid w:val="001B0E50"/>
    <w:rsid w:val="001B1253"/>
    <w:rsid w:val="001B1BBD"/>
    <w:rsid w:val="001B202A"/>
    <w:rsid w:val="001B2132"/>
    <w:rsid w:val="001B25BB"/>
    <w:rsid w:val="001B277F"/>
    <w:rsid w:val="001B28CB"/>
    <w:rsid w:val="001B2F7D"/>
    <w:rsid w:val="001B30D1"/>
    <w:rsid w:val="001B3258"/>
    <w:rsid w:val="001B3434"/>
    <w:rsid w:val="001B3639"/>
    <w:rsid w:val="001B3D19"/>
    <w:rsid w:val="001B3E5E"/>
    <w:rsid w:val="001B47D6"/>
    <w:rsid w:val="001B4CCA"/>
    <w:rsid w:val="001B516D"/>
    <w:rsid w:val="001B53B0"/>
    <w:rsid w:val="001B55D7"/>
    <w:rsid w:val="001B562C"/>
    <w:rsid w:val="001B5B57"/>
    <w:rsid w:val="001B5BA5"/>
    <w:rsid w:val="001B5BCC"/>
    <w:rsid w:val="001B6086"/>
    <w:rsid w:val="001B6700"/>
    <w:rsid w:val="001B713C"/>
    <w:rsid w:val="001B74CF"/>
    <w:rsid w:val="001B7B02"/>
    <w:rsid w:val="001B7FC2"/>
    <w:rsid w:val="001B7FCA"/>
    <w:rsid w:val="001C08D8"/>
    <w:rsid w:val="001C0D4B"/>
    <w:rsid w:val="001C0DBD"/>
    <w:rsid w:val="001C101A"/>
    <w:rsid w:val="001C161F"/>
    <w:rsid w:val="001C222A"/>
    <w:rsid w:val="001C2676"/>
    <w:rsid w:val="001C28F4"/>
    <w:rsid w:val="001C2EB0"/>
    <w:rsid w:val="001C30EB"/>
    <w:rsid w:val="001C394F"/>
    <w:rsid w:val="001C4D41"/>
    <w:rsid w:val="001C4FEC"/>
    <w:rsid w:val="001C5636"/>
    <w:rsid w:val="001C588E"/>
    <w:rsid w:val="001C60D1"/>
    <w:rsid w:val="001C6716"/>
    <w:rsid w:val="001C6AB4"/>
    <w:rsid w:val="001C76BA"/>
    <w:rsid w:val="001C7A78"/>
    <w:rsid w:val="001D0376"/>
    <w:rsid w:val="001D03B1"/>
    <w:rsid w:val="001D0505"/>
    <w:rsid w:val="001D0AF1"/>
    <w:rsid w:val="001D0EC8"/>
    <w:rsid w:val="001D16C9"/>
    <w:rsid w:val="001D19A7"/>
    <w:rsid w:val="001D1ABF"/>
    <w:rsid w:val="001D2340"/>
    <w:rsid w:val="001D25F7"/>
    <w:rsid w:val="001D2FA1"/>
    <w:rsid w:val="001D33EB"/>
    <w:rsid w:val="001D3C16"/>
    <w:rsid w:val="001D3C7C"/>
    <w:rsid w:val="001D3EAD"/>
    <w:rsid w:val="001D5014"/>
    <w:rsid w:val="001D5131"/>
    <w:rsid w:val="001D6182"/>
    <w:rsid w:val="001D6C29"/>
    <w:rsid w:val="001D6F07"/>
    <w:rsid w:val="001E123F"/>
    <w:rsid w:val="001E12AC"/>
    <w:rsid w:val="001E19F9"/>
    <w:rsid w:val="001E1FB4"/>
    <w:rsid w:val="001E22EC"/>
    <w:rsid w:val="001E29AD"/>
    <w:rsid w:val="001E2AEE"/>
    <w:rsid w:val="001E2B18"/>
    <w:rsid w:val="001E2E5C"/>
    <w:rsid w:val="001E307A"/>
    <w:rsid w:val="001E31EB"/>
    <w:rsid w:val="001E328B"/>
    <w:rsid w:val="001E3ADA"/>
    <w:rsid w:val="001E3B95"/>
    <w:rsid w:val="001E3D55"/>
    <w:rsid w:val="001E4665"/>
    <w:rsid w:val="001E47C0"/>
    <w:rsid w:val="001E53AB"/>
    <w:rsid w:val="001E5679"/>
    <w:rsid w:val="001E5692"/>
    <w:rsid w:val="001E6887"/>
    <w:rsid w:val="001E7516"/>
    <w:rsid w:val="001E7548"/>
    <w:rsid w:val="001E7EFF"/>
    <w:rsid w:val="001E7F23"/>
    <w:rsid w:val="001F1076"/>
    <w:rsid w:val="001F10B0"/>
    <w:rsid w:val="001F1105"/>
    <w:rsid w:val="001F112C"/>
    <w:rsid w:val="001F12B9"/>
    <w:rsid w:val="001F12CE"/>
    <w:rsid w:val="001F1C11"/>
    <w:rsid w:val="001F2789"/>
    <w:rsid w:val="001F27E6"/>
    <w:rsid w:val="001F335D"/>
    <w:rsid w:val="001F3669"/>
    <w:rsid w:val="001F3C60"/>
    <w:rsid w:val="001F444B"/>
    <w:rsid w:val="001F44E5"/>
    <w:rsid w:val="001F4776"/>
    <w:rsid w:val="001F4A93"/>
    <w:rsid w:val="001F667D"/>
    <w:rsid w:val="001F674A"/>
    <w:rsid w:val="001F7284"/>
    <w:rsid w:val="001F7734"/>
    <w:rsid w:val="001F796C"/>
    <w:rsid w:val="00200B2C"/>
    <w:rsid w:val="00200F74"/>
    <w:rsid w:val="002013AA"/>
    <w:rsid w:val="002014A2"/>
    <w:rsid w:val="00201921"/>
    <w:rsid w:val="00201AD1"/>
    <w:rsid w:val="00201CF4"/>
    <w:rsid w:val="002020EA"/>
    <w:rsid w:val="0020232A"/>
    <w:rsid w:val="0020254E"/>
    <w:rsid w:val="00202822"/>
    <w:rsid w:val="00202D52"/>
    <w:rsid w:val="00203547"/>
    <w:rsid w:val="002035DB"/>
    <w:rsid w:val="00203A36"/>
    <w:rsid w:val="00203ADC"/>
    <w:rsid w:val="002046F3"/>
    <w:rsid w:val="0020481E"/>
    <w:rsid w:val="00204BC0"/>
    <w:rsid w:val="00204F3B"/>
    <w:rsid w:val="00205D37"/>
    <w:rsid w:val="002065D5"/>
    <w:rsid w:val="00206665"/>
    <w:rsid w:val="002069B2"/>
    <w:rsid w:val="00206CD5"/>
    <w:rsid w:val="002070FC"/>
    <w:rsid w:val="00207545"/>
    <w:rsid w:val="00210F59"/>
    <w:rsid w:val="00211270"/>
    <w:rsid w:val="002113B4"/>
    <w:rsid w:val="00211871"/>
    <w:rsid w:val="00211AC9"/>
    <w:rsid w:val="00211C27"/>
    <w:rsid w:val="00212883"/>
    <w:rsid w:val="0021408C"/>
    <w:rsid w:val="0021420B"/>
    <w:rsid w:val="00214269"/>
    <w:rsid w:val="002147E4"/>
    <w:rsid w:val="002149DF"/>
    <w:rsid w:val="00214B7B"/>
    <w:rsid w:val="00215BDE"/>
    <w:rsid w:val="0021667B"/>
    <w:rsid w:val="0021698C"/>
    <w:rsid w:val="0021747C"/>
    <w:rsid w:val="002176A3"/>
    <w:rsid w:val="00220077"/>
    <w:rsid w:val="0022069A"/>
    <w:rsid w:val="00220815"/>
    <w:rsid w:val="002213AD"/>
    <w:rsid w:val="00221945"/>
    <w:rsid w:val="00221C67"/>
    <w:rsid w:val="0022216F"/>
    <w:rsid w:val="002223AD"/>
    <w:rsid w:val="002226D2"/>
    <w:rsid w:val="00222ECB"/>
    <w:rsid w:val="00223101"/>
    <w:rsid w:val="00223622"/>
    <w:rsid w:val="00223A80"/>
    <w:rsid w:val="00223B0A"/>
    <w:rsid w:val="0022453F"/>
    <w:rsid w:val="00224A07"/>
    <w:rsid w:val="00225A11"/>
    <w:rsid w:val="00225DF7"/>
    <w:rsid w:val="002267F3"/>
    <w:rsid w:val="00227BCF"/>
    <w:rsid w:val="00227C71"/>
    <w:rsid w:val="00227C7D"/>
    <w:rsid w:val="00231BF6"/>
    <w:rsid w:val="00232666"/>
    <w:rsid w:val="00232969"/>
    <w:rsid w:val="00232F29"/>
    <w:rsid w:val="00233402"/>
    <w:rsid w:val="00233463"/>
    <w:rsid w:val="00233837"/>
    <w:rsid w:val="00233FF8"/>
    <w:rsid w:val="002340A7"/>
    <w:rsid w:val="0023441E"/>
    <w:rsid w:val="0023479B"/>
    <w:rsid w:val="0023529C"/>
    <w:rsid w:val="00235400"/>
    <w:rsid w:val="00235BAB"/>
    <w:rsid w:val="00235DB5"/>
    <w:rsid w:val="00235FE3"/>
    <w:rsid w:val="0023631F"/>
    <w:rsid w:val="00236519"/>
    <w:rsid w:val="0023673C"/>
    <w:rsid w:val="00236BDE"/>
    <w:rsid w:val="002374AC"/>
    <w:rsid w:val="00237501"/>
    <w:rsid w:val="00237E84"/>
    <w:rsid w:val="00237E88"/>
    <w:rsid w:val="00237F74"/>
    <w:rsid w:val="002402D2"/>
    <w:rsid w:val="00240432"/>
    <w:rsid w:val="00240B1E"/>
    <w:rsid w:val="00240C8B"/>
    <w:rsid w:val="00240FB4"/>
    <w:rsid w:val="0024133C"/>
    <w:rsid w:val="0024177B"/>
    <w:rsid w:val="00241A47"/>
    <w:rsid w:val="00241D26"/>
    <w:rsid w:val="00241DD5"/>
    <w:rsid w:val="00241ED3"/>
    <w:rsid w:val="0024204F"/>
    <w:rsid w:val="00242051"/>
    <w:rsid w:val="0024242E"/>
    <w:rsid w:val="0024279D"/>
    <w:rsid w:val="002435E2"/>
    <w:rsid w:val="00243C3D"/>
    <w:rsid w:val="00243D8C"/>
    <w:rsid w:val="00244073"/>
    <w:rsid w:val="0024429F"/>
    <w:rsid w:val="002443BD"/>
    <w:rsid w:val="00244D9F"/>
    <w:rsid w:val="00244EFE"/>
    <w:rsid w:val="00245113"/>
    <w:rsid w:val="0024587F"/>
    <w:rsid w:val="00245A57"/>
    <w:rsid w:val="00245A5A"/>
    <w:rsid w:val="00245B60"/>
    <w:rsid w:val="00245BC6"/>
    <w:rsid w:val="0024604A"/>
    <w:rsid w:val="002463D8"/>
    <w:rsid w:val="00246519"/>
    <w:rsid w:val="0024686A"/>
    <w:rsid w:val="00246A6B"/>
    <w:rsid w:val="00246B5E"/>
    <w:rsid w:val="00246B73"/>
    <w:rsid w:val="00246CAD"/>
    <w:rsid w:val="00246F0D"/>
    <w:rsid w:val="0024717F"/>
    <w:rsid w:val="00247BA3"/>
    <w:rsid w:val="00247C36"/>
    <w:rsid w:val="00247CA4"/>
    <w:rsid w:val="00250662"/>
    <w:rsid w:val="00250ADB"/>
    <w:rsid w:val="00250B05"/>
    <w:rsid w:val="00250ED9"/>
    <w:rsid w:val="002517F8"/>
    <w:rsid w:val="002517FA"/>
    <w:rsid w:val="00251AA4"/>
    <w:rsid w:val="00251F97"/>
    <w:rsid w:val="00252570"/>
    <w:rsid w:val="00253594"/>
    <w:rsid w:val="002536F7"/>
    <w:rsid w:val="00253964"/>
    <w:rsid w:val="00253FFD"/>
    <w:rsid w:val="002541F6"/>
    <w:rsid w:val="002543C4"/>
    <w:rsid w:val="0025454B"/>
    <w:rsid w:val="0025490D"/>
    <w:rsid w:val="00254C8C"/>
    <w:rsid w:val="002551A0"/>
    <w:rsid w:val="00255E1A"/>
    <w:rsid w:val="002564AB"/>
    <w:rsid w:val="002564E5"/>
    <w:rsid w:val="00256D95"/>
    <w:rsid w:val="00256DD8"/>
    <w:rsid w:val="00257111"/>
    <w:rsid w:val="002579D8"/>
    <w:rsid w:val="00257D4A"/>
    <w:rsid w:val="00260906"/>
    <w:rsid w:val="00260A18"/>
    <w:rsid w:val="00261864"/>
    <w:rsid w:val="00261E63"/>
    <w:rsid w:val="00261E6B"/>
    <w:rsid w:val="00262470"/>
    <w:rsid w:val="0026257C"/>
    <w:rsid w:val="00262608"/>
    <w:rsid w:val="0026293E"/>
    <w:rsid w:val="00262C4F"/>
    <w:rsid w:val="00263209"/>
    <w:rsid w:val="002642B5"/>
    <w:rsid w:val="00264305"/>
    <w:rsid w:val="002646D6"/>
    <w:rsid w:val="0026481E"/>
    <w:rsid w:val="00264A4E"/>
    <w:rsid w:val="00264F45"/>
    <w:rsid w:val="0026603D"/>
    <w:rsid w:val="0026655E"/>
    <w:rsid w:val="002676F5"/>
    <w:rsid w:val="002702C2"/>
    <w:rsid w:val="00270EE3"/>
    <w:rsid w:val="00270F77"/>
    <w:rsid w:val="002716D8"/>
    <w:rsid w:val="00271726"/>
    <w:rsid w:val="002724E4"/>
    <w:rsid w:val="00272519"/>
    <w:rsid w:val="00272C07"/>
    <w:rsid w:val="00272C7F"/>
    <w:rsid w:val="00273AF8"/>
    <w:rsid w:val="00273E13"/>
    <w:rsid w:val="002740B4"/>
    <w:rsid w:val="0027515F"/>
    <w:rsid w:val="0027586D"/>
    <w:rsid w:val="00275DF5"/>
    <w:rsid w:val="002761B4"/>
    <w:rsid w:val="0027669F"/>
    <w:rsid w:val="002767DE"/>
    <w:rsid w:val="00276DA6"/>
    <w:rsid w:val="002776AE"/>
    <w:rsid w:val="00277F68"/>
    <w:rsid w:val="0028011F"/>
    <w:rsid w:val="00280725"/>
    <w:rsid w:val="00281AEB"/>
    <w:rsid w:val="00281F50"/>
    <w:rsid w:val="002831D0"/>
    <w:rsid w:val="00283BB4"/>
    <w:rsid w:val="00283DBC"/>
    <w:rsid w:val="00283DD3"/>
    <w:rsid w:val="00283EA7"/>
    <w:rsid w:val="00284865"/>
    <w:rsid w:val="00284871"/>
    <w:rsid w:val="0028518E"/>
    <w:rsid w:val="002855AF"/>
    <w:rsid w:val="002855FF"/>
    <w:rsid w:val="00285EB2"/>
    <w:rsid w:val="00286585"/>
    <w:rsid w:val="00286850"/>
    <w:rsid w:val="002868A5"/>
    <w:rsid w:val="00287209"/>
    <w:rsid w:val="00287977"/>
    <w:rsid w:val="00287CB4"/>
    <w:rsid w:val="0029003B"/>
    <w:rsid w:val="0029026D"/>
    <w:rsid w:val="00290908"/>
    <w:rsid w:val="002909A1"/>
    <w:rsid w:val="00290BF5"/>
    <w:rsid w:val="00290C5E"/>
    <w:rsid w:val="002911B5"/>
    <w:rsid w:val="00292110"/>
    <w:rsid w:val="002922F6"/>
    <w:rsid w:val="00292817"/>
    <w:rsid w:val="00293628"/>
    <w:rsid w:val="0029367B"/>
    <w:rsid w:val="00293C41"/>
    <w:rsid w:val="002942FF"/>
    <w:rsid w:val="00294887"/>
    <w:rsid w:val="00294C35"/>
    <w:rsid w:val="0029529E"/>
    <w:rsid w:val="002954DD"/>
    <w:rsid w:val="0029590D"/>
    <w:rsid w:val="002959D4"/>
    <w:rsid w:val="002964A8"/>
    <w:rsid w:val="00296C26"/>
    <w:rsid w:val="00296C7A"/>
    <w:rsid w:val="00296D2C"/>
    <w:rsid w:val="00297322"/>
    <w:rsid w:val="0029787E"/>
    <w:rsid w:val="002A0128"/>
    <w:rsid w:val="002A0685"/>
    <w:rsid w:val="002A0CE4"/>
    <w:rsid w:val="002A19DB"/>
    <w:rsid w:val="002A1D5C"/>
    <w:rsid w:val="002A2562"/>
    <w:rsid w:val="002A3EC7"/>
    <w:rsid w:val="002A470F"/>
    <w:rsid w:val="002A4806"/>
    <w:rsid w:val="002A48C3"/>
    <w:rsid w:val="002A4C31"/>
    <w:rsid w:val="002A4C89"/>
    <w:rsid w:val="002A4DB5"/>
    <w:rsid w:val="002A53EF"/>
    <w:rsid w:val="002A6B14"/>
    <w:rsid w:val="002A6C3B"/>
    <w:rsid w:val="002A6CBF"/>
    <w:rsid w:val="002A6E84"/>
    <w:rsid w:val="002A70F8"/>
    <w:rsid w:val="002A7E7D"/>
    <w:rsid w:val="002B0323"/>
    <w:rsid w:val="002B0AFE"/>
    <w:rsid w:val="002B0C50"/>
    <w:rsid w:val="002B11BD"/>
    <w:rsid w:val="002B28B0"/>
    <w:rsid w:val="002B2A1C"/>
    <w:rsid w:val="002B3EBA"/>
    <w:rsid w:val="002B40A7"/>
    <w:rsid w:val="002B4A1F"/>
    <w:rsid w:val="002B4D2F"/>
    <w:rsid w:val="002B53CE"/>
    <w:rsid w:val="002B53DC"/>
    <w:rsid w:val="002B54DA"/>
    <w:rsid w:val="002B5590"/>
    <w:rsid w:val="002B5649"/>
    <w:rsid w:val="002B5CBB"/>
    <w:rsid w:val="002B5FBD"/>
    <w:rsid w:val="002B628A"/>
    <w:rsid w:val="002B679E"/>
    <w:rsid w:val="002B6AB6"/>
    <w:rsid w:val="002B6DC9"/>
    <w:rsid w:val="002B6FAD"/>
    <w:rsid w:val="002B76A7"/>
    <w:rsid w:val="002B7886"/>
    <w:rsid w:val="002B78F4"/>
    <w:rsid w:val="002B7C07"/>
    <w:rsid w:val="002C0D18"/>
    <w:rsid w:val="002C1364"/>
    <w:rsid w:val="002C1431"/>
    <w:rsid w:val="002C1991"/>
    <w:rsid w:val="002C1B6C"/>
    <w:rsid w:val="002C1BE6"/>
    <w:rsid w:val="002C1CED"/>
    <w:rsid w:val="002C2323"/>
    <w:rsid w:val="002C2D67"/>
    <w:rsid w:val="002C2E8E"/>
    <w:rsid w:val="002C2F76"/>
    <w:rsid w:val="002C3539"/>
    <w:rsid w:val="002C3DE3"/>
    <w:rsid w:val="002C3E2C"/>
    <w:rsid w:val="002C4469"/>
    <w:rsid w:val="002C4552"/>
    <w:rsid w:val="002C45E8"/>
    <w:rsid w:val="002C475D"/>
    <w:rsid w:val="002C50CC"/>
    <w:rsid w:val="002C5348"/>
    <w:rsid w:val="002C54FC"/>
    <w:rsid w:val="002C59E6"/>
    <w:rsid w:val="002C5A96"/>
    <w:rsid w:val="002C5CC4"/>
    <w:rsid w:val="002C5E7D"/>
    <w:rsid w:val="002C63C6"/>
    <w:rsid w:val="002C6693"/>
    <w:rsid w:val="002C6D91"/>
    <w:rsid w:val="002C75B2"/>
    <w:rsid w:val="002C79AA"/>
    <w:rsid w:val="002C7BA4"/>
    <w:rsid w:val="002C7EF4"/>
    <w:rsid w:val="002D0CE8"/>
    <w:rsid w:val="002D0D4D"/>
    <w:rsid w:val="002D147F"/>
    <w:rsid w:val="002D178E"/>
    <w:rsid w:val="002D208F"/>
    <w:rsid w:val="002D21C3"/>
    <w:rsid w:val="002D255B"/>
    <w:rsid w:val="002D2793"/>
    <w:rsid w:val="002D36E6"/>
    <w:rsid w:val="002D4F88"/>
    <w:rsid w:val="002D56DF"/>
    <w:rsid w:val="002D57C5"/>
    <w:rsid w:val="002D5B51"/>
    <w:rsid w:val="002D6BDF"/>
    <w:rsid w:val="002D740E"/>
    <w:rsid w:val="002D778C"/>
    <w:rsid w:val="002E00C1"/>
    <w:rsid w:val="002E03D0"/>
    <w:rsid w:val="002E0E3E"/>
    <w:rsid w:val="002E0FB0"/>
    <w:rsid w:val="002E1A01"/>
    <w:rsid w:val="002E1B2E"/>
    <w:rsid w:val="002E1B3B"/>
    <w:rsid w:val="002E2849"/>
    <w:rsid w:val="002E2CFB"/>
    <w:rsid w:val="002E3361"/>
    <w:rsid w:val="002E351A"/>
    <w:rsid w:val="002E358A"/>
    <w:rsid w:val="002E3831"/>
    <w:rsid w:val="002E416B"/>
    <w:rsid w:val="002E4663"/>
    <w:rsid w:val="002E4A88"/>
    <w:rsid w:val="002E53C3"/>
    <w:rsid w:val="002E5D45"/>
    <w:rsid w:val="002E5DCD"/>
    <w:rsid w:val="002E637E"/>
    <w:rsid w:val="002E6411"/>
    <w:rsid w:val="002E6615"/>
    <w:rsid w:val="002E6B98"/>
    <w:rsid w:val="002E702E"/>
    <w:rsid w:val="002E729E"/>
    <w:rsid w:val="002E732A"/>
    <w:rsid w:val="002E7CC2"/>
    <w:rsid w:val="002F03C4"/>
    <w:rsid w:val="002F03CB"/>
    <w:rsid w:val="002F063C"/>
    <w:rsid w:val="002F07FF"/>
    <w:rsid w:val="002F1A0D"/>
    <w:rsid w:val="002F1D3F"/>
    <w:rsid w:val="002F20C8"/>
    <w:rsid w:val="002F22B5"/>
    <w:rsid w:val="002F2321"/>
    <w:rsid w:val="002F27DE"/>
    <w:rsid w:val="002F282C"/>
    <w:rsid w:val="002F2CDF"/>
    <w:rsid w:val="002F488A"/>
    <w:rsid w:val="002F49E3"/>
    <w:rsid w:val="002F5029"/>
    <w:rsid w:val="002F511C"/>
    <w:rsid w:val="002F583C"/>
    <w:rsid w:val="002F5A8C"/>
    <w:rsid w:val="002F5B97"/>
    <w:rsid w:val="002F60FB"/>
    <w:rsid w:val="002F6319"/>
    <w:rsid w:val="002F68DC"/>
    <w:rsid w:val="002F6BC1"/>
    <w:rsid w:val="002F6F12"/>
    <w:rsid w:val="002F7021"/>
    <w:rsid w:val="002F787A"/>
    <w:rsid w:val="003003AB"/>
    <w:rsid w:val="003005C9"/>
    <w:rsid w:val="00300767"/>
    <w:rsid w:val="00300F86"/>
    <w:rsid w:val="003013B6"/>
    <w:rsid w:val="00302499"/>
    <w:rsid w:val="00302B4C"/>
    <w:rsid w:val="00302DAE"/>
    <w:rsid w:val="00303003"/>
    <w:rsid w:val="0030389E"/>
    <w:rsid w:val="00303AE6"/>
    <w:rsid w:val="00303F85"/>
    <w:rsid w:val="0030410F"/>
    <w:rsid w:val="00304B94"/>
    <w:rsid w:val="00304C99"/>
    <w:rsid w:val="00305586"/>
    <w:rsid w:val="00305773"/>
    <w:rsid w:val="00305A11"/>
    <w:rsid w:val="00305EB9"/>
    <w:rsid w:val="00306675"/>
    <w:rsid w:val="003068E2"/>
    <w:rsid w:val="00306EE4"/>
    <w:rsid w:val="0030723F"/>
    <w:rsid w:val="00307274"/>
    <w:rsid w:val="0030755B"/>
    <w:rsid w:val="003077B8"/>
    <w:rsid w:val="00307B8F"/>
    <w:rsid w:val="003104F3"/>
    <w:rsid w:val="00311487"/>
    <w:rsid w:val="00311803"/>
    <w:rsid w:val="003118B1"/>
    <w:rsid w:val="00311B4E"/>
    <w:rsid w:val="0031209D"/>
    <w:rsid w:val="0031291F"/>
    <w:rsid w:val="0031367C"/>
    <w:rsid w:val="00313DD8"/>
    <w:rsid w:val="00314009"/>
    <w:rsid w:val="0031447D"/>
    <w:rsid w:val="00314C90"/>
    <w:rsid w:val="0031593B"/>
    <w:rsid w:val="003159EC"/>
    <w:rsid w:val="00315CDB"/>
    <w:rsid w:val="00316084"/>
    <w:rsid w:val="00316592"/>
    <w:rsid w:val="003165CD"/>
    <w:rsid w:val="00316B37"/>
    <w:rsid w:val="00316C5D"/>
    <w:rsid w:val="00317250"/>
    <w:rsid w:val="0031725F"/>
    <w:rsid w:val="003173F5"/>
    <w:rsid w:val="00317647"/>
    <w:rsid w:val="00317EE0"/>
    <w:rsid w:val="00320F2C"/>
    <w:rsid w:val="003211BA"/>
    <w:rsid w:val="0032123E"/>
    <w:rsid w:val="0032169F"/>
    <w:rsid w:val="00321749"/>
    <w:rsid w:val="0032178F"/>
    <w:rsid w:val="00321B01"/>
    <w:rsid w:val="00322A02"/>
    <w:rsid w:val="003230DD"/>
    <w:rsid w:val="0032377D"/>
    <w:rsid w:val="0032434F"/>
    <w:rsid w:val="00324906"/>
    <w:rsid w:val="00324E40"/>
    <w:rsid w:val="003252D2"/>
    <w:rsid w:val="0032551C"/>
    <w:rsid w:val="0032637B"/>
    <w:rsid w:val="003263E3"/>
    <w:rsid w:val="003267D3"/>
    <w:rsid w:val="003278AD"/>
    <w:rsid w:val="00327B08"/>
    <w:rsid w:val="00330339"/>
    <w:rsid w:val="00330404"/>
    <w:rsid w:val="00330542"/>
    <w:rsid w:val="0033078A"/>
    <w:rsid w:val="00330AF2"/>
    <w:rsid w:val="00330FF7"/>
    <w:rsid w:val="00331584"/>
    <w:rsid w:val="00331A6A"/>
    <w:rsid w:val="00331CF7"/>
    <w:rsid w:val="00332045"/>
    <w:rsid w:val="00332765"/>
    <w:rsid w:val="00334A3F"/>
    <w:rsid w:val="00334DCC"/>
    <w:rsid w:val="00335465"/>
    <w:rsid w:val="00335497"/>
    <w:rsid w:val="00335818"/>
    <w:rsid w:val="00336045"/>
    <w:rsid w:val="0033669A"/>
    <w:rsid w:val="003367A9"/>
    <w:rsid w:val="00336A84"/>
    <w:rsid w:val="00336F78"/>
    <w:rsid w:val="003373CF"/>
    <w:rsid w:val="00337AF3"/>
    <w:rsid w:val="00337E01"/>
    <w:rsid w:val="00337E7C"/>
    <w:rsid w:val="0034078C"/>
    <w:rsid w:val="00340FC5"/>
    <w:rsid w:val="00341157"/>
    <w:rsid w:val="00341AAC"/>
    <w:rsid w:val="00342179"/>
    <w:rsid w:val="00343161"/>
    <w:rsid w:val="00343CC2"/>
    <w:rsid w:val="00344070"/>
    <w:rsid w:val="00344700"/>
    <w:rsid w:val="00344B02"/>
    <w:rsid w:val="00344C32"/>
    <w:rsid w:val="00344EE3"/>
    <w:rsid w:val="003450C5"/>
    <w:rsid w:val="0034516A"/>
    <w:rsid w:val="003454F3"/>
    <w:rsid w:val="00345C62"/>
    <w:rsid w:val="00346581"/>
    <w:rsid w:val="00346920"/>
    <w:rsid w:val="00346EB7"/>
    <w:rsid w:val="00347046"/>
    <w:rsid w:val="0034796D"/>
    <w:rsid w:val="00347A24"/>
    <w:rsid w:val="00350222"/>
    <w:rsid w:val="003517D3"/>
    <w:rsid w:val="0035190A"/>
    <w:rsid w:val="00351B17"/>
    <w:rsid w:val="003521BD"/>
    <w:rsid w:val="00352905"/>
    <w:rsid w:val="00352B01"/>
    <w:rsid w:val="00352BF8"/>
    <w:rsid w:val="00352E4C"/>
    <w:rsid w:val="00352E64"/>
    <w:rsid w:val="00353408"/>
    <w:rsid w:val="00353A4A"/>
    <w:rsid w:val="00354170"/>
    <w:rsid w:val="003543F8"/>
    <w:rsid w:val="00354FDF"/>
    <w:rsid w:val="00355A69"/>
    <w:rsid w:val="00355C34"/>
    <w:rsid w:val="00355C8B"/>
    <w:rsid w:val="00355E83"/>
    <w:rsid w:val="0035675C"/>
    <w:rsid w:val="003568A9"/>
    <w:rsid w:val="00356913"/>
    <w:rsid w:val="00356AFB"/>
    <w:rsid w:val="00356E2C"/>
    <w:rsid w:val="00357217"/>
    <w:rsid w:val="00357AAA"/>
    <w:rsid w:val="003600B5"/>
    <w:rsid w:val="003608FB"/>
    <w:rsid w:val="00360B5E"/>
    <w:rsid w:val="003611C9"/>
    <w:rsid w:val="00361BAC"/>
    <w:rsid w:val="00361E8B"/>
    <w:rsid w:val="00361F38"/>
    <w:rsid w:val="0036213A"/>
    <w:rsid w:val="00362189"/>
    <w:rsid w:val="003626A6"/>
    <w:rsid w:val="003628E8"/>
    <w:rsid w:val="00362940"/>
    <w:rsid w:val="00362E01"/>
    <w:rsid w:val="003634C9"/>
    <w:rsid w:val="00363AA8"/>
    <w:rsid w:val="00363F41"/>
    <w:rsid w:val="00364B4D"/>
    <w:rsid w:val="00364CB9"/>
    <w:rsid w:val="00364D36"/>
    <w:rsid w:val="00364DEC"/>
    <w:rsid w:val="003650DD"/>
    <w:rsid w:val="003657A9"/>
    <w:rsid w:val="00365D38"/>
    <w:rsid w:val="003666C4"/>
    <w:rsid w:val="003672AC"/>
    <w:rsid w:val="00370A76"/>
    <w:rsid w:val="00370AE9"/>
    <w:rsid w:val="00370CF0"/>
    <w:rsid w:val="00371703"/>
    <w:rsid w:val="00371C5A"/>
    <w:rsid w:val="00371D68"/>
    <w:rsid w:val="003723FA"/>
    <w:rsid w:val="00372DE8"/>
    <w:rsid w:val="00373943"/>
    <w:rsid w:val="00373FC1"/>
    <w:rsid w:val="003742FD"/>
    <w:rsid w:val="00374458"/>
    <w:rsid w:val="00375EE4"/>
    <w:rsid w:val="00376FEB"/>
    <w:rsid w:val="003774CE"/>
    <w:rsid w:val="00377552"/>
    <w:rsid w:val="003777B3"/>
    <w:rsid w:val="00377DC5"/>
    <w:rsid w:val="00377EAF"/>
    <w:rsid w:val="0038013E"/>
    <w:rsid w:val="003801BC"/>
    <w:rsid w:val="003802FC"/>
    <w:rsid w:val="00380FCC"/>
    <w:rsid w:val="003814B2"/>
    <w:rsid w:val="00381556"/>
    <w:rsid w:val="00381C27"/>
    <w:rsid w:val="003823D5"/>
    <w:rsid w:val="00382417"/>
    <w:rsid w:val="00382565"/>
    <w:rsid w:val="00382603"/>
    <w:rsid w:val="0038294A"/>
    <w:rsid w:val="00382B9E"/>
    <w:rsid w:val="00382E2E"/>
    <w:rsid w:val="00382F5F"/>
    <w:rsid w:val="00382FCE"/>
    <w:rsid w:val="003832B7"/>
    <w:rsid w:val="003834BE"/>
    <w:rsid w:val="00383572"/>
    <w:rsid w:val="00383CA6"/>
    <w:rsid w:val="00383EAB"/>
    <w:rsid w:val="00383EB0"/>
    <w:rsid w:val="0038436F"/>
    <w:rsid w:val="00384C53"/>
    <w:rsid w:val="00385280"/>
    <w:rsid w:val="0038567E"/>
    <w:rsid w:val="003858EA"/>
    <w:rsid w:val="00385936"/>
    <w:rsid w:val="003859F8"/>
    <w:rsid w:val="00385C12"/>
    <w:rsid w:val="00385CC9"/>
    <w:rsid w:val="003865BF"/>
    <w:rsid w:val="00386B6B"/>
    <w:rsid w:val="00386D15"/>
    <w:rsid w:val="0038704B"/>
    <w:rsid w:val="003870A8"/>
    <w:rsid w:val="00387595"/>
    <w:rsid w:val="0038771E"/>
    <w:rsid w:val="00387821"/>
    <w:rsid w:val="00387A73"/>
    <w:rsid w:val="00387BB0"/>
    <w:rsid w:val="00387BE0"/>
    <w:rsid w:val="00387DDC"/>
    <w:rsid w:val="00390A33"/>
    <w:rsid w:val="00390CCE"/>
    <w:rsid w:val="00390CDC"/>
    <w:rsid w:val="00391550"/>
    <w:rsid w:val="00391815"/>
    <w:rsid w:val="00391A5D"/>
    <w:rsid w:val="00391C00"/>
    <w:rsid w:val="00391DAE"/>
    <w:rsid w:val="003925E0"/>
    <w:rsid w:val="00392D01"/>
    <w:rsid w:val="00392FA3"/>
    <w:rsid w:val="00393764"/>
    <w:rsid w:val="003938D2"/>
    <w:rsid w:val="00394306"/>
    <w:rsid w:val="003943FC"/>
    <w:rsid w:val="003948F2"/>
    <w:rsid w:val="00395495"/>
    <w:rsid w:val="00395719"/>
    <w:rsid w:val="00397352"/>
    <w:rsid w:val="00397DAE"/>
    <w:rsid w:val="003A00FC"/>
    <w:rsid w:val="003A0214"/>
    <w:rsid w:val="003A0252"/>
    <w:rsid w:val="003A0C41"/>
    <w:rsid w:val="003A0ECA"/>
    <w:rsid w:val="003A16D4"/>
    <w:rsid w:val="003A1BA4"/>
    <w:rsid w:val="003A24E2"/>
    <w:rsid w:val="003A2BA7"/>
    <w:rsid w:val="003A3799"/>
    <w:rsid w:val="003A39E8"/>
    <w:rsid w:val="003A3AF4"/>
    <w:rsid w:val="003A3FC5"/>
    <w:rsid w:val="003A5B19"/>
    <w:rsid w:val="003A5E0E"/>
    <w:rsid w:val="003A5FE9"/>
    <w:rsid w:val="003A6344"/>
    <w:rsid w:val="003A6A40"/>
    <w:rsid w:val="003A73EA"/>
    <w:rsid w:val="003A7985"/>
    <w:rsid w:val="003A7E7B"/>
    <w:rsid w:val="003A7FEC"/>
    <w:rsid w:val="003B0297"/>
    <w:rsid w:val="003B068E"/>
    <w:rsid w:val="003B0B33"/>
    <w:rsid w:val="003B0D45"/>
    <w:rsid w:val="003B1C4C"/>
    <w:rsid w:val="003B2556"/>
    <w:rsid w:val="003B2876"/>
    <w:rsid w:val="003B288A"/>
    <w:rsid w:val="003B28E6"/>
    <w:rsid w:val="003B2DBD"/>
    <w:rsid w:val="003B3744"/>
    <w:rsid w:val="003B44D4"/>
    <w:rsid w:val="003B46D5"/>
    <w:rsid w:val="003B4B0F"/>
    <w:rsid w:val="003B5810"/>
    <w:rsid w:val="003B5B34"/>
    <w:rsid w:val="003B602D"/>
    <w:rsid w:val="003B610A"/>
    <w:rsid w:val="003B6544"/>
    <w:rsid w:val="003B6AFF"/>
    <w:rsid w:val="003B6CF1"/>
    <w:rsid w:val="003B7C0F"/>
    <w:rsid w:val="003C0986"/>
    <w:rsid w:val="003C098E"/>
    <w:rsid w:val="003C0CB1"/>
    <w:rsid w:val="003C1633"/>
    <w:rsid w:val="003C1725"/>
    <w:rsid w:val="003C1EE6"/>
    <w:rsid w:val="003C1F51"/>
    <w:rsid w:val="003C214E"/>
    <w:rsid w:val="003C2545"/>
    <w:rsid w:val="003C25F8"/>
    <w:rsid w:val="003C2E89"/>
    <w:rsid w:val="003C3425"/>
    <w:rsid w:val="003C38F0"/>
    <w:rsid w:val="003C4453"/>
    <w:rsid w:val="003C49D5"/>
    <w:rsid w:val="003C4A3E"/>
    <w:rsid w:val="003C53BC"/>
    <w:rsid w:val="003C54CB"/>
    <w:rsid w:val="003C5DFE"/>
    <w:rsid w:val="003C60EC"/>
    <w:rsid w:val="003C60F3"/>
    <w:rsid w:val="003C62EE"/>
    <w:rsid w:val="003C6332"/>
    <w:rsid w:val="003C6C08"/>
    <w:rsid w:val="003C7988"/>
    <w:rsid w:val="003C7BE9"/>
    <w:rsid w:val="003D008F"/>
    <w:rsid w:val="003D033E"/>
    <w:rsid w:val="003D05FA"/>
    <w:rsid w:val="003D0772"/>
    <w:rsid w:val="003D0868"/>
    <w:rsid w:val="003D0C45"/>
    <w:rsid w:val="003D0DBC"/>
    <w:rsid w:val="003D0EAB"/>
    <w:rsid w:val="003D12A6"/>
    <w:rsid w:val="003D140B"/>
    <w:rsid w:val="003D1716"/>
    <w:rsid w:val="003D17E3"/>
    <w:rsid w:val="003D1DBB"/>
    <w:rsid w:val="003D27D6"/>
    <w:rsid w:val="003D2A4F"/>
    <w:rsid w:val="003D2A6F"/>
    <w:rsid w:val="003D2DC4"/>
    <w:rsid w:val="003D3364"/>
    <w:rsid w:val="003D34F8"/>
    <w:rsid w:val="003D35D4"/>
    <w:rsid w:val="003D3BC4"/>
    <w:rsid w:val="003D41E3"/>
    <w:rsid w:val="003D4241"/>
    <w:rsid w:val="003D449A"/>
    <w:rsid w:val="003D46A4"/>
    <w:rsid w:val="003D478B"/>
    <w:rsid w:val="003D502B"/>
    <w:rsid w:val="003D50E9"/>
    <w:rsid w:val="003D54C5"/>
    <w:rsid w:val="003D58DE"/>
    <w:rsid w:val="003D61D6"/>
    <w:rsid w:val="003D64AA"/>
    <w:rsid w:val="003D6AD1"/>
    <w:rsid w:val="003D6CFF"/>
    <w:rsid w:val="003D6F2C"/>
    <w:rsid w:val="003D7415"/>
    <w:rsid w:val="003D7687"/>
    <w:rsid w:val="003D7B80"/>
    <w:rsid w:val="003D7C6F"/>
    <w:rsid w:val="003E0084"/>
    <w:rsid w:val="003E061F"/>
    <w:rsid w:val="003E066B"/>
    <w:rsid w:val="003E094E"/>
    <w:rsid w:val="003E0F0E"/>
    <w:rsid w:val="003E12A0"/>
    <w:rsid w:val="003E12E5"/>
    <w:rsid w:val="003E15E4"/>
    <w:rsid w:val="003E1C1D"/>
    <w:rsid w:val="003E2187"/>
    <w:rsid w:val="003E220B"/>
    <w:rsid w:val="003E22D9"/>
    <w:rsid w:val="003E2461"/>
    <w:rsid w:val="003E2972"/>
    <w:rsid w:val="003E3622"/>
    <w:rsid w:val="003E377A"/>
    <w:rsid w:val="003E388B"/>
    <w:rsid w:val="003E3F17"/>
    <w:rsid w:val="003E41C9"/>
    <w:rsid w:val="003E42B4"/>
    <w:rsid w:val="003E4436"/>
    <w:rsid w:val="003E4455"/>
    <w:rsid w:val="003E4531"/>
    <w:rsid w:val="003E4915"/>
    <w:rsid w:val="003E4A83"/>
    <w:rsid w:val="003E4AA5"/>
    <w:rsid w:val="003E4B44"/>
    <w:rsid w:val="003E4B4D"/>
    <w:rsid w:val="003E511B"/>
    <w:rsid w:val="003E5302"/>
    <w:rsid w:val="003E5426"/>
    <w:rsid w:val="003E5785"/>
    <w:rsid w:val="003E59BC"/>
    <w:rsid w:val="003E6211"/>
    <w:rsid w:val="003E68E1"/>
    <w:rsid w:val="003E6EFB"/>
    <w:rsid w:val="003E72DB"/>
    <w:rsid w:val="003E759E"/>
    <w:rsid w:val="003E7F26"/>
    <w:rsid w:val="003F074C"/>
    <w:rsid w:val="003F0AA5"/>
    <w:rsid w:val="003F0E54"/>
    <w:rsid w:val="003F11EB"/>
    <w:rsid w:val="003F11F2"/>
    <w:rsid w:val="003F12F4"/>
    <w:rsid w:val="003F17FF"/>
    <w:rsid w:val="003F207F"/>
    <w:rsid w:val="003F250D"/>
    <w:rsid w:val="003F3491"/>
    <w:rsid w:val="003F34D6"/>
    <w:rsid w:val="003F37A6"/>
    <w:rsid w:val="003F3851"/>
    <w:rsid w:val="003F3A07"/>
    <w:rsid w:val="003F4837"/>
    <w:rsid w:val="003F537F"/>
    <w:rsid w:val="003F55E2"/>
    <w:rsid w:val="003F5845"/>
    <w:rsid w:val="003F6110"/>
    <w:rsid w:val="003F6958"/>
    <w:rsid w:val="003F6A18"/>
    <w:rsid w:val="003F7652"/>
    <w:rsid w:val="003F7B35"/>
    <w:rsid w:val="0040031B"/>
    <w:rsid w:val="004004DD"/>
    <w:rsid w:val="0040091A"/>
    <w:rsid w:val="00400A77"/>
    <w:rsid w:val="00400D2C"/>
    <w:rsid w:val="00401A1D"/>
    <w:rsid w:val="00401B43"/>
    <w:rsid w:val="00402219"/>
    <w:rsid w:val="00402416"/>
    <w:rsid w:val="00402B0B"/>
    <w:rsid w:val="00403105"/>
    <w:rsid w:val="00403B20"/>
    <w:rsid w:val="00403CE0"/>
    <w:rsid w:val="00403FE6"/>
    <w:rsid w:val="0040421F"/>
    <w:rsid w:val="00404529"/>
    <w:rsid w:val="00404DD3"/>
    <w:rsid w:val="00404DD4"/>
    <w:rsid w:val="00405C96"/>
    <w:rsid w:val="00405D7C"/>
    <w:rsid w:val="00406231"/>
    <w:rsid w:val="004067DD"/>
    <w:rsid w:val="00407706"/>
    <w:rsid w:val="00407CFA"/>
    <w:rsid w:val="0041091D"/>
    <w:rsid w:val="004109AC"/>
    <w:rsid w:val="00410A5A"/>
    <w:rsid w:val="00410EF3"/>
    <w:rsid w:val="00411162"/>
    <w:rsid w:val="00411613"/>
    <w:rsid w:val="00411951"/>
    <w:rsid w:val="00411B06"/>
    <w:rsid w:val="004120D5"/>
    <w:rsid w:val="00413D7B"/>
    <w:rsid w:val="00413E54"/>
    <w:rsid w:val="00414246"/>
    <w:rsid w:val="0041473A"/>
    <w:rsid w:val="00414EFA"/>
    <w:rsid w:val="00414F8C"/>
    <w:rsid w:val="00415906"/>
    <w:rsid w:val="00416023"/>
    <w:rsid w:val="00416884"/>
    <w:rsid w:val="00416C69"/>
    <w:rsid w:val="00416FFB"/>
    <w:rsid w:val="0041719D"/>
    <w:rsid w:val="004171C8"/>
    <w:rsid w:val="004173A1"/>
    <w:rsid w:val="00417D4B"/>
    <w:rsid w:val="00417DA5"/>
    <w:rsid w:val="00420296"/>
    <w:rsid w:val="0042048D"/>
    <w:rsid w:val="004204F6"/>
    <w:rsid w:val="004208E0"/>
    <w:rsid w:val="00421546"/>
    <w:rsid w:val="004216D9"/>
    <w:rsid w:val="004222F5"/>
    <w:rsid w:val="00422943"/>
    <w:rsid w:val="00422C89"/>
    <w:rsid w:val="00422F4D"/>
    <w:rsid w:val="00422FB6"/>
    <w:rsid w:val="004234CD"/>
    <w:rsid w:val="00423BB4"/>
    <w:rsid w:val="00423C85"/>
    <w:rsid w:val="00423FCE"/>
    <w:rsid w:val="00425134"/>
    <w:rsid w:val="00425CE4"/>
    <w:rsid w:val="004262AA"/>
    <w:rsid w:val="00426422"/>
    <w:rsid w:val="00426D85"/>
    <w:rsid w:val="00426E70"/>
    <w:rsid w:val="00426EE1"/>
    <w:rsid w:val="00427852"/>
    <w:rsid w:val="00427BCD"/>
    <w:rsid w:val="00427D3E"/>
    <w:rsid w:val="00427D78"/>
    <w:rsid w:val="00430125"/>
    <w:rsid w:val="004301D6"/>
    <w:rsid w:val="004302E1"/>
    <w:rsid w:val="004303D8"/>
    <w:rsid w:val="004311AE"/>
    <w:rsid w:val="00431643"/>
    <w:rsid w:val="004316C1"/>
    <w:rsid w:val="00431A91"/>
    <w:rsid w:val="00432273"/>
    <w:rsid w:val="004328E8"/>
    <w:rsid w:val="00432E68"/>
    <w:rsid w:val="0043306E"/>
    <w:rsid w:val="00433357"/>
    <w:rsid w:val="004333C6"/>
    <w:rsid w:val="004341F8"/>
    <w:rsid w:val="0043470A"/>
    <w:rsid w:val="0043492E"/>
    <w:rsid w:val="00435129"/>
    <w:rsid w:val="00435DC5"/>
    <w:rsid w:val="004360C2"/>
    <w:rsid w:val="004364CD"/>
    <w:rsid w:val="00436EA2"/>
    <w:rsid w:val="004377A6"/>
    <w:rsid w:val="0044013B"/>
    <w:rsid w:val="004402EF"/>
    <w:rsid w:val="004403B2"/>
    <w:rsid w:val="00440417"/>
    <w:rsid w:val="00440688"/>
    <w:rsid w:val="0044072B"/>
    <w:rsid w:val="00440A4F"/>
    <w:rsid w:val="00440A6A"/>
    <w:rsid w:val="00441135"/>
    <w:rsid w:val="004416DD"/>
    <w:rsid w:val="0044234E"/>
    <w:rsid w:val="004424F0"/>
    <w:rsid w:val="0044254C"/>
    <w:rsid w:val="004425A8"/>
    <w:rsid w:val="00443064"/>
    <w:rsid w:val="00444BB4"/>
    <w:rsid w:val="00444C69"/>
    <w:rsid w:val="004450B3"/>
    <w:rsid w:val="004452C4"/>
    <w:rsid w:val="00445595"/>
    <w:rsid w:val="0044598F"/>
    <w:rsid w:val="00445ECD"/>
    <w:rsid w:val="00446063"/>
    <w:rsid w:val="00446A09"/>
    <w:rsid w:val="00447158"/>
    <w:rsid w:val="00447410"/>
    <w:rsid w:val="00447698"/>
    <w:rsid w:val="00447FC8"/>
    <w:rsid w:val="00450E65"/>
    <w:rsid w:val="004512D8"/>
    <w:rsid w:val="00452245"/>
    <w:rsid w:val="004522B7"/>
    <w:rsid w:val="0045277A"/>
    <w:rsid w:val="00452AA3"/>
    <w:rsid w:val="00452E94"/>
    <w:rsid w:val="00453561"/>
    <w:rsid w:val="0045380B"/>
    <w:rsid w:val="00453F9F"/>
    <w:rsid w:val="00453FCC"/>
    <w:rsid w:val="004544A6"/>
    <w:rsid w:val="0045471E"/>
    <w:rsid w:val="004548F7"/>
    <w:rsid w:val="00454B12"/>
    <w:rsid w:val="00454D5F"/>
    <w:rsid w:val="00454F3F"/>
    <w:rsid w:val="00455048"/>
    <w:rsid w:val="00455A9B"/>
    <w:rsid w:val="00455AFF"/>
    <w:rsid w:val="00456184"/>
    <w:rsid w:val="00456A81"/>
    <w:rsid w:val="00456C99"/>
    <w:rsid w:val="00460082"/>
    <w:rsid w:val="0046014D"/>
    <w:rsid w:val="004601C9"/>
    <w:rsid w:val="004603D1"/>
    <w:rsid w:val="00460404"/>
    <w:rsid w:val="00460688"/>
    <w:rsid w:val="004608C2"/>
    <w:rsid w:val="00460AD5"/>
    <w:rsid w:val="00460E80"/>
    <w:rsid w:val="0046126B"/>
    <w:rsid w:val="004617D5"/>
    <w:rsid w:val="00461C59"/>
    <w:rsid w:val="00461FDD"/>
    <w:rsid w:val="00462028"/>
    <w:rsid w:val="00462184"/>
    <w:rsid w:val="0046275B"/>
    <w:rsid w:val="0046385F"/>
    <w:rsid w:val="00463C65"/>
    <w:rsid w:val="004645A0"/>
    <w:rsid w:val="0046470B"/>
    <w:rsid w:val="0046486F"/>
    <w:rsid w:val="004648BD"/>
    <w:rsid w:val="004649D6"/>
    <w:rsid w:val="00465BB2"/>
    <w:rsid w:val="0046625C"/>
    <w:rsid w:val="004666F0"/>
    <w:rsid w:val="00466CF3"/>
    <w:rsid w:val="004670C1"/>
    <w:rsid w:val="0046720D"/>
    <w:rsid w:val="00467254"/>
    <w:rsid w:val="0046746F"/>
    <w:rsid w:val="00467525"/>
    <w:rsid w:val="004701B3"/>
    <w:rsid w:val="004703EC"/>
    <w:rsid w:val="00470515"/>
    <w:rsid w:val="00470F5F"/>
    <w:rsid w:val="00471333"/>
    <w:rsid w:val="00471AC1"/>
    <w:rsid w:val="00471CD1"/>
    <w:rsid w:val="00471F0C"/>
    <w:rsid w:val="00472188"/>
    <w:rsid w:val="00472316"/>
    <w:rsid w:val="0047287E"/>
    <w:rsid w:val="004729AC"/>
    <w:rsid w:val="00472D3B"/>
    <w:rsid w:val="00473524"/>
    <w:rsid w:val="004736AA"/>
    <w:rsid w:val="00473A6B"/>
    <w:rsid w:val="00473A9C"/>
    <w:rsid w:val="00473CAE"/>
    <w:rsid w:val="004744CF"/>
    <w:rsid w:val="0047466C"/>
    <w:rsid w:val="00475322"/>
    <w:rsid w:val="00475541"/>
    <w:rsid w:val="00476C04"/>
    <w:rsid w:val="00476D16"/>
    <w:rsid w:val="004776AE"/>
    <w:rsid w:val="00477E9A"/>
    <w:rsid w:val="004802A2"/>
    <w:rsid w:val="00480BA6"/>
    <w:rsid w:val="00480FB6"/>
    <w:rsid w:val="0048188B"/>
    <w:rsid w:val="004818C1"/>
    <w:rsid w:val="00481F13"/>
    <w:rsid w:val="00481FD3"/>
    <w:rsid w:val="0048231B"/>
    <w:rsid w:val="00482337"/>
    <w:rsid w:val="00482725"/>
    <w:rsid w:val="00482C04"/>
    <w:rsid w:val="00483B63"/>
    <w:rsid w:val="00483CC8"/>
    <w:rsid w:val="00484641"/>
    <w:rsid w:val="004847BE"/>
    <w:rsid w:val="0048501C"/>
    <w:rsid w:val="00485CB9"/>
    <w:rsid w:val="00486650"/>
    <w:rsid w:val="00486A57"/>
    <w:rsid w:val="00486C35"/>
    <w:rsid w:val="00486D6C"/>
    <w:rsid w:val="004870BC"/>
    <w:rsid w:val="004872F4"/>
    <w:rsid w:val="004875BB"/>
    <w:rsid w:val="00487E05"/>
    <w:rsid w:val="0049041C"/>
    <w:rsid w:val="0049056D"/>
    <w:rsid w:val="00490AC3"/>
    <w:rsid w:val="00490C1B"/>
    <w:rsid w:val="00490DD4"/>
    <w:rsid w:val="00491CDF"/>
    <w:rsid w:val="00492240"/>
    <w:rsid w:val="00492C25"/>
    <w:rsid w:val="00493D41"/>
    <w:rsid w:val="00494772"/>
    <w:rsid w:val="004948D2"/>
    <w:rsid w:val="00495027"/>
    <w:rsid w:val="00495384"/>
    <w:rsid w:val="00495E81"/>
    <w:rsid w:val="004960A1"/>
    <w:rsid w:val="004962DC"/>
    <w:rsid w:val="004965EF"/>
    <w:rsid w:val="00496958"/>
    <w:rsid w:val="00496D04"/>
    <w:rsid w:val="0049770D"/>
    <w:rsid w:val="00497B07"/>
    <w:rsid w:val="00497E70"/>
    <w:rsid w:val="004A0882"/>
    <w:rsid w:val="004A0924"/>
    <w:rsid w:val="004A0B5D"/>
    <w:rsid w:val="004A0E84"/>
    <w:rsid w:val="004A1358"/>
    <w:rsid w:val="004A14B5"/>
    <w:rsid w:val="004A1AF8"/>
    <w:rsid w:val="004A1B17"/>
    <w:rsid w:val="004A1BFE"/>
    <w:rsid w:val="004A1E7A"/>
    <w:rsid w:val="004A2450"/>
    <w:rsid w:val="004A2EA0"/>
    <w:rsid w:val="004A3380"/>
    <w:rsid w:val="004A3B95"/>
    <w:rsid w:val="004A3D3D"/>
    <w:rsid w:val="004A3D96"/>
    <w:rsid w:val="004A3E16"/>
    <w:rsid w:val="004A413A"/>
    <w:rsid w:val="004A4226"/>
    <w:rsid w:val="004A4318"/>
    <w:rsid w:val="004A4EA6"/>
    <w:rsid w:val="004A4FD2"/>
    <w:rsid w:val="004A5279"/>
    <w:rsid w:val="004A57E2"/>
    <w:rsid w:val="004A6DF9"/>
    <w:rsid w:val="004A6DFD"/>
    <w:rsid w:val="004A7163"/>
    <w:rsid w:val="004A756A"/>
    <w:rsid w:val="004B064D"/>
    <w:rsid w:val="004B0669"/>
    <w:rsid w:val="004B0E3B"/>
    <w:rsid w:val="004B114C"/>
    <w:rsid w:val="004B1A8D"/>
    <w:rsid w:val="004B2BBA"/>
    <w:rsid w:val="004B2DA9"/>
    <w:rsid w:val="004B34A0"/>
    <w:rsid w:val="004B388D"/>
    <w:rsid w:val="004B46C4"/>
    <w:rsid w:val="004B46D4"/>
    <w:rsid w:val="004B53A2"/>
    <w:rsid w:val="004B5A99"/>
    <w:rsid w:val="004B5B43"/>
    <w:rsid w:val="004B5CF7"/>
    <w:rsid w:val="004B5DE4"/>
    <w:rsid w:val="004B622B"/>
    <w:rsid w:val="004B6248"/>
    <w:rsid w:val="004B62D6"/>
    <w:rsid w:val="004B73C9"/>
    <w:rsid w:val="004B7497"/>
    <w:rsid w:val="004B766C"/>
    <w:rsid w:val="004B792B"/>
    <w:rsid w:val="004B79E5"/>
    <w:rsid w:val="004B7BCB"/>
    <w:rsid w:val="004C038F"/>
    <w:rsid w:val="004C053C"/>
    <w:rsid w:val="004C0786"/>
    <w:rsid w:val="004C0B35"/>
    <w:rsid w:val="004C17D4"/>
    <w:rsid w:val="004C2595"/>
    <w:rsid w:val="004C2604"/>
    <w:rsid w:val="004C28FF"/>
    <w:rsid w:val="004C37E2"/>
    <w:rsid w:val="004C42E9"/>
    <w:rsid w:val="004C47E4"/>
    <w:rsid w:val="004C48F2"/>
    <w:rsid w:val="004C4A1F"/>
    <w:rsid w:val="004C524D"/>
    <w:rsid w:val="004C54E3"/>
    <w:rsid w:val="004C5657"/>
    <w:rsid w:val="004C5B65"/>
    <w:rsid w:val="004C5F23"/>
    <w:rsid w:val="004C621F"/>
    <w:rsid w:val="004C6391"/>
    <w:rsid w:val="004C659E"/>
    <w:rsid w:val="004C697D"/>
    <w:rsid w:val="004C6A81"/>
    <w:rsid w:val="004C6CFC"/>
    <w:rsid w:val="004C7632"/>
    <w:rsid w:val="004C7CC5"/>
    <w:rsid w:val="004C7FFA"/>
    <w:rsid w:val="004D00EC"/>
    <w:rsid w:val="004D0A42"/>
    <w:rsid w:val="004D0DEF"/>
    <w:rsid w:val="004D18C0"/>
    <w:rsid w:val="004D18F1"/>
    <w:rsid w:val="004D2FCA"/>
    <w:rsid w:val="004D34FF"/>
    <w:rsid w:val="004D36CE"/>
    <w:rsid w:val="004D3984"/>
    <w:rsid w:val="004D3BA4"/>
    <w:rsid w:val="004D3CDA"/>
    <w:rsid w:val="004D419E"/>
    <w:rsid w:val="004D41B6"/>
    <w:rsid w:val="004D4DB1"/>
    <w:rsid w:val="004D50FB"/>
    <w:rsid w:val="004D544D"/>
    <w:rsid w:val="004D55A3"/>
    <w:rsid w:val="004D5BEE"/>
    <w:rsid w:val="004D5DCB"/>
    <w:rsid w:val="004D67B8"/>
    <w:rsid w:val="004D6D33"/>
    <w:rsid w:val="004D6D67"/>
    <w:rsid w:val="004D7C3B"/>
    <w:rsid w:val="004D7C40"/>
    <w:rsid w:val="004D7CB4"/>
    <w:rsid w:val="004D7CE1"/>
    <w:rsid w:val="004E0008"/>
    <w:rsid w:val="004E02E3"/>
    <w:rsid w:val="004E0655"/>
    <w:rsid w:val="004E081A"/>
    <w:rsid w:val="004E0F15"/>
    <w:rsid w:val="004E0F9F"/>
    <w:rsid w:val="004E18DE"/>
    <w:rsid w:val="004E18F3"/>
    <w:rsid w:val="004E2007"/>
    <w:rsid w:val="004E212B"/>
    <w:rsid w:val="004E2604"/>
    <w:rsid w:val="004E2BB3"/>
    <w:rsid w:val="004E36AA"/>
    <w:rsid w:val="004E3FA2"/>
    <w:rsid w:val="004E40B9"/>
    <w:rsid w:val="004E4407"/>
    <w:rsid w:val="004E626B"/>
    <w:rsid w:val="004E66D4"/>
    <w:rsid w:val="004E67AC"/>
    <w:rsid w:val="004E67E6"/>
    <w:rsid w:val="004E6B54"/>
    <w:rsid w:val="004E6FA3"/>
    <w:rsid w:val="004E731F"/>
    <w:rsid w:val="004E74F0"/>
    <w:rsid w:val="004E7753"/>
    <w:rsid w:val="004E7B86"/>
    <w:rsid w:val="004F02C5"/>
    <w:rsid w:val="004F04D2"/>
    <w:rsid w:val="004F0E64"/>
    <w:rsid w:val="004F119F"/>
    <w:rsid w:val="004F15B6"/>
    <w:rsid w:val="004F16FD"/>
    <w:rsid w:val="004F1A88"/>
    <w:rsid w:val="004F2113"/>
    <w:rsid w:val="004F24FC"/>
    <w:rsid w:val="004F2621"/>
    <w:rsid w:val="004F2A19"/>
    <w:rsid w:val="004F34EC"/>
    <w:rsid w:val="004F3CE2"/>
    <w:rsid w:val="004F3DCC"/>
    <w:rsid w:val="004F4640"/>
    <w:rsid w:val="004F4863"/>
    <w:rsid w:val="004F4F1D"/>
    <w:rsid w:val="004F4FF3"/>
    <w:rsid w:val="004F5419"/>
    <w:rsid w:val="004F54DD"/>
    <w:rsid w:val="004F57C8"/>
    <w:rsid w:val="004F63C4"/>
    <w:rsid w:val="004F6989"/>
    <w:rsid w:val="004F6ABD"/>
    <w:rsid w:val="004F6B97"/>
    <w:rsid w:val="004F7226"/>
    <w:rsid w:val="004F75C4"/>
    <w:rsid w:val="004F7FED"/>
    <w:rsid w:val="00500191"/>
    <w:rsid w:val="00501357"/>
    <w:rsid w:val="00501DFC"/>
    <w:rsid w:val="005029BB"/>
    <w:rsid w:val="0050311F"/>
    <w:rsid w:val="0050331C"/>
    <w:rsid w:val="0050395F"/>
    <w:rsid w:val="00503A1E"/>
    <w:rsid w:val="00503D44"/>
    <w:rsid w:val="00503E8C"/>
    <w:rsid w:val="00504749"/>
    <w:rsid w:val="005048B4"/>
    <w:rsid w:val="00504DAB"/>
    <w:rsid w:val="00504F4F"/>
    <w:rsid w:val="00505032"/>
    <w:rsid w:val="00505CC7"/>
    <w:rsid w:val="005063BD"/>
    <w:rsid w:val="0050681C"/>
    <w:rsid w:val="00506BFD"/>
    <w:rsid w:val="00506C03"/>
    <w:rsid w:val="00507207"/>
    <w:rsid w:val="00507B13"/>
    <w:rsid w:val="00507C8D"/>
    <w:rsid w:val="00507FF1"/>
    <w:rsid w:val="00510392"/>
    <w:rsid w:val="005106F9"/>
    <w:rsid w:val="00511330"/>
    <w:rsid w:val="00511BCC"/>
    <w:rsid w:val="0051293F"/>
    <w:rsid w:val="00512BAE"/>
    <w:rsid w:val="00513061"/>
    <w:rsid w:val="005136A9"/>
    <w:rsid w:val="00513FFA"/>
    <w:rsid w:val="00514342"/>
    <w:rsid w:val="005144A9"/>
    <w:rsid w:val="005144E8"/>
    <w:rsid w:val="00514860"/>
    <w:rsid w:val="00514C2E"/>
    <w:rsid w:val="00514E31"/>
    <w:rsid w:val="00514F82"/>
    <w:rsid w:val="0051636F"/>
    <w:rsid w:val="00516648"/>
    <w:rsid w:val="00516B0E"/>
    <w:rsid w:val="00516E7B"/>
    <w:rsid w:val="00517744"/>
    <w:rsid w:val="00517A60"/>
    <w:rsid w:val="00517C3D"/>
    <w:rsid w:val="00517F49"/>
    <w:rsid w:val="00517F83"/>
    <w:rsid w:val="00521735"/>
    <w:rsid w:val="00521869"/>
    <w:rsid w:val="00522429"/>
    <w:rsid w:val="00522F39"/>
    <w:rsid w:val="00523295"/>
    <w:rsid w:val="005232B4"/>
    <w:rsid w:val="005247E6"/>
    <w:rsid w:val="00524D35"/>
    <w:rsid w:val="0052544F"/>
    <w:rsid w:val="00526026"/>
    <w:rsid w:val="005264A8"/>
    <w:rsid w:val="00526732"/>
    <w:rsid w:val="0053006B"/>
    <w:rsid w:val="00530780"/>
    <w:rsid w:val="005309C9"/>
    <w:rsid w:val="005310A5"/>
    <w:rsid w:val="00531352"/>
    <w:rsid w:val="005316F2"/>
    <w:rsid w:val="00531873"/>
    <w:rsid w:val="00532E05"/>
    <w:rsid w:val="005332D7"/>
    <w:rsid w:val="00533509"/>
    <w:rsid w:val="00533A81"/>
    <w:rsid w:val="00533C21"/>
    <w:rsid w:val="00533D39"/>
    <w:rsid w:val="005340D7"/>
    <w:rsid w:val="0053465E"/>
    <w:rsid w:val="005347EF"/>
    <w:rsid w:val="00534BC3"/>
    <w:rsid w:val="00534F5A"/>
    <w:rsid w:val="00534FE8"/>
    <w:rsid w:val="005350D0"/>
    <w:rsid w:val="00535472"/>
    <w:rsid w:val="00535A75"/>
    <w:rsid w:val="00535C9B"/>
    <w:rsid w:val="00535D14"/>
    <w:rsid w:val="00535F87"/>
    <w:rsid w:val="0053615E"/>
    <w:rsid w:val="00536274"/>
    <w:rsid w:val="0053660F"/>
    <w:rsid w:val="005367E2"/>
    <w:rsid w:val="00536ADD"/>
    <w:rsid w:val="00536E86"/>
    <w:rsid w:val="00536EC8"/>
    <w:rsid w:val="00537446"/>
    <w:rsid w:val="0053748D"/>
    <w:rsid w:val="005403DF"/>
    <w:rsid w:val="0054043A"/>
    <w:rsid w:val="005404D2"/>
    <w:rsid w:val="0054097F"/>
    <w:rsid w:val="00540E2D"/>
    <w:rsid w:val="00542487"/>
    <w:rsid w:val="00542523"/>
    <w:rsid w:val="00542883"/>
    <w:rsid w:val="0054368C"/>
    <w:rsid w:val="005437CF"/>
    <w:rsid w:val="0054400E"/>
    <w:rsid w:val="00545514"/>
    <w:rsid w:val="005458AB"/>
    <w:rsid w:val="005458E2"/>
    <w:rsid w:val="00545AF1"/>
    <w:rsid w:val="00545FC2"/>
    <w:rsid w:val="0054604F"/>
    <w:rsid w:val="005463AC"/>
    <w:rsid w:val="00547729"/>
    <w:rsid w:val="00547F0E"/>
    <w:rsid w:val="00550C39"/>
    <w:rsid w:val="005510D2"/>
    <w:rsid w:val="005510E3"/>
    <w:rsid w:val="0055121C"/>
    <w:rsid w:val="00551772"/>
    <w:rsid w:val="00551AB2"/>
    <w:rsid w:val="0055202D"/>
    <w:rsid w:val="00552AEF"/>
    <w:rsid w:val="00552B36"/>
    <w:rsid w:val="00552BF0"/>
    <w:rsid w:val="00552C6D"/>
    <w:rsid w:val="00553016"/>
    <w:rsid w:val="0055310C"/>
    <w:rsid w:val="0055327A"/>
    <w:rsid w:val="00553FC1"/>
    <w:rsid w:val="0055443C"/>
    <w:rsid w:val="005549DB"/>
    <w:rsid w:val="00554B58"/>
    <w:rsid w:val="00554BA7"/>
    <w:rsid w:val="00554CBE"/>
    <w:rsid w:val="00554F28"/>
    <w:rsid w:val="00555887"/>
    <w:rsid w:val="00555B70"/>
    <w:rsid w:val="00555EA8"/>
    <w:rsid w:val="005562B1"/>
    <w:rsid w:val="00556422"/>
    <w:rsid w:val="00556484"/>
    <w:rsid w:val="00556C08"/>
    <w:rsid w:val="00556C13"/>
    <w:rsid w:val="00556C2A"/>
    <w:rsid w:val="00557492"/>
    <w:rsid w:val="0055750F"/>
    <w:rsid w:val="0055780F"/>
    <w:rsid w:val="0055796D"/>
    <w:rsid w:val="00557D28"/>
    <w:rsid w:val="00557D78"/>
    <w:rsid w:val="00557FCF"/>
    <w:rsid w:val="005603D8"/>
    <w:rsid w:val="005604A5"/>
    <w:rsid w:val="00560A80"/>
    <w:rsid w:val="00560BB7"/>
    <w:rsid w:val="005611D7"/>
    <w:rsid w:val="00561C84"/>
    <w:rsid w:val="00561EB1"/>
    <w:rsid w:val="00561F9D"/>
    <w:rsid w:val="0056259E"/>
    <w:rsid w:val="00562B4D"/>
    <w:rsid w:val="00562C1A"/>
    <w:rsid w:val="00562C3C"/>
    <w:rsid w:val="00563354"/>
    <w:rsid w:val="00563A41"/>
    <w:rsid w:val="00564485"/>
    <w:rsid w:val="005651E9"/>
    <w:rsid w:val="0056541B"/>
    <w:rsid w:val="00565A6D"/>
    <w:rsid w:val="005666DF"/>
    <w:rsid w:val="00566B43"/>
    <w:rsid w:val="00566C92"/>
    <w:rsid w:val="00566D96"/>
    <w:rsid w:val="00566DAA"/>
    <w:rsid w:val="00567164"/>
    <w:rsid w:val="00567D5F"/>
    <w:rsid w:val="0057051F"/>
    <w:rsid w:val="00570FB7"/>
    <w:rsid w:val="00571256"/>
    <w:rsid w:val="00571623"/>
    <w:rsid w:val="00571D9E"/>
    <w:rsid w:val="005723EF"/>
    <w:rsid w:val="0057255F"/>
    <w:rsid w:val="0057296A"/>
    <w:rsid w:val="0057302D"/>
    <w:rsid w:val="00573325"/>
    <w:rsid w:val="00573547"/>
    <w:rsid w:val="005735DE"/>
    <w:rsid w:val="005737AA"/>
    <w:rsid w:val="005737B4"/>
    <w:rsid w:val="00573AEB"/>
    <w:rsid w:val="00573CCB"/>
    <w:rsid w:val="00573D4D"/>
    <w:rsid w:val="00573F92"/>
    <w:rsid w:val="00574540"/>
    <w:rsid w:val="00574749"/>
    <w:rsid w:val="00574AE4"/>
    <w:rsid w:val="00574B2B"/>
    <w:rsid w:val="00574C89"/>
    <w:rsid w:val="00575E3B"/>
    <w:rsid w:val="0057684B"/>
    <w:rsid w:val="00576864"/>
    <w:rsid w:val="0057746B"/>
    <w:rsid w:val="005775C3"/>
    <w:rsid w:val="00577D7F"/>
    <w:rsid w:val="00577E88"/>
    <w:rsid w:val="00580227"/>
    <w:rsid w:val="00580963"/>
    <w:rsid w:val="00580E74"/>
    <w:rsid w:val="00581081"/>
    <w:rsid w:val="00581212"/>
    <w:rsid w:val="00581A4B"/>
    <w:rsid w:val="00581DCF"/>
    <w:rsid w:val="0058283F"/>
    <w:rsid w:val="00582A19"/>
    <w:rsid w:val="00583B8B"/>
    <w:rsid w:val="00583B99"/>
    <w:rsid w:val="00583D71"/>
    <w:rsid w:val="00583F76"/>
    <w:rsid w:val="00584538"/>
    <w:rsid w:val="005846E8"/>
    <w:rsid w:val="005848DE"/>
    <w:rsid w:val="00584941"/>
    <w:rsid w:val="00584BB0"/>
    <w:rsid w:val="00584E00"/>
    <w:rsid w:val="00584F7F"/>
    <w:rsid w:val="00585217"/>
    <w:rsid w:val="0058523B"/>
    <w:rsid w:val="0058541F"/>
    <w:rsid w:val="0058564B"/>
    <w:rsid w:val="00585699"/>
    <w:rsid w:val="005856E8"/>
    <w:rsid w:val="00586369"/>
    <w:rsid w:val="00587166"/>
    <w:rsid w:val="00587CED"/>
    <w:rsid w:val="00587E74"/>
    <w:rsid w:val="00587FE7"/>
    <w:rsid w:val="0059081C"/>
    <w:rsid w:val="00590B75"/>
    <w:rsid w:val="00590B84"/>
    <w:rsid w:val="00590E4A"/>
    <w:rsid w:val="00590F50"/>
    <w:rsid w:val="0059130E"/>
    <w:rsid w:val="0059140B"/>
    <w:rsid w:val="005919B3"/>
    <w:rsid w:val="00591BA0"/>
    <w:rsid w:val="005920BB"/>
    <w:rsid w:val="005922A2"/>
    <w:rsid w:val="00592A34"/>
    <w:rsid w:val="00592CB4"/>
    <w:rsid w:val="00593072"/>
    <w:rsid w:val="005933B1"/>
    <w:rsid w:val="005934D6"/>
    <w:rsid w:val="0059378E"/>
    <w:rsid w:val="00593844"/>
    <w:rsid w:val="00593FCA"/>
    <w:rsid w:val="005940A8"/>
    <w:rsid w:val="0059465D"/>
    <w:rsid w:val="00594770"/>
    <w:rsid w:val="00594BB9"/>
    <w:rsid w:val="0059526B"/>
    <w:rsid w:val="0059537D"/>
    <w:rsid w:val="005957EF"/>
    <w:rsid w:val="00595BB1"/>
    <w:rsid w:val="00595D40"/>
    <w:rsid w:val="00595F12"/>
    <w:rsid w:val="0059625C"/>
    <w:rsid w:val="005964D6"/>
    <w:rsid w:val="00597281"/>
    <w:rsid w:val="00597CE6"/>
    <w:rsid w:val="00597D80"/>
    <w:rsid w:val="00597F14"/>
    <w:rsid w:val="005A04EA"/>
    <w:rsid w:val="005A06D6"/>
    <w:rsid w:val="005A101D"/>
    <w:rsid w:val="005A1431"/>
    <w:rsid w:val="005A145D"/>
    <w:rsid w:val="005A23EF"/>
    <w:rsid w:val="005A2429"/>
    <w:rsid w:val="005A2808"/>
    <w:rsid w:val="005A296B"/>
    <w:rsid w:val="005A2F1C"/>
    <w:rsid w:val="005A31FC"/>
    <w:rsid w:val="005A376C"/>
    <w:rsid w:val="005A3BF9"/>
    <w:rsid w:val="005A40C8"/>
    <w:rsid w:val="005A471A"/>
    <w:rsid w:val="005A47A3"/>
    <w:rsid w:val="005A4AF9"/>
    <w:rsid w:val="005A4B68"/>
    <w:rsid w:val="005A4DDC"/>
    <w:rsid w:val="005A59FB"/>
    <w:rsid w:val="005A5D8C"/>
    <w:rsid w:val="005A5DCC"/>
    <w:rsid w:val="005A5F06"/>
    <w:rsid w:val="005A619E"/>
    <w:rsid w:val="005A625E"/>
    <w:rsid w:val="005A6761"/>
    <w:rsid w:val="005A6B36"/>
    <w:rsid w:val="005A6E3D"/>
    <w:rsid w:val="005A766A"/>
    <w:rsid w:val="005A7881"/>
    <w:rsid w:val="005A790D"/>
    <w:rsid w:val="005A7FC2"/>
    <w:rsid w:val="005B0E0B"/>
    <w:rsid w:val="005B10BA"/>
    <w:rsid w:val="005B1378"/>
    <w:rsid w:val="005B164F"/>
    <w:rsid w:val="005B18FA"/>
    <w:rsid w:val="005B298A"/>
    <w:rsid w:val="005B3499"/>
    <w:rsid w:val="005B3508"/>
    <w:rsid w:val="005B3709"/>
    <w:rsid w:val="005B3A81"/>
    <w:rsid w:val="005B3D88"/>
    <w:rsid w:val="005B458C"/>
    <w:rsid w:val="005B476E"/>
    <w:rsid w:val="005B53D4"/>
    <w:rsid w:val="005B5862"/>
    <w:rsid w:val="005B58E0"/>
    <w:rsid w:val="005B5C05"/>
    <w:rsid w:val="005B6046"/>
    <w:rsid w:val="005B63DA"/>
    <w:rsid w:val="005B6C17"/>
    <w:rsid w:val="005C03BC"/>
    <w:rsid w:val="005C088C"/>
    <w:rsid w:val="005C12A8"/>
    <w:rsid w:val="005C1581"/>
    <w:rsid w:val="005C1A1C"/>
    <w:rsid w:val="005C1C40"/>
    <w:rsid w:val="005C22B9"/>
    <w:rsid w:val="005C2BA6"/>
    <w:rsid w:val="005C2FD9"/>
    <w:rsid w:val="005C343C"/>
    <w:rsid w:val="005C3550"/>
    <w:rsid w:val="005C3B2B"/>
    <w:rsid w:val="005C425E"/>
    <w:rsid w:val="005C4651"/>
    <w:rsid w:val="005C4C35"/>
    <w:rsid w:val="005C4F8C"/>
    <w:rsid w:val="005C542C"/>
    <w:rsid w:val="005C6267"/>
    <w:rsid w:val="005C6608"/>
    <w:rsid w:val="005C6610"/>
    <w:rsid w:val="005C7D9C"/>
    <w:rsid w:val="005D019A"/>
    <w:rsid w:val="005D01B5"/>
    <w:rsid w:val="005D0E65"/>
    <w:rsid w:val="005D0F68"/>
    <w:rsid w:val="005D10D0"/>
    <w:rsid w:val="005D1C0F"/>
    <w:rsid w:val="005D1FE2"/>
    <w:rsid w:val="005D354A"/>
    <w:rsid w:val="005D3A8A"/>
    <w:rsid w:val="005D3CC3"/>
    <w:rsid w:val="005D3EF9"/>
    <w:rsid w:val="005D4D94"/>
    <w:rsid w:val="005D4FAD"/>
    <w:rsid w:val="005D4FC0"/>
    <w:rsid w:val="005D5229"/>
    <w:rsid w:val="005D57FA"/>
    <w:rsid w:val="005D580A"/>
    <w:rsid w:val="005D5AFE"/>
    <w:rsid w:val="005D5BA0"/>
    <w:rsid w:val="005D5E59"/>
    <w:rsid w:val="005D5FC0"/>
    <w:rsid w:val="005D6259"/>
    <w:rsid w:val="005D6464"/>
    <w:rsid w:val="005D70A3"/>
    <w:rsid w:val="005D7FE2"/>
    <w:rsid w:val="005E0BEB"/>
    <w:rsid w:val="005E0CBD"/>
    <w:rsid w:val="005E0CCA"/>
    <w:rsid w:val="005E14E4"/>
    <w:rsid w:val="005E159E"/>
    <w:rsid w:val="005E1E10"/>
    <w:rsid w:val="005E2278"/>
    <w:rsid w:val="005E2524"/>
    <w:rsid w:val="005E2F93"/>
    <w:rsid w:val="005E3640"/>
    <w:rsid w:val="005E3F42"/>
    <w:rsid w:val="005E406A"/>
    <w:rsid w:val="005E427E"/>
    <w:rsid w:val="005E473C"/>
    <w:rsid w:val="005E4798"/>
    <w:rsid w:val="005E48E7"/>
    <w:rsid w:val="005E4925"/>
    <w:rsid w:val="005E4B84"/>
    <w:rsid w:val="005E4DD1"/>
    <w:rsid w:val="005E4E29"/>
    <w:rsid w:val="005E4F6F"/>
    <w:rsid w:val="005E4FF7"/>
    <w:rsid w:val="005E54EA"/>
    <w:rsid w:val="005E5535"/>
    <w:rsid w:val="005E5735"/>
    <w:rsid w:val="005E59D4"/>
    <w:rsid w:val="005E61E6"/>
    <w:rsid w:val="005E729F"/>
    <w:rsid w:val="005E7422"/>
    <w:rsid w:val="005E78A2"/>
    <w:rsid w:val="005E7F7A"/>
    <w:rsid w:val="005F0223"/>
    <w:rsid w:val="005F03F3"/>
    <w:rsid w:val="005F0F4C"/>
    <w:rsid w:val="005F11F8"/>
    <w:rsid w:val="005F1B1A"/>
    <w:rsid w:val="005F2322"/>
    <w:rsid w:val="005F261B"/>
    <w:rsid w:val="005F29AD"/>
    <w:rsid w:val="005F30DD"/>
    <w:rsid w:val="005F33F6"/>
    <w:rsid w:val="005F3403"/>
    <w:rsid w:val="005F36F0"/>
    <w:rsid w:val="005F4185"/>
    <w:rsid w:val="005F4E8D"/>
    <w:rsid w:val="005F4EDA"/>
    <w:rsid w:val="005F538D"/>
    <w:rsid w:val="005F5489"/>
    <w:rsid w:val="005F58B9"/>
    <w:rsid w:val="005F5D2D"/>
    <w:rsid w:val="005F68F7"/>
    <w:rsid w:val="005F6AA7"/>
    <w:rsid w:val="005F6C61"/>
    <w:rsid w:val="005F757B"/>
    <w:rsid w:val="0060012B"/>
    <w:rsid w:val="006002C9"/>
    <w:rsid w:val="0060067C"/>
    <w:rsid w:val="006006D9"/>
    <w:rsid w:val="006006DA"/>
    <w:rsid w:val="00600902"/>
    <w:rsid w:val="006010BF"/>
    <w:rsid w:val="0060112A"/>
    <w:rsid w:val="00601208"/>
    <w:rsid w:val="00601323"/>
    <w:rsid w:val="006018D9"/>
    <w:rsid w:val="00601B24"/>
    <w:rsid w:val="00601C96"/>
    <w:rsid w:val="006027AC"/>
    <w:rsid w:val="00603378"/>
    <w:rsid w:val="00603886"/>
    <w:rsid w:val="00603BCE"/>
    <w:rsid w:val="00604701"/>
    <w:rsid w:val="0060483D"/>
    <w:rsid w:val="00605627"/>
    <w:rsid w:val="00606143"/>
    <w:rsid w:val="00606358"/>
    <w:rsid w:val="0060645F"/>
    <w:rsid w:val="00606539"/>
    <w:rsid w:val="00606584"/>
    <w:rsid w:val="00606725"/>
    <w:rsid w:val="006072C3"/>
    <w:rsid w:val="006073FE"/>
    <w:rsid w:val="00607558"/>
    <w:rsid w:val="006079D3"/>
    <w:rsid w:val="00610B65"/>
    <w:rsid w:val="00610E6E"/>
    <w:rsid w:val="00611A60"/>
    <w:rsid w:val="00611A70"/>
    <w:rsid w:val="00611AB0"/>
    <w:rsid w:val="00611F3F"/>
    <w:rsid w:val="00612E3A"/>
    <w:rsid w:val="00613099"/>
    <w:rsid w:val="006131F6"/>
    <w:rsid w:val="00613260"/>
    <w:rsid w:val="006132BA"/>
    <w:rsid w:val="0061386A"/>
    <w:rsid w:val="00613F3B"/>
    <w:rsid w:val="00613FE5"/>
    <w:rsid w:val="0061426E"/>
    <w:rsid w:val="006151A9"/>
    <w:rsid w:val="0061554E"/>
    <w:rsid w:val="006155F0"/>
    <w:rsid w:val="006157F9"/>
    <w:rsid w:val="00615CC6"/>
    <w:rsid w:val="00616B18"/>
    <w:rsid w:val="006172E5"/>
    <w:rsid w:val="006178ED"/>
    <w:rsid w:val="00617B5A"/>
    <w:rsid w:val="00617DF3"/>
    <w:rsid w:val="006209A4"/>
    <w:rsid w:val="0062130F"/>
    <w:rsid w:val="00621642"/>
    <w:rsid w:val="006216FC"/>
    <w:rsid w:val="00621826"/>
    <w:rsid w:val="00621BC2"/>
    <w:rsid w:val="0062200A"/>
    <w:rsid w:val="0062203E"/>
    <w:rsid w:val="006220C8"/>
    <w:rsid w:val="00622643"/>
    <w:rsid w:val="006228F5"/>
    <w:rsid w:val="00622E58"/>
    <w:rsid w:val="006230F9"/>
    <w:rsid w:val="006231FD"/>
    <w:rsid w:val="00624631"/>
    <w:rsid w:val="00624642"/>
    <w:rsid w:val="006249E5"/>
    <w:rsid w:val="00624E1C"/>
    <w:rsid w:val="00624FB0"/>
    <w:rsid w:val="006250CA"/>
    <w:rsid w:val="0062587A"/>
    <w:rsid w:val="00626190"/>
    <w:rsid w:val="006264C4"/>
    <w:rsid w:val="006267D3"/>
    <w:rsid w:val="006269D5"/>
    <w:rsid w:val="00626AC3"/>
    <w:rsid w:val="00630614"/>
    <w:rsid w:val="006307F7"/>
    <w:rsid w:val="00630E07"/>
    <w:rsid w:val="0063141C"/>
    <w:rsid w:val="006314A0"/>
    <w:rsid w:val="00631DF6"/>
    <w:rsid w:val="00632064"/>
    <w:rsid w:val="006320DC"/>
    <w:rsid w:val="006321A2"/>
    <w:rsid w:val="006324A0"/>
    <w:rsid w:val="00632C45"/>
    <w:rsid w:val="0063312D"/>
    <w:rsid w:val="00633876"/>
    <w:rsid w:val="006341B0"/>
    <w:rsid w:val="00634B04"/>
    <w:rsid w:val="0063528E"/>
    <w:rsid w:val="006353A7"/>
    <w:rsid w:val="00635582"/>
    <w:rsid w:val="006358C4"/>
    <w:rsid w:val="0063596A"/>
    <w:rsid w:val="006359FB"/>
    <w:rsid w:val="006360A2"/>
    <w:rsid w:val="00636923"/>
    <w:rsid w:val="00637920"/>
    <w:rsid w:val="006407A2"/>
    <w:rsid w:val="00640CDA"/>
    <w:rsid w:val="0064152E"/>
    <w:rsid w:val="00641CD0"/>
    <w:rsid w:val="00641DA0"/>
    <w:rsid w:val="006424A7"/>
    <w:rsid w:val="006425A5"/>
    <w:rsid w:val="00642BD6"/>
    <w:rsid w:val="00642C95"/>
    <w:rsid w:val="0064358B"/>
    <w:rsid w:val="006448AD"/>
    <w:rsid w:val="0064496A"/>
    <w:rsid w:val="006449CC"/>
    <w:rsid w:val="00644F9F"/>
    <w:rsid w:val="00645B87"/>
    <w:rsid w:val="006461F2"/>
    <w:rsid w:val="0064626B"/>
    <w:rsid w:val="00646707"/>
    <w:rsid w:val="00647354"/>
    <w:rsid w:val="00647BFE"/>
    <w:rsid w:val="00650431"/>
    <w:rsid w:val="00650A14"/>
    <w:rsid w:val="00650CB2"/>
    <w:rsid w:val="0065143C"/>
    <w:rsid w:val="00652216"/>
    <w:rsid w:val="006529FE"/>
    <w:rsid w:val="00652BB1"/>
    <w:rsid w:val="00652D01"/>
    <w:rsid w:val="00652D7A"/>
    <w:rsid w:val="00653A7D"/>
    <w:rsid w:val="00653CF3"/>
    <w:rsid w:val="00653DCF"/>
    <w:rsid w:val="00654186"/>
    <w:rsid w:val="00654793"/>
    <w:rsid w:val="006549C3"/>
    <w:rsid w:val="006550E6"/>
    <w:rsid w:val="006559DB"/>
    <w:rsid w:val="00655B78"/>
    <w:rsid w:val="00655BDE"/>
    <w:rsid w:val="00655E34"/>
    <w:rsid w:val="00656495"/>
    <w:rsid w:val="0065694D"/>
    <w:rsid w:val="0065725A"/>
    <w:rsid w:val="006574CC"/>
    <w:rsid w:val="00657C76"/>
    <w:rsid w:val="0066019A"/>
    <w:rsid w:val="006601C1"/>
    <w:rsid w:val="00660248"/>
    <w:rsid w:val="006606CF"/>
    <w:rsid w:val="006607F8"/>
    <w:rsid w:val="00660A5E"/>
    <w:rsid w:val="00660A8B"/>
    <w:rsid w:val="00660E62"/>
    <w:rsid w:val="00661772"/>
    <w:rsid w:val="00661C3D"/>
    <w:rsid w:val="00661DCC"/>
    <w:rsid w:val="00661DE0"/>
    <w:rsid w:val="00662049"/>
    <w:rsid w:val="00662185"/>
    <w:rsid w:val="0066220C"/>
    <w:rsid w:val="00662C95"/>
    <w:rsid w:val="00662EEB"/>
    <w:rsid w:val="006635A9"/>
    <w:rsid w:val="006636A5"/>
    <w:rsid w:val="00663D94"/>
    <w:rsid w:val="00663E46"/>
    <w:rsid w:val="00664D9A"/>
    <w:rsid w:val="00664E82"/>
    <w:rsid w:val="0066500A"/>
    <w:rsid w:val="00665033"/>
    <w:rsid w:val="00665176"/>
    <w:rsid w:val="006661E9"/>
    <w:rsid w:val="00666259"/>
    <w:rsid w:val="00666814"/>
    <w:rsid w:val="00666D9E"/>
    <w:rsid w:val="00666F26"/>
    <w:rsid w:val="006670D6"/>
    <w:rsid w:val="00667D1D"/>
    <w:rsid w:val="006702C6"/>
    <w:rsid w:val="00670417"/>
    <w:rsid w:val="00670638"/>
    <w:rsid w:val="00670645"/>
    <w:rsid w:val="00671169"/>
    <w:rsid w:val="00671304"/>
    <w:rsid w:val="00671312"/>
    <w:rsid w:val="00671387"/>
    <w:rsid w:val="00671E88"/>
    <w:rsid w:val="006722EB"/>
    <w:rsid w:val="0067246B"/>
    <w:rsid w:val="00672EB9"/>
    <w:rsid w:val="006732E5"/>
    <w:rsid w:val="00673438"/>
    <w:rsid w:val="00673AC9"/>
    <w:rsid w:val="00673C09"/>
    <w:rsid w:val="00673C59"/>
    <w:rsid w:val="00674448"/>
    <w:rsid w:val="006747E2"/>
    <w:rsid w:val="00674A66"/>
    <w:rsid w:val="00674EB3"/>
    <w:rsid w:val="00675141"/>
    <w:rsid w:val="006753F9"/>
    <w:rsid w:val="00675904"/>
    <w:rsid w:val="006759D9"/>
    <w:rsid w:val="00675EA7"/>
    <w:rsid w:val="00675FBE"/>
    <w:rsid w:val="0067643A"/>
    <w:rsid w:val="006764E4"/>
    <w:rsid w:val="006765A3"/>
    <w:rsid w:val="00676E4E"/>
    <w:rsid w:val="006773D7"/>
    <w:rsid w:val="00677857"/>
    <w:rsid w:val="006806F1"/>
    <w:rsid w:val="00680920"/>
    <w:rsid w:val="00680CCD"/>
    <w:rsid w:val="00681288"/>
    <w:rsid w:val="006814F9"/>
    <w:rsid w:val="0068157C"/>
    <w:rsid w:val="00681625"/>
    <w:rsid w:val="00681F47"/>
    <w:rsid w:val="006823FB"/>
    <w:rsid w:val="006824B4"/>
    <w:rsid w:val="00682F98"/>
    <w:rsid w:val="006831CD"/>
    <w:rsid w:val="00683303"/>
    <w:rsid w:val="00683C6E"/>
    <w:rsid w:val="00684641"/>
    <w:rsid w:val="006852E5"/>
    <w:rsid w:val="0068594A"/>
    <w:rsid w:val="00685FD3"/>
    <w:rsid w:val="00686EBC"/>
    <w:rsid w:val="00690D99"/>
    <w:rsid w:val="00690F3A"/>
    <w:rsid w:val="0069105B"/>
    <w:rsid w:val="00691785"/>
    <w:rsid w:val="0069237D"/>
    <w:rsid w:val="00692542"/>
    <w:rsid w:val="0069353E"/>
    <w:rsid w:val="006937B6"/>
    <w:rsid w:val="006950BA"/>
    <w:rsid w:val="0069546F"/>
    <w:rsid w:val="00695923"/>
    <w:rsid w:val="00695D35"/>
    <w:rsid w:val="00695DAD"/>
    <w:rsid w:val="00695DF9"/>
    <w:rsid w:val="00696D28"/>
    <w:rsid w:val="00696E79"/>
    <w:rsid w:val="006974E2"/>
    <w:rsid w:val="0069789B"/>
    <w:rsid w:val="00697953"/>
    <w:rsid w:val="006A04E4"/>
    <w:rsid w:val="006A0967"/>
    <w:rsid w:val="006A0D1E"/>
    <w:rsid w:val="006A1AD0"/>
    <w:rsid w:val="006A1AF1"/>
    <w:rsid w:val="006A216C"/>
    <w:rsid w:val="006A2ED8"/>
    <w:rsid w:val="006A313B"/>
    <w:rsid w:val="006A314E"/>
    <w:rsid w:val="006A3A4A"/>
    <w:rsid w:val="006A4100"/>
    <w:rsid w:val="006A480B"/>
    <w:rsid w:val="006A4A9E"/>
    <w:rsid w:val="006A4CF9"/>
    <w:rsid w:val="006A51AA"/>
    <w:rsid w:val="006A5326"/>
    <w:rsid w:val="006A542C"/>
    <w:rsid w:val="006A54F6"/>
    <w:rsid w:val="006A5603"/>
    <w:rsid w:val="006A57B8"/>
    <w:rsid w:val="006A5E9F"/>
    <w:rsid w:val="006A5EA5"/>
    <w:rsid w:val="006A60A7"/>
    <w:rsid w:val="006A75B1"/>
    <w:rsid w:val="006A7FA6"/>
    <w:rsid w:val="006B00F1"/>
    <w:rsid w:val="006B0CA3"/>
    <w:rsid w:val="006B1025"/>
    <w:rsid w:val="006B1341"/>
    <w:rsid w:val="006B1349"/>
    <w:rsid w:val="006B186D"/>
    <w:rsid w:val="006B21CE"/>
    <w:rsid w:val="006B35E7"/>
    <w:rsid w:val="006B36F4"/>
    <w:rsid w:val="006B397C"/>
    <w:rsid w:val="006B3B11"/>
    <w:rsid w:val="006B44BD"/>
    <w:rsid w:val="006B4529"/>
    <w:rsid w:val="006B470B"/>
    <w:rsid w:val="006B4A90"/>
    <w:rsid w:val="006B4FC5"/>
    <w:rsid w:val="006B5AE4"/>
    <w:rsid w:val="006B5FD6"/>
    <w:rsid w:val="006B6F54"/>
    <w:rsid w:val="006B73F7"/>
    <w:rsid w:val="006B745B"/>
    <w:rsid w:val="006B7845"/>
    <w:rsid w:val="006B7964"/>
    <w:rsid w:val="006C0565"/>
    <w:rsid w:val="006C0909"/>
    <w:rsid w:val="006C0B03"/>
    <w:rsid w:val="006C0C13"/>
    <w:rsid w:val="006C0FFD"/>
    <w:rsid w:val="006C12BD"/>
    <w:rsid w:val="006C1A21"/>
    <w:rsid w:val="006C1B98"/>
    <w:rsid w:val="006C2C17"/>
    <w:rsid w:val="006C2D2D"/>
    <w:rsid w:val="006C2FB1"/>
    <w:rsid w:val="006C3B77"/>
    <w:rsid w:val="006C3C8C"/>
    <w:rsid w:val="006C4573"/>
    <w:rsid w:val="006C4630"/>
    <w:rsid w:val="006C46F3"/>
    <w:rsid w:val="006C4CEC"/>
    <w:rsid w:val="006C5FF6"/>
    <w:rsid w:val="006C6050"/>
    <w:rsid w:val="006C6223"/>
    <w:rsid w:val="006C651E"/>
    <w:rsid w:val="006C6CDC"/>
    <w:rsid w:val="006C715B"/>
    <w:rsid w:val="006C75B1"/>
    <w:rsid w:val="006C7800"/>
    <w:rsid w:val="006D0102"/>
    <w:rsid w:val="006D0723"/>
    <w:rsid w:val="006D0EEF"/>
    <w:rsid w:val="006D17F5"/>
    <w:rsid w:val="006D2E46"/>
    <w:rsid w:val="006D3D8F"/>
    <w:rsid w:val="006D4093"/>
    <w:rsid w:val="006D4175"/>
    <w:rsid w:val="006D44F0"/>
    <w:rsid w:val="006D4A89"/>
    <w:rsid w:val="006D4C34"/>
    <w:rsid w:val="006D51B4"/>
    <w:rsid w:val="006D51FF"/>
    <w:rsid w:val="006D52FC"/>
    <w:rsid w:val="006D5E6B"/>
    <w:rsid w:val="006D6279"/>
    <w:rsid w:val="006D62A2"/>
    <w:rsid w:val="006D659F"/>
    <w:rsid w:val="006D67E8"/>
    <w:rsid w:val="006D6B11"/>
    <w:rsid w:val="006D6C9F"/>
    <w:rsid w:val="006D721A"/>
    <w:rsid w:val="006D72F4"/>
    <w:rsid w:val="006E0126"/>
    <w:rsid w:val="006E04D2"/>
    <w:rsid w:val="006E0957"/>
    <w:rsid w:val="006E196D"/>
    <w:rsid w:val="006E19F9"/>
    <w:rsid w:val="006E1DC9"/>
    <w:rsid w:val="006E2103"/>
    <w:rsid w:val="006E2794"/>
    <w:rsid w:val="006E2B58"/>
    <w:rsid w:val="006E35F3"/>
    <w:rsid w:val="006E36F8"/>
    <w:rsid w:val="006E3731"/>
    <w:rsid w:val="006E49B4"/>
    <w:rsid w:val="006E4B01"/>
    <w:rsid w:val="006E4BAB"/>
    <w:rsid w:val="006E4C31"/>
    <w:rsid w:val="006E556A"/>
    <w:rsid w:val="006E62F4"/>
    <w:rsid w:val="006E6469"/>
    <w:rsid w:val="006E657E"/>
    <w:rsid w:val="006E6AC6"/>
    <w:rsid w:val="006E6C85"/>
    <w:rsid w:val="006E6F7A"/>
    <w:rsid w:val="006E7418"/>
    <w:rsid w:val="006E7519"/>
    <w:rsid w:val="006E7A3D"/>
    <w:rsid w:val="006E7C7A"/>
    <w:rsid w:val="006E7D6D"/>
    <w:rsid w:val="006F1371"/>
    <w:rsid w:val="006F2266"/>
    <w:rsid w:val="006F24C9"/>
    <w:rsid w:val="006F25F7"/>
    <w:rsid w:val="006F33C0"/>
    <w:rsid w:val="006F346B"/>
    <w:rsid w:val="006F34F1"/>
    <w:rsid w:val="006F4288"/>
    <w:rsid w:val="006F48E3"/>
    <w:rsid w:val="006F504C"/>
    <w:rsid w:val="006F50F3"/>
    <w:rsid w:val="006F5172"/>
    <w:rsid w:val="006F5B50"/>
    <w:rsid w:val="006F6ED9"/>
    <w:rsid w:val="006F7EA1"/>
    <w:rsid w:val="00700733"/>
    <w:rsid w:val="00700E8D"/>
    <w:rsid w:val="0070132A"/>
    <w:rsid w:val="00701518"/>
    <w:rsid w:val="00701521"/>
    <w:rsid w:val="00701EB3"/>
    <w:rsid w:val="00701EE8"/>
    <w:rsid w:val="007029EA"/>
    <w:rsid w:val="00702DC9"/>
    <w:rsid w:val="00703336"/>
    <w:rsid w:val="00703546"/>
    <w:rsid w:val="00704366"/>
    <w:rsid w:val="00704783"/>
    <w:rsid w:val="0070497A"/>
    <w:rsid w:val="00704BDE"/>
    <w:rsid w:val="00705F3F"/>
    <w:rsid w:val="00705FF9"/>
    <w:rsid w:val="007062F5"/>
    <w:rsid w:val="00706741"/>
    <w:rsid w:val="00706E23"/>
    <w:rsid w:val="00707AB2"/>
    <w:rsid w:val="0071005C"/>
    <w:rsid w:val="0071018C"/>
    <w:rsid w:val="00710210"/>
    <w:rsid w:val="007107ED"/>
    <w:rsid w:val="00710A62"/>
    <w:rsid w:val="00710C4F"/>
    <w:rsid w:val="00710F29"/>
    <w:rsid w:val="00711082"/>
    <w:rsid w:val="00711194"/>
    <w:rsid w:val="00711A8D"/>
    <w:rsid w:val="00711AF3"/>
    <w:rsid w:val="00711B58"/>
    <w:rsid w:val="007121FE"/>
    <w:rsid w:val="00712300"/>
    <w:rsid w:val="007123BE"/>
    <w:rsid w:val="00712484"/>
    <w:rsid w:val="007124F1"/>
    <w:rsid w:val="00712903"/>
    <w:rsid w:val="00712D5E"/>
    <w:rsid w:val="00713163"/>
    <w:rsid w:val="007134ED"/>
    <w:rsid w:val="00713541"/>
    <w:rsid w:val="00713575"/>
    <w:rsid w:val="00713863"/>
    <w:rsid w:val="007138EA"/>
    <w:rsid w:val="00713C1B"/>
    <w:rsid w:val="007147BF"/>
    <w:rsid w:val="00714ADC"/>
    <w:rsid w:val="00714AE8"/>
    <w:rsid w:val="00714DB9"/>
    <w:rsid w:val="00715494"/>
    <w:rsid w:val="007154C7"/>
    <w:rsid w:val="00715687"/>
    <w:rsid w:val="00717071"/>
    <w:rsid w:val="00717AC3"/>
    <w:rsid w:val="00717D05"/>
    <w:rsid w:val="007201C0"/>
    <w:rsid w:val="007206BD"/>
    <w:rsid w:val="00720D24"/>
    <w:rsid w:val="007214A9"/>
    <w:rsid w:val="007217CF"/>
    <w:rsid w:val="00721972"/>
    <w:rsid w:val="00721B1D"/>
    <w:rsid w:val="00721FDE"/>
    <w:rsid w:val="007220DE"/>
    <w:rsid w:val="00722131"/>
    <w:rsid w:val="0072233A"/>
    <w:rsid w:val="00722D3E"/>
    <w:rsid w:val="0072347B"/>
    <w:rsid w:val="00723E2E"/>
    <w:rsid w:val="00724072"/>
    <w:rsid w:val="00724526"/>
    <w:rsid w:val="00725772"/>
    <w:rsid w:val="007263FD"/>
    <w:rsid w:val="0072659E"/>
    <w:rsid w:val="0072671D"/>
    <w:rsid w:val="00726750"/>
    <w:rsid w:val="00726BCB"/>
    <w:rsid w:val="00726FF8"/>
    <w:rsid w:val="00727057"/>
    <w:rsid w:val="00727301"/>
    <w:rsid w:val="007274DD"/>
    <w:rsid w:val="00727C4A"/>
    <w:rsid w:val="00731145"/>
    <w:rsid w:val="00731195"/>
    <w:rsid w:val="00731205"/>
    <w:rsid w:val="00731246"/>
    <w:rsid w:val="00731490"/>
    <w:rsid w:val="00731E89"/>
    <w:rsid w:val="0073257E"/>
    <w:rsid w:val="00733000"/>
    <w:rsid w:val="00734075"/>
    <w:rsid w:val="0073414A"/>
    <w:rsid w:val="0073423C"/>
    <w:rsid w:val="00735514"/>
    <w:rsid w:val="00735C44"/>
    <w:rsid w:val="00735E38"/>
    <w:rsid w:val="007364D5"/>
    <w:rsid w:val="00737441"/>
    <w:rsid w:val="007377A0"/>
    <w:rsid w:val="007379BF"/>
    <w:rsid w:val="007379C3"/>
    <w:rsid w:val="007379E7"/>
    <w:rsid w:val="00740B7B"/>
    <w:rsid w:val="00740C03"/>
    <w:rsid w:val="00740CF8"/>
    <w:rsid w:val="00741888"/>
    <w:rsid w:val="00741A42"/>
    <w:rsid w:val="00741C8B"/>
    <w:rsid w:val="007420AD"/>
    <w:rsid w:val="0074222F"/>
    <w:rsid w:val="00742966"/>
    <w:rsid w:val="00742B2E"/>
    <w:rsid w:val="00743A03"/>
    <w:rsid w:val="00743B99"/>
    <w:rsid w:val="00743BD7"/>
    <w:rsid w:val="00743FDA"/>
    <w:rsid w:val="007443DD"/>
    <w:rsid w:val="00744C24"/>
    <w:rsid w:val="00744C3C"/>
    <w:rsid w:val="00746241"/>
    <w:rsid w:val="00746278"/>
    <w:rsid w:val="0074628C"/>
    <w:rsid w:val="00746DF6"/>
    <w:rsid w:val="00746E69"/>
    <w:rsid w:val="007474ED"/>
    <w:rsid w:val="00747AEA"/>
    <w:rsid w:val="00747CF8"/>
    <w:rsid w:val="00747E9B"/>
    <w:rsid w:val="0075024F"/>
    <w:rsid w:val="0075060E"/>
    <w:rsid w:val="0075089F"/>
    <w:rsid w:val="00750A5F"/>
    <w:rsid w:val="007510BE"/>
    <w:rsid w:val="00751621"/>
    <w:rsid w:val="00751DF1"/>
    <w:rsid w:val="00752579"/>
    <w:rsid w:val="00752706"/>
    <w:rsid w:val="0075323D"/>
    <w:rsid w:val="007534FE"/>
    <w:rsid w:val="00753EE4"/>
    <w:rsid w:val="00754123"/>
    <w:rsid w:val="007548D1"/>
    <w:rsid w:val="00754943"/>
    <w:rsid w:val="007555BC"/>
    <w:rsid w:val="00755D9C"/>
    <w:rsid w:val="00755ED5"/>
    <w:rsid w:val="00755F3F"/>
    <w:rsid w:val="00756256"/>
    <w:rsid w:val="00756831"/>
    <w:rsid w:val="00756E71"/>
    <w:rsid w:val="007572FA"/>
    <w:rsid w:val="0075787B"/>
    <w:rsid w:val="00757B28"/>
    <w:rsid w:val="00757E3E"/>
    <w:rsid w:val="0076009B"/>
    <w:rsid w:val="00760CFB"/>
    <w:rsid w:val="0076169F"/>
    <w:rsid w:val="007618C8"/>
    <w:rsid w:val="00761DA4"/>
    <w:rsid w:val="00761DCE"/>
    <w:rsid w:val="00762638"/>
    <w:rsid w:val="00762731"/>
    <w:rsid w:val="00762BFE"/>
    <w:rsid w:val="007644A1"/>
    <w:rsid w:val="00764869"/>
    <w:rsid w:val="00764AD5"/>
    <w:rsid w:val="00764B45"/>
    <w:rsid w:val="00764BFD"/>
    <w:rsid w:val="00765170"/>
    <w:rsid w:val="00765505"/>
    <w:rsid w:val="00765D5D"/>
    <w:rsid w:val="0076605C"/>
    <w:rsid w:val="00766D40"/>
    <w:rsid w:val="00767AB7"/>
    <w:rsid w:val="00767EE2"/>
    <w:rsid w:val="0077018A"/>
    <w:rsid w:val="007706AE"/>
    <w:rsid w:val="007707BF"/>
    <w:rsid w:val="00770A09"/>
    <w:rsid w:val="00770F84"/>
    <w:rsid w:val="00771672"/>
    <w:rsid w:val="00771C7E"/>
    <w:rsid w:val="0077319A"/>
    <w:rsid w:val="00773325"/>
    <w:rsid w:val="0077387F"/>
    <w:rsid w:val="00773970"/>
    <w:rsid w:val="00773E7A"/>
    <w:rsid w:val="0077487B"/>
    <w:rsid w:val="0077500A"/>
    <w:rsid w:val="00775234"/>
    <w:rsid w:val="00775626"/>
    <w:rsid w:val="00775724"/>
    <w:rsid w:val="00775833"/>
    <w:rsid w:val="00775B3B"/>
    <w:rsid w:val="00775CDC"/>
    <w:rsid w:val="00776094"/>
    <w:rsid w:val="00776FED"/>
    <w:rsid w:val="007774C8"/>
    <w:rsid w:val="00777511"/>
    <w:rsid w:val="007775E8"/>
    <w:rsid w:val="0077794A"/>
    <w:rsid w:val="00777C9C"/>
    <w:rsid w:val="00780329"/>
    <w:rsid w:val="0078106A"/>
    <w:rsid w:val="00781325"/>
    <w:rsid w:val="007815AA"/>
    <w:rsid w:val="007817FC"/>
    <w:rsid w:val="007819C7"/>
    <w:rsid w:val="00781D50"/>
    <w:rsid w:val="007821E5"/>
    <w:rsid w:val="00782493"/>
    <w:rsid w:val="00782705"/>
    <w:rsid w:val="00782942"/>
    <w:rsid w:val="00782C97"/>
    <w:rsid w:val="00782CA1"/>
    <w:rsid w:val="00782CEF"/>
    <w:rsid w:val="007830CF"/>
    <w:rsid w:val="0078369E"/>
    <w:rsid w:val="00783A35"/>
    <w:rsid w:val="00783DDB"/>
    <w:rsid w:val="007840B4"/>
    <w:rsid w:val="007847D7"/>
    <w:rsid w:val="0078490E"/>
    <w:rsid w:val="00784D92"/>
    <w:rsid w:val="00784E82"/>
    <w:rsid w:val="0078504B"/>
    <w:rsid w:val="00785ED4"/>
    <w:rsid w:val="00786040"/>
    <w:rsid w:val="00786878"/>
    <w:rsid w:val="00786D23"/>
    <w:rsid w:val="00787CBE"/>
    <w:rsid w:val="00787DA7"/>
    <w:rsid w:val="00787F1E"/>
    <w:rsid w:val="007903B9"/>
    <w:rsid w:val="0079041D"/>
    <w:rsid w:val="00790BB8"/>
    <w:rsid w:val="00790CB1"/>
    <w:rsid w:val="00790EBA"/>
    <w:rsid w:val="0079137C"/>
    <w:rsid w:val="00791428"/>
    <w:rsid w:val="00791DC8"/>
    <w:rsid w:val="00791E24"/>
    <w:rsid w:val="007932F4"/>
    <w:rsid w:val="007933F4"/>
    <w:rsid w:val="00793F77"/>
    <w:rsid w:val="0079416C"/>
    <w:rsid w:val="00794297"/>
    <w:rsid w:val="0079495F"/>
    <w:rsid w:val="00794C5C"/>
    <w:rsid w:val="007950AD"/>
    <w:rsid w:val="007956E1"/>
    <w:rsid w:val="007965F8"/>
    <w:rsid w:val="007967D6"/>
    <w:rsid w:val="007969F5"/>
    <w:rsid w:val="00796C66"/>
    <w:rsid w:val="007970BE"/>
    <w:rsid w:val="00797438"/>
    <w:rsid w:val="007977E8"/>
    <w:rsid w:val="00797924"/>
    <w:rsid w:val="00797C22"/>
    <w:rsid w:val="00797CF1"/>
    <w:rsid w:val="00797DCC"/>
    <w:rsid w:val="007A06FF"/>
    <w:rsid w:val="007A0CBB"/>
    <w:rsid w:val="007A11AA"/>
    <w:rsid w:val="007A1581"/>
    <w:rsid w:val="007A17DC"/>
    <w:rsid w:val="007A18CF"/>
    <w:rsid w:val="007A1A7A"/>
    <w:rsid w:val="007A1B4B"/>
    <w:rsid w:val="007A1BD8"/>
    <w:rsid w:val="007A1DFA"/>
    <w:rsid w:val="007A2A6F"/>
    <w:rsid w:val="007A2F36"/>
    <w:rsid w:val="007A30AC"/>
    <w:rsid w:val="007A3147"/>
    <w:rsid w:val="007A3E30"/>
    <w:rsid w:val="007A3FEC"/>
    <w:rsid w:val="007A407B"/>
    <w:rsid w:val="007A4185"/>
    <w:rsid w:val="007A4213"/>
    <w:rsid w:val="007A4350"/>
    <w:rsid w:val="007A468E"/>
    <w:rsid w:val="007A578F"/>
    <w:rsid w:val="007A5C03"/>
    <w:rsid w:val="007A6239"/>
    <w:rsid w:val="007A7570"/>
    <w:rsid w:val="007B00E4"/>
    <w:rsid w:val="007B0E7F"/>
    <w:rsid w:val="007B20E7"/>
    <w:rsid w:val="007B23BC"/>
    <w:rsid w:val="007B2DFB"/>
    <w:rsid w:val="007B2F84"/>
    <w:rsid w:val="007B311E"/>
    <w:rsid w:val="007B48FA"/>
    <w:rsid w:val="007B4B36"/>
    <w:rsid w:val="007B52BF"/>
    <w:rsid w:val="007B5B90"/>
    <w:rsid w:val="007B5BB6"/>
    <w:rsid w:val="007B5E5F"/>
    <w:rsid w:val="007B613E"/>
    <w:rsid w:val="007B6158"/>
    <w:rsid w:val="007B696F"/>
    <w:rsid w:val="007B6ED4"/>
    <w:rsid w:val="007B70F5"/>
    <w:rsid w:val="007B77E0"/>
    <w:rsid w:val="007B79F0"/>
    <w:rsid w:val="007B7B19"/>
    <w:rsid w:val="007C0ADA"/>
    <w:rsid w:val="007C11EE"/>
    <w:rsid w:val="007C1227"/>
    <w:rsid w:val="007C1514"/>
    <w:rsid w:val="007C18FA"/>
    <w:rsid w:val="007C1A79"/>
    <w:rsid w:val="007C2447"/>
    <w:rsid w:val="007C3391"/>
    <w:rsid w:val="007C365C"/>
    <w:rsid w:val="007C3C71"/>
    <w:rsid w:val="007C42E3"/>
    <w:rsid w:val="007C454D"/>
    <w:rsid w:val="007C4A0F"/>
    <w:rsid w:val="007C4DB8"/>
    <w:rsid w:val="007C4E76"/>
    <w:rsid w:val="007C5E9A"/>
    <w:rsid w:val="007C5F0C"/>
    <w:rsid w:val="007C65F2"/>
    <w:rsid w:val="007C66B0"/>
    <w:rsid w:val="007C66F5"/>
    <w:rsid w:val="007C75A9"/>
    <w:rsid w:val="007C766F"/>
    <w:rsid w:val="007C76A3"/>
    <w:rsid w:val="007D0680"/>
    <w:rsid w:val="007D0684"/>
    <w:rsid w:val="007D0A02"/>
    <w:rsid w:val="007D1A0B"/>
    <w:rsid w:val="007D1A12"/>
    <w:rsid w:val="007D2889"/>
    <w:rsid w:val="007D3F92"/>
    <w:rsid w:val="007D479D"/>
    <w:rsid w:val="007D4A77"/>
    <w:rsid w:val="007D4C1A"/>
    <w:rsid w:val="007D5204"/>
    <w:rsid w:val="007D5C7D"/>
    <w:rsid w:val="007D6BF7"/>
    <w:rsid w:val="007D6E7E"/>
    <w:rsid w:val="007D6F9B"/>
    <w:rsid w:val="007D7194"/>
    <w:rsid w:val="007D719A"/>
    <w:rsid w:val="007D7720"/>
    <w:rsid w:val="007D7B3C"/>
    <w:rsid w:val="007D7C64"/>
    <w:rsid w:val="007D7C6B"/>
    <w:rsid w:val="007E001C"/>
    <w:rsid w:val="007E0078"/>
    <w:rsid w:val="007E020B"/>
    <w:rsid w:val="007E0A4E"/>
    <w:rsid w:val="007E0D64"/>
    <w:rsid w:val="007E1856"/>
    <w:rsid w:val="007E1F98"/>
    <w:rsid w:val="007E20DD"/>
    <w:rsid w:val="007E3713"/>
    <w:rsid w:val="007E386A"/>
    <w:rsid w:val="007E3C63"/>
    <w:rsid w:val="007E405F"/>
    <w:rsid w:val="007E41EA"/>
    <w:rsid w:val="007E4ED9"/>
    <w:rsid w:val="007E4FE1"/>
    <w:rsid w:val="007E52BC"/>
    <w:rsid w:val="007E57C5"/>
    <w:rsid w:val="007E57F8"/>
    <w:rsid w:val="007E608A"/>
    <w:rsid w:val="007E63A3"/>
    <w:rsid w:val="007E69A4"/>
    <w:rsid w:val="007E7349"/>
    <w:rsid w:val="007E748A"/>
    <w:rsid w:val="007E777F"/>
    <w:rsid w:val="007E7B49"/>
    <w:rsid w:val="007E7E78"/>
    <w:rsid w:val="007F01AE"/>
    <w:rsid w:val="007F074D"/>
    <w:rsid w:val="007F09EA"/>
    <w:rsid w:val="007F0F36"/>
    <w:rsid w:val="007F16E7"/>
    <w:rsid w:val="007F2290"/>
    <w:rsid w:val="007F269D"/>
    <w:rsid w:val="007F2BB1"/>
    <w:rsid w:val="007F2C2C"/>
    <w:rsid w:val="007F2F10"/>
    <w:rsid w:val="007F317C"/>
    <w:rsid w:val="007F3520"/>
    <w:rsid w:val="007F3DB4"/>
    <w:rsid w:val="007F49CA"/>
    <w:rsid w:val="007F4E62"/>
    <w:rsid w:val="007F589C"/>
    <w:rsid w:val="007F5A15"/>
    <w:rsid w:val="007F70F5"/>
    <w:rsid w:val="00800037"/>
    <w:rsid w:val="008006FA"/>
    <w:rsid w:val="008007CE"/>
    <w:rsid w:val="00801865"/>
    <w:rsid w:val="00801B4D"/>
    <w:rsid w:val="00801D73"/>
    <w:rsid w:val="00801EB2"/>
    <w:rsid w:val="0080254D"/>
    <w:rsid w:val="008043DE"/>
    <w:rsid w:val="00804A55"/>
    <w:rsid w:val="00804C53"/>
    <w:rsid w:val="00805409"/>
    <w:rsid w:val="008055BB"/>
    <w:rsid w:val="008056C0"/>
    <w:rsid w:val="008062E5"/>
    <w:rsid w:val="00806384"/>
    <w:rsid w:val="008067FB"/>
    <w:rsid w:val="0080695E"/>
    <w:rsid w:val="008075BA"/>
    <w:rsid w:val="008075C9"/>
    <w:rsid w:val="00807701"/>
    <w:rsid w:val="00807B1E"/>
    <w:rsid w:val="00811785"/>
    <w:rsid w:val="008120C4"/>
    <w:rsid w:val="008137E1"/>
    <w:rsid w:val="00813980"/>
    <w:rsid w:val="00813D95"/>
    <w:rsid w:val="008145C3"/>
    <w:rsid w:val="00814994"/>
    <w:rsid w:val="00814C45"/>
    <w:rsid w:val="00815448"/>
    <w:rsid w:val="00815B46"/>
    <w:rsid w:val="00816627"/>
    <w:rsid w:val="00816CE9"/>
    <w:rsid w:val="00816E67"/>
    <w:rsid w:val="008179E9"/>
    <w:rsid w:val="008200FE"/>
    <w:rsid w:val="0082024B"/>
    <w:rsid w:val="008203DD"/>
    <w:rsid w:val="008204FC"/>
    <w:rsid w:val="00820A1B"/>
    <w:rsid w:val="00820C23"/>
    <w:rsid w:val="0082120D"/>
    <w:rsid w:val="00821393"/>
    <w:rsid w:val="0082168B"/>
    <w:rsid w:val="00821697"/>
    <w:rsid w:val="00821961"/>
    <w:rsid w:val="00821B87"/>
    <w:rsid w:val="008226AA"/>
    <w:rsid w:val="00822770"/>
    <w:rsid w:val="00822924"/>
    <w:rsid w:val="00822D0A"/>
    <w:rsid w:val="008236CD"/>
    <w:rsid w:val="00823B11"/>
    <w:rsid w:val="00823F23"/>
    <w:rsid w:val="0082416C"/>
    <w:rsid w:val="00824478"/>
    <w:rsid w:val="00824897"/>
    <w:rsid w:val="00824B64"/>
    <w:rsid w:val="00824DEA"/>
    <w:rsid w:val="00824E43"/>
    <w:rsid w:val="00825B00"/>
    <w:rsid w:val="00825BF6"/>
    <w:rsid w:val="00825EFD"/>
    <w:rsid w:val="00825FA0"/>
    <w:rsid w:val="00826219"/>
    <w:rsid w:val="00826D52"/>
    <w:rsid w:val="008274AE"/>
    <w:rsid w:val="0082786F"/>
    <w:rsid w:val="00827D49"/>
    <w:rsid w:val="00827E69"/>
    <w:rsid w:val="00827EF8"/>
    <w:rsid w:val="00830906"/>
    <w:rsid w:val="00830BCF"/>
    <w:rsid w:val="00830F87"/>
    <w:rsid w:val="00831298"/>
    <w:rsid w:val="00831D3E"/>
    <w:rsid w:val="00832332"/>
    <w:rsid w:val="00832DCF"/>
    <w:rsid w:val="00833583"/>
    <w:rsid w:val="00833B36"/>
    <w:rsid w:val="00833D97"/>
    <w:rsid w:val="0083435D"/>
    <w:rsid w:val="00834A55"/>
    <w:rsid w:val="008353B3"/>
    <w:rsid w:val="0083546C"/>
    <w:rsid w:val="00835CD9"/>
    <w:rsid w:val="00836417"/>
    <w:rsid w:val="00836A12"/>
    <w:rsid w:val="00836A57"/>
    <w:rsid w:val="00836D68"/>
    <w:rsid w:val="00837423"/>
    <w:rsid w:val="00837658"/>
    <w:rsid w:val="00837A3A"/>
    <w:rsid w:val="00837CF0"/>
    <w:rsid w:val="00837F75"/>
    <w:rsid w:val="0084004D"/>
    <w:rsid w:val="008404D5"/>
    <w:rsid w:val="00840744"/>
    <w:rsid w:val="00840837"/>
    <w:rsid w:val="0084196A"/>
    <w:rsid w:val="00841D8E"/>
    <w:rsid w:val="00843013"/>
    <w:rsid w:val="0084327E"/>
    <w:rsid w:val="0084358D"/>
    <w:rsid w:val="008441AE"/>
    <w:rsid w:val="008447EE"/>
    <w:rsid w:val="00844E5D"/>
    <w:rsid w:val="008457F2"/>
    <w:rsid w:val="00845893"/>
    <w:rsid w:val="00845F08"/>
    <w:rsid w:val="008465FC"/>
    <w:rsid w:val="00846CF2"/>
    <w:rsid w:val="008471AD"/>
    <w:rsid w:val="008474A2"/>
    <w:rsid w:val="00847ABE"/>
    <w:rsid w:val="008501A3"/>
    <w:rsid w:val="008502E9"/>
    <w:rsid w:val="00850777"/>
    <w:rsid w:val="008513A7"/>
    <w:rsid w:val="0085216A"/>
    <w:rsid w:val="00852772"/>
    <w:rsid w:val="00852CD5"/>
    <w:rsid w:val="00853612"/>
    <w:rsid w:val="008538A0"/>
    <w:rsid w:val="00854BFB"/>
    <w:rsid w:val="008550AE"/>
    <w:rsid w:val="008555B3"/>
    <w:rsid w:val="008556B1"/>
    <w:rsid w:val="008561F6"/>
    <w:rsid w:val="00856BCE"/>
    <w:rsid w:val="00857E38"/>
    <w:rsid w:val="00857ED4"/>
    <w:rsid w:val="00857F6B"/>
    <w:rsid w:val="00862170"/>
    <w:rsid w:val="00862F06"/>
    <w:rsid w:val="00863176"/>
    <w:rsid w:val="00863809"/>
    <w:rsid w:val="00863E2B"/>
    <w:rsid w:val="00863F47"/>
    <w:rsid w:val="00864716"/>
    <w:rsid w:val="008648F5"/>
    <w:rsid w:val="00864FAA"/>
    <w:rsid w:val="00865000"/>
    <w:rsid w:val="00865F50"/>
    <w:rsid w:val="00866312"/>
    <w:rsid w:val="0086633E"/>
    <w:rsid w:val="0086642D"/>
    <w:rsid w:val="008667A9"/>
    <w:rsid w:val="008669F2"/>
    <w:rsid w:val="00867346"/>
    <w:rsid w:val="008673C8"/>
    <w:rsid w:val="0086763E"/>
    <w:rsid w:val="008678B4"/>
    <w:rsid w:val="0087008D"/>
    <w:rsid w:val="0087033E"/>
    <w:rsid w:val="0087126F"/>
    <w:rsid w:val="008728CA"/>
    <w:rsid w:val="00872960"/>
    <w:rsid w:val="00872C83"/>
    <w:rsid w:val="00872CC2"/>
    <w:rsid w:val="00872F68"/>
    <w:rsid w:val="0087328A"/>
    <w:rsid w:val="008733AB"/>
    <w:rsid w:val="00873886"/>
    <w:rsid w:val="008739EF"/>
    <w:rsid w:val="00873D82"/>
    <w:rsid w:val="008743BF"/>
    <w:rsid w:val="00875B26"/>
    <w:rsid w:val="00875CE5"/>
    <w:rsid w:val="00876DBA"/>
    <w:rsid w:val="00876F9A"/>
    <w:rsid w:val="00880152"/>
    <w:rsid w:val="00880DA4"/>
    <w:rsid w:val="00881025"/>
    <w:rsid w:val="00881759"/>
    <w:rsid w:val="00882376"/>
    <w:rsid w:val="00883026"/>
    <w:rsid w:val="0088313F"/>
    <w:rsid w:val="00883CE9"/>
    <w:rsid w:val="00883EEA"/>
    <w:rsid w:val="00883F55"/>
    <w:rsid w:val="00885784"/>
    <w:rsid w:val="008857E6"/>
    <w:rsid w:val="00886017"/>
    <w:rsid w:val="00886A10"/>
    <w:rsid w:val="00886C9F"/>
    <w:rsid w:val="00886E63"/>
    <w:rsid w:val="0089008F"/>
    <w:rsid w:val="00890846"/>
    <w:rsid w:val="00890A67"/>
    <w:rsid w:val="00890BB9"/>
    <w:rsid w:val="00891240"/>
    <w:rsid w:val="0089147D"/>
    <w:rsid w:val="008916C2"/>
    <w:rsid w:val="00891AC7"/>
    <w:rsid w:val="00891C6B"/>
    <w:rsid w:val="00892039"/>
    <w:rsid w:val="008921FD"/>
    <w:rsid w:val="00892432"/>
    <w:rsid w:val="008925E6"/>
    <w:rsid w:val="00892D01"/>
    <w:rsid w:val="008931E4"/>
    <w:rsid w:val="0089353D"/>
    <w:rsid w:val="00893C04"/>
    <w:rsid w:val="00893CB7"/>
    <w:rsid w:val="00893CCB"/>
    <w:rsid w:val="00893EE4"/>
    <w:rsid w:val="0089428D"/>
    <w:rsid w:val="00894346"/>
    <w:rsid w:val="0089468F"/>
    <w:rsid w:val="00894B85"/>
    <w:rsid w:val="00896190"/>
    <w:rsid w:val="00896270"/>
    <w:rsid w:val="0089671F"/>
    <w:rsid w:val="00896EB5"/>
    <w:rsid w:val="00897354"/>
    <w:rsid w:val="008979A3"/>
    <w:rsid w:val="00897D7F"/>
    <w:rsid w:val="00897E85"/>
    <w:rsid w:val="008A01FA"/>
    <w:rsid w:val="008A0724"/>
    <w:rsid w:val="008A0BF6"/>
    <w:rsid w:val="008A0D23"/>
    <w:rsid w:val="008A0FB1"/>
    <w:rsid w:val="008A2040"/>
    <w:rsid w:val="008A221E"/>
    <w:rsid w:val="008A2239"/>
    <w:rsid w:val="008A2DAD"/>
    <w:rsid w:val="008A2E4F"/>
    <w:rsid w:val="008A2E62"/>
    <w:rsid w:val="008A2FB0"/>
    <w:rsid w:val="008A3071"/>
    <w:rsid w:val="008A3A0B"/>
    <w:rsid w:val="008A3FA4"/>
    <w:rsid w:val="008A403F"/>
    <w:rsid w:val="008A4C71"/>
    <w:rsid w:val="008A544F"/>
    <w:rsid w:val="008A5891"/>
    <w:rsid w:val="008A5C1A"/>
    <w:rsid w:val="008A5C2E"/>
    <w:rsid w:val="008A5DD9"/>
    <w:rsid w:val="008A5FB8"/>
    <w:rsid w:val="008A63A0"/>
    <w:rsid w:val="008A693F"/>
    <w:rsid w:val="008A76F9"/>
    <w:rsid w:val="008A7DD2"/>
    <w:rsid w:val="008A7F25"/>
    <w:rsid w:val="008B0634"/>
    <w:rsid w:val="008B0790"/>
    <w:rsid w:val="008B07FF"/>
    <w:rsid w:val="008B11A3"/>
    <w:rsid w:val="008B1796"/>
    <w:rsid w:val="008B189C"/>
    <w:rsid w:val="008B1CBA"/>
    <w:rsid w:val="008B2076"/>
    <w:rsid w:val="008B210C"/>
    <w:rsid w:val="008B267F"/>
    <w:rsid w:val="008B2730"/>
    <w:rsid w:val="008B276E"/>
    <w:rsid w:val="008B288A"/>
    <w:rsid w:val="008B3383"/>
    <w:rsid w:val="008B33BF"/>
    <w:rsid w:val="008B3AA9"/>
    <w:rsid w:val="008B3C38"/>
    <w:rsid w:val="008B3DDC"/>
    <w:rsid w:val="008B44A9"/>
    <w:rsid w:val="008B48C6"/>
    <w:rsid w:val="008B5417"/>
    <w:rsid w:val="008B5696"/>
    <w:rsid w:val="008B612B"/>
    <w:rsid w:val="008B6162"/>
    <w:rsid w:val="008B6FC2"/>
    <w:rsid w:val="008B6FC5"/>
    <w:rsid w:val="008B74AB"/>
    <w:rsid w:val="008B752D"/>
    <w:rsid w:val="008B756E"/>
    <w:rsid w:val="008B77DE"/>
    <w:rsid w:val="008B7A75"/>
    <w:rsid w:val="008C0716"/>
    <w:rsid w:val="008C08B4"/>
    <w:rsid w:val="008C0AE3"/>
    <w:rsid w:val="008C1530"/>
    <w:rsid w:val="008C1E08"/>
    <w:rsid w:val="008C228F"/>
    <w:rsid w:val="008C335E"/>
    <w:rsid w:val="008C3752"/>
    <w:rsid w:val="008C3924"/>
    <w:rsid w:val="008C3CCE"/>
    <w:rsid w:val="008C5495"/>
    <w:rsid w:val="008C5740"/>
    <w:rsid w:val="008C5DF3"/>
    <w:rsid w:val="008C65EB"/>
    <w:rsid w:val="008C677D"/>
    <w:rsid w:val="008C6CE0"/>
    <w:rsid w:val="008C704F"/>
    <w:rsid w:val="008D0189"/>
    <w:rsid w:val="008D0224"/>
    <w:rsid w:val="008D0FC2"/>
    <w:rsid w:val="008D194C"/>
    <w:rsid w:val="008D248F"/>
    <w:rsid w:val="008D254F"/>
    <w:rsid w:val="008D2764"/>
    <w:rsid w:val="008D2C8C"/>
    <w:rsid w:val="008D2F1A"/>
    <w:rsid w:val="008D35D7"/>
    <w:rsid w:val="008D362E"/>
    <w:rsid w:val="008D3830"/>
    <w:rsid w:val="008D38A8"/>
    <w:rsid w:val="008D3F07"/>
    <w:rsid w:val="008D4184"/>
    <w:rsid w:val="008D46DB"/>
    <w:rsid w:val="008D4D8E"/>
    <w:rsid w:val="008D4F41"/>
    <w:rsid w:val="008D5309"/>
    <w:rsid w:val="008D550E"/>
    <w:rsid w:val="008D560D"/>
    <w:rsid w:val="008D60D7"/>
    <w:rsid w:val="008D7182"/>
    <w:rsid w:val="008D72F3"/>
    <w:rsid w:val="008D77E6"/>
    <w:rsid w:val="008E1096"/>
    <w:rsid w:val="008E1140"/>
    <w:rsid w:val="008E1491"/>
    <w:rsid w:val="008E1FA5"/>
    <w:rsid w:val="008E22F5"/>
    <w:rsid w:val="008E2B4F"/>
    <w:rsid w:val="008E3295"/>
    <w:rsid w:val="008E33AD"/>
    <w:rsid w:val="008E3C09"/>
    <w:rsid w:val="008E400D"/>
    <w:rsid w:val="008E421A"/>
    <w:rsid w:val="008E426F"/>
    <w:rsid w:val="008E4DEE"/>
    <w:rsid w:val="008E5EBA"/>
    <w:rsid w:val="008E705A"/>
    <w:rsid w:val="008E7DD1"/>
    <w:rsid w:val="008E7EFF"/>
    <w:rsid w:val="008E7F1C"/>
    <w:rsid w:val="008F02B3"/>
    <w:rsid w:val="008F0B16"/>
    <w:rsid w:val="008F0CA0"/>
    <w:rsid w:val="008F1230"/>
    <w:rsid w:val="008F158D"/>
    <w:rsid w:val="008F1863"/>
    <w:rsid w:val="008F1D81"/>
    <w:rsid w:val="008F21CC"/>
    <w:rsid w:val="008F28DF"/>
    <w:rsid w:val="008F2F33"/>
    <w:rsid w:val="008F3074"/>
    <w:rsid w:val="008F3193"/>
    <w:rsid w:val="008F32BA"/>
    <w:rsid w:val="008F355D"/>
    <w:rsid w:val="008F3B93"/>
    <w:rsid w:val="008F4AF9"/>
    <w:rsid w:val="008F585D"/>
    <w:rsid w:val="008F5AE9"/>
    <w:rsid w:val="008F5C55"/>
    <w:rsid w:val="008F5F63"/>
    <w:rsid w:val="008F7459"/>
    <w:rsid w:val="008F7775"/>
    <w:rsid w:val="008F7E24"/>
    <w:rsid w:val="008F7F00"/>
    <w:rsid w:val="00900A7E"/>
    <w:rsid w:val="00900D85"/>
    <w:rsid w:val="009017CE"/>
    <w:rsid w:val="00902043"/>
    <w:rsid w:val="009020DC"/>
    <w:rsid w:val="00902364"/>
    <w:rsid w:val="0090261D"/>
    <w:rsid w:val="00902AF3"/>
    <w:rsid w:val="00902C18"/>
    <w:rsid w:val="00902E29"/>
    <w:rsid w:val="009037A1"/>
    <w:rsid w:val="00904184"/>
    <w:rsid w:val="0090554A"/>
    <w:rsid w:val="00905691"/>
    <w:rsid w:val="00906285"/>
    <w:rsid w:val="00906312"/>
    <w:rsid w:val="00906799"/>
    <w:rsid w:val="00906A44"/>
    <w:rsid w:val="0090752E"/>
    <w:rsid w:val="00907D66"/>
    <w:rsid w:val="00907E2D"/>
    <w:rsid w:val="00907E34"/>
    <w:rsid w:val="00907F79"/>
    <w:rsid w:val="00910227"/>
    <w:rsid w:val="009106E0"/>
    <w:rsid w:val="00910A85"/>
    <w:rsid w:val="00910AC9"/>
    <w:rsid w:val="00910CD5"/>
    <w:rsid w:val="00910CFC"/>
    <w:rsid w:val="00910E24"/>
    <w:rsid w:val="00910EAE"/>
    <w:rsid w:val="00910F63"/>
    <w:rsid w:val="009110B9"/>
    <w:rsid w:val="009111A4"/>
    <w:rsid w:val="00911A0E"/>
    <w:rsid w:val="00911A58"/>
    <w:rsid w:val="00911F75"/>
    <w:rsid w:val="0091256C"/>
    <w:rsid w:val="00912572"/>
    <w:rsid w:val="0091271D"/>
    <w:rsid w:val="00912C7A"/>
    <w:rsid w:val="00912DC4"/>
    <w:rsid w:val="00913BAF"/>
    <w:rsid w:val="00914B33"/>
    <w:rsid w:val="00914F5C"/>
    <w:rsid w:val="009155F8"/>
    <w:rsid w:val="00915761"/>
    <w:rsid w:val="009159EC"/>
    <w:rsid w:val="00915A87"/>
    <w:rsid w:val="009163EB"/>
    <w:rsid w:val="0091730A"/>
    <w:rsid w:val="00917AA6"/>
    <w:rsid w:val="00917BAE"/>
    <w:rsid w:val="009200C2"/>
    <w:rsid w:val="009201AA"/>
    <w:rsid w:val="00920788"/>
    <w:rsid w:val="009207AE"/>
    <w:rsid w:val="00920971"/>
    <w:rsid w:val="00920BC4"/>
    <w:rsid w:val="009221C1"/>
    <w:rsid w:val="0092241F"/>
    <w:rsid w:val="009227C1"/>
    <w:rsid w:val="00923765"/>
    <w:rsid w:val="00923957"/>
    <w:rsid w:val="00923CEA"/>
    <w:rsid w:val="009243F8"/>
    <w:rsid w:val="00924405"/>
    <w:rsid w:val="009245C6"/>
    <w:rsid w:val="00924CE0"/>
    <w:rsid w:val="00924F32"/>
    <w:rsid w:val="00925456"/>
    <w:rsid w:val="00925504"/>
    <w:rsid w:val="00925662"/>
    <w:rsid w:val="00925A07"/>
    <w:rsid w:val="00925CA0"/>
    <w:rsid w:val="00926150"/>
    <w:rsid w:val="009266A1"/>
    <w:rsid w:val="0092679E"/>
    <w:rsid w:val="00926A2F"/>
    <w:rsid w:val="00927A3C"/>
    <w:rsid w:val="00930157"/>
    <w:rsid w:val="009302FF"/>
    <w:rsid w:val="00930B5F"/>
    <w:rsid w:val="00930FBD"/>
    <w:rsid w:val="009311B1"/>
    <w:rsid w:val="009319DA"/>
    <w:rsid w:val="00932087"/>
    <w:rsid w:val="009326F0"/>
    <w:rsid w:val="0093328D"/>
    <w:rsid w:val="00933C72"/>
    <w:rsid w:val="00933CBC"/>
    <w:rsid w:val="0093566A"/>
    <w:rsid w:val="00935F6D"/>
    <w:rsid w:val="009360E2"/>
    <w:rsid w:val="00936442"/>
    <w:rsid w:val="00936579"/>
    <w:rsid w:val="0093677C"/>
    <w:rsid w:val="00936DA6"/>
    <w:rsid w:val="00937308"/>
    <w:rsid w:val="009377EC"/>
    <w:rsid w:val="009378A9"/>
    <w:rsid w:val="009379F2"/>
    <w:rsid w:val="00937CC3"/>
    <w:rsid w:val="0094000A"/>
    <w:rsid w:val="0094031A"/>
    <w:rsid w:val="009405BD"/>
    <w:rsid w:val="009409A4"/>
    <w:rsid w:val="00940E02"/>
    <w:rsid w:val="00941659"/>
    <w:rsid w:val="00941A02"/>
    <w:rsid w:val="00941BA2"/>
    <w:rsid w:val="009423F9"/>
    <w:rsid w:val="0094246F"/>
    <w:rsid w:val="00942769"/>
    <w:rsid w:val="00942FFF"/>
    <w:rsid w:val="009434E5"/>
    <w:rsid w:val="00943660"/>
    <w:rsid w:val="009436BB"/>
    <w:rsid w:val="00943856"/>
    <w:rsid w:val="00943D6D"/>
    <w:rsid w:val="0094429D"/>
    <w:rsid w:val="0094485E"/>
    <w:rsid w:val="00946252"/>
    <w:rsid w:val="0094628F"/>
    <w:rsid w:val="00946677"/>
    <w:rsid w:val="00946AFE"/>
    <w:rsid w:val="00946F0B"/>
    <w:rsid w:val="00947C25"/>
    <w:rsid w:val="009505A5"/>
    <w:rsid w:val="00950F75"/>
    <w:rsid w:val="00951186"/>
    <w:rsid w:val="00952030"/>
    <w:rsid w:val="0095249E"/>
    <w:rsid w:val="00952D69"/>
    <w:rsid w:val="00952EEA"/>
    <w:rsid w:val="0095309B"/>
    <w:rsid w:val="00953480"/>
    <w:rsid w:val="00953579"/>
    <w:rsid w:val="009535B1"/>
    <w:rsid w:val="00953883"/>
    <w:rsid w:val="00953ADA"/>
    <w:rsid w:val="00953DFB"/>
    <w:rsid w:val="009544EC"/>
    <w:rsid w:val="00954612"/>
    <w:rsid w:val="00954C84"/>
    <w:rsid w:val="00955289"/>
    <w:rsid w:val="009554F5"/>
    <w:rsid w:val="00955774"/>
    <w:rsid w:val="00955BE8"/>
    <w:rsid w:val="00955F7E"/>
    <w:rsid w:val="00956835"/>
    <w:rsid w:val="00957153"/>
    <w:rsid w:val="00957845"/>
    <w:rsid w:val="00957C92"/>
    <w:rsid w:val="009601F6"/>
    <w:rsid w:val="009601FC"/>
    <w:rsid w:val="00960940"/>
    <w:rsid w:val="00960A7A"/>
    <w:rsid w:val="00960C12"/>
    <w:rsid w:val="009612D2"/>
    <w:rsid w:val="0096151B"/>
    <w:rsid w:val="0096176F"/>
    <w:rsid w:val="00961DA8"/>
    <w:rsid w:val="009630F6"/>
    <w:rsid w:val="00963487"/>
    <w:rsid w:val="009637D3"/>
    <w:rsid w:val="009637F1"/>
    <w:rsid w:val="0096395A"/>
    <w:rsid w:val="00963AF2"/>
    <w:rsid w:val="00964107"/>
    <w:rsid w:val="009646D9"/>
    <w:rsid w:val="009651D1"/>
    <w:rsid w:val="00966043"/>
    <w:rsid w:val="00966532"/>
    <w:rsid w:val="0096654B"/>
    <w:rsid w:val="009700D9"/>
    <w:rsid w:val="00970191"/>
    <w:rsid w:val="00970CF9"/>
    <w:rsid w:val="00971508"/>
    <w:rsid w:val="009720E2"/>
    <w:rsid w:val="00972A57"/>
    <w:rsid w:val="00972EFC"/>
    <w:rsid w:val="00973448"/>
    <w:rsid w:val="009734C1"/>
    <w:rsid w:val="00973528"/>
    <w:rsid w:val="00973C92"/>
    <w:rsid w:val="009745DF"/>
    <w:rsid w:val="00974A09"/>
    <w:rsid w:val="0097549D"/>
    <w:rsid w:val="00975A87"/>
    <w:rsid w:val="00976263"/>
    <w:rsid w:val="009769BD"/>
    <w:rsid w:val="00976C27"/>
    <w:rsid w:val="00976DAA"/>
    <w:rsid w:val="0097752B"/>
    <w:rsid w:val="00977685"/>
    <w:rsid w:val="00980C9D"/>
    <w:rsid w:val="00981442"/>
    <w:rsid w:val="00982614"/>
    <w:rsid w:val="00982F7E"/>
    <w:rsid w:val="00983238"/>
    <w:rsid w:val="00983680"/>
    <w:rsid w:val="009836AA"/>
    <w:rsid w:val="0098376C"/>
    <w:rsid w:val="009840F3"/>
    <w:rsid w:val="0098495E"/>
    <w:rsid w:val="00984A8D"/>
    <w:rsid w:val="00984B0C"/>
    <w:rsid w:val="00984F7A"/>
    <w:rsid w:val="009853C1"/>
    <w:rsid w:val="009857EF"/>
    <w:rsid w:val="00985BA5"/>
    <w:rsid w:val="00985C42"/>
    <w:rsid w:val="00985EE8"/>
    <w:rsid w:val="009860A0"/>
    <w:rsid w:val="00986B22"/>
    <w:rsid w:val="00986C3E"/>
    <w:rsid w:val="009874ED"/>
    <w:rsid w:val="00987967"/>
    <w:rsid w:val="009879BB"/>
    <w:rsid w:val="009904A9"/>
    <w:rsid w:val="00990741"/>
    <w:rsid w:val="009909BE"/>
    <w:rsid w:val="009909C9"/>
    <w:rsid w:val="00990B7E"/>
    <w:rsid w:val="00990DFA"/>
    <w:rsid w:val="00991081"/>
    <w:rsid w:val="009914EC"/>
    <w:rsid w:val="00991A5E"/>
    <w:rsid w:val="0099210F"/>
    <w:rsid w:val="00992CF6"/>
    <w:rsid w:val="00992D82"/>
    <w:rsid w:val="00993788"/>
    <w:rsid w:val="00993BBB"/>
    <w:rsid w:val="00994254"/>
    <w:rsid w:val="009947FD"/>
    <w:rsid w:val="00994CB9"/>
    <w:rsid w:val="00995222"/>
    <w:rsid w:val="0099529F"/>
    <w:rsid w:val="00995750"/>
    <w:rsid w:val="0099586B"/>
    <w:rsid w:val="00995CE1"/>
    <w:rsid w:val="00996850"/>
    <w:rsid w:val="00996E7D"/>
    <w:rsid w:val="00996F36"/>
    <w:rsid w:val="0099715B"/>
    <w:rsid w:val="00997697"/>
    <w:rsid w:val="0099792B"/>
    <w:rsid w:val="00997963"/>
    <w:rsid w:val="009A09BE"/>
    <w:rsid w:val="009A0CDC"/>
    <w:rsid w:val="009A0F9D"/>
    <w:rsid w:val="009A152D"/>
    <w:rsid w:val="009A1D61"/>
    <w:rsid w:val="009A1DEE"/>
    <w:rsid w:val="009A237C"/>
    <w:rsid w:val="009A277D"/>
    <w:rsid w:val="009A3E1D"/>
    <w:rsid w:val="009A4873"/>
    <w:rsid w:val="009A515A"/>
    <w:rsid w:val="009A5CFF"/>
    <w:rsid w:val="009A6062"/>
    <w:rsid w:val="009A6689"/>
    <w:rsid w:val="009A6A41"/>
    <w:rsid w:val="009A71DF"/>
    <w:rsid w:val="009A765E"/>
    <w:rsid w:val="009A7A58"/>
    <w:rsid w:val="009B00FC"/>
    <w:rsid w:val="009B0493"/>
    <w:rsid w:val="009B0835"/>
    <w:rsid w:val="009B0EB5"/>
    <w:rsid w:val="009B12EA"/>
    <w:rsid w:val="009B1461"/>
    <w:rsid w:val="009B1599"/>
    <w:rsid w:val="009B15DF"/>
    <w:rsid w:val="009B1D23"/>
    <w:rsid w:val="009B1EB1"/>
    <w:rsid w:val="009B25E7"/>
    <w:rsid w:val="009B27DA"/>
    <w:rsid w:val="009B28AA"/>
    <w:rsid w:val="009B35C5"/>
    <w:rsid w:val="009B3FFE"/>
    <w:rsid w:val="009B53F6"/>
    <w:rsid w:val="009B541F"/>
    <w:rsid w:val="009B593A"/>
    <w:rsid w:val="009B5A46"/>
    <w:rsid w:val="009B6D06"/>
    <w:rsid w:val="009B77C2"/>
    <w:rsid w:val="009B7C3E"/>
    <w:rsid w:val="009C0537"/>
    <w:rsid w:val="009C0F91"/>
    <w:rsid w:val="009C13BF"/>
    <w:rsid w:val="009C1AD0"/>
    <w:rsid w:val="009C1FB9"/>
    <w:rsid w:val="009C2330"/>
    <w:rsid w:val="009C25A2"/>
    <w:rsid w:val="009C2672"/>
    <w:rsid w:val="009C2E36"/>
    <w:rsid w:val="009C2E3E"/>
    <w:rsid w:val="009C34AF"/>
    <w:rsid w:val="009C373E"/>
    <w:rsid w:val="009C3EB1"/>
    <w:rsid w:val="009C44BD"/>
    <w:rsid w:val="009C45DB"/>
    <w:rsid w:val="009C5071"/>
    <w:rsid w:val="009C50CB"/>
    <w:rsid w:val="009C5B09"/>
    <w:rsid w:val="009C61A4"/>
    <w:rsid w:val="009C62D8"/>
    <w:rsid w:val="009C6555"/>
    <w:rsid w:val="009C69B4"/>
    <w:rsid w:val="009C700A"/>
    <w:rsid w:val="009C7CD7"/>
    <w:rsid w:val="009C7DE4"/>
    <w:rsid w:val="009C7F9C"/>
    <w:rsid w:val="009D0005"/>
    <w:rsid w:val="009D01B3"/>
    <w:rsid w:val="009D0341"/>
    <w:rsid w:val="009D0CD2"/>
    <w:rsid w:val="009D0DA6"/>
    <w:rsid w:val="009D0EDA"/>
    <w:rsid w:val="009D15EC"/>
    <w:rsid w:val="009D232F"/>
    <w:rsid w:val="009D2BC8"/>
    <w:rsid w:val="009D2C0F"/>
    <w:rsid w:val="009D33FD"/>
    <w:rsid w:val="009D3423"/>
    <w:rsid w:val="009D39AE"/>
    <w:rsid w:val="009D3ACD"/>
    <w:rsid w:val="009D416F"/>
    <w:rsid w:val="009D5568"/>
    <w:rsid w:val="009D56D8"/>
    <w:rsid w:val="009D57E6"/>
    <w:rsid w:val="009D5B6C"/>
    <w:rsid w:val="009D638A"/>
    <w:rsid w:val="009D7283"/>
    <w:rsid w:val="009D73EC"/>
    <w:rsid w:val="009E086E"/>
    <w:rsid w:val="009E0B85"/>
    <w:rsid w:val="009E0CA1"/>
    <w:rsid w:val="009E1609"/>
    <w:rsid w:val="009E1628"/>
    <w:rsid w:val="009E16BE"/>
    <w:rsid w:val="009E25B6"/>
    <w:rsid w:val="009E2785"/>
    <w:rsid w:val="009E286E"/>
    <w:rsid w:val="009E29F5"/>
    <w:rsid w:val="009E2D09"/>
    <w:rsid w:val="009E3302"/>
    <w:rsid w:val="009E35FE"/>
    <w:rsid w:val="009E405B"/>
    <w:rsid w:val="009E4098"/>
    <w:rsid w:val="009E43B8"/>
    <w:rsid w:val="009E46AE"/>
    <w:rsid w:val="009E55A8"/>
    <w:rsid w:val="009E5AA3"/>
    <w:rsid w:val="009E600E"/>
    <w:rsid w:val="009E60F3"/>
    <w:rsid w:val="009E614F"/>
    <w:rsid w:val="009E6210"/>
    <w:rsid w:val="009E6379"/>
    <w:rsid w:val="009E69A9"/>
    <w:rsid w:val="009E6A4A"/>
    <w:rsid w:val="009E6CC4"/>
    <w:rsid w:val="009E7113"/>
    <w:rsid w:val="009E7A70"/>
    <w:rsid w:val="009E7C1E"/>
    <w:rsid w:val="009E7DF1"/>
    <w:rsid w:val="009F0EB1"/>
    <w:rsid w:val="009F1177"/>
    <w:rsid w:val="009F12DD"/>
    <w:rsid w:val="009F19D0"/>
    <w:rsid w:val="009F1F9D"/>
    <w:rsid w:val="009F1FA1"/>
    <w:rsid w:val="009F2067"/>
    <w:rsid w:val="009F2294"/>
    <w:rsid w:val="009F275B"/>
    <w:rsid w:val="009F31AE"/>
    <w:rsid w:val="009F3283"/>
    <w:rsid w:val="009F33CF"/>
    <w:rsid w:val="009F368C"/>
    <w:rsid w:val="009F3BD6"/>
    <w:rsid w:val="009F3C11"/>
    <w:rsid w:val="009F3E26"/>
    <w:rsid w:val="009F43B1"/>
    <w:rsid w:val="009F45BD"/>
    <w:rsid w:val="009F5120"/>
    <w:rsid w:val="009F5AE2"/>
    <w:rsid w:val="009F61F4"/>
    <w:rsid w:val="009F62FF"/>
    <w:rsid w:val="009F6E72"/>
    <w:rsid w:val="009F6E78"/>
    <w:rsid w:val="009F7194"/>
    <w:rsid w:val="009F7263"/>
    <w:rsid w:val="009F747D"/>
    <w:rsid w:val="009F7593"/>
    <w:rsid w:val="009F7AE4"/>
    <w:rsid w:val="00A000D1"/>
    <w:rsid w:val="00A00378"/>
    <w:rsid w:val="00A0038D"/>
    <w:rsid w:val="00A00A52"/>
    <w:rsid w:val="00A00B85"/>
    <w:rsid w:val="00A01A7F"/>
    <w:rsid w:val="00A01AFA"/>
    <w:rsid w:val="00A01CA0"/>
    <w:rsid w:val="00A01CB6"/>
    <w:rsid w:val="00A023E1"/>
    <w:rsid w:val="00A02AC8"/>
    <w:rsid w:val="00A03A99"/>
    <w:rsid w:val="00A03AFC"/>
    <w:rsid w:val="00A04692"/>
    <w:rsid w:val="00A04BCD"/>
    <w:rsid w:val="00A04F7B"/>
    <w:rsid w:val="00A058C9"/>
    <w:rsid w:val="00A063AE"/>
    <w:rsid w:val="00A06BFC"/>
    <w:rsid w:val="00A06C10"/>
    <w:rsid w:val="00A1002E"/>
    <w:rsid w:val="00A1090D"/>
    <w:rsid w:val="00A10B03"/>
    <w:rsid w:val="00A1103D"/>
    <w:rsid w:val="00A1157B"/>
    <w:rsid w:val="00A13D98"/>
    <w:rsid w:val="00A1449B"/>
    <w:rsid w:val="00A144D6"/>
    <w:rsid w:val="00A14BD9"/>
    <w:rsid w:val="00A15071"/>
    <w:rsid w:val="00A154E6"/>
    <w:rsid w:val="00A15558"/>
    <w:rsid w:val="00A15B72"/>
    <w:rsid w:val="00A15D14"/>
    <w:rsid w:val="00A161D7"/>
    <w:rsid w:val="00A16343"/>
    <w:rsid w:val="00A168F8"/>
    <w:rsid w:val="00A17B28"/>
    <w:rsid w:val="00A17D51"/>
    <w:rsid w:val="00A21404"/>
    <w:rsid w:val="00A21EA8"/>
    <w:rsid w:val="00A22182"/>
    <w:rsid w:val="00A23189"/>
    <w:rsid w:val="00A236CF"/>
    <w:rsid w:val="00A23A06"/>
    <w:rsid w:val="00A23C36"/>
    <w:rsid w:val="00A24018"/>
    <w:rsid w:val="00A24AF2"/>
    <w:rsid w:val="00A24C52"/>
    <w:rsid w:val="00A2505D"/>
    <w:rsid w:val="00A251DC"/>
    <w:rsid w:val="00A25334"/>
    <w:rsid w:val="00A257E4"/>
    <w:rsid w:val="00A259BF"/>
    <w:rsid w:val="00A25F26"/>
    <w:rsid w:val="00A25F67"/>
    <w:rsid w:val="00A26186"/>
    <w:rsid w:val="00A265D7"/>
    <w:rsid w:val="00A26653"/>
    <w:rsid w:val="00A26817"/>
    <w:rsid w:val="00A26A3A"/>
    <w:rsid w:val="00A278D5"/>
    <w:rsid w:val="00A27A7A"/>
    <w:rsid w:val="00A27C9C"/>
    <w:rsid w:val="00A300A1"/>
    <w:rsid w:val="00A3037B"/>
    <w:rsid w:val="00A30C8E"/>
    <w:rsid w:val="00A3155B"/>
    <w:rsid w:val="00A319F5"/>
    <w:rsid w:val="00A31B7A"/>
    <w:rsid w:val="00A31C8C"/>
    <w:rsid w:val="00A32591"/>
    <w:rsid w:val="00A32597"/>
    <w:rsid w:val="00A33264"/>
    <w:rsid w:val="00A33300"/>
    <w:rsid w:val="00A33441"/>
    <w:rsid w:val="00A33A47"/>
    <w:rsid w:val="00A33EE9"/>
    <w:rsid w:val="00A346E1"/>
    <w:rsid w:val="00A34BF8"/>
    <w:rsid w:val="00A34FF4"/>
    <w:rsid w:val="00A352B1"/>
    <w:rsid w:val="00A35933"/>
    <w:rsid w:val="00A35EE4"/>
    <w:rsid w:val="00A369A2"/>
    <w:rsid w:val="00A36CF5"/>
    <w:rsid w:val="00A374D2"/>
    <w:rsid w:val="00A379DC"/>
    <w:rsid w:val="00A37D1A"/>
    <w:rsid w:val="00A401AE"/>
    <w:rsid w:val="00A409B7"/>
    <w:rsid w:val="00A40D91"/>
    <w:rsid w:val="00A41AC0"/>
    <w:rsid w:val="00A421CD"/>
    <w:rsid w:val="00A4237B"/>
    <w:rsid w:val="00A42613"/>
    <w:rsid w:val="00A428B2"/>
    <w:rsid w:val="00A42D76"/>
    <w:rsid w:val="00A433BA"/>
    <w:rsid w:val="00A43845"/>
    <w:rsid w:val="00A444BA"/>
    <w:rsid w:val="00A44EAF"/>
    <w:rsid w:val="00A4587E"/>
    <w:rsid w:val="00A461B2"/>
    <w:rsid w:val="00A469E0"/>
    <w:rsid w:val="00A46EF6"/>
    <w:rsid w:val="00A46FEB"/>
    <w:rsid w:val="00A46FF5"/>
    <w:rsid w:val="00A474EC"/>
    <w:rsid w:val="00A4752B"/>
    <w:rsid w:val="00A475E9"/>
    <w:rsid w:val="00A50789"/>
    <w:rsid w:val="00A50DA0"/>
    <w:rsid w:val="00A50E04"/>
    <w:rsid w:val="00A51715"/>
    <w:rsid w:val="00A54291"/>
    <w:rsid w:val="00A546FC"/>
    <w:rsid w:val="00A54E92"/>
    <w:rsid w:val="00A55473"/>
    <w:rsid w:val="00A555C8"/>
    <w:rsid w:val="00A5584A"/>
    <w:rsid w:val="00A56165"/>
    <w:rsid w:val="00A5629D"/>
    <w:rsid w:val="00A568DA"/>
    <w:rsid w:val="00A56CAB"/>
    <w:rsid w:val="00A56FCF"/>
    <w:rsid w:val="00A56FD4"/>
    <w:rsid w:val="00A571F9"/>
    <w:rsid w:val="00A57A4A"/>
    <w:rsid w:val="00A57DFC"/>
    <w:rsid w:val="00A57FA8"/>
    <w:rsid w:val="00A601DA"/>
    <w:rsid w:val="00A604E6"/>
    <w:rsid w:val="00A60DBE"/>
    <w:rsid w:val="00A61053"/>
    <w:rsid w:val="00A61064"/>
    <w:rsid w:val="00A6124E"/>
    <w:rsid w:val="00A61340"/>
    <w:rsid w:val="00A6138A"/>
    <w:rsid w:val="00A613D0"/>
    <w:rsid w:val="00A62C6F"/>
    <w:rsid w:val="00A62D90"/>
    <w:rsid w:val="00A632F1"/>
    <w:rsid w:val="00A6335F"/>
    <w:rsid w:val="00A6342B"/>
    <w:rsid w:val="00A63E69"/>
    <w:rsid w:val="00A64076"/>
    <w:rsid w:val="00A641B5"/>
    <w:rsid w:val="00A641E1"/>
    <w:rsid w:val="00A64AE7"/>
    <w:rsid w:val="00A64C2D"/>
    <w:rsid w:val="00A64E56"/>
    <w:rsid w:val="00A65048"/>
    <w:rsid w:val="00A65884"/>
    <w:rsid w:val="00A6665F"/>
    <w:rsid w:val="00A668F6"/>
    <w:rsid w:val="00A66B0A"/>
    <w:rsid w:val="00A66E4C"/>
    <w:rsid w:val="00A676B6"/>
    <w:rsid w:val="00A6783F"/>
    <w:rsid w:val="00A67A9E"/>
    <w:rsid w:val="00A70399"/>
    <w:rsid w:val="00A709DD"/>
    <w:rsid w:val="00A70BB5"/>
    <w:rsid w:val="00A70F18"/>
    <w:rsid w:val="00A70F49"/>
    <w:rsid w:val="00A7100F"/>
    <w:rsid w:val="00A73B2F"/>
    <w:rsid w:val="00A74E1C"/>
    <w:rsid w:val="00A75236"/>
    <w:rsid w:val="00A755B9"/>
    <w:rsid w:val="00A7581C"/>
    <w:rsid w:val="00A75A1F"/>
    <w:rsid w:val="00A75CFC"/>
    <w:rsid w:val="00A7606E"/>
    <w:rsid w:val="00A76787"/>
    <w:rsid w:val="00A76C22"/>
    <w:rsid w:val="00A76EAD"/>
    <w:rsid w:val="00A77701"/>
    <w:rsid w:val="00A77993"/>
    <w:rsid w:val="00A77B60"/>
    <w:rsid w:val="00A77C1F"/>
    <w:rsid w:val="00A80728"/>
    <w:rsid w:val="00A80D68"/>
    <w:rsid w:val="00A80FB5"/>
    <w:rsid w:val="00A8145D"/>
    <w:rsid w:val="00A820FB"/>
    <w:rsid w:val="00A82226"/>
    <w:rsid w:val="00A82B70"/>
    <w:rsid w:val="00A83128"/>
    <w:rsid w:val="00A835FF"/>
    <w:rsid w:val="00A83671"/>
    <w:rsid w:val="00A839E6"/>
    <w:rsid w:val="00A8444A"/>
    <w:rsid w:val="00A85430"/>
    <w:rsid w:val="00A8570A"/>
    <w:rsid w:val="00A85BEC"/>
    <w:rsid w:val="00A86A21"/>
    <w:rsid w:val="00A8728C"/>
    <w:rsid w:val="00A87662"/>
    <w:rsid w:val="00A8772B"/>
    <w:rsid w:val="00A90AC2"/>
    <w:rsid w:val="00A91458"/>
    <w:rsid w:val="00A916C8"/>
    <w:rsid w:val="00A91B98"/>
    <w:rsid w:val="00A91C42"/>
    <w:rsid w:val="00A91EB9"/>
    <w:rsid w:val="00A92DE7"/>
    <w:rsid w:val="00A92FCC"/>
    <w:rsid w:val="00A930AB"/>
    <w:rsid w:val="00A9328D"/>
    <w:rsid w:val="00A9329D"/>
    <w:rsid w:val="00A94885"/>
    <w:rsid w:val="00A948BC"/>
    <w:rsid w:val="00A9533B"/>
    <w:rsid w:val="00A95988"/>
    <w:rsid w:val="00A95E1B"/>
    <w:rsid w:val="00A966A0"/>
    <w:rsid w:val="00A967FB"/>
    <w:rsid w:val="00A96908"/>
    <w:rsid w:val="00A96A96"/>
    <w:rsid w:val="00A97015"/>
    <w:rsid w:val="00A972F4"/>
    <w:rsid w:val="00A974C7"/>
    <w:rsid w:val="00A97897"/>
    <w:rsid w:val="00A97DA2"/>
    <w:rsid w:val="00A97ECF"/>
    <w:rsid w:val="00A97F29"/>
    <w:rsid w:val="00AA0069"/>
    <w:rsid w:val="00AA06B7"/>
    <w:rsid w:val="00AA1031"/>
    <w:rsid w:val="00AA12F4"/>
    <w:rsid w:val="00AA14CB"/>
    <w:rsid w:val="00AA1867"/>
    <w:rsid w:val="00AA2337"/>
    <w:rsid w:val="00AA279F"/>
    <w:rsid w:val="00AA2814"/>
    <w:rsid w:val="00AA31CE"/>
    <w:rsid w:val="00AA35F3"/>
    <w:rsid w:val="00AA391E"/>
    <w:rsid w:val="00AA3CEA"/>
    <w:rsid w:val="00AA3F2B"/>
    <w:rsid w:val="00AA42C0"/>
    <w:rsid w:val="00AA44D2"/>
    <w:rsid w:val="00AA475C"/>
    <w:rsid w:val="00AA47F9"/>
    <w:rsid w:val="00AA4E9C"/>
    <w:rsid w:val="00AA51A4"/>
    <w:rsid w:val="00AA5241"/>
    <w:rsid w:val="00AA55DC"/>
    <w:rsid w:val="00AA5E02"/>
    <w:rsid w:val="00AA5F1F"/>
    <w:rsid w:val="00AA6B1D"/>
    <w:rsid w:val="00AA6F84"/>
    <w:rsid w:val="00AA7DDB"/>
    <w:rsid w:val="00AA7F3A"/>
    <w:rsid w:val="00AB04D5"/>
    <w:rsid w:val="00AB0BFF"/>
    <w:rsid w:val="00AB0C0D"/>
    <w:rsid w:val="00AB1400"/>
    <w:rsid w:val="00AB142B"/>
    <w:rsid w:val="00AB14E7"/>
    <w:rsid w:val="00AB2468"/>
    <w:rsid w:val="00AB2619"/>
    <w:rsid w:val="00AB27E5"/>
    <w:rsid w:val="00AB2A0D"/>
    <w:rsid w:val="00AB2E99"/>
    <w:rsid w:val="00AB3520"/>
    <w:rsid w:val="00AB3AAE"/>
    <w:rsid w:val="00AB3B97"/>
    <w:rsid w:val="00AB41C2"/>
    <w:rsid w:val="00AB41EA"/>
    <w:rsid w:val="00AB43B7"/>
    <w:rsid w:val="00AB4750"/>
    <w:rsid w:val="00AB5707"/>
    <w:rsid w:val="00AB5A22"/>
    <w:rsid w:val="00AB5C64"/>
    <w:rsid w:val="00AB5DFD"/>
    <w:rsid w:val="00AB5E46"/>
    <w:rsid w:val="00AB64DE"/>
    <w:rsid w:val="00AB67C0"/>
    <w:rsid w:val="00AB6D73"/>
    <w:rsid w:val="00AB70D9"/>
    <w:rsid w:val="00AB787B"/>
    <w:rsid w:val="00AB7FF5"/>
    <w:rsid w:val="00AC0306"/>
    <w:rsid w:val="00AC0B3B"/>
    <w:rsid w:val="00AC11D4"/>
    <w:rsid w:val="00AC2671"/>
    <w:rsid w:val="00AC26D4"/>
    <w:rsid w:val="00AC2724"/>
    <w:rsid w:val="00AC29A7"/>
    <w:rsid w:val="00AC3350"/>
    <w:rsid w:val="00AC3AA6"/>
    <w:rsid w:val="00AC3D23"/>
    <w:rsid w:val="00AC3F07"/>
    <w:rsid w:val="00AC4937"/>
    <w:rsid w:val="00AC4EBC"/>
    <w:rsid w:val="00AC50F0"/>
    <w:rsid w:val="00AC61EC"/>
    <w:rsid w:val="00AC6839"/>
    <w:rsid w:val="00AC6D79"/>
    <w:rsid w:val="00AC6F04"/>
    <w:rsid w:val="00AC7343"/>
    <w:rsid w:val="00AC7970"/>
    <w:rsid w:val="00AC7C3F"/>
    <w:rsid w:val="00AC7D76"/>
    <w:rsid w:val="00AD0205"/>
    <w:rsid w:val="00AD0221"/>
    <w:rsid w:val="00AD0AD9"/>
    <w:rsid w:val="00AD13AC"/>
    <w:rsid w:val="00AD13D9"/>
    <w:rsid w:val="00AD1602"/>
    <w:rsid w:val="00AD1ACD"/>
    <w:rsid w:val="00AD1BEF"/>
    <w:rsid w:val="00AD1E27"/>
    <w:rsid w:val="00AD2389"/>
    <w:rsid w:val="00AD3099"/>
    <w:rsid w:val="00AD3373"/>
    <w:rsid w:val="00AD3E31"/>
    <w:rsid w:val="00AD4612"/>
    <w:rsid w:val="00AD5B26"/>
    <w:rsid w:val="00AD5CC2"/>
    <w:rsid w:val="00AD6700"/>
    <w:rsid w:val="00AD7AF1"/>
    <w:rsid w:val="00AD7BEB"/>
    <w:rsid w:val="00AE0034"/>
    <w:rsid w:val="00AE00EE"/>
    <w:rsid w:val="00AE035B"/>
    <w:rsid w:val="00AE0845"/>
    <w:rsid w:val="00AE0B69"/>
    <w:rsid w:val="00AE0CAA"/>
    <w:rsid w:val="00AE1078"/>
    <w:rsid w:val="00AE1608"/>
    <w:rsid w:val="00AE1CC4"/>
    <w:rsid w:val="00AE1D20"/>
    <w:rsid w:val="00AE1DC8"/>
    <w:rsid w:val="00AE304D"/>
    <w:rsid w:val="00AE363F"/>
    <w:rsid w:val="00AE3700"/>
    <w:rsid w:val="00AE3C3D"/>
    <w:rsid w:val="00AE3DAF"/>
    <w:rsid w:val="00AE3FA6"/>
    <w:rsid w:val="00AE4693"/>
    <w:rsid w:val="00AE48EE"/>
    <w:rsid w:val="00AE5298"/>
    <w:rsid w:val="00AE52CB"/>
    <w:rsid w:val="00AE57C1"/>
    <w:rsid w:val="00AE5A5B"/>
    <w:rsid w:val="00AE5ED8"/>
    <w:rsid w:val="00AE60D1"/>
    <w:rsid w:val="00AE6348"/>
    <w:rsid w:val="00AE6358"/>
    <w:rsid w:val="00AE676E"/>
    <w:rsid w:val="00AE67C2"/>
    <w:rsid w:val="00AE6E71"/>
    <w:rsid w:val="00AE7800"/>
    <w:rsid w:val="00AF0076"/>
    <w:rsid w:val="00AF08EC"/>
    <w:rsid w:val="00AF0ABF"/>
    <w:rsid w:val="00AF0BEF"/>
    <w:rsid w:val="00AF1020"/>
    <w:rsid w:val="00AF126D"/>
    <w:rsid w:val="00AF1438"/>
    <w:rsid w:val="00AF19EF"/>
    <w:rsid w:val="00AF2634"/>
    <w:rsid w:val="00AF323E"/>
    <w:rsid w:val="00AF3E90"/>
    <w:rsid w:val="00AF3F01"/>
    <w:rsid w:val="00AF4193"/>
    <w:rsid w:val="00AF4395"/>
    <w:rsid w:val="00AF444C"/>
    <w:rsid w:val="00AF44DA"/>
    <w:rsid w:val="00AF4AC7"/>
    <w:rsid w:val="00AF4E28"/>
    <w:rsid w:val="00AF5133"/>
    <w:rsid w:val="00AF5A7C"/>
    <w:rsid w:val="00AF5B12"/>
    <w:rsid w:val="00AF656A"/>
    <w:rsid w:val="00AF6C0B"/>
    <w:rsid w:val="00AF790F"/>
    <w:rsid w:val="00B0029F"/>
    <w:rsid w:val="00B00670"/>
    <w:rsid w:val="00B00B64"/>
    <w:rsid w:val="00B0105E"/>
    <w:rsid w:val="00B022F2"/>
    <w:rsid w:val="00B023DE"/>
    <w:rsid w:val="00B036FD"/>
    <w:rsid w:val="00B03DE0"/>
    <w:rsid w:val="00B03F04"/>
    <w:rsid w:val="00B0439B"/>
    <w:rsid w:val="00B04A26"/>
    <w:rsid w:val="00B04A96"/>
    <w:rsid w:val="00B05831"/>
    <w:rsid w:val="00B059AB"/>
    <w:rsid w:val="00B05AD8"/>
    <w:rsid w:val="00B05D77"/>
    <w:rsid w:val="00B071E9"/>
    <w:rsid w:val="00B07E21"/>
    <w:rsid w:val="00B102E3"/>
    <w:rsid w:val="00B10516"/>
    <w:rsid w:val="00B10539"/>
    <w:rsid w:val="00B1179A"/>
    <w:rsid w:val="00B118E9"/>
    <w:rsid w:val="00B12120"/>
    <w:rsid w:val="00B12BCE"/>
    <w:rsid w:val="00B12F11"/>
    <w:rsid w:val="00B13DB7"/>
    <w:rsid w:val="00B13DE8"/>
    <w:rsid w:val="00B14553"/>
    <w:rsid w:val="00B145BD"/>
    <w:rsid w:val="00B14D7B"/>
    <w:rsid w:val="00B150CB"/>
    <w:rsid w:val="00B15D0D"/>
    <w:rsid w:val="00B1621D"/>
    <w:rsid w:val="00B170F7"/>
    <w:rsid w:val="00B1721F"/>
    <w:rsid w:val="00B17FC9"/>
    <w:rsid w:val="00B20602"/>
    <w:rsid w:val="00B210CF"/>
    <w:rsid w:val="00B210D2"/>
    <w:rsid w:val="00B2153A"/>
    <w:rsid w:val="00B217A0"/>
    <w:rsid w:val="00B21CBE"/>
    <w:rsid w:val="00B21DFA"/>
    <w:rsid w:val="00B21F45"/>
    <w:rsid w:val="00B22B41"/>
    <w:rsid w:val="00B23091"/>
    <w:rsid w:val="00B24D32"/>
    <w:rsid w:val="00B25372"/>
    <w:rsid w:val="00B25573"/>
    <w:rsid w:val="00B25794"/>
    <w:rsid w:val="00B25906"/>
    <w:rsid w:val="00B25C1B"/>
    <w:rsid w:val="00B260EA"/>
    <w:rsid w:val="00B264A3"/>
    <w:rsid w:val="00B2667B"/>
    <w:rsid w:val="00B267CE"/>
    <w:rsid w:val="00B26884"/>
    <w:rsid w:val="00B26F36"/>
    <w:rsid w:val="00B27081"/>
    <w:rsid w:val="00B27F7E"/>
    <w:rsid w:val="00B30377"/>
    <w:rsid w:val="00B30CC9"/>
    <w:rsid w:val="00B31B7F"/>
    <w:rsid w:val="00B31BB7"/>
    <w:rsid w:val="00B32307"/>
    <w:rsid w:val="00B326BA"/>
    <w:rsid w:val="00B32979"/>
    <w:rsid w:val="00B32ADA"/>
    <w:rsid w:val="00B3312B"/>
    <w:rsid w:val="00B3344C"/>
    <w:rsid w:val="00B33C54"/>
    <w:rsid w:val="00B33CE1"/>
    <w:rsid w:val="00B341C6"/>
    <w:rsid w:val="00B34983"/>
    <w:rsid w:val="00B349D4"/>
    <w:rsid w:val="00B35AB8"/>
    <w:rsid w:val="00B36051"/>
    <w:rsid w:val="00B37A7A"/>
    <w:rsid w:val="00B401C4"/>
    <w:rsid w:val="00B40D7F"/>
    <w:rsid w:val="00B41F6B"/>
    <w:rsid w:val="00B42A6E"/>
    <w:rsid w:val="00B437F6"/>
    <w:rsid w:val="00B43DC3"/>
    <w:rsid w:val="00B44476"/>
    <w:rsid w:val="00B4469E"/>
    <w:rsid w:val="00B44921"/>
    <w:rsid w:val="00B449D4"/>
    <w:rsid w:val="00B4588D"/>
    <w:rsid w:val="00B45BBC"/>
    <w:rsid w:val="00B45E82"/>
    <w:rsid w:val="00B46E3C"/>
    <w:rsid w:val="00B4749F"/>
    <w:rsid w:val="00B47566"/>
    <w:rsid w:val="00B477CA"/>
    <w:rsid w:val="00B50345"/>
    <w:rsid w:val="00B508CF"/>
    <w:rsid w:val="00B5110C"/>
    <w:rsid w:val="00B51FEC"/>
    <w:rsid w:val="00B5262C"/>
    <w:rsid w:val="00B52824"/>
    <w:rsid w:val="00B52D92"/>
    <w:rsid w:val="00B531F6"/>
    <w:rsid w:val="00B5348C"/>
    <w:rsid w:val="00B539F9"/>
    <w:rsid w:val="00B53BAB"/>
    <w:rsid w:val="00B53C56"/>
    <w:rsid w:val="00B53F39"/>
    <w:rsid w:val="00B542D6"/>
    <w:rsid w:val="00B54895"/>
    <w:rsid w:val="00B55320"/>
    <w:rsid w:val="00B55740"/>
    <w:rsid w:val="00B558EC"/>
    <w:rsid w:val="00B56273"/>
    <w:rsid w:val="00B564E1"/>
    <w:rsid w:val="00B5664A"/>
    <w:rsid w:val="00B56D18"/>
    <w:rsid w:val="00B575BE"/>
    <w:rsid w:val="00B57601"/>
    <w:rsid w:val="00B57B27"/>
    <w:rsid w:val="00B57F98"/>
    <w:rsid w:val="00B604A4"/>
    <w:rsid w:val="00B6054C"/>
    <w:rsid w:val="00B60596"/>
    <w:rsid w:val="00B605A5"/>
    <w:rsid w:val="00B60F2C"/>
    <w:rsid w:val="00B612AE"/>
    <w:rsid w:val="00B62351"/>
    <w:rsid w:val="00B623B4"/>
    <w:rsid w:val="00B623FC"/>
    <w:rsid w:val="00B626D4"/>
    <w:rsid w:val="00B62A44"/>
    <w:rsid w:val="00B63175"/>
    <w:rsid w:val="00B632E1"/>
    <w:rsid w:val="00B63341"/>
    <w:rsid w:val="00B6355C"/>
    <w:rsid w:val="00B640C3"/>
    <w:rsid w:val="00B6412D"/>
    <w:rsid w:val="00B646B4"/>
    <w:rsid w:val="00B64A72"/>
    <w:rsid w:val="00B64F60"/>
    <w:rsid w:val="00B65027"/>
    <w:rsid w:val="00B6545E"/>
    <w:rsid w:val="00B65478"/>
    <w:rsid w:val="00B65BBF"/>
    <w:rsid w:val="00B65F6A"/>
    <w:rsid w:val="00B663E8"/>
    <w:rsid w:val="00B665CB"/>
    <w:rsid w:val="00B668B0"/>
    <w:rsid w:val="00B66B01"/>
    <w:rsid w:val="00B67887"/>
    <w:rsid w:val="00B67AE2"/>
    <w:rsid w:val="00B70010"/>
    <w:rsid w:val="00B7002E"/>
    <w:rsid w:val="00B702F7"/>
    <w:rsid w:val="00B70E7A"/>
    <w:rsid w:val="00B70FBE"/>
    <w:rsid w:val="00B71A3E"/>
    <w:rsid w:val="00B71AA9"/>
    <w:rsid w:val="00B71D96"/>
    <w:rsid w:val="00B7212E"/>
    <w:rsid w:val="00B7231D"/>
    <w:rsid w:val="00B724AB"/>
    <w:rsid w:val="00B72DED"/>
    <w:rsid w:val="00B733F3"/>
    <w:rsid w:val="00B7367B"/>
    <w:rsid w:val="00B7374B"/>
    <w:rsid w:val="00B73D6F"/>
    <w:rsid w:val="00B74514"/>
    <w:rsid w:val="00B7509A"/>
    <w:rsid w:val="00B757AC"/>
    <w:rsid w:val="00B7643D"/>
    <w:rsid w:val="00B76C72"/>
    <w:rsid w:val="00B76F3E"/>
    <w:rsid w:val="00B77017"/>
    <w:rsid w:val="00B7766A"/>
    <w:rsid w:val="00B77D93"/>
    <w:rsid w:val="00B77E47"/>
    <w:rsid w:val="00B80602"/>
    <w:rsid w:val="00B81392"/>
    <w:rsid w:val="00B815B0"/>
    <w:rsid w:val="00B81954"/>
    <w:rsid w:val="00B81AE0"/>
    <w:rsid w:val="00B827A4"/>
    <w:rsid w:val="00B82B86"/>
    <w:rsid w:val="00B82BC1"/>
    <w:rsid w:val="00B82E9C"/>
    <w:rsid w:val="00B8315B"/>
    <w:rsid w:val="00B83D0A"/>
    <w:rsid w:val="00B84015"/>
    <w:rsid w:val="00B84144"/>
    <w:rsid w:val="00B842A6"/>
    <w:rsid w:val="00B84636"/>
    <w:rsid w:val="00B84B13"/>
    <w:rsid w:val="00B84C94"/>
    <w:rsid w:val="00B8533B"/>
    <w:rsid w:val="00B85C59"/>
    <w:rsid w:val="00B85E0D"/>
    <w:rsid w:val="00B862F4"/>
    <w:rsid w:val="00B86732"/>
    <w:rsid w:val="00B86A27"/>
    <w:rsid w:val="00B86DA5"/>
    <w:rsid w:val="00B878AC"/>
    <w:rsid w:val="00B87D8C"/>
    <w:rsid w:val="00B901AB"/>
    <w:rsid w:val="00B90611"/>
    <w:rsid w:val="00B90638"/>
    <w:rsid w:val="00B914EB"/>
    <w:rsid w:val="00B91904"/>
    <w:rsid w:val="00B927B3"/>
    <w:rsid w:val="00B93D8F"/>
    <w:rsid w:val="00B93FFC"/>
    <w:rsid w:val="00B94312"/>
    <w:rsid w:val="00B94F50"/>
    <w:rsid w:val="00B95C7B"/>
    <w:rsid w:val="00B96355"/>
    <w:rsid w:val="00B9653E"/>
    <w:rsid w:val="00B96D0B"/>
    <w:rsid w:val="00B96F63"/>
    <w:rsid w:val="00B972E9"/>
    <w:rsid w:val="00B97B9E"/>
    <w:rsid w:val="00BA0050"/>
    <w:rsid w:val="00BA0797"/>
    <w:rsid w:val="00BA16EA"/>
    <w:rsid w:val="00BA1D9D"/>
    <w:rsid w:val="00BA2651"/>
    <w:rsid w:val="00BA279B"/>
    <w:rsid w:val="00BA2D16"/>
    <w:rsid w:val="00BA33BF"/>
    <w:rsid w:val="00BA34DD"/>
    <w:rsid w:val="00BA36C0"/>
    <w:rsid w:val="00BA4213"/>
    <w:rsid w:val="00BA4CC5"/>
    <w:rsid w:val="00BA4EAF"/>
    <w:rsid w:val="00BA53BC"/>
    <w:rsid w:val="00BA550E"/>
    <w:rsid w:val="00BA5EC6"/>
    <w:rsid w:val="00BA634D"/>
    <w:rsid w:val="00BA6435"/>
    <w:rsid w:val="00BA7217"/>
    <w:rsid w:val="00BA7345"/>
    <w:rsid w:val="00BA77A0"/>
    <w:rsid w:val="00BA782E"/>
    <w:rsid w:val="00BB06F5"/>
    <w:rsid w:val="00BB0C2A"/>
    <w:rsid w:val="00BB0C2B"/>
    <w:rsid w:val="00BB172F"/>
    <w:rsid w:val="00BB19B3"/>
    <w:rsid w:val="00BB220F"/>
    <w:rsid w:val="00BB235C"/>
    <w:rsid w:val="00BB24C8"/>
    <w:rsid w:val="00BB3034"/>
    <w:rsid w:val="00BB32D8"/>
    <w:rsid w:val="00BB3379"/>
    <w:rsid w:val="00BB35F6"/>
    <w:rsid w:val="00BB3F21"/>
    <w:rsid w:val="00BB48B2"/>
    <w:rsid w:val="00BB492B"/>
    <w:rsid w:val="00BB49FE"/>
    <w:rsid w:val="00BB4AE7"/>
    <w:rsid w:val="00BB4B71"/>
    <w:rsid w:val="00BB4D3C"/>
    <w:rsid w:val="00BB513F"/>
    <w:rsid w:val="00BB5534"/>
    <w:rsid w:val="00BB6149"/>
    <w:rsid w:val="00BB6562"/>
    <w:rsid w:val="00BB66E5"/>
    <w:rsid w:val="00BB686F"/>
    <w:rsid w:val="00BB6E90"/>
    <w:rsid w:val="00BB6FEA"/>
    <w:rsid w:val="00BB76BC"/>
    <w:rsid w:val="00BB7E79"/>
    <w:rsid w:val="00BC044B"/>
    <w:rsid w:val="00BC07B9"/>
    <w:rsid w:val="00BC0F29"/>
    <w:rsid w:val="00BC1055"/>
    <w:rsid w:val="00BC11AF"/>
    <w:rsid w:val="00BC1B08"/>
    <w:rsid w:val="00BC1CDF"/>
    <w:rsid w:val="00BC1F3D"/>
    <w:rsid w:val="00BC2005"/>
    <w:rsid w:val="00BC202A"/>
    <w:rsid w:val="00BC237C"/>
    <w:rsid w:val="00BC28FF"/>
    <w:rsid w:val="00BC2A1B"/>
    <w:rsid w:val="00BC2C31"/>
    <w:rsid w:val="00BC3A4B"/>
    <w:rsid w:val="00BC4CA2"/>
    <w:rsid w:val="00BC522C"/>
    <w:rsid w:val="00BC547B"/>
    <w:rsid w:val="00BC59D6"/>
    <w:rsid w:val="00BC5A54"/>
    <w:rsid w:val="00BC5DC9"/>
    <w:rsid w:val="00BC603A"/>
    <w:rsid w:val="00BC65CC"/>
    <w:rsid w:val="00BC689F"/>
    <w:rsid w:val="00BC6B09"/>
    <w:rsid w:val="00BC6E92"/>
    <w:rsid w:val="00BC6F4D"/>
    <w:rsid w:val="00BC706D"/>
    <w:rsid w:val="00BC726A"/>
    <w:rsid w:val="00BC72D2"/>
    <w:rsid w:val="00BC73EB"/>
    <w:rsid w:val="00BC7591"/>
    <w:rsid w:val="00BC7685"/>
    <w:rsid w:val="00BC77D8"/>
    <w:rsid w:val="00BC7951"/>
    <w:rsid w:val="00BC7B1A"/>
    <w:rsid w:val="00BD03FF"/>
    <w:rsid w:val="00BD0A03"/>
    <w:rsid w:val="00BD1046"/>
    <w:rsid w:val="00BD10C0"/>
    <w:rsid w:val="00BD1471"/>
    <w:rsid w:val="00BD17D9"/>
    <w:rsid w:val="00BD225B"/>
    <w:rsid w:val="00BD22CE"/>
    <w:rsid w:val="00BD2BEE"/>
    <w:rsid w:val="00BD35E0"/>
    <w:rsid w:val="00BD3D18"/>
    <w:rsid w:val="00BD414F"/>
    <w:rsid w:val="00BD4774"/>
    <w:rsid w:val="00BD47FE"/>
    <w:rsid w:val="00BD4DEF"/>
    <w:rsid w:val="00BD4DF4"/>
    <w:rsid w:val="00BD5079"/>
    <w:rsid w:val="00BD53DA"/>
    <w:rsid w:val="00BD57BD"/>
    <w:rsid w:val="00BD5D39"/>
    <w:rsid w:val="00BD5EB2"/>
    <w:rsid w:val="00BD60B1"/>
    <w:rsid w:val="00BD6A70"/>
    <w:rsid w:val="00BD6C65"/>
    <w:rsid w:val="00BD6F4D"/>
    <w:rsid w:val="00BD740A"/>
    <w:rsid w:val="00BD7C19"/>
    <w:rsid w:val="00BE0163"/>
    <w:rsid w:val="00BE08FD"/>
    <w:rsid w:val="00BE0B96"/>
    <w:rsid w:val="00BE0BF7"/>
    <w:rsid w:val="00BE175D"/>
    <w:rsid w:val="00BE17A0"/>
    <w:rsid w:val="00BE1DC4"/>
    <w:rsid w:val="00BE308E"/>
    <w:rsid w:val="00BE3413"/>
    <w:rsid w:val="00BE3466"/>
    <w:rsid w:val="00BE376F"/>
    <w:rsid w:val="00BE3F07"/>
    <w:rsid w:val="00BE44C9"/>
    <w:rsid w:val="00BE4594"/>
    <w:rsid w:val="00BE45B4"/>
    <w:rsid w:val="00BE45D2"/>
    <w:rsid w:val="00BE4880"/>
    <w:rsid w:val="00BE48E8"/>
    <w:rsid w:val="00BE4A75"/>
    <w:rsid w:val="00BE50C6"/>
    <w:rsid w:val="00BE51CA"/>
    <w:rsid w:val="00BE51CD"/>
    <w:rsid w:val="00BE58AF"/>
    <w:rsid w:val="00BE65C8"/>
    <w:rsid w:val="00BE663D"/>
    <w:rsid w:val="00BE6812"/>
    <w:rsid w:val="00BE6C8C"/>
    <w:rsid w:val="00BE6DC9"/>
    <w:rsid w:val="00BE6DE5"/>
    <w:rsid w:val="00BF0283"/>
    <w:rsid w:val="00BF09EB"/>
    <w:rsid w:val="00BF0A41"/>
    <w:rsid w:val="00BF0F09"/>
    <w:rsid w:val="00BF0FFC"/>
    <w:rsid w:val="00BF1391"/>
    <w:rsid w:val="00BF14FB"/>
    <w:rsid w:val="00BF1684"/>
    <w:rsid w:val="00BF19CC"/>
    <w:rsid w:val="00BF1EE5"/>
    <w:rsid w:val="00BF296A"/>
    <w:rsid w:val="00BF2F89"/>
    <w:rsid w:val="00BF439C"/>
    <w:rsid w:val="00BF47E4"/>
    <w:rsid w:val="00BF485A"/>
    <w:rsid w:val="00BF48AC"/>
    <w:rsid w:val="00BF490B"/>
    <w:rsid w:val="00BF5E77"/>
    <w:rsid w:val="00BF5FBC"/>
    <w:rsid w:val="00BF665B"/>
    <w:rsid w:val="00BF6CF3"/>
    <w:rsid w:val="00BF6D43"/>
    <w:rsid w:val="00BF768D"/>
    <w:rsid w:val="00BF7A4B"/>
    <w:rsid w:val="00BF7CA4"/>
    <w:rsid w:val="00C00B4B"/>
    <w:rsid w:val="00C011FF"/>
    <w:rsid w:val="00C01AF0"/>
    <w:rsid w:val="00C023CB"/>
    <w:rsid w:val="00C02C13"/>
    <w:rsid w:val="00C02ED7"/>
    <w:rsid w:val="00C032C9"/>
    <w:rsid w:val="00C0368A"/>
    <w:rsid w:val="00C03991"/>
    <w:rsid w:val="00C04025"/>
    <w:rsid w:val="00C047FE"/>
    <w:rsid w:val="00C04B35"/>
    <w:rsid w:val="00C04DBF"/>
    <w:rsid w:val="00C04F8A"/>
    <w:rsid w:val="00C056E2"/>
    <w:rsid w:val="00C05C60"/>
    <w:rsid w:val="00C06C2D"/>
    <w:rsid w:val="00C06E65"/>
    <w:rsid w:val="00C070E5"/>
    <w:rsid w:val="00C071F2"/>
    <w:rsid w:val="00C073B4"/>
    <w:rsid w:val="00C073D2"/>
    <w:rsid w:val="00C1031A"/>
    <w:rsid w:val="00C10C48"/>
    <w:rsid w:val="00C10CE5"/>
    <w:rsid w:val="00C10F3B"/>
    <w:rsid w:val="00C1177C"/>
    <w:rsid w:val="00C11CFD"/>
    <w:rsid w:val="00C1226E"/>
    <w:rsid w:val="00C1234C"/>
    <w:rsid w:val="00C123A4"/>
    <w:rsid w:val="00C12C1C"/>
    <w:rsid w:val="00C135CA"/>
    <w:rsid w:val="00C13CAD"/>
    <w:rsid w:val="00C13D72"/>
    <w:rsid w:val="00C14EB7"/>
    <w:rsid w:val="00C150D6"/>
    <w:rsid w:val="00C15323"/>
    <w:rsid w:val="00C15C11"/>
    <w:rsid w:val="00C16376"/>
    <w:rsid w:val="00C16A64"/>
    <w:rsid w:val="00C16B59"/>
    <w:rsid w:val="00C171FA"/>
    <w:rsid w:val="00C176C2"/>
    <w:rsid w:val="00C17E59"/>
    <w:rsid w:val="00C20157"/>
    <w:rsid w:val="00C203A8"/>
    <w:rsid w:val="00C204EA"/>
    <w:rsid w:val="00C20601"/>
    <w:rsid w:val="00C20629"/>
    <w:rsid w:val="00C20686"/>
    <w:rsid w:val="00C2094E"/>
    <w:rsid w:val="00C210F4"/>
    <w:rsid w:val="00C2122B"/>
    <w:rsid w:val="00C21406"/>
    <w:rsid w:val="00C21B35"/>
    <w:rsid w:val="00C22D37"/>
    <w:rsid w:val="00C22FE6"/>
    <w:rsid w:val="00C23083"/>
    <w:rsid w:val="00C235B1"/>
    <w:rsid w:val="00C236C9"/>
    <w:rsid w:val="00C2373C"/>
    <w:rsid w:val="00C23EB4"/>
    <w:rsid w:val="00C2472D"/>
    <w:rsid w:val="00C24D6B"/>
    <w:rsid w:val="00C2551C"/>
    <w:rsid w:val="00C25596"/>
    <w:rsid w:val="00C25AD9"/>
    <w:rsid w:val="00C25B9A"/>
    <w:rsid w:val="00C2603C"/>
    <w:rsid w:val="00C26CA7"/>
    <w:rsid w:val="00C272B3"/>
    <w:rsid w:val="00C27840"/>
    <w:rsid w:val="00C27E28"/>
    <w:rsid w:val="00C27EE5"/>
    <w:rsid w:val="00C30B16"/>
    <w:rsid w:val="00C30DB5"/>
    <w:rsid w:val="00C312C2"/>
    <w:rsid w:val="00C31578"/>
    <w:rsid w:val="00C3170F"/>
    <w:rsid w:val="00C318CC"/>
    <w:rsid w:val="00C31D56"/>
    <w:rsid w:val="00C32310"/>
    <w:rsid w:val="00C32860"/>
    <w:rsid w:val="00C328E6"/>
    <w:rsid w:val="00C32EDE"/>
    <w:rsid w:val="00C32F11"/>
    <w:rsid w:val="00C331AE"/>
    <w:rsid w:val="00C33370"/>
    <w:rsid w:val="00C338F4"/>
    <w:rsid w:val="00C355AF"/>
    <w:rsid w:val="00C35DA1"/>
    <w:rsid w:val="00C35E59"/>
    <w:rsid w:val="00C36606"/>
    <w:rsid w:val="00C36E74"/>
    <w:rsid w:val="00C36F4A"/>
    <w:rsid w:val="00C373EC"/>
    <w:rsid w:val="00C379B7"/>
    <w:rsid w:val="00C37AA6"/>
    <w:rsid w:val="00C40040"/>
    <w:rsid w:val="00C40582"/>
    <w:rsid w:val="00C405B0"/>
    <w:rsid w:val="00C40916"/>
    <w:rsid w:val="00C413A2"/>
    <w:rsid w:val="00C4162F"/>
    <w:rsid w:val="00C41D4E"/>
    <w:rsid w:val="00C42196"/>
    <w:rsid w:val="00C4227D"/>
    <w:rsid w:val="00C429D9"/>
    <w:rsid w:val="00C42B66"/>
    <w:rsid w:val="00C4328F"/>
    <w:rsid w:val="00C4374E"/>
    <w:rsid w:val="00C4380D"/>
    <w:rsid w:val="00C43B1E"/>
    <w:rsid w:val="00C43E24"/>
    <w:rsid w:val="00C44061"/>
    <w:rsid w:val="00C44526"/>
    <w:rsid w:val="00C4485B"/>
    <w:rsid w:val="00C44B25"/>
    <w:rsid w:val="00C451F4"/>
    <w:rsid w:val="00C45EFE"/>
    <w:rsid w:val="00C4611C"/>
    <w:rsid w:val="00C46153"/>
    <w:rsid w:val="00C4653B"/>
    <w:rsid w:val="00C4655C"/>
    <w:rsid w:val="00C46699"/>
    <w:rsid w:val="00C46E69"/>
    <w:rsid w:val="00C479E8"/>
    <w:rsid w:val="00C503E7"/>
    <w:rsid w:val="00C51827"/>
    <w:rsid w:val="00C523D9"/>
    <w:rsid w:val="00C5249B"/>
    <w:rsid w:val="00C524AF"/>
    <w:rsid w:val="00C527CD"/>
    <w:rsid w:val="00C52C1F"/>
    <w:rsid w:val="00C53019"/>
    <w:rsid w:val="00C5317F"/>
    <w:rsid w:val="00C541BE"/>
    <w:rsid w:val="00C54E51"/>
    <w:rsid w:val="00C550DF"/>
    <w:rsid w:val="00C55DC3"/>
    <w:rsid w:val="00C55F49"/>
    <w:rsid w:val="00C56295"/>
    <w:rsid w:val="00C56356"/>
    <w:rsid w:val="00C564E5"/>
    <w:rsid w:val="00C57145"/>
    <w:rsid w:val="00C57AC0"/>
    <w:rsid w:val="00C57D91"/>
    <w:rsid w:val="00C60550"/>
    <w:rsid w:val="00C6062E"/>
    <w:rsid w:val="00C60CFA"/>
    <w:rsid w:val="00C60D34"/>
    <w:rsid w:val="00C612F9"/>
    <w:rsid w:val="00C612FF"/>
    <w:rsid w:val="00C617DD"/>
    <w:rsid w:val="00C62016"/>
    <w:rsid w:val="00C6208F"/>
    <w:rsid w:val="00C62A0B"/>
    <w:rsid w:val="00C62ACB"/>
    <w:rsid w:val="00C6334B"/>
    <w:rsid w:val="00C639AB"/>
    <w:rsid w:val="00C63FB7"/>
    <w:rsid w:val="00C64C3B"/>
    <w:rsid w:val="00C650AB"/>
    <w:rsid w:val="00C65A00"/>
    <w:rsid w:val="00C65D17"/>
    <w:rsid w:val="00C6616F"/>
    <w:rsid w:val="00C66475"/>
    <w:rsid w:val="00C667FF"/>
    <w:rsid w:val="00C669C3"/>
    <w:rsid w:val="00C66FD6"/>
    <w:rsid w:val="00C67364"/>
    <w:rsid w:val="00C67992"/>
    <w:rsid w:val="00C67ACC"/>
    <w:rsid w:val="00C705CC"/>
    <w:rsid w:val="00C70984"/>
    <w:rsid w:val="00C70D2A"/>
    <w:rsid w:val="00C715AA"/>
    <w:rsid w:val="00C71F9F"/>
    <w:rsid w:val="00C72271"/>
    <w:rsid w:val="00C72851"/>
    <w:rsid w:val="00C72DBE"/>
    <w:rsid w:val="00C73068"/>
    <w:rsid w:val="00C734FD"/>
    <w:rsid w:val="00C73972"/>
    <w:rsid w:val="00C74311"/>
    <w:rsid w:val="00C74496"/>
    <w:rsid w:val="00C74E61"/>
    <w:rsid w:val="00C74F69"/>
    <w:rsid w:val="00C7500F"/>
    <w:rsid w:val="00C751FD"/>
    <w:rsid w:val="00C75550"/>
    <w:rsid w:val="00C75B7C"/>
    <w:rsid w:val="00C764A3"/>
    <w:rsid w:val="00C7656F"/>
    <w:rsid w:val="00C76784"/>
    <w:rsid w:val="00C7679F"/>
    <w:rsid w:val="00C77586"/>
    <w:rsid w:val="00C77CF6"/>
    <w:rsid w:val="00C77D1E"/>
    <w:rsid w:val="00C77D83"/>
    <w:rsid w:val="00C80872"/>
    <w:rsid w:val="00C80A8D"/>
    <w:rsid w:val="00C80B2A"/>
    <w:rsid w:val="00C80C05"/>
    <w:rsid w:val="00C80E81"/>
    <w:rsid w:val="00C818DE"/>
    <w:rsid w:val="00C8194C"/>
    <w:rsid w:val="00C82279"/>
    <w:rsid w:val="00C82879"/>
    <w:rsid w:val="00C828BB"/>
    <w:rsid w:val="00C82E3F"/>
    <w:rsid w:val="00C8326B"/>
    <w:rsid w:val="00C83872"/>
    <w:rsid w:val="00C838B8"/>
    <w:rsid w:val="00C838F9"/>
    <w:rsid w:val="00C83D3E"/>
    <w:rsid w:val="00C84038"/>
    <w:rsid w:val="00C84B2A"/>
    <w:rsid w:val="00C84E20"/>
    <w:rsid w:val="00C8527D"/>
    <w:rsid w:val="00C86316"/>
    <w:rsid w:val="00C86C75"/>
    <w:rsid w:val="00C87024"/>
    <w:rsid w:val="00C87816"/>
    <w:rsid w:val="00C9028B"/>
    <w:rsid w:val="00C90942"/>
    <w:rsid w:val="00C90E4D"/>
    <w:rsid w:val="00C90F6A"/>
    <w:rsid w:val="00C91100"/>
    <w:rsid w:val="00C913A0"/>
    <w:rsid w:val="00C913D8"/>
    <w:rsid w:val="00C91E7D"/>
    <w:rsid w:val="00C92748"/>
    <w:rsid w:val="00C92887"/>
    <w:rsid w:val="00C931D1"/>
    <w:rsid w:val="00C935B0"/>
    <w:rsid w:val="00C9381F"/>
    <w:rsid w:val="00C93C5B"/>
    <w:rsid w:val="00C940B8"/>
    <w:rsid w:val="00C95293"/>
    <w:rsid w:val="00C96187"/>
    <w:rsid w:val="00C96FEF"/>
    <w:rsid w:val="00C975CD"/>
    <w:rsid w:val="00C977E7"/>
    <w:rsid w:val="00C97DF4"/>
    <w:rsid w:val="00C97F4A"/>
    <w:rsid w:val="00CA01AD"/>
    <w:rsid w:val="00CA02A1"/>
    <w:rsid w:val="00CA12B0"/>
    <w:rsid w:val="00CA138C"/>
    <w:rsid w:val="00CA160F"/>
    <w:rsid w:val="00CA1C26"/>
    <w:rsid w:val="00CA2227"/>
    <w:rsid w:val="00CA2314"/>
    <w:rsid w:val="00CA2345"/>
    <w:rsid w:val="00CA2418"/>
    <w:rsid w:val="00CA26E3"/>
    <w:rsid w:val="00CA28AB"/>
    <w:rsid w:val="00CA3378"/>
    <w:rsid w:val="00CA3EB5"/>
    <w:rsid w:val="00CA3F5A"/>
    <w:rsid w:val="00CA4018"/>
    <w:rsid w:val="00CA4462"/>
    <w:rsid w:val="00CA4A07"/>
    <w:rsid w:val="00CA5208"/>
    <w:rsid w:val="00CA53D2"/>
    <w:rsid w:val="00CA5761"/>
    <w:rsid w:val="00CA5AA0"/>
    <w:rsid w:val="00CA5B32"/>
    <w:rsid w:val="00CA5E9A"/>
    <w:rsid w:val="00CA621B"/>
    <w:rsid w:val="00CA6441"/>
    <w:rsid w:val="00CA65F8"/>
    <w:rsid w:val="00CA6A22"/>
    <w:rsid w:val="00CA6E09"/>
    <w:rsid w:val="00CA7213"/>
    <w:rsid w:val="00CA76E3"/>
    <w:rsid w:val="00CA7730"/>
    <w:rsid w:val="00CA7B68"/>
    <w:rsid w:val="00CB043F"/>
    <w:rsid w:val="00CB08B3"/>
    <w:rsid w:val="00CB0904"/>
    <w:rsid w:val="00CB0A4D"/>
    <w:rsid w:val="00CB0BB2"/>
    <w:rsid w:val="00CB1140"/>
    <w:rsid w:val="00CB176A"/>
    <w:rsid w:val="00CB1B32"/>
    <w:rsid w:val="00CB1C04"/>
    <w:rsid w:val="00CB222E"/>
    <w:rsid w:val="00CB22E6"/>
    <w:rsid w:val="00CB324C"/>
    <w:rsid w:val="00CB36AC"/>
    <w:rsid w:val="00CB38C0"/>
    <w:rsid w:val="00CB3A2D"/>
    <w:rsid w:val="00CB3D7B"/>
    <w:rsid w:val="00CB4623"/>
    <w:rsid w:val="00CB4B03"/>
    <w:rsid w:val="00CB4C34"/>
    <w:rsid w:val="00CB4E3D"/>
    <w:rsid w:val="00CB5934"/>
    <w:rsid w:val="00CB5BF6"/>
    <w:rsid w:val="00CB5D30"/>
    <w:rsid w:val="00CB683F"/>
    <w:rsid w:val="00CB694F"/>
    <w:rsid w:val="00CB6B00"/>
    <w:rsid w:val="00CB6C44"/>
    <w:rsid w:val="00CB7AF3"/>
    <w:rsid w:val="00CB7BC1"/>
    <w:rsid w:val="00CB7BE4"/>
    <w:rsid w:val="00CC0326"/>
    <w:rsid w:val="00CC047B"/>
    <w:rsid w:val="00CC0AFC"/>
    <w:rsid w:val="00CC0D6D"/>
    <w:rsid w:val="00CC1819"/>
    <w:rsid w:val="00CC19B1"/>
    <w:rsid w:val="00CC1E4C"/>
    <w:rsid w:val="00CC24D4"/>
    <w:rsid w:val="00CC24F0"/>
    <w:rsid w:val="00CC2653"/>
    <w:rsid w:val="00CC2B32"/>
    <w:rsid w:val="00CC2D26"/>
    <w:rsid w:val="00CC2F09"/>
    <w:rsid w:val="00CC32A0"/>
    <w:rsid w:val="00CC3304"/>
    <w:rsid w:val="00CC3A19"/>
    <w:rsid w:val="00CC3A50"/>
    <w:rsid w:val="00CC40D2"/>
    <w:rsid w:val="00CC47D0"/>
    <w:rsid w:val="00CC4873"/>
    <w:rsid w:val="00CC48EE"/>
    <w:rsid w:val="00CC4C74"/>
    <w:rsid w:val="00CC4E1E"/>
    <w:rsid w:val="00CC5592"/>
    <w:rsid w:val="00CC6786"/>
    <w:rsid w:val="00CC6A4E"/>
    <w:rsid w:val="00CC6AA4"/>
    <w:rsid w:val="00CC70CD"/>
    <w:rsid w:val="00CC7208"/>
    <w:rsid w:val="00CC74D8"/>
    <w:rsid w:val="00CC7588"/>
    <w:rsid w:val="00CC79C4"/>
    <w:rsid w:val="00CC7B1E"/>
    <w:rsid w:val="00CC7BB1"/>
    <w:rsid w:val="00CC7F36"/>
    <w:rsid w:val="00CD0965"/>
    <w:rsid w:val="00CD0BB6"/>
    <w:rsid w:val="00CD1976"/>
    <w:rsid w:val="00CD1A6C"/>
    <w:rsid w:val="00CD1D65"/>
    <w:rsid w:val="00CD1E9A"/>
    <w:rsid w:val="00CD266A"/>
    <w:rsid w:val="00CD2727"/>
    <w:rsid w:val="00CD2A1B"/>
    <w:rsid w:val="00CD2B06"/>
    <w:rsid w:val="00CD2DDB"/>
    <w:rsid w:val="00CD32AE"/>
    <w:rsid w:val="00CD3B46"/>
    <w:rsid w:val="00CD3E0C"/>
    <w:rsid w:val="00CD4861"/>
    <w:rsid w:val="00CD4AB6"/>
    <w:rsid w:val="00CD4EA1"/>
    <w:rsid w:val="00CD4ECF"/>
    <w:rsid w:val="00CD50A6"/>
    <w:rsid w:val="00CD5AA3"/>
    <w:rsid w:val="00CD5F96"/>
    <w:rsid w:val="00CD6CDC"/>
    <w:rsid w:val="00CD6DC2"/>
    <w:rsid w:val="00CD6ED7"/>
    <w:rsid w:val="00CD6F1D"/>
    <w:rsid w:val="00CD72B9"/>
    <w:rsid w:val="00CD7810"/>
    <w:rsid w:val="00CD787E"/>
    <w:rsid w:val="00CE01DD"/>
    <w:rsid w:val="00CE0F02"/>
    <w:rsid w:val="00CE15AA"/>
    <w:rsid w:val="00CE2129"/>
    <w:rsid w:val="00CE24D6"/>
    <w:rsid w:val="00CE2B39"/>
    <w:rsid w:val="00CE2E7E"/>
    <w:rsid w:val="00CE35EC"/>
    <w:rsid w:val="00CE3644"/>
    <w:rsid w:val="00CE49D5"/>
    <w:rsid w:val="00CE49E0"/>
    <w:rsid w:val="00CE50F7"/>
    <w:rsid w:val="00CE645B"/>
    <w:rsid w:val="00CE669A"/>
    <w:rsid w:val="00CE7044"/>
    <w:rsid w:val="00CE78A9"/>
    <w:rsid w:val="00CE7A18"/>
    <w:rsid w:val="00CF00E4"/>
    <w:rsid w:val="00CF0A97"/>
    <w:rsid w:val="00CF0B02"/>
    <w:rsid w:val="00CF1D02"/>
    <w:rsid w:val="00CF209D"/>
    <w:rsid w:val="00CF29A0"/>
    <w:rsid w:val="00CF2D94"/>
    <w:rsid w:val="00CF2F17"/>
    <w:rsid w:val="00CF2F79"/>
    <w:rsid w:val="00CF33DE"/>
    <w:rsid w:val="00CF3893"/>
    <w:rsid w:val="00CF3912"/>
    <w:rsid w:val="00CF4506"/>
    <w:rsid w:val="00CF45F9"/>
    <w:rsid w:val="00CF4A31"/>
    <w:rsid w:val="00CF5089"/>
    <w:rsid w:val="00CF544B"/>
    <w:rsid w:val="00CF6640"/>
    <w:rsid w:val="00CF7D6C"/>
    <w:rsid w:val="00D00495"/>
    <w:rsid w:val="00D007C3"/>
    <w:rsid w:val="00D00AB0"/>
    <w:rsid w:val="00D00B6E"/>
    <w:rsid w:val="00D011B7"/>
    <w:rsid w:val="00D01208"/>
    <w:rsid w:val="00D0149A"/>
    <w:rsid w:val="00D014BB"/>
    <w:rsid w:val="00D01A0E"/>
    <w:rsid w:val="00D0318E"/>
    <w:rsid w:val="00D03231"/>
    <w:rsid w:val="00D03552"/>
    <w:rsid w:val="00D03570"/>
    <w:rsid w:val="00D03918"/>
    <w:rsid w:val="00D03E96"/>
    <w:rsid w:val="00D04038"/>
    <w:rsid w:val="00D050E4"/>
    <w:rsid w:val="00D053DA"/>
    <w:rsid w:val="00D05632"/>
    <w:rsid w:val="00D05AA0"/>
    <w:rsid w:val="00D06056"/>
    <w:rsid w:val="00D0607B"/>
    <w:rsid w:val="00D06669"/>
    <w:rsid w:val="00D0689E"/>
    <w:rsid w:val="00D073A8"/>
    <w:rsid w:val="00D07522"/>
    <w:rsid w:val="00D077BF"/>
    <w:rsid w:val="00D07DB2"/>
    <w:rsid w:val="00D10007"/>
    <w:rsid w:val="00D10265"/>
    <w:rsid w:val="00D107E1"/>
    <w:rsid w:val="00D1098C"/>
    <w:rsid w:val="00D1133E"/>
    <w:rsid w:val="00D11E89"/>
    <w:rsid w:val="00D12787"/>
    <w:rsid w:val="00D12FE9"/>
    <w:rsid w:val="00D13325"/>
    <w:rsid w:val="00D143E9"/>
    <w:rsid w:val="00D146DB"/>
    <w:rsid w:val="00D148DA"/>
    <w:rsid w:val="00D14C62"/>
    <w:rsid w:val="00D161FC"/>
    <w:rsid w:val="00D16CFE"/>
    <w:rsid w:val="00D16D9E"/>
    <w:rsid w:val="00D16F7E"/>
    <w:rsid w:val="00D172BE"/>
    <w:rsid w:val="00D17457"/>
    <w:rsid w:val="00D1769B"/>
    <w:rsid w:val="00D17790"/>
    <w:rsid w:val="00D201C1"/>
    <w:rsid w:val="00D20D69"/>
    <w:rsid w:val="00D21931"/>
    <w:rsid w:val="00D21F13"/>
    <w:rsid w:val="00D22261"/>
    <w:rsid w:val="00D22272"/>
    <w:rsid w:val="00D224FB"/>
    <w:rsid w:val="00D22DFC"/>
    <w:rsid w:val="00D232E4"/>
    <w:rsid w:val="00D25726"/>
    <w:rsid w:val="00D257C9"/>
    <w:rsid w:val="00D26073"/>
    <w:rsid w:val="00D261CB"/>
    <w:rsid w:val="00D271DE"/>
    <w:rsid w:val="00D27695"/>
    <w:rsid w:val="00D27F8C"/>
    <w:rsid w:val="00D30287"/>
    <w:rsid w:val="00D304CF"/>
    <w:rsid w:val="00D30EC9"/>
    <w:rsid w:val="00D31255"/>
    <w:rsid w:val="00D31434"/>
    <w:rsid w:val="00D318D8"/>
    <w:rsid w:val="00D3199F"/>
    <w:rsid w:val="00D31F5B"/>
    <w:rsid w:val="00D32106"/>
    <w:rsid w:val="00D326A3"/>
    <w:rsid w:val="00D32888"/>
    <w:rsid w:val="00D32904"/>
    <w:rsid w:val="00D32A75"/>
    <w:rsid w:val="00D33DF7"/>
    <w:rsid w:val="00D33EB0"/>
    <w:rsid w:val="00D34374"/>
    <w:rsid w:val="00D34FAD"/>
    <w:rsid w:val="00D35733"/>
    <w:rsid w:val="00D35DD7"/>
    <w:rsid w:val="00D36487"/>
    <w:rsid w:val="00D364EC"/>
    <w:rsid w:val="00D36B91"/>
    <w:rsid w:val="00D36DFE"/>
    <w:rsid w:val="00D37344"/>
    <w:rsid w:val="00D37FCF"/>
    <w:rsid w:val="00D40038"/>
    <w:rsid w:val="00D40054"/>
    <w:rsid w:val="00D400AB"/>
    <w:rsid w:val="00D4043D"/>
    <w:rsid w:val="00D40911"/>
    <w:rsid w:val="00D40AA2"/>
    <w:rsid w:val="00D40AA8"/>
    <w:rsid w:val="00D40C2A"/>
    <w:rsid w:val="00D41194"/>
    <w:rsid w:val="00D4128F"/>
    <w:rsid w:val="00D415FE"/>
    <w:rsid w:val="00D419D0"/>
    <w:rsid w:val="00D41F79"/>
    <w:rsid w:val="00D42057"/>
    <w:rsid w:val="00D42D31"/>
    <w:rsid w:val="00D4302F"/>
    <w:rsid w:val="00D43491"/>
    <w:rsid w:val="00D436AB"/>
    <w:rsid w:val="00D449C2"/>
    <w:rsid w:val="00D44B30"/>
    <w:rsid w:val="00D44C4C"/>
    <w:rsid w:val="00D44F95"/>
    <w:rsid w:val="00D450F4"/>
    <w:rsid w:val="00D45222"/>
    <w:rsid w:val="00D4590E"/>
    <w:rsid w:val="00D45B55"/>
    <w:rsid w:val="00D4672D"/>
    <w:rsid w:val="00D468F9"/>
    <w:rsid w:val="00D46CE0"/>
    <w:rsid w:val="00D47850"/>
    <w:rsid w:val="00D50AEE"/>
    <w:rsid w:val="00D50DEA"/>
    <w:rsid w:val="00D510B1"/>
    <w:rsid w:val="00D515AE"/>
    <w:rsid w:val="00D52869"/>
    <w:rsid w:val="00D52DE0"/>
    <w:rsid w:val="00D54057"/>
    <w:rsid w:val="00D54E2B"/>
    <w:rsid w:val="00D55511"/>
    <w:rsid w:val="00D555B8"/>
    <w:rsid w:val="00D55FD0"/>
    <w:rsid w:val="00D560D3"/>
    <w:rsid w:val="00D562B9"/>
    <w:rsid w:val="00D563A8"/>
    <w:rsid w:val="00D56DFB"/>
    <w:rsid w:val="00D5725B"/>
    <w:rsid w:val="00D57A85"/>
    <w:rsid w:val="00D60A5B"/>
    <w:rsid w:val="00D60D50"/>
    <w:rsid w:val="00D60EF7"/>
    <w:rsid w:val="00D611EA"/>
    <w:rsid w:val="00D61BBB"/>
    <w:rsid w:val="00D61DCA"/>
    <w:rsid w:val="00D6370B"/>
    <w:rsid w:val="00D6396E"/>
    <w:rsid w:val="00D639B9"/>
    <w:rsid w:val="00D63AEF"/>
    <w:rsid w:val="00D63C8F"/>
    <w:rsid w:val="00D63E80"/>
    <w:rsid w:val="00D642E5"/>
    <w:rsid w:val="00D647C6"/>
    <w:rsid w:val="00D64D66"/>
    <w:rsid w:val="00D6501A"/>
    <w:rsid w:val="00D65277"/>
    <w:rsid w:val="00D65643"/>
    <w:rsid w:val="00D659F4"/>
    <w:rsid w:val="00D659F8"/>
    <w:rsid w:val="00D65BF2"/>
    <w:rsid w:val="00D65E3B"/>
    <w:rsid w:val="00D65E53"/>
    <w:rsid w:val="00D661D1"/>
    <w:rsid w:val="00D66368"/>
    <w:rsid w:val="00D66B0A"/>
    <w:rsid w:val="00D67356"/>
    <w:rsid w:val="00D67420"/>
    <w:rsid w:val="00D677E2"/>
    <w:rsid w:val="00D67805"/>
    <w:rsid w:val="00D67E0C"/>
    <w:rsid w:val="00D70229"/>
    <w:rsid w:val="00D7024B"/>
    <w:rsid w:val="00D70419"/>
    <w:rsid w:val="00D707DB"/>
    <w:rsid w:val="00D70CC3"/>
    <w:rsid w:val="00D71541"/>
    <w:rsid w:val="00D718C4"/>
    <w:rsid w:val="00D71DD2"/>
    <w:rsid w:val="00D73B28"/>
    <w:rsid w:val="00D74030"/>
    <w:rsid w:val="00D74038"/>
    <w:rsid w:val="00D744EB"/>
    <w:rsid w:val="00D7486C"/>
    <w:rsid w:val="00D7490C"/>
    <w:rsid w:val="00D749BC"/>
    <w:rsid w:val="00D74A96"/>
    <w:rsid w:val="00D74B14"/>
    <w:rsid w:val="00D755AA"/>
    <w:rsid w:val="00D75AE7"/>
    <w:rsid w:val="00D75D60"/>
    <w:rsid w:val="00D75FC3"/>
    <w:rsid w:val="00D76DBA"/>
    <w:rsid w:val="00D77191"/>
    <w:rsid w:val="00D77857"/>
    <w:rsid w:val="00D77AF0"/>
    <w:rsid w:val="00D77E0C"/>
    <w:rsid w:val="00D8011F"/>
    <w:rsid w:val="00D80512"/>
    <w:rsid w:val="00D807A2"/>
    <w:rsid w:val="00D80983"/>
    <w:rsid w:val="00D80CD7"/>
    <w:rsid w:val="00D814F6"/>
    <w:rsid w:val="00D81726"/>
    <w:rsid w:val="00D8216D"/>
    <w:rsid w:val="00D82420"/>
    <w:rsid w:val="00D82473"/>
    <w:rsid w:val="00D82588"/>
    <w:rsid w:val="00D825D7"/>
    <w:rsid w:val="00D82CF0"/>
    <w:rsid w:val="00D830B5"/>
    <w:rsid w:val="00D83175"/>
    <w:rsid w:val="00D834FC"/>
    <w:rsid w:val="00D836CC"/>
    <w:rsid w:val="00D83A04"/>
    <w:rsid w:val="00D84DF7"/>
    <w:rsid w:val="00D84FFF"/>
    <w:rsid w:val="00D856D4"/>
    <w:rsid w:val="00D85777"/>
    <w:rsid w:val="00D858D8"/>
    <w:rsid w:val="00D85A95"/>
    <w:rsid w:val="00D85BEB"/>
    <w:rsid w:val="00D8650E"/>
    <w:rsid w:val="00D86950"/>
    <w:rsid w:val="00D87473"/>
    <w:rsid w:val="00D874CB"/>
    <w:rsid w:val="00D87D38"/>
    <w:rsid w:val="00D87E19"/>
    <w:rsid w:val="00D91368"/>
    <w:rsid w:val="00D9164F"/>
    <w:rsid w:val="00D918B1"/>
    <w:rsid w:val="00D91CEB"/>
    <w:rsid w:val="00D91D8D"/>
    <w:rsid w:val="00D92803"/>
    <w:rsid w:val="00D92A9F"/>
    <w:rsid w:val="00D92E6B"/>
    <w:rsid w:val="00D931C4"/>
    <w:rsid w:val="00D95007"/>
    <w:rsid w:val="00D9521D"/>
    <w:rsid w:val="00D956AA"/>
    <w:rsid w:val="00D96D04"/>
    <w:rsid w:val="00D96DA9"/>
    <w:rsid w:val="00D972D3"/>
    <w:rsid w:val="00D97694"/>
    <w:rsid w:val="00D97A50"/>
    <w:rsid w:val="00D97AF9"/>
    <w:rsid w:val="00D97BD6"/>
    <w:rsid w:val="00D97DF4"/>
    <w:rsid w:val="00DA0224"/>
    <w:rsid w:val="00DA04AF"/>
    <w:rsid w:val="00DA05C4"/>
    <w:rsid w:val="00DA084F"/>
    <w:rsid w:val="00DA09C7"/>
    <w:rsid w:val="00DA0A11"/>
    <w:rsid w:val="00DA1975"/>
    <w:rsid w:val="00DA1AF9"/>
    <w:rsid w:val="00DA27B6"/>
    <w:rsid w:val="00DA2A91"/>
    <w:rsid w:val="00DA2CE5"/>
    <w:rsid w:val="00DA2E78"/>
    <w:rsid w:val="00DA3053"/>
    <w:rsid w:val="00DA3226"/>
    <w:rsid w:val="00DA322B"/>
    <w:rsid w:val="00DA3244"/>
    <w:rsid w:val="00DA327B"/>
    <w:rsid w:val="00DA336D"/>
    <w:rsid w:val="00DA364D"/>
    <w:rsid w:val="00DA3B64"/>
    <w:rsid w:val="00DA4079"/>
    <w:rsid w:val="00DA44A6"/>
    <w:rsid w:val="00DA4A34"/>
    <w:rsid w:val="00DA4ACA"/>
    <w:rsid w:val="00DA4C38"/>
    <w:rsid w:val="00DA5594"/>
    <w:rsid w:val="00DA5982"/>
    <w:rsid w:val="00DA5AB4"/>
    <w:rsid w:val="00DA5F1A"/>
    <w:rsid w:val="00DA6471"/>
    <w:rsid w:val="00DA7366"/>
    <w:rsid w:val="00DA77F9"/>
    <w:rsid w:val="00DA7930"/>
    <w:rsid w:val="00DB014B"/>
    <w:rsid w:val="00DB0200"/>
    <w:rsid w:val="00DB09CA"/>
    <w:rsid w:val="00DB0B04"/>
    <w:rsid w:val="00DB0B68"/>
    <w:rsid w:val="00DB0EEE"/>
    <w:rsid w:val="00DB1738"/>
    <w:rsid w:val="00DB17D6"/>
    <w:rsid w:val="00DB22ED"/>
    <w:rsid w:val="00DB3A19"/>
    <w:rsid w:val="00DB3A1A"/>
    <w:rsid w:val="00DB44FE"/>
    <w:rsid w:val="00DB46FA"/>
    <w:rsid w:val="00DB4B35"/>
    <w:rsid w:val="00DB4B89"/>
    <w:rsid w:val="00DB4E3F"/>
    <w:rsid w:val="00DB581D"/>
    <w:rsid w:val="00DB5B69"/>
    <w:rsid w:val="00DB5B78"/>
    <w:rsid w:val="00DB5CAD"/>
    <w:rsid w:val="00DB683D"/>
    <w:rsid w:val="00DB68DD"/>
    <w:rsid w:val="00DB68FA"/>
    <w:rsid w:val="00DB69B8"/>
    <w:rsid w:val="00DB6F7E"/>
    <w:rsid w:val="00DB7220"/>
    <w:rsid w:val="00DB753F"/>
    <w:rsid w:val="00DB7C12"/>
    <w:rsid w:val="00DB7FFA"/>
    <w:rsid w:val="00DC09B8"/>
    <w:rsid w:val="00DC0C86"/>
    <w:rsid w:val="00DC10B5"/>
    <w:rsid w:val="00DC24A3"/>
    <w:rsid w:val="00DC252A"/>
    <w:rsid w:val="00DC27F6"/>
    <w:rsid w:val="00DC2808"/>
    <w:rsid w:val="00DC2DC3"/>
    <w:rsid w:val="00DC2E4D"/>
    <w:rsid w:val="00DC31A3"/>
    <w:rsid w:val="00DC3987"/>
    <w:rsid w:val="00DC3A36"/>
    <w:rsid w:val="00DC3A81"/>
    <w:rsid w:val="00DC3DC2"/>
    <w:rsid w:val="00DC3F08"/>
    <w:rsid w:val="00DC3F64"/>
    <w:rsid w:val="00DC4B66"/>
    <w:rsid w:val="00DC4CFA"/>
    <w:rsid w:val="00DC524B"/>
    <w:rsid w:val="00DC5260"/>
    <w:rsid w:val="00DC5730"/>
    <w:rsid w:val="00DC5937"/>
    <w:rsid w:val="00DC6097"/>
    <w:rsid w:val="00DC6322"/>
    <w:rsid w:val="00DC6451"/>
    <w:rsid w:val="00DC65DB"/>
    <w:rsid w:val="00DC6891"/>
    <w:rsid w:val="00DC68E8"/>
    <w:rsid w:val="00DC6A47"/>
    <w:rsid w:val="00DC6D1F"/>
    <w:rsid w:val="00DC6D53"/>
    <w:rsid w:val="00DC7172"/>
    <w:rsid w:val="00DC7633"/>
    <w:rsid w:val="00DC7B5D"/>
    <w:rsid w:val="00DD00DA"/>
    <w:rsid w:val="00DD054E"/>
    <w:rsid w:val="00DD05A5"/>
    <w:rsid w:val="00DD09EC"/>
    <w:rsid w:val="00DD0A97"/>
    <w:rsid w:val="00DD2628"/>
    <w:rsid w:val="00DD2886"/>
    <w:rsid w:val="00DD32BF"/>
    <w:rsid w:val="00DD3342"/>
    <w:rsid w:val="00DD3A89"/>
    <w:rsid w:val="00DD3AA2"/>
    <w:rsid w:val="00DD479D"/>
    <w:rsid w:val="00DD5824"/>
    <w:rsid w:val="00DD6560"/>
    <w:rsid w:val="00DD6689"/>
    <w:rsid w:val="00DD6BD3"/>
    <w:rsid w:val="00DD6CA2"/>
    <w:rsid w:val="00DD6D7A"/>
    <w:rsid w:val="00DD790E"/>
    <w:rsid w:val="00DD7D59"/>
    <w:rsid w:val="00DD7F11"/>
    <w:rsid w:val="00DE08CE"/>
    <w:rsid w:val="00DE0ADC"/>
    <w:rsid w:val="00DE0CF2"/>
    <w:rsid w:val="00DE0E31"/>
    <w:rsid w:val="00DE13A9"/>
    <w:rsid w:val="00DE13CB"/>
    <w:rsid w:val="00DE14B2"/>
    <w:rsid w:val="00DE1E95"/>
    <w:rsid w:val="00DE2269"/>
    <w:rsid w:val="00DE2E62"/>
    <w:rsid w:val="00DE30D7"/>
    <w:rsid w:val="00DE3217"/>
    <w:rsid w:val="00DE341D"/>
    <w:rsid w:val="00DE3533"/>
    <w:rsid w:val="00DE37D2"/>
    <w:rsid w:val="00DE386E"/>
    <w:rsid w:val="00DE3AA4"/>
    <w:rsid w:val="00DE3E3C"/>
    <w:rsid w:val="00DE448B"/>
    <w:rsid w:val="00DE5424"/>
    <w:rsid w:val="00DE5893"/>
    <w:rsid w:val="00DE5AC4"/>
    <w:rsid w:val="00DE5E54"/>
    <w:rsid w:val="00DE5E85"/>
    <w:rsid w:val="00DE61E5"/>
    <w:rsid w:val="00DE68B0"/>
    <w:rsid w:val="00DE6957"/>
    <w:rsid w:val="00DE6A10"/>
    <w:rsid w:val="00DE6DE1"/>
    <w:rsid w:val="00DE6F3B"/>
    <w:rsid w:val="00DE6F93"/>
    <w:rsid w:val="00DE728F"/>
    <w:rsid w:val="00DE79CB"/>
    <w:rsid w:val="00DE7D17"/>
    <w:rsid w:val="00DF01DB"/>
    <w:rsid w:val="00DF02D9"/>
    <w:rsid w:val="00DF043D"/>
    <w:rsid w:val="00DF1EFD"/>
    <w:rsid w:val="00DF214E"/>
    <w:rsid w:val="00DF21EB"/>
    <w:rsid w:val="00DF30AB"/>
    <w:rsid w:val="00DF33A7"/>
    <w:rsid w:val="00DF33FB"/>
    <w:rsid w:val="00DF373C"/>
    <w:rsid w:val="00DF3800"/>
    <w:rsid w:val="00DF381A"/>
    <w:rsid w:val="00DF4631"/>
    <w:rsid w:val="00DF4650"/>
    <w:rsid w:val="00DF4C2E"/>
    <w:rsid w:val="00DF4C66"/>
    <w:rsid w:val="00DF5E62"/>
    <w:rsid w:val="00DF6CE6"/>
    <w:rsid w:val="00DF6FEC"/>
    <w:rsid w:val="00E001B4"/>
    <w:rsid w:val="00E0095E"/>
    <w:rsid w:val="00E00F3A"/>
    <w:rsid w:val="00E00FF2"/>
    <w:rsid w:val="00E01328"/>
    <w:rsid w:val="00E0182C"/>
    <w:rsid w:val="00E018D8"/>
    <w:rsid w:val="00E0196E"/>
    <w:rsid w:val="00E02744"/>
    <w:rsid w:val="00E0278F"/>
    <w:rsid w:val="00E03152"/>
    <w:rsid w:val="00E0341D"/>
    <w:rsid w:val="00E03B23"/>
    <w:rsid w:val="00E0441A"/>
    <w:rsid w:val="00E04451"/>
    <w:rsid w:val="00E04511"/>
    <w:rsid w:val="00E0467C"/>
    <w:rsid w:val="00E04971"/>
    <w:rsid w:val="00E0505B"/>
    <w:rsid w:val="00E050F9"/>
    <w:rsid w:val="00E054CE"/>
    <w:rsid w:val="00E05914"/>
    <w:rsid w:val="00E05BB2"/>
    <w:rsid w:val="00E060F2"/>
    <w:rsid w:val="00E077B7"/>
    <w:rsid w:val="00E07A51"/>
    <w:rsid w:val="00E07D32"/>
    <w:rsid w:val="00E07FB4"/>
    <w:rsid w:val="00E07FDB"/>
    <w:rsid w:val="00E101C3"/>
    <w:rsid w:val="00E1021B"/>
    <w:rsid w:val="00E10273"/>
    <w:rsid w:val="00E102B4"/>
    <w:rsid w:val="00E10392"/>
    <w:rsid w:val="00E10404"/>
    <w:rsid w:val="00E10546"/>
    <w:rsid w:val="00E107B4"/>
    <w:rsid w:val="00E10D65"/>
    <w:rsid w:val="00E11E8A"/>
    <w:rsid w:val="00E12358"/>
    <w:rsid w:val="00E12432"/>
    <w:rsid w:val="00E12796"/>
    <w:rsid w:val="00E1298B"/>
    <w:rsid w:val="00E13196"/>
    <w:rsid w:val="00E137AC"/>
    <w:rsid w:val="00E13853"/>
    <w:rsid w:val="00E13C91"/>
    <w:rsid w:val="00E144E4"/>
    <w:rsid w:val="00E1471B"/>
    <w:rsid w:val="00E15173"/>
    <w:rsid w:val="00E152E4"/>
    <w:rsid w:val="00E153A3"/>
    <w:rsid w:val="00E15C6E"/>
    <w:rsid w:val="00E163B7"/>
    <w:rsid w:val="00E164ED"/>
    <w:rsid w:val="00E165B2"/>
    <w:rsid w:val="00E16A48"/>
    <w:rsid w:val="00E16B75"/>
    <w:rsid w:val="00E16E64"/>
    <w:rsid w:val="00E16F9B"/>
    <w:rsid w:val="00E171B9"/>
    <w:rsid w:val="00E177AB"/>
    <w:rsid w:val="00E20017"/>
    <w:rsid w:val="00E201A9"/>
    <w:rsid w:val="00E20892"/>
    <w:rsid w:val="00E20FD9"/>
    <w:rsid w:val="00E21475"/>
    <w:rsid w:val="00E216AB"/>
    <w:rsid w:val="00E21907"/>
    <w:rsid w:val="00E21D1D"/>
    <w:rsid w:val="00E2216A"/>
    <w:rsid w:val="00E2282D"/>
    <w:rsid w:val="00E22AE0"/>
    <w:rsid w:val="00E22DEA"/>
    <w:rsid w:val="00E22E98"/>
    <w:rsid w:val="00E22EB2"/>
    <w:rsid w:val="00E23437"/>
    <w:rsid w:val="00E23D24"/>
    <w:rsid w:val="00E23D76"/>
    <w:rsid w:val="00E240EE"/>
    <w:rsid w:val="00E25469"/>
    <w:rsid w:val="00E258E7"/>
    <w:rsid w:val="00E266AA"/>
    <w:rsid w:val="00E266AB"/>
    <w:rsid w:val="00E26990"/>
    <w:rsid w:val="00E26BE6"/>
    <w:rsid w:val="00E27784"/>
    <w:rsid w:val="00E303EA"/>
    <w:rsid w:val="00E30A43"/>
    <w:rsid w:val="00E3129D"/>
    <w:rsid w:val="00E31B35"/>
    <w:rsid w:val="00E31B4B"/>
    <w:rsid w:val="00E31CC5"/>
    <w:rsid w:val="00E31F71"/>
    <w:rsid w:val="00E320DC"/>
    <w:rsid w:val="00E32B29"/>
    <w:rsid w:val="00E33061"/>
    <w:rsid w:val="00E33984"/>
    <w:rsid w:val="00E344AA"/>
    <w:rsid w:val="00E34641"/>
    <w:rsid w:val="00E35489"/>
    <w:rsid w:val="00E35E0F"/>
    <w:rsid w:val="00E36F45"/>
    <w:rsid w:val="00E37132"/>
    <w:rsid w:val="00E37AEF"/>
    <w:rsid w:val="00E40008"/>
    <w:rsid w:val="00E42641"/>
    <w:rsid w:val="00E42DFD"/>
    <w:rsid w:val="00E43356"/>
    <w:rsid w:val="00E43460"/>
    <w:rsid w:val="00E43561"/>
    <w:rsid w:val="00E4357E"/>
    <w:rsid w:val="00E43843"/>
    <w:rsid w:val="00E439B5"/>
    <w:rsid w:val="00E4439F"/>
    <w:rsid w:val="00E444E7"/>
    <w:rsid w:val="00E454A0"/>
    <w:rsid w:val="00E455E7"/>
    <w:rsid w:val="00E45BE2"/>
    <w:rsid w:val="00E45D49"/>
    <w:rsid w:val="00E46404"/>
    <w:rsid w:val="00E46CB7"/>
    <w:rsid w:val="00E46D8C"/>
    <w:rsid w:val="00E4705D"/>
    <w:rsid w:val="00E4778B"/>
    <w:rsid w:val="00E47DC7"/>
    <w:rsid w:val="00E47E33"/>
    <w:rsid w:val="00E502EB"/>
    <w:rsid w:val="00E51147"/>
    <w:rsid w:val="00E51322"/>
    <w:rsid w:val="00E5133B"/>
    <w:rsid w:val="00E51856"/>
    <w:rsid w:val="00E51B58"/>
    <w:rsid w:val="00E51C14"/>
    <w:rsid w:val="00E51E6E"/>
    <w:rsid w:val="00E522D6"/>
    <w:rsid w:val="00E5235C"/>
    <w:rsid w:val="00E528EB"/>
    <w:rsid w:val="00E52F17"/>
    <w:rsid w:val="00E530E5"/>
    <w:rsid w:val="00E535D8"/>
    <w:rsid w:val="00E53787"/>
    <w:rsid w:val="00E5391B"/>
    <w:rsid w:val="00E539B1"/>
    <w:rsid w:val="00E540F9"/>
    <w:rsid w:val="00E54661"/>
    <w:rsid w:val="00E547CE"/>
    <w:rsid w:val="00E54CD2"/>
    <w:rsid w:val="00E54CFF"/>
    <w:rsid w:val="00E54EB1"/>
    <w:rsid w:val="00E551B0"/>
    <w:rsid w:val="00E55215"/>
    <w:rsid w:val="00E55432"/>
    <w:rsid w:val="00E55467"/>
    <w:rsid w:val="00E557EB"/>
    <w:rsid w:val="00E55DA7"/>
    <w:rsid w:val="00E56024"/>
    <w:rsid w:val="00E5624F"/>
    <w:rsid w:val="00E562E2"/>
    <w:rsid w:val="00E563E9"/>
    <w:rsid w:val="00E56C57"/>
    <w:rsid w:val="00E56C60"/>
    <w:rsid w:val="00E57096"/>
    <w:rsid w:val="00E57511"/>
    <w:rsid w:val="00E578D5"/>
    <w:rsid w:val="00E60615"/>
    <w:rsid w:val="00E60702"/>
    <w:rsid w:val="00E61091"/>
    <w:rsid w:val="00E61E23"/>
    <w:rsid w:val="00E61EEC"/>
    <w:rsid w:val="00E629E5"/>
    <w:rsid w:val="00E62B12"/>
    <w:rsid w:val="00E62C30"/>
    <w:rsid w:val="00E62C83"/>
    <w:rsid w:val="00E62D32"/>
    <w:rsid w:val="00E630C4"/>
    <w:rsid w:val="00E63698"/>
    <w:rsid w:val="00E63CE9"/>
    <w:rsid w:val="00E63EC8"/>
    <w:rsid w:val="00E64003"/>
    <w:rsid w:val="00E6591E"/>
    <w:rsid w:val="00E65E7B"/>
    <w:rsid w:val="00E6614F"/>
    <w:rsid w:val="00E66385"/>
    <w:rsid w:val="00E66CAC"/>
    <w:rsid w:val="00E66D4A"/>
    <w:rsid w:val="00E670BF"/>
    <w:rsid w:val="00E67B9F"/>
    <w:rsid w:val="00E67F9E"/>
    <w:rsid w:val="00E70006"/>
    <w:rsid w:val="00E70C2D"/>
    <w:rsid w:val="00E70FC8"/>
    <w:rsid w:val="00E7110F"/>
    <w:rsid w:val="00E7175E"/>
    <w:rsid w:val="00E71DFA"/>
    <w:rsid w:val="00E71EA2"/>
    <w:rsid w:val="00E7200F"/>
    <w:rsid w:val="00E721C0"/>
    <w:rsid w:val="00E7291A"/>
    <w:rsid w:val="00E734B6"/>
    <w:rsid w:val="00E73EA6"/>
    <w:rsid w:val="00E75261"/>
    <w:rsid w:val="00E752ED"/>
    <w:rsid w:val="00E757B2"/>
    <w:rsid w:val="00E75F16"/>
    <w:rsid w:val="00E75F4A"/>
    <w:rsid w:val="00E764A7"/>
    <w:rsid w:val="00E7658B"/>
    <w:rsid w:val="00E769F5"/>
    <w:rsid w:val="00E76AC9"/>
    <w:rsid w:val="00E76B71"/>
    <w:rsid w:val="00E808CA"/>
    <w:rsid w:val="00E80A7E"/>
    <w:rsid w:val="00E80CD8"/>
    <w:rsid w:val="00E80D0E"/>
    <w:rsid w:val="00E81136"/>
    <w:rsid w:val="00E81428"/>
    <w:rsid w:val="00E81441"/>
    <w:rsid w:val="00E81BCD"/>
    <w:rsid w:val="00E82505"/>
    <w:rsid w:val="00E82974"/>
    <w:rsid w:val="00E829AD"/>
    <w:rsid w:val="00E8325C"/>
    <w:rsid w:val="00E83403"/>
    <w:rsid w:val="00E83B06"/>
    <w:rsid w:val="00E83D1C"/>
    <w:rsid w:val="00E83E5E"/>
    <w:rsid w:val="00E83EF8"/>
    <w:rsid w:val="00E8473E"/>
    <w:rsid w:val="00E85A91"/>
    <w:rsid w:val="00E86A45"/>
    <w:rsid w:val="00E871F3"/>
    <w:rsid w:val="00E8744B"/>
    <w:rsid w:val="00E875E1"/>
    <w:rsid w:val="00E8763A"/>
    <w:rsid w:val="00E87A64"/>
    <w:rsid w:val="00E87B0B"/>
    <w:rsid w:val="00E87E1C"/>
    <w:rsid w:val="00E90263"/>
    <w:rsid w:val="00E90CBD"/>
    <w:rsid w:val="00E914B2"/>
    <w:rsid w:val="00E919D5"/>
    <w:rsid w:val="00E91A1E"/>
    <w:rsid w:val="00E91C5D"/>
    <w:rsid w:val="00E91F65"/>
    <w:rsid w:val="00E929A0"/>
    <w:rsid w:val="00E93325"/>
    <w:rsid w:val="00E93467"/>
    <w:rsid w:val="00E9356B"/>
    <w:rsid w:val="00E9381F"/>
    <w:rsid w:val="00E9452E"/>
    <w:rsid w:val="00E945B6"/>
    <w:rsid w:val="00E9487A"/>
    <w:rsid w:val="00E94F3D"/>
    <w:rsid w:val="00E95144"/>
    <w:rsid w:val="00E9615E"/>
    <w:rsid w:val="00E96A08"/>
    <w:rsid w:val="00E96F8F"/>
    <w:rsid w:val="00EA125D"/>
    <w:rsid w:val="00EA141E"/>
    <w:rsid w:val="00EA1A76"/>
    <w:rsid w:val="00EA1B00"/>
    <w:rsid w:val="00EA1F19"/>
    <w:rsid w:val="00EA234B"/>
    <w:rsid w:val="00EA29A7"/>
    <w:rsid w:val="00EA2F87"/>
    <w:rsid w:val="00EA3347"/>
    <w:rsid w:val="00EA3C30"/>
    <w:rsid w:val="00EA3C9C"/>
    <w:rsid w:val="00EA401F"/>
    <w:rsid w:val="00EA46EE"/>
    <w:rsid w:val="00EA4981"/>
    <w:rsid w:val="00EA4F7A"/>
    <w:rsid w:val="00EA5444"/>
    <w:rsid w:val="00EA5B71"/>
    <w:rsid w:val="00EA5B77"/>
    <w:rsid w:val="00EA6141"/>
    <w:rsid w:val="00EA62A7"/>
    <w:rsid w:val="00EA6ADB"/>
    <w:rsid w:val="00EA6E09"/>
    <w:rsid w:val="00EA6F7C"/>
    <w:rsid w:val="00EA7503"/>
    <w:rsid w:val="00EA794B"/>
    <w:rsid w:val="00EA7E60"/>
    <w:rsid w:val="00EA7FB0"/>
    <w:rsid w:val="00EB042D"/>
    <w:rsid w:val="00EB0701"/>
    <w:rsid w:val="00EB1143"/>
    <w:rsid w:val="00EB1683"/>
    <w:rsid w:val="00EB171E"/>
    <w:rsid w:val="00EB1A39"/>
    <w:rsid w:val="00EB1D35"/>
    <w:rsid w:val="00EB25B6"/>
    <w:rsid w:val="00EB2C25"/>
    <w:rsid w:val="00EB2F7C"/>
    <w:rsid w:val="00EB4920"/>
    <w:rsid w:val="00EB4C5B"/>
    <w:rsid w:val="00EB4DB4"/>
    <w:rsid w:val="00EB4E93"/>
    <w:rsid w:val="00EB4F04"/>
    <w:rsid w:val="00EB5AC1"/>
    <w:rsid w:val="00EB626E"/>
    <w:rsid w:val="00EB696C"/>
    <w:rsid w:val="00EB6BBF"/>
    <w:rsid w:val="00EB6D0E"/>
    <w:rsid w:val="00EB7BE1"/>
    <w:rsid w:val="00EB7BF1"/>
    <w:rsid w:val="00EB7C10"/>
    <w:rsid w:val="00EC01C2"/>
    <w:rsid w:val="00EC07AC"/>
    <w:rsid w:val="00EC1AB5"/>
    <w:rsid w:val="00EC1C34"/>
    <w:rsid w:val="00EC1C9F"/>
    <w:rsid w:val="00EC1CD0"/>
    <w:rsid w:val="00EC217F"/>
    <w:rsid w:val="00EC2B23"/>
    <w:rsid w:val="00EC2D9F"/>
    <w:rsid w:val="00EC2FF9"/>
    <w:rsid w:val="00EC3296"/>
    <w:rsid w:val="00EC36B8"/>
    <w:rsid w:val="00EC381F"/>
    <w:rsid w:val="00EC4558"/>
    <w:rsid w:val="00EC49E1"/>
    <w:rsid w:val="00EC5152"/>
    <w:rsid w:val="00EC565A"/>
    <w:rsid w:val="00EC693C"/>
    <w:rsid w:val="00EC6A54"/>
    <w:rsid w:val="00EC6B6D"/>
    <w:rsid w:val="00EC6D10"/>
    <w:rsid w:val="00EC70DE"/>
    <w:rsid w:val="00EC71DF"/>
    <w:rsid w:val="00EC79BF"/>
    <w:rsid w:val="00EC7A45"/>
    <w:rsid w:val="00ED1537"/>
    <w:rsid w:val="00ED17CC"/>
    <w:rsid w:val="00ED19A8"/>
    <w:rsid w:val="00ED19CD"/>
    <w:rsid w:val="00ED1DED"/>
    <w:rsid w:val="00ED273F"/>
    <w:rsid w:val="00ED2955"/>
    <w:rsid w:val="00ED2F4D"/>
    <w:rsid w:val="00ED3549"/>
    <w:rsid w:val="00ED35C6"/>
    <w:rsid w:val="00ED3E80"/>
    <w:rsid w:val="00ED3FBB"/>
    <w:rsid w:val="00ED41BE"/>
    <w:rsid w:val="00ED48CE"/>
    <w:rsid w:val="00ED4E4F"/>
    <w:rsid w:val="00ED51D3"/>
    <w:rsid w:val="00ED5232"/>
    <w:rsid w:val="00ED53DF"/>
    <w:rsid w:val="00ED64CE"/>
    <w:rsid w:val="00ED6E87"/>
    <w:rsid w:val="00ED748A"/>
    <w:rsid w:val="00ED7610"/>
    <w:rsid w:val="00ED7B80"/>
    <w:rsid w:val="00ED7D32"/>
    <w:rsid w:val="00EE02B9"/>
    <w:rsid w:val="00EE0BF1"/>
    <w:rsid w:val="00EE12A5"/>
    <w:rsid w:val="00EE1421"/>
    <w:rsid w:val="00EE254E"/>
    <w:rsid w:val="00EE2E53"/>
    <w:rsid w:val="00EE3465"/>
    <w:rsid w:val="00EE40D4"/>
    <w:rsid w:val="00EE5418"/>
    <w:rsid w:val="00EE59FA"/>
    <w:rsid w:val="00EE5A7A"/>
    <w:rsid w:val="00EE6B30"/>
    <w:rsid w:val="00EE6EE1"/>
    <w:rsid w:val="00EE74EF"/>
    <w:rsid w:val="00EE7A64"/>
    <w:rsid w:val="00EF0582"/>
    <w:rsid w:val="00EF070F"/>
    <w:rsid w:val="00EF0D74"/>
    <w:rsid w:val="00EF1227"/>
    <w:rsid w:val="00EF128B"/>
    <w:rsid w:val="00EF174D"/>
    <w:rsid w:val="00EF21ED"/>
    <w:rsid w:val="00EF2914"/>
    <w:rsid w:val="00EF3840"/>
    <w:rsid w:val="00EF3EE1"/>
    <w:rsid w:val="00EF4B9D"/>
    <w:rsid w:val="00EF4C8A"/>
    <w:rsid w:val="00EF6B1D"/>
    <w:rsid w:val="00EF6DC6"/>
    <w:rsid w:val="00EF701D"/>
    <w:rsid w:val="00EF7568"/>
    <w:rsid w:val="00EF7D43"/>
    <w:rsid w:val="00F001B2"/>
    <w:rsid w:val="00F0088B"/>
    <w:rsid w:val="00F00B6E"/>
    <w:rsid w:val="00F00F17"/>
    <w:rsid w:val="00F010E4"/>
    <w:rsid w:val="00F012D1"/>
    <w:rsid w:val="00F017B2"/>
    <w:rsid w:val="00F01DA6"/>
    <w:rsid w:val="00F01E95"/>
    <w:rsid w:val="00F028E9"/>
    <w:rsid w:val="00F02DF8"/>
    <w:rsid w:val="00F033A1"/>
    <w:rsid w:val="00F03B6D"/>
    <w:rsid w:val="00F03EF8"/>
    <w:rsid w:val="00F04363"/>
    <w:rsid w:val="00F04F78"/>
    <w:rsid w:val="00F0555F"/>
    <w:rsid w:val="00F0558F"/>
    <w:rsid w:val="00F05771"/>
    <w:rsid w:val="00F059E9"/>
    <w:rsid w:val="00F0635E"/>
    <w:rsid w:val="00F06512"/>
    <w:rsid w:val="00F069D4"/>
    <w:rsid w:val="00F06E79"/>
    <w:rsid w:val="00F0758E"/>
    <w:rsid w:val="00F07C7E"/>
    <w:rsid w:val="00F1079E"/>
    <w:rsid w:val="00F10997"/>
    <w:rsid w:val="00F11A19"/>
    <w:rsid w:val="00F11A2C"/>
    <w:rsid w:val="00F11BA3"/>
    <w:rsid w:val="00F1213A"/>
    <w:rsid w:val="00F127FF"/>
    <w:rsid w:val="00F1294D"/>
    <w:rsid w:val="00F12D04"/>
    <w:rsid w:val="00F13602"/>
    <w:rsid w:val="00F1455F"/>
    <w:rsid w:val="00F146F6"/>
    <w:rsid w:val="00F14764"/>
    <w:rsid w:val="00F14838"/>
    <w:rsid w:val="00F14B03"/>
    <w:rsid w:val="00F14D7D"/>
    <w:rsid w:val="00F15F3B"/>
    <w:rsid w:val="00F168FE"/>
    <w:rsid w:val="00F1780A"/>
    <w:rsid w:val="00F17E86"/>
    <w:rsid w:val="00F2004F"/>
    <w:rsid w:val="00F200BC"/>
    <w:rsid w:val="00F20284"/>
    <w:rsid w:val="00F219CE"/>
    <w:rsid w:val="00F21B61"/>
    <w:rsid w:val="00F21CC9"/>
    <w:rsid w:val="00F22001"/>
    <w:rsid w:val="00F2210E"/>
    <w:rsid w:val="00F2228D"/>
    <w:rsid w:val="00F22438"/>
    <w:rsid w:val="00F23297"/>
    <w:rsid w:val="00F2354E"/>
    <w:rsid w:val="00F23CC1"/>
    <w:rsid w:val="00F23EDB"/>
    <w:rsid w:val="00F2466B"/>
    <w:rsid w:val="00F24EB0"/>
    <w:rsid w:val="00F24F87"/>
    <w:rsid w:val="00F2603B"/>
    <w:rsid w:val="00F26C0D"/>
    <w:rsid w:val="00F26E82"/>
    <w:rsid w:val="00F273D4"/>
    <w:rsid w:val="00F2743F"/>
    <w:rsid w:val="00F27F65"/>
    <w:rsid w:val="00F304CA"/>
    <w:rsid w:val="00F311E5"/>
    <w:rsid w:val="00F3163E"/>
    <w:rsid w:val="00F316E3"/>
    <w:rsid w:val="00F32135"/>
    <w:rsid w:val="00F32609"/>
    <w:rsid w:val="00F332CD"/>
    <w:rsid w:val="00F33419"/>
    <w:rsid w:val="00F33799"/>
    <w:rsid w:val="00F33801"/>
    <w:rsid w:val="00F339F6"/>
    <w:rsid w:val="00F34112"/>
    <w:rsid w:val="00F34146"/>
    <w:rsid w:val="00F3414F"/>
    <w:rsid w:val="00F342BC"/>
    <w:rsid w:val="00F3494F"/>
    <w:rsid w:val="00F34E69"/>
    <w:rsid w:val="00F34FC9"/>
    <w:rsid w:val="00F35EBF"/>
    <w:rsid w:val="00F36166"/>
    <w:rsid w:val="00F3627C"/>
    <w:rsid w:val="00F3682E"/>
    <w:rsid w:val="00F36901"/>
    <w:rsid w:val="00F36D90"/>
    <w:rsid w:val="00F36EA4"/>
    <w:rsid w:val="00F37B86"/>
    <w:rsid w:val="00F37C3C"/>
    <w:rsid w:val="00F401C2"/>
    <w:rsid w:val="00F405FA"/>
    <w:rsid w:val="00F408F2"/>
    <w:rsid w:val="00F41338"/>
    <w:rsid w:val="00F418ED"/>
    <w:rsid w:val="00F41BD8"/>
    <w:rsid w:val="00F41CBB"/>
    <w:rsid w:val="00F41ECE"/>
    <w:rsid w:val="00F420DF"/>
    <w:rsid w:val="00F423B0"/>
    <w:rsid w:val="00F428AB"/>
    <w:rsid w:val="00F43636"/>
    <w:rsid w:val="00F43650"/>
    <w:rsid w:val="00F43735"/>
    <w:rsid w:val="00F437EC"/>
    <w:rsid w:val="00F439C0"/>
    <w:rsid w:val="00F44460"/>
    <w:rsid w:val="00F4499C"/>
    <w:rsid w:val="00F44AA0"/>
    <w:rsid w:val="00F464FA"/>
    <w:rsid w:val="00F46851"/>
    <w:rsid w:val="00F46961"/>
    <w:rsid w:val="00F46C89"/>
    <w:rsid w:val="00F46F5D"/>
    <w:rsid w:val="00F46FDD"/>
    <w:rsid w:val="00F47170"/>
    <w:rsid w:val="00F474BF"/>
    <w:rsid w:val="00F47CD1"/>
    <w:rsid w:val="00F508EF"/>
    <w:rsid w:val="00F50E89"/>
    <w:rsid w:val="00F516DD"/>
    <w:rsid w:val="00F516F4"/>
    <w:rsid w:val="00F5276E"/>
    <w:rsid w:val="00F52794"/>
    <w:rsid w:val="00F52D05"/>
    <w:rsid w:val="00F536FC"/>
    <w:rsid w:val="00F53BBC"/>
    <w:rsid w:val="00F540D0"/>
    <w:rsid w:val="00F54496"/>
    <w:rsid w:val="00F54926"/>
    <w:rsid w:val="00F54ED1"/>
    <w:rsid w:val="00F551BD"/>
    <w:rsid w:val="00F5521D"/>
    <w:rsid w:val="00F556B6"/>
    <w:rsid w:val="00F558A9"/>
    <w:rsid w:val="00F562F8"/>
    <w:rsid w:val="00F56422"/>
    <w:rsid w:val="00F5676F"/>
    <w:rsid w:val="00F56EB7"/>
    <w:rsid w:val="00F576A3"/>
    <w:rsid w:val="00F57BCA"/>
    <w:rsid w:val="00F60237"/>
    <w:rsid w:val="00F6054A"/>
    <w:rsid w:val="00F6097D"/>
    <w:rsid w:val="00F609BE"/>
    <w:rsid w:val="00F615EF"/>
    <w:rsid w:val="00F61899"/>
    <w:rsid w:val="00F619EB"/>
    <w:rsid w:val="00F61CD1"/>
    <w:rsid w:val="00F61F5D"/>
    <w:rsid w:val="00F62448"/>
    <w:rsid w:val="00F62D62"/>
    <w:rsid w:val="00F630B5"/>
    <w:rsid w:val="00F6322F"/>
    <w:rsid w:val="00F63523"/>
    <w:rsid w:val="00F6352A"/>
    <w:rsid w:val="00F6384D"/>
    <w:rsid w:val="00F648ED"/>
    <w:rsid w:val="00F64B1C"/>
    <w:rsid w:val="00F651CB"/>
    <w:rsid w:val="00F65C51"/>
    <w:rsid w:val="00F6630A"/>
    <w:rsid w:val="00F66945"/>
    <w:rsid w:val="00F66C12"/>
    <w:rsid w:val="00F66FAA"/>
    <w:rsid w:val="00F67A65"/>
    <w:rsid w:val="00F7001B"/>
    <w:rsid w:val="00F704AD"/>
    <w:rsid w:val="00F707AC"/>
    <w:rsid w:val="00F71B57"/>
    <w:rsid w:val="00F721C4"/>
    <w:rsid w:val="00F72261"/>
    <w:rsid w:val="00F72325"/>
    <w:rsid w:val="00F72714"/>
    <w:rsid w:val="00F72803"/>
    <w:rsid w:val="00F7283B"/>
    <w:rsid w:val="00F72BBB"/>
    <w:rsid w:val="00F72D91"/>
    <w:rsid w:val="00F72DE8"/>
    <w:rsid w:val="00F73027"/>
    <w:rsid w:val="00F73194"/>
    <w:rsid w:val="00F7322D"/>
    <w:rsid w:val="00F73913"/>
    <w:rsid w:val="00F73AB9"/>
    <w:rsid w:val="00F75879"/>
    <w:rsid w:val="00F75B83"/>
    <w:rsid w:val="00F75C85"/>
    <w:rsid w:val="00F75ED9"/>
    <w:rsid w:val="00F763C2"/>
    <w:rsid w:val="00F7675D"/>
    <w:rsid w:val="00F7709D"/>
    <w:rsid w:val="00F774D6"/>
    <w:rsid w:val="00F80063"/>
    <w:rsid w:val="00F804F5"/>
    <w:rsid w:val="00F8063A"/>
    <w:rsid w:val="00F8159C"/>
    <w:rsid w:val="00F81C51"/>
    <w:rsid w:val="00F81CD1"/>
    <w:rsid w:val="00F81EDA"/>
    <w:rsid w:val="00F82262"/>
    <w:rsid w:val="00F8258D"/>
    <w:rsid w:val="00F8258E"/>
    <w:rsid w:val="00F82736"/>
    <w:rsid w:val="00F8287C"/>
    <w:rsid w:val="00F83940"/>
    <w:rsid w:val="00F83949"/>
    <w:rsid w:val="00F839F9"/>
    <w:rsid w:val="00F83E4B"/>
    <w:rsid w:val="00F83E64"/>
    <w:rsid w:val="00F84856"/>
    <w:rsid w:val="00F84FCC"/>
    <w:rsid w:val="00F8564D"/>
    <w:rsid w:val="00F856F2"/>
    <w:rsid w:val="00F8588C"/>
    <w:rsid w:val="00F85BE8"/>
    <w:rsid w:val="00F862B3"/>
    <w:rsid w:val="00F86844"/>
    <w:rsid w:val="00F8695C"/>
    <w:rsid w:val="00F86F20"/>
    <w:rsid w:val="00F87004"/>
    <w:rsid w:val="00F874DB"/>
    <w:rsid w:val="00F879E4"/>
    <w:rsid w:val="00F87E53"/>
    <w:rsid w:val="00F9071D"/>
    <w:rsid w:val="00F90797"/>
    <w:rsid w:val="00F91423"/>
    <w:rsid w:val="00F9190C"/>
    <w:rsid w:val="00F91F19"/>
    <w:rsid w:val="00F92BBE"/>
    <w:rsid w:val="00F92EAF"/>
    <w:rsid w:val="00F9341D"/>
    <w:rsid w:val="00F93C56"/>
    <w:rsid w:val="00F93E69"/>
    <w:rsid w:val="00F9414B"/>
    <w:rsid w:val="00F94224"/>
    <w:rsid w:val="00F9454B"/>
    <w:rsid w:val="00F94921"/>
    <w:rsid w:val="00F949C5"/>
    <w:rsid w:val="00F94F79"/>
    <w:rsid w:val="00F95309"/>
    <w:rsid w:val="00F9572B"/>
    <w:rsid w:val="00F95B9E"/>
    <w:rsid w:val="00F96911"/>
    <w:rsid w:val="00F96CFA"/>
    <w:rsid w:val="00F9731F"/>
    <w:rsid w:val="00F9797B"/>
    <w:rsid w:val="00FA0558"/>
    <w:rsid w:val="00FA0664"/>
    <w:rsid w:val="00FA0884"/>
    <w:rsid w:val="00FA0AB9"/>
    <w:rsid w:val="00FA197C"/>
    <w:rsid w:val="00FA1E5B"/>
    <w:rsid w:val="00FA1F49"/>
    <w:rsid w:val="00FA255A"/>
    <w:rsid w:val="00FA2982"/>
    <w:rsid w:val="00FA2B2B"/>
    <w:rsid w:val="00FA322D"/>
    <w:rsid w:val="00FA32B8"/>
    <w:rsid w:val="00FA36BD"/>
    <w:rsid w:val="00FA4284"/>
    <w:rsid w:val="00FA4F1B"/>
    <w:rsid w:val="00FA555F"/>
    <w:rsid w:val="00FA57C2"/>
    <w:rsid w:val="00FA6799"/>
    <w:rsid w:val="00FA67A2"/>
    <w:rsid w:val="00FA6CC4"/>
    <w:rsid w:val="00FA6FA8"/>
    <w:rsid w:val="00FA718D"/>
    <w:rsid w:val="00FA72BB"/>
    <w:rsid w:val="00FA7478"/>
    <w:rsid w:val="00FB00F2"/>
    <w:rsid w:val="00FB011A"/>
    <w:rsid w:val="00FB0D6F"/>
    <w:rsid w:val="00FB1023"/>
    <w:rsid w:val="00FB10A8"/>
    <w:rsid w:val="00FB1613"/>
    <w:rsid w:val="00FB1A1B"/>
    <w:rsid w:val="00FB1FBB"/>
    <w:rsid w:val="00FB1FE3"/>
    <w:rsid w:val="00FB2284"/>
    <w:rsid w:val="00FB25FC"/>
    <w:rsid w:val="00FB26D1"/>
    <w:rsid w:val="00FB29F3"/>
    <w:rsid w:val="00FB2C8F"/>
    <w:rsid w:val="00FB3102"/>
    <w:rsid w:val="00FB3618"/>
    <w:rsid w:val="00FB3FCA"/>
    <w:rsid w:val="00FB4324"/>
    <w:rsid w:val="00FB4A5E"/>
    <w:rsid w:val="00FB514F"/>
    <w:rsid w:val="00FB558F"/>
    <w:rsid w:val="00FB5CE3"/>
    <w:rsid w:val="00FB5EBD"/>
    <w:rsid w:val="00FB5F42"/>
    <w:rsid w:val="00FB6B2C"/>
    <w:rsid w:val="00FB6CEE"/>
    <w:rsid w:val="00FB7030"/>
    <w:rsid w:val="00FB74BD"/>
    <w:rsid w:val="00FB78AA"/>
    <w:rsid w:val="00FC082B"/>
    <w:rsid w:val="00FC0F18"/>
    <w:rsid w:val="00FC10EF"/>
    <w:rsid w:val="00FC1161"/>
    <w:rsid w:val="00FC17C8"/>
    <w:rsid w:val="00FC28A5"/>
    <w:rsid w:val="00FC30FD"/>
    <w:rsid w:val="00FC3182"/>
    <w:rsid w:val="00FC371B"/>
    <w:rsid w:val="00FC388A"/>
    <w:rsid w:val="00FC3FE0"/>
    <w:rsid w:val="00FC402B"/>
    <w:rsid w:val="00FC4CEB"/>
    <w:rsid w:val="00FC515C"/>
    <w:rsid w:val="00FC55DE"/>
    <w:rsid w:val="00FC5625"/>
    <w:rsid w:val="00FC57CB"/>
    <w:rsid w:val="00FC57D5"/>
    <w:rsid w:val="00FC5BDD"/>
    <w:rsid w:val="00FC5D5C"/>
    <w:rsid w:val="00FC5D6E"/>
    <w:rsid w:val="00FC6BDF"/>
    <w:rsid w:val="00FC70A2"/>
    <w:rsid w:val="00FC7225"/>
    <w:rsid w:val="00FC7AD6"/>
    <w:rsid w:val="00FC7CC2"/>
    <w:rsid w:val="00FC7DA7"/>
    <w:rsid w:val="00FD0456"/>
    <w:rsid w:val="00FD0729"/>
    <w:rsid w:val="00FD078F"/>
    <w:rsid w:val="00FD0963"/>
    <w:rsid w:val="00FD0DA1"/>
    <w:rsid w:val="00FD12E2"/>
    <w:rsid w:val="00FD136E"/>
    <w:rsid w:val="00FD144F"/>
    <w:rsid w:val="00FD1C81"/>
    <w:rsid w:val="00FD1E39"/>
    <w:rsid w:val="00FD2920"/>
    <w:rsid w:val="00FD2B69"/>
    <w:rsid w:val="00FD2C35"/>
    <w:rsid w:val="00FD334B"/>
    <w:rsid w:val="00FD372A"/>
    <w:rsid w:val="00FD3B75"/>
    <w:rsid w:val="00FD422C"/>
    <w:rsid w:val="00FD42C0"/>
    <w:rsid w:val="00FD439C"/>
    <w:rsid w:val="00FD449B"/>
    <w:rsid w:val="00FD4A1C"/>
    <w:rsid w:val="00FD66DA"/>
    <w:rsid w:val="00FE070A"/>
    <w:rsid w:val="00FE177C"/>
    <w:rsid w:val="00FE1B8E"/>
    <w:rsid w:val="00FE1C59"/>
    <w:rsid w:val="00FE24AE"/>
    <w:rsid w:val="00FE2D65"/>
    <w:rsid w:val="00FE3198"/>
    <w:rsid w:val="00FE36D2"/>
    <w:rsid w:val="00FE3812"/>
    <w:rsid w:val="00FE39FC"/>
    <w:rsid w:val="00FE427A"/>
    <w:rsid w:val="00FE45D4"/>
    <w:rsid w:val="00FE47D5"/>
    <w:rsid w:val="00FE4A0A"/>
    <w:rsid w:val="00FE6980"/>
    <w:rsid w:val="00FE6BBA"/>
    <w:rsid w:val="00FE7634"/>
    <w:rsid w:val="00FF17BF"/>
    <w:rsid w:val="00FF20E9"/>
    <w:rsid w:val="00FF218B"/>
    <w:rsid w:val="00FF26A8"/>
    <w:rsid w:val="00FF2B7C"/>
    <w:rsid w:val="00FF31FB"/>
    <w:rsid w:val="00FF333C"/>
    <w:rsid w:val="00FF3695"/>
    <w:rsid w:val="00FF3FB4"/>
    <w:rsid w:val="00FF4822"/>
    <w:rsid w:val="00FF4CF1"/>
    <w:rsid w:val="00FF4CFA"/>
    <w:rsid w:val="00FF4E2A"/>
    <w:rsid w:val="00FF4F05"/>
    <w:rsid w:val="00FF5168"/>
    <w:rsid w:val="00FF5B45"/>
    <w:rsid w:val="00FF5C6A"/>
    <w:rsid w:val="00FF668A"/>
    <w:rsid w:val="00FF66D7"/>
    <w:rsid w:val="00FF66E9"/>
    <w:rsid w:val="00FF6B2D"/>
    <w:rsid w:val="00FF718D"/>
    <w:rsid w:val="00FF7763"/>
    <w:rsid w:val="00FF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A0AEBD"/>
  <w15:docId w15:val="{52D771F0-F6F2-48E7-91DD-2C7153B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hr"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76"/>
    <w:pPr>
      <w:spacing w:after="120" w:line="240" w:lineRule="auto"/>
      <w:ind w:left="856"/>
      <w:jc w:val="both"/>
    </w:pPr>
    <w:rPr>
      <w:rFonts w:ascii="Arial" w:hAnsi="Arial"/>
      <w:color w:val="000000" w:themeColor="text1"/>
      <w:sz w:val="20"/>
    </w:rPr>
  </w:style>
  <w:style w:type="paragraph" w:styleId="Heading1">
    <w:name w:val="heading 1"/>
    <w:basedOn w:val="Normal"/>
    <w:next w:val="Normal"/>
    <w:link w:val="Heading1Char"/>
    <w:uiPriority w:val="9"/>
    <w:qFormat/>
    <w:rsid w:val="00AB142B"/>
    <w:pPr>
      <w:keepNext/>
      <w:keepLines/>
      <w:numPr>
        <w:numId w:val="62"/>
      </w:numPr>
      <w:spacing w:before="360"/>
      <w:jc w:val="center"/>
      <w:outlineLvl w:val="0"/>
    </w:pPr>
    <w:rPr>
      <w:rFonts w:eastAsiaTheme="majorEastAsia" w:cstheme="majorBidi"/>
      <w:b/>
      <w:caps/>
      <w:u w:val="single"/>
    </w:rPr>
  </w:style>
  <w:style w:type="paragraph" w:styleId="Heading2">
    <w:name w:val="heading 2"/>
    <w:basedOn w:val="Normal"/>
    <w:next w:val="Normal"/>
    <w:link w:val="Heading2Char"/>
    <w:uiPriority w:val="9"/>
    <w:qFormat/>
    <w:rsid w:val="00AB142B"/>
    <w:pPr>
      <w:keepNext/>
      <w:keepLines/>
      <w:numPr>
        <w:ilvl w:val="1"/>
        <w:numId w:val="62"/>
      </w:numPr>
      <w:spacing w:before="240" w:after="200"/>
      <w:outlineLvl w:val="1"/>
    </w:pPr>
    <w:rPr>
      <w:rFonts w:eastAsiaTheme="majorEastAsia" w:cstheme="majorBidi"/>
      <w:b/>
      <w:u w:val="single"/>
    </w:rPr>
  </w:style>
  <w:style w:type="paragraph" w:styleId="Heading3">
    <w:name w:val="heading 3"/>
    <w:basedOn w:val="Normal"/>
    <w:next w:val="Normal"/>
    <w:link w:val="Heading3Char"/>
    <w:uiPriority w:val="9"/>
    <w:qFormat/>
    <w:rsid w:val="00AB142B"/>
    <w:pPr>
      <w:keepNext/>
      <w:keepLines/>
      <w:numPr>
        <w:ilvl w:val="2"/>
        <w:numId w:val="62"/>
      </w:numPr>
      <w:spacing w:before="200"/>
      <w:outlineLvl w:val="2"/>
    </w:pPr>
    <w:rPr>
      <w:rFonts w:eastAsiaTheme="majorEastAsia" w:cstheme="majorBidi"/>
      <w:b/>
    </w:rPr>
  </w:style>
  <w:style w:type="paragraph" w:styleId="Heading4">
    <w:name w:val="heading 4"/>
    <w:basedOn w:val="Normal"/>
    <w:next w:val="Normal"/>
    <w:link w:val="Heading4Char"/>
    <w:uiPriority w:val="9"/>
    <w:qFormat/>
    <w:rsid w:val="006314A0"/>
    <w:pPr>
      <w:keepNext/>
      <w:keepLines/>
      <w:numPr>
        <w:ilvl w:val="3"/>
        <w:numId w:val="62"/>
      </w:numPr>
      <w:spacing w:before="200"/>
      <w:outlineLvl w:val="3"/>
    </w:pPr>
    <w:rPr>
      <w:rFonts w:eastAsiaTheme="majorEastAsia" w:cstheme="majorBidi"/>
      <w:caps/>
    </w:rPr>
  </w:style>
  <w:style w:type="paragraph" w:styleId="Heading5">
    <w:name w:val="heading 5"/>
    <w:basedOn w:val="Normal"/>
    <w:next w:val="Normal"/>
    <w:link w:val="Heading5Char"/>
    <w:uiPriority w:val="9"/>
    <w:semiHidden/>
    <w:unhideWhenUsed/>
    <w:rsid w:val="000D05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5A5"/>
    <w:pPr>
      <w:tabs>
        <w:tab w:val="center" w:pos="4536"/>
        <w:tab w:val="right" w:pos="9072"/>
      </w:tabs>
      <w:spacing w:after="0"/>
    </w:pPr>
    <w:rPr>
      <w:sz w:val="18"/>
    </w:rPr>
  </w:style>
  <w:style w:type="character" w:customStyle="1" w:styleId="HeaderChar">
    <w:name w:val="Header Char"/>
    <w:basedOn w:val="DefaultParagraphFont"/>
    <w:link w:val="Header"/>
    <w:uiPriority w:val="99"/>
    <w:rsid w:val="000C715C"/>
    <w:rPr>
      <w:color w:val="000000" w:themeColor="text1"/>
      <w:sz w:val="18"/>
    </w:rPr>
  </w:style>
  <w:style w:type="paragraph" w:styleId="Footer">
    <w:name w:val="footer"/>
    <w:basedOn w:val="Normal"/>
    <w:link w:val="FooterChar"/>
    <w:uiPriority w:val="99"/>
    <w:rsid w:val="006425A5"/>
    <w:pPr>
      <w:tabs>
        <w:tab w:val="center" w:pos="4536"/>
        <w:tab w:val="right" w:pos="9072"/>
      </w:tabs>
      <w:spacing w:after="0"/>
      <w:ind w:left="0"/>
    </w:pPr>
    <w:rPr>
      <w:sz w:val="18"/>
    </w:rPr>
  </w:style>
  <w:style w:type="character" w:customStyle="1" w:styleId="FooterChar">
    <w:name w:val="Footer Char"/>
    <w:basedOn w:val="DefaultParagraphFont"/>
    <w:link w:val="Footer"/>
    <w:uiPriority w:val="99"/>
    <w:rsid w:val="000C715C"/>
    <w:rPr>
      <w:color w:val="000000" w:themeColor="text1"/>
      <w:sz w:val="18"/>
    </w:rPr>
  </w:style>
  <w:style w:type="character" w:customStyle="1" w:styleId="Heading1Char">
    <w:name w:val="Heading 1 Char"/>
    <w:basedOn w:val="DefaultParagraphFont"/>
    <w:link w:val="Heading1"/>
    <w:uiPriority w:val="9"/>
    <w:rsid w:val="00AB142B"/>
    <w:rPr>
      <w:rFonts w:ascii="Arial" w:eastAsiaTheme="majorEastAsia" w:hAnsi="Arial" w:cstheme="majorBidi"/>
      <w:b/>
      <w:caps/>
      <w:color w:val="000000" w:themeColor="text1"/>
      <w:sz w:val="20"/>
      <w:u w:val="single"/>
    </w:rPr>
  </w:style>
  <w:style w:type="character" w:customStyle="1" w:styleId="Heading2Char">
    <w:name w:val="Heading 2 Char"/>
    <w:basedOn w:val="DefaultParagraphFont"/>
    <w:link w:val="Heading2"/>
    <w:uiPriority w:val="9"/>
    <w:rsid w:val="00AB142B"/>
    <w:rPr>
      <w:rFonts w:ascii="Arial" w:eastAsiaTheme="majorEastAsia" w:hAnsi="Arial" w:cstheme="majorBidi"/>
      <w:b/>
      <w:color w:val="000000" w:themeColor="text1"/>
      <w:sz w:val="20"/>
      <w:u w:val="single"/>
    </w:rPr>
  </w:style>
  <w:style w:type="character" w:customStyle="1" w:styleId="Heading3Char">
    <w:name w:val="Heading 3 Char"/>
    <w:basedOn w:val="DefaultParagraphFont"/>
    <w:link w:val="Heading3"/>
    <w:uiPriority w:val="9"/>
    <w:rsid w:val="00AB142B"/>
    <w:rPr>
      <w:rFonts w:ascii="Arial" w:eastAsiaTheme="majorEastAsia" w:hAnsi="Arial" w:cstheme="majorBidi"/>
      <w:b/>
      <w:color w:val="000000" w:themeColor="text1"/>
      <w:sz w:val="20"/>
    </w:rPr>
  </w:style>
  <w:style w:type="character" w:customStyle="1" w:styleId="Heading5Char">
    <w:name w:val="Heading 5 Char"/>
    <w:basedOn w:val="DefaultParagraphFont"/>
    <w:link w:val="Heading5"/>
    <w:uiPriority w:val="9"/>
    <w:semiHidden/>
    <w:rsid w:val="000D055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314A0"/>
    <w:rPr>
      <w:rFonts w:ascii="Arial" w:eastAsiaTheme="majorEastAsia" w:hAnsi="Arial" w:cstheme="majorBidi"/>
      <w:caps/>
      <w:color w:val="000000" w:themeColor="text1"/>
      <w:sz w:val="20"/>
    </w:rPr>
  </w:style>
  <w:style w:type="numbering" w:customStyle="1" w:styleId="HeadingsEIB0">
    <w:name w:val="Headings EIB"/>
    <w:uiPriority w:val="99"/>
    <w:rsid w:val="00F6054A"/>
    <w:pPr>
      <w:numPr>
        <w:numId w:val="37"/>
      </w:numPr>
    </w:pPr>
  </w:style>
  <w:style w:type="paragraph" w:styleId="FootnoteText">
    <w:name w:val="footnote text"/>
    <w:aliases w:val="Car,Footnote Text Char1,Footnote Text Char1 Char Char,Footnote Text Char Char Char Char,Footnote Text Char Char Char Char Char Char Char Char,Footnote Text Char Char1,Schriftart: 9 pt,f,Schriftart: 10 pt,Schriftart: 8 pt,WB-Fußnotentext,o"/>
    <w:basedOn w:val="Normal"/>
    <w:link w:val="FootnoteTextChar"/>
    <w:uiPriority w:val="99"/>
    <w:qFormat/>
    <w:rsid w:val="00E163B7"/>
    <w:pPr>
      <w:spacing w:before="120" w:after="0" w:line="276" w:lineRule="auto"/>
      <w:ind w:left="426" w:hanging="426"/>
      <w:jc w:val="left"/>
    </w:pPr>
    <w:rPr>
      <w:rFonts w:eastAsia="Calibri" w:cs="Times New Roman"/>
      <w:color w:val="1F497D"/>
      <w:sz w:val="16"/>
    </w:rPr>
  </w:style>
  <w:style w:type="numbering" w:customStyle="1" w:styleId="ListsEIB">
    <w:name w:val="Lists EIB"/>
    <w:uiPriority w:val="99"/>
    <w:rsid w:val="00FF4CFA"/>
    <w:pPr>
      <w:numPr>
        <w:numId w:val="1"/>
      </w:numPr>
    </w:pPr>
  </w:style>
  <w:style w:type="character" w:customStyle="1" w:styleId="BoldEIB">
    <w:name w:val="Bold EIB"/>
    <w:basedOn w:val="DefaultParagraphFont"/>
    <w:qFormat/>
    <w:rsid w:val="00A33A47"/>
    <w:rPr>
      <w:rFonts w:ascii="Arial" w:hAnsi="Arial"/>
      <w:b/>
      <w:sz w:val="20"/>
    </w:rPr>
  </w:style>
  <w:style w:type="character" w:customStyle="1" w:styleId="BoldItalicEIB">
    <w:name w:val="Bold Italic EIB"/>
    <w:basedOn w:val="BoldEIB"/>
    <w:uiPriority w:val="1"/>
    <w:rsid w:val="00A33A47"/>
    <w:rPr>
      <w:rFonts w:ascii="Arial" w:hAnsi="Arial"/>
      <w:b/>
      <w:i/>
      <w:sz w:val="20"/>
    </w:rPr>
  </w:style>
  <w:style w:type="character" w:customStyle="1" w:styleId="BoldItalicUnderlineEIB">
    <w:name w:val="Bold Italic Underline EIB"/>
    <w:basedOn w:val="BoldEIB"/>
    <w:uiPriority w:val="1"/>
    <w:rsid w:val="00A33A47"/>
    <w:rPr>
      <w:rFonts w:ascii="Arial" w:hAnsi="Arial"/>
      <w:b/>
      <w:i/>
      <w:sz w:val="20"/>
      <w:u w:val="single"/>
    </w:rPr>
  </w:style>
  <w:style w:type="paragraph" w:customStyle="1" w:styleId="CenterEIB">
    <w:name w:val="Center EIB"/>
    <w:basedOn w:val="Normal"/>
    <w:rsid w:val="00A33A47"/>
    <w:pPr>
      <w:keepLines/>
      <w:ind w:left="0"/>
      <w:jc w:val="center"/>
    </w:pPr>
  </w:style>
  <w:style w:type="character" w:customStyle="1" w:styleId="FootnoteTextChar">
    <w:name w:val="Footnote Text Char"/>
    <w:aliases w:val="Car Char,Footnote Text Char1 Char,Footnote Text Char1 Char Char Char,Footnote Text Char Char Char Char Char,Footnote Text Char Char Char Char Char Char Char Char Char,Footnote Text Char Char1 Char,Schriftart: 9 pt Char,f Char,o Char"/>
    <w:link w:val="FootnoteText"/>
    <w:uiPriority w:val="99"/>
    <w:rsid w:val="00E163B7"/>
    <w:rPr>
      <w:rFonts w:ascii="Arial" w:eastAsia="Calibri" w:hAnsi="Arial" w:cs="Times New Roman"/>
      <w:color w:val="1F497D"/>
      <w:sz w:val="16"/>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number"/>
    <w:basedOn w:val="DefaultParagraphFont"/>
    <w:qFormat/>
    <w:rsid w:val="009037A1"/>
    <w:rPr>
      <w:rFonts w:ascii="Arial" w:hAnsi="Arial"/>
      <w:vertAlign w:val="superscript"/>
    </w:rPr>
  </w:style>
  <w:style w:type="paragraph" w:customStyle="1" w:styleId="ArticleTitleEIB">
    <w:name w:val="Article Title EIB"/>
    <w:basedOn w:val="Normal"/>
    <w:next w:val="Normal"/>
    <w:rsid w:val="00A33A47"/>
    <w:pPr>
      <w:keepNext/>
      <w:keepLines/>
      <w:spacing w:after="360"/>
      <w:ind w:left="0"/>
      <w:jc w:val="center"/>
    </w:pPr>
    <w:rPr>
      <w:b/>
      <w:u w:val="single"/>
    </w:rPr>
  </w:style>
  <w:style w:type="paragraph" w:customStyle="1" w:styleId="CenterItalicEIB">
    <w:name w:val="Center Italic EIB"/>
    <w:basedOn w:val="CenterEIB"/>
    <w:rsid w:val="00A33A47"/>
    <w:rPr>
      <w:i/>
    </w:rPr>
  </w:style>
  <w:style w:type="paragraph" w:customStyle="1" w:styleId="FIEIB">
    <w:name w:val="FI EIB"/>
    <w:basedOn w:val="Normal"/>
    <w:rsid w:val="00A33A47"/>
    <w:pPr>
      <w:ind w:left="6662"/>
    </w:pPr>
  </w:style>
  <w:style w:type="paragraph" w:customStyle="1" w:styleId="CoverTitlesEIB">
    <w:name w:val="Cover Titles EIB"/>
    <w:basedOn w:val="Normal"/>
    <w:rsid w:val="00A33A47"/>
    <w:pPr>
      <w:spacing w:before="720" w:after="720"/>
      <w:ind w:left="0"/>
      <w:jc w:val="center"/>
    </w:pPr>
    <w:rPr>
      <w:sz w:val="32"/>
    </w:rPr>
  </w:style>
  <w:style w:type="character" w:customStyle="1" w:styleId="ItalicEIB">
    <w:name w:val="Italic EIB"/>
    <w:basedOn w:val="BoldEIB"/>
    <w:uiPriority w:val="1"/>
    <w:qFormat/>
    <w:rsid w:val="00A33A47"/>
    <w:rPr>
      <w:rFonts w:ascii="Arial" w:hAnsi="Arial"/>
      <w:b w:val="0"/>
      <w:i/>
      <w:sz w:val="20"/>
    </w:rPr>
  </w:style>
  <w:style w:type="paragraph" w:customStyle="1" w:styleId="NoIndentEIB">
    <w:name w:val="No Indent EIB"/>
    <w:basedOn w:val="Normal"/>
    <w:qFormat/>
    <w:rsid w:val="00A33A47"/>
    <w:pPr>
      <w:keepLines/>
      <w:ind w:left="0"/>
    </w:pPr>
  </w:style>
  <w:style w:type="paragraph" w:customStyle="1" w:styleId="RightEIB">
    <w:name w:val="Right EIB"/>
    <w:basedOn w:val="CenterEIB"/>
    <w:semiHidden/>
    <w:rsid w:val="00A33A47"/>
    <w:pPr>
      <w:jc w:val="right"/>
    </w:pPr>
  </w:style>
  <w:style w:type="character" w:customStyle="1" w:styleId="UnderlineEIB">
    <w:name w:val="Underline EIB"/>
    <w:basedOn w:val="ItalicEIB"/>
    <w:uiPriority w:val="1"/>
    <w:rsid w:val="00A33A47"/>
    <w:rPr>
      <w:rFonts w:ascii="Arial" w:hAnsi="Arial"/>
      <w:b w:val="0"/>
      <w:i w:val="0"/>
      <w:sz w:val="20"/>
      <w:u w:val="single"/>
    </w:rPr>
  </w:style>
  <w:style w:type="paragraph" w:customStyle="1" w:styleId="OptionEIB">
    <w:name w:val="Option EIB"/>
    <w:basedOn w:val="Normal"/>
    <w:rsid w:val="00A33A47"/>
    <w:pPr>
      <w:keepNext/>
      <w:keepLines/>
      <w:spacing w:before="240" w:after="240"/>
      <w:outlineLvl w:val="0"/>
    </w:pPr>
    <w:rPr>
      <w:b/>
      <w:i/>
      <w:u w:val="single"/>
    </w:rPr>
  </w:style>
  <w:style w:type="paragraph" w:customStyle="1" w:styleId="OutlineEIB">
    <w:name w:val="Outline EIB"/>
    <w:basedOn w:val="Normal"/>
    <w:next w:val="Normal"/>
    <w:rsid w:val="00A33A47"/>
    <w:pPr>
      <w:keepNext/>
      <w:keepLines/>
      <w:outlineLvl w:val="0"/>
    </w:pPr>
    <w:rPr>
      <w:b/>
      <w:caps/>
    </w:rPr>
  </w:style>
  <w:style w:type="paragraph" w:customStyle="1" w:styleId="CoverTitlesBoldEIB">
    <w:name w:val="Cover Titles Bold EIB"/>
    <w:basedOn w:val="CoverTitlesEIB"/>
    <w:next w:val="CoverTitlesEIB"/>
    <w:rsid w:val="00A33A47"/>
    <w:pPr>
      <w:keepNext/>
      <w:keepLines/>
    </w:pPr>
    <w:rPr>
      <w:b/>
    </w:rPr>
  </w:style>
  <w:style w:type="paragraph" w:styleId="TOC1">
    <w:name w:val="toc 1"/>
    <w:basedOn w:val="Normal"/>
    <w:next w:val="Normal"/>
    <w:autoRedefine/>
    <w:uiPriority w:val="39"/>
    <w:rsid w:val="00EB4F04"/>
    <w:pPr>
      <w:tabs>
        <w:tab w:val="right" w:leader="dot" w:pos="8947"/>
      </w:tabs>
      <w:spacing w:before="120"/>
      <w:ind w:left="0" w:right="318"/>
      <w:jc w:val="left"/>
    </w:pPr>
    <w:rPr>
      <w:b/>
      <w:caps/>
    </w:rPr>
  </w:style>
  <w:style w:type="paragraph" w:styleId="TOC2">
    <w:name w:val="toc 2"/>
    <w:basedOn w:val="Normal"/>
    <w:next w:val="Normal"/>
    <w:autoRedefine/>
    <w:uiPriority w:val="39"/>
    <w:rsid w:val="00003BCA"/>
    <w:pPr>
      <w:tabs>
        <w:tab w:val="left" w:pos="720"/>
        <w:tab w:val="right" w:leader="dot" w:pos="8947"/>
      </w:tabs>
      <w:spacing w:before="120"/>
      <w:ind w:left="0" w:right="318"/>
      <w:jc w:val="left"/>
    </w:pPr>
    <w:rPr>
      <w:caps/>
    </w:rPr>
  </w:style>
  <w:style w:type="paragraph" w:styleId="TOC3">
    <w:name w:val="toc 3"/>
    <w:basedOn w:val="Normal"/>
    <w:next w:val="Normal"/>
    <w:autoRedefine/>
    <w:uiPriority w:val="39"/>
    <w:rsid w:val="00003BCA"/>
    <w:pPr>
      <w:tabs>
        <w:tab w:val="left" w:pos="720"/>
        <w:tab w:val="right" w:leader="dot" w:pos="8947"/>
      </w:tabs>
      <w:spacing w:before="120"/>
      <w:ind w:left="0"/>
      <w:contextualSpacing/>
      <w:jc w:val="left"/>
    </w:pPr>
    <w:rPr>
      <w:smallCaps/>
    </w:rPr>
  </w:style>
  <w:style w:type="paragraph" w:styleId="TOC4">
    <w:name w:val="toc 4"/>
    <w:basedOn w:val="Normal"/>
    <w:next w:val="Normal"/>
    <w:autoRedefine/>
    <w:uiPriority w:val="39"/>
    <w:rsid w:val="00680920"/>
    <w:pPr>
      <w:tabs>
        <w:tab w:val="left" w:pos="851"/>
        <w:tab w:val="right" w:leader="dot" w:pos="8947"/>
      </w:tabs>
      <w:spacing w:after="0" w:line="276" w:lineRule="auto"/>
      <w:ind w:left="0"/>
      <w:jc w:val="left"/>
    </w:pPr>
  </w:style>
  <w:style w:type="paragraph" w:customStyle="1" w:styleId="SubSchedule1EIB">
    <w:name w:val="SubSchedule 1 EIB"/>
    <w:basedOn w:val="Normal"/>
    <w:next w:val="Normal"/>
    <w:qFormat/>
    <w:rsid w:val="008538A0"/>
    <w:pPr>
      <w:keepNext/>
      <w:keepLines/>
      <w:numPr>
        <w:ilvl w:val="1"/>
        <w:numId w:val="92"/>
      </w:numPr>
      <w:spacing w:after="240"/>
      <w:jc w:val="center"/>
      <w:outlineLvl w:val="1"/>
    </w:pPr>
    <w:rPr>
      <w:b/>
      <w:u w:val="single"/>
    </w:rPr>
  </w:style>
  <w:style w:type="paragraph" w:customStyle="1" w:styleId="SubSchedule2EIB0">
    <w:name w:val="SubSchedule 2 EIB"/>
    <w:basedOn w:val="SubSchedule1EIB"/>
    <w:rsid w:val="00A33A47"/>
    <w:pPr>
      <w:numPr>
        <w:ilvl w:val="2"/>
      </w:numPr>
      <w:spacing w:before="200" w:after="200"/>
      <w:jc w:val="left"/>
      <w:outlineLvl w:val="9"/>
    </w:pPr>
    <w:rPr>
      <w:u w:val="none"/>
    </w:rPr>
  </w:style>
  <w:style w:type="paragraph" w:customStyle="1" w:styleId="SubSchedule3EIB0">
    <w:name w:val="SubSchedule 3 EIB"/>
    <w:basedOn w:val="SubSchedule2EIB0"/>
    <w:qFormat/>
    <w:rsid w:val="008006FA"/>
    <w:pPr>
      <w:numPr>
        <w:ilvl w:val="3"/>
      </w:numPr>
      <w:jc w:val="center"/>
    </w:pPr>
    <w:rPr>
      <w:b w:val="0"/>
      <w:u w:val="single"/>
    </w:rPr>
  </w:style>
  <w:style w:type="numbering" w:customStyle="1" w:styleId="SchedulesLists">
    <w:name w:val="Schedules Lists"/>
    <w:uiPriority w:val="99"/>
    <w:rsid w:val="003C25F8"/>
    <w:pPr>
      <w:numPr>
        <w:numId w:val="2"/>
      </w:numPr>
    </w:pPr>
  </w:style>
  <w:style w:type="table" w:styleId="TableGrid">
    <w:name w:val="Table Grid"/>
    <w:basedOn w:val="TableNormal"/>
    <w:rsid w:val="00DD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
    <w:name w:val="Table EIB"/>
    <w:basedOn w:val="TableNormal"/>
    <w:uiPriority w:val="99"/>
    <w:rsid w:val="005C4C35"/>
    <w:pPr>
      <w:spacing w:after="120" w:line="240" w:lineRule="auto"/>
    </w:pPr>
    <w:tblPr>
      <w:tblInd w:w="856" w:type="dxa"/>
    </w:tblPr>
  </w:style>
  <w:style w:type="table" w:styleId="LightShading-Accent2">
    <w:name w:val="Light Shading Accent 2"/>
    <w:basedOn w:val="TableNormal"/>
    <w:uiPriority w:val="60"/>
    <w:rsid w:val="005C4C3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rsid w:val="000A5271"/>
    <w:rPr>
      <w:color w:val="0000FF" w:themeColor="hyperlink"/>
      <w:u w:val="single"/>
    </w:rPr>
  </w:style>
  <w:style w:type="table" w:styleId="MediumShading2-Accent6">
    <w:name w:val="Medium Shading 2 Accent 6"/>
    <w:basedOn w:val="TableNormal"/>
    <w:uiPriority w:val="64"/>
    <w:rsid w:val="004173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5">
    <w:name w:val="toc 5"/>
    <w:basedOn w:val="Normal"/>
    <w:next w:val="Normal"/>
    <w:autoRedefine/>
    <w:uiPriority w:val="39"/>
    <w:rsid w:val="00AA2814"/>
    <w:pPr>
      <w:spacing w:after="100" w:line="276" w:lineRule="auto"/>
      <w:ind w:left="880"/>
      <w:jc w:val="left"/>
    </w:pPr>
    <w:rPr>
      <w:rFonts w:asciiTheme="minorHAnsi" w:eastAsiaTheme="minorEastAsia" w:hAnsiTheme="minorHAnsi"/>
      <w:color w:val="auto"/>
      <w:sz w:val="22"/>
    </w:rPr>
  </w:style>
  <w:style w:type="paragraph" w:styleId="TOC6">
    <w:name w:val="toc 6"/>
    <w:basedOn w:val="Normal"/>
    <w:next w:val="Normal"/>
    <w:autoRedefine/>
    <w:uiPriority w:val="39"/>
    <w:rsid w:val="00AA2814"/>
    <w:pPr>
      <w:spacing w:after="100" w:line="276" w:lineRule="auto"/>
      <w:ind w:left="1100"/>
      <w:jc w:val="left"/>
    </w:pPr>
    <w:rPr>
      <w:rFonts w:asciiTheme="minorHAnsi" w:eastAsiaTheme="minorEastAsia" w:hAnsiTheme="minorHAnsi"/>
      <w:color w:val="auto"/>
      <w:sz w:val="22"/>
    </w:rPr>
  </w:style>
  <w:style w:type="paragraph" w:styleId="TOC7">
    <w:name w:val="toc 7"/>
    <w:basedOn w:val="Normal"/>
    <w:next w:val="Normal"/>
    <w:autoRedefine/>
    <w:uiPriority w:val="39"/>
    <w:rsid w:val="00AA2814"/>
    <w:pPr>
      <w:spacing w:after="100" w:line="276" w:lineRule="auto"/>
      <w:ind w:left="1320"/>
      <w:jc w:val="left"/>
    </w:pPr>
    <w:rPr>
      <w:rFonts w:asciiTheme="minorHAnsi" w:eastAsiaTheme="minorEastAsia" w:hAnsiTheme="minorHAnsi"/>
      <w:color w:val="auto"/>
      <w:sz w:val="22"/>
    </w:rPr>
  </w:style>
  <w:style w:type="paragraph" w:styleId="TOC8">
    <w:name w:val="toc 8"/>
    <w:basedOn w:val="Normal"/>
    <w:next w:val="Normal"/>
    <w:autoRedefine/>
    <w:uiPriority w:val="39"/>
    <w:rsid w:val="00AA2814"/>
    <w:pPr>
      <w:spacing w:after="100" w:line="276" w:lineRule="auto"/>
      <w:ind w:left="1540"/>
      <w:jc w:val="left"/>
    </w:pPr>
    <w:rPr>
      <w:rFonts w:asciiTheme="minorHAnsi" w:eastAsiaTheme="minorEastAsia" w:hAnsiTheme="minorHAnsi"/>
      <w:color w:val="auto"/>
      <w:sz w:val="22"/>
    </w:rPr>
  </w:style>
  <w:style w:type="paragraph" w:styleId="TOC9">
    <w:name w:val="toc 9"/>
    <w:basedOn w:val="Normal"/>
    <w:next w:val="Normal"/>
    <w:autoRedefine/>
    <w:uiPriority w:val="39"/>
    <w:rsid w:val="00AA2814"/>
    <w:pPr>
      <w:spacing w:after="100" w:line="276" w:lineRule="auto"/>
      <w:ind w:left="1760"/>
      <w:jc w:val="left"/>
    </w:pPr>
    <w:rPr>
      <w:rFonts w:asciiTheme="minorHAnsi" w:eastAsiaTheme="minorEastAsia" w:hAnsiTheme="minorHAnsi"/>
      <w:color w:val="auto"/>
      <w:sz w:val="22"/>
    </w:rPr>
  </w:style>
  <w:style w:type="character" w:customStyle="1" w:styleId="UnresolvedMention1">
    <w:name w:val="Unresolved Mention1"/>
    <w:basedOn w:val="DefaultParagraphFont"/>
    <w:uiPriority w:val="99"/>
    <w:semiHidden/>
    <w:unhideWhenUsed/>
    <w:rsid w:val="00321749"/>
    <w:rPr>
      <w:color w:val="808080"/>
      <w:shd w:val="clear" w:color="auto" w:fill="E6E6E6"/>
    </w:rPr>
  </w:style>
  <w:style w:type="paragraph" w:styleId="CommentText">
    <w:name w:val="annotation text"/>
    <w:aliases w:val=" Znak,Znak, Char,Char Char,Char"/>
    <w:basedOn w:val="Normal"/>
    <w:link w:val="CommentTextChar"/>
    <w:uiPriority w:val="99"/>
    <w:unhideWhenUsed/>
    <w:rsid w:val="00C331AE"/>
  </w:style>
  <w:style w:type="character" w:customStyle="1" w:styleId="CommentTextChar">
    <w:name w:val="Comment Text Char"/>
    <w:aliases w:val=" Znak Char,Znak Char, Char Char,Char Char Char,Char Char1"/>
    <w:basedOn w:val="DefaultParagraphFont"/>
    <w:link w:val="CommentText"/>
    <w:uiPriority w:val="99"/>
    <w:rsid w:val="00C331AE"/>
    <w:rPr>
      <w:color w:val="000000" w:themeColor="text1"/>
    </w:rPr>
  </w:style>
  <w:style w:type="paragraph" w:styleId="BalloonText">
    <w:name w:val="Balloon Text"/>
    <w:basedOn w:val="Normal"/>
    <w:link w:val="BalloonTextChar"/>
    <w:uiPriority w:val="99"/>
    <w:semiHidden/>
    <w:unhideWhenUsed/>
    <w:rsid w:val="00D7490C"/>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7490C"/>
    <w:rPr>
      <w:rFonts w:ascii="Segoe UI" w:hAnsi="Segoe UI" w:cs="Segoe UI"/>
      <w:color w:val="000000" w:themeColor="text1"/>
      <w:sz w:val="18"/>
    </w:rPr>
  </w:style>
  <w:style w:type="paragraph" w:styleId="Revision">
    <w:name w:val="Revision"/>
    <w:hidden/>
    <w:uiPriority w:val="99"/>
    <w:semiHidden/>
    <w:rsid w:val="004F7226"/>
    <w:pPr>
      <w:spacing w:after="0" w:line="240" w:lineRule="auto"/>
    </w:pPr>
    <w:rPr>
      <w:color w:val="000000" w:themeColor="text1"/>
    </w:rPr>
  </w:style>
  <w:style w:type="paragraph" w:customStyle="1" w:styleId="Annex">
    <w:name w:val="Annex"/>
    <w:basedOn w:val="Normal"/>
    <w:qFormat/>
    <w:rsid w:val="00AB142B"/>
    <w:pPr>
      <w:numPr>
        <w:numId w:val="95"/>
      </w:numPr>
      <w:jc w:val="right"/>
    </w:pPr>
    <w:rPr>
      <w:b/>
    </w:rPr>
  </w:style>
  <w:style w:type="numbering" w:customStyle="1" w:styleId="Annexes">
    <w:name w:val="Annexes"/>
    <w:uiPriority w:val="99"/>
    <w:rsid w:val="00387BE0"/>
    <w:pPr>
      <w:numPr>
        <w:numId w:val="61"/>
      </w:numPr>
    </w:pPr>
  </w:style>
  <w:style w:type="paragraph" w:styleId="EndnoteText">
    <w:name w:val="endnote text"/>
    <w:basedOn w:val="Normal"/>
    <w:link w:val="EndnoteTextChar"/>
    <w:uiPriority w:val="99"/>
    <w:unhideWhenUsed/>
    <w:rsid w:val="0055327A"/>
    <w:pPr>
      <w:spacing w:after="0"/>
    </w:pPr>
  </w:style>
  <w:style w:type="character" w:customStyle="1" w:styleId="EndnoteTextChar">
    <w:name w:val="Endnote Text Char"/>
    <w:basedOn w:val="DefaultParagraphFont"/>
    <w:link w:val="EndnoteText"/>
    <w:uiPriority w:val="99"/>
    <w:rsid w:val="0055327A"/>
    <w:rPr>
      <w:color w:val="000000" w:themeColor="text1"/>
    </w:rPr>
  </w:style>
  <w:style w:type="character" w:styleId="EndnoteReference">
    <w:name w:val="endnote reference"/>
    <w:basedOn w:val="DefaultParagraphFont"/>
    <w:uiPriority w:val="99"/>
    <w:semiHidden/>
    <w:unhideWhenUsed/>
    <w:rsid w:val="0055327A"/>
    <w:rPr>
      <w:vertAlign w:val="superscript"/>
    </w:rPr>
  </w:style>
  <w:style w:type="character" w:styleId="FollowedHyperlink">
    <w:name w:val="FollowedHyperlink"/>
    <w:basedOn w:val="DefaultParagraphFont"/>
    <w:uiPriority w:val="99"/>
    <w:semiHidden/>
    <w:unhideWhenUsed/>
    <w:rsid w:val="0091256C"/>
    <w:rPr>
      <w:color w:val="800080" w:themeColor="followedHyperlink"/>
      <w:u w:val="single"/>
    </w:rPr>
  </w:style>
  <w:style w:type="numbering" w:customStyle="1" w:styleId="ListsEIB0">
    <w:name w:val="Lists E.I.B."/>
    <w:pPr>
      <w:numPr>
        <w:numId w:val="50"/>
      </w:numPr>
    </w:pPr>
  </w:style>
  <w:style w:type="numbering" w:customStyle="1" w:styleId="HeadingsEIB">
    <w:name w:val="Headings E.I.B."/>
    <w:uiPriority w:val="99"/>
    <w:pPr>
      <w:numPr>
        <w:numId w:val="51"/>
      </w:numPr>
    </w:pPr>
  </w:style>
  <w:style w:type="table" w:customStyle="1" w:styleId="TableEIB0">
    <w:name w:val="Table E.I.B."/>
    <w:basedOn w:val="TableNormal"/>
    <w:uiPriority w:val="99"/>
    <w:pPr>
      <w:spacing w:after="120" w:line="240" w:lineRule="auto"/>
    </w:pPr>
    <w:tblPr>
      <w:tblInd w:w="856" w:type="dxa"/>
    </w:tblPr>
  </w:style>
  <w:style w:type="character" w:customStyle="1" w:styleId="UnderlineEIB0">
    <w:name w:val="Underline E.I.B."/>
    <w:basedOn w:val="DefaultParagraphFont"/>
    <w:uiPriority w:val="1"/>
    <w:qFormat/>
    <w:rsid w:val="008538A0"/>
    <w:rPr>
      <w:rFonts w:ascii="Arial" w:hAnsi="Arial"/>
      <w:b w:val="0"/>
      <w:i w:val="0"/>
      <w:sz w:val="20"/>
      <w:u w:val="single"/>
    </w:rPr>
  </w:style>
  <w:style w:type="paragraph" w:customStyle="1" w:styleId="ScheduleEIB">
    <w:name w:val="Schedule EIB"/>
    <w:basedOn w:val="Normal"/>
    <w:qFormat/>
    <w:rsid w:val="00583F76"/>
    <w:pPr>
      <w:keepNext/>
      <w:keepLines/>
      <w:numPr>
        <w:numId w:val="92"/>
      </w:numPr>
      <w:ind w:left="360"/>
      <w:jc w:val="right"/>
      <w:outlineLvl w:val="0"/>
    </w:pPr>
    <w:rPr>
      <w:b/>
    </w:rPr>
  </w:style>
  <w:style w:type="character" w:styleId="CommentReference">
    <w:name w:val="annotation reference"/>
    <w:basedOn w:val="DefaultParagraphFont"/>
    <w:uiPriority w:val="99"/>
    <w:semiHidden/>
    <w:unhideWhenUsed/>
    <w:rsid w:val="00D61BBB"/>
    <w:rPr>
      <w:sz w:val="16"/>
    </w:rPr>
  </w:style>
  <w:style w:type="paragraph" w:styleId="CommentSubject">
    <w:name w:val="annotation subject"/>
    <w:basedOn w:val="CommentText"/>
    <w:next w:val="CommentText"/>
    <w:link w:val="CommentSubjectChar"/>
    <w:uiPriority w:val="99"/>
    <w:semiHidden/>
    <w:unhideWhenUsed/>
    <w:rsid w:val="00D61BBB"/>
    <w:rPr>
      <w:b/>
    </w:rPr>
  </w:style>
  <w:style w:type="character" w:customStyle="1" w:styleId="CommentSubjectChar">
    <w:name w:val="Comment Subject Char"/>
    <w:basedOn w:val="CommentTextChar"/>
    <w:link w:val="CommentSubject"/>
    <w:uiPriority w:val="99"/>
    <w:semiHidden/>
    <w:rsid w:val="00D61BBB"/>
    <w:rPr>
      <w:rFonts w:ascii="Arial" w:hAnsi="Arial"/>
      <w:b/>
      <w:color w:val="000000" w:themeColor="text1"/>
      <w:sz w:val="20"/>
    </w:rPr>
  </w:style>
  <w:style w:type="paragraph" w:styleId="ListParagraph">
    <w:name w:val="List Paragraph"/>
    <w:basedOn w:val="Normal"/>
    <w:uiPriority w:val="34"/>
    <w:qFormat/>
    <w:rsid w:val="00712484"/>
    <w:pPr>
      <w:ind w:left="720"/>
      <w:contextualSpacing/>
    </w:pPr>
  </w:style>
  <w:style w:type="paragraph" w:customStyle="1" w:styleId="SubSchedule4EIB">
    <w:name w:val="SubSchedule 4 EIB"/>
    <w:basedOn w:val="Normal"/>
    <w:next w:val="Normal"/>
    <w:link w:val="SubSchedule4EIBChar"/>
    <w:qFormat/>
    <w:rsid w:val="00557D78"/>
    <w:pPr>
      <w:keepNext/>
      <w:keepLines/>
      <w:numPr>
        <w:ilvl w:val="4"/>
        <w:numId w:val="92"/>
      </w:numPr>
      <w:spacing w:before="120" w:after="200"/>
      <w:jc w:val="left"/>
    </w:pPr>
    <w:rPr>
      <w:b/>
    </w:rPr>
  </w:style>
  <w:style w:type="character" w:customStyle="1" w:styleId="SubSchedule4EIBChar">
    <w:name w:val="SubSchedule 4 EIB Char"/>
    <w:basedOn w:val="DefaultParagraphFont"/>
    <w:link w:val="SubSchedule4EIB"/>
    <w:rsid w:val="00557D78"/>
    <w:rPr>
      <w:rFonts w:ascii="Arial" w:hAnsi="Arial"/>
      <w:b/>
      <w:color w:val="000000" w:themeColor="text1"/>
      <w:sz w:val="20"/>
    </w:rPr>
  </w:style>
  <w:style w:type="character" w:customStyle="1" w:styleId="UnresolvedMention">
    <w:name w:val="Unresolved Mention"/>
    <w:basedOn w:val="DefaultParagraphFont"/>
    <w:uiPriority w:val="99"/>
    <w:semiHidden/>
    <w:unhideWhenUsed/>
    <w:rsid w:val="00943D6D"/>
    <w:rPr>
      <w:color w:val="605E5C"/>
      <w:shd w:val="clear" w:color="auto" w:fill="E1DFDD"/>
    </w:rPr>
  </w:style>
  <w:style w:type="paragraph" w:styleId="TOCHeading">
    <w:name w:val="TOC Heading"/>
    <w:basedOn w:val="Heading1"/>
    <w:next w:val="Normal"/>
    <w:uiPriority w:val="39"/>
    <w:unhideWhenUsed/>
    <w:qFormat/>
    <w:rsid w:val="00943D6D"/>
    <w:pPr>
      <w:numPr>
        <w:numId w:val="0"/>
      </w:numPr>
      <w:spacing w:before="240" w:after="0" w:line="259" w:lineRule="auto"/>
      <w:jc w:val="left"/>
      <w:outlineLvl w:val="9"/>
    </w:pPr>
    <w:rPr>
      <w:rFonts w:asciiTheme="majorHAnsi" w:hAnsiTheme="majorHAnsi"/>
      <w:b w:val="0"/>
      <w:caps w:val="0"/>
      <w:color w:val="365F91" w:themeColor="accent1" w:themeShade="BF"/>
      <w:sz w:val="32"/>
      <w:u w:val="none"/>
    </w:rPr>
  </w:style>
  <w:style w:type="character" w:customStyle="1" w:styleId="BoldEIB0">
    <w:name w:val="Bold E.I.B."/>
    <w:basedOn w:val="DefaultParagraphFont"/>
    <w:uiPriority w:val="1"/>
    <w:qFormat/>
    <w:rsid w:val="00264305"/>
    <w:rPr>
      <w:rFonts w:ascii="Arial" w:hAnsi="Arial"/>
      <w:b/>
      <w:sz w:val="20"/>
    </w:rPr>
  </w:style>
  <w:style w:type="paragraph" w:customStyle="1" w:styleId="NoIndentEIB0">
    <w:name w:val="No Indent E.I.B."/>
    <w:basedOn w:val="Normal"/>
    <w:qFormat/>
    <w:rsid w:val="00264305"/>
    <w:pPr>
      <w:keepLines/>
      <w:ind w:left="0"/>
    </w:pPr>
  </w:style>
  <w:style w:type="paragraph" w:customStyle="1" w:styleId="ScheduleEIB0">
    <w:name w:val="Schedule E.I.B."/>
    <w:basedOn w:val="Normal"/>
    <w:qFormat/>
    <w:rsid w:val="002646D6"/>
    <w:pPr>
      <w:keepNext/>
      <w:keepLines/>
      <w:numPr>
        <w:numId w:val="74"/>
      </w:numPr>
      <w:jc w:val="right"/>
      <w:outlineLvl w:val="0"/>
    </w:pPr>
    <w:rPr>
      <w:b/>
    </w:rPr>
  </w:style>
  <w:style w:type="paragraph" w:customStyle="1" w:styleId="SubSchedule1EIB0">
    <w:name w:val="SubSchedule 1 E.I.B."/>
    <w:basedOn w:val="ScheduleEIB0"/>
    <w:next w:val="Normal"/>
    <w:qFormat/>
    <w:rsid w:val="002646D6"/>
    <w:pPr>
      <w:numPr>
        <w:ilvl w:val="1"/>
      </w:numPr>
      <w:spacing w:after="240"/>
      <w:jc w:val="center"/>
      <w:outlineLvl w:val="1"/>
    </w:pPr>
    <w:rPr>
      <w:u w:val="single"/>
    </w:rPr>
  </w:style>
  <w:style w:type="paragraph" w:customStyle="1" w:styleId="SubSchedule2EIB">
    <w:name w:val="SubSchedule 2 E.I.B."/>
    <w:basedOn w:val="SubSchedule1EIB0"/>
    <w:qFormat/>
    <w:rsid w:val="002646D6"/>
    <w:pPr>
      <w:numPr>
        <w:ilvl w:val="2"/>
        <w:numId w:val="88"/>
      </w:numPr>
      <w:spacing w:before="200" w:after="200"/>
      <w:jc w:val="left"/>
      <w:outlineLvl w:val="9"/>
    </w:pPr>
    <w:rPr>
      <w:u w:val="none"/>
    </w:rPr>
  </w:style>
  <w:style w:type="paragraph" w:customStyle="1" w:styleId="SubSchedule3EIB">
    <w:name w:val="SubSchedule 3 E.I.B."/>
    <w:basedOn w:val="SubSchedule2EIB"/>
    <w:qFormat/>
    <w:rsid w:val="002646D6"/>
    <w:pPr>
      <w:numPr>
        <w:ilvl w:val="3"/>
      </w:numPr>
      <w:jc w:val="center"/>
    </w:pPr>
    <w:rPr>
      <w:b w:val="0"/>
      <w:u w:val="single"/>
    </w:rPr>
  </w:style>
  <w:style w:type="table" w:customStyle="1" w:styleId="TableGrid1">
    <w:name w:val="Table Grid1"/>
    <w:basedOn w:val="TableNormal"/>
    <w:next w:val="TableGrid"/>
    <w:rsid w:val="007E41EA"/>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26A3"/>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rsid w:val="006D51B4"/>
    <w:pPr>
      <w:spacing w:after="0"/>
      <w:ind w:left="709"/>
    </w:pPr>
    <w:rPr>
      <w:rFonts w:eastAsia="Times New Roman" w:cs="Times New Roman"/>
      <w:color w:val="auto"/>
    </w:rPr>
  </w:style>
  <w:style w:type="paragraph" w:customStyle="1" w:styleId="P68B1DB1-Normal1">
    <w:name w:val="P68B1DB1-Normal1"/>
    <w:basedOn w:val="Normal"/>
    <w:rPr>
      <w:rFonts w:cs="Arial"/>
    </w:rPr>
  </w:style>
  <w:style w:type="paragraph" w:customStyle="1" w:styleId="P68B1DB1-Normal2">
    <w:name w:val="P68B1DB1-Normal2"/>
    <w:basedOn w:val="Normal"/>
    <w:rPr>
      <w:b/>
    </w:rPr>
  </w:style>
  <w:style w:type="paragraph" w:customStyle="1" w:styleId="P68B1DB1-RightEIB3">
    <w:name w:val="P68B1DB1-RightEIB3"/>
    <w:basedOn w:val="RightEIB"/>
    <w:rPr>
      <w:b/>
    </w:rPr>
  </w:style>
  <w:style w:type="paragraph" w:customStyle="1" w:styleId="P68B1DB1-NoIndentEIB4">
    <w:name w:val="P68B1DB1-NoIndentEIB4"/>
    <w:basedOn w:val="NoIndentEIB"/>
    <w:rPr>
      <w:color w:val="auto"/>
    </w:rPr>
  </w:style>
  <w:style w:type="paragraph" w:customStyle="1" w:styleId="P68B1DB1-NoIndentEIB5">
    <w:name w:val="P68B1DB1-NoIndentEIB5"/>
    <w:basedOn w:val="NoIndentEIB"/>
    <w:rPr>
      <w:b/>
    </w:rPr>
  </w:style>
  <w:style w:type="paragraph" w:customStyle="1" w:styleId="P68B1DB1-NoIndentEIB6">
    <w:name w:val="P68B1DB1-NoIndentEIB6"/>
    <w:basedOn w:val="NoIndentEIB"/>
    <w:rPr>
      <w:b/>
      <w:i/>
      <w:u w:val="single"/>
    </w:rPr>
  </w:style>
  <w:style w:type="paragraph" w:customStyle="1" w:styleId="P68B1DB1-Heading27">
    <w:name w:val="P68B1DB1-Heading27"/>
    <w:basedOn w:val="Heading2"/>
    <w:rPr>
      <w:rFonts w:cs="Arial"/>
    </w:rPr>
  </w:style>
  <w:style w:type="paragraph" w:customStyle="1" w:styleId="P68B1DB1-SubSchedule1EIB8">
    <w:name w:val="P68B1DB1-SubSchedule1EIB8"/>
    <w:basedOn w:val="SubSchedule1EIB"/>
    <w:rPr>
      <w:b w:val="0"/>
      <w:u w:val="none"/>
    </w:rPr>
  </w:style>
  <w:style w:type="paragraph" w:customStyle="1" w:styleId="P68B1DB1-NoIndentEIB9">
    <w:name w:val="P68B1DB1-NoIndentEIB9"/>
    <w:basedOn w:val="NoIndentEIB"/>
    <w:rPr>
      <w:highlight w:val="yellow"/>
    </w:rPr>
  </w:style>
  <w:style w:type="paragraph" w:customStyle="1" w:styleId="P68B1DB1-SubSchedule3EIB10">
    <w:name w:val="P68B1DB1-SubSchedule3EIB10"/>
    <w:basedOn w:val="SubSchedule3EIB0"/>
    <w:rPr>
      <w:b/>
    </w:rPr>
  </w:style>
  <w:style w:type="paragraph" w:customStyle="1" w:styleId="P68B1DB1-Normal11">
    <w:name w:val="P68B1DB1-Normal11"/>
    <w:basedOn w:val="Normal"/>
    <w:rPr>
      <w:rFonts w:cs="Arial"/>
      <w:b/>
      <w:color w:val="auto"/>
    </w:rPr>
  </w:style>
  <w:style w:type="paragraph" w:customStyle="1" w:styleId="P68B1DB1-Normal12">
    <w:name w:val="P68B1DB1-Normal12"/>
    <w:basedOn w:val="Normal"/>
    <w:rPr>
      <w:rFonts w:cs="Arial"/>
      <w:color w:val="auto"/>
    </w:rPr>
  </w:style>
  <w:style w:type="paragraph" w:customStyle="1" w:styleId="P68B1DB1-Normal13">
    <w:name w:val="P68B1DB1-Normal13"/>
    <w:basedOn w:val="Normal"/>
    <w:rPr>
      <w:color w:val="auto"/>
    </w:rPr>
  </w:style>
  <w:style w:type="paragraph" w:customStyle="1" w:styleId="P68B1DB1-Normal14">
    <w:name w:val="P68B1DB1-Normal14"/>
    <w:basedOn w:val="Normal"/>
    <w:rPr>
      <w:i/>
      <w:sz w:val="16"/>
    </w:rPr>
  </w:style>
  <w:style w:type="paragraph" w:customStyle="1" w:styleId="P68B1DB1-Normal15">
    <w:name w:val="P68B1DB1-Normal15"/>
    <w:basedOn w:val="Normal"/>
    <w:rPr>
      <w:b/>
      <w:u w:val="single"/>
    </w:rPr>
  </w:style>
  <w:style w:type="paragraph" w:customStyle="1" w:styleId="P68B1DB1-text16">
    <w:name w:val="P68B1DB1-text16"/>
    <w:basedOn w:val="text"/>
    <w:rPr>
      <w:rFonts w:cs="Arial"/>
      <w:b/>
    </w:rPr>
  </w:style>
  <w:style w:type="paragraph" w:customStyle="1" w:styleId="P68B1DB1-text17">
    <w:name w:val="P68B1DB1-text17"/>
    <w:basedOn w:val="text"/>
    <w:rPr>
      <w:rFonts w:cs="Arial"/>
    </w:rPr>
  </w:style>
  <w:style w:type="paragraph" w:customStyle="1" w:styleId="P68B1DB1-Normal18">
    <w:name w:val="P68B1DB1-Normal18"/>
    <w:basedOn w:val="Normal"/>
    <w:rPr>
      <w:rFonts w:cs="Arial"/>
      <w:i/>
    </w:rPr>
  </w:style>
  <w:style w:type="paragraph" w:customStyle="1" w:styleId="P68B1DB1-Normal19">
    <w:name w:val="P68B1DB1-Normal19"/>
    <w:basedOn w:val="Normal"/>
    <w:rPr>
      <w:rFonts w:eastAsia="Times New Roman" w:cs="Arial"/>
    </w:rPr>
  </w:style>
  <w:style w:type="paragraph" w:customStyle="1" w:styleId="P68B1DB1-text20">
    <w:name w:val="P68B1DB1-text20"/>
    <w:basedOn w:val="text"/>
    <w:rPr>
      <w:rFonts w:cs="Arial"/>
      <w:i/>
    </w:rPr>
  </w:style>
  <w:style w:type="paragraph" w:customStyle="1" w:styleId="P68B1DB1-Normal21">
    <w:name w:val="P68B1DB1-Normal21"/>
    <w:basedOn w:val="Normal"/>
    <w:rPr>
      <w:rFonts w:eastAsia="Times New Roman" w:cs="Arial"/>
      <w:color w:val="auto"/>
    </w:rPr>
  </w:style>
  <w:style w:type="paragraph" w:customStyle="1" w:styleId="P68B1DB1-Normal22">
    <w:name w:val="P68B1DB1-Normal22"/>
    <w:basedOn w:val="Normal"/>
    <w:rPr>
      <w:rFonts w:eastAsia="Times New Roman" w:cs="Arial"/>
      <w:b/>
      <w:color w:val="auto"/>
    </w:rPr>
  </w:style>
  <w:style w:type="paragraph" w:customStyle="1" w:styleId="P68B1DB1-Normal23">
    <w:name w:val="P68B1DB1-Normal23"/>
    <w:basedOn w:val="Normal"/>
    <w:rPr>
      <w:rFonts w:eastAsia="Times New Roman" w:cs="Arial"/>
      <w:i/>
      <w:color w:val="auto"/>
    </w:rPr>
  </w:style>
  <w:style w:type="paragraph" w:customStyle="1" w:styleId="P68B1DB1-Normal24">
    <w:name w:val="P68B1DB1-Normal24"/>
    <w:basedOn w:val="Normal"/>
    <w:rPr>
      <w:rFonts w:eastAsia="Times New Roman" w:cs="Times New Roman"/>
      <w:i/>
      <w:color w:val="auto"/>
    </w:rPr>
  </w:style>
  <w:style w:type="paragraph" w:customStyle="1" w:styleId="P68B1DB1-Normal25">
    <w:name w:val="P68B1DB1-Normal25"/>
    <w:basedOn w:val="Normal"/>
    <w:rPr>
      <w:rFonts w:eastAsia="Times New Roman" w:cs="Arial"/>
      <w:color w:val="auto"/>
      <w:u w:val="single"/>
    </w:rPr>
  </w:style>
  <w:style w:type="paragraph" w:customStyle="1" w:styleId="P68B1DB1-Normal26">
    <w:name w:val="P68B1DB1-Normal26"/>
    <w:basedOn w:val="Normal"/>
    <w:rPr>
      <w:rFonts w:eastAsia="SimSun" w:cs="Arial"/>
    </w:rPr>
  </w:style>
  <w:style w:type="paragraph" w:customStyle="1" w:styleId="P68B1DB1-Normal27">
    <w:name w:val="P68B1DB1-Normal27"/>
    <w:basedOn w:val="Normal"/>
    <w:rPr>
      <w:b/>
      <w:sz w:val="14"/>
    </w:rPr>
  </w:style>
  <w:style w:type="paragraph" w:customStyle="1" w:styleId="P68B1DB1-Normal28">
    <w:name w:val="P68B1DB1-Normal28"/>
    <w:basedOn w:val="Normal"/>
    <w:rPr>
      <w:sz w:val="14"/>
    </w:rPr>
  </w:style>
  <w:style w:type="paragraph" w:customStyle="1" w:styleId="P68B1DB1-Normal29">
    <w:name w:val="P68B1DB1-Normal29"/>
    <w:basedOn w:val="Normal"/>
    <w:rPr>
      <w:sz w:val="16"/>
    </w:rPr>
  </w:style>
  <w:style w:type="paragraph" w:customStyle="1" w:styleId="P68B1DB1-Normal30">
    <w:name w:val="P68B1DB1-Normal30"/>
    <w:basedOn w:val="Normal"/>
    <w:rPr>
      <w:rFonts w:cs="Arial"/>
      <w:b/>
      <w:sz w:val="14"/>
    </w:rPr>
  </w:style>
  <w:style w:type="paragraph" w:customStyle="1" w:styleId="P68B1DB1-Normal31">
    <w:name w:val="P68B1DB1-Normal31"/>
    <w:basedOn w:val="Normal"/>
    <w:rPr>
      <w:b/>
      <w:sz w:val="16"/>
    </w:rPr>
  </w:style>
  <w:style w:type="paragraph" w:customStyle="1" w:styleId="P68B1DB1-Normal32">
    <w:name w:val="P68B1DB1-Normal32"/>
    <w:basedOn w:val="Normal"/>
    <w:rPr>
      <w:u w:val="single"/>
    </w:rPr>
  </w:style>
  <w:style w:type="paragraph" w:customStyle="1" w:styleId="P68B1DB1-Normal33">
    <w:name w:val="P68B1DB1-Normal33"/>
    <w:basedOn w:val="Normal"/>
    <w:rPr>
      <w:rFonts w:eastAsia="Calibri" w:cs="Arial"/>
      <w:b/>
      <w:color w:val="auto"/>
      <w:sz w:val="24"/>
    </w:rPr>
  </w:style>
  <w:style w:type="paragraph" w:customStyle="1" w:styleId="P68B1DB1-Normal34">
    <w:name w:val="P68B1DB1-Normal34"/>
    <w:basedOn w:val="Normal"/>
    <w:rPr>
      <w:rFonts w:eastAsia="Calibri" w:cs="Arial"/>
      <w:color w:val="auto"/>
    </w:rPr>
  </w:style>
  <w:style w:type="paragraph" w:customStyle="1" w:styleId="P68B1DB1-Normal35">
    <w:name w:val="P68B1DB1-Normal35"/>
    <w:basedOn w:val="Normal"/>
    <w:rPr>
      <w:rFonts w:ascii="Calibri" w:eastAsia="Calibri" w:hAnsi="Calibri" w:cs="Calibri"/>
      <w:color w:val="auto"/>
      <w:sz w:val="22"/>
    </w:rPr>
  </w:style>
  <w:style w:type="paragraph" w:customStyle="1" w:styleId="P68B1DB1-Normal36">
    <w:name w:val="P68B1DB1-Normal36"/>
    <w:basedOn w:val="Normal"/>
    <w:rPr>
      <w:rFonts w:eastAsia="Calibri" w:cs="Arial"/>
      <w:color w:val="auto"/>
      <w:sz w:val="22"/>
    </w:rPr>
  </w:style>
  <w:style w:type="paragraph" w:customStyle="1" w:styleId="P68B1DB1-Normal37">
    <w:name w:val="P68B1DB1-Normal37"/>
    <w:basedOn w:val="Normal"/>
    <w:rPr>
      <w:rFonts w:eastAsia="Calibri" w:cs="Arial"/>
      <w:color w:val="auto"/>
      <w:sz w:val="24"/>
    </w:rPr>
  </w:style>
  <w:style w:type="paragraph" w:customStyle="1" w:styleId="P68B1DB1-Normal38">
    <w:name w:val="P68B1DB1-Normal38"/>
    <w:basedOn w:val="Normal"/>
    <w:rPr>
      <w:rFonts w:ascii="Calibri" w:eastAsia="Calibri" w:hAnsi="Calibri" w:cs="Calibri"/>
      <w:color w:val="808080"/>
    </w:rPr>
  </w:style>
  <w:style w:type="character" w:customStyle="1" w:styleId="kurziv">
    <w:name w:val="kurziv"/>
    <w:basedOn w:val="DefaultParagraphFont"/>
    <w:rsid w:val="00B059AB"/>
  </w:style>
  <w:style w:type="paragraph" w:customStyle="1" w:styleId="t-9-8-bez-uvl">
    <w:name w:val="t-9-8-bez-uvl"/>
    <w:basedOn w:val="Normal"/>
    <w:rsid w:val="006231FD"/>
    <w:pPr>
      <w:spacing w:before="100" w:beforeAutospacing="1" w:after="100" w:afterAutospacing="1"/>
      <w:ind w:left="0"/>
      <w:jc w:val="left"/>
    </w:pPr>
    <w:rPr>
      <w:rFonts w:ascii="Times New Roman" w:eastAsia="Times New Roman" w:hAnsi="Times New Roman" w:cs="Times New Roman"/>
      <w:color w:val="auto"/>
      <w:sz w:val="24"/>
      <w:szCs w:val="24"/>
      <w:lang w:val="en-GB"/>
    </w:rPr>
  </w:style>
  <w:style w:type="paragraph" w:customStyle="1" w:styleId="ARTICLE1">
    <w:name w:val="ARTICLE 1"/>
    <w:basedOn w:val="Heading1"/>
    <w:link w:val="ARTICLE1Char"/>
    <w:qFormat/>
    <w:rsid w:val="00482C04"/>
  </w:style>
  <w:style w:type="paragraph" w:customStyle="1" w:styleId="ARTICLE">
    <w:name w:val="ARTICLE"/>
    <w:basedOn w:val="Heading1"/>
    <w:link w:val="ARTICLEChar"/>
    <w:autoRedefine/>
    <w:qFormat/>
    <w:rsid w:val="007E69A4"/>
    <w:pPr>
      <w:numPr>
        <w:numId w:val="0"/>
      </w:numPr>
    </w:pPr>
    <w:rPr>
      <w:rFonts w:ascii="Arial Bold" w:hAnsi="Arial Bold"/>
      <w:color w:val="auto"/>
      <w:lang w:val="hr-HR"/>
    </w:rPr>
  </w:style>
  <w:style w:type="character" w:customStyle="1" w:styleId="ARTICLE1Char">
    <w:name w:val="ARTICLE 1 Char"/>
    <w:basedOn w:val="Heading1Char"/>
    <w:link w:val="ARTICLE1"/>
    <w:rsid w:val="00482C04"/>
    <w:rPr>
      <w:rFonts w:ascii="Arial" w:eastAsiaTheme="majorEastAsia" w:hAnsi="Arial" w:cstheme="majorBidi"/>
      <w:b/>
      <w:caps/>
      <w:color w:val="000000" w:themeColor="text1"/>
      <w:sz w:val="20"/>
      <w:u w:val="single"/>
    </w:rPr>
  </w:style>
  <w:style w:type="character" w:customStyle="1" w:styleId="ARTICLEChar">
    <w:name w:val="ARTICLE Char"/>
    <w:basedOn w:val="Heading1Char"/>
    <w:link w:val="ARTICLE"/>
    <w:rsid w:val="007E69A4"/>
    <w:rPr>
      <w:rFonts w:ascii="Arial Bold" w:eastAsiaTheme="majorEastAsia" w:hAnsi="Arial Bold" w:cstheme="majorBidi"/>
      <w:b/>
      <w:caps/>
      <w:color w:val="000000" w:themeColor="text1"/>
      <w:sz w:val="20"/>
      <w:u w:val="single"/>
      <w:lang w:val="hr-HR"/>
    </w:rPr>
  </w:style>
  <w:style w:type="paragraph" w:customStyle="1" w:styleId="ENGLESKI">
    <w:name w:val="ENGLESKI"/>
    <w:basedOn w:val="Heading1"/>
    <w:autoRedefine/>
    <w:qFormat/>
    <w:rsid w:val="00C40040"/>
    <w:pPr>
      <w:numPr>
        <w:numId w:val="0"/>
      </w:numPr>
      <w:ind w:left="567" w:right="567"/>
    </w:pPr>
    <w:rPr>
      <w:rFonts w:ascii="Arial Bold" w:hAnsi="Arial Bold"/>
      <w:color w:val="auto"/>
      <w14:scene3d>
        <w14:camera w14:prst="orthographicFront"/>
        <w14:lightRig w14:rig="threePt" w14:dir="t">
          <w14:rot w14:lat="0" w14:lon="0" w14:rev="0"/>
        </w14:lightRig>
      </w14:scene3d>
    </w:rPr>
  </w:style>
  <w:style w:type="paragraph" w:customStyle="1" w:styleId="Style1">
    <w:name w:val="Style1"/>
    <w:basedOn w:val="ARTICLE"/>
    <w:autoRedefine/>
    <w:qFormat/>
    <w:rsid w:val="00355E83"/>
    <w:rPr>
      <w:b w:val="0"/>
      <w14:scene3d>
        <w14:camera w14:prst="orthographicFront"/>
        <w14:lightRig w14:rig="threePt" w14:dir="t">
          <w14:rot w14:lat="0" w14:lon="0" w14:rev="0"/>
        </w14:lightRig>
      </w14:scene3d>
    </w:rPr>
  </w:style>
  <w:style w:type="paragraph" w:customStyle="1" w:styleId="Style2">
    <w:name w:val="Style2"/>
    <w:basedOn w:val="ENGLESKI"/>
    <w:autoRedefine/>
    <w:qFormat/>
    <w:rsid w:val="002B0C50"/>
    <w:rPr>
      <w:b w:val="0"/>
    </w:rPr>
  </w:style>
  <w:style w:type="paragraph" w:customStyle="1" w:styleId="Style3">
    <w:name w:val="Style3"/>
    <w:basedOn w:val="Style1"/>
    <w:autoRedefine/>
    <w:qFormat/>
    <w:rsid w:val="00964107"/>
  </w:style>
  <w:style w:type="paragraph" w:customStyle="1" w:styleId="Style4">
    <w:name w:val="Style4"/>
    <w:basedOn w:val="Style2"/>
    <w:autoRedefine/>
    <w:qFormat/>
    <w:rsid w:val="00964107"/>
  </w:style>
  <w:style w:type="paragraph" w:customStyle="1" w:styleId="Style5">
    <w:name w:val="Style5"/>
    <w:basedOn w:val="Style3"/>
    <w:autoRedefine/>
    <w:qFormat/>
    <w:rsid w:val="004B064D"/>
    <w:rPr>
      <w:b/>
    </w:rPr>
  </w:style>
  <w:style w:type="paragraph" w:customStyle="1" w:styleId="Style6">
    <w:name w:val="Style6"/>
    <w:basedOn w:val="Style4"/>
    <w:autoRedefine/>
    <w:qFormat/>
    <w:rsid w:val="004D18C0"/>
  </w:style>
  <w:style w:type="paragraph" w:customStyle="1" w:styleId="Style7">
    <w:name w:val="Style7"/>
    <w:basedOn w:val="Style5"/>
    <w:autoRedefine/>
    <w:qFormat/>
    <w:rsid w:val="003D033E"/>
    <w:pPr>
      <w:ind w:left="284" w:hanging="284"/>
    </w:pPr>
  </w:style>
  <w:style w:type="paragraph" w:customStyle="1" w:styleId="Style8">
    <w:name w:val="Style8"/>
    <w:basedOn w:val="Style6"/>
    <w:autoRedefine/>
    <w:qFormat/>
    <w:rsid w:val="0091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373">
      <w:bodyDiv w:val="1"/>
      <w:marLeft w:val="0"/>
      <w:marRight w:val="0"/>
      <w:marTop w:val="0"/>
      <w:marBottom w:val="0"/>
      <w:divBdr>
        <w:top w:val="none" w:sz="0" w:space="0" w:color="auto"/>
        <w:left w:val="none" w:sz="0" w:space="0" w:color="auto"/>
        <w:bottom w:val="none" w:sz="0" w:space="0" w:color="auto"/>
        <w:right w:val="none" w:sz="0" w:space="0" w:color="auto"/>
      </w:divBdr>
    </w:div>
    <w:div w:id="74010433">
      <w:bodyDiv w:val="1"/>
      <w:marLeft w:val="0"/>
      <w:marRight w:val="0"/>
      <w:marTop w:val="0"/>
      <w:marBottom w:val="0"/>
      <w:divBdr>
        <w:top w:val="none" w:sz="0" w:space="0" w:color="auto"/>
        <w:left w:val="none" w:sz="0" w:space="0" w:color="auto"/>
        <w:bottom w:val="none" w:sz="0" w:space="0" w:color="auto"/>
        <w:right w:val="none" w:sz="0" w:space="0" w:color="auto"/>
      </w:divBdr>
    </w:div>
    <w:div w:id="84962973">
      <w:bodyDiv w:val="1"/>
      <w:marLeft w:val="0"/>
      <w:marRight w:val="0"/>
      <w:marTop w:val="0"/>
      <w:marBottom w:val="0"/>
      <w:divBdr>
        <w:top w:val="none" w:sz="0" w:space="0" w:color="auto"/>
        <w:left w:val="none" w:sz="0" w:space="0" w:color="auto"/>
        <w:bottom w:val="none" w:sz="0" w:space="0" w:color="auto"/>
        <w:right w:val="none" w:sz="0" w:space="0" w:color="auto"/>
      </w:divBdr>
    </w:div>
    <w:div w:id="176113845">
      <w:bodyDiv w:val="1"/>
      <w:marLeft w:val="0"/>
      <w:marRight w:val="0"/>
      <w:marTop w:val="0"/>
      <w:marBottom w:val="0"/>
      <w:divBdr>
        <w:top w:val="none" w:sz="0" w:space="0" w:color="auto"/>
        <w:left w:val="none" w:sz="0" w:space="0" w:color="auto"/>
        <w:bottom w:val="none" w:sz="0" w:space="0" w:color="auto"/>
        <w:right w:val="none" w:sz="0" w:space="0" w:color="auto"/>
      </w:divBdr>
    </w:div>
    <w:div w:id="268246372">
      <w:bodyDiv w:val="1"/>
      <w:marLeft w:val="0"/>
      <w:marRight w:val="0"/>
      <w:marTop w:val="0"/>
      <w:marBottom w:val="0"/>
      <w:divBdr>
        <w:top w:val="none" w:sz="0" w:space="0" w:color="auto"/>
        <w:left w:val="none" w:sz="0" w:space="0" w:color="auto"/>
        <w:bottom w:val="none" w:sz="0" w:space="0" w:color="auto"/>
        <w:right w:val="none" w:sz="0" w:space="0" w:color="auto"/>
      </w:divBdr>
    </w:div>
    <w:div w:id="380791685">
      <w:bodyDiv w:val="1"/>
      <w:marLeft w:val="0"/>
      <w:marRight w:val="0"/>
      <w:marTop w:val="0"/>
      <w:marBottom w:val="0"/>
      <w:divBdr>
        <w:top w:val="none" w:sz="0" w:space="0" w:color="auto"/>
        <w:left w:val="none" w:sz="0" w:space="0" w:color="auto"/>
        <w:bottom w:val="none" w:sz="0" w:space="0" w:color="auto"/>
        <w:right w:val="none" w:sz="0" w:space="0" w:color="auto"/>
      </w:divBdr>
    </w:div>
    <w:div w:id="410197800">
      <w:bodyDiv w:val="1"/>
      <w:marLeft w:val="0"/>
      <w:marRight w:val="0"/>
      <w:marTop w:val="0"/>
      <w:marBottom w:val="0"/>
      <w:divBdr>
        <w:top w:val="none" w:sz="0" w:space="0" w:color="auto"/>
        <w:left w:val="none" w:sz="0" w:space="0" w:color="auto"/>
        <w:bottom w:val="none" w:sz="0" w:space="0" w:color="auto"/>
        <w:right w:val="none" w:sz="0" w:space="0" w:color="auto"/>
      </w:divBdr>
    </w:div>
    <w:div w:id="427045718">
      <w:bodyDiv w:val="1"/>
      <w:marLeft w:val="0"/>
      <w:marRight w:val="0"/>
      <w:marTop w:val="0"/>
      <w:marBottom w:val="0"/>
      <w:divBdr>
        <w:top w:val="none" w:sz="0" w:space="0" w:color="auto"/>
        <w:left w:val="none" w:sz="0" w:space="0" w:color="auto"/>
        <w:bottom w:val="none" w:sz="0" w:space="0" w:color="auto"/>
        <w:right w:val="none" w:sz="0" w:space="0" w:color="auto"/>
      </w:divBdr>
    </w:div>
    <w:div w:id="590820054">
      <w:bodyDiv w:val="1"/>
      <w:marLeft w:val="0"/>
      <w:marRight w:val="0"/>
      <w:marTop w:val="0"/>
      <w:marBottom w:val="0"/>
      <w:divBdr>
        <w:top w:val="none" w:sz="0" w:space="0" w:color="auto"/>
        <w:left w:val="none" w:sz="0" w:space="0" w:color="auto"/>
        <w:bottom w:val="none" w:sz="0" w:space="0" w:color="auto"/>
        <w:right w:val="none" w:sz="0" w:space="0" w:color="auto"/>
      </w:divBdr>
    </w:div>
    <w:div w:id="602421088">
      <w:bodyDiv w:val="1"/>
      <w:marLeft w:val="0"/>
      <w:marRight w:val="0"/>
      <w:marTop w:val="0"/>
      <w:marBottom w:val="0"/>
      <w:divBdr>
        <w:top w:val="none" w:sz="0" w:space="0" w:color="auto"/>
        <w:left w:val="none" w:sz="0" w:space="0" w:color="auto"/>
        <w:bottom w:val="none" w:sz="0" w:space="0" w:color="auto"/>
        <w:right w:val="none" w:sz="0" w:space="0" w:color="auto"/>
      </w:divBdr>
    </w:div>
    <w:div w:id="671299613">
      <w:bodyDiv w:val="1"/>
      <w:marLeft w:val="0"/>
      <w:marRight w:val="0"/>
      <w:marTop w:val="0"/>
      <w:marBottom w:val="0"/>
      <w:divBdr>
        <w:top w:val="none" w:sz="0" w:space="0" w:color="auto"/>
        <w:left w:val="none" w:sz="0" w:space="0" w:color="auto"/>
        <w:bottom w:val="none" w:sz="0" w:space="0" w:color="auto"/>
        <w:right w:val="none" w:sz="0" w:space="0" w:color="auto"/>
      </w:divBdr>
    </w:div>
    <w:div w:id="699473733">
      <w:bodyDiv w:val="1"/>
      <w:marLeft w:val="0"/>
      <w:marRight w:val="0"/>
      <w:marTop w:val="0"/>
      <w:marBottom w:val="0"/>
      <w:divBdr>
        <w:top w:val="none" w:sz="0" w:space="0" w:color="auto"/>
        <w:left w:val="none" w:sz="0" w:space="0" w:color="auto"/>
        <w:bottom w:val="none" w:sz="0" w:space="0" w:color="auto"/>
        <w:right w:val="none" w:sz="0" w:space="0" w:color="auto"/>
      </w:divBdr>
    </w:div>
    <w:div w:id="716903132">
      <w:bodyDiv w:val="1"/>
      <w:marLeft w:val="0"/>
      <w:marRight w:val="0"/>
      <w:marTop w:val="0"/>
      <w:marBottom w:val="0"/>
      <w:divBdr>
        <w:top w:val="none" w:sz="0" w:space="0" w:color="auto"/>
        <w:left w:val="none" w:sz="0" w:space="0" w:color="auto"/>
        <w:bottom w:val="none" w:sz="0" w:space="0" w:color="auto"/>
        <w:right w:val="none" w:sz="0" w:space="0" w:color="auto"/>
      </w:divBdr>
    </w:div>
    <w:div w:id="726683175">
      <w:bodyDiv w:val="1"/>
      <w:marLeft w:val="0"/>
      <w:marRight w:val="0"/>
      <w:marTop w:val="0"/>
      <w:marBottom w:val="0"/>
      <w:divBdr>
        <w:top w:val="none" w:sz="0" w:space="0" w:color="auto"/>
        <w:left w:val="none" w:sz="0" w:space="0" w:color="auto"/>
        <w:bottom w:val="none" w:sz="0" w:space="0" w:color="auto"/>
        <w:right w:val="none" w:sz="0" w:space="0" w:color="auto"/>
      </w:divBdr>
    </w:div>
    <w:div w:id="772284988">
      <w:bodyDiv w:val="1"/>
      <w:marLeft w:val="0"/>
      <w:marRight w:val="0"/>
      <w:marTop w:val="0"/>
      <w:marBottom w:val="0"/>
      <w:divBdr>
        <w:top w:val="none" w:sz="0" w:space="0" w:color="auto"/>
        <w:left w:val="none" w:sz="0" w:space="0" w:color="auto"/>
        <w:bottom w:val="none" w:sz="0" w:space="0" w:color="auto"/>
        <w:right w:val="none" w:sz="0" w:space="0" w:color="auto"/>
      </w:divBdr>
    </w:div>
    <w:div w:id="786044668">
      <w:bodyDiv w:val="1"/>
      <w:marLeft w:val="0"/>
      <w:marRight w:val="0"/>
      <w:marTop w:val="0"/>
      <w:marBottom w:val="0"/>
      <w:divBdr>
        <w:top w:val="none" w:sz="0" w:space="0" w:color="auto"/>
        <w:left w:val="none" w:sz="0" w:space="0" w:color="auto"/>
        <w:bottom w:val="none" w:sz="0" w:space="0" w:color="auto"/>
        <w:right w:val="none" w:sz="0" w:space="0" w:color="auto"/>
      </w:divBdr>
    </w:div>
    <w:div w:id="792217068">
      <w:bodyDiv w:val="1"/>
      <w:marLeft w:val="0"/>
      <w:marRight w:val="0"/>
      <w:marTop w:val="0"/>
      <w:marBottom w:val="0"/>
      <w:divBdr>
        <w:top w:val="none" w:sz="0" w:space="0" w:color="auto"/>
        <w:left w:val="none" w:sz="0" w:space="0" w:color="auto"/>
        <w:bottom w:val="none" w:sz="0" w:space="0" w:color="auto"/>
        <w:right w:val="none" w:sz="0" w:space="0" w:color="auto"/>
      </w:divBdr>
    </w:div>
    <w:div w:id="847401967">
      <w:bodyDiv w:val="1"/>
      <w:marLeft w:val="0"/>
      <w:marRight w:val="0"/>
      <w:marTop w:val="0"/>
      <w:marBottom w:val="0"/>
      <w:divBdr>
        <w:top w:val="none" w:sz="0" w:space="0" w:color="auto"/>
        <w:left w:val="none" w:sz="0" w:space="0" w:color="auto"/>
        <w:bottom w:val="none" w:sz="0" w:space="0" w:color="auto"/>
        <w:right w:val="none" w:sz="0" w:space="0" w:color="auto"/>
      </w:divBdr>
    </w:div>
    <w:div w:id="909004946">
      <w:bodyDiv w:val="1"/>
      <w:marLeft w:val="0"/>
      <w:marRight w:val="0"/>
      <w:marTop w:val="0"/>
      <w:marBottom w:val="0"/>
      <w:divBdr>
        <w:top w:val="none" w:sz="0" w:space="0" w:color="auto"/>
        <w:left w:val="none" w:sz="0" w:space="0" w:color="auto"/>
        <w:bottom w:val="none" w:sz="0" w:space="0" w:color="auto"/>
        <w:right w:val="none" w:sz="0" w:space="0" w:color="auto"/>
      </w:divBdr>
    </w:div>
    <w:div w:id="920213544">
      <w:bodyDiv w:val="1"/>
      <w:marLeft w:val="0"/>
      <w:marRight w:val="0"/>
      <w:marTop w:val="0"/>
      <w:marBottom w:val="0"/>
      <w:divBdr>
        <w:top w:val="none" w:sz="0" w:space="0" w:color="auto"/>
        <w:left w:val="none" w:sz="0" w:space="0" w:color="auto"/>
        <w:bottom w:val="none" w:sz="0" w:space="0" w:color="auto"/>
        <w:right w:val="none" w:sz="0" w:space="0" w:color="auto"/>
      </w:divBdr>
    </w:div>
    <w:div w:id="920217434">
      <w:bodyDiv w:val="1"/>
      <w:marLeft w:val="0"/>
      <w:marRight w:val="0"/>
      <w:marTop w:val="0"/>
      <w:marBottom w:val="0"/>
      <w:divBdr>
        <w:top w:val="none" w:sz="0" w:space="0" w:color="auto"/>
        <w:left w:val="none" w:sz="0" w:space="0" w:color="auto"/>
        <w:bottom w:val="none" w:sz="0" w:space="0" w:color="auto"/>
        <w:right w:val="none" w:sz="0" w:space="0" w:color="auto"/>
      </w:divBdr>
    </w:div>
    <w:div w:id="933703277">
      <w:bodyDiv w:val="1"/>
      <w:marLeft w:val="0"/>
      <w:marRight w:val="0"/>
      <w:marTop w:val="0"/>
      <w:marBottom w:val="0"/>
      <w:divBdr>
        <w:top w:val="none" w:sz="0" w:space="0" w:color="auto"/>
        <w:left w:val="none" w:sz="0" w:space="0" w:color="auto"/>
        <w:bottom w:val="none" w:sz="0" w:space="0" w:color="auto"/>
        <w:right w:val="none" w:sz="0" w:space="0" w:color="auto"/>
      </w:divBdr>
    </w:div>
    <w:div w:id="1013383766">
      <w:bodyDiv w:val="1"/>
      <w:marLeft w:val="0"/>
      <w:marRight w:val="0"/>
      <w:marTop w:val="0"/>
      <w:marBottom w:val="0"/>
      <w:divBdr>
        <w:top w:val="none" w:sz="0" w:space="0" w:color="auto"/>
        <w:left w:val="none" w:sz="0" w:space="0" w:color="auto"/>
        <w:bottom w:val="none" w:sz="0" w:space="0" w:color="auto"/>
        <w:right w:val="none" w:sz="0" w:space="0" w:color="auto"/>
      </w:divBdr>
    </w:div>
    <w:div w:id="1106196984">
      <w:bodyDiv w:val="1"/>
      <w:marLeft w:val="0"/>
      <w:marRight w:val="0"/>
      <w:marTop w:val="0"/>
      <w:marBottom w:val="0"/>
      <w:divBdr>
        <w:top w:val="none" w:sz="0" w:space="0" w:color="auto"/>
        <w:left w:val="none" w:sz="0" w:space="0" w:color="auto"/>
        <w:bottom w:val="none" w:sz="0" w:space="0" w:color="auto"/>
        <w:right w:val="none" w:sz="0" w:space="0" w:color="auto"/>
      </w:divBdr>
    </w:div>
    <w:div w:id="1146975745">
      <w:bodyDiv w:val="1"/>
      <w:marLeft w:val="0"/>
      <w:marRight w:val="0"/>
      <w:marTop w:val="0"/>
      <w:marBottom w:val="0"/>
      <w:divBdr>
        <w:top w:val="none" w:sz="0" w:space="0" w:color="auto"/>
        <w:left w:val="none" w:sz="0" w:space="0" w:color="auto"/>
        <w:bottom w:val="none" w:sz="0" w:space="0" w:color="auto"/>
        <w:right w:val="none" w:sz="0" w:space="0" w:color="auto"/>
      </w:divBdr>
    </w:div>
    <w:div w:id="1206941481">
      <w:bodyDiv w:val="1"/>
      <w:marLeft w:val="0"/>
      <w:marRight w:val="0"/>
      <w:marTop w:val="0"/>
      <w:marBottom w:val="0"/>
      <w:divBdr>
        <w:top w:val="none" w:sz="0" w:space="0" w:color="auto"/>
        <w:left w:val="none" w:sz="0" w:space="0" w:color="auto"/>
        <w:bottom w:val="none" w:sz="0" w:space="0" w:color="auto"/>
        <w:right w:val="none" w:sz="0" w:space="0" w:color="auto"/>
      </w:divBdr>
    </w:div>
    <w:div w:id="1254514442">
      <w:bodyDiv w:val="1"/>
      <w:marLeft w:val="0"/>
      <w:marRight w:val="0"/>
      <w:marTop w:val="0"/>
      <w:marBottom w:val="0"/>
      <w:divBdr>
        <w:top w:val="none" w:sz="0" w:space="0" w:color="auto"/>
        <w:left w:val="none" w:sz="0" w:space="0" w:color="auto"/>
        <w:bottom w:val="none" w:sz="0" w:space="0" w:color="auto"/>
        <w:right w:val="none" w:sz="0" w:space="0" w:color="auto"/>
      </w:divBdr>
    </w:div>
    <w:div w:id="1260797109">
      <w:bodyDiv w:val="1"/>
      <w:marLeft w:val="0"/>
      <w:marRight w:val="0"/>
      <w:marTop w:val="0"/>
      <w:marBottom w:val="0"/>
      <w:divBdr>
        <w:top w:val="none" w:sz="0" w:space="0" w:color="auto"/>
        <w:left w:val="none" w:sz="0" w:space="0" w:color="auto"/>
        <w:bottom w:val="none" w:sz="0" w:space="0" w:color="auto"/>
        <w:right w:val="none" w:sz="0" w:space="0" w:color="auto"/>
      </w:divBdr>
    </w:div>
    <w:div w:id="1274745738">
      <w:bodyDiv w:val="1"/>
      <w:marLeft w:val="0"/>
      <w:marRight w:val="0"/>
      <w:marTop w:val="0"/>
      <w:marBottom w:val="0"/>
      <w:divBdr>
        <w:top w:val="none" w:sz="0" w:space="0" w:color="auto"/>
        <w:left w:val="none" w:sz="0" w:space="0" w:color="auto"/>
        <w:bottom w:val="none" w:sz="0" w:space="0" w:color="auto"/>
        <w:right w:val="none" w:sz="0" w:space="0" w:color="auto"/>
      </w:divBdr>
    </w:div>
    <w:div w:id="1278834447">
      <w:bodyDiv w:val="1"/>
      <w:marLeft w:val="0"/>
      <w:marRight w:val="0"/>
      <w:marTop w:val="0"/>
      <w:marBottom w:val="0"/>
      <w:divBdr>
        <w:top w:val="none" w:sz="0" w:space="0" w:color="auto"/>
        <w:left w:val="none" w:sz="0" w:space="0" w:color="auto"/>
        <w:bottom w:val="none" w:sz="0" w:space="0" w:color="auto"/>
        <w:right w:val="none" w:sz="0" w:space="0" w:color="auto"/>
      </w:divBdr>
    </w:div>
    <w:div w:id="1511598368">
      <w:bodyDiv w:val="1"/>
      <w:marLeft w:val="0"/>
      <w:marRight w:val="0"/>
      <w:marTop w:val="0"/>
      <w:marBottom w:val="0"/>
      <w:divBdr>
        <w:top w:val="none" w:sz="0" w:space="0" w:color="auto"/>
        <w:left w:val="none" w:sz="0" w:space="0" w:color="auto"/>
        <w:bottom w:val="none" w:sz="0" w:space="0" w:color="auto"/>
        <w:right w:val="none" w:sz="0" w:space="0" w:color="auto"/>
      </w:divBdr>
    </w:div>
    <w:div w:id="1571228783">
      <w:bodyDiv w:val="1"/>
      <w:marLeft w:val="0"/>
      <w:marRight w:val="0"/>
      <w:marTop w:val="0"/>
      <w:marBottom w:val="0"/>
      <w:divBdr>
        <w:top w:val="none" w:sz="0" w:space="0" w:color="auto"/>
        <w:left w:val="none" w:sz="0" w:space="0" w:color="auto"/>
        <w:bottom w:val="none" w:sz="0" w:space="0" w:color="auto"/>
        <w:right w:val="none" w:sz="0" w:space="0" w:color="auto"/>
      </w:divBdr>
    </w:div>
    <w:div w:id="1591238353">
      <w:bodyDiv w:val="1"/>
      <w:marLeft w:val="0"/>
      <w:marRight w:val="0"/>
      <w:marTop w:val="0"/>
      <w:marBottom w:val="0"/>
      <w:divBdr>
        <w:top w:val="none" w:sz="0" w:space="0" w:color="auto"/>
        <w:left w:val="none" w:sz="0" w:space="0" w:color="auto"/>
        <w:bottom w:val="none" w:sz="0" w:space="0" w:color="auto"/>
        <w:right w:val="none" w:sz="0" w:space="0" w:color="auto"/>
      </w:divBdr>
    </w:div>
    <w:div w:id="1685783218">
      <w:bodyDiv w:val="1"/>
      <w:marLeft w:val="0"/>
      <w:marRight w:val="0"/>
      <w:marTop w:val="0"/>
      <w:marBottom w:val="0"/>
      <w:divBdr>
        <w:top w:val="none" w:sz="0" w:space="0" w:color="auto"/>
        <w:left w:val="none" w:sz="0" w:space="0" w:color="auto"/>
        <w:bottom w:val="none" w:sz="0" w:space="0" w:color="auto"/>
        <w:right w:val="none" w:sz="0" w:space="0" w:color="auto"/>
      </w:divBdr>
    </w:div>
    <w:div w:id="1850825946">
      <w:bodyDiv w:val="1"/>
      <w:marLeft w:val="0"/>
      <w:marRight w:val="0"/>
      <w:marTop w:val="0"/>
      <w:marBottom w:val="0"/>
      <w:divBdr>
        <w:top w:val="none" w:sz="0" w:space="0" w:color="auto"/>
        <w:left w:val="none" w:sz="0" w:space="0" w:color="auto"/>
        <w:bottom w:val="none" w:sz="0" w:space="0" w:color="auto"/>
        <w:right w:val="none" w:sz="0" w:space="0" w:color="auto"/>
      </w:divBdr>
    </w:div>
    <w:div w:id="19298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mailto:sectorifr@mfin.hr" TargetMode="External"/><Relationship Id="rId3" Type="http://schemas.openxmlformats.org/officeDocument/2006/relationships/customXml" Target="../customXml/item3.xml"/><Relationship Id="rId21" Type="http://schemas.openxmlformats.org/officeDocument/2006/relationships/hyperlink" Target="mailto:sectorifr@mfin.h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inistar@mmpi.hr"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kabinet@mfin.hr"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mailto:contactline-95797@eib.org"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uprava.zeljeznice@mmpi.hr" TargetMode="External"/><Relationship Id="rId27" Type="http://schemas.openxmlformats.org/officeDocument/2006/relationships/hyperlink" Target="mailto:uprava.zeljeznice@mmpi.h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AZJMDCZ6QSYZ-1849078857-35885</_dlc_DocId>
    <_dlc_DocIdUrl xmlns="a494813a-d0d8-4dad-94cb-0d196f36ba15">
      <Url>https://ekoordinacije.vlada.hr/koordinacija-gospodarstvo/_layouts/15/DocIdRedir.aspx?ID=AZJMDCZ6QSYZ-1849078857-35885</Url>
      <Description>AZJMDCZ6QSYZ-1849078857-35885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0CDA-D8E1-44A0-B323-9D36DED15162}">
  <ds:schemaRefs>
    <ds:schemaRef ds:uri="http://schemas.microsoft.com/sharepoint/events"/>
  </ds:schemaRefs>
</ds:datastoreItem>
</file>

<file path=customXml/itemProps2.xml><?xml version="1.0" encoding="utf-8"?>
<ds:datastoreItem xmlns:ds="http://schemas.openxmlformats.org/officeDocument/2006/customXml" ds:itemID="{B6A89DB8-AAAA-45D3-A51E-4ABB098F381D}">
  <ds:schemaRefs>
    <ds:schemaRef ds:uri="http://schemas.microsoft.com/sharepoint/v3/contenttype/forms"/>
  </ds:schemaRefs>
</ds:datastoreItem>
</file>

<file path=customXml/itemProps3.xml><?xml version="1.0" encoding="utf-8"?>
<ds:datastoreItem xmlns:ds="http://schemas.openxmlformats.org/officeDocument/2006/customXml" ds:itemID="{EAA17277-9375-42FF-BD95-F29D236ED67F}">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8C24CC9-B7DF-4761-BAC3-97F650BCC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AD28B7-AF18-4A2B-BE90-7A5183E0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165</Pages>
  <Words>54821</Words>
  <Characters>312484</Characters>
  <Application>Microsoft Office Word</Application>
  <DocSecurity>0</DocSecurity>
  <Lines>2604</Lines>
  <Paragraphs>733</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European Investment Bank</Company>
  <LinksUpToDate>false</LinksUpToDate>
  <CharactersWithSpaces>366572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Keyjob</dc:creator>
  <cp:lastModifiedBy>Larisa Petrić</cp:lastModifiedBy>
  <cp:revision>123</cp:revision>
  <cp:lastPrinted>2024-02-05T14:05:00Z</cp:lastPrinted>
  <dcterms:created xsi:type="dcterms:W3CDTF">2024-02-01T11:50:00Z</dcterms:created>
  <dcterms:modified xsi:type="dcterms:W3CDTF">2024-02-21T08:38:00Z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ABAAVOAfoSrQoyzqbREtE1XCh/pHSPYUFYTOhKoQMTqV12RfFZN3vFCiQecfWOPH1Lly</vt:lpwstr>
  </property>
  <property fmtid="{D5CDD505-2E9C-101B-9397-08002B2CF9AE}" pid="4" name="RESPONSE_SENDER_NAME">
    <vt:lpwstr>gAAAdya76B99d4hLGUR1rQ+8TxTv0GGEPdix</vt:lpwstr>
  </property>
  <property fmtid="{D5CDD505-2E9C-101B-9397-08002B2CF9AE}" pid="5" name="EMAIL_OWNER_ADDRESS">
    <vt:lpwstr>4AAA9mrMv1QjWAvg6ScHEuAgu9qLm8vuTbuI1QBwFphJznnw35L+or3Vzg==</vt:lpwstr>
  </property>
  <property fmtid="{D5CDD505-2E9C-101B-9397-08002B2CF9AE}" pid="6" name="ClassificationContentMarkingHeaderShapeIds">
    <vt:lpwstr>1,4,5</vt:lpwstr>
  </property>
  <property fmtid="{D5CDD505-2E9C-101B-9397-08002B2CF9AE}" pid="7" name="ClassificationContentMarkingHeaderFontProps">
    <vt:lpwstr>#808080,10,Calibri</vt:lpwstr>
  </property>
  <property fmtid="{D5CDD505-2E9C-101B-9397-08002B2CF9AE}" pid="8" name="ClassificationContentMarkingHeaderText">
    <vt:lpwstr>Corporate Use</vt:lpwstr>
  </property>
  <property fmtid="{D5CDD505-2E9C-101B-9397-08002B2CF9AE}" pid="9" name="MSIP_Label_9b5154d6-21c1-415b-b061-7427a4708b37_Enabled">
    <vt:lpwstr>true</vt:lpwstr>
  </property>
  <property fmtid="{D5CDD505-2E9C-101B-9397-08002B2CF9AE}" pid="10" name="MSIP_Label_9b5154d6-21c1-415b-b061-7427a4708b37_SetDate">
    <vt:lpwstr>2023-10-24T10:00:22Z</vt:lpwstr>
  </property>
  <property fmtid="{D5CDD505-2E9C-101B-9397-08002B2CF9AE}" pid="11" name="MSIP_Label_9b5154d6-21c1-415b-b061-7427a4708b37_Method">
    <vt:lpwstr>Privileged</vt:lpwstr>
  </property>
  <property fmtid="{D5CDD505-2E9C-101B-9397-08002B2CF9AE}" pid="12" name="MSIP_Label_9b5154d6-21c1-415b-b061-7427a4708b37_Name">
    <vt:lpwstr>Default Corporate Use</vt:lpwstr>
  </property>
  <property fmtid="{D5CDD505-2E9C-101B-9397-08002B2CF9AE}" pid="13" name="MSIP_Label_9b5154d6-21c1-415b-b061-7427a4708b37_SiteId">
    <vt:lpwstr>0b96d5d2-d153-4370-a2c7-8a926f24c8a1</vt:lpwstr>
  </property>
  <property fmtid="{D5CDD505-2E9C-101B-9397-08002B2CF9AE}" pid="14" name="MSIP_Label_9b5154d6-21c1-415b-b061-7427a4708b37_ActionId">
    <vt:lpwstr>007d1db9-4b6f-41b6-90dc-99fdb108aa2a</vt:lpwstr>
  </property>
  <property fmtid="{D5CDD505-2E9C-101B-9397-08002B2CF9AE}" pid="15" name="MSIP_Label_9b5154d6-21c1-415b-b061-7427a4708b37_ContentBits">
    <vt:lpwstr>1</vt:lpwstr>
  </property>
  <property fmtid="{D5CDD505-2E9C-101B-9397-08002B2CF9AE}" pid="16" name="GrammarlyDocumentId">
    <vt:lpwstr>93a73c5a8d2177f818d0db04c3932a6a63ba5cc4ec94247b930b1ee557ac3fee</vt:lpwstr>
  </property>
  <property fmtid="{D5CDD505-2E9C-101B-9397-08002B2CF9AE}" pid="17" name="ContentTypeId">
    <vt:lpwstr>0x010100E9B0585B2CC6B7498492DEAFE3511BDC</vt:lpwstr>
  </property>
  <property fmtid="{D5CDD505-2E9C-101B-9397-08002B2CF9AE}" pid="18" name="_dlc_DocIdItemGuid">
    <vt:lpwstr>9d0a63b7-1fc8-424a-80af-64c5fcfcb6e3</vt:lpwstr>
  </property>
</Properties>
</file>