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3B487" w14:textId="77777777" w:rsidR="00832F53" w:rsidRDefault="00832F53" w:rsidP="00832F53">
      <w:pPr>
        <w:tabs>
          <w:tab w:val="left" w:pos="-720"/>
        </w:tabs>
        <w:suppressAutoHyphens/>
        <w:jc w:val="center"/>
        <w:rPr>
          <w:rFonts w:ascii="Times New Roman" w:hAnsi="Times New Roman"/>
          <w:b/>
        </w:rPr>
      </w:pPr>
    </w:p>
    <w:p w14:paraId="23B177C3" w14:textId="77777777" w:rsidR="00832F53" w:rsidRDefault="00832F53" w:rsidP="00832F53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</w:p>
    <w:p w14:paraId="6A4C29B6" w14:textId="77777777" w:rsidR="00832F53" w:rsidRDefault="00832F53" w:rsidP="0083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06E91BF7" w14:textId="77777777" w:rsidR="00832F53" w:rsidRPr="00F14A8C" w:rsidRDefault="00832F53" w:rsidP="00832F53">
      <w:pPr>
        <w:spacing w:before="60" w:after="1200"/>
        <w:jc w:val="center"/>
        <w:rPr>
          <w:rFonts w:ascii="Times New Roman" w:hAnsi="Times New Roman"/>
          <w:b/>
          <w:sz w:val="24"/>
          <w:szCs w:val="24"/>
        </w:rPr>
      </w:pPr>
      <w:r w:rsidRPr="00F14A8C">
        <w:rPr>
          <w:rFonts w:ascii="Times New Roman" w:hAnsi="Times New Roman"/>
          <w:b/>
          <w:sz w:val="24"/>
          <w:szCs w:val="24"/>
        </w:rPr>
        <w:t>VLADA REPUBLIKE HRVATSKE</w:t>
      </w:r>
    </w:p>
    <w:p w14:paraId="37E274F9" w14:textId="77777777" w:rsidR="00832F53" w:rsidRPr="00F14A8C" w:rsidRDefault="00832F53" w:rsidP="00832F53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F14A8C">
        <w:rPr>
          <w:rFonts w:ascii="Times New Roman" w:hAnsi="Times New Roman"/>
          <w:sz w:val="24"/>
          <w:szCs w:val="24"/>
        </w:rPr>
        <w:t xml:space="preserve">Zagreb, </w:t>
      </w:r>
      <w:r w:rsidR="000B784D">
        <w:rPr>
          <w:rFonts w:ascii="Times New Roman" w:hAnsi="Times New Roman"/>
          <w:sz w:val="24"/>
          <w:szCs w:val="24"/>
        </w:rPr>
        <w:t>4.</w:t>
      </w:r>
      <w:r w:rsidRPr="00F14A8C">
        <w:rPr>
          <w:rFonts w:ascii="Times New Roman" w:hAnsi="Times New Roman"/>
          <w:sz w:val="24"/>
          <w:szCs w:val="24"/>
        </w:rPr>
        <w:t xml:space="preserve"> prosinca 2025.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32F53" w14:paraId="09923401" w14:textId="77777777" w:rsidTr="00713D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AE4EAD" w14:textId="77777777" w:rsidR="00832F53" w:rsidRDefault="00832F53">
            <w:pPr>
              <w:spacing w:after="120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</w:rPr>
              <w:t>Predlagatelj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6B3A70" w14:textId="77777777" w:rsidR="00832F53" w:rsidRDefault="00832F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8C">
              <w:rPr>
                <w:rFonts w:ascii="Times New Roman" w:hAnsi="Times New Roman"/>
                <w:sz w:val="24"/>
                <w:szCs w:val="24"/>
              </w:rPr>
              <w:t xml:space="preserve">Ministarstvo obrane </w:t>
            </w:r>
          </w:p>
          <w:p w14:paraId="0B0CEAA3" w14:textId="2E49FC92" w:rsidR="00713DCE" w:rsidRPr="00F14A8C" w:rsidRDefault="00713DCE">
            <w:pPr>
              <w:spacing w:after="1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832F53" w14:paraId="64B46E41" w14:textId="77777777" w:rsidTr="00713DCE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</w:tcBorders>
            <w:hideMark/>
          </w:tcPr>
          <w:p w14:paraId="15C70398" w14:textId="77777777" w:rsidR="00832F53" w:rsidRDefault="00832F53">
            <w:pPr>
              <w:spacing w:after="120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</w:rPr>
              <w:t>Predmet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14:paraId="0EE18FE6" w14:textId="1CE71648" w:rsidR="0099105B" w:rsidRPr="00F14A8C" w:rsidRDefault="00832F53" w:rsidP="00991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14A8C">
              <w:rPr>
                <w:rFonts w:ascii="Times New Roman" w:eastAsia="SimHei" w:hAnsi="Times New Roman"/>
                <w:bCs/>
                <w:kern w:val="28"/>
                <w:sz w:val="24"/>
                <w:szCs w:val="24"/>
              </w:rPr>
              <w:t xml:space="preserve">Prijedlog odluke o </w:t>
            </w:r>
            <w:r w:rsidR="0099105B" w:rsidRPr="00F14A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pribavljanju nefinancijske imovine nabavom glavnog borbenog tenka Leopard 2A8, simulatora i logističke potpore s produženim jamstvom</w:t>
            </w:r>
          </w:p>
          <w:p w14:paraId="7E5A2E70" w14:textId="77777777" w:rsidR="00832F53" w:rsidRDefault="00832F53" w:rsidP="00832F53">
            <w:pPr>
              <w:jc w:val="both"/>
              <w:rPr>
                <w:rFonts w:ascii="Times New Roman" w:eastAsia="SimHei" w:hAnsi="Times New Roman"/>
                <w:bCs/>
                <w:kern w:val="28"/>
                <w:sz w:val="24"/>
                <w:szCs w:val="24"/>
              </w:rPr>
            </w:pPr>
          </w:p>
        </w:tc>
      </w:tr>
    </w:tbl>
    <w:p w14:paraId="78F69F48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eastAsia="Calibri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F14A8C">
        <w:rPr>
          <w:rFonts w:ascii="Times New Roman" w:hAnsi="Times New Roman"/>
        </w:rPr>
        <w:t>_</w:t>
      </w:r>
      <w:r w:rsidR="000B784D">
        <w:rPr>
          <w:rFonts w:ascii="Times New Roman" w:hAnsi="Times New Roman"/>
        </w:rPr>
        <w:t>__</w:t>
      </w:r>
      <w:r w:rsidR="00F14A8C">
        <w:rPr>
          <w:rFonts w:ascii="Times New Roman" w:hAnsi="Times New Roman"/>
        </w:rPr>
        <w:t>_____</w:t>
      </w:r>
    </w:p>
    <w:p w14:paraId="28498E09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eastAsia="Times New Roman" w:hAnsi="Times New Roman"/>
          <w:lang w:eastAsia="hr-HR"/>
        </w:rPr>
      </w:pPr>
    </w:p>
    <w:p w14:paraId="28DAB2EE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  <w:sz w:val="24"/>
          <w:szCs w:val="24"/>
        </w:rPr>
      </w:pPr>
    </w:p>
    <w:p w14:paraId="690F2F1F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068FB03A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51684D21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2963BD56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7263579E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68253E42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77D25F89" w14:textId="77777777" w:rsidR="00F14A8C" w:rsidRDefault="00F14A8C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5CA80ABF" w14:textId="77777777" w:rsidR="00832F53" w:rsidRDefault="00832F53" w:rsidP="00832F53">
      <w:pPr>
        <w:tabs>
          <w:tab w:val="left" w:pos="1843"/>
        </w:tabs>
        <w:ind w:left="1843" w:hanging="1843"/>
        <w:rPr>
          <w:rFonts w:ascii="Times New Roman" w:hAnsi="Times New Roman"/>
        </w:rPr>
      </w:pPr>
    </w:p>
    <w:p w14:paraId="35B12485" w14:textId="77777777" w:rsidR="00832F53" w:rsidRDefault="00832F53" w:rsidP="0007575C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67D2C1B4" w14:textId="77777777" w:rsidR="0007575C" w:rsidRDefault="0007575C" w:rsidP="0007575C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1B5E09DC" w14:textId="77777777" w:rsidR="00832F53" w:rsidRDefault="00832F53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01ACECE1" w14:textId="77777777" w:rsidR="00832F53" w:rsidRDefault="00832F53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620830CE" w14:textId="77777777" w:rsidR="00FB3C9B" w:rsidRPr="005F3917" w:rsidRDefault="00FB3C9B" w:rsidP="00FB3C9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2"/>
          <w:sz w:val="24"/>
          <w:szCs w:val="24"/>
          <w:lang w:eastAsia="hr-HR"/>
        </w:rPr>
      </w:pPr>
      <w:r w:rsidRPr="005F3917">
        <w:rPr>
          <w:rFonts w:ascii="Times New Roman" w:eastAsia="Times New Roman" w:hAnsi="Times New Roman" w:cs="Times New Roman"/>
          <w:spacing w:val="22"/>
          <w:sz w:val="24"/>
          <w:szCs w:val="24"/>
          <w:lang w:eastAsia="hr-HR"/>
        </w:rPr>
        <w:t xml:space="preserve">P r i j e d l o g </w:t>
      </w:r>
    </w:p>
    <w:p w14:paraId="6F452A19" w14:textId="77777777" w:rsidR="00FB3C9B" w:rsidRP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6CFB11" w14:textId="77777777" w:rsidR="00FB3C9B" w:rsidRP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E889ED" w14:textId="77777777" w:rsid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F53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A001F44" w14:textId="77777777" w:rsidR="005F3917" w:rsidRPr="00832F53" w:rsidRDefault="005F3917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C4932" w14:textId="77777777" w:rsidR="00FB3C9B" w:rsidRPr="00FB3C9B" w:rsidRDefault="00FB3C9B" w:rsidP="00FB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0E6AC" w14:textId="77777777" w:rsidR="00FB3C9B" w:rsidRDefault="00832F53" w:rsidP="00AF5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B3C9B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22FEE" w:rsidRPr="00E178D9">
        <w:rPr>
          <w:rFonts w:ascii="Times New Roman" w:hAnsi="Times New Roman"/>
          <w:sz w:val="24"/>
          <w:szCs w:val="24"/>
        </w:rPr>
        <w:t>članka 31. stavka 2. Zakona o Vladi Republike Hrvatske (</w:t>
      </w:r>
      <w:r>
        <w:rPr>
          <w:rFonts w:ascii="Times New Roman" w:hAnsi="Times New Roman"/>
          <w:sz w:val="24"/>
          <w:szCs w:val="24"/>
        </w:rPr>
        <w:t>„</w:t>
      </w:r>
      <w:r w:rsidR="00722FEE" w:rsidRPr="00E178D9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“, br.</w:t>
      </w:r>
      <w:r w:rsidR="00722FEE" w:rsidRPr="00E178D9">
        <w:rPr>
          <w:rFonts w:ascii="Times New Roman" w:hAnsi="Times New Roman"/>
          <w:sz w:val="24"/>
          <w:szCs w:val="24"/>
        </w:rPr>
        <w:t xml:space="preserve"> 150/11</w:t>
      </w:r>
      <w:r>
        <w:rPr>
          <w:rFonts w:ascii="Times New Roman" w:hAnsi="Times New Roman"/>
          <w:sz w:val="24"/>
          <w:szCs w:val="24"/>
        </w:rPr>
        <w:t>.</w:t>
      </w:r>
      <w:r w:rsidR="00722FEE" w:rsidRPr="00E178D9">
        <w:rPr>
          <w:rFonts w:ascii="Times New Roman" w:hAnsi="Times New Roman"/>
          <w:sz w:val="24"/>
          <w:szCs w:val="24"/>
        </w:rPr>
        <w:t>, 119/14</w:t>
      </w:r>
      <w:r>
        <w:rPr>
          <w:rFonts w:ascii="Times New Roman" w:hAnsi="Times New Roman"/>
          <w:sz w:val="24"/>
          <w:szCs w:val="24"/>
        </w:rPr>
        <w:t>.</w:t>
      </w:r>
      <w:r w:rsidR="00722FEE" w:rsidRPr="00E178D9">
        <w:rPr>
          <w:rFonts w:ascii="Times New Roman" w:hAnsi="Times New Roman"/>
          <w:sz w:val="24"/>
          <w:szCs w:val="24"/>
        </w:rPr>
        <w:t>, 93/16</w:t>
      </w:r>
      <w:r>
        <w:rPr>
          <w:rFonts w:ascii="Times New Roman" w:hAnsi="Times New Roman"/>
          <w:sz w:val="24"/>
          <w:szCs w:val="24"/>
        </w:rPr>
        <w:t>.</w:t>
      </w:r>
      <w:r w:rsidR="00722FEE" w:rsidRPr="00E178D9">
        <w:rPr>
          <w:rFonts w:ascii="Times New Roman" w:hAnsi="Times New Roman"/>
          <w:sz w:val="24"/>
          <w:szCs w:val="24"/>
        </w:rPr>
        <w:t>, 116/18</w:t>
      </w:r>
      <w:r>
        <w:rPr>
          <w:rFonts w:ascii="Times New Roman" w:hAnsi="Times New Roman"/>
          <w:sz w:val="24"/>
          <w:szCs w:val="24"/>
        </w:rPr>
        <w:t>., 80/</w:t>
      </w:r>
      <w:r w:rsidR="00722FEE" w:rsidRPr="00E178D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 i 78/24.</w:t>
      </w:r>
      <w:r w:rsidR="00722FEE" w:rsidRPr="00E178D9">
        <w:rPr>
          <w:rFonts w:ascii="Times New Roman" w:hAnsi="Times New Roman"/>
          <w:sz w:val="24"/>
          <w:szCs w:val="24"/>
        </w:rPr>
        <w:t>) i točke III. stavka 3. Odluke o visini vrijednosti nefinancijske imovine kojom je ovlašten raspolagati čelnik tijela državne uprave, KLASA: 022-03/19-0</w:t>
      </w:r>
      <w:r w:rsidR="005F3917">
        <w:rPr>
          <w:rFonts w:ascii="Times New Roman" w:hAnsi="Times New Roman"/>
          <w:sz w:val="24"/>
          <w:szCs w:val="24"/>
        </w:rPr>
        <w:t>4/318, URBROJ: 50301-25/16-19-2</w:t>
      </w:r>
      <w:r w:rsidR="00722FEE" w:rsidRPr="00E178D9">
        <w:rPr>
          <w:rFonts w:ascii="Times New Roman" w:hAnsi="Times New Roman"/>
          <w:sz w:val="24"/>
          <w:szCs w:val="24"/>
        </w:rPr>
        <w:t xml:space="preserve"> od 1. kolovoza 2019., </w:t>
      </w:r>
      <w:r w:rsidR="00FB3C9B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 _________ donijela</w:t>
      </w:r>
    </w:p>
    <w:p w14:paraId="2DAE105B" w14:textId="77777777" w:rsidR="00832F53" w:rsidRPr="00E178D9" w:rsidRDefault="00832F53" w:rsidP="00AF5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bookmarkEnd w:id="1"/>
    <w:p w14:paraId="09B62B8F" w14:textId="77777777" w:rsidR="00FB3C9B" w:rsidRP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1BEC7" w14:textId="77777777" w:rsidR="00FB3C9B" w:rsidRPr="00FB3C9B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</w:pPr>
      <w:r w:rsidRPr="00FB3C9B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  <w:t>ODLUKU</w:t>
      </w:r>
    </w:p>
    <w:p w14:paraId="39F0AA1E" w14:textId="77777777" w:rsidR="00FB3C9B" w:rsidRPr="00713DCE" w:rsidRDefault="00FB3C9B" w:rsidP="00832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434146" w14:textId="09AEE8B4" w:rsidR="005F3917" w:rsidRPr="00713DCE" w:rsidRDefault="00722FEE" w:rsidP="008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pribavljanju nefinancijske imovine nabavom </w:t>
      </w:r>
      <w:r w:rsidR="00EE1368" w:rsidRPr="0071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glavnog borbenog tenka Leopard 2A8, </w:t>
      </w:r>
    </w:p>
    <w:p w14:paraId="0C2BC092" w14:textId="77777777" w:rsidR="00FB3C9B" w:rsidRPr="00713DCE" w:rsidRDefault="00EE1368" w:rsidP="008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simulatora i logističke potpore s produženim jamstvom</w:t>
      </w:r>
    </w:p>
    <w:p w14:paraId="058765FA" w14:textId="77777777" w:rsidR="00FB3C9B" w:rsidRPr="00713DCE" w:rsidRDefault="00FB3C9B" w:rsidP="00FB3C9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GoBack"/>
      <w:bookmarkEnd w:id="2"/>
    </w:p>
    <w:p w14:paraId="365FEAFF" w14:textId="77777777" w:rsidR="00832F53" w:rsidRPr="00713DCE" w:rsidRDefault="00832F53" w:rsidP="00FB3C9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C6F931" w14:textId="77777777" w:rsidR="00FB3C9B" w:rsidRPr="00713DCE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4527F9B" w14:textId="77777777" w:rsidR="00FB3C9B" w:rsidRPr="00713DCE" w:rsidRDefault="00FB3C9B" w:rsidP="00FB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616A2" w14:textId="77777777" w:rsidR="00FB3C9B" w:rsidRPr="00713DCE" w:rsidRDefault="00FB3C9B" w:rsidP="00722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2F53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FEE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Pribavlja se nefinancijska imovina </w:t>
      </w:r>
      <w:r w:rsidR="00A642A1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obrane </w:t>
      </w:r>
      <w:r w:rsidR="00722FEE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1.483.938.969,77 eura nabavom glavnog borbenog tenka Leopard 2A8, simulatora i logističke</w:t>
      </w:r>
      <w:r w:rsidR="00A642A1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 s produženim jamstvom</w:t>
      </w:r>
      <w:r w:rsidR="00722FEE" w:rsidRPr="00713D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CEF69A" w14:textId="77777777" w:rsidR="00832F53" w:rsidRPr="00713DCE" w:rsidRDefault="00832F53" w:rsidP="00EE13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D76329" w14:textId="77777777" w:rsidR="00EE1368" w:rsidRPr="00713DCE" w:rsidRDefault="00EE1368" w:rsidP="00EE1368">
      <w:pPr>
        <w:jc w:val="center"/>
        <w:rPr>
          <w:rFonts w:ascii="Times New Roman" w:hAnsi="Times New Roman"/>
          <w:b/>
          <w:sz w:val="24"/>
          <w:szCs w:val="24"/>
        </w:rPr>
      </w:pPr>
      <w:r w:rsidRPr="00713DCE">
        <w:rPr>
          <w:rFonts w:ascii="Times New Roman" w:hAnsi="Times New Roman"/>
          <w:b/>
          <w:sz w:val="24"/>
          <w:szCs w:val="24"/>
        </w:rPr>
        <w:t>II.</w:t>
      </w:r>
    </w:p>
    <w:p w14:paraId="1204076B" w14:textId="77777777" w:rsidR="00EE1368" w:rsidRPr="00713DCE" w:rsidRDefault="00EE1368" w:rsidP="00713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DCE">
        <w:rPr>
          <w:rFonts w:ascii="Times New Roman" w:hAnsi="Times New Roman"/>
          <w:sz w:val="24"/>
          <w:szCs w:val="24"/>
        </w:rPr>
        <w:tab/>
      </w:r>
      <w:r w:rsidR="00832F53" w:rsidRPr="00713DCE">
        <w:rPr>
          <w:rFonts w:ascii="Times New Roman" w:hAnsi="Times New Roman"/>
          <w:sz w:val="24"/>
          <w:szCs w:val="24"/>
        </w:rPr>
        <w:tab/>
      </w:r>
      <w:r w:rsidR="00722FEE" w:rsidRPr="00713DCE">
        <w:rPr>
          <w:rFonts w:ascii="Times New Roman" w:hAnsi="Times New Roman"/>
          <w:sz w:val="24"/>
          <w:szCs w:val="24"/>
        </w:rPr>
        <w:t>Nabava glavnog borbenog tenka Leopard 2A8, simulatora i logističke potpore s produženim jamstvom iz točke I. ove Odluke provest će se u razdoblju od 2026. do 2033. godine</w:t>
      </w:r>
      <w:r w:rsidRPr="00713DCE">
        <w:rPr>
          <w:rFonts w:ascii="Times New Roman" w:hAnsi="Times New Roman"/>
          <w:sz w:val="24"/>
          <w:szCs w:val="24"/>
        </w:rPr>
        <w:t>.</w:t>
      </w:r>
    </w:p>
    <w:p w14:paraId="3F9D6086" w14:textId="77777777" w:rsidR="00832F53" w:rsidRPr="00713DCE" w:rsidRDefault="00832F53" w:rsidP="00713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CC78E" w14:textId="740E074C" w:rsidR="00EE1368" w:rsidRDefault="00EE1368" w:rsidP="00EE1368">
      <w:pPr>
        <w:jc w:val="center"/>
        <w:rPr>
          <w:rFonts w:ascii="Times New Roman" w:hAnsi="Times New Roman"/>
          <w:b/>
          <w:sz w:val="24"/>
          <w:szCs w:val="24"/>
        </w:rPr>
      </w:pPr>
      <w:r w:rsidRPr="00713DCE">
        <w:rPr>
          <w:rFonts w:ascii="Times New Roman" w:hAnsi="Times New Roman"/>
          <w:b/>
          <w:sz w:val="24"/>
          <w:szCs w:val="24"/>
        </w:rPr>
        <w:t>III.</w:t>
      </w:r>
    </w:p>
    <w:p w14:paraId="593AF6FA" w14:textId="29F5EF61" w:rsidR="00713DCE" w:rsidRDefault="00713DCE" w:rsidP="00713DCE">
      <w:pPr>
        <w:ind w:left="708" w:firstLine="708"/>
        <w:rPr>
          <w:rFonts w:ascii="Times New Roman" w:hAnsi="Times New Roman"/>
          <w:sz w:val="24"/>
          <w:szCs w:val="24"/>
        </w:rPr>
      </w:pPr>
      <w:r w:rsidRPr="00713DCE">
        <w:rPr>
          <w:rFonts w:ascii="Times New Roman" w:hAnsi="Times New Roman"/>
          <w:sz w:val="24"/>
          <w:szCs w:val="24"/>
        </w:rPr>
        <w:t>Za provedbu ove Odluke zadužuje se Ministarstvo obrane.</w:t>
      </w:r>
    </w:p>
    <w:p w14:paraId="5AED2F68" w14:textId="34465B01" w:rsidR="00713DCE" w:rsidRPr="00713DCE" w:rsidRDefault="00713DCE" w:rsidP="00713DCE">
      <w:pPr>
        <w:jc w:val="center"/>
        <w:rPr>
          <w:rFonts w:ascii="Times New Roman" w:hAnsi="Times New Roman"/>
          <w:b/>
          <w:sz w:val="24"/>
          <w:szCs w:val="24"/>
        </w:rPr>
      </w:pPr>
      <w:r w:rsidRPr="00713DCE">
        <w:rPr>
          <w:rFonts w:ascii="Times New Roman" w:hAnsi="Times New Roman"/>
          <w:b/>
          <w:sz w:val="24"/>
          <w:szCs w:val="24"/>
        </w:rPr>
        <w:t>IV.</w:t>
      </w:r>
    </w:p>
    <w:p w14:paraId="1AD04205" w14:textId="77777777" w:rsidR="00EE1368" w:rsidRPr="00713DCE" w:rsidRDefault="00EE1368" w:rsidP="00EE1368">
      <w:pPr>
        <w:jc w:val="both"/>
        <w:rPr>
          <w:rFonts w:ascii="Times New Roman" w:hAnsi="Times New Roman"/>
          <w:sz w:val="24"/>
          <w:szCs w:val="24"/>
        </w:rPr>
      </w:pPr>
      <w:r w:rsidRPr="00713DCE">
        <w:rPr>
          <w:rFonts w:ascii="Times New Roman" w:hAnsi="Times New Roman"/>
          <w:sz w:val="24"/>
          <w:szCs w:val="24"/>
        </w:rPr>
        <w:tab/>
      </w:r>
      <w:r w:rsidR="00F14A8C" w:rsidRPr="00713DCE">
        <w:rPr>
          <w:rFonts w:ascii="Times New Roman" w:hAnsi="Times New Roman"/>
          <w:sz w:val="24"/>
          <w:szCs w:val="24"/>
        </w:rPr>
        <w:tab/>
      </w:r>
      <w:r w:rsidRPr="00713DCE">
        <w:rPr>
          <w:rFonts w:ascii="Times New Roman" w:hAnsi="Times New Roman"/>
          <w:sz w:val="24"/>
          <w:szCs w:val="24"/>
        </w:rPr>
        <w:t>Ova Odluka stupa na snagu danom donošenja.</w:t>
      </w:r>
    </w:p>
    <w:p w14:paraId="42816C78" w14:textId="77777777" w:rsidR="0049470F" w:rsidRPr="005F3917" w:rsidRDefault="0049470F" w:rsidP="0049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91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7A2B0956" w14:textId="77777777" w:rsidR="0049470F" w:rsidRPr="005F3917" w:rsidRDefault="0049470F" w:rsidP="0049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91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0122EF6" w14:textId="77777777" w:rsidR="0049470F" w:rsidRPr="005F3917" w:rsidRDefault="0049470F" w:rsidP="0049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A083FC" w14:textId="77777777" w:rsidR="0049470F" w:rsidRPr="005F3917" w:rsidRDefault="0049470F" w:rsidP="0049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5F391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CF4349D" w14:textId="77777777" w:rsidR="0049470F" w:rsidRPr="005F3917" w:rsidRDefault="0049470F" w:rsidP="0049470F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80"/>
          <w:sz w:val="24"/>
          <w:szCs w:val="24"/>
          <w:lang w:eastAsia="hr-HR"/>
        </w:rPr>
      </w:pPr>
    </w:p>
    <w:p w14:paraId="0F932B41" w14:textId="77777777" w:rsidR="00FB3C9B" w:rsidRPr="00FB3C9B" w:rsidRDefault="00FB3C9B" w:rsidP="00FB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F0347" w14:textId="77777777" w:rsidR="00FB3C9B" w:rsidRPr="00832F53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F53">
        <w:rPr>
          <w:rFonts w:ascii="Times New Roman" w:eastAsia="Times New Roman" w:hAnsi="Times New Roman" w:cs="Times New Roman"/>
          <w:sz w:val="24"/>
          <w:szCs w:val="24"/>
          <w:lang w:eastAsia="hr-HR"/>
        </w:rPr>
        <w:t>P R E D S J E D N I K</w:t>
      </w:r>
    </w:p>
    <w:p w14:paraId="3B5D8A25" w14:textId="77777777" w:rsidR="00FB3C9B" w:rsidRPr="00832F53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96EA2" w14:textId="77777777" w:rsidR="00FB3C9B" w:rsidRPr="00832F53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2F53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p w14:paraId="4965F160" w14:textId="77777777" w:rsidR="00FB3C9B" w:rsidRPr="00FB3C9B" w:rsidRDefault="00FB3C9B" w:rsidP="00FB3C9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E9D660" w14:textId="77777777" w:rsidR="00E178D9" w:rsidRPr="005F3917" w:rsidRDefault="00E178D9">
      <w:pPr>
        <w:rPr>
          <w:rFonts w:ascii="Times New Roman" w:eastAsia="Times New Roman" w:hAnsi="Times New Roman" w:cs="Times New Roman"/>
          <w:spacing w:val="80"/>
          <w:sz w:val="24"/>
          <w:szCs w:val="24"/>
          <w:lang w:eastAsia="hr-HR"/>
        </w:rPr>
      </w:pPr>
      <w:r w:rsidRPr="005F3917">
        <w:rPr>
          <w:rFonts w:ascii="Times New Roman" w:eastAsia="Times New Roman" w:hAnsi="Times New Roman" w:cs="Times New Roman"/>
          <w:spacing w:val="80"/>
          <w:sz w:val="24"/>
          <w:szCs w:val="24"/>
          <w:lang w:eastAsia="hr-HR"/>
        </w:rPr>
        <w:br w:type="page"/>
      </w:r>
    </w:p>
    <w:p w14:paraId="33D20D4C" w14:textId="77777777" w:rsidR="00973407" w:rsidRDefault="00973407">
      <w:pPr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C54F015" w14:textId="77777777" w:rsidR="00FB3C9B" w:rsidRPr="00FB3C9B" w:rsidRDefault="00FB3C9B" w:rsidP="00FB3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  <w:r w:rsidRPr="00FB3C9B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  <w:t>Obrazloženje</w:t>
      </w:r>
    </w:p>
    <w:p w14:paraId="018B1672" w14:textId="77777777" w:rsidR="00FB3C9B" w:rsidRPr="00FB3C9B" w:rsidRDefault="00FB3C9B" w:rsidP="00FB3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E8CB76" w14:textId="77777777" w:rsidR="00E178D9" w:rsidRPr="00A92F59" w:rsidRDefault="00973407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2B7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178D9" w:rsidRPr="002B7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točki I.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se pribavljanje nefinancijske imovine u iznosu od 1.483.938.969,77 eura nabavom glavnog borbenog tenka Leopard 2A8, simulatora i logističke potpore s </w:t>
      </w:r>
      <w:r w:rsidR="00E178D9" w:rsidRPr="00A92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produženim jamstvom, na prijedlog Ministarstva obrane. </w:t>
      </w:r>
    </w:p>
    <w:p w14:paraId="30D2429D" w14:textId="77777777" w:rsidR="00E178D9" w:rsidRPr="00E178D9" w:rsidRDefault="00EA1B49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F5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A92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agresije Rusije na Ukrajinu </w:t>
      </w:r>
      <w:r w:rsidR="00B4248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178D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okazalo</w:t>
      </w:r>
      <w:r w:rsidR="00E178D9" w:rsidRPr="00A92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kako su borbeni tenkovi i dalje odlučujući borbeni sustavi za provedbu konvencionalnih operacija visokog intenziteta, zahvaljujući jedinstvenoj kombinaciji vatrene moći, zaštite i pokretljivosti na bojištu. Zbog toga je Ukrajina od svojih zapadnih saveznika tražila da joj osiguraju </w:t>
      </w:r>
      <w:r w:rsidR="00E178D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dosta</w:t>
      </w:r>
      <w:r w:rsidR="00B4248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178D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nu</w:t>
      </w:r>
      <w:r w:rsidR="00E178D9" w:rsidRPr="00A92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količinu naprednih tenkova zapadnog porijekla, a i tenkova i borbenih oklopnih vozila istočnog/sovjetskog porijekla. Tako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Republika Hrvatska </w:t>
      </w:r>
      <w:r w:rsidR="00E178D9" w:rsidRPr="00B42489">
        <w:rPr>
          <w:rFonts w:ascii="Times New Roman" w:eastAsia="Times New Roman" w:hAnsi="Times New Roman" w:cs="Times New Roman"/>
          <w:sz w:val="24"/>
          <w:szCs w:val="24"/>
          <w:lang w:eastAsia="hr-HR"/>
        </w:rPr>
        <w:t>na inicijativu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suradnji sa Saveznom Republikom Njemačkom ustupila Ukrajini 30 tenkova M-84 i 30 borbenih vozila pješaštva M-80 s pripadajućim pričuvnim dijelovima i streljivom ukupne knjigovodstvene vrijednosti od 144.800.000,00 eura. </w:t>
      </w:r>
    </w:p>
    <w:p w14:paraId="0D5250B0" w14:textId="77777777" w:rsidR="00DC4829" w:rsidRDefault="00EA1B49" w:rsidP="00DC482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Uz poziv za pristupanje zajedničkoj nabavi tenkova Leopard 2A8, za ustupljena materijalna sredstava Ukrajini, krajem 2024.</w:t>
      </w:r>
      <w:r w:rsidR="00AF5E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Savezno ministarstvo obrane Savezne Republike Njemačke uplatilo je u Državni proračun Republike Hrvatske na razdjel Ministarstva obrane iznos od 144.800.000,00 eura. U skladu s Odlukom </w:t>
      </w:r>
      <w:r w:rsidR="00E178D9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>Vlade</w:t>
      </w:r>
      <w:r w:rsid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pripremnim radnjama za nabavu tenkova ova sredstva su namijenjena za nabavu novih tenkova Leopard 2A8 za potrebe opremanja Oružanih snaga Republike Hrvatske. </w:t>
      </w:r>
    </w:p>
    <w:p w14:paraId="29EE26A3" w14:textId="77777777" w:rsidR="00E178D9" w:rsidRPr="00E178D9" w:rsidRDefault="00DC4829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ijekom prethodna dva razdoblja </w:t>
      </w:r>
      <w:r w:rsidR="00E178D9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Dugoročnog plana razvoja</w:t>
      </w:r>
      <w:r w:rsid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Oružanih snaga Republike Hrvatske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, nije bilo moguće provesti njegovu modernizaciju koja bi ga dovela na razinu borbenih sposobnosti suvremenih zapadnih tenkova. Stoga je u Dugoročnom planu razvoja Oružanih snaga Republike Hrvatske 2025. – 2036. određeno da okosnicu razvoja brigade teškog pješaštva čini sadašnja Gardijska oklopno-mehanizirana brigada s ključnim projektom zamjene platforme glavnoga borbenog tenka M-84 novim tenkom zapadne proizvodnje.</w:t>
      </w:r>
    </w:p>
    <w:p w14:paraId="304D059F" w14:textId="77777777" w:rsidR="00E178D9" w:rsidRPr="00E178D9" w:rsidRDefault="00956DF5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navedenim, u cilju modernizacije oklopno-mehaniziranih snaga Hrvatske kopnene vojske, Ministarstvo obrane iskazalo je interes za pristupanje programu zajedničke nabave tenkova Leopard 2A8. Tijekom 2024. i 2025.</w:t>
      </w:r>
      <w:r w:rsidR="004930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5842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provedene su </w:t>
      </w:r>
      <w:r w:rsidR="00E178D9" w:rsidRPr="0058425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Saveznim ministarstvom obrane Savezne Republike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Njemačke, </w:t>
      </w:r>
      <w:r w:rsidR="00E178D9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čijim </w:t>
      </w:r>
      <w:r w:rsidR="00B42C64">
        <w:rPr>
          <w:rFonts w:ascii="Times New Roman" w:eastAsia="Times New Roman" w:hAnsi="Times New Roman" w:cs="Times New Roman"/>
          <w:sz w:val="24"/>
          <w:szCs w:val="24"/>
          <w:lang w:eastAsia="hr-HR"/>
        </w:rPr>
        <w:t>vodstvom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provodi zajednička nabava tenkova Leopard 2A8 za sve zainteresirane partnerske zemlje. </w:t>
      </w:r>
      <w:r w:rsidR="00E178D9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>Pismom nacionalnog direktora za naoružanje Saveznog ministarstva obra</w:t>
      </w:r>
      <w:r w:rsidR="00A30B0C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>ne Savezne Republike</w:t>
      </w:r>
      <w:r w:rsidR="00E178D9" w:rsidRPr="00B2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Njemačke, Ministarstvo obrane Republike Hrvatske pozvano je na pridruživanje Programu zajedničke nabave tenkova Leopard 2A8, za što je njemačkoj strani dostavljen neobvezujuć</w:t>
      </w:r>
      <w:r w:rsidR="001E5B1F">
        <w:rPr>
          <w:rFonts w:ascii="Times New Roman" w:eastAsia="Times New Roman" w:hAnsi="Times New Roman" w:cs="Times New Roman"/>
          <w:sz w:val="24"/>
          <w:szCs w:val="24"/>
          <w:lang w:eastAsia="hr-HR"/>
        </w:rPr>
        <w:t>i inicijalni zahtjev za nabavu.</w:t>
      </w:r>
    </w:p>
    <w:p w14:paraId="15DD6667" w14:textId="77777777" w:rsidR="00E178D9" w:rsidRPr="00E178D9" w:rsidRDefault="002A5644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pokretanja procesa opremanja, Oružane snage Republike Hrvatske izradile su Taktičku studiju „Opre</w:t>
      </w:r>
      <w:r w:rsidR="001E5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manje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glavnom platformom borbenog tenka“ i Iskaz potreba korisnika u kojima su iskazani taktički zahtjevi i potrebe Oružanih snaga </w:t>
      </w:r>
      <w:r w:rsidR="004930F1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nabavom glavnog borbenog tenka, </w:t>
      </w:r>
      <w:r w:rsidR="00E178D9" w:rsidRPr="001E5B1F">
        <w:rPr>
          <w:rFonts w:ascii="Times New Roman" w:eastAsia="Times New Roman" w:hAnsi="Times New Roman" w:cs="Times New Roman"/>
          <w:sz w:val="24"/>
          <w:szCs w:val="24"/>
          <w:lang w:eastAsia="hr-HR"/>
        </w:rPr>
        <w:t>44 kom</w:t>
      </w:r>
      <w:r w:rsidR="001E5B1F" w:rsidRPr="001E5B1F">
        <w:rPr>
          <w:rFonts w:ascii="Times New Roman" w:eastAsia="Times New Roman" w:hAnsi="Times New Roman" w:cs="Times New Roman"/>
          <w:sz w:val="24"/>
          <w:szCs w:val="24"/>
          <w:lang w:eastAsia="hr-HR"/>
        </w:rPr>
        <w:t>ada</w:t>
      </w:r>
      <w:r w:rsidR="00E178D9" w:rsidRPr="001E5B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simulatora i logističke potpore s produženim jamstvom. </w:t>
      </w:r>
    </w:p>
    <w:p w14:paraId="69AE3563" w14:textId="77777777" w:rsidR="009C2981" w:rsidRPr="00032C9E" w:rsidRDefault="002A5644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032C9E">
        <w:rPr>
          <w:rFonts w:ascii="Times New Roman" w:eastAsia="Times New Roman" w:hAnsi="Times New Roman" w:cs="Times New Roman"/>
          <w:sz w:val="24"/>
          <w:szCs w:val="24"/>
          <w:lang w:eastAsia="hr-HR"/>
        </w:rPr>
        <w:t>Odb</w:t>
      </w:r>
      <w:r w:rsidR="00032C9E" w:rsidRPr="00032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 za obranu Hrvatskoga sabora </w:t>
      </w:r>
      <w:r w:rsidR="00E178D9" w:rsidRPr="00032C9E">
        <w:rPr>
          <w:rFonts w:ascii="Times New Roman" w:eastAsia="Times New Roman" w:hAnsi="Times New Roman" w:cs="Times New Roman"/>
          <w:sz w:val="24"/>
          <w:szCs w:val="24"/>
          <w:lang w:eastAsia="hr-HR"/>
        </w:rPr>
        <w:t>30. listopada 2025. dao je mišljenje kojim se podržava nabava glavnog borbenog tenka Leopard 2A8, simulatora i logističke potpore s produženim jamstvom.</w:t>
      </w:r>
    </w:p>
    <w:p w14:paraId="5B430B1A" w14:textId="77777777" w:rsidR="00F70E41" w:rsidRDefault="00314850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3C9B" w:rsidRPr="00963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B3C9B" w:rsidRPr="004930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točki </w:t>
      </w:r>
      <w:r w:rsidR="00E178D9" w:rsidRPr="004930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FB3C9B" w:rsidRPr="004930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  <w:r w:rsidR="00FB3C9B" w:rsidRPr="00963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se </w:t>
      </w:r>
      <w:r w:rsid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da će se n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abava glavnog borbenog tenka Leopard 2A8, simulatora i logističke potpore s produženim jamstvom </w:t>
      </w:r>
      <w:r w:rsidR="00E178D9" w:rsidRPr="00093004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točke I. ove Odluke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provest</w:t>
      </w:r>
      <w:r w:rsid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u razdoblju od 2026. do 2033. godine</w:t>
      </w:r>
      <w:r w:rsid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0DD31E" w14:textId="77777777" w:rsidR="009C2981" w:rsidRDefault="009C2981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8E43D" w14:textId="77777777" w:rsidR="009C2981" w:rsidRDefault="009C2981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08D6CC" w14:textId="77777777" w:rsidR="009C2981" w:rsidRDefault="009C2981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51364" w14:textId="77777777" w:rsidR="009C2981" w:rsidRDefault="009C2981" w:rsidP="00F70E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5E7E0" w14:textId="35DC3D51" w:rsidR="00F70E41" w:rsidRDefault="00314850" w:rsidP="00F70E41">
      <w:pPr>
        <w:widowControl w:val="0"/>
        <w:tabs>
          <w:tab w:val="left" w:pos="1176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30F1">
        <w:rPr>
          <w:rFonts w:ascii="Times New Roman" w:hAnsi="Times New Roman" w:cs="Times New Roman"/>
          <w:sz w:val="24"/>
          <w:szCs w:val="24"/>
        </w:rPr>
        <w:tab/>
      </w:r>
      <w:r w:rsidR="00F70E41" w:rsidRPr="002612BA">
        <w:rPr>
          <w:rFonts w:ascii="Times New Roman" w:hAnsi="Times New Roman" w:cs="Times New Roman"/>
          <w:sz w:val="24"/>
          <w:szCs w:val="24"/>
        </w:rPr>
        <w:t>Ministarstvo obrane je u skladu s člankom 41. Zakona o javnoj nabavi (</w:t>
      </w:r>
      <w:r w:rsidRPr="002612BA">
        <w:rPr>
          <w:rFonts w:ascii="Times New Roman" w:hAnsi="Times New Roman" w:cs="Times New Roman"/>
          <w:sz w:val="24"/>
          <w:szCs w:val="24"/>
        </w:rPr>
        <w:t>„</w:t>
      </w:r>
      <w:r w:rsidR="00F70E41" w:rsidRPr="002612BA">
        <w:rPr>
          <w:rFonts w:ascii="Times New Roman" w:hAnsi="Times New Roman" w:cs="Times New Roman"/>
          <w:sz w:val="24"/>
          <w:szCs w:val="24"/>
        </w:rPr>
        <w:t>Narodne novine</w:t>
      </w:r>
      <w:r w:rsidRPr="002612BA">
        <w:rPr>
          <w:rFonts w:ascii="Times New Roman" w:hAnsi="Times New Roman" w:cs="Times New Roman"/>
          <w:sz w:val="24"/>
          <w:szCs w:val="24"/>
        </w:rPr>
        <w:t>“</w:t>
      </w:r>
      <w:r w:rsidR="00F70E41" w:rsidRPr="002612BA">
        <w:rPr>
          <w:rFonts w:ascii="Times New Roman" w:hAnsi="Times New Roman" w:cs="Times New Roman"/>
          <w:sz w:val="24"/>
          <w:szCs w:val="24"/>
        </w:rPr>
        <w:t xml:space="preserve"> br. 120/16</w:t>
      </w:r>
      <w:r w:rsidRPr="002612BA">
        <w:rPr>
          <w:rFonts w:ascii="Times New Roman" w:hAnsi="Times New Roman" w:cs="Times New Roman"/>
          <w:sz w:val="24"/>
          <w:szCs w:val="24"/>
        </w:rPr>
        <w:t>.</w:t>
      </w:r>
      <w:r w:rsidR="00F70E41" w:rsidRPr="002612BA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2612BA">
        <w:rPr>
          <w:rFonts w:ascii="Times New Roman" w:hAnsi="Times New Roman" w:cs="Times New Roman"/>
          <w:sz w:val="24"/>
          <w:szCs w:val="24"/>
        </w:rPr>
        <w:t>.</w:t>
      </w:r>
      <w:r w:rsidR="00F70E41" w:rsidRPr="002612BA">
        <w:rPr>
          <w:rFonts w:ascii="Times New Roman" w:hAnsi="Times New Roman" w:cs="Times New Roman"/>
          <w:sz w:val="24"/>
          <w:szCs w:val="24"/>
        </w:rPr>
        <w:t xml:space="preserve">) provelo postupak </w:t>
      </w:r>
      <w:r w:rsidR="00093004" w:rsidRPr="002612BA">
        <w:rPr>
          <w:rFonts w:ascii="Times New Roman" w:hAnsi="Times New Roman" w:cs="Times New Roman"/>
          <w:sz w:val="24"/>
          <w:szCs w:val="24"/>
        </w:rPr>
        <w:t xml:space="preserve">javne </w:t>
      </w:r>
      <w:r w:rsidR="00F70E41" w:rsidRPr="002612BA">
        <w:rPr>
          <w:rFonts w:ascii="Times New Roman" w:hAnsi="Times New Roman" w:cs="Times New Roman"/>
          <w:sz w:val="24"/>
          <w:szCs w:val="24"/>
        </w:rPr>
        <w:t xml:space="preserve">nabave u kojem se pristupanjem Okvirnom sporazumu o zajedničkoj nabavi ovlašćuje Savezno ministarstvo obrane Savezne Republike Njemačke da na zahtjev i u ime Ministarstva obrane Republike Hrvatske sklopi </w:t>
      </w:r>
      <w:r w:rsidR="00B56E73" w:rsidRPr="002612BA">
        <w:rPr>
          <w:rFonts w:ascii="Times New Roman" w:hAnsi="Times New Roman" w:cs="Times New Roman"/>
          <w:sz w:val="24"/>
          <w:szCs w:val="24"/>
        </w:rPr>
        <w:t>dopunu ugovor</w:t>
      </w:r>
      <w:r w:rsidR="00EA7F39" w:rsidRPr="002612BA">
        <w:rPr>
          <w:rFonts w:ascii="Times New Roman" w:hAnsi="Times New Roman" w:cs="Times New Roman"/>
          <w:sz w:val="24"/>
          <w:szCs w:val="24"/>
        </w:rPr>
        <w:t>a</w:t>
      </w:r>
      <w:r w:rsidR="00F70E41" w:rsidRPr="002612BA">
        <w:rPr>
          <w:rFonts w:ascii="Times New Roman" w:hAnsi="Times New Roman" w:cs="Times New Roman"/>
          <w:sz w:val="24"/>
          <w:szCs w:val="24"/>
        </w:rPr>
        <w:t xml:space="preserve"> s tvrtkom KNDS Deutschland GmbH &amp; Co. KG o isporuci tenkova Leopard 2A8 </w:t>
      </w:r>
      <w:r w:rsidR="004930F1" w:rsidRPr="002612BA">
        <w:rPr>
          <w:rFonts w:ascii="Times New Roman" w:hAnsi="Times New Roman" w:cs="Times New Roman"/>
          <w:sz w:val="24"/>
          <w:szCs w:val="24"/>
        </w:rPr>
        <w:t xml:space="preserve">Republici </w:t>
      </w:r>
      <w:r w:rsidR="00F70E41" w:rsidRPr="002612BA">
        <w:rPr>
          <w:rFonts w:ascii="Times New Roman" w:hAnsi="Times New Roman" w:cs="Times New Roman"/>
          <w:sz w:val="24"/>
          <w:szCs w:val="24"/>
        </w:rPr>
        <w:t>Hrvatskoj. Pored toga, pripremljen je prijedlog dodatnog ugovora s tvrtkom</w:t>
      </w:r>
      <w:r w:rsidR="00F70E41" w:rsidRPr="00032C9E">
        <w:rPr>
          <w:rFonts w:ascii="Times New Roman" w:hAnsi="Times New Roman" w:cs="Times New Roman"/>
          <w:sz w:val="24"/>
          <w:szCs w:val="24"/>
        </w:rPr>
        <w:t xml:space="preserve"> KNDS Deutschland GmbH &amp; Co. KG o isporuci simulatora i opreme te prijedlog ugovora o pružanju usluge produženog jamstva u trajanju od pet godina </w:t>
      </w:r>
      <w:r w:rsidR="00713DCE">
        <w:rPr>
          <w:rFonts w:ascii="Times New Roman" w:hAnsi="Times New Roman" w:cs="Times New Roman"/>
          <w:sz w:val="24"/>
          <w:szCs w:val="24"/>
        </w:rPr>
        <w:t xml:space="preserve">počevši od isporuke prvog tenka. </w:t>
      </w:r>
      <w:r w:rsidR="00F70E41" w:rsidRPr="00032C9E">
        <w:rPr>
          <w:rFonts w:ascii="Times New Roman" w:hAnsi="Times New Roman" w:cs="Times New Roman"/>
          <w:sz w:val="24"/>
          <w:szCs w:val="24"/>
        </w:rPr>
        <w:t>Za predmetnu nabavu predviđeno je i procijenjeno ekonomsko uvećanje cijena za svu ugovorenu robu i usluge te porez na dodanu vrijednost na usluge produženog jamstva s ekonomskim uvećanjem</w:t>
      </w:r>
      <w:r w:rsidR="00093004">
        <w:rPr>
          <w:rFonts w:ascii="Times New Roman" w:hAnsi="Times New Roman" w:cs="Times New Roman"/>
          <w:sz w:val="24"/>
          <w:szCs w:val="24"/>
        </w:rPr>
        <w:t xml:space="preserve">. </w:t>
      </w:r>
      <w:r w:rsidR="00F70E41" w:rsidRPr="00032C9E">
        <w:rPr>
          <w:rFonts w:ascii="Times New Roman" w:hAnsi="Times New Roman" w:cs="Times New Roman"/>
          <w:sz w:val="24"/>
          <w:szCs w:val="24"/>
        </w:rPr>
        <w:t>Slijedom navedenog</w:t>
      </w:r>
      <w:r w:rsidR="004930F1">
        <w:rPr>
          <w:rFonts w:ascii="Times New Roman" w:hAnsi="Times New Roman" w:cs="Times New Roman"/>
          <w:sz w:val="24"/>
          <w:szCs w:val="24"/>
        </w:rPr>
        <w:t>a</w:t>
      </w:r>
      <w:r w:rsidR="00F70E41" w:rsidRPr="00032C9E">
        <w:rPr>
          <w:rFonts w:ascii="Times New Roman" w:hAnsi="Times New Roman" w:cs="Times New Roman"/>
          <w:sz w:val="24"/>
          <w:szCs w:val="24"/>
        </w:rPr>
        <w:t>, ukupne obveze Ministarstva obrane za nabavu glavnog borbenog tenka Leopard 2A8, simulatora i logističke potpore s produženim jamstvom Ministarstva obrane iznose 1.483.938.969,77 eura, od čega u 2026. godini 311.442.034,64 eura, u 2027. godini 384.370.633,92 eura, u 2028. godini 112.540.435,02 eura, u 2029. godini 289.137.399,51 eura, u 2030. godini 286.983.072,94 eura, u 2031. godini 36.493.158,85 eura, u 2032. godini 37.428.177,52 eura i u 2033. godini 25.544.057,37 eura.</w:t>
      </w:r>
    </w:p>
    <w:p w14:paraId="7D7D62A6" w14:textId="77777777" w:rsidR="00F70E41" w:rsidRPr="00F70E41" w:rsidRDefault="00314850" w:rsidP="00F70E41">
      <w:pPr>
        <w:widowControl w:val="0"/>
        <w:tabs>
          <w:tab w:val="left" w:pos="1176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0E41" w:rsidRPr="00093004">
        <w:rPr>
          <w:rFonts w:ascii="Times New Roman" w:hAnsi="Times New Roman" w:cs="Times New Roman"/>
          <w:sz w:val="24"/>
          <w:szCs w:val="24"/>
        </w:rPr>
        <w:t xml:space="preserve">Ugovaranjem zajedničke nabave tenkova Leopard 2A8 do kraja 2025. </w:t>
      </w:r>
      <w:r w:rsidR="00093004">
        <w:rPr>
          <w:rFonts w:ascii="Times New Roman" w:hAnsi="Times New Roman" w:cs="Times New Roman"/>
          <w:sz w:val="24"/>
          <w:szCs w:val="24"/>
        </w:rPr>
        <w:t xml:space="preserve">godine </w:t>
      </w:r>
      <w:r w:rsidR="00F70E41" w:rsidRPr="00093004">
        <w:rPr>
          <w:rFonts w:ascii="Times New Roman" w:hAnsi="Times New Roman" w:cs="Times New Roman"/>
          <w:sz w:val="24"/>
          <w:szCs w:val="24"/>
        </w:rPr>
        <w:t>osigurat</w:t>
      </w:r>
      <w:r w:rsidR="00F70E41" w:rsidRPr="00F70E41">
        <w:rPr>
          <w:rFonts w:ascii="Times New Roman" w:hAnsi="Times New Roman" w:cs="Times New Roman"/>
          <w:sz w:val="24"/>
          <w:szCs w:val="24"/>
        </w:rPr>
        <w:t xml:space="preserve"> će se isporuka tenkova </w:t>
      </w:r>
      <w:r w:rsidR="004930F1">
        <w:rPr>
          <w:rFonts w:ascii="Times New Roman" w:hAnsi="Times New Roman" w:cs="Times New Roman"/>
          <w:sz w:val="24"/>
          <w:szCs w:val="24"/>
        </w:rPr>
        <w:t xml:space="preserve">Republici </w:t>
      </w:r>
      <w:r w:rsidR="00F70E41" w:rsidRPr="00F70E41">
        <w:rPr>
          <w:rFonts w:ascii="Times New Roman" w:hAnsi="Times New Roman" w:cs="Times New Roman"/>
          <w:sz w:val="24"/>
          <w:szCs w:val="24"/>
        </w:rPr>
        <w:t>Hrvatskoj u razdoblju od 2028. do 2030.</w:t>
      </w:r>
      <w:r w:rsidR="004930F1">
        <w:rPr>
          <w:rFonts w:ascii="Times New Roman" w:hAnsi="Times New Roman" w:cs="Times New Roman"/>
          <w:sz w:val="24"/>
          <w:szCs w:val="24"/>
        </w:rPr>
        <w:t xml:space="preserve"> godine. </w:t>
      </w:r>
      <w:r w:rsidR="00F70E41" w:rsidRPr="00032C9E">
        <w:rPr>
          <w:rFonts w:ascii="Times New Roman" w:hAnsi="Times New Roman" w:cs="Times New Roman"/>
          <w:sz w:val="24"/>
          <w:szCs w:val="24"/>
        </w:rPr>
        <w:t xml:space="preserve">Pristupanjem ovoj zajedničkoj nabavi Oružane snage Republike Hrvatske opremit će se najmodernijim glavnim borbenim tenkom. </w:t>
      </w:r>
      <w:r w:rsidR="00F70E41" w:rsidRPr="00093004">
        <w:rPr>
          <w:rFonts w:ascii="Times New Roman" w:hAnsi="Times New Roman" w:cs="Times New Roman"/>
          <w:sz w:val="24"/>
          <w:szCs w:val="24"/>
        </w:rPr>
        <w:t xml:space="preserve">Uz manje troškove nabave, opremanje će se brže provesti, produbit će se vojna suradnja i povećat interoperabilnost sa saveznicima, a unifikacijom flote, uz potporu proizvođača i angažman </w:t>
      </w:r>
      <w:r w:rsidR="00093004" w:rsidRPr="00093004">
        <w:rPr>
          <w:rFonts w:ascii="Times New Roman" w:hAnsi="Times New Roman" w:cs="Times New Roman"/>
          <w:sz w:val="24"/>
          <w:szCs w:val="24"/>
        </w:rPr>
        <w:t>h</w:t>
      </w:r>
      <w:r w:rsidR="00F70E41" w:rsidRPr="00093004">
        <w:rPr>
          <w:rFonts w:ascii="Times New Roman" w:hAnsi="Times New Roman" w:cs="Times New Roman"/>
          <w:sz w:val="24"/>
          <w:szCs w:val="24"/>
        </w:rPr>
        <w:t>rvatske obrambene industrije,</w:t>
      </w:r>
      <w:r w:rsidR="00F70E41" w:rsidRPr="00032C9E">
        <w:rPr>
          <w:rFonts w:ascii="Times New Roman" w:hAnsi="Times New Roman" w:cs="Times New Roman"/>
          <w:sz w:val="24"/>
          <w:szCs w:val="24"/>
        </w:rPr>
        <w:t xml:space="preserve"> osigurat će se jednostavnija logistička potpora, kao i manji troškovi održavanja.</w:t>
      </w:r>
    </w:p>
    <w:p w14:paraId="4E3E782F" w14:textId="77777777" w:rsidR="009639A4" w:rsidRDefault="00314850" w:rsidP="00F70E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9A4" w:rsidRPr="009639A4">
        <w:rPr>
          <w:rFonts w:ascii="Times New Roman" w:hAnsi="Times New Roman" w:cs="Times New Roman"/>
          <w:sz w:val="24"/>
          <w:szCs w:val="24"/>
        </w:rPr>
        <w:t xml:space="preserve">Potrebna sredstva </w:t>
      </w:r>
      <w:r w:rsidR="004930F1">
        <w:rPr>
          <w:rFonts w:ascii="Times New Roman" w:hAnsi="Times New Roman" w:cs="Times New Roman"/>
          <w:sz w:val="24"/>
          <w:szCs w:val="24"/>
        </w:rPr>
        <w:t xml:space="preserve">za </w:t>
      </w:r>
      <w:r w:rsidR="009639A4" w:rsidRPr="009639A4">
        <w:rPr>
          <w:rFonts w:ascii="Times New Roman" w:hAnsi="Times New Roman" w:cs="Times New Roman"/>
          <w:sz w:val="24"/>
          <w:szCs w:val="24"/>
        </w:rPr>
        <w:t>nabavu tenkova Leopard 2A8, simulatora i opreme u iznosu od 1.140.387.021,00 eura osigurat će se u razdoblju od 2026. do 2030. godine u Državnom proračunu Republike Hrvatske na razdjelu i glavi Ministarstva obrane kroz EU financijski instrument Security Action for Europe (SAFE). Potrebna sredstva za pružanje usluge produženog jamstva, ekono</w:t>
      </w:r>
      <w:r w:rsidR="00093004">
        <w:rPr>
          <w:rFonts w:ascii="Times New Roman" w:hAnsi="Times New Roman" w:cs="Times New Roman"/>
          <w:sz w:val="24"/>
          <w:szCs w:val="24"/>
        </w:rPr>
        <w:t>msko uvećanje cijena i plaćanje poraza na dodanu vrijednost</w:t>
      </w:r>
      <w:r w:rsidR="009639A4" w:rsidRPr="009639A4">
        <w:rPr>
          <w:rFonts w:ascii="Times New Roman" w:hAnsi="Times New Roman" w:cs="Times New Roman"/>
          <w:sz w:val="24"/>
          <w:szCs w:val="24"/>
        </w:rPr>
        <w:t xml:space="preserve"> u iznosu od 343.551.948,77 eura u raz</w:t>
      </w:r>
      <w:r w:rsidR="004930F1">
        <w:rPr>
          <w:rFonts w:ascii="Times New Roman" w:hAnsi="Times New Roman" w:cs="Times New Roman"/>
          <w:sz w:val="24"/>
          <w:szCs w:val="24"/>
        </w:rPr>
        <w:t>doblju od 2026. do 2033. godine</w:t>
      </w:r>
      <w:r w:rsidR="009639A4" w:rsidRPr="009639A4">
        <w:rPr>
          <w:rFonts w:ascii="Times New Roman" w:hAnsi="Times New Roman" w:cs="Times New Roman"/>
          <w:sz w:val="24"/>
          <w:szCs w:val="24"/>
        </w:rPr>
        <w:t xml:space="preserve"> osigurana su za razdoblje od 2026. do 2028. godine u Prijedlogu d</w:t>
      </w:r>
      <w:r w:rsidR="00682581">
        <w:rPr>
          <w:rFonts w:ascii="Times New Roman" w:hAnsi="Times New Roman" w:cs="Times New Roman"/>
          <w:sz w:val="24"/>
          <w:szCs w:val="24"/>
        </w:rPr>
        <w:t>ržavnog proračuna</w:t>
      </w:r>
      <w:r w:rsidR="009639A4" w:rsidRPr="009639A4">
        <w:rPr>
          <w:rFonts w:ascii="Times New Roman" w:hAnsi="Times New Roman" w:cs="Times New Roman"/>
          <w:sz w:val="24"/>
          <w:szCs w:val="24"/>
        </w:rPr>
        <w:t xml:space="preserve"> Republike Hrvatske za 2026. godinu i projekcija za 2027. i 2028. godinu na razdjelu i glavi Ministarstva obrane, u izvoru 11 Opći prihodi i primici, u programu 2510 Opremanje i modernizacija, aktivnosti K545080 Opremanje glavnim borbenim tenkom, a za razdoblje od 2029. do 2033. godine prioritetno će se osigurati prilikom izrade državnog proračuna Republike Hrvatske za navedene godine, na razdjelu i glavi Ministarstva obrane.</w:t>
      </w:r>
    </w:p>
    <w:p w14:paraId="4D9582E8" w14:textId="77777777" w:rsidR="00E178D9" w:rsidRPr="00E178D9" w:rsidRDefault="00314850" w:rsidP="00F70E41">
      <w:pPr>
        <w:widowControl w:val="0"/>
        <w:tabs>
          <w:tab w:val="left" w:pos="1176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</w:t>
      </w:r>
      <w:r w:rsidRPr="004930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točki III.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Odluke zadužuje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obrane.</w:t>
      </w:r>
    </w:p>
    <w:p w14:paraId="7BCBE455" w14:textId="77777777" w:rsidR="005D5C9D" w:rsidRPr="009639A4" w:rsidRDefault="00314850" w:rsidP="00F70E41">
      <w:pPr>
        <w:widowControl w:val="0"/>
        <w:tabs>
          <w:tab w:val="left" w:pos="1176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178D9" w:rsidRPr="004930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točki IV.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</w:t>
      </w:r>
      <w:r w:rsidR="00E178D9" w:rsidRPr="00E17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ove Odluke.</w:t>
      </w:r>
    </w:p>
    <w:sectPr w:rsidR="005D5C9D" w:rsidRPr="009639A4" w:rsidSect="00EE1368">
      <w:footerReference w:type="default" r:id="rId7"/>
      <w:pgSz w:w="11906" w:h="16838" w:code="9"/>
      <w:pgMar w:top="709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D4EC7" w14:textId="77777777" w:rsidR="00100CFA" w:rsidRDefault="00100CFA">
      <w:pPr>
        <w:spacing w:after="0" w:line="240" w:lineRule="auto"/>
      </w:pPr>
      <w:r>
        <w:separator/>
      </w:r>
    </w:p>
  </w:endnote>
  <w:endnote w:type="continuationSeparator" w:id="0">
    <w:p w14:paraId="4843F099" w14:textId="77777777" w:rsidR="00100CFA" w:rsidRDefault="0010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EF918" w14:textId="77777777" w:rsidR="00FB3C9B" w:rsidRDefault="00FB3C9B">
    <w:pPr>
      <w:pStyle w:val="Footer"/>
      <w:jc w:val="right"/>
    </w:pPr>
  </w:p>
  <w:p w14:paraId="7D46F56B" w14:textId="77777777" w:rsidR="00FB3C9B" w:rsidRPr="0077732B" w:rsidRDefault="00FB3C9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F2B3" w14:textId="77777777" w:rsidR="00100CFA" w:rsidRDefault="00100CFA">
      <w:pPr>
        <w:spacing w:after="0" w:line="240" w:lineRule="auto"/>
      </w:pPr>
      <w:r>
        <w:separator/>
      </w:r>
    </w:p>
  </w:footnote>
  <w:footnote w:type="continuationSeparator" w:id="0">
    <w:p w14:paraId="4B087500" w14:textId="77777777" w:rsidR="00100CFA" w:rsidRDefault="00100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DB"/>
    <w:rsid w:val="00032C9E"/>
    <w:rsid w:val="0007575C"/>
    <w:rsid w:val="00093004"/>
    <w:rsid w:val="000B784D"/>
    <w:rsid w:val="00100CFA"/>
    <w:rsid w:val="00180674"/>
    <w:rsid w:val="001A7489"/>
    <w:rsid w:val="001E41DA"/>
    <w:rsid w:val="001E5B1F"/>
    <w:rsid w:val="002300C8"/>
    <w:rsid w:val="002612BA"/>
    <w:rsid w:val="00265A25"/>
    <w:rsid w:val="002A5644"/>
    <w:rsid w:val="002B7C5C"/>
    <w:rsid w:val="00314850"/>
    <w:rsid w:val="00346129"/>
    <w:rsid w:val="003E4A01"/>
    <w:rsid w:val="0042095C"/>
    <w:rsid w:val="00461736"/>
    <w:rsid w:val="004930F1"/>
    <w:rsid w:val="0049470F"/>
    <w:rsid w:val="004B57A9"/>
    <w:rsid w:val="004D0E20"/>
    <w:rsid w:val="005040BC"/>
    <w:rsid w:val="00530C69"/>
    <w:rsid w:val="0058425C"/>
    <w:rsid w:val="005B43B3"/>
    <w:rsid w:val="005D5C9D"/>
    <w:rsid w:val="005F3917"/>
    <w:rsid w:val="005F655D"/>
    <w:rsid w:val="00682581"/>
    <w:rsid w:val="00713DCE"/>
    <w:rsid w:val="00722FEE"/>
    <w:rsid w:val="007949EF"/>
    <w:rsid w:val="0079665A"/>
    <w:rsid w:val="007A10B9"/>
    <w:rsid w:val="007E66B1"/>
    <w:rsid w:val="00832F53"/>
    <w:rsid w:val="008344B3"/>
    <w:rsid w:val="008611E3"/>
    <w:rsid w:val="008664A1"/>
    <w:rsid w:val="0088562C"/>
    <w:rsid w:val="00886A1A"/>
    <w:rsid w:val="008877B3"/>
    <w:rsid w:val="008E2667"/>
    <w:rsid w:val="00956DF5"/>
    <w:rsid w:val="009639A4"/>
    <w:rsid w:val="00973407"/>
    <w:rsid w:val="0099105B"/>
    <w:rsid w:val="009A56F4"/>
    <w:rsid w:val="009C2981"/>
    <w:rsid w:val="009C561A"/>
    <w:rsid w:val="00A30B0C"/>
    <w:rsid w:val="00A642A1"/>
    <w:rsid w:val="00A92F59"/>
    <w:rsid w:val="00AF5A33"/>
    <w:rsid w:val="00AF5EC8"/>
    <w:rsid w:val="00B22A29"/>
    <w:rsid w:val="00B265DB"/>
    <w:rsid w:val="00B32063"/>
    <w:rsid w:val="00B42489"/>
    <w:rsid w:val="00B42C64"/>
    <w:rsid w:val="00B44F2D"/>
    <w:rsid w:val="00B56E73"/>
    <w:rsid w:val="00BC11F6"/>
    <w:rsid w:val="00C3157A"/>
    <w:rsid w:val="00C80C07"/>
    <w:rsid w:val="00CC3B54"/>
    <w:rsid w:val="00D34049"/>
    <w:rsid w:val="00D85FC3"/>
    <w:rsid w:val="00D97726"/>
    <w:rsid w:val="00DC4829"/>
    <w:rsid w:val="00E140F8"/>
    <w:rsid w:val="00E178D9"/>
    <w:rsid w:val="00E272AF"/>
    <w:rsid w:val="00E32FF4"/>
    <w:rsid w:val="00EA1B49"/>
    <w:rsid w:val="00EA7F39"/>
    <w:rsid w:val="00EB103B"/>
    <w:rsid w:val="00EE1368"/>
    <w:rsid w:val="00F14A8C"/>
    <w:rsid w:val="00F70E41"/>
    <w:rsid w:val="00FB3C9B"/>
    <w:rsid w:val="00FB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003F"/>
  <w15:docId w15:val="{75FAF242-BFB9-49C9-B44D-03845A4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3C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B3C9B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3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PERIŠIĆ</dc:creator>
  <cp:lastModifiedBy>Senada Džafović</cp:lastModifiedBy>
  <cp:revision>8</cp:revision>
  <cp:lastPrinted>2025-12-01T10:49:00Z</cp:lastPrinted>
  <dcterms:created xsi:type="dcterms:W3CDTF">2025-12-01T12:08:00Z</dcterms:created>
  <dcterms:modified xsi:type="dcterms:W3CDTF">2025-12-03T10:14:00Z</dcterms:modified>
</cp:coreProperties>
</file>