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B0890D" w14:textId="77777777" w:rsidR="00F20534" w:rsidRDefault="00F20534" w:rsidP="009134F9">
      <w:pPr>
        <w:pStyle w:val="tb-na16"/>
        <w:spacing w:before="0" w:beforeAutospacing="0" w:after="0" w:afterAutospacing="0"/>
        <w:jc w:val="both"/>
      </w:pPr>
    </w:p>
    <w:p w14:paraId="0A6BE4C5" w14:textId="77777777" w:rsidR="00F20534" w:rsidRDefault="00F20534" w:rsidP="00F20534">
      <w:pPr>
        <w:pStyle w:val="Title"/>
        <w:jc w:val="center"/>
        <w:rPr>
          <w:rFonts w:ascii="Times New Roman" w:hAnsi="Times New Roman"/>
          <w:b/>
          <w:sz w:val="28"/>
          <w:szCs w:val="28"/>
          <w:lang w:val="hr-HR"/>
        </w:rPr>
      </w:pPr>
    </w:p>
    <w:p w14:paraId="683421F2" w14:textId="61EB1E00" w:rsidR="00F20534" w:rsidRPr="00BB0A2F" w:rsidRDefault="00F20534" w:rsidP="00F205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D6928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 wp14:anchorId="5F423804" wp14:editId="5C8E80AC">
            <wp:extent cx="504825" cy="685800"/>
            <wp:effectExtent l="0" t="0" r="9525" b="0"/>
            <wp:docPr id="922804727" name="Picture 1" descr="A red and white checkered shield with blue and red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A red and white checkered shield with blue and red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B0A2F">
        <w:rPr>
          <w:rFonts w:ascii="Times New Roman" w:eastAsia="Times New Roman" w:hAnsi="Times New Roman"/>
          <w:sz w:val="24"/>
          <w:szCs w:val="24"/>
        </w:rPr>
        <w:fldChar w:fldCharType="begin"/>
      </w:r>
      <w:r w:rsidRPr="00BB0A2F">
        <w:rPr>
          <w:rFonts w:ascii="Times New Roman" w:eastAsia="Times New Roman" w:hAnsi="Times New Roman"/>
          <w:sz w:val="24"/>
          <w:szCs w:val="24"/>
        </w:rPr>
        <w:instrText xml:space="preserve"> INCLUDEPICTURE "http://www.inet.hr/~box/images/grb-rh.gif" \* MERGEFORMATINET </w:instrText>
      </w:r>
      <w:r w:rsidRPr="00BB0A2F">
        <w:rPr>
          <w:rFonts w:ascii="Times New Roman" w:eastAsia="Times New Roman" w:hAnsi="Times New Roman"/>
          <w:sz w:val="24"/>
          <w:szCs w:val="24"/>
        </w:rPr>
        <w:fldChar w:fldCharType="end"/>
      </w:r>
    </w:p>
    <w:p w14:paraId="33072C96" w14:textId="77777777" w:rsidR="00F20534" w:rsidRPr="00BB0A2F" w:rsidRDefault="00F20534" w:rsidP="00F20534">
      <w:pPr>
        <w:spacing w:before="60" w:after="168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BB0A2F">
        <w:rPr>
          <w:rFonts w:ascii="Times New Roman" w:eastAsia="Times New Roman" w:hAnsi="Times New Roman"/>
          <w:sz w:val="24"/>
          <w:szCs w:val="24"/>
        </w:rPr>
        <w:t>VLADA REPUBLIKE HRVATSKE</w:t>
      </w:r>
    </w:p>
    <w:p w14:paraId="35465102" w14:textId="77011B45" w:rsidR="00F20534" w:rsidRDefault="00F20534" w:rsidP="00F20534">
      <w:pPr>
        <w:tabs>
          <w:tab w:val="right" w:pos="9070"/>
        </w:tabs>
        <w:spacing w:after="240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Zagreb,</w:t>
      </w:r>
      <w:r w:rsidR="008A21E1">
        <w:rPr>
          <w:rFonts w:ascii="Times New Roman" w:eastAsia="Times New Roman" w:hAnsi="Times New Roman"/>
          <w:sz w:val="24"/>
          <w:szCs w:val="24"/>
        </w:rPr>
        <w:t xml:space="preserve"> 4. prosinca</w:t>
      </w:r>
      <w:r>
        <w:rPr>
          <w:rFonts w:ascii="Times New Roman" w:eastAsia="Times New Roman" w:hAnsi="Times New Roman"/>
          <w:sz w:val="24"/>
          <w:szCs w:val="24"/>
        </w:rPr>
        <w:t xml:space="preserve"> 2025</w:t>
      </w:r>
      <w:r w:rsidRPr="00BB0A2F">
        <w:rPr>
          <w:rFonts w:ascii="Times New Roman" w:eastAsia="Times New Roman" w:hAnsi="Times New Roman"/>
          <w:sz w:val="24"/>
          <w:szCs w:val="24"/>
        </w:rPr>
        <w:t>.</w:t>
      </w:r>
    </w:p>
    <w:p w14:paraId="659E7D63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BB0A2F">
        <w:rPr>
          <w:rFonts w:ascii="Times New Roman" w:eastAsia="Times New Roman" w:hAnsi="Times New Roman"/>
          <w:b/>
          <w:sz w:val="24"/>
          <w:szCs w:val="24"/>
        </w:rPr>
        <w:t>PREDLAGATELJ:</w:t>
      </w:r>
      <w:r w:rsidRPr="00BB0A2F">
        <w:rPr>
          <w:rFonts w:ascii="Times New Roman" w:eastAsia="Times New Roman" w:hAnsi="Times New Roman"/>
          <w:b/>
          <w:sz w:val="24"/>
          <w:szCs w:val="24"/>
        </w:rPr>
        <w:tab/>
      </w:r>
      <w:r w:rsidRPr="00BB0A2F">
        <w:rPr>
          <w:rFonts w:ascii="Times New Roman" w:eastAsia="Times New Roman" w:hAnsi="Times New Roman"/>
          <w:sz w:val="24"/>
          <w:szCs w:val="24"/>
        </w:rPr>
        <w:t xml:space="preserve">Ministarstvo gospodarstva </w:t>
      </w:r>
    </w:p>
    <w:p w14:paraId="0C3D19A2" w14:textId="77777777" w:rsidR="00F20534" w:rsidRPr="00BB0A2F" w:rsidRDefault="00F20534" w:rsidP="00F2053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F0D0716" w14:textId="77777777" w:rsidR="00F20534" w:rsidRPr="00BB0A2F" w:rsidRDefault="00F20534" w:rsidP="00F20534">
      <w:pPr>
        <w:spacing w:after="0" w:line="240" w:lineRule="auto"/>
        <w:ind w:left="2124" w:hanging="1416"/>
        <w:rPr>
          <w:rFonts w:ascii="Times New Roman" w:eastAsia="Times New Roman" w:hAnsi="Times New Roman"/>
          <w:b/>
          <w:sz w:val="24"/>
          <w:szCs w:val="24"/>
        </w:rPr>
      </w:pPr>
    </w:p>
    <w:p w14:paraId="51D5A96A" w14:textId="270D7729" w:rsidR="00F20534" w:rsidRPr="00074E43" w:rsidRDefault="00F20534" w:rsidP="00F20534">
      <w:pPr>
        <w:spacing w:after="0"/>
        <w:ind w:left="1276" w:hanging="1276"/>
        <w:jc w:val="both"/>
        <w:rPr>
          <w:rFonts w:ascii="Times New Roman" w:eastAsia="Times New Roman" w:hAnsi="Times New Roman"/>
          <w:sz w:val="24"/>
          <w:szCs w:val="24"/>
        </w:rPr>
      </w:pPr>
      <w:r w:rsidRPr="00BB0A2F">
        <w:rPr>
          <w:rFonts w:ascii="Times New Roman" w:eastAsia="Times New Roman" w:hAnsi="Times New Roman"/>
          <w:b/>
          <w:sz w:val="24"/>
          <w:szCs w:val="24"/>
        </w:rPr>
        <w:t>PREDMET: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Prijedlog uredbe o izmjenama i dopunama Uredbe o poticanju ulaganja</w:t>
      </w:r>
    </w:p>
    <w:p w14:paraId="0CD119DC" w14:textId="77777777" w:rsidR="00F20534" w:rsidRPr="00BB0A2F" w:rsidRDefault="00F20534" w:rsidP="00F20534">
      <w:pPr>
        <w:spacing w:after="0"/>
        <w:ind w:left="1276" w:hanging="127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CD9B1F0" w14:textId="77777777" w:rsidR="00F20534" w:rsidRPr="00BB0A2F" w:rsidRDefault="00F20534" w:rsidP="00F20534">
      <w:pPr>
        <w:pBdr>
          <w:bottom w:val="single" w:sz="4" w:space="1" w:color="auto"/>
        </w:pBd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8C13AF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6DC1610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54473675" w14:textId="77777777" w:rsidR="00F20534" w:rsidRDefault="00F20534" w:rsidP="00F20534">
      <w:pPr>
        <w:tabs>
          <w:tab w:val="right" w:pos="9070"/>
        </w:tabs>
        <w:spacing w:after="240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4B010DC1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2798A7F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C2D466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C5B119E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71A97D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D1507BB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AD68261" w14:textId="77777777" w:rsidR="00F20534" w:rsidRPr="00D05FEB" w:rsidRDefault="00F20534" w:rsidP="00F2053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/>
          <w:spacing w:val="20"/>
        </w:rPr>
      </w:pPr>
      <w:r w:rsidRPr="00BB0A2F">
        <w:rPr>
          <w:rFonts w:ascii="Times New Roman" w:eastAsia="Times New Roman" w:hAnsi="Times New Roman"/>
          <w:color w:val="404040"/>
          <w:spacing w:val="20"/>
        </w:rPr>
        <w:t>Banski dvori | Trg Sv. Marka 2  | 10000 Zagreb | tel. 01 4569 222 | vlada.gov.hr</w:t>
      </w:r>
    </w:p>
    <w:p w14:paraId="40306E7F" w14:textId="77777777" w:rsidR="00F20534" w:rsidRPr="00D05FEB" w:rsidRDefault="00F20534" w:rsidP="00F20534">
      <w:pPr>
        <w:pBdr>
          <w:top w:val="single" w:sz="4" w:space="1" w:color="404040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/>
          <w:color w:val="404040"/>
          <w:spacing w:val="20"/>
        </w:rPr>
      </w:pPr>
      <w:r w:rsidRPr="00BB0A2F">
        <w:rPr>
          <w:rFonts w:ascii="Times New Roman" w:eastAsia="Times New Roman" w:hAnsi="Times New Roman"/>
          <w:color w:val="404040"/>
          <w:spacing w:val="20"/>
        </w:rPr>
        <w:t>g Sv. Marka 2  | 10000 Zagreb | tel. 01 4569 222 | vlada.gov.hr</w:t>
      </w:r>
    </w:p>
    <w:p w14:paraId="50ECE4EC" w14:textId="77777777" w:rsidR="00A16539" w:rsidRDefault="00A16539" w:rsidP="00F205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1D0BC313" w14:textId="78C8F85C" w:rsidR="00F20534" w:rsidRPr="00982A22" w:rsidRDefault="00F20534" w:rsidP="00F2053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82A22">
        <w:rPr>
          <w:rFonts w:ascii="Times New Roman" w:eastAsia="Times New Roman" w:hAnsi="Times New Roman"/>
          <w:b/>
          <w:sz w:val="24"/>
          <w:szCs w:val="24"/>
        </w:rPr>
        <w:t>VLADA REPUBLIKE HRVATSKE</w:t>
      </w:r>
    </w:p>
    <w:p w14:paraId="67476792" w14:textId="77777777" w:rsidR="00F20534" w:rsidRPr="00BB0A2F" w:rsidRDefault="00F20534" w:rsidP="00F205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14:paraId="395D4AAB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B065AE9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DDA7FD9" w14:textId="77777777" w:rsidR="00F20534" w:rsidRPr="00BB0A2F" w:rsidRDefault="00F20534" w:rsidP="00F20534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BB0A2F">
        <w:rPr>
          <w:rFonts w:ascii="Times New Roman" w:eastAsia="Times New Roman" w:hAnsi="Times New Roman"/>
          <w:sz w:val="24"/>
          <w:szCs w:val="24"/>
        </w:rPr>
        <w:t>NACRT</w:t>
      </w:r>
    </w:p>
    <w:p w14:paraId="5267948D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BAD490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C79955F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F64170E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D5611B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DFB2DBD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81678D6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268707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E16F6D9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208E4D5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A3F9EEA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C04130" w14:textId="77777777" w:rsidR="00F20534" w:rsidRDefault="00F20534" w:rsidP="00F2053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32A3D847" w14:textId="36257FC1" w:rsidR="00F20534" w:rsidRPr="00F20534" w:rsidRDefault="00F20534" w:rsidP="00F2053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20534">
        <w:rPr>
          <w:rFonts w:ascii="Times New Roman" w:hAnsi="Times New Roman"/>
          <w:b/>
          <w:bCs/>
          <w:sz w:val="24"/>
          <w:szCs w:val="24"/>
        </w:rPr>
        <w:t>UREDB</w:t>
      </w:r>
      <w:r>
        <w:rPr>
          <w:rFonts w:ascii="Times New Roman" w:hAnsi="Times New Roman"/>
          <w:b/>
          <w:bCs/>
          <w:sz w:val="24"/>
          <w:szCs w:val="24"/>
        </w:rPr>
        <w:t>A</w:t>
      </w:r>
      <w:r w:rsidRPr="00F20534">
        <w:rPr>
          <w:rFonts w:ascii="Times New Roman" w:hAnsi="Times New Roman"/>
          <w:b/>
          <w:bCs/>
          <w:sz w:val="24"/>
          <w:szCs w:val="24"/>
        </w:rPr>
        <w:t xml:space="preserve"> O IZMJENAMA I DOPUNAMA UREDBE </w:t>
      </w:r>
    </w:p>
    <w:p w14:paraId="015D9948" w14:textId="52ACF0B0" w:rsidR="00F20534" w:rsidRPr="00BB0A2F" w:rsidRDefault="00F20534" w:rsidP="00F205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F20534">
        <w:rPr>
          <w:rFonts w:ascii="Times New Roman" w:hAnsi="Times New Roman"/>
          <w:b/>
          <w:bCs/>
          <w:sz w:val="24"/>
          <w:szCs w:val="24"/>
        </w:rPr>
        <w:t>O POTICANJU ULAGANJA</w:t>
      </w:r>
    </w:p>
    <w:p w14:paraId="7ECE1926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3A7B746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42ED02C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2F4F65C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A9C011C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DE37944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AB02DB3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3D5F993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D47C87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5CBA3842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F0D277F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66B12613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350E9952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C1CA048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413D9431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726AF1D1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BCBCCD9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47E664B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0270D56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153757AA" w14:textId="77777777" w:rsidR="00F20534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72AC9D0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0F8CD4C2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14:paraId="28CABFB0" w14:textId="77777777" w:rsidR="00F20534" w:rsidRPr="00BB0A2F" w:rsidRDefault="00F20534" w:rsidP="00F2053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BB0A2F">
        <w:rPr>
          <w:rFonts w:ascii="Times New Roman" w:eastAsia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</w:t>
      </w:r>
    </w:p>
    <w:p w14:paraId="08304E17" w14:textId="64AB5AF8" w:rsidR="00F20534" w:rsidRPr="00F20534" w:rsidRDefault="00F20534" w:rsidP="00F2053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Zagreb,         2025</w:t>
      </w:r>
      <w:r w:rsidRPr="00BB0A2F">
        <w:rPr>
          <w:rFonts w:ascii="Times New Roman" w:eastAsia="Times New Roman" w:hAnsi="Times New Roman"/>
          <w:b/>
          <w:sz w:val="24"/>
          <w:szCs w:val="24"/>
        </w:rPr>
        <w:t>.</w:t>
      </w:r>
    </w:p>
    <w:p w14:paraId="24A94A78" w14:textId="77777777" w:rsidR="00F20534" w:rsidRDefault="00F20534" w:rsidP="009134F9">
      <w:pPr>
        <w:pStyle w:val="tb-na16"/>
        <w:spacing w:before="0" w:beforeAutospacing="0" w:after="0" w:afterAutospacing="0"/>
        <w:jc w:val="both"/>
      </w:pPr>
    </w:p>
    <w:p w14:paraId="7F711D8D" w14:textId="77777777" w:rsidR="00F20534" w:rsidRDefault="00F20534" w:rsidP="009134F9">
      <w:pPr>
        <w:pStyle w:val="tb-na16"/>
        <w:spacing w:before="0" w:beforeAutospacing="0" w:after="0" w:afterAutospacing="0"/>
        <w:jc w:val="both"/>
      </w:pPr>
    </w:p>
    <w:p w14:paraId="3AADBFD9" w14:textId="77777777" w:rsidR="00F20534" w:rsidRDefault="00F20534" w:rsidP="009134F9">
      <w:pPr>
        <w:pStyle w:val="tb-na16"/>
        <w:spacing w:before="0" w:beforeAutospacing="0" w:after="0" w:afterAutospacing="0"/>
        <w:jc w:val="both"/>
      </w:pPr>
    </w:p>
    <w:p w14:paraId="0F379E57" w14:textId="77777777" w:rsidR="00F20534" w:rsidRDefault="00F20534" w:rsidP="009134F9">
      <w:pPr>
        <w:pStyle w:val="tb-na16"/>
        <w:spacing w:before="0" w:beforeAutospacing="0" w:after="0" w:afterAutospacing="0"/>
        <w:jc w:val="both"/>
      </w:pPr>
    </w:p>
    <w:p w14:paraId="48232C1D" w14:textId="77777777" w:rsidR="00570D0A" w:rsidRDefault="00570D0A" w:rsidP="009134F9">
      <w:pPr>
        <w:pStyle w:val="tb-na16"/>
        <w:spacing w:before="0" w:beforeAutospacing="0" w:after="0" w:afterAutospacing="0"/>
        <w:jc w:val="both"/>
      </w:pPr>
    </w:p>
    <w:p w14:paraId="6B41FD2B" w14:textId="77777777" w:rsidR="00570D0A" w:rsidRDefault="00570D0A" w:rsidP="009134F9">
      <w:pPr>
        <w:pStyle w:val="tb-na16"/>
        <w:spacing w:before="0" w:beforeAutospacing="0" w:after="0" w:afterAutospacing="0"/>
        <w:jc w:val="both"/>
      </w:pPr>
    </w:p>
    <w:p w14:paraId="5094AECB" w14:textId="08602397" w:rsidR="008B69AB" w:rsidRPr="00E80BAE" w:rsidRDefault="00852F4A" w:rsidP="009134F9">
      <w:pPr>
        <w:pStyle w:val="tb-na16"/>
        <w:spacing w:before="0" w:beforeAutospacing="0" w:after="0" w:afterAutospacing="0"/>
        <w:jc w:val="both"/>
        <w:rPr>
          <w:b/>
        </w:rPr>
      </w:pPr>
      <w:r w:rsidRPr="00E80BAE">
        <w:t xml:space="preserve">Na temelju članka </w:t>
      </w:r>
      <w:r w:rsidR="00054201" w:rsidRPr="00E80BAE">
        <w:t>1</w:t>
      </w:r>
      <w:r w:rsidR="001D6C73">
        <w:t>4</w:t>
      </w:r>
      <w:r w:rsidR="00BE039D">
        <w:t>.</w:t>
      </w:r>
      <w:r w:rsidR="001D6C73">
        <w:t xml:space="preserve"> </w:t>
      </w:r>
      <w:r w:rsidR="00BE039D">
        <w:t>stavk</w:t>
      </w:r>
      <w:r w:rsidR="00482BE8">
        <w:t>a</w:t>
      </w:r>
      <w:r w:rsidR="00BE039D">
        <w:t xml:space="preserve"> 6., članka 19. stavk</w:t>
      </w:r>
      <w:r w:rsidR="00482BE8">
        <w:t>a</w:t>
      </w:r>
      <w:r w:rsidR="00BE039D">
        <w:t xml:space="preserve"> 10. i članka 22. stavka </w:t>
      </w:r>
      <w:r w:rsidR="001D6C73">
        <w:t>7</w:t>
      </w:r>
      <w:r w:rsidR="00054201" w:rsidRPr="00E80BAE">
        <w:t xml:space="preserve">. Zakona </w:t>
      </w:r>
      <w:r w:rsidR="00557D4B">
        <w:t xml:space="preserve"> </w:t>
      </w:r>
      <w:r w:rsidR="00DD026C">
        <w:t xml:space="preserve">o </w:t>
      </w:r>
      <w:r w:rsidR="00054201" w:rsidRPr="00E80BAE">
        <w:t xml:space="preserve">poticanju ulaganja (»Narodne novine«, </w:t>
      </w:r>
      <w:r w:rsidR="0075692E">
        <w:t xml:space="preserve">broj </w:t>
      </w:r>
      <w:r w:rsidR="001D6C73">
        <w:t>6</w:t>
      </w:r>
      <w:r w:rsidR="009B0461">
        <w:t>3</w:t>
      </w:r>
      <w:r w:rsidR="001D6C73">
        <w:t xml:space="preserve">/22 </w:t>
      </w:r>
      <w:r w:rsidR="00482BE8">
        <w:t>i</w:t>
      </w:r>
      <w:r w:rsidR="001D6C73">
        <w:t xml:space="preserve"> </w:t>
      </w:r>
      <w:r w:rsidR="00DD026C">
        <w:t>1</w:t>
      </w:r>
      <w:r w:rsidR="009A53DF" w:rsidRPr="00E80BAE">
        <w:t>3</w:t>
      </w:r>
      <w:r w:rsidR="00DD026C">
        <w:t>6</w:t>
      </w:r>
      <w:r w:rsidR="00054201" w:rsidRPr="00E80BAE">
        <w:t>/2</w:t>
      </w:r>
      <w:r w:rsidR="00DD026C">
        <w:t>4</w:t>
      </w:r>
      <w:r w:rsidR="0075692E">
        <w:t>.)</w:t>
      </w:r>
      <w:r w:rsidR="00DC35D9">
        <w:t xml:space="preserve"> </w:t>
      </w:r>
      <w:r w:rsidRPr="00E80BAE">
        <w:t>Vlada Republike Hrvatske je na sjednici održanoj …….. 20</w:t>
      </w:r>
      <w:r w:rsidR="007111C9" w:rsidRPr="00E80BAE">
        <w:t>2</w:t>
      </w:r>
      <w:r w:rsidR="009A53DF" w:rsidRPr="00E80BAE">
        <w:t>5</w:t>
      </w:r>
      <w:r w:rsidRPr="00E80BAE">
        <w:t xml:space="preserve">. </w:t>
      </w:r>
      <w:r w:rsidR="0075692E">
        <w:t xml:space="preserve">godine </w:t>
      </w:r>
      <w:r w:rsidRPr="00E80BAE">
        <w:t>donijela</w:t>
      </w:r>
    </w:p>
    <w:p w14:paraId="7EFF5440" w14:textId="77777777" w:rsidR="008A23C3" w:rsidRPr="00E80BAE" w:rsidRDefault="008A23C3" w:rsidP="009134F9">
      <w:pPr>
        <w:pStyle w:val="tb-na16"/>
        <w:spacing w:before="0" w:beforeAutospacing="0" w:after="0" w:afterAutospacing="0"/>
        <w:jc w:val="center"/>
        <w:rPr>
          <w:b/>
        </w:rPr>
      </w:pPr>
    </w:p>
    <w:p w14:paraId="1CA7EEA8" w14:textId="77777777" w:rsidR="00F20534" w:rsidRDefault="00F20534" w:rsidP="009134F9">
      <w:pPr>
        <w:pStyle w:val="tb-na16"/>
        <w:spacing w:before="0" w:beforeAutospacing="0" w:after="0" w:afterAutospacing="0"/>
        <w:jc w:val="center"/>
        <w:rPr>
          <w:b/>
        </w:rPr>
      </w:pPr>
    </w:p>
    <w:p w14:paraId="24B25F64" w14:textId="77777777" w:rsidR="00F20534" w:rsidRDefault="00F20534" w:rsidP="009134F9">
      <w:pPr>
        <w:pStyle w:val="tb-na16"/>
        <w:spacing w:before="0" w:beforeAutospacing="0" w:after="0" w:afterAutospacing="0"/>
        <w:jc w:val="center"/>
        <w:rPr>
          <w:b/>
        </w:rPr>
      </w:pPr>
    </w:p>
    <w:p w14:paraId="4137DC12" w14:textId="717B5D2C" w:rsidR="00852F4A" w:rsidRPr="00E80BAE" w:rsidRDefault="00852F4A" w:rsidP="009134F9">
      <w:pPr>
        <w:pStyle w:val="tb-na16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UREDBU</w:t>
      </w:r>
      <w:r w:rsidR="00065997" w:rsidRPr="00E80BAE">
        <w:rPr>
          <w:b/>
        </w:rPr>
        <w:t xml:space="preserve"> O IZMJENAMA I DOPUN</w:t>
      </w:r>
      <w:r w:rsidR="001E645E">
        <w:rPr>
          <w:b/>
        </w:rPr>
        <w:t>AMA</w:t>
      </w:r>
      <w:r w:rsidR="00065997" w:rsidRPr="00E80BAE">
        <w:rPr>
          <w:b/>
        </w:rPr>
        <w:t xml:space="preserve"> UREDBE </w:t>
      </w:r>
    </w:p>
    <w:p w14:paraId="17026E7E" w14:textId="1CC295B3" w:rsidR="00852F4A" w:rsidRPr="00E80BAE" w:rsidRDefault="00852F4A" w:rsidP="009134F9">
      <w:pPr>
        <w:pStyle w:val="t-12-9-fett-s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 xml:space="preserve">O POTICANJU ULAGANJA </w:t>
      </w:r>
    </w:p>
    <w:p w14:paraId="2DCA3F07" w14:textId="77777777" w:rsidR="008A23C3" w:rsidRPr="00E80BAE" w:rsidRDefault="008A23C3" w:rsidP="009134F9">
      <w:pPr>
        <w:pStyle w:val="clanak-"/>
        <w:spacing w:before="0" w:beforeAutospacing="0" w:after="0" w:afterAutospacing="0"/>
        <w:jc w:val="center"/>
        <w:rPr>
          <w:b/>
        </w:rPr>
      </w:pPr>
    </w:p>
    <w:p w14:paraId="12B51478" w14:textId="24500B32" w:rsidR="00852F4A" w:rsidRPr="00E80BAE" w:rsidRDefault="00852F4A" w:rsidP="009134F9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Članak 1.</w:t>
      </w:r>
    </w:p>
    <w:p w14:paraId="00380FFB" w14:textId="77777777" w:rsidR="00DB5C32" w:rsidRDefault="00DB5C32" w:rsidP="009134F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14:paraId="2E2B44C3" w14:textId="63BA616A" w:rsidR="004901F0" w:rsidRPr="00E80BAE" w:rsidRDefault="004901F0" w:rsidP="009134F9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E80B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U </w:t>
      </w:r>
      <w:r w:rsidR="001E645E">
        <w:rPr>
          <w:rFonts w:ascii="Times New Roman" w:eastAsiaTheme="minorHAnsi" w:hAnsi="Times New Roman" w:cs="Times New Roman"/>
          <w:sz w:val="24"/>
          <w:szCs w:val="24"/>
          <w:lang w:eastAsia="en-US"/>
        </w:rPr>
        <w:t>U</w:t>
      </w:r>
      <w:r w:rsidRPr="00E80B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redbi o poticanju ulaganja („Narodne novine“, broj </w:t>
      </w:r>
      <w:r w:rsidR="00DD026C">
        <w:rPr>
          <w:rFonts w:ascii="Times New Roman" w:eastAsiaTheme="minorHAnsi" w:hAnsi="Times New Roman" w:cs="Times New Roman"/>
          <w:sz w:val="24"/>
          <w:szCs w:val="24"/>
          <w:lang w:eastAsia="en-US"/>
        </w:rPr>
        <w:t>156</w:t>
      </w:r>
      <w:r w:rsidR="009A53DF" w:rsidRPr="00E80BAE">
        <w:rPr>
          <w:rFonts w:ascii="Times New Roman" w:eastAsiaTheme="minorHAnsi" w:hAnsi="Times New Roman" w:cs="Times New Roman"/>
          <w:sz w:val="24"/>
          <w:szCs w:val="24"/>
          <w:lang w:eastAsia="en-US"/>
        </w:rPr>
        <w:t>/22</w:t>
      </w:r>
      <w:r w:rsidR="001E645E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  <w:r w:rsidRPr="00E80BAE">
        <w:rPr>
          <w:rFonts w:ascii="Times New Roman" w:eastAsiaTheme="minorHAnsi" w:hAnsi="Times New Roman" w:cs="Times New Roman"/>
          <w:sz w:val="24"/>
          <w:szCs w:val="24"/>
          <w:lang w:eastAsia="en-US"/>
        </w:rPr>
        <w:t>) članak 1. stavak 1. mijenja se i glasi</w:t>
      </w:r>
      <w:r w:rsidR="00DD026C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14:paraId="5FC8C222" w14:textId="77777777" w:rsidR="009134F9" w:rsidRDefault="009134F9" w:rsidP="009134F9">
      <w:pPr>
        <w:pStyle w:val="t-9-8"/>
        <w:spacing w:before="0" w:beforeAutospacing="0" w:after="0" w:afterAutospacing="0"/>
        <w:jc w:val="both"/>
        <w:rPr>
          <w:rFonts w:eastAsiaTheme="minorHAnsi"/>
          <w:lang w:eastAsia="en-US"/>
        </w:rPr>
      </w:pPr>
    </w:p>
    <w:p w14:paraId="25DA6C4A" w14:textId="79EBA292" w:rsidR="004901F0" w:rsidRPr="00E80BAE" w:rsidRDefault="00292024" w:rsidP="009134F9">
      <w:pPr>
        <w:pStyle w:val="t-9-8"/>
        <w:spacing w:before="0" w:beforeAutospacing="0" w:after="0" w:afterAutospacing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„</w:t>
      </w:r>
      <w:r w:rsidR="004901F0" w:rsidRPr="00E80BAE">
        <w:rPr>
          <w:rFonts w:eastAsiaTheme="minorHAnsi"/>
          <w:lang w:eastAsia="en-US"/>
        </w:rPr>
        <w:t xml:space="preserve">(1) Ovom Uredbom osigurava se provedba </w:t>
      </w:r>
      <w:r w:rsidR="00A7354E" w:rsidRPr="00E80BAE">
        <w:rPr>
          <w:rFonts w:eastAsiaTheme="minorHAnsi"/>
          <w:lang w:eastAsia="en-US"/>
        </w:rPr>
        <w:t>Zakona o poticanju ulaganja (</w:t>
      </w:r>
      <w:r w:rsidR="00596811">
        <w:rPr>
          <w:rFonts w:eastAsiaTheme="minorHAnsi"/>
          <w:lang w:eastAsia="en-US"/>
        </w:rPr>
        <w:t>„</w:t>
      </w:r>
      <w:r w:rsidR="00A7354E" w:rsidRPr="00E80BAE">
        <w:rPr>
          <w:rFonts w:eastAsiaTheme="minorHAnsi"/>
          <w:lang w:eastAsia="en-US"/>
        </w:rPr>
        <w:t>Narodne novine</w:t>
      </w:r>
      <w:r w:rsidR="00596811">
        <w:rPr>
          <w:rFonts w:eastAsiaTheme="minorHAnsi"/>
          <w:lang w:eastAsia="en-US"/>
        </w:rPr>
        <w:t>“</w:t>
      </w:r>
      <w:r w:rsidR="00A7354E" w:rsidRPr="00E80BAE">
        <w:rPr>
          <w:rFonts w:eastAsiaTheme="minorHAnsi"/>
          <w:lang w:eastAsia="en-US"/>
        </w:rPr>
        <w:t>, broj 63/22</w:t>
      </w:r>
      <w:r w:rsidR="001E645E">
        <w:rPr>
          <w:rFonts w:eastAsiaTheme="minorHAnsi"/>
          <w:lang w:eastAsia="en-US"/>
        </w:rPr>
        <w:t>.</w:t>
      </w:r>
      <w:r w:rsidR="00A7354E" w:rsidRPr="00E80BAE">
        <w:rPr>
          <w:rFonts w:eastAsiaTheme="minorHAnsi"/>
          <w:lang w:eastAsia="en-US"/>
        </w:rPr>
        <w:t xml:space="preserve">) usklađenog s </w:t>
      </w:r>
      <w:r w:rsidR="004901F0" w:rsidRPr="00E80BAE">
        <w:rPr>
          <w:rFonts w:eastAsiaTheme="minorHAnsi"/>
          <w:lang w:eastAsia="en-US"/>
        </w:rPr>
        <w:t>Uredb</w:t>
      </w:r>
      <w:r w:rsidR="00A7354E" w:rsidRPr="00E80BAE">
        <w:rPr>
          <w:rFonts w:eastAsiaTheme="minorHAnsi"/>
          <w:lang w:eastAsia="en-US"/>
        </w:rPr>
        <w:t>om</w:t>
      </w:r>
      <w:r w:rsidR="004901F0" w:rsidRPr="00E80BAE">
        <w:rPr>
          <w:rFonts w:eastAsiaTheme="minorHAnsi"/>
          <w:lang w:eastAsia="en-US"/>
        </w:rPr>
        <w:t xml:space="preserve"> Komisije (EU) br. 651/2014 od 17. lipnja 2014. o ocjenjivanju određenih kategorija potpora spojivima s unutarnjim tržištem u primjeni članaka 107. i 108. Ugovora (SL L 187, 26.6.2014.)</w:t>
      </w:r>
      <w:r w:rsidR="00D6257C" w:rsidRPr="00E80BAE">
        <w:rPr>
          <w:rFonts w:eastAsiaTheme="minorHAnsi"/>
          <w:lang w:eastAsia="en-US"/>
        </w:rPr>
        <w:t xml:space="preserve"> </w:t>
      </w:r>
      <w:r w:rsidR="004901F0" w:rsidRPr="00E80BAE">
        <w:rPr>
          <w:rFonts w:eastAsiaTheme="minorHAnsi"/>
          <w:lang w:eastAsia="en-US"/>
        </w:rPr>
        <w:t>kako je posljedn</w:t>
      </w:r>
      <w:r w:rsidR="00D6257C" w:rsidRPr="00E80BAE">
        <w:rPr>
          <w:rFonts w:eastAsiaTheme="minorHAnsi"/>
          <w:lang w:eastAsia="en-US"/>
        </w:rPr>
        <w:t>j</w:t>
      </w:r>
      <w:r w:rsidR="004901F0" w:rsidRPr="00E80BAE">
        <w:rPr>
          <w:rFonts w:eastAsiaTheme="minorHAnsi"/>
          <w:lang w:eastAsia="en-US"/>
        </w:rPr>
        <w:t>i put izm</w:t>
      </w:r>
      <w:r w:rsidR="00D6257C" w:rsidRPr="00E80BAE">
        <w:rPr>
          <w:rFonts w:eastAsiaTheme="minorHAnsi"/>
          <w:lang w:eastAsia="en-US"/>
        </w:rPr>
        <w:t>i</w:t>
      </w:r>
      <w:r w:rsidR="004901F0" w:rsidRPr="00E80BAE">
        <w:rPr>
          <w:rFonts w:eastAsiaTheme="minorHAnsi"/>
          <w:lang w:eastAsia="en-US"/>
        </w:rPr>
        <w:t>jenjena Uredbom Kom</w:t>
      </w:r>
      <w:r w:rsidR="00D6257C" w:rsidRPr="00E80BAE">
        <w:rPr>
          <w:rFonts w:eastAsiaTheme="minorHAnsi"/>
          <w:lang w:eastAsia="en-US"/>
        </w:rPr>
        <w:t>i</w:t>
      </w:r>
      <w:r w:rsidR="004901F0" w:rsidRPr="00E80BAE">
        <w:rPr>
          <w:rFonts w:eastAsiaTheme="minorHAnsi"/>
          <w:lang w:eastAsia="en-US"/>
        </w:rPr>
        <w:t>sije (EU) 202</w:t>
      </w:r>
      <w:r w:rsidR="009A53DF" w:rsidRPr="00E80BAE">
        <w:rPr>
          <w:rFonts w:eastAsiaTheme="minorHAnsi"/>
          <w:lang w:eastAsia="en-US"/>
        </w:rPr>
        <w:t>3</w:t>
      </w:r>
      <w:r w:rsidR="004901F0" w:rsidRPr="00E80BAE">
        <w:rPr>
          <w:rFonts w:eastAsiaTheme="minorHAnsi"/>
          <w:lang w:eastAsia="en-US"/>
        </w:rPr>
        <w:t>/</w:t>
      </w:r>
      <w:r w:rsidR="009A53DF" w:rsidRPr="00E80BAE">
        <w:rPr>
          <w:rFonts w:eastAsiaTheme="minorHAnsi"/>
          <w:lang w:eastAsia="en-US"/>
        </w:rPr>
        <w:t>1315</w:t>
      </w:r>
      <w:r w:rsidR="004901F0" w:rsidRPr="00E80BAE">
        <w:rPr>
          <w:rFonts w:eastAsiaTheme="minorHAnsi"/>
          <w:lang w:eastAsia="en-US"/>
        </w:rPr>
        <w:t xml:space="preserve">. </w:t>
      </w:r>
      <w:r w:rsidR="00D6257C" w:rsidRPr="00E80BAE">
        <w:rPr>
          <w:rFonts w:eastAsiaTheme="minorHAnsi"/>
          <w:lang w:eastAsia="en-US"/>
        </w:rPr>
        <w:t xml:space="preserve">od </w:t>
      </w:r>
      <w:r w:rsidR="009A53DF" w:rsidRPr="00E80BAE">
        <w:rPr>
          <w:rFonts w:eastAsiaTheme="minorHAnsi"/>
          <w:lang w:eastAsia="en-US"/>
        </w:rPr>
        <w:t>23. lipn</w:t>
      </w:r>
      <w:r w:rsidR="00D6257C" w:rsidRPr="00E80BAE">
        <w:rPr>
          <w:rFonts w:eastAsiaTheme="minorHAnsi"/>
          <w:lang w:eastAsia="en-US"/>
        </w:rPr>
        <w:t>ja 202</w:t>
      </w:r>
      <w:r w:rsidR="009A53DF" w:rsidRPr="00E80BAE">
        <w:rPr>
          <w:rFonts w:eastAsiaTheme="minorHAnsi"/>
          <w:lang w:eastAsia="en-US"/>
        </w:rPr>
        <w:t>3</w:t>
      </w:r>
      <w:r w:rsidR="00D6257C" w:rsidRPr="00E80BAE">
        <w:rPr>
          <w:rFonts w:eastAsiaTheme="minorHAnsi"/>
          <w:lang w:eastAsia="en-US"/>
        </w:rPr>
        <w:t xml:space="preserve">. </w:t>
      </w:r>
      <w:r w:rsidR="004901F0" w:rsidRPr="00E80BAE">
        <w:rPr>
          <w:rFonts w:eastAsiaTheme="minorHAnsi"/>
          <w:lang w:eastAsia="en-US"/>
        </w:rPr>
        <w:t xml:space="preserve">o izmjeni Uredbe </w:t>
      </w:r>
      <w:r w:rsidR="009A53DF" w:rsidRPr="00E80BAE">
        <w:rPr>
          <w:rFonts w:eastAsiaTheme="minorHAnsi"/>
          <w:lang w:eastAsia="en-US"/>
        </w:rPr>
        <w:t xml:space="preserve">Komisije </w:t>
      </w:r>
      <w:r w:rsidR="004901F0" w:rsidRPr="00E80BAE">
        <w:rPr>
          <w:rFonts w:eastAsiaTheme="minorHAnsi"/>
          <w:lang w:eastAsia="en-US"/>
        </w:rPr>
        <w:t xml:space="preserve">(EU) br. </w:t>
      </w:r>
      <w:r w:rsidR="009A53DF" w:rsidRPr="00E80BAE">
        <w:t>651/2014 o ocjenjivanju određenih kategorija spojivima s unutarnjim tržištem u primjeni članka 107. i 108. Ugovora (Tekst značajan za EGP) (SL L 167, 30. 6. 2023.)</w:t>
      </w:r>
      <w:r w:rsidR="004901F0" w:rsidRPr="00E80BAE">
        <w:rPr>
          <w:rFonts w:eastAsiaTheme="minorHAnsi"/>
          <w:lang w:eastAsia="en-US"/>
        </w:rPr>
        <w:t>.</w:t>
      </w:r>
      <w:r w:rsidR="00DD026C">
        <w:rPr>
          <w:rFonts w:eastAsiaTheme="minorHAnsi"/>
          <w:lang w:eastAsia="en-US"/>
        </w:rPr>
        <w:t>“</w:t>
      </w:r>
      <w:r w:rsidR="00F81F3C">
        <w:rPr>
          <w:rFonts w:eastAsiaTheme="minorHAnsi"/>
          <w:lang w:eastAsia="en-US"/>
        </w:rPr>
        <w:t>.</w:t>
      </w:r>
    </w:p>
    <w:p w14:paraId="42A93CA6" w14:textId="77777777" w:rsidR="008A23C3" w:rsidRPr="00E80BAE" w:rsidRDefault="008A23C3" w:rsidP="009134F9">
      <w:pPr>
        <w:pStyle w:val="clanak-"/>
        <w:spacing w:before="0" w:beforeAutospacing="0" w:after="0" w:afterAutospacing="0"/>
        <w:jc w:val="center"/>
        <w:rPr>
          <w:b/>
        </w:rPr>
      </w:pPr>
    </w:p>
    <w:p w14:paraId="19402328" w14:textId="42E0BC6B" w:rsidR="00AE7A52" w:rsidRPr="00E80BAE" w:rsidRDefault="00AE7A52" w:rsidP="009134F9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Članak 2.</w:t>
      </w:r>
    </w:p>
    <w:p w14:paraId="1B09F8CC" w14:textId="77777777" w:rsidR="00DB5C32" w:rsidRDefault="00DB5C32" w:rsidP="009134F9">
      <w:pPr>
        <w:pStyle w:val="clanak-"/>
        <w:spacing w:before="0" w:beforeAutospacing="0" w:after="0" w:afterAutospacing="0"/>
        <w:rPr>
          <w:rFonts w:cstheme="minorHAnsi"/>
        </w:rPr>
      </w:pPr>
    </w:p>
    <w:p w14:paraId="055DCB67" w14:textId="2EA23B19" w:rsidR="007134D5" w:rsidRDefault="00BE039D" w:rsidP="009134F9">
      <w:pPr>
        <w:pStyle w:val="clanak-"/>
        <w:spacing w:before="0" w:beforeAutospacing="0" w:after="0" w:afterAutospacing="0"/>
        <w:rPr>
          <w:rFonts w:cstheme="minorHAnsi"/>
        </w:rPr>
      </w:pPr>
      <w:r>
        <w:rPr>
          <w:rFonts w:cstheme="minorHAnsi"/>
        </w:rPr>
        <w:t xml:space="preserve">Članak </w:t>
      </w:r>
      <w:r w:rsidR="001D6C73">
        <w:rPr>
          <w:rFonts w:cstheme="minorHAnsi"/>
        </w:rPr>
        <w:t xml:space="preserve">3 </w:t>
      </w:r>
      <w:r w:rsidR="00A258AA" w:rsidRPr="00E80BAE">
        <w:rPr>
          <w:rFonts w:cstheme="minorHAnsi"/>
        </w:rPr>
        <w:t xml:space="preserve"> </w:t>
      </w:r>
      <w:r w:rsidR="007134D5" w:rsidRPr="00E80BAE">
        <w:rPr>
          <w:rFonts w:cstheme="minorHAnsi"/>
        </w:rPr>
        <w:t>mijenja se i glasi:</w:t>
      </w:r>
    </w:p>
    <w:p w14:paraId="6DA81D37" w14:textId="77777777" w:rsidR="00BE039D" w:rsidRDefault="00BE039D" w:rsidP="009134F9">
      <w:pPr>
        <w:pStyle w:val="clanak-"/>
        <w:spacing w:before="0" w:beforeAutospacing="0" w:after="0" w:afterAutospacing="0"/>
        <w:rPr>
          <w:rFonts w:cstheme="minorHAnsi"/>
        </w:rPr>
      </w:pPr>
    </w:p>
    <w:p w14:paraId="7378ED8F" w14:textId="53A27898" w:rsidR="00BE039D" w:rsidRDefault="001A6FAF" w:rsidP="00BE039D">
      <w:pPr>
        <w:pStyle w:val="box473189"/>
        <w:spacing w:before="120" w:beforeAutospacing="0" w:after="120" w:afterAutospacing="0"/>
        <w:jc w:val="both"/>
      </w:pPr>
      <w:r>
        <w:t>„</w:t>
      </w:r>
      <w:r w:rsidR="00BE039D">
        <w:t xml:space="preserve">(1) Prijava se podnosi </w:t>
      </w:r>
      <w:bookmarkStart w:id="0" w:name="_Hlk215488965"/>
      <w:r w:rsidR="00BE039D">
        <w:t>na obrascima propisanim ovom Uredbom</w:t>
      </w:r>
      <w:bookmarkEnd w:id="0"/>
      <w:r w:rsidR="00BE039D">
        <w:t>.</w:t>
      </w:r>
    </w:p>
    <w:p w14:paraId="013E6C42" w14:textId="77777777" w:rsidR="00BE039D" w:rsidRDefault="00BE039D" w:rsidP="00BE039D">
      <w:pPr>
        <w:pStyle w:val="box473189"/>
        <w:spacing w:before="120" w:beforeAutospacing="0" w:after="120" w:afterAutospacing="0"/>
        <w:jc w:val="both"/>
      </w:pPr>
      <w:r>
        <w:t>(2) Sadržaj obrazaca pod oznakama OP-1 do OP-8 na kojima se podnosi Prijava, propisan je u Prilozima 1. do 8. ove Uredbe i čine njezin sastavni dio.</w:t>
      </w:r>
    </w:p>
    <w:p w14:paraId="52CBC344" w14:textId="77777777" w:rsidR="00BE039D" w:rsidRDefault="00BE039D" w:rsidP="00BE039D">
      <w:pPr>
        <w:pStyle w:val="box473189"/>
        <w:spacing w:before="120" w:beforeAutospacing="0" w:after="120" w:afterAutospacing="0"/>
        <w:jc w:val="both"/>
      </w:pPr>
      <w:r>
        <w:t>(3) Uz Prijavu obvezno se prilažu sljedeći dokumenti i podaci:</w:t>
      </w:r>
    </w:p>
    <w:p w14:paraId="6E0EF6BF" w14:textId="77777777" w:rsidR="00BE039D" w:rsidRDefault="00BE039D" w:rsidP="003B1A81">
      <w:pPr>
        <w:pStyle w:val="box473189"/>
        <w:spacing w:before="0" w:beforeAutospacing="0" w:after="0" w:afterAutospacing="0"/>
        <w:jc w:val="both"/>
      </w:pPr>
      <w:r>
        <w:t>1. izjava podnositelja Prijave o upisu u sustav poreza na dobit odnosno obvezi plaćanja poreza na dobit, u slučaju kada je podnositelj Prijave fizička osoba – obrtnik</w:t>
      </w:r>
    </w:p>
    <w:p w14:paraId="4F1CEA08" w14:textId="77777777" w:rsidR="00BE039D" w:rsidRDefault="00BE039D" w:rsidP="003B1A81">
      <w:pPr>
        <w:pStyle w:val="box473189"/>
        <w:spacing w:before="0" w:beforeAutospacing="0" w:after="0" w:afterAutospacing="0"/>
        <w:jc w:val="both"/>
      </w:pPr>
      <w:r>
        <w:t>2. skupna izjava, propisana je u Prilogu 10. ove Uredbe i čini njezin sastavni dio</w:t>
      </w:r>
    </w:p>
    <w:p w14:paraId="234B1D6F" w14:textId="50953EBE" w:rsidR="00BE039D" w:rsidRDefault="00BE039D" w:rsidP="003B1A81">
      <w:pPr>
        <w:pStyle w:val="box473189"/>
        <w:spacing w:before="0" w:beforeAutospacing="0" w:after="0" w:afterAutospacing="0"/>
        <w:jc w:val="both"/>
      </w:pPr>
      <w:r>
        <w:lastRenderedPageBreak/>
        <w:t>3. poslovni plan za narednih pet godina, s projekcijom financijskih izvještaja (bilanca i račun dobiti i gubitka) i projekcijom financijskih izvještaja za aktivnost ulaganja.</w:t>
      </w:r>
    </w:p>
    <w:p w14:paraId="13B4EDB7" w14:textId="77777777" w:rsidR="00BE039D" w:rsidRDefault="00BE039D" w:rsidP="003B1A81">
      <w:pPr>
        <w:pStyle w:val="box473189"/>
        <w:spacing w:before="0" w:beforeAutospacing="0" w:after="0" w:afterAutospacing="0"/>
        <w:jc w:val="both"/>
      </w:pPr>
      <w:r>
        <w:t>4. u slučaju gradnje građevina sukladno propisima koji uređuju prostorno uređenje i gradnju, pravomoćnu građevinsku dozvolu ili dokaz o potvrdi glavnog projekta te presliku prijave gradilišta odnosno početka gradnje</w:t>
      </w:r>
    </w:p>
    <w:p w14:paraId="69C37CED" w14:textId="50BE447B" w:rsidR="00BE039D" w:rsidRDefault="00BE039D" w:rsidP="003B1A81">
      <w:pPr>
        <w:pStyle w:val="box473189"/>
        <w:spacing w:before="0" w:beforeAutospacing="0" w:after="0" w:afterAutospacing="0"/>
        <w:jc w:val="both"/>
      </w:pPr>
      <w:r>
        <w:t>5. k</w:t>
      </w:r>
      <w:r w:rsidRPr="0095781D">
        <w:t>ada je iz Prijave vidljivo da gradnja počinje kasnije odnosno u drugoj ili trećoj godini realizacije projekta ulaganja tada je moguća naknadna dostava građevinske dozvole ili potvrde glavnog projekta te preslike prijave gradilišta ali prije početka gradnje građevina.</w:t>
      </w:r>
    </w:p>
    <w:p w14:paraId="1F103669" w14:textId="10C3A093" w:rsidR="00BE039D" w:rsidRDefault="00BE039D" w:rsidP="003B1A81">
      <w:pPr>
        <w:pStyle w:val="box473189"/>
        <w:spacing w:before="0" w:beforeAutospacing="0" w:after="0" w:afterAutospacing="0"/>
        <w:jc w:val="both"/>
      </w:pPr>
      <w:r>
        <w:t>6. u slučaju ulaganja u novu gospodarsku djelatnost u potpomognutom području c) iz članka 6. točke 5. Zakona dokaz da u protekla tri mjeseca Prijavitelj nije registriran za dotičnu novu gospodarsku djelatnost te pisanu Izjavu kojom odgovorna osoba jamči pod moralnom, materijalnom i kaznenom odgovornošću da podnositelj Prijave prethodno nije obavljao dotičnu novu gospodarsku djelatnost.</w:t>
      </w:r>
    </w:p>
    <w:p w14:paraId="4C042513" w14:textId="77777777" w:rsidR="00BE039D" w:rsidRDefault="00BE039D" w:rsidP="00BE039D">
      <w:pPr>
        <w:pStyle w:val="box473189"/>
        <w:spacing w:before="120" w:beforeAutospacing="0" w:after="120" w:afterAutospacing="0"/>
        <w:jc w:val="both"/>
      </w:pPr>
      <w:r>
        <w:t>(4) Dokumente i podatke iz stavka 3. točaka 1. i 4. ovoga članka, ministarstvo nadležno za gospodarstvo pribavlja po službenoj dužnosti sukladno članku 12. Zakona o sustavu državne uprave (»Narodne novine«, broj 66/19.). Navedene dokumente i podatke ministarstvu nadležnom za gospodarstvo može dostaviti i sam podnositelj Prijave prilikom podnošenja Prijave.</w:t>
      </w:r>
    </w:p>
    <w:p w14:paraId="560F15F4" w14:textId="77777777" w:rsidR="00BE039D" w:rsidRDefault="00BE039D" w:rsidP="00BE039D">
      <w:pPr>
        <w:pStyle w:val="box473189"/>
        <w:spacing w:before="120" w:beforeAutospacing="0" w:after="120" w:afterAutospacing="0"/>
        <w:jc w:val="both"/>
      </w:pPr>
      <w:r>
        <w:t>(5) Na zahtjev ministarstva nadležnog za gospodarstvo, podnositelj Prijave dužan je dostaviti i druge tražene podatke potrebne za ocjenu osnovanosti Prijave.</w:t>
      </w:r>
    </w:p>
    <w:p w14:paraId="1775A844" w14:textId="012CF835" w:rsidR="00BE039D" w:rsidRPr="00E80BAE" w:rsidRDefault="00BE039D" w:rsidP="00BE039D">
      <w:pPr>
        <w:pStyle w:val="t-9-8"/>
        <w:spacing w:before="0" w:beforeAutospacing="0" w:after="0" w:afterAutospacing="0"/>
        <w:jc w:val="both"/>
        <w:rPr>
          <w:rFonts w:eastAsiaTheme="minorHAnsi"/>
          <w:lang w:eastAsia="en-US"/>
        </w:rPr>
      </w:pPr>
      <w:r w:rsidRPr="00E80BAE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>6</w:t>
      </w:r>
      <w:r w:rsidRPr="00E80BAE">
        <w:rPr>
          <w:rFonts w:eastAsiaTheme="minorHAnsi"/>
          <w:lang w:eastAsia="en-US"/>
        </w:rPr>
        <w:t>)</w:t>
      </w:r>
      <w:r>
        <w:rPr>
          <w:rFonts w:eastAsiaTheme="minorHAnsi"/>
          <w:lang w:eastAsia="en-US"/>
        </w:rPr>
        <w:t xml:space="preserve"> Prijavu </w:t>
      </w:r>
      <w:r w:rsidR="001A6FAF">
        <w:rPr>
          <w:rFonts w:eastAsiaTheme="minorHAnsi"/>
          <w:lang w:eastAsia="en-US"/>
        </w:rPr>
        <w:t>se podnosi</w:t>
      </w:r>
      <w:r>
        <w:rPr>
          <w:rFonts w:eastAsiaTheme="minorHAnsi"/>
          <w:lang w:eastAsia="en-US"/>
        </w:rPr>
        <w:t xml:space="preserve"> putem sustava elektroničke prijave, a pristup sustavu omogućen je na mrežnim stranicama ministarstva nadležnog za gospodarstvo</w:t>
      </w:r>
      <w:r w:rsidRPr="00E80BAE">
        <w:rPr>
          <w:rFonts w:eastAsiaTheme="minorHAnsi"/>
          <w:lang w:eastAsia="en-US"/>
        </w:rPr>
        <w:t>.</w:t>
      </w:r>
      <w:r>
        <w:rPr>
          <w:rFonts w:eastAsiaTheme="minorHAnsi"/>
          <w:lang w:eastAsia="en-US"/>
        </w:rPr>
        <w:t>“.</w:t>
      </w:r>
    </w:p>
    <w:p w14:paraId="6D8C1C29" w14:textId="77777777" w:rsidR="00BE039D" w:rsidRPr="00E80BAE" w:rsidRDefault="00BE039D" w:rsidP="009134F9">
      <w:pPr>
        <w:pStyle w:val="clanak-"/>
        <w:spacing w:before="0" w:beforeAutospacing="0" w:after="0" w:afterAutospacing="0"/>
        <w:rPr>
          <w:b/>
        </w:rPr>
      </w:pPr>
    </w:p>
    <w:p w14:paraId="04FCD41E" w14:textId="718875BB" w:rsidR="00730BFE" w:rsidRPr="00E80BAE" w:rsidRDefault="00730BFE" w:rsidP="009134F9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Članak 3.</w:t>
      </w:r>
    </w:p>
    <w:p w14:paraId="34F3692A" w14:textId="77777777" w:rsidR="00DB5C32" w:rsidRDefault="00DB5C32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3F8861" w14:textId="6E184A9D" w:rsidR="007134D5" w:rsidRPr="008F5F93" w:rsidRDefault="00F53A7C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F93">
        <w:rPr>
          <w:rFonts w:ascii="Times New Roman" w:hAnsi="Times New Roman" w:cs="Times New Roman"/>
          <w:sz w:val="24"/>
          <w:szCs w:val="24"/>
        </w:rPr>
        <w:t>U č</w:t>
      </w:r>
      <w:r w:rsidR="007134D5" w:rsidRPr="008F5F93">
        <w:rPr>
          <w:rFonts w:ascii="Times New Roman" w:hAnsi="Times New Roman" w:cs="Times New Roman"/>
          <w:sz w:val="24"/>
          <w:szCs w:val="24"/>
        </w:rPr>
        <w:t>lank</w:t>
      </w:r>
      <w:r w:rsidRPr="008F5F93">
        <w:rPr>
          <w:rFonts w:ascii="Times New Roman" w:hAnsi="Times New Roman" w:cs="Times New Roman"/>
          <w:sz w:val="24"/>
          <w:szCs w:val="24"/>
        </w:rPr>
        <w:t>u</w:t>
      </w:r>
      <w:r w:rsidR="007134D5" w:rsidRPr="008F5F93">
        <w:rPr>
          <w:rFonts w:ascii="Times New Roman" w:hAnsi="Times New Roman" w:cs="Times New Roman"/>
          <w:sz w:val="24"/>
          <w:szCs w:val="24"/>
        </w:rPr>
        <w:t xml:space="preserve"> </w:t>
      </w:r>
      <w:r w:rsidRPr="008F5F93">
        <w:rPr>
          <w:rFonts w:ascii="Times New Roman" w:hAnsi="Times New Roman" w:cs="Times New Roman"/>
          <w:sz w:val="24"/>
          <w:szCs w:val="24"/>
        </w:rPr>
        <w:t>7</w:t>
      </w:r>
      <w:r w:rsidR="007134D5" w:rsidRPr="008F5F93">
        <w:rPr>
          <w:rFonts w:ascii="Times New Roman" w:hAnsi="Times New Roman" w:cs="Times New Roman"/>
          <w:sz w:val="24"/>
          <w:szCs w:val="24"/>
        </w:rPr>
        <w:t>. stavak 1. mijenja se i glasi:</w:t>
      </w:r>
    </w:p>
    <w:p w14:paraId="438DADEF" w14:textId="77777777" w:rsidR="007134D5" w:rsidRPr="008F5F93" w:rsidRDefault="007134D5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1AC0AD" w14:textId="599703E4" w:rsidR="007134D5" w:rsidRPr="008F5F93" w:rsidRDefault="00F53A7C" w:rsidP="009134F9">
      <w:pPr>
        <w:pStyle w:val="t-9-8"/>
        <w:spacing w:before="0" w:beforeAutospacing="0" w:after="0" w:afterAutospacing="0"/>
        <w:jc w:val="both"/>
      </w:pPr>
      <w:r w:rsidRPr="00E80BAE">
        <w:t>„(1) Ako iz Prijave proizlazi namjera korištenja poreznih potpora, Potvrda iz članka 5. ove Uredbe sadrži odredbu da se korištenje porezne po</w:t>
      </w:r>
      <w:r w:rsidR="00A7354E" w:rsidRPr="00E80BAE">
        <w:t>tpore</w:t>
      </w:r>
      <w:r w:rsidRPr="00E80BAE">
        <w:t xml:space="preserve"> odobrava uz ispunjavanje uvjeta iz član</w:t>
      </w:r>
      <w:r w:rsidR="000B7E88">
        <w:t>a</w:t>
      </w:r>
      <w:r w:rsidRPr="00E80BAE">
        <w:t>ka 12.</w:t>
      </w:r>
      <w:r w:rsidR="00471607">
        <w:t>,</w:t>
      </w:r>
      <w:r w:rsidRPr="00E80BAE">
        <w:t xml:space="preserve"> 13. ili 20. Zakona.</w:t>
      </w:r>
      <w:r w:rsidR="007134D5" w:rsidRPr="008F5F93">
        <w:t>”</w:t>
      </w:r>
      <w:r w:rsidR="000B7E88">
        <w:t>.</w:t>
      </w:r>
    </w:p>
    <w:p w14:paraId="7FBE3F31" w14:textId="77777777" w:rsidR="003B1A81" w:rsidRDefault="003B1A81" w:rsidP="009134F9">
      <w:pPr>
        <w:pStyle w:val="t-9-8"/>
        <w:spacing w:before="0" w:beforeAutospacing="0" w:after="0" w:afterAutospacing="0"/>
        <w:jc w:val="both"/>
      </w:pPr>
    </w:p>
    <w:p w14:paraId="3BFE9273" w14:textId="0B98CB5C" w:rsidR="00234D5A" w:rsidRPr="008F5F93" w:rsidRDefault="00234D5A" w:rsidP="009134F9">
      <w:pPr>
        <w:pStyle w:val="t-9-8"/>
        <w:spacing w:before="0" w:beforeAutospacing="0" w:after="0" w:afterAutospacing="0"/>
        <w:jc w:val="both"/>
      </w:pPr>
      <w:r w:rsidRPr="008F5F93">
        <w:t>Stavak 4. mijenja se i glasi:</w:t>
      </w:r>
    </w:p>
    <w:p w14:paraId="688395A8" w14:textId="77777777" w:rsidR="009134F9" w:rsidRDefault="009134F9" w:rsidP="009134F9">
      <w:pPr>
        <w:pStyle w:val="t-9-8"/>
        <w:spacing w:before="0" w:beforeAutospacing="0" w:after="0" w:afterAutospacing="0"/>
        <w:jc w:val="both"/>
      </w:pPr>
    </w:p>
    <w:p w14:paraId="378F5F62" w14:textId="005DDD8E" w:rsidR="00A70726" w:rsidRPr="00E80BAE" w:rsidRDefault="00292024" w:rsidP="009134F9">
      <w:pPr>
        <w:pStyle w:val="t-9-8"/>
        <w:spacing w:before="0" w:beforeAutospacing="0" w:after="0" w:afterAutospacing="0"/>
        <w:jc w:val="both"/>
      </w:pPr>
      <w:r>
        <w:t>„</w:t>
      </w:r>
      <w:r w:rsidR="00A70726" w:rsidRPr="00E80BAE">
        <w:t>(4) Poduzetnici koji koriste poreznu po</w:t>
      </w:r>
      <w:r w:rsidR="00824A26" w:rsidRPr="00E80BAE">
        <w:t>tporu</w:t>
      </w:r>
      <w:r w:rsidR="00A70726" w:rsidRPr="00E80BAE">
        <w:t xml:space="preserve"> temeljem član</w:t>
      </w:r>
      <w:r w:rsidR="004040E7">
        <w:t>a</w:t>
      </w:r>
      <w:r w:rsidR="00A70726" w:rsidRPr="00E80BAE">
        <w:t xml:space="preserve">ka 13. </w:t>
      </w:r>
      <w:r w:rsidR="00471607">
        <w:t xml:space="preserve">ili 20. </w:t>
      </w:r>
      <w:r w:rsidR="00A70726" w:rsidRPr="00E80BAE">
        <w:t xml:space="preserve">Zakona, u svakoj narednoj godini koristit će umanjenje stope poreza na dobit </w:t>
      </w:r>
      <w:r w:rsidR="00234D5A" w:rsidRPr="00E80BAE">
        <w:t>uz uvjet da</w:t>
      </w:r>
      <w:r w:rsidR="00A70726" w:rsidRPr="00E80BAE">
        <w:t xml:space="preserve"> je u prethodnoj godini zadovoljen kriterij visine ulaganja propisan član</w:t>
      </w:r>
      <w:r w:rsidR="004040E7">
        <w:t>cima</w:t>
      </w:r>
      <w:r w:rsidR="00A70726" w:rsidRPr="00E80BAE">
        <w:t xml:space="preserve"> 13.</w:t>
      </w:r>
      <w:r w:rsidR="00471607">
        <w:t xml:space="preserve"> ili 20.</w:t>
      </w:r>
      <w:r w:rsidR="00A70726" w:rsidRPr="00E80BAE">
        <w:t xml:space="preserve"> Zakona</w:t>
      </w:r>
      <w:r w:rsidR="00105317">
        <w:t>, a kriterij broja novih radnih mjesta mora biti zadovoljen unutar razdoblja od tri godine od početka ulaganja</w:t>
      </w:r>
      <w:r w:rsidR="00234D5A" w:rsidRPr="00E80BAE">
        <w:t>“</w:t>
      </w:r>
      <w:r w:rsidR="004040E7">
        <w:t>.</w:t>
      </w:r>
    </w:p>
    <w:p w14:paraId="599425C2" w14:textId="77777777" w:rsidR="009134F9" w:rsidRDefault="009134F9" w:rsidP="009134F9">
      <w:pPr>
        <w:pStyle w:val="t-9-8"/>
        <w:spacing w:before="0" w:beforeAutospacing="0" w:after="0" w:afterAutospacing="0"/>
        <w:jc w:val="both"/>
      </w:pPr>
    </w:p>
    <w:p w14:paraId="22C06D8B" w14:textId="2BB3C764" w:rsidR="00711A19" w:rsidRPr="00E80BAE" w:rsidRDefault="00711A19" w:rsidP="009134F9">
      <w:pPr>
        <w:pStyle w:val="t-9-8"/>
        <w:spacing w:before="0" w:beforeAutospacing="0" w:after="0" w:afterAutospacing="0"/>
        <w:jc w:val="both"/>
      </w:pPr>
      <w:r w:rsidRPr="00E80BAE">
        <w:t>Iza stavka 5. dodaj</w:t>
      </w:r>
      <w:r w:rsidR="000D6AC9">
        <w:t>u</w:t>
      </w:r>
      <w:r w:rsidRPr="00E80BAE">
        <w:t xml:space="preserve"> se stavci 6</w:t>
      </w:r>
      <w:r w:rsidR="001D6C73">
        <w:t xml:space="preserve"> do 15</w:t>
      </w:r>
      <w:r w:rsidR="00F21357">
        <w:t>.</w:t>
      </w:r>
      <w:r w:rsidR="00CB669A">
        <w:t xml:space="preserve"> </w:t>
      </w:r>
      <w:r w:rsidRPr="00E80BAE">
        <w:t>koji glase:</w:t>
      </w:r>
    </w:p>
    <w:p w14:paraId="18DDC51D" w14:textId="77777777" w:rsidR="009134F9" w:rsidRDefault="009134F9" w:rsidP="009134F9">
      <w:pPr>
        <w:pStyle w:val="t-9-8"/>
        <w:spacing w:before="0" w:beforeAutospacing="0" w:after="0" w:afterAutospacing="0"/>
        <w:jc w:val="both"/>
      </w:pPr>
    </w:p>
    <w:p w14:paraId="46343496" w14:textId="56871FDA" w:rsidR="00CB669A" w:rsidRDefault="00292024" w:rsidP="009134F9">
      <w:pPr>
        <w:pStyle w:val="t-9-8"/>
        <w:spacing w:before="0" w:beforeAutospacing="0" w:after="0" w:afterAutospacing="0"/>
        <w:jc w:val="both"/>
      </w:pPr>
      <w:r>
        <w:t>„</w:t>
      </w:r>
      <w:r w:rsidR="00711A19" w:rsidRPr="00E80BAE">
        <w:t>(6)</w:t>
      </w:r>
      <w:r w:rsidR="005E37D2" w:rsidRPr="00E80BAE">
        <w:t xml:space="preserve"> </w:t>
      </w:r>
      <w:bookmarkStart w:id="1" w:name="_Hlk202951560"/>
      <w:r w:rsidR="005E37D2" w:rsidRPr="00E80BAE">
        <w:t xml:space="preserve">Za </w:t>
      </w:r>
      <w:r w:rsidR="00CB669A">
        <w:t xml:space="preserve">projekte ulaganja koji počinju od 1. siječnja 2025. </w:t>
      </w:r>
      <w:bookmarkEnd w:id="1"/>
      <w:r w:rsidR="00CB669A">
        <w:t>porezna potpora primjenjuje se isključivo na</w:t>
      </w:r>
      <w:r w:rsidR="005E37D2" w:rsidRPr="00E80BAE">
        <w:t xml:space="preserve"> dobit ostvarenu od poslovne aktivnosti na koju se odnosi </w:t>
      </w:r>
      <w:r w:rsidR="00733533" w:rsidRPr="00E80BAE">
        <w:t xml:space="preserve">projekt </w:t>
      </w:r>
      <w:r w:rsidR="00733533" w:rsidRPr="00E80BAE">
        <w:lastRenderedPageBreak/>
        <w:t>ulaganja pri čemu se</w:t>
      </w:r>
      <w:r w:rsidR="00CB669A">
        <w:t xml:space="preserve"> pri izračunu osnovice poreza na dobit za aktivnost projekta ulaganja</w:t>
      </w:r>
      <w:r w:rsidR="00733533" w:rsidRPr="00E80BAE">
        <w:t xml:space="preserve"> isključuju prihodi od kapitala, najma, kamata i intelektualnog vlasništva</w:t>
      </w:r>
      <w:r w:rsidR="00CB669A">
        <w:t xml:space="preserve">. </w:t>
      </w:r>
    </w:p>
    <w:p w14:paraId="4988F13B" w14:textId="77777777" w:rsidR="008F2EAB" w:rsidRDefault="008F2EAB" w:rsidP="009134F9">
      <w:pPr>
        <w:pStyle w:val="t-9-8"/>
        <w:spacing w:before="0" w:beforeAutospacing="0" w:after="0" w:afterAutospacing="0"/>
        <w:jc w:val="both"/>
      </w:pPr>
    </w:p>
    <w:p w14:paraId="07204290" w14:textId="384BA86B" w:rsidR="009134F9" w:rsidRDefault="00CB669A" w:rsidP="009134F9">
      <w:pPr>
        <w:pStyle w:val="t-9-8"/>
        <w:spacing w:before="0" w:beforeAutospacing="0" w:after="0" w:afterAutospacing="0"/>
        <w:jc w:val="both"/>
      </w:pPr>
      <w:r>
        <w:t>(7) P</w:t>
      </w:r>
      <w:r w:rsidR="00733533" w:rsidRPr="00E80BAE">
        <w:t xml:space="preserve">oduzetnik je dužan </w:t>
      </w:r>
      <w:r w:rsidR="00066502" w:rsidRPr="00E80BAE">
        <w:t xml:space="preserve">za svako posebno porezno razdoblje </w:t>
      </w:r>
      <w:r w:rsidR="00733533" w:rsidRPr="00E80BAE">
        <w:t>voditi</w:t>
      </w:r>
      <w:r>
        <w:t xml:space="preserve"> izdvojeno</w:t>
      </w:r>
      <w:r w:rsidR="00733533" w:rsidRPr="00E80BAE">
        <w:t xml:space="preserve"> knjigovodstveno praćenje </w:t>
      </w:r>
      <w:r>
        <w:t xml:space="preserve">poslovne </w:t>
      </w:r>
      <w:r w:rsidR="00733533" w:rsidRPr="00E80BAE">
        <w:t>aktivnosti projekta ulaganja te utvrditi iznos dobiti prema slije</w:t>
      </w:r>
      <w:r>
        <w:t>de</w:t>
      </w:r>
      <w:r w:rsidR="00733533" w:rsidRPr="00E80BAE">
        <w:t>ćem izračunu:</w:t>
      </w:r>
    </w:p>
    <w:p w14:paraId="0256C5A6" w14:textId="7EF7AF0F" w:rsidR="00733533" w:rsidRPr="00E80BAE" w:rsidRDefault="00733533" w:rsidP="009134F9">
      <w:pPr>
        <w:pStyle w:val="t-9-8"/>
        <w:spacing w:before="0" w:beforeAutospacing="0" w:after="0" w:afterAutospacing="0"/>
        <w:jc w:val="both"/>
      </w:pPr>
    </w:p>
    <w:p w14:paraId="0C58B660" w14:textId="4783066C" w:rsidR="00733533" w:rsidRPr="00E80BAE" w:rsidRDefault="00CD630B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>
        <w:t xml:space="preserve"> </w:t>
      </w:r>
      <w:r w:rsidR="00733533" w:rsidRPr="00E80BAE">
        <w:rPr>
          <w:rFonts w:ascii="Times New Roman" w:eastAsia="Times New Roman" w:hAnsi="Times New Roman" w:cs="Times New Roman"/>
          <w:noProof/>
        </w:rPr>
        <w:t xml:space="preserve">OSNOVICA POREZA NA DOBIT (DOBIT/GUBITAK) </w:t>
      </w:r>
      <w:r w:rsidR="002A7A71" w:rsidRPr="00E80BAE">
        <w:rPr>
          <w:rFonts w:ascii="Times New Roman" w:eastAsia="Times New Roman" w:hAnsi="Times New Roman" w:cs="Times New Roman"/>
          <w:noProof/>
        </w:rPr>
        <w:t>ZA AKTIVNOST PROJEKT</w:t>
      </w:r>
      <w:r w:rsidR="00E625D1">
        <w:rPr>
          <w:rFonts w:ascii="Times New Roman" w:eastAsia="Times New Roman" w:hAnsi="Times New Roman" w:cs="Times New Roman"/>
          <w:noProof/>
        </w:rPr>
        <w:t>A</w:t>
      </w:r>
      <w:r w:rsidR="002A7A71" w:rsidRPr="00E80BAE">
        <w:rPr>
          <w:rFonts w:ascii="Times New Roman" w:eastAsia="Times New Roman" w:hAnsi="Times New Roman" w:cs="Times New Roman"/>
          <w:noProof/>
        </w:rPr>
        <w:t xml:space="preserve"> ULAGANJA</w:t>
      </w:r>
    </w:p>
    <w:p w14:paraId="42593074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 =</w:t>
      </w:r>
    </w:p>
    <w:tbl>
      <w:tblPr>
        <w:tblStyle w:val="TableGrid"/>
        <w:tblW w:w="9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25"/>
        <w:gridCol w:w="3356"/>
        <w:gridCol w:w="326"/>
        <w:gridCol w:w="2630"/>
      </w:tblGrid>
      <w:tr w:rsidR="00E80BAE" w:rsidRPr="00E80BAE" w14:paraId="496B8035" w14:textId="77777777" w:rsidTr="00A139E2">
        <w:trPr>
          <w:trHeight w:val="473"/>
        </w:trPr>
        <w:tc>
          <w:tcPr>
            <w:tcW w:w="2552" w:type="dxa"/>
          </w:tcPr>
          <w:p w14:paraId="72A4B917" w14:textId="77777777" w:rsidR="00733533" w:rsidRPr="00E80BAE" w:rsidRDefault="00733533" w:rsidP="009134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80BAE">
              <w:rPr>
                <w:rFonts w:ascii="Times New Roman" w:eastAsia="Times New Roman" w:hAnsi="Times New Roman" w:cs="Times New Roman"/>
                <w:noProof/>
              </w:rPr>
              <w:t>PRIHOD AKTIVNOSTI ULAGANJA</w:t>
            </w:r>
          </w:p>
        </w:tc>
        <w:tc>
          <w:tcPr>
            <w:tcW w:w="425" w:type="dxa"/>
          </w:tcPr>
          <w:p w14:paraId="345D9739" w14:textId="77777777" w:rsidR="00733533" w:rsidRPr="00E80BAE" w:rsidRDefault="00733533" w:rsidP="009134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</w:rPr>
            </w:pPr>
            <w:r w:rsidRPr="00E80BAE">
              <w:rPr>
                <w:rFonts w:ascii="Times New Roman" w:eastAsia="Times New Roman" w:hAnsi="Times New Roman" w:cs="Times New Roman"/>
                <w:noProof/>
              </w:rPr>
              <w:t xml:space="preserve">   –</w:t>
            </w:r>
          </w:p>
          <w:p w14:paraId="057F46E5" w14:textId="77777777" w:rsidR="00733533" w:rsidRPr="00E80BAE" w:rsidRDefault="00733533" w:rsidP="009134F9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3356" w:type="dxa"/>
          </w:tcPr>
          <w:p w14:paraId="7ECF62DB" w14:textId="77777777" w:rsidR="00733533" w:rsidRPr="00E80BAE" w:rsidRDefault="00733533" w:rsidP="009134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80BAE">
              <w:rPr>
                <w:rFonts w:ascii="Times New Roman" w:eastAsia="Times New Roman" w:hAnsi="Times New Roman" w:cs="Times New Roman"/>
                <w:noProof/>
              </w:rPr>
              <w:t>PASIVNI PRIHOD AKTIVNOSTI ULAGANJA</w:t>
            </w:r>
          </w:p>
          <w:p w14:paraId="75105714" w14:textId="77777777" w:rsidR="00733533" w:rsidRPr="00E80BAE" w:rsidRDefault="00733533" w:rsidP="009134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bookmarkStart w:id="2" w:name="_Hlk204330800"/>
            <w:r w:rsidRPr="00E80BAE">
              <w:rPr>
                <w:rFonts w:ascii="Times New Roman" w:eastAsia="Times New Roman" w:hAnsi="Times New Roman" w:cs="Times New Roman"/>
                <w:noProof/>
              </w:rPr>
              <w:t>(od kapitala, najma, kamata i intelektualnog vlasništva)</w:t>
            </w:r>
            <w:bookmarkEnd w:id="2"/>
          </w:p>
        </w:tc>
        <w:tc>
          <w:tcPr>
            <w:tcW w:w="326" w:type="dxa"/>
          </w:tcPr>
          <w:p w14:paraId="0EE98D49" w14:textId="77777777" w:rsidR="00733533" w:rsidRPr="00E80BAE" w:rsidRDefault="00733533" w:rsidP="009134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80BAE">
              <w:rPr>
                <w:rFonts w:ascii="Times New Roman" w:eastAsia="Times New Roman" w:hAnsi="Times New Roman" w:cs="Times New Roman"/>
                <w:noProof/>
              </w:rPr>
              <w:t xml:space="preserve">    –</w:t>
            </w:r>
          </w:p>
        </w:tc>
        <w:tc>
          <w:tcPr>
            <w:tcW w:w="2630" w:type="dxa"/>
          </w:tcPr>
          <w:p w14:paraId="30DDD61A" w14:textId="77777777" w:rsidR="00733533" w:rsidRPr="00E80BAE" w:rsidRDefault="00733533" w:rsidP="009134F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  <w:r w:rsidRPr="00E80BAE">
              <w:rPr>
                <w:rFonts w:ascii="Times New Roman" w:eastAsia="Times New Roman" w:hAnsi="Times New Roman" w:cs="Times New Roman"/>
                <w:noProof/>
              </w:rPr>
              <w:t>RASHOD  AKTIVNOSTI ULAGANJA</w:t>
            </w:r>
          </w:p>
        </w:tc>
      </w:tr>
    </w:tbl>
    <w:p w14:paraId="3C224626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=</w:t>
      </w:r>
    </w:p>
    <w:p w14:paraId="09E9F1EE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OSNOVICA ZA IZRAČUN POREZNE POTPORE ZA ULAGANJE</w:t>
      </w:r>
    </w:p>
    <w:p w14:paraId="6EF2EDEE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+</w:t>
      </w:r>
    </w:p>
    <w:p w14:paraId="789EC5AF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POVEĆANJE POREZNE OSNOVICE/SMANJENJE GUBITKA  </w:t>
      </w:r>
    </w:p>
    <w:p w14:paraId="7E12BF16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–</w:t>
      </w:r>
    </w:p>
    <w:p w14:paraId="30399A37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SMANJENJE POREZNE OSNOVICE/POVEĆANJE GUBITKA</w:t>
      </w:r>
    </w:p>
    <w:p w14:paraId="2CDE0720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                              –</w:t>
      </w:r>
    </w:p>
    <w:p w14:paraId="5CC4139D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PRENESENI POREZNI GUBITAK</w:t>
      </w:r>
    </w:p>
    <w:p w14:paraId="693168B1" w14:textId="77777777" w:rsidR="00733533" w:rsidRPr="00E80BAE" w:rsidRDefault="00733533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/>
        </w:rPr>
      </w:pPr>
      <w:r w:rsidRPr="00E80BAE">
        <w:rPr>
          <w:rFonts w:ascii="Times New Roman" w:eastAsia="Times New Roman" w:hAnsi="Times New Roman" w:cs="Times New Roman"/>
          <w:noProof/>
        </w:rPr>
        <w:t xml:space="preserve">                                                      </w:t>
      </w:r>
      <w:bookmarkStart w:id="3" w:name="_Hlk197272190"/>
      <w:r w:rsidRPr="00E80BAE">
        <w:rPr>
          <w:rFonts w:ascii="Times New Roman" w:eastAsia="Times New Roman" w:hAnsi="Times New Roman" w:cs="Times New Roman"/>
          <w:noProof/>
        </w:rPr>
        <w:t xml:space="preserve">                           –</w:t>
      </w:r>
      <w:bookmarkEnd w:id="3"/>
    </w:p>
    <w:p w14:paraId="278A3567" w14:textId="77777777" w:rsidR="00733533" w:rsidRDefault="00733533" w:rsidP="009134F9">
      <w:pPr>
        <w:pStyle w:val="t-9-8"/>
        <w:spacing w:before="0" w:beforeAutospacing="0" w:after="0" w:afterAutospacing="0"/>
        <w:jc w:val="both"/>
        <w:rPr>
          <w:noProof/>
          <w:sz w:val="22"/>
          <w:szCs w:val="22"/>
        </w:rPr>
      </w:pPr>
      <w:r w:rsidRPr="00E80BAE">
        <w:rPr>
          <w:noProof/>
          <w:sz w:val="22"/>
          <w:szCs w:val="22"/>
        </w:rPr>
        <w:t xml:space="preserve">                                              OSLOBOĐENJA, OLAKŠICE I POTICAJI</w:t>
      </w:r>
    </w:p>
    <w:p w14:paraId="25A4C410" w14:textId="1EAEC7D7" w:rsidR="0074500C" w:rsidRPr="00EF3849" w:rsidRDefault="0074500C" w:rsidP="009134F9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>
        <w:rPr>
          <w:noProof/>
        </w:rPr>
        <w:t xml:space="preserve">                                              </w:t>
      </w:r>
      <w:r w:rsidR="00EF3849">
        <w:rPr>
          <w:noProof/>
        </w:rPr>
        <w:t xml:space="preserve">  </w:t>
      </w:r>
      <w:r w:rsidRPr="00EF3849">
        <w:rPr>
          <w:noProof/>
          <w:sz w:val="22"/>
          <w:szCs w:val="22"/>
        </w:rPr>
        <w:t>(</w:t>
      </w:r>
      <w:r w:rsidR="00EF3849">
        <w:rPr>
          <w:noProof/>
          <w:sz w:val="22"/>
          <w:szCs w:val="22"/>
        </w:rPr>
        <w:t>izuzev</w:t>
      </w:r>
      <w:r w:rsidRPr="00EF3849">
        <w:rPr>
          <w:noProof/>
          <w:sz w:val="22"/>
          <w:szCs w:val="22"/>
        </w:rPr>
        <w:t xml:space="preserve"> aktivnost</w:t>
      </w:r>
      <w:r w:rsidR="00EF3849">
        <w:rPr>
          <w:noProof/>
          <w:sz w:val="22"/>
          <w:szCs w:val="22"/>
        </w:rPr>
        <w:t>i</w:t>
      </w:r>
      <w:r w:rsidRPr="00EF3849">
        <w:rPr>
          <w:noProof/>
          <w:sz w:val="22"/>
          <w:szCs w:val="22"/>
        </w:rPr>
        <w:t xml:space="preserve"> projekta ulaganja)</w:t>
      </w:r>
    </w:p>
    <w:p w14:paraId="78C5FFC1" w14:textId="2B4B8EA1" w:rsidR="00EF3849" w:rsidRDefault="001F118E" w:rsidP="009134F9">
      <w:pPr>
        <w:pStyle w:val="t-9-8"/>
        <w:spacing w:before="0" w:beforeAutospacing="0" w:after="0" w:afterAutospacing="0"/>
        <w:jc w:val="both"/>
      </w:pPr>
      <w:r w:rsidRPr="002E36C8">
        <w:t xml:space="preserve">(8) </w:t>
      </w:r>
      <w:r w:rsidR="00CC2213" w:rsidRPr="002E36C8">
        <w:t>Prilikom izračuna porezne potpore za aktivnost ulaganja poduzetnik na prilagođen način za isto porezno razdoblje primjenjuje odredbe propisa o oporezivanju dobit</w:t>
      </w:r>
      <w:r w:rsidR="003B578D">
        <w:t>i</w:t>
      </w:r>
      <w:r w:rsidR="00CC2213" w:rsidRPr="002E36C8">
        <w:t>, odnosno utvrđuje prihode, rashode, dobit ili gubitak, uvećanje ili umanjenje porezne osnovice, iznos poreznog gubitaka za prijenos i drugo.</w:t>
      </w:r>
      <w:r w:rsidR="00EF3849">
        <w:t xml:space="preserve"> </w:t>
      </w:r>
    </w:p>
    <w:p w14:paraId="4CD305AA" w14:textId="77777777" w:rsidR="00DB5C32" w:rsidRDefault="00DB5C32" w:rsidP="009134F9">
      <w:pPr>
        <w:pStyle w:val="t-9-8"/>
        <w:spacing w:before="0" w:beforeAutospacing="0" w:after="0" w:afterAutospacing="0"/>
        <w:jc w:val="both"/>
      </w:pPr>
    </w:p>
    <w:p w14:paraId="6DAA8D84" w14:textId="765D2549" w:rsidR="00733533" w:rsidRPr="002E36C8" w:rsidRDefault="00EF3849" w:rsidP="009134F9">
      <w:pPr>
        <w:pStyle w:val="t-9-8"/>
        <w:spacing w:before="0" w:beforeAutospacing="0" w:after="0" w:afterAutospacing="0"/>
        <w:jc w:val="both"/>
      </w:pPr>
      <w:r>
        <w:t>(9) Utvrđeni iznos porezne potpore za aktivnost ulaganja ne može biti veći od iznosa porezne obveze koja se iskazuje u prijavi poreza na dobit u skladu s posebnim propisom o oporezivanju dobiti</w:t>
      </w:r>
      <w:r w:rsidR="00EC4676">
        <w:t>.</w:t>
      </w:r>
    </w:p>
    <w:p w14:paraId="45142B7C" w14:textId="77777777" w:rsidR="00DB5C32" w:rsidRDefault="00DB5C32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33FF9" w14:textId="4E379321" w:rsidR="00EF3849" w:rsidRDefault="00CB669A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C8">
        <w:rPr>
          <w:rFonts w:ascii="Times New Roman" w:hAnsi="Times New Roman" w:cs="Times New Roman"/>
          <w:sz w:val="24"/>
          <w:szCs w:val="24"/>
        </w:rPr>
        <w:t>(</w:t>
      </w:r>
      <w:r w:rsidR="000E6B10">
        <w:rPr>
          <w:rFonts w:ascii="Times New Roman" w:hAnsi="Times New Roman" w:cs="Times New Roman"/>
          <w:sz w:val="24"/>
          <w:szCs w:val="24"/>
        </w:rPr>
        <w:t>10</w:t>
      </w:r>
      <w:r w:rsidRPr="002E36C8">
        <w:rPr>
          <w:rFonts w:ascii="Times New Roman" w:hAnsi="Times New Roman" w:cs="Times New Roman"/>
          <w:sz w:val="24"/>
          <w:szCs w:val="24"/>
        </w:rPr>
        <w:t xml:space="preserve">) Izračun </w:t>
      </w:r>
      <w:r w:rsidR="006B3123" w:rsidRPr="002E36C8">
        <w:rPr>
          <w:rFonts w:ascii="Times New Roman" w:hAnsi="Times New Roman" w:cs="Times New Roman"/>
          <w:sz w:val="24"/>
          <w:szCs w:val="24"/>
        </w:rPr>
        <w:t xml:space="preserve">porezne potpore </w:t>
      </w:r>
      <w:r w:rsidR="00F700BB" w:rsidRPr="002E36C8">
        <w:rPr>
          <w:rFonts w:ascii="Times New Roman" w:hAnsi="Times New Roman" w:cs="Times New Roman"/>
          <w:sz w:val="24"/>
          <w:szCs w:val="24"/>
        </w:rPr>
        <w:t>za</w:t>
      </w:r>
      <w:r w:rsidRPr="002E36C8">
        <w:rPr>
          <w:rFonts w:ascii="Times New Roman" w:hAnsi="Times New Roman" w:cs="Times New Roman"/>
          <w:sz w:val="24"/>
          <w:szCs w:val="24"/>
        </w:rPr>
        <w:t xml:space="preserve"> aktivnosti projekt</w:t>
      </w:r>
      <w:r w:rsidR="00F700BB" w:rsidRPr="002E36C8">
        <w:rPr>
          <w:rFonts w:ascii="Times New Roman" w:hAnsi="Times New Roman" w:cs="Times New Roman"/>
          <w:sz w:val="24"/>
          <w:szCs w:val="24"/>
        </w:rPr>
        <w:t>a</w:t>
      </w:r>
      <w:r w:rsidRPr="002E36C8">
        <w:rPr>
          <w:rFonts w:ascii="Times New Roman" w:hAnsi="Times New Roman" w:cs="Times New Roman"/>
          <w:sz w:val="24"/>
          <w:szCs w:val="24"/>
        </w:rPr>
        <w:t xml:space="preserve"> ulaganja</w:t>
      </w:r>
      <w:r w:rsidR="00F700BB" w:rsidRPr="002E36C8">
        <w:rPr>
          <w:rFonts w:ascii="Times New Roman" w:hAnsi="Times New Roman" w:cs="Times New Roman"/>
          <w:sz w:val="24"/>
          <w:szCs w:val="24"/>
        </w:rPr>
        <w:t xml:space="preserve"> iz stavka 7. ovoga članka poduzetnik dostavlja ministarstvu nadležnom za gospodarstvo</w:t>
      </w:r>
      <w:r w:rsidR="006F2A91" w:rsidRPr="002E36C8">
        <w:rPr>
          <w:rFonts w:ascii="Times New Roman" w:hAnsi="Times New Roman" w:cs="Times New Roman"/>
          <w:sz w:val="24"/>
          <w:szCs w:val="24"/>
        </w:rPr>
        <w:t xml:space="preserve"> na obrasc</w:t>
      </w:r>
      <w:r w:rsidR="0033556C">
        <w:rPr>
          <w:rFonts w:ascii="Times New Roman" w:hAnsi="Times New Roman" w:cs="Times New Roman"/>
          <w:sz w:val="24"/>
          <w:szCs w:val="24"/>
        </w:rPr>
        <w:t>u</w:t>
      </w:r>
      <w:r w:rsidR="006F2A91" w:rsidRPr="002E36C8">
        <w:rPr>
          <w:rFonts w:ascii="Times New Roman" w:hAnsi="Times New Roman" w:cs="Times New Roman"/>
          <w:sz w:val="24"/>
          <w:szCs w:val="24"/>
        </w:rPr>
        <w:t xml:space="preserve"> GI-3-ZPU-POPP pri predaji Godišnjeg izvješća o izvršenju projekta ulaganja i korištenju potpora te očuvanju odobrenog projekta ulaganja i novih radnih mjesta povezanih s ulaganjem </w:t>
      </w:r>
      <w:r w:rsidR="0006184E" w:rsidRPr="002E36C8">
        <w:rPr>
          <w:rFonts w:ascii="Times New Roman" w:hAnsi="Times New Roman" w:cs="Times New Roman"/>
          <w:sz w:val="24"/>
          <w:szCs w:val="24"/>
        </w:rPr>
        <w:t>sukladno</w:t>
      </w:r>
      <w:r w:rsidR="006F2A91" w:rsidRPr="002E36C8">
        <w:rPr>
          <w:rFonts w:ascii="Times New Roman" w:hAnsi="Times New Roman" w:cs="Times New Roman"/>
          <w:sz w:val="24"/>
          <w:szCs w:val="24"/>
        </w:rPr>
        <w:t xml:space="preserve"> člank</w:t>
      </w:r>
      <w:r w:rsidR="0006184E" w:rsidRPr="002E36C8">
        <w:rPr>
          <w:rFonts w:ascii="Times New Roman" w:hAnsi="Times New Roman" w:cs="Times New Roman"/>
          <w:sz w:val="24"/>
          <w:szCs w:val="24"/>
        </w:rPr>
        <w:t>u</w:t>
      </w:r>
      <w:r w:rsidR="006F2A91" w:rsidRPr="002E36C8">
        <w:rPr>
          <w:rFonts w:ascii="Times New Roman" w:hAnsi="Times New Roman" w:cs="Times New Roman"/>
          <w:sz w:val="24"/>
          <w:szCs w:val="24"/>
        </w:rPr>
        <w:t xml:space="preserve"> 19. Uredbe</w:t>
      </w:r>
      <w:r w:rsidR="00A552C3" w:rsidRPr="002E36C8">
        <w:rPr>
          <w:rFonts w:ascii="Times New Roman" w:hAnsi="Times New Roman" w:cs="Times New Roman"/>
          <w:sz w:val="24"/>
          <w:szCs w:val="24"/>
        </w:rPr>
        <w:t xml:space="preserve">, </w:t>
      </w:r>
      <w:r w:rsidR="00A552C3" w:rsidRPr="002E36C8">
        <w:rPr>
          <w:rFonts w:ascii="Times New Roman" w:eastAsia="Times New Roman" w:hAnsi="Times New Roman" w:cs="Times New Roman"/>
          <w:sz w:val="24"/>
          <w:szCs w:val="24"/>
        </w:rPr>
        <w:t xml:space="preserve">a utvrđeni iznos porezne potpore </w:t>
      </w:r>
      <w:r w:rsidR="00EF3849">
        <w:rPr>
          <w:rFonts w:ascii="Times New Roman" w:eastAsia="Times New Roman" w:hAnsi="Times New Roman" w:cs="Times New Roman"/>
          <w:sz w:val="24"/>
          <w:szCs w:val="24"/>
        </w:rPr>
        <w:t xml:space="preserve">za aktivnost ulaganja </w:t>
      </w:r>
      <w:r w:rsidR="00A552C3" w:rsidRPr="002E36C8">
        <w:rPr>
          <w:rFonts w:ascii="Times New Roman" w:eastAsia="Times New Roman" w:hAnsi="Times New Roman" w:cs="Times New Roman"/>
          <w:sz w:val="24"/>
          <w:szCs w:val="24"/>
        </w:rPr>
        <w:t>upisuje u prijavi poreza na dobit kao umanjenje porezne obveze.</w:t>
      </w:r>
    </w:p>
    <w:p w14:paraId="74437DFB" w14:textId="4BE3209D" w:rsidR="006F2A91" w:rsidRPr="002E36C8" w:rsidRDefault="006F2A91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26781A" w14:textId="4E7AFFA6" w:rsidR="0026272E" w:rsidRPr="002E36C8" w:rsidRDefault="005F42A6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_Hlk197601786"/>
      <w:r w:rsidRPr="002E36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1F118E" w:rsidRPr="002E36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6B1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>) U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 slučaju kada 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 xml:space="preserve">poduzetnik </w:t>
      </w:r>
      <w:r w:rsidR="00F73240" w:rsidRPr="002E36C8">
        <w:rPr>
          <w:rFonts w:ascii="Times New Roman" w:eastAsia="Times New Roman" w:hAnsi="Times New Roman" w:cs="Times New Roman"/>
          <w:sz w:val="24"/>
          <w:szCs w:val="24"/>
        </w:rPr>
        <w:t xml:space="preserve">istovremeno obavlja dvije ili više prihvatljivih poslovnih aktivnosti sukladno članku 5. Zakona, 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a projekt ulaganja se </w:t>
      </w:r>
      <w:r w:rsidR="00E33261" w:rsidRPr="0095781D">
        <w:rPr>
          <w:rFonts w:ascii="Times New Roman" w:eastAsia="Times New Roman" w:hAnsi="Times New Roman" w:cs="Times New Roman"/>
          <w:sz w:val="24"/>
          <w:szCs w:val="24"/>
        </w:rPr>
        <w:t>odnos</w:t>
      </w:r>
      <w:r w:rsidR="00F73240" w:rsidRPr="0095781D">
        <w:rPr>
          <w:rFonts w:ascii="Times New Roman" w:eastAsia="Times New Roman" w:hAnsi="Times New Roman" w:cs="Times New Roman"/>
          <w:sz w:val="24"/>
          <w:szCs w:val="24"/>
        </w:rPr>
        <w:t>i</w:t>
      </w:r>
      <w:r w:rsidR="00E33261" w:rsidRPr="0095781D">
        <w:rPr>
          <w:rFonts w:ascii="Times New Roman" w:eastAsia="Times New Roman" w:hAnsi="Times New Roman" w:cs="Times New Roman"/>
          <w:sz w:val="24"/>
          <w:szCs w:val="24"/>
        </w:rPr>
        <w:t xml:space="preserve"> na jednu </w:t>
      </w:r>
      <w:r w:rsidR="005F7F05" w:rsidRPr="0095781D">
        <w:rPr>
          <w:rFonts w:ascii="Times New Roman" w:eastAsia="Times New Roman" w:hAnsi="Times New Roman" w:cs="Times New Roman"/>
          <w:sz w:val="24"/>
          <w:szCs w:val="24"/>
        </w:rPr>
        <w:t xml:space="preserve">ili više, ali ne na sve </w:t>
      </w:r>
      <w:r w:rsidR="00E33261" w:rsidRPr="0095781D">
        <w:rPr>
          <w:rFonts w:ascii="Times New Roman" w:eastAsia="Times New Roman" w:hAnsi="Times New Roman" w:cs="Times New Roman"/>
          <w:sz w:val="24"/>
          <w:szCs w:val="24"/>
        </w:rPr>
        <w:t>poslovn</w:t>
      </w:r>
      <w:r w:rsidR="005F7F05" w:rsidRPr="0095781D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="00E33261" w:rsidRPr="0095781D">
        <w:rPr>
          <w:rFonts w:ascii="Times New Roman" w:eastAsia="Times New Roman" w:hAnsi="Times New Roman" w:cs="Times New Roman"/>
          <w:sz w:val="24"/>
          <w:szCs w:val="24"/>
        </w:rPr>
        <w:t>aktivnost</w:t>
      </w:r>
      <w:bookmarkEnd w:id="4"/>
      <w:r w:rsidR="005F7F05" w:rsidRPr="0095781D">
        <w:rPr>
          <w:rFonts w:ascii="Times New Roman" w:eastAsia="Times New Roman" w:hAnsi="Times New Roman" w:cs="Times New Roman"/>
          <w:sz w:val="24"/>
          <w:szCs w:val="24"/>
        </w:rPr>
        <w:t>i</w:t>
      </w:r>
      <w:r w:rsidR="00066502" w:rsidRPr="0095781D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957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5" w:name="_Hlk199324828"/>
      <w:r w:rsidRPr="002E36C8">
        <w:rPr>
          <w:rFonts w:ascii="Times New Roman" w:eastAsia="Times New Roman" w:hAnsi="Times New Roman" w:cs="Times New Roman"/>
          <w:sz w:val="24"/>
          <w:szCs w:val="24"/>
        </w:rPr>
        <w:t xml:space="preserve">izračun </w:t>
      </w:r>
      <w:r w:rsidR="006B3123" w:rsidRPr="002E36C8">
        <w:rPr>
          <w:rFonts w:ascii="Times New Roman" w:eastAsia="Times New Roman" w:hAnsi="Times New Roman" w:cs="Times New Roman"/>
          <w:sz w:val="24"/>
          <w:szCs w:val="24"/>
        </w:rPr>
        <w:t xml:space="preserve">porezne potpore </w:t>
      </w:r>
      <w:r w:rsidR="00EF3849">
        <w:rPr>
          <w:rFonts w:ascii="Times New Roman" w:eastAsia="Times New Roman" w:hAnsi="Times New Roman" w:cs="Times New Roman"/>
          <w:sz w:val="24"/>
          <w:szCs w:val="24"/>
        </w:rPr>
        <w:t>za aktivnost</w:t>
      </w:r>
      <w:r w:rsidR="005F7F05">
        <w:rPr>
          <w:rFonts w:ascii="Times New Roman" w:eastAsia="Times New Roman" w:hAnsi="Times New Roman" w:cs="Times New Roman"/>
          <w:sz w:val="24"/>
          <w:szCs w:val="24"/>
        </w:rPr>
        <w:t>/i</w:t>
      </w:r>
      <w:r w:rsidR="00EF3849">
        <w:rPr>
          <w:rFonts w:ascii="Times New Roman" w:eastAsia="Times New Roman" w:hAnsi="Times New Roman" w:cs="Times New Roman"/>
          <w:sz w:val="24"/>
          <w:szCs w:val="24"/>
        </w:rPr>
        <w:t xml:space="preserve"> ulaganja 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 xml:space="preserve">vrši </w:t>
      </w:r>
      <w:r w:rsidR="006C7125" w:rsidRPr="002E36C8"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 xml:space="preserve">sukladno izračunu iz stavka </w:t>
      </w:r>
      <w:r w:rsidR="0057705E" w:rsidRPr="002E36C8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>. ovoga članka</w:t>
      </w:r>
      <w:bookmarkEnd w:id="5"/>
      <w:r w:rsidRPr="002E36C8">
        <w:rPr>
          <w:rFonts w:ascii="Times New Roman" w:eastAsia="Times New Roman" w:hAnsi="Times New Roman" w:cs="Times New Roman"/>
          <w:sz w:val="24"/>
          <w:szCs w:val="24"/>
        </w:rPr>
        <w:t>, a za ostale poslovne aktivnosti</w:t>
      </w:r>
      <w:r w:rsidR="00066502" w:rsidRPr="002E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05E4" w:rsidRPr="002E36C8">
        <w:rPr>
          <w:rFonts w:ascii="Times New Roman" w:eastAsia="Times New Roman" w:hAnsi="Times New Roman" w:cs="Times New Roman"/>
          <w:sz w:val="24"/>
          <w:szCs w:val="24"/>
        </w:rPr>
        <w:t xml:space="preserve">izračun osnovice poreza </w:t>
      </w:r>
      <w:r w:rsidR="0026272E" w:rsidRPr="002E36C8">
        <w:rPr>
          <w:rFonts w:ascii="Times New Roman" w:eastAsia="Times New Roman" w:hAnsi="Times New Roman" w:cs="Times New Roman"/>
          <w:sz w:val="24"/>
          <w:szCs w:val="24"/>
        </w:rPr>
        <w:t xml:space="preserve">na dobit </w:t>
      </w:r>
      <w:r w:rsidR="00CD05E4" w:rsidRPr="002E36C8">
        <w:rPr>
          <w:rFonts w:ascii="Times New Roman" w:eastAsia="Times New Roman" w:hAnsi="Times New Roman" w:cs="Times New Roman"/>
          <w:sz w:val="24"/>
          <w:szCs w:val="24"/>
        </w:rPr>
        <w:t>za svako posebno porezno razdoblje vrši se na način propisan propisom o oporezivanju dobiti</w:t>
      </w:r>
      <w:r w:rsidR="006B3123" w:rsidRPr="002E36C8">
        <w:rPr>
          <w:rFonts w:ascii="Times New Roman" w:eastAsia="Times New Roman" w:hAnsi="Times New Roman" w:cs="Times New Roman"/>
          <w:sz w:val="24"/>
          <w:szCs w:val="24"/>
        </w:rPr>
        <w:t>, a utvrđeni iznos porezne potpore</w:t>
      </w:r>
      <w:r w:rsidR="000B3713" w:rsidRPr="002E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E6B10">
        <w:rPr>
          <w:rFonts w:ascii="Times New Roman" w:eastAsia="Times New Roman" w:hAnsi="Times New Roman" w:cs="Times New Roman"/>
          <w:sz w:val="24"/>
          <w:szCs w:val="24"/>
        </w:rPr>
        <w:t xml:space="preserve">za aktivnost ulaganja </w:t>
      </w:r>
      <w:r w:rsidR="000B3713" w:rsidRPr="002E36C8">
        <w:rPr>
          <w:rFonts w:ascii="Times New Roman" w:eastAsia="Times New Roman" w:hAnsi="Times New Roman" w:cs="Times New Roman"/>
          <w:sz w:val="24"/>
          <w:szCs w:val="24"/>
        </w:rPr>
        <w:t>upisuje u prijavi poreza na dobit</w:t>
      </w:r>
      <w:r w:rsidR="006B3123" w:rsidRPr="002E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B3713" w:rsidRPr="002E36C8">
        <w:rPr>
          <w:rFonts w:ascii="Times New Roman" w:eastAsia="Times New Roman" w:hAnsi="Times New Roman" w:cs="Times New Roman"/>
          <w:sz w:val="24"/>
          <w:szCs w:val="24"/>
        </w:rPr>
        <w:t>kao umanjenje porezne obveze.</w:t>
      </w:r>
    </w:p>
    <w:p w14:paraId="71B3624B" w14:textId="2763EAC4" w:rsidR="00E33261" w:rsidRPr="002E36C8" w:rsidRDefault="00E33261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CA40E7" w14:textId="16A3E512" w:rsidR="0079063F" w:rsidRPr="002E36C8" w:rsidRDefault="0026272E" w:rsidP="009134F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36C8">
        <w:rPr>
          <w:rFonts w:ascii="Times New Roman" w:eastAsia="Times New Roman" w:hAnsi="Times New Roman" w:cs="Times New Roman"/>
          <w:sz w:val="24"/>
          <w:szCs w:val="24"/>
        </w:rPr>
        <w:t>(</w:t>
      </w:r>
      <w:r w:rsidR="0057705E" w:rsidRPr="002E36C8">
        <w:rPr>
          <w:rFonts w:ascii="Times New Roman" w:eastAsia="Times New Roman" w:hAnsi="Times New Roman" w:cs="Times New Roman"/>
          <w:sz w:val="24"/>
          <w:szCs w:val="24"/>
        </w:rPr>
        <w:t>1</w:t>
      </w:r>
      <w:r w:rsidR="000E6B1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>) U slučaju kada poduzetnik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7125" w:rsidRPr="002E36C8">
        <w:rPr>
          <w:rFonts w:ascii="Times New Roman" w:eastAsia="Times New Roman" w:hAnsi="Times New Roman" w:cs="Times New Roman"/>
          <w:sz w:val="24"/>
          <w:szCs w:val="24"/>
        </w:rPr>
        <w:t xml:space="preserve">istovremeno 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obavlja više poslovnih aktivnosti </w:t>
      </w:r>
      <w:r w:rsidRPr="002E36C8">
        <w:rPr>
          <w:rFonts w:ascii="Times New Roman" w:eastAsia="Times New Roman" w:hAnsi="Times New Roman" w:cs="Times New Roman"/>
          <w:sz w:val="24"/>
          <w:szCs w:val="24"/>
        </w:rPr>
        <w:t>te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 vrši projekt ulaganja u sve </w:t>
      </w:r>
      <w:r w:rsidR="006C7125" w:rsidRPr="002E36C8">
        <w:rPr>
          <w:rFonts w:ascii="Times New Roman" w:eastAsia="Times New Roman" w:hAnsi="Times New Roman" w:cs="Times New Roman"/>
          <w:sz w:val="24"/>
          <w:szCs w:val="24"/>
        </w:rPr>
        <w:t xml:space="preserve">poslovne 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>aktivnosti u istom trogodišnjem razdoblju realizacije projekta</w:t>
      </w:r>
      <w:r w:rsidR="00656B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 ali </w:t>
      </w:r>
      <w:r w:rsidR="00CE74D2" w:rsidRPr="002E36C8">
        <w:rPr>
          <w:rFonts w:ascii="Times New Roman" w:eastAsia="Times New Roman" w:hAnsi="Times New Roman" w:cs="Times New Roman"/>
          <w:sz w:val="24"/>
          <w:szCs w:val="24"/>
        </w:rPr>
        <w:t xml:space="preserve">neke od 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>tih aktivnosti ne predstavlja</w:t>
      </w:r>
      <w:r w:rsidR="0079063F" w:rsidRPr="002E36C8">
        <w:rPr>
          <w:rFonts w:ascii="Times New Roman" w:eastAsia="Times New Roman" w:hAnsi="Times New Roman" w:cs="Times New Roman"/>
          <w:sz w:val="24"/>
          <w:szCs w:val="24"/>
        </w:rPr>
        <w:t>ju</w:t>
      </w:r>
      <w:r w:rsidR="00E33261" w:rsidRPr="002E36C8">
        <w:rPr>
          <w:rFonts w:ascii="Times New Roman" w:eastAsia="Times New Roman" w:hAnsi="Times New Roman" w:cs="Times New Roman"/>
          <w:sz w:val="24"/>
          <w:szCs w:val="24"/>
        </w:rPr>
        <w:t xml:space="preserve"> prihvatljive aktivnosti za dodjelu potpora za ulaganje</w:t>
      </w:r>
      <w:r w:rsidR="00CE74D2" w:rsidRPr="002E36C8">
        <w:rPr>
          <w:rFonts w:ascii="Times New Roman" w:eastAsia="Times New Roman" w:hAnsi="Times New Roman" w:cs="Times New Roman"/>
          <w:sz w:val="24"/>
          <w:szCs w:val="24"/>
        </w:rPr>
        <w:t xml:space="preserve"> sukladno člank</w:t>
      </w:r>
      <w:r w:rsidR="006C7125" w:rsidRPr="002E36C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E74D2" w:rsidRPr="002E36C8">
        <w:rPr>
          <w:rFonts w:ascii="Times New Roman" w:eastAsia="Times New Roman" w:hAnsi="Times New Roman" w:cs="Times New Roman"/>
          <w:sz w:val="24"/>
          <w:szCs w:val="24"/>
        </w:rPr>
        <w:t xml:space="preserve"> 10. stavk</w:t>
      </w:r>
      <w:r w:rsidR="006C7125" w:rsidRPr="002E36C8">
        <w:rPr>
          <w:rFonts w:ascii="Times New Roman" w:eastAsia="Times New Roman" w:hAnsi="Times New Roman" w:cs="Times New Roman"/>
          <w:sz w:val="24"/>
          <w:szCs w:val="24"/>
        </w:rPr>
        <w:t>u</w:t>
      </w:r>
      <w:r w:rsidR="00CE74D2" w:rsidRPr="002E36C8">
        <w:rPr>
          <w:rFonts w:ascii="Times New Roman" w:eastAsia="Times New Roman" w:hAnsi="Times New Roman" w:cs="Times New Roman"/>
          <w:sz w:val="24"/>
          <w:szCs w:val="24"/>
        </w:rPr>
        <w:t xml:space="preserve"> 7. Zakona, izračun </w:t>
      </w:r>
      <w:r w:rsidR="006B3123" w:rsidRPr="002E36C8">
        <w:rPr>
          <w:rFonts w:ascii="Times New Roman" w:eastAsia="Times New Roman" w:hAnsi="Times New Roman" w:cs="Times New Roman"/>
          <w:sz w:val="24"/>
          <w:szCs w:val="24"/>
        </w:rPr>
        <w:t>porezne potpore</w:t>
      </w:r>
      <w:r w:rsidR="00CE74D2" w:rsidRPr="002E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063F" w:rsidRPr="002E36C8">
        <w:rPr>
          <w:rFonts w:ascii="Times New Roman" w:eastAsia="Times New Roman" w:hAnsi="Times New Roman" w:cs="Times New Roman"/>
          <w:sz w:val="24"/>
          <w:szCs w:val="24"/>
        </w:rPr>
        <w:t xml:space="preserve">sukladno </w:t>
      </w:r>
      <w:r w:rsidR="000E6B10">
        <w:rPr>
          <w:rFonts w:ascii="Times New Roman" w:eastAsia="Times New Roman" w:hAnsi="Times New Roman" w:cs="Times New Roman"/>
          <w:sz w:val="24"/>
          <w:szCs w:val="24"/>
        </w:rPr>
        <w:t xml:space="preserve">izračunu iz </w:t>
      </w:r>
      <w:r w:rsidR="0079063F" w:rsidRPr="002E36C8">
        <w:rPr>
          <w:rFonts w:ascii="Times New Roman" w:eastAsia="Times New Roman" w:hAnsi="Times New Roman" w:cs="Times New Roman"/>
          <w:sz w:val="24"/>
          <w:szCs w:val="24"/>
        </w:rPr>
        <w:t>stavk</w:t>
      </w:r>
      <w:r w:rsidR="000E6B10">
        <w:rPr>
          <w:rFonts w:ascii="Times New Roman" w:eastAsia="Times New Roman" w:hAnsi="Times New Roman" w:cs="Times New Roman"/>
          <w:sz w:val="24"/>
          <w:szCs w:val="24"/>
        </w:rPr>
        <w:t>a</w:t>
      </w:r>
      <w:r w:rsidR="0079063F" w:rsidRPr="002E36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B3123" w:rsidRPr="002E36C8">
        <w:rPr>
          <w:rFonts w:ascii="Times New Roman" w:eastAsia="Times New Roman" w:hAnsi="Times New Roman" w:cs="Times New Roman"/>
          <w:sz w:val="24"/>
          <w:szCs w:val="24"/>
        </w:rPr>
        <w:t>7</w:t>
      </w:r>
      <w:r w:rsidR="0079063F" w:rsidRPr="002E36C8">
        <w:rPr>
          <w:rFonts w:ascii="Times New Roman" w:eastAsia="Times New Roman" w:hAnsi="Times New Roman" w:cs="Times New Roman"/>
          <w:sz w:val="24"/>
          <w:szCs w:val="24"/>
        </w:rPr>
        <w:t xml:space="preserve">. ovoga članka </w:t>
      </w:r>
      <w:r w:rsidR="00CE74D2" w:rsidRPr="002E36C8">
        <w:rPr>
          <w:rFonts w:ascii="Times New Roman" w:eastAsia="Times New Roman" w:hAnsi="Times New Roman" w:cs="Times New Roman"/>
          <w:sz w:val="24"/>
          <w:szCs w:val="24"/>
        </w:rPr>
        <w:t xml:space="preserve">vrši se </w:t>
      </w:r>
      <w:r w:rsidR="0079063F" w:rsidRPr="002E36C8">
        <w:rPr>
          <w:rFonts w:ascii="Times New Roman" w:eastAsia="Times New Roman" w:hAnsi="Times New Roman" w:cs="Times New Roman"/>
          <w:sz w:val="24"/>
          <w:szCs w:val="24"/>
        </w:rPr>
        <w:t>isključivo za prihvatljive aktivnosti,</w:t>
      </w:r>
      <w:r w:rsidR="0079063F" w:rsidRPr="002E36C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045044">
        <w:rPr>
          <w:rFonts w:ascii="Times New Roman" w:eastAsia="Times New Roman" w:hAnsi="Times New Roman" w:cs="Times New Roman"/>
          <w:sz w:val="24"/>
          <w:szCs w:val="24"/>
        </w:rPr>
        <w:t xml:space="preserve">te se </w:t>
      </w:r>
      <w:r w:rsidR="000B3713" w:rsidRPr="002E36C8">
        <w:rPr>
          <w:rFonts w:ascii="Times New Roman" w:eastAsia="Times New Roman" w:hAnsi="Times New Roman" w:cs="Times New Roman"/>
          <w:sz w:val="24"/>
          <w:szCs w:val="24"/>
        </w:rPr>
        <w:t xml:space="preserve"> utvrđeni iznos porezne potpore </w:t>
      </w:r>
      <w:r w:rsidR="000E6B10">
        <w:rPr>
          <w:rFonts w:ascii="Times New Roman" w:eastAsia="Times New Roman" w:hAnsi="Times New Roman" w:cs="Times New Roman"/>
          <w:sz w:val="24"/>
          <w:szCs w:val="24"/>
        </w:rPr>
        <w:t xml:space="preserve">za prihvatljive aktivnosti ulaganja </w:t>
      </w:r>
      <w:r w:rsidR="000B3713" w:rsidRPr="002E36C8">
        <w:rPr>
          <w:rFonts w:ascii="Times New Roman" w:eastAsia="Times New Roman" w:hAnsi="Times New Roman" w:cs="Times New Roman"/>
          <w:sz w:val="24"/>
          <w:szCs w:val="24"/>
        </w:rPr>
        <w:t>upisuje u prijavi poreza na dobit kao umanjenje porezne obveze.</w:t>
      </w:r>
    </w:p>
    <w:p w14:paraId="34E86495" w14:textId="77777777" w:rsidR="00DB5C32" w:rsidRDefault="00DB5C32" w:rsidP="00DB5C32">
      <w:pPr>
        <w:pStyle w:val="t-9-8"/>
        <w:spacing w:before="0" w:beforeAutospacing="0" w:after="0" w:afterAutospacing="0"/>
        <w:jc w:val="both"/>
      </w:pPr>
    </w:p>
    <w:p w14:paraId="0689E281" w14:textId="078FDB9A" w:rsidR="0057705E" w:rsidRPr="002E36C8" w:rsidRDefault="0079063F" w:rsidP="00DB5C32">
      <w:pPr>
        <w:pStyle w:val="t-9-8"/>
        <w:spacing w:before="0" w:beforeAutospacing="0" w:after="0" w:afterAutospacing="0"/>
        <w:jc w:val="both"/>
      </w:pPr>
      <w:r w:rsidRPr="002E36C8">
        <w:t>(</w:t>
      </w:r>
      <w:r w:rsidR="0057705E" w:rsidRPr="002E36C8">
        <w:t>1</w:t>
      </w:r>
      <w:r w:rsidR="000E6B10">
        <w:t>3</w:t>
      </w:r>
      <w:r w:rsidR="007D3C79" w:rsidRPr="002E36C8">
        <w:t xml:space="preserve">) </w:t>
      </w:r>
      <w:r w:rsidR="007B1359" w:rsidRPr="002E36C8">
        <w:t xml:space="preserve">Pri izračunu osnovice poreza na dobit iz stavka </w:t>
      </w:r>
      <w:r w:rsidR="00A552C3" w:rsidRPr="002E36C8">
        <w:t>7</w:t>
      </w:r>
      <w:r w:rsidR="007B1359" w:rsidRPr="002E36C8">
        <w:t xml:space="preserve">. ovoga članka </w:t>
      </w:r>
      <w:r w:rsidR="008A42D9" w:rsidRPr="002E36C8">
        <w:t>odgovarajući iznos troškova poslovanja iz članaka 12., 13. i 20. Zakona odnosno rashod</w:t>
      </w:r>
      <w:r w:rsidRPr="002E36C8">
        <w:t>i</w:t>
      </w:r>
      <w:r w:rsidR="008A42D9" w:rsidRPr="002E36C8">
        <w:t xml:space="preserve"> aktivnosti ulaganja n</w:t>
      </w:r>
      <w:r w:rsidRPr="002E36C8">
        <w:t>e</w:t>
      </w:r>
      <w:r w:rsidR="008A42D9" w:rsidRPr="002E36C8">
        <w:t xml:space="preserve"> mo</w:t>
      </w:r>
      <w:r w:rsidRPr="002E36C8">
        <w:t>gu</w:t>
      </w:r>
      <w:r w:rsidR="008A42D9" w:rsidRPr="002E36C8">
        <w:t xml:space="preserve"> iznositi manji </w:t>
      </w:r>
      <w:r w:rsidR="001D3C9B" w:rsidRPr="002E36C8">
        <w:t xml:space="preserve">postotni </w:t>
      </w:r>
      <w:r w:rsidR="008A42D9" w:rsidRPr="002E36C8">
        <w:t>udio u ukupnim rashodima poslovanja</w:t>
      </w:r>
      <w:r w:rsidRPr="002E36C8">
        <w:t xml:space="preserve"> poduzetnika</w:t>
      </w:r>
      <w:r w:rsidR="008A42D9" w:rsidRPr="002E36C8">
        <w:t xml:space="preserve"> u odnosu na </w:t>
      </w:r>
      <w:r w:rsidR="001D3C9B" w:rsidRPr="002E36C8">
        <w:t xml:space="preserve">postotni </w:t>
      </w:r>
      <w:r w:rsidR="008A42D9" w:rsidRPr="002E36C8">
        <w:t xml:space="preserve">udio prihoda aktivnosti ulaganja </w:t>
      </w:r>
      <w:r w:rsidR="0006184E" w:rsidRPr="002E36C8">
        <w:t xml:space="preserve">umanjenih za iznos pasivnih prihoda aktivnosti ulaganja </w:t>
      </w:r>
      <w:r w:rsidR="008A42D9" w:rsidRPr="002E36C8">
        <w:t>u ukupnim prihodima poslovanja</w:t>
      </w:r>
      <w:r w:rsidRPr="002E36C8">
        <w:t xml:space="preserve"> poduzetnika</w:t>
      </w:r>
      <w:r w:rsidR="008A42D9" w:rsidRPr="002E36C8">
        <w:t xml:space="preserve">. </w:t>
      </w:r>
    </w:p>
    <w:p w14:paraId="672F9332" w14:textId="77777777" w:rsidR="00DB5C32" w:rsidRDefault="00DB5C32" w:rsidP="00DB5C32">
      <w:pPr>
        <w:pStyle w:val="t-9-8"/>
        <w:spacing w:before="0" w:beforeAutospacing="0" w:after="0" w:afterAutospacing="0"/>
        <w:jc w:val="both"/>
      </w:pPr>
    </w:p>
    <w:p w14:paraId="4F575183" w14:textId="275E4952" w:rsidR="000E6B10" w:rsidRDefault="0057705E" w:rsidP="00DB5C32">
      <w:pPr>
        <w:pStyle w:val="t-9-8"/>
        <w:spacing w:before="0" w:beforeAutospacing="0" w:after="0" w:afterAutospacing="0"/>
        <w:jc w:val="both"/>
      </w:pPr>
      <w:r w:rsidRPr="002E36C8">
        <w:t>(1</w:t>
      </w:r>
      <w:r w:rsidR="000E6B10">
        <w:t>4</w:t>
      </w:r>
      <w:r w:rsidRPr="002E36C8">
        <w:t xml:space="preserve">) Kada poduzetnik koji istovremeno obavlja više poslovnih aktivnosti ostvaruje dobit iz aktivnosti projekta ulaganja, a za ostale poslovne aktivnosti ostvaruje gubitak u poslovanju, tada je korištenje porezne potpore moguće </w:t>
      </w:r>
      <w:r w:rsidR="00ED2F85" w:rsidRPr="002E36C8">
        <w:t xml:space="preserve">tek </w:t>
      </w:r>
      <w:r w:rsidRPr="002E36C8">
        <w:t xml:space="preserve">nakon pokrića ostvarenog gubitka u ukupnom poslovanju iz dobiti </w:t>
      </w:r>
      <w:r w:rsidR="00ED2F85" w:rsidRPr="002E36C8">
        <w:t>ostvarene od aktivnosti projekta ulaganja za svako posebno porezno razdoblje.</w:t>
      </w:r>
    </w:p>
    <w:p w14:paraId="7DE42A9D" w14:textId="77777777" w:rsidR="00DB5C32" w:rsidRDefault="00DB5C32" w:rsidP="00DB5C32">
      <w:pPr>
        <w:pStyle w:val="t-9-8"/>
        <w:spacing w:before="0" w:beforeAutospacing="0" w:after="0" w:afterAutospacing="0"/>
        <w:jc w:val="both"/>
      </w:pPr>
    </w:p>
    <w:p w14:paraId="2C1C808E" w14:textId="77DBAA22" w:rsidR="007D3C79" w:rsidRPr="002E36C8" w:rsidRDefault="000E6B10" w:rsidP="00DB5C32">
      <w:pPr>
        <w:pStyle w:val="t-9-8"/>
        <w:spacing w:before="0" w:beforeAutospacing="0" w:after="0" w:afterAutospacing="0"/>
        <w:jc w:val="both"/>
      </w:pPr>
      <w:r>
        <w:t xml:space="preserve">(15) Izračun osnovice poreza na dobit i porezne potpore za aktivnost ulaganja iz stavka 7. ovoga članka nema utjecaja na utvrđivanje iznosa obveze poreza na dobit u skladu s posebnim propisima o oporezivanju dobiti, ali u slučaju kada nadležno tijelo </w:t>
      </w:r>
      <w:r w:rsidR="008C3BC9">
        <w:t>M</w:t>
      </w:r>
      <w:r>
        <w:t xml:space="preserve">inistarstva financija izvrši promjene vezane uz utvrđenu obvezu poreza na dobit za određeno porezno razdoblje, poduzetnik je dužan </w:t>
      </w:r>
      <w:r w:rsidR="008C3BC9">
        <w:t>o</w:t>
      </w:r>
      <w:r>
        <w:t xml:space="preserve"> tome izvijestiti nadležno ministarstvo i po potrebi napraviti izmjene Godišnjeg izvješća o izvršenju projekta ulaganja i korištenju pot</w:t>
      </w:r>
      <w:r w:rsidR="003713A0">
        <w:t>p</w:t>
      </w:r>
      <w:r>
        <w:t>ora.</w:t>
      </w:r>
      <w:r w:rsidR="004652A1">
        <w:t>“</w:t>
      </w:r>
      <w:r w:rsidR="00E930F5">
        <w:t>.</w:t>
      </w:r>
    </w:p>
    <w:p w14:paraId="2C87CB27" w14:textId="77777777" w:rsidR="000C340E" w:rsidRPr="00E80BAE" w:rsidRDefault="000C340E" w:rsidP="00DB5C32">
      <w:pPr>
        <w:pStyle w:val="clanak-"/>
        <w:spacing w:before="0" w:beforeAutospacing="0" w:after="0" w:afterAutospacing="0"/>
        <w:jc w:val="center"/>
        <w:rPr>
          <w:b/>
        </w:rPr>
      </w:pPr>
    </w:p>
    <w:p w14:paraId="2E0883B3" w14:textId="7F0199B1" w:rsidR="00730BFE" w:rsidRPr="00E80BAE" w:rsidRDefault="00730BFE" w:rsidP="00DB5C32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Članak 4.</w:t>
      </w:r>
    </w:p>
    <w:p w14:paraId="4A4C4AA3" w14:textId="77777777" w:rsidR="00EC4676" w:rsidRDefault="00EC4676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1B9EF8" w14:textId="75BC0D04" w:rsidR="00F97B1C" w:rsidRPr="008F5F93" w:rsidRDefault="00F97B1C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F93">
        <w:rPr>
          <w:rFonts w:ascii="Times New Roman" w:hAnsi="Times New Roman" w:cs="Times New Roman"/>
          <w:sz w:val="24"/>
          <w:szCs w:val="24"/>
        </w:rPr>
        <w:t>U članku 9. stavak 5. mijenja se i glasi:</w:t>
      </w:r>
    </w:p>
    <w:p w14:paraId="4B0DFC08" w14:textId="77777777" w:rsidR="00EC4676" w:rsidRDefault="00EC4676" w:rsidP="009134F9">
      <w:pPr>
        <w:pStyle w:val="t-9-8"/>
        <w:spacing w:before="0" w:beforeAutospacing="0" w:after="0" w:afterAutospacing="0"/>
        <w:jc w:val="both"/>
      </w:pPr>
    </w:p>
    <w:p w14:paraId="742FC00A" w14:textId="58979A79" w:rsidR="00F97B1C" w:rsidRPr="008F5F93" w:rsidRDefault="00F97B1C" w:rsidP="00EC4676">
      <w:pPr>
        <w:pStyle w:val="t-9-8"/>
        <w:spacing w:before="0" w:beforeAutospacing="0" w:after="0" w:afterAutospacing="0"/>
        <w:jc w:val="both"/>
      </w:pPr>
      <w:r w:rsidRPr="00E80BAE">
        <w:t>„(5) Ukoliko zapošljavanje povezano s ulaganjem ne ispunjava uvjete propisane stavkom 3. ovoga članka</w:t>
      </w:r>
      <w:r w:rsidR="002A4AFC">
        <w:t>,</w:t>
      </w:r>
      <w:r w:rsidRPr="00E80BAE">
        <w:t xml:space="preserve"> korisniku potpore za ulaganje odobrit će se </w:t>
      </w:r>
      <w:r w:rsidR="007733E4">
        <w:t>8</w:t>
      </w:r>
      <w:r w:rsidR="003A1159" w:rsidRPr="00E80BAE">
        <w:t>0</w:t>
      </w:r>
      <w:r w:rsidRPr="00E80BAE">
        <w:t>% iznosa potpora propisanih člankom 14. stavcima 1. do 3. Zakona.</w:t>
      </w:r>
      <w:r w:rsidRPr="008F5F93">
        <w:t>”</w:t>
      </w:r>
      <w:r w:rsidR="002A4AFC">
        <w:t>.</w:t>
      </w:r>
    </w:p>
    <w:p w14:paraId="3717A8AA" w14:textId="77777777" w:rsidR="00A70726" w:rsidRPr="00E80BAE" w:rsidRDefault="00A70726" w:rsidP="00EC4676">
      <w:pPr>
        <w:pStyle w:val="clanak-"/>
        <w:spacing w:before="0" w:beforeAutospacing="0" w:after="0" w:afterAutospacing="0"/>
        <w:jc w:val="center"/>
        <w:rPr>
          <w:rFonts w:cstheme="minorHAnsi"/>
        </w:rPr>
      </w:pPr>
    </w:p>
    <w:p w14:paraId="173A8DBB" w14:textId="2CB0A8BF" w:rsidR="006E7C0A" w:rsidRPr="00E80BAE" w:rsidRDefault="006E7C0A" w:rsidP="00EC4676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Članak 5</w:t>
      </w:r>
      <w:r w:rsidR="00CD1175" w:rsidRPr="00E80BAE">
        <w:rPr>
          <w:b/>
        </w:rPr>
        <w:t>.</w:t>
      </w:r>
    </w:p>
    <w:p w14:paraId="527B7B79" w14:textId="77777777" w:rsidR="00EC4676" w:rsidRDefault="00EC4676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487CDA" w14:textId="539D3EB5" w:rsidR="003711C8" w:rsidRPr="008F5F93" w:rsidRDefault="007D5E3C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5F93">
        <w:rPr>
          <w:rFonts w:ascii="Times New Roman" w:hAnsi="Times New Roman" w:cs="Times New Roman"/>
          <w:sz w:val="24"/>
          <w:szCs w:val="24"/>
        </w:rPr>
        <w:t xml:space="preserve">U članku 19. stavak 1. </w:t>
      </w:r>
      <w:r w:rsidR="003711C8" w:rsidRPr="008F5F93">
        <w:rPr>
          <w:rFonts w:ascii="Times New Roman" w:hAnsi="Times New Roman" w:cs="Times New Roman"/>
          <w:sz w:val="24"/>
          <w:szCs w:val="24"/>
        </w:rPr>
        <w:t xml:space="preserve">točka </w:t>
      </w:r>
      <w:r w:rsidR="00A21846" w:rsidRPr="008F5F93">
        <w:rPr>
          <w:rFonts w:ascii="Times New Roman" w:hAnsi="Times New Roman" w:cs="Times New Roman"/>
          <w:sz w:val="24"/>
          <w:szCs w:val="24"/>
        </w:rPr>
        <w:t>1</w:t>
      </w:r>
      <w:r w:rsidR="003711C8" w:rsidRPr="008F5F93">
        <w:rPr>
          <w:rFonts w:ascii="Times New Roman" w:hAnsi="Times New Roman" w:cs="Times New Roman"/>
          <w:sz w:val="24"/>
          <w:szCs w:val="24"/>
        </w:rPr>
        <w:t xml:space="preserve">. </w:t>
      </w:r>
      <w:r w:rsidR="008112FB" w:rsidRPr="008F5F93">
        <w:rPr>
          <w:rFonts w:ascii="Times New Roman" w:hAnsi="Times New Roman" w:cs="Times New Roman"/>
          <w:sz w:val="24"/>
          <w:szCs w:val="24"/>
        </w:rPr>
        <w:t>m</w:t>
      </w:r>
      <w:r w:rsidR="003711C8" w:rsidRPr="008F5F93">
        <w:rPr>
          <w:rFonts w:ascii="Times New Roman" w:hAnsi="Times New Roman" w:cs="Times New Roman"/>
          <w:sz w:val="24"/>
          <w:szCs w:val="24"/>
        </w:rPr>
        <w:t xml:space="preserve">ijenja se i glasi: </w:t>
      </w:r>
    </w:p>
    <w:p w14:paraId="6BA6A662" w14:textId="77777777" w:rsidR="003711C8" w:rsidRPr="008F5F93" w:rsidRDefault="003711C8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126342" w14:textId="3AFE6A55" w:rsidR="00A21846" w:rsidRPr="008F5F93" w:rsidRDefault="00292024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F93">
        <w:rPr>
          <w:rFonts w:ascii="Times New Roman" w:hAnsi="Times New Roman" w:cs="Times New Roman"/>
          <w:sz w:val="24"/>
          <w:szCs w:val="24"/>
        </w:rPr>
        <w:t>“</w:t>
      </w:r>
      <w:r w:rsidR="00A21846" w:rsidRPr="008F5F93">
        <w:rPr>
          <w:rFonts w:ascii="Times New Roman" w:hAnsi="Times New Roman" w:cs="Times New Roman"/>
          <w:sz w:val="24"/>
          <w:szCs w:val="24"/>
        </w:rPr>
        <w:t>1. ispunjeni obraz</w:t>
      </w:r>
      <w:r w:rsidR="00F60971">
        <w:rPr>
          <w:rFonts w:ascii="Times New Roman" w:hAnsi="Times New Roman" w:cs="Times New Roman"/>
          <w:sz w:val="24"/>
          <w:szCs w:val="24"/>
        </w:rPr>
        <w:t>a</w:t>
      </w:r>
      <w:r w:rsidR="00A21846" w:rsidRPr="008F5F93">
        <w:rPr>
          <w:rFonts w:ascii="Times New Roman" w:hAnsi="Times New Roman" w:cs="Times New Roman"/>
          <w:sz w:val="24"/>
          <w:szCs w:val="24"/>
        </w:rPr>
        <w:t>c GI-1, a</w:t>
      </w:r>
      <w:r w:rsidR="00A21846" w:rsidRPr="002E36C8">
        <w:t xml:space="preserve"> </w:t>
      </w:r>
      <w:r w:rsidR="00F60971">
        <w:rPr>
          <w:rFonts w:ascii="Times New Roman" w:hAnsi="Times New Roman" w:cs="Times New Roman"/>
          <w:sz w:val="24"/>
          <w:szCs w:val="24"/>
        </w:rPr>
        <w:t xml:space="preserve">za </w:t>
      </w:r>
      <w:r w:rsidR="00A21846" w:rsidRPr="002E36C8">
        <w:rPr>
          <w:rFonts w:ascii="Times New Roman" w:hAnsi="Times New Roman" w:cs="Times New Roman"/>
          <w:sz w:val="24"/>
          <w:szCs w:val="24"/>
        </w:rPr>
        <w:t xml:space="preserve">projekte ulaganja koji počinju od 1. siječnja 2025. i obrasce GI-2 </w:t>
      </w:r>
      <w:r w:rsidR="00727130" w:rsidRPr="002E36C8">
        <w:rPr>
          <w:rFonts w:ascii="Times New Roman" w:hAnsi="Times New Roman" w:cs="Times New Roman"/>
          <w:sz w:val="24"/>
          <w:szCs w:val="24"/>
        </w:rPr>
        <w:t>– Pregled pasivnih prihoda aktiv</w:t>
      </w:r>
      <w:r w:rsidR="006F2A91" w:rsidRPr="002E36C8">
        <w:rPr>
          <w:rFonts w:ascii="Times New Roman" w:hAnsi="Times New Roman" w:cs="Times New Roman"/>
          <w:sz w:val="24"/>
          <w:szCs w:val="24"/>
        </w:rPr>
        <w:t>n</w:t>
      </w:r>
      <w:r w:rsidR="00727130" w:rsidRPr="002E36C8">
        <w:rPr>
          <w:rFonts w:ascii="Times New Roman" w:hAnsi="Times New Roman" w:cs="Times New Roman"/>
          <w:sz w:val="24"/>
          <w:szCs w:val="24"/>
        </w:rPr>
        <w:t xml:space="preserve">osti ulaganja </w:t>
      </w:r>
      <w:r w:rsidR="00A21846" w:rsidRPr="002E36C8">
        <w:rPr>
          <w:rFonts w:ascii="Times New Roman" w:hAnsi="Times New Roman" w:cs="Times New Roman"/>
          <w:sz w:val="24"/>
          <w:szCs w:val="24"/>
        </w:rPr>
        <w:t>i GI-3-ZPU-</w:t>
      </w:r>
      <w:r w:rsidR="00727130" w:rsidRPr="002E36C8">
        <w:rPr>
          <w:rFonts w:ascii="Times New Roman" w:hAnsi="Times New Roman" w:cs="Times New Roman"/>
          <w:sz w:val="24"/>
          <w:szCs w:val="24"/>
        </w:rPr>
        <w:t>PO</w:t>
      </w:r>
      <w:r w:rsidR="00A21846" w:rsidRPr="002E36C8">
        <w:rPr>
          <w:rFonts w:ascii="Times New Roman" w:hAnsi="Times New Roman" w:cs="Times New Roman"/>
          <w:sz w:val="24"/>
          <w:szCs w:val="24"/>
        </w:rPr>
        <w:t>PP</w:t>
      </w:r>
      <w:r w:rsidR="00727130" w:rsidRPr="002E36C8">
        <w:rPr>
          <w:rFonts w:ascii="Times New Roman" w:hAnsi="Times New Roman" w:cs="Times New Roman"/>
          <w:sz w:val="24"/>
          <w:szCs w:val="24"/>
        </w:rPr>
        <w:t xml:space="preserve"> – Izračun porezne osnovice i porezne potpore za aktivnost ulaganja</w:t>
      </w:r>
      <w:r w:rsidR="00A21846" w:rsidRPr="002E36C8">
        <w:rPr>
          <w:rFonts w:ascii="Times New Roman" w:hAnsi="Times New Roman" w:cs="Times New Roman"/>
          <w:sz w:val="24"/>
          <w:szCs w:val="24"/>
        </w:rPr>
        <w:t>, koje je ministarstvu nadležnom za gospodarstvo potrebno dostaviti i u elektroničkom obliku</w:t>
      </w:r>
      <w:r w:rsidRPr="002E36C8">
        <w:rPr>
          <w:rFonts w:ascii="Times New Roman" w:hAnsi="Times New Roman" w:cs="Times New Roman"/>
          <w:sz w:val="24"/>
          <w:szCs w:val="24"/>
        </w:rPr>
        <w:t>“</w:t>
      </w:r>
      <w:r w:rsidR="006D0F57">
        <w:rPr>
          <w:rFonts w:ascii="Times New Roman" w:hAnsi="Times New Roman" w:cs="Times New Roman"/>
          <w:sz w:val="24"/>
          <w:szCs w:val="24"/>
        </w:rPr>
        <w:t>.</w:t>
      </w:r>
    </w:p>
    <w:p w14:paraId="73BD9A9D" w14:textId="77777777" w:rsidR="00A21846" w:rsidRPr="008F5F93" w:rsidRDefault="00A21846" w:rsidP="009134F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7A288A" w14:textId="034103A6" w:rsidR="007D5E3C" w:rsidRPr="008F5F93" w:rsidRDefault="006D0F57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7D5E3C" w:rsidRPr="008F5F93">
        <w:rPr>
          <w:rFonts w:ascii="Times New Roman" w:hAnsi="Times New Roman" w:cs="Times New Roman"/>
          <w:sz w:val="24"/>
          <w:szCs w:val="24"/>
        </w:rPr>
        <w:t>za točke 12. dodaj</w:t>
      </w:r>
      <w:r w:rsidR="00292024" w:rsidRPr="008F5F93">
        <w:rPr>
          <w:rFonts w:ascii="Times New Roman" w:hAnsi="Times New Roman" w:cs="Times New Roman"/>
          <w:sz w:val="24"/>
          <w:szCs w:val="24"/>
        </w:rPr>
        <w:t>e</w:t>
      </w:r>
      <w:r w:rsidR="007D5E3C" w:rsidRPr="008F5F93">
        <w:rPr>
          <w:rFonts w:ascii="Times New Roman" w:hAnsi="Times New Roman" w:cs="Times New Roman"/>
          <w:sz w:val="24"/>
          <w:szCs w:val="24"/>
        </w:rPr>
        <w:t xml:space="preserve"> se točk</w:t>
      </w:r>
      <w:r w:rsidR="00292024" w:rsidRPr="008F5F93">
        <w:rPr>
          <w:rFonts w:ascii="Times New Roman" w:hAnsi="Times New Roman" w:cs="Times New Roman"/>
          <w:sz w:val="24"/>
          <w:szCs w:val="24"/>
        </w:rPr>
        <w:t>a</w:t>
      </w:r>
      <w:r w:rsidR="007D5E3C" w:rsidRPr="008F5F93">
        <w:rPr>
          <w:rFonts w:ascii="Times New Roman" w:hAnsi="Times New Roman" w:cs="Times New Roman"/>
          <w:sz w:val="24"/>
          <w:szCs w:val="24"/>
        </w:rPr>
        <w:t xml:space="preserve"> 13. koj</w:t>
      </w:r>
      <w:r w:rsidR="00292024" w:rsidRPr="008F5F93">
        <w:rPr>
          <w:rFonts w:ascii="Times New Roman" w:hAnsi="Times New Roman" w:cs="Times New Roman"/>
          <w:sz w:val="24"/>
          <w:szCs w:val="24"/>
        </w:rPr>
        <w:t>a</w:t>
      </w:r>
      <w:r w:rsidR="007D5E3C" w:rsidRPr="008F5F93">
        <w:rPr>
          <w:rFonts w:ascii="Times New Roman" w:hAnsi="Times New Roman" w:cs="Times New Roman"/>
          <w:sz w:val="24"/>
          <w:szCs w:val="24"/>
        </w:rPr>
        <w:t xml:space="preserve"> glas</w:t>
      </w:r>
      <w:r w:rsidR="00292024" w:rsidRPr="008F5F93">
        <w:rPr>
          <w:rFonts w:ascii="Times New Roman" w:hAnsi="Times New Roman" w:cs="Times New Roman"/>
          <w:sz w:val="24"/>
          <w:szCs w:val="24"/>
        </w:rPr>
        <w:t>i</w:t>
      </w:r>
      <w:r w:rsidR="007D5E3C" w:rsidRPr="008F5F93">
        <w:rPr>
          <w:rFonts w:ascii="Times New Roman" w:hAnsi="Times New Roman" w:cs="Times New Roman"/>
          <w:sz w:val="24"/>
          <w:szCs w:val="24"/>
        </w:rPr>
        <w:t>:</w:t>
      </w:r>
    </w:p>
    <w:p w14:paraId="2D3BB401" w14:textId="77777777" w:rsidR="003711C8" w:rsidRPr="008F5F93" w:rsidRDefault="003711C8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D0438" w14:textId="03430069" w:rsidR="003711C8" w:rsidRPr="008F5F93" w:rsidRDefault="00292024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5F93">
        <w:rPr>
          <w:rFonts w:ascii="Times New Roman" w:hAnsi="Times New Roman" w:cs="Times New Roman"/>
          <w:sz w:val="24"/>
          <w:szCs w:val="24"/>
        </w:rPr>
        <w:t>“</w:t>
      </w:r>
      <w:r w:rsidR="003711C8" w:rsidRPr="008F5F93">
        <w:rPr>
          <w:rFonts w:ascii="Times New Roman" w:hAnsi="Times New Roman" w:cs="Times New Roman"/>
          <w:sz w:val="24"/>
          <w:szCs w:val="24"/>
        </w:rPr>
        <w:t>1</w:t>
      </w:r>
      <w:r w:rsidRPr="008F5F93">
        <w:rPr>
          <w:rFonts w:ascii="Times New Roman" w:hAnsi="Times New Roman" w:cs="Times New Roman"/>
          <w:sz w:val="24"/>
          <w:szCs w:val="24"/>
        </w:rPr>
        <w:t>3</w:t>
      </w:r>
      <w:r w:rsidR="003711C8" w:rsidRPr="008F5F93">
        <w:rPr>
          <w:rFonts w:ascii="Times New Roman" w:hAnsi="Times New Roman" w:cs="Times New Roman"/>
          <w:sz w:val="24"/>
          <w:szCs w:val="24"/>
        </w:rPr>
        <w:t xml:space="preserve">. </w:t>
      </w:r>
      <w:r w:rsidR="008A7B22" w:rsidRPr="008F5F93">
        <w:rPr>
          <w:rFonts w:ascii="Times New Roman" w:hAnsi="Times New Roman" w:cs="Times New Roman"/>
          <w:sz w:val="24"/>
          <w:szCs w:val="24"/>
        </w:rPr>
        <w:t>pregled posebnog knjigovodstvenog praćenja aktivnosti projekta ulaganja</w:t>
      </w:r>
      <w:r w:rsidRPr="008F5F93">
        <w:rPr>
          <w:rFonts w:ascii="Times New Roman" w:hAnsi="Times New Roman" w:cs="Times New Roman"/>
          <w:sz w:val="24"/>
          <w:szCs w:val="24"/>
        </w:rPr>
        <w:t>”</w:t>
      </w:r>
      <w:r w:rsidR="006D0F57">
        <w:rPr>
          <w:rFonts w:ascii="Times New Roman" w:hAnsi="Times New Roman" w:cs="Times New Roman"/>
          <w:sz w:val="24"/>
          <w:szCs w:val="24"/>
        </w:rPr>
        <w:t>.</w:t>
      </w:r>
    </w:p>
    <w:p w14:paraId="515892FB" w14:textId="77777777" w:rsidR="003711C8" w:rsidRPr="008F5F93" w:rsidRDefault="003711C8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6557E7" w14:textId="40821DD9" w:rsidR="007D5E3C" w:rsidRPr="00F20534" w:rsidRDefault="00292024" w:rsidP="00EC4676">
      <w:pPr>
        <w:pStyle w:val="clanak-"/>
        <w:spacing w:before="0" w:beforeAutospacing="0" w:after="0" w:afterAutospacing="0"/>
        <w:jc w:val="both"/>
      </w:pPr>
      <w:r w:rsidRPr="00F20534">
        <w:t>Stavak 2. mijenja se i glasi:</w:t>
      </w:r>
    </w:p>
    <w:p w14:paraId="19929B67" w14:textId="77777777" w:rsidR="00EC4676" w:rsidRPr="00F20534" w:rsidRDefault="00EC4676" w:rsidP="00EC4676">
      <w:pPr>
        <w:pStyle w:val="clanak-"/>
        <w:spacing w:before="0" w:beforeAutospacing="0" w:after="0" w:afterAutospacing="0"/>
        <w:jc w:val="both"/>
      </w:pPr>
    </w:p>
    <w:p w14:paraId="22BD6174" w14:textId="192773CF" w:rsidR="00292024" w:rsidRPr="002E36C8" w:rsidRDefault="00292024" w:rsidP="00EC4676">
      <w:pPr>
        <w:pStyle w:val="clanak-"/>
        <w:spacing w:before="0" w:beforeAutospacing="0" w:after="0" w:afterAutospacing="0"/>
        <w:jc w:val="both"/>
        <w:rPr>
          <w:b/>
        </w:rPr>
      </w:pPr>
      <w:r w:rsidRPr="00F20534">
        <w:t xml:space="preserve">“(2) Obrasci GI-1, </w:t>
      </w:r>
      <w:r w:rsidRPr="002E36C8">
        <w:t>GI-2 – Pregled pasivnih prihoda aktivnosti ulaganja i GI-3-</w:t>
      </w:r>
      <w:bookmarkStart w:id="6" w:name="_Hlk202966596"/>
      <w:r w:rsidRPr="002E36C8">
        <w:t xml:space="preserve">ZPU-POPP – Izračun porezne osnovice i porezne potpore za aktivnost ulaganja </w:t>
      </w:r>
      <w:bookmarkEnd w:id="6"/>
      <w:r w:rsidRPr="002E36C8">
        <w:t>sadržani su u Prilogu 9. 10. i 11. ove Uredbe i čine njen sastavni dio.“</w:t>
      </w:r>
      <w:r w:rsidR="006D0F57">
        <w:t>.</w:t>
      </w:r>
    </w:p>
    <w:p w14:paraId="362852E1" w14:textId="77777777" w:rsidR="0006184E" w:rsidRDefault="0006184E" w:rsidP="00EC4676">
      <w:pPr>
        <w:pStyle w:val="clanak-"/>
        <w:spacing w:before="0" w:beforeAutospacing="0" w:after="0" w:afterAutospacing="0"/>
        <w:jc w:val="center"/>
        <w:rPr>
          <w:b/>
        </w:rPr>
      </w:pPr>
    </w:p>
    <w:p w14:paraId="553B3ABF" w14:textId="77777777" w:rsidR="004652A1" w:rsidRDefault="004652A1" w:rsidP="00EC4676">
      <w:pPr>
        <w:pStyle w:val="clanak-"/>
        <w:spacing w:before="0" w:beforeAutospacing="0" w:after="0" w:afterAutospacing="0"/>
        <w:jc w:val="center"/>
        <w:rPr>
          <w:b/>
        </w:rPr>
      </w:pPr>
    </w:p>
    <w:p w14:paraId="7A644DCB" w14:textId="4F8FA860" w:rsidR="008C7BA2" w:rsidRPr="008C7BA2" w:rsidRDefault="008C7BA2" w:rsidP="00EC4676">
      <w:pPr>
        <w:pStyle w:val="clanak-"/>
        <w:spacing w:before="0" w:beforeAutospacing="0" w:after="0" w:afterAutospacing="0"/>
        <w:jc w:val="center"/>
        <w:rPr>
          <w:b/>
        </w:rPr>
      </w:pPr>
      <w:r w:rsidRPr="008C7BA2">
        <w:rPr>
          <w:b/>
        </w:rPr>
        <w:t>PRIJELAZNE I ZAVRŠNE ODREDBE</w:t>
      </w:r>
    </w:p>
    <w:p w14:paraId="4C8ACE0F" w14:textId="77777777" w:rsidR="008C7BA2" w:rsidRDefault="008C7BA2" w:rsidP="00EC4676">
      <w:pPr>
        <w:pStyle w:val="clanak-"/>
        <w:spacing w:before="0" w:beforeAutospacing="0" w:after="0" w:afterAutospacing="0"/>
        <w:jc w:val="center"/>
        <w:rPr>
          <w:b/>
        </w:rPr>
      </w:pPr>
    </w:p>
    <w:p w14:paraId="1936636B" w14:textId="77777777" w:rsidR="004652A1" w:rsidRPr="00E80BAE" w:rsidRDefault="004652A1" w:rsidP="004652A1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>Članak 6.</w:t>
      </w:r>
    </w:p>
    <w:p w14:paraId="257CC6E4" w14:textId="77777777" w:rsidR="005011AE" w:rsidRDefault="005011AE" w:rsidP="00EC4676">
      <w:pPr>
        <w:pStyle w:val="clanak-"/>
        <w:spacing w:before="0" w:beforeAutospacing="0" w:after="0" w:afterAutospacing="0"/>
        <w:jc w:val="center"/>
        <w:rPr>
          <w:b/>
        </w:rPr>
      </w:pPr>
    </w:p>
    <w:p w14:paraId="79813E9F" w14:textId="5ECF2B14" w:rsidR="004652A1" w:rsidRDefault="004652A1" w:rsidP="004652A1">
      <w:pPr>
        <w:pStyle w:val="clanak-"/>
        <w:spacing w:before="0" w:beforeAutospacing="0" w:after="0" w:afterAutospacing="0"/>
        <w:jc w:val="both"/>
        <w:rPr>
          <w:b/>
        </w:rPr>
      </w:pPr>
      <w:r>
        <w:t>„(1) Na korisnike potpora za ulaganje i podnositelje prijava za korištenje potpora za ulaganje na temelju Zakona o poticanju ulaganja (»Narodne novine«, br. 63/22</w:t>
      </w:r>
      <w:r w:rsidR="005B10BA">
        <w:t>, 136/24</w:t>
      </w:r>
      <w:r>
        <w:t>) primjenjuju se odredbe ove Uredbe ako je to za poduzetnika povoljnije.</w:t>
      </w:r>
    </w:p>
    <w:p w14:paraId="6F6725C5" w14:textId="77777777" w:rsidR="005011AE" w:rsidRDefault="005011AE" w:rsidP="005011AE">
      <w:pPr>
        <w:pStyle w:val="clanak-"/>
        <w:spacing w:before="0" w:beforeAutospacing="0" w:after="0" w:afterAutospacing="0"/>
        <w:jc w:val="both"/>
      </w:pPr>
    </w:p>
    <w:p w14:paraId="7E21496D" w14:textId="77777777" w:rsidR="001A6FAF" w:rsidRDefault="005011AE" w:rsidP="005011AE">
      <w:pPr>
        <w:pStyle w:val="clanak-"/>
        <w:spacing w:before="0" w:beforeAutospacing="0" w:after="0" w:afterAutospacing="0"/>
        <w:jc w:val="both"/>
      </w:pPr>
      <w:r>
        <w:t>(2) Odredbe članka 3. ove Uredbe primjenjuju se na prijave za status korisnika potpore za ulaganje s početkom projekta ulaganja od 1. siječnja 2025.</w:t>
      </w:r>
      <w:r w:rsidR="004652A1">
        <w:t>“</w:t>
      </w:r>
    </w:p>
    <w:p w14:paraId="38CE3F5A" w14:textId="77777777" w:rsidR="001A6FAF" w:rsidRDefault="001A6FAF" w:rsidP="005011AE">
      <w:pPr>
        <w:pStyle w:val="clanak-"/>
        <w:spacing w:before="0" w:beforeAutospacing="0" w:after="0" w:afterAutospacing="0"/>
        <w:jc w:val="both"/>
      </w:pPr>
    </w:p>
    <w:p w14:paraId="1D2390F3" w14:textId="60F5EB58" w:rsidR="005011AE" w:rsidRDefault="001A6FAF" w:rsidP="005011AE">
      <w:pPr>
        <w:pStyle w:val="clanak-"/>
        <w:spacing w:before="0" w:beforeAutospacing="0" w:after="0" w:afterAutospacing="0"/>
        <w:jc w:val="both"/>
      </w:pPr>
      <w:r>
        <w:t>(3) Prijava</w:t>
      </w:r>
      <w:r w:rsidR="00965FED">
        <w:t xml:space="preserve"> projekta ulaganja</w:t>
      </w:r>
      <w:r>
        <w:t xml:space="preserve"> u roku od 30 dana od stupanja na snagu ove Uredbe može </w:t>
      </w:r>
      <w:r w:rsidR="00965FED">
        <w:t xml:space="preserve">se </w:t>
      </w:r>
      <w:r>
        <w:t>podn</w:t>
      </w:r>
      <w:r w:rsidR="00965FED">
        <w:t>i</w:t>
      </w:r>
      <w:r>
        <w:t xml:space="preserve">jeti </w:t>
      </w:r>
      <w:r w:rsidR="00965FED">
        <w:t>nadležnom ministarstvu i u materijalnom obliku</w:t>
      </w:r>
      <w:r w:rsidR="00965FED" w:rsidRPr="00965FED">
        <w:t xml:space="preserve"> </w:t>
      </w:r>
      <w:r w:rsidR="00965FED">
        <w:t xml:space="preserve">na obrascima propisanim </w:t>
      </w:r>
      <w:r w:rsidR="00CC7E80">
        <w:t xml:space="preserve">ovom </w:t>
      </w:r>
      <w:bookmarkStart w:id="7" w:name="_GoBack"/>
      <w:bookmarkEnd w:id="7"/>
      <w:r w:rsidR="00965FED">
        <w:t>Uredbom</w:t>
      </w:r>
      <w:r w:rsidR="004652A1">
        <w:t>.</w:t>
      </w:r>
      <w:r w:rsidR="005011AE">
        <w:t xml:space="preserve"> </w:t>
      </w:r>
    </w:p>
    <w:p w14:paraId="50062A56" w14:textId="77777777" w:rsidR="005011AE" w:rsidRDefault="005011AE" w:rsidP="005011AE">
      <w:pPr>
        <w:pStyle w:val="clanak-"/>
        <w:spacing w:before="0" w:beforeAutospacing="0" w:after="0" w:afterAutospacing="0"/>
        <w:jc w:val="both"/>
      </w:pPr>
    </w:p>
    <w:p w14:paraId="248767C0" w14:textId="77777777" w:rsidR="005011AE" w:rsidRDefault="005011AE" w:rsidP="00EC4676">
      <w:pPr>
        <w:pStyle w:val="clanak-"/>
        <w:spacing w:before="0" w:beforeAutospacing="0" w:after="0" w:afterAutospacing="0"/>
        <w:jc w:val="center"/>
        <w:rPr>
          <w:b/>
        </w:rPr>
      </w:pPr>
    </w:p>
    <w:p w14:paraId="68A5EFF5" w14:textId="2C09324E" w:rsidR="0030446F" w:rsidRPr="00E80BAE" w:rsidRDefault="0030446F" w:rsidP="00EC4676">
      <w:pPr>
        <w:pStyle w:val="clanak-"/>
        <w:spacing w:before="0" w:beforeAutospacing="0" w:after="0" w:afterAutospacing="0"/>
        <w:jc w:val="center"/>
        <w:rPr>
          <w:b/>
        </w:rPr>
      </w:pPr>
      <w:r w:rsidRPr="00E80BAE">
        <w:rPr>
          <w:b/>
        </w:rPr>
        <w:t xml:space="preserve">Članak </w:t>
      </w:r>
      <w:r w:rsidR="004652A1">
        <w:rPr>
          <w:b/>
        </w:rPr>
        <w:t>7</w:t>
      </w:r>
      <w:r w:rsidRPr="00E80BAE">
        <w:rPr>
          <w:b/>
        </w:rPr>
        <w:t>.</w:t>
      </w:r>
    </w:p>
    <w:p w14:paraId="3DD35169" w14:textId="77777777" w:rsidR="00DD4AE5" w:rsidRDefault="00DD4AE5" w:rsidP="00EC4676">
      <w:pPr>
        <w:pStyle w:val="t-9-8"/>
        <w:spacing w:before="0" w:beforeAutospacing="0" w:after="0" w:afterAutospacing="0"/>
      </w:pPr>
    </w:p>
    <w:p w14:paraId="40F3893B" w14:textId="49448358" w:rsidR="00052A2C" w:rsidRPr="00E80BAE" w:rsidRDefault="00052A2C" w:rsidP="00EC4676">
      <w:pPr>
        <w:pStyle w:val="t-9-8"/>
        <w:spacing w:before="0" w:beforeAutospacing="0" w:after="0" w:afterAutospacing="0"/>
      </w:pPr>
      <w:r w:rsidRPr="00E80BAE">
        <w:t xml:space="preserve">Ova Uredba stupa na snagu </w:t>
      </w:r>
      <w:r w:rsidR="00B40D52">
        <w:t xml:space="preserve">prvog </w:t>
      </w:r>
      <w:r w:rsidRPr="00E80BAE">
        <w:t>dana od dana objave u „Narodnim novinama“.</w:t>
      </w:r>
    </w:p>
    <w:p w14:paraId="477802ED" w14:textId="77777777" w:rsidR="009836BE" w:rsidRDefault="009836BE" w:rsidP="00EC4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47C5CD9" w14:textId="77777777" w:rsidR="00A558B7" w:rsidRDefault="00A558B7" w:rsidP="00EC4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27DEEC" w14:textId="77777777" w:rsidR="00A558B7" w:rsidRDefault="00A558B7" w:rsidP="00EC4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A9D6538" w14:textId="77777777" w:rsidR="000378E0" w:rsidRDefault="000378E0" w:rsidP="00EC4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63F774" w14:textId="2897978B" w:rsidR="00854E0E" w:rsidRPr="00E618BF" w:rsidRDefault="00854E0E" w:rsidP="00EC467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618BF">
        <w:rPr>
          <w:rFonts w:ascii="Times New Roman" w:hAnsi="Times New Roman" w:cs="Times New Roman"/>
          <w:b/>
          <w:sz w:val="24"/>
          <w:szCs w:val="24"/>
          <w:u w:val="single"/>
        </w:rPr>
        <w:t>OBRAZLOŽENJE</w:t>
      </w:r>
    </w:p>
    <w:p w14:paraId="5618E3B9" w14:textId="77777777" w:rsidR="00854E0E" w:rsidRPr="0016690A" w:rsidRDefault="00854E0E" w:rsidP="00EC467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3E50E18" w14:textId="26710860" w:rsidR="00854E0E" w:rsidRPr="0016690A" w:rsidRDefault="00854E0E" w:rsidP="00EC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36C8">
        <w:rPr>
          <w:rFonts w:ascii="Times New Roman" w:hAnsi="Times New Roman" w:cs="Times New Roman"/>
          <w:sz w:val="24"/>
          <w:szCs w:val="24"/>
        </w:rPr>
        <w:t>Temelj za donošenje Uredbe o</w:t>
      </w:r>
      <w:r w:rsidR="004F3076" w:rsidRPr="002E36C8">
        <w:rPr>
          <w:rFonts w:ascii="Times New Roman" w:hAnsi="Times New Roman" w:cs="Times New Roman"/>
          <w:sz w:val="24"/>
          <w:szCs w:val="24"/>
        </w:rPr>
        <w:t xml:space="preserve"> izmjenama i dopun</w:t>
      </w:r>
      <w:r w:rsidR="00AE2DA5" w:rsidRPr="002E36C8">
        <w:rPr>
          <w:rFonts w:ascii="Times New Roman" w:hAnsi="Times New Roman" w:cs="Times New Roman"/>
          <w:sz w:val="24"/>
          <w:szCs w:val="24"/>
        </w:rPr>
        <w:t>i</w:t>
      </w:r>
      <w:r w:rsidR="004F3076" w:rsidRPr="002E36C8">
        <w:rPr>
          <w:rFonts w:ascii="Times New Roman" w:hAnsi="Times New Roman" w:cs="Times New Roman"/>
          <w:sz w:val="24"/>
          <w:szCs w:val="24"/>
        </w:rPr>
        <w:t xml:space="preserve"> </w:t>
      </w:r>
      <w:r w:rsidR="00C36E2C" w:rsidRPr="002E36C8">
        <w:rPr>
          <w:rFonts w:ascii="Times New Roman" w:hAnsi="Times New Roman" w:cs="Times New Roman"/>
          <w:sz w:val="24"/>
          <w:szCs w:val="24"/>
        </w:rPr>
        <w:t>U</w:t>
      </w:r>
      <w:r w:rsidR="004F3076" w:rsidRPr="002E36C8">
        <w:rPr>
          <w:rFonts w:ascii="Times New Roman" w:hAnsi="Times New Roman" w:cs="Times New Roman"/>
          <w:sz w:val="24"/>
          <w:szCs w:val="24"/>
        </w:rPr>
        <w:t>redbe o</w:t>
      </w:r>
      <w:r w:rsidRPr="002E36C8">
        <w:rPr>
          <w:rFonts w:ascii="Times New Roman" w:hAnsi="Times New Roman" w:cs="Times New Roman"/>
          <w:sz w:val="24"/>
          <w:szCs w:val="24"/>
        </w:rPr>
        <w:t xml:space="preserve"> poticanju ulaganja je </w:t>
      </w:r>
      <w:r w:rsidR="00AE2DA5" w:rsidRPr="008B3B13">
        <w:rPr>
          <w:rFonts w:ascii="Times New Roman" w:hAnsi="Times New Roman" w:cs="Times New Roman"/>
          <w:sz w:val="24"/>
          <w:szCs w:val="24"/>
        </w:rPr>
        <w:t>članak</w:t>
      </w:r>
      <w:r w:rsidR="00AE2DA5" w:rsidRPr="002E36C8">
        <w:rPr>
          <w:rFonts w:ascii="Times New Roman" w:hAnsi="Times New Roman" w:cs="Times New Roman"/>
        </w:rPr>
        <w:t xml:space="preserve"> </w:t>
      </w:r>
      <w:r w:rsidR="00AE2DA5" w:rsidRPr="002E36C8">
        <w:rPr>
          <w:rFonts w:ascii="Times New Roman" w:hAnsi="Times New Roman" w:cs="Times New Roman"/>
          <w:sz w:val="24"/>
          <w:szCs w:val="24"/>
        </w:rPr>
        <w:t>1</w:t>
      </w:r>
      <w:r w:rsidR="00C32BC7" w:rsidRPr="002E36C8">
        <w:rPr>
          <w:rFonts w:ascii="Times New Roman" w:hAnsi="Times New Roman" w:cs="Times New Roman"/>
          <w:sz w:val="24"/>
          <w:szCs w:val="24"/>
        </w:rPr>
        <w:t>8</w:t>
      </w:r>
      <w:r w:rsidR="00AE2DA5" w:rsidRPr="002E36C8">
        <w:rPr>
          <w:rFonts w:ascii="Times New Roman" w:hAnsi="Times New Roman" w:cs="Times New Roman"/>
          <w:sz w:val="24"/>
          <w:szCs w:val="24"/>
        </w:rPr>
        <w:t>.</w:t>
      </w:r>
      <w:r w:rsidR="00AE2DA5">
        <w:rPr>
          <w:rFonts w:ascii="Times New Roman" w:hAnsi="Times New Roman" w:cs="Times New Roman"/>
          <w:sz w:val="24"/>
          <w:szCs w:val="24"/>
        </w:rPr>
        <w:t xml:space="preserve"> Zakona o </w:t>
      </w:r>
      <w:r w:rsidR="00C32BC7">
        <w:rPr>
          <w:rFonts w:ascii="Times New Roman" w:hAnsi="Times New Roman" w:cs="Times New Roman"/>
          <w:sz w:val="24"/>
          <w:szCs w:val="24"/>
        </w:rPr>
        <w:t xml:space="preserve">izmjenama i dopunama </w:t>
      </w:r>
      <w:r w:rsidR="00EB2767">
        <w:rPr>
          <w:rFonts w:ascii="Times New Roman" w:hAnsi="Times New Roman" w:cs="Times New Roman"/>
          <w:sz w:val="24"/>
          <w:szCs w:val="24"/>
        </w:rPr>
        <w:t xml:space="preserve">Zakona o </w:t>
      </w:r>
      <w:r w:rsidR="00AE2DA5">
        <w:rPr>
          <w:rFonts w:ascii="Times New Roman" w:hAnsi="Times New Roman" w:cs="Times New Roman"/>
          <w:sz w:val="24"/>
          <w:szCs w:val="24"/>
        </w:rPr>
        <w:t xml:space="preserve">poticanju ulaganja (»Narodne novine«, broj </w:t>
      </w:r>
      <w:r w:rsidR="00C32BC7">
        <w:rPr>
          <w:rFonts w:ascii="Times New Roman" w:hAnsi="Times New Roman" w:cs="Times New Roman"/>
          <w:sz w:val="24"/>
          <w:szCs w:val="24"/>
        </w:rPr>
        <w:t>136/24</w:t>
      </w:r>
      <w:r w:rsidR="008B3B13">
        <w:rPr>
          <w:rFonts w:ascii="Times New Roman" w:hAnsi="Times New Roman" w:cs="Times New Roman"/>
          <w:sz w:val="24"/>
          <w:szCs w:val="24"/>
        </w:rPr>
        <w:t>.</w:t>
      </w:r>
      <w:r w:rsidR="00C32BC7">
        <w:rPr>
          <w:rFonts w:ascii="Times New Roman" w:hAnsi="Times New Roman" w:cs="Times New Roman"/>
          <w:sz w:val="24"/>
          <w:szCs w:val="24"/>
        </w:rPr>
        <w:t>)</w:t>
      </w:r>
    </w:p>
    <w:p w14:paraId="555A790C" w14:textId="73AB7306" w:rsidR="00903E60" w:rsidRPr="0016690A" w:rsidRDefault="00854E0E" w:rsidP="009134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690A">
        <w:rPr>
          <w:rFonts w:ascii="Times New Roman" w:hAnsi="Times New Roman" w:cs="Times New Roman"/>
          <w:sz w:val="24"/>
          <w:szCs w:val="24"/>
        </w:rPr>
        <w:t>Ovom Uredbom</w:t>
      </w:r>
      <w:r w:rsidR="008F12B1" w:rsidRPr="0016690A">
        <w:rPr>
          <w:rFonts w:ascii="Times New Roman" w:hAnsi="Times New Roman" w:cs="Times New Roman"/>
          <w:sz w:val="24"/>
          <w:szCs w:val="24"/>
        </w:rPr>
        <w:t xml:space="preserve"> dodatno se</w:t>
      </w:r>
      <w:r w:rsidRPr="0016690A">
        <w:rPr>
          <w:rFonts w:ascii="Times New Roman" w:hAnsi="Times New Roman" w:cs="Times New Roman"/>
          <w:sz w:val="24"/>
          <w:szCs w:val="24"/>
        </w:rPr>
        <w:t xml:space="preserve"> uređuje </w:t>
      </w:r>
      <w:r w:rsidR="008F12B1" w:rsidRPr="0016690A">
        <w:rPr>
          <w:rFonts w:ascii="Times New Roman" w:hAnsi="Times New Roman" w:cs="Times New Roman"/>
          <w:sz w:val="24"/>
          <w:szCs w:val="24"/>
        </w:rPr>
        <w:t>p</w:t>
      </w:r>
      <w:r w:rsidRPr="0016690A">
        <w:rPr>
          <w:rFonts w:ascii="Times New Roman" w:hAnsi="Times New Roman" w:cs="Times New Roman"/>
          <w:sz w:val="24"/>
          <w:szCs w:val="24"/>
        </w:rPr>
        <w:t xml:space="preserve">oticanje </w:t>
      </w:r>
      <w:r w:rsidR="00C44473" w:rsidRPr="0016690A">
        <w:rPr>
          <w:rFonts w:ascii="Times New Roman" w:hAnsi="Times New Roman" w:cs="Times New Roman"/>
          <w:sz w:val="24"/>
          <w:szCs w:val="24"/>
        </w:rPr>
        <w:t xml:space="preserve">ulaganja </w:t>
      </w:r>
      <w:r w:rsidRPr="0016690A">
        <w:rPr>
          <w:rFonts w:ascii="Times New Roman" w:hAnsi="Times New Roman" w:cs="Times New Roman"/>
          <w:sz w:val="24"/>
          <w:szCs w:val="24"/>
        </w:rPr>
        <w:t>u Republici Hrvatskoj</w:t>
      </w:r>
      <w:r w:rsidR="00AE22A1" w:rsidRPr="0016690A">
        <w:rPr>
          <w:rFonts w:ascii="Times New Roman" w:hAnsi="Times New Roman" w:cs="Times New Roman"/>
          <w:sz w:val="24"/>
          <w:szCs w:val="24"/>
        </w:rPr>
        <w:t>.</w:t>
      </w:r>
    </w:p>
    <w:p w14:paraId="0AE2A265" w14:textId="77777777" w:rsidR="00052A2C" w:rsidRPr="003B7782" w:rsidRDefault="00052A2C" w:rsidP="009134F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52C9C46B" w14:textId="39D7EB23" w:rsidR="00052A2C" w:rsidRDefault="00052A2C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BC7">
        <w:rPr>
          <w:rFonts w:ascii="Times New Roman" w:hAnsi="Times New Roman" w:cs="Times New Roman"/>
          <w:sz w:val="24"/>
          <w:szCs w:val="24"/>
        </w:rPr>
        <w:t xml:space="preserve">Ovom se Uredbom </w:t>
      </w:r>
      <w:r w:rsidR="00AE2DA5" w:rsidRPr="00C32BC7">
        <w:rPr>
          <w:rFonts w:ascii="Times New Roman" w:hAnsi="Times New Roman" w:cs="Times New Roman"/>
          <w:sz w:val="24"/>
          <w:szCs w:val="24"/>
        </w:rPr>
        <w:t>uređuje</w:t>
      </w:r>
      <w:r w:rsidRPr="00C32BC7">
        <w:rPr>
          <w:rFonts w:ascii="Times New Roman" w:hAnsi="Times New Roman" w:cs="Times New Roman"/>
          <w:sz w:val="24"/>
          <w:szCs w:val="24"/>
        </w:rPr>
        <w:t xml:space="preserve"> provedb</w:t>
      </w:r>
      <w:r w:rsidR="00AE2DA5" w:rsidRPr="00C32BC7">
        <w:rPr>
          <w:rFonts w:ascii="Times New Roman" w:hAnsi="Times New Roman" w:cs="Times New Roman"/>
          <w:sz w:val="24"/>
          <w:szCs w:val="24"/>
        </w:rPr>
        <w:t>a Zakona o poticanju ulaganja („Narodne novine“</w:t>
      </w:r>
      <w:r w:rsidR="00EB2767">
        <w:rPr>
          <w:rFonts w:ascii="Times New Roman" w:hAnsi="Times New Roman" w:cs="Times New Roman"/>
          <w:sz w:val="24"/>
          <w:szCs w:val="24"/>
        </w:rPr>
        <w:t>,</w:t>
      </w:r>
      <w:r w:rsidR="00AE2DA5" w:rsidRPr="00C32BC7">
        <w:rPr>
          <w:rFonts w:ascii="Times New Roman" w:hAnsi="Times New Roman" w:cs="Times New Roman"/>
          <w:sz w:val="24"/>
          <w:szCs w:val="24"/>
        </w:rPr>
        <w:t xml:space="preserve"> </w:t>
      </w:r>
      <w:r w:rsidR="00953831" w:rsidRPr="00C32BC7">
        <w:rPr>
          <w:rFonts w:ascii="Times New Roman" w:hAnsi="Times New Roman" w:cs="Times New Roman"/>
          <w:sz w:val="24"/>
          <w:szCs w:val="24"/>
        </w:rPr>
        <w:t>br.</w:t>
      </w:r>
      <w:r w:rsidR="00AE2DA5" w:rsidRPr="00C32BC7">
        <w:rPr>
          <w:rFonts w:ascii="Times New Roman" w:hAnsi="Times New Roman" w:cs="Times New Roman"/>
          <w:sz w:val="24"/>
          <w:szCs w:val="24"/>
        </w:rPr>
        <w:t xml:space="preserve"> </w:t>
      </w:r>
      <w:r w:rsidR="00953831" w:rsidRPr="00C32BC7">
        <w:rPr>
          <w:rFonts w:ascii="Times New Roman" w:hAnsi="Times New Roman" w:cs="Times New Roman"/>
          <w:sz w:val="24"/>
          <w:szCs w:val="24"/>
        </w:rPr>
        <w:t>63/22</w:t>
      </w:r>
      <w:r w:rsidR="00EB2767">
        <w:rPr>
          <w:rFonts w:ascii="Times New Roman" w:hAnsi="Times New Roman" w:cs="Times New Roman"/>
          <w:sz w:val="24"/>
          <w:szCs w:val="24"/>
        </w:rPr>
        <w:t>. i</w:t>
      </w:r>
      <w:r w:rsidR="00AE2DA5" w:rsidRPr="00C32BC7">
        <w:rPr>
          <w:rFonts w:ascii="Times New Roman" w:hAnsi="Times New Roman" w:cs="Times New Roman"/>
          <w:sz w:val="24"/>
          <w:szCs w:val="24"/>
        </w:rPr>
        <w:t xml:space="preserve"> </w:t>
      </w:r>
      <w:r w:rsidR="00953831" w:rsidRPr="00C32BC7">
        <w:rPr>
          <w:rFonts w:ascii="Times New Roman" w:hAnsi="Times New Roman" w:cs="Times New Roman"/>
          <w:sz w:val="24"/>
          <w:szCs w:val="24"/>
        </w:rPr>
        <w:t>136/24</w:t>
      </w:r>
      <w:r w:rsidR="00EB2767">
        <w:rPr>
          <w:rFonts w:ascii="Times New Roman" w:hAnsi="Times New Roman" w:cs="Times New Roman"/>
          <w:sz w:val="24"/>
          <w:szCs w:val="24"/>
        </w:rPr>
        <w:t>.</w:t>
      </w:r>
      <w:r w:rsidR="00AE2DA5" w:rsidRPr="00C32BC7">
        <w:rPr>
          <w:rFonts w:ascii="Times New Roman" w:hAnsi="Times New Roman" w:cs="Times New Roman"/>
          <w:sz w:val="24"/>
          <w:szCs w:val="24"/>
        </w:rPr>
        <w:t>)</w:t>
      </w:r>
      <w:r w:rsidRPr="00C32BC7">
        <w:rPr>
          <w:rFonts w:ascii="Times New Roman" w:hAnsi="Times New Roman" w:cs="Times New Roman"/>
          <w:sz w:val="24"/>
          <w:szCs w:val="24"/>
        </w:rPr>
        <w:t xml:space="preserve"> </w:t>
      </w:r>
      <w:r w:rsidR="00AE2DA5" w:rsidRPr="00C32BC7">
        <w:rPr>
          <w:rFonts w:ascii="Times New Roman" w:hAnsi="Times New Roman" w:cs="Times New Roman"/>
          <w:sz w:val="24"/>
          <w:szCs w:val="24"/>
        </w:rPr>
        <w:t xml:space="preserve">usklađenog s </w:t>
      </w:r>
      <w:r w:rsidRPr="00C32BC7">
        <w:rPr>
          <w:rFonts w:ascii="Times New Roman" w:hAnsi="Times New Roman" w:cs="Times New Roman"/>
          <w:sz w:val="24"/>
          <w:szCs w:val="24"/>
        </w:rPr>
        <w:t>Uredb</w:t>
      </w:r>
      <w:r w:rsidR="008212C5" w:rsidRPr="00C32BC7">
        <w:rPr>
          <w:rFonts w:ascii="Times New Roman" w:hAnsi="Times New Roman" w:cs="Times New Roman"/>
          <w:sz w:val="24"/>
          <w:szCs w:val="24"/>
        </w:rPr>
        <w:t>om</w:t>
      </w:r>
      <w:r w:rsidRPr="00C32BC7">
        <w:rPr>
          <w:rFonts w:ascii="Times New Roman" w:hAnsi="Times New Roman" w:cs="Times New Roman"/>
          <w:sz w:val="24"/>
          <w:szCs w:val="24"/>
        </w:rPr>
        <w:t xml:space="preserve"> Komisije (EU) br. 651/2014 od 17. lipnja 2014. o ocjenjivanju određenih kategorija potpora spojivima s unutarnjim </w:t>
      </w:r>
      <w:r w:rsidRPr="00C32BC7">
        <w:rPr>
          <w:rFonts w:ascii="Times New Roman" w:hAnsi="Times New Roman" w:cs="Times New Roman"/>
          <w:sz w:val="24"/>
          <w:szCs w:val="24"/>
        </w:rPr>
        <w:lastRenderedPageBreak/>
        <w:t>tržištem u primjeni članaka 107. i 108. Ugovora (SL L 187, 26.6.2014.)</w:t>
      </w:r>
      <w:r w:rsidR="001F5725" w:rsidRPr="00C32BC7">
        <w:rPr>
          <w:rFonts w:ascii="Times New Roman" w:hAnsi="Times New Roman" w:cs="Times New Roman"/>
          <w:sz w:val="24"/>
          <w:szCs w:val="24"/>
        </w:rPr>
        <w:t>,</w:t>
      </w:r>
      <w:r w:rsidRPr="00C32BC7">
        <w:rPr>
          <w:rFonts w:ascii="Times New Roman" w:hAnsi="Times New Roman" w:cs="Times New Roman"/>
          <w:sz w:val="24"/>
          <w:szCs w:val="24"/>
        </w:rPr>
        <w:t xml:space="preserve"> </w:t>
      </w:r>
      <w:r w:rsidR="00C32BC7" w:rsidRPr="00C32BC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kako je posljednji put izmijenjena Uredbom Komisije (EU) 2023/1315. od 23. lipnja 2023. o izmjeni Uredbe Komisije (EU) br. </w:t>
      </w:r>
      <w:r w:rsidR="00C32BC7" w:rsidRPr="00C32BC7">
        <w:rPr>
          <w:rFonts w:ascii="Times New Roman" w:hAnsi="Times New Roman" w:cs="Times New Roman"/>
          <w:sz w:val="24"/>
          <w:szCs w:val="24"/>
        </w:rPr>
        <w:t>651/2014 o ocjenjivanju određenih kategorija spojivima s unutarnjim tržištem u primjeni članka 107. i 108. Ugovora (Tekst značajan za EGP) (SL L 167, 30. 6. 2023.)</w:t>
      </w:r>
      <w:r w:rsidR="005E588D">
        <w:rPr>
          <w:rFonts w:ascii="Times New Roman" w:hAnsi="Times New Roman" w:cs="Times New Roman"/>
          <w:sz w:val="24"/>
          <w:szCs w:val="24"/>
        </w:rPr>
        <w:t>.</w:t>
      </w:r>
    </w:p>
    <w:p w14:paraId="11AABB73" w14:textId="77777777" w:rsidR="00C32BC7" w:rsidRDefault="00C32BC7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83B14" w14:textId="27656548" w:rsidR="001A1C3B" w:rsidRPr="001A1C3B" w:rsidRDefault="001A1C3B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C3B">
        <w:rPr>
          <w:rFonts w:ascii="Times New Roman" w:hAnsi="Times New Roman" w:cs="Times New Roman"/>
          <w:sz w:val="24"/>
          <w:szCs w:val="24"/>
        </w:rPr>
        <w:t xml:space="preserve">Ovom Uredbom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A1C3B">
        <w:rPr>
          <w:rFonts w:ascii="Times New Roman" w:hAnsi="Times New Roman" w:cs="Times New Roman"/>
          <w:sz w:val="24"/>
          <w:szCs w:val="24"/>
        </w:rPr>
        <w:t xml:space="preserve"> članku 3. stavku 3. točka 4. </w:t>
      </w:r>
      <w:r>
        <w:rPr>
          <w:rFonts w:ascii="Times New Roman" w:hAnsi="Times New Roman" w:cs="Times New Roman"/>
          <w:sz w:val="24"/>
          <w:szCs w:val="24"/>
        </w:rPr>
        <w:t>koja govori o obliku i obaveznom sadržaju prijave u slučaju gradnje građevina p</w:t>
      </w:r>
      <w:r w:rsidRPr="001A1C3B">
        <w:rPr>
          <w:rFonts w:ascii="Times New Roman" w:hAnsi="Times New Roman" w:cs="Times New Roman"/>
          <w:sz w:val="24"/>
          <w:szCs w:val="24"/>
        </w:rPr>
        <w:t xml:space="preserve">ropisuje se </w:t>
      </w:r>
      <w:r>
        <w:rPr>
          <w:rFonts w:ascii="Times New Roman" w:hAnsi="Times New Roman" w:cs="Times New Roman"/>
          <w:sz w:val="24"/>
          <w:szCs w:val="24"/>
        </w:rPr>
        <w:t>da u prijavi dostavlja pravomoćna građevinska dozvola ili potvrda glavnog projekta</w:t>
      </w:r>
      <w:r w:rsidR="00BA641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ne dokaz od potvrdi glavnog projekta. </w:t>
      </w:r>
    </w:p>
    <w:p w14:paraId="15C369D4" w14:textId="2F7A9916" w:rsidR="001A1C3B" w:rsidRDefault="001A1C3B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566B84" w14:textId="7C55CD0C" w:rsidR="00C32BC7" w:rsidRPr="001A1C3B" w:rsidRDefault="00C32BC7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BC7">
        <w:rPr>
          <w:rFonts w:ascii="Times New Roman" w:hAnsi="Times New Roman" w:cs="Times New Roman"/>
          <w:sz w:val="24"/>
          <w:szCs w:val="24"/>
        </w:rPr>
        <w:t xml:space="preserve">Ovom Uredbom </w:t>
      </w:r>
      <w:r w:rsidRPr="00C32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propisuje se novi</w:t>
      </w:r>
      <w:r w:rsidR="001A1C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usklađeni</w:t>
      </w:r>
      <w:r w:rsidRPr="00C32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način izračuna osnovice poreza na dobit za obračun porezne potpore, koja se izmjenama </w:t>
      </w:r>
      <w:r w:rsidR="008112D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</w:t>
      </w:r>
      <w:r w:rsidR="008112D9" w:rsidRPr="00C32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akona </w:t>
      </w:r>
      <w:r w:rsidRPr="00C32BC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primjenjuje isključivo na poslovnu aktivnost u koju se ulaganje vrši</w:t>
      </w:r>
      <w:r w:rsidR="001A1C3B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sukladno </w:t>
      </w:r>
      <w:r w:rsidRPr="001A1C3B">
        <w:rPr>
          <w:rFonts w:ascii="Times New Roman" w:hAnsi="Times New Roman" w:cs="Times New Roman"/>
          <w:bCs/>
          <w:sz w:val="24"/>
          <w:szCs w:val="24"/>
        </w:rPr>
        <w:t>Zaključcima Vijeća o napretku EU Skupine za Kodeks postupanja pri oporezivanju poslovanja (</w:t>
      </w:r>
      <w:r w:rsidRPr="008B3B13">
        <w:rPr>
          <w:rFonts w:ascii="Times New Roman" w:hAnsi="Times New Roman" w:cs="Times New Roman"/>
          <w:bCs/>
          <w:i/>
          <w:iCs/>
          <w:sz w:val="24"/>
          <w:szCs w:val="24"/>
        </w:rPr>
        <w:t>Code of Conduct</w:t>
      </w:r>
      <w:r w:rsidRPr="001A1C3B">
        <w:rPr>
          <w:rFonts w:ascii="Times New Roman" w:hAnsi="Times New Roman" w:cs="Times New Roman"/>
          <w:bCs/>
          <w:sz w:val="24"/>
          <w:szCs w:val="24"/>
        </w:rPr>
        <w:t>) EK i Zaključcima Foruma za štetne porezne prakse (FHTP) - OECD</w:t>
      </w:r>
      <w:r w:rsidRPr="001A1C3B">
        <w:rPr>
          <w:rFonts w:ascii="Times New Roman" w:hAnsi="Times New Roman" w:cs="Times New Roman"/>
          <w:sz w:val="24"/>
          <w:szCs w:val="24"/>
        </w:rPr>
        <w:t>. Potpora se sada odnosi samo na dobit ostvarenu poslovnom aktivnošću projekta ulaganja, isključujući prihode od kapitala, najamnine, kamata i intelektualnog vlasništva. Novi obračun se odnosi na investicijske projekte koji počinju od 1. siječnja 2025. godine.</w:t>
      </w:r>
    </w:p>
    <w:p w14:paraId="2AF69489" w14:textId="77777777" w:rsidR="00C32BC7" w:rsidRDefault="00C32BC7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552B7668" w14:textId="4A7E18F7" w:rsidR="00E022F4" w:rsidRDefault="00E022F4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 Uredbom se propisuje da</w:t>
      </w:r>
      <w:r w:rsidR="00726F4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je korisnik potpore za ulaganje dužan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voditi posebno knjigovodstveno praćenje aktivnosti projekta ulaganja te utvrditi iznos dobiti za aktivnost projekta ulaganja na način da posebno izračuna osnovic</w:t>
      </w:r>
      <w:r w:rsidR="002E3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poreza na dobit za aktivnost projekta ulaganja za korištenje porezne potpore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sukladno navedenom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izračunu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kao sastavnom dijelu ove Uredbe</w:t>
      </w:r>
      <w:r w:rsidR="002E36C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to na novom posebnom obrascu GI-3-ZPU-POPP pri predaji godišnjeg izvješća o izvršenju projekta ulaganja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 korištenju potpora, te tako utvrđeni iznos porezne potpore upisuje u prijavi poreza na dobit kao umanjenje porezne obveze.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14:paraId="2FDC9425" w14:textId="77777777" w:rsidR="00E022F4" w:rsidRDefault="00E022F4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71A189" w14:textId="269C24B2" w:rsidR="00E022F4" w:rsidRPr="00E022F4" w:rsidRDefault="00E022F4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Nadalje, Uredbom je propisano postupanje u vezi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kada poduzetnik koji koristi poreznu potporu istovremeno obavlja dvije ili više poslovnih aktivnosti a projekt ulaganja se odnose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samo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jednu poslovnu aktivnost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U tom slučaju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izračun osnovice poreza na dobit vrši se za svako posebno porezno razdoblje sukladno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novom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izračunu iz članka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2175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stavka </w:t>
      </w:r>
      <w:r w:rsidR="0055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552175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5217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Uredbe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a za ostale aktivnosti na način propisan propisom o oporezivanju dobiti.   </w:t>
      </w:r>
    </w:p>
    <w:p w14:paraId="3B7AF2D6" w14:textId="77777777" w:rsidR="001343D9" w:rsidRDefault="001343D9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9EAC3DE" w14:textId="1419C3D8" w:rsidR="00E022F4" w:rsidRDefault="00E022F4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Također</w:t>
      </w:r>
      <w:r w:rsidR="00D02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slučaju kada poduzetnik obavlja više aktivnosti te vrši projekt ulaganja u sve aktivnosti</w:t>
      </w:r>
      <w:r w:rsidR="00D02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ali neke od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ktivnosti ne predstavljaju prihvatljive aktivnosti sukladno odredbama članka 10. stavka 7. Zakona,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tada se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izračun osnovice poreza na dobit sukladno člank</w:t>
      </w:r>
      <w:r w:rsidR="00D02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6BA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stavk</w:t>
      </w:r>
      <w:r w:rsidR="00D02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</w:t>
      </w:r>
      <w:r w:rsidR="00D026BA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2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026BA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D026B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Uredbe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vrši isključivo za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prihvatljivu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aktivnost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ulaganja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a za aktivnosti koje ne predstavlj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prihvatljive aktivnosti na način propisan propisom o oporezivanju dobiti.  </w:t>
      </w:r>
    </w:p>
    <w:p w14:paraId="2D2B3C3D" w14:textId="77777777" w:rsidR="00E022F4" w:rsidRDefault="00E022F4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9EC550E" w14:textId="50A331F8" w:rsidR="00C50391" w:rsidRDefault="00E022F4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Uredbom se također propisuje da </w:t>
      </w:r>
      <w:r w:rsidR="00C50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izračunu osnovice poreza na dobit iz članka</w:t>
      </w:r>
      <w:r w:rsidR="00C50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</w:t>
      </w:r>
      <w:r w:rsidR="00C50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40296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stavka </w:t>
      </w:r>
      <w:r w:rsidR="006402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640296"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402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 </w:t>
      </w:r>
      <w:r w:rsidR="00C5039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Uredbe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odgovarajući iznos troškova poslovanja iz članaka 12., 13. i 20.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Zakona odnosno rashodi aktivnosti ulaganja ne mogu iznositi manji postotni udio u ukupnim rashodima poslovanja poduzetnika u odnosu na postotni udio prihoda aktivnosti ulaganja 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umanjenih za iznos pasivnih prihoda </w:t>
      </w:r>
      <w:r w:rsidRPr="00E022F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ukupnim prihodima poslovanja poduzetnika.</w:t>
      </w:r>
    </w:p>
    <w:p w14:paraId="4252FB8D" w14:textId="77777777" w:rsidR="008B3B13" w:rsidRDefault="008B3B13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16F09D" w14:textId="1FC0CBB1" w:rsidR="008C1D42" w:rsidRPr="008F5F93" w:rsidRDefault="008C1D42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Isto tako</w:t>
      </w:r>
      <w:r w:rsidR="006661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propisuje se da </w:t>
      </w:r>
      <w:r w:rsidRPr="008C1D42">
        <w:rPr>
          <w:rFonts w:ascii="Times New Roman" w:hAnsi="Times New Roman" w:cs="Times New Roman"/>
          <w:sz w:val="24"/>
          <w:szCs w:val="24"/>
        </w:rPr>
        <w:t xml:space="preserve">poduzetnik koji istovremeno obavlja više poslovnih aktivnosti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8C1D42">
        <w:rPr>
          <w:rFonts w:ascii="Times New Roman" w:hAnsi="Times New Roman" w:cs="Times New Roman"/>
          <w:sz w:val="24"/>
          <w:szCs w:val="24"/>
        </w:rPr>
        <w:t>ostvaruje dobit iz aktivnosti projekta ulaganja, a za ostale poslovne aktivnosti ostvaruje gubitak u poslovanju, tada je korištenje porezne potpore moguće tek nakon pokrića ostvarenog gubitka u ukupnom poslovanju iz dobiti ostvarene od aktivnosti projekta ulaganja za svako posebno porezno razdoblje</w:t>
      </w:r>
      <w:r w:rsidR="007B0AE9">
        <w:rPr>
          <w:rFonts w:ascii="Times New Roman" w:hAnsi="Times New Roman" w:cs="Times New Roman"/>
          <w:sz w:val="24"/>
          <w:szCs w:val="24"/>
        </w:rPr>
        <w:t>.</w:t>
      </w:r>
    </w:p>
    <w:p w14:paraId="5611E8A5" w14:textId="77777777" w:rsidR="008C1D42" w:rsidRDefault="008C1D42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1768B399" w14:textId="2C342DAC" w:rsidR="008218EB" w:rsidRDefault="008218EB" w:rsidP="009134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Ovom Uredbom se u dijelu kojim se propisuju uvjeti za odobrenje potpora za otvaranje</w:t>
      </w:r>
      <w:r w:rsidR="00140A4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novih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radnih mjesta u</w:t>
      </w:r>
      <w:r w:rsidRPr="008F5F93">
        <w:rPr>
          <w:rFonts w:ascii="Times New Roman" w:hAnsi="Times New Roman" w:cs="Times New Roman"/>
          <w:sz w:val="24"/>
          <w:szCs w:val="24"/>
        </w:rPr>
        <w:t xml:space="preserve"> članku 9.</w:t>
      </w:r>
      <w:r w:rsidR="007B0AE9">
        <w:rPr>
          <w:rFonts w:ascii="Times New Roman" w:hAnsi="Times New Roman" w:cs="Times New Roman"/>
          <w:sz w:val="24"/>
          <w:szCs w:val="24"/>
        </w:rPr>
        <w:t xml:space="preserve"> </w:t>
      </w:r>
      <w:r w:rsidRPr="008F5F93">
        <w:rPr>
          <w:rFonts w:ascii="Times New Roman" w:hAnsi="Times New Roman" w:cs="Times New Roman"/>
          <w:sz w:val="24"/>
          <w:szCs w:val="24"/>
        </w:rPr>
        <w:t>stavku 5. propisuje da ukoliko zapošljavanje povezano sa ulaganjem ne ispunjava uvjet novootvorenih radnih mjesta</w:t>
      </w:r>
      <w:r w:rsidR="00C07F6F">
        <w:rPr>
          <w:rFonts w:ascii="Times New Roman" w:hAnsi="Times New Roman" w:cs="Times New Roman"/>
          <w:sz w:val="24"/>
          <w:szCs w:val="24"/>
        </w:rPr>
        <w:t>,</w:t>
      </w:r>
      <w:r w:rsidRPr="008F5F93">
        <w:rPr>
          <w:rFonts w:ascii="Times New Roman" w:hAnsi="Times New Roman" w:cs="Times New Roman"/>
          <w:sz w:val="24"/>
          <w:szCs w:val="24"/>
        </w:rPr>
        <w:t xml:space="preserve"> korisniku potpore odobrit će </w:t>
      </w:r>
      <w:r w:rsidR="00C07F6F">
        <w:rPr>
          <w:rFonts w:ascii="Times New Roman" w:hAnsi="Times New Roman" w:cs="Times New Roman"/>
          <w:sz w:val="24"/>
          <w:szCs w:val="24"/>
        </w:rPr>
        <w:t xml:space="preserve">se </w:t>
      </w:r>
      <w:r w:rsidR="007733E4" w:rsidRPr="008F5F93">
        <w:rPr>
          <w:rFonts w:ascii="Times New Roman" w:hAnsi="Times New Roman" w:cs="Times New Roman"/>
          <w:sz w:val="24"/>
          <w:szCs w:val="24"/>
        </w:rPr>
        <w:t>8</w:t>
      </w:r>
      <w:r w:rsidRPr="00EF701F">
        <w:rPr>
          <w:rFonts w:ascii="Times New Roman" w:hAnsi="Times New Roman" w:cs="Times New Roman"/>
          <w:sz w:val="24"/>
          <w:szCs w:val="24"/>
        </w:rPr>
        <w:t>0% iznosa potpora propisanih člankom 14. stavcima 1. do 3. Zakona.</w:t>
      </w:r>
    </w:p>
    <w:p w14:paraId="4EED8225" w14:textId="77777777" w:rsidR="008218EB" w:rsidRDefault="008218EB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A975CDA" w14:textId="68C8D73B" w:rsidR="005B7C77" w:rsidRDefault="00080996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Isto tako</w:t>
      </w:r>
      <w:r w:rsidR="00C07F6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ovom Uredbom propisuj</w:t>
      </w:r>
      <w:r w:rsidR="005B7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</w:t>
      </w:r>
      <w:r w:rsidR="005B7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pri dostavi godišnjeg izviješća na obrascu GI obaveza dostave</w:t>
      </w:r>
      <w:r w:rsidR="008C1D4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dva nova obrasca </w:t>
      </w:r>
      <w:r w:rsidR="005B7C77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za projekt koji započinju od 1 siječnja 2025. i to:</w:t>
      </w:r>
    </w:p>
    <w:p w14:paraId="367CE539" w14:textId="3FAF7F2F" w:rsidR="005B7C77" w:rsidRDefault="005B7C77" w:rsidP="009134F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Obrazac GI-2 - Pregled pasivnih prihoda aktivnosti ulaganja i</w:t>
      </w:r>
    </w:p>
    <w:p w14:paraId="5BE93B67" w14:textId="77777777" w:rsidR="005B7C77" w:rsidRDefault="005B7C77" w:rsidP="009134F9">
      <w:pPr>
        <w:pStyle w:val="ListParagraph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Obrazac GI-3-ZPU-POPP – Izračun porezne osnovice i porezne potpore za aktivnost ulaganja</w:t>
      </w:r>
    </w:p>
    <w:p w14:paraId="409C4F73" w14:textId="3B40E1AF" w:rsidR="005B7C77" w:rsidRDefault="005B7C77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koje je korisnik obavezan dostaviti ministarstvu </w:t>
      </w:r>
      <w:r w:rsidR="008B3B13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nadležnom za gospodarstvo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 elektroničkom obliku.</w:t>
      </w:r>
    </w:p>
    <w:p w14:paraId="1E9DF87A" w14:textId="77777777" w:rsidR="001343D9" w:rsidRDefault="001343D9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0C30044" w14:textId="2FD1CC79" w:rsidR="005B7C77" w:rsidRDefault="005B7C77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Obrasci GI-2- i GI-3-ZPU-POPP su sastavni dio Uredbe kao prilozi 10. i 11.</w:t>
      </w:r>
    </w:p>
    <w:p w14:paraId="7C92C595" w14:textId="77777777" w:rsidR="003B1A81" w:rsidRDefault="003B1A81" w:rsidP="003B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6330D" w14:textId="52C948B2" w:rsidR="003B1A81" w:rsidRDefault="003B1A81" w:rsidP="003B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Uredba omogućuje korisnicima koji su ostvarili status korisnika potpore veći iznos potpore za otvaranje novih radnih mjesta kada podnesu zahtjev a nakon stupanja na snagu ove Uredbe.</w:t>
      </w:r>
    </w:p>
    <w:p w14:paraId="2BD86209" w14:textId="77777777" w:rsidR="005B7C77" w:rsidRDefault="005B7C77" w:rsidP="009134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2BFC48BA" w14:textId="1EFED6EE" w:rsidR="00B40D52" w:rsidRPr="00B40D52" w:rsidRDefault="00FC6536" w:rsidP="00B40D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Na kraju</w:t>
      </w:r>
      <w:r w:rsidR="00A67F5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propisuje se </w:t>
      </w:r>
      <w:r w:rsidR="00080996" w:rsidRPr="0008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stupa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nje</w:t>
      </w:r>
      <w:r w:rsidR="00080996" w:rsidRPr="0008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 snagu </w:t>
      </w:r>
      <w:r w:rsid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ove Uredbe prvog </w:t>
      </w:r>
      <w:r w:rsidR="00080996" w:rsidRPr="0008099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dana od dana objave u „Narodnim novinama“</w:t>
      </w:r>
      <w:r w:rsid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radi </w:t>
      </w:r>
      <w:r w:rsidR="00B40D52" w:rsidRP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osobito važn</w:t>
      </w:r>
      <w:r w:rsid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og</w:t>
      </w:r>
      <w:r w:rsidR="00B40D52" w:rsidRP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razlog</w:t>
      </w:r>
      <w:r w:rsid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a omogućavanja prijavljivanja novih projekata ulaganja </w:t>
      </w:r>
      <w:r w:rsidR="00B40D52" w:rsidRP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putem sustava elektroničke prijave</w:t>
      </w:r>
      <w:r w:rsid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na</w:t>
      </w:r>
      <w:r w:rsidR="00B40D52" w:rsidRPr="00B40D5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mrežnim stranicama ministarstva nadležnog za gospodarstvo.</w:t>
      </w:r>
    </w:p>
    <w:p w14:paraId="0A06325D" w14:textId="087EC444" w:rsidR="00190FFA" w:rsidRDefault="00190FFA" w:rsidP="00EC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A75CB" w14:textId="77777777" w:rsidR="00610FD7" w:rsidRDefault="00610FD7" w:rsidP="00EC46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7C4E9" w14:textId="046C4018" w:rsidR="00610FD7" w:rsidRDefault="00610FD7" w:rsidP="003B1A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10FD7" w:rsidSect="007C68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58F459" w14:textId="77777777" w:rsidR="00F65EF8" w:rsidRDefault="00F65EF8" w:rsidP="006E7C0A">
      <w:pPr>
        <w:spacing w:after="0" w:line="240" w:lineRule="auto"/>
      </w:pPr>
      <w:r>
        <w:separator/>
      </w:r>
    </w:p>
  </w:endnote>
  <w:endnote w:type="continuationSeparator" w:id="0">
    <w:p w14:paraId="062E8AA1" w14:textId="77777777" w:rsidR="00F65EF8" w:rsidRDefault="00F65EF8" w:rsidP="006E7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7ECA1" w14:textId="77777777" w:rsidR="00F65EF8" w:rsidRDefault="00F65EF8" w:rsidP="006E7C0A">
      <w:pPr>
        <w:spacing w:after="0" w:line="240" w:lineRule="auto"/>
      </w:pPr>
      <w:r>
        <w:separator/>
      </w:r>
    </w:p>
  </w:footnote>
  <w:footnote w:type="continuationSeparator" w:id="0">
    <w:p w14:paraId="1A6D5353" w14:textId="77777777" w:rsidR="00F65EF8" w:rsidRDefault="00F65EF8" w:rsidP="006E7C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6BFC"/>
    <w:multiLevelType w:val="hybridMultilevel"/>
    <w:tmpl w:val="3ED0263C"/>
    <w:lvl w:ilvl="0" w:tplc="3260DFC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491A40"/>
    <w:multiLevelType w:val="hybridMultilevel"/>
    <w:tmpl w:val="A1304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030F9"/>
    <w:multiLevelType w:val="hybridMultilevel"/>
    <w:tmpl w:val="1DC44684"/>
    <w:lvl w:ilvl="0" w:tplc="4514706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109A0"/>
    <w:multiLevelType w:val="hybridMultilevel"/>
    <w:tmpl w:val="BA0010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6769D"/>
    <w:multiLevelType w:val="hybridMultilevel"/>
    <w:tmpl w:val="D8666A80"/>
    <w:lvl w:ilvl="0" w:tplc="239A0F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0685E"/>
    <w:multiLevelType w:val="hybridMultilevel"/>
    <w:tmpl w:val="16BC9E20"/>
    <w:lvl w:ilvl="0" w:tplc="2528EE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E738A"/>
    <w:multiLevelType w:val="hybridMultilevel"/>
    <w:tmpl w:val="B09A772A"/>
    <w:lvl w:ilvl="0" w:tplc="9EA6CC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5629AD"/>
    <w:multiLevelType w:val="hybridMultilevel"/>
    <w:tmpl w:val="5A806574"/>
    <w:lvl w:ilvl="0" w:tplc="44CE205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63C41"/>
    <w:multiLevelType w:val="hybridMultilevel"/>
    <w:tmpl w:val="C2583334"/>
    <w:lvl w:ilvl="0" w:tplc="6DF6D6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46BBD"/>
    <w:multiLevelType w:val="hybridMultilevel"/>
    <w:tmpl w:val="B06CAC56"/>
    <w:lvl w:ilvl="0" w:tplc="E26E2F7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E6A43"/>
    <w:multiLevelType w:val="hybridMultilevel"/>
    <w:tmpl w:val="1B7846AA"/>
    <w:lvl w:ilvl="0" w:tplc="FDEA88EA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944217A"/>
    <w:multiLevelType w:val="hybridMultilevel"/>
    <w:tmpl w:val="46381D88"/>
    <w:lvl w:ilvl="0" w:tplc="00786C46"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741F8A"/>
    <w:multiLevelType w:val="hybridMultilevel"/>
    <w:tmpl w:val="BD54EC7C"/>
    <w:lvl w:ilvl="0" w:tplc="8BD4CF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E17B22"/>
    <w:multiLevelType w:val="multilevel"/>
    <w:tmpl w:val="F7A6484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BD55BB"/>
    <w:multiLevelType w:val="hybridMultilevel"/>
    <w:tmpl w:val="36ACE6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F38A3"/>
    <w:multiLevelType w:val="hybridMultilevel"/>
    <w:tmpl w:val="5320849A"/>
    <w:lvl w:ilvl="0" w:tplc="1D8269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3B561C"/>
    <w:multiLevelType w:val="hybridMultilevel"/>
    <w:tmpl w:val="8DEE61E4"/>
    <w:lvl w:ilvl="0" w:tplc="CB1EEB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5B2D2C"/>
    <w:multiLevelType w:val="hybridMultilevel"/>
    <w:tmpl w:val="C3AC13CC"/>
    <w:lvl w:ilvl="0" w:tplc="FA80AAC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A19B9"/>
    <w:multiLevelType w:val="hybridMultilevel"/>
    <w:tmpl w:val="5CF8E9FC"/>
    <w:lvl w:ilvl="0" w:tplc="C368050E">
      <w:start w:val="1"/>
      <w:numFmt w:val="lowerLetter"/>
      <w:lvlText w:val="%1)"/>
      <w:lvlJc w:val="left"/>
      <w:pPr>
        <w:ind w:left="51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30" w:hanging="360"/>
      </w:pPr>
    </w:lvl>
    <w:lvl w:ilvl="2" w:tplc="041A001B" w:tentative="1">
      <w:start w:val="1"/>
      <w:numFmt w:val="lowerRoman"/>
      <w:lvlText w:val="%3."/>
      <w:lvlJc w:val="right"/>
      <w:pPr>
        <w:ind w:left="1950" w:hanging="180"/>
      </w:pPr>
    </w:lvl>
    <w:lvl w:ilvl="3" w:tplc="041A000F" w:tentative="1">
      <w:start w:val="1"/>
      <w:numFmt w:val="decimal"/>
      <w:lvlText w:val="%4."/>
      <w:lvlJc w:val="left"/>
      <w:pPr>
        <w:ind w:left="2670" w:hanging="360"/>
      </w:pPr>
    </w:lvl>
    <w:lvl w:ilvl="4" w:tplc="041A0019" w:tentative="1">
      <w:start w:val="1"/>
      <w:numFmt w:val="lowerLetter"/>
      <w:lvlText w:val="%5."/>
      <w:lvlJc w:val="left"/>
      <w:pPr>
        <w:ind w:left="3390" w:hanging="360"/>
      </w:pPr>
    </w:lvl>
    <w:lvl w:ilvl="5" w:tplc="041A001B" w:tentative="1">
      <w:start w:val="1"/>
      <w:numFmt w:val="lowerRoman"/>
      <w:lvlText w:val="%6."/>
      <w:lvlJc w:val="right"/>
      <w:pPr>
        <w:ind w:left="4110" w:hanging="180"/>
      </w:pPr>
    </w:lvl>
    <w:lvl w:ilvl="6" w:tplc="041A000F" w:tentative="1">
      <w:start w:val="1"/>
      <w:numFmt w:val="decimal"/>
      <w:lvlText w:val="%7."/>
      <w:lvlJc w:val="left"/>
      <w:pPr>
        <w:ind w:left="4830" w:hanging="360"/>
      </w:pPr>
    </w:lvl>
    <w:lvl w:ilvl="7" w:tplc="041A0019" w:tentative="1">
      <w:start w:val="1"/>
      <w:numFmt w:val="lowerLetter"/>
      <w:lvlText w:val="%8."/>
      <w:lvlJc w:val="left"/>
      <w:pPr>
        <w:ind w:left="5550" w:hanging="360"/>
      </w:pPr>
    </w:lvl>
    <w:lvl w:ilvl="8" w:tplc="041A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9" w15:restartNumberingAfterBreak="0">
    <w:nsid w:val="6352041B"/>
    <w:multiLevelType w:val="hybridMultilevel"/>
    <w:tmpl w:val="BC2422A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34DCD"/>
    <w:multiLevelType w:val="hybridMultilevel"/>
    <w:tmpl w:val="904677BC"/>
    <w:lvl w:ilvl="0" w:tplc="BC0E1E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144AF"/>
    <w:multiLevelType w:val="hybridMultilevel"/>
    <w:tmpl w:val="115A02F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5391A"/>
    <w:multiLevelType w:val="hybridMultilevel"/>
    <w:tmpl w:val="FAEA760C"/>
    <w:lvl w:ilvl="0" w:tplc="A8F08D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201BE"/>
    <w:multiLevelType w:val="hybridMultilevel"/>
    <w:tmpl w:val="C2829F98"/>
    <w:lvl w:ilvl="0" w:tplc="EB40A6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58417D"/>
    <w:multiLevelType w:val="hybridMultilevel"/>
    <w:tmpl w:val="3522A0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9E61CF"/>
    <w:multiLevelType w:val="hybridMultilevel"/>
    <w:tmpl w:val="DE365430"/>
    <w:lvl w:ilvl="0" w:tplc="77905B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F66ECF"/>
    <w:multiLevelType w:val="hybridMultilevel"/>
    <w:tmpl w:val="D8F2432A"/>
    <w:lvl w:ilvl="0" w:tplc="FA80A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2D4264"/>
    <w:multiLevelType w:val="hybridMultilevel"/>
    <w:tmpl w:val="367CB628"/>
    <w:lvl w:ilvl="0" w:tplc="3D5678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4"/>
  </w:num>
  <w:num w:numId="3">
    <w:abstractNumId w:val="9"/>
  </w:num>
  <w:num w:numId="4">
    <w:abstractNumId w:val="21"/>
  </w:num>
  <w:num w:numId="5">
    <w:abstractNumId w:val="18"/>
  </w:num>
  <w:num w:numId="6">
    <w:abstractNumId w:val="1"/>
  </w:num>
  <w:num w:numId="7">
    <w:abstractNumId w:val="19"/>
  </w:num>
  <w:num w:numId="8">
    <w:abstractNumId w:val="11"/>
  </w:num>
  <w:num w:numId="9">
    <w:abstractNumId w:val="5"/>
  </w:num>
  <w:num w:numId="10">
    <w:abstractNumId w:val="4"/>
  </w:num>
  <w:num w:numId="11">
    <w:abstractNumId w:val="27"/>
  </w:num>
  <w:num w:numId="12">
    <w:abstractNumId w:val="8"/>
  </w:num>
  <w:num w:numId="13">
    <w:abstractNumId w:val="6"/>
  </w:num>
  <w:num w:numId="14">
    <w:abstractNumId w:val="0"/>
  </w:num>
  <w:num w:numId="15">
    <w:abstractNumId w:val="12"/>
  </w:num>
  <w:num w:numId="16">
    <w:abstractNumId w:val="25"/>
  </w:num>
  <w:num w:numId="17">
    <w:abstractNumId w:val="15"/>
  </w:num>
  <w:num w:numId="18">
    <w:abstractNumId w:val="17"/>
  </w:num>
  <w:num w:numId="19">
    <w:abstractNumId w:val="26"/>
  </w:num>
  <w:num w:numId="20">
    <w:abstractNumId w:val="7"/>
  </w:num>
  <w:num w:numId="21">
    <w:abstractNumId w:val="23"/>
  </w:num>
  <w:num w:numId="22">
    <w:abstractNumId w:val="16"/>
  </w:num>
  <w:num w:numId="23">
    <w:abstractNumId w:val="2"/>
  </w:num>
  <w:num w:numId="24">
    <w:abstractNumId w:val="20"/>
  </w:num>
  <w:num w:numId="25">
    <w:abstractNumId w:val="3"/>
  </w:num>
  <w:num w:numId="26">
    <w:abstractNumId w:val="10"/>
  </w:num>
  <w:num w:numId="27">
    <w:abstractNumId w:val="1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F4A"/>
    <w:rsid w:val="000037FA"/>
    <w:rsid w:val="00006F3D"/>
    <w:rsid w:val="00011574"/>
    <w:rsid w:val="0001157F"/>
    <w:rsid w:val="0001200F"/>
    <w:rsid w:val="00015A20"/>
    <w:rsid w:val="00024F9F"/>
    <w:rsid w:val="00027D4C"/>
    <w:rsid w:val="000325F5"/>
    <w:rsid w:val="00034F46"/>
    <w:rsid w:val="000378E0"/>
    <w:rsid w:val="000408A0"/>
    <w:rsid w:val="0004363D"/>
    <w:rsid w:val="00044259"/>
    <w:rsid w:val="00045044"/>
    <w:rsid w:val="0005249A"/>
    <w:rsid w:val="00052A2C"/>
    <w:rsid w:val="00054201"/>
    <w:rsid w:val="000544BE"/>
    <w:rsid w:val="00057DF1"/>
    <w:rsid w:val="0006184E"/>
    <w:rsid w:val="00065997"/>
    <w:rsid w:val="00066502"/>
    <w:rsid w:val="000679EC"/>
    <w:rsid w:val="00075ABE"/>
    <w:rsid w:val="00080996"/>
    <w:rsid w:val="00081A54"/>
    <w:rsid w:val="0008715C"/>
    <w:rsid w:val="00087C88"/>
    <w:rsid w:val="00093C15"/>
    <w:rsid w:val="000A185B"/>
    <w:rsid w:val="000A45BD"/>
    <w:rsid w:val="000B3713"/>
    <w:rsid w:val="000B42D6"/>
    <w:rsid w:val="000B4B64"/>
    <w:rsid w:val="000B7E88"/>
    <w:rsid w:val="000C340E"/>
    <w:rsid w:val="000C39B0"/>
    <w:rsid w:val="000C5265"/>
    <w:rsid w:val="000C6602"/>
    <w:rsid w:val="000C7DBB"/>
    <w:rsid w:val="000D3C45"/>
    <w:rsid w:val="000D6AC9"/>
    <w:rsid w:val="000D7D31"/>
    <w:rsid w:val="000E1F37"/>
    <w:rsid w:val="000E3B81"/>
    <w:rsid w:val="000E6B10"/>
    <w:rsid w:val="000E7FB1"/>
    <w:rsid w:val="000F55ED"/>
    <w:rsid w:val="00104E63"/>
    <w:rsid w:val="00105317"/>
    <w:rsid w:val="0010642C"/>
    <w:rsid w:val="00115CCA"/>
    <w:rsid w:val="0011742E"/>
    <w:rsid w:val="0012146A"/>
    <w:rsid w:val="00121E5E"/>
    <w:rsid w:val="001343D9"/>
    <w:rsid w:val="00137FFA"/>
    <w:rsid w:val="00140A43"/>
    <w:rsid w:val="0014635B"/>
    <w:rsid w:val="001470C9"/>
    <w:rsid w:val="00150612"/>
    <w:rsid w:val="00152D2C"/>
    <w:rsid w:val="00153535"/>
    <w:rsid w:val="00161450"/>
    <w:rsid w:val="0016690A"/>
    <w:rsid w:val="00166AC2"/>
    <w:rsid w:val="0017506F"/>
    <w:rsid w:val="0018327E"/>
    <w:rsid w:val="00185A82"/>
    <w:rsid w:val="00190FFA"/>
    <w:rsid w:val="001914DC"/>
    <w:rsid w:val="00191688"/>
    <w:rsid w:val="001924FE"/>
    <w:rsid w:val="001A1C3B"/>
    <w:rsid w:val="001A5DCB"/>
    <w:rsid w:val="001A6749"/>
    <w:rsid w:val="001A6FAF"/>
    <w:rsid w:val="001B4DB1"/>
    <w:rsid w:val="001C233F"/>
    <w:rsid w:val="001C2E9C"/>
    <w:rsid w:val="001C67AA"/>
    <w:rsid w:val="001C71DA"/>
    <w:rsid w:val="001D30A0"/>
    <w:rsid w:val="001D3A1C"/>
    <w:rsid w:val="001D3C9B"/>
    <w:rsid w:val="001D6C73"/>
    <w:rsid w:val="001E46EF"/>
    <w:rsid w:val="001E645E"/>
    <w:rsid w:val="001F118E"/>
    <w:rsid w:val="001F5725"/>
    <w:rsid w:val="00202D9C"/>
    <w:rsid w:val="00213E3E"/>
    <w:rsid w:val="002343C0"/>
    <w:rsid w:val="00234D5A"/>
    <w:rsid w:val="002365E2"/>
    <w:rsid w:val="0024256E"/>
    <w:rsid w:val="002455EF"/>
    <w:rsid w:val="002519EE"/>
    <w:rsid w:val="00252A2C"/>
    <w:rsid w:val="0026272E"/>
    <w:rsid w:val="00262B4D"/>
    <w:rsid w:val="00270D00"/>
    <w:rsid w:val="00274DC0"/>
    <w:rsid w:val="00281592"/>
    <w:rsid w:val="00282A73"/>
    <w:rsid w:val="00286A32"/>
    <w:rsid w:val="00292024"/>
    <w:rsid w:val="00295D6E"/>
    <w:rsid w:val="00296437"/>
    <w:rsid w:val="002A2A03"/>
    <w:rsid w:val="002A43E4"/>
    <w:rsid w:val="002A46F6"/>
    <w:rsid w:val="002A4AFC"/>
    <w:rsid w:val="002A4B36"/>
    <w:rsid w:val="002A4F8F"/>
    <w:rsid w:val="002A7A71"/>
    <w:rsid w:val="002B025C"/>
    <w:rsid w:val="002B3E7A"/>
    <w:rsid w:val="002C0AD1"/>
    <w:rsid w:val="002C275F"/>
    <w:rsid w:val="002D25B4"/>
    <w:rsid w:val="002D499C"/>
    <w:rsid w:val="002D63A5"/>
    <w:rsid w:val="002E26F6"/>
    <w:rsid w:val="002E270E"/>
    <w:rsid w:val="002E36C8"/>
    <w:rsid w:val="002E4445"/>
    <w:rsid w:val="002E59CB"/>
    <w:rsid w:val="002E776D"/>
    <w:rsid w:val="00302D2C"/>
    <w:rsid w:val="0030446F"/>
    <w:rsid w:val="0030539D"/>
    <w:rsid w:val="0031452F"/>
    <w:rsid w:val="00314C59"/>
    <w:rsid w:val="00316CBA"/>
    <w:rsid w:val="00321986"/>
    <w:rsid w:val="00322909"/>
    <w:rsid w:val="00322E17"/>
    <w:rsid w:val="00325335"/>
    <w:rsid w:val="0033556C"/>
    <w:rsid w:val="00340FDD"/>
    <w:rsid w:val="00341253"/>
    <w:rsid w:val="00343307"/>
    <w:rsid w:val="00352A98"/>
    <w:rsid w:val="00352D7C"/>
    <w:rsid w:val="003549DD"/>
    <w:rsid w:val="00356E73"/>
    <w:rsid w:val="00366B1A"/>
    <w:rsid w:val="003711C8"/>
    <w:rsid w:val="003713A0"/>
    <w:rsid w:val="00372461"/>
    <w:rsid w:val="00377BAA"/>
    <w:rsid w:val="00387BFF"/>
    <w:rsid w:val="003911E8"/>
    <w:rsid w:val="00397267"/>
    <w:rsid w:val="003A1159"/>
    <w:rsid w:val="003A14B4"/>
    <w:rsid w:val="003A14EB"/>
    <w:rsid w:val="003A6F23"/>
    <w:rsid w:val="003B07D0"/>
    <w:rsid w:val="003B1A81"/>
    <w:rsid w:val="003B1FC9"/>
    <w:rsid w:val="003B31F9"/>
    <w:rsid w:val="003B46A9"/>
    <w:rsid w:val="003B578D"/>
    <w:rsid w:val="003B7691"/>
    <w:rsid w:val="003B7782"/>
    <w:rsid w:val="003C1991"/>
    <w:rsid w:val="003D28DB"/>
    <w:rsid w:val="003D35A1"/>
    <w:rsid w:val="003D372F"/>
    <w:rsid w:val="003D404E"/>
    <w:rsid w:val="003D50E6"/>
    <w:rsid w:val="003E2359"/>
    <w:rsid w:val="003E23F6"/>
    <w:rsid w:val="003F1D43"/>
    <w:rsid w:val="004040E7"/>
    <w:rsid w:val="004047A2"/>
    <w:rsid w:val="00405BDC"/>
    <w:rsid w:val="00407296"/>
    <w:rsid w:val="004144E8"/>
    <w:rsid w:val="00426D51"/>
    <w:rsid w:val="004300DC"/>
    <w:rsid w:val="00443F36"/>
    <w:rsid w:val="00445261"/>
    <w:rsid w:val="00452BFE"/>
    <w:rsid w:val="004652A1"/>
    <w:rsid w:val="004658E4"/>
    <w:rsid w:val="00466DF9"/>
    <w:rsid w:val="00466F18"/>
    <w:rsid w:val="00471607"/>
    <w:rsid w:val="00471C52"/>
    <w:rsid w:val="004728C6"/>
    <w:rsid w:val="004749FB"/>
    <w:rsid w:val="0047514E"/>
    <w:rsid w:val="004757C7"/>
    <w:rsid w:val="0047799B"/>
    <w:rsid w:val="00482BE8"/>
    <w:rsid w:val="00482C2F"/>
    <w:rsid w:val="004849E1"/>
    <w:rsid w:val="004901F0"/>
    <w:rsid w:val="004902C5"/>
    <w:rsid w:val="004931D2"/>
    <w:rsid w:val="00494C44"/>
    <w:rsid w:val="004A3268"/>
    <w:rsid w:val="004A4ADC"/>
    <w:rsid w:val="004A67B5"/>
    <w:rsid w:val="004B1962"/>
    <w:rsid w:val="004B3CFC"/>
    <w:rsid w:val="004B4101"/>
    <w:rsid w:val="004B7A64"/>
    <w:rsid w:val="004C2B41"/>
    <w:rsid w:val="004C4710"/>
    <w:rsid w:val="004C4886"/>
    <w:rsid w:val="004C48DD"/>
    <w:rsid w:val="004C58AC"/>
    <w:rsid w:val="004C58B5"/>
    <w:rsid w:val="004C71B5"/>
    <w:rsid w:val="004C7609"/>
    <w:rsid w:val="004D2642"/>
    <w:rsid w:val="004D6AD9"/>
    <w:rsid w:val="004D7343"/>
    <w:rsid w:val="004E0590"/>
    <w:rsid w:val="004E4323"/>
    <w:rsid w:val="004F152A"/>
    <w:rsid w:val="004F2AF0"/>
    <w:rsid w:val="004F3076"/>
    <w:rsid w:val="004F36F1"/>
    <w:rsid w:val="004F66D3"/>
    <w:rsid w:val="005011AE"/>
    <w:rsid w:val="00501D5A"/>
    <w:rsid w:val="005036AF"/>
    <w:rsid w:val="00505BA4"/>
    <w:rsid w:val="00506098"/>
    <w:rsid w:val="005220CC"/>
    <w:rsid w:val="00527217"/>
    <w:rsid w:val="005348C3"/>
    <w:rsid w:val="00540C91"/>
    <w:rsid w:val="00543212"/>
    <w:rsid w:val="00546363"/>
    <w:rsid w:val="00552175"/>
    <w:rsid w:val="0055348D"/>
    <w:rsid w:val="00557D4B"/>
    <w:rsid w:val="00570D0A"/>
    <w:rsid w:val="00572396"/>
    <w:rsid w:val="0057705E"/>
    <w:rsid w:val="00584438"/>
    <w:rsid w:val="00592412"/>
    <w:rsid w:val="00592DB4"/>
    <w:rsid w:val="00596811"/>
    <w:rsid w:val="005A2C54"/>
    <w:rsid w:val="005A4B9A"/>
    <w:rsid w:val="005A657C"/>
    <w:rsid w:val="005B10BA"/>
    <w:rsid w:val="005B3BD0"/>
    <w:rsid w:val="005B7C77"/>
    <w:rsid w:val="005C104D"/>
    <w:rsid w:val="005D029C"/>
    <w:rsid w:val="005D3E95"/>
    <w:rsid w:val="005E37D2"/>
    <w:rsid w:val="005E588D"/>
    <w:rsid w:val="005F38CD"/>
    <w:rsid w:val="005F42A6"/>
    <w:rsid w:val="005F496D"/>
    <w:rsid w:val="005F7F05"/>
    <w:rsid w:val="006054CA"/>
    <w:rsid w:val="00610FD7"/>
    <w:rsid w:val="00626B90"/>
    <w:rsid w:val="00640296"/>
    <w:rsid w:val="00640AF9"/>
    <w:rsid w:val="00643916"/>
    <w:rsid w:val="00645C73"/>
    <w:rsid w:val="00652D4D"/>
    <w:rsid w:val="00653CBA"/>
    <w:rsid w:val="006558A7"/>
    <w:rsid w:val="00656B55"/>
    <w:rsid w:val="00657CDF"/>
    <w:rsid w:val="00661DD2"/>
    <w:rsid w:val="00666162"/>
    <w:rsid w:val="006757F1"/>
    <w:rsid w:val="006827A8"/>
    <w:rsid w:val="00687599"/>
    <w:rsid w:val="00695E8E"/>
    <w:rsid w:val="0069767B"/>
    <w:rsid w:val="006A3FA3"/>
    <w:rsid w:val="006A53A2"/>
    <w:rsid w:val="006A5806"/>
    <w:rsid w:val="006B3123"/>
    <w:rsid w:val="006B3662"/>
    <w:rsid w:val="006B4E49"/>
    <w:rsid w:val="006B7893"/>
    <w:rsid w:val="006C0F24"/>
    <w:rsid w:val="006C32BA"/>
    <w:rsid w:val="006C7125"/>
    <w:rsid w:val="006D0F57"/>
    <w:rsid w:val="006D267C"/>
    <w:rsid w:val="006E08FF"/>
    <w:rsid w:val="006E38E3"/>
    <w:rsid w:val="006E7C0A"/>
    <w:rsid w:val="006F1866"/>
    <w:rsid w:val="006F2A91"/>
    <w:rsid w:val="00702508"/>
    <w:rsid w:val="0070492D"/>
    <w:rsid w:val="007069A8"/>
    <w:rsid w:val="007111C9"/>
    <w:rsid w:val="00711A19"/>
    <w:rsid w:val="007134D5"/>
    <w:rsid w:val="0071444A"/>
    <w:rsid w:val="00715721"/>
    <w:rsid w:val="0072065C"/>
    <w:rsid w:val="00722696"/>
    <w:rsid w:val="007232D5"/>
    <w:rsid w:val="00726F4E"/>
    <w:rsid w:val="00727130"/>
    <w:rsid w:val="00730BFE"/>
    <w:rsid w:val="00732141"/>
    <w:rsid w:val="00733533"/>
    <w:rsid w:val="00733863"/>
    <w:rsid w:val="00736BAD"/>
    <w:rsid w:val="00743BC1"/>
    <w:rsid w:val="00743ECC"/>
    <w:rsid w:val="0074500C"/>
    <w:rsid w:val="0075023C"/>
    <w:rsid w:val="0075692E"/>
    <w:rsid w:val="00757CB2"/>
    <w:rsid w:val="00766811"/>
    <w:rsid w:val="00766DCC"/>
    <w:rsid w:val="00766E0E"/>
    <w:rsid w:val="00767F0A"/>
    <w:rsid w:val="007733E4"/>
    <w:rsid w:val="00773DFD"/>
    <w:rsid w:val="00780079"/>
    <w:rsid w:val="00786369"/>
    <w:rsid w:val="007872C2"/>
    <w:rsid w:val="0079063F"/>
    <w:rsid w:val="007937FF"/>
    <w:rsid w:val="007A019B"/>
    <w:rsid w:val="007A1122"/>
    <w:rsid w:val="007B0AE9"/>
    <w:rsid w:val="007B134F"/>
    <w:rsid w:val="007B1359"/>
    <w:rsid w:val="007B78F6"/>
    <w:rsid w:val="007C0705"/>
    <w:rsid w:val="007C1352"/>
    <w:rsid w:val="007C6857"/>
    <w:rsid w:val="007D3C79"/>
    <w:rsid w:val="007D5E3C"/>
    <w:rsid w:val="007D7E59"/>
    <w:rsid w:val="007E6DDD"/>
    <w:rsid w:val="007F0D39"/>
    <w:rsid w:val="007F18C0"/>
    <w:rsid w:val="007F2C64"/>
    <w:rsid w:val="007F6021"/>
    <w:rsid w:val="008112D9"/>
    <w:rsid w:val="008112FB"/>
    <w:rsid w:val="00813A9E"/>
    <w:rsid w:val="00817C1F"/>
    <w:rsid w:val="008212C5"/>
    <w:rsid w:val="008218EB"/>
    <w:rsid w:val="00824A26"/>
    <w:rsid w:val="008264C6"/>
    <w:rsid w:val="008325DC"/>
    <w:rsid w:val="00834AB7"/>
    <w:rsid w:val="00836570"/>
    <w:rsid w:val="00852F4A"/>
    <w:rsid w:val="00854E0E"/>
    <w:rsid w:val="008639B8"/>
    <w:rsid w:val="00863D1C"/>
    <w:rsid w:val="00865710"/>
    <w:rsid w:val="008660A6"/>
    <w:rsid w:val="0086745D"/>
    <w:rsid w:val="0087747F"/>
    <w:rsid w:val="008811C7"/>
    <w:rsid w:val="008866A6"/>
    <w:rsid w:val="0089413A"/>
    <w:rsid w:val="00896168"/>
    <w:rsid w:val="00896742"/>
    <w:rsid w:val="008A02B3"/>
    <w:rsid w:val="008A21E1"/>
    <w:rsid w:val="008A23C3"/>
    <w:rsid w:val="008A2605"/>
    <w:rsid w:val="008A2655"/>
    <w:rsid w:val="008A3CB5"/>
    <w:rsid w:val="008A42D9"/>
    <w:rsid w:val="008A5465"/>
    <w:rsid w:val="008A7B22"/>
    <w:rsid w:val="008B3B13"/>
    <w:rsid w:val="008B69AB"/>
    <w:rsid w:val="008B72E9"/>
    <w:rsid w:val="008B733F"/>
    <w:rsid w:val="008C1D42"/>
    <w:rsid w:val="008C3BC9"/>
    <w:rsid w:val="008C43F8"/>
    <w:rsid w:val="008C7BA2"/>
    <w:rsid w:val="008D0456"/>
    <w:rsid w:val="008D1711"/>
    <w:rsid w:val="008D45C8"/>
    <w:rsid w:val="008D5170"/>
    <w:rsid w:val="008D725F"/>
    <w:rsid w:val="008E106D"/>
    <w:rsid w:val="008E1A1A"/>
    <w:rsid w:val="008E2F10"/>
    <w:rsid w:val="008E5080"/>
    <w:rsid w:val="008F12B1"/>
    <w:rsid w:val="008F2EAB"/>
    <w:rsid w:val="008F5F93"/>
    <w:rsid w:val="008F6219"/>
    <w:rsid w:val="009003FB"/>
    <w:rsid w:val="009028AC"/>
    <w:rsid w:val="00903E60"/>
    <w:rsid w:val="009134F9"/>
    <w:rsid w:val="0092016F"/>
    <w:rsid w:val="00923774"/>
    <w:rsid w:val="00924A00"/>
    <w:rsid w:val="00926C24"/>
    <w:rsid w:val="00927EC2"/>
    <w:rsid w:val="0093243F"/>
    <w:rsid w:val="009352D9"/>
    <w:rsid w:val="00937675"/>
    <w:rsid w:val="00940EF4"/>
    <w:rsid w:val="0094623B"/>
    <w:rsid w:val="00953831"/>
    <w:rsid w:val="009557BA"/>
    <w:rsid w:val="0095633C"/>
    <w:rsid w:val="00956B8A"/>
    <w:rsid w:val="0095781D"/>
    <w:rsid w:val="00965FED"/>
    <w:rsid w:val="00976664"/>
    <w:rsid w:val="00980420"/>
    <w:rsid w:val="009836BE"/>
    <w:rsid w:val="009861E6"/>
    <w:rsid w:val="00996F9F"/>
    <w:rsid w:val="00997B27"/>
    <w:rsid w:val="009A1847"/>
    <w:rsid w:val="009A53DF"/>
    <w:rsid w:val="009B0461"/>
    <w:rsid w:val="009C1430"/>
    <w:rsid w:val="009C3566"/>
    <w:rsid w:val="009E6E7E"/>
    <w:rsid w:val="009E6F36"/>
    <w:rsid w:val="009E74BC"/>
    <w:rsid w:val="009E791A"/>
    <w:rsid w:val="009F413A"/>
    <w:rsid w:val="009F5060"/>
    <w:rsid w:val="00A011E4"/>
    <w:rsid w:val="00A07185"/>
    <w:rsid w:val="00A10BE5"/>
    <w:rsid w:val="00A13441"/>
    <w:rsid w:val="00A15EAB"/>
    <w:rsid w:val="00A16539"/>
    <w:rsid w:val="00A177F7"/>
    <w:rsid w:val="00A21846"/>
    <w:rsid w:val="00A2358C"/>
    <w:rsid w:val="00A258AA"/>
    <w:rsid w:val="00A27455"/>
    <w:rsid w:val="00A35B7F"/>
    <w:rsid w:val="00A421AA"/>
    <w:rsid w:val="00A44566"/>
    <w:rsid w:val="00A46FB4"/>
    <w:rsid w:val="00A5351F"/>
    <w:rsid w:val="00A539E7"/>
    <w:rsid w:val="00A552C3"/>
    <w:rsid w:val="00A558B7"/>
    <w:rsid w:val="00A57752"/>
    <w:rsid w:val="00A61733"/>
    <w:rsid w:val="00A64E21"/>
    <w:rsid w:val="00A65C34"/>
    <w:rsid w:val="00A67F55"/>
    <w:rsid w:val="00A70726"/>
    <w:rsid w:val="00A72A98"/>
    <w:rsid w:val="00A7354E"/>
    <w:rsid w:val="00A75460"/>
    <w:rsid w:val="00A76545"/>
    <w:rsid w:val="00A76EB2"/>
    <w:rsid w:val="00A80D6D"/>
    <w:rsid w:val="00A8145E"/>
    <w:rsid w:val="00A81B09"/>
    <w:rsid w:val="00A878D6"/>
    <w:rsid w:val="00A87D5F"/>
    <w:rsid w:val="00A909D3"/>
    <w:rsid w:val="00A91A02"/>
    <w:rsid w:val="00A92C83"/>
    <w:rsid w:val="00A946CA"/>
    <w:rsid w:val="00A95AD4"/>
    <w:rsid w:val="00A96701"/>
    <w:rsid w:val="00A97CE8"/>
    <w:rsid w:val="00AA2D53"/>
    <w:rsid w:val="00AB0323"/>
    <w:rsid w:val="00AB2382"/>
    <w:rsid w:val="00AB5557"/>
    <w:rsid w:val="00AC4793"/>
    <w:rsid w:val="00AD2204"/>
    <w:rsid w:val="00AD2D81"/>
    <w:rsid w:val="00AE0D6A"/>
    <w:rsid w:val="00AE213F"/>
    <w:rsid w:val="00AE22A1"/>
    <w:rsid w:val="00AE2DA5"/>
    <w:rsid w:val="00AE7A52"/>
    <w:rsid w:val="00AF052C"/>
    <w:rsid w:val="00AF1BAF"/>
    <w:rsid w:val="00AF3BA2"/>
    <w:rsid w:val="00AF6D7A"/>
    <w:rsid w:val="00B03503"/>
    <w:rsid w:val="00B06D9E"/>
    <w:rsid w:val="00B10A44"/>
    <w:rsid w:val="00B11010"/>
    <w:rsid w:val="00B21710"/>
    <w:rsid w:val="00B22CAF"/>
    <w:rsid w:val="00B24CB8"/>
    <w:rsid w:val="00B40D52"/>
    <w:rsid w:val="00B4251B"/>
    <w:rsid w:val="00B54BAC"/>
    <w:rsid w:val="00B57BDE"/>
    <w:rsid w:val="00B62B98"/>
    <w:rsid w:val="00B63E9D"/>
    <w:rsid w:val="00B65ED2"/>
    <w:rsid w:val="00B839B8"/>
    <w:rsid w:val="00B850E2"/>
    <w:rsid w:val="00B91184"/>
    <w:rsid w:val="00B93473"/>
    <w:rsid w:val="00BA3BDC"/>
    <w:rsid w:val="00BA53CB"/>
    <w:rsid w:val="00BA543F"/>
    <w:rsid w:val="00BA5E2B"/>
    <w:rsid w:val="00BA6411"/>
    <w:rsid w:val="00BB1871"/>
    <w:rsid w:val="00BB49BC"/>
    <w:rsid w:val="00BC03B8"/>
    <w:rsid w:val="00BC03E1"/>
    <w:rsid w:val="00BC5C99"/>
    <w:rsid w:val="00BE039D"/>
    <w:rsid w:val="00BE2835"/>
    <w:rsid w:val="00BF2E24"/>
    <w:rsid w:val="00BF7C7D"/>
    <w:rsid w:val="00C002AD"/>
    <w:rsid w:val="00C03DAA"/>
    <w:rsid w:val="00C05E9F"/>
    <w:rsid w:val="00C07CBA"/>
    <w:rsid w:val="00C07F6F"/>
    <w:rsid w:val="00C155E1"/>
    <w:rsid w:val="00C1674E"/>
    <w:rsid w:val="00C208F7"/>
    <w:rsid w:val="00C26958"/>
    <w:rsid w:val="00C2720D"/>
    <w:rsid w:val="00C32BC7"/>
    <w:rsid w:val="00C361A1"/>
    <w:rsid w:val="00C36E2C"/>
    <w:rsid w:val="00C4169C"/>
    <w:rsid w:val="00C44473"/>
    <w:rsid w:val="00C4456A"/>
    <w:rsid w:val="00C45C15"/>
    <w:rsid w:val="00C50391"/>
    <w:rsid w:val="00C5705E"/>
    <w:rsid w:val="00C63525"/>
    <w:rsid w:val="00C6366C"/>
    <w:rsid w:val="00C6419A"/>
    <w:rsid w:val="00C642EC"/>
    <w:rsid w:val="00C7532E"/>
    <w:rsid w:val="00C76947"/>
    <w:rsid w:val="00C8330F"/>
    <w:rsid w:val="00C94C3B"/>
    <w:rsid w:val="00CB4DE0"/>
    <w:rsid w:val="00CB669A"/>
    <w:rsid w:val="00CC1E77"/>
    <w:rsid w:val="00CC2213"/>
    <w:rsid w:val="00CC4CD7"/>
    <w:rsid w:val="00CC7E80"/>
    <w:rsid w:val="00CD05E4"/>
    <w:rsid w:val="00CD0784"/>
    <w:rsid w:val="00CD0DDD"/>
    <w:rsid w:val="00CD1175"/>
    <w:rsid w:val="00CD50E0"/>
    <w:rsid w:val="00CD630B"/>
    <w:rsid w:val="00CE3464"/>
    <w:rsid w:val="00CE5A23"/>
    <w:rsid w:val="00CE74D2"/>
    <w:rsid w:val="00CF291D"/>
    <w:rsid w:val="00CF53E1"/>
    <w:rsid w:val="00CF6911"/>
    <w:rsid w:val="00D016B9"/>
    <w:rsid w:val="00D01C1C"/>
    <w:rsid w:val="00D026BA"/>
    <w:rsid w:val="00D02DF7"/>
    <w:rsid w:val="00D03134"/>
    <w:rsid w:val="00D03D02"/>
    <w:rsid w:val="00D04D3D"/>
    <w:rsid w:val="00D13AD3"/>
    <w:rsid w:val="00D21B31"/>
    <w:rsid w:val="00D22A37"/>
    <w:rsid w:val="00D2599C"/>
    <w:rsid w:val="00D34E85"/>
    <w:rsid w:val="00D43800"/>
    <w:rsid w:val="00D43F4D"/>
    <w:rsid w:val="00D44EA2"/>
    <w:rsid w:val="00D462E5"/>
    <w:rsid w:val="00D569C0"/>
    <w:rsid w:val="00D6257C"/>
    <w:rsid w:val="00D64487"/>
    <w:rsid w:val="00D65C7F"/>
    <w:rsid w:val="00D7476D"/>
    <w:rsid w:val="00D764D8"/>
    <w:rsid w:val="00D807E9"/>
    <w:rsid w:val="00D849C5"/>
    <w:rsid w:val="00D922AC"/>
    <w:rsid w:val="00D941C3"/>
    <w:rsid w:val="00D96B2A"/>
    <w:rsid w:val="00D97890"/>
    <w:rsid w:val="00DA4DB7"/>
    <w:rsid w:val="00DA67BD"/>
    <w:rsid w:val="00DB5C32"/>
    <w:rsid w:val="00DC338F"/>
    <w:rsid w:val="00DC35D9"/>
    <w:rsid w:val="00DC75C7"/>
    <w:rsid w:val="00DD026C"/>
    <w:rsid w:val="00DD3C9B"/>
    <w:rsid w:val="00DD4AE5"/>
    <w:rsid w:val="00DD68B8"/>
    <w:rsid w:val="00DD7DAB"/>
    <w:rsid w:val="00DE0CA0"/>
    <w:rsid w:val="00DE3E8B"/>
    <w:rsid w:val="00DF1C8C"/>
    <w:rsid w:val="00DF3D59"/>
    <w:rsid w:val="00DF4552"/>
    <w:rsid w:val="00DF51D7"/>
    <w:rsid w:val="00E022F4"/>
    <w:rsid w:val="00E07BC3"/>
    <w:rsid w:val="00E152DA"/>
    <w:rsid w:val="00E20C68"/>
    <w:rsid w:val="00E2410B"/>
    <w:rsid w:val="00E33261"/>
    <w:rsid w:val="00E3383C"/>
    <w:rsid w:val="00E3665D"/>
    <w:rsid w:val="00E409EC"/>
    <w:rsid w:val="00E43C04"/>
    <w:rsid w:val="00E50726"/>
    <w:rsid w:val="00E51E31"/>
    <w:rsid w:val="00E618BF"/>
    <w:rsid w:val="00E625D1"/>
    <w:rsid w:val="00E63CF9"/>
    <w:rsid w:val="00E7641D"/>
    <w:rsid w:val="00E80243"/>
    <w:rsid w:val="00E809EC"/>
    <w:rsid w:val="00E80BAE"/>
    <w:rsid w:val="00E81120"/>
    <w:rsid w:val="00E85F9E"/>
    <w:rsid w:val="00E930F5"/>
    <w:rsid w:val="00E93766"/>
    <w:rsid w:val="00E96C89"/>
    <w:rsid w:val="00EA1581"/>
    <w:rsid w:val="00EA4DC5"/>
    <w:rsid w:val="00EA6FC2"/>
    <w:rsid w:val="00EA7958"/>
    <w:rsid w:val="00EB2767"/>
    <w:rsid w:val="00EC4676"/>
    <w:rsid w:val="00ED12D7"/>
    <w:rsid w:val="00ED2F85"/>
    <w:rsid w:val="00ED68F2"/>
    <w:rsid w:val="00EE18A9"/>
    <w:rsid w:val="00EE30D3"/>
    <w:rsid w:val="00EE3C7C"/>
    <w:rsid w:val="00EE6B39"/>
    <w:rsid w:val="00EF3849"/>
    <w:rsid w:val="00EF701F"/>
    <w:rsid w:val="00EF7F53"/>
    <w:rsid w:val="00F000C2"/>
    <w:rsid w:val="00F01E29"/>
    <w:rsid w:val="00F03326"/>
    <w:rsid w:val="00F04F1C"/>
    <w:rsid w:val="00F069C3"/>
    <w:rsid w:val="00F1525C"/>
    <w:rsid w:val="00F20534"/>
    <w:rsid w:val="00F20A30"/>
    <w:rsid w:val="00F21357"/>
    <w:rsid w:val="00F27696"/>
    <w:rsid w:val="00F27AE7"/>
    <w:rsid w:val="00F36C4F"/>
    <w:rsid w:val="00F53A7C"/>
    <w:rsid w:val="00F56E55"/>
    <w:rsid w:val="00F60971"/>
    <w:rsid w:val="00F65A39"/>
    <w:rsid w:val="00F65EF8"/>
    <w:rsid w:val="00F673C9"/>
    <w:rsid w:val="00F67896"/>
    <w:rsid w:val="00F700BB"/>
    <w:rsid w:val="00F73240"/>
    <w:rsid w:val="00F80FF2"/>
    <w:rsid w:val="00F81F3C"/>
    <w:rsid w:val="00F83E8D"/>
    <w:rsid w:val="00F853D2"/>
    <w:rsid w:val="00F90D07"/>
    <w:rsid w:val="00F928EB"/>
    <w:rsid w:val="00F928F6"/>
    <w:rsid w:val="00F9292C"/>
    <w:rsid w:val="00F93927"/>
    <w:rsid w:val="00F97B1C"/>
    <w:rsid w:val="00FA26E3"/>
    <w:rsid w:val="00FA452B"/>
    <w:rsid w:val="00FA50CA"/>
    <w:rsid w:val="00FA62DD"/>
    <w:rsid w:val="00FC6536"/>
    <w:rsid w:val="00FD3E54"/>
    <w:rsid w:val="00FE4445"/>
    <w:rsid w:val="00FE68E8"/>
    <w:rsid w:val="00FE7492"/>
    <w:rsid w:val="00FF3932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26129"/>
  <w15:docId w15:val="{D2AEEA18-783E-48F2-974F-24AE43A8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-9-8">
    <w:name w:val="t-9-8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b-na16">
    <w:name w:val="tb-na16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2-9-fett-s">
    <w:name w:val="t-12-9-fett-s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1-9-sred">
    <w:name w:val="t-11-9-sred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-">
    <w:name w:val="clanak-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lanak">
    <w:name w:val="clanak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sred">
    <w:name w:val="t-10-9-sred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log-39">
    <w:name w:val="prilog-39"/>
    <w:basedOn w:val="Normal"/>
    <w:rsid w:val="00852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52F4A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852F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2F4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2F4A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52F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52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F4A"/>
    <w:rPr>
      <w:rFonts w:ascii="Tahoma" w:hAnsi="Tahoma" w:cs="Tahoma"/>
      <w:sz w:val="16"/>
      <w:szCs w:val="16"/>
    </w:rPr>
  </w:style>
  <w:style w:type="character" w:customStyle="1" w:styleId="defaultparagraphfont-000025">
    <w:name w:val="defaultparagraphfont-000025"/>
    <w:basedOn w:val="DefaultParagraphFont"/>
    <w:rsid w:val="008B72E9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rsid w:val="00C444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C7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C0A"/>
  </w:style>
  <w:style w:type="paragraph" w:styleId="Footer">
    <w:name w:val="footer"/>
    <w:basedOn w:val="Normal"/>
    <w:link w:val="FooterChar"/>
    <w:uiPriority w:val="99"/>
    <w:unhideWhenUsed/>
    <w:rsid w:val="006E7C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C0A"/>
  </w:style>
  <w:style w:type="paragraph" w:customStyle="1" w:styleId="xxxmsonormal">
    <w:name w:val="x_x_x_msonormal"/>
    <w:basedOn w:val="Normal"/>
    <w:uiPriority w:val="99"/>
    <w:rsid w:val="004658E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3BC1"/>
    <w:pPr>
      <w:spacing w:line="240" w:lineRule="auto"/>
    </w:pPr>
    <w:rPr>
      <w:rFonts w:asciiTheme="minorHAnsi" w:eastAsiaTheme="minorEastAsia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3BC1"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53DF"/>
    <w:pPr>
      <w:spacing w:after="0" w:line="240" w:lineRule="auto"/>
    </w:pPr>
  </w:style>
  <w:style w:type="paragraph" w:customStyle="1" w:styleId="box473189">
    <w:name w:val="box_473189"/>
    <w:basedOn w:val="Normal"/>
    <w:rsid w:val="00BE0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20534"/>
    <w:pPr>
      <w:spacing w:after="0" w:line="240" w:lineRule="auto"/>
      <w:contextualSpacing/>
    </w:pPr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sid w:val="00F20534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2542</Words>
  <Characters>14495</Characters>
  <Application>Microsoft Office Word</Application>
  <DocSecurity>0</DocSecurity>
  <Lines>120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MINGO</Company>
  <LinksUpToDate>false</LinksUpToDate>
  <CharactersWithSpaces>17003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jraic</dc:creator>
  <cp:lastModifiedBy>Larisa Petrić</cp:lastModifiedBy>
  <cp:revision>21</cp:revision>
  <cp:lastPrinted>2025-12-01T13:48:00Z</cp:lastPrinted>
  <dcterms:created xsi:type="dcterms:W3CDTF">2025-12-01T10:48:00Z</dcterms:created>
  <dcterms:modified xsi:type="dcterms:W3CDTF">2025-12-03T10:20:00Z</dcterms:modified>
</cp:coreProperties>
</file>