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harts/chart8.xml" ContentType="application/vnd.openxmlformats-officedocument.drawingml.chart+xml"/>
  <Override PartName="/word/theme/theme1.xml" ContentType="application/vnd.openxmlformats-officedocument.theme+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1.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812E2" w14:textId="77777777" w:rsidR="00E70CCE" w:rsidRPr="005C47F2" w:rsidRDefault="00E70CCE" w:rsidP="00E70CCE">
      <w:pPr>
        <w:jc w:val="center"/>
      </w:pPr>
      <w:r w:rsidRPr="005C47F2">
        <w:rPr>
          <w:noProof/>
          <w:lang w:eastAsia="hr-HR"/>
        </w:rPr>
        <w:drawing>
          <wp:inline distT="0" distB="0" distL="0" distR="0" wp14:anchorId="2747D954" wp14:editId="0A69342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E7963F5" w14:textId="77777777" w:rsidR="00E70CCE" w:rsidRPr="005C47F2" w:rsidRDefault="00E70CCE" w:rsidP="00E70CCE">
      <w:pPr>
        <w:spacing w:before="60" w:after="1680"/>
        <w:jc w:val="center"/>
        <w:rPr>
          <w:sz w:val="28"/>
        </w:rPr>
      </w:pPr>
      <w:r w:rsidRPr="005C47F2">
        <w:rPr>
          <w:sz w:val="28"/>
        </w:rPr>
        <w:t>VLADA REPUBLIKE HRVATSKE</w:t>
      </w:r>
    </w:p>
    <w:p w14:paraId="51FC9182" w14:textId="77777777" w:rsidR="00E70CCE" w:rsidRPr="005C47F2" w:rsidRDefault="00E70CCE" w:rsidP="00E70CCE"/>
    <w:p w14:paraId="61670A75" w14:textId="0FBC2107" w:rsidR="00E70CCE" w:rsidRPr="005C47F2" w:rsidRDefault="00E70CCE" w:rsidP="00E70CCE">
      <w:pPr>
        <w:jc w:val="right"/>
      </w:pPr>
      <w:r w:rsidRPr="005C47F2">
        <w:t xml:space="preserve">Zagreb, </w:t>
      </w:r>
      <w:r w:rsidR="00BF5FD3">
        <w:t>23</w:t>
      </w:r>
      <w:r w:rsidRPr="005C47F2">
        <w:t>. prosinca 2025.</w:t>
      </w:r>
    </w:p>
    <w:p w14:paraId="4909095D" w14:textId="77777777" w:rsidR="00E70CCE" w:rsidRPr="005C47F2" w:rsidRDefault="00E70CCE" w:rsidP="00E70CCE"/>
    <w:p w14:paraId="7AB90CF9" w14:textId="77777777" w:rsidR="00E70CCE" w:rsidRPr="005C47F2" w:rsidRDefault="00E70CCE" w:rsidP="00E70CCE">
      <w:pPr>
        <w:pBdr>
          <w:bottom w:val="single" w:sz="12" w:space="1" w:color="auto"/>
        </w:pBdr>
      </w:pPr>
    </w:p>
    <w:p w14:paraId="2833A4A5" w14:textId="77777777" w:rsidR="00E70CCE" w:rsidRPr="005C47F2" w:rsidRDefault="00E70CCE" w:rsidP="00E70CCE">
      <w:pPr>
        <w:pBdr>
          <w:bottom w:val="single" w:sz="12" w:space="1" w:color="auto"/>
        </w:pBdr>
      </w:pPr>
    </w:p>
    <w:p w14:paraId="60400EE7" w14:textId="77777777" w:rsidR="00E70CCE" w:rsidRPr="005C47F2" w:rsidRDefault="00E70CCE" w:rsidP="00E70CCE">
      <w:pPr>
        <w:pBdr>
          <w:bottom w:val="single" w:sz="12" w:space="1" w:color="auto"/>
        </w:pBdr>
      </w:pPr>
    </w:p>
    <w:p w14:paraId="1488A044" w14:textId="77777777" w:rsidR="00E70CCE" w:rsidRPr="005C47F2" w:rsidRDefault="00E70CCE" w:rsidP="00E70CCE">
      <w:pPr>
        <w:pBdr>
          <w:bottom w:val="single" w:sz="12" w:space="1" w:color="auto"/>
        </w:pBdr>
      </w:pPr>
    </w:p>
    <w:p w14:paraId="58791D34" w14:textId="77777777" w:rsidR="00E70CCE" w:rsidRPr="005C47F2" w:rsidRDefault="00E70CCE" w:rsidP="00E70CCE">
      <w:pPr>
        <w:pBdr>
          <w:bottom w:val="single" w:sz="12" w:space="1" w:color="auto"/>
        </w:pBdr>
      </w:pPr>
    </w:p>
    <w:p w14:paraId="39623F30" w14:textId="77777777" w:rsidR="00E70CCE" w:rsidRPr="005C47F2" w:rsidRDefault="00E70CCE" w:rsidP="00E70CCE">
      <w:pPr>
        <w:pBdr>
          <w:bottom w:val="single" w:sz="12" w:space="1" w:color="auto"/>
        </w:pBdr>
      </w:pPr>
    </w:p>
    <w:p w14:paraId="091EF27A" w14:textId="77777777" w:rsidR="00E70CCE" w:rsidRPr="005C47F2" w:rsidRDefault="00E70CCE" w:rsidP="00E70C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6433"/>
      </w:tblGrid>
      <w:tr w:rsidR="00E70CCE" w:rsidRPr="005C47F2" w14:paraId="1F25E659" w14:textId="77777777" w:rsidTr="005C47F2">
        <w:tc>
          <w:tcPr>
            <w:tcW w:w="1879" w:type="dxa"/>
            <w:hideMark/>
          </w:tcPr>
          <w:p w14:paraId="0348E43A" w14:textId="77777777" w:rsidR="00E70CCE" w:rsidRPr="005C47F2" w:rsidRDefault="00E70CCE" w:rsidP="005C47F2">
            <w:r w:rsidRPr="005C47F2">
              <w:t>Predlagatelj:</w:t>
            </w:r>
          </w:p>
        </w:tc>
        <w:tc>
          <w:tcPr>
            <w:tcW w:w="6433" w:type="dxa"/>
            <w:hideMark/>
          </w:tcPr>
          <w:p w14:paraId="1E683780" w14:textId="77777777" w:rsidR="00E70CCE" w:rsidRPr="005C47F2" w:rsidRDefault="00E70CCE" w:rsidP="005C47F2">
            <w:r w:rsidRPr="005C47F2">
              <w:t>Ministarstvo financija</w:t>
            </w:r>
          </w:p>
        </w:tc>
      </w:tr>
    </w:tbl>
    <w:p w14:paraId="0C029B55" w14:textId="77777777" w:rsidR="00E70CCE" w:rsidRPr="005C47F2" w:rsidRDefault="00E70CCE" w:rsidP="00E70CCE">
      <w:pPr>
        <w:pBdr>
          <w:bottom w:val="single" w:sz="12" w:space="1" w:color="auto"/>
        </w:pBdr>
      </w:pPr>
    </w:p>
    <w:p w14:paraId="5B0DCBCB" w14:textId="77777777" w:rsidR="00E70CCE" w:rsidRPr="005C47F2" w:rsidRDefault="00E70CCE" w:rsidP="00E70C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6449"/>
      </w:tblGrid>
      <w:tr w:rsidR="00E70CCE" w:rsidRPr="005C47F2" w14:paraId="7A6E1209" w14:textId="77777777" w:rsidTr="005C47F2">
        <w:tc>
          <w:tcPr>
            <w:tcW w:w="1863" w:type="dxa"/>
            <w:hideMark/>
          </w:tcPr>
          <w:p w14:paraId="3B500243" w14:textId="77777777" w:rsidR="00E70CCE" w:rsidRPr="005C47F2" w:rsidRDefault="00E70CCE" w:rsidP="005C47F2">
            <w:r w:rsidRPr="005C47F2">
              <w:t>Predmet:</w:t>
            </w:r>
          </w:p>
        </w:tc>
        <w:tc>
          <w:tcPr>
            <w:tcW w:w="6449" w:type="dxa"/>
            <w:hideMark/>
          </w:tcPr>
          <w:p w14:paraId="0773A42D" w14:textId="77777777" w:rsidR="00E70CCE" w:rsidRPr="005C47F2" w:rsidRDefault="00E70CCE" w:rsidP="005C47F2">
            <w:r w:rsidRPr="005C47F2">
              <w:t>Godišnje izvješće o državnim potporama za 2024. godinu</w:t>
            </w:r>
          </w:p>
        </w:tc>
      </w:tr>
    </w:tbl>
    <w:p w14:paraId="6BB6CC3E" w14:textId="77777777" w:rsidR="00E70CCE" w:rsidRPr="005C47F2" w:rsidRDefault="00E70CCE" w:rsidP="00E70CCE">
      <w:pPr>
        <w:pBdr>
          <w:bottom w:val="single" w:sz="12" w:space="1" w:color="auto"/>
        </w:pBdr>
      </w:pPr>
    </w:p>
    <w:p w14:paraId="5EC652CB" w14:textId="77777777" w:rsidR="00E70CCE" w:rsidRPr="005C47F2" w:rsidRDefault="00E70CCE" w:rsidP="00E70CCE"/>
    <w:p w14:paraId="796321B7" w14:textId="77777777" w:rsidR="00E70CCE" w:rsidRPr="005C47F2" w:rsidRDefault="00E70CCE" w:rsidP="00E70CCE"/>
    <w:p w14:paraId="6B115FDD" w14:textId="77777777" w:rsidR="00E70CCE" w:rsidRPr="005C47F2" w:rsidRDefault="00E70CCE" w:rsidP="00E70CCE"/>
    <w:p w14:paraId="1497A131" w14:textId="77777777" w:rsidR="00E70CCE" w:rsidRPr="005C47F2" w:rsidRDefault="00E70CCE" w:rsidP="00E70CCE"/>
    <w:p w14:paraId="180F8AAD" w14:textId="77777777" w:rsidR="00E70CCE" w:rsidRPr="005C47F2" w:rsidRDefault="00E70CCE" w:rsidP="00E70CCE">
      <w:pPr>
        <w:rPr>
          <w:b/>
        </w:rPr>
      </w:pPr>
      <w:r w:rsidRPr="005C47F2">
        <w:rPr>
          <w:b/>
        </w:rPr>
        <w:br w:type="page"/>
      </w:r>
    </w:p>
    <w:p w14:paraId="747B7D59" w14:textId="06020F11" w:rsidR="002314F7" w:rsidRPr="005C47F2" w:rsidRDefault="008B01C2" w:rsidP="00BE487D">
      <w:pPr>
        <w:pBdr>
          <w:bottom w:val="single" w:sz="12" w:space="1" w:color="auto"/>
        </w:pBdr>
        <w:jc w:val="center"/>
        <w:rPr>
          <w:b/>
        </w:rPr>
      </w:pPr>
      <w:r w:rsidRPr="005C47F2">
        <w:rPr>
          <w:b/>
        </w:rPr>
        <w:lastRenderedPageBreak/>
        <w:t>MINISTARSTVO FINANCIJA</w:t>
      </w:r>
    </w:p>
    <w:p w14:paraId="4084C3F5" w14:textId="77777777" w:rsidR="002314F7" w:rsidRPr="005C47F2" w:rsidRDefault="002314F7" w:rsidP="00BE487D">
      <w:pPr>
        <w:jc w:val="both"/>
        <w:rPr>
          <w:b/>
        </w:rPr>
      </w:pPr>
    </w:p>
    <w:p w14:paraId="405E54F6" w14:textId="77777777" w:rsidR="002314F7" w:rsidRPr="005C47F2" w:rsidRDefault="002314F7" w:rsidP="00BE487D">
      <w:pPr>
        <w:contextualSpacing/>
        <w:jc w:val="both"/>
      </w:pPr>
    </w:p>
    <w:p w14:paraId="7DEE3BBA" w14:textId="77777777" w:rsidR="005B7944" w:rsidRPr="005C47F2" w:rsidRDefault="005B7944" w:rsidP="00BE487D">
      <w:pPr>
        <w:contextualSpacing/>
        <w:jc w:val="both"/>
      </w:pPr>
    </w:p>
    <w:p w14:paraId="37765105" w14:textId="77777777" w:rsidR="005B7944" w:rsidRPr="005C47F2" w:rsidRDefault="005B7944" w:rsidP="00BE487D">
      <w:pPr>
        <w:contextualSpacing/>
        <w:jc w:val="both"/>
      </w:pPr>
    </w:p>
    <w:p w14:paraId="510F0FCC" w14:textId="77777777" w:rsidR="005B7944" w:rsidRPr="005C47F2" w:rsidRDefault="005B7944" w:rsidP="00BE487D">
      <w:pPr>
        <w:contextualSpacing/>
        <w:jc w:val="both"/>
      </w:pPr>
    </w:p>
    <w:p w14:paraId="49DDDCED" w14:textId="77777777" w:rsidR="005B7944" w:rsidRPr="005C47F2" w:rsidRDefault="005B7944" w:rsidP="00BE487D">
      <w:pPr>
        <w:contextualSpacing/>
        <w:jc w:val="both"/>
      </w:pPr>
    </w:p>
    <w:p w14:paraId="5F714570" w14:textId="77777777" w:rsidR="002314F7" w:rsidRPr="005C47F2" w:rsidRDefault="002314F7" w:rsidP="00BE487D">
      <w:pPr>
        <w:contextualSpacing/>
        <w:jc w:val="both"/>
      </w:pPr>
    </w:p>
    <w:p w14:paraId="1781D59F" w14:textId="77777777" w:rsidR="00217ECC" w:rsidRPr="005C47F2" w:rsidRDefault="00217ECC" w:rsidP="00BE487D">
      <w:pPr>
        <w:contextualSpacing/>
        <w:jc w:val="both"/>
      </w:pPr>
    </w:p>
    <w:p w14:paraId="6AECF8DF" w14:textId="77777777" w:rsidR="00217ECC" w:rsidRPr="005C47F2" w:rsidRDefault="00217ECC" w:rsidP="00BE487D">
      <w:pPr>
        <w:contextualSpacing/>
        <w:jc w:val="both"/>
      </w:pPr>
    </w:p>
    <w:p w14:paraId="20146120" w14:textId="77777777" w:rsidR="00217ECC" w:rsidRPr="005C47F2" w:rsidRDefault="00217ECC" w:rsidP="00BE487D">
      <w:pPr>
        <w:contextualSpacing/>
        <w:jc w:val="both"/>
      </w:pPr>
    </w:p>
    <w:p w14:paraId="48DEC17F" w14:textId="77777777" w:rsidR="00217ECC" w:rsidRPr="005C47F2" w:rsidRDefault="00217ECC" w:rsidP="00BE487D">
      <w:pPr>
        <w:contextualSpacing/>
        <w:jc w:val="both"/>
      </w:pPr>
    </w:p>
    <w:p w14:paraId="1956E87F" w14:textId="77777777" w:rsidR="002314F7" w:rsidRPr="005C47F2" w:rsidRDefault="002314F7" w:rsidP="00BE487D">
      <w:pPr>
        <w:contextualSpacing/>
        <w:jc w:val="both"/>
      </w:pPr>
    </w:p>
    <w:p w14:paraId="3622026A" w14:textId="77777777" w:rsidR="002314F7" w:rsidRPr="005C47F2" w:rsidRDefault="002314F7" w:rsidP="00BE487D">
      <w:pPr>
        <w:contextualSpacing/>
        <w:jc w:val="both"/>
      </w:pPr>
    </w:p>
    <w:p w14:paraId="51C371C7" w14:textId="77777777" w:rsidR="002314F7" w:rsidRPr="005C47F2" w:rsidRDefault="002314F7" w:rsidP="00BE487D">
      <w:pPr>
        <w:contextualSpacing/>
        <w:jc w:val="both"/>
      </w:pPr>
    </w:p>
    <w:p w14:paraId="51F0ADE4" w14:textId="77777777" w:rsidR="002314F7" w:rsidRPr="005C47F2" w:rsidRDefault="002314F7" w:rsidP="00BE487D">
      <w:pPr>
        <w:contextualSpacing/>
        <w:jc w:val="both"/>
      </w:pPr>
    </w:p>
    <w:p w14:paraId="194BF26D" w14:textId="77777777" w:rsidR="002314F7" w:rsidRPr="005C47F2" w:rsidRDefault="002314F7" w:rsidP="00BE487D">
      <w:pPr>
        <w:contextualSpacing/>
        <w:jc w:val="both"/>
      </w:pPr>
    </w:p>
    <w:p w14:paraId="119FF6F9" w14:textId="77777777" w:rsidR="002314F7" w:rsidRPr="005C47F2" w:rsidRDefault="002314F7" w:rsidP="00BE487D">
      <w:pPr>
        <w:contextualSpacing/>
        <w:jc w:val="both"/>
      </w:pPr>
    </w:p>
    <w:p w14:paraId="40D26AD9" w14:textId="77777777" w:rsidR="002314F7" w:rsidRPr="005C47F2" w:rsidRDefault="002314F7" w:rsidP="00BE487D">
      <w:pPr>
        <w:contextualSpacing/>
        <w:jc w:val="both"/>
      </w:pPr>
    </w:p>
    <w:p w14:paraId="6359F01B" w14:textId="24D96222" w:rsidR="002314F7" w:rsidRPr="005C47F2" w:rsidRDefault="00A56245" w:rsidP="00BE487D">
      <w:pPr>
        <w:contextualSpacing/>
        <w:jc w:val="center"/>
        <w:rPr>
          <w:b/>
        </w:rPr>
      </w:pPr>
      <w:r w:rsidRPr="005C47F2">
        <w:rPr>
          <w:b/>
        </w:rPr>
        <w:t>GODIŠNJE IZVJEŠĆE O DRŽAVNIM POTPORAMA ZA 202</w:t>
      </w:r>
      <w:r w:rsidR="00AA7025" w:rsidRPr="005C47F2">
        <w:rPr>
          <w:b/>
        </w:rPr>
        <w:t>4</w:t>
      </w:r>
      <w:r w:rsidRPr="005C47F2">
        <w:rPr>
          <w:b/>
        </w:rPr>
        <w:t>. GODINU</w:t>
      </w:r>
    </w:p>
    <w:p w14:paraId="0C5D1D85" w14:textId="77777777" w:rsidR="002314F7" w:rsidRPr="005C47F2" w:rsidRDefault="002314F7" w:rsidP="00BE487D">
      <w:pPr>
        <w:contextualSpacing/>
        <w:jc w:val="both"/>
      </w:pPr>
    </w:p>
    <w:p w14:paraId="6B422565" w14:textId="77777777" w:rsidR="002314F7" w:rsidRPr="005C47F2" w:rsidRDefault="002314F7" w:rsidP="00BE487D">
      <w:pPr>
        <w:contextualSpacing/>
        <w:jc w:val="both"/>
      </w:pPr>
    </w:p>
    <w:p w14:paraId="63A188BA" w14:textId="77777777" w:rsidR="002314F7" w:rsidRPr="005C47F2" w:rsidRDefault="002314F7" w:rsidP="00BE487D">
      <w:pPr>
        <w:contextualSpacing/>
        <w:jc w:val="both"/>
      </w:pPr>
    </w:p>
    <w:p w14:paraId="47073D48" w14:textId="77777777" w:rsidR="005B7944" w:rsidRPr="005C47F2" w:rsidRDefault="005B7944" w:rsidP="00BE487D">
      <w:pPr>
        <w:contextualSpacing/>
        <w:jc w:val="both"/>
      </w:pPr>
    </w:p>
    <w:p w14:paraId="0BDA7629" w14:textId="77777777" w:rsidR="005B7944" w:rsidRPr="005C47F2" w:rsidRDefault="005B7944" w:rsidP="00BE487D">
      <w:pPr>
        <w:contextualSpacing/>
        <w:jc w:val="both"/>
      </w:pPr>
    </w:p>
    <w:p w14:paraId="56F3A98E" w14:textId="77777777" w:rsidR="005B7944" w:rsidRPr="005C47F2" w:rsidRDefault="005B7944" w:rsidP="00BE487D">
      <w:pPr>
        <w:contextualSpacing/>
        <w:jc w:val="both"/>
      </w:pPr>
    </w:p>
    <w:p w14:paraId="5CBCA24C" w14:textId="77777777" w:rsidR="005B7944" w:rsidRPr="005C47F2" w:rsidRDefault="005B7944" w:rsidP="00BE487D">
      <w:pPr>
        <w:contextualSpacing/>
        <w:jc w:val="both"/>
      </w:pPr>
    </w:p>
    <w:p w14:paraId="4BAB2529" w14:textId="77777777" w:rsidR="002314F7" w:rsidRPr="005C47F2" w:rsidRDefault="002314F7" w:rsidP="00BE487D">
      <w:pPr>
        <w:contextualSpacing/>
        <w:jc w:val="both"/>
      </w:pPr>
    </w:p>
    <w:p w14:paraId="7FBD70C7" w14:textId="77777777" w:rsidR="005B7944" w:rsidRPr="005C47F2" w:rsidRDefault="005B7944" w:rsidP="00BE487D">
      <w:pPr>
        <w:contextualSpacing/>
        <w:jc w:val="both"/>
      </w:pPr>
    </w:p>
    <w:p w14:paraId="219C8F29" w14:textId="77777777" w:rsidR="005B7944" w:rsidRPr="005C47F2" w:rsidRDefault="005B7944" w:rsidP="00BE487D">
      <w:pPr>
        <w:contextualSpacing/>
        <w:jc w:val="both"/>
      </w:pPr>
    </w:p>
    <w:p w14:paraId="0E2CDDF5" w14:textId="77777777" w:rsidR="005B7944" w:rsidRPr="005C47F2" w:rsidRDefault="005B7944" w:rsidP="00BE487D">
      <w:pPr>
        <w:contextualSpacing/>
        <w:jc w:val="both"/>
      </w:pPr>
    </w:p>
    <w:p w14:paraId="6A4BAD1C" w14:textId="77777777" w:rsidR="005B7944" w:rsidRPr="005C47F2" w:rsidRDefault="005B7944" w:rsidP="00BE487D">
      <w:pPr>
        <w:contextualSpacing/>
        <w:jc w:val="both"/>
      </w:pPr>
    </w:p>
    <w:p w14:paraId="743CF258" w14:textId="77777777" w:rsidR="005B7944" w:rsidRPr="005C47F2" w:rsidRDefault="005B7944" w:rsidP="00BE487D">
      <w:pPr>
        <w:contextualSpacing/>
        <w:jc w:val="both"/>
      </w:pPr>
    </w:p>
    <w:p w14:paraId="612A1EBD" w14:textId="77777777" w:rsidR="002314F7" w:rsidRPr="005C47F2" w:rsidRDefault="002314F7" w:rsidP="00BE487D">
      <w:pPr>
        <w:contextualSpacing/>
        <w:jc w:val="both"/>
      </w:pPr>
    </w:p>
    <w:p w14:paraId="27EA33C5" w14:textId="77777777" w:rsidR="002314F7" w:rsidRPr="005C47F2" w:rsidRDefault="002314F7" w:rsidP="00BE487D">
      <w:pPr>
        <w:contextualSpacing/>
        <w:jc w:val="both"/>
      </w:pPr>
    </w:p>
    <w:p w14:paraId="5ED0D0C0" w14:textId="77777777" w:rsidR="002314F7" w:rsidRPr="005C47F2" w:rsidRDefault="002314F7" w:rsidP="00BE487D">
      <w:pPr>
        <w:contextualSpacing/>
        <w:jc w:val="both"/>
      </w:pPr>
    </w:p>
    <w:p w14:paraId="0BE53AD5" w14:textId="77777777" w:rsidR="00BE487D" w:rsidRPr="005C47F2" w:rsidRDefault="00BE487D" w:rsidP="00BE487D">
      <w:pPr>
        <w:contextualSpacing/>
        <w:jc w:val="both"/>
      </w:pPr>
    </w:p>
    <w:p w14:paraId="740EB220" w14:textId="77777777" w:rsidR="00BE487D" w:rsidRPr="005C47F2" w:rsidRDefault="00BE487D" w:rsidP="00BE487D">
      <w:pPr>
        <w:contextualSpacing/>
        <w:jc w:val="both"/>
      </w:pPr>
    </w:p>
    <w:p w14:paraId="72D47107" w14:textId="77777777" w:rsidR="002314F7" w:rsidRPr="005C47F2" w:rsidRDefault="002314F7" w:rsidP="00BE487D">
      <w:pPr>
        <w:contextualSpacing/>
        <w:jc w:val="both"/>
      </w:pPr>
    </w:p>
    <w:p w14:paraId="5B01200A" w14:textId="77777777" w:rsidR="002314F7" w:rsidRPr="005C47F2" w:rsidRDefault="002314F7" w:rsidP="00BE487D">
      <w:pPr>
        <w:contextualSpacing/>
        <w:jc w:val="both"/>
      </w:pPr>
    </w:p>
    <w:p w14:paraId="5536FB45" w14:textId="77777777" w:rsidR="002314F7" w:rsidRPr="005C47F2" w:rsidRDefault="002314F7" w:rsidP="00BE487D">
      <w:pPr>
        <w:contextualSpacing/>
        <w:jc w:val="both"/>
      </w:pPr>
    </w:p>
    <w:p w14:paraId="39526587" w14:textId="77777777" w:rsidR="002314F7" w:rsidRPr="005C47F2" w:rsidRDefault="002314F7" w:rsidP="00BE487D">
      <w:pPr>
        <w:pBdr>
          <w:bottom w:val="single" w:sz="12" w:space="1" w:color="auto"/>
        </w:pBdr>
        <w:jc w:val="both"/>
        <w:rPr>
          <w:b/>
        </w:rPr>
      </w:pPr>
    </w:p>
    <w:p w14:paraId="290DAF41" w14:textId="77777777" w:rsidR="002314F7" w:rsidRPr="005C47F2" w:rsidRDefault="002314F7" w:rsidP="00BE487D">
      <w:pPr>
        <w:pBdr>
          <w:bottom w:val="single" w:sz="12" w:space="1" w:color="auto"/>
        </w:pBdr>
        <w:jc w:val="both"/>
        <w:rPr>
          <w:b/>
        </w:rPr>
      </w:pPr>
    </w:p>
    <w:p w14:paraId="0D0927D5" w14:textId="77777777" w:rsidR="002314F7" w:rsidRPr="005C47F2" w:rsidRDefault="002314F7" w:rsidP="00BE487D">
      <w:pPr>
        <w:pBdr>
          <w:bottom w:val="single" w:sz="12" w:space="1" w:color="auto"/>
        </w:pBdr>
        <w:jc w:val="both"/>
        <w:rPr>
          <w:b/>
        </w:rPr>
      </w:pPr>
    </w:p>
    <w:p w14:paraId="3349DA57" w14:textId="597967D3" w:rsidR="002314F7" w:rsidRPr="005C47F2" w:rsidRDefault="002314F7" w:rsidP="00BE487D">
      <w:pPr>
        <w:contextualSpacing/>
        <w:jc w:val="center"/>
        <w:rPr>
          <w:b/>
        </w:rPr>
        <w:sectPr w:rsidR="002314F7" w:rsidRPr="005C47F2" w:rsidSect="00857D5E">
          <w:headerReference w:type="default" r:id="rId9"/>
          <w:footerReference w:type="default" r:id="rId10"/>
          <w:headerReference w:type="first" r:id="rId11"/>
          <w:pgSz w:w="11906" w:h="16838"/>
          <w:pgMar w:top="1440" w:right="1797" w:bottom="1440" w:left="1797" w:header="709" w:footer="709" w:gutter="0"/>
          <w:cols w:space="708"/>
          <w:titlePg/>
          <w:docGrid w:linePitch="360"/>
        </w:sectPr>
      </w:pPr>
      <w:r w:rsidRPr="005C47F2">
        <w:rPr>
          <w:b/>
        </w:rPr>
        <w:t xml:space="preserve">Zagreb, </w:t>
      </w:r>
      <w:r w:rsidR="00BF5FD3">
        <w:rPr>
          <w:b/>
        </w:rPr>
        <w:t>prosinac</w:t>
      </w:r>
      <w:bookmarkStart w:id="0" w:name="_GoBack"/>
      <w:bookmarkEnd w:id="0"/>
      <w:r w:rsidRPr="005C47F2">
        <w:rPr>
          <w:b/>
        </w:rPr>
        <w:t xml:space="preserve"> 202</w:t>
      </w:r>
      <w:r w:rsidR="00AA7025" w:rsidRPr="005C47F2">
        <w:rPr>
          <w:b/>
        </w:rPr>
        <w:t>5</w:t>
      </w:r>
      <w:r w:rsidRPr="005C47F2">
        <w:rPr>
          <w:b/>
        </w:rPr>
        <w:t>.</w:t>
      </w:r>
    </w:p>
    <w:p w14:paraId="334A0BC8" w14:textId="77777777" w:rsidR="002314F7" w:rsidRPr="005C47F2" w:rsidRDefault="002314F7" w:rsidP="00CB00FC">
      <w:pPr>
        <w:contextualSpacing/>
        <w:jc w:val="both"/>
        <w:rPr>
          <w:sz w:val="22"/>
          <w:szCs w:val="20"/>
        </w:rPr>
      </w:pPr>
      <w:r w:rsidRPr="005C47F2">
        <w:rPr>
          <w:b/>
          <w:sz w:val="22"/>
          <w:szCs w:val="20"/>
        </w:rPr>
        <w:lastRenderedPageBreak/>
        <w:t>SADRŽAJ</w:t>
      </w:r>
    </w:p>
    <w:p w14:paraId="3AB2B8C5" w14:textId="77777777" w:rsidR="007E3C55" w:rsidRPr="005C47F2" w:rsidRDefault="007E3C55" w:rsidP="005C0303">
      <w:pPr>
        <w:jc w:val="both"/>
        <w:rPr>
          <w:rFonts w:eastAsiaTheme="majorEastAsia"/>
          <w:sz w:val="22"/>
          <w:lang w:eastAsia="hr-HR"/>
        </w:rPr>
      </w:pPr>
    </w:p>
    <w:p w14:paraId="7D609D5F" w14:textId="6ED20C55" w:rsidR="006D6791" w:rsidRPr="005C47F2" w:rsidRDefault="007E3C55" w:rsidP="006D6791">
      <w:pPr>
        <w:pStyle w:val="TOC1"/>
        <w:tabs>
          <w:tab w:val="left" w:pos="901"/>
          <w:tab w:val="right" w:leader="dot" w:pos="9060"/>
        </w:tabs>
        <w:spacing w:after="0" w:line="240" w:lineRule="auto"/>
        <w:rPr>
          <w:rFonts w:ascii="Times New Roman" w:hAnsi="Times New Roman"/>
          <w:noProof/>
        </w:rPr>
      </w:pPr>
      <w:r w:rsidRPr="005C47F2">
        <w:rPr>
          <w:rFonts w:ascii="Times New Roman" w:eastAsiaTheme="majorEastAsia" w:hAnsi="Times New Roman"/>
        </w:rPr>
        <w:fldChar w:fldCharType="begin"/>
      </w:r>
      <w:r w:rsidRPr="005C47F2">
        <w:rPr>
          <w:rFonts w:ascii="Times New Roman" w:eastAsiaTheme="majorEastAsia" w:hAnsi="Times New Roman"/>
        </w:rPr>
        <w:instrText xml:space="preserve"> TOC \o "1-3" \h \z \u </w:instrText>
      </w:r>
      <w:r w:rsidRPr="005C47F2">
        <w:rPr>
          <w:rFonts w:ascii="Times New Roman" w:eastAsiaTheme="majorEastAsia" w:hAnsi="Times New Roman"/>
        </w:rPr>
        <w:fldChar w:fldCharType="separate"/>
      </w:r>
      <w:hyperlink w:anchor="_Toc213660022" w:history="1">
        <w:r w:rsidR="006D6791" w:rsidRPr="005C47F2">
          <w:rPr>
            <w:rStyle w:val="Hyperlink"/>
            <w:rFonts w:ascii="Times New Roman" w:hAnsi="Times New Roman"/>
            <w:noProof/>
          </w:rPr>
          <w:t>1.</w:t>
        </w:r>
        <w:r w:rsidR="006D6791" w:rsidRPr="005C47F2">
          <w:rPr>
            <w:rFonts w:ascii="Times New Roman" w:hAnsi="Times New Roman"/>
            <w:noProof/>
          </w:rPr>
          <w:tab/>
        </w:r>
        <w:r w:rsidR="006D6791" w:rsidRPr="005C47F2">
          <w:rPr>
            <w:rStyle w:val="Hyperlink"/>
            <w:rFonts w:ascii="Times New Roman" w:hAnsi="Times New Roman"/>
            <w:noProof/>
          </w:rPr>
          <w:t>UVOD</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_Toc213660022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w:t>
        </w:r>
        <w:r w:rsidR="006D6791" w:rsidRPr="005C47F2">
          <w:rPr>
            <w:rFonts w:ascii="Times New Roman" w:hAnsi="Times New Roman"/>
            <w:noProof/>
            <w:webHidden/>
          </w:rPr>
          <w:fldChar w:fldCharType="end"/>
        </w:r>
      </w:hyperlink>
    </w:p>
    <w:p w14:paraId="7E823AD9" w14:textId="7248B68A" w:rsidR="006D6791" w:rsidRPr="005C47F2" w:rsidRDefault="000843D7" w:rsidP="006D6791">
      <w:pPr>
        <w:pStyle w:val="TOC2"/>
        <w:rPr>
          <w:rFonts w:ascii="Times New Roman" w:hAnsi="Times New Roman"/>
          <w:noProof/>
        </w:rPr>
      </w:pPr>
      <w:hyperlink w:anchor="_Toc213660023" w:history="1">
        <w:r w:rsidR="006D6791" w:rsidRPr="005C47F2">
          <w:rPr>
            <w:rStyle w:val="Hyperlink"/>
            <w:rFonts w:ascii="Times New Roman" w:hAnsi="Times New Roman"/>
            <w:noProof/>
            <w14:scene3d>
              <w14:camera w14:prst="orthographicFront"/>
              <w14:lightRig w14:rig="threePt" w14:dir="t">
                <w14:rot w14:lat="0" w14:lon="0" w14:rev="0"/>
              </w14:lightRig>
            </w14:scene3d>
          </w:rPr>
          <w:t>1.1.</w:t>
        </w:r>
        <w:r w:rsidR="006D6791" w:rsidRPr="005C47F2">
          <w:rPr>
            <w:rFonts w:ascii="Times New Roman" w:hAnsi="Times New Roman"/>
            <w:noProof/>
          </w:rPr>
          <w:tab/>
        </w:r>
        <w:r w:rsidR="006D6791" w:rsidRPr="005C47F2">
          <w:rPr>
            <w:rStyle w:val="Hyperlink"/>
            <w:rFonts w:ascii="Times New Roman" w:hAnsi="Times New Roman"/>
            <w:noProof/>
          </w:rPr>
          <w:t>METODOLOGIJA PRAĆENJA I PRIKAZA DRŽAVNIH POTPORA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_Toc213660023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6</w:t>
        </w:r>
        <w:r w:rsidR="006D6791" w:rsidRPr="005C47F2">
          <w:rPr>
            <w:rFonts w:ascii="Times New Roman" w:hAnsi="Times New Roman"/>
            <w:noProof/>
            <w:webHidden/>
          </w:rPr>
          <w:fldChar w:fldCharType="end"/>
        </w:r>
      </w:hyperlink>
    </w:p>
    <w:p w14:paraId="6518820D" w14:textId="5B4BB9C8" w:rsidR="006D6791" w:rsidRPr="005C47F2" w:rsidRDefault="000843D7" w:rsidP="006D6791">
      <w:pPr>
        <w:pStyle w:val="TOC2"/>
        <w:rPr>
          <w:rFonts w:ascii="Times New Roman" w:hAnsi="Times New Roman"/>
          <w:noProof/>
        </w:rPr>
      </w:pPr>
      <w:hyperlink w:anchor="_Toc213660024" w:history="1">
        <w:r w:rsidR="006D6791" w:rsidRPr="005C47F2">
          <w:rPr>
            <w:rStyle w:val="Hyperlink"/>
            <w:rFonts w:ascii="Times New Roman" w:hAnsi="Times New Roman"/>
            <w:noProof/>
            <w14:scene3d>
              <w14:camera w14:prst="orthographicFront"/>
              <w14:lightRig w14:rig="threePt" w14:dir="t">
                <w14:rot w14:lat="0" w14:lon="0" w14:rev="0"/>
              </w14:lightRig>
            </w14:scene3d>
          </w:rPr>
          <w:t>1.2.</w:t>
        </w:r>
        <w:r w:rsidR="006D6791" w:rsidRPr="005C47F2">
          <w:rPr>
            <w:rFonts w:ascii="Times New Roman" w:hAnsi="Times New Roman"/>
            <w:noProof/>
          </w:rPr>
          <w:tab/>
        </w:r>
        <w:r w:rsidR="006D6791" w:rsidRPr="005C47F2">
          <w:rPr>
            <w:rStyle w:val="Hyperlink"/>
            <w:rFonts w:ascii="Times New Roman" w:hAnsi="Times New Roman"/>
            <w:noProof/>
          </w:rPr>
          <w:t>PRIKUPLJANJE I OBRADA PODATAKA O DRŽAVNIM POTPORAMA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_Toc213660024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9</w:t>
        </w:r>
        <w:r w:rsidR="006D6791" w:rsidRPr="005C47F2">
          <w:rPr>
            <w:rFonts w:ascii="Times New Roman" w:hAnsi="Times New Roman"/>
            <w:noProof/>
            <w:webHidden/>
          </w:rPr>
          <w:fldChar w:fldCharType="end"/>
        </w:r>
      </w:hyperlink>
    </w:p>
    <w:p w14:paraId="78422A39" w14:textId="4EA41B3B" w:rsidR="006D6791" w:rsidRPr="005C47F2" w:rsidRDefault="000843D7" w:rsidP="006D6791">
      <w:pPr>
        <w:pStyle w:val="TOC2"/>
        <w:rPr>
          <w:rFonts w:ascii="Times New Roman" w:hAnsi="Times New Roman"/>
          <w:noProof/>
        </w:rPr>
      </w:pPr>
      <w:hyperlink w:anchor="_Toc213660025" w:history="1">
        <w:r w:rsidR="006D6791" w:rsidRPr="005C47F2">
          <w:rPr>
            <w:rStyle w:val="Hyperlink"/>
            <w:rFonts w:ascii="Times New Roman" w:hAnsi="Times New Roman"/>
            <w:noProof/>
            <w14:scene3d>
              <w14:camera w14:prst="orthographicFront"/>
              <w14:lightRig w14:rig="threePt" w14:dir="t">
                <w14:rot w14:lat="0" w14:lon="0" w14:rev="0"/>
              </w14:lightRig>
            </w14:scene3d>
          </w:rPr>
          <w:t>1.3.</w:t>
        </w:r>
        <w:r w:rsidR="006D6791" w:rsidRPr="005C47F2">
          <w:rPr>
            <w:rFonts w:ascii="Times New Roman" w:hAnsi="Times New Roman"/>
            <w:noProof/>
          </w:rPr>
          <w:tab/>
        </w:r>
        <w:r w:rsidR="006D6791" w:rsidRPr="005C47F2">
          <w:rPr>
            <w:rStyle w:val="Hyperlink"/>
            <w:rFonts w:ascii="Times New Roman" w:hAnsi="Times New Roman"/>
            <w:noProof/>
          </w:rPr>
          <w:t>METODOLOGIJA PRIKAZA PODATAKA O DRŽAVNIM POTPORAMA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_Toc213660025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9</w:t>
        </w:r>
        <w:r w:rsidR="006D6791" w:rsidRPr="005C47F2">
          <w:rPr>
            <w:rFonts w:ascii="Times New Roman" w:hAnsi="Times New Roman"/>
            <w:noProof/>
            <w:webHidden/>
          </w:rPr>
          <w:fldChar w:fldCharType="end"/>
        </w:r>
      </w:hyperlink>
    </w:p>
    <w:p w14:paraId="1D5AD66D" w14:textId="63DC3C54" w:rsidR="006D6791" w:rsidRPr="005C47F2" w:rsidRDefault="000843D7" w:rsidP="006D6791">
      <w:pPr>
        <w:pStyle w:val="TOC2"/>
        <w:rPr>
          <w:rFonts w:ascii="Times New Roman" w:hAnsi="Times New Roman"/>
          <w:noProof/>
        </w:rPr>
      </w:pPr>
      <w:hyperlink w:anchor="_Toc213660026" w:history="1">
        <w:r w:rsidR="006D6791" w:rsidRPr="005C47F2">
          <w:rPr>
            <w:rStyle w:val="Hyperlink"/>
            <w:rFonts w:ascii="Times New Roman" w:hAnsi="Times New Roman"/>
            <w:noProof/>
            <w14:scene3d>
              <w14:camera w14:prst="orthographicFront"/>
              <w14:lightRig w14:rig="threePt" w14:dir="t">
                <w14:rot w14:lat="0" w14:lon="0" w14:rev="0"/>
              </w14:lightRig>
            </w14:scene3d>
          </w:rPr>
          <w:t>1.4.</w:t>
        </w:r>
        <w:r w:rsidR="006D6791" w:rsidRPr="005C47F2">
          <w:rPr>
            <w:rFonts w:ascii="Times New Roman" w:hAnsi="Times New Roman"/>
            <w:noProof/>
          </w:rPr>
          <w:tab/>
        </w:r>
        <w:r w:rsidR="006D6791" w:rsidRPr="005C47F2">
          <w:rPr>
            <w:rStyle w:val="Hyperlink"/>
            <w:rFonts w:ascii="Times New Roman" w:hAnsi="Times New Roman"/>
            <w:noProof/>
          </w:rPr>
          <w:t>SAŽETAK GODIŠNJEG IZVJEŠĆA O DODIJELJENIM DRŽAVNIM POTPORAMA ZA 2024. GODINU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_Toc213660026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11</w:t>
        </w:r>
        <w:r w:rsidR="006D6791" w:rsidRPr="005C47F2">
          <w:rPr>
            <w:rFonts w:ascii="Times New Roman" w:hAnsi="Times New Roman"/>
            <w:noProof/>
            <w:webHidden/>
          </w:rPr>
          <w:fldChar w:fldCharType="end"/>
        </w:r>
      </w:hyperlink>
    </w:p>
    <w:p w14:paraId="40E0E80B" w14:textId="06D206CB" w:rsidR="006D6791" w:rsidRPr="005C47F2" w:rsidRDefault="000843D7" w:rsidP="006D6791">
      <w:pPr>
        <w:pStyle w:val="TOC1"/>
        <w:tabs>
          <w:tab w:val="left" w:pos="901"/>
          <w:tab w:val="right" w:leader="dot" w:pos="9060"/>
        </w:tabs>
        <w:spacing w:after="0" w:line="240" w:lineRule="auto"/>
        <w:rPr>
          <w:rFonts w:ascii="Times New Roman" w:hAnsi="Times New Roman"/>
          <w:noProof/>
        </w:rPr>
      </w:pPr>
      <w:hyperlink w:anchor="_Toc213660027" w:history="1">
        <w:r w:rsidR="006D6791" w:rsidRPr="005C47F2">
          <w:rPr>
            <w:rStyle w:val="Hyperlink"/>
            <w:rFonts w:ascii="Times New Roman" w:hAnsi="Times New Roman"/>
            <w:noProof/>
          </w:rPr>
          <w:t>2.</w:t>
        </w:r>
        <w:r w:rsidR="006D6791" w:rsidRPr="005C47F2">
          <w:rPr>
            <w:rFonts w:ascii="Times New Roman" w:hAnsi="Times New Roman"/>
            <w:noProof/>
          </w:rPr>
          <w:tab/>
        </w:r>
        <w:r w:rsidR="006D6791" w:rsidRPr="005C47F2">
          <w:rPr>
            <w:rStyle w:val="Hyperlink"/>
            <w:rFonts w:ascii="Times New Roman" w:hAnsi="Times New Roman"/>
            <w:noProof/>
          </w:rPr>
          <w:t>DRŽAVNE POTPORE U 2024. GODINI</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_Toc213660027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14</w:t>
        </w:r>
        <w:r w:rsidR="006D6791" w:rsidRPr="005C47F2">
          <w:rPr>
            <w:rFonts w:ascii="Times New Roman" w:hAnsi="Times New Roman"/>
            <w:noProof/>
            <w:webHidden/>
          </w:rPr>
          <w:fldChar w:fldCharType="end"/>
        </w:r>
      </w:hyperlink>
    </w:p>
    <w:p w14:paraId="0F32BCAD" w14:textId="7F5D7023" w:rsidR="006D6791" w:rsidRPr="005C47F2" w:rsidRDefault="000843D7" w:rsidP="006D6791">
      <w:pPr>
        <w:pStyle w:val="TOC2"/>
        <w:rPr>
          <w:rFonts w:ascii="Times New Roman" w:hAnsi="Times New Roman"/>
          <w:noProof/>
        </w:rPr>
      </w:pPr>
      <w:hyperlink w:anchor="_Toc213660028" w:history="1">
        <w:r w:rsidR="006D6791" w:rsidRPr="005C47F2">
          <w:rPr>
            <w:rStyle w:val="Hyperlink"/>
            <w:rFonts w:ascii="Times New Roman" w:hAnsi="Times New Roman"/>
            <w:noProof/>
            <w14:scene3d>
              <w14:camera w14:prst="orthographicFront"/>
              <w14:lightRig w14:rig="threePt" w14:dir="t">
                <w14:rot w14:lat="0" w14:lon="0" w14:rev="0"/>
              </w14:lightRig>
            </w14:scene3d>
          </w:rPr>
          <w:t>2.1.</w:t>
        </w:r>
        <w:r w:rsidR="006D6791" w:rsidRPr="005C47F2">
          <w:rPr>
            <w:rFonts w:ascii="Times New Roman" w:hAnsi="Times New Roman"/>
            <w:noProof/>
          </w:rPr>
          <w:tab/>
        </w:r>
        <w:r w:rsidR="006D6791" w:rsidRPr="005C47F2">
          <w:rPr>
            <w:rStyle w:val="Hyperlink"/>
            <w:rFonts w:ascii="Times New Roman" w:hAnsi="Times New Roman"/>
            <w:noProof/>
          </w:rPr>
          <w:t>MAKROEKONOMSKI POKAZATELJI</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_Toc213660028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14</w:t>
        </w:r>
        <w:r w:rsidR="006D6791" w:rsidRPr="005C47F2">
          <w:rPr>
            <w:rFonts w:ascii="Times New Roman" w:hAnsi="Times New Roman"/>
            <w:noProof/>
            <w:webHidden/>
          </w:rPr>
          <w:fldChar w:fldCharType="end"/>
        </w:r>
      </w:hyperlink>
    </w:p>
    <w:p w14:paraId="287CE1AF" w14:textId="44A11E2A" w:rsidR="006D6791" w:rsidRPr="005C47F2" w:rsidRDefault="000843D7" w:rsidP="006D6791">
      <w:pPr>
        <w:pStyle w:val="TOC2"/>
        <w:rPr>
          <w:rFonts w:ascii="Times New Roman" w:hAnsi="Times New Roman"/>
          <w:noProof/>
        </w:rPr>
      </w:pPr>
      <w:hyperlink w:anchor="_Toc213660029" w:history="1">
        <w:r w:rsidR="006D6791" w:rsidRPr="005C47F2">
          <w:rPr>
            <w:rStyle w:val="Hyperlink"/>
            <w:rFonts w:ascii="Times New Roman" w:hAnsi="Times New Roman"/>
            <w:noProof/>
            <w14:scene3d>
              <w14:camera w14:prst="orthographicFront"/>
              <w14:lightRig w14:rig="threePt" w14:dir="t">
                <w14:rot w14:lat="0" w14:lon="0" w14:rev="0"/>
              </w14:lightRig>
            </w14:scene3d>
          </w:rPr>
          <w:t>2.2.</w:t>
        </w:r>
        <w:r w:rsidR="006D6791" w:rsidRPr="005C47F2">
          <w:rPr>
            <w:rFonts w:ascii="Times New Roman" w:hAnsi="Times New Roman"/>
            <w:noProof/>
          </w:rPr>
          <w:tab/>
        </w:r>
        <w:r w:rsidR="006D6791" w:rsidRPr="005C47F2">
          <w:rPr>
            <w:rStyle w:val="Hyperlink"/>
            <w:rFonts w:ascii="Times New Roman" w:hAnsi="Times New Roman"/>
            <w:noProof/>
          </w:rPr>
          <w:t>KATEGORIJE DRŽAVNIH POTPORA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_Toc213660029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15</w:t>
        </w:r>
        <w:r w:rsidR="006D6791" w:rsidRPr="005C47F2">
          <w:rPr>
            <w:rFonts w:ascii="Times New Roman" w:hAnsi="Times New Roman"/>
            <w:noProof/>
            <w:webHidden/>
          </w:rPr>
          <w:fldChar w:fldCharType="end"/>
        </w:r>
      </w:hyperlink>
    </w:p>
    <w:p w14:paraId="59EAD030" w14:textId="417EE729" w:rsidR="006D6791" w:rsidRPr="005C47F2" w:rsidRDefault="000843D7" w:rsidP="006D6791">
      <w:pPr>
        <w:pStyle w:val="TOC2"/>
        <w:rPr>
          <w:rFonts w:ascii="Times New Roman" w:hAnsi="Times New Roman"/>
          <w:noProof/>
        </w:rPr>
      </w:pPr>
      <w:hyperlink w:anchor="_Toc213660030" w:history="1">
        <w:r w:rsidR="006D6791" w:rsidRPr="005C47F2">
          <w:rPr>
            <w:rStyle w:val="Hyperlink"/>
            <w:rFonts w:ascii="Times New Roman" w:hAnsi="Times New Roman"/>
            <w:noProof/>
            <w14:scene3d>
              <w14:camera w14:prst="orthographicFront"/>
              <w14:lightRig w14:rig="threePt" w14:dir="t">
                <w14:rot w14:lat="0" w14:lon="0" w14:rev="0"/>
              </w14:lightRig>
            </w14:scene3d>
          </w:rPr>
          <w:t>2.3.</w:t>
        </w:r>
        <w:r w:rsidR="006D6791" w:rsidRPr="005C47F2">
          <w:rPr>
            <w:rFonts w:ascii="Times New Roman" w:hAnsi="Times New Roman"/>
            <w:noProof/>
          </w:rPr>
          <w:tab/>
        </w:r>
        <w:r w:rsidR="006D6791" w:rsidRPr="005C47F2">
          <w:rPr>
            <w:rStyle w:val="Hyperlink"/>
            <w:rFonts w:ascii="Times New Roman" w:hAnsi="Times New Roman"/>
            <w:noProof/>
          </w:rPr>
          <w:t>DRŽAVNE POTPORE PREMA INSTRUMENTIMA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_Toc213660030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16</w:t>
        </w:r>
        <w:r w:rsidR="006D6791" w:rsidRPr="005C47F2">
          <w:rPr>
            <w:rFonts w:ascii="Times New Roman" w:hAnsi="Times New Roman"/>
            <w:noProof/>
            <w:webHidden/>
          </w:rPr>
          <w:fldChar w:fldCharType="end"/>
        </w:r>
      </w:hyperlink>
    </w:p>
    <w:p w14:paraId="2041A492" w14:textId="096280E3" w:rsidR="006D6791" w:rsidRPr="005C47F2" w:rsidRDefault="000843D7" w:rsidP="006D6791">
      <w:pPr>
        <w:pStyle w:val="TOC1"/>
        <w:tabs>
          <w:tab w:val="left" w:pos="901"/>
          <w:tab w:val="right" w:leader="dot" w:pos="9060"/>
        </w:tabs>
        <w:spacing w:after="0" w:line="240" w:lineRule="auto"/>
        <w:rPr>
          <w:rFonts w:ascii="Times New Roman" w:hAnsi="Times New Roman"/>
          <w:noProof/>
        </w:rPr>
      </w:pPr>
      <w:hyperlink w:anchor="_Toc213660031" w:history="1">
        <w:r w:rsidR="006D6791" w:rsidRPr="005C47F2">
          <w:rPr>
            <w:rStyle w:val="Hyperlink"/>
            <w:rFonts w:ascii="Times New Roman" w:hAnsi="Times New Roman"/>
            <w:noProof/>
          </w:rPr>
          <w:t>3.</w:t>
        </w:r>
        <w:r w:rsidR="006D6791" w:rsidRPr="005C47F2">
          <w:rPr>
            <w:rFonts w:ascii="Times New Roman" w:hAnsi="Times New Roman"/>
            <w:noProof/>
          </w:rPr>
          <w:tab/>
        </w:r>
        <w:r w:rsidR="006D6791" w:rsidRPr="005C47F2">
          <w:rPr>
            <w:rStyle w:val="Hyperlink"/>
            <w:rFonts w:ascii="Times New Roman" w:hAnsi="Times New Roman"/>
            <w:noProof/>
          </w:rPr>
          <w:t>POTPORE U POLJOPRIVREDI I RIBARSTVU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_Toc213660031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20</w:t>
        </w:r>
        <w:r w:rsidR="006D6791" w:rsidRPr="005C47F2">
          <w:rPr>
            <w:rFonts w:ascii="Times New Roman" w:hAnsi="Times New Roman"/>
            <w:noProof/>
            <w:webHidden/>
          </w:rPr>
          <w:fldChar w:fldCharType="end"/>
        </w:r>
      </w:hyperlink>
    </w:p>
    <w:p w14:paraId="1153346E" w14:textId="22AA3D64" w:rsidR="006D6791" w:rsidRPr="005C47F2" w:rsidRDefault="000843D7" w:rsidP="006D6791">
      <w:pPr>
        <w:pStyle w:val="TOC1"/>
        <w:tabs>
          <w:tab w:val="left" w:pos="901"/>
          <w:tab w:val="right" w:leader="dot" w:pos="9060"/>
        </w:tabs>
        <w:spacing w:after="0" w:line="240" w:lineRule="auto"/>
        <w:rPr>
          <w:rFonts w:ascii="Times New Roman" w:hAnsi="Times New Roman"/>
          <w:noProof/>
        </w:rPr>
      </w:pPr>
      <w:hyperlink w:anchor="_Toc213660032" w:history="1">
        <w:r w:rsidR="006D6791" w:rsidRPr="005C47F2">
          <w:rPr>
            <w:rStyle w:val="Hyperlink"/>
            <w:rFonts w:ascii="Times New Roman" w:hAnsi="Times New Roman"/>
            <w:noProof/>
          </w:rPr>
          <w:t>4.</w:t>
        </w:r>
        <w:r w:rsidR="006D6791" w:rsidRPr="005C47F2">
          <w:rPr>
            <w:rFonts w:ascii="Times New Roman" w:hAnsi="Times New Roman"/>
            <w:noProof/>
          </w:rPr>
          <w:tab/>
        </w:r>
        <w:r w:rsidR="006D6791" w:rsidRPr="005C47F2">
          <w:rPr>
            <w:rStyle w:val="Hyperlink"/>
            <w:rFonts w:ascii="Times New Roman" w:hAnsi="Times New Roman"/>
            <w:noProof/>
          </w:rPr>
          <w:t>POTPORE INDUSTRIJI I USLUGAMA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_Toc213660032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26</w:t>
        </w:r>
        <w:r w:rsidR="006D6791" w:rsidRPr="005C47F2">
          <w:rPr>
            <w:rFonts w:ascii="Times New Roman" w:hAnsi="Times New Roman"/>
            <w:noProof/>
            <w:webHidden/>
          </w:rPr>
          <w:fldChar w:fldCharType="end"/>
        </w:r>
      </w:hyperlink>
    </w:p>
    <w:p w14:paraId="400F2D10" w14:textId="78516B63" w:rsidR="006D6791" w:rsidRPr="005C47F2" w:rsidRDefault="000843D7" w:rsidP="006D6791">
      <w:pPr>
        <w:pStyle w:val="TOC2"/>
        <w:rPr>
          <w:rFonts w:ascii="Times New Roman" w:hAnsi="Times New Roman"/>
          <w:noProof/>
        </w:rPr>
      </w:pPr>
      <w:hyperlink w:anchor="_Toc213660033" w:history="1">
        <w:r w:rsidR="006D6791" w:rsidRPr="005C47F2">
          <w:rPr>
            <w:rStyle w:val="Hyperlink"/>
            <w:rFonts w:ascii="Times New Roman" w:hAnsi="Times New Roman"/>
            <w:noProof/>
            <w14:scene3d>
              <w14:camera w14:prst="orthographicFront"/>
              <w14:lightRig w14:rig="threePt" w14:dir="t">
                <w14:rot w14:lat="0" w14:lon="0" w14:rev="0"/>
              </w14:lightRig>
            </w14:scene3d>
          </w:rPr>
          <w:t>4.1.</w:t>
        </w:r>
        <w:r w:rsidR="006D6791" w:rsidRPr="005C47F2">
          <w:rPr>
            <w:rFonts w:ascii="Times New Roman" w:hAnsi="Times New Roman"/>
            <w:noProof/>
          </w:rPr>
          <w:tab/>
        </w:r>
        <w:r w:rsidR="006D6791" w:rsidRPr="005C47F2">
          <w:rPr>
            <w:rStyle w:val="Hyperlink"/>
            <w:rFonts w:ascii="Times New Roman" w:hAnsi="Times New Roman"/>
            <w:noProof/>
          </w:rPr>
          <w:t>HORIZONTALNE POTPORE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_Toc213660033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28</w:t>
        </w:r>
        <w:r w:rsidR="006D6791" w:rsidRPr="005C47F2">
          <w:rPr>
            <w:rFonts w:ascii="Times New Roman" w:hAnsi="Times New Roman"/>
            <w:noProof/>
            <w:webHidden/>
          </w:rPr>
          <w:fldChar w:fldCharType="end"/>
        </w:r>
      </w:hyperlink>
    </w:p>
    <w:p w14:paraId="21409522" w14:textId="7B2C6F30" w:rsidR="006D6791" w:rsidRPr="005C47F2" w:rsidRDefault="000843D7" w:rsidP="006D6791">
      <w:pPr>
        <w:pStyle w:val="TOC3"/>
        <w:tabs>
          <w:tab w:val="right" w:leader="dot" w:pos="9060"/>
        </w:tabs>
        <w:spacing w:after="0" w:line="240" w:lineRule="auto"/>
        <w:rPr>
          <w:rFonts w:ascii="Times New Roman" w:hAnsi="Times New Roman"/>
          <w:noProof/>
        </w:rPr>
      </w:pPr>
      <w:hyperlink w:anchor="_Toc213660034" w:history="1">
        <w:r w:rsidR="006D6791" w:rsidRPr="005C47F2">
          <w:rPr>
            <w:rStyle w:val="Hyperlink"/>
            <w:rFonts w:ascii="Times New Roman" w:hAnsi="Times New Roman"/>
            <w:noProof/>
          </w:rPr>
          <w:t>Horizontalne potpore u „užem smislu“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_Toc213660034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29</w:t>
        </w:r>
        <w:r w:rsidR="006D6791" w:rsidRPr="005C47F2">
          <w:rPr>
            <w:rFonts w:ascii="Times New Roman" w:hAnsi="Times New Roman"/>
            <w:noProof/>
            <w:webHidden/>
          </w:rPr>
          <w:fldChar w:fldCharType="end"/>
        </w:r>
      </w:hyperlink>
    </w:p>
    <w:p w14:paraId="45A5F66B" w14:textId="76607BC2"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35" w:history="1">
        <w:r w:rsidR="006D6791" w:rsidRPr="005C47F2">
          <w:rPr>
            <w:rStyle w:val="Hyperlink"/>
            <w:rFonts w:ascii="Times New Roman" w:hAnsi="Times New Roman"/>
            <w:i/>
            <w:noProof/>
          </w:rPr>
          <w:t>4.1.1.</w:t>
        </w:r>
        <w:r w:rsidR="006D6791" w:rsidRPr="005C47F2">
          <w:rPr>
            <w:rFonts w:ascii="Times New Roman" w:hAnsi="Times New Roman"/>
            <w:noProof/>
          </w:rPr>
          <w:tab/>
        </w:r>
        <w:r w:rsidR="006D6791" w:rsidRPr="005C47F2">
          <w:rPr>
            <w:rStyle w:val="Hyperlink"/>
            <w:rFonts w:ascii="Times New Roman" w:hAnsi="Times New Roman"/>
            <w:i/>
            <w:noProof/>
          </w:rPr>
          <w:t>Potpore za istraživanje i razvoj i inovacije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_Toc213660035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30</w:t>
        </w:r>
        <w:r w:rsidR="006D6791" w:rsidRPr="005C47F2">
          <w:rPr>
            <w:rFonts w:ascii="Times New Roman" w:hAnsi="Times New Roman"/>
            <w:noProof/>
            <w:webHidden/>
          </w:rPr>
          <w:fldChar w:fldCharType="end"/>
        </w:r>
      </w:hyperlink>
    </w:p>
    <w:p w14:paraId="0AEB4223" w14:textId="6D33F60A"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36" w:history="1">
        <w:r w:rsidR="006D6791" w:rsidRPr="005C47F2">
          <w:rPr>
            <w:rStyle w:val="Hyperlink"/>
            <w:rFonts w:ascii="Times New Roman" w:hAnsi="Times New Roman"/>
            <w:i/>
            <w:noProof/>
          </w:rPr>
          <w:t>4.1.2.</w:t>
        </w:r>
        <w:r w:rsidR="006D6791" w:rsidRPr="005C47F2">
          <w:rPr>
            <w:rFonts w:ascii="Times New Roman" w:hAnsi="Times New Roman"/>
            <w:noProof/>
          </w:rPr>
          <w:tab/>
        </w:r>
        <w:r w:rsidR="006D6791" w:rsidRPr="005C47F2">
          <w:rPr>
            <w:rStyle w:val="Hyperlink"/>
            <w:rFonts w:ascii="Times New Roman" w:hAnsi="Times New Roman"/>
            <w:i/>
            <w:noProof/>
          </w:rPr>
          <w:t>Potpore za zapošljavanje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_Toc213660036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32</w:t>
        </w:r>
        <w:r w:rsidR="006D6791" w:rsidRPr="005C47F2">
          <w:rPr>
            <w:rFonts w:ascii="Times New Roman" w:hAnsi="Times New Roman"/>
            <w:noProof/>
            <w:webHidden/>
          </w:rPr>
          <w:fldChar w:fldCharType="end"/>
        </w:r>
      </w:hyperlink>
    </w:p>
    <w:p w14:paraId="7E54F554" w14:textId="3BCEFB33"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37" w:history="1">
        <w:r w:rsidR="006D6791" w:rsidRPr="005C47F2">
          <w:rPr>
            <w:rStyle w:val="Hyperlink"/>
            <w:rFonts w:ascii="Times New Roman" w:hAnsi="Times New Roman"/>
            <w:i/>
            <w:noProof/>
          </w:rPr>
          <w:t>4.1.3.</w:t>
        </w:r>
        <w:r w:rsidR="006D6791" w:rsidRPr="005C47F2">
          <w:rPr>
            <w:rFonts w:ascii="Times New Roman" w:hAnsi="Times New Roman"/>
            <w:noProof/>
          </w:rPr>
          <w:tab/>
        </w:r>
        <w:r w:rsidR="006D6791" w:rsidRPr="005C47F2">
          <w:rPr>
            <w:rStyle w:val="Hyperlink"/>
            <w:rFonts w:ascii="Times New Roman" w:hAnsi="Times New Roman"/>
            <w:i/>
            <w:noProof/>
          </w:rPr>
          <w:t>Potpore za usavršavanje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_Toc213660037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33</w:t>
        </w:r>
        <w:r w:rsidR="006D6791" w:rsidRPr="005C47F2">
          <w:rPr>
            <w:rFonts w:ascii="Times New Roman" w:hAnsi="Times New Roman"/>
            <w:noProof/>
            <w:webHidden/>
          </w:rPr>
          <w:fldChar w:fldCharType="end"/>
        </w:r>
      </w:hyperlink>
    </w:p>
    <w:p w14:paraId="1C5495B3" w14:textId="0ACE7DEA"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38" w:history="1">
        <w:r w:rsidR="006D6791" w:rsidRPr="005C47F2">
          <w:rPr>
            <w:rStyle w:val="Hyperlink"/>
            <w:rFonts w:ascii="Times New Roman" w:hAnsi="Times New Roman"/>
            <w:i/>
            <w:noProof/>
          </w:rPr>
          <w:t>4.1.4.</w:t>
        </w:r>
        <w:r w:rsidR="006D6791" w:rsidRPr="005C47F2">
          <w:rPr>
            <w:rFonts w:ascii="Times New Roman" w:hAnsi="Times New Roman"/>
            <w:noProof/>
          </w:rPr>
          <w:tab/>
        </w:r>
        <w:r w:rsidR="006D6791" w:rsidRPr="005C47F2">
          <w:rPr>
            <w:rStyle w:val="Hyperlink"/>
            <w:rFonts w:ascii="Times New Roman" w:hAnsi="Times New Roman"/>
            <w:i/>
            <w:noProof/>
          </w:rPr>
          <w:t>Potpore malim i srednjim poduzetnicima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_Toc213660038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33</w:t>
        </w:r>
        <w:r w:rsidR="006D6791" w:rsidRPr="005C47F2">
          <w:rPr>
            <w:rFonts w:ascii="Times New Roman" w:hAnsi="Times New Roman"/>
            <w:noProof/>
            <w:webHidden/>
          </w:rPr>
          <w:fldChar w:fldCharType="end"/>
        </w:r>
      </w:hyperlink>
    </w:p>
    <w:p w14:paraId="73FFA301" w14:textId="0967975D"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39" w:history="1">
        <w:r w:rsidR="006D6791" w:rsidRPr="005C47F2">
          <w:rPr>
            <w:rStyle w:val="Hyperlink"/>
            <w:rFonts w:ascii="Times New Roman" w:hAnsi="Times New Roman"/>
            <w:i/>
            <w:noProof/>
          </w:rPr>
          <w:t>4.1.5.</w:t>
        </w:r>
        <w:r w:rsidR="006D6791" w:rsidRPr="005C47F2">
          <w:rPr>
            <w:rFonts w:ascii="Times New Roman" w:hAnsi="Times New Roman"/>
            <w:noProof/>
          </w:rPr>
          <w:tab/>
        </w:r>
        <w:r w:rsidR="006D6791" w:rsidRPr="005C47F2">
          <w:rPr>
            <w:rStyle w:val="Hyperlink"/>
            <w:rFonts w:ascii="Times New Roman" w:hAnsi="Times New Roman"/>
            <w:i/>
            <w:noProof/>
          </w:rPr>
          <w:t>Potpore kulturi</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_Toc213660039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35</w:t>
        </w:r>
        <w:r w:rsidR="006D6791" w:rsidRPr="005C47F2">
          <w:rPr>
            <w:rFonts w:ascii="Times New Roman" w:hAnsi="Times New Roman"/>
            <w:noProof/>
            <w:webHidden/>
          </w:rPr>
          <w:fldChar w:fldCharType="end"/>
        </w:r>
      </w:hyperlink>
    </w:p>
    <w:p w14:paraId="311D594C" w14:textId="46A4F211" w:rsidR="006D6791" w:rsidRPr="005C47F2" w:rsidRDefault="000843D7" w:rsidP="006D6791">
      <w:pPr>
        <w:pStyle w:val="TOC2"/>
        <w:rPr>
          <w:rFonts w:ascii="Times New Roman" w:hAnsi="Times New Roman"/>
          <w:noProof/>
        </w:rPr>
      </w:pPr>
      <w:hyperlink w:anchor="_Toc213660040" w:history="1">
        <w:r w:rsidR="006D6791" w:rsidRPr="005C47F2">
          <w:rPr>
            <w:rStyle w:val="Hyperlink"/>
            <w:rFonts w:ascii="Times New Roman" w:hAnsi="Times New Roman"/>
            <w:noProof/>
            <w14:scene3d>
              <w14:camera w14:prst="orthographicFront"/>
              <w14:lightRig w14:rig="threePt" w14:dir="t">
                <w14:rot w14:lat="0" w14:lon="0" w14:rev="0"/>
              </w14:lightRig>
            </w14:scene3d>
          </w:rPr>
          <w:t>4.2.</w:t>
        </w:r>
        <w:r w:rsidR="006D6791" w:rsidRPr="005C47F2">
          <w:rPr>
            <w:rFonts w:ascii="Times New Roman" w:hAnsi="Times New Roman"/>
            <w:noProof/>
          </w:rPr>
          <w:tab/>
        </w:r>
        <w:r w:rsidR="006D6791" w:rsidRPr="005C47F2">
          <w:rPr>
            <w:rStyle w:val="Hyperlink"/>
            <w:rFonts w:ascii="Times New Roman" w:hAnsi="Times New Roman"/>
            <w:noProof/>
          </w:rPr>
          <w:t>REGIONALNE POTPORE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_Toc213660040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36</w:t>
        </w:r>
        <w:r w:rsidR="006D6791" w:rsidRPr="005C47F2">
          <w:rPr>
            <w:rFonts w:ascii="Times New Roman" w:hAnsi="Times New Roman"/>
            <w:noProof/>
            <w:webHidden/>
          </w:rPr>
          <w:fldChar w:fldCharType="end"/>
        </w:r>
      </w:hyperlink>
    </w:p>
    <w:p w14:paraId="4DF77CDE" w14:textId="5EB274A2" w:rsidR="006D6791" w:rsidRPr="005C47F2" w:rsidRDefault="000843D7" w:rsidP="006D6791">
      <w:pPr>
        <w:pStyle w:val="TOC2"/>
        <w:rPr>
          <w:rFonts w:ascii="Times New Roman" w:hAnsi="Times New Roman"/>
          <w:noProof/>
        </w:rPr>
      </w:pPr>
      <w:hyperlink w:anchor="_Toc213660041" w:history="1">
        <w:r w:rsidR="006D6791" w:rsidRPr="005C47F2">
          <w:rPr>
            <w:rStyle w:val="Hyperlink"/>
            <w:rFonts w:ascii="Times New Roman" w:hAnsi="Times New Roman"/>
            <w:noProof/>
            <w14:scene3d>
              <w14:camera w14:prst="orthographicFront"/>
              <w14:lightRig w14:rig="threePt" w14:dir="t">
                <w14:rot w14:lat="0" w14:lon="0" w14:rev="0"/>
              </w14:lightRig>
            </w14:scene3d>
          </w:rPr>
          <w:t>4.3.</w:t>
        </w:r>
        <w:r w:rsidR="006D6791" w:rsidRPr="005C47F2">
          <w:rPr>
            <w:rFonts w:ascii="Times New Roman" w:hAnsi="Times New Roman"/>
            <w:noProof/>
          </w:rPr>
          <w:tab/>
        </w:r>
        <w:r w:rsidR="006D6791" w:rsidRPr="005C47F2">
          <w:rPr>
            <w:rStyle w:val="Hyperlink"/>
            <w:rFonts w:ascii="Times New Roman" w:hAnsi="Times New Roman"/>
            <w:noProof/>
            <w:spacing w:val="-2"/>
          </w:rPr>
          <w:t>POTPORE NA RAZINI JEDINICA LOKALNE I PODRUČNE (REGIONALNE) SAMOUPRAVE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_Toc213660041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38</w:t>
        </w:r>
        <w:r w:rsidR="006D6791" w:rsidRPr="005C47F2">
          <w:rPr>
            <w:rFonts w:ascii="Times New Roman" w:hAnsi="Times New Roman"/>
            <w:noProof/>
            <w:webHidden/>
          </w:rPr>
          <w:fldChar w:fldCharType="end"/>
        </w:r>
      </w:hyperlink>
    </w:p>
    <w:p w14:paraId="2A7E3CB2" w14:textId="3FB6B760" w:rsidR="006D6791" w:rsidRPr="005C47F2" w:rsidRDefault="000843D7" w:rsidP="006D6791">
      <w:pPr>
        <w:pStyle w:val="TOC2"/>
        <w:rPr>
          <w:rFonts w:ascii="Times New Roman" w:hAnsi="Times New Roman"/>
          <w:noProof/>
        </w:rPr>
      </w:pPr>
      <w:hyperlink w:anchor="_Toc213660042" w:history="1">
        <w:r w:rsidR="006D6791" w:rsidRPr="005C47F2">
          <w:rPr>
            <w:rStyle w:val="Hyperlink"/>
            <w:rFonts w:ascii="Times New Roman" w:hAnsi="Times New Roman"/>
            <w:noProof/>
            <w14:scene3d>
              <w14:camera w14:prst="orthographicFront"/>
              <w14:lightRig w14:rig="threePt" w14:dir="t">
                <w14:rot w14:lat="0" w14:lon="0" w14:rev="0"/>
              </w14:lightRig>
            </w14:scene3d>
          </w:rPr>
          <w:t>4.4.</w:t>
        </w:r>
        <w:r w:rsidR="006D6791" w:rsidRPr="005C47F2">
          <w:rPr>
            <w:rFonts w:ascii="Times New Roman" w:hAnsi="Times New Roman"/>
            <w:noProof/>
          </w:rPr>
          <w:tab/>
        </w:r>
        <w:r w:rsidR="006D6791" w:rsidRPr="005C47F2">
          <w:rPr>
            <w:rStyle w:val="Hyperlink"/>
            <w:rFonts w:ascii="Times New Roman" w:hAnsi="Times New Roman"/>
            <w:noProof/>
          </w:rPr>
          <w:t>SEKTORSKE POTPORE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_Toc213660042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39</w:t>
        </w:r>
        <w:r w:rsidR="006D6791" w:rsidRPr="005C47F2">
          <w:rPr>
            <w:rFonts w:ascii="Times New Roman" w:hAnsi="Times New Roman"/>
            <w:noProof/>
            <w:webHidden/>
          </w:rPr>
          <w:fldChar w:fldCharType="end"/>
        </w:r>
      </w:hyperlink>
    </w:p>
    <w:p w14:paraId="47EB4FA8" w14:textId="3ABDEC5C" w:rsidR="006D6791" w:rsidRPr="005C47F2" w:rsidRDefault="000843D7" w:rsidP="006D6791">
      <w:pPr>
        <w:pStyle w:val="TOC3"/>
        <w:tabs>
          <w:tab w:val="right" w:leader="dot" w:pos="9060"/>
        </w:tabs>
        <w:spacing w:after="0" w:line="240" w:lineRule="auto"/>
        <w:rPr>
          <w:rFonts w:ascii="Times New Roman" w:hAnsi="Times New Roman"/>
          <w:noProof/>
        </w:rPr>
      </w:pPr>
      <w:hyperlink w:anchor="_Toc213660043" w:history="1">
        <w:r w:rsidR="006D6791" w:rsidRPr="005C47F2">
          <w:rPr>
            <w:rStyle w:val="Hyperlink"/>
            <w:rFonts w:ascii="Times New Roman" w:hAnsi="Times New Roman"/>
            <w:noProof/>
          </w:rPr>
          <w:t>Potpore za obavljanje usluga od općeg gospodarskog interesa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_Toc213660043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40</w:t>
        </w:r>
        <w:r w:rsidR="006D6791" w:rsidRPr="005C47F2">
          <w:rPr>
            <w:rFonts w:ascii="Times New Roman" w:hAnsi="Times New Roman"/>
            <w:noProof/>
            <w:webHidden/>
          </w:rPr>
          <w:fldChar w:fldCharType="end"/>
        </w:r>
      </w:hyperlink>
    </w:p>
    <w:p w14:paraId="295BB574" w14:textId="28090768"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4" w:history="1">
        <w:r w:rsidR="006D6791" w:rsidRPr="005C47F2">
          <w:rPr>
            <w:rStyle w:val="Hyperlink"/>
            <w:rFonts w:ascii="Times New Roman" w:hAnsi="Times New Roman"/>
            <w:i/>
            <w:noProof/>
          </w:rPr>
          <w:t>4.4.1.</w:t>
        </w:r>
        <w:r w:rsidR="006D6791" w:rsidRPr="005C47F2">
          <w:rPr>
            <w:rFonts w:ascii="Times New Roman" w:hAnsi="Times New Roman"/>
            <w:noProof/>
          </w:rPr>
          <w:tab/>
        </w:r>
        <w:r w:rsidR="006D6791" w:rsidRPr="005C47F2">
          <w:rPr>
            <w:rStyle w:val="Hyperlink"/>
            <w:rFonts w:ascii="Times New Roman" w:hAnsi="Times New Roman"/>
            <w:i/>
            <w:noProof/>
          </w:rPr>
          <w:t>Potpore za poštanske usluge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_Toc213660044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43</w:t>
        </w:r>
        <w:r w:rsidR="006D6791" w:rsidRPr="005C47F2">
          <w:rPr>
            <w:rFonts w:ascii="Times New Roman" w:hAnsi="Times New Roman"/>
            <w:noProof/>
            <w:webHidden/>
          </w:rPr>
          <w:fldChar w:fldCharType="end"/>
        </w:r>
      </w:hyperlink>
    </w:p>
    <w:p w14:paraId="3E4CD950" w14:textId="131C096E"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5" w:history="1">
        <w:r w:rsidR="006D6791" w:rsidRPr="005C47F2">
          <w:rPr>
            <w:rStyle w:val="Hyperlink"/>
            <w:rFonts w:ascii="Times New Roman" w:hAnsi="Times New Roman"/>
            <w:i/>
            <w:noProof/>
          </w:rPr>
          <w:t>4.4.2.</w:t>
        </w:r>
        <w:r w:rsidR="006D6791" w:rsidRPr="005C47F2">
          <w:rPr>
            <w:rFonts w:ascii="Times New Roman" w:hAnsi="Times New Roman"/>
            <w:noProof/>
          </w:rPr>
          <w:tab/>
        </w:r>
        <w:r w:rsidR="006D6791" w:rsidRPr="005C47F2">
          <w:rPr>
            <w:rStyle w:val="Hyperlink"/>
            <w:rFonts w:ascii="Times New Roman" w:hAnsi="Times New Roman"/>
            <w:i/>
            <w:noProof/>
          </w:rPr>
          <w:t>Potpore za zaštitu okoliša i uštedu energije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_Toc213660045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43</w:t>
        </w:r>
        <w:r w:rsidR="006D6791" w:rsidRPr="005C47F2">
          <w:rPr>
            <w:rFonts w:ascii="Times New Roman" w:hAnsi="Times New Roman"/>
            <w:noProof/>
            <w:webHidden/>
          </w:rPr>
          <w:fldChar w:fldCharType="end"/>
        </w:r>
      </w:hyperlink>
    </w:p>
    <w:p w14:paraId="2539B86B" w14:textId="114FD2B1"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6" w:history="1">
        <w:r w:rsidR="006D6791" w:rsidRPr="005C47F2">
          <w:rPr>
            <w:rStyle w:val="Hyperlink"/>
            <w:rFonts w:ascii="Times New Roman" w:hAnsi="Times New Roman"/>
            <w:i/>
            <w:noProof/>
          </w:rPr>
          <w:t>4.4.3.</w:t>
        </w:r>
        <w:r w:rsidR="006D6791" w:rsidRPr="005C47F2">
          <w:rPr>
            <w:rFonts w:ascii="Times New Roman" w:hAnsi="Times New Roman"/>
            <w:noProof/>
          </w:rPr>
          <w:tab/>
        </w:r>
        <w:r w:rsidR="006D6791" w:rsidRPr="005C47F2">
          <w:rPr>
            <w:rStyle w:val="Hyperlink"/>
            <w:rFonts w:ascii="Times New Roman" w:hAnsi="Times New Roman"/>
            <w:i/>
            <w:noProof/>
          </w:rPr>
          <w:t>Potpore prometu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_Toc213660046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45</w:t>
        </w:r>
        <w:r w:rsidR="006D6791" w:rsidRPr="005C47F2">
          <w:rPr>
            <w:rFonts w:ascii="Times New Roman" w:hAnsi="Times New Roman"/>
            <w:noProof/>
            <w:webHidden/>
          </w:rPr>
          <w:fldChar w:fldCharType="end"/>
        </w:r>
      </w:hyperlink>
    </w:p>
    <w:p w14:paraId="326498FE" w14:textId="3CC2A374"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7" w:history="1">
        <w:r w:rsidR="006D6791" w:rsidRPr="005C47F2">
          <w:rPr>
            <w:rStyle w:val="Hyperlink"/>
            <w:rFonts w:ascii="Times New Roman" w:hAnsi="Times New Roman"/>
            <w:i/>
            <w:noProof/>
          </w:rPr>
          <w:t>4.4.4.</w:t>
        </w:r>
        <w:r w:rsidR="006D6791" w:rsidRPr="005C47F2">
          <w:rPr>
            <w:rFonts w:ascii="Times New Roman" w:hAnsi="Times New Roman"/>
            <w:noProof/>
          </w:rPr>
          <w:tab/>
        </w:r>
        <w:r w:rsidR="006D6791" w:rsidRPr="005C47F2">
          <w:rPr>
            <w:rStyle w:val="Hyperlink"/>
            <w:rFonts w:ascii="Times New Roman" w:hAnsi="Times New Roman"/>
            <w:i/>
            <w:noProof/>
          </w:rPr>
          <w:t>Potpore brodogradnji</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_Toc213660047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49</w:t>
        </w:r>
        <w:r w:rsidR="006D6791" w:rsidRPr="005C47F2">
          <w:rPr>
            <w:rFonts w:ascii="Times New Roman" w:hAnsi="Times New Roman"/>
            <w:noProof/>
            <w:webHidden/>
          </w:rPr>
          <w:fldChar w:fldCharType="end"/>
        </w:r>
      </w:hyperlink>
    </w:p>
    <w:p w14:paraId="584E23FC" w14:textId="77439752"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8" w:history="1">
        <w:r w:rsidR="006D6791" w:rsidRPr="005C47F2">
          <w:rPr>
            <w:rStyle w:val="Hyperlink"/>
            <w:rFonts w:ascii="Times New Roman" w:hAnsi="Times New Roman"/>
            <w:i/>
            <w:noProof/>
          </w:rPr>
          <w:t>4.4.5.</w:t>
        </w:r>
        <w:r w:rsidR="006D6791" w:rsidRPr="005C47F2">
          <w:rPr>
            <w:rFonts w:ascii="Times New Roman" w:hAnsi="Times New Roman"/>
            <w:noProof/>
          </w:rPr>
          <w:tab/>
        </w:r>
        <w:r w:rsidR="006D6791" w:rsidRPr="005C47F2">
          <w:rPr>
            <w:rStyle w:val="Hyperlink"/>
            <w:rFonts w:ascii="Times New Roman" w:hAnsi="Times New Roman"/>
            <w:i/>
            <w:noProof/>
          </w:rPr>
          <w:t>Potpore turizmu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_Toc213660048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50</w:t>
        </w:r>
        <w:r w:rsidR="006D6791" w:rsidRPr="005C47F2">
          <w:rPr>
            <w:rFonts w:ascii="Times New Roman" w:hAnsi="Times New Roman"/>
            <w:noProof/>
            <w:webHidden/>
          </w:rPr>
          <w:fldChar w:fldCharType="end"/>
        </w:r>
      </w:hyperlink>
    </w:p>
    <w:p w14:paraId="48C760F9" w14:textId="0CC090F5"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49" w:history="1">
        <w:r w:rsidR="006D6791" w:rsidRPr="005C47F2">
          <w:rPr>
            <w:rStyle w:val="Hyperlink"/>
            <w:rFonts w:ascii="Times New Roman" w:hAnsi="Times New Roman"/>
            <w:i/>
            <w:noProof/>
          </w:rPr>
          <w:t>4.4.6.</w:t>
        </w:r>
        <w:r w:rsidR="006D6791" w:rsidRPr="005C47F2">
          <w:rPr>
            <w:rFonts w:ascii="Times New Roman" w:hAnsi="Times New Roman"/>
            <w:noProof/>
          </w:rPr>
          <w:tab/>
        </w:r>
        <w:r w:rsidR="006D6791" w:rsidRPr="005C47F2">
          <w:rPr>
            <w:rStyle w:val="Hyperlink"/>
            <w:rFonts w:ascii="Times New Roman" w:hAnsi="Times New Roman"/>
            <w:i/>
            <w:noProof/>
          </w:rPr>
          <w:t>Potpore za sanaciju i restrukturiranje</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_Toc213660049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51</w:t>
        </w:r>
        <w:r w:rsidR="006D6791" w:rsidRPr="005C47F2">
          <w:rPr>
            <w:rFonts w:ascii="Times New Roman" w:hAnsi="Times New Roman"/>
            <w:noProof/>
            <w:webHidden/>
          </w:rPr>
          <w:fldChar w:fldCharType="end"/>
        </w:r>
      </w:hyperlink>
    </w:p>
    <w:p w14:paraId="23E015E9" w14:textId="3E8E5ED8"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50" w:history="1">
        <w:r w:rsidR="006D6791" w:rsidRPr="005C47F2">
          <w:rPr>
            <w:rStyle w:val="Hyperlink"/>
            <w:rFonts w:ascii="Times New Roman" w:hAnsi="Times New Roman"/>
            <w:i/>
            <w:noProof/>
          </w:rPr>
          <w:t>4.4.7.</w:t>
        </w:r>
        <w:r w:rsidR="006D6791" w:rsidRPr="005C47F2">
          <w:rPr>
            <w:rFonts w:ascii="Times New Roman" w:hAnsi="Times New Roman"/>
            <w:noProof/>
          </w:rPr>
          <w:tab/>
        </w:r>
        <w:r w:rsidR="006D6791" w:rsidRPr="005C47F2">
          <w:rPr>
            <w:rStyle w:val="Hyperlink"/>
            <w:rFonts w:ascii="Times New Roman" w:hAnsi="Times New Roman"/>
            <w:i/>
            <w:noProof/>
          </w:rPr>
          <w:t>Potpore za javno radiotelevizijsko emitiranje i audiovizualnu industriju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_Toc213660050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51</w:t>
        </w:r>
        <w:r w:rsidR="006D6791" w:rsidRPr="005C47F2">
          <w:rPr>
            <w:rFonts w:ascii="Times New Roman" w:hAnsi="Times New Roman"/>
            <w:noProof/>
            <w:webHidden/>
          </w:rPr>
          <w:fldChar w:fldCharType="end"/>
        </w:r>
      </w:hyperlink>
    </w:p>
    <w:p w14:paraId="66B5633C" w14:textId="5792D4BE" w:rsidR="006D6791" w:rsidRPr="005C47F2" w:rsidRDefault="000843D7" w:rsidP="006D6791">
      <w:pPr>
        <w:pStyle w:val="TOC3"/>
        <w:tabs>
          <w:tab w:val="left" w:pos="1320"/>
          <w:tab w:val="right" w:leader="dot" w:pos="9060"/>
        </w:tabs>
        <w:spacing w:after="0" w:line="240" w:lineRule="auto"/>
        <w:rPr>
          <w:rFonts w:ascii="Times New Roman" w:hAnsi="Times New Roman"/>
          <w:noProof/>
        </w:rPr>
      </w:pPr>
      <w:hyperlink w:anchor="_Toc213660051" w:history="1">
        <w:r w:rsidR="006D6791" w:rsidRPr="005C47F2">
          <w:rPr>
            <w:rStyle w:val="Hyperlink"/>
            <w:rFonts w:ascii="Times New Roman" w:hAnsi="Times New Roman"/>
            <w:i/>
            <w:noProof/>
          </w:rPr>
          <w:t>4.4.8.</w:t>
        </w:r>
        <w:r w:rsidR="006D6791" w:rsidRPr="005C47F2">
          <w:rPr>
            <w:rFonts w:ascii="Times New Roman" w:hAnsi="Times New Roman"/>
            <w:noProof/>
          </w:rPr>
          <w:tab/>
        </w:r>
        <w:r w:rsidR="006D6791" w:rsidRPr="005C47F2">
          <w:rPr>
            <w:rStyle w:val="Hyperlink"/>
            <w:rFonts w:ascii="Times New Roman" w:hAnsi="Times New Roman"/>
            <w:i/>
            <w:noProof/>
          </w:rPr>
          <w:t>Potpore za razvoj širokopojasnih mreža</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_Toc213660051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53</w:t>
        </w:r>
        <w:r w:rsidR="006D6791" w:rsidRPr="005C47F2">
          <w:rPr>
            <w:rFonts w:ascii="Times New Roman" w:hAnsi="Times New Roman"/>
            <w:noProof/>
            <w:webHidden/>
          </w:rPr>
          <w:fldChar w:fldCharType="end"/>
        </w:r>
      </w:hyperlink>
    </w:p>
    <w:p w14:paraId="57ACDB99" w14:textId="4D117F73" w:rsidR="006D6791" w:rsidRPr="005C47F2" w:rsidRDefault="000843D7" w:rsidP="006D6791">
      <w:pPr>
        <w:pStyle w:val="TOC2"/>
        <w:rPr>
          <w:rFonts w:ascii="Times New Roman" w:hAnsi="Times New Roman"/>
          <w:noProof/>
        </w:rPr>
      </w:pPr>
      <w:hyperlink w:anchor="_Toc213660052" w:history="1">
        <w:r w:rsidR="006D6791" w:rsidRPr="005C47F2">
          <w:rPr>
            <w:rStyle w:val="Hyperlink"/>
            <w:rFonts w:ascii="Times New Roman" w:hAnsi="Times New Roman"/>
            <w:noProof/>
            <w14:scene3d>
              <w14:camera w14:prst="orthographicFront"/>
              <w14:lightRig w14:rig="threePt" w14:dir="t">
                <w14:rot w14:lat="0" w14:lon="0" w14:rev="0"/>
              </w14:lightRig>
            </w14:scene3d>
          </w:rPr>
          <w:t>4.5.</w:t>
        </w:r>
        <w:r w:rsidR="006D6791" w:rsidRPr="005C47F2">
          <w:rPr>
            <w:rFonts w:ascii="Times New Roman" w:hAnsi="Times New Roman"/>
            <w:noProof/>
          </w:rPr>
          <w:tab/>
        </w:r>
        <w:r w:rsidR="006D6791" w:rsidRPr="005C47F2">
          <w:rPr>
            <w:rStyle w:val="Hyperlink"/>
            <w:rFonts w:ascii="Times New Roman" w:hAnsi="Times New Roman"/>
            <w:noProof/>
          </w:rPr>
          <w:t>POTPORE U SVRHU PODRŠKE GOSPODARSTVU U PANDEMIJI COVID–19 I ZA SUZBIJANJE UČINAKA RUSKE AGRESIJE NA UKRAJINU</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_Toc213660052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54</w:t>
        </w:r>
        <w:r w:rsidR="006D6791" w:rsidRPr="005C47F2">
          <w:rPr>
            <w:rFonts w:ascii="Times New Roman" w:hAnsi="Times New Roman"/>
            <w:noProof/>
            <w:webHidden/>
          </w:rPr>
          <w:fldChar w:fldCharType="end"/>
        </w:r>
      </w:hyperlink>
    </w:p>
    <w:p w14:paraId="1D715E84" w14:textId="37BFE81D" w:rsidR="006D6791" w:rsidRPr="005C47F2" w:rsidRDefault="000843D7" w:rsidP="006D6791">
      <w:pPr>
        <w:pStyle w:val="TOC1"/>
        <w:tabs>
          <w:tab w:val="left" w:pos="901"/>
          <w:tab w:val="right" w:leader="dot" w:pos="9060"/>
        </w:tabs>
        <w:spacing w:after="0" w:line="240" w:lineRule="auto"/>
        <w:rPr>
          <w:rFonts w:ascii="Times New Roman" w:hAnsi="Times New Roman"/>
          <w:noProof/>
        </w:rPr>
      </w:pPr>
      <w:hyperlink w:anchor="_Toc213660053" w:history="1">
        <w:r w:rsidR="006D6791" w:rsidRPr="005C47F2">
          <w:rPr>
            <w:rStyle w:val="Hyperlink"/>
            <w:rFonts w:ascii="Times New Roman" w:hAnsi="Times New Roman"/>
            <w:noProof/>
          </w:rPr>
          <w:t>5.</w:t>
        </w:r>
        <w:r w:rsidR="006D6791" w:rsidRPr="005C47F2">
          <w:rPr>
            <w:rFonts w:ascii="Times New Roman" w:hAnsi="Times New Roman"/>
            <w:noProof/>
          </w:rPr>
          <w:tab/>
        </w:r>
        <w:r w:rsidR="006D6791" w:rsidRPr="005C47F2">
          <w:rPr>
            <w:rStyle w:val="Hyperlink"/>
            <w:rFonts w:ascii="Times New Roman" w:hAnsi="Times New Roman"/>
            <w:noProof/>
          </w:rPr>
          <w:t>POTPORE MALE VRIJEDNOSTI</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_Toc213660053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56</w:t>
        </w:r>
        <w:r w:rsidR="006D6791" w:rsidRPr="005C47F2">
          <w:rPr>
            <w:rFonts w:ascii="Times New Roman" w:hAnsi="Times New Roman"/>
            <w:noProof/>
            <w:webHidden/>
          </w:rPr>
          <w:fldChar w:fldCharType="end"/>
        </w:r>
      </w:hyperlink>
    </w:p>
    <w:p w14:paraId="2143B0F1" w14:textId="56D17323" w:rsidR="006D6791" w:rsidRPr="005C47F2" w:rsidRDefault="000843D7" w:rsidP="006D6791">
      <w:pPr>
        <w:pStyle w:val="TOC1"/>
        <w:tabs>
          <w:tab w:val="left" w:pos="901"/>
          <w:tab w:val="right" w:leader="dot" w:pos="9060"/>
        </w:tabs>
        <w:spacing w:after="0" w:line="240" w:lineRule="auto"/>
        <w:rPr>
          <w:rFonts w:ascii="Times New Roman" w:hAnsi="Times New Roman"/>
          <w:noProof/>
        </w:rPr>
      </w:pPr>
      <w:hyperlink w:anchor="_Toc213660054" w:history="1">
        <w:r w:rsidR="006D6791" w:rsidRPr="005C47F2">
          <w:rPr>
            <w:rStyle w:val="Hyperlink"/>
            <w:rFonts w:ascii="Times New Roman" w:hAnsi="Times New Roman"/>
            <w:noProof/>
          </w:rPr>
          <w:t>6.</w:t>
        </w:r>
        <w:r w:rsidR="006D6791" w:rsidRPr="005C47F2">
          <w:rPr>
            <w:rFonts w:ascii="Times New Roman" w:hAnsi="Times New Roman"/>
            <w:noProof/>
          </w:rPr>
          <w:tab/>
        </w:r>
        <w:r w:rsidR="006D6791" w:rsidRPr="005C47F2">
          <w:rPr>
            <w:rStyle w:val="Hyperlink"/>
            <w:rFonts w:ascii="Times New Roman" w:hAnsi="Times New Roman"/>
            <w:noProof/>
          </w:rPr>
          <w:t>ZAKLJUČAK</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_Toc213660054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61</w:t>
        </w:r>
        <w:r w:rsidR="006D6791" w:rsidRPr="005C47F2">
          <w:rPr>
            <w:rFonts w:ascii="Times New Roman" w:hAnsi="Times New Roman"/>
            <w:noProof/>
            <w:webHidden/>
          </w:rPr>
          <w:fldChar w:fldCharType="end"/>
        </w:r>
      </w:hyperlink>
    </w:p>
    <w:p w14:paraId="3CE7CFDD" w14:textId="3F9948C6" w:rsidR="006D6791" w:rsidRPr="005C47F2" w:rsidRDefault="000843D7" w:rsidP="006D6791">
      <w:pPr>
        <w:pStyle w:val="TOC1"/>
        <w:tabs>
          <w:tab w:val="right" w:leader="dot" w:pos="9060"/>
        </w:tabs>
        <w:spacing w:after="0" w:line="240" w:lineRule="auto"/>
        <w:rPr>
          <w:rFonts w:ascii="Times New Roman" w:hAnsi="Times New Roman"/>
          <w:noProof/>
        </w:rPr>
      </w:pPr>
      <w:hyperlink w:anchor="_Toc213660055" w:history="1">
        <w:r w:rsidR="006D6791" w:rsidRPr="005C47F2">
          <w:rPr>
            <w:rStyle w:val="Hyperlink"/>
            <w:rFonts w:ascii="Times New Roman" w:hAnsi="Times New Roman"/>
            <w:noProof/>
          </w:rPr>
          <w:t>PRILOG 1.</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_Toc213660055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65</w:t>
        </w:r>
        <w:r w:rsidR="006D6791" w:rsidRPr="005C47F2">
          <w:rPr>
            <w:rFonts w:ascii="Times New Roman" w:hAnsi="Times New Roman"/>
            <w:noProof/>
            <w:webHidden/>
          </w:rPr>
          <w:fldChar w:fldCharType="end"/>
        </w:r>
      </w:hyperlink>
    </w:p>
    <w:p w14:paraId="241E219C" w14:textId="3D542D9D" w:rsidR="006D6791" w:rsidRPr="005C47F2" w:rsidRDefault="000843D7" w:rsidP="006D6791">
      <w:pPr>
        <w:pStyle w:val="TOC1"/>
        <w:tabs>
          <w:tab w:val="right" w:leader="dot" w:pos="9060"/>
        </w:tabs>
        <w:spacing w:after="0" w:line="240" w:lineRule="auto"/>
        <w:rPr>
          <w:rFonts w:ascii="Times New Roman" w:hAnsi="Times New Roman"/>
          <w:noProof/>
        </w:rPr>
      </w:pPr>
      <w:hyperlink w:anchor="_Toc213660056" w:history="1">
        <w:r w:rsidR="006D6791" w:rsidRPr="005C47F2">
          <w:rPr>
            <w:rStyle w:val="Hyperlink"/>
            <w:rFonts w:ascii="Times New Roman" w:hAnsi="Times New Roman"/>
            <w:noProof/>
          </w:rPr>
          <w:t>PRILOG 2.</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_Toc213660056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66</w:t>
        </w:r>
        <w:r w:rsidR="006D6791" w:rsidRPr="005C47F2">
          <w:rPr>
            <w:rFonts w:ascii="Times New Roman" w:hAnsi="Times New Roman"/>
            <w:noProof/>
            <w:webHidden/>
          </w:rPr>
          <w:fldChar w:fldCharType="end"/>
        </w:r>
      </w:hyperlink>
    </w:p>
    <w:p w14:paraId="32FC2CB9" w14:textId="68993070" w:rsidR="006D6791" w:rsidRPr="005C47F2" w:rsidRDefault="000843D7" w:rsidP="006D6791">
      <w:pPr>
        <w:pStyle w:val="TOC1"/>
        <w:tabs>
          <w:tab w:val="right" w:leader="dot" w:pos="9060"/>
        </w:tabs>
        <w:spacing w:after="0" w:line="240" w:lineRule="auto"/>
        <w:rPr>
          <w:rFonts w:ascii="Times New Roman" w:hAnsi="Times New Roman"/>
          <w:noProof/>
        </w:rPr>
      </w:pPr>
      <w:hyperlink w:anchor="_Toc213660057" w:history="1">
        <w:r w:rsidR="006D6791" w:rsidRPr="005C47F2">
          <w:rPr>
            <w:rStyle w:val="Hyperlink"/>
            <w:rFonts w:ascii="Times New Roman" w:hAnsi="Times New Roman"/>
            <w:noProof/>
          </w:rPr>
          <w:t>PRILOG 3.</w:t>
        </w:r>
        <w:r w:rsidR="006D6791" w:rsidRPr="005C47F2">
          <w:rPr>
            <w:rFonts w:ascii="Times New Roman" w:hAnsi="Times New Roman"/>
            <w:noProof/>
            <w:webHidden/>
          </w:rPr>
          <w:tab/>
        </w:r>
        <w:r w:rsidR="006D6791" w:rsidRPr="005C47F2">
          <w:rPr>
            <w:rFonts w:ascii="Times New Roman" w:hAnsi="Times New Roman"/>
            <w:noProof/>
            <w:webHidden/>
          </w:rPr>
          <w:fldChar w:fldCharType="begin"/>
        </w:r>
        <w:r w:rsidR="006D6791" w:rsidRPr="005C47F2">
          <w:rPr>
            <w:rFonts w:ascii="Times New Roman" w:hAnsi="Times New Roman"/>
            <w:noProof/>
            <w:webHidden/>
          </w:rPr>
          <w:instrText xml:space="preserve"> PAGEREF _Toc213660057 \h </w:instrText>
        </w:r>
        <w:r w:rsidR="006D6791" w:rsidRPr="005C47F2">
          <w:rPr>
            <w:rFonts w:ascii="Times New Roman" w:hAnsi="Times New Roman"/>
            <w:noProof/>
            <w:webHidden/>
          </w:rPr>
        </w:r>
        <w:r w:rsidR="006D6791" w:rsidRPr="005C47F2">
          <w:rPr>
            <w:rFonts w:ascii="Times New Roman" w:hAnsi="Times New Roman"/>
            <w:noProof/>
            <w:webHidden/>
          </w:rPr>
          <w:fldChar w:fldCharType="separate"/>
        </w:r>
        <w:r w:rsidR="00EE5B51">
          <w:rPr>
            <w:rFonts w:ascii="Times New Roman" w:hAnsi="Times New Roman"/>
            <w:noProof/>
            <w:webHidden/>
          </w:rPr>
          <w:t>68</w:t>
        </w:r>
        <w:r w:rsidR="006D6791" w:rsidRPr="005C47F2">
          <w:rPr>
            <w:rFonts w:ascii="Times New Roman" w:hAnsi="Times New Roman"/>
            <w:noProof/>
            <w:webHidden/>
          </w:rPr>
          <w:fldChar w:fldCharType="end"/>
        </w:r>
      </w:hyperlink>
    </w:p>
    <w:p w14:paraId="7D6868C2" w14:textId="3E7A8582" w:rsidR="007E3C55" w:rsidRPr="005C47F2" w:rsidRDefault="007E3C55" w:rsidP="006D6791">
      <w:pPr>
        <w:jc w:val="both"/>
        <w:rPr>
          <w:rFonts w:eastAsiaTheme="majorEastAsia"/>
          <w:sz w:val="22"/>
          <w:lang w:eastAsia="hr-HR"/>
        </w:rPr>
      </w:pPr>
      <w:r w:rsidRPr="005C47F2">
        <w:rPr>
          <w:rFonts w:eastAsiaTheme="majorEastAsia"/>
          <w:sz w:val="22"/>
          <w:lang w:eastAsia="hr-HR"/>
        </w:rPr>
        <w:fldChar w:fldCharType="end"/>
      </w:r>
    </w:p>
    <w:p w14:paraId="2987C986" w14:textId="77777777" w:rsidR="00857D5E" w:rsidRPr="005C47F2" w:rsidRDefault="00857D5E" w:rsidP="00BE487D">
      <w:pPr>
        <w:jc w:val="both"/>
        <w:rPr>
          <w:b/>
        </w:rPr>
      </w:pPr>
      <w:r w:rsidRPr="005C47F2">
        <w:rPr>
          <w:b/>
        </w:rPr>
        <w:br w:type="page"/>
      </w:r>
    </w:p>
    <w:p w14:paraId="594AD4A6" w14:textId="43609DE2" w:rsidR="00BE0817" w:rsidRPr="005C47F2" w:rsidRDefault="00BE0817" w:rsidP="00BE487D">
      <w:pPr>
        <w:pStyle w:val="Heading1"/>
        <w:numPr>
          <w:ilvl w:val="0"/>
          <w:numId w:val="1"/>
        </w:numPr>
        <w:spacing w:before="0"/>
        <w:ind w:left="714" w:hanging="357"/>
        <w:jc w:val="both"/>
        <w:rPr>
          <w:rFonts w:ascii="Times New Roman" w:hAnsi="Times New Roman" w:cs="Times New Roman"/>
          <w:b/>
          <w:color w:val="auto"/>
          <w:sz w:val="24"/>
          <w:szCs w:val="24"/>
        </w:rPr>
      </w:pPr>
      <w:bookmarkStart w:id="1" w:name="_Toc213660022"/>
      <w:r w:rsidRPr="005C47F2">
        <w:rPr>
          <w:rFonts w:ascii="Times New Roman" w:hAnsi="Times New Roman" w:cs="Times New Roman"/>
          <w:b/>
          <w:color w:val="auto"/>
          <w:sz w:val="24"/>
          <w:szCs w:val="24"/>
        </w:rPr>
        <w:lastRenderedPageBreak/>
        <w:t>UVOD</w:t>
      </w:r>
      <w:bookmarkEnd w:id="1"/>
    </w:p>
    <w:p w14:paraId="26CCBC46" w14:textId="77777777" w:rsidR="00BE0817" w:rsidRPr="005C47F2" w:rsidRDefault="00BE0817" w:rsidP="00E374CA"/>
    <w:p w14:paraId="175F8659" w14:textId="77777777" w:rsidR="00857D5E" w:rsidRPr="005C47F2" w:rsidRDefault="00857D5E" w:rsidP="00E374CA"/>
    <w:p w14:paraId="46B1D1A8" w14:textId="6893B4A4" w:rsidR="00FA5483" w:rsidRPr="005C47F2" w:rsidRDefault="00E374CA" w:rsidP="00BE487D">
      <w:pPr>
        <w:jc w:val="both"/>
      </w:pPr>
      <w:r w:rsidRPr="005C47F2">
        <w:t xml:space="preserve">Godišnje izvješće o državnim potporama za 2024. godinu (u daljnjem tekstu: Izvješće) izrađuje </w:t>
      </w:r>
      <w:r w:rsidR="00792283" w:rsidRPr="005C47F2">
        <w:t>Ministarstvo financija s</w:t>
      </w:r>
      <w:r w:rsidR="00BA7066" w:rsidRPr="005C47F2">
        <w:t xml:space="preserve">ukladno Zakonu o državnim potporama („Narodne novine“, br. 47/14. i 69/17.; u daljnjem tekstu: Zakon) </w:t>
      </w:r>
      <w:r w:rsidRPr="005C47F2">
        <w:t xml:space="preserve">te ga je </w:t>
      </w:r>
      <w:r w:rsidR="00EC56EF" w:rsidRPr="005C47F2">
        <w:t>o</w:t>
      </w:r>
      <w:r w:rsidR="00FA5483" w:rsidRPr="005C47F2">
        <w:t>bvez</w:t>
      </w:r>
      <w:r w:rsidR="00EC56EF" w:rsidRPr="005C47F2">
        <w:t>no</w:t>
      </w:r>
      <w:r w:rsidR="00FA5483" w:rsidRPr="005C47F2">
        <w:t xml:space="preserve"> dostaviti Vladi Republike Hrvatske koja </w:t>
      </w:r>
      <w:r w:rsidR="00BA7066" w:rsidRPr="005C47F2">
        <w:t>isto</w:t>
      </w:r>
      <w:r w:rsidR="00FA5483" w:rsidRPr="005C47F2">
        <w:t xml:space="preserve"> dostavlja Hrvatskom</w:t>
      </w:r>
      <w:r w:rsidR="00F13FE5" w:rsidRPr="005C47F2">
        <w:t>e</w:t>
      </w:r>
      <w:r w:rsidR="00066A40" w:rsidRPr="005C47F2">
        <w:t xml:space="preserve"> </w:t>
      </w:r>
      <w:r w:rsidR="00FA5483" w:rsidRPr="005C47F2">
        <w:t>saboru</w:t>
      </w:r>
      <w:r w:rsidR="00EC56EF" w:rsidRPr="005C47F2">
        <w:t xml:space="preserve"> na usvajanje</w:t>
      </w:r>
      <w:r w:rsidR="00750794" w:rsidRPr="005C47F2">
        <w:t xml:space="preserve"> temeljem odredbe članka 17. Zakona</w:t>
      </w:r>
      <w:r w:rsidR="00FA5483" w:rsidRPr="005C47F2">
        <w:t xml:space="preserve">. </w:t>
      </w:r>
    </w:p>
    <w:p w14:paraId="2EC50541" w14:textId="0CEC57E9" w:rsidR="00FA5483" w:rsidRPr="005C47F2" w:rsidRDefault="00FA5483" w:rsidP="00BE487D">
      <w:pPr>
        <w:jc w:val="both"/>
      </w:pPr>
    </w:p>
    <w:p w14:paraId="2745995C" w14:textId="156BD0A4" w:rsidR="00792283" w:rsidRPr="009A2515" w:rsidRDefault="00BA7066" w:rsidP="00E374CA">
      <w:pPr>
        <w:jc w:val="both"/>
      </w:pPr>
      <w:r w:rsidRPr="005C47F2">
        <w:t xml:space="preserve">Izvješće </w:t>
      </w:r>
      <w:r w:rsidR="00E374CA" w:rsidRPr="005C47F2">
        <w:t xml:space="preserve">je izradilo Ministarstvo financija </w:t>
      </w:r>
      <w:r w:rsidR="00FA5483" w:rsidRPr="005C47F2">
        <w:t xml:space="preserve">temeljem </w:t>
      </w:r>
      <w:r w:rsidR="00E374CA" w:rsidRPr="005C47F2">
        <w:t xml:space="preserve">dostavljenih i preuzetih podataka o dodijeljenim državnim potporama i potporama male vrijednosti </w:t>
      </w:r>
      <w:r w:rsidRPr="005C47F2">
        <w:t xml:space="preserve">iz Registra državnih potpora i potpora male vrijednosti (u </w:t>
      </w:r>
      <w:r w:rsidR="00792283" w:rsidRPr="005C47F2">
        <w:t xml:space="preserve">daljnjem tekstu: Registar). Registar je jedinstvena elektronička baza podataka o svim prijavljenim programima i pojedinačnim potporama te o svim dodijeljenim državnim potporama i potporama male vrijednosti na području Republike Hrvatske, a koje su u Registar unijeli </w:t>
      </w:r>
      <w:r w:rsidR="00E374CA" w:rsidRPr="005C47F2">
        <w:t xml:space="preserve">svi </w:t>
      </w:r>
      <w:r w:rsidR="00792283" w:rsidRPr="005C47F2">
        <w:t xml:space="preserve">davatelji </w:t>
      </w:r>
      <w:r w:rsidR="001E7609" w:rsidRPr="005C47F2">
        <w:t xml:space="preserve">državnih </w:t>
      </w:r>
      <w:r w:rsidR="00792283" w:rsidRPr="005C47F2">
        <w:t xml:space="preserve">potpora i potpora male vrijednosti, sukladno Zakonu i Pravilniku o dostavi prijedloga državnih potpora, podataka o državnim potporama i potporama male vrijednosti te registru državnih potpora i potpora male vrijednosti („Narodne novine“, broj 125/17.; u daljnjem tekstu: Pravilnik) od 1. siječnja 2017. od kada je Registar uspostavljen </w:t>
      </w:r>
      <w:r w:rsidR="00DB7D60" w:rsidRPr="005C47F2">
        <w:t xml:space="preserve">i </w:t>
      </w:r>
      <w:r w:rsidR="00792283" w:rsidRPr="009A2515">
        <w:t>započeo s radom.</w:t>
      </w:r>
    </w:p>
    <w:p w14:paraId="62614E5D" w14:textId="77777777" w:rsidR="00FA5483" w:rsidRPr="009A2515" w:rsidRDefault="00FA5483" w:rsidP="00BE487D">
      <w:pPr>
        <w:jc w:val="both"/>
      </w:pPr>
    </w:p>
    <w:p w14:paraId="4A0820BF" w14:textId="1AFD59F5" w:rsidR="0086041F" w:rsidRPr="006A00EF" w:rsidRDefault="006129EF" w:rsidP="006129EF">
      <w:pPr>
        <w:jc w:val="both"/>
      </w:pPr>
      <w:r w:rsidRPr="009A2515">
        <w:t xml:space="preserve">Izvješće prikazuje podatke </w:t>
      </w:r>
      <w:r w:rsidR="00060583" w:rsidRPr="009A2515">
        <w:t xml:space="preserve">o dodijeljenim </w:t>
      </w:r>
      <w:r w:rsidR="00FA5483" w:rsidRPr="009A2515">
        <w:t>državn</w:t>
      </w:r>
      <w:r w:rsidR="00060583" w:rsidRPr="009A2515">
        <w:t>im</w:t>
      </w:r>
      <w:r w:rsidR="00FA5483" w:rsidRPr="009A2515">
        <w:t xml:space="preserve"> potpor</w:t>
      </w:r>
      <w:r w:rsidR="00060583" w:rsidRPr="009A2515">
        <w:t>ama</w:t>
      </w:r>
      <w:r w:rsidR="00FA5483" w:rsidRPr="009A2515">
        <w:t xml:space="preserve"> i potpora</w:t>
      </w:r>
      <w:r w:rsidR="00060583" w:rsidRPr="009A2515">
        <w:t>ma</w:t>
      </w:r>
      <w:r w:rsidR="00FA5483" w:rsidRPr="009A2515">
        <w:t xml:space="preserve"> male vrijednosti u Republici Hrvatskoj u 202</w:t>
      </w:r>
      <w:r w:rsidR="00E374CA" w:rsidRPr="009A2515">
        <w:t>4</w:t>
      </w:r>
      <w:r w:rsidR="00FA5483" w:rsidRPr="009A2515">
        <w:t>. godini</w:t>
      </w:r>
      <w:r w:rsidRPr="009A2515">
        <w:t xml:space="preserve"> </w:t>
      </w:r>
      <w:r w:rsidR="00F31C2E" w:rsidRPr="009A2515">
        <w:t xml:space="preserve">iz Registra </w:t>
      </w:r>
      <w:r w:rsidRPr="009A2515">
        <w:t>te revidirane podatke za 202</w:t>
      </w:r>
      <w:r w:rsidR="00E374CA" w:rsidRPr="009A2515">
        <w:t>3</w:t>
      </w:r>
      <w:r w:rsidRPr="009A2515">
        <w:t>. i 202</w:t>
      </w:r>
      <w:r w:rsidR="00E374CA" w:rsidRPr="009A2515">
        <w:t>2</w:t>
      </w:r>
      <w:r w:rsidRPr="009A2515">
        <w:t xml:space="preserve">. godinu, a </w:t>
      </w:r>
      <w:r w:rsidR="00F31C2E" w:rsidRPr="009A2515">
        <w:t>navedeni podaci</w:t>
      </w:r>
      <w:r w:rsidRPr="009A2515">
        <w:t xml:space="preserve"> su prikazani sukladno metodologiji prikazivanja državnih potpora u Europskoj uniji (u daljnjem tekstu: EU). Davatelji </w:t>
      </w:r>
      <w:r w:rsidR="00792283" w:rsidRPr="009A2515">
        <w:t xml:space="preserve">državnih potpora i potpora male vrijednosti, sukladno Zakonu i Pravilniku, </w:t>
      </w:r>
      <w:r w:rsidR="00F31C2E" w:rsidRPr="009A2515">
        <w:t xml:space="preserve">su </w:t>
      </w:r>
      <w:r w:rsidR="00792283" w:rsidRPr="009A2515">
        <w:t xml:space="preserve">u obvezi </w:t>
      </w:r>
      <w:r w:rsidRPr="009A2515">
        <w:t>unos</w:t>
      </w:r>
      <w:r w:rsidR="00792283" w:rsidRPr="009A2515">
        <w:t>iti</w:t>
      </w:r>
      <w:r w:rsidRPr="009A2515">
        <w:t xml:space="preserve"> u Registar podatke o svim </w:t>
      </w:r>
      <w:r w:rsidR="0086041F" w:rsidRPr="009A2515">
        <w:t>dodijeljenim državnim potporama i potporama male vrijednosti bez odgode</w:t>
      </w:r>
      <w:r w:rsidRPr="009A2515">
        <w:t xml:space="preserve"> </w:t>
      </w:r>
      <w:r w:rsidR="00792283" w:rsidRPr="009A2515">
        <w:t xml:space="preserve">odnosno </w:t>
      </w:r>
      <w:r w:rsidR="0086041F" w:rsidRPr="009A2515">
        <w:t xml:space="preserve">odmah po dodijeli, te su </w:t>
      </w:r>
      <w:r w:rsidRPr="009A2515">
        <w:t xml:space="preserve">isključivo davatelji </w:t>
      </w:r>
      <w:r w:rsidR="0086041F" w:rsidRPr="009A2515">
        <w:t xml:space="preserve">odgovorni za </w:t>
      </w:r>
      <w:r w:rsidR="003D432C" w:rsidRPr="009A2515">
        <w:t>istinitost</w:t>
      </w:r>
      <w:r w:rsidR="0086041F" w:rsidRPr="009A2515">
        <w:t xml:space="preserve"> </w:t>
      </w:r>
      <w:r w:rsidRPr="009A2515">
        <w:t xml:space="preserve">unesenih </w:t>
      </w:r>
      <w:r w:rsidR="0086041F" w:rsidRPr="009A2515">
        <w:t xml:space="preserve">podataka </w:t>
      </w:r>
      <w:r w:rsidRPr="009A2515">
        <w:t xml:space="preserve">i njihov pravovremeni unos u Registar, sukladno </w:t>
      </w:r>
      <w:r w:rsidR="005A4839" w:rsidRPr="009A2515">
        <w:t>člank</w:t>
      </w:r>
      <w:r w:rsidRPr="009A2515">
        <w:t>u</w:t>
      </w:r>
      <w:r w:rsidR="005A4839" w:rsidRPr="009A2515">
        <w:t xml:space="preserve"> 5. Pravilnika i člank</w:t>
      </w:r>
      <w:r w:rsidRPr="009A2515">
        <w:t>u</w:t>
      </w:r>
      <w:r w:rsidR="005A4839" w:rsidRPr="009A2515">
        <w:t xml:space="preserve"> 14. Zakona</w:t>
      </w:r>
      <w:r w:rsidR="00976C42" w:rsidRPr="009A2515">
        <w:t>, na temelju kojih je Ministarstvo financija izradilo Izvješće</w:t>
      </w:r>
      <w:r w:rsidR="003E642B" w:rsidRPr="009A2515">
        <w:rPr>
          <w:rStyle w:val="FootnoteReference"/>
        </w:rPr>
        <w:footnoteReference w:id="1"/>
      </w:r>
      <w:r w:rsidR="00976C42" w:rsidRPr="009A2515">
        <w:t>.</w:t>
      </w:r>
      <w:r w:rsidR="0089317E" w:rsidRPr="009A2515">
        <w:t xml:space="preserve"> Podatke o dodijeljenim državnim potporama i potporama male vrijednosti koje su davatelji unijeli u Registar, Ministarstvo financija javno objavljuje na svojim mrežnim </w:t>
      </w:r>
      <w:r w:rsidR="0089317E" w:rsidRPr="006A00EF">
        <w:t>stranicama</w:t>
      </w:r>
      <w:r w:rsidR="0089317E" w:rsidRPr="006A00EF">
        <w:rPr>
          <w:rStyle w:val="FootnoteReference"/>
        </w:rPr>
        <w:footnoteReference w:id="2"/>
      </w:r>
      <w:r w:rsidR="0089317E" w:rsidRPr="006A00EF">
        <w:t>.</w:t>
      </w:r>
    </w:p>
    <w:p w14:paraId="377C70FD" w14:textId="6C5EAC98" w:rsidR="00792283" w:rsidRPr="006A00EF" w:rsidRDefault="00792283" w:rsidP="0086041F">
      <w:pPr>
        <w:jc w:val="both"/>
      </w:pPr>
    </w:p>
    <w:p w14:paraId="7FE70FBC" w14:textId="77777777" w:rsidR="00F427DA" w:rsidRPr="006A00EF" w:rsidRDefault="006129EF" w:rsidP="00757DDC">
      <w:pPr>
        <w:jc w:val="both"/>
      </w:pPr>
      <w:r w:rsidRPr="006A00EF">
        <w:t xml:space="preserve">Izvješće sadrži </w:t>
      </w:r>
      <w:r w:rsidR="00F31C2E" w:rsidRPr="006A00EF">
        <w:t xml:space="preserve">i </w:t>
      </w:r>
      <w:r w:rsidR="00060583" w:rsidRPr="006A00EF">
        <w:t>poda</w:t>
      </w:r>
      <w:r w:rsidRPr="006A00EF">
        <w:t xml:space="preserve">tke </w:t>
      </w:r>
      <w:r w:rsidR="00060583" w:rsidRPr="006A00EF">
        <w:t xml:space="preserve">o </w:t>
      </w:r>
      <w:r w:rsidR="00FA5483" w:rsidRPr="006A00EF">
        <w:t xml:space="preserve">dodijeljenim državnim potporama i potporama male vrijednosti u sektoru poljoprivrede i ribarstva, iako </w:t>
      </w:r>
      <w:r w:rsidR="00060583" w:rsidRPr="006A00EF">
        <w:t xml:space="preserve">navedene </w:t>
      </w:r>
      <w:r w:rsidR="00FA5483" w:rsidRPr="006A00EF">
        <w:t xml:space="preserve">potpore nisu predmet Zakona, </w:t>
      </w:r>
      <w:r w:rsidR="00F31C2E" w:rsidRPr="006A00EF">
        <w:t>ali</w:t>
      </w:r>
      <w:r w:rsidRPr="006A00EF">
        <w:t xml:space="preserve"> </w:t>
      </w:r>
      <w:r w:rsidR="00FA5483" w:rsidRPr="006A00EF">
        <w:t>sukladno Zakonu</w:t>
      </w:r>
      <w:r w:rsidRPr="006A00EF">
        <w:t>, Ministarstvo poljoprivrede</w:t>
      </w:r>
      <w:r w:rsidR="00F31C2E" w:rsidRPr="006A00EF">
        <w:t>, šumarstva i ribarstva</w:t>
      </w:r>
      <w:r w:rsidR="00F31C2E" w:rsidRPr="006A00EF">
        <w:rPr>
          <w:b/>
          <w:i/>
        </w:rPr>
        <w:t xml:space="preserve"> </w:t>
      </w:r>
      <w:r w:rsidRPr="006A00EF">
        <w:t>je</w:t>
      </w:r>
      <w:r w:rsidR="00FA5483" w:rsidRPr="006A00EF">
        <w:t xml:space="preserve"> obvezno dostavljati navedene podatke Ministarstvu financija </w:t>
      </w:r>
      <w:r w:rsidR="00CD4843" w:rsidRPr="006A00EF">
        <w:t xml:space="preserve">s ciljem </w:t>
      </w:r>
      <w:r w:rsidR="00060583" w:rsidRPr="006A00EF">
        <w:t>prikazivanj</w:t>
      </w:r>
      <w:r w:rsidRPr="006A00EF">
        <w:t>a jedinstvenog</w:t>
      </w:r>
      <w:r w:rsidR="00976C42" w:rsidRPr="006A00EF">
        <w:t>, sveobuhvatnog</w:t>
      </w:r>
      <w:r w:rsidRPr="006A00EF">
        <w:t xml:space="preserve"> Izvješća, što uključuje i državne potpore</w:t>
      </w:r>
      <w:r w:rsidR="00FA5483" w:rsidRPr="006A00EF">
        <w:t xml:space="preserve"> i potpor</w:t>
      </w:r>
      <w:r w:rsidRPr="006A00EF">
        <w:t>e</w:t>
      </w:r>
      <w:r w:rsidR="00FA5483" w:rsidRPr="006A00EF">
        <w:t xml:space="preserve"> male vrijednosti</w:t>
      </w:r>
      <w:r w:rsidR="005A4839" w:rsidRPr="006A00EF">
        <w:t xml:space="preserve"> dodijeljene sektoru poljoprivrede i ribarstva</w:t>
      </w:r>
      <w:r w:rsidR="00FA5483" w:rsidRPr="006A00EF">
        <w:t xml:space="preserve"> na cijelom području Republike Hrvatske.</w:t>
      </w:r>
      <w:r w:rsidR="00F31C2E" w:rsidRPr="006A00EF">
        <w:t xml:space="preserve"> </w:t>
      </w:r>
    </w:p>
    <w:p w14:paraId="6667BEAF" w14:textId="77777777" w:rsidR="00F427DA" w:rsidRPr="006A00EF" w:rsidRDefault="00F427DA" w:rsidP="00757DDC">
      <w:pPr>
        <w:jc w:val="both"/>
      </w:pPr>
    </w:p>
    <w:p w14:paraId="3C4AE57B" w14:textId="6A83BBC1" w:rsidR="00757DDC" w:rsidRPr="006A00EF" w:rsidRDefault="00F31C2E" w:rsidP="00757DDC">
      <w:pPr>
        <w:jc w:val="both"/>
      </w:pPr>
      <w:r w:rsidRPr="006A00EF">
        <w:t xml:space="preserve">S obzirom na navedeno, i sukladno </w:t>
      </w:r>
      <w:r w:rsidR="00757DDC" w:rsidRPr="006A00EF">
        <w:t>prikazu određ</w:t>
      </w:r>
      <w:r w:rsidRPr="006A00EF">
        <w:t>enih podataka s izvješćima EU</w:t>
      </w:r>
      <w:r w:rsidR="00F427DA" w:rsidRPr="006A00EF">
        <w:t xml:space="preserve"> odnosno sukladno metodološkom usklađenju s aktualnim europskim standardima izvještavanja, </w:t>
      </w:r>
      <w:r w:rsidR="00757DDC" w:rsidRPr="006A00EF">
        <w:t>u Izvješć</w:t>
      </w:r>
      <w:r w:rsidRPr="006A00EF">
        <w:t xml:space="preserve">u su </w:t>
      </w:r>
      <w:r w:rsidR="00757DDC" w:rsidRPr="006A00EF">
        <w:t xml:space="preserve">potpore sektoru poljoprivrede i ribarstva u jednom dijelu </w:t>
      </w:r>
      <w:r w:rsidRPr="006A00EF">
        <w:t>i</w:t>
      </w:r>
      <w:r w:rsidR="00757DDC" w:rsidRPr="006A00EF">
        <w:t xml:space="preserve"> prikazane metodološki odvojeno od ostalih potpora gospodarskim sektorima zbog posebnih pravila koja se primjenjuju prilikom dodjele navedenih potpora i</w:t>
      </w:r>
      <w:r w:rsidR="00F427DA" w:rsidRPr="006A00EF">
        <w:t xml:space="preserve"> njihove specifične djelatnosti.</w:t>
      </w:r>
    </w:p>
    <w:p w14:paraId="41FA844D" w14:textId="16BA57B2" w:rsidR="00F427DA" w:rsidRPr="006A00EF" w:rsidRDefault="00F427DA" w:rsidP="00F31E30">
      <w:pPr>
        <w:jc w:val="both"/>
      </w:pPr>
    </w:p>
    <w:p w14:paraId="42E0B4FA" w14:textId="0AEED425" w:rsidR="00F427DA" w:rsidRPr="006A00EF" w:rsidRDefault="00F427DA" w:rsidP="00F427DA">
      <w:pPr>
        <w:jc w:val="both"/>
      </w:pPr>
      <w:r w:rsidRPr="006A00EF">
        <w:lastRenderedPageBreak/>
        <w:t>Stoga su u ovom Izvješću po prvi puta posebno prikazane dodijeljene državne potpore u sektoru poljoprivrede i ribarstva od iznosa koje Ministarstvo poljoprivrede, šumarstva i ribarstva dodjeljuje sektoru poljoprivrede i ribarstva, a koji se prema obrazloženju predmetnog Ministarstva ne smatraju državnim potporama, već ih navedeno Ministarstvo prikazuje kao poticaje i izravna plaćanja, a navedeno je objašnjeno u dijelu Izvješća o potporama u sektoru poljoprivrede i ribarstva.</w:t>
      </w:r>
    </w:p>
    <w:p w14:paraId="05C30CC0" w14:textId="77777777" w:rsidR="00F427DA" w:rsidRPr="006A00EF" w:rsidRDefault="00F427DA" w:rsidP="00F31E30">
      <w:pPr>
        <w:jc w:val="both"/>
      </w:pPr>
    </w:p>
    <w:p w14:paraId="5DF14DF4" w14:textId="75AB32B7" w:rsidR="00F427DA" w:rsidRPr="009A2515" w:rsidRDefault="00F427DA" w:rsidP="00F427DA">
      <w:pPr>
        <w:jc w:val="both"/>
      </w:pPr>
      <w:r w:rsidRPr="006A00EF">
        <w:t>Prikazani podaci razdvajanja državnih potpora od ostalih sredstava povezanih sa provedbom</w:t>
      </w:r>
      <w:r w:rsidRPr="009A2515">
        <w:t xml:space="preserve"> Zajedničke poljoprivredne politike (</w:t>
      </w:r>
      <w:r w:rsidR="009A2515" w:rsidRPr="009A2515">
        <w:t>u da</w:t>
      </w:r>
      <w:r w:rsidRPr="009A2515">
        <w:t>lj</w:t>
      </w:r>
      <w:r w:rsidR="009A2515" w:rsidRPr="009A2515">
        <w:t>nj</w:t>
      </w:r>
      <w:r w:rsidRPr="009A2515">
        <w:t>e</w:t>
      </w:r>
      <w:r w:rsidR="009A2515" w:rsidRPr="009A2515">
        <w:t>m</w:t>
      </w:r>
      <w:r w:rsidRPr="009A2515">
        <w:t xml:space="preserve"> tekstu: ZPP), omogućiti će precizno razlikovanje različitih vrsta sredstava unutar sustava financiranja sektora poljoprivrede i ribarstva kako bi se preciznije pratila struktura i namjena navedenih financijskih iznosa, i radi samog povećanja transparentnosti u praćenju korištenja različitih instrumenata ZPP-a, usporedivosti i točnosti analiza, a samim time razdvojeni prikaz pridonosi većoj preglednosti i osigurava kvalitetniju interpretaciju podataka korisnicima Izvješća.</w:t>
      </w:r>
    </w:p>
    <w:p w14:paraId="1AC8313B" w14:textId="77777777" w:rsidR="0015346C" w:rsidRPr="009A2515" w:rsidRDefault="0015346C" w:rsidP="00F31E30">
      <w:pPr>
        <w:jc w:val="both"/>
      </w:pPr>
    </w:p>
    <w:p w14:paraId="3DC19C65" w14:textId="7152DA85" w:rsidR="00EB4238" w:rsidRPr="006A00EF" w:rsidRDefault="00EB4238" w:rsidP="00EB4238">
      <w:pPr>
        <w:jc w:val="both"/>
      </w:pPr>
      <w:r w:rsidRPr="006A00EF">
        <w:t xml:space="preserve">S obzirom da je Republika Hrvatska 1. siječnja 2023. zamijenila kunu eurom koji je od tog dana hrvatska službena nacionalna valuta i službeno sredstvo plaćanja, svi podaci koji se odnose na razdoblje prije 1. siječnja 2023., </w:t>
      </w:r>
      <w:r w:rsidR="004A50E4" w:rsidRPr="006A00EF">
        <w:t>konvertirani</w:t>
      </w:r>
      <w:r w:rsidRPr="006A00EF">
        <w:t xml:space="preserve"> su u euro po fiksnom tečaju koji iznosi 7,53450 HRK za 1,00 EUR</w:t>
      </w:r>
      <w:r w:rsidRPr="006A00EF">
        <w:rPr>
          <w:rStyle w:val="FootnoteReference"/>
        </w:rPr>
        <w:footnoteReference w:id="3"/>
      </w:r>
      <w:r w:rsidRPr="006A00EF">
        <w:t>.</w:t>
      </w:r>
    </w:p>
    <w:p w14:paraId="46CE8F65" w14:textId="77777777" w:rsidR="00EB4238" w:rsidRPr="006A00EF" w:rsidRDefault="00EB4238" w:rsidP="00EB4238">
      <w:pPr>
        <w:jc w:val="both"/>
      </w:pPr>
    </w:p>
    <w:p w14:paraId="3A4EB229" w14:textId="0C9DA525" w:rsidR="00151CD6" w:rsidRPr="006A00EF" w:rsidRDefault="0089317E" w:rsidP="00550C54">
      <w:pPr>
        <w:jc w:val="both"/>
      </w:pPr>
      <w:r w:rsidRPr="006A00EF">
        <w:t xml:space="preserve">Pravila o potporama EU na temelju kojih su dodijeljene državne potpore i potpore male vrijednosti koje su predmet ovog Izvješća dostupna su na mrežnim stranicama Ministarstva </w:t>
      </w:r>
      <w:r w:rsidR="00151CD6" w:rsidRPr="006A00EF">
        <w:t>financija</w:t>
      </w:r>
      <w:r w:rsidR="00151CD6" w:rsidRPr="006A00EF">
        <w:rPr>
          <w:rStyle w:val="FootnoteReference"/>
        </w:rPr>
        <w:footnoteReference w:id="4"/>
      </w:r>
      <w:r w:rsidRPr="006A00EF">
        <w:t>,</w:t>
      </w:r>
      <w:r w:rsidR="0013108C" w:rsidRPr="006A00EF">
        <w:t xml:space="preserve"> </w:t>
      </w:r>
      <w:r w:rsidRPr="006A00EF">
        <w:t xml:space="preserve">a mogu se preuzeti i na mrežnoj stranici Europske </w:t>
      </w:r>
      <w:r w:rsidR="0013108C" w:rsidRPr="006A00EF">
        <w:rPr>
          <w:rFonts w:eastAsiaTheme="majorEastAsia"/>
        </w:rPr>
        <w:t>komisije</w:t>
      </w:r>
      <w:r w:rsidR="0013108C" w:rsidRPr="006A00EF">
        <w:rPr>
          <w:rStyle w:val="FootnoteReference"/>
          <w:rFonts w:eastAsiaTheme="majorEastAsia"/>
        </w:rPr>
        <w:footnoteReference w:id="5"/>
      </w:r>
      <w:r w:rsidR="0013108C" w:rsidRPr="006A00EF">
        <w:rPr>
          <w:rFonts w:eastAsiaTheme="majorEastAsia"/>
        </w:rPr>
        <w:t>.</w:t>
      </w:r>
    </w:p>
    <w:p w14:paraId="14F7BF52" w14:textId="1762923D" w:rsidR="00F31E30" w:rsidRPr="006A00EF" w:rsidRDefault="00F31E30" w:rsidP="00F31E30">
      <w:pPr>
        <w:jc w:val="both"/>
      </w:pPr>
    </w:p>
    <w:p w14:paraId="2271CAFC" w14:textId="46C1DB08" w:rsidR="0089317E" w:rsidRPr="006A00EF" w:rsidRDefault="0089317E" w:rsidP="0089317E">
      <w:pPr>
        <w:jc w:val="both"/>
      </w:pPr>
      <w:r w:rsidRPr="006A00EF">
        <w:t xml:space="preserve">Posljednja izmjena pravila o potporama datira iz 2023. godine, a riječ je o izmjenama i dopunama Uredbe o općem skupnom izuzeću </w:t>
      </w:r>
      <w:r w:rsidRPr="006A00EF">
        <w:rPr>
          <w:rStyle w:val="FootnoteReference"/>
        </w:rPr>
        <w:footnoteReference w:id="6"/>
      </w:r>
      <w:r w:rsidRPr="006A00EF">
        <w:t xml:space="preserve"> te pravilima</w:t>
      </w:r>
      <w:r w:rsidR="00C24628" w:rsidRPr="006A00EF">
        <w:t xml:space="preserve"> </w:t>
      </w:r>
      <w:r w:rsidRPr="006A00EF">
        <w:t>za dodjelu potpora</w:t>
      </w:r>
      <w:r w:rsidR="00C24628" w:rsidRPr="006A00EF">
        <w:t xml:space="preserve"> male vrijednosti.</w:t>
      </w:r>
    </w:p>
    <w:p w14:paraId="02C2738D" w14:textId="543C4FA3" w:rsidR="0089317E" w:rsidRPr="006A00EF" w:rsidRDefault="0089317E" w:rsidP="00E53E62">
      <w:pPr>
        <w:jc w:val="both"/>
      </w:pPr>
    </w:p>
    <w:p w14:paraId="344195DE" w14:textId="5D311D7E" w:rsidR="001C7CCF" w:rsidRPr="006A00EF" w:rsidRDefault="00456E86" w:rsidP="001C7CCF">
      <w:pPr>
        <w:jc w:val="both"/>
      </w:pPr>
      <w:r w:rsidRPr="006A00EF">
        <w:t>P</w:t>
      </w:r>
      <w:r w:rsidR="001C7CCF" w:rsidRPr="006A00EF">
        <w:t xml:space="preserve">otpore male vrijednosti ili de </w:t>
      </w:r>
      <w:r w:rsidR="00106DF8" w:rsidRPr="006A00EF">
        <w:t>minimis</w:t>
      </w:r>
      <w:r w:rsidR="00E53E62" w:rsidRPr="006A00EF">
        <w:t xml:space="preserve"> potpore</w:t>
      </w:r>
      <w:r w:rsidR="001C7CCF" w:rsidRPr="006A00EF">
        <w:t xml:space="preserve"> mogu </w:t>
      </w:r>
      <w:r w:rsidR="00E53E62" w:rsidRPr="006A00EF">
        <w:t xml:space="preserve">se </w:t>
      </w:r>
      <w:r w:rsidR="001C7CCF" w:rsidRPr="006A00EF">
        <w:t xml:space="preserve">dodjeljivati temeljem pravila propisanih Uredbom Komisije (EU) 2023/2831 od 13. prosinca 2023. o primjeni članaka 107. </w:t>
      </w:r>
      <w:r w:rsidR="001C7CCF" w:rsidRPr="006A00EF">
        <w:lastRenderedPageBreak/>
        <w:t>i 108. Ugovora o funkcioniranju Europske unije na de minimis potpore (Službeni list Europske unije, L 2023/2831, od 15. prosinca 2023.; u daljnjem tekstu: Uredba 2023/2831)</w:t>
      </w:r>
      <w:r w:rsidR="00E53E62" w:rsidRPr="006A00EF">
        <w:rPr>
          <w:rStyle w:val="FootnoteReference"/>
        </w:rPr>
        <w:footnoteReference w:id="7"/>
      </w:r>
      <w:r w:rsidR="00E53E62" w:rsidRPr="006A00EF">
        <w:t xml:space="preserve"> te </w:t>
      </w:r>
      <w:r w:rsidR="0093284A" w:rsidRPr="006A00EF">
        <w:t>Uredbom Komisije (EU) 2023/2832 оd 13. prosinca 2023. o primjeni članaka 107. i 108. Ugovora o funkcioniranju Europske Unije na de minimis potpore koje se dodjeljuju poduzetnicima koji pružaju usluge od općeg gospodarskog interesa (Službeni list Europske unije, L 2023/2832, od 15. prosinca 2023.)</w:t>
      </w:r>
      <w:r w:rsidR="0093284A" w:rsidRPr="006A00EF">
        <w:rPr>
          <w:rStyle w:val="FootnoteReference"/>
        </w:rPr>
        <w:footnoteReference w:id="8"/>
      </w:r>
      <w:r w:rsidR="0093284A" w:rsidRPr="006A00EF">
        <w:t>.</w:t>
      </w:r>
    </w:p>
    <w:p w14:paraId="40A1D90F" w14:textId="134E7B8F" w:rsidR="001C7CCF" w:rsidRPr="006A00EF" w:rsidRDefault="001C7CCF" w:rsidP="001C7CCF">
      <w:pPr>
        <w:jc w:val="both"/>
      </w:pPr>
    </w:p>
    <w:p w14:paraId="399323DF" w14:textId="7ABF6C0D" w:rsidR="00321137" w:rsidRPr="006A00EF" w:rsidRDefault="00321137" w:rsidP="0023464C">
      <w:pPr>
        <w:jc w:val="both"/>
      </w:pPr>
    </w:p>
    <w:p w14:paraId="4140B9FE" w14:textId="77777777" w:rsidR="00FF311E" w:rsidRPr="006A00EF" w:rsidRDefault="00FF311E" w:rsidP="0023464C"/>
    <w:p w14:paraId="122D88E9" w14:textId="3569900C" w:rsidR="00BE0817" w:rsidRPr="00C24D54" w:rsidRDefault="00857D5E" w:rsidP="00BC67AA">
      <w:pPr>
        <w:pStyle w:val="Heading2"/>
        <w:ind w:left="811" w:hanging="454"/>
      </w:pPr>
      <w:bookmarkStart w:id="2" w:name="_Toc213660023"/>
      <w:r w:rsidRPr="00C24D54">
        <w:t>METODOLOGIJA PRAĆENJA I PRIKAZA DRŽAVNIH POTPORA</w:t>
      </w:r>
      <w:bookmarkEnd w:id="2"/>
    </w:p>
    <w:p w14:paraId="77EA1122" w14:textId="77777777" w:rsidR="00857D5E" w:rsidRPr="00C24D54" w:rsidRDefault="00857D5E" w:rsidP="00BE487D">
      <w:pPr>
        <w:jc w:val="both"/>
      </w:pPr>
    </w:p>
    <w:p w14:paraId="69A031EC" w14:textId="77777777" w:rsidR="00857D5E" w:rsidRPr="00C24D54" w:rsidRDefault="00857D5E" w:rsidP="00BE487D">
      <w:pPr>
        <w:jc w:val="both"/>
      </w:pPr>
    </w:p>
    <w:p w14:paraId="41A80C37" w14:textId="77777777" w:rsidR="00FA5483" w:rsidRPr="00C24D54" w:rsidRDefault="00FA5483" w:rsidP="00BE487D">
      <w:pPr>
        <w:pStyle w:val="Heading4"/>
        <w:spacing w:before="0"/>
        <w:jc w:val="both"/>
        <w:rPr>
          <w:rFonts w:ascii="Times New Roman" w:hAnsi="Times New Roman" w:cs="Times New Roman"/>
          <w:b/>
          <w:i w:val="0"/>
          <w:color w:val="auto"/>
        </w:rPr>
      </w:pPr>
      <w:r w:rsidRPr="00C24D54">
        <w:rPr>
          <w:rFonts w:ascii="Times New Roman" w:hAnsi="Times New Roman" w:cs="Times New Roman"/>
          <w:b/>
          <w:i w:val="0"/>
          <w:color w:val="auto"/>
        </w:rPr>
        <w:t>Pravni temelj</w:t>
      </w:r>
    </w:p>
    <w:p w14:paraId="66E97FE2" w14:textId="77777777" w:rsidR="00FA5483" w:rsidRPr="00C24D54" w:rsidRDefault="00FA5483" w:rsidP="00BE487D">
      <w:pPr>
        <w:jc w:val="both"/>
      </w:pPr>
    </w:p>
    <w:p w14:paraId="26DBDC24" w14:textId="3702CF1C" w:rsidR="00FA5483" w:rsidRPr="00C24D54" w:rsidRDefault="0093284A" w:rsidP="00BE487D">
      <w:pPr>
        <w:jc w:val="both"/>
        <w:rPr>
          <w:bCs/>
        </w:rPr>
      </w:pPr>
      <w:r w:rsidRPr="00C24D54">
        <w:rPr>
          <w:bCs/>
        </w:rPr>
        <w:t xml:space="preserve">Zakonom su uređene </w:t>
      </w:r>
      <w:r w:rsidR="00FA5483" w:rsidRPr="00C24D54">
        <w:rPr>
          <w:bCs/>
        </w:rPr>
        <w:t>nadležnost</w:t>
      </w:r>
      <w:r w:rsidRPr="00C24D54">
        <w:rPr>
          <w:bCs/>
        </w:rPr>
        <w:t>i</w:t>
      </w:r>
      <w:r w:rsidR="00FA5483" w:rsidRPr="00C24D54">
        <w:rPr>
          <w:bCs/>
        </w:rPr>
        <w:t xml:space="preserve"> tijela Republike Hrvatske iz područja državnih potpora i potpora male vrijednosti, politik</w:t>
      </w:r>
      <w:r w:rsidRPr="00C24D54">
        <w:rPr>
          <w:bCs/>
        </w:rPr>
        <w:t>a</w:t>
      </w:r>
      <w:r w:rsidR="00FA5483" w:rsidRPr="00C24D54">
        <w:rPr>
          <w:bCs/>
        </w:rPr>
        <w:t xml:space="preserve"> državnih potpora Republike Hrvatske, postupanja prije dodjele državnih potpora, vođenje evidencija te izvještavanje o državnim potporama i potporama male vrijednosti.</w:t>
      </w:r>
    </w:p>
    <w:p w14:paraId="5B991F27" w14:textId="77777777" w:rsidR="00FA5483" w:rsidRPr="00C24D54" w:rsidRDefault="00FA5483" w:rsidP="00BE487D">
      <w:pPr>
        <w:jc w:val="both"/>
      </w:pPr>
    </w:p>
    <w:p w14:paraId="1C4CFF59" w14:textId="77777777" w:rsidR="00FA5483" w:rsidRPr="00C24D54" w:rsidRDefault="00FA5483" w:rsidP="00BE487D">
      <w:pPr>
        <w:jc w:val="both"/>
      </w:pPr>
    </w:p>
    <w:p w14:paraId="50ECCD8D" w14:textId="77777777" w:rsidR="00FA5483" w:rsidRPr="00C24D54" w:rsidRDefault="0086041F" w:rsidP="00BE487D">
      <w:pPr>
        <w:jc w:val="both"/>
        <w:rPr>
          <w:b/>
        </w:rPr>
      </w:pPr>
      <w:r w:rsidRPr="00C24D54">
        <w:rPr>
          <w:b/>
        </w:rPr>
        <w:t>Pojam državne potpore</w:t>
      </w:r>
    </w:p>
    <w:p w14:paraId="27967A5C" w14:textId="77777777" w:rsidR="00FA5483" w:rsidRPr="00C24D54" w:rsidRDefault="00FA5483" w:rsidP="00BE487D">
      <w:pPr>
        <w:jc w:val="both"/>
      </w:pPr>
    </w:p>
    <w:p w14:paraId="52E0D09F" w14:textId="7E608DA5" w:rsidR="00FA5483" w:rsidRPr="00C24D54" w:rsidRDefault="00BC58FD" w:rsidP="00BE487D">
      <w:pPr>
        <w:tabs>
          <w:tab w:val="left" w:pos="8080"/>
        </w:tabs>
        <w:jc w:val="both"/>
        <w:rPr>
          <w:strike/>
        </w:rPr>
      </w:pPr>
      <w:r w:rsidRPr="00C24D54">
        <w:rPr>
          <w:u w:val="single"/>
        </w:rPr>
        <w:t>D</w:t>
      </w:r>
      <w:r w:rsidR="00FA5483" w:rsidRPr="00C24D54">
        <w:rPr>
          <w:u w:val="single"/>
        </w:rPr>
        <w:t>ržavna</w:t>
      </w:r>
      <w:r w:rsidRPr="00C24D54">
        <w:rPr>
          <w:u w:val="single"/>
        </w:rPr>
        <w:t xml:space="preserve"> </w:t>
      </w:r>
      <w:r w:rsidR="00FA5483" w:rsidRPr="00C24D54">
        <w:rPr>
          <w:u w:val="single"/>
        </w:rPr>
        <w:t>potpora</w:t>
      </w:r>
      <w:r w:rsidR="00FA5483" w:rsidRPr="00C24D54">
        <w:t xml:space="preserve"> je </w:t>
      </w:r>
      <w:r w:rsidRPr="00C24D54">
        <w:t xml:space="preserve">sukladno Zakonu, </w:t>
      </w:r>
      <w:r w:rsidR="00FA5483" w:rsidRPr="00C24D54">
        <w:t>stvarni i potencijalni rashod ili umanjeni prihod države dodijeljen od strane davatelja državne potpore u bilo kojem obliku koji narušava ili prijeti narušavanjem tržišnog natjecanja stavljajući u povoljniji položaj određenog poduzetnika ili proizvodnju određene robe i/ili usluge utoliko što utječe na trgovinu između država članica EU u skladu s člankom 107. Ugovora o funkcioniranju Europske unije (u daljnjem tekstu: UFEU)</w:t>
      </w:r>
      <w:r w:rsidRPr="00C24D54">
        <w:t>, a</w:t>
      </w:r>
      <w:r w:rsidR="00DC5CCB" w:rsidRPr="00C24D54">
        <w:t xml:space="preserve"> definicija </w:t>
      </w:r>
      <w:r w:rsidRPr="00C24D54">
        <w:t xml:space="preserve">je </w:t>
      </w:r>
      <w:r w:rsidR="00FA5483" w:rsidRPr="00C24D54">
        <w:t>preuzet</w:t>
      </w:r>
      <w:r w:rsidR="00DC5CCB" w:rsidRPr="00C24D54">
        <w:t>a</w:t>
      </w:r>
      <w:r w:rsidR="00FA5483" w:rsidRPr="00C24D54">
        <w:t xml:space="preserve"> iz članka 107. stavka 1. UFEU-a koji dodatno propisuje da su državne potpore nespojive s unutarnjim tržištem.</w:t>
      </w:r>
    </w:p>
    <w:p w14:paraId="15B03C41" w14:textId="77777777" w:rsidR="00FA5483" w:rsidRPr="00C24D54" w:rsidRDefault="00FA5483" w:rsidP="00BE487D">
      <w:pPr>
        <w:jc w:val="both"/>
      </w:pPr>
    </w:p>
    <w:p w14:paraId="250450F2" w14:textId="77777777" w:rsidR="00FA5483" w:rsidRPr="00C24D54" w:rsidRDefault="00FA5483" w:rsidP="00BE487D">
      <w:pPr>
        <w:jc w:val="both"/>
      </w:pPr>
      <w:r w:rsidRPr="00C24D54">
        <w:rPr>
          <w:u w:val="single"/>
        </w:rPr>
        <w:t>Korisnik državne potpore/potpore male vrijednosti</w:t>
      </w:r>
      <w:r w:rsidRPr="00C24D54">
        <w:rPr>
          <w:b/>
        </w:rPr>
        <w:t xml:space="preserve"> </w:t>
      </w:r>
      <w:r w:rsidRPr="00C24D54">
        <w:t xml:space="preserve">sukladno Zakonu, je svaka pravna i fizička osoba koja, obavljajući gospodarsku djelatnost, sudjeluje u prometu roba i usluga, a prima državnu potporu/potporu male vrijednosti, bez obzira na njen oblik i namjenu. </w:t>
      </w:r>
    </w:p>
    <w:p w14:paraId="31A22AC2" w14:textId="77777777" w:rsidR="00FA5483" w:rsidRPr="00C24D54" w:rsidRDefault="00FA5483" w:rsidP="00BE487D">
      <w:pPr>
        <w:pStyle w:val="t-9-8"/>
        <w:spacing w:before="0" w:beforeAutospacing="0" w:after="0" w:afterAutospacing="0"/>
        <w:rPr>
          <w:rStyle w:val="kurziv"/>
          <w:lang w:val="hr-HR"/>
        </w:rPr>
      </w:pPr>
    </w:p>
    <w:p w14:paraId="354F1BF6" w14:textId="717CA286" w:rsidR="00FA5483" w:rsidRPr="00C24D54" w:rsidRDefault="00FA5483" w:rsidP="00BE487D">
      <w:pPr>
        <w:pStyle w:val="t-9-8"/>
        <w:spacing w:before="0" w:beforeAutospacing="0" w:after="0" w:afterAutospacing="0"/>
        <w:rPr>
          <w:lang w:val="hr-HR"/>
        </w:rPr>
      </w:pPr>
      <w:r w:rsidRPr="00C24D54">
        <w:rPr>
          <w:rStyle w:val="kurziv"/>
          <w:u w:val="single"/>
          <w:lang w:val="hr-HR"/>
        </w:rPr>
        <w:lastRenderedPageBreak/>
        <w:t>Davatelj državne potpore/potpore male vrijednosti</w:t>
      </w:r>
      <w:r w:rsidR="00BC58FD" w:rsidRPr="00C24D54">
        <w:rPr>
          <w:lang w:val="hr-HR"/>
        </w:rPr>
        <w:t xml:space="preserve"> sukladno Zakonu, </w:t>
      </w:r>
      <w:r w:rsidRPr="00C24D54">
        <w:rPr>
          <w:lang w:val="hr-HR"/>
        </w:rPr>
        <w:t>je tijelo državne uprave, jedinica lokalne i područne (regionalne) samouprave te svaka pravna osoba koja dodjeljuje državne potpore/potpore male vrijednosti.</w:t>
      </w:r>
    </w:p>
    <w:p w14:paraId="36F06AC9" w14:textId="77777777" w:rsidR="00FA5483" w:rsidRPr="00C24D54" w:rsidRDefault="00FA5483" w:rsidP="00BE487D">
      <w:pPr>
        <w:jc w:val="both"/>
      </w:pPr>
    </w:p>
    <w:p w14:paraId="403D6042" w14:textId="120A7AC0" w:rsidR="00FA5483" w:rsidRPr="00C24D54" w:rsidRDefault="00FA5483" w:rsidP="00BE487D">
      <w:pPr>
        <w:jc w:val="both"/>
      </w:pPr>
      <w:r w:rsidRPr="00C24D54">
        <w:t>Kod utvrđivanja ima li državna intervencija karakter državne potpore, potrebno je</w:t>
      </w:r>
      <w:r w:rsidR="000662C4" w:rsidRPr="00C24D54">
        <w:t xml:space="preserve"> za</w:t>
      </w:r>
      <w:r w:rsidRPr="00C24D54">
        <w:t xml:space="preserve"> svak</w:t>
      </w:r>
      <w:r w:rsidR="000662C4" w:rsidRPr="00C24D54">
        <w:t>i</w:t>
      </w:r>
      <w:r w:rsidRPr="00C24D54">
        <w:t xml:space="preserve"> pojedin</w:t>
      </w:r>
      <w:r w:rsidR="000662C4" w:rsidRPr="00C24D54">
        <w:t>i</w:t>
      </w:r>
      <w:r w:rsidRPr="00C24D54">
        <w:t xml:space="preserve"> slučaj dodjele državnih sredstava utvrditi jesu li </w:t>
      </w:r>
      <w:r w:rsidRPr="00C24D54">
        <w:rPr>
          <w:u w:val="single"/>
        </w:rPr>
        <w:t>kumulativno ispunjeni uvjeti</w:t>
      </w:r>
      <w:r w:rsidRPr="00C24D54">
        <w:t xml:space="preserve"> koji se odnose na izvore sredstava odnosno mjera, davanje prednosti na tržištu i s time povezanom selektivnosti te utječu li sredstva</w:t>
      </w:r>
      <w:r w:rsidR="00D204A7" w:rsidRPr="00C24D54">
        <w:t>/</w:t>
      </w:r>
      <w:r w:rsidRPr="00C24D54">
        <w:t xml:space="preserve">mjere na trgovinu između Republike Hrvatske i EU: </w:t>
      </w:r>
    </w:p>
    <w:p w14:paraId="0DA2A982" w14:textId="77777777" w:rsidR="00FA5483" w:rsidRPr="00C24D54" w:rsidRDefault="00FA5483" w:rsidP="00BE487D">
      <w:pPr>
        <w:jc w:val="both"/>
      </w:pPr>
    </w:p>
    <w:p w14:paraId="344D986C" w14:textId="32A2846C" w:rsidR="00FA5483" w:rsidRPr="00C24D54" w:rsidRDefault="00FA5483" w:rsidP="00E346B9">
      <w:pPr>
        <w:pStyle w:val="ListParagraph"/>
        <w:numPr>
          <w:ilvl w:val="0"/>
          <w:numId w:val="2"/>
        </w:numPr>
        <w:jc w:val="both"/>
      </w:pPr>
      <w:r w:rsidRPr="00C24D54">
        <w:rPr>
          <w:u w:val="single"/>
        </w:rPr>
        <w:t>dodjela državnih sredstava</w:t>
      </w:r>
      <w:r w:rsidRPr="00C24D54">
        <w:t xml:space="preserve"> – državnom potporom smatra se mjera koja uključuje sredstva dodijeljena iz državnog proračuna, proračuna županije, grada i općine, fondova i pravnih osoba u vlasništvu države</w:t>
      </w:r>
      <w:r w:rsidR="008C694A" w:rsidRPr="00C24D54">
        <w:t xml:space="preserve">, </w:t>
      </w:r>
      <w:r w:rsidRPr="00C24D54">
        <w:t>odnosno sredstva nad čijom dodjelom javna vlast ima kontrolu</w:t>
      </w:r>
      <w:r w:rsidR="00A91BC5" w:rsidRPr="00C24D54">
        <w:t xml:space="preserve"> i koja su istoj pripisiva</w:t>
      </w:r>
      <w:r w:rsidRPr="00C24D54">
        <w:t xml:space="preserve">. </w:t>
      </w:r>
      <w:r w:rsidR="008C694A" w:rsidRPr="00C24D54">
        <w:t>Državnom potporom, osim</w:t>
      </w:r>
      <w:r w:rsidRPr="00C24D54">
        <w:t xml:space="preserve"> izravnih proračunskih izdataka, smatra</w:t>
      </w:r>
      <w:r w:rsidR="008C694A" w:rsidRPr="00C24D54">
        <w:t xml:space="preserve">ju se </w:t>
      </w:r>
      <w:r w:rsidRPr="00C24D54">
        <w:t>i manj</w:t>
      </w:r>
      <w:r w:rsidR="00A91BC5" w:rsidRPr="00C24D54">
        <w:t>e ostvareni</w:t>
      </w:r>
      <w:r w:rsidRPr="00C24D54">
        <w:t xml:space="preserve"> </w:t>
      </w:r>
      <w:r w:rsidR="008C694A" w:rsidRPr="00C24D54">
        <w:t>ili</w:t>
      </w:r>
      <w:r w:rsidRPr="00C24D54">
        <w:t xml:space="preserve"> neostvareni prihod države zbog neplaćenog poreza, doprinosa ili drugog nepodmirenog dugovanja </w:t>
      </w:r>
      <w:r w:rsidR="008C694A" w:rsidRPr="00C24D54">
        <w:t>ili</w:t>
      </w:r>
      <w:r w:rsidRPr="00C24D54">
        <w:t xml:space="preserve"> neizvršene financijske obveze prema državi, prodaja nekretnina i pokretnina u vlasništvu države ispod tržišne cijene i bez provedenog natječaja i sl.</w:t>
      </w:r>
      <w:r w:rsidR="008C694A" w:rsidRPr="00C24D54">
        <w:t>, te s</w:t>
      </w:r>
      <w:r w:rsidRPr="00C24D54">
        <w:t xml:space="preserve">redstva EU (npr. iz strukturnih Fondova) </w:t>
      </w:r>
      <w:r w:rsidR="00592EA0" w:rsidRPr="00C24D54">
        <w:t>ukoliko</w:t>
      </w:r>
      <w:r w:rsidRPr="00C24D54">
        <w:t xml:space="preserve"> nacionalna tijela imaju diskrecijsko pravo odluč</w:t>
      </w:r>
      <w:r w:rsidR="005B5D48" w:rsidRPr="00C24D54">
        <w:t>ivanja o upotrebi tih sredstava</w:t>
      </w:r>
    </w:p>
    <w:p w14:paraId="1FDD49EB" w14:textId="77777777" w:rsidR="00FA5483" w:rsidRPr="00C24D54" w:rsidRDefault="00FA5483" w:rsidP="00BE487D">
      <w:pPr>
        <w:jc w:val="both"/>
      </w:pPr>
    </w:p>
    <w:p w14:paraId="07697851" w14:textId="6545F6D1" w:rsidR="00FA5483" w:rsidRPr="00C24D54" w:rsidRDefault="00FA5483" w:rsidP="00DB7D60">
      <w:pPr>
        <w:pStyle w:val="ListParagraph"/>
        <w:numPr>
          <w:ilvl w:val="0"/>
          <w:numId w:val="2"/>
        </w:numPr>
        <w:ind w:left="357" w:hanging="357"/>
        <w:jc w:val="both"/>
      </w:pPr>
      <w:r w:rsidRPr="00C24D54">
        <w:rPr>
          <w:u w:val="single"/>
        </w:rPr>
        <w:t>ostvarivanj</w:t>
      </w:r>
      <w:r w:rsidR="0086041F" w:rsidRPr="00C24D54">
        <w:rPr>
          <w:u w:val="single"/>
        </w:rPr>
        <w:t>e</w:t>
      </w:r>
      <w:r w:rsidRPr="00C24D54">
        <w:rPr>
          <w:u w:val="single"/>
        </w:rPr>
        <w:t xml:space="preserve"> prednosti na tržištu</w:t>
      </w:r>
      <w:r w:rsidRPr="00C24D54">
        <w:rPr>
          <w:b/>
        </w:rPr>
        <w:t xml:space="preserve"> </w:t>
      </w:r>
      <w:r w:rsidRPr="00C24D54">
        <w:t xml:space="preserve">– gospodarska prednost na tržištu ostvaruje se činjenicom da je korisnik potpore primio sredstva koja ne bi mogao ostvariti svojim redovitim poslovanjem. </w:t>
      </w:r>
      <w:r w:rsidR="0039663E" w:rsidRPr="00C24D54">
        <w:t xml:space="preserve">Osim </w:t>
      </w:r>
      <w:r w:rsidRPr="00C24D54">
        <w:t xml:space="preserve">državnih potpora kao što su subvencije, oslobađanja od plaćanja poreza, subvencije kamata, državnih jamstva itd., postoje i ostale </w:t>
      </w:r>
      <w:r w:rsidR="00DB7D60" w:rsidRPr="00C24D54">
        <w:t xml:space="preserve">javne mjere koje dovode do stjecanja gospodarske prednosti te zbog toga sadrže elemente </w:t>
      </w:r>
      <w:r w:rsidRPr="00C24D54">
        <w:t xml:space="preserve">državne potpore, </w:t>
      </w:r>
      <w:r w:rsidR="0039663E" w:rsidRPr="00C24D54">
        <w:t>kao št</w:t>
      </w:r>
      <w:r w:rsidR="00DB7D60" w:rsidRPr="00C24D54">
        <w:t>o</w:t>
      </w:r>
      <w:r w:rsidR="0039663E" w:rsidRPr="00C24D54">
        <w:t xml:space="preserve"> su</w:t>
      </w:r>
      <w:r w:rsidRPr="00C24D54">
        <w:t xml:space="preserve"> prodaja/iznajmljivanje zemljišta u državnom vlasništvu poduzetniku po povoljnijoj cijeni od tržišne, omogućavanje pristupa javnoj infrastrukturi bez plaćanja naknade za istu, dokapitalizacija poduzetnika od strane države pod povoljnijim uvjetima nego što b</w:t>
      </w:r>
      <w:r w:rsidR="005B5D48" w:rsidRPr="00C24D54">
        <w:t>i to učinio privatni investitor</w:t>
      </w:r>
      <w:r w:rsidR="00F13FE5" w:rsidRPr="00C24D54">
        <w:t xml:space="preserve"> i slično</w:t>
      </w:r>
    </w:p>
    <w:p w14:paraId="74397AE3" w14:textId="77777777" w:rsidR="00FA5483" w:rsidRPr="00C24D54" w:rsidRDefault="00FA5483" w:rsidP="00BE487D">
      <w:pPr>
        <w:jc w:val="both"/>
        <w:rPr>
          <w:b/>
        </w:rPr>
      </w:pPr>
    </w:p>
    <w:p w14:paraId="5C2C50E5" w14:textId="4A49D572" w:rsidR="00FA5483" w:rsidRPr="00C24D54" w:rsidRDefault="00FA5483" w:rsidP="00E346B9">
      <w:pPr>
        <w:pStyle w:val="ListParagraph"/>
        <w:numPr>
          <w:ilvl w:val="0"/>
          <w:numId w:val="2"/>
        </w:numPr>
        <w:jc w:val="both"/>
      </w:pPr>
      <w:r w:rsidRPr="00C24D54">
        <w:rPr>
          <w:u w:val="single"/>
        </w:rPr>
        <w:t>selektivnost</w:t>
      </w:r>
      <w:r w:rsidRPr="00C24D54">
        <w:rPr>
          <w:b/>
        </w:rPr>
        <w:t xml:space="preserve"> </w:t>
      </w:r>
      <w:r w:rsidRPr="00C24D54">
        <w:t>–</w:t>
      </w:r>
      <w:r w:rsidR="0039663E" w:rsidRPr="00C24D54">
        <w:t xml:space="preserve"> </w:t>
      </w:r>
      <w:r w:rsidRPr="00C24D54">
        <w:t xml:space="preserve">uvjet </w:t>
      </w:r>
      <w:r w:rsidR="0039663E" w:rsidRPr="00C24D54">
        <w:t xml:space="preserve">koji </w:t>
      </w:r>
      <w:r w:rsidRPr="00C24D54">
        <w:t>ukazuje na činjenicu da je dodjelom sredstava iz proračuna države poduzetnik/sektor doveden u povoljniji tržišni položaj u odnosu na konkurenciju</w:t>
      </w:r>
      <w:r w:rsidR="0086041F" w:rsidRPr="00C24D54">
        <w:t xml:space="preserve">, a o </w:t>
      </w:r>
      <w:r w:rsidRPr="00C24D54">
        <w:t>selektivnosti se može raditi i kada postoji određeno diskrecijsko pravo odlučivanja prilikom dodjele potp</w:t>
      </w:r>
      <w:r w:rsidR="005B5D48" w:rsidRPr="00C24D54">
        <w:t>ore od strane davatelja potpore</w:t>
      </w:r>
    </w:p>
    <w:p w14:paraId="2B2859E7" w14:textId="77777777" w:rsidR="00FA5483" w:rsidRPr="00C24D54" w:rsidRDefault="00FA5483" w:rsidP="00BE487D">
      <w:pPr>
        <w:jc w:val="both"/>
        <w:rPr>
          <w:b/>
        </w:rPr>
      </w:pPr>
    </w:p>
    <w:p w14:paraId="460DBE4C" w14:textId="42A6CB65" w:rsidR="00FA5483" w:rsidRPr="00C24D54" w:rsidRDefault="00FA5483" w:rsidP="00E346B9">
      <w:pPr>
        <w:pStyle w:val="ListParagraph"/>
        <w:numPr>
          <w:ilvl w:val="0"/>
          <w:numId w:val="2"/>
        </w:numPr>
        <w:jc w:val="both"/>
      </w:pPr>
      <w:r w:rsidRPr="00C24D54">
        <w:rPr>
          <w:u w:val="single"/>
        </w:rPr>
        <w:t>utjecaj na trgovinu između Republike Hrvatske i EU</w:t>
      </w:r>
      <w:r w:rsidRPr="00C24D54">
        <w:t xml:space="preserve"> (tržišno natjecanje) –</w:t>
      </w:r>
      <w:r w:rsidR="0039663E" w:rsidRPr="00C24D54">
        <w:t xml:space="preserve"> </w:t>
      </w:r>
      <w:r w:rsidRPr="00C24D54">
        <w:t xml:space="preserve">utvrđuje se </w:t>
      </w:r>
      <w:r w:rsidR="0039663E" w:rsidRPr="00C24D54">
        <w:t xml:space="preserve">dolazi li do narušavanja tržišnog natjecanja na trgovinu između država članica EU </w:t>
      </w:r>
      <w:r w:rsidRPr="00C24D54">
        <w:t>zbog dobivene potpore poduzetnik</w:t>
      </w:r>
      <w:r w:rsidR="0039663E" w:rsidRPr="00C24D54">
        <w:t>u</w:t>
      </w:r>
      <w:r w:rsidRPr="00C24D54">
        <w:t xml:space="preserve"> ili proizvodnj</w:t>
      </w:r>
      <w:r w:rsidR="0039663E" w:rsidRPr="00C24D54">
        <w:t>i određene robe i/ili usluge.</w:t>
      </w:r>
    </w:p>
    <w:p w14:paraId="184A391C" w14:textId="77777777" w:rsidR="00FA5483" w:rsidRPr="00C24D54" w:rsidRDefault="00FA5483" w:rsidP="00BE487D">
      <w:pPr>
        <w:jc w:val="both"/>
      </w:pPr>
    </w:p>
    <w:p w14:paraId="727DB64B" w14:textId="523A3BB7" w:rsidR="00FA5483" w:rsidRPr="00C24D54" w:rsidRDefault="00FA5483" w:rsidP="00BE487D">
      <w:pPr>
        <w:jc w:val="both"/>
      </w:pPr>
      <w:r w:rsidRPr="00C24D54">
        <w:t>Državnom potporom smatr</w:t>
      </w:r>
      <w:r w:rsidR="0039663E" w:rsidRPr="00C24D54">
        <w:t>a se</w:t>
      </w:r>
      <w:r w:rsidRPr="00C24D54">
        <w:t xml:space="preserve"> svaka mjera dodijeljena u korist poduzetnika u smislu Zakona i pravne stečevine EU </w:t>
      </w:r>
      <w:r w:rsidR="00DC5CCB" w:rsidRPr="00C24D54">
        <w:t xml:space="preserve">ako </w:t>
      </w:r>
      <w:r w:rsidRPr="00C24D54">
        <w:t>su kumulativno ispunjeni naprijed navedeni kriteriji</w:t>
      </w:r>
      <w:r w:rsidR="009862FA" w:rsidRPr="00C24D54">
        <w:t xml:space="preserve">, no ukoliko </w:t>
      </w:r>
      <w:r w:rsidRPr="00C24D54">
        <w:rPr>
          <w:u w:val="single"/>
        </w:rPr>
        <w:t>pojedina javna mjera kumulativno ne ispunjava sva četiri naprijed navedena kriterija, tada se ne radi o državnoj potpori</w:t>
      </w:r>
      <w:r w:rsidRPr="00C24D54">
        <w:t>. Odluku o postojanju ili nepostojanju državne potpore donosi Europska komisija, a može je donijeti i nacionalni sud kako to proizlazi iz Obavijesti Komisije o provedbi prava državnih potpora od strane nacionalnih sudova.</w:t>
      </w:r>
      <w:r w:rsidRPr="00C24D54">
        <w:rPr>
          <w:vertAlign w:val="superscript"/>
        </w:rPr>
        <w:footnoteReference w:id="9"/>
      </w:r>
      <w:r w:rsidRPr="00C24D54">
        <w:t xml:space="preserve"> Državne potpore nespojive su s unutarnjim tržištem, osim ako ne ispunjavaju uvjete spojivosti određene posebnim pravilima ovisno o vrsti potpore.</w:t>
      </w:r>
    </w:p>
    <w:p w14:paraId="5BC75441" w14:textId="77777777" w:rsidR="00FA5483" w:rsidRPr="00C24D54" w:rsidRDefault="00FA5483" w:rsidP="00BE487D">
      <w:pPr>
        <w:jc w:val="both"/>
      </w:pPr>
    </w:p>
    <w:p w14:paraId="08F828F1" w14:textId="42336B76" w:rsidR="00FA5483" w:rsidRPr="00C24D54" w:rsidRDefault="00FA5483" w:rsidP="00BE487D">
      <w:pPr>
        <w:jc w:val="both"/>
      </w:pPr>
      <w:r w:rsidRPr="00C24D54">
        <w:lastRenderedPageBreak/>
        <w:t xml:space="preserve">Državne potpore dodjeljuju se putem </w:t>
      </w:r>
      <w:r w:rsidRPr="00C24D54">
        <w:rPr>
          <w:u w:val="single"/>
        </w:rPr>
        <w:t>programa državnih potpora ili kao pojedinačne potpore</w:t>
      </w:r>
      <w:r w:rsidRPr="00C24D54">
        <w:t>:</w:t>
      </w:r>
    </w:p>
    <w:p w14:paraId="33476B89" w14:textId="1BD8811C" w:rsidR="00FA5483" w:rsidRPr="00C24D54" w:rsidRDefault="00FA5483" w:rsidP="00BE487D">
      <w:pPr>
        <w:jc w:val="both"/>
      </w:pPr>
    </w:p>
    <w:p w14:paraId="65B6C78B" w14:textId="6C93D312" w:rsidR="00DC4EEF" w:rsidRPr="00C24D54" w:rsidRDefault="00DC4EEF" w:rsidP="00E346B9">
      <w:pPr>
        <w:pStyle w:val="ListParagraph"/>
        <w:numPr>
          <w:ilvl w:val="0"/>
          <w:numId w:val="3"/>
        </w:numPr>
        <w:ind w:left="360"/>
        <w:jc w:val="both"/>
      </w:pPr>
      <w:r w:rsidRPr="00C24D54">
        <w:rPr>
          <w:u w:val="single"/>
        </w:rPr>
        <w:t>Program državne potpore</w:t>
      </w:r>
      <w:r w:rsidRPr="00C24D54">
        <w:t xml:space="preserve"> </w:t>
      </w:r>
      <w:r w:rsidR="009862FA" w:rsidRPr="00C24D54">
        <w:t xml:space="preserve">– </w:t>
      </w:r>
      <w:r w:rsidRPr="00C24D54">
        <w:t>pravni</w:t>
      </w:r>
      <w:r w:rsidR="009862FA" w:rsidRPr="00C24D54">
        <w:t xml:space="preserve"> </w:t>
      </w:r>
      <w:r w:rsidRPr="00C24D54">
        <w:t xml:space="preserve">akt </w:t>
      </w:r>
      <w:r w:rsidR="009862FA" w:rsidRPr="00C24D54">
        <w:t xml:space="preserve">temeljem </w:t>
      </w:r>
      <w:r w:rsidRPr="00C24D54">
        <w:rPr>
          <w:color w:val="000000"/>
          <w:shd w:val="clear" w:color="auto" w:fill="FFFFFF"/>
        </w:rPr>
        <w:t>kojeg se</w:t>
      </w:r>
      <w:r w:rsidRPr="00C24D54">
        <w:t>, bez potrebe za dodatnim provedbenim mjerama, unaprijed neodređenim korisnicima državne potpore dodjeljuju državne potpore</w:t>
      </w:r>
    </w:p>
    <w:p w14:paraId="5BDDDF92" w14:textId="1176A71D" w:rsidR="00DC4EEF" w:rsidRPr="00C24D54" w:rsidRDefault="00DC4EEF" w:rsidP="00BE487D">
      <w:pPr>
        <w:jc w:val="both"/>
      </w:pPr>
    </w:p>
    <w:p w14:paraId="7785D2D1" w14:textId="38DE6B3A" w:rsidR="00FA5483" w:rsidRPr="00C24D54" w:rsidRDefault="00FA5483" w:rsidP="00E346B9">
      <w:pPr>
        <w:pStyle w:val="ListParagraph"/>
        <w:numPr>
          <w:ilvl w:val="0"/>
          <w:numId w:val="3"/>
        </w:numPr>
        <w:ind w:left="360"/>
        <w:jc w:val="both"/>
      </w:pPr>
      <w:r w:rsidRPr="00C24D54">
        <w:rPr>
          <w:u w:val="single"/>
        </w:rPr>
        <w:t>Pojedinačna državna potpora</w:t>
      </w:r>
      <w:r w:rsidRPr="00C24D54">
        <w:t xml:space="preserve"> </w:t>
      </w:r>
      <w:r w:rsidR="009862FA" w:rsidRPr="00C24D54">
        <w:t xml:space="preserve">– </w:t>
      </w:r>
      <w:r w:rsidRPr="00C24D54">
        <w:t>državna</w:t>
      </w:r>
      <w:r w:rsidR="009862FA" w:rsidRPr="00C24D54">
        <w:t xml:space="preserve"> </w:t>
      </w:r>
      <w:r w:rsidRPr="00C24D54">
        <w:t xml:space="preserve">potpora dodijeljena poduzetniku temeljem programa državne potpore ili poduzetniku neovisno o postojanju programa državne potpore (tzv. ad hoc potpora). </w:t>
      </w:r>
    </w:p>
    <w:p w14:paraId="63F59A8E" w14:textId="77777777" w:rsidR="00FA5483" w:rsidRPr="00C24D54" w:rsidRDefault="00FA5483" w:rsidP="00BE487D">
      <w:pPr>
        <w:jc w:val="both"/>
      </w:pPr>
    </w:p>
    <w:p w14:paraId="7E704FC4" w14:textId="77777777" w:rsidR="00FA5483" w:rsidRPr="00C24D54" w:rsidRDefault="00FA5483" w:rsidP="00BE487D">
      <w:pPr>
        <w:jc w:val="both"/>
      </w:pPr>
      <w:r w:rsidRPr="00C24D54">
        <w:t xml:space="preserve">Instrumenti putem kojih se dodjeljuju državne potpore </w:t>
      </w:r>
      <w:r w:rsidR="00236EB0" w:rsidRPr="00C24D54">
        <w:t xml:space="preserve">i potpore male vrijednosti </w:t>
      </w:r>
      <w:r w:rsidRPr="00C24D54">
        <w:t xml:space="preserve">prikazani su u Prilogu 3. </w:t>
      </w:r>
      <w:r w:rsidR="00411CF1" w:rsidRPr="00C24D54">
        <w:t xml:space="preserve">„Instrumenti državne potpore i potpore male vrijednosti“ </w:t>
      </w:r>
      <w:r w:rsidRPr="00C24D54">
        <w:t>ovoga Izvješća.</w:t>
      </w:r>
    </w:p>
    <w:p w14:paraId="35B1024C" w14:textId="32859CF4" w:rsidR="00FA5483" w:rsidRPr="00C24D54" w:rsidRDefault="00FA5483" w:rsidP="00BE487D">
      <w:pPr>
        <w:jc w:val="both"/>
        <w:rPr>
          <w:b/>
        </w:rPr>
      </w:pPr>
    </w:p>
    <w:p w14:paraId="4AE30C24" w14:textId="77777777" w:rsidR="00884F3E" w:rsidRPr="00C24D54" w:rsidRDefault="00884F3E" w:rsidP="00BE487D">
      <w:pPr>
        <w:jc w:val="both"/>
        <w:rPr>
          <w:b/>
        </w:rPr>
      </w:pPr>
    </w:p>
    <w:p w14:paraId="7FA47C08" w14:textId="3A336DA1" w:rsidR="00FA5483" w:rsidRPr="00C24D54" w:rsidRDefault="00FA5483" w:rsidP="00BE487D">
      <w:pPr>
        <w:jc w:val="both"/>
        <w:rPr>
          <w:b/>
        </w:rPr>
      </w:pPr>
      <w:r w:rsidRPr="00C24D54">
        <w:rPr>
          <w:b/>
        </w:rPr>
        <w:t>Što se ne smatra državnom potporom</w:t>
      </w:r>
    </w:p>
    <w:p w14:paraId="64374D45" w14:textId="77777777" w:rsidR="00FA5483" w:rsidRPr="00C24D54" w:rsidRDefault="00FA5483" w:rsidP="00BE487D">
      <w:pPr>
        <w:jc w:val="both"/>
        <w:rPr>
          <w:b/>
        </w:rPr>
      </w:pPr>
    </w:p>
    <w:p w14:paraId="389C2E67" w14:textId="3AEC52C6" w:rsidR="00FA5483" w:rsidRPr="00C24D54" w:rsidRDefault="00FA5483" w:rsidP="00BE487D">
      <w:pPr>
        <w:jc w:val="both"/>
      </w:pPr>
      <w:r w:rsidRPr="00C24D54">
        <w:t xml:space="preserve">Sukladno praksi Europske komisije i europskih sudova, </w:t>
      </w:r>
      <w:r w:rsidR="009862FA" w:rsidRPr="00C24D54">
        <w:t xml:space="preserve">državnim potporama </w:t>
      </w:r>
      <w:r w:rsidR="009862FA" w:rsidRPr="00C24D54">
        <w:rPr>
          <w:b/>
        </w:rPr>
        <w:t>ne</w:t>
      </w:r>
      <w:r w:rsidR="009862FA" w:rsidRPr="00C24D54">
        <w:t xml:space="preserve"> smatraju se</w:t>
      </w:r>
      <w:r w:rsidRPr="00C24D54">
        <w:t xml:space="preserve">: </w:t>
      </w:r>
    </w:p>
    <w:p w14:paraId="5AACF331" w14:textId="77777777" w:rsidR="00FA5483" w:rsidRPr="00C24D54" w:rsidRDefault="00FA5483" w:rsidP="00BE487D">
      <w:pPr>
        <w:jc w:val="both"/>
      </w:pPr>
    </w:p>
    <w:p w14:paraId="37FA8D78" w14:textId="77777777" w:rsidR="00FA5483" w:rsidRPr="00C24D54" w:rsidRDefault="00FA5483" w:rsidP="00E346B9">
      <w:pPr>
        <w:pStyle w:val="ListParagraph"/>
        <w:numPr>
          <w:ilvl w:val="0"/>
          <w:numId w:val="4"/>
        </w:numPr>
        <w:jc w:val="both"/>
      </w:pPr>
      <w:r w:rsidRPr="00C24D54">
        <w:t>transferi sredstava iz državnog proračuna jedinicama lokalne i područne (regionalne) samouprave i javnim tijelima za obavljanje djelatnosti k</w:t>
      </w:r>
      <w:r w:rsidR="005B5D48" w:rsidRPr="00C24D54">
        <w:t>oje nemaju gospodarski karakter</w:t>
      </w:r>
    </w:p>
    <w:p w14:paraId="2212194D" w14:textId="77777777" w:rsidR="00FA5483" w:rsidRPr="00C24D54" w:rsidRDefault="00FA5483" w:rsidP="00E346B9">
      <w:pPr>
        <w:pStyle w:val="ListParagraph"/>
        <w:numPr>
          <w:ilvl w:val="0"/>
          <w:numId w:val="4"/>
        </w:numPr>
        <w:jc w:val="both"/>
      </w:pPr>
      <w:r w:rsidRPr="00C24D54">
        <w:t>opće mjere gospodarske politike koje se odnose na sve poduzetnike i gospodarske sektore, primjerice smanjivanje opće stope poreza na dobit, dopri</w:t>
      </w:r>
      <w:r w:rsidR="005B5D48" w:rsidRPr="00C24D54">
        <w:t>nosa ili drugih sličnih davanja</w:t>
      </w:r>
    </w:p>
    <w:p w14:paraId="2B61573F" w14:textId="77777777" w:rsidR="00FA5483" w:rsidRPr="00C24D54" w:rsidRDefault="00FA5483" w:rsidP="00E346B9">
      <w:pPr>
        <w:pStyle w:val="ListParagraph"/>
        <w:numPr>
          <w:ilvl w:val="0"/>
          <w:numId w:val="4"/>
        </w:numPr>
        <w:jc w:val="both"/>
      </w:pPr>
      <w:r w:rsidRPr="00C24D54">
        <w:t>državne mjere koje su neutralne u odnosu na državni p</w:t>
      </w:r>
      <w:r w:rsidR="005B5D48" w:rsidRPr="00C24D54">
        <w:t>roračun, tzv. regulatorne mjere</w:t>
      </w:r>
    </w:p>
    <w:p w14:paraId="505CCF2C" w14:textId="77777777" w:rsidR="00FA5483" w:rsidRPr="00C24D54" w:rsidRDefault="00FA5483" w:rsidP="00E346B9">
      <w:pPr>
        <w:pStyle w:val="ListParagraph"/>
        <w:numPr>
          <w:ilvl w:val="0"/>
          <w:numId w:val="4"/>
        </w:numPr>
        <w:jc w:val="both"/>
      </w:pPr>
      <w:r w:rsidRPr="00C24D54">
        <w:t>nabava robe i usluga po tržišnim cijena</w:t>
      </w:r>
      <w:r w:rsidR="005B5D48" w:rsidRPr="00C24D54">
        <w:t>ma odnosno tržišnoj vrijednosti</w:t>
      </w:r>
    </w:p>
    <w:p w14:paraId="1384A92C" w14:textId="77777777" w:rsidR="00FA5483" w:rsidRPr="00C24D54" w:rsidRDefault="00FA5483" w:rsidP="00E346B9">
      <w:pPr>
        <w:pStyle w:val="ListParagraph"/>
        <w:numPr>
          <w:ilvl w:val="0"/>
          <w:numId w:val="4"/>
        </w:numPr>
        <w:jc w:val="both"/>
        <w:rPr>
          <w:i/>
        </w:rPr>
      </w:pPr>
      <w:r w:rsidRPr="00C24D54">
        <w:t xml:space="preserve">mjere i financijske potpore, koje </w:t>
      </w:r>
      <w:r w:rsidR="00753439" w:rsidRPr="00C24D54">
        <w:t>ispunjavaju</w:t>
      </w:r>
      <w:r w:rsidRPr="00C24D54">
        <w:t xml:space="preserve"> ulaganja po tržišnim uvjetima</w:t>
      </w:r>
      <w:r w:rsidR="00985780" w:rsidRPr="00C24D54">
        <w:t xml:space="preserve"> </w:t>
      </w:r>
      <w:r w:rsidRPr="00C24D54">
        <w:rPr>
          <w:i/>
        </w:rPr>
        <w:t>(engl. market economy investor principle)</w:t>
      </w:r>
    </w:p>
    <w:p w14:paraId="635ABCD2" w14:textId="2AE9A40C" w:rsidR="00FA5483" w:rsidRPr="00C24D54" w:rsidRDefault="00FA5483" w:rsidP="00E346B9">
      <w:pPr>
        <w:pStyle w:val="ListParagraph"/>
        <w:numPr>
          <w:ilvl w:val="0"/>
          <w:numId w:val="4"/>
        </w:numPr>
        <w:jc w:val="both"/>
      </w:pPr>
      <w:r w:rsidRPr="00C24D54">
        <w:t xml:space="preserve">državna jamstva ako su kumulativno ispunjeni </w:t>
      </w:r>
      <w:r w:rsidR="00DB7D60" w:rsidRPr="00C24D54">
        <w:t xml:space="preserve">sljedeći </w:t>
      </w:r>
      <w:r w:rsidRPr="00C24D54">
        <w:t>uvjeti: ako korisnik zajma nije u financijskim teškoćama, ako je korisnik zajma u mogućnosti na financijskom tržištu dobiti zajam po tržišnim uvjetima bez posredovanja države, ako se za državno jamstvo zaračunava tržišna cijena, ako je državno jamstvo povezano s određenom financijskom transakcijom, ograničeno po visini i vremenu trajanja i ne pokriva više od 80 posto preostalog du</w:t>
      </w:r>
      <w:r w:rsidR="005B5D48" w:rsidRPr="00C24D54">
        <w:t>ga ili druge financijske obveze</w:t>
      </w:r>
    </w:p>
    <w:p w14:paraId="2B0ABB34" w14:textId="26087532" w:rsidR="00FA5483" w:rsidRPr="00C24D54" w:rsidRDefault="00FA5483" w:rsidP="00E346B9">
      <w:pPr>
        <w:pStyle w:val="ListParagraph"/>
        <w:numPr>
          <w:ilvl w:val="0"/>
          <w:numId w:val="4"/>
        </w:numPr>
        <w:jc w:val="both"/>
      </w:pPr>
      <w:r w:rsidRPr="00C24D54">
        <w:t xml:space="preserve">sredstva dodijeljena fizičkim osobama ili zaposlenicima </w:t>
      </w:r>
      <w:r w:rsidR="00BF6BFB" w:rsidRPr="00C24D54">
        <w:t xml:space="preserve">od koje </w:t>
      </w:r>
      <w:r w:rsidRPr="00C24D54">
        <w:t>poduzetnici ne uživaju izra</w:t>
      </w:r>
      <w:r w:rsidR="005B5D48" w:rsidRPr="00C24D54">
        <w:t>vnu korist</w:t>
      </w:r>
    </w:p>
    <w:p w14:paraId="55BC777B" w14:textId="1D67EFB0" w:rsidR="00FA5483" w:rsidRPr="00C24D54" w:rsidRDefault="00FA5483" w:rsidP="00E346B9">
      <w:pPr>
        <w:pStyle w:val="ListParagraph"/>
        <w:numPr>
          <w:ilvl w:val="0"/>
          <w:numId w:val="4"/>
        </w:numPr>
        <w:jc w:val="both"/>
      </w:pPr>
      <w:r w:rsidRPr="00C24D54">
        <w:t xml:space="preserve">potpore male vrijednosti (de minimis potpore) koje ne iznose više od </w:t>
      </w:r>
      <w:r w:rsidR="005709D2" w:rsidRPr="00C24D54">
        <w:t>3</w:t>
      </w:r>
      <w:r w:rsidRPr="00C24D54">
        <w:t>00.000,00 eura po korisniku</w:t>
      </w:r>
      <w:r w:rsidR="005709D2" w:rsidRPr="00C24D54">
        <w:t xml:space="preserve"> i </w:t>
      </w:r>
      <w:r w:rsidR="005709D2" w:rsidRPr="00C24D54">
        <w:rPr>
          <w:color w:val="000000"/>
          <w:shd w:val="clear" w:color="auto" w:fill="FFFFFF"/>
        </w:rPr>
        <w:t>po državi članici, tijekom bilo kojeg trogodišnjeg razdoblja</w:t>
      </w:r>
      <w:r w:rsidR="00606051" w:rsidRPr="00C24D54">
        <w:t xml:space="preserve">, odnosno u iznosu </w:t>
      </w:r>
      <w:r w:rsidR="005709D2" w:rsidRPr="00C24D54">
        <w:t xml:space="preserve">ne </w:t>
      </w:r>
      <w:r w:rsidR="00606051" w:rsidRPr="00C24D54">
        <w:t xml:space="preserve">višem od </w:t>
      </w:r>
      <w:r w:rsidR="005709D2" w:rsidRPr="00C24D54">
        <w:t>75</w:t>
      </w:r>
      <w:r w:rsidR="00606051" w:rsidRPr="00C24D54">
        <w:t>0.000</w:t>
      </w:r>
      <w:r w:rsidR="007765BA" w:rsidRPr="00C24D54">
        <w:t>,00</w:t>
      </w:r>
      <w:r w:rsidR="00606051" w:rsidRPr="00C24D54">
        <w:t xml:space="preserve"> eura za obavljanje usluga od općeg gospodarskog interesa</w:t>
      </w:r>
      <w:r w:rsidRPr="00C24D54">
        <w:t>.</w:t>
      </w:r>
    </w:p>
    <w:p w14:paraId="3A408F5D" w14:textId="45EE34B6" w:rsidR="00FA5483" w:rsidRPr="00C24D54" w:rsidRDefault="00FA5483" w:rsidP="00BE487D">
      <w:pPr>
        <w:pStyle w:val="ListParagraph"/>
        <w:ind w:left="0"/>
        <w:jc w:val="both"/>
      </w:pPr>
    </w:p>
    <w:p w14:paraId="59C8A8EB" w14:textId="77777777" w:rsidR="00FA5483" w:rsidRPr="00C24D54" w:rsidRDefault="00FA5483" w:rsidP="00BE487D">
      <w:pPr>
        <w:pStyle w:val="ListParagraph"/>
        <w:ind w:left="0"/>
        <w:jc w:val="both"/>
      </w:pPr>
      <w:r w:rsidRPr="00C24D54">
        <w:t xml:space="preserve">Državnom potporom također se </w:t>
      </w:r>
      <w:r w:rsidRPr="00C24D54">
        <w:rPr>
          <w:u w:val="single"/>
        </w:rPr>
        <w:t>ne smatraju</w:t>
      </w:r>
      <w:r w:rsidRPr="00C24D54">
        <w:t xml:space="preserve"> sredstva za pomoć kućanstvima, osobama s invaliditetom, javnim tijelima</w:t>
      </w:r>
      <w:r w:rsidR="00236EB0" w:rsidRPr="00C24D54">
        <w:t xml:space="preserve"> i </w:t>
      </w:r>
      <w:r w:rsidRPr="00C24D54">
        <w:t xml:space="preserve">obrazovnim ustanovama </w:t>
      </w:r>
      <w:r w:rsidR="00236EB0" w:rsidRPr="00C24D54">
        <w:t xml:space="preserve">i </w:t>
      </w:r>
      <w:r w:rsidRPr="00C24D54">
        <w:t xml:space="preserve">bolnicama za djelatnosti koje nemaju gospodarski karakter, sredstva namijenjena za obranu, javne radove i slično. </w:t>
      </w:r>
    </w:p>
    <w:p w14:paraId="020519D0" w14:textId="77777777" w:rsidR="00FA5483" w:rsidRPr="00C24D54" w:rsidRDefault="00FA5483" w:rsidP="00BE487D">
      <w:pPr>
        <w:pStyle w:val="ListParagraph"/>
        <w:ind w:left="0"/>
        <w:jc w:val="both"/>
      </w:pPr>
    </w:p>
    <w:p w14:paraId="18BBFD42" w14:textId="509ACFC6" w:rsidR="00FA5483" w:rsidRPr="00C24D54" w:rsidRDefault="00A17C88" w:rsidP="00BE487D">
      <w:pPr>
        <w:pStyle w:val="ListParagraph"/>
        <w:ind w:left="0"/>
        <w:jc w:val="both"/>
        <w:rPr>
          <w:spacing w:val="-4"/>
        </w:rPr>
      </w:pPr>
      <w:r w:rsidRPr="00C24D54">
        <w:rPr>
          <w:spacing w:val="-4"/>
        </w:rPr>
        <w:t>P</w:t>
      </w:r>
      <w:r w:rsidR="00FA5483" w:rsidRPr="00C24D54">
        <w:rPr>
          <w:spacing w:val="-4"/>
        </w:rPr>
        <w:t xml:space="preserve">ravila o državnim potporama </w:t>
      </w:r>
      <w:r w:rsidR="00FA5483" w:rsidRPr="00C24D54">
        <w:rPr>
          <w:spacing w:val="-4"/>
          <w:u w:val="single"/>
        </w:rPr>
        <w:t>ne primjenjuju</w:t>
      </w:r>
      <w:r w:rsidR="00FA5483" w:rsidRPr="00C24D54">
        <w:rPr>
          <w:spacing w:val="-4"/>
        </w:rPr>
        <w:t xml:space="preserve"> se</w:t>
      </w:r>
      <w:r w:rsidRPr="00C24D54">
        <w:rPr>
          <w:spacing w:val="-4"/>
        </w:rPr>
        <w:t xml:space="preserve"> </w:t>
      </w:r>
      <w:r w:rsidR="00FA5483" w:rsidRPr="00C24D54">
        <w:rPr>
          <w:spacing w:val="-4"/>
        </w:rPr>
        <w:t xml:space="preserve">ako država „izvršava javne ovlasti“ ili ako javni subjekti djeluju „kao tijela javne vlasti“. Primjeri takvih djelatnosti su: vojska ili policija, sigurnost i kontrola zračne plovidbe, kontrola i sigurnost pomorskog prometa, nadzor radi sprečavanja onečišćenja, organizacija, financiranje i izvršavanje zatvorskih kazni, razvoj i revitalizacija javnog </w:t>
      </w:r>
      <w:r w:rsidR="00FA5483" w:rsidRPr="00C24D54">
        <w:rPr>
          <w:spacing w:val="-4"/>
        </w:rPr>
        <w:lastRenderedPageBreak/>
        <w:t>zemljišta od strane javnih tijela i prikupljanje podataka za upotrebu u javne svrhe na temelju zakonske obveze predmetnih poduzetnika u vezi s objavljivanjem takvih podataka.</w:t>
      </w:r>
      <w:r w:rsidR="00FA5483" w:rsidRPr="00C24D54">
        <w:rPr>
          <w:rStyle w:val="FootnoteReference"/>
          <w:spacing w:val="-4"/>
        </w:rPr>
        <w:footnoteReference w:id="10"/>
      </w:r>
    </w:p>
    <w:p w14:paraId="7EEF8565" w14:textId="50E287AE" w:rsidR="00857D5E" w:rsidRPr="00C24D54" w:rsidRDefault="00857D5E" w:rsidP="00BE487D">
      <w:pPr>
        <w:jc w:val="both"/>
      </w:pPr>
    </w:p>
    <w:p w14:paraId="1D7BFE92" w14:textId="6B641381" w:rsidR="008913EA" w:rsidRPr="00C24D54" w:rsidRDefault="008913EA" w:rsidP="00BE487D">
      <w:pPr>
        <w:jc w:val="both"/>
      </w:pPr>
    </w:p>
    <w:p w14:paraId="45DD8248" w14:textId="5FE59D6F" w:rsidR="00857D5E" w:rsidRPr="00C24D54" w:rsidRDefault="00857D5E" w:rsidP="00BE487D">
      <w:pPr>
        <w:jc w:val="both"/>
      </w:pPr>
    </w:p>
    <w:p w14:paraId="5F4CF7E5" w14:textId="452C3A84" w:rsidR="00857D5E" w:rsidRPr="00C24D54" w:rsidRDefault="00857D5E" w:rsidP="0025390C">
      <w:pPr>
        <w:pStyle w:val="Heading2"/>
        <w:ind w:left="811" w:hanging="454"/>
      </w:pPr>
      <w:bookmarkStart w:id="3" w:name="_Toc213660024"/>
      <w:r w:rsidRPr="00C24D54">
        <w:t>PRIKUPLJANJE I OBRADA PODATAKA O DRŽAVNIM POTPORAMA</w:t>
      </w:r>
      <w:bookmarkEnd w:id="3"/>
    </w:p>
    <w:p w14:paraId="26CEE6B5" w14:textId="77777777" w:rsidR="00857D5E" w:rsidRPr="00C24D54" w:rsidRDefault="00857D5E" w:rsidP="00BE487D">
      <w:pPr>
        <w:jc w:val="both"/>
      </w:pPr>
    </w:p>
    <w:p w14:paraId="6A757169" w14:textId="77777777" w:rsidR="00857D5E" w:rsidRPr="00C24D54" w:rsidRDefault="00857D5E" w:rsidP="00BE487D">
      <w:pPr>
        <w:jc w:val="both"/>
      </w:pPr>
    </w:p>
    <w:p w14:paraId="368CCA2C" w14:textId="739EAC94" w:rsidR="00FA5483" w:rsidRPr="00C24D54" w:rsidRDefault="00FA5483" w:rsidP="00BE487D">
      <w:pPr>
        <w:jc w:val="both"/>
        <w:rPr>
          <w:spacing w:val="-4"/>
        </w:rPr>
      </w:pPr>
      <w:r w:rsidRPr="00C24D54">
        <w:rPr>
          <w:spacing w:val="-4"/>
        </w:rPr>
        <w:t xml:space="preserve">Ministarstvo financija </w:t>
      </w:r>
      <w:r w:rsidR="00592EA0" w:rsidRPr="00C24D54">
        <w:rPr>
          <w:spacing w:val="-4"/>
        </w:rPr>
        <w:t>izrađuje</w:t>
      </w:r>
      <w:r w:rsidR="00DC5CCB" w:rsidRPr="00C24D54">
        <w:rPr>
          <w:spacing w:val="-4"/>
        </w:rPr>
        <w:t xml:space="preserve"> </w:t>
      </w:r>
      <w:r w:rsidR="00316051" w:rsidRPr="00C24D54">
        <w:rPr>
          <w:spacing w:val="-4"/>
        </w:rPr>
        <w:t xml:space="preserve">Izvješće </w:t>
      </w:r>
      <w:r w:rsidRPr="00C24D54">
        <w:rPr>
          <w:spacing w:val="-4"/>
        </w:rPr>
        <w:t xml:space="preserve">temeljem podataka </w:t>
      </w:r>
      <w:r w:rsidR="00884F3E" w:rsidRPr="00C24D54">
        <w:rPr>
          <w:spacing w:val="-4"/>
        </w:rPr>
        <w:t xml:space="preserve">preuzetih iz Registra, a koje su dostavili davatelji potpora </w:t>
      </w:r>
      <w:r w:rsidRPr="00C24D54">
        <w:rPr>
          <w:spacing w:val="-4"/>
        </w:rPr>
        <w:t>o svim dodijeljenim državnim potporama i potporama male vrijednosti</w:t>
      </w:r>
      <w:r w:rsidR="00316051" w:rsidRPr="00C24D54">
        <w:rPr>
          <w:spacing w:val="-4"/>
        </w:rPr>
        <w:t xml:space="preserve"> te temeljem podataka koje je dostavi</w:t>
      </w:r>
      <w:r w:rsidR="00884F3E" w:rsidRPr="00C24D54">
        <w:rPr>
          <w:spacing w:val="-4"/>
        </w:rPr>
        <w:t>lo Ministarstvo poljoprivrede, šumarstva i ribarstva.</w:t>
      </w:r>
    </w:p>
    <w:p w14:paraId="5234CB95" w14:textId="77777777" w:rsidR="00FA5483" w:rsidRPr="00C24D54" w:rsidRDefault="00FA5483" w:rsidP="00BE487D">
      <w:pPr>
        <w:jc w:val="both"/>
      </w:pPr>
    </w:p>
    <w:p w14:paraId="4E72E58D" w14:textId="65842795" w:rsidR="00857D5E" w:rsidRPr="00C24D54" w:rsidRDefault="00884F3E" w:rsidP="00BE487D">
      <w:pPr>
        <w:jc w:val="both"/>
      </w:pPr>
      <w:r w:rsidRPr="00C24D54">
        <w:t>U Izvješću, Ministarstvo financija kod</w:t>
      </w:r>
      <w:r w:rsidR="00316051" w:rsidRPr="00C24D54">
        <w:t xml:space="preserve"> </w:t>
      </w:r>
      <w:r w:rsidR="00FA5483" w:rsidRPr="00C24D54">
        <w:t>prikaza i usporedbe državnih potpora s osnovnim makroekonomskim pokazateljima</w:t>
      </w:r>
      <w:r w:rsidR="00316051" w:rsidRPr="00C24D54">
        <w:t xml:space="preserve">, </w:t>
      </w:r>
      <w:r w:rsidR="00FA5483" w:rsidRPr="00C24D54">
        <w:t xml:space="preserve">koristi određene podatke koji se temelje na podacima Državnog zavoda za statistiku, Hrvatske narodne banke te ostalim podacima, dok se </w:t>
      </w:r>
      <w:r w:rsidR="00FA5483" w:rsidRPr="00C24D54">
        <w:rPr>
          <w:bCs/>
        </w:rPr>
        <w:t xml:space="preserve">metodologija </w:t>
      </w:r>
      <w:r w:rsidR="00FA5483" w:rsidRPr="00C24D54">
        <w:t xml:space="preserve">analitičkog prikaza državnih potpora temelji na metodologiji koju koristi Europska komisija </w:t>
      </w:r>
      <w:r w:rsidR="00316051" w:rsidRPr="00C24D54">
        <w:t xml:space="preserve">kod </w:t>
      </w:r>
      <w:r w:rsidR="00FA5483" w:rsidRPr="00C24D54">
        <w:t>izrad</w:t>
      </w:r>
      <w:r w:rsidR="00316051" w:rsidRPr="00C24D54">
        <w:t>e</w:t>
      </w:r>
      <w:r w:rsidR="00FA5483" w:rsidRPr="00C24D54">
        <w:t xml:space="preserve"> i </w:t>
      </w:r>
      <w:r w:rsidR="0046744D" w:rsidRPr="00C24D54">
        <w:t>prikaza</w:t>
      </w:r>
      <w:r w:rsidR="00FA5483" w:rsidRPr="00C24D54">
        <w:t xml:space="preserve"> podataka o državnim potporama </w:t>
      </w:r>
      <w:r w:rsidR="00DB7D60" w:rsidRPr="00C24D54">
        <w:t xml:space="preserve">koje su dodijelile države članice </w:t>
      </w:r>
      <w:r w:rsidR="00FA5483" w:rsidRPr="00C24D54">
        <w:t>u EU</w:t>
      </w:r>
      <w:r w:rsidR="00FA5483" w:rsidRPr="00C24D54">
        <w:rPr>
          <w:rStyle w:val="FootnoteReference"/>
        </w:rPr>
        <w:footnoteReference w:id="11"/>
      </w:r>
      <w:r w:rsidR="00FA5483" w:rsidRPr="00C24D54">
        <w:t xml:space="preserve">. </w:t>
      </w:r>
    </w:p>
    <w:p w14:paraId="28DD2492" w14:textId="53C5FA6A" w:rsidR="00BE487D" w:rsidRPr="00C24D54" w:rsidRDefault="00BE487D" w:rsidP="00BE487D">
      <w:pPr>
        <w:jc w:val="both"/>
      </w:pPr>
    </w:p>
    <w:p w14:paraId="46D0C06B" w14:textId="77777777" w:rsidR="00A06CD1" w:rsidRPr="00C24D54" w:rsidRDefault="00A06CD1" w:rsidP="00BE487D">
      <w:pPr>
        <w:jc w:val="both"/>
      </w:pPr>
    </w:p>
    <w:p w14:paraId="5172985F" w14:textId="77777777" w:rsidR="00BE487D" w:rsidRPr="00C24D54" w:rsidRDefault="00BE487D" w:rsidP="00BE487D">
      <w:pPr>
        <w:jc w:val="both"/>
      </w:pPr>
    </w:p>
    <w:p w14:paraId="344C43A3" w14:textId="0ED77CB2" w:rsidR="00BE0817" w:rsidRPr="00C24D54" w:rsidRDefault="004A6A61" w:rsidP="00CC1887">
      <w:pPr>
        <w:pStyle w:val="Heading2"/>
        <w:ind w:left="811" w:hanging="454"/>
      </w:pPr>
      <w:r w:rsidRPr="00C24D54">
        <w:t xml:space="preserve"> </w:t>
      </w:r>
      <w:bookmarkStart w:id="4" w:name="_Toc213660025"/>
      <w:r w:rsidR="00857D5E" w:rsidRPr="00C24D54">
        <w:t>METODOLOGIJA PRIKAZA PODATAKA O DRŽAVNIM POTPORAMA</w:t>
      </w:r>
      <w:bookmarkEnd w:id="4"/>
    </w:p>
    <w:p w14:paraId="6CCB96DC" w14:textId="77777777" w:rsidR="00857D5E" w:rsidRPr="00C24D54" w:rsidRDefault="00857D5E" w:rsidP="00BE487D">
      <w:pPr>
        <w:jc w:val="both"/>
      </w:pPr>
    </w:p>
    <w:p w14:paraId="59675D2C" w14:textId="77777777" w:rsidR="00857D5E" w:rsidRPr="00C24D54" w:rsidRDefault="00857D5E" w:rsidP="00BE487D">
      <w:pPr>
        <w:jc w:val="both"/>
      </w:pPr>
    </w:p>
    <w:p w14:paraId="6D6E4682" w14:textId="77EAE1AB" w:rsidR="00FA5483" w:rsidRPr="00C24D54" w:rsidRDefault="007C38D2" w:rsidP="00BE487D">
      <w:pPr>
        <w:jc w:val="both"/>
      </w:pPr>
      <w:r w:rsidRPr="00C24D54">
        <w:t>Državne p</w:t>
      </w:r>
      <w:r w:rsidR="00FA5483" w:rsidRPr="00C24D54">
        <w:t xml:space="preserve">otpore </w:t>
      </w:r>
      <w:r w:rsidRPr="00C24D54">
        <w:t xml:space="preserve">(u daljnjem tekstu: potpore) </w:t>
      </w:r>
      <w:r w:rsidR="00FA5483" w:rsidRPr="00C24D54">
        <w:t>se prema metodologiji analitičkog prikaza dijele na osnovne kategorije:</w:t>
      </w:r>
    </w:p>
    <w:p w14:paraId="3A93EE26" w14:textId="77777777" w:rsidR="00FA5483" w:rsidRPr="00C24D54" w:rsidRDefault="00FA5483" w:rsidP="00E346B9">
      <w:pPr>
        <w:pStyle w:val="ListParagraph"/>
        <w:numPr>
          <w:ilvl w:val="0"/>
          <w:numId w:val="5"/>
        </w:numPr>
        <w:jc w:val="both"/>
        <w:rPr>
          <w:bCs/>
        </w:rPr>
      </w:pPr>
      <w:r w:rsidRPr="00C24D54">
        <w:rPr>
          <w:bCs/>
        </w:rPr>
        <w:t xml:space="preserve">potpore poljoprivredi i ribarstvu i </w:t>
      </w:r>
    </w:p>
    <w:p w14:paraId="58240AA2" w14:textId="77777777" w:rsidR="00FA5483" w:rsidRPr="00C24D54" w:rsidRDefault="00FA5483" w:rsidP="00E346B9">
      <w:pPr>
        <w:pStyle w:val="ListParagraph"/>
        <w:numPr>
          <w:ilvl w:val="0"/>
          <w:numId w:val="5"/>
        </w:numPr>
        <w:jc w:val="both"/>
        <w:rPr>
          <w:bCs/>
        </w:rPr>
      </w:pPr>
      <w:r w:rsidRPr="00C24D54">
        <w:rPr>
          <w:bCs/>
        </w:rPr>
        <w:t>potpore industriji i uslugama.</w:t>
      </w:r>
    </w:p>
    <w:p w14:paraId="79B8D917" w14:textId="77777777" w:rsidR="00FA5483" w:rsidRPr="00C24D54" w:rsidRDefault="00FA5483" w:rsidP="00BE487D">
      <w:pPr>
        <w:jc w:val="both"/>
        <w:rPr>
          <w:bCs/>
        </w:rPr>
      </w:pPr>
    </w:p>
    <w:p w14:paraId="436D4B4E" w14:textId="69B5F980" w:rsidR="00FA5483" w:rsidRPr="00C24D54" w:rsidRDefault="00FA5483" w:rsidP="00BE487D">
      <w:pPr>
        <w:jc w:val="both"/>
      </w:pPr>
      <w:r w:rsidRPr="00C24D54">
        <w:rPr>
          <w:u w:val="single"/>
        </w:rPr>
        <w:t xml:space="preserve">Potpore </w:t>
      </w:r>
      <w:r w:rsidR="00735B62" w:rsidRPr="00C24D54">
        <w:rPr>
          <w:u w:val="single"/>
        </w:rPr>
        <w:t xml:space="preserve">s obzirom na </w:t>
      </w:r>
      <w:r w:rsidRPr="00C24D54">
        <w:rPr>
          <w:u w:val="single"/>
        </w:rPr>
        <w:t>cilj</w:t>
      </w:r>
      <w:r w:rsidR="00753439" w:rsidRPr="00C24D54">
        <w:rPr>
          <w:u w:val="single"/>
        </w:rPr>
        <w:t xml:space="preserve"> dodjele</w:t>
      </w:r>
      <w:r w:rsidRPr="00C24D54">
        <w:t xml:space="preserve"> dijele </w:t>
      </w:r>
      <w:r w:rsidR="0046744D" w:rsidRPr="00C24D54">
        <w:t xml:space="preserve">se </w:t>
      </w:r>
      <w:r w:rsidRPr="00C24D54">
        <w:t xml:space="preserve">na potpore u sektoru poljoprivrede i ribarstva </w:t>
      </w:r>
      <w:r w:rsidR="0046744D" w:rsidRPr="00C24D54">
        <w:t>i</w:t>
      </w:r>
      <w:r w:rsidRPr="00C24D54">
        <w:t xml:space="preserve"> na potpor</w:t>
      </w:r>
      <w:r w:rsidR="00735B62" w:rsidRPr="00C24D54">
        <w:t>e u sektoru industrije i usluga.</w:t>
      </w:r>
    </w:p>
    <w:p w14:paraId="52EEC43B" w14:textId="68C773F2" w:rsidR="00FA5483" w:rsidRPr="00C24D54" w:rsidRDefault="00FA5483" w:rsidP="00BE487D">
      <w:pPr>
        <w:jc w:val="both"/>
        <w:rPr>
          <w:bCs/>
        </w:rPr>
      </w:pPr>
    </w:p>
    <w:p w14:paraId="2CEADD8E" w14:textId="1EABBDEF" w:rsidR="00FA5483" w:rsidRPr="00C24D54" w:rsidRDefault="00FA5483" w:rsidP="00BE487D">
      <w:pPr>
        <w:jc w:val="both"/>
        <w:rPr>
          <w:bCs/>
        </w:rPr>
      </w:pPr>
      <w:r w:rsidRPr="00C24D54">
        <w:rPr>
          <w:bCs/>
          <w:u w:val="single"/>
        </w:rPr>
        <w:t xml:space="preserve">Potpore u </w:t>
      </w:r>
      <w:r w:rsidR="00735B62" w:rsidRPr="00C24D54">
        <w:rPr>
          <w:u w:val="single"/>
        </w:rPr>
        <w:t xml:space="preserve">sektoru </w:t>
      </w:r>
      <w:r w:rsidRPr="00C24D54">
        <w:rPr>
          <w:bCs/>
          <w:u w:val="single"/>
        </w:rPr>
        <w:t>industrij</w:t>
      </w:r>
      <w:r w:rsidR="001372D2" w:rsidRPr="00C24D54">
        <w:rPr>
          <w:bCs/>
          <w:u w:val="single"/>
        </w:rPr>
        <w:t>e</w:t>
      </w:r>
      <w:r w:rsidRPr="00C24D54">
        <w:rPr>
          <w:bCs/>
          <w:u w:val="single"/>
        </w:rPr>
        <w:t xml:space="preserve"> i usluga</w:t>
      </w:r>
      <w:r w:rsidRPr="00C24D54">
        <w:rPr>
          <w:bCs/>
        </w:rPr>
        <w:t xml:space="preserve"> se s obzirom </w:t>
      </w:r>
      <w:r w:rsidR="00873718" w:rsidRPr="00C24D54">
        <w:rPr>
          <w:bCs/>
        </w:rPr>
        <w:t>na</w:t>
      </w:r>
      <w:r w:rsidRPr="00C24D54">
        <w:rPr>
          <w:bCs/>
        </w:rPr>
        <w:t xml:space="preserve"> cilj dijele na horizontalne potpore</w:t>
      </w:r>
      <w:r w:rsidR="00735B62" w:rsidRPr="00C24D54">
        <w:rPr>
          <w:bCs/>
        </w:rPr>
        <w:t xml:space="preserve"> (u užem smislu)</w:t>
      </w:r>
      <w:r w:rsidRPr="00C24D54">
        <w:rPr>
          <w:bCs/>
        </w:rPr>
        <w:t>, sektorske potpore, regionalne potpore, potpore na razini jedinica lokalne i područne (regionalne) samouprave te potpore u svrhu podrške gospodarstvu u aktualnoj pandemiji COVID-19</w:t>
      </w:r>
      <w:r w:rsidR="00336EEC" w:rsidRPr="00C24D54">
        <w:rPr>
          <w:bCs/>
        </w:rPr>
        <w:t xml:space="preserve"> i suzbijanja učinaka ruske agresije na Ukrajinu</w:t>
      </w:r>
      <w:r w:rsidRPr="00C24D54">
        <w:rPr>
          <w:bCs/>
        </w:rPr>
        <w:t>.</w:t>
      </w:r>
    </w:p>
    <w:p w14:paraId="6B4EB037" w14:textId="77777777" w:rsidR="008913EA" w:rsidRPr="00C24D54" w:rsidRDefault="008913EA" w:rsidP="00BE487D">
      <w:pPr>
        <w:jc w:val="both"/>
        <w:rPr>
          <w:bCs/>
        </w:rPr>
      </w:pPr>
    </w:p>
    <w:p w14:paraId="146CA419" w14:textId="77777777" w:rsidR="00FA5483" w:rsidRPr="00C24D54" w:rsidRDefault="00FA5483" w:rsidP="00BE487D">
      <w:pPr>
        <w:jc w:val="both"/>
        <w:rPr>
          <w:bCs/>
        </w:rPr>
      </w:pPr>
      <w:r w:rsidRPr="00C24D54">
        <w:rPr>
          <w:bCs/>
          <w:u w:val="single"/>
        </w:rPr>
        <w:t xml:space="preserve">Horizontalne potpore </w:t>
      </w:r>
      <w:r w:rsidR="007765BA" w:rsidRPr="00C24D54">
        <w:rPr>
          <w:bCs/>
          <w:u w:val="single"/>
        </w:rPr>
        <w:t>u užem smislu</w:t>
      </w:r>
      <w:r w:rsidR="007765BA" w:rsidRPr="00C24D54">
        <w:rPr>
          <w:bCs/>
        </w:rPr>
        <w:t xml:space="preserve"> </w:t>
      </w:r>
      <w:r w:rsidRPr="00C24D54">
        <w:rPr>
          <w:bCs/>
        </w:rPr>
        <w:t>su potpore za istraživanje i razvoj i inovacije, male i srednje poduzetnike, sanaciju i restrukturiranje, zapošljavanje, usavršavanje, kulturu i zaštitu baštine, rizični kapital te ostale horizontalne ciljeve.</w:t>
      </w:r>
    </w:p>
    <w:p w14:paraId="26E02116" w14:textId="77777777" w:rsidR="00FA5483" w:rsidRPr="00C24D54" w:rsidRDefault="00FA5483" w:rsidP="00BE487D">
      <w:pPr>
        <w:jc w:val="both"/>
        <w:rPr>
          <w:bCs/>
        </w:rPr>
      </w:pPr>
    </w:p>
    <w:p w14:paraId="7F61FFD6" w14:textId="58D86BC6" w:rsidR="00FA5483" w:rsidRPr="00C24D54" w:rsidRDefault="00FA5483" w:rsidP="00BE487D">
      <w:pPr>
        <w:jc w:val="both"/>
        <w:rPr>
          <w:bCs/>
        </w:rPr>
      </w:pPr>
      <w:r w:rsidRPr="00C24D54">
        <w:rPr>
          <w:bCs/>
          <w:u w:val="single"/>
        </w:rPr>
        <w:t>Sektorske potpore</w:t>
      </w:r>
      <w:r w:rsidRPr="00C24D54">
        <w:rPr>
          <w:bCs/>
        </w:rPr>
        <w:t xml:space="preserve"> </w:t>
      </w:r>
      <w:r w:rsidR="00133401" w:rsidRPr="00C24D54">
        <w:rPr>
          <w:bCs/>
        </w:rPr>
        <w:t xml:space="preserve">su potpore </w:t>
      </w:r>
      <w:r w:rsidR="00274C38" w:rsidRPr="00C24D54">
        <w:rPr>
          <w:bCs/>
        </w:rPr>
        <w:t>na koje se prilikom dodjele primjenjuju</w:t>
      </w:r>
      <w:r w:rsidRPr="00C24D54">
        <w:rPr>
          <w:bCs/>
        </w:rPr>
        <w:t xml:space="preserve"> posebna sektorska pravila o potporama, </w:t>
      </w:r>
      <w:r w:rsidR="00133401" w:rsidRPr="00C24D54">
        <w:rPr>
          <w:bCs/>
        </w:rPr>
        <w:t>te</w:t>
      </w:r>
      <w:r w:rsidRPr="00C24D54">
        <w:rPr>
          <w:bCs/>
        </w:rPr>
        <w:t xml:space="preserve"> se odnose na sektore i djelatnosti: kopneni promet (cestovni, željeznički i unutarnji plovni promet), pomorski promet, zračni promet, brodogradnja, turizam, financijske i poštanske usluge, sanacij</w:t>
      </w:r>
      <w:r w:rsidR="00133401" w:rsidRPr="00C24D54">
        <w:rPr>
          <w:bCs/>
        </w:rPr>
        <w:t>a</w:t>
      </w:r>
      <w:r w:rsidRPr="00C24D54">
        <w:rPr>
          <w:bCs/>
        </w:rPr>
        <w:t xml:space="preserve"> i restrukturiranje poduzetnika u teškoćama (pojedinačne potpore), </w:t>
      </w:r>
      <w:r w:rsidRPr="00C24D54">
        <w:rPr>
          <w:bCs/>
        </w:rPr>
        <w:lastRenderedPageBreak/>
        <w:t>kinematografija i ostala audiovizualna djelatnost, javne radiodifuzijske usluge, poštanske usluge, zaštit</w:t>
      </w:r>
      <w:r w:rsidR="00133401" w:rsidRPr="00C24D54">
        <w:rPr>
          <w:bCs/>
        </w:rPr>
        <w:t>a</w:t>
      </w:r>
      <w:r w:rsidRPr="00C24D54">
        <w:rPr>
          <w:bCs/>
        </w:rPr>
        <w:t xml:space="preserve"> okoliša i ušted</w:t>
      </w:r>
      <w:r w:rsidR="00133401" w:rsidRPr="00C24D54">
        <w:rPr>
          <w:bCs/>
        </w:rPr>
        <w:t>a</w:t>
      </w:r>
      <w:r w:rsidRPr="00C24D54">
        <w:rPr>
          <w:bCs/>
        </w:rPr>
        <w:t xml:space="preserve"> energije, razvoj širokopojasnih mreža i sl.</w:t>
      </w:r>
    </w:p>
    <w:p w14:paraId="6DA0B372" w14:textId="77777777" w:rsidR="00FA5483" w:rsidRPr="00C24D54" w:rsidRDefault="00FA5483" w:rsidP="00BE487D">
      <w:pPr>
        <w:jc w:val="both"/>
        <w:rPr>
          <w:bCs/>
        </w:rPr>
      </w:pPr>
    </w:p>
    <w:p w14:paraId="4910FC3F" w14:textId="5E3016B1" w:rsidR="00FA5483" w:rsidRPr="00C24D54" w:rsidRDefault="00FA5483" w:rsidP="00BE487D">
      <w:pPr>
        <w:jc w:val="both"/>
        <w:rPr>
          <w:bCs/>
        </w:rPr>
      </w:pPr>
      <w:r w:rsidRPr="00C24D54">
        <w:rPr>
          <w:bCs/>
          <w:u w:val="single"/>
        </w:rPr>
        <w:t>Regionalne potpore</w:t>
      </w:r>
      <w:r w:rsidR="00133401" w:rsidRPr="00C24D54">
        <w:rPr>
          <w:bCs/>
        </w:rPr>
        <w:t xml:space="preserve"> </w:t>
      </w:r>
      <w:r w:rsidR="00343D65" w:rsidRPr="00C24D54">
        <w:t xml:space="preserve">namijenjene </w:t>
      </w:r>
      <w:r w:rsidR="0046744D" w:rsidRPr="00C24D54">
        <w:t xml:space="preserve">su </w:t>
      </w:r>
      <w:r w:rsidR="00343D65" w:rsidRPr="00C24D54">
        <w:t xml:space="preserve">za poticanje gospodarskog razvoja slabije razvijenih regija koje su utvrđene kartom regionalnih potpora, </w:t>
      </w:r>
      <w:r w:rsidR="00133401" w:rsidRPr="00C24D54">
        <w:t xml:space="preserve">a </w:t>
      </w:r>
      <w:r w:rsidR="00343D65" w:rsidRPr="00C24D54">
        <w:rPr>
          <w:bCs/>
        </w:rPr>
        <w:t xml:space="preserve">prikazane su kao posebna kategorija na način predviđen metodologijom EU. Navedene </w:t>
      </w:r>
      <w:r w:rsidRPr="00C24D54">
        <w:t>potpore</w:t>
      </w:r>
      <w:r w:rsidRPr="00C24D54">
        <w:rPr>
          <w:bCs/>
        </w:rPr>
        <w:t xml:space="preserve"> </w:t>
      </w:r>
      <w:r w:rsidR="00343D65" w:rsidRPr="00C24D54">
        <w:rPr>
          <w:bCs/>
        </w:rPr>
        <w:t xml:space="preserve">pripadaju </w:t>
      </w:r>
      <w:r w:rsidRPr="00C24D54">
        <w:rPr>
          <w:bCs/>
        </w:rPr>
        <w:t>po ciljevima odnosno kategoriji namjen</w:t>
      </w:r>
      <w:r w:rsidR="00343D65" w:rsidRPr="00C24D54">
        <w:rPr>
          <w:bCs/>
        </w:rPr>
        <w:t>e</w:t>
      </w:r>
      <w:r w:rsidRPr="00C24D54">
        <w:rPr>
          <w:bCs/>
        </w:rPr>
        <w:t xml:space="preserve"> </w:t>
      </w:r>
      <w:r w:rsidR="00343D65" w:rsidRPr="00C24D54">
        <w:rPr>
          <w:bCs/>
        </w:rPr>
        <w:t>u</w:t>
      </w:r>
      <w:r w:rsidRPr="00C24D54">
        <w:rPr>
          <w:bCs/>
        </w:rPr>
        <w:t xml:space="preserve"> horizontalne potpore </w:t>
      </w:r>
      <w:r w:rsidR="00343D65" w:rsidRPr="00C24D54">
        <w:t>te</w:t>
      </w:r>
      <w:r w:rsidRPr="00C24D54">
        <w:rPr>
          <w:bCs/>
        </w:rPr>
        <w:t xml:space="preserve"> su u jednom dijelu Izvješća </w:t>
      </w:r>
      <w:r w:rsidR="0046744D" w:rsidRPr="00C24D54">
        <w:rPr>
          <w:bCs/>
        </w:rPr>
        <w:t xml:space="preserve">kao takve </w:t>
      </w:r>
      <w:r w:rsidRPr="00C24D54">
        <w:rPr>
          <w:bCs/>
        </w:rPr>
        <w:t>i prikaz</w:t>
      </w:r>
      <w:r w:rsidR="0046744D" w:rsidRPr="00C24D54">
        <w:rPr>
          <w:bCs/>
        </w:rPr>
        <w:t>ane</w:t>
      </w:r>
      <w:r w:rsidRPr="00C24D54">
        <w:rPr>
          <w:bCs/>
        </w:rPr>
        <w:t xml:space="preserve">. </w:t>
      </w:r>
    </w:p>
    <w:p w14:paraId="2BA9E304" w14:textId="77777777" w:rsidR="00FA5483" w:rsidRPr="00C24D54" w:rsidRDefault="00FA5483" w:rsidP="00BE487D">
      <w:pPr>
        <w:jc w:val="both"/>
        <w:rPr>
          <w:bCs/>
        </w:rPr>
      </w:pPr>
    </w:p>
    <w:p w14:paraId="7484D072" w14:textId="77777777" w:rsidR="0046744D" w:rsidRPr="00C24D54" w:rsidRDefault="00FA5483" w:rsidP="0046744D">
      <w:pPr>
        <w:jc w:val="both"/>
        <w:rPr>
          <w:bCs/>
        </w:rPr>
      </w:pPr>
      <w:r w:rsidRPr="00C24D54">
        <w:rPr>
          <w:bCs/>
          <w:u w:val="single"/>
        </w:rPr>
        <w:t>Potpore na razini jedinica lokalne i područne (regionalne) samouprave</w:t>
      </w:r>
      <w:r w:rsidRPr="00C24D54">
        <w:rPr>
          <w:bCs/>
        </w:rPr>
        <w:t xml:space="preserve"> prikazane </w:t>
      </w:r>
      <w:r w:rsidR="0046744D" w:rsidRPr="00C24D54">
        <w:rPr>
          <w:bCs/>
        </w:rPr>
        <w:t xml:space="preserve">su </w:t>
      </w:r>
      <w:r w:rsidRPr="00C24D54">
        <w:rPr>
          <w:bCs/>
        </w:rPr>
        <w:t xml:space="preserve">kao posebna kategorija radi dobivanja uvida u korištenje i </w:t>
      </w:r>
      <w:r w:rsidRPr="00C24D54">
        <w:t>namjen</w:t>
      </w:r>
      <w:r w:rsidR="00647964" w:rsidRPr="00C24D54">
        <w:t>u</w:t>
      </w:r>
      <w:r w:rsidRPr="00C24D54">
        <w:t xml:space="preserve"> potpora dodijeljenih na lokalnoj razini, a koje </w:t>
      </w:r>
      <w:r w:rsidRPr="00C24D54">
        <w:rPr>
          <w:bCs/>
        </w:rPr>
        <w:t xml:space="preserve">po ciljevima odnosno kategorijama </w:t>
      </w:r>
      <w:r w:rsidR="00343D65" w:rsidRPr="00C24D54">
        <w:rPr>
          <w:bCs/>
        </w:rPr>
        <w:t>n</w:t>
      </w:r>
      <w:r w:rsidRPr="00C24D54">
        <w:rPr>
          <w:bCs/>
        </w:rPr>
        <w:t>amjen</w:t>
      </w:r>
      <w:r w:rsidR="00343D65" w:rsidRPr="00C24D54">
        <w:rPr>
          <w:bCs/>
        </w:rPr>
        <w:t>e</w:t>
      </w:r>
      <w:r w:rsidRPr="00C24D54">
        <w:rPr>
          <w:bCs/>
        </w:rPr>
        <w:t xml:space="preserve"> mogu pripadati u horizontalne potpore</w:t>
      </w:r>
      <w:r w:rsidR="00343D65" w:rsidRPr="00C24D54">
        <w:rPr>
          <w:bCs/>
        </w:rPr>
        <w:t xml:space="preserve"> </w:t>
      </w:r>
      <w:r w:rsidR="0046744D" w:rsidRPr="00C24D54">
        <w:t>te</w:t>
      </w:r>
      <w:r w:rsidR="0046744D" w:rsidRPr="00C24D54">
        <w:rPr>
          <w:bCs/>
        </w:rPr>
        <w:t xml:space="preserve"> su u jednom dijelu Izvješća kao takve i prikazane. </w:t>
      </w:r>
    </w:p>
    <w:p w14:paraId="263DA565" w14:textId="77777777" w:rsidR="0046744D" w:rsidRPr="00C24D54" w:rsidRDefault="0046744D" w:rsidP="0046744D">
      <w:pPr>
        <w:jc w:val="both"/>
        <w:rPr>
          <w:bCs/>
        </w:rPr>
      </w:pPr>
    </w:p>
    <w:p w14:paraId="30711E7D" w14:textId="7CED2BB0" w:rsidR="00FA5483" w:rsidRPr="00C24D54" w:rsidRDefault="00FA5483" w:rsidP="00BE487D">
      <w:pPr>
        <w:jc w:val="both"/>
      </w:pPr>
      <w:r w:rsidRPr="00C24D54">
        <w:rPr>
          <w:bCs/>
          <w:u w:val="single"/>
        </w:rPr>
        <w:t>Potpore u svrhu podrške gospodarstvu u aktualnoj pandemiji COVID-19</w:t>
      </w:r>
      <w:r w:rsidR="00336EEC" w:rsidRPr="00C24D54">
        <w:rPr>
          <w:bCs/>
          <w:u w:val="single"/>
        </w:rPr>
        <w:t xml:space="preserve"> i za suzbijanje učinaka ruske agresije na Ukrajinu</w:t>
      </w:r>
      <w:r w:rsidRPr="00C24D54">
        <w:rPr>
          <w:bCs/>
        </w:rPr>
        <w:t xml:space="preserve"> prikazane </w:t>
      </w:r>
      <w:r w:rsidR="00336EEC" w:rsidRPr="00C24D54">
        <w:rPr>
          <w:bCs/>
        </w:rPr>
        <w:t xml:space="preserve">su </w:t>
      </w:r>
      <w:r w:rsidRPr="00C24D54">
        <w:rPr>
          <w:bCs/>
        </w:rPr>
        <w:t xml:space="preserve">kao posebna kategorija </w:t>
      </w:r>
      <w:r w:rsidR="00133401" w:rsidRPr="00C24D54">
        <w:rPr>
          <w:bCs/>
        </w:rPr>
        <w:t>zbog</w:t>
      </w:r>
      <w:r w:rsidRPr="00C24D54">
        <w:rPr>
          <w:bCs/>
        </w:rPr>
        <w:t xml:space="preserve"> situacije u kojoj se nalazi</w:t>
      </w:r>
      <w:r w:rsidR="00873718" w:rsidRPr="00C24D54">
        <w:rPr>
          <w:bCs/>
        </w:rPr>
        <w:t>lo</w:t>
      </w:r>
      <w:r w:rsidRPr="00C24D54">
        <w:rPr>
          <w:bCs/>
        </w:rPr>
        <w:t xml:space="preserve"> gospodarstvo</w:t>
      </w:r>
      <w:r w:rsidR="00873718" w:rsidRPr="00C24D54">
        <w:rPr>
          <w:bCs/>
        </w:rPr>
        <w:t xml:space="preserve"> </w:t>
      </w:r>
      <w:r w:rsidR="00133401" w:rsidRPr="00C24D54">
        <w:rPr>
          <w:bCs/>
        </w:rPr>
        <w:t>nakon</w:t>
      </w:r>
      <w:r w:rsidR="00873718" w:rsidRPr="00C24D54">
        <w:rPr>
          <w:bCs/>
        </w:rPr>
        <w:t xml:space="preserve"> učinaka pandemije</w:t>
      </w:r>
      <w:r w:rsidR="00336EEC" w:rsidRPr="00C24D54">
        <w:rPr>
          <w:bCs/>
        </w:rPr>
        <w:t>, a kasnije i ruske agresije na Ukrajinu</w:t>
      </w:r>
      <w:r w:rsidR="007765BA" w:rsidRPr="00C24D54">
        <w:rPr>
          <w:bCs/>
        </w:rPr>
        <w:t xml:space="preserve">, </w:t>
      </w:r>
      <w:r w:rsidR="00343D65" w:rsidRPr="00C24D54">
        <w:rPr>
          <w:bCs/>
        </w:rPr>
        <w:t xml:space="preserve">a </w:t>
      </w:r>
      <w:r w:rsidR="00FC78EE" w:rsidRPr="00C24D54">
        <w:rPr>
          <w:bCs/>
        </w:rPr>
        <w:t xml:space="preserve">za njihovu dodjelu </w:t>
      </w:r>
      <w:r w:rsidR="00336EEC" w:rsidRPr="00C24D54">
        <w:rPr>
          <w:bCs/>
        </w:rPr>
        <w:t>primjenjuju se posebna pravila sadržana u privremenim okvirima</w:t>
      </w:r>
      <w:r w:rsidR="009F74DA" w:rsidRPr="00C24D54">
        <w:rPr>
          <w:bCs/>
        </w:rPr>
        <w:t>.</w:t>
      </w:r>
    </w:p>
    <w:p w14:paraId="7EAB6B10" w14:textId="77777777" w:rsidR="00FA5483" w:rsidRPr="00C24D54" w:rsidRDefault="00FA5483" w:rsidP="00BE487D">
      <w:pPr>
        <w:jc w:val="both"/>
      </w:pPr>
    </w:p>
    <w:p w14:paraId="113733DC" w14:textId="60D58AC8" w:rsidR="00FA5483" w:rsidRPr="00C24D54" w:rsidRDefault="00FA5483" w:rsidP="00BE487D">
      <w:pPr>
        <w:jc w:val="both"/>
      </w:pPr>
      <w:r w:rsidRPr="00C24D54">
        <w:rPr>
          <w:u w:val="single"/>
        </w:rPr>
        <w:t>Potpore male vrijednosti</w:t>
      </w:r>
      <w:r w:rsidRPr="00C24D54">
        <w:rPr>
          <w:b/>
        </w:rPr>
        <w:t xml:space="preserve"> </w:t>
      </w:r>
      <w:r w:rsidRPr="00C24D54">
        <w:t xml:space="preserve">odnosno </w:t>
      </w:r>
      <w:r w:rsidRPr="00C24D54">
        <w:rPr>
          <w:i/>
        </w:rPr>
        <w:t>de minimis</w:t>
      </w:r>
      <w:r w:rsidRPr="00C24D54">
        <w:t xml:space="preserve"> potpore</w:t>
      </w:r>
      <w:r w:rsidR="00133401" w:rsidRPr="00C24D54">
        <w:t>,</w:t>
      </w:r>
      <w:r w:rsidRPr="00C24D54">
        <w:rPr>
          <w:b/>
        </w:rPr>
        <w:t xml:space="preserve"> </w:t>
      </w:r>
      <w:r w:rsidR="0046744D" w:rsidRPr="00C24D54">
        <w:t>a</w:t>
      </w:r>
      <w:r w:rsidRPr="00C24D54">
        <w:t xml:space="preserve"> obzirom </w:t>
      </w:r>
      <w:r w:rsidR="00DB7D60" w:rsidRPr="00C24D54">
        <w:t xml:space="preserve">da </w:t>
      </w:r>
      <w:r w:rsidRPr="00C24D54">
        <w:t>se ne smatraju državnim potporama u smislu Zakona, odnosno u smislu članka 107. stavka 1. UFEU-a</w:t>
      </w:r>
      <w:r w:rsidR="00133401" w:rsidRPr="00C24D54">
        <w:t>, prikazane su zasebno</w:t>
      </w:r>
      <w:r w:rsidR="00FC78EE" w:rsidRPr="00C24D54">
        <w:t>. Potpore male vrijednosti</w:t>
      </w:r>
      <w:r w:rsidRPr="00C24D54">
        <w:t xml:space="preserve"> </w:t>
      </w:r>
      <w:r w:rsidR="00343D65" w:rsidRPr="00C24D54">
        <w:t xml:space="preserve">su </w:t>
      </w:r>
      <w:r w:rsidRPr="00C24D54">
        <w:t xml:space="preserve">prikazane u Izvješću </w:t>
      </w:r>
      <w:r w:rsidR="00343D65" w:rsidRPr="00C24D54">
        <w:t xml:space="preserve">zbog </w:t>
      </w:r>
      <w:r w:rsidRPr="00C24D54">
        <w:t>velik</w:t>
      </w:r>
      <w:r w:rsidR="00343D65" w:rsidRPr="00C24D54">
        <w:t>og</w:t>
      </w:r>
      <w:r w:rsidRPr="00C24D54">
        <w:t xml:space="preserve"> broj</w:t>
      </w:r>
      <w:r w:rsidR="00343D65" w:rsidRPr="00C24D54">
        <w:t>a</w:t>
      </w:r>
      <w:r w:rsidRPr="00C24D54">
        <w:t xml:space="preserve"> davatelja potpora male vrijednosti </w:t>
      </w:r>
      <w:r w:rsidR="00FC78EE" w:rsidRPr="00C24D54">
        <w:t xml:space="preserve">kako </w:t>
      </w:r>
      <w:r w:rsidRPr="00C24D54">
        <w:t xml:space="preserve">na </w:t>
      </w:r>
      <w:r w:rsidR="00343D65" w:rsidRPr="00C24D54">
        <w:t>centralnoj</w:t>
      </w:r>
      <w:r w:rsidR="000445F2" w:rsidRPr="00C24D54">
        <w:t xml:space="preserve"> </w:t>
      </w:r>
      <w:r w:rsidR="00FC78EE" w:rsidRPr="00C24D54">
        <w:t xml:space="preserve">tako i </w:t>
      </w:r>
      <w:r w:rsidRPr="00C24D54">
        <w:t>na lokalnoj</w:t>
      </w:r>
      <w:r w:rsidR="00343D65" w:rsidRPr="00C24D54">
        <w:t xml:space="preserve"> </w:t>
      </w:r>
      <w:r w:rsidRPr="00C24D54">
        <w:t>razini</w:t>
      </w:r>
      <w:r w:rsidR="00CC1887" w:rsidRPr="00C24D54">
        <w:t>, te također velikog broja korisnika istih</w:t>
      </w:r>
      <w:r w:rsidR="00873718" w:rsidRPr="00C24D54">
        <w:t>.</w:t>
      </w:r>
      <w:r w:rsidRPr="00C24D54">
        <w:t xml:space="preserve"> </w:t>
      </w:r>
      <w:r w:rsidR="00343D65" w:rsidRPr="00C24D54">
        <w:t xml:space="preserve">Za navedene potpore vrijede posebna pravila </w:t>
      </w:r>
      <w:r w:rsidR="00CC1887" w:rsidRPr="00C24D54">
        <w:t xml:space="preserve">te se podaci o istima nalaze u </w:t>
      </w:r>
      <w:r w:rsidR="00343D65" w:rsidRPr="00C24D54">
        <w:t>dijelu Izvješća</w:t>
      </w:r>
      <w:r w:rsidR="005B21E3" w:rsidRPr="00C24D54">
        <w:t xml:space="preserve"> </w:t>
      </w:r>
      <w:r w:rsidR="00873718" w:rsidRPr="00C24D54">
        <w:t>pod nazivom</w:t>
      </w:r>
      <w:r w:rsidR="009F405B" w:rsidRPr="00C24D54">
        <w:t xml:space="preserve"> </w:t>
      </w:r>
      <w:r w:rsidR="005B21E3" w:rsidRPr="00C24D54">
        <w:t>Potpore male vrijednosti.</w:t>
      </w:r>
    </w:p>
    <w:p w14:paraId="0DCD39E5" w14:textId="77777777" w:rsidR="00343D65" w:rsidRPr="00C24D54" w:rsidRDefault="00343D65" w:rsidP="00BE487D">
      <w:pPr>
        <w:jc w:val="both"/>
      </w:pPr>
    </w:p>
    <w:p w14:paraId="1532B7CC" w14:textId="0BDB86EA" w:rsidR="00FA5483" w:rsidRPr="00C24D54" w:rsidRDefault="0046744D" w:rsidP="00BE487D">
      <w:pPr>
        <w:jc w:val="both"/>
        <w:rPr>
          <w:bCs/>
        </w:rPr>
      </w:pPr>
      <w:r w:rsidRPr="00C24D54">
        <w:rPr>
          <w:bCs/>
        </w:rPr>
        <w:t>P</w:t>
      </w:r>
      <w:r w:rsidR="00FA5483" w:rsidRPr="00C24D54">
        <w:rPr>
          <w:bCs/>
        </w:rPr>
        <w:t>otpore</w:t>
      </w:r>
      <w:r w:rsidRPr="00C24D54">
        <w:rPr>
          <w:bCs/>
        </w:rPr>
        <w:t xml:space="preserve"> </w:t>
      </w:r>
      <w:r w:rsidR="002F450B" w:rsidRPr="00C24D54">
        <w:rPr>
          <w:bCs/>
        </w:rPr>
        <w:t xml:space="preserve">i </w:t>
      </w:r>
      <w:r w:rsidR="00FA5483" w:rsidRPr="00C24D54">
        <w:rPr>
          <w:bCs/>
        </w:rPr>
        <w:t xml:space="preserve">potpore male vrijednosti mogu se dodjeljivati putem </w:t>
      </w:r>
      <w:r w:rsidR="00FA5483" w:rsidRPr="00C24D54">
        <w:rPr>
          <w:bCs/>
          <w:u w:val="single"/>
        </w:rPr>
        <w:t>različitih oblika ili instrumenata dodjele</w:t>
      </w:r>
      <w:r w:rsidR="00FA5483" w:rsidRPr="00C24D54">
        <w:rPr>
          <w:bCs/>
        </w:rPr>
        <w:t xml:space="preserve"> kao što su: subvencije, neposredne subvencije kamata, porezna izuzeća </w:t>
      </w:r>
      <w:r w:rsidR="005B21E3" w:rsidRPr="00C24D54">
        <w:rPr>
          <w:bCs/>
        </w:rPr>
        <w:t xml:space="preserve">i olakšice </w:t>
      </w:r>
      <w:r w:rsidR="00FA5483" w:rsidRPr="00C24D54">
        <w:rPr>
          <w:bCs/>
        </w:rPr>
        <w:t>(A), udjeli u vlasničkom kapitalu</w:t>
      </w:r>
      <w:r w:rsidR="000914F3" w:rsidRPr="00C24D54">
        <w:rPr>
          <w:bCs/>
        </w:rPr>
        <w:t xml:space="preserve">, </w:t>
      </w:r>
      <w:r w:rsidR="000914F3" w:rsidRPr="00C24D54">
        <w:t>kapitalna ulaganja</w:t>
      </w:r>
      <w:r w:rsidR="00FA5483" w:rsidRPr="00C24D54">
        <w:rPr>
          <w:bCs/>
        </w:rPr>
        <w:t xml:space="preserve"> (B), financijski transferi</w:t>
      </w:r>
      <w:r w:rsidR="005B21E3" w:rsidRPr="00C24D54">
        <w:rPr>
          <w:bCs/>
        </w:rPr>
        <w:t>, povoljni zajmovi</w:t>
      </w:r>
      <w:r w:rsidR="000914F3" w:rsidRPr="00C24D54">
        <w:rPr>
          <w:bCs/>
        </w:rPr>
        <w:t xml:space="preserve">, </w:t>
      </w:r>
      <w:r w:rsidR="000914F3" w:rsidRPr="00C24D54">
        <w:t>zajmovi poduzetnicima u teškoćama</w:t>
      </w:r>
      <w:r w:rsidR="00FA5483" w:rsidRPr="00C24D54">
        <w:rPr>
          <w:bCs/>
        </w:rPr>
        <w:t xml:space="preserve"> (C), izdana i aktivirana odnosno protestirana </w:t>
      </w:r>
      <w:r w:rsidR="000914F3" w:rsidRPr="00C24D54">
        <w:t xml:space="preserve">ili opozvana </w:t>
      </w:r>
      <w:r w:rsidR="00FA5483" w:rsidRPr="00C24D54">
        <w:rPr>
          <w:bCs/>
        </w:rPr>
        <w:t>jamstva (D) te ostalo (E).</w:t>
      </w:r>
    </w:p>
    <w:p w14:paraId="55C1CA06" w14:textId="77777777" w:rsidR="00FA5483" w:rsidRPr="00C24D54" w:rsidRDefault="00FA5483" w:rsidP="00BE487D">
      <w:pPr>
        <w:jc w:val="both"/>
        <w:rPr>
          <w:bCs/>
        </w:rPr>
      </w:pPr>
    </w:p>
    <w:p w14:paraId="06703BDF" w14:textId="77777777" w:rsidR="00FA5483" w:rsidRPr="00C24D54" w:rsidRDefault="00FA5483" w:rsidP="00BE487D">
      <w:pPr>
        <w:jc w:val="both"/>
        <w:rPr>
          <w:bCs/>
        </w:rPr>
      </w:pPr>
      <w:r w:rsidRPr="00C24D54">
        <w:rPr>
          <w:bCs/>
        </w:rPr>
        <w:t>U Prilogu 2. ovoga Izvješća, prikazan je detaljan pregled kategorija potpora, a u Prilogu 3. pregled svih instrumenata putem kojih se potpore dodjeljuju.</w:t>
      </w:r>
    </w:p>
    <w:p w14:paraId="1AB59EE0" w14:textId="77777777" w:rsidR="00857D5E" w:rsidRPr="00C24D54" w:rsidRDefault="00857D5E" w:rsidP="00BE487D">
      <w:pPr>
        <w:jc w:val="both"/>
      </w:pPr>
    </w:p>
    <w:p w14:paraId="449CA814" w14:textId="77777777" w:rsidR="00857D5E" w:rsidRPr="00C24D54" w:rsidRDefault="00857D5E" w:rsidP="00BE487D">
      <w:pPr>
        <w:jc w:val="both"/>
      </w:pPr>
    </w:p>
    <w:p w14:paraId="48E8E3A7" w14:textId="5501EF27" w:rsidR="00D9268B" w:rsidRPr="00C24D54" w:rsidRDefault="00D9268B">
      <w:r w:rsidRPr="00C24D54">
        <w:br w:type="page"/>
      </w:r>
    </w:p>
    <w:p w14:paraId="29725616" w14:textId="07E26D5F" w:rsidR="00BE0817" w:rsidRPr="00C24D54" w:rsidRDefault="00857D5E" w:rsidP="00CC1887">
      <w:pPr>
        <w:pStyle w:val="Heading2"/>
        <w:ind w:left="811" w:hanging="454"/>
      </w:pPr>
      <w:bookmarkStart w:id="5" w:name="_Toc213660026"/>
      <w:r w:rsidRPr="00C24D54">
        <w:lastRenderedPageBreak/>
        <w:t xml:space="preserve">SAŽETAK GODIŠNJEG IZVJEŠĆA O </w:t>
      </w:r>
      <w:r w:rsidR="00CC1887" w:rsidRPr="00C24D54">
        <w:t xml:space="preserve">DODIJELJENIM </w:t>
      </w:r>
      <w:r w:rsidRPr="00C24D54">
        <w:t>DRŽAVNIM POTPORAMA ZA 20</w:t>
      </w:r>
      <w:r w:rsidR="00B20C9B" w:rsidRPr="00C24D54">
        <w:t>2</w:t>
      </w:r>
      <w:r w:rsidR="001943E9" w:rsidRPr="00C24D54">
        <w:t>4</w:t>
      </w:r>
      <w:r w:rsidRPr="00C24D54">
        <w:t>. GODINU</w:t>
      </w:r>
      <w:bookmarkEnd w:id="5"/>
    </w:p>
    <w:p w14:paraId="225D4A5C" w14:textId="77777777" w:rsidR="00857D5E" w:rsidRPr="00C24D54" w:rsidRDefault="00857D5E" w:rsidP="00BE487D">
      <w:pPr>
        <w:jc w:val="both"/>
      </w:pPr>
    </w:p>
    <w:p w14:paraId="6FFA6005" w14:textId="77777777" w:rsidR="00857D5E" w:rsidRPr="00C24D54" w:rsidRDefault="00857D5E" w:rsidP="00BE487D">
      <w:pPr>
        <w:jc w:val="both"/>
      </w:pPr>
    </w:p>
    <w:p w14:paraId="73428D49" w14:textId="2BA111EF" w:rsidR="00DD505E" w:rsidRPr="00C24D54" w:rsidRDefault="00FA2983" w:rsidP="00BE487D">
      <w:pPr>
        <w:jc w:val="both"/>
      </w:pPr>
      <w:r w:rsidRPr="00C24D54">
        <w:rPr>
          <w:u w:val="single"/>
        </w:rPr>
        <w:t>Ukupne potpore</w:t>
      </w:r>
      <w:r w:rsidRPr="00C24D54">
        <w:t xml:space="preserve"> </w:t>
      </w:r>
      <w:r w:rsidR="00F72249" w:rsidRPr="00C24D54">
        <w:t xml:space="preserve">dodijeljene su </w:t>
      </w:r>
      <w:r w:rsidR="00DD505E" w:rsidRPr="00C24D54">
        <w:t xml:space="preserve">u Republici Hrvatskoj </w:t>
      </w:r>
      <w:r w:rsidR="00F72249" w:rsidRPr="00C24D54">
        <w:t>u 2024. godini</w:t>
      </w:r>
      <w:r w:rsidR="00F72249" w:rsidRPr="00C24D54">
        <w:rPr>
          <w:b/>
        </w:rPr>
        <w:t xml:space="preserve"> </w:t>
      </w:r>
      <w:r w:rsidR="00DD505E" w:rsidRPr="00C24D54">
        <w:t>u iznos</w:t>
      </w:r>
      <w:r w:rsidR="00FA5483" w:rsidRPr="00C24D54">
        <w:t xml:space="preserve">u od </w:t>
      </w:r>
      <w:r w:rsidR="00C24D54" w:rsidRPr="00C24D54">
        <w:t xml:space="preserve">1,4 milijarde </w:t>
      </w:r>
      <w:r w:rsidR="00F72249" w:rsidRPr="00C24D54">
        <w:t>eura</w:t>
      </w:r>
      <w:r w:rsidR="00445B06" w:rsidRPr="00C24D54">
        <w:t>,</w:t>
      </w:r>
      <w:r w:rsidR="00DD505E" w:rsidRPr="00C24D54">
        <w:t xml:space="preserve"> </w:t>
      </w:r>
      <w:r w:rsidR="002D2FBF" w:rsidRPr="00C24D54">
        <w:t>s udjelom</w:t>
      </w:r>
      <w:r w:rsidR="00445B06" w:rsidRPr="00C24D54">
        <w:t xml:space="preserve"> u bruto društvenom proiz</w:t>
      </w:r>
      <w:r w:rsidR="00DD505E" w:rsidRPr="00C24D54">
        <w:t xml:space="preserve">vodu (u daljnjem tekstu: BDP) od </w:t>
      </w:r>
      <w:r w:rsidR="00F72249" w:rsidRPr="00C24D54">
        <w:t>1,69</w:t>
      </w:r>
      <w:r w:rsidR="00445B06" w:rsidRPr="00C24D54">
        <w:t xml:space="preserve"> posto</w:t>
      </w:r>
      <w:r w:rsidR="002D2FBF" w:rsidRPr="00C24D54">
        <w:t xml:space="preserve"> i s udjelom </w:t>
      </w:r>
      <w:r w:rsidR="00FA5483" w:rsidRPr="00C24D54">
        <w:t xml:space="preserve">u rashodima države </w:t>
      </w:r>
      <w:r w:rsidR="002D2FBF" w:rsidRPr="00C24D54">
        <w:t>od</w:t>
      </w:r>
      <w:r w:rsidR="00DD505E" w:rsidRPr="00C24D54">
        <w:t xml:space="preserve"> </w:t>
      </w:r>
      <w:r w:rsidR="00F72249" w:rsidRPr="00C24D54">
        <w:t>4,43</w:t>
      </w:r>
      <w:r w:rsidR="00DD505E" w:rsidRPr="00C24D54">
        <w:rPr>
          <w:rFonts w:eastAsia="Times New Roman"/>
        </w:rPr>
        <w:t xml:space="preserve"> </w:t>
      </w:r>
      <w:r w:rsidR="00DD505E" w:rsidRPr="00C24D54">
        <w:t xml:space="preserve">posto, </w:t>
      </w:r>
      <w:r w:rsidR="002D2FBF" w:rsidRPr="00C24D54">
        <w:t xml:space="preserve">dok su </w:t>
      </w:r>
      <w:r w:rsidR="00DD505E" w:rsidRPr="00C24D54">
        <w:t xml:space="preserve">potpore </w:t>
      </w:r>
      <w:r w:rsidR="00FA5483" w:rsidRPr="00C24D54">
        <w:t xml:space="preserve">po zaposlenom </w:t>
      </w:r>
      <w:r w:rsidR="00DD505E" w:rsidRPr="00C24D54">
        <w:t xml:space="preserve">iznosile </w:t>
      </w:r>
      <w:r w:rsidR="00F72249" w:rsidRPr="00C24D54">
        <w:t>842,68 eura</w:t>
      </w:r>
      <w:r w:rsidR="002D2FBF" w:rsidRPr="00C24D54">
        <w:t xml:space="preserve">, a </w:t>
      </w:r>
      <w:r w:rsidR="00DD505E" w:rsidRPr="00C24D54">
        <w:t xml:space="preserve">potpore po stanovniku </w:t>
      </w:r>
      <w:r w:rsidR="00F72249" w:rsidRPr="00C24D54">
        <w:t>371,57 eura</w:t>
      </w:r>
      <w:r w:rsidR="00DD505E" w:rsidRPr="00C24D54">
        <w:t>.</w:t>
      </w:r>
    </w:p>
    <w:p w14:paraId="5B3311E5" w14:textId="58299360" w:rsidR="00DD505E" w:rsidRPr="00C24D54" w:rsidRDefault="00DD505E" w:rsidP="00F72249">
      <w:pPr>
        <w:jc w:val="both"/>
      </w:pPr>
    </w:p>
    <w:p w14:paraId="51425914" w14:textId="534B76C5" w:rsidR="00DD505E" w:rsidRPr="00604559" w:rsidRDefault="00DD505E" w:rsidP="00BE487D">
      <w:pPr>
        <w:jc w:val="both"/>
      </w:pPr>
      <w:r w:rsidRPr="00840348">
        <w:t>Od u</w:t>
      </w:r>
      <w:r w:rsidR="00445B06" w:rsidRPr="00840348">
        <w:t>kupno dodijeljen</w:t>
      </w:r>
      <w:r w:rsidRPr="00840348">
        <w:t>ih</w:t>
      </w:r>
      <w:r w:rsidR="00445B06" w:rsidRPr="00840348">
        <w:t xml:space="preserve"> </w:t>
      </w:r>
      <w:r w:rsidR="00FA5483" w:rsidRPr="00840348">
        <w:t>potpora u 202</w:t>
      </w:r>
      <w:r w:rsidR="00F72249" w:rsidRPr="00840348">
        <w:t>4</w:t>
      </w:r>
      <w:r w:rsidR="00FA5483" w:rsidRPr="00840348">
        <w:t xml:space="preserve">. godini, </w:t>
      </w:r>
      <w:r w:rsidRPr="00840348">
        <w:t xml:space="preserve">na potpore u sektoru poljoprivrede i ribarstva odnosi </w:t>
      </w:r>
      <w:r w:rsidR="000939F4" w:rsidRPr="00840348">
        <w:t xml:space="preserve">se </w:t>
      </w:r>
      <w:r w:rsidRPr="00840348">
        <w:t xml:space="preserve">iznos od </w:t>
      </w:r>
      <w:r w:rsidR="00F72249" w:rsidRPr="00840348">
        <w:t xml:space="preserve">128,2 </w:t>
      </w:r>
      <w:r w:rsidR="00795E34" w:rsidRPr="00840348">
        <w:t xml:space="preserve">milijuna eura ili </w:t>
      </w:r>
      <w:r w:rsidR="00E26F07" w:rsidRPr="00840348">
        <w:t>8,8</w:t>
      </w:r>
      <w:r w:rsidR="00795E34" w:rsidRPr="00840348">
        <w:t xml:space="preserve"> posto </w:t>
      </w:r>
      <w:r w:rsidRPr="00840348">
        <w:t xml:space="preserve">udjela u ukupno dodijeljenim potporama, dok se na sektor industrije i usluga odnosi iznos od </w:t>
      </w:r>
      <w:r w:rsidR="00840348" w:rsidRPr="00840348">
        <w:t xml:space="preserve">1,3 milijarde </w:t>
      </w:r>
      <w:r w:rsidR="00795E34" w:rsidRPr="00840348">
        <w:t xml:space="preserve">eura </w:t>
      </w:r>
      <w:r w:rsidR="00795E34" w:rsidRPr="00604559">
        <w:t xml:space="preserve">ili </w:t>
      </w:r>
      <w:r w:rsidR="00E26F07" w:rsidRPr="00604559">
        <w:t xml:space="preserve">91,2 </w:t>
      </w:r>
      <w:r w:rsidR="00795E34" w:rsidRPr="00604559">
        <w:t>posto udjela</w:t>
      </w:r>
      <w:r w:rsidR="000939F4" w:rsidRPr="00604559">
        <w:t>.</w:t>
      </w:r>
    </w:p>
    <w:p w14:paraId="77CC325D" w14:textId="6564DEB2" w:rsidR="00F72249" w:rsidRPr="00604559" w:rsidRDefault="00F72249" w:rsidP="00BE487D">
      <w:pPr>
        <w:jc w:val="both"/>
      </w:pPr>
    </w:p>
    <w:p w14:paraId="18100AF2" w14:textId="3C24895D" w:rsidR="008A6D85" w:rsidRPr="00604559" w:rsidRDefault="008A6D85" w:rsidP="008A6D85">
      <w:pPr>
        <w:jc w:val="both"/>
      </w:pPr>
      <w:r w:rsidRPr="00604559">
        <w:rPr>
          <w:u w:val="single"/>
        </w:rPr>
        <w:t>Instrumenti</w:t>
      </w:r>
      <w:r w:rsidRPr="00604559">
        <w:rPr>
          <w:b/>
        </w:rPr>
        <w:t xml:space="preserve"> </w:t>
      </w:r>
      <w:r w:rsidRPr="00604559">
        <w:t xml:space="preserve">putem kojih su dodijeljene potpore </w:t>
      </w:r>
      <w:r w:rsidR="00604559" w:rsidRPr="00604559">
        <w:t xml:space="preserve">u 2024. godini u iznosu od 1,4 milijarde </w:t>
      </w:r>
      <w:r w:rsidRPr="00604559">
        <w:t xml:space="preserve">eura u najvećem dijelu se odnose na subvencije i neposredne subvencije kamata u iznosu od </w:t>
      </w:r>
      <w:r w:rsidR="00604559" w:rsidRPr="00604559">
        <w:t>1,2 milijarde</w:t>
      </w:r>
      <w:r w:rsidRPr="00604559">
        <w:t xml:space="preserve"> eura ili s udjelom od 82,8 posto u ukupno dodijeljenim potporama, slijede porezna oslobođenja, izuzeća, oprost poreza i doprinosa i olakšice s 202,</w:t>
      </w:r>
      <w:r w:rsidR="001C486A" w:rsidRPr="00604559">
        <w:t>9</w:t>
      </w:r>
      <w:r w:rsidRPr="00604559">
        <w:t xml:space="preserve"> milijuna eura ili 14 posto, povoljni zajmovi s </w:t>
      </w:r>
      <w:r w:rsidR="001C486A" w:rsidRPr="00604559">
        <w:t xml:space="preserve">24,9 </w:t>
      </w:r>
      <w:r w:rsidRPr="00604559">
        <w:t>milijuna eura ili 1,7 posto, izdana jamstva s 19,6 milijuna eura ili 1,4 posto te kapitalna ulaganja s 1,7 milijuna eura ili 0,1 posto.</w:t>
      </w:r>
    </w:p>
    <w:p w14:paraId="3CC7A19E" w14:textId="2579E37A" w:rsidR="008A6D85" w:rsidRPr="00604559" w:rsidRDefault="008A6D85" w:rsidP="00BE487D">
      <w:pPr>
        <w:jc w:val="both"/>
      </w:pPr>
    </w:p>
    <w:p w14:paraId="60865016" w14:textId="6E5F00F5" w:rsidR="008A6D85" w:rsidRPr="00A816EA" w:rsidRDefault="00FA5483" w:rsidP="00F77B9F">
      <w:pPr>
        <w:jc w:val="both"/>
      </w:pPr>
      <w:r w:rsidRPr="00604559">
        <w:rPr>
          <w:u w:val="single"/>
        </w:rPr>
        <w:t xml:space="preserve">Potpore </w:t>
      </w:r>
      <w:r w:rsidR="00702F08" w:rsidRPr="00604559">
        <w:rPr>
          <w:u w:val="single"/>
        </w:rPr>
        <w:t xml:space="preserve">u </w:t>
      </w:r>
      <w:r w:rsidRPr="00604559">
        <w:rPr>
          <w:u w:val="single"/>
        </w:rPr>
        <w:t>sektoru poljoprivrede i ribarstva</w:t>
      </w:r>
      <w:r w:rsidRPr="00604559">
        <w:t xml:space="preserve"> </w:t>
      </w:r>
      <w:r w:rsidR="00C53039" w:rsidRPr="00604559">
        <w:t>do</w:t>
      </w:r>
      <w:r w:rsidR="00702F08" w:rsidRPr="00604559">
        <w:t xml:space="preserve">dijeljene </w:t>
      </w:r>
      <w:r w:rsidR="003E045A" w:rsidRPr="00604559">
        <w:t xml:space="preserve">su u 2024. godini </w:t>
      </w:r>
      <w:r w:rsidRPr="00604559">
        <w:t xml:space="preserve">u iznosu od </w:t>
      </w:r>
      <w:r w:rsidR="003E045A" w:rsidRPr="00604559">
        <w:t>128,2</w:t>
      </w:r>
      <w:r w:rsidR="00C53039" w:rsidRPr="00604559">
        <w:t xml:space="preserve"> milijuna eura</w:t>
      </w:r>
      <w:r w:rsidR="00702F08" w:rsidRPr="00604559">
        <w:t xml:space="preserve"> te je </w:t>
      </w:r>
      <w:r w:rsidRPr="00604559">
        <w:t xml:space="preserve">udio </w:t>
      </w:r>
      <w:r w:rsidR="008A6D85" w:rsidRPr="00604559">
        <w:t>navedenih</w:t>
      </w:r>
      <w:r w:rsidR="00702F08" w:rsidRPr="00604559">
        <w:t xml:space="preserve"> </w:t>
      </w:r>
      <w:r w:rsidRPr="00604559">
        <w:t xml:space="preserve">potpora u BDP-u iznosio </w:t>
      </w:r>
      <w:r w:rsidR="008A6D85" w:rsidRPr="00604559">
        <w:t>0,15</w:t>
      </w:r>
      <w:r w:rsidR="000939F4" w:rsidRPr="00604559">
        <w:rPr>
          <w:rFonts w:eastAsia="Times New Roman"/>
        </w:rPr>
        <w:t xml:space="preserve"> </w:t>
      </w:r>
      <w:r w:rsidRPr="00604559">
        <w:t xml:space="preserve">posto dok je udio u </w:t>
      </w:r>
      <w:r w:rsidR="00C53039" w:rsidRPr="00604559">
        <w:t xml:space="preserve">ukupno </w:t>
      </w:r>
      <w:r w:rsidR="00C53039" w:rsidRPr="00A816EA">
        <w:t xml:space="preserve">dodijeljenim potporama </w:t>
      </w:r>
      <w:r w:rsidRPr="00A816EA">
        <w:t xml:space="preserve">iznosio </w:t>
      </w:r>
      <w:r w:rsidR="008A6D85" w:rsidRPr="00A816EA">
        <w:t>8,8</w:t>
      </w:r>
      <w:r w:rsidR="0092285D" w:rsidRPr="00A816EA">
        <w:t xml:space="preserve"> </w:t>
      </w:r>
      <w:r w:rsidRPr="00A816EA">
        <w:t xml:space="preserve">posto. </w:t>
      </w:r>
      <w:r w:rsidR="000939F4" w:rsidRPr="00A816EA">
        <w:t xml:space="preserve">Navedene potpore </w:t>
      </w:r>
      <w:r w:rsidR="003E045A" w:rsidRPr="00A816EA">
        <w:t xml:space="preserve">u </w:t>
      </w:r>
      <w:r w:rsidRPr="00A816EA">
        <w:t>najvećem dijel</w:t>
      </w:r>
      <w:r w:rsidR="003E045A" w:rsidRPr="00A816EA">
        <w:t xml:space="preserve">u </w:t>
      </w:r>
      <w:r w:rsidR="00D22CA0" w:rsidRPr="00A816EA">
        <w:t xml:space="preserve">su dodijeljene </w:t>
      </w:r>
      <w:r w:rsidR="003E045A" w:rsidRPr="00A816EA">
        <w:t xml:space="preserve">putem poreznih olakšica u iznosu od 66,2 milijuna eura ili s udjelom od 51,6 posto u sektoru poljoprivrede i ribarstva te putem subvencija </w:t>
      </w:r>
      <w:r w:rsidR="001C486A" w:rsidRPr="00A816EA">
        <w:t>od</w:t>
      </w:r>
      <w:r w:rsidR="003E045A" w:rsidRPr="00A816EA">
        <w:t xml:space="preserve"> 62 milijuna eura ili 48,4 posto. </w:t>
      </w:r>
      <w:r w:rsidR="000939F4" w:rsidRPr="00A816EA">
        <w:t xml:space="preserve">Unutar </w:t>
      </w:r>
      <w:r w:rsidR="00C53039" w:rsidRPr="00A816EA">
        <w:t>dodijeljenih potpora</w:t>
      </w:r>
      <w:r w:rsidR="00C53039" w:rsidRPr="00A816EA">
        <w:rPr>
          <w:b/>
        </w:rPr>
        <w:t xml:space="preserve"> </w:t>
      </w:r>
      <w:r w:rsidR="00C53039" w:rsidRPr="00A816EA">
        <w:t xml:space="preserve">u </w:t>
      </w:r>
      <w:r w:rsidR="000939F4" w:rsidRPr="00A816EA">
        <w:t>sektor</w:t>
      </w:r>
      <w:r w:rsidR="00C53039" w:rsidRPr="00A816EA">
        <w:t>u</w:t>
      </w:r>
      <w:r w:rsidR="000939F4" w:rsidRPr="00A816EA">
        <w:t xml:space="preserve"> poljoprivrede i ribarstva</w:t>
      </w:r>
      <w:r w:rsidR="008A6D85" w:rsidRPr="00A816EA">
        <w:t>,</w:t>
      </w:r>
      <w:r w:rsidR="00C53039" w:rsidRPr="00A816EA">
        <w:t xml:space="preserve"> </w:t>
      </w:r>
      <w:r w:rsidR="008A6D85" w:rsidRPr="00A816EA">
        <w:t>potpore sektoru poljoprivrede dodijeljene su u iznosu od 121</w:t>
      </w:r>
      <w:r w:rsidR="001C486A" w:rsidRPr="00A816EA">
        <w:t>,1</w:t>
      </w:r>
      <w:r w:rsidR="008A6D85" w:rsidRPr="00A816EA">
        <w:t xml:space="preserve"> milijun eura ili s udjelom od 94,</w:t>
      </w:r>
      <w:r w:rsidR="001C486A" w:rsidRPr="00A816EA">
        <w:t>5</w:t>
      </w:r>
      <w:r w:rsidR="008A6D85" w:rsidRPr="00A816EA">
        <w:t xml:space="preserve"> posto u sektoru poljoprivrede i ribarstva, dok su potpore u sektoru ribarstva dodijeljene u iznosu od 7,1 milijun eura ili s 5,</w:t>
      </w:r>
      <w:r w:rsidR="001C486A" w:rsidRPr="00A816EA">
        <w:t>5</w:t>
      </w:r>
      <w:r w:rsidR="008A6D85" w:rsidRPr="00A816EA">
        <w:t xml:space="preserve"> posto. Unutar potpora u sektoru poljoprivrede u iznosu od 121</w:t>
      </w:r>
      <w:r w:rsidR="001C486A" w:rsidRPr="00A816EA">
        <w:t>,1</w:t>
      </w:r>
      <w:r w:rsidR="008A6D85" w:rsidRPr="00A816EA">
        <w:t xml:space="preserve"> milijun eura, potpore za poljoprivredu, lov i šumarstvo dodijeljene su u iznosu od 120,</w:t>
      </w:r>
      <w:r w:rsidR="001C486A" w:rsidRPr="00A816EA">
        <w:t>8</w:t>
      </w:r>
      <w:r w:rsidR="008A6D85" w:rsidRPr="00A816EA">
        <w:t xml:space="preserve"> milijuna eura ili 99,</w:t>
      </w:r>
      <w:r w:rsidR="001C486A" w:rsidRPr="00A816EA">
        <w:t xml:space="preserve">8 </w:t>
      </w:r>
      <w:r w:rsidR="008A6D85" w:rsidRPr="00A816EA">
        <w:t>posto dok je ruralnom odnosno regionalnom razvoju dodijeljeno 312.587,81 euro ili 0,</w:t>
      </w:r>
      <w:r w:rsidR="001C486A" w:rsidRPr="00A816EA">
        <w:t>2</w:t>
      </w:r>
      <w:r w:rsidR="008A6D85" w:rsidRPr="00A816EA">
        <w:t xml:space="preserve"> posto potpora.</w:t>
      </w:r>
    </w:p>
    <w:p w14:paraId="302CE6A0" w14:textId="19CD9A95" w:rsidR="008A6D85" w:rsidRPr="00A816EA" w:rsidRDefault="008A6D85" w:rsidP="008A6D85">
      <w:pPr>
        <w:jc w:val="both"/>
      </w:pPr>
    </w:p>
    <w:p w14:paraId="2B917DE6" w14:textId="07BD4F9E" w:rsidR="00484B2D" w:rsidRPr="00A816EA" w:rsidRDefault="008A6D85" w:rsidP="00484B2D">
      <w:pPr>
        <w:jc w:val="both"/>
      </w:pPr>
      <w:r w:rsidRPr="00A816EA">
        <w:rPr>
          <w:u w:val="single"/>
        </w:rPr>
        <w:t>Poticaji i izravna plaćanja u sektoru poljoprivrede i ribarstva</w:t>
      </w:r>
      <w:r w:rsidRPr="00A816EA">
        <w:t xml:space="preserve">, koji se dodjeljuju temeljem Strateškog plana Zajedničke poljoprivredne politike Republike Hrvatske za razdoblje 2023.-2027. kao </w:t>
      </w:r>
      <w:r w:rsidR="00DB7D60" w:rsidRPr="00A816EA">
        <w:t>sredstva</w:t>
      </w:r>
      <w:r w:rsidRPr="00A816EA">
        <w:t xml:space="preserve"> koj</w:t>
      </w:r>
      <w:r w:rsidR="00DB7D60" w:rsidRPr="00A816EA">
        <w:t xml:space="preserve">a Ministarstvo poljoprivrede, šumarstva i ribarstva </w:t>
      </w:r>
      <w:r w:rsidRPr="00A816EA">
        <w:t>ne smatr</w:t>
      </w:r>
      <w:r w:rsidR="00DB7D60" w:rsidRPr="00A816EA">
        <w:t>a</w:t>
      </w:r>
      <w:r w:rsidRPr="00A816EA">
        <w:t xml:space="preserve"> državnim potporama, kako je i objašnjeno dalje u Izvješću, dodijeljeni su </w:t>
      </w:r>
      <w:r w:rsidR="00484B2D" w:rsidRPr="00A816EA">
        <w:t xml:space="preserve">u 2024. godini </w:t>
      </w:r>
      <w:r w:rsidRPr="00A816EA">
        <w:t xml:space="preserve">u </w:t>
      </w:r>
      <w:r w:rsidR="00484B2D" w:rsidRPr="00A816EA">
        <w:t>iznosu od 842,1 milijun eura, a udio navedenih poticaja u BDP-u iznosio je 0,98</w:t>
      </w:r>
      <w:r w:rsidR="00484B2D" w:rsidRPr="00A816EA">
        <w:rPr>
          <w:rFonts w:eastAsia="Times New Roman"/>
        </w:rPr>
        <w:t xml:space="preserve"> </w:t>
      </w:r>
      <w:r w:rsidR="00484B2D" w:rsidRPr="00A816EA">
        <w:t xml:space="preserve">posto. Ukoliko bi se u sektoru poljoprivrede i ribarstva u 2024. godini, zbrojile sve dodijeljene potpore s dodijeljenim poticajima i izravnim plaćanjima, iznos tih navedenih sredstava iznosio bi 970,3 milijuna </w:t>
      </w:r>
      <w:r w:rsidR="00856A93" w:rsidRPr="00A816EA">
        <w:t>eura</w:t>
      </w:r>
      <w:r w:rsidR="00484B2D" w:rsidRPr="00A816EA">
        <w:t>.</w:t>
      </w:r>
    </w:p>
    <w:p w14:paraId="5E0396AB" w14:textId="3AB04674" w:rsidR="000939F4" w:rsidRPr="00A816EA" w:rsidRDefault="000939F4" w:rsidP="0092285D">
      <w:pPr>
        <w:jc w:val="both"/>
        <w:rPr>
          <w:u w:val="single"/>
        </w:rPr>
      </w:pPr>
    </w:p>
    <w:p w14:paraId="4AB80C57" w14:textId="4721DC24" w:rsidR="003B3627" w:rsidRPr="00A816EA" w:rsidRDefault="00FA5483" w:rsidP="003B3627">
      <w:pPr>
        <w:jc w:val="both"/>
      </w:pPr>
      <w:r w:rsidRPr="00A816EA">
        <w:rPr>
          <w:u w:val="single"/>
        </w:rPr>
        <w:t>P</w:t>
      </w:r>
      <w:r w:rsidRPr="00A816EA">
        <w:rPr>
          <w:bCs/>
          <w:u w:val="single"/>
        </w:rPr>
        <w:t xml:space="preserve">otpore </w:t>
      </w:r>
      <w:r w:rsidR="0092285D" w:rsidRPr="00A816EA">
        <w:rPr>
          <w:bCs/>
          <w:u w:val="single"/>
        </w:rPr>
        <w:t xml:space="preserve">u </w:t>
      </w:r>
      <w:r w:rsidRPr="00A816EA">
        <w:rPr>
          <w:bCs/>
          <w:u w:val="single"/>
        </w:rPr>
        <w:t xml:space="preserve">sektoru </w:t>
      </w:r>
      <w:r w:rsidRPr="00A816EA">
        <w:rPr>
          <w:u w:val="single"/>
        </w:rPr>
        <w:t>industrije i usluga</w:t>
      </w:r>
      <w:r w:rsidRPr="00A816EA">
        <w:t xml:space="preserve"> </w:t>
      </w:r>
      <w:r w:rsidR="006D5245" w:rsidRPr="00A816EA">
        <w:rPr>
          <w:bCs/>
        </w:rPr>
        <w:t xml:space="preserve">dodijeljene su </w:t>
      </w:r>
      <w:r w:rsidR="00FA2983" w:rsidRPr="00A816EA">
        <w:t>202</w:t>
      </w:r>
      <w:r w:rsidR="006D5245" w:rsidRPr="00A816EA">
        <w:t>4</w:t>
      </w:r>
      <w:r w:rsidR="00FA2983" w:rsidRPr="00A816EA">
        <w:t xml:space="preserve">. godini </w:t>
      </w:r>
      <w:r w:rsidRPr="00A816EA">
        <w:rPr>
          <w:bCs/>
        </w:rPr>
        <w:t xml:space="preserve">u iznosu od </w:t>
      </w:r>
      <w:r w:rsidR="00A816EA" w:rsidRPr="00A816EA">
        <w:t>1,3 milijarde eura</w:t>
      </w:r>
      <w:r w:rsidR="001C486A" w:rsidRPr="00A816EA">
        <w:t xml:space="preserve"> </w:t>
      </w:r>
      <w:r w:rsidR="00A74681" w:rsidRPr="00A816EA">
        <w:t xml:space="preserve">s udjelom </w:t>
      </w:r>
      <w:r w:rsidRPr="00A816EA">
        <w:t xml:space="preserve">u BDP-u </w:t>
      </w:r>
      <w:r w:rsidR="00A74681" w:rsidRPr="00A816EA">
        <w:t xml:space="preserve">od </w:t>
      </w:r>
      <w:r w:rsidR="006D5245" w:rsidRPr="00A816EA">
        <w:t>1,54 posto</w:t>
      </w:r>
      <w:r w:rsidRPr="00A816EA">
        <w:t>, dok je udio u ukupn</w:t>
      </w:r>
      <w:r w:rsidR="00A74681" w:rsidRPr="00A816EA">
        <w:t>im</w:t>
      </w:r>
      <w:r w:rsidRPr="00A816EA">
        <w:t xml:space="preserve"> potporama </w:t>
      </w:r>
      <w:r w:rsidR="006D5245" w:rsidRPr="00A816EA">
        <w:t>91,2 posto</w:t>
      </w:r>
      <w:r w:rsidRPr="00A816EA">
        <w:t xml:space="preserve">. </w:t>
      </w:r>
      <w:r w:rsidR="006D5245" w:rsidRPr="00A816EA">
        <w:t xml:space="preserve">Unutar navedenih potpora, posebnim sektorima dodijeljeno </w:t>
      </w:r>
      <w:r w:rsidR="001C486A" w:rsidRPr="00A816EA">
        <w:t xml:space="preserve">je </w:t>
      </w:r>
      <w:r w:rsidR="006D5245" w:rsidRPr="00A816EA">
        <w:t>802,6 milijuna eura ili 60,</w:t>
      </w:r>
      <w:r w:rsidR="001C486A" w:rsidRPr="00A816EA">
        <w:t>8</w:t>
      </w:r>
      <w:r w:rsidR="006D5245" w:rsidRPr="00A816EA">
        <w:t xml:space="preserve"> posto</w:t>
      </w:r>
      <w:r w:rsidR="00D22CA0" w:rsidRPr="00A816EA">
        <w:t xml:space="preserve"> udjela</w:t>
      </w:r>
      <w:r w:rsidR="006D5245" w:rsidRPr="00A816EA">
        <w:t xml:space="preserve"> u </w:t>
      </w:r>
      <w:r w:rsidR="00C247D0" w:rsidRPr="00A816EA">
        <w:t xml:space="preserve">navedenom </w:t>
      </w:r>
      <w:r w:rsidR="006D5245" w:rsidRPr="00A816EA">
        <w:t>sektoru, horizontalnim ciljevima, uključujući horizontalne potpore, regionalne potpore i potpore na lokalnoj razini, dodijeljeno je 515,</w:t>
      </w:r>
      <w:r w:rsidR="001C486A" w:rsidRPr="00A816EA">
        <w:t>8</w:t>
      </w:r>
      <w:r w:rsidR="006D5245" w:rsidRPr="00A816EA">
        <w:t xml:space="preserve"> milijuna eura ili 39 posto i kao potpora podrške gospodarstvu u COVID–19 pandemiji te za suzbijanje učinaka ruske agresije na Ukrajinu 2,5 milijuna eura ili 0,2 posto. </w:t>
      </w:r>
      <w:r w:rsidR="00D4001D" w:rsidRPr="00A816EA">
        <w:t xml:space="preserve">Potpore u sektoru industrije i usluga najvećim dijelom su dodjeljivane putem </w:t>
      </w:r>
      <w:r w:rsidR="003B3627" w:rsidRPr="00A816EA">
        <w:t xml:space="preserve">subvencija i neposrednih subvencija kamata u iznosu od </w:t>
      </w:r>
      <w:r w:rsidR="00A816EA" w:rsidRPr="00A816EA">
        <w:t xml:space="preserve">1,1 milijarde eura </w:t>
      </w:r>
      <w:r w:rsidR="006D5245" w:rsidRPr="00A816EA">
        <w:t xml:space="preserve">ili s udjelom od 86,2 posto u sektoru industrije i usluga, slijede porezne olakšice sa 136,7 </w:t>
      </w:r>
      <w:r w:rsidR="006D5245" w:rsidRPr="00A816EA">
        <w:lastRenderedPageBreak/>
        <w:t xml:space="preserve">milijuna eura ili 10,3 posto, povoljni zajmovi s </w:t>
      </w:r>
      <w:r w:rsidR="001C486A" w:rsidRPr="00A816EA">
        <w:t xml:space="preserve">24,9 milijuna </w:t>
      </w:r>
      <w:r w:rsidR="006D5245" w:rsidRPr="00A816EA">
        <w:t>eura ili 1,9 posto, izdana jamstva s 19,6 milijuna eura ili 1,5</w:t>
      </w:r>
      <w:r w:rsidR="006D5245" w:rsidRPr="00A816EA">
        <w:rPr>
          <w:rFonts w:eastAsia="Times New Roman"/>
        </w:rPr>
        <w:t xml:space="preserve"> </w:t>
      </w:r>
      <w:r w:rsidR="006D5245" w:rsidRPr="00A816EA">
        <w:t>posto te kapitalna ulaganja s 1,7 milijuna eura ili 0,1</w:t>
      </w:r>
      <w:r w:rsidR="006D5245" w:rsidRPr="00A816EA">
        <w:rPr>
          <w:rFonts w:eastAsia="Times New Roman"/>
        </w:rPr>
        <w:t xml:space="preserve"> </w:t>
      </w:r>
      <w:r w:rsidR="006D5245" w:rsidRPr="00A816EA">
        <w:t>posto</w:t>
      </w:r>
      <w:r w:rsidR="003B3627" w:rsidRPr="00A816EA">
        <w:t>.</w:t>
      </w:r>
    </w:p>
    <w:p w14:paraId="43B853B3" w14:textId="77777777" w:rsidR="001C486A" w:rsidRPr="00A816EA" w:rsidRDefault="001C486A" w:rsidP="001C486A"/>
    <w:p w14:paraId="3CF8989A" w14:textId="5A0D2C09" w:rsidR="00C247D0" w:rsidRPr="00A816EA" w:rsidRDefault="00FA5483" w:rsidP="00C247D0">
      <w:pPr>
        <w:jc w:val="both"/>
        <w:rPr>
          <w:spacing w:val="-2"/>
        </w:rPr>
      </w:pPr>
      <w:r w:rsidRPr="00A816EA">
        <w:rPr>
          <w:spacing w:val="-2"/>
          <w:u w:val="single"/>
        </w:rPr>
        <w:t>Horizontalne potpore</w:t>
      </w:r>
      <w:r w:rsidRPr="00A816EA">
        <w:rPr>
          <w:spacing w:val="-2"/>
        </w:rPr>
        <w:t xml:space="preserve">, uključujući </w:t>
      </w:r>
      <w:r w:rsidR="00D4001D" w:rsidRPr="00A816EA">
        <w:rPr>
          <w:spacing w:val="-2"/>
        </w:rPr>
        <w:t xml:space="preserve">horizontalne ciljeve, </w:t>
      </w:r>
      <w:r w:rsidRPr="00A816EA">
        <w:rPr>
          <w:spacing w:val="-2"/>
        </w:rPr>
        <w:t>regionalne potpore i potpore na lokalnoj razini, dodijeljene su u 202</w:t>
      </w:r>
      <w:r w:rsidR="00D22CA0" w:rsidRPr="00A816EA">
        <w:rPr>
          <w:spacing w:val="-2"/>
        </w:rPr>
        <w:t>4</w:t>
      </w:r>
      <w:r w:rsidRPr="00A816EA">
        <w:rPr>
          <w:spacing w:val="-2"/>
        </w:rPr>
        <w:t xml:space="preserve">. godini u iznosu od </w:t>
      </w:r>
      <w:r w:rsidR="006D5245" w:rsidRPr="00A816EA">
        <w:rPr>
          <w:spacing w:val="-2"/>
        </w:rPr>
        <w:t>515,</w:t>
      </w:r>
      <w:r w:rsidR="00F42021" w:rsidRPr="00A816EA">
        <w:rPr>
          <w:spacing w:val="-2"/>
        </w:rPr>
        <w:t>8</w:t>
      </w:r>
      <w:r w:rsidR="006D5245" w:rsidRPr="00A816EA">
        <w:rPr>
          <w:spacing w:val="-2"/>
        </w:rPr>
        <w:t xml:space="preserve"> milijuna </w:t>
      </w:r>
      <w:r w:rsidR="0024696D" w:rsidRPr="00A816EA">
        <w:rPr>
          <w:spacing w:val="-2"/>
        </w:rPr>
        <w:t>eura</w:t>
      </w:r>
      <w:r w:rsidRPr="00A816EA">
        <w:rPr>
          <w:spacing w:val="-2"/>
        </w:rPr>
        <w:t xml:space="preserve">. </w:t>
      </w:r>
      <w:r w:rsidR="00945FD1" w:rsidRPr="00A816EA">
        <w:rPr>
          <w:spacing w:val="-2"/>
        </w:rPr>
        <w:t xml:space="preserve">Udio navedenih potpora u BDP-u iznosio je </w:t>
      </w:r>
      <w:r w:rsidR="00C247D0" w:rsidRPr="00A816EA">
        <w:rPr>
          <w:spacing w:val="-2"/>
        </w:rPr>
        <w:t xml:space="preserve">0,60 </w:t>
      </w:r>
      <w:r w:rsidR="00945FD1" w:rsidRPr="00A816EA">
        <w:rPr>
          <w:spacing w:val="-2"/>
        </w:rPr>
        <w:t xml:space="preserve">posto, udio u ukupno dodijeljenim potporama </w:t>
      </w:r>
      <w:r w:rsidR="00C247D0" w:rsidRPr="00A816EA">
        <w:rPr>
          <w:spacing w:val="-2"/>
        </w:rPr>
        <w:t xml:space="preserve">35,6 </w:t>
      </w:r>
      <w:r w:rsidR="00945FD1" w:rsidRPr="00A816EA">
        <w:rPr>
          <w:spacing w:val="-2"/>
        </w:rPr>
        <w:t>posto</w:t>
      </w:r>
      <w:r w:rsidR="00D22CA0" w:rsidRPr="00A816EA">
        <w:rPr>
          <w:spacing w:val="-2"/>
        </w:rPr>
        <w:t xml:space="preserve"> i </w:t>
      </w:r>
      <w:r w:rsidR="00945FD1" w:rsidRPr="00A816EA">
        <w:rPr>
          <w:spacing w:val="-2"/>
        </w:rPr>
        <w:t xml:space="preserve">udio u sektoru industrije i usluga </w:t>
      </w:r>
      <w:r w:rsidR="00C247D0" w:rsidRPr="00A816EA">
        <w:rPr>
          <w:spacing w:val="-2"/>
        </w:rPr>
        <w:t>39,1 posto</w:t>
      </w:r>
      <w:r w:rsidR="00945FD1" w:rsidRPr="00A816EA">
        <w:rPr>
          <w:spacing w:val="-2"/>
        </w:rPr>
        <w:t xml:space="preserve">. </w:t>
      </w:r>
      <w:r w:rsidR="003B3627" w:rsidRPr="00A816EA">
        <w:rPr>
          <w:spacing w:val="-2"/>
        </w:rPr>
        <w:t>Unutar horizontalnih potpora, na horizontalne ciljeve odnosno horizontalne potpore u užem smislu</w:t>
      </w:r>
      <w:r w:rsidR="003B3627" w:rsidRPr="00A816EA">
        <w:rPr>
          <w:spacing w:val="-2"/>
          <w:vertAlign w:val="superscript"/>
        </w:rPr>
        <w:footnoteReference w:id="12"/>
      </w:r>
      <w:r w:rsidR="003B3627" w:rsidRPr="00A816EA">
        <w:rPr>
          <w:spacing w:val="-2"/>
        </w:rPr>
        <w:t xml:space="preserve">, odnosi se iznos od </w:t>
      </w:r>
      <w:r w:rsidR="006D5245" w:rsidRPr="00A816EA">
        <w:rPr>
          <w:spacing w:val="-2"/>
        </w:rPr>
        <w:t>213,</w:t>
      </w:r>
      <w:r w:rsidR="00F42021" w:rsidRPr="00A816EA">
        <w:rPr>
          <w:spacing w:val="-2"/>
        </w:rPr>
        <w:t>5</w:t>
      </w:r>
      <w:r w:rsidR="006D5245" w:rsidRPr="00A816EA">
        <w:rPr>
          <w:spacing w:val="-2"/>
        </w:rPr>
        <w:t xml:space="preserve"> </w:t>
      </w:r>
      <w:r w:rsidR="0024696D" w:rsidRPr="00A816EA">
        <w:rPr>
          <w:spacing w:val="-2"/>
        </w:rPr>
        <w:t>milijuna eura</w:t>
      </w:r>
      <w:r w:rsidR="003B3627" w:rsidRPr="00A816EA">
        <w:rPr>
          <w:spacing w:val="-2"/>
        </w:rPr>
        <w:t xml:space="preserve"> ili udio od </w:t>
      </w:r>
      <w:r w:rsidR="00C247D0" w:rsidRPr="00A816EA">
        <w:rPr>
          <w:spacing w:val="-2"/>
        </w:rPr>
        <w:t>41,4</w:t>
      </w:r>
      <w:r w:rsidR="0024696D" w:rsidRPr="00A816EA">
        <w:rPr>
          <w:spacing w:val="-2"/>
        </w:rPr>
        <w:t xml:space="preserve"> posto </w:t>
      </w:r>
      <w:r w:rsidR="003B3627" w:rsidRPr="00A816EA">
        <w:rPr>
          <w:spacing w:val="-2"/>
        </w:rPr>
        <w:t xml:space="preserve">u horizontalnim potporama, na regionalne potpore </w:t>
      </w:r>
      <w:r w:rsidR="006D5245" w:rsidRPr="00A816EA">
        <w:rPr>
          <w:spacing w:val="-2"/>
        </w:rPr>
        <w:t xml:space="preserve">134,9 </w:t>
      </w:r>
      <w:r w:rsidR="0024696D" w:rsidRPr="00A816EA">
        <w:rPr>
          <w:spacing w:val="-2"/>
        </w:rPr>
        <w:t xml:space="preserve">milijuna eura </w:t>
      </w:r>
      <w:r w:rsidR="003B3627" w:rsidRPr="00A816EA">
        <w:rPr>
          <w:spacing w:val="-2"/>
        </w:rPr>
        <w:t xml:space="preserve">ili </w:t>
      </w:r>
      <w:r w:rsidR="0024696D" w:rsidRPr="00A816EA">
        <w:rPr>
          <w:spacing w:val="-2"/>
        </w:rPr>
        <w:t>26,</w:t>
      </w:r>
      <w:r w:rsidR="00F42021" w:rsidRPr="00A816EA">
        <w:rPr>
          <w:spacing w:val="-2"/>
        </w:rPr>
        <w:t>1</w:t>
      </w:r>
      <w:r w:rsidR="0024696D" w:rsidRPr="00A816EA">
        <w:rPr>
          <w:spacing w:val="-2"/>
        </w:rPr>
        <w:t xml:space="preserve"> posto </w:t>
      </w:r>
      <w:r w:rsidR="00D22CA0" w:rsidRPr="00A816EA">
        <w:rPr>
          <w:spacing w:val="-2"/>
        </w:rPr>
        <w:t xml:space="preserve">i </w:t>
      </w:r>
      <w:r w:rsidR="003B3627" w:rsidRPr="00A816EA">
        <w:rPr>
          <w:spacing w:val="-2"/>
        </w:rPr>
        <w:t xml:space="preserve">na potpore na lokalnoj razini </w:t>
      </w:r>
      <w:r w:rsidR="006D5245" w:rsidRPr="00A816EA">
        <w:rPr>
          <w:spacing w:val="-2"/>
        </w:rPr>
        <w:t xml:space="preserve">167,4 </w:t>
      </w:r>
      <w:r w:rsidR="0024696D" w:rsidRPr="00A816EA">
        <w:rPr>
          <w:spacing w:val="-2"/>
        </w:rPr>
        <w:t>milijuna eura</w:t>
      </w:r>
      <w:r w:rsidR="003B3627" w:rsidRPr="00A816EA">
        <w:rPr>
          <w:spacing w:val="-2"/>
        </w:rPr>
        <w:t xml:space="preserve"> ili </w:t>
      </w:r>
      <w:r w:rsidR="00C247D0" w:rsidRPr="00A816EA">
        <w:rPr>
          <w:spacing w:val="-2"/>
        </w:rPr>
        <w:t>32,5</w:t>
      </w:r>
      <w:r w:rsidR="0024696D" w:rsidRPr="00A816EA">
        <w:rPr>
          <w:spacing w:val="-2"/>
        </w:rPr>
        <w:t xml:space="preserve"> posto</w:t>
      </w:r>
      <w:r w:rsidR="003B3627" w:rsidRPr="00A816EA">
        <w:rPr>
          <w:spacing w:val="-2"/>
        </w:rPr>
        <w:t>.</w:t>
      </w:r>
      <w:r w:rsidR="00A74681" w:rsidRPr="00A816EA">
        <w:rPr>
          <w:spacing w:val="-2"/>
        </w:rPr>
        <w:t xml:space="preserve"> </w:t>
      </w:r>
      <w:r w:rsidR="003B3627" w:rsidRPr="00A816EA">
        <w:rPr>
          <w:spacing w:val="-2"/>
        </w:rPr>
        <w:t xml:space="preserve">Horizontalne potpore najvećim dijelom dodjeljivane su putem </w:t>
      </w:r>
      <w:r w:rsidR="00C247D0" w:rsidRPr="00A816EA">
        <w:rPr>
          <w:spacing w:val="-2"/>
        </w:rPr>
        <w:t>subvencija i neposrednih subvencija kamata u iznosu od 386,</w:t>
      </w:r>
      <w:r w:rsidR="00F42021" w:rsidRPr="00A816EA">
        <w:rPr>
          <w:spacing w:val="-2"/>
        </w:rPr>
        <w:t>3</w:t>
      </w:r>
      <w:r w:rsidR="00C247D0" w:rsidRPr="00A816EA">
        <w:rPr>
          <w:spacing w:val="-2"/>
        </w:rPr>
        <w:t xml:space="preserve"> milijuna eura ili s 74,9 posto udjela u horizontalnim potporama, slijede porezne olakšice od 117,2 milijuna eura ili 22,7 posto, povoljni zajmovi s 6,</w:t>
      </w:r>
      <w:r w:rsidR="00F42021" w:rsidRPr="00A816EA">
        <w:rPr>
          <w:spacing w:val="-2"/>
        </w:rPr>
        <w:t>2</w:t>
      </w:r>
      <w:r w:rsidR="00C247D0" w:rsidRPr="00A816EA">
        <w:rPr>
          <w:spacing w:val="-2"/>
        </w:rPr>
        <w:t xml:space="preserve"> milijun</w:t>
      </w:r>
      <w:r w:rsidR="00F42021" w:rsidRPr="00A816EA">
        <w:rPr>
          <w:spacing w:val="-2"/>
        </w:rPr>
        <w:t>a</w:t>
      </w:r>
      <w:r w:rsidR="00C247D0" w:rsidRPr="00A816EA">
        <w:rPr>
          <w:spacing w:val="-2"/>
        </w:rPr>
        <w:t xml:space="preserve"> eura ili 1,2 posto, izdana jamstva od 4,4 milijuna eura ili 0,9 posto te kapitalna ulaganja od 1,7 milijuna eura ili 0,3 posto.</w:t>
      </w:r>
    </w:p>
    <w:p w14:paraId="4E1AA44A" w14:textId="77777777" w:rsidR="006D5245" w:rsidRPr="00A816EA" w:rsidRDefault="006D5245" w:rsidP="00F77B9F">
      <w:pPr>
        <w:jc w:val="both"/>
      </w:pPr>
    </w:p>
    <w:p w14:paraId="5A98C622" w14:textId="7A0D5020" w:rsidR="00C247D0" w:rsidRPr="00A816EA" w:rsidRDefault="00FA5483" w:rsidP="00C247D0">
      <w:pPr>
        <w:jc w:val="both"/>
      </w:pPr>
      <w:r w:rsidRPr="00A816EA">
        <w:rPr>
          <w:u w:val="single"/>
        </w:rPr>
        <w:t>Potpore za horizontalne ciljeve ili „horizontalne potpore u užem smislu</w:t>
      </w:r>
      <w:r w:rsidRPr="00A816EA">
        <w:rPr>
          <w:u w:val="single"/>
          <w:vertAlign w:val="superscript"/>
        </w:rPr>
        <w:footnoteReference w:id="13"/>
      </w:r>
      <w:r w:rsidR="00C45715" w:rsidRPr="00A816EA">
        <w:rPr>
          <w:u w:val="single"/>
        </w:rPr>
        <w:t>“</w:t>
      </w:r>
      <w:r w:rsidRPr="00A816EA">
        <w:t xml:space="preserve"> </w:t>
      </w:r>
      <w:r w:rsidR="00C247D0" w:rsidRPr="00A816EA">
        <w:t xml:space="preserve">dodijeljene su u </w:t>
      </w:r>
      <w:r w:rsidRPr="00A816EA">
        <w:t>202</w:t>
      </w:r>
      <w:r w:rsidR="00C247D0" w:rsidRPr="00A816EA">
        <w:t>4</w:t>
      </w:r>
      <w:r w:rsidRPr="00A816EA">
        <w:t xml:space="preserve">. godini </w:t>
      </w:r>
      <w:r w:rsidR="00C247D0" w:rsidRPr="00A816EA">
        <w:t xml:space="preserve">u </w:t>
      </w:r>
      <w:r w:rsidRPr="00A816EA">
        <w:t xml:space="preserve">iznosu od </w:t>
      </w:r>
      <w:r w:rsidR="00C247D0" w:rsidRPr="00A816EA">
        <w:t>213,</w:t>
      </w:r>
      <w:r w:rsidR="00DB5DD7" w:rsidRPr="00A816EA">
        <w:t>5</w:t>
      </w:r>
      <w:r w:rsidR="00C247D0" w:rsidRPr="00A816EA">
        <w:t xml:space="preserve"> </w:t>
      </w:r>
      <w:r w:rsidR="00D91753" w:rsidRPr="00A816EA">
        <w:t>milijuna eura</w:t>
      </w:r>
      <w:r w:rsidR="00F84B75" w:rsidRPr="00A816EA">
        <w:t>. Udio navedenih</w:t>
      </w:r>
      <w:r w:rsidR="008C4DB4" w:rsidRPr="00A816EA">
        <w:t xml:space="preserve"> potpora</w:t>
      </w:r>
      <w:r w:rsidR="008C4DB4" w:rsidRPr="00A816EA">
        <w:rPr>
          <w:rFonts w:eastAsiaTheme="minorEastAsia"/>
        </w:rPr>
        <w:t xml:space="preserve"> u </w:t>
      </w:r>
      <w:r w:rsidR="008C4DB4" w:rsidRPr="00A816EA">
        <w:t xml:space="preserve">BDP-u iznosio </w:t>
      </w:r>
      <w:r w:rsidR="00F84B75" w:rsidRPr="00A816EA">
        <w:t xml:space="preserve">je </w:t>
      </w:r>
      <w:r w:rsidR="00D91753" w:rsidRPr="00A816EA">
        <w:t>0,</w:t>
      </w:r>
      <w:r w:rsidR="00C247D0" w:rsidRPr="00A816EA">
        <w:t>2</w:t>
      </w:r>
      <w:r w:rsidR="00D91753" w:rsidRPr="00A816EA">
        <w:t>5 posto</w:t>
      </w:r>
      <w:r w:rsidR="008C4DB4" w:rsidRPr="00A816EA">
        <w:t xml:space="preserve">, udio u ukupno dodijeljenim potporama </w:t>
      </w:r>
      <w:r w:rsidR="00C247D0" w:rsidRPr="00A816EA">
        <w:t xml:space="preserve">14,7 </w:t>
      </w:r>
      <w:r w:rsidR="008C4DB4" w:rsidRPr="00A816EA">
        <w:t>posto</w:t>
      </w:r>
      <w:r w:rsidR="00D22CA0" w:rsidRPr="00A816EA">
        <w:t xml:space="preserve"> i </w:t>
      </w:r>
      <w:r w:rsidR="008C4DB4" w:rsidRPr="00A816EA">
        <w:t xml:space="preserve">udio u sektoru industrije i usluga </w:t>
      </w:r>
      <w:r w:rsidR="00C247D0" w:rsidRPr="00A816EA">
        <w:t xml:space="preserve">16,2 </w:t>
      </w:r>
      <w:r w:rsidR="008C4DB4" w:rsidRPr="00A816EA">
        <w:t>posto. Unutar horizontalnih ciljeva</w:t>
      </w:r>
      <w:r w:rsidR="00D91753" w:rsidRPr="00A816EA">
        <w:t>,</w:t>
      </w:r>
      <w:r w:rsidR="008C4DB4" w:rsidRPr="00A816EA">
        <w:t xml:space="preserve"> najviše potpora dodijeljeno je </w:t>
      </w:r>
      <w:r w:rsidR="00F84B75" w:rsidRPr="00A816EA">
        <w:t xml:space="preserve">za </w:t>
      </w:r>
      <w:r w:rsidR="00D91753" w:rsidRPr="00A816EA">
        <w:t xml:space="preserve">istraživanje i razvoj i inovacije u iznosu od </w:t>
      </w:r>
      <w:r w:rsidR="00C247D0" w:rsidRPr="00A816EA">
        <w:t xml:space="preserve">160,4 milijuna eura ili sa 75,1 posto udjela </w:t>
      </w:r>
      <w:r w:rsidR="00D91753" w:rsidRPr="00A816EA">
        <w:t xml:space="preserve">u horizontalnim ciljevima, </w:t>
      </w:r>
      <w:r w:rsidR="00C247D0" w:rsidRPr="00A816EA">
        <w:t>slijede potpore za zapošljavanje s 39 milijuna eura ili 18,3 posto, potpore malim i srednjim poduzetnicima s 10,2 milijuna eura ili 4,8 posto, potpore za kulturu s 3,1 milijun eura ili 1,</w:t>
      </w:r>
      <w:r w:rsidR="00C24D54" w:rsidRPr="00A816EA">
        <w:t>4</w:t>
      </w:r>
      <w:r w:rsidR="00C247D0" w:rsidRPr="00A816EA">
        <w:t xml:space="preserve"> posto te potpore za usavršavanje dodijeljene u iznosu od 750.105,91 euro ili 0,</w:t>
      </w:r>
      <w:r w:rsidR="00DB5DD7" w:rsidRPr="00A816EA">
        <w:t>4</w:t>
      </w:r>
      <w:r w:rsidR="00C247D0" w:rsidRPr="00A816EA">
        <w:t xml:space="preserve"> posto. </w:t>
      </w:r>
      <w:r w:rsidR="008C4DB4" w:rsidRPr="00A816EA">
        <w:t xml:space="preserve">Navedene potpore dodijeljene su najvećim dijelom putem </w:t>
      </w:r>
      <w:r w:rsidR="00C247D0" w:rsidRPr="00A816EA">
        <w:t>subvencija i neposrednih subvencija kamata u iznosu od 21</w:t>
      </w:r>
      <w:r w:rsidR="00DB5DD7" w:rsidRPr="00A816EA">
        <w:t>2,9</w:t>
      </w:r>
      <w:r w:rsidR="00C247D0" w:rsidRPr="00A816EA">
        <w:t xml:space="preserve"> milijuna eura ili s udjelom od 99,7</w:t>
      </w:r>
      <w:r w:rsidR="00C247D0" w:rsidRPr="00A816EA">
        <w:rPr>
          <w:rFonts w:eastAsia="Times New Roman"/>
        </w:rPr>
        <w:t xml:space="preserve"> </w:t>
      </w:r>
      <w:r w:rsidR="00C247D0" w:rsidRPr="00A816EA">
        <w:t>posto u horizontalnim ciljevima te kroz povoljne zajmove 556.518,12 eura ili 0,3 posto.</w:t>
      </w:r>
    </w:p>
    <w:p w14:paraId="2325822C" w14:textId="77777777" w:rsidR="00F77B9F" w:rsidRPr="00A816EA" w:rsidRDefault="00F77B9F" w:rsidP="00F84B75">
      <w:pPr>
        <w:jc w:val="both"/>
      </w:pPr>
    </w:p>
    <w:p w14:paraId="352373A2" w14:textId="2ABE2ACC" w:rsidR="00B06DD7" w:rsidRPr="00A816EA" w:rsidRDefault="00FA5483" w:rsidP="00F77B9F">
      <w:pPr>
        <w:jc w:val="both"/>
      </w:pPr>
      <w:r w:rsidRPr="00A816EA">
        <w:rPr>
          <w:u w:val="single"/>
        </w:rPr>
        <w:t>Regionalne potpore</w:t>
      </w:r>
      <w:r w:rsidRPr="00A816EA">
        <w:t xml:space="preserve"> </w:t>
      </w:r>
      <w:r w:rsidR="00D91753" w:rsidRPr="00A816EA">
        <w:t xml:space="preserve">dodijeljene </w:t>
      </w:r>
      <w:r w:rsidR="00B06DD7" w:rsidRPr="00A816EA">
        <w:t>su u 2024</w:t>
      </w:r>
      <w:r w:rsidR="00D91753" w:rsidRPr="00A816EA">
        <w:t xml:space="preserve">. godini </w:t>
      </w:r>
      <w:r w:rsidRPr="00A816EA">
        <w:t xml:space="preserve">u iznosu od </w:t>
      </w:r>
      <w:r w:rsidR="00B06DD7" w:rsidRPr="00A816EA">
        <w:t xml:space="preserve">134,9 </w:t>
      </w:r>
      <w:r w:rsidR="00D91753" w:rsidRPr="00A816EA">
        <w:t>milijuna eura</w:t>
      </w:r>
      <w:r w:rsidR="00F84B75" w:rsidRPr="00A816EA">
        <w:t xml:space="preserve">. Udio navedenih potpora u </w:t>
      </w:r>
      <w:r w:rsidR="008C4DB4" w:rsidRPr="00A816EA">
        <w:t xml:space="preserve">BDP-u </w:t>
      </w:r>
      <w:r w:rsidR="00F84B75" w:rsidRPr="00A816EA">
        <w:t xml:space="preserve">iznosi </w:t>
      </w:r>
      <w:r w:rsidR="00D22CA0" w:rsidRPr="00A816EA">
        <w:t xml:space="preserve">je </w:t>
      </w:r>
      <w:r w:rsidR="00D91753" w:rsidRPr="00A816EA">
        <w:t>0,1</w:t>
      </w:r>
      <w:r w:rsidR="00B06DD7" w:rsidRPr="00A816EA">
        <w:t>6</w:t>
      </w:r>
      <w:r w:rsidR="00D91753" w:rsidRPr="00A816EA">
        <w:t xml:space="preserve"> </w:t>
      </w:r>
      <w:r w:rsidR="008C4DB4" w:rsidRPr="00A816EA">
        <w:t xml:space="preserve">posto, u ukupno dodijeljenim potporama </w:t>
      </w:r>
      <w:r w:rsidR="00B06DD7" w:rsidRPr="00A816EA">
        <w:t>9,3</w:t>
      </w:r>
      <w:r w:rsidR="00D91753" w:rsidRPr="00A816EA">
        <w:t xml:space="preserve"> posto</w:t>
      </w:r>
      <w:r w:rsidR="00B06DD7" w:rsidRPr="00A816EA">
        <w:t xml:space="preserve"> i </w:t>
      </w:r>
      <w:r w:rsidR="00F84B75" w:rsidRPr="00A816EA">
        <w:t xml:space="preserve">u potporama u sektoru industrije i usluga </w:t>
      </w:r>
      <w:r w:rsidR="00B06DD7" w:rsidRPr="00A816EA">
        <w:t>10,2</w:t>
      </w:r>
      <w:r w:rsidR="00D91753" w:rsidRPr="00A816EA">
        <w:t xml:space="preserve"> posto</w:t>
      </w:r>
      <w:r w:rsidR="008C4DB4" w:rsidRPr="00A816EA">
        <w:t>.</w:t>
      </w:r>
      <w:r w:rsidR="00F84B75" w:rsidRPr="00A816EA">
        <w:t xml:space="preserve"> </w:t>
      </w:r>
      <w:r w:rsidR="003B3627" w:rsidRPr="00A816EA">
        <w:t>Regionalne potpore</w:t>
      </w:r>
      <w:r w:rsidR="00F84B75" w:rsidRPr="00A816EA">
        <w:t xml:space="preserve"> su </w:t>
      </w:r>
      <w:r w:rsidR="003B3627" w:rsidRPr="00A816EA">
        <w:t xml:space="preserve">najvećim dijelom dodjeljivane kroz </w:t>
      </w:r>
      <w:r w:rsidR="00B06DD7" w:rsidRPr="00A816EA">
        <w:t>porezne olakšice u iznosu od 115,9 milijuna eura ili s udjelom od 85,9 posto u regionalnim potporama, slijede subvencije i neposredne subvencije kamata od 9 milijuna eura ili 6,7 posto, povoljni zajmovi s 5,6 milijuna eura ili 4,1 posto te izdana jamstva s 4,4 milijuna eura ili 3,3 posto.</w:t>
      </w:r>
    </w:p>
    <w:p w14:paraId="66BABF4A" w14:textId="77777777" w:rsidR="00B06DD7" w:rsidRPr="00A816EA" w:rsidRDefault="00B06DD7" w:rsidP="00B06DD7"/>
    <w:p w14:paraId="3B658317" w14:textId="4010BEF7" w:rsidR="00B06DD7" w:rsidRPr="00A816EA" w:rsidRDefault="00F84B75" w:rsidP="00B06DD7">
      <w:pPr>
        <w:jc w:val="both"/>
      </w:pPr>
      <w:r w:rsidRPr="00A816EA">
        <w:rPr>
          <w:u w:val="single"/>
        </w:rPr>
        <w:t>Potpore na razini jedinica područne i lokalne (regionalne) samouprave</w:t>
      </w:r>
      <w:r w:rsidRPr="00A816EA">
        <w:t xml:space="preserve"> dodijeljene su u 202</w:t>
      </w:r>
      <w:r w:rsidR="00B06DD7" w:rsidRPr="00A816EA">
        <w:t>4</w:t>
      </w:r>
      <w:r w:rsidRPr="00A816EA">
        <w:t xml:space="preserve">. godini u iznosu od </w:t>
      </w:r>
      <w:r w:rsidR="00B06DD7" w:rsidRPr="00A816EA">
        <w:t xml:space="preserve">167,4 </w:t>
      </w:r>
      <w:r w:rsidR="00D91753" w:rsidRPr="00A816EA">
        <w:t>milijuna eura</w:t>
      </w:r>
      <w:r w:rsidR="003040E1" w:rsidRPr="00A816EA">
        <w:t xml:space="preserve">. </w:t>
      </w:r>
      <w:r w:rsidR="00EC0000" w:rsidRPr="00A816EA">
        <w:t xml:space="preserve">Udio navedenih potpora u BDP-u u iznosio je </w:t>
      </w:r>
      <w:r w:rsidR="00B06DD7" w:rsidRPr="00A816EA">
        <w:t>0,20</w:t>
      </w:r>
      <w:r w:rsidR="00D91753" w:rsidRPr="00A816EA">
        <w:t xml:space="preserve"> posto</w:t>
      </w:r>
      <w:r w:rsidR="00EC0000" w:rsidRPr="00A816EA">
        <w:t xml:space="preserve">, udio u ukupno dodijeljenim potporama </w:t>
      </w:r>
      <w:r w:rsidR="00B06DD7" w:rsidRPr="00A816EA">
        <w:t>11,6</w:t>
      </w:r>
      <w:r w:rsidR="00D91753" w:rsidRPr="00A816EA">
        <w:t xml:space="preserve"> posto </w:t>
      </w:r>
      <w:r w:rsidR="00B06DD7" w:rsidRPr="00A816EA">
        <w:t>i</w:t>
      </w:r>
      <w:r w:rsidR="00EC0000" w:rsidRPr="00A816EA">
        <w:t xml:space="preserve"> u potporama u sektoru industrije i usluga </w:t>
      </w:r>
      <w:r w:rsidR="00B06DD7" w:rsidRPr="00A816EA">
        <w:t>12,7</w:t>
      </w:r>
      <w:r w:rsidR="00D91753" w:rsidRPr="00A816EA">
        <w:t xml:space="preserve"> posto</w:t>
      </w:r>
      <w:r w:rsidR="00EC0000" w:rsidRPr="00A816EA">
        <w:t xml:space="preserve">. </w:t>
      </w:r>
      <w:r w:rsidR="00B06DD7" w:rsidRPr="00A816EA">
        <w:rPr>
          <w:rFonts w:eastAsia="Times New Roman"/>
          <w:szCs w:val="24"/>
          <w:lang w:eastAsia="hr-HR"/>
        </w:rPr>
        <w:t>Instrumenti putem kojih su dodijeljene navedene potpore, najvećim dijelom se odnose na su</w:t>
      </w:r>
      <w:r w:rsidR="00B06DD7" w:rsidRPr="00A816EA">
        <w:t xml:space="preserve">bvencije u iznosu od 164,4 milijuna eura ili s udjelom od 98,2 posto u </w:t>
      </w:r>
      <w:r w:rsidR="00B06DD7" w:rsidRPr="00A816EA">
        <w:rPr>
          <w:rFonts w:eastAsia="Times New Roman"/>
          <w:szCs w:val="24"/>
          <w:lang w:eastAsia="hr-HR"/>
        </w:rPr>
        <w:t xml:space="preserve">potporama na lokalnom nivou, slijede kapitalna ulaganja s </w:t>
      </w:r>
      <w:r w:rsidR="00B06DD7" w:rsidRPr="00A816EA">
        <w:t>1,7 milijuna eura ili 1 posto te porezne olakšice s 1,3 milijuna eura ili 0,8 posto.</w:t>
      </w:r>
    </w:p>
    <w:p w14:paraId="48120C6B" w14:textId="77777777" w:rsidR="00F77B9F" w:rsidRPr="00A816EA" w:rsidRDefault="00F77B9F" w:rsidP="00BE487D">
      <w:pPr>
        <w:jc w:val="both"/>
      </w:pPr>
    </w:p>
    <w:p w14:paraId="635DE1DF" w14:textId="31DFF8D0" w:rsidR="00EB0C26" w:rsidRPr="00A816EA" w:rsidRDefault="00082E7C" w:rsidP="00EB0C26">
      <w:pPr>
        <w:jc w:val="both"/>
      </w:pPr>
      <w:r w:rsidRPr="00A816EA">
        <w:rPr>
          <w:u w:val="single"/>
        </w:rPr>
        <w:t>Sektorske potpore</w:t>
      </w:r>
      <w:r w:rsidRPr="00A816EA">
        <w:t xml:space="preserve"> odnosno potpore posebnim sektorima dodijeljene su </w:t>
      </w:r>
      <w:r w:rsidR="006D5245" w:rsidRPr="00A816EA">
        <w:t xml:space="preserve">u 2024. godini </w:t>
      </w:r>
      <w:r w:rsidRPr="00A816EA">
        <w:t xml:space="preserve">u iznosu od </w:t>
      </w:r>
      <w:r w:rsidR="006D5245" w:rsidRPr="00A816EA">
        <w:t>802,6 milijuna</w:t>
      </w:r>
      <w:r w:rsidR="008E3172" w:rsidRPr="00A816EA">
        <w:t>.</w:t>
      </w:r>
      <w:r w:rsidR="00FA5483" w:rsidRPr="00A816EA">
        <w:t xml:space="preserve"> </w:t>
      </w:r>
      <w:r w:rsidR="008E3172" w:rsidRPr="00A816EA">
        <w:t xml:space="preserve">Udio navedenih potpora u BDP-u iznosio je </w:t>
      </w:r>
      <w:r w:rsidR="00B06DD7" w:rsidRPr="00A816EA">
        <w:t>0,94</w:t>
      </w:r>
      <w:r w:rsidRPr="00A816EA">
        <w:t xml:space="preserve"> posto</w:t>
      </w:r>
      <w:r w:rsidR="008E3172" w:rsidRPr="00A816EA">
        <w:t xml:space="preserve">, u ukupno dodijeljenim potporama </w:t>
      </w:r>
      <w:r w:rsidR="00B06DD7" w:rsidRPr="00A816EA">
        <w:t>55,4</w:t>
      </w:r>
      <w:r w:rsidRPr="00A816EA">
        <w:t xml:space="preserve"> posto</w:t>
      </w:r>
      <w:r w:rsidR="00B06DD7" w:rsidRPr="00A816EA">
        <w:t xml:space="preserve"> i</w:t>
      </w:r>
      <w:r w:rsidR="008E3172" w:rsidRPr="00A816EA">
        <w:t xml:space="preserve"> u potporama u sektoru industrije i usluga </w:t>
      </w:r>
      <w:r w:rsidR="00B06DD7" w:rsidRPr="00A816EA">
        <w:t>60,8</w:t>
      </w:r>
      <w:r w:rsidRPr="00A816EA">
        <w:t xml:space="preserve"> posto</w:t>
      </w:r>
      <w:r w:rsidR="008E3172" w:rsidRPr="00A816EA">
        <w:t>. Unutar sektorskih potpora</w:t>
      </w:r>
      <w:r w:rsidRPr="00A816EA">
        <w:t xml:space="preserve">, </w:t>
      </w:r>
      <w:r w:rsidR="008E3172" w:rsidRPr="00A816EA">
        <w:t>najviš</w:t>
      </w:r>
      <w:r w:rsidR="00EB0C26" w:rsidRPr="00A816EA">
        <w:t>e</w:t>
      </w:r>
      <w:r w:rsidR="008E3172" w:rsidRPr="00A816EA">
        <w:t xml:space="preserve"> </w:t>
      </w:r>
      <w:r w:rsidR="00EB0C26" w:rsidRPr="00A816EA">
        <w:t xml:space="preserve">potpora dodijeljeno je u </w:t>
      </w:r>
      <w:r w:rsidR="00B06DD7" w:rsidRPr="00A816EA">
        <w:t xml:space="preserve">sektoru prometa u iznosu od 365,9 </w:t>
      </w:r>
      <w:r w:rsidR="00B06DD7" w:rsidRPr="00A816EA">
        <w:lastRenderedPageBreak/>
        <w:t>milijuna eura ili s 45,6 posto udjela u sektorskim potporama, slijede potpore za zaštitu okoliša i očuvanje energije sa 172,1 milijun eura ili 21,</w:t>
      </w:r>
      <w:r w:rsidR="00290365" w:rsidRPr="00A816EA">
        <w:t>5</w:t>
      </w:r>
      <w:r w:rsidR="00B06DD7" w:rsidRPr="00A816EA">
        <w:t xml:space="preserve"> posto, usluge za javno radiotelevizijsko emitiranje i audiovizualnu industriju 170,3 milijuna eura ili 21,2 posto, sektor turizma sa 44,6 milijuna eura ili 5,6 posto, poštanske usluge s 25,1 milijun eura ili 3,1 posto, brodogradnja sa 14 milijuna eura ili 1,7 posto te razvoj širokopojasnih mreža s 10,6 milijuna eura ili 1,3 posto.</w:t>
      </w:r>
      <w:r w:rsidR="00EB0C26" w:rsidRPr="00A816EA">
        <w:t xml:space="preserve"> </w:t>
      </w:r>
      <w:r w:rsidR="00EB0C26" w:rsidRPr="00A816EA">
        <w:rPr>
          <w:rFonts w:eastAsia="Times New Roman"/>
          <w:szCs w:val="24"/>
          <w:lang w:eastAsia="hr-HR"/>
        </w:rPr>
        <w:t xml:space="preserve">Instrumenti putem kojih su dodijeljene </w:t>
      </w:r>
      <w:r w:rsidR="00EB0C26" w:rsidRPr="00A816EA">
        <w:t xml:space="preserve">navedene </w:t>
      </w:r>
      <w:r w:rsidR="00EB0C26" w:rsidRPr="00A816EA">
        <w:rPr>
          <w:rFonts w:eastAsia="Times New Roman"/>
          <w:szCs w:val="24"/>
          <w:lang w:eastAsia="hr-HR"/>
        </w:rPr>
        <w:t>potpore, najvećim dijelom se odnose na su</w:t>
      </w:r>
      <w:r w:rsidR="00EB0C26" w:rsidRPr="00A816EA">
        <w:t>bvencije od 751,</w:t>
      </w:r>
      <w:r w:rsidR="00290365" w:rsidRPr="00A816EA">
        <w:t>6</w:t>
      </w:r>
      <w:r w:rsidR="00EB0C26" w:rsidRPr="00A816EA">
        <w:t xml:space="preserve"> milijuna eura ili s udjelom od 93,</w:t>
      </w:r>
      <w:r w:rsidR="00290365" w:rsidRPr="00A816EA">
        <w:t>7</w:t>
      </w:r>
      <w:r w:rsidR="00EB0C26" w:rsidRPr="00A816EA">
        <w:t xml:space="preserve"> posto u sektorskim </w:t>
      </w:r>
      <w:r w:rsidR="00EB0C26" w:rsidRPr="00A816EA">
        <w:rPr>
          <w:rFonts w:eastAsia="Times New Roman"/>
          <w:szCs w:val="24"/>
          <w:lang w:eastAsia="hr-HR"/>
        </w:rPr>
        <w:t xml:space="preserve">potporama, </w:t>
      </w:r>
      <w:r w:rsidR="00EB0C26" w:rsidRPr="00A816EA">
        <w:t>porezne olakšice s 19,5 milijuna eura ili 2,4 posto, povoljni zajmovi od 16,</w:t>
      </w:r>
      <w:r w:rsidR="00290365" w:rsidRPr="00A816EA">
        <w:t>3</w:t>
      </w:r>
      <w:r w:rsidR="00EB0C26" w:rsidRPr="00A816EA">
        <w:t xml:space="preserve"> milijuna eura ili 2 posto te izdana jamstva od 15,2 milijuna eura ili 1,9 posto.</w:t>
      </w:r>
    </w:p>
    <w:p w14:paraId="3E26D3DC" w14:textId="77777777" w:rsidR="00290365" w:rsidRPr="00A816EA" w:rsidRDefault="00290365" w:rsidP="00290365"/>
    <w:p w14:paraId="498955A3" w14:textId="4B9B6320" w:rsidR="00F77B9F" w:rsidRPr="00A816EA" w:rsidRDefault="00FA5483" w:rsidP="00F77B9F">
      <w:pPr>
        <w:jc w:val="both"/>
      </w:pPr>
      <w:r w:rsidRPr="00A816EA">
        <w:rPr>
          <w:u w:val="single"/>
        </w:rPr>
        <w:t>Potpore za obavljanje usluga od općeg gospodarskog interesa</w:t>
      </w:r>
      <w:r w:rsidRPr="00A816EA">
        <w:t xml:space="preserve"> </w:t>
      </w:r>
      <w:r w:rsidR="00196B3D" w:rsidRPr="00A816EA">
        <w:t>dodijeljene su u 202</w:t>
      </w:r>
      <w:r w:rsidR="00EB0C26" w:rsidRPr="00A816EA">
        <w:t>4</w:t>
      </w:r>
      <w:r w:rsidR="00196B3D" w:rsidRPr="00A816EA">
        <w:t xml:space="preserve">. godini </w:t>
      </w:r>
      <w:r w:rsidR="008E3172" w:rsidRPr="00A816EA">
        <w:t xml:space="preserve">isključivo putem subvencija </w:t>
      </w:r>
      <w:r w:rsidR="00196B3D" w:rsidRPr="00A816EA">
        <w:t xml:space="preserve">u iznosu od </w:t>
      </w:r>
      <w:r w:rsidR="00EB0C26" w:rsidRPr="00A816EA">
        <w:t xml:space="preserve">612,9 </w:t>
      </w:r>
      <w:r w:rsidR="00082E7C" w:rsidRPr="00A816EA">
        <w:t>milijuna eura</w:t>
      </w:r>
      <w:r w:rsidR="00EB0C26" w:rsidRPr="00A816EA">
        <w:t xml:space="preserve"> kao naknada ili kompenzacija za obavljanje javne usluge</w:t>
      </w:r>
      <w:r w:rsidR="008E3172" w:rsidRPr="00A816EA">
        <w:t xml:space="preserve">. Udio navedenih potpora u BDP-u iznosio je </w:t>
      </w:r>
      <w:r w:rsidR="00082E7C" w:rsidRPr="00A816EA">
        <w:t>0,7</w:t>
      </w:r>
      <w:r w:rsidR="00EB0C26" w:rsidRPr="00A816EA">
        <w:t>2</w:t>
      </w:r>
      <w:r w:rsidR="00082E7C" w:rsidRPr="00A816EA">
        <w:t xml:space="preserve"> posto</w:t>
      </w:r>
      <w:r w:rsidR="008E3172" w:rsidRPr="00A816EA">
        <w:t xml:space="preserve">, udio u ukupno dodijeljenim potporama </w:t>
      </w:r>
      <w:r w:rsidR="00EB0C26" w:rsidRPr="00A816EA">
        <w:t>42,3</w:t>
      </w:r>
      <w:r w:rsidR="00082E7C" w:rsidRPr="00A816EA">
        <w:t xml:space="preserve"> posto</w:t>
      </w:r>
      <w:r w:rsidR="008E3172" w:rsidRPr="00A816EA">
        <w:t xml:space="preserve">, udio u sektoru industrije i usluga </w:t>
      </w:r>
      <w:r w:rsidR="00082E7C" w:rsidRPr="00A816EA">
        <w:t>30,</w:t>
      </w:r>
      <w:r w:rsidR="00A8612C" w:rsidRPr="00A816EA">
        <w:t>1</w:t>
      </w:r>
      <w:r w:rsidR="00082E7C" w:rsidRPr="00A816EA">
        <w:t xml:space="preserve"> posto</w:t>
      </w:r>
      <w:r w:rsidR="00D22CA0" w:rsidRPr="00A816EA">
        <w:t xml:space="preserve"> i </w:t>
      </w:r>
      <w:r w:rsidR="008E3172" w:rsidRPr="00A816EA">
        <w:t xml:space="preserve">udio u sektorskim potporama </w:t>
      </w:r>
      <w:r w:rsidR="00EB0C26" w:rsidRPr="00A816EA">
        <w:t>76,4</w:t>
      </w:r>
      <w:r w:rsidR="00082E7C" w:rsidRPr="00A816EA">
        <w:t xml:space="preserve"> posto</w:t>
      </w:r>
      <w:r w:rsidR="008E3172" w:rsidRPr="00A816EA">
        <w:t>.</w:t>
      </w:r>
      <w:r w:rsidR="00EB0C26" w:rsidRPr="00A816EA">
        <w:t xml:space="preserve"> </w:t>
      </w:r>
      <w:r w:rsidR="003B3627" w:rsidRPr="00A816EA">
        <w:t xml:space="preserve">Unutar </w:t>
      </w:r>
      <w:r w:rsidR="008E3172" w:rsidRPr="00A816EA">
        <w:t xml:space="preserve">navedenih </w:t>
      </w:r>
      <w:r w:rsidR="003B3627" w:rsidRPr="00A816EA">
        <w:t xml:space="preserve">potpora, </w:t>
      </w:r>
      <w:r w:rsidR="00EB0C26" w:rsidRPr="00A816EA">
        <w:t xml:space="preserve">najveći udio odnosi se na potpore kopnenom cestovnom prometu u iznosu od 218,6 milijuna eura ili s 35,7 posto, slijede potpore za javne radiodifuzijske usluge za emitiranje javnog radio i televizijskog programa od 153,4 milijuna eura ili 25 posto, za kopneni željeznički promet 129,6 milijuna eura ili 21,1 posto, </w:t>
      </w:r>
      <w:r w:rsidR="00D22CA0" w:rsidRPr="00A816EA">
        <w:t>za</w:t>
      </w:r>
      <w:r w:rsidR="00EB0C26" w:rsidRPr="00A816EA">
        <w:t xml:space="preserve"> pomorsk</w:t>
      </w:r>
      <w:r w:rsidR="00D22CA0" w:rsidRPr="00A816EA">
        <w:t xml:space="preserve">i </w:t>
      </w:r>
      <w:r w:rsidR="00EB0C26" w:rsidRPr="00A816EA">
        <w:t>promet 65,6 milijuna eura ili 10,7 posto, za poštanske usluge 25,1 milijun eura ili 4,1 posto te potpore zračnom prometu od 20,6 milijuna eura ili 3,4 posto.</w:t>
      </w:r>
    </w:p>
    <w:p w14:paraId="6D59B41D" w14:textId="2BE9A975" w:rsidR="003B3627" w:rsidRPr="00A816EA" w:rsidRDefault="003B3627" w:rsidP="00BE487D">
      <w:pPr>
        <w:jc w:val="both"/>
      </w:pPr>
    </w:p>
    <w:p w14:paraId="771FBE5A" w14:textId="108D69B0" w:rsidR="008A6D85" w:rsidRPr="00A816EA" w:rsidRDefault="00FA5483" w:rsidP="008A6D85">
      <w:pPr>
        <w:jc w:val="both"/>
        <w:rPr>
          <w:rFonts w:eastAsia="Times New Roman"/>
          <w:szCs w:val="24"/>
          <w:lang w:eastAsia="hr-HR"/>
        </w:rPr>
      </w:pPr>
      <w:r w:rsidRPr="00A816EA">
        <w:rPr>
          <w:u w:val="single"/>
        </w:rPr>
        <w:t>Potpore za podršku gospodarstvu u COVID-19 pandemiji</w:t>
      </w:r>
      <w:r w:rsidR="00E157F7" w:rsidRPr="00A816EA">
        <w:rPr>
          <w:u w:val="single"/>
        </w:rPr>
        <w:t xml:space="preserve"> te za suzbijanje učinaka ruske agresije na Ukrajinu</w:t>
      </w:r>
      <w:r w:rsidR="00E40715" w:rsidRPr="00A816EA">
        <w:t xml:space="preserve"> </w:t>
      </w:r>
      <w:r w:rsidR="003E1B34" w:rsidRPr="00A816EA">
        <w:t xml:space="preserve">dodijeljene </w:t>
      </w:r>
      <w:r w:rsidR="006D5245" w:rsidRPr="00A816EA">
        <w:t xml:space="preserve">su u 2024. godini </w:t>
      </w:r>
      <w:r w:rsidR="003E1B34" w:rsidRPr="00A816EA">
        <w:t xml:space="preserve">u iznosu od </w:t>
      </w:r>
      <w:r w:rsidR="006D5245" w:rsidRPr="00A816EA">
        <w:t xml:space="preserve">2,5 milijuna </w:t>
      </w:r>
      <w:r w:rsidR="003E1B34" w:rsidRPr="00A816EA">
        <w:t>eura</w:t>
      </w:r>
      <w:r w:rsidR="00E40715" w:rsidRPr="00A816EA">
        <w:t xml:space="preserve">. </w:t>
      </w:r>
      <w:r w:rsidR="008E3172" w:rsidRPr="00A816EA">
        <w:t xml:space="preserve">Udio navedenih potpora u BDP-u iznosio je </w:t>
      </w:r>
      <w:r w:rsidR="00D22CA0" w:rsidRPr="00A816EA">
        <w:rPr>
          <w:rFonts w:eastAsia="Times New Roman"/>
          <w:lang w:eastAsia="hr-HR"/>
        </w:rPr>
        <w:t>0,003</w:t>
      </w:r>
      <w:r w:rsidR="003E1B34" w:rsidRPr="00A816EA">
        <w:rPr>
          <w:rFonts w:eastAsia="Times New Roman"/>
          <w:lang w:eastAsia="hr-HR"/>
        </w:rPr>
        <w:t xml:space="preserve"> </w:t>
      </w:r>
      <w:r w:rsidR="003E1B34" w:rsidRPr="00A816EA">
        <w:t>posto</w:t>
      </w:r>
      <w:r w:rsidR="008E3172" w:rsidRPr="00A816EA">
        <w:t xml:space="preserve">, udio u ukupno dodijeljenim potporama </w:t>
      </w:r>
      <w:r w:rsidR="00D22CA0" w:rsidRPr="00A816EA">
        <w:t>0,2</w:t>
      </w:r>
      <w:r w:rsidR="003E1B34" w:rsidRPr="00A816EA">
        <w:t xml:space="preserve"> posto</w:t>
      </w:r>
      <w:r w:rsidR="00D22CA0" w:rsidRPr="00A816EA">
        <w:t xml:space="preserve"> i u</w:t>
      </w:r>
      <w:r w:rsidR="008E3172" w:rsidRPr="00A816EA">
        <w:t xml:space="preserve">dio u sektoru industrije i usluga </w:t>
      </w:r>
      <w:r w:rsidR="00D22CA0" w:rsidRPr="00A816EA">
        <w:t>0,2</w:t>
      </w:r>
      <w:r w:rsidR="003E1B34" w:rsidRPr="00A816EA">
        <w:t xml:space="preserve"> posto</w:t>
      </w:r>
      <w:r w:rsidR="008E3172" w:rsidRPr="00A816EA">
        <w:t xml:space="preserve">. </w:t>
      </w:r>
      <w:r w:rsidR="00E40715" w:rsidRPr="00A816EA">
        <w:t xml:space="preserve">Navedene potpore najvećim dijelom su dodjeljivane putem </w:t>
      </w:r>
      <w:r w:rsidR="008A6D85" w:rsidRPr="00A816EA">
        <w:rPr>
          <w:rFonts w:eastAsia="Times New Roman"/>
          <w:szCs w:val="24"/>
          <w:lang w:eastAsia="hr-HR"/>
        </w:rPr>
        <w:t>povoljnih zajmova</w:t>
      </w:r>
      <w:r w:rsidR="008A6D85" w:rsidRPr="00A816EA">
        <w:t xml:space="preserve"> u iznosu od 2,5 milijuna eura ili s udjelom od 97,</w:t>
      </w:r>
      <w:r w:rsidR="00BB6905" w:rsidRPr="00A816EA">
        <w:t>7</w:t>
      </w:r>
      <w:r w:rsidR="008A6D85" w:rsidRPr="00A816EA">
        <w:t xml:space="preserve"> posto u navedenim </w:t>
      </w:r>
      <w:r w:rsidR="008A6D85" w:rsidRPr="00A816EA">
        <w:rPr>
          <w:rFonts w:eastAsia="Times New Roman"/>
          <w:szCs w:val="24"/>
          <w:lang w:eastAsia="hr-HR"/>
        </w:rPr>
        <w:t xml:space="preserve">potporama te na </w:t>
      </w:r>
      <w:r w:rsidR="008A6D85" w:rsidRPr="00A816EA">
        <w:t>subvencije u iznosu od 55.809,02 eura ili 2,</w:t>
      </w:r>
      <w:r w:rsidR="00BB6905" w:rsidRPr="00A816EA">
        <w:t>3</w:t>
      </w:r>
      <w:r w:rsidR="008A6D85" w:rsidRPr="00A816EA">
        <w:t xml:space="preserve"> posto.</w:t>
      </w:r>
    </w:p>
    <w:p w14:paraId="33115AF2" w14:textId="77777777" w:rsidR="00F42021" w:rsidRPr="00A816EA" w:rsidRDefault="00F42021" w:rsidP="00F77B9F">
      <w:pPr>
        <w:jc w:val="both"/>
      </w:pPr>
    </w:p>
    <w:p w14:paraId="58E25FD9" w14:textId="43722789" w:rsidR="004A50E4" w:rsidRPr="00A816EA" w:rsidRDefault="00FA5483" w:rsidP="004A50E4">
      <w:pPr>
        <w:jc w:val="both"/>
      </w:pPr>
      <w:r w:rsidRPr="00A816EA">
        <w:rPr>
          <w:bCs/>
          <w:u w:val="single"/>
        </w:rPr>
        <w:t>Potpore male vrijednosti</w:t>
      </w:r>
      <w:r w:rsidRPr="00A816EA">
        <w:rPr>
          <w:bCs/>
        </w:rPr>
        <w:t xml:space="preserve"> odnosno de minimis potpore u 202</w:t>
      </w:r>
      <w:r w:rsidR="004A50E4" w:rsidRPr="00A816EA">
        <w:rPr>
          <w:bCs/>
        </w:rPr>
        <w:t>4</w:t>
      </w:r>
      <w:r w:rsidRPr="00A816EA">
        <w:rPr>
          <w:bCs/>
        </w:rPr>
        <w:t xml:space="preserve">. godini </w:t>
      </w:r>
      <w:r w:rsidR="004A50E4" w:rsidRPr="00A816EA">
        <w:rPr>
          <w:bCs/>
        </w:rPr>
        <w:t xml:space="preserve">dodijeljene su </w:t>
      </w:r>
      <w:r w:rsidRPr="00A816EA">
        <w:rPr>
          <w:bCs/>
        </w:rPr>
        <w:t xml:space="preserve">u iznosu od </w:t>
      </w:r>
      <w:r w:rsidR="004A50E4" w:rsidRPr="00A816EA">
        <w:rPr>
          <w:spacing w:val="-2"/>
        </w:rPr>
        <w:t xml:space="preserve">205,7 </w:t>
      </w:r>
      <w:r w:rsidR="003E1B34" w:rsidRPr="00A816EA">
        <w:rPr>
          <w:bCs/>
        </w:rPr>
        <w:t xml:space="preserve">milijuna eura </w:t>
      </w:r>
      <w:r w:rsidR="004A50E4" w:rsidRPr="00A816EA">
        <w:rPr>
          <w:bCs/>
        </w:rPr>
        <w:t xml:space="preserve">i </w:t>
      </w:r>
      <w:r w:rsidR="00F6171F" w:rsidRPr="00A816EA">
        <w:rPr>
          <w:bCs/>
        </w:rPr>
        <w:t xml:space="preserve">s udjelom </w:t>
      </w:r>
      <w:r w:rsidRPr="00A816EA">
        <w:rPr>
          <w:lang w:eastAsia="hr-HR"/>
        </w:rPr>
        <w:t xml:space="preserve">u BDP-u </w:t>
      </w:r>
      <w:r w:rsidR="003E1B34" w:rsidRPr="00A816EA">
        <w:t>0,</w:t>
      </w:r>
      <w:r w:rsidR="004A50E4" w:rsidRPr="00A816EA">
        <w:t>24</w:t>
      </w:r>
      <w:r w:rsidR="003E1B34" w:rsidRPr="00A816EA">
        <w:t xml:space="preserve"> posto</w:t>
      </w:r>
      <w:r w:rsidRPr="00A816EA">
        <w:rPr>
          <w:bCs/>
        </w:rPr>
        <w:t xml:space="preserve">. </w:t>
      </w:r>
      <w:r w:rsidR="004A50E4" w:rsidRPr="00A816EA">
        <w:rPr>
          <w:bCs/>
        </w:rPr>
        <w:t>Instrumenti putem kojih su dodijeljene p</w:t>
      </w:r>
      <w:r w:rsidR="004A50E4" w:rsidRPr="00A816EA">
        <w:t>otpore male vrijednosti u 2024. godini, najvećim dijelom se odnose na subvencije u iznosu od 165,</w:t>
      </w:r>
      <w:r w:rsidR="000C2E57" w:rsidRPr="00A816EA">
        <w:t>3</w:t>
      </w:r>
      <w:r w:rsidR="004A50E4" w:rsidRPr="00A816EA">
        <w:t xml:space="preserve"> milijuna eura ili s udjelom od 80,4 posto u ukupno navedenim potporama male vrijednosti, slijede povoljni zajmovi od 17,3 milijuna eura ili 8,4 posto, snižavanje, oslobođenje, olakšice, izuzeće i oprost plaćanja doprinosa od 14,7 milijuna eura ili 7,1 posto, neposredne subvencije kamata od 5,5 milijuna eura ili 2,7 posto, kapitalna ulaganja s 1,</w:t>
      </w:r>
      <w:r w:rsidR="000C2E57" w:rsidRPr="00A816EA">
        <w:t>5</w:t>
      </w:r>
      <w:r w:rsidR="004A50E4" w:rsidRPr="00A816EA">
        <w:t xml:space="preserve"> milijuna eura ili 0,</w:t>
      </w:r>
      <w:r w:rsidR="000C2E57" w:rsidRPr="00A816EA">
        <w:t>7</w:t>
      </w:r>
      <w:r w:rsidR="004A50E4" w:rsidRPr="00A816EA">
        <w:t xml:space="preserve"> posto, izdana jamstva s 1,3 milijuna eura ili 0,6 posto, oprost poreza, porezna oslobođenja, izuzeća i olakšice u iznosu od 51.071,88 eura ili 0,02 posto, odgode pri plaćanju poreza s 10.197,07 eura ili 0,005 posto te otpis duga u iznosu od</w:t>
      </w:r>
      <w:r w:rsidR="00583B1D" w:rsidRPr="00A816EA">
        <w:t xml:space="preserve"> 9.049,80 eura ili 0,004 posto. </w:t>
      </w:r>
      <w:r w:rsidR="004A50E4" w:rsidRPr="00A816EA">
        <w:t xml:space="preserve">Od ukupno dodijeljenih potpora </w:t>
      </w:r>
      <w:r w:rsidR="00583B1D" w:rsidRPr="00A816EA">
        <w:t>male vrijednosti</w:t>
      </w:r>
      <w:r w:rsidR="004A50E4" w:rsidRPr="00A816EA">
        <w:t xml:space="preserve">, </w:t>
      </w:r>
      <w:r w:rsidR="00583B1D" w:rsidRPr="00A816EA">
        <w:t>d</w:t>
      </w:r>
      <w:r w:rsidR="004A50E4" w:rsidRPr="00A816EA">
        <w:t>avatelji</w:t>
      </w:r>
      <w:r w:rsidR="00583B1D" w:rsidRPr="00A816EA">
        <w:t xml:space="preserve"> </w:t>
      </w:r>
      <w:r w:rsidR="004A50E4" w:rsidRPr="00A816EA">
        <w:t>potpora na razini središnje države dodijelili su 172,</w:t>
      </w:r>
      <w:r w:rsidR="000C2E57" w:rsidRPr="00A816EA">
        <w:t>1</w:t>
      </w:r>
      <w:r w:rsidR="004A50E4" w:rsidRPr="00A816EA">
        <w:t xml:space="preserve"> milijuna eura ili 83,7 posto udjela u navedenim potporama, dok su davatelji na lokalnoj razini dodijelili 33,6 milijuna eura ili 16,3 posto. </w:t>
      </w:r>
    </w:p>
    <w:p w14:paraId="5C10735E" w14:textId="156476B3" w:rsidR="004A50E4" w:rsidRPr="00A816EA" w:rsidRDefault="004A50E4" w:rsidP="00583B1D"/>
    <w:p w14:paraId="5478C63D" w14:textId="77777777" w:rsidR="00857D5E" w:rsidRPr="00A816EA" w:rsidRDefault="00857D5E" w:rsidP="00583B1D"/>
    <w:p w14:paraId="3859F524" w14:textId="77777777" w:rsidR="00CC2841" w:rsidRPr="00A816EA" w:rsidRDefault="00CC2841" w:rsidP="00BE487D">
      <w:pPr>
        <w:jc w:val="both"/>
        <w:rPr>
          <w:b/>
        </w:rPr>
      </w:pPr>
      <w:r w:rsidRPr="00A816EA">
        <w:rPr>
          <w:b/>
        </w:rPr>
        <w:br w:type="page"/>
      </w:r>
    </w:p>
    <w:p w14:paraId="6E1E3DE4" w14:textId="3D9D86EE" w:rsidR="00BE0817" w:rsidRPr="00A816EA"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6" w:name="_Toc213660027"/>
      <w:r w:rsidRPr="00A816EA">
        <w:rPr>
          <w:rFonts w:ascii="Times New Roman" w:hAnsi="Times New Roman" w:cs="Times New Roman"/>
          <w:b/>
          <w:color w:val="auto"/>
          <w:sz w:val="24"/>
          <w:szCs w:val="24"/>
        </w:rPr>
        <w:lastRenderedPageBreak/>
        <w:t>DRŽAVNE POTPORE U 20</w:t>
      </w:r>
      <w:r w:rsidR="00B20C9B" w:rsidRPr="00A816EA">
        <w:rPr>
          <w:rFonts w:ascii="Times New Roman" w:hAnsi="Times New Roman" w:cs="Times New Roman"/>
          <w:b/>
          <w:color w:val="auto"/>
          <w:sz w:val="24"/>
          <w:szCs w:val="24"/>
        </w:rPr>
        <w:t>2</w:t>
      </w:r>
      <w:r w:rsidR="001943E9" w:rsidRPr="00A816EA">
        <w:rPr>
          <w:rFonts w:ascii="Times New Roman" w:hAnsi="Times New Roman" w:cs="Times New Roman"/>
          <w:b/>
          <w:color w:val="auto"/>
          <w:sz w:val="24"/>
          <w:szCs w:val="24"/>
        </w:rPr>
        <w:t>4</w:t>
      </w:r>
      <w:r w:rsidRPr="00A816EA">
        <w:rPr>
          <w:rFonts w:ascii="Times New Roman" w:hAnsi="Times New Roman" w:cs="Times New Roman"/>
          <w:b/>
          <w:color w:val="auto"/>
          <w:sz w:val="24"/>
          <w:szCs w:val="24"/>
        </w:rPr>
        <w:t>. GODINI</w:t>
      </w:r>
      <w:bookmarkEnd w:id="6"/>
    </w:p>
    <w:p w14:paraId="19394F8A" w14:textId="77777777" w:rsidR="00BE0817" w:rsidRPr="00A816EA" w:rsidRDefault="00BE0817" w:rsidP="00BE487D">
      <w:pPr>
        <w:jc w:val="both"/>
        <w:rPr>
          <w:b/>
        </w:rPr>
      </w:pPr>
    </w:p>
    <w:p w14:paraId="46AD106A" w14:textId="4BA72BF8" w:rsidR="00BE0817" w:rsidRPr="00A816EA" w:rsidRDefault="000457E9" w:rsidP="00601FE8">
      <w:pPr>
        <w:pStyle w:val="Heading2"/>
        <w:ind w:left="811" w:hanging="454"/>
      </w:pPr>
      <w:r w:rsidRPr="00A816EA">
        <w:t xml:space="preserve"> </w:t>
      </w:r>
      <w:bookmarkStart w:id="7" w:name="_Toc213660028"/>
      <w:r w:rsidR="00B20C9B" w:rsidRPr="00A816EA">
        <w:t>MAKROEKONOMSKI POKAZATELJI</w:t>
      </w:r>
      <w:bookmarkEnd w:id="7"/>
    </w:p>
    <w:p w14:paraId="785B7D95" w14:textId="77777777" w:rsidR="00CC2841" w:rsidRPr="00A816EA" w:rsidRDefault="00CC2841" w:rsidP="00BE487D">
      <w:pPr>
        <w:jc w:val="both"/>
      </w:pPr>
    </w:p>
    <w:p w14:paraId="68EDBD7B" w14:textId="77777777" w:rsidR="00CC2841" w:rsidRPr="00A816EA" w:rsidRDefault="00CC2841" w:rsidP="00BE487D">
      <w:pPr>
        <w:jc w:val="both"/>
      </w:pPr>
    </w:p>
    <w:p w14:paraId="038AF75F" w14:textId="4613ED22" w:rsidR="00744922" w:rsidRPr="00C15FC5" w:rsidRDefault="00757DDC" w:rsidP="00BE487D">
      <w:pPr>
        <w:jc w:val="both"/>
      </w:pPr>
      <w:r w:rsidRPr="00C15FC5">
        <w:t>P</w:t>
      </w:r>
      <w:r w:rsidR="00CE25C1" w:rsidRPr="00C15FC5">
        <w:t>otpore</w:t>
      </w:r>
      <w:r w:rsidRPr="00C15FC5">
        <w:t xml:space="preserve"> </w:t>
      </w:r>
      <w:r w:rsidR="00CE25C1" w:rsidRPr="00C15FC5">
        <w:t xml:space="preserve">u </w:t>
      </w:r>
      <w:r w:rsidR="00744922" w:rsidRPr="00C15FC5">
        <w:t xml:space="preserve">Republici Hrvatskoj </w:t>
      </w:r>
      <w:r w:rsidR="005126F8" w:rsidRPr="00C15FC5">
        <w:t xml:space="preserve">dodijeljene </w:t>
      </w:r>
      <w:r w:rsidRPr="00C15FC5">
        <w:t xml:space="preserve">su u 2024. godini </w:t>
      </w:r>
      <w:r w:rsidR="007C38D2" w:rsidRPr="00C15FC5">
        <w:t xml:space="preserve">u </w:t>
      </w:r>
      <w:r w:rsidR="00FE2D9A" w:rsidRPr="00C15FC5">
        <w:t>ukupno</w:t>
      </w:r>
      <w:r w:rsidR="007C38D2" w:rsidRPr="00C15FC5">
        <w:t xml:space="preserve">m iznosu od </w:t>
      </w:r>
      <w:r w:rsidR="00A816EA" w:rsidRPr="00C15FC5">
        <w:t>1,4 milijarde eura</w:t>
      </w:r>
      <w:r w:rsidR="00FE2D9A" w:rsidRPr="00C15FC5">
        <w:t>, što</w:t>
      </w:r>
      <w:r w:rsidR="005126F8" w:rsidRPr="00C15FC5">
        <w:t xml:space="preserve"> </w:t>
      </w:r>
      <w:r w:rsidR="002140C3" w:rsidRPr="00C15FC5">
        <w:t>predstavlja</w:t>
      </w:r>
      <w:r w:rsidR="005126F8" w:rsidRPr="00C15FC5">
        <w:t xml:space="preserve"> </w:t>
      </w:r>
      <w:r w:rsidRPr="00C15FC5">
        <w:t>smanjenje</w:t>
      </w:r>
      <w:r w:rsidR="00FE2D9A" w:rsidRPr="00C15FC5">
        <w:t xml:space="preserve"> za </w:t>
      </w:r>
      <w:r w:rsidRPr="00C15FC5">
        <w:t xml:space="preserve">631,8 </w:t>
      </w:r>
      <w:r w:rsidR="00FE2D9A" w:rsidRPr="00C15FC5">
        <w:t xml:space="preserve">milijuna </w:t>
      </w:r>
      <w:r w:rsidR="00CE25C1" w:rsidRPr="00C15FC5">
        <w:t xml:space="preserve">eura </w:t>
      </w:r>
      <w:r w:rsidRPr="00C15FC5">
        <w:t>ili</w:t>
      </w:r>
      <w:r w:rsidR="00FE2D9A" w:rsidRPr="00C15FC5">
        <w:t xml:space="preserve"> </w:t>
      </w:r>
      <w:r w:rsidR="001E1E97" w:rsidRPr="00C15FC5">
        <w:t xml:space="preserve">za </w:t>
      </w:r>
      <w:r w:rsidRPr="00C15FC5">
        <w:t xml:space="preserve">30,4 </w:t>
      </w:r>
      <w:r w:rsidR="00FE2D9A" w:rsidRPr="00C15FC5">
        <w:t>posto u odnosu na 20</w:t>
      </w:r>
      <w:r w:rsidR="007C38D2" w:rsidRPr="00C15FC5">
        <w:t>2</w:t>
      </w:r>
      <w:r w:rsidRPr="00C15FC5">
        <w:t>3</w:t>
      </w:r>
      <w:r w:rsidR="00FE2D9A" w:rsidRPr="00C15FC5">
        <w:t>. godinu, kada su iznos</w:t>
      </w:r>
      <w:r w:rsidR="00CE25C1" w:rsidRPr="00C15FC5">
        <w:t>ile</w:t>
      </w:r>
      <w:r w:rsidR="00FE2D9A" w:rsidRPr="00C15FC5">
        <w:t xml:space="preserve"> </w:t>
      </w:r>
      <w:r w:rsidR="00C15FC5" w:rsidRPr="00C15FC5">
        <w:t xml:space="preserve">blizu </w:t>
      </w:r>
      <w:r w:rsidR="00A816EA" w:rsidRPr="00C15FC5">
        <w:t>2,1 milijard</w:t>
      </w:r>
      <w:r w:rsidR="00C15FC5" w:rsidRPr="00C15FC5">
        <w:t>e</w:t>
      </w:r>
      <w:r w:rsidR="00A816EA" w:rsidRPr="00C15FC5">
        <w:t xml:space="preserve"> eura </w:t>
      </w:r>
      <w:r w:rsidR="00FE2D9A" w:rsidRPr="00C15FC5">
        <w:t xml:space="preserve">, te </w:t>
      </w:r>
      <w:r w:rsidRPr="00C15FC5">
        <w:t xml:space="preserve">smanjenje </w:t>
      </w:r>
      <w:r w:rsidR="00FE2D9A" w:rsidRPr="00C15FC5">
        <w:t xml:space="preserve">za </w:t>
      </w:r>
      <w:r w:rsidRPr="00C15FC5">
        <w:t>694,5</w:t>
      </w:r>
      <w:r w:rsidR="005126F8" w:rsidRPr="00C15FC5">
        <w:t xml:space="preserve"> </w:t>
      </w:r>
      <w:r w:rsidR="00FE2D9A" w:rsidRPr="00C15FC5">
        <w:t>milijun</w:t>
      </w:r>
      <w:r w:rsidR="00E95F84" w:rsidRPr="00C15FC5">
        <w:t>a</w:t>
      </w:r>
      <w:r w:rsidR="00FE2D9A" w:rsidRPr="00C15FC5">
        <w:t xml:space="preserve"> </w:t>
      </w:r>
      <w:r w:rsidR="00CE25C1" w:rsidRPr="00C15FC5">
        <w:t xml:space="preserve">eura </w:t>
      </w:r>
      <w:r w:rsidRPr="00C15FC5">
        <w:t>ili 32,4</w:t>
      </w:r>
      <w:r w:rsidR="00FE2D9A" w:rsidRPr="00C15FC5">
        <w:rPr>
          <w:rFonts w:eastAsia="Times New Roman"/>
        </w:rPr>
        <w:t xml:space="preserve"> </w:t>
      </w:r>
      <w:r w:rsidR="00FE2D9A" w:rsidRPr="00C15FC5">
        <w:t>posto u odnosu na 20</w:t>
      </w:r>
      <w:r w:rsidR="005126F8" w:rsidRPr="00C15FC5">
        <w:t>2</w:t>
      </w:r>
      <w:r w:rsidRPr="00C15FC5">
        <w:t>2</w:t>
      </w:r>
      <w:r w:rsidR="00FE2D9A" w:rsidRPr="00C15FC5">
        <w:t xml:space="preserve">. godinu kada su </w:t>
      </w:r>
      <w:r w:rsidR="00E95F84" w:rsidRPr="00C15FC5">
        <w:t xml:space="preserve">iznosile </w:t>
      </w:r>
      <w:r w:rsidR="00C15FC5" w:rsidRPr="00C15FC5">
        <w:t>više od 2,1 milijarde eura</w:t>
      </w:r>
      <w:r w:rsidR="00FE2D9A" w:rsidRPr="00C15FC5">
        <w:t>.</w:t>
      </w:r>
      <w:r w:rsidR="005126F8" w:rsidRPr="00C15FC5">
        <w:t xml:space="preserve"> </w:t>
      </w:r>
    </w:p>
    <w:p w14:paraId="63DB122C" w14:textId="77777777" w:rsidR="00C92572" w:rsidRPr="00C15FC5" w:rsidRDefault="00C92572" w:rsidP="00C92572"/>
    <w:p w14:paraId="700295F7" w14:textId="15DB7CFC" w:rsidR="00E95F84" w:rsidRPr="00C15FC5" w:rsidRDefault="00744922" w:rsidP="00E95F84">
      <w:pPr>
        <w:jc w:val="both"/>
      </w:pPr>
      <w:r w:rsidRPr="00C15FC5">
        <w:t>Udio ukupno dodijeljenih potpora u BDP-u u 202</w:t>
      </w:r>
      <w:r w:rsidR="00757DDC" w:rsidRPr="00C15FC5">
        <w:t>4</w:t>
      </w:r>
      <w:r w:rsidRPr="00C15FC5">
        <w:t xml:space="preserve">. godini iznosio je </w:t>
      </w:r>
      <w:r w:rsidR="00757DDC" w:rsidRPr="00C15FC5">
        <w:t xml:space="preserve">1,69 </w:t>
      </w:r>
      <w:r w:rsidRPr="00C15FC5">
        <w:t>posto, u 202</w:t>
      </w:r>
      <w:r w:rsidR="00757DDC" w:rsidRPr="00C15FC5">
        <w:t>3</w:t>
      </w:r>
      <w:r w:rsidRPr="00C15FC5">
        <w:t xml:space="preserve">. godini </w:t>
      </w:r>
      <w:r w:rsidR="00757DDC" w:rsidRPr="00C15FC5">
        <w:t>2,67</w:t>
      </w:r>
      <w:r w:rsidRPr="00C15FC5">
        <w:t xml:space="preserve"> posto </w:t>
      </w:r>
      <w:r w:rsidR="00757DDC" w:rsidRPr="00C15FC5">
        <w:t xml:space="preserve">te </w:t>
      </w:r>
      <w:r w:rsidR="00E95F84" w:rsidRPr="00C15FC5">
        <w:t xml:space="preserve">u </w:t>
      </w:r>
      <w:r w:rsidRPr="00C15FC5">
        <w:t>20</w:t>
      </w:r>
      <w:r w:rsidR="005126F8" w:rsidRPr="00C15FC5">
        <w:t>2</w:t>
      </w:r>
      <w:r w:rsidR="00757DDC" w:rsidRPr="00C15FC5">
        <w:t>2</w:t>
      </w:r>
      <w:r w:rsidRPr="00C15FC5">
        <w:t xml:space="preserve">. godini </w:t>
      </w:r>
      <w:r w:rsidR="00757DDC" w:rsidRPr="00C15FC5">
        <w:t>3,17</w:t>
      </w:r>
      <w:r w:rsidRPr="00C15FC5">
        <w:t xml:space="preserve"> posto. </w:t>
      </w:r>
      <w:r w:rsidR="00E95F84" w:rsidRPr="00C15FC5">
        <w:t>Udio dodijeljenih potpora u rashodima države u 202</w:t>
      </w:r>
      <w:r w:rsidR="00757DDC" w:rsidRPr="00C15FC5">
        <w:t>4</w:t>
      </w:r>
      <w:r w:rsidR="00E95F84" w:rsidRPr="00C15FC5">
        <w:t xml:space="preserve">. godini iznosio je </w:t>
      </w:r>
      <w:r w:rsidR="00757DDC" w:rsidRPr="00C15FC5">
        <w:t>4,43</w:t>
      </w:r>
      <w:r w:rsidR="00E95F84" w:rsidRPr="00C15FC5">
        <w:rPr>
          <w:rFonts w:eastAsia="Times New Roman"/>
        </w:rPr>
        <w:t xml:space="preserve"> </w:t>
      </w:r>
      <w:r w:rsidR="00E95F84" w:rsidRPr="00C15FC5">
        <w:t>posto, u 202</w:t>
      </w:r>
      <w:r w:rsidR="00757DDC" w:rsidRPr="00C15FC5">
        <w:t>3</w:t>
      </w:r>
      <w:r w:rsidR="00E95F84" w:rsidRPr="00C15FC5">
        <w:t xml:space="preserve">. godini </w:t>
      </w:r>
      <w:r w:rsidR="00757DDC" w:rsidRPr="00C15FC5">
        <w:t>7,41</w:t>
      </w:r>
      <w:r w:rsidR="00E95F84" w:rsidRPr="00C15FC5">
        <w:rPr>
          <w:rFonts w:eastAsia="Times New Roman"/>
        </w:rPr>
        <w:t xml:space="preserve"> </w:t>
      </w:r>
      <w:r w:rsidR="00E95F84" w:rsidRPr="00C15FC5">
        <w:t xml:space="preserve">posto </w:t>
      </w:r>
      <w:r w:rsidR="00757DDC" w:rsidRPr="00C15FC5">
        <w:t>i</w:t>
      </w:r>
      <w:r w:rsidR="00E95F84" w:rsidRPr="00C15FC5">
        <w:t xml:space="preserve"> u 2021. godini </w:t>
      </w:r>
      <w:r w:rsidR="00757DDC" w:rsidRPr="00C15FC5">
        <w:t>9,23</w:t>
      </w:r>
      <w:r w:rsidR="00E95F84" w:rsidRPr="00C15FC5">
        <w:rPr>
          <w:rFonts w:eastAsia="Times New Roman"/>
        </w:rPr>
        <w:t xml:space="preserve"> </w:t>
      </w:r>
      <w:r w:rsidR="00E95F84" w:rsidRPr="00C15FC5">
        <w:t>posto.</w:t>
      </w:r>
      <w:r w:rsidR="000873FF" w:rsidRPr="00C15FC5">
        <w:t xml:space="preserve"> </w:t>
      </w:r>
    </w:p>
    <w:p w14:paraId="7518DFA1" w14:textId="4B42F0D4" w:rsidR="00E95F84" w:rsidRPr="00C15FC5" w:rsidRDefault="00E95F84" w:rsidP="00C92572"/>
    <w:p w14:paraId="74B205E0" w14:textId="699136D6" w:rsidR="00FE2D9A" w:rsidRPr="00C15FC5" w:rsidRDefault="00FE2D9A" w:rsidP="00BE487D">
      <w:pPr>
        <w:jc w:val="both"/>
      </w:pPr>
      <w:r w:rsidRPr="00C15FC5">
        <w:t>Tablica 1. Ukupne potpore dodijeljene u razdoblju od 20</w:t>
      </w:r>
      <w:r w:rsidR="00751F98" w:rsidRPr="00C15FC5">
        <w:t>2</w:t>
      </w:r>
      <w:r w:rsidR="00ED269E" w:rsidRPr="00C15FC5">
        <w:t>2</w:t>
      </w:r>
      <w:r w:rsidRPr="00C15FC5">
        <w:t>. do 20</w:t>
      </w:r>
      <w:r w:rsidR="009A2515" w:rsidRPr="00C15FC5">
        <w:t>2</w:t>
      </w:r>
      <w:r w:rsidR="00ED269E" w:rsidRPr="00C15FC5">
        <w:t>4</w:t>
      </w:r>
      <w:r w:rsidRPr="00C15FC5">
        <w:t>. godine</w:t>
      </w:r>
    </w:p>
    <w:p w14:paraId="6C9858C2" w14:textId="77777777" w:rsidR="00FE2D9A" w:rsidRPr="00C15FC5" w:rsidRDefault="00FE2D9A" w:rsidP="00BE487D">
      <w:pPr>
        <w:contextualSpacing/>
        <w:jc w:val="both"/>
        <w:rPr>
          <w:i/>
          <w:sz w:val="2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134"/>
        <w:gridCol w:w="1134"/>
        <w:gridCol w:w="1134"/>
      </w:tblGrid>
      <w:tr w:rsidR="0053450E" w:rsidRPr="00C15FC5" w14:paraId="48B382D6" w14:textId="77777777" w:rsidTr="00AB080D">
        <w:trPr>
          <w:trHeight w:val="40"/>
        </w:trPr>
        <w:tc>
          <w:tcPr>
            <w:tcW w:w="3686" w:type="dxa"/>
            <w:shd w:val="clear" w:color="auto" w:fill="FFFF99"/>
            <w:vAlign w:val="center"/>
          </w:tcPr>
          <w:p w14:paraId="2B920A61" w14:textId="77777777" w:rsidR="0053450E" w:rsidRPr="00C15FC5" w:rsidRDefault="0053450E" w:rsidP="0053450E">
            <w:pPr>
              <w:jc w:val="both"/>
              <w:rPr>
                <w:sz w:val="20"/>
                <w:szCs w:val="20"/>
                <w:lang w:eastAsia="hr-HR"/>
              </w:rPr>
            </w:pPr>
          </w:p>
        </w:tc>
        <w:tc>
          <w:tcPr>
            <w:tcW w:w="1417" w:type="dxa"/>
            <w:shd w:val="clear" w:color="auto" w:fill="FFFF99"/>
            <w:noWrap/>
            <w:vAlign w:val="center"/>
          </w:tcPr>
          <w:p w14:paraId="1CA5077A" w14:textId="77777777" w:rsidR="0053450E" w:rsidRPr="00C15FC5" w:rsidRDefault="0053450E" w:rsidP="0053450E">
            <w:pPr>
              <w:jc w:val="center"/>
              <w:rPr>
                <w:b/>
                <w:bCs/>
                <w:sz w:val="20"/>
                <w:szCs w:val="20"/>
                <w:lang w:eastAsia="hr-HR"/>
              </w:rPr>
            </w:pPr>
            <w:r w:rsidRPr="00C15FC5">
              <w:rPr>
                <w:b/>
                <w:bCs/>
                <w:sz w:val="20"/>
                <w:szCs w:val="20"/>
                <w:lang w:eastAsia="hr-HR"/>
              </w:rPr>
              <w:t>Mjera</w:t>
            </w:r>
          </w:p>
        </w:tc>
        <w:tc>
          <w:tcPr>
            <w:tcW w:w="1134" w:type="dxa"/>
            <w:shd w:val="clear" w:color="auto" w:fill="FFFF99"/>
            <w:noWrap/>
            <w:vAlign w:val="center"/>
          </w:tcPr>
          <w:p w14:paraId="021C9DCE" w14:textId="29FA5E0C" w:rsidR="0053450E" w:rsidRPr="00C15FC5" w:rsidRDefault="0053450E" w:rsidP="007D7599">
            <w:pPr>
              <w:jc w:val="center"/>
              <w:rPr>
                <w:rFonts w:eastAsia="Times New Roman"/>
                <w:b/>
                <w:bCs/>
                <w:sz w:val="20"/>
                <w:szCs w:val="20"/>
              </w:rPr>
            </w:pPr>
            <w:r w:rsidRPr="00C15FC5">
              <w:rPr>
                <w:rFonts w:eastAsia="Times New Roman"/>
                <w:b/>
                <w:bCs/>
                <w:sz w:val="20"/>
                <w:szCs w:val="20"/>
                <w:lang w:eastAsia="hr-HR"/>
              </w:rPr>
              <w:t>202</w:t>
            </w:r>
            <w:r w:rsidR="007D7599" w:rsidRPr="00C15FC5">
              <w:rPr>
                <w:rFonts w:eastAsia="Times New Roman"/>
                <w:b/>
                <w:bCs/>
                <w:sz w:val="20"/>
                <w:szCs w:val="20"/>
                <w:lang w:eastAsia="hr-HR"/>
              </w:rPr>
              <w:t>2</w:t>
            </w:r>
            <w:r w:rsidRPr="00C15FC5">
              <w:rPr>
                <w:rFonts w:eastAsia="Times New Roman"/>
                <w:b/>
                <w:bCs/>
                <w:sz w:val="20"/>
                <w:szCs w:val="20"/>
                <w:lang w:eastAsia="hr-HR"/>
              </w:rPr>
              <w:t>.</w:t>
            </w:r>
          </w:p>
        </w:tc>
        <w:tc>
          <w:tcPr>
            <w:tcW w:w="1134" w:type="dxa"/>
            <w:shd w:val="clear" w:color="auto" w:fill="FFFF99"/>
            <w:noWrap/>
            <w:vAlign w:val="center"/>
          </w:tcPr>
          <w:p w14:paraId="1EDE8A15" w14:textId="55309440" w:rsidR="0053450E" w:rsidRPr="00C15FC5" w:rsidRDefault="0053450E" w:rsidP="007D7599">
            <w:pPr>
              <w:jc w:val="center"/>
              <w:rPr>
                <w:rFonts w:eastAsia="Times New Roman"/>
                <w:b/>
                <w:bCs/>
                <w:sz w:val="20"/>
                <w:szCs w:val="20"/>
              </w:rPr>
            </w:pPr>
            <w:r w:rsidRPr="00C15FC5">
              <w:rPr>
                <w:rFonts w:eastAsia="Times New Roman"/>
                <w:b/>
                <w:bCs/>
                <w:sz w:val="20"/>
                <w:szCs w:val="20"/>
                <w:lang w:eastAsia="hr-HR"/>
              </w:rPr>
              <w:t>202</w:t>
            </w:r>
            <w:r w:rsidR="007D7599" w:rsidRPr="00C15FC5">
              <w:rPr>
                <w:rFonts w:eastAsia="Times New Roman"/>
                <w:b/>
                <w:bCs/>
                <w:sz w:val="20"/>
                <w:szCs w:val="20"/>
                <w:lang w:eastAsia="hr-HR"/>
              </w:rPr>
              <w:t>3</w:t>
            </w:r>
            <w:r w:rsidRPr="00C15FC5">
              <w:rPr>
                <w:rFonts w:eastAsia="Times New Roman"/>
                <w:b/>
                <w:bCs/>
                <w:sz w:val="20"/>
                <w:szCs w:val="20"/>
                <w:lang w:eastAsia="hr-HR"/>
              </w:rPr>
              <w:t>.</w:t>
            </w:r>
          </w:p>
        </w:tc>
        <w:tc>
          <w:tcPr>
            <w:tcW w:w="1134" w:type="dxa"/>
            <w:shd w:val="clear" w:color="auto" w:fill="FFFF99"/>
            <w:noWrap/>
            <w:vAlign w:val="center"/>
          </w:tcPr>
          <w:p w14:paraId="5A63FB7B" w14:textId="00A53D0E" w:rsidR="0053450E" w:rsidRPr="00C15FC5" w:rsidRDefault="0053450E" w:rsidP="007D7599">
            <w:pPr>
              <w:jc w:val="center"/>
              <w:rPr>
                <w:rFonts w:eastAsia="Times New Roman"/>
                <w:b/>
                <w:bCs/>
                <w:sz w:val="20"/>
                <w:szCs w:val="20"/>
              </w:rPr>
            </w:pPr>
            <w:r w:rsidRPr="00C15FC5">
              <w:rPr>
                <w:rFonts w:eastAsia="Times New Roman"/>
                <w:b/>
                <w:bCs/>
                <w:sz w:val="20"/>
                <w:szCs w:val="20"/>
                <w:lang w:eastAsia="hr-HR"/>
              </w:rPr>
              <w:t>202</w:t>
            </w:r>
            <w:r w:rsidR="007D7599" w:rsidRPr="00C15FC5">
              <w:rPr>
                <w:rFonts w:eastAsia="Times New Roman"/>
                <w:b/>
                <w:bCs/>
                <w:sz w:val="20"/>
                <w:szCs w:val="20"/>
                <w:lang w:eastAsia="hr-HR"/>
              </w:rPr>
              <w:t>4</w:t>
            </w:r>
            <w:r w:rsidRPr="00C15FC5">
              <w:rPr>
                <w:rFonts w:eastAsia="Times New Roman"/>
                <w:b/>
                <w:bCs/>
                <w:sz w:val="20"/>
                <w:szCs w:val="20"/>
                <w:lang w:eastAsia="hr-HR"/>
              </w:rPr>
              <w:t>.</w:t>
            </w:r>
          </w:p>
        </w:tc>
      </w:tr>
      <w:tr w:rsidR="005F6FB4" w:rsidRPr="00C15FC5" w14:paraId="1051EBA8" w14:textId="77777777" w:rsidTr="00144A20">
        <w:trPr>
          <w:trHeight w:val="50"/>
        </w:trPr>
        <w:tc>
          <w:tcPr>
            <w:tcW w:w="3686" w:type="dxa"/>
            <w:shd w:val="clear" w:color="auto" w:fill="auto"/>
            <w:vAlign w:val="center"/>
            <w:hideMark/>
          </w:tcPr>
          <w:p w14:paraId="29AF2DD3" w14:textId="7379182E" w:rsidR="005F6FB4" w:rsidRPr="00C15FC5" w:rsidRDefault="005F6FB4" w:rsidP="005F6FB4">
            <w:pPr>
              <w:jc w:val="both"/>
              <w:rPr>
                <w:b/>
                <w:sz w:val="20"/>
                <w:szCs w:val="20"/>
                <w:lang w:eastAsia="hr-HR"/>
              </w:rPr>
            </w:pPr>
            <w:r w:rsidRPr="00C15FC5">
              <w:rPr>
                <w:b/>
                <w:sz w:val="20"/>
                <w:szCs w:val="20"/>
                <w:lang w:eastAsia="hr-HR"/>
              </w:rPr>
              <w:t>Državne potpore</w:t>
            </w:r>
          </w:p>
        </w:tc>
        <w:tc>
          <w:tcPr>
            <w:tcW w:w="1417" w:type="dxa"/>
            <w:shd w:val="clear" w:color="auto" w:fill="auto"/>
            <w:noWrap/>
            <w:vAlign w:val="center"/>
            <w:hideMark/>
          </w:tcPr>
          <w:p w14:paraId="407DC893" w14:textId="44689AD6" w:rsidR="005F6FB4" w:rsidRPr="00C15FC5" w:rsidRDefault="005F6FB4" w:rsidP="005F6FB4">
            <w:pPr>
              <w:jc w:val="center"/>
              <w:rPr>
                <w:sz w:val="20"/>
                <w:szCs w:val="20"/>
                <w:lang w:eastAsia="hr-HR"/>
              </w:rPr>
            </w:pPr>
            <w:r w:rsidRPr="00C15FC5">
              <w:rPr>
                <w:sz w:val="20"/>
                <w:szCs w:val="20"/>
                <w:lang w:eastAsia="hr-HR"/>
              </w:rPr>
              <w:t>u mln EUR</w:t>
            </w:r>
            <w:r w:rsidRPr="00C15FC5">
              <w:rPr>
                <w:rStyle w:val="FootnoteReference"/>
                <w:sz w:val="20"/>
                <w:szCs w:val="20"/>
                <w:lang w:eastAsia="hr-HR"/>
              </w:rPr>
              <w:footnoteReference w:id="14"/>
            </w:r>
          </w:p>
        </w:tc>
        <w:tc>
          <w:tcPr>
            <w:tcW w:w="1134" w:type="dxa"/>
            <w:shd w:val="clear" w:color="auto" w:fill="auto"/>
            <w:noWrap/>
            <w:vAlign w:val="center"/>
            <w:hideMark/>
          </w:tcPr>
          <w:p w14:paraId="34848FD6" w14:textId="0334E188" w:rsidR="005F6FB4" w:rsidRPr="00C15FC5" w:rsidRDefault="005F6FB4" w:rsidP="005F6FB4">
            <w:pPr>
              <w:jc w:val="right"/>
              <w:rPr>
                <w:rFonts w:eastAsia="Times New Roman"/>
                <w:b/>
                <w:bCs/>
                <w:sz w:val="20"/>
                <w:szCs w:val="20"/>
                <w:lang w:eastAsia="hr-HR"/>
              </w:rPr>
            </w:pPr>
            <w:r w:rsidRPr="00C15FC5">
              <w:rPr>
                <w:rFonts w:eastAsia="Times New Roman"/>
                <w:b/>
                <w:bCs/>
                <w:sz w:val="20"/>
                <w:szCs w:val="20"/>
                <w:lang w:eastAsia="hr-HR"/>
              </w:rPr>
              <w:t>2.143,6</w:t>
            </w:r>
          </w:p>
        </w:tc>
        <w:tc>
          <w:tcPr>
            <w:tcW w:w="1134" w:type="dxa"/>
            <w:shd w:val="clear" w:color="auto" w:fill="auto"/>
            <w:noWrap/>
            <w:vAlign w:val="center"/>
            <w:hideMark/>
          </w:tcPr>
          <w:p w14:paraId="5C8ED5D0" w14:textId="4D22D8E5" w:rsidR="005F6FB4" w:rsidRPr="00C15FC5" w:rsidRDefault="005F6FB4" w:rsidP="005F6FB4">
            <w:pPr>
              <w:jc w:val="right"/>
              <w:rPr>
                <w:rFonts w:eastAsia="Times New Roman"/>
                <w:b/>
                <w:bCs/>
                <w:sz w:val="20"/>
                <w:szCs w:val="20"/>
                <w:lang w:eastAsia="hr-HR"/>
              </w:rPr>
            </w:pPr>
            <w:r w:rsidRPr="00C15FC5">
              <w:rPr>
                <w:rFonts w:eastAsia="Times New Roman"/>
                <w:b/>
                <w:bCs/>
                <w:sz w:val="20"/>
                <w:szCs w:val="20"/>
                <w:lang w:eastAsia="hr-HR"/>
              </w:rPr>
              <w:t>2.081,0</w:t>
            </w:r>
          </w:p>
        </w:tc>
        <w:tc>
          <w:tcPr>
            <w:tcW w:w="1134" w:type="dxa"/>
            <w:shd w:val="clear" w:color="auto" w:fill="auto"/>
            <w:noWrap/>
            <w:vAlign w:val="center"/>
          </w:tcPr>
          <w:p w14:paraId="6EAD7AEE" w14:textId="6F7FC364" w:rsidR="005F6FB4" w:rsidRPr="00C15FC5" w:rsidRDefault="005F6FB4" w:rsidP="005F6FB4">
            <w:pPr>
              <w:jc w:val="right"/>
              <w:rPr>
                <w:rFonts w:eastAsia="Times New Roman"/>
                <w:b/>
                <w:bCs/>
                <w:sz w:val="20"/>
                <w:szCs w:val="20"/>
                <w:lang w:eastAsia="hr-HR"/>
              </w:rPr>
            </w:pPr>
            <w:r w:rsidRPr="00C15FC5">
              <w:rPr>
                <w:rFonts w:eastAsia="Times New Roman"/>
                <w:b/>
                <w:bCs/>
                <w:sz w:val="20"/>
                <w:szCs w:val="20"/>
                <w:lang w:eastAsia="hr-HR"/>
              </w:rPr>
              <w:t>1.449,1</w:t>
            </w:r>
          </w:p>
        </w:tc>
      </w:tr>
      <w:tr w:rsidR="005F6FB4" w:rsidRPr="00C15FC5" w14:paraId="2001E19F" w14:textId="77777777" w:rsidTr="00144A20">
        <w:trPr>
          <w:trHeight w:val="50"/>
        </w:trPr>
        <w:tc>
          <w:tcPr>
            <w:tcW w:w="3686" w:type="dxa"/>
            <w:shd w:val="clear" w:color="auto" w:fill="auto"/>
            <w:vAlign w:val="center"/>
            <w:hideMark/>
          </w:tcPr>
          <w:p w14:paraId="07287509" w14:textId="57F2134A" w:rsidR="005F6FB4" w:rsidRPr="00C15FC5" w:rsidRDefault="005F6FB4" w:rsidP="005F6FB4">
            <w:pPr>
              <w:jc w:val="both"/>
              <w:rPr>
                <w:sz w:val="20"/>
                <w:szCs w:val="20"/>
                <w:lang w:eastAsia="hr-HR"/>
              </w:rPr>
            </w:pPr>
            <w:r w:rsidRPr="00C15FC5">
              <w:rPr>
                <w:sz w:val="20"/>
                <w:szCs w:val="20"/>
                <w:lang w:eastAsia="hr-HR"/>
              </w:rPr>
              <w:t>BDP</w:t>
            </w:r>
            <w:r w:rsidRPr="00C15FC5">
              <w:rPr>
                <w:rStyle w:val="FootnoteReference"/>
                <w:sz w:val="20"/>
                <w:szCs w:val="20"/>
                <w:lang w:eastAsia="hr-HR"/>
              </w:rPr>
              <w:footnoteReference w:id="15"/>
            </w:r>
          </w:p>
        </w:tc>
        <w:tc>
          <w:tcPr>
            <w:tcW w:w="1417" w:type="dxa"/>
            <w:shd w:val="clear" w:color="auto" w:fill="auto"/>
            <w:noWrap/>
            <w:vAlign w:val="center"/>
            <w:hideMark/>
          </w:tcPr>
          <w:p w14:paraId="361EA0A1" w14:textId="77777777" w:rsidR="005F6FB4" w:rsidRPr="00C15FC5" w:rsidRDefault="005F6FB4" w:rsidP="005F6FB4">
            <w:pPr>
              <w:jc w:val="center"/>
              <w:rPr>
                <w:sz w:val="20"/>
                <w:szCs w:val="20"/>
                <w:lang w:eastAsia="hr-HR"/>
              </w:rPr>
            </w:pPr>
            <w:r w:rsidRPr="00C15FC5">
              <w:rPr>
                <w:sz w:val="20"/>
                <w:szCs w:val="20"/>
                <w:lang w:eastAsia="hr-HR"/>
              </w:rPr>
              <w:t>u mln EUR</w:t>
            </w:r>
          </w:p>
        </w:tc>
        <w:tc>
          <w:tcPr>
            <w:tcW w:w="1134" w:type="dxa"/>
            <w:shd w:val="clear" w:color="auto" w:fill="auto"/>
            <w:noWrap/>
            <w:vAlign w:val="center"/>
            <w:hideMark/>
          </w:tcPr>
          <w:p w14:paraId="50050978" w14:textId="522AEA18"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67.615,0</w:t>
            </w:r>
          </w:p>
        </w:tc>
        <w:tc>
          <w:tcPr>
            <w:tcW w:w="1134" w:type="dxa"/>
            <w:shd w:val="clear" w:color="auto" w:fill="auto"/>
            <w:noWrap/>
            <w:vAlign w:val="center"/>
            <w:hideMark/>
          </w:tcPr>
          <w:p w14:paraId="6C491749" w14:textId="2C894072"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78.060,0</w:t>
            </w:r>
          </w:p>
        </w:tc>
        <w:tc>
          <w:tcPr>
            <w:tcW w:w="1134" w:type="dxa"/>
            <w:shd w:val="clear" w:color="auto" w:fill="auto"/>
            <w:noWrap/>
            <w:vAlign w:val="center"/>
          </w:tcPr>
          <w:p w14:paraId="4B0F2B6D" w14:textId="7120718B"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85.610,0</w:t>
            </w:r>
          </w:p>
        </w:tc>
      </w:tr>
      <w:tr w:rsidR="005F6FB4" w:rsidRPr="00C15FC5" w14:paraId="6D9A6CBD" w14:textId="77777777" w:rsidTr="00144A20">
        <w:trPr>
          <w:trHeight w:val="50"/>
        </w:trPr>
        <w:tc>
          <w:tcPr>
            <w:tcW w:w="3686" w:type="dxa"/>
            <w:shd w:val="clear" w:color="auto" w:fill="auto"/>
            <w:vAlign w:val="center"/>
            <w:hideMark/>
          </w:tcPr>
          <w:p w14:paraId="34FBC728" w14:textId="77777777" w:rsidR="005F6FB4" w:rsidRPr="00C15FC5" w:rsidRDefault="005F6FB4" w:rsidP="005F6FB4">
            <w:pPr>
              <w:jc w:val="both"/>
              <w:rPr>
                <w:sz w:val="20"/>
                <w:szCs w:val="20"/>
                <w:lang w:eastAsia="hr-HR"/>
              </w:rPr>
            </w:pPr>
            <w:r w:rsidRPr="00C15FC5">
              <w:rPr>
                <w:sz w:val="20"/>
                <w:szCs w:val="20"/>
                <w:lang w:eastAsia="hr-HR"/>
              </w:rPr>
              <w:t>Rashodi države</w:t>
            </w:r>
          </w:p>
        </w:tc>
        <w:tc>
          <w:tcPr>
            <w:tcW w:w="1417" w:type="dxa"/>
            <w:shd w:val="clear" w:color="auto" w:fill="auto"/>
            <w:noWrap/>
            <w:vAlign w:val="center"/>
            <w:hideMark/>
          </w:tcPr>
          <w:p w14:paraId="3A142B63" w14:textId="77777777" w:rsidR="005F6FB4" w:rsidRPr="00C15FC5" w:rsidRDefault="005F6FB4" w:rsidP="005F6FB4">
            <w:pPr>
              <w:jc w:val="center"/>
              <w:rPr>
                <w:sz w:val="20"/>
                <w:szCs w:val="20"/>
                <w:lang w:eastAsia="hr-HR"/>
              </w:rPr>
            </w:pPr>
            <w:r w:rsidRPr="00C15FC5">
              <w:rPr>
                <w:sz w:val="20"/>
                <w:szCs w:val="20"/>
                <w:lang w:eastAsia="hr-HR"/>
              </w:rPr>
              <w:t>u mln EUR</w:t>
            </w:r>
          </w:p>
        </w:tc>
        <w:tc>
          <w:tcPr>
            <w:tcW w:w="1134" w:type="dxa"/>
            <w:shd w:val="clear" w:color="auto" w:fill="auto"/>
            <w:noWrap/>
            <w:vAlign w:val="center"/>
            <w:hideMark/>
          </w:tcPr>
          <w:p w14:paraId="32D15759" w14:textId="593634C8"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23.233,7</w:t>
            </w:r>
          </w:p>
        </w:tc>
        <w:tc>
          <w:tcPr>
            <w:tcW w:w="1134" w:type="dxa"/>
            <w:shd w:val="clear" w:color="auto" w:fill="auto"/>
            <w:noWrap/>
            <w:vAlign w:val="center"/>
            <w:hideMark/>
          </w:tcPr>
          <w:p w14:paraId="2410B7C4" w14:textId="320369D8"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28.095,4</w:t>
            </w:r>
          </w:p>
        </w:tc>
        <w:tc>
          <w:tcPr>
            <w:tcW w:w="1134" w:type="dxa"/>
            <w:shd w:val="clear" w:color="auto" w:fill="auto"/>
            <w:noWrap/>
            <w:vAlign w:val="center"/>
          </w:tcPr>
          <w:p w14:paraId="3066AA27" w14:textId="4D81D9FB"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32.720,2</w:t>
            </w:r>
          </w:p>
        </w:tc>
      </w:tr>
      <w:tr w:rsidR="005F6FB4" w:rsidRPr="00C15FC5" w14:paraId="1EF804D4" w14:textId="77777777" w:rsidTr="00144A20">
        <w:trPr>
          <w:trHeight w:val="50"/>
        </w:trPr>
        <w:tc>
          <w:tcPr>
            <w:tcW w:w="3686" w:type="dxa"/>
            <w:shd w:val="clear" w:color="auto" w:fill="auto"/>
            <w:vAlign w:val="center"/>
            <w:hideMark/>
          </w:tcPr>
          <w:p w14:paraId="584A6EF1" w14:textId="07DE5005" w:rsidR="005F6FB4" w:rsidRPr="00C15FC5" w:rsidRDefault="005F6FB4" w:rsidP="005F6FB4">
            <w:pPr>
              <w:jc w:val="both"/>
              <w:rPr>
                <w:sz w:val="20"/>
                <w:szCs w:val="20"/>
                <w:lang w:eastAsia="hr-HR"/>
              </w:rPr>
            </w:pPr>
            <w:r w:rsidRPr="00C15FC5">
              <w:rPr>
                <w:sz w:val="20"/>
                <w:szCs w:val="20"/>
                <w:lang w:eastAsia="hr-HR"/>
              </w:rPr>
              <w:t>Zaposleni</w:t>
            </w:r>
            <w:r w:rsidRPr="00C15FC5">
              <w:rPr>
                <w:rStyle w:val="FootnoteReference"/>
                <w:sz w:val="20"/>
                <w:szCs w:val="20"/>
                <w:lang w:eastAsia="hr-HR"/>
              </w:rPr>
              <w:footnoteReference w:id="16"/>
            </w:r>
          </w:p>
        </w:tc>
        <w:tc>
          <w:tcPr>
            <w:tcW w:w="1417" w:type="dxa"/>
            <w:shd w:val="clear" w:color="auto" w:fill="auto"/>
            <w:noWrap/>
            <w:vAlign w:val="center"/>
            <w:hideMark/>
          </w:tcPr>
          <w:p w14:paraId="3A8EFD20" w14:textId="77777777" w:rsidR="005F6FB4" w:rsidRPr="00C15FC5" w:rsidRDefault="005F6FB4" w:rsidP="005F6FB4">
            <w:pPr>
              <w:jc w:val="center"/>
              <w:rPr>
                <w:sz w:val="20"/>
                <w:szCs w:val="20"/>
                <w:lang w:eastAsia="hr-HR"/>
              </w:rPr>
            </w:pPr>
            <w:r w:rsidRPr="00C15FC5">
              <w:rPr>
                <w:sz w:val="20"/>
                <w:szCs w:val="20"/>
                <w:lang w:eastAsia="hr-HR"/>
              </w:rPr>
              <w:t>broj</w:t>
            </w:r>
          </w:p>
        </w:tc>
        <w:tc>
          <w:tcPr>
            <w:tcW w:w="1134" w:type="dxa"/>
            <w:shd w:val="clear" w:color="auto" w:fill="auto"/>
            <w:noWrap/>
            <w:vAlign w:val="center"/>
            <w:hideMark/>
          </w:tcPr>
          <w:p w14:paraId="1A918BD8" w14:textId="54D59433"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1.619.969</w:t>
            </w:r>
          </w:p>
        </w:tc>
        <w:tc>
          <w:tcPr>
            <w:tcW w:w="1134" w:type="dxa"/>
            <w:shd w:val="clear" w:color="auto" w:fill="auto"/>
            <w:noWrap/>
            <w:vAlign w:val="center"/>
            <w:hideMark/>
          </w:tcPr>
          <w:p w14:paraId="5CAEA16D" w14:textId="33DF65AF"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1.663.522</w:t>
            </w:r>
          </w:p>
        </w:tc>
        <w:tc>
          <w:tcPr>
            <w:tcW w:w="1134" w:type="dxa"/>
            <w:shd w:val="clear" w:color="auto" w:fill="auto"/>
            <w:noWrap/>
            <w:vAlign w:val="center"/>
          </w:tcPr>
          <w:p w14:paraId="3273C923" w14:textId="474051E1"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1.719.671</w:t>
            </w:r>
          </w:p>
        </w:tc>
      </w:tr>
      <w:tr w:rsidR="005F6FB4" w:rsidRPr="00C15FC5" w14:paraId="25D0D454" w14:textId="77777777" w:rsidTr="00144A20">
        <w:trPr>
          <w:trHeight w:val="50"/>
        </w:trPr>
        <w:tc>
          <w:tcPr>
            <w:tcW w:w="3686" w:type="dxa"/>
            <w:shd w:val="clear" w:color="auto" w:fill="auto"/>
            <w:vAlign w:val="center"/>
            <w:hideMark/>
          </w:tcPr>
          <w:p w14:paraId="2BDE0CF0" w14:textId="77777777" w:rsidR="005F6FB4" w:rsidRPr="00C15FC5" w:rsidRDefault="005F6FB4" w:rsidP="005F6FB4">
            <w:pPr>
              <w:jc w:val="both"/>
              <w:rPr>
                <w:b/>
                <w:sz w:val="20"/>
                <w:szCs w:val="20"/>
                <w:lang w:eastAsia="hr-HR"/>
              </w:rPr>
            </w:pPr>
            <w:r w:rsidRPr="00C15FC5">
              <w:rPr>
                <w:b/>
                <w:sz w:val="20"/>
                <w:szCs w:val="20"/>
                <w:lang w:eastAsia="hr-HR"/>
              </w:rPr>
              <w:t>Udio državnih potpora u BDP-u</w:t>
            </w:r>
          </w:p>
        </w:tc>
        <w:tc>
          <w:tcPr>
            <w:tcW w:w="1417" w:type="dxa"/>
            <w:shd w:val="clear" w:color="auto" w:fill="auto"/>
            <w:noWrap/>
            <w:vAlign w:val="center"/>
            <w:hideMark/>
          </w:tcPr>
          <w:p w14:paraId="00A31774" w14:textId="77777777" w:rsidR="005F6FB4" w:rsidRPr="00C15FC5" w:rsidRDefault="005F6FB4" w:rsidP="005F6FB4">
            <w:pPr>
              <w:jc w:val="center"/>
              <w:rPr>
                <w:sz w:val="20"/>
                <w:szCs w:val="20"/>
                <w:lang w:eastAsia="hr-HR"/>
              </w:rPr>
            </w:pPr>
            <w:r w:rsidRPr="00C15FC5">
              <w:rPr>
                <w:sz w:val="20"/>
                <w:szCs w:val="20"/>
                <w:lang w:eastAsia="hr-HR"/>
              </w:rPr>
              <w:t>%</w:t>
            </w:r>
          </w:p>
        </w:tc>
        <w:tc>
          <w:tcPr>
            <w:tcW w:w="1134" w:type="dxa"/>
            <w:shd w:val="clear" w:color="auto" w:fill="auto"/>
            <w:noWrap/>
            <w:vAlign w:val="center"/>
            <w:hideMark/>
          </w:tcPr>
          <w:p w14:paraId="0BC75C77" w14:textId="0332AEFC" w:rsidR="005F6FB4" w:rsidRPr="00C15FC5" w:rsidRDefault="005F6FB4" w:rsidP="005F6FB4">
            <w:pPr>
              <w:jc w:val="center"/>
              <w:rPr>
                <w:rFonts w:eastAsia="Times New Roman"/>
                <w:b/>
                <w:bCs/>
                <w:sz w:val="20"/>
                <w:szCs w:val="20"/>
                <w:lang w:eastAsia="hr-HR"/>
              </w:rPr>
            </w:pPr>
            <w:r w:rsidRPr="00C15FC5">
              <w:rPr>
                <w:rFonts w:eastAsia="Times New Roman"/>
                <w:b/>
                <w:bCs/>
                <w:sz w:val="20"/>
                <w:szCs w:val="20"/>
                <w:lang w:eastAsia="hr-HR"/>
              </w:rPr>
              <w:t>3,17</w:t>
            </w:r>
          </w:p>
        </w:tc>
        <w:tc>
          <w:tcPr>
            <w:tcW w:w="1134" w:type="dxa"/>
            <w:shd w:val="clear" w:color="auto" w:fill="auto"/>
            <w:noWrap/>
            <w:vAlign w:val="center"/>
            <w:hideMark/>
          </w:tcPr>
          <w:p w14:paraId="7A32F1DB" w14:textId="38BD2C34" w:rsidR="005F6FB4" w:rsidRPr="00C15FC5" w:rsidRDefault="005F6FB4" w:rsidP="005F6FB4">
            <w:pPr>
              <w:jc w:val="center"/>
              <w:rPr>
                <w:rFonts w:eastAsia="Times New Roman"/>
                <w:b/>
                <w:bCs/>
                <w:sz w:val="20"/>
                <w:szCs w:val="20"/>
                <w:lang w:eastAsia="hr-HR"/>
              </w:rPr>
            </w:pPr>
            <w:r w:rsidRPr="00C15FC5">
              <w:rPr>
                <w:rFonts w:eastAsia="Times New Roman"/>
                <w:b/>
                <w:bCs/>
                <w:sz w:val="20"/>
                <w:szCs w:val="20"/>
                <w:lang w:eastAsia="hr-HR"/>
              </w:rPr>
              <w:t>2,67</w:t>
            </w:r>
          </w:p>
        </w:tc>
        <w:tc>
          <w:tcPr>
            <w:tcW w:w="1134" w:type="dxa"/>
            <w:shd w:val="clear" w:color="auto" w:fill="auto"/>
            <w:noWrap/>
            <w:vAlign w:val="center"/>
          </w:tcPr>
          <w:p w14:paraId="0F7565D8" w14:textId="2627263A" w:rsidR="005F6FB4" w:rsidRPr="00C15FC5" w:rsidRDefault="005F6FB4" w:rsidP="005F6FB4">
            <w:pPr>
              <w:jc w:val="center"/>
              <w:rPr>
                <w:rFonts w:eastAsia="Times New Roman"/>
                <w:b/>
                <w:bCs/>
                <w:sz w:val="20"/>
                <w:szCs w:val="20"/>
                <w:lang w:eastAsia="hr-HR"/>
              </w:rPr>
            </w:pPr>
            <w:r w:rsidRPr="00C15FC5">
              <w:rPr>
                <w:rFonts w:eastAsia="Times New Roman"/>
                <w:b/>
                <w:bCs/>
                <w:sz w:val="20"/>
                <w:szCs w:val="20"/>
                <w:lang w:eastAsia="hr-HR"/>
              </w:rPr>
              <w:t>1,69</w:t>
            </w:r>
          </w:p>
        </w:tc>
      </w:tr>
      <w:tr w:rsidR="005F6FB4" w:rsidRPr="00C15FC5" w14:paraId="2E812D10" w14:textId="77777777" w:rsidTr="00144A20">
        <w:trPr>
          <w:trHeight w:val="50"/>
        </w:trPr>
        <w:tc>
          <w:tcPr>
            <w:tcW w:w="3686" w:type="dxa"/>
            <w:shd w:val="clear" w:color="auto" w:fill="auto"/>
            <w:vAlign w:val="center"/>
            <w:hideMark/>
          </w:tcPr>
          <w:p w14:paraId="216D8F6B" w14:textId="77777777" w:rsidR="005F6FB4" w:rsidRPr="00C15FC5" w:rsidRDefault="005F6FB4" w:rsidP="005F6FB4">
            <w:pPr>
              <w:jc w:val="both"/>
              <w:rPr>
                <w:sz w:val="20"/>
                <w:szCs w:val="20"/>
                <w:lang w:eastAsia="hr-HR"/>
              </w:rPr>
            </w:pPr>
            <w:r w:rsidRPr="00C15FC5">
              <w:rPr>
                <w:sz w:val="20"/>
                <w:szCs w:val="20"/>
                <w:lang w:eastAsia="hr-HR"/>
              </w:rPr>
              <w:t>Državne potpore po zaposlenome</w:t>
            </w:r>
          </w:p>
        </w:tc>
        <w:tc>
          <w:tcPr>
            <w:tcW w:w="1417" w:type="dxa"/>
            <w:shd w:val="clear" w:color="auto" w:fill="auto"/>
            <w:noWrap/>
            <w:vAlign w:val="center"/>
            <w:hideMark/>
          </w:tcPr>
          <w:p w14:paraId="0323CFB8" w14:textId="77777777" w:rsidR="005F6FB4" w:rsidRPr="00C15FC5" w:rsidRDefault="005F6FB4" w:rsidP="005F6FB4">
            <w:pPr>
              <w:jc w:val="center"/>
              <w:rPr>
                <w:sz w:val="20"/>
                <w:szCs w:val="20"/>
                <w:lang w:eastAsia="hr-HR"/>
              </w:rPr>
            </w:pPr>
            <w:r w:rsidRPr="00C15FC5">
              <w:rPr>
                <w:sz w:val="20"/>
                <w:szCs w:val="20"/>
                <w:lang w:eastAsia="hr-HR"/>
              </w:rPr>
              <w:t>EUR</w:t>
            </w:r>
          </w:p>
        </w:tc>
        <w:tc>
          <w:tcPr>
            <w:tcW w:w="1134" w:type="dxa"/>
            <w:shd w:val="clear" w:color="auto" w:fill="auto"/>
            <w:noWrap/>
            <w:vAlign w:val="center"/>
            <w:hideMark/>
          </w:tcPr>
          <w:p w14:paraId="0FE48323" w14:textId="474A3D6E"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1.323,22</w:t>
            </w:r>
          </w:p>
        </w:tc>
        <w:tc>
          <w:tcPr>
            <w:tcW w:w="1134" w:type="dxa"/>
            <w:shd w:val="clear" w:color="auto" w:fill="auto"/>
            <w:noWrap/>
            <w:vAlign w:val="center"/>
            <w:hideMark/>
          </w:tcPr>
          <w:p w14:paraId="4C879F85" w14:textId="1D22D4DC"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1.250,94</w:t>
            </w:r>
          </w:p>
        </w:tc>
        <w:tc>
          <w:tcPr>
            <w:tcW w:w="1134" w:type="dxa"/>
            <w:shd w:val="clear" w:color="auto" w:fill="auto"/>
            <w:noWrap/>
            <w:vAlign w:val="center"/>
          </w:tcPr>
          <w:p w14:paraId="09FF9EF1" w14:textId="06CBF864"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842,68</w:t>
            </w:r>
          </w:p>
        </w:tc>
      </w:tr>
      <w:tr w:rsidR="005F6FB4" w:rsidRPr="00C15FC5" w14:paraId="6C024362" w14:textId="77777777" w:rsidTr="00144A20">
        <w:trPr>
          <w:trHeight w:val="50"/>
        </w:trPr>
        <w:tc>
          <w:tcPr>
            <w:tcW w:w="3686" w:type="dxa"/>
            <w:shd w:val="clear" w:color="auto" w:fill="auto"/>
            <w:vAlign w:val="center"/>
            <w:hideMark/>
          </w:tcPr>
          <w:p w14:paraId="2CAA8A6B" w14:textId="77777777" w:rsidR="005F6FB4" w:rsidRPr="00C15FC5" w:rsidRDefault="005F6FB4" w:rsidP="005F6FB4">
            <w:pPr>
              <w:jc w:val="both"/>
              <w:rPr>
                <w:sz w:val="20"/>
                <w:szCs w:val="20"/>
                <w:lang w:eastAsia="hr-HR"/>
              </w:rPr>
            </w:pPr>
            <w:r w:rsidRPr="00C15FC5">
              <w:rPr>
                <w:sz w:val="20"/>
                <w:szCs w:val="20"/>
                <w:lang w:eastAsia="hr-HR"/>
              </w:rPr>
              <w:t>Udio državnih potpora u rashodima države</w:t>
            </w:r>
          </w:p>
        </w:tc>
        <w:tc>
          <w:tcPr>
            <w:tcW w:w="1417" w:type="dxa"/>
            <w:shd w:val="clear" w:color="auto" w:fill="auto"/>
            <w:noWrap/>
            <w:vAlign w:val="center"/>
            <w:hideMark/>
          </w:tcPr>
          <w:p w14:paraId="258CE8EA" w14:textId="77777777" w:rsidR="005F6FB4" w:rsidRPr="00C15FC5" w:rsidRDefault="005F6FB4" w:rsidP="005F6FB4">
            <w:pPr>
              <w:jc w:val="center"/>
              <w:rPr>
                <w:sz w:val="20"/>
                <w:szCs w:val="20"/>
                <w:lang w:eastAsia="hr-HR"/>
              </w:rPr>
            </w:pPr>
            <w:r w:rsidRPr="00C15FC5">
              <w:rPr>
                <w:sz w:val="20"/>
                <w:szCs w:val="20"/>
                <w:lang w:eastAsia="hr-HR"/>
              </w:rPr>
              <w:t>%</w:t>
            </w:r>
          </w:p>
        </w:tc>
        <w:tc>
          <w:tcPr>
            <w:tcW w:w="1134" w:type="dxa"/>
            <w:shd w:val="clear" w:color="auto" w:fill="auto"/>
            <w:noWrap/>
            <w:vAlign w:val="center"/>
            <w:hideMark/>
          </w:tcPr>
          <w:p w14:paraId="29D01BC5" w14:textId="64ADFE8E" w:rsidR="005F6FB4" w:rsidRPr="00C15FC5" w:rsidRDefault="005F6FB4" w:rsidP="005F6FB4">
            <w:pPr>
              <w:jc w:val="center"/>
              <w:rPr>
                <w:rFonts w:eastAsia="Times New Roman"/>
                <w:sz w:val="20"/>
                <w:szCs w:val="20"/>
                <w:lang w:eastAsia="hr-HR"/>
              </w:rPr>
            </w:pPr>
            <w:r w:rsidRPr="00C15FC5">
              <w:rPr>
                <w:rFonts w:eastAsia="Times New Roman"/>
                <w:sz w:val="20"/>
                <w:szCs w:val="20"/>
                <w:lang w:eastAsia="hr-HR"/>
              </w:rPr>
              <w:t>9,23</w:t>
            </w:r>
          </w:p>
        </w:tc>
        <w:tc>
          <w:tcPr>
            <w:tcW w:w="1134" w:type="dxa"/>
            <w:shd w:val="clear" w:color="auto" w:fill="auto"/>
            <w:noWrap/>
            <w:vAlign w:val="center"/>
            <w:hideMark/>
          </w:tcPr>
          <w:p w14:paraId="2FC62856" w14:textId="0272512D" w:rsidR="005F6FB4" w:rsidRPr="00C15FC5" w:rsidRDefault="005F6FB4" w:rsidP="005F6FB4">
            <w:pPr>
              <w:jc w:val="center"/>
              <w:rPr>
                <w:rFonts w:eastAsia="Times New Roman"/>
                <w:sz w:val="20"/>
                <w:szCs w:val="20"/>
                <w:lang w:eastAsia="hr-HR"/>
              </w:rPr>
            </w:pPr>
            <w:r w:rsidRPr="00C15FC5">
              <w:rPr>
                <w:rFonts w:eastAsia="Times New Roman"/>
                <w:sz w:val="20"/>
                <w:szCs w:val="20"/>
                <w:lang w:eastAsia="hr-HR"/>
              </w:rPr>
              <w:t>7,41</w:t>
            </w:r>
          </w:p>
        </w:tc>
        <w:tc>
          <w:tcPr>
            <w:tcW w:w="1134" w:type="dxa"/>
            <w:shd w:val="clear" w:color="auto" w:fill="auto"/>
            <w:noWrap/>
            <w:vAlign w:val="center"/>
          </w:tcPr>
          <w:p w14:paraId="600647ED" w14:textId="32A18992" w:rsidR="005F6FB4" w:rsidRPr="00C15FC5" w:rsidRDefault="005F6FB4" w:rsidP="005F6FB4">
            <w:pPr>
              <w:jc w:val="center"/>
              <w:rPr>
                <w:rFonts w:eastAsia="Times New Roman"/>
                <w:sz w:val="20"/>
                <w:szCs w:val="20"/>
                <w:lang w:eastAsia="hr-HR"/>
              </w:rPr>
            </w:pPr>
            <w:r w:rsidRPr="00C15FC5">
              <w:rPr>
                <w:rFonts w:eastAsia="Times New Roman"/>
                <w:sz w:val="20"/>
                <w:szCs w:val="20"/>
                <w:lang w:eastAsia="hr-HR"/>
              </w:rPr>
              <w:t>4,43</w:t>
            </w:r>
          </w:p>
        </w:tc>
      </w:tr>
      <w:tr w:rsidR="005F6FB4" w:rsidRPr="00C15FC5" w14:paraId="4DD452E7" w14:textId="77777777" w:rsidTr="00144A20">
        <w:trPr>
          <w:trHeight w:val="50"/>
        </w:trPr>
        <w:tc>
          <w:tcPr>
            <w:tcW w:w="3686" w:type="dxa"/>
            <w:shd w:val="clear" w:color="auto" w:fill="auto"/>
            <w:vAlign w:val="center"/>
            <w:hideMark/>
          </w:tcPr>
          <w:p w14:paraId="11C34DDC" w14:textId="494C37E0" w:rsidR="005F6FB4" w:rsidRPr="00C15FC5" w:rsidRDefault="005F6FB4" w:rsidP="005F6FB4">
            <w:pPr>
              <w:jc w:val="both"/>
              <w:rPr>
                <w:sz w:val="20"/>
                <w:szCs w:val="20"/>
                <w:lang w:eastAsia="hr-HR"/>
              </w:rPr>
            </w:pPr>
            <w:r w:rsidRPr="00C15FC5">
              <w:rPr>
                <w:sz w:val="20"/>
                <w:szCs w:val="20"/>
                <w:lang w:eastAsia="hr-HR"/>
              </w:rPr>
              <w:t>Državne potpore po stanovniku Hrvatske</w:t>
            </w:r>
            <w:r w:rsidRPr="00C15FC5">
              <w:rPr>
                <w:rStyle w:val="FootnoteReference"/>
                <w:sz w:val="20"/>
                <w:szCs w:val="20"/>
                <w:lang w:eastAsia="hr-HR"/>
              </w:rPr>
              <w:footnoteReference w:id="17"/>
            </w:r>
          </w:p>
        </w:tc>
        <w:tc>
          <w:tcPr>
            <w:tcW w:w="1417" w:type="dxa"/>
            <w:shd w:val="clear" w:color="auto" w:fill="auto"/>
            <w:noWrap/>
            <w:vAlign w:val="center"/>
            <w:hideMark/>
          </w:tcPr>
          <w:p w14:paraId="0C8EA227" w14:textId="77777777" w:rsidR="005F6FB4" w:rsidRPr="00C15FC5" w:rsidRDefault="005F6FB4" w:rsidP="005F6FB4">
            <w:pPr>
              <w:jc w:val="center"/>
              <w:rPr>
                <w:sz w:val="20"/>
                <w:szCs w:val="20"/>
                <w:lang w:eastAsia="hr-HR"/>
              </w:rPr>
            </w:pPr>
            <w:r w:rsidRPr="00C15FC5">
              <w:rPr>
                <w:sz w:val="20"/>
                <w:szCs w:val="20"/>
                <w:lang w:eastAsia="hr-HR"/>
              </w:rPr>
              <w:t>EUR</w:t>
            </w:r>
          </w:p>
        </w:tc>
        <w:tc>
          <w:tcPr>
            <w:tcW w:w="1134" w:type="dxa"/>
            <w:shd w:val="clear" w:color="auto" w:fill="auto"/>
            <w:noWrap/>
            <w:vAlign w:val="center"/>
            <w:hideMark/>
          </w:tcPr>
          <w:p w14:paraId="56EF729B" w14:textId="70ADC72E"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549,64</w:t>
            </w:r>
          </w:p>
        </w:tc>
        <w:tc>
          <w:tcPr>
            <w:tcW w:w="1134" w:type="dxa"/>
            <w:shd w:val="clear" w:color="auto" w:fill="auto"/>
            <w:noWrap/>
            <w:vAlign w:val="center"/>
            <w:hideMark/>
          </w:tcPr>
          <w:p w14:paraId="3B0C863E" w14:textId="225BD8A8"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533,58</w:t>
            </w:r>
          </w:p>
        </w:tc>
        <w:tc>
          <w:tcPr>
            <w:tcW w:w="1134" w:type="dxa"/>
            <w:shd w:val="clear" w:color="auto" w:fill="auto"/>
            <w:noWrap/>
            <w:vAlign w:val="center"/>
          </w:tcPr>
          <w:p w14:paraId="6A86BB82" w14:textId="0A5AC683" w:rsidR="005F6FB4" w:rsidRPr="00C15FC5" w:rsidRDefault="005F6FB4" w:rsidP="005F6FB4">
            <w:pPr>
              <w:jc w:val="right"/>
              <w:rPr>
                <w:rFonts w:eastAsia="Times New Roman"/>
                <w:sz w:val="20"/>
                <w:szCs w:val="20"/>
                <w:lang w:eastAsia="hr-HR"/>
              </w:rPr>
            </w:pPr>
            <w:r w:rsidRPr="00C15FC5">
              <w:rPr>
                <w:rFonts w:eastAsia="Times New Roman"/>
                <w:sz w:val="20"/>
                <w:szCs w:val="20"/>
                <w:lang w:eastAsia="hr-HR"/>
              </w:rPr>
              <w:t>371,57</w:t>
            </w:r>
          </w:p>
        </w:tc>
      </w:tr>
    </w:tbl>
    <w:p w14:paraId="657D383D" w14:textId="1B9F2198" w:rsidR="00FE2D9A" w:rsidRPr="00C15FC5" w:rsidRDefault="00FE2D9A" w:rsidP="00BE487D">
      <w:pPr>
        <w:contextualSpacing/>
        <w:jc w:val="both"/>
        <w:rPr>
          <w:i/>
          <w:sz w:val="20"/>
          <w:szCs w:val="20"/>
        </w:rPr>
      </w:pPr>
      <w:r w:rsidRPr="00C15FC5">
        <w:rPr>
          <w:i/>
          <w:sz w:val="20"/>
          <w:szCs w:val="20"/>
        </w:rPr>
        <w:t>Izvori: Državni zavod za statistiku,</w:t>
      </w:r>
      <w:r w:rsidR="00751F98" w:rsidRPr="00C15FC5">
        <w:rPr>
          <w:i/>
          <w:sz w:val="20"/>
          <w:szCs w:val="20"/>
        </w:rPr>
        <w:t xml:space="preserve"> Hrvatska narodna banka,</w:t>
      </w:r>
      <w:r w:rsidRPr="00C15FC5">
        <w:rPr>
          <w:i/>
          <w:sz w:val="20"/>
          <w:szCs w:val="20"/>
        </w:rPr>
        <w:t xml:space="preserve"> Ministarstvo financija; podaci obrađeni u Ministarstvu financija</w:t>
      </w:r>
    </w:p>
    <w:p w14:paraId="11E2CFDA" w14:textId="77777777" w:rsidR="005F6FB4" w:rsidRPr="00C15FC5" w:rsidRDefault="005F6FB4" w:rsidP="00B26CC6"/>
    <w:p w14:paraId="7D823434" w14:textId="25FE20C2" w:rsidR="00163D6C" w:rsidRPr="00C15FC5" w:rsidRDefault="007410C6" w:rsidP="00BE487D">
      <w:pPr>
        <w:jc w:val="both"/>
      </w:pPr>
      <w:r w:rsidRPr="00C15FC5">
        <w:t>P</w:t>
      </w:r>
      <w:r w:rsidR="00FE2D9A" w:rsidRPr="00C15FC5">
        <w:t>otpore po zaposlenom u 202</w:t>
      </w:r>
      <w:r w:rsidR="00163D6C" w:rsidRPr="00C15FC5">
        <w:t>4</w:t>
      </w:r>
      <w:r w:rsidR="00FE2D9A" w:rsidRPr="00C15FC5">
        <w:t xml:space="preserve">. godini iznosile </w:t>
      </w:r>
      <w:r w:rsidRPr="00C15FC5">
        <w:t xml:space="preserve">su </w:t>
      </w:r>
      <w:r w:rsidR="00163D6C" w:rsidRPr="00C15FC5">
        <w:t xml:space="preserve">842,68 </w:t>
      </w:r>
      <w:r w:rsidR="00E95F84" w:rsidRPr="00C15FC5">
        <w:t>eura</w:t>
      </w:r>
      <w:r w:rsidR="00FE2D9A" w:rsidRPr="00C15FC5">
        <w:t xml:space="preserve">, što </w:t>
      </w:r>
      <w:r w:rsidR="005126F8" w:rsidRPr="00C15FC5">
        <w:t>je</w:t>
      </w:r>
      <w:r w:rsidR="00744922" w:rsidRPr="00C15FC5">
        <w:t xml:space="preserve"> smanjenje </w:t>
      </w:r>
      <w:r w:rsidR="00FE2D9A" w:rsidRPr="00C15FC5">
        <w:t xml:space="preserve">za </w:t>
      </w:r>
      <w:r w:rsidR="00163D6C" w:rsidRPr="00C15FC5">
        <w:t xml:space="preserve">408,26 </w:t>
      </w:r>
      <w:r w:rsidR="00453F68" w:rsidRPr="00C15FC5">
        <w:t xml:space="preserve">eura </w:t>
      </w:r>
      <w:r w:rsidR="00163D6C" w:rsidRPr="00C15FC5">
        <w:t>ili</w:t>
      </w:r>
      <w:r w:rsidR="00FE2D9A" w:rsidRPr="00C15FC5">
        <w:t xml:space="preserve"> </w:t>
      </w:r>
      <w:r w:rsidR="00163D6C" w:rsidRPr="00C15FC5">
        <w:t>32,6</w:t>
      </w:r>
      <w:r w:rsidR="00FE2D9A" w:rsidRPr="00C15FC5">
        <w:rPr>
          <w:rFonts w:eastAsia="Times New Roman"/>
        </w:rPr>
        <w:t xml:space="preserve"> </w:t>
      </w:r>
      <w:r w:rsidR="00FE2D9A" w:rsidRPr="00C15FC5">
        <w:t xml:space="preserve">posto u odnosu na </w:t>
      </w:r>
      <w:r w:rsidR="00FE2D9A" w:rsidRPr="00C15FC5">
        <w:rPr>
          <w:rFonts w:eastAsia="Times New Roman"/>
        </w:rPr>
        <w:t>20</w:t>
      </w:r>
      <w:r w:rsidR="00744922" w:rsidRPr="00C15FC5">
        <w:rPr>
          <w:rFonts w:eastAsia="Times New Roman"/>
        </w:rPr>
        <w:t>2</w:t>
      </w:r>
      <w:r w:rsidR="00163D6C" w:rsidRPr="00C15FC5">
        <w:rPr>
          <w:rFonts w:eastAsia="Times New Roman"/>
        </w:rPr>
        <w:t>3</w:t>
      </w:r>
      <w:r w:rsidR="00744922" w:rsidRPr="00C15FC5">
        <w:rPr>
          <w:rFonts w:eastAsia="Times New Roman"/>
        </w:rPr>
        <w:t>.</w:t>
      </w:r>
      <w:r w:rsidR="00FE2D9A" w:rsidRPr="00C15FC5">
        <w:t xml:space="preserve"> godinu kada su iznosile </w:t>
      </w:r>
      <w:r w:rsidR="00163D6C" w:rsidRPr="00C15FC5">
        <w:t xml:space="preserve">1.250,94 </w:t>
      </w:r>
      <w:r w:rsidR="00453F68" w:rsidRPr="00C15FC5">
        <w:t>eura</w:t>
      </w:r>
      <w:r w:rsidR="00FE2D9A" w:rsidRPr="00C15FC5">
        <w:t xml:space="preserve">, te </w:t>
      </w:r>
      <w:r w:rsidR="005126F8" w:rsidRPr="00C15FC5">
        <w:t>je</w:t>
      </w:r>
      <w:r w:rsidR="00744665" w:rsidRPr="00C15FC5">
        <w:t xml:space="preserve"> </w:t>
      </w:r>
      <w:r w:rsidR="005126F8" w:rsidRPr="00C15FC5">
        <w:t>smanjenje</w:t>
      </w:r>
      <w:r w:rsidR="00FE2D9A" w:rsidRPr="00C15FC5">
        <w:t xml:space="preserve"> za </w:t>
      </w:r>
      <w:r w:rsidR="00163D6C" w:rsidRPr="00C15FC5">
        <w:t xml:space="preserve">480,55 </w:t>
      </w:r>
      <w:r w:rsidR="00453F68" w:rsidRPr="00C15FC5">
        <w:t xml:space="preserve">eura </w:t>
      </w:r>
      <w:r w:rsidR="00163D6C" w:rsidRPr="00C15FC5">
        <w:t>ili</w:t>
      </w:r>
      <w:r w:rsidR="00FE2D9A" w:rsidRPr="00C15FC5">
        <w:t xml:space="preserve"> </w:t>
      </w:r>
      <w:r w:rsidR="00163D6C" w:rsidRPr="00C15FC5">
        <w:t xml:space="preserve">36,3 </w:t>
      </w:r>
      <w:r w:rsidR="00FE2D9A" w:rsidRPr="00C15FC5">
        <w:t>posto u odnosu na 20</w:t>
      </w:r>
      <w:r w:rsidR="005126F8" w:rsidRPr="00C15FC5">
        <w:t>2</w:t>
      </w:r>
      <w:r w:rsidR="00163D6C" w:rsidRPr="00C15FC5">
        <w:t>2</w:t>
      </w:r>
      <w:r w:rsidR="00FE2D9A" w:rsidRPr="00C15FC5">
        <w:t xml:space="preserve">. godinu kada su </w:t>
      </w:r>
      <w:r w:rsidR="00163D6C" w:rsidRPr="00C15FC5">
        <w:t>i</w:t>
      </w:r>
      <w:r w:rsidR="00FE2D9A" w:rsidRPr="00C15FC5">
        <w:t xml:space="preserve">znosile </w:t>
      </w:r>
      <w:r w:rsidR="00163D6C" w:rsidRPr="00C15FC5">
        <w:t xml:space="preserve">1.323,22 </w:t>
      </w:r>
      <w:r w:rsidR="00453F68" w:rsidRPr="00C15FC5">
        <w:t>eura</w:t>
      </w:r>
      <w:r w:rsidR="00FE2D9A" w:rsidRPr="00C15FC5">
        <w:t xml:space="preserve">. </w:t>
      </w:r>
    </w:p>
    <w:p w14:paraId="2DCB4DDD" w14:textId="77777777" w:rsidR="00163D6C" w:rsidRPr="00C15FC5" w:rsidRDefault="00163D6C" w:rsidP="00BE487D">
      <w:pPr>
        <w:jc w:val="both"/>
      </w:pPr>
    </w:p>
    <w:p w14:paraId="2388E015" w14:textId="3D264F56" w:rsidR="00744922" w:rsidRPr="00C15FC5" w:rsidRDefault="008C1BD3" w:rsidP="00BE487D">
      <w:pPr>
        <w:jc w:val="both"/>
      </w:pPr>
      <w:r w:rsidRPr="00C15FC5">
        <w:t>P</w:t>
      </w:r>
      <w:r w:rsidR="00FE2D9A" w:rsidRPr="00C15FC5">
        <w:t>otpore</w:t>
      </w:r>
      <w:r w:rsidRPr="00C15FC5">
        <w:t xml:space="preserve"> </w:t>
      </w:r>
      <w:r w:rsidR="00FE2D9A" w:rsidRPr="00C15FC5">
        <w:t xml:space="preserve">po stanovniku </w:t>
      </w:r>
      <w:r w:rsidR="005126F8" w:rsidRPr="00C15FC5">
        <w:t>u 202</w:t>
      </w:r>
      <w:r w:rsidR="00163D6C" w:rsidRPr="00C15FC5">
        <w:t>4</w:t>
      </w:r>
      <w:r w:rsidR="005126F8" w:rsidRPr="00C15FC5">
        <w:t xml:space="preserve">. godini </w:t>
      </w:r>
      <w:r w:rsidRPr="00C15FC5">
        <w:t xml:space="preserve">iznosile </w:t>
      </w:r>
      <w:r w:rsidR="005126F8" w:rsidRPr="00C15FC5">
        <w:t xml:space="preserve">su </w:t>
      </w:r>
      <w:r w:rsidR="00163D6C" w:rsidRPr="00C15FC5">
        <w:t xml:space="preserve">371,57 </w:t>
      </w:r>
      <w:r w:rsidR="00453F68" w:rsidRPr="00C15FC5">
        <w:t>eura</w:t>
      </w:r>
      <w:r w:rsidRPr="00C15FC5">
        <w:t xml:space="preserve">, što </w:t>
      </w:r>
      <w:r w:rsidR="005126F8" w:rsidRPr="00C15FC5">
        <w:t>je</w:t>
      </w:r>
      <w:r w:rsidRPr="00C15FC5">
        <w:t xml:space="preserve"> </w:t>
      </w:r>
      <w:r w:rsidR="00163D6C" w:rsidRPr="00C15FC5">
        <w:t xml:space="preserve">smanjenje </w:t>
      </w:r>
      <w:r w:rsidRPr="00C15FC5">
        <w:t xml:space="preserve">za </w:t>
      </w:r>
      <w:r w:rsidR="00163D6C" w:rsidRPr="00C15FC5">
        <w:t xml:space="preserve">162,01 </w:t>
      </w:r>
      <w:r w:rsidR="00453F68" w:rsidRPr="00C15FC5">
        <w:t>eur</w:t>
      </w:r>
      <w:r w:rsidR="00163D6C" w:rsidRPr="00C15FC5">
        <w:t>o</w:t>
      </w:r>
      <w:r w:rsidR="00453F68" w:rsidRPr="00C15FC5">
        <w:t xml:space="preserve"> </w:t>
      </w:r>
      <w:r w:rsidR="00163D6C" w:rsidRPr="00C15FC5">
        <w:t>ili 30,4</w:t>
      </w:r>
      <w:r w:rsidRPr="00C15FC5">
        <w:t xml:space="preserve"> posto </w:t>
      </w:r>
      <w:r w:rsidR="00FE2D9A" w:rsidRPr="00C15FC5">
        <w:t xml:space="preserve">u odnosu na </w:t>
      </w:r>
      <w:r w:rsidR="00FE2D9A" w:rsidRPr="00C15FC5">
        <w:rPr>
          <w:rFonts w:eastAsia="Times New Roman"/>
        </w:rPr>
        <w:t>20</w:t>
      </w:r>
      <w:r w:rsidRPr="00C15FC5">
        <w:rPr>
          <w:rFonts w:eastAsia="Times New Roman"/>
        </w:rPr>
        <w:t>2</w:t>
      </w:r>
      <w:r w:rsidR="00163D6C" w:rsidRPr="00C15FC5">
        <w:rPr>
          <w:rFonts w:eastAsia="Times New Roman"/>
        </w:rPr>
        <w:t>3</w:t>
      </w:r>
      <w:r w:rsidR="00FE2D9A" w:rsidRPr="00C15FC5">
        <w:t xml:space="preserve">. godinu kada su iznosile </w:t>
      </w:r>
      <w:r w:rsidR="00163D6C" w:rsidRPr="00C15FC5">
        <w:t>533,58</w:t>
      </w:r>
      <w:r w:rsidR="005126F8" w:rsidRPr="00C15FC5">
        <w:t xml:space="preserve"> </w:t>
      </w:r>
      <w:r w:rsidR="00453F68" w:rsidRPr="00C15FC5">
        <w:t>eura</w:t>
      </w:r>
      <w:r w:rsidR="008C045F" w:rsidRPr="00C15FC5">
        <w:t>,</w:t>
      </w:r>
      <w:r w:rsidR="00453F68" w:rsidRPr="00C15FC5">
        <w:t xml:space="preserve"> </w:t>
      </w:r>
      <w:r w:rsidR="00FE2D9A" w:rsidRPr="00C15FC5">
        <w:t xml:space="preserve">te </w:t>
      </w:r>
      <w:r w:rsidR="005126F8" w:rsidRPr="00C15FC5">
        <w:t>je</w:t>
      </w:r>
      <w:r w:rsidRPr="00C15FC5">
        <w:t xml:space="preserve"> </w:t>
      </w:r>
      <w:r w:rsidR="00163D6C" w:rsidRPr="00C15FC5">
        <w:t xml:space="preserve">smanjenje </w:t>
      </w:r>
      <w:r w:rsidRPr="00C15FC5">
        <w:t xml:space="preserve">za </w:t>
      </w:r>
      <w:r w:rsidR="00163D6C" w:rsidRPr="00C15FC5">
        <w:t xml:space="preserve">178,06 </w:t>
      </w:r>
      <w:r w:rsidR="00453F68" w:rsidRPr="00C15FC5">
        <w:t xml:space="preserve">eura </w:t>
      </w:r>
      <w:r w:rsidR="00163D6C" w:rsidRPr="00C15FC5">
        <w:t>ili</w:t>
      </w:r>
      <w:r w:rsidRPr="00C15FC5">
        <w:t xml:space="preserve"> </w:t>
      </w:r>
      <w:r w:rsidR="00163D6C" w:rsidRPr="00C15FC5">
        <w:t xml:space="preserve">32,4 </w:t>
      </w:r>
      <w:r w:rsidR="00FE2D9A" w:rsidRPr="00C15FC5">
        <w:t>posto u odnosu na 20</w:t>
      </w:r>
      <w:r w:rsidR="005126F8" w:rsidRPr="00C15FC5">
        <w:t>2</w:t>
      </w:r>
      <w:r w:rsidR="00163D6C" w:rsidRPr="00C15FC5">
        <w:t>2</w:t>
      </w:r>
      <w:r w:rsidR="00FE2D9A" w:rsidRPr="00C15FC5">
        <w:t xml:space="preserve">. godinu kada su iznosile </w:t>
      </w:r>
      <w:r w:rsidR="00163D6C" w:rsidRPr="00C15FC5">
        <w:t xml:space="preserve">549,64 </w:t>
      </w:r>
      <w:r w:rsidR="00453F68" w:rsidRPr="00C15FC5">
        <w:t>eura</w:t>
      </w:r>
      <w:r w:rsidR="00FE2D9A" w:rsidRPr="00C15FC5">
        <w:t xml:space="preserve">. </w:t>
      </w:r>
    </w:p>
    <w:p w14:paraId="66EB8624" w14:textId="77777777" w:rsidR="00E95F84" w:rsidRPr="00C15FC5" w:rsidRDefault="00E95F84"/>
    <w:p w14:paraId="3440BAF2" w14:textId="66FCA9C7" w:rsidR="00FF2559" w:rsidRPr="00C15FC5" w:rsidRDefault="00FF2559"/>
    <w:p w14:paraId="27EB2941" w14:textId="447DB4E0" w:rsidR="00FF2559" w:rsidRPr="005C47F2" w:rsidRDefault="00A44240">
      <w:pPr>
        <w:rPr>
          <w:highlight w:val="green"/>
        </w:rPr>
      </w:pPr>
      <w:r w:rsidRPr="005C47F2">
        <w:rPr>
          <w:highlight w:val="green"/>
        </w:rPr>
        <w:br w:type="page"/>
      </w:r>
    </w:p>
    <w:p w14:paraId="06A26355" w14:textId="7D1E2760" w:rsidR="00BE0817" w:rsidRPr="00C15FC5" w:rsidRDefault="005B7944" w:rsidP="00C92009">
      <w:pPr>
        <w:pStyle w:val="Heading2"/>
        <w:ind w:left="811" w:hanging="454"/>
      </w:pPr>
      <w:r w:rsidRPr="00C15FC5">
        <w:lastRenderedPageBreak/>
        <w:t xml:space="preserve"> </w:t>
      </w:r>
      <w:bookmarkStart w:id="8" w:name="_Toc213660029"/>
      <w:r w:rsidR="00B20C9B" w:rsidRPr="00C15FC5">
        <w:t>KATEGORIJE DRŽAVNIH POTPORA</w:t>
      </w:r>
      <w:bookmarkEnd w:id="8"/>
    </w:p>
    <w:p w14:paraId="1EC9658F" w14:textId="77777777" w:rsidR="00CC2841" w:rsidRPr="00C15FC5" w:rsidRDefault="00CC2841" w:rsidP="00BE487D">
      <w:pPr>
        <w:jc w:val="both"/>
      </w:pPr>
    </w:p>
    <w:p w14:paraId="2F49E2D6" w14:textId="77777777" w:rsidR="00CC2841" w:rsidRPr="00C15FC5" w:rsidRDefault="00CC2841" w:rsidP="00BE487D">
      <w:pPr>
        <w:jc w:val="both"/>
      </w:pPr>
    </w:p>
    <w:p w14:paraId="408FF4F3" w14:textId="1C6F9C40" w:rsidR="00FE2D9A" w:rsidRPr="00C15FC5" w:rsidRDefault="00A44240" w:rsidP="00BE487D">
      <w:pPr>
        <w:jc w:val="both"/>
      </w:pPr>
      <w:r w:rsidRPr="00C15FC5">
        <w:t>Pr</w:t>
      </w:r>
      <w:r w:rsidR="0049485E" w:rsidRPr="00C15FC5">
        <w:t>e</w:t>
      </w:r>
      <w:r w:rsidR="00C86A01" w:rsidRPr="00C15FC5">
        <w:t>ma</w:t>
      </w:r>
      <w:r w:rsidRPr="00C15FC5">
        <w:t xml:space="preserve"> </w:t>
      </w:r>
      <w:r w:rsidR="00FE2D9A" w:rsidRPr="00C15FC5">
        <w:t xml:space="preserve">kategorijama </w:t>
      </w:r>
      <w:r w:rsidR="00D219F5" w:rsidRPr="00C15FC5">
        <w:t>ili</w:t>
      </w:r>
      <w:r w:rsidR="00C86A01" w:rsidRPr="00C15FC5">
        <w:t xml:space="preserve"> </w:t>
      </w:r>
      <w:r w:rsidR="00FE2D9A" w:rsidRPr="00C15FC5">
        <w:t>ciljevima</w:t>
      </w:r>
      <w:r w:rsidR="00D219F5" w:rsidRPr="00C15FC5">
        <w:t xml:space="preserve"> dodjele</w:t>
      </w:r>
      <w:r w:rsidRPr="00C15FC5">
        <w:t xml:space="preserve">, potpore se </w:t>
      </w:r>
      <w:r w:rsidR="00FE2D9A" w:rsidRPr="00C15FC5">
        <w:t>dijele na osnovne vrste</w:t>
      </w:r>
      <w:r w:rsidR="00C86A01" w:rsidRPr="00C15FC5">
        <w:t xml:space="preserve"> potpora</w:t>
      </w:r>
      <w:r w:rsidR="00FE2D9A" w:rsidRPr="00C15FC5">
        <w:t>:</w:t>
      </w:r>
    </w:p>
    <w:p w14:paraId="6DB4D382" w14:textId="77777777" w:rsidR="00FE2D9A" w:rsidRPr="00C15FC5" w:rsidRDefault="00FE2D9A" w:rsidP="00E346B9">
      <w:pPr>
        <w:pStyle w:val="ListParagraph"/>
        <w:numPr>
          <w:ilvl w:val="0"/>
          <w:numId w:val="6"/>
        </w:numPr>
        <w:jc w:val="both"/>
      </w:pPr>
      <w:r w:rsidRPr="00C15FC5">
        <w:t>po</w:t>
      </w:r>
      <w:r w:rsidR="000457E9" w:rsidRPr="00C15FC5">
        <w:t>tpore poljoprivredi i ribarstvu</w:t>
      </w:r>
      <w:r w:rsidRPr="00C15FC5">
        <w:t xml:space="preserve"> i </w:t>
      </w:r>
    </w:p>
    <w:p w14:paraId="4D231C22" w14:textId="77777777" w:rsidR="00FE2D9A" w:rsidRPr="00134AE3" w:rsidRDefault="00FE2D9A" w:rsidP="00E346B9">
      <w:pPr>
        <w:pStyle w:val="ListParagraph"/>
        <w:numPr>
          <w:ilvl w:val="0"/>
          <w:numId w:val="6"/>
        </w:numPr>
        <w:jc w:val="both"/>
      </w:pPr>
      <w:r w:rsidRPr="00134AE3">
        <w:t>potpore industriji i uslugama.</w:t>
      </w:r>
    </w:p>
    <w:p w14:paraId="56FB3292" w14:textId="77777777" w:rsidR="00FE2D9A" w:rsidRPr="00134AE3" w:rsidRDefault="00FE2D9A" w:rsidP="00BE487D">
      <w:pPr>
        <w:jc w:val="both"/>
      </w:pPr>
    </w:p>
    <w:p w14:paraId="7DCFEC4B" w14:textId="73550EEE" w:rsidR="00FE2D9A" w:rsidRPr="00134AE3" w:rsidRDefault="000607B4" w:rsidP="00BE487D">
      <w:pPr>
        <w:jc w:val="both"/>
      </w:pPr>
      <w:r w:rsidRPr="00134AE3">
        <w:t>Ukupne potpore dodijeljene su u 2024. godini u</w:t>
      </w:r>
      <w:r w:rsidR="0074784C" w:rsidRPr="00134AE3">
        <w:t xml:space="preserve"> </w:t>
      </w:r>
      <w:r w:rsidR="0049485E" w:rsidRPr="00134AE3">
        <w:t>Republici Hrvatskoj</w:t>
      </w:r>
      <w:r w:rsidR="0074784C" w:rsidRPr="00134AE3">
        <w:t xml:space="preserve"> u iznosu </w:t>
      </w:r>
      <w:r w:rsidR="00C15FC5" w:rsidRPr="00134AE3">
        <w:t xml:space="preserve">većem </w:t>
      </w:r>
      <w:r w:rsidR="0074784C" w:rsidRPr="00134AE3">
        <w:t xml:space="preserve">od </w:t>
      </w:r>
      <w:r w:rsidR="00C15FC5" w:rsidRPr="00134AE3">
        <w:t>1,4 milijarde eura</w:t>
      </w:r>
      <w:r w:rsidR="0049485E" w:rsidRPr="00134AE3">
        <w:t>,</w:t>
      </w:r>
      <w:r w:rsidRPr="00134AE3">
        <w:t xml:space="preserve"> </w:t>
      </w:r>
      <w:r w:rsidR="002140C3" w:rsidRPr="00134AE3">
        <w:t>od kojih</w:t>
      </w:r>
      <w:r w:rsidR="0049485E" w:rsidRPr="00134AE3">
        <w:t xml:space="preserve"> </w:t>
      </w:r>
      <w:r w:rsidRPr="00134AE3">
        <w:t>se</w:t>
      </w:r>
      <w:r w:rsidR="0049485E" w:rsidRPr="00134AE3">
        <w:t xml:space="preserve"> na </w:t>
      </w:r>
      <w:r w:rsidR="00FE2D9A" w:rsidRPr="00134AE3">
        <w:t xml:space="preserve">potpore </w:t>
      </w:r>
      <w:r w:rsidRPr="00134AE3">
        <w:t xml:space="preserve">u </w:t>
      </w:r>
      <w:r w:rsidR="001972F6" w:rsidRPr="00134AE3">
        <w:t xml:space="preserve">sektoru </w:t>
      </w:r>
      <w:r w:rsidR="00FE2D9A" w:rsidRPr="00134AE3">
        <w:t>poljoprivred</w:t>
      </w:r>
      <w:r w:rsidR="001972F6" w:rsidRPr="00134AE3">
        <w:t>e</w:t>
      </w:r>
      <w:r w:rsidR="00FE2D9A" w:rsidRPr="00134AE3">
        <w:t xml:space="preserve"> i ribarstv</w:t>
      </w:r>
      <w:r w:rsidR="001972F6" w:rsidRPr="00134AE3">
        <w:t>a</w:t>
      </w:r>
      <w:r w:rsidR="00FE2D9A" w:rsidRPr="00134AE3">
        <w:t xml:space="preserve"> odnosi iznos od </w:t>
      </w:r>
      <w:r w:rsidRPr="00134AE3">
        <w:t>128,2</w:t>
      </w:r>
      <w:r w:rsidR="0074784C" w:rsidRPr="00134AE3">
        <w:t xml:space="preserve"> </w:t>
      </w:r>
      <w:r w:rsidR="00FE2D9A" w:rsidRPr="00134AE3">
        <w:t xml:space="preserve">milijuna </w:t>
      </w:r>
      <w:r w:rsidR="0074784C" w:rsidRPr="00134AE3">
        <w:t xml:space="preserve">eura </w:t>
      </w:r>
      <w:r w:rsidR="00FE2D9A" w:rsidRPr="00134AE3">
        <w:t xml:space="preserve">ili </w:t>
      </w:r>
      <w:r w:rsidRPr="00134AE3">
        <w:t>8,8</w:t>
      </w:r>
      <w:r w:rsidR="001972F6" w:rsidRPr="00134AE3">
        <w:t xml:space="preserve"> </w:t>
      </w:r>
      <w:r w:rsidR="00FE2D9A" w:rsidRPr="00134AE3">
        <w:t xml:space="preserve">posto udjela u ukupno dodijeljenim potporama, </w:t>
      </w:r>
      <w:r w:rsidR="0049485E" w:rsidRPr="00134AE3">
        <w:t>dok se</w:t>
      </w:r>
      <w:r w:rsidR="001972F6" w:rsidRPr="00134AE3">
        <w:t xml:space="preserve"> </w:t>
      </w:r>
      <w:r w:rsidR="00FE2D9A" w:rsidRPr="00134AE3">
        <w:t xml:space="preserve">na sektor industrije i usluga odnosi </w:t>
      </w:r>
      <w:r w:rsidR="00134AE3" w:rsidRPr="00134AE3">
        <w:t xml:space="preserve">1,3 milijarde eura </w:t>
      </w:r>
      <w:r w:rsidR="00FE2D9A" w:rsidRPr="00134AE3">
        <w:t xml:space="preserve">ili </w:t>
      </w:r>
      <w:r w:rsidRPr="00134AE3">
        <w:t xml:space="preserve">91,2 </w:t>
      </w:r>
      <w:r w:rsidR="00FE2D9A" w:rsidRPr="00134AE3">
        <w:t xml:space="preserve">posto. </w:t>
      </w:r>
    </w:p>
    <w:p w14:paraId="103AA5B9" w14:textId="77777777" w:rsidR="00C92572" w:rsidRPr="00134AE3" w:rsidRDefault="00C92572" w:rsidP="00C92572"/>
    <w:p w14:paraId="682351C8" w14:textId="1C899EEB" w:rsidR="00FE2D9A" w:rsidRPr="00134AE3" w:rsidRDefault="00FE2D9A" w:rsidP="00BE487D">
      <w:pPr>
        <w:contextualSpacing/>
        <w:jc w:val="both"/>
      </w:pPr>
      <w:r w:rsidRPr="00134AE3">
        <w:t xml:space="preserve">Tablica </w:t>
      </w:r>
      <w:r w:rsidR="00032790" w:rsidRPr="00134AE3">
        <w:t>2</w:t>
      </w:r>
      <w:r w:rsidRPr="00134AE3">
        <w:t xml:space="preserve">. Potpore </w:t>
      </w:r>
      <w:r w:rsidR="000D06B7" w:rsidRPr="00134AE3">
        <w:t xml:space="preserve">dodijeljene </w:t>
      </w:r>
      <w:r w:rsidRPr="00134AE3">
        <w:t>prema kategorijama</w:t>
      </w:r>
      <w:r w:rsidR="0074784C" w:rsidRPr="00134AE3">
        <w:t xml:space="preserve"> </w:t>
      </w:r>
      <w:r w:rsidR="00A20831" w:rsidRPr="00134AE3">
        <w:t>u</w:t>
      </w:r>
      <w:r w:rsidRPr="00134AE3">
        <w:t xml:space="preserve"> razdoblj</w:t>
      </w:r>
      <w:r w:rsidR="00A20831" w:rsidRPr="00134AE3">
        <w:t>u</w:t>
      </w:r>
      <w:r w:rsidRPr="00134AE3">
        <w:t xml:space="preserve"> od </w:t>
      </w:r>
      <w:r w:rsidR="000D06B7" w:rsidRPr="00134AE3">
        <w:t>20</w:t>
      </w:r>
      <w:r w:rsidR="003B6724" w:rsidRPr="00134AE3">
        <w:t>2</w:t>
      </w:r>
      <w:r w:rsidR="007D7599" w:rsidRPr="00134AE3">
        <w:t>2</w:t>
      </w:r>
      <w:r w:rsidR="000D06B7" w:rsidRPr="00134AE3">
        <w:t>. do 202</w:t>
      </w:r>
      <w:r w:rsidR="007D7599" w:rsidRPr="00134AE3">
        <w:t>4</w:t>
      </w:r>
      <w:r w:rsidR="000D06B7" w:rsidRPr="00134AE3">
        <w:t>. godine</w:t>
      </w:r>
      <w:r w:rsidR="00A20831" w:rsidRPr="00134AE3">
        <w:t xml:space="preserve"> (u milijunima eura)</w:t>
      </w:r>
    </w:p>
    <w:p w14:paraId="2E055FF1" w14:textId="77777777" w:rsidR="00FE2D9A" w:rsidRPr="00134AE3" w:rsidRDefault="00FE2D9A" w:rsidP="00BE487D">
      <w:pPr>
        <w:contextualSpacing/>
        <w:jc w:val="both"/>
        <w:rPr>
          <w:sz w:val="20"/>
        </w:rPr>
      </w:pPr>
    </w:p>
    <w:tbl>
      <w:tblPr>
        <w:tblW w:w="9065" w:type="dxa"/>
        <w:tblLook w:val="04A0" w:firstRow="1" w:lastRow="0" w:firstColumn="1" w:lastColumn="0" w:noHBand="0" w:noVBand="1"/>
      </w:tblPr>
      <w:tblGrid>
        <w:gridCol w:w="384"/>
        <w:gridCol w:w="3297"/>
        <w:gridCol w:w="992"/>
        <w:gridCol w:w="851"/>
        <w:gridCol w:w="992"/>
        <w:gridCol w:w="850"/>
        <w:gridCol w:w="943"/>
        <w:gridCol w:w="756"/>
      </w:tblGrid>
      <w:tr w:rsidR="0074784C" w:rsidRPr="00134AE3" w14:paraId="2F222C12" w14:textId="77777777" w:rsidTr="00A84276">
        <w:trPr>
          <w:trHeight w:val="104"/>
        </w:trPr>
        <w:tc>
          <w:tcPr>
            <w:tcW w:w="3681" w:type="dxa"/>
            <w:gridSpan w:val="2"/>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3E64D0" w14:textId="77777777" w:rsidR="0074784C" w:rsidRPr="00134AE3" w:rsidRDefault="0074784C" w:rsidP="0074784C">
            <w:pPr>
              <w:jc w:val="center"/>
              <w:rPr>
                <w:b/>
                <w:bCs/>
                <w:sz w:val="18"/>
                <w:szCs w:val="18"/>
                <w:lang w:eastAsia="hr-HR"/>
              </w:rPr>
            </w:pPr>
            <w:r w:rsidRPr="00134AE3">
              <w:rPr>
                <w:b/>
                <w:bCs/>
                <w:sz w:val="18"/>
                <w:szCs w:val="18"/>
                <w:lang w:eastAsia="hr-HR"/>
              </w:rPr>
              <w:t>Kategorija</w:t>
            </w:r>
          </w:p>
        </w:tc>
        <w:tc>
          <w:tcPr>
            <w:tcW w:w="1843" w:type="dxa"/>
            <w:gridSpan w:val="2"/>
            <w:tcBorders>
              <w:top w:val="single" w:sz="4" w:space="0" w:color="auto"/>
              <w:left w:val="nil"/>
              <w:bottom w:val="single" w:sz="4" w:space="0" w:color="auto"/>
              <w:right w:val="single" w:sz="4" w:space="0" w:color="auto"/>
            </w:tcBorders>
            <w:shd w:val="clear" w:color="000000" w:fill="FFFF99"/>
            <w:vAlign w:val="center"/>
          </w:tcPr>
          <w:p w14:paraId="39F28573" w14:textId="676495F3" w:rsidR="0074784C" w:rsidRPr="00134AE3" w:rsidRDefault="0074784C" w:rsidP="007D7599">
            <w:pPr>
              <w:jc w:val="center"/>
              <w:rPr>
                <w:rFonts w:eastAsia="Times New Roman"/>
                <w:b/>
                <w:bCs/>
                <w:sz w:val="18"/>
                <w:szCs w:val="18"/>
              </w:rPr>
            </w:pPr>
            <w:r w:rsidRPr="00134AE3">
              <w:rPr>
                <w:rFonts w:eastAsia="Times New Roman"/>
                <w:b/>
                <w:bCs/>
                <w:sz w:val="18"/>
                <w:szCs w:val="18"/>
                <w:lang w:eastAsia="hr-HR"/>
              </w:rPr>
              <w:t>202</w:t>
            </w:r>
            <w:r w:rsidR="007D7599" w:rsidRPr="00134AE3">
              <w:rPr>
                <w:rFonts w:eastAsia="Times New Roman"/>
                <w:b/>
                <w:bCs/>
                <w:sz w:val="18"/>
                <w:szCs w:val="18"/>
                <w:lang w:eastAsia="hr-HR"/>
              </w:rPr>
              <w:t>2</w:t>
            </w:r>
            <w:r w:rsidRPr="00134AE3">
              <w:rPr>
                <w:rFonts w:eastAsia="Times New Roman"/>
                <w:b/>
                <w:bCs/>
                <w:sz w:val="18"/>
                <w:szCs w:val="18"/>
                <w:lang w:eastAsia="hr-HR"/>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721AAF2A" w14:textId="03BBA85C" w:rsidR="0074784C" w:rsidRPr="00134AE3" w:rsidRDefault="0074784C" w:rsidP="007D7599">
            <w:pPr>
              <w:jc w:val="center"/>
              <w:rPr>
                <w:rFonts w:eastAsia="Times New Roman"/>
                <w:b/>
                <w:bCs/>
                <w:sz w:val="18"/>
                <w:szCs w:val="18"/>
              </w:rPr>
            </w:pPr>
            <w:r w:rsidRPr="00134AE3">
              <w:rPr>
                <w:rFonts w:eastAsia="Times New Roman"/>
                <w:b/>
                <w:bCs/>
                <w:sz w:val="18"/>
                <w:szCs w:val="18"/>
                <w:lang w:eastAsia="hr-HR"/>
              </w:rPr>
              <w:t>202</w:t>
            </w:r>
            <w:r w:rsidR="007D7599" w:rsidRPr="00134AE3">
              <w:rPr>
                <w:rFonts w:eastAsia="Times New Roman"/>
                <w:b/>
                <w:bCs/>
                <w:sz w:val="18"/>
                <w:szCs w:val="18"/>
                <w:lang w:eastAsia="hr-HR"/>
              </w:rPr>
              <w:t>3</w:t>
            </w:r>
            <w:r w:rsidRPr="00134AE3">
              <w:rPr>
                <w:rFonts w:eastAsia="Times New Roman"/>
                <w:b/>
                <w:bCs/>
                <w:sz w:val="18"/>
                <w:szCs w:val="18"/>
                <w:lang w:eastAsia="hr-HR"/>
              </w:rPr>
              <w:t>.</w:t>
            </w:r>
          </w:p>
        </w:tc>
        <w:tc>
          <w:tcPr>
            <w:tcW w:w="1699" w:type="dxa"/>
            <w:gridSpan w:val="2"/>
            <w:tcBorders>
              <w:top w:val="single" w:sz="4" w:space="0" w:color="auto"/>
              <w:left w:val="single" w:sz="4" w:space="0" w:color="auto"/>
              <w:bottom w:val="single" w:sz="4" w:space="0" w:color="auto"/>
              <w:right w:val="single" w:sz="4" w:space="0" w:color="auto"/>
            </w:tcBorders>
            <w:shd w:val="clear" w:color="000000" w:fill="FFFF99"/>
            <w:vAlign w:val="center"/>
          </w:tcPr>
          <w:p w14:paraId="6E316E7F" w14:textId="6C3DECE2" w:rsidR="0074784C" w:rsidRPr="00134AE3" w:rsidRDefault="0074784C" w:rsidP="007D7599">
            <w:pPr>
              <w:jc w:val="center"/>
              <w:rPr>
                <w:rFonts w:eastAsia="Times New Roman"/>
                <w:b/>
                <w:bCs/>
                <w:sz w:val="18"/>
                <w:szCs w:val="18"/>
              </w:rPr>
            </w:pPr>
            <w:r w:rsidRPr="00134AE3">
              <w:rPr>
                <w:rFonts w:eastAsia="Times New Roman"/>
                <w:b/>
                <w:bCs/>
                <w:sz w:val="18"/>
                <w:szCs w:val="18"/>
                <w:lang w:eastAsia="hr-HR"/>
              </w:rPr>
              <w:t>202</w:t>
            </w:r>
            <w:r w:rsidR="007D7599" w:rsidRPr="00134AE3">
              <w:rPr>
                <w:rFonts w:eastAsia="Times New Roman"/>
                <w:b/>
                <w:bCs/>
                <w:sz w:val="18"/>
                <w:szCs w:val="18"/>
                <w:lang w:eastAsia="hr-HR"/>
              </w:rPr>
              <w:t>4</w:t>
            </w:r>
            <w:r w:rsidRPr="00134AE3">
              <w:rPr>
                <w:rFonts w:eastAsia="Times New Roman"/>
                <w:b/>
                <w:bCs/>
                <w:sz w:val="18"/>
                <w:szCs w:val="18"/>
                <w:lang w:eastAsia="hr-HR"/>
              </w:rPr>
              <w:t>.</w:t>
            </w:r>
          </w:p>
        </w:tc>
      </w:tr>
      <w:tr w:rsidR="0074784C" w:rsidRPr="00134AE3" w14:paraId="1016FC0E" w14:textId="77777777" w:rsidTr="00A84276">
        <w:trPr>
          <w:trHeight w:val="192"/>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4D016E87" w14:textId="77777777" w:rsidR="0074784C" w:rsidRPr="00134AE3" w:rsidRDefault="0074784C" w:rsidP="0074784C">
            <w:pPr>
              <w:jc w:val="center"/>
              <w:rPr>
                <w:b/>
                <w:bCs/>
                <w:sz w:val="18"/>
                <w:szCs w:val="18"/>
                <w:lang w:eastAsia="hr-HR"/>
              </w:rPr>
            </w:pPr>
          </w:p>
        </w:tc>
        <w:tc>
          <w:tcPr>
            <w:tcW w:w="992" w:type="dxa"/>
            <w:tcBorders>
              <w:top w:val="single" w:sz="4" w:space="0" w:color="auto"/>
              <w:left w:val="nil"/>
              <w:bottom w:val="single" w:sz="4" w:space="0" w:color="auto"/>
              <w:right w:val="single" w:sz="4" w:space="0" w:color="auto"/>
            </w:tcBorders>
            <w:shd w:val="clear" w:color="000000" w:fill="FFFF99"/>
            <w:vAlign w:val="center"/>
          </w:tcPr>
          <w:p w14:paraId="360A41E7" w14:textId="0E6A1029" w:rsidR="0074784C" w:rsidRPr="00134AE3" w:rsidRDefault="0074784C" w:rsidP="0074784C">
            <w:pPr>
              <w:jc w:val="center"/>
              <w:rPr>
                <w:bCs/>
                <w:sz w:val="18"/>
                <w:szCs w:val="18"/>
                <w:lang w:eastAsia="hr-HR"/>
              </w:rPr>
            </w:pPr>
            <w:r w:rsidRPr="00134AE3">
              <w:rPr>
                <w:rFonts w:eastAsia="Times New Roman"/>
                <w:b/>
                <w:bCs/>
                <w:sz w:val="18"/>
                <w:szCs w:val="18"/>
                <w:lang w:eastAsia="hr-HR"/>
              </w:rPr>
              <w:t>u mln EUR</w:t>
            </w:r>
          </w:p>
        </w:tc>
        <w:tc>
          <w:tcPr>
            <w:tcW w:w="851" w:type="dxa"/>
            <w:tcBorders>
              <w:top w:val="single" w:sz="4" w:space="0" w:color="auto"/>
              <w:left w:val="single" w:sz="4" w:space="0" w:color="auto"/>
              <w:bottom w:val="single" w:sz="4" w:space="0" w:color="auto"/>
              <w:right w:val="single" w:sz="4" w:space="0" w:color="auto"/>
            </w:tcBorders>
            <w:shd w:val="clear" w:color="000000" w:fill="FFFF99"/>
            <w:vAlign w:val="center"/>
          </w:tcPr>
          <w:p w14:paraId="31335F70" w14:textId="15FAA69D" w:rsidR="0074784C" w:rsidRPr="00134AE3" w:rsidRDefault="0074784C" w:rsidP="0074784C">
            <w:pPr>
              <w:jc w:val="center"/>
              <w:rPr>
                <w:bCs/>
                <w:sz w:val="18"/>
                <w:szCs w:val="18"/>
                <w:lang w:eastAsia="hr-HR"/>
              </w:rPr>
            </w:pPr>
            <w:r w:rsidRPr="00134AE3">
              <w:rPr>
                <w:rFonts w:eastAsia="Times New Roman"/>
                <w:b/>
                <w:bCs/>
                <w:sz w:val="18"/>
                <w:szCs w:val="18"/>
                <w:lang w:eastAsia="hr-HR"/>
              </w:rPr>
              <w:t>udio (%)</w:t>
            </w:r>
          </w:p>
        </w:tc>
        <w:tc>
          <w:tcPr>
            <w:tcW w:w="992" w:type="dxa"/>
            <w:tcBorders>
              <w:top w:val="single" w:sz="4" w:space="0" w:color="auto"/>
              <w:left w:val="single" w:sz="4" w:space="0" w:color="auto"/>
              <w:bottom w:val="single" w:sz="4" w:space="0" w:color="auto"/>
              <w:right w:val="single" w:sz="4" w:space="0" w:color="auto"/>
            </w:tcBorders>
            <w:shd w:val="clear" w:color="000000" w:fill="FFFF99"/>
            <w:vAlign w:val="center"/>
          </w:tcPr>
          <w:p w14:paraId="1A0AF334" w14:textId="4BD68939" w:rsidR="0074784C" w:rsidRPr="00134AE3" w:rsidRDefault="0074784C" w:rsidP="0074784C">
            <w:pPr>
              <w:jc w:val="center"/>
              <w:rPr>
                <w:bCs/>
                <w:sz w:val="18"/>
                <w:szCs w:val="18"/>
                <w:lang w:eastAsia="hr-HR"/>
              </w:rPr>
            </w:pPr>
            <w:r w:rsidRPr="00134AE3">
              <w:rPr>
                <w:rFonts w:eastAsia="Times New Roman"/>
                <w:b/>
                <w:bCs/>
                <w:sz w:val="18"/>
                <w:szCs w:val="18"/>
                <w:lang w:eastAsia="hr-HR"/>
              </w:rPr>
              <w:t>u mln EUR</w:t>
            </w:r>
          </w:p>
        </w:tc>
        <w:tc>
          <w:tcPr>
            <w:tcW w:w="850" w:type="dxa"/>
            <w:tcBorders>
              <w:top w:val="single" w:sz="4" w:space="0" w:color="auto"/>
              <w:left w:val="single" w:sz="4" w:space="0" w:color="auto"/>
              <w:bottom w:val="single" w:sz="4" w:space="0" w:color="auto"/>
              <w:right w:val="single" w:sz="4" w:space="0" w:color="auto"/>
            </w:tcBorders>
            <w:shd w:val="clear" w:color="000000" w:fill="FFFF99"/>
            <w:vAlign w:val="center"/>
          </w:tcPr>
          <w:p w14:paraId="27D6B8B9" w14:textId="005B2A0A" w:rsidR="0074784C" w:rsidRPr="00134AE3" w:rsidRDefault="0074784C" w:rsidP="0074784C">
            <w:pPr>
              <w:jc w:val="center"/>
              <w:rPr>
                <w:bCs/>
                <w:sz w:val="18"/>
                <w:szCs w:val="18"/>
                <w:lang w:eastAsia="hr-HR"/>
              </w:rPr>
            </w:pPr>
            <w:r w:rsidRPr="00134AE3">
              <w:rPr>
                <w:rFonts w:eastAsia="Times New Roman"/>
                <w:b/>
                <w:bCs/>
                <w:sz w:val="18"/>
                <w:szCs w:val="18"/>
                <w:lang w:eastAsia="hr-HR"/>
              </w:rPr>
              <w:t>udio (%)</w:t>
            </w:r>
          </w:p>
        </w:tc>
        <w:tc>
          <w:tcPr>
            <w:tcW w:w="943" w:type="dxa"/>
            <w:tcBorders>
              <w:top w:val="single" w:sz="4" w:space="0" w:color="auto"/>
              <w:left w:val="single" w:sz="4" w:space="0" w:color="auto"/>
              <w:bottom w:val="single" w:sz="4" w:space="0" w:color="auto"/>
              <w:right w:val="single" w:sz="4" w:space="0" w:color="auto"/>
            </w:tcBorders>
            <w:shd w:val="clear" w:color="000000" w:fill="FFFF99"/>
            <w:vAlign w:val="center"/>
          </w:tcPr>
          <w:p w14:paraId="3C9AEE8B" w14:textId="446860A7" w:rsidR="0074784C" w:rsidRPr="00134AE3" w:rsidRDefault="0074784C" w:rsidP="0074784C">
            <w:pPr>
              <w:jc w:val="center"/>
              <w:rPr>
                <w:bCs/>
                <w:sz w:val="18"/>
                <w:szCs w:val="18"/>
                <w:lang w:eastAsia="hr-HR"/>
              </w:rPr>
            </w:pPr>
            <w:r w:rsidRPr="00134AE3">
              <w:rPr>
                <w:rFonts w:eastAsia="Times New Roman"/>
                <w:b/>
                <w:bCs/>
                <w:sz w:val="18"/>
                <w:szCs w:val="18"/>
                <w:lang w:eastAsia="hr-HR"/>
              </w:rPr>
              <w:t>u mln EUR</w:t>
            </w:r>
          </w:p>
        </w:tc>
        <w:tc>
          <w:tcPr>
            <w:tcW w:w="756" w:type="dxa"/>
            <w:tcBorders>
              <w:top w:val="single" w:sz="4" w:space="0" w:color="auto"/>
              <w:left w:val="single" w:sz="4" w:space="0" w:color="auto"/>
              <w:bottom w:val="single" w:sz="4" w:space="0" w:color="auto"/>
              <w:right w:val="single" w:sz="4" w:space="0" w:color="auto"/>
            </w:tcBorders>
            <w:shd w:val="clear" w:color="000000" w:fill="FFFF99"/>
            <w:vAlign w:val="center"/>
          </w:tcPr>
          <w:p w14:paraId="4B0C2BB3" w14:textId="7350C826" w:rsidR="0074784C" w:rsidRPr="00134AE3" w:rsidRDefault="0074784C" w:rsidP="0074784C">
            <w:pPr>
              <w:jc w:val="center"/>
              <w:rPr>
                <w:bCs/>
                <w:sz w:val="18"/>
                <w:szCs w:val="18"/>
                <w:lang w:eastAsia="hr-HR"/>
              </w:rPr>
            </w:pPr>
            <w:r w:rsidRPr="00134AE3">
              <w:rPr>
                <w:rFonts w:eastAsia="Times New Roman"/>
                <w:b/>
                <w:bCs/>
                <w:sz w:val="18"/>
                <w:szCs w:val="18"/>
                <w:lang w:eastAsia="hr-HR"/>
              </w:rPr>
              <w:t>udio (%)</w:t>
            </w:r>
          </w:p>
        </w:tc>
      </w:tr>
      <w:tr w:rsidR="00060FF2" w:rsidRPr="00134AE3" w14:paraId="14167A5C"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CD06D2A" w14:textId="77777777" w:rsidR="00060FF2" w:rsidRPr="00134AE3" w:rsidRDefault="00060FF2" w:rsidP="00060FF2">
            <w:pPr>
              <w:jc w:val="both"/>
              <w:rPr>
                <w:b/>
                <w:bCs/>
                <w:sz w:val="18"/>
                <w:szCs w:val="18"/>
                <w:lang w:eastAsia="hr-HR"/>
              </w:rPr>
            </w:pPr>
            <w:r w:rsidRPr="00134AE3">
              <w:rPr>
                <w:b/>
                <w:bCs/>
                <w:sz w:val="18"/>
                <w:szCs w:val="18"/>
                <w:lang w:eastAsia="hr-HR"/>
              </w:rPr>
              <w:t>1.</w:t>
            </w: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42F8DA6B" w14:textId="77777777" w:rsidR="00060FF2" w:rsidRPr="00134AE3" w:rsidRDefault="00060FF2" w:rsidP="00060FF2">
            <w:pPr>
              <w:rPr>
                <w:b/>
                <w:bCs/>
                <w:i/>
                <w:iCs/>
                <w:sz w:val="18"/>
                <w:szCs w:val="18"/>
                <w:lang w:eastAsia="hr-HR"/>
              </w:rPr>
            </w:pPr>
            <w:r w:rsidRPr="00134AE3">
              <w:rPr>
                <w:b/>
                <w:bCs/>
                <w:i/>
                <w:iCs/>
                <w:sz w:val="18"/>
                <w:szCs w:val="18"/>
                <w:lang w:eastAsia="hr-HR"/>
              </w:rPr>
              <w:t>Poljoprivreda i ribarstvo</w:t>
            </w:r>
          </w:p>
        </w:tc>
        <w:tc>
          <w:tcPr>
            <w:tcW w:w="992" w:type="dxa"/>
            <w:tcBorders>
              <w:top w:val="single" w:sz="4" w:space="0" w:color="auto"/>
              <w:left w:val="nil"/>
              <w:bottom w:val="single" w:sz="4" w:space="0" w:color="auto"/>
              <w:right w:val="single" w:sz="4" w:space="0" w:color="auto"/>
            </w:tcBorders>
            <w:vAlign w:val="center"/>
          </w:tcPr>
          <w:p w14:paraId="0704FDAD" w14:textId="0A1D11F0"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94,2</w:t>
            </w:r>
          </w:p>
        </w:tc>
        <w:tc>
          <w:tcPr>
            <w:tcW w:w="851" w:type="dxa"/>
            <w:tcBorders>
              <w:top w:val="single" w:sz="4" w:space="0" w:color="auto"/>
              <w:left w:val="single" w:sz="4" w:space="0" w:color="auto"/>
              <w:bottom w:val="single" w:sz="4" w:space="0" w:color="auto"/>
              <w:right w:val="single" w:sz="4" w:space="0" w:color="auto"/>
            </w:tcBorders>
            <w:vAlign w:val="center"/>
          </w:tcPr>
          <w:p w14:paraId="460E2FE5" w14:textId="5415CCCD" w:rsidR="00060FF2" w:rsidRPr="00134AE3" w:rsidRDefault="00060FF2" w:rsidP="00212042">
            <w:pPr>
              <w:jc w:val="center"/>
              <w:rPr>
                <w:rFonts w:eastAsia="Times New Roman"/>
                <w:b/>
                <w:bCs/>
                <w:sz w:val="18"/>
                <w:szCs w:val="18"/>
                <w:lang w:eastAsia="hr-HR"/>
              </w:rPr>
            </w:pPr>
            <w:r w:rsidRPr="00134AE3">
              <w:rPr>
                <w:rFonts w:eastAsia="Times New Roman"/>
                <w:b/>
                <w:bCs/>
                <w:sz w:val="18"/>
                <w:szCs w:val="18"/>
                <w:lang w:eastAsia="hr-HR"/>
              </w:rPr>
              <w:t>4,</w:t>
            </w:r>
            <w:r w:rsidR="00212042" w:rsidRPr="00134AE3">
              <w:rPr>
                <w:rFonts w:eastAsia="Times New Roman"/>
                <w:b/>
                <w:bCs/>
                <w:sz w:val="18"/>
                <w:szCs w:val="18"/>
                <w:lang w:eastAsia="hr-HR"/>
              </w:rPr>
              <w:t>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18C89" w14:textId="43898215" w:rsidR="00060FF2" w:rsidRPr="00134AE3" w:rsidRDefault="00060FF2" w:rsidP="00FA7EA1">
            <w:pPr>
              <w:jc w:val="right"/>
              <w:rPr>
                <w:rFonts w:eastAsia="Times New Roman"/>
                <w:b/>
                <w:bCs/>
                <w:sz w:val="18"/>
                <w:szCs w:val="18"/>
                <w:lang w:eastAsia="hr-HR"/>
              </w:rPr>
            </w:pPr>
            <w:r w:rsidRPr="00134AE3">
              <w:rPr>
                <w:rFonts w:eastAsia="Times New Roman"/>
                <w:b/>
                <w:bCs/>
                <w:sz w:val="18"/>
                <w:szCs w:val="18"/>
                <w:lang w:eastAsia="hr-HR"/>
              </w:rPr>
              <w:t>113,</w:t>
            </w:r>
            <w:r w:rsidR="00FA7EA1" w:rsidRPr="00134AE3">
              <w:rPr>
                <w:rFonts w:eastAsia="Times New Roman"/>
                <w:b/>
                <w:bCs/>
                <w:sz w:val="18"/>
                <w:szCs w:val="18"/>
                <w:lang w:eastAsia="hr-HR"/>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805169" w14:textId="6525A10B"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5,47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CF28687" w14:textId="6A3D122F"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128,2</w:t>
            </w:r>
          </w:p>
        </w:tc>
        <w:tc>
          <w:tcPr>
            <w:tcW w:w="756" w:type="dxa"/>
            <w:tcBorders>
              <w:top w:val="single" w:sz="4" w:space="0" w:color="auto"/>
              <w:left w:val="single" w:sz="4" w:space="0" w:color="auto"/>
              <w:bottom w:val="single" w:sz="4" w:space="0" w:color="auto"/>
              <w:right w:val="single" w:sz="4" w:space="0" w:color="auto"/>
            </w:tcBorders>
            <w:vAlign w:val="center"/>
          </w:tcPr>
          <w:p w14:paraId="581364D7" w14:textId="0C89D466" w:rsidR="00060FF2" w:rsidRPr="00134AE3" w:rsidRDefault="00060FF2" w:rsidP="009251BA">
            <w:pPr>
              <w:jc w:val="center"/>
              <w:rPr>
                <w:rFonts w:eastAsia="Times New Roman"/>
                <w:b/>
                <w:bCs/>
                <w:sz w:val="18"/>
                <w:szCs w:val="18"/>
                <w:lang w:eastAsia="hr-HR"/>
              </w:rPr>
            </w:pPr>
            <w:r w:rsidRPr="00134AE3">
              <w:rPr>
                <w:rFonts w:eastAsia="Times New Roman"/>
                <w:b/>
                <w:bCs/>
                <w:sz w:val="18"/>
                <w:szCs w:val="18"/>
                <w:lang w:eastAsia="hr-HR"/>
              </w:rPr>
              <w:t>8,8</w:t>
            </w:r>
            <w:r w:rsidR="009251BA" w:rsidRPr="00134AE3">
              <w:rPr>
                <w:rFonts w:eastAsia="Times New Roman"/>
                <w:b/>
                <w:bCs/>
                <w:sz w:val="18"/>
                <w:szCs w:val="18"/>
                <w:lang w:eastAsia="hr-HR"/>
              </w:rPr>
              <w:t>5</w:t>
            </w:r>
          </w:p>
        </w:tc>
      </w:tr>
      <w:tr w:rsidR="00060FF2" w:rsidRPr="00134AE3" w14:paraId="466ACFFA"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D60D50B" w14:textId="77777777" w:rsidR="00060FF2" w:rsidRPr="00134AE3" w:rsidRDefault="00060FF2" w:rsidP="00060FF2">
            <w:pPr>
              <w:jc w:val="both"/>
              <w:rPr>
                <w:b/>
                <w:bCs/>
                <w:sz w:val="18"/>
                <w:szCs w:val="18"/>
                <w:lang w:eastAsia="hr-HR"/>
              </w:rPr>
            </w:pPr>
            <w:r w:rsidRPr="00134AE3">
              <w:rPr>
                <w:b/>
                <w:bCs/>
                <w:sz w:val="18"/>
                <w:szCs w:val="18"/>
                <w:lang w:eastAsia="hr-HR"/>
              </w:rPr>
              <w:t>2.</w:t>
            </w: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46D9D49F" w14:textId="77777777" w:rsidR="00060FF2" w:rsidRPr="00134AE3" w:rsidRDefault="00060FF2" w:rsidP="00060FF2">
            <w:pPr>
              <w:rPr>
                <w:b/>
                <w:bCs/>
                <w:i/>
                <w:iCs/>
                <w:sz w:val="18"/>
                <w:szCs w:val="18"/>
                <w:lang w:eastAsia="hr-HR"/>
              </w:rPr>
            </w:pPr>
            <w:r w:rsidRPr="00134AE3">
              <w:rPr>
                <w:b/>
                <w:bCs/>
                <w:i/>
                <w:iCs/>
                <w:sz w:val="18"/>
                <w:szCs w:val="18"/>
                <w:lang w:eastAsia="hr-HR"/>
              </w:rPr>
              <w:t>Industrija i usluge</w:t>
            </w:r>
          </w:p>
        </w:tc>
        <w:tc>
          <w:tcPr>
            <w:tcW w:w="992" w:type="dxa"/>
            <w:tcBorders>
              <w:top w:val="single" w:sz="4" w:space="0" w:color="auto"/>
              <w:left w:val="nil"/>
              <w:bottom w:val="single" w:sz="4" w:space="0" w:color="auto"/>
              <w:right w:val="single" w:sz="4" w:space="0" w:color="auto"/>
            </w:tcBorders>
            <w:vAlign w:val="center"/>
          </w:tcPr>
          <w:p w14:paraId="2A3B93D1" w14:textId="4BE13FFA"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2.049,4</w:t>
            </w:r>
          </w:p>
        </w:tc>
        <w:tc>
          <w:tcPr>
            <w:tcW w:w="851" w:type="dxa"/>
            <w:tcBorders>
              <w:top w:val="single" w:sz="4" w:space="0" w:color="auto"/>
              <w:left w:val="single" w:sz="4" w:space="0" w:color="auto"/>
              <w:bottom w:val="single" w:sz="4" w:space="0" w:color="auto"/>
              <w:right w:val="single" w:sz="4" w:space="0" w:color="auto"/>
            </w:tcBorders>
            <w:vAlign w:val="center"/>
          </w:tcPr>
          <w:p w14:paraId="047FE091" w14:textId="64485F4E" w:rsidR="00060FF2" w:rsidRPr="00134AE3" w:rsidRDefault="00060FF2" w:rsidP="00212042">
            <w:pPr>
              <w:jc w:val="center"/>
              <w:rPr>
                <w:rFonts w:eastAsia="Times New Roman"/>
                <w:b/>
                <w:bCs/>
                <w:sz w:val="18"/>
                <w:szCs w:val="18"/>
                <w:lang w:eastAsia="hr-HR"/>
              </w:rPr>
            </w:pPr>
            <w:r w:rsidRPr="00134AE3">
              <w:rPr>
                <w:rFonts w:eastAsia="Times New Roman"/>
                <w:b/>
                <w:bCs/>
                <w:sz w:val="18"/>
                <w:szCs w:val="18"/>
                <w:lang w:eastAsia="hr-HR"/>
              </w:rPr>
              <w:t>95,6</w:t>
            </w:r>
            <w:r w:rsidR="00212042" w:rsidRPr="00134AE3">
              <w:rPr>
                <w:rFonts w:eastAsia="Times New Roman"/>
                <w:b/>
                <w:bCs/>
                <w:sz w:val="18"/>
                <w:szCs w:val="18"/>
                <w:lang w:eastAsia="hr-HR"/>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CE49B3" w14:textId="79185C9C"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1.967,2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59B097" w14:textId="0DF72A10"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94,53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3E562DA" w14:textId="2B64B789" w:rsidR="00060FF2" w:rsidRPr="00134AE3" w:rsidRDefault="00060FF2" w:rsidP="00FA7EA1">
            <w:pPr>
              <w:jc w:val="right"/>
              <w:rPr>
                <w:rFonts w:eastAsia="Times New Roman"/>
                <w:b/>
                <w:bCs/>
                <w:sz w:val="18"/>
                <w:szCs w:val="18"/>
                <w:lang w:eastAsia="hr-HR"/>
              </w:rPr>
            </w:pPr>
            <w:r w:rsidRPr="00134AE3">
              <w:rPr>
                <w:rFonts w:eastAsia="Times New Roman"/>
                <w:b/>
                <w:bCs/>
                <w:sz w:val="18"/>
                <w:szCs w:val="18"/>
                <w:lang w:eastAsia="hr-HR"/>
              </w:rPr>
              <w:t>1.32</w:t>
            </w:r>
            <w:r w:rsidR="00FA7EA1" w:rsidRPr="00134AE3">
              <w:rPr>
                <w:rFonts w:eastAsia="Times New Roman"/>
                <w:b/>
                <w:bCs/>
                <w:sz w:val="18"/>
                <w:szCs w:val="18"/>
                <w:lang w:eastAsia="hr-HR"/>
              </w:rPr>
              <w:t>0</w:t>
            </w:r>
            <w:r w:rsidRPr="00134AE3">
              <w:rPr>
                <w:rFonts w:eastAsia="Times New Roman"/>
                <w:b/>
                <w:bCs/>
                <w:sz w:val="18"/>
                <w:szCs w:val="18"/>
                <w:lang w:eastAsia="hr-HR"/>
              </w:rPr>
              <w:t>,</w:t>
            </w:r>
            <w:r w:rsidR="00FA7EA1" w:rsidRPr="00134AE3">
              <w:rPr>
                <w:rFonts w:eastAsia="Times New Roman"/>
                <w:b/>
                <w:bCs/>
                <w:sz w:val="18"/>
                <w:szCs w:val="18"/>
                <w:lang w:eastAsia="hr-HR"/>
              </w:rPr>
              <w:t>9</w:t>
            </w:r>
          </w:p>
        </w:tc>
        <w:tc>
          <w:tcPr>
            <w:tcW w:w="756" w:type="dxa"/>
            <w:tcBorders>
              <w:top w:val="single" w:sz="4" w:space="0" w:color="auto"/>
              <w:left w:val="single" w:sz="4" w:space="0" w:color="auto"/>
              <w:bottom w:val="single" w:sz="4" w:space="0" w:color="auto"/>
              <w:right w:val="single" w:sz="4" w:space="0" w:color="auto"/>
            </w:tcBorders>
            <w:vAlign w:val="center"/>
          </w:tcPr>
          <w:p w14:paraId="3E718E9B" w14:textId="024B2444" w:rsidR="00060FF2" w:rsidRPr="00134AE3" w:rsidRDefault="009251BA" w:rsidP="00060FF2">
            <w:pPr>
              <w:jc w:val="center"/>
              <w:rPr>
                <w:rFonts w:eastAsia="Times New Roman"/>
                <w:b/>
                <w:bCs/>
                <w:sz w:val="18"/>
                <w:szCs w:val="18"/>
                <w:lang w:eastAsia="hr-HR"/>
              </w:rPr>
            </w:pPr>
            <w:r w:rsidRPr="00134AE3">
              <w:rPr>
                <w:rFonts w:eastAsia="Times New Roman"/>
                <w:b/>
                <w:bCs/>
                <w:sz w:val="18"/>
                <w:szCs w:val="18"/>
                <w:lang w:eastAsia="hr-HR"/>
              </w:rPr>
              <w:t>91,15</w:t>
            </w:r>
          </w:p>
        </w:tc>
      </w:tr>
      <w:tr w:rsidR="00060FF2" w:rsidRPr="00134AE3" w14:paraId="2257E708" w14:textId="77777777" w:rsidTr="00DF3A81">
        <w:trPr>
          <w:trHeight w:val="152"/>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AB9907A" w14:textId="2F5B0849" w:rsidR="00060FF2" w:rsidRPr="00134AE3" w:rsidRDefault="00060FF2" w:rsidP="00060FF2">
            <w:pPr>
              <w:jc w:val="both"/>
              <w:rPr>
                <w:b/>
                <w:bCs/>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0BE845F5" w14:textId="77777777" w:rsidR="00060FF2" w:rsidRPr="00134AE3" w:rsidRDefault="00060FF2" w:rsidP="00060FF2">
            <w:pPr>
              <w:rPr>
                <w:b/>
                <w:bCs/>
                <w:i/>
                <w:iCs/>
                <w:sz w:val="18"/>
                <w:szCs w:val="18"/>
                <w:lang w:eastAsia="hr-HR"/>
              </w:rPr>
            </w:pPr>
            <w:r w:rsidRPr="00134AE3">
              <w:rPr>
                <w:b/>
                <w:bCs/>
                <w:i/>
                <w:iCs/>
                <w:sz w:val="18"/>
                <w:szCs w:val="18"/>
                <w:lang w:eastAsia="hr-HR"/>
              </w:rPr>
              <w:t>Horizontalni ciljevi</w:t>
            </w:r>
          </w:p>
        </w:tc>
        <w:tc>
          <w:tcPr>
            <w:tcW w:w="992" w:type="dxa"/>
            <w:tcBorders>
              <w:top w:val="single" w:sz="4" w:space="0" w:color="auto"/>
              <w:left w:val="nil"/>
              <w:bottom w:val="single" w:sz="4" w:space="0" w:color="auto"/>
              <w:right w:val="single" w:sz="4" w:space="0" w:color="auto"/>
            </w:tcBorders>
            <w:vAlign w:val="center"/>
          </w:tcPr>
          <w:p w14:paraId="5547D007" w14:textId="66E6698F"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98,6</w:t>
            </w:r>
          </w:p>
        </w:tc>
        <w:tc>
          <w:tcPr>
            <w:tcW w:w="851" w:type="dxa"/>
            <w:tcBorders>
              <w:top w:val="single" w:sz="4" w:space="0" w:color="auto"/>
              <w:left w:val="single" w:sz="4" w:space="0" w:color="auto"/>
              <w:bottom w:val="single" w:sz="4" w:space="0" w:color="auto"/>
              <w:right w:val="single" w:sz="4" w:space="0" w:color="auto"/>
            </w:tcBorders>
            <w:vAlign w:val="center"/>
          </w:tcPr>
          <w:p w14:paraId="251F6F4A" w14:textId="4CCF7973"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7A8924" w14:textId="2CF98019" w:rsidR="00060FF2" w:rsidRPr="00134AE3" w:rsidRDefault="00060FF2" w:rsidP="00FA7EA1">
            <w:pPr>
              <w:jc w:val="right"/>
              <w:rPr>
                <w:rFonts w:eastAsia="Times New Roman"/>
                <w:b/>
                <w:bCs/>
                <w:sz w:val="18"/>
                <w:szCs w:val="18"/>
                <w:lang w:eastAsia="hr-HR"/>
              </w:rPr>
            </w:pPr>
            <w:r w:rsidRPr="00134AE3">
              <w:rPr>
                <w:rFonts w:eastAsia="Times New Roman"/>
                <w:b/>
                <w:bCs/>
                <w:sz w:val="18"/>
                <w:szCs w:val="18"/>
                <w:lang w:eastAsia="hr-HR"/>
              </w:rPr>
              <w:t>268,</w:t>
            </w:r>
            <w:r w:rsidR="00FA7EA1" w:rsidRPr="00134AE3">
              <w:rPr>
                <w:rFonts w:eastAsia="Times New Roman"/>
                <w:b/>
                <w:bCs/>
                <w:sz w:val="18"/>
                <w:szCs w:val="18"/>
                <w:lang w:eastAsia="hr-HR"/>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0D5636" w14:textId="01250341" w:rsidR="00060FF2" w:rsidRPr="00134AE3" w:rsidRDefault="00060FF2" w:rsidP="009251BA">
            <w:pPr>
              <w:jc w:val="center"/>
              <w:rPr>
                <w:rFonts w:eastAsia="Times New Roman"/>
                <w:b/>
                <w:bCs/>
                <w:sz w:val="18"/>
                <w:szCs w:val="18"/>
                <w:lang w:eastAsia="hr-HR"/>
              </w:rPr>
            </w:pPr>
            <w:r w:rsidRPr="00134AE3">
              <w:rPr>
                <w:rFonts w:eastAsia="Times New Roman"/>
                <w:b/>
                <w:bCs/>
                <w:sz w:val="18"/>
                <w:szCs w:val="18"/>
                <w:lang w:eastAsia="hr-HR"/>
              </w:rPr>
              <w:t>12,</w:t>
            </w:r>
            <w:r w:rsidR="009251BA" w:rsidRPr="00134AE3">
              <w:rPr>
                <w:rFonts w:eastAsia="Times New Roman"/>
                <w:b/>
                <w:bCs/>
                <w:sz w:val="18"/>
                <w:szCs w:val="18"/>
                <w:lang w:eastAsia="hr-HR"/>
              </w:rPr>
              <w:t>89</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0FC6EB" w14:textId="2422B451" w:rsidR="00060FF2" w:rsidRPr="00134AE3" w:rsidRDefault="00060FF2" w:rsidP="00FA7EA1">
            <w:pPr>
              <w:jc w:val="right"/>
              <w:rPr>
                <w:rFonts w:eastAsia="Times New Roman"/>
                <w:b/>
                <w:bCs/>
                <w:sz w:val="18"/>
                <w:szCs w:val="18"/>
                <w:lang w:eastAsia="hr-HR"/>
              </w:rPr>
            </w:pPr>
            <w:r w:rsidRPr="00134AE3">
              <w:rPr>
                <w:rFonts w:eastAsia="Times New Roman"/>
                <w:b/>
                <w:bCs/>
                <w:sz w:val="18"/>
                <w:szCs w:val="18"/>
                <w:lang w:eastAsia="hr-HR"/>
              </w:rPr>
              <w:t>213,</w:t>
            </w:r>
            <w:r w:rsidR="00FA7EA1" w:rsidRPr="00134AE3">
              <w:rPr>
                <w:rFonts w:eastAsia="Times New Roman"/>
                <w:b/>
                <w:bCs/>
                <w:sz w:val="18"/>
                <w:szCs w:val="18"/>
                <w:lang w:eastAsia="hr-HR"/>
              </w:rPr>
              <w:t>5</w:t>
            </w:r>
          </w:p>
        </w:tc>
        <w:tc>
          <w:tcPr>
            <w:tcW w:w="756" w:type="dxa"/>
            <w:tcBorders>
              <w:top w:val="single" w:sz="4" w:space="0" w:color="auto"/>
              <w:left w:val="single" w:sz="4" w:space="0" w:color="auto"/>
              <w:bottom w:val="single" w:sz="4" w:space="0" w:color="auto"/>
              <w:right w:val="single" w:sz="4" w:space="0" w:color="auto"/>
            </w:tcBorders>
            <w:vAlign w:val="center"/>
          </w:tcPr>
          <w:p w14:paraId="1F1EDCC2" w14:textId="251B6D9D" w:rsidR="00060FF2" w:rsidRPr="00134AE3" w:rsidRDefault="009251BA" w:rsidP="00060FF2">
            <w:pPr>
              <w:jc w:val="center"/>
              <w:rPr>
                <w:rFonts w:eastAsia="Times New Roman"/>
                <w:b/>
                <w:bCs/>
                <w:sz w:val="18"/>
                <w:szCs w:val="18"/>
                <w:lang w:eastAsia="hr-HR"/>
              </w:rPr>
            </w:pPr>
            <w:r w:rsidRPr="00134AE3">
              <w:rPr>
                <w:rFonts w:eastAsia="Times New Roman"/>
                <w:b/>
                <w:bCs/>
                <w:sz w:val="18"/>
                <w:szCs w:val="18"/>
                <w:lang w:eastAsia="hr-HR"/>
              </w:rPr>
              <w:t>14,73</w:t>
            </w:r>
          </w:p>
        </w:tc>
      </w:tr>
      <w:tr w:rsidR="00060FF2" w:rsidRPr="00134AE3" w14:paraId="097C5ABE"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146E517" w14:textId="5259ACBD"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37CF6C43" w14:textId="77777777" w:rsidR="00060FF2" w:rsidRPr="00134AE3" w:rsidRDefault="00060FF2" w:rsidP="00060FF2">
            <w:pPr>
              <w:rPr>
                <w:sz w:val="18"/>
                <w:szCs w:val="18"/>
                <w:lang w:eastAsia="hr-HR"/>
              </w:rPr>
            </w:pPr>
            <w:r w:rsidRPr="00134AE3">
              <w:rPr>
                <w:sz w:val="18"/>
                <w:szCs w:val="18"/>
                <w:lang w:eastAsia="hr-HR"/>
              </w:rPr>
              <w:t>- Istraživanje i razvoj i inovacije</w:t>
            </w:r>
          </w:p>
        </w:tc>
        <w:tc>
          <w:tcPr>
            <w:tcW w:w="992" w:type="dxa"/>
            <w:tcBorders>
              <w:top w:val="single" w:sz="4" w:space="0" w:color="auto"/>
              <w:left w:val="nil"/>
              <w:bottom w:val="single" w:sz="4" w:space="0" w:color="auto"/>
              <w:right w:val="single" w:sz="4" w:space="0" w:color="auto"/>
            </w:tcBorders>
            <w:vAlign w:val="center"/>
          </w:tcPr>
          <w:p w14:paraId="2A0A7618" w14:textId="4540A84C"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35,0</w:t>
            </w:r>
          </w:p>
        </w:tc>
        <w:tc>
          <w:tcPr>
            <w:tcW w:w="851" w:type="dxa"/>
            <w:tcBorders>
              <w:top w:val="single" w:sz="4" w:space="0" w:color="auto"/>
              <w:left w:val="single" w:sz="4" w:space="0" w:color="auto"/>
              <w:bottom w:val="single" w:sz="4" w:space="0" w:color="auto"/>
              <w:right w:val="single" w:sz="4" w:space="0" w:color="auto"/>
            </w:tcBorders>
            <w:vAlign w:val="center"/>
          </w:tcPr>
          <w:p w14:paraId="27BAD451" w14:textId="7D9597AA"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98BD1" w14:textId="61B15774"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885A71" w14:textId="0192715F"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9,32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C065345" w14:textId="19706385"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160,4</w:t>
            </w:r>
          </w:p>
        </w:tc>
        <w:tc>
          <w:tcPr>
            <w:tcW w:w="756" w:type="dxa"/>
            <w:tcBorders>
              <w:top w:val="single" w:sz="4" w:space="0" w:color="auto"/>
              <w:left w:val="single" w:sz="4" w:space="0" w:color="auto"/>
              <w:bottom w:val="single" w:sz="4" w:space="0" w:color="auto"/>
              <w:right w:val="single" w:sz="4" w:space="0" w:color="auto"/>
            </w:tcBorders>
            <w:vAlign w:val="center"/>
          </w:tcPr>
          <w:p w14:paraId="0A1FD9D9" w14:textId="2011F4F6"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11,07</w:t>
            </w:r>
          </w:p>
        </w:tc>
      </w:tr>
      <w:tr w:rsidR="00060FF2" w:rsidRPr="00134AE3" w14:paraId="61B9D866"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2B1D849" w14:textId="5544AECB"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7BC310E7" w14:textId="77777777" w:rsidR="00060FF2" w:rsidRPr="00134AE3" w:rsidRDefault="00060FF2" w:rsidP="00060FF2">
            <w:pPr>
              <w:rPr>
                <w:sz w:val="18"/>
                <w:szCs w:val="18"/>
                <w:lang w:eastAsia="hr-HR"/>
              </w:rPr>
            </w:pPr>
            <w:r w:rsidRPr="00134AE3">
              <w:rPr>
                <w:sz w:val="18"/>
                <w:szCs w:val="18"/>
                <w:lang w:eastAsia="hr-HR"/>
              </w:rPr>
              <w:t>- Zapošljavanje</w:t>
            </w:r>
          </w:p>
        </w:tc>
        <w:tc>
          <w:tcPr>
            <w:tcW w:w="992" w:type="dxa"/>
            <w:tcBorders>
              <w:top w:val="single" w:sz="4" w:space="0" w:color="auto"/>
              <w:left w:val="nil"/>
              <w:bottom w:val="single" w:sz="4" w:space="0" w:color="auto"/>
              <w:right w:val="single" w:sz="4" w:space="0" w:color="auto"/>
            </w:tcBorders>
            <w:vAlign w:val="center"/>
          </w:tcPr>
          <w:p w14:paraId="22B059EA" w14:textId="52F07275"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38,0</w:t>
            </w:r>
          </w:p>
        </w:tc>
        <w:tc>
          <w:tcPr>
            <w:tcW w:w="851" w:type="dxa"/>
            <w:tcBorders>
              <w:top w:val="single" w:sz="4" w:space="0" w:color="auto"/>
              <w:left w:val="single" w:sz="4" w:space="0" w:color="auto"/>
              <w:bottom w:val="single" w:sz="4" w:space="0" w:color="auto"/>
              <w:right w:val="single" w:sz="4" w:space="0" w:color="auto"/>
            </w:tcBorders>
            <w:vAlign w:val="center"/>
          </w:tcPr>
          <w:p w14:paraId="7440E722" w14:textId="2C0CF654"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6964BD" w14:textId="67F1F6B3"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42,4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CFE9EB" w14:textId="28A8D670"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2,04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1837CB5" w14:textId="1698F710"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39,0</w:t>
            </w:r>
          </w:p>
        </w:tc>
        <w:tc>
          <w:tcPr>
            <w:tcW w:w="756" w:type="dxa"/>
            <w:tcBorders>
              <w:top w:val="single" w:sz="4" w:space="0" w:color="auto"/>
              <w:left w:val="single" w:sz="4" w:space="0" w:color="auto"/>
              <w:bottom w:val="single" w:sz="4" w:space="0" w:color="auto"/>
              <w:right w:val="single" w:sz="4" w:space="0" w:color="auto"/>
            </w:tcBorders>
            <w:vAlign w:val="center"/>
          </w:tcPr>
          <w:p w14:paraId="0EF25707" w14:textId="261D45C2"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2,69</w:t>
            </w:r>
          </w:p>
        </w:tc>
      </w:tr>
      <w:tr w:rsidR="00060FF2" w:rsidRPr="00134AE3" w14:paraId="3A899B8E"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31AF9B6C" w14:textId="46F27D4F"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38EA4AF6" w14:textId="77777777" w:rsidR="00060FF2" w:rsidRPr="00134AE3" w:rsidRDefault="00060FF2" w:rsidP="00060FF2">
            <w:pPr>
              <w:rPr>
                <w:sz w:val="18"/>
                <w:szCs w:val="18"/>
                <w:lang w:eastAsia="hr-HR"/>
              </w:rPr>
            </w:pPr>
            <w:r w:rsidRPr="00134AE3">
              <w:rPr>
                <w:sz w:val="18"/>
                <w:szCs w:val="18"/>
                <w:lang w:eastAsia="hr-HR"/>
              </w:rPr>
              <w:t>- Usavršavanje</w:t>
            </w:r>
          </w:p>
        </w:tc>
        <w:tc>
          <w:tcPr>
            <w:tcW w:w="992" w:type="dxa"/>
            <w:tcBorders>
              <w:top w:val="single" w:sz="4" w:space="0" w:color="auto"/>
              <w:left w:val="nil"/>
              <w:bottom w:val="single" w:sz="4" w:space="0" w:color="auto"/>
              <w:right w:val="single" w:sz="4" w:space="0" w:color="auto"/>
            </w:tcBorders>
            <w:vAlign w:val="center"/>
          </w:tcPr>
          <w:p w14:paraId="6868F3F5" w14:textId="34E92DE0"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3,7</w:t>
            </w:r>
          </w:p>
        </w:tc>
        <w:tc>
          <w:tcPr>
            <w:tcW w:w="851" w:type="dxa"/>
            <w:tcBorders>
              <w:top w:val="single" w:sz="4" w:space="0" w:color="auto"/>
              <w:left w:val="single" w:sz="4" w:space="0" w:color="auto"/>
              <w:bottom w:val="single" w:sz="4" w:space="0" w:color="auto"/>
              <w:right w:val="single" w:sz="4" w:space="0" w:color="auto"/>
            </w:tcBorders>
            <w:vAlign w:val="center"/>
          </w:tcPr>
          <w:p w14:paraId="278395D7" w14:textId="23AB3D72"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C6114" w14:textId="568F9BB6"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0,0</w:t>
            </w:r>
            <w:r w:rsidR="00C92572" w:rsidRPr="00134AE3">
              <w:rPr>
                <w:rFonts w:eastAsia="Times New Roman"/>
                <w:sz w:val="18"/>
                <w:szCs w:val="18"/>
                <w:lang w:eastAsia="hr-HR"/>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F55712" w14:textId="512DD49E"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0,00</w:t>
            </w:r>
            <w:r w:rsidR="00C92572" w:rsidRPr="00134AE3">
              <w:rPr>
                <w:rFonts w:eastAsia="Times New Roman"/>
                <w:sz w:val="18"/>
                <w:szCs w:val="18"/>
                <w:lang w:eastAsia="hr-HR"/>
              </w:rPr>
              <w:t>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1184CA" w14:textId="2647D172"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0,8</w:t>
            </w:r>
          </w:p>
        </w:tc>
        <w:tc>
          <w:tcPr>
            <w:tcW w:w="756" w:type="dxa"/>
            <w:tcBorders>
              <w:top w:val="single" w:sz="4" w:space="0" w:color="auto"/>
              <w:left w:val="single" w:sz="4" w:space="0" w:color="auto"/>
              <w:bottom w:val="single" w:sz="4" w:space="0" w:color="auto"/>
              <w:right w:val="single" w:sz="4" w:space="0" w:color="auto"/>
            </w:tcBorders>
            <w:vAlign w:val="center"/>
          </w:tcPr>
          <w:p w14:paraId="0B525D5F" w14:textId="1AFACCDF" w:rsidR="00060FF2" w:rsidRPr="00134AE3" w:rsidRDefault="00060FF2" w:rsidP="009251BA">
            <w:pPr>
              <w:jc w:val="center"/>
              <w:rPr>
                <w:rFonts w:eastAsia="Times New Roman"/>
                <w:sz w:val="18"/>
                <w:szCs w:val="18"/>
                <w:lang w:eastAsia="hr-HR"/>
              </w:rPr>
            </w:pPr>
            <w:r w:rsidRPr="00134AE3">
              <w:rPr>
                <w:rFonts w:eastAsia="Times New Roman"/>
                <w:sz w:val="18"/>
                <w:szCs w:val="18"/>
                <w:lang w:eastAsia="hr-HR"/>
              </w:rPr>
              <w:t>0,0</w:t>
            </w:r>
            <w:r w:rsidR="009251BA" w:rsidRPr="00134AE3">
              <w:rPr>
                <w:rFonts w:eastAsia="Times New Roman"/>
                <w:sz w:val="18"/>
                <w:szCs w:val="18"/>
                <w:lang w:eastAsia="hr-HR"/>
              </w:rPr>
              <w:t>6</w:t>
            </w:r>
          </w:p>
        </w:tc>
      </w:tr>
      <w:tr w:rsidR="00060FF2" w:rsidRPr="00134AE3" w14:paraId="57606AE4"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C217093" w14:textId="5FBE1830"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39E89703" w14:textId="77777777" w:rsidR="00060FF2" w:rsidRPr="00134AE3" w:rsidRDefault="00060FF2" w:rsidP="00060FF2">
            <w:pPr>
              <w:rPr>
                <w:sz w:val="18"/>
                <w:szCs w:val="18"/>
                <w:lang w:eastAsia="hr-HR"/>
              </w:rPr>
            </w:pPr>
            <w:r w:rsidRPr="00134AE3">
              <w:rPr>
                <w:sz w:val="18"/>
                <w:szCs w:val="18"/>
                <w:lang w:eastAsia="hr-HR"/>
              </w:rPr>
              <w:t>- Mali i srednji poduzetnici</w:t>
            </w:r>
          </w:p>
        </w:tc>
        <w:tc>
          <w:tcPr>
            <w:tcW w:w="992" w:type="dxa"/>
            <w:tcBorders>
              <w:top w:val="single" w:sz="4" w:space="0" w:color="auto"/>
              <w:left w:val="nil"/>
              <w:bottom w:val="single" w:sz="4" w:space="0" w:color="auto"/>
              <w:right w:val="single" w:sz="4" w:space="0" w:color="auto"/>
            </w:tcBorders>
            <w:vAlign w:val="center"/>
          </w:tcPr>
          <w:p w14:paraId="1D7B6731" w14:textId="5A43E53A"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2,8</w:t>
            </w:r>
          </w:p>
        </w:tc>
        <w:tc>
          <w:tcPr>
            <w:tcW w:w="851" w:type="dxa"/>
            <w:tcBorders>
              <w:top w:val="single" w:sz="4" w:space="0" w:color="auto"/>
              <w:left w:val="single" w:sz="4" w:space="0" w:color="auto"/>
              <w:bottom w:val="single" w:sz="4" w:space="0" w:color="auto"/>
              <w:right w:val="single" w:sz="4" w:space="0" w:color="auto"/>
            </w:tcBorders>
            <w:vAlign w:val="center"/>
          </w:tcPr>
          <w:p w14:paraId="7D84AC54" w14:textId="0017FD39"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6F8CAF" w14:textId="263BF520"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7,8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2FC1EB" w14:textId="559E959D" w:rsidR="00060FF2" w:rsidRPr="00134AE3" w:rsidRDefault="009251BA" w:rsidP="00060FF2">
            <w:pPr>
              <w:jc w:val="center"/>
              <w:rPr>
                <w:rFonts w:eastAsia="Times New Roman"/>
                <w:sz w:val="18"/>
                <w:szCs w:val="18"/>
                <w:lang w:eastAsia="hr-HR"/>
              </w:rPr>
            </w:pPr>
            <w:r w:rsidRPr="00134AE3">
              <w:rPr>
                <w:rFonts w:eastAsia="Times New Roman"/>
                <w:sz w:val="18"/>
                <w:szCs w:val="18"/>
                <w:lang w:eastAsia="hr-HR"/>
              </w:rPr>
              <w:t>0,37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7CAD36" w14:textId="3F5166F3"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10,2</w:t>
            </w:r>
          </w:p>
        </w:tc>
        <w:tc>
          <w:tcPr>
            <w:tcW w:w="756" w:type="dxa"/>
            <w:tcBorders>
              <w:top w:val="single" w:sz="4" w:space="0" w:color="auto"/>
              <w:left w:val="single" w:sz="4" w:space="0" w:color="auto"/>
              <w:bottom w:val="single" w:sz="4" w:space="0" w:color="auto"/>
              <w:right w:val="single" w:sz="4" w:space="0" w:color="auto"/>
            </w:tcBorders>
            <w:vAlign w:val="center"/>
          </w:tcPr>
          <w:p w14:paraId="09174716" w14:textId="2B85EBA1" w:rsidR="00060FF2" w:rsidRPr="00134AE3" w:rsidRDefault="00060FF2" w:rsidP="009251BA">
            <w:pPr>
              <w:jc w:val="center"/>
              <w:rPr>
                <w:rFonts w:eastAsia="Times New Roman"/>
                <w:sz w:val="18"/>
                <w:szCs w:val="18"/>
                <w:lang w:eastAsia="hr-HR"/>
              </w:rPr>
            </w:pPr>
            <w:r w:rsidRPr="00134AE3">
              <w:rPr>
                <w:rFonts w:eastAsia="Times New Roman"/>
                <w:sz w:val="18"/>
                <w:szCs w:val="18"/>
                <w:lang w:eastAsia="hr-HR"/>
              </w:rPr>
              <w:t>0,7</w:t>
            </w:r>
            <w:r w:rsidR="009251BA" w:rsidRPr="00134AE3">
              <w:rPr>
                <w:rFonts w:eastAsia="Times New Roman"/>
                <w:sz w:val="18"/>
                <w:szCs w:val="18"/>
                <w:lang w:eastAsia="hr-HR"/>
              </w:rPr>
              <w:t>0</w:t>
            </w:r>
          </w:p>
        </w:tc>
      </w:tr>
      <w:tr w:rsidR="00060FF2" w:rsidRPr="00134AE3" w14:paraId="58F53100"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8F18CD0" w14:textId="1AB2D723"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55B3D530" w14:textId="77777777" w:rsidR="00060FF2" w:rsidRPr="00134AE3" w:rsidRDefault="00060FF2" w:rsidP="00060FF2">
            <w:pPr>
              <w:rPr>
                <w:sz w:val="18"/>
                <w:szCs w:val="18"/>
                <w:lang w:eastAsia="hr-HR"/>
              </w:rPr>
            </w:pPr>
            <w:r w:rsidRPr="00134AE3">
              <w:rPr>
                <w:sz w:val="18"/>
                <w:szCs w:val="18"/>
                <w:lang w:eastAsia="hr-HR"/>
              </w:rPr>
              <w:t>- Kultura</w:t>
            </w:r>
          </w:p>
        </w:tc>
        <w:tc>
          <w:tcPr>
            <w:tcW w:w="992" w:type="dxa"/>
            <w:tcBorders>
              <w:top w:val="single" w:sz="4" w:space="0" w:color="auto"/>
              <w:left w:val="nil"/>
              <w:bottom w:val="single" w:sz="4" w:space="0" w:color="auto"/>
              <w:right w:val="single" w:sz="4" w:space="0" w:color="auto"/>
            </w:tcBorders>
            <w:vAlign w:val="center"/>
          </w:tcPr>
          <w:p w14:paraId="05A84B31" w14:textId="5A745316"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19,1</w:t>
            </w:r>
          </w:p>
        </w:tc>
        <w:tc>
          <w:tcPr>
            <w:tcW w:w="851" w:type="dxa"/>
            <w:tcBorders>
              <w:top w:val="single" w:sz="4" w:space="0" w:color="auto"/>
              <w:left w:val="single" w:sz="4" w:space="0" w:color="auto"/>
              <w:bottom w:val="single" w:sz="4" w:space="0" w:color="auto"/>
              <w:right w:val="single" w:sz="4" w:space="0" w:color="auto"/>
            </w:tcBorders>
            <w:vAlign w:val="center"/>
          </w:tcPr>
          <w:p w14:paraId="14C4E43F" w14:textId="2D8B265B"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71729" w14:textId="38D2F33F"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24,1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156A6A" w14:textId="673FF585"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25C5059" w14:textId="69A0FFBC"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3,1</w:t>
            </w:r>
          </w:p>
        </w:tc>
        <w:tc>
          <w:tcPr>
            <w:tcW w:w="756" w:type="dxa"/>
            <w:tcBorders>
              <w:top w:val="single" w:sz="4" w:space="0" w:color="auto"/>
              <w:left w:val="single" w:sz="4" w:space="0" w:color="auto"/>
              <w:bottom w:val="single" w:sz="4" w:space="0" w:color="auto"/>
              <w:right w:val="single" w:sz="4" w:space="0" w:color="auto"/>
            </w:tcBorders>
            <w:vAlign w:val="center"/>
          </w:tcPr>
          <w:p w14:paraId="1E1AD101" w14:textId="7990B0BA" w:rsidR="00060FF2" w:rsidRPr="00134AE3" w:rsidRDefault="009251BA" w:rsidP="00060FF2">
            <w:pPr>
              <w:jc w:val="center"/>
              <w:rPr>
                <w:rFonts w:eastAsia="Times New Roman"/>
                <w:sz w:val="18"/>
                <w:szCs w:val="18"/>
                <w:lang w:eastAsia="hr-HR"/>
              </w:rPr>
            </w:pPr>
            <w:r w:rsidRPr="00134AE3">
              <w:rPr>
                <w:rFonts w:eastAsia="Times New Roman"/>
                <w:sz w:val="18"/>
                <w:szCs w:val="18"/>
                <w:lang w:eastAsia="hr-HR"/>
              </w:rPr>
              <w:t>0,21</w:t>
            </w:r>
          </w:p>
        </w:tc>
      </w:tr>
      <w:tr w:rsidR="00060FF2" w:rsidRPr="00134AE3" w14:paraId="4084D07E"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165C0FD" w14:textId="48AD4AAC" w:rsidR="00060FF2" w:rsidRPr="00134AE3" w:rsidRDefault="00060FF2" w:rsidP="00060FF2">
            <w:pPr>
              <w:jc w:val="both"/>
              <w:rPr>
                <w:b/>
                <w:bCs/>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47A98AA4" w14:textId="77777777" w:rsidR="00060FF2" w:rsidRPr="00134AE3" w:rsidRDefault="00060FF2" w:rsidP="00060FF2">
            <w:pPr>
              <w:rPr>
                <w:b/>
                <w:bCs/>
                <w:i/>
                <w:iCs/>
                <w:sz w:val="18"/>
                <w:szCs w:val="18"/>
                <w:lang w:eastAsia="hr-HR"/>
              </w:rPr>
            </w:pPr>
            <w:r w:rsidRPr="00134AE3">
              <w:rPr>
                <w:b/>
                <w:bCs/>
                <w:i/>
                <w:iCs/>
                <w:sz w:val="18"/>
                <w:szCs w:val="18"/>
                <w:lang w:eastAsia="hr-HR"/>
              </w:rPr>
              <w:t>Posebni sektori</w:t>
            </w:r>
          </w:p>
        </w:tc>
        <w:tc>
          <w:tcPr>
            <w:tcW w:w="992" w:type="dxa"/>
            <w:tcBorders>
              <w:top w:val="single" w:sz="4" w:space="0" w:color="auto"/>
              <w:left w:val="nil"/>
              <w:bottom w:val="single" w:sz="4" w:space="0" w:color="auto"/>
              <w:right w:val="single" w:sz="4" w:space="0" w:color="auto"/>
            </w:tcBorders>
            <w:vAlign w:val="center"/>
          </w:tcPr>
          <w:p w14:paraId="112A0FF8" w14:textId="4EB39BBA"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604,0</w:t>
            </w:r>
          </w:p>
        </w:tc>
        <w:tc>
          <w:tcPr>
            <w:tcW w:w="851" w:type="dxa"/>
            <w:tcBorders>
              <w:top w:val="single" w:sz="4" w:space="0" w:color="auto"/>
              <w:left w:val="single" w:sz="4" w:space="0" w:color="auto"/>
              <w:bottom w:val="single" w:sz="4" w:space="0" w:color="auto"/>
              <w:right w:val="single" w:sz="4" w:space="0" w:color="auto"/>
            </w:tcBorders>
            <w:vAlign w:val="center"/>
          </w:tcPr>
          <w:p w14:paraId="05B8D34F" w14:textId="0C5606E4"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28,18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467D73" w14:textId="23D16DE0" w:rsidR="00060FF2" w:rsidRPr="00134AE3" w:rsidRDefault="00060FF2" w:rsidP="00FA7EA1">
            <w:pPr>
              <w:jc w:val="right"/>
              <w:rPr>
                <w:rFonts w:eastAsia="Times New Roman"/>
                <w:b/>
                <w:bCs/>
                <w:sz w:val="18"/>
                <w:szCs w:val="18"/>
                <w:lang w:eastAsia="hr-HR"/>
              </w:rPr>
            </w:pPr>
            <w:r w:rsidRPr="00134AE3">
              <w:rPr>
                <w:rFonts w:eastAsia="Times New Roman"/>
                <w:b/>
                <w:bCs/>
                <w:sz w:val="18"/>
                <w:szCs w:val="18"/>
                <w:lang w:eastAsia="hr-HR"/>
              </w:rPr>
              <w:t>849,</w:t>
            </w:r>
            <w:r w:rsidR="00FA7EA1" w:rsidRPr="00134AE3">
              <w:rPr>
                <w:rFonts w:eastAsia="Times New Roman"/>
                <w:b/>
                <w:bCs/>
                <w:sz w:val="18"/>
                <w:szCs w:val="18"/>
                <w:lang w:eastAsia="hr-HR"/>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126137" w14:textId="115BAD11" w:rsidR="00060FF2" w:rsidRPr="00134AE3" w:rsidRDefault="00060FF2" w:rsidP="009251BA">
            <w:pPr>
              <w:jc w:val="center"/>
              <w:rPr>
                <w:rFonts w:eastAsia="Times New Roman"/>
                <w:b/>
                <w:bCs/>
                <w:sz w:val="18"/>
                <w:szCs w:val="18"/>
                <w:lang w:eastAsia="hr-HR"/>
              </w:rPr>
            </w:pPr>
            <w:r w:rsidRPr="00134AE3">
              <w:rPr>
                <w:rFonts w:eastAsia="Times New Roman"/>
                <w:b/>
                <w:bCs/>
                <w:sz w:val="18"/>
                <w:szCs w:val="18"/>
                <w:lang w:eastAsia="hr-HR"/>
              </w:rPr>
              <w:t>40,8</w:t>
            </w:r>
            <w:r w:rsidR="009251BA" w:rsidRPr="00134AE3">
              <w:rPr>
                <w:rFonts w:eastAsia="Times New Roman"/>
                <w:b/>
                <w:bCs/>
                <w:sz w:val="18"/>
                <w:szCs w:val="18"/>
                <w:lang w:eastAsia="hr-HR"/>
              </w:rPr>
              <w:t>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C8BB840" w14:textId="63A61B2B"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802,6</w:t>
            </w:r>
          </w:p>
        </w:tc>
        <w:tc>
          <w:tcPr>
            <w:tcW w:w="756" w:type="dxa"/>
            <w:tcBorders>
              <w:top w:val="single" w:sz="4" w:space="0" w:color="auto"/>
              <w:left w:val="single" w:sz="4" w:space="0" w:color="auto"/>
              <w:bottom w:val="single" w:sz="4" w:space="0" w:color="auto"/>
              <w:right w:val="single" w:sz="4" w:space="0" w:color="auto"/>
            </w:tcBorders>
            <w:vAlign w:val="center"/>
          </w:tcPr>
          <w:p w14:paraId="3A4E3F64" w14:textId="0334694F" w:rsidR="00060FF2" w:rsidRPr="00134AE3" w:rsidRDefault="009251BA" w:rsidP="00060FF2">
            <w:pPr>
              <w:jc w:val="center"/>
              <w:rPr>
                <w:rFonts w:eastAsia="Times New Roman"/>
                <w:b/>
                <w:bCs/>
                <w:sz w:val="18"/>
                <w:szCs w:val="18"/>
                <w:lang w:eastAsia="hr-HR"/>
              </w:rPr>
            </w:pPr>
            <w:r w:rsidRPr="00134AE3">
              <w:rPr>
                <w:rFonts w:eastAsia="Times New Roman"/>
                <w:b/>
                <w:bCs/>
                <w:sz w:val="18"/>
                <w:szCs w:val="18"/>
                <w:lang w:eastAsia="hr-HR"/>
              </w:rPr>
              <w:t>55,39</w:t>
            </w:r>
          </w:p>
        </w:tc>
      </w:tr>
      <w:tr w:rsidR="00060FF2" w:rsidRPr="00134AE3" w14:paraId="2A93F4E8"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23F45C5" w14:textId="3B167343" w:rsidR="00060FF2" w:rsidRPr="00134AE3" w:rsidRDefault="00060FF2" w:rsidP="00060FF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106461CC" w14:textId="77777777" w:rsidR="00060FF2" w:rsidRPr="00134AE3" w:rsidRDefault="00060FF2" w:rsidP="00060FF2">
            <w:pPr>
              <w:rPr>
                <w:sz w:val="18"/>
                <w:szCs w:val="18"/>
                <w:lang w:eastAsia="hr-HR"/>
              </w:rPr>
            </w:pPr>
            <w:r w:rsidRPr="00134AE3">
              <w:rPr>
                <w:sz w:val="18"/>
                <w:szCs w:val="18"/>
                <w:lang w:eastAsia="hr-HR"/>
              </w:rPr>
              <w:t>- Poštanske usluge</w:t>
            </w:r>
          </w:p>
        </w:tc>
        <w:tc>
          <w:tcPr>
            <w:tcW w:w="992" w:type="dxa"/>
            <w:tcBorders>
              <w:top w:val="single" w:sz="4" w:space="0" w:color="auto"/>
              <w:left w:val="nil"/>
              <w:bottom w:val="single" w:sz="4" w:space="0" w:color="auto"/>
              <w:right w:val="single" w:sz="4" w:space="0" w:color="auto"/>
            </w:tcBorders>
            <w:vAlign w:val="center"/>
          </w:tcPr>
          <w:p w14:paraId="19C252C0" w14:textId="5277BF06"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13,2</w:t>
            </w:r>
          </w:p>
        </w:tc>
        <w:tc>
          <w:tcPr>
            <w:tcW w:w="851" w:type="dxa"/>
            <w:tcBorders>
              <w:top w:val="single" w:sz="4" w:space="0" w:color="auto"/>
              <w:left w:val="single" w:sz="4" w:space="0" w:color="auto"/>
              <w:bottom w:val="single" w:sz="4" w:space="0" w:color="auto"/>
              <w:right w:val="single" w:sz="4" w:space="0" w:color="auto"/>
            </w:tcBorders>
            <w:vAlign w:val="center"/>
          </w:tcPr>
          <w:p w14:paraId="7816293B" w14:textId="24717306"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0,62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87BD9" w14:textId="20ACD45C"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2EB0B" w14:textId="50B16F1A"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0,71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50389FD" w14:textId="1973B90E"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25,1</w:t>
            </w:r>
          </w:p>
        </w:tc>
        <w:tc>
          <w:tcPr>
            <w:tcW w:w="756" w:type="dxa"/>
            <w:tcBorders>
              <w:top w:val="single" w:sz="4" w:space="0" w:color="auto"/>
              <w:left w:val="single" w:sz="4" w:space="0" w:color="auto"/>
              <w:bottom w:val="single" w:sz="4" w:space="0" w:color="auto"/>
              <w:right w:val="single" w:sz="4" w:space="0" w:color="auto"/>
            </w:tcBorders>
            <w:vAlign w:val="center"/>
          </w:tcPr>
          <w:p w14:paraId="23C6AE35" w14:textId="14BFFD0A"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1,73</w:t>
            </w:r>
          </w:p>
        </w:tc>
      </w:tr>
      <w:tr w:rsidR="00060FF2" w:rsidRPr="00134AE3" w14:paraId="16C1D964" w14:textId="77777777" w:rsidTr="00060FF2">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9271F35" w14:textId="6750B5D1" w:rsidR="00060FF2" w:rsidRPr="00134AE3" w:rsidRDefault="00060FF2" w:rsidP="00060FF2">
            <w:pPr>
              <w:jc w:val="both"/>
              <w:rPr>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noWrap/>
            <w:vAlign w:val="center"/>
            <w:hideMark/>
          </w:tcPr>
          <w:p w14:paraId="3CE4ED33" w14:textId="77777777" w:rsidR="00060FF2" w:rsidRPr="00134AE3" w:rsidRDefault="00060FF2" w:rsidP="00060FF2">
            <w:pPr>
              <w:rPr>
                <w:sz w:val="18"/>
                <w:szCs w:val="18"/>
                <w:lang w:eastAsia="hr-HR"/>
              </w:rPr>
            </w:pPr>
            <w:r w:rsidRPr="00134AE3">
              <w:rPr>
                <w:sz w:val="18"/>
                <w:szCs w:val="18"/>
                <w:lang w:eastAsia="hr-HR"/>
              </w:rPr>
              <w:t>- Zaštita okoliša i očuvanje energije</w:t>
            </w:r>
          </w:p>
        </w:tc>
        <w:tc>
          <w:tcPr>
            <w:tcW w:w="992" w:type="dxa"/>
            <w:tcBorders>
              <w:top w:val="single" w:sz="4" w:space="0" w:color="auto"/>
              <w:left w:val="nil"/>
              <w:bottom w:val="single" w:sz="4" w:space="0" w:color="auto"/>
              <w:right w:val="single" w:sz="4" w:space="0" w:color="auto"/>
            </w:tcBorders>
            <w:vAlign w:val="center"/>
          </w:tcPr>
          <w:p w14:paraId="00FF0550" w14:textId="56972CBD"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170,7</w:t>
            </w:r>
          </w:p>
        </w:tc>
        <w:tc>
          <w:tcPr>
            <w:tcW w:w="851" w:type="dxa"/>
            <w:tcBorders>
              <w:top w:val="single" w:sz="4" w:space="0" w:color="auto"/>
              <w:left w:val="single" w:sz="4" w:space="0" w:color="auto"/>
              <w:bottom w:val="single" w:sz="4" w:space="0" w:color="auto"/>
              <w:right w:val="single" w:sz="4" w:space="0" w:color="auto"/>
            </w:tcBorders>
            <w:vAlign w:val="center"/>
          </w:tcPr>
          <w:p w14:paraId="6A1748A6" w14:textId="04262D04"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7,96</w:t>
            </w:r>
          </w:p>
        </w:tc>
        <w:tc>
          <w:tcPr>
            <w:tcW w:w="992" w:type="dxa"/>
            <w:tcBorders>
              <w:top w:val="single" w:sz="4" w:space="0" w:color="auto"/>
              <w:left w:val="single" w:sz="4" w:space="0" w:color="auto"/>
              <w:bottom w:val="single" w:sz="4" w:space="0" w:color="auto"/>
              <w:right w:val="single" w:sz="4" w:space="0" w:color="auto"/>
            </w:tcBorders>
            <w:vAlign w:val="center"/>
          </w:tcPr>
          <w:p w14:paraId="74B1ECA0" w14:textId="6EF7DC2D"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186,0</w:t>
            </w:r>
          </w:p>
        </w:tc>
        <w:tc>
          <w:tcPr>
            <w:tcW w:w="850" w:type="dxa"/>
            <w:tcBorders>
              <w:top w:val="single" w:sz="4" w:space="0" w:color="auto"/>
              <w:left w:val="single" w:sz="4" w:space="0" w:color="auto"/>
              <w:bottom w:val="single" w:sz="4" w:space="0" w:color="auto"/>
              <w:right w:val="single" w:sz="4" w:space="0" w:color="auto"/>
            </w:tcBorders>
            <w:vAlign w:val="center"/>
          </w:tcPr>
          <w:p w14:paraId="7CCD8A72" w14:textId="1EE3537E"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8,94</w:t>
            </w:r>
          </w:p>
        </w:tc>
        <w:tc>
          <w:tcPr>
            <w:tcW w:w="943" w:type="dxa"/>
            <w:tcBorders>
              <w:top w:val="single" w:sz="4" w:space="0" w:color="auto"/>
              <w:left w:val="single" w:sz="4" w:space="0" w:color="auto"/>
              <w:bottom w:val="single" w:sz="4" w:space="0" w:color="auto"/>
              <w:right w:val="single" w:sz="4" w:space="0" w:color="auto"/>
            </w:tcBorders>
            <w:vAlign w:val="center"/>
          </w:tcPr>
          <w:p w14:paraId="3CC4EE0A" w14:textId="2A703265"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172,1</w:t>
            </w:r>
          </w:p>
        </w:tc>
        <w:tc>
          <w:tcPr>
            <w:tcW w:w="756" w:type="dxa"/>
            <w:tcBorders>
              <w:top w:val="single" w:sz="4" w:space="0" w:color="auto"/>
              <w:left w:val="single" w:sz="4" w:space="0" w:color="auto"/>
              <w:bottom w:val="single" w:sz="4" w:space="0" w:color="auto"/>
              <w:right w:val="single" w:sz="4" w:space="0" w:color="auto"/>
            </w:tcBorders>
            <w:vAlign w:val="center"/>
          </w:tcPr>
          <w:p w14:paraId="1CF5E142" w14:textId="78C28770" w:rsidR="00060FF2" w:rsidRPr="00134AE3" w:rsidRDefault="009251BA" w:rsidP="00060FF2">
            <w:pPr>
              <w:jc w:val="center"/>
              <w:rPr>
                <w:rFonts w:eastAsia="Times New Roman"/>
                <w:sz w:val="18"/>
                <w:szCs w:val="18"/>
                <w:lang w:eastAsia="hr-HR"/>
              </w:rPr>
            </w:pPr>
            <w:r w:rsidRPr="00134AE3">
              <w:rPr>
                <w:rFonts w:eastAsia="Times New Roman"/>
                <w:sz w:val="18"/>
                <w:szCs w:val="18"/>
                <w:lang w:eastAsia="hr-HR"/>
              </w:rPr>
              <w:t>11,88</w:t>
            </w:r>
          </w:p>
        </w:tc>
      </w:tr>
      <w:tr w:rsidR="00060FF2" w:rsidRPr="00134AE3" w14:paraId="162BB83A" w14:textId="77777777" w:rsidTr="00DF3A81">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5BDA147" w14:textId="1E5C0305" w:rsidR="00060FF2" w:rsidRPr="00134AE3" w:rsidRDefault="00060FF2" w:rsidP="00060FF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76E0F35C" w14:textId="77777777" w:rsidR="00060FF2" w:rsidRPr="00134AE3" w:rsidRDefault="00060FF2" w:rsidP="00060FF2">
            <w:pPr>
              <w:rPr>
                <w:sz w:val="18"/>
                <w:szCs w:val="18"/>
                <w:lang w:eastAsia="hr-HR"/>
              </w:rPr>
            </w:pPr>
            <w:r w:rsidRPr="00134AE3">
              <w:rPr>
                <w:sz w:val="18"/>
                <w:szCs w:val="18"/>
                <w:lang w:eastAsia="hr-HR"/>
              </w:rPr>
              <w:t>- Promet</w:t>
            </w:r>
          </w:p>
        </w:tc>
        <w:tc>
          <w:tcPr>
            <w:tcW w:w="992" w:type="dxa"/>
            <w:tcBorders>
              <w:top w:val="single" w:sz="4" w:space="0" w:color="auto"/>
              <w:left w:val="nil"/>
              <w:bottom w:val="single" w:sz="4" w:space="0" w:color="auto"/>
              <w:right w:val="single" w:sz="4" w:space="0" w:color="auto"/>
            </w:tcBorders>
            <w:vAlign w:val="center"/>
          </w:tcPr>
          <w:p w14:paraId="673C5BC5" w14:textId="35FF0446"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205,0</w:t>
            </w:r>
          </w:p>
        </w:tc>
        <w:tc>
          <w:tcPr>
            <w:tcW w:w="851" w:type="dxa"/>
            <w:tcBorders>
              <w:top w:val="single" w:sz="4" w:space="0" w:color="auto"/>
              <w:left w:val="single" w:sz="4" w:space="0" w:color="auto"/>
              <w:bottom w:val="single" w:sz="4" w:space="0" w:color="auto"/>
              <w:right w:val="single" w:sz="4" w:space="0" w:color="auto"/>
            </w:tcBorders>
            <w:vAlign w:val="center"/>
          </w:tcPr>
          <w:p w14:paraId="4B4A5822" w14:textId="11EEB921"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9,56</w:t>
            </w:r>
          </w:p>
        </w:tc>
        <w:tc>
          <w:tcPr>
            <w:tcW w:w="992" w:type="dxa"/>
            <w:tcBorders>
              <w:top w:val="single" w:sz="4" w:space="0" w:color="auto"/>
              <w:left w:val="single" w:sz="4" w:space="0" w:color="auto"/>
              <w:bottom w:val="single" w:sz="4" w:space="0" w:color="auto"/>
              <w:right w:val="single" w:sz="4" w:space="0" w:color="auto"/>
            </w:tcBorders>
            <w:vAlign w:val="center"/>
          </w:tcPr>
          <w:p w14:paraId="04E2D70F" w14:textId="682C82DC"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319,9</w:t>
            </w:r>
          </w:p>
        </w:tc>
        <w:tc>
          <w:tcPr>
            <w:tcW w:w="850" w:type="dxa"/>
            <w:tcBorders>
              <w:top w:val="single" w:sz="4" w:space="0" w:color="auto"/>
              <w:left w:val="single" w:sz="4" w:space="0" w:color="auto"/>
              <w:bottom w:val="single" w:sz="4" w:space="0" w:color="auto"/>
              <w:right w:val="single" w:sz="4" w:space="0" w:color="auto"/>
            </w:tcBorders>
            <w:vAlign w:val="center"/>
          </w:tcPr>
          <w:p w14:paraId="1D9903FA" w14:textId="6E3F584F"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15,37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E13B8CB" w14:textId="4C27B525" w:rsidR="00060FF2" w:rsidRPr="00134AE3" w:rsidRDefault="00060FF2" w:rsidP="00383E30">
            <w:pPr>
              <w:jc w:val="right"/>
              <w:rPr>
                <w:rFonts w:eastAsia="Times New Roman"/>
                <w:sz w:val="18"/>
                <w:szCs w:val="18"/>
                <w:lang w:eastAsia="hr-HR"/>
              </w:rPr>
            </w:pPr>
            <w:r w:rsidRPr="00134AE3">
              <w:rPr>
                <w:rFonts w:eastAsia="Times New Roman"/>
                <w:sz w:val="18"/>
                <w:szCs w:val="18"/>
                <w:lang w:eastAsia="hr-HR"/>
              </w:rPr>
              <w:t>365,</w:t>
            </w:r>
            <w:r w:rsidR="00383E30" w:rsidRPr="00134AE3">
              <w:rPr>
                <w:rFonts w:eastAsia="Times New Roman"/>
                <w:sz w:val="18"/>
                <w:szCs w:val="18"/>
                <w:lang w:eastAsia="hr-HR"/>
              </w:rPr>
              <w:t>9</w:t>
            </w:r>
          </w:p>
        </w:tc>
        <w:tc>
          <w:tcPr>
            <w:tcW w:w="756" w:type="dxa"/>
            <w:tcBorders>
              <w:top w:val="single" w:sz="4" w:space="0" w:color="auto"/>
              <w:left w:val="single" w:sz="4" w:space="0" w:color="auto"/>
              <w:bottom w:val="single" w:sz="4" w:space="0" w:color="auto"/>
              <w:right w:val="single" w:sz="4" w:space="0" w:color="auto"/>
            </w:tcBorders>
            <w:vAlign w:val="center"/>
          </w:tcPr>
          <w:p w14:paraId="729F5883" w14:textId="1C02A2DF"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25,25</w:t>
            </w:r>
          </w:p>
        </w:tc>
      </w:tr>
      <w:tr w:rsidR="00060FF2" w:rsidRPr="00134AE3" w14:paraId="4D6FEB06" w14:textId="77777777" w:rsidTr="00060FF2">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6473548" w14:textId="4AECA677" w:rsidR="00060FF2" w:rsidRPr="00134AE3" w:rsidRDefault="00060FF2" w:rsidP="00060FF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14D3C514" w14:textId="77777777" w:rsidR="00060FF2" w:rsidRPr="00134AE3" w:rsidRDefault="00060FF2" w:rsidP="00060FF2">
            <w:pPr>
              <w:rPr>
                <w:sz w:val="18"/>
                <w:szCs w:val="18"/>
                <w:lang w:eastAsia="hr-HR"/>
              </w:rPr>
            </w:pPr>
            <w:r w:rsidRPr="00134AE3">
              <w:rPr>
                <w:sz w:val="18"/>
                <w:szCs w:val="18"/>
                <w:lang w:eastAsia="hr-HR"/>
              </w:rPr>
              <w:t>- Brodogradnja</w:t>
            </w:r>
          </w:p>
        </w:tc>
        <w:tc>
          <w:tcPr>
            <w:tcW w:w="992" w:type="dxa"/>
            <w:tcBorders>
              <w:top w:val="single" w:sz="4" w:space="0" w:color="auto"/>
              <w:left w:val="nil"/>
              <w:bottom w:val="single" w:sz="4" w:space="0" w:color="auto"/>
              <w:right w:val="single" w:sz="4" w:space="0" w:color="auto"/>
            </w:tcBorders>
            <w:vAlign w:val="center"/>
          </w:tcPr>
          <w:p w14:paraId="48A2E121" w14:textId="2501D6EA"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61,2</w:t>
            </w:r>
          </w:p>
        </w:tc>
        <w:tc>
          <w:tcPr>
            <w:tcW w:w="851" w:type="dxa"/>
            <w:tcBorders>
              <w:top w:val="single" w:sz="4" w:space="0" w:color="auto"/>
              <w:left w:val="single" w:sz="4" w:space="0" w:color="auto"/>
              <w:bottom w:val="single" w:sz="4" w:space="0" w:color="auto"/>
              <w:right w:val="single" w:sz="4" w:space="0" w:color="auto"/>
            </w:tcBorders>
            <w:vAlign w:val="center"/>
          </w:tcPr>
          <w:p w14:paraId="40FC2112" w14:textId="29AC966E"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2,86</w:t>
            </w:r>
          </w:p>
        </w:tc>
        <w:tc>
          <w:tcPr>
            <w:tcW w:w="992" w:type="dxa"/>
            <w:tcBorders>
              <w:top w:val="single" w:sz="4" w:space="0" w:color="auto"/>
              <w:left w:val="single" w:sz="4" w:space="0" w:color="auto"/>
              <w:bottom w:val="single" w:sz="4" w:space="0" w:color="auto"/>
              <w:right w:val="single" w:sz="4" w:space="0" w:color="auto"/>
            </w:tcBorders>
            <w:vAlign w:val="center"/>
          </w:tcPr>
          <w:p w14:paraId="61CA12F6" w14:textId="5BE51A53"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29,5</w:t>
            </w:r>
          </w:p>
        </w:tc>
        <w:tc>
          <w:tcPr>
            <w:tcW w:w="850" w:type="dxa"/>
            <w:tcBorders>
              <w:top w:val="single" w:sz="4" w:space="0" w:color="auto"/>
              <w:left w:val="single" w:sz="4" w:space="0" w:color="auto"/>
              <w:bottom w:val="single" w:sz="4" w:space="0" w:color="auto"/>
              <w:right w:val="single" w:sz="4" w:space="0" w:color="auto"/>
            </w:tcBorders>
            <w:vAlign w:val="center"/>
          </w:tcPr>
          <w:p w14:paraId="61D63C09" w14:textId="68D54835"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1,42</w:t>
            </w:r>
          </w:p>
        </w:tc>
        <w:tc>
          <w:tcPr>
            <w:tcW w:w="943" w:type="dxa"/>
            <w:tcBorders>
              <w:top w:val="single" w:sz="4" w:space="0" w:color="auto"/>
              <w:left w:val="single" w:sz="4" w:space="0" w:color="auto"/>
              <w:bottom w:val="single" w:sz="4" w:space="0" w:color="auto"/>
              <w:right w:val="single" w:sz="4" w:space="0" w:color="auto"/>
            </w:tcBorders>
            <w:vAlign w:val="center"/>
          </w:tcPr>
          <w:p w14:paraId="778456A8" w14:textId="063DE74F"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14,0</w:t>
            </w:r>
          </w:p>
        </w:tc>
        <w:tc>
          <w:tcPr>
            <w:tcW w:w="756" w:type="dxa"/>
            <w:tcBorders>
              <w:top w:val="single" w:sz="4" w:space="0" w:color="auto"/>
              <w:left w:val="single" w:sz="4" w:space="0" w:color="auto"/>
              <w:bottom w:val="single" w:sz="4" w:space="0" w:color="auto"/>
              <w:right w:val="single" w:sz="4" w:space="0" w:color="auto"/>
            </w:tcBorders>
            <w:vAlign w:val="center"/>
          </w:tcPr>
          <w:p w14:paraId="18F45303" w14:textId="08602AE3"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0,97</w:t>
            </w:r>
          </w:p>
        </w:tc>
      </w:tr>
      <w:tr w:rsidR="00060FF2" w:rsidRPr="00134AE3" w14:paraId="19040876" w14:textId="77777777" w:rsidTr="00060FF2">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59983233" w14:textId="73BB004A" w:rsidR="00060FF2" w:rsidRPr="00134AE3" w:rsidRDefault="00060FF2" w:rsidP="00060FF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3ECAB362" w14:textId="77777777" w:rsidR="00060FF2" w:rsidRPr="00134AE3" w:rsidRDefault="00060FF2" w:rsidP="00060FF2">
            <w:pPr>
              <w:rPr>
                <w:sz w:val="18"/>
                <w:szCs w:val="18"/>
                <w:lang w:eastAsia="hr-HR"/>
              </w:rPr>
            </w:pPr>
            <w:r w:rsidRPr="00134AE3">
              <w:rPr>
                <w:sz w:val="18"/>
                <w:szCs w:val="18"/>
                <w:lang w:eastAsia="hr-HR"/>
              </w:rPr>
              <w:t>- Turizam</w:t>
            </w:r>
          </w:p>
        </w:tc>
        <w:tc>
          <w:tcPr>
            <w:tcW w:w="992" w:type="dxa"/>
            <w:tcBorders>
              <w:top w:val="single" w:sz="4" w:space="0" w:color="auto"/>
              <w:left w:val="nil"/>
              <w:bottom w:val="single" w:sz="4" w:space="0" w:color="auto"/>
              <w:right w:val="single" w:sz="4" w:space="0" w:color="auto"/>
            </w:tcBorders>
            <w:vAlign w:val="center"/>
          </w:tcPr>
          <w:p w14:paraId="3E6E400A" w14:textId="558E04ED"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0,7</w:t>
            </w:r>
          </w:p>
        </w:tc>
        <w:tc>
          <w:tcPr>
            <w:tcW w:w="851" w:type="dxa"/>
            <w:tcBorders>
              <w:top w:val="single" w:sz="4" w:space="0" w:color="auto"/>
              <w:left w:val="single" w:sz="4" w:space="0" w:color="auto"/>
              <w:bottom w:val="single" w:sz="4" w:space="0" w:color="auto"/>
              <w:right w:val="single" w:sz="4" w:space="0" w:color="auto"/>
            </w:tcBorders>
            <w:vAlign w:val="center"/>
          </w:tcPr>
          <w:p w14:paraId="0774A492" w14:textId="2AFA3661"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0,03</w:t>
            </w:r>
          </w:p>
        </w:tc>
        <w:tc>
          <w:tcPr>
            <w:tcW w:w="992" w:type="dxa"/>
            <w:tcBorders>
              <w:top w:val="single" w:sz="4" w:space="0" w:color="auto"/>
              <w:left w:val="single" w:sz="4" w:space="0" w:color="auto"/>
              <w:bottom w:val="single" w:sz="4" w:space="0" w:color="auto"/>
              <w:right w:val="single" w:sz="4" w:space="0" w:color="auto"/>
            </w:tcBorders>
            <w:vAlign w:val="center"/>
          </w:tcPr>
          <w:p w14:paraId="476204D3" w14:textId="43AE947A"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130,5</w:t>
            </w:r>
          </w:p>
        </w:tc>
        <w:tc>
          <w:tcPr>
            <w:tcW w:w="850" w:type="dxa"/>
            <w:tcBorders>
              <w:top w:val="single" w:sz="4" w:space="0" w:color="auto"/>
              <w:left w:val="single" w:sz="4" w:space="0" w:color="auto"/>
              <w:bottom w:val="single" w:sz="4" w:space="0" w:color="auto"/>
              <w:right w:val="single" w:sz="4" w:space="0" w:color="auto"/>
            </w:tcBorders>
            <w:vAlign w:val="center"/>
          </w:tcPr>
          <w:p w14:paraId="4D3DC4F6" w14:textId="07C48492"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6,27</w:t>
            </w:r>
          </w:p>
        </w:tc>
        <w:tc>
          <w:tcPr>
            <w:tcW w:w="943" w:type="dxa"/>
            <w:tcBorders>
              <w:top w:val="single" w:sz="4" w:space="0" w:color="auto"/>
              <w:left w:val="single" w:sz="4" w:space="0" w:color="auto"/>
              <w:bottom w:val="single" w:sz="4" w:space="0" w:color="auto"/>
              <w:right w:val="single" w:sz="4" w:space="0" w:color="auto"/>
            </w:tcBorders>
            <w:vAlign w:val="center"/>
          </w:tcPr>
          <w:p w14:paraId="55F0DB2A" w14:textId="4356C267"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44,6</w:t>
            </w:r>
          </w:p>
        </w:tc>
        <w:tc>
          <w:tcPr>
            <w:tcW w:w="756" w:type="dxa"/>
            <w:tcBorders>
              <w:top w:val="single" w:sz="4" w:space="0" w:color="auto"/>
              <w:left w:val="single" w:sz="4" w:space="0" w:color="auto"/>
              <w:bottom w:val="single" w:sz="4" w:space="0" w:color="auto"/>
              <w:right w:val="single" w:sz="4" w:space="0" w:color="auto"/>
            </w:tcBorders>
            <w:vAlign w:val="center"/>
          </w:tcPr>
          <w:p w14:paraId="4C1BFDA5" w14:textId="4F6F24F6"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3,08</w:t>
            </w:r>
          </w:p>
        </w:tc>
      </w:tr>
      <w:tr w:rsidR="00C92572" w:rsidRPr="00134AE3" w14:paraId="59D030B0" w14:textId="77777777" w:rsidTr="00060FF2">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AC54459" w14:textId="680707A6" w:rsidR="00C92572" w:rsidRPr="00134AE3" w:rsidRDefault="00C92572" w:rsidP="00C9257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0CDBEDFD" w14:textId="77777777" w:rsidR="00C92572" w:rsidRPr="00134AE3" w:rsidRDefault="00C92572" w:rsidP="00C92572">
            <w:pPr>
              <w:rPr>
                <w:sz w:val="18"/>
                <w:szCs w:val="18"/>
                <w:lang w:eastAsia="hr-HR"/>
              </w:rPr>
            </w:pPr>
            <w:r w:rsidRPr="00134AE3">
              <w:rPr>
                <w:sz w:val="18"/>
                <w:szCs w:val="18"/>
                <w:lang w:eastAsia="hr-HR"/>
              </w:rPr>
              <w:t xml:space="preserve">- Sanacija i restrukturiranje </w:t>
            </w:r>
          </w:p>
        </w:tc>
        <w:tc>
          <w:tcPr>
            <w:tcW w:w="992" w:type="dxa"/>
            <w:tcBorders>
              <w:top w:val="single" w:sz="4" w:space="0" w:color="auto"/>
              <w:left w:val="nil"/>
              <w:bottom w:val="single" w:sz="4" w:space="0" w:color="auto"/>
              <w:right w:val="single" w:sz="4" w:space="0" w:color="auto"/>
            </w:tcBorders>
            <w:vAlign w:val="center"/>
          </w:tcPr>
          <w:p w14:paraId="37A6C7CC" w14:textId="6BE191E9" w:rsidR="00C92572" w:rsidRPr="00134AE3" w:rsidRDefault="00C92572" w:rsidP="00C92572">
            <w:pPr>
              <w:jc w:val="right"/>
              <w:rPr>
                <w:rFonts w:eastAsia="Times New Roman"/>
                <w:sz w:val="18"/>
                <w:szCs w:val="18"/>
                <w:lang w:eastAsia="hr-HR"/>
              </w:rPr>
            </w:pPr>
            <w:r w:rsidRPr="00134AE3">
              <w:rPr>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6B7C6B31" w14:textId="1F8C3921" w:rsidR="00C92572" w:rsidRPr="00134AE3" w:rsidRDefault="00C92572" w:rsidP="00C92572">
            <w:pPr>
              <w:jc w:val="center"/>
              <w:rPr>
                <w:rFonts w:eastAsia="Times New Roman"/>
                <w:sz w:val="18"/>
                <w:szCs w:val="18"/>
                <w:lang w:eastAsia="hr-HR"/>
              </w:rPr>
            </w:pPr>
            <w:r w:rsidRPr="00134AE3">
              <w:rPr>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868164C" w14:textId="77FFB891" w:rsidR="00C92572" w:rsidRPr="00134AE3" w:rsidRDefault="00C92572" w:rsidP="00C92572">
            <w:pPr>
              <w:jc w:val="right"/>
              <w:rPr>
                <w:rFonts w:eastAsia="Times New Roman"/>
                <w:sz w:val="18"/>
                <w:szCs w:val="18"/>
                <w:lang w:eastAsia="hr-HR"/>
              </w:rPr>
            </w:pPr>
            <w:r w:rsidRPr="00134AE3">
              <w:rPr>
                <w:rFonts w:eastAsia="Times New Roman"/>
                <w:sz w:val="18"/>
                <w:szCs w:val="18"/>
                <w:lang w:eastAsia="hr-HR"/>
              </w:rPr>
              <w:t>9,0</w:t>
            </w:r>
          </w:p>
        </w:tc>
        <w:tc>
          <w:tcPr>
            <w:tcW w:w="850" w:type="dxa"/>
            <w:tcBorders>
              <w:top w:val="single" w:sz="4" w:space="0" w:color="auto"/>
              <w:left w:val="single" w:sz="4" w:space="0" w:color="auto"/>
              <w:bottom w:val="single" w:sz="4" w:space="0" w:color="auto"/>
              <w:right w:val="single" w:sz="4" w:space="0" w:color="auto"/>
            </w:tcBorders>
            <w:vAlign w:val="center"/>
          </w:tcPr>
          <w:p w14:paraId="579B2C45" w14:textId="6846FC13" w:rsidR="00C92572" w:rsidRPr="00134AE3" w:rsidRDefault="00C92572" w:rsidP="00C92572">
            <w:pPr>
              <w:jc w:val="center"/>
              <w:rPr>
                <w:rFonts w:eastAsia="Times New Roman"/>
                <w:sz w:val="18"/>
                <w:szCs w:val="18"/>
                <w:lang w:eastAsia="hr-HR"/>
              </w:rPr>
            </w:pPr>
            <w:r w:rsidRPr="00134AE3">
              <w:rPr>
                <w:rFonts w:eastAsia="Times New Roman"/>
                <w:sz w:val="18"/>
                <w:szCs w:val="18"/>
                <w:lang w:eastAsia="hr-HR"/>
              </w:rPr>
              <w:t>0,43</w:t>
            </w:r>
          </w:p>
        </w:tc>
        <w:tc>
          <w:tcPr>
            <w:tcW w:w="943" w:type="dxa"/>
            <w:tcBorders>
              <w:top w:val="single" w:sz="4" w:space="0" w:color="auto"/>
              <w:left w:val="single" w:sz="4" w:space="0" w:color="auto"/>
              <w:bottom w:val="single" w:sz="4" w:space="0" w:color="auto"/>
              <w:right w:val="single" w:sz="4" w:space="0" w:color="auto"/>
            </w:tcBorders>
            <w:vAlign w:val="center"/>
          </w:tcPr>
          <w:p w14:paraId="77FDA3E2" w14:textId="20728FBF" w:rsidR="00C92572" w:rsidRPr="00134AE3" w:rsidRDefault="00C92572" w:rsidP="00C92572">
            <w:pPr>
              <w:jc w:val="right"/>
              <w:rPr>
                <w:rFonts w:eastAsia="Times New Roman"/>
                <w:sz w:val="18"/>
                <w:szCs w:val="18"/>
                <w:lang w:eastAsia="hr-HR"/>
              </w:rPr>
            </w:pPr>
            <w:r w:rsidRPr="00134AE3">
              <w:rPr>
                <w:sz w:val="18"/>
              </w:rPr>
              <w:t>–</w:t>
            </w:r>
          </w:p>
        </w:tc>
        <w:tc>
          <w:tcPr>
            <w:tcW w:w="756" w:type="dxa"/>
            <w:tcBorders>
              <w:top w:val="single" w:sz="4" w:space="0" w:color="auto"/>
              <w:left w:val="single" w:sz="4" w:space="0" w:color="auto"/>
              <w:bottom w:val="single" w:sz="4" w:space="0" w:color="auto"/>
              <w:right w:val="single" w:sz="4" w:space="0" w:color="auto"/>
            </w:tcBorders>
            <w:vAlign w:val="center"/>
          </w:tcPr>
          <w:p w14:paraId="3A77158E" w14:textId="59F0604F" w:rsidR="00C92572" w:rsidRPr="00134AE3" w:rsidRDefault="00C92572" w:rsidP="00C92572">
            <w:pPr>
              <w:jc w:val="center"/>
              <w:rPr>
                <w:rFonts w:eastAsia="Times New Roman"/>
                <w:sz w:val="18"/>
                <w:szCs w:val="18"/>
                <w:lang w:eastAsia="hr-HR"/>
              </w:rPr>
            </w:pPr>
            <w:r w:rsidRPr="00134AE3">
              <w:rPr>
                <w:sz w:val="18"/>
              </w:rPr>
              <w:t>–</w:t>
            </w:r>
          </w:p>
        </w:tc>
      </w:tr>
      <w:tr w:rsidR="00060FF2" w:rsidRPr="00134AE3" w14:paraId="66059884" w14:textId="77777777" w:rsidTr="00060FF2">
        <w:trPr>
          <w:trHeight w:val="62"/>
        </w:trPr>
        <w:tc>
          <w:tcPr>
            <w:tcW w:w="384" w:type="dxa"/>
            <w:tcBorders>
              <w:top w:val="nil"/>
              <w:left w:val="single" w:sz="4" w:space="0" w:color="auto"/>
              <w:bottom w:val="single" w:sz="4" w:space="0" w:color="auto"/>
              <w:right w:val="single" w:sz="4" w:space="0" w:color="auto"/>
            </w:tcBorders>
            <w:shd w:val="clear" w:color="auto" w:fill="auto"/>
            <w:noWrap/>
            <w:vAlign w:val="center"/>
          </w:tcPr>
          <w:p w14:paraId="22E8AE46" w14:textId="70BD5361" w:rsidR="00060FF2" w:rsidRPr="00134AE3" w:rsidRDefault="00060FF2" w:rsidP="00060FF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hideMark/>
          </w:tcPr>
          <w:p w14:paraId="53728134" w14:textId="77777777" w:rsidR="00060FF2" w:rsidRPr="00134AE3" w:rsidRDefault="00060FF2" w:rsidP="00060FF2">
            <w:pPr>
              <w:rPr>
                <w:sz w:val="18"/>
                <w:szCs w:val="18"/>
                <w:lang w:eastAsia="hr-HR"/>
              </w:rPr>
            </w:pPr>
            <w:r w:rsidRPr="00134AE3">
              <w:rPr>
                <w:sz w:val="18"/>
                <w:szCs w:val="18"/>
                <w:lang w:eastAsia="hr-HR"/>
              </w:rPr>
              <w:t xml:space="preserve">- Radiotelevizijsko emitiranje </w:t>
            </w:r>
            <w:r w:rsidRPr="00134AE3">
              <w:rPr>
                <w:sz w:val="18"/>
                <w:szCs w:val="18"/>
              </w:rPr>
              <w:t>i audiovizualna industrija</w:t>
            </w:r>
          </w:p>
        </w:tc>
        <w:tc>
          <w:tcPr>
            <w:tcW w:w="992" w:type="dxa"/>
            <w:tcBorders>
              <w:top w:val="single" w:sz="4" w:space="0" w:color="auto"/>
              <w:left w:val="nil"/>
              <w:bottom w:val="single" w:sz="4" w:space="0" w:color="auto"/>
              <w:right w:val="single" w:sz="4" w:space="0" w:color="auto"/>
            </w:tcBorders>
            <w:vAlign w:val="center"/>
          </w:tcPr>
          <w:p w14:paraId="37014219" w14:textId="269348FE"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153,2</w:t>
            </w:r>
          </w:p>
        </w:tc>
        <w:tc>
          <w:tcPr>
            <w:tcW w:w="851" w:type="dxa"/>
            <w:tcBorders>
              <w:top w:val="single" w:sz="4" w:space="0" w:color="auto"/>
              <w:left w:val="single" w:sz="4" w:space="0" w:color="auto"/>
              <w:bottom w:val="single" w:sz="4" w:space="0" w:color="auto"/>
              <w:right w:val="single" w:sz="4" w:space="0" w:color="auto"/>
            </w:tcBorders>
            <w:vAlign w:val="center"/>
          </w:tcPr>
          <w:p w14:paraId="0AD3F741" w14:textId="36254968" w:rsidR="00060FF2" w:rsidRPr="00134AE3" w:rsidRDefault="00212042" w:rsidP="00060FF2">
            <w:pPr>
              <w:jc w:val="center"/>
              <w:rPr>
                <w:rFonts w:eastAsia="Times New Roman"/>
                <w:sz w:val="18"/>
                <w:szCs w:val="18"/>
                <w:lang w:eastAsia="hr-HR"/>
              </w:rPr>
            </w:pPr>
            <w:r w:rsidRPr="00134AE3">
              <w:rPr>
                <w:rFonts w:eastAsia="Times New Roman"/>
                <w:sz w:val="18"/>
                <w:szCs w:val="18"/>
                <w:lang w:eastAsia="hr-HR"/>
              </w:rPr>
              <w:t>7,15</w:t>
            </w:r>
          </w:p>
        </w:tc>
        <w:tc>
          <w:tcPr>
            <w:tcW w:w="992" w:type="dxa"/>
            <w:tcBorders>
              <w:top w:val="single" w:sz="4" w:space="0" w:color="auto"/>
              <w:left w:val="single" w:sz="4" w:space="0" w:color="auto"/>
              <w:bottom w:val="single" w:sz="4" w:space="0" w:color="auto"/>
              <w:right w:val="single" w:sz="4" w:space="0" w:color="auto"/>
            </w:tcBorders>
            <w:vAlign w:val="center"/>
          </w:tcPr>
          <w:p w14:paraId="5BDCAF50" w14:textId="008C7313"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153,9</w:t>
            </w:r>
          </w:p>
        </w:tc>
        <w:tc>
          <w:tcPr>
            <w:tcW w:w="850" w:type="dxa"/>
            <w:tcBorders>
              <w:top w:val="single" w:sz="4" w:space="0" w:color="auto"/>
              <w:left w:val="single" w:sz="4" w:space="0" w:color="auto"/>
              <w:bottom w:val="single" w:sz="4" w:space="0" w:color="auto"/>
              <w:right w:val="single" w:sz="4" w:space="0" w:color="auto"/>
            </w:tcBorders>
            <w:vAlign w:val="center"/>
          </w:tcPr>
          <w:p w14:paraId="13662B6B" w14:textId="341B99B1" w:rsidR="00060FF2" w:rsidRPr="00134AE3" w:rsidRDefault="00060FF2" w:rsidP="009251BA">
            <w:pPr>
              <w:jc w:val="center"/>
              <w:rPr>
                <w:rFonts w:eastAsia="Times New Roman"/>
                <w:sz w:val="18"/>
                <w:szCs w:val="18"/>
                <w:lang w:eastAsia="hr-HR"/>
              </w:rPr>
            </w:pPr>
            <w:r w:rsidRPr="00134AE3">
              <w:rPr>
                <w:rFonts w:eastAsia="Times New Roman"/>
                <w:sz w:val="18"/>
                <w:szCs w:val="18"/>
                <w:lang w:eastAsia="hr-HR"/>
              </w:rPr>
              <w:t>7,</w:t>
            </w:r>
            <w:r w:rsidR="009251BA" w:rsidRPr="00134AE3">
              <w:rPr>
                <w:rFonts w:eastAsia="Times New Roman"/>
                <w:sz w:val="18"/>
                <w:szCs w:val="18"/>
                <w:lang w:eastAsia="hr-HR"/>
              </w:rPr>
              <w:t>40</w:t>
            </w:r>
          </w:p>
        </w:tc>
        <w:tc>
          <w:tcPr>
            <w:tcW w:w="943" w:type="dxa"/>
            <w:tcBorders>
              <w:top w:val="single" w:sz="4" w:space="0" w:color="auto"/>
              <w:left w:val="single" w:sz="4" w:space="0" w:color="auto"/>
              <w:bottom w:val="single" w:sz="4" w:space="0" w:color="auto"/>
              <w:right w:val="single" w:sz="4" w:space="0" w:color="auto"/>
            </w:tcBorders>
            <w:vAlign w:val="center"/>
          </w:tcPr>
          <w:p w14:paraId="0202A05E" w14:textId="59374511" w:rsidR="00060FF2" w:rsidRPr="00134AE3" w:rsidRDefault="00060FF2" w:rsidP="00060FF2">
            <w:pPr>
              <w:jc w:val="right"/>
              <w:rPr>
                <w:rFonts w:eastAsia="Times New Roman"/>
                <w:sz w:val="18"/>
                <w:szCs w:val="18"/>
                <w:lang w:eastAsia="hr-HR"/>
              </w:rPr>
            </w:pPr>
            <w:r w:rsidRPr="00134AE3">
              <w:rPr>
                <w:rFonts w:eastAsia="Times New Roman"/>
                <w:sz w:val="18"/>
                <w:szCs w:val="18"/>
                <w:lang w:eastAsia="hr-HR"/>
              </w:rPr>
              <w:t>170,3</w:t>
            </w:r>
          </w:p>
        </w:tc>
        <w:tc>
          <w:tcPr>
            <w:tcW w:w="756" w:type="dxa"/>
            <w:tcBorders>
              <w:top w:val="single" w:sz="4" w:space="0" w:color="auto"/>
              <w:left w:val="single" w:sz="4" w:space="0" w:color="auto"/>
              <w:bottom w:val="single" w:sz="4" w:space="0" w:color="auto"/>
              <w:right w:val="single" w:sz="4" w:space="0" w:color="auto"/>
            </w:tcBorders>
            <w:vAlign w:val="center"/>
          </w:tcPr>
          <w:p w14:paraId="00A3CCBA" w14:textId="0EDBEDB2" w:rsidR="00060FF2" w:rsidRPr="00134AE3" w:rsidRDefault="00060FF2" w:rsidP="00060FF2">
            <w:pPr>
              <w:jc w:val="center"/>
              <w:rPr>
                <w:rFonts w:eastAsia="Times New Roman"/>
                <w:sz w:val="18"/>
                <w:szCs w:val="18"/>
                <w:lang w:eastAsia="hr-HR"/>
              </w:rPr>
            </w:pPr>
            <w:r w:rsidRPr="00134AE3">
              <w:rPr>
                <w:rFonts w:eastAsia="Times New Roman"/>
                <w:sz w:val="18"/>
                <w:szCs w:val="18"/>
                <w:lang w:eastAsia="hr-HR"/>
              </w:rPr>
              <w:t>11,75</w:t>
            </w:r>
          </w:p>
        </w:tc>
      </w:tr>
      <w:tr w:rsidR="00C92572" w:rsidRPr="00134AE3" w14:paraId="0353F402" w14:textId="77777777" w:rsidTr="00060FF2">
        <w:trPr>
          <w:trHeight w:val="60"/>
        </w:trPr>
        <w:tc>
          <w:tcPr>
            <w:tcW w:w="384" w:type="dxa"/>
            <w:tcBorders>
              <w:top w:val="nil"/>
              <w:left w:val="single" w:sz="4" w:space="0" w:color="auto"/>
              <w:bottom w:val="single" w:sz="4" w:space="0" w:color="auto"/>
              <w:right w:val="single" w:sz="4" w:space="0" w:color="auto"/>
            </w:tcBorders>
            <w:shd w:val="clear" w:color="auto" w:fill="auto"/>
            <w:noWrap/>
            <w:vAlign w:val="center"/>
          </w:tcPr>
          <w:p w14:paraId="7FB8EC25" w14:textId="77777777" w:rsidR="00C92572" w:rsidRPr="00134AE3" w:rsidRDefault="00C92572" w:rsidP="00C92572">
            <w:pPr>
              <w:jc w:val="both"/>
              <w:rPr>
                <w:sz w:val="18"/>
                <w:szCs w:val="18"/>
                <w:lang w:eastAsia="hr-HR"/>
              </w:rPr>
            </w:pPr>
          </w:p>
        </w:tc>
        <w:tc>
          <w:tcPr>
            <w:tcW w:w="3297" w:type="dxa"/>
            <w:tcBorders>
              <w:top w:val="nil"/>
              <w:left w:val="nil"/>
              <w:bottom w:val="single" w:sz="4" w:space="0" w:color="auto"/>
              <w:right w:val="single" w:sz="4" w:space="0" w:color="auto"/>
            </w:tcBorders>
            <w:shd w:val="clear" w:color="auto" w:fill="auto"/>
            <w:noWrap/>
            <w:vAlign w:val="center"/>
          </w:tcPr>
          <w:p w14:paraId="744852BB" w14:textId="77777777" w:rsidR="00C92572" w:rsidRPr="00134AE3" w:rsidRDefault="00C92572" w:rsidP="00C92572">
            <w:pPr>
              <w:rPr>
                <w:sz w:val="18"/>
                <w:szCs w:val="18"/>
                <w:lang w:eastAsia="hr-HR"/>
              </w:rPr>
            </w:pPr>
            <w:r w:rsidRPr="00134AE3">
              <w:rPr>
                <w:sz w:val="18"/>
                <w:szCs w:val="18"/>
                <w:lang w:eastAsia="hr-HR"/>
              </w:rPr>
              <w:t xml:space="preserve">- </w:t>
            </w:r>
            <w:r w:rsidRPr="00134AE3">
              <w:rPr>
                <w:rFonts w:eastAsia="Times New Roman"/>
                <w:sz w:val="18"/>
                <w:szCs w:val="18"/>
              </w:rPr>
              <w:t>Razvoj širokopojasnih mreža</w:t>
            </w:r>
          </w:p>
        </w:tc>
        <w:tc>
          <w:tcPr>
            <w:tcW w:w="992" w:type="dxa"/>
            <w:tcBorders>
              <w:top w:val="single" w:sz="4" w:space="0" w:color="auto"/>
              <w:left w:val="nil"/>
              <w:bottom w:val="single" w:sz="4" w:space="0" w:color="auto"/>
              <w:right w:val="single" w:sz="4" w:space="0" w:color="auto"/>
            </w:tcBorders>
            <w:vAlign w:val="center"/>
          </w:tcPr>
          <w:p w14:paraId="4116E992" w14:textId="4E11BD75" w:rsidR="00C92572" w:rsidRPr="00134AE3" w:rsidRDefault="00C92572" w:rsidP="00C92572">
            <w:pPr>
              <w:jc w:val="right"/>
              <w:rPr>
                <w:rFonts w:eastAsia="Times New Roman"/>
                <w:sz w:val="18"/>
                <w:szCs w:val="18"/>
                <w:lang w:eastAsia="hr-HR"/>
              </w:rPr>
            </w:pPr>
            <w:r w:rsidRPr="00134AE3">
              <w:rPr>
                <w:sz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0B837A06" w14:textId="60D52D3D" w:rsidR="00C92572" w:rsidRPr="00134AE3" w:rsidRDefault="00C92572" w:rsidP="00C92572">
            <w:pPr>
              <w:jc w:val="center"/>
              <w:rPr>
                <w:rFonts w:eastAsia="Times New Roman"/>
                <w:sz w:val="18"/>
                <w:szCs w:val="18"/>
                <w:lang w:eastAsia="hr-HR"/>
              </w:rPr>
            </w:pPr>
            <w:r w:rsidRPr="00134AE3">
              <w:rPr>
                <w:sz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44E939D" w14:textId="65B64B46" w:rsidR="00C92572" w:rsidRPr="00134AE3" w:rsidRDefault="00C92572" w:rsidP="00C92572">
            <w:pPr>
              <w:jc w:val="right"/>
              <w:rPr>
                <w:rFonts w:eastAsia="Times New Roman"/>
                <w:sz w:val="18"/>
                <w:szCs w:val="18"/>
                <w:lang w:eastAsia="hr-HR"/>
              </w:rPr>
            </w:pPr>
            <w:r w:rsidRPr="00134AE3">
              <w:rPr>
                <w:rFonts w:eastAsia="Times New Roman"/>
                <w:sz w:val="18"/>
                <w:szCs w:val="18"/>
                <w:lang w:eastAsia="hr-HR"/>
              </w:rPr>
              <w:t>5,8</w:t>
            </w:r>
          </w:p>
        </w:tc>
        <w:tc>
          <w:tcPr>
            <w:tcW w:w="850" w:type="dxa"/>
            <w:tcBorders>
              <w:top w:val="single" w:sz="4" w:space="0" w:color="auto"/>
              <w:left w:val="single" w:sz="4" w:space="0" w:color="auto"/>
              <w:bottom w:val="single" w:sz="4" w:space="0" w:color="auto"/>
              <w:right w:val="single" w:sz="4" w:space="0" w:color="auto"/>
            </w:tcBorders>
            <w:vAlign w:val="center"/>
          </w:tcPr>
          <w:p w14:paraId="7646B88E" w14:textId="517715AB" w:rsidR="00C92572" w:rsidRPr="00134AE3" w:rsidRDefault="00C92572" w:rsidP="00C92572">
            <w:pPr>
              <w:jc w:val="center"/>
              <w:rPr>
                <w:rFonts w:eastAsia="Times New Roman"/>
                <w:sz w:val="18"/>
                <w:szCs w:val="18"/>
                <w:lang w:eastAsia="hr-HR"/>
              </w:rPr>
            </w:pPr>
            <w:r w:rsidRPr="00134AE3">
              <w:rPr>
                <w:rFonts w:eastAsia="Times New Roman"/>
                <w:sz w:val="18"/>
                <w:szCs w:val="18"/>
                <w:lang w:eastAsia="hr-HR"/>
              </w:rPr>
              <w:t>0,28</w:t>
            </w:r>
          </w:p>
        </w:tc>
        <w:tc>
          <w:tcPr>
            <w:tcW w:w="943" w:type="dxa"/>
            <w:tcBorders>
              <w:top w:val="single" w:sz="4" w:space="0" w:color="auto"/>
              <w:left w:val="single" w:sz="4" w:space="0" w:color="auto"/>
              <w:bottom w:val="single" w:sz="4" w:space="0" w:color="auto"/>
              <w:right w:val="single" w:sz="4" w:space="0" w:color="auto"/>
            </w:tcBorders>
            <w:vAlign w:val="center"/>
          </w:tcPr>
          <w:p w14:paraId="540A7819" w14:textId="39086DB7" w:rsidR="00C92572" w:rsidRPr="00134AE3" w:rsidRDefault="00C92572" w:rsidP="00C92572">
            <w:pPr>
              <w:jc w:val="right"/>
              <w:rPr>
                <w:rFonts w:eastAsia="Times New Roman"/>
                <w:sz w:val="18"/>
                <w:szCs w:val="18"/>
                <w:lang w:eastAsia="hr-HR"/>
              </w:rPr>
            </w:pPr>
            <w:r w:rsidRPr="00134AE3">
              <w:rPr>
                <w:rFonts w:eastAsia="Times New Roman"/>
                <w:sz w:val="18"/>
                <w:szCs w:val="18"/>
                <w:lang w:eastAsia="hr-HR"/>
              </w:rPr>
              <w:t>10,6</w:t>
            </w:r>
          </w:p>
        </w:tc>
        <w:tc>
          <w:tcPr>
            <w:tcW w:w="756" w:type="dxa"/>
            <w:tcBorders>
              <w:top w:val="single" w:sz="4" w:space="0" w:color="auto"/>
              <w:left w:val="single" w:sz="4" w:space="0" w:color="auto"/>
              <w:bottom w:val="single" w:sz="4" w:space="0" w:color="auto"/>
              <w:right w:val="single" w:sz="4" w:space="0" w:color="auto"/>
            </w:tcBorders>
            <w:vAlign w:val="center"/>
          </w:tcPr>
          <w:p w14:paraId="214DEB9A" w14:textId="436C3E89" w:rsidR="00C92572" w:rsidRPr="00134AE3" w:rsidRDefault="00C92572" w:rsidP="00C92572">
            <w:pPr>
              <w:jc w:val="center"/>
              <w:rPr>
                <w:rFonts w:eastAsia="Times New Roman"/>
                <w:sz w:val="18"/>
                <w:szCs w:val="18"/>
                <w:lang w:eastAsia="hr-HR"/>
              </w:rPr>
            </w:pPr>
            <w:r w:rsidRPr="00134AE3">
              <w:rPr>
                <w:rFonts w:eastAsia="Times New Roman"/>
                <w:sz w:val="18"/>
                <w:szCs w:val="18"/>
                <w:lang w:eastAsia="hr-HR"/>
              </w:rPr>
              <w:t>0,73</w:t>
            </w:r>
          </w:p>
        </w:tc>
      </w:tr>
      <w:tr w:rsidR="00060FF2" w:rsidRPr="00134AE3" w14:paraId="5DCC4F10" w14:textId="77777777" w:rsidTr="00060FF2">
        <w:trPr>
          <w:trHeight w:val="38"/>
        </w:trPr>
        <w:tc>
          <w:tcPr>
            <w:tcW w:w="384" w:type="dxa"/>
            <w:tcBorders>
              <w:top w:val="nil"/>
              <w:left w:val="single" w:sz="4" w:space="0" w:color="auto"/>
              <w:bottom w:val="single" w:sz="4" w:space="0" w:color="auto"/>
              <w:right w:val="single" w:sz="4" w:space="0" w:color="auto"/>
            </w:tcBorders>
            <w:shd w:val="clear" w:color="auto" w:fill="auto"/>
            <w:noWrap/>
            <w:vAlign w:val="center"/>
          </w:tcPr>
          <w:p w14:paraId="46C49F7B" w14:textId="2A34958B" w:rsidR="00060FF2" w:rsidRPr="00134AE3" w:rsidRDefault="00060FF2" w:rsidP="00060FF2">
            <w:pPr>
              <w:jc w:val="both"/>
              <w:rPr>
                <w:b/>
                <w:bCs/>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002718B7" w14:textId="77777777" w:rsidR="00060FF2" w:rsidRPr="00134AE3" w:rsidRDefault="00060FF2" w:rsidP="00060FF2">
            <w:pPr>
              <w:rPr>
                <w:b/>
                <w:bCs/>
                <w:i/>
                <w:iCs/>
                <w:sz w:val="18"/>
                <w:szCs w:val="18"/>
                <w:lang w:eastAsia="hr-HR"/>
              </w:rPr>
            </w:pPr>
            <w:r w:rsidRPr="00134AE3">
              <w:rPr>
                <w:b/>
                <w:bCs/>
                <w:i/>
                <w:iCs/>
                <w:sz w:val="18"/>
                <w:szCs w:val="18"/>
                <w:lang w:eastAsia="hr-HR"/>
              </w:rPr>
              <w:t>Regionalne potpore</w:t>
            </w:r>
          </w:p>
        </w:tc>
        <w:tc>
          <w:tcPr>
            <w:tcW w:w="992" w:type="dxa"/>
            <w:tcBorders>
              <w:top w:val="single" w:sz="4" w:space="0" w:color="auto"/>
              <w:left w:val="nil"/>
              <w:bottom w:val="single" w:sz="4" w:space="0" w:color="auto"/>
              <w:right w:val="single" w:sz="4" w:space="0" w:color="auto"/>
            </w:tcBorders>
            <w:vAlign w:val="center"/>
          </w:tcPr>
          <w:p w14:paraId="7CCE50DC" w14:textId="10CEAE29"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107,0</w:t>
            </w:r>
          </w:p>
        </w:tc>
        <w:tc>
          <w:tcPr>
            <w:tcW w:w="851" w:type="dxa"/>
            <w:tcBorders>
              <w:top w:val="single" w:sz="4" w:space="0" w:color="auto"/>
              <w:left w:val="single" w:sz="4" w:space="0" w:color="auto"/>
              <w:bottom w:val="single" w:sz="4" w:space="0" w:color="auto"/>
              <w:right w:val="single" w:sz="4" w:space="0" w:color="auto"/>
            </w:tcBorders>
            <w:vAlign w:val="center"/>
          </w:tcPr>
          <w:p w14:paraId="186F22CC" w14:textId="5B9CF7B2"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4,99</w:t>
            </w:r>
          </w:p>
        </w:tc>
        <w:tc>
          <w:tcPr>
            <w:tcW w:w="992" w:type="dxa"/>
            <w:tcBorders>
              <w:top w:val="single" w:sz="4" w:space="0" w:color="auto"/>
              <w:left w:val="single" w:sz="4" w:space="0" w:color="auto"/>
              <w:bottom w:val="single" w:sz="4" w:space="0" w:color="auto"/>
              <w:right w:val="single" w:sz="4" w:space="0" w:color="auto"/>
            </w:tcBorders>
            <w:vAlign w:val="center"/>
          </w:tcPr>
          <w:p w14:paraId="2C8AA8D2" w14:textId="702C8134"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150,9</w:t>
            </w:r>
          </w:p>
        </w:tc>
        <w:tc>
          <w:tcPr>
            <w:tcW w:w="850" w:type="dxa"/>
            <w:tcBorders>
              <w:top w:val="single" w:sz="4" w:space="0" w:color="auto"/>
              <w:left w:val="single" w:sz="4" w:space="0" w:color="auto"/>
              <w:bottom w:val="single" w:sz="4" w:space="0" w:color="auto"/>
              <w:right w:val="single" w:sz="4" w:space="0" w:color="auto"/>
            </w:tcBorders>
            <w:vAlign w:val="center"/>
          </w:tcPr>
          <w:p w14:paraId="645FC9FA" w14:textId="353EEED8"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7,25</w:t>
            </w:r>
          </w:p>
        </w:tc>
        <w:tc>
          <w:tcPr>
            <w:tcW w:w="943" w:type="dxa"/>
            <w:tcBorders>
              <w:top w:val="single" w:sz="4" w:space="0" w:color="auto"/>
              <w:left w:val="single" w:sz="4" w:space="0" w:color="auto"/>
              <w:bottom w:val="single" w:sz="4" w:space="0" w:color="auto"/>
              <w:right w:val="single" w:sz="4" w:space="0" w:color="auto"/>
            </w:tcBorders>
            <w:vAlign w:val="center"/>
          </w:tcPr>
          <w:p w14:paraId="25FF1AC1" w14:textId="07E65383"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134,9</w:t>
            </w:r>
          </w:p>
        </w:tc>
        <w:tc>
          <w:tcPr>
            <w:tcW w:w="756" w:type="dxa"/>
            <w:tcBorders>
              <w:top w:val="single" w:sz="4" w:space="0" w:color="auto"/>
              <w:left w:val="single" w:sz="4" w:space="0" w:color="auto"/>
              <w:bottom w:val="single" w:sz="4" w:space="0" w:color="auto"/>
              <w:right w:val="single" w:sz="4" w:space="0" w:color="auto"/>
            </w:tcBorders>
            <w:vAlign w:val="center"/>
          </w:tcPr>
          <w:p w14:paraId="4CC96B80" w14:textId="6E56AC2C"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9,31</w:t>
            </w:r>
          </w:p>
        </w:tc>
      </w:tr>
      <w:tr w:rsidR="00060FF2" w:rsidRPr="00134AE3" w14:paraId="60B4D706" w14:textId="77777777" w:rsidTr="00060FF2">
        <w:trPr>
          <w:trHeight w:val="98"/>
        </w:trPr>
        <w:tc>
          <w:tcPr>
            <w:tcW w:w="384" w:type="dxa"/>
            <w:tcBorders>
              <w:top w:val="nil"/>
              <w:left w:val="single" w:sz="4" w:space="0" w:color="auto"/>
              <w:bottom w:val="single" w:sz="4" w:space="0" w:color="auto"/>
              <w:right w:val="single" w:sz="4" w:space="0" w:color="auto"/>
            </w:tcBorders>
            <w:shd w:val="clear" w:color="auto" w:fill="auto"/>
            <w:noWrap/>
            <w:vAlign w:val="center"/>
          </w:tcPr>
          <w:p w14:paraId="02020DA1" w14:textId="3E59BF27" w:rsidR="00060FF2" w:rsidRPr="00134AE3" w:rsidRDefault="00060FF2" w:rsidP="00060FF2">
            <w:pPr>
              <w:jc w:val="both"/>
              <w:rPr>
                <w:b/>
                <w:bCs/>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vAlign w:val="center"/>
            <w:hideMark/>
          </w:tcPr>
          <w:p w14:paraId="23D193C9" w14:textId="77777777" w:rsidR="00060FF2" w:rsidRPr="00134AE3" w:rsidRDefault="00060FF2" w:rsidP="00060FF2">
            <w:pPr>
              <w:rPr>
                <w:b/>
                <w:bCs/>
                <w:i/>
                <w:iCs/>
                <w:sz w:val="18"/>
                <w:szCs w:val="18"/>
                <w:lang w:eastAsia="hr-HR"/>
              </w:rPr>
            </w:pPr>
            <w:r w:rsidRPr="00134AE3">
              <w:rPr>
                <w:b/>
                <w:bCs/>
                <w:i/>
                <w:iCs/>
                <w:sz w:val="18"/>
                <w:szCs w:val="18"/>
                <w:lang w:eastAsia="hr-HR"/>
              </w:rPr>
              <w:t>Potpore na lokalnoj razini</w:t>
            </w:r>
          </w:p>
        </w:tc>
        <w:tc>
          <w:tcPr>
            <w:tcW w:w="992" w:type="dxa"/>
            <w:tcBorders>
              <w:top w:val="single" w:sz="4" w:space="0" w:color="auto"/>
              <w:left w:val="nil"/>
              <w:bottom w:val="single" w:sz="4" w:space="0" w:color="auto"/>
              <w:right w:val="single" w:sz="4" w:space="0" w:color="auto"/>
            </w:tcBorders>
            <w:vAlign w:val="center"/>
          </w:tcPr>
          <w:p w14:paraId="4D3F9E55" w14:textId="4C584C5B"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129,6</w:t>
            </w:r>
          </w:p>
        </w:tc>
        <w:tc>
          <w:tcPr>
            <w:tcW w:w="851" w:type="dxa"/>
            <w:tcBorders>
              <w:top w:val="single" w:sz="4" w:space="0" w:color="auto"/>
              <w:left w:val="single" w:sz="4" w:space="0" w:color="auto"/>
              <w:bottom w:val="single" w:sz="4" w:space="0" w:color="auto"/>
              <w:right w:val="single" w:sz="4" w:space="0" w:color="auto"/>
            </w:tcBorders>
            <w:vAlign w:val="center"/>
          </w:tcPr>
          <w:p w14:paraId="02241042" w14:textId="3A550251"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6,05</w:t>
            </w:r>
          </w:p>
        </w:tc>
        <w:tc>
          <w:tcPr>
            <w:tcW w:w="992" w:type="dxa"/>
            <w:tcBorders>
              <w:top w:val="single" w:sz="4" w:space="0" w:color="auto"/>
              <w:left w:val="single" w:sz="4" w:space="0" w:color="auto"/>
              <w:bottom w:val="single" w:sz="4" w:space="0" w:color="auto"/>
              <w:right w:val="single" w:sz="4" w:space="0" w:color="auto"/>
            </w:tcBorders>
            <w:vAlign w:val="center"/>
          </w:tcPr>
          <w:p w14:paraId="38C84901" w14:textId="37C3286D"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142,0</w:t>
            </w:r>
          </w:p>
        </w:tc>
        <w:tc>
          <w:tcPr>
            <w:tcW w:w="850" w:type="dxa"/>
            <w:tcBorders>
              <w:top w:val="single" w:sz="4" w:space="0" w:color="auto"/>
              <w:left w:val="single" w:sz="4" w:space="0" w:color="auto"/>
              <w:bottom w:val="single" w:sz="4" w:space="0" w:color="auto"/>
              <w:right w:val="single" w:sz="4" w:space="0" w:color="auto"/>
            </w:tcBorders>
            <w:vAlign w:val="center"/>
          </w:tcPr>
          <w:p w14:paraId="772B2969" w14:textId="7C12B0C6"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6,82</w:t>
            </w:r>
          </w:p>
        </w:tc>
        <w:tc>
          <w:tcPr>
            <w:tcW w:w="943" w:type="dxa"/>
            <w:tcBorders>
              <w:top w:val="single" w:sz="4" w:space="0" w:color="auto"/>
              <w:left w:val="single" w:sz="4" w:space="0" w:color="auto"/>
              <w:bottom w:val="single" w:sz="4" w:space="0" w:color="auto"/>
              <w:right w:val="single" w:sz="4" w:space="0" w:color="auto"/>
            </w:tcBorders>
            <w:vAlign w:val="center"/>
          </w:tcPr>
          <w:p w14:paraId="390BD783" w14:textId="5457E5E0"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167,4</w:t>
            </w:r>
          </w:p>
        </w:tc>
        <w:tc>
          <w:tcPr>
            <w:tcW w:w="756" w:type="dxa"/>
            <w:tcBorders>
              <w:top w:val="single" w:sz="4" w:space="0" w:color="auto"/>
              <w:left w:val="single" w:sz="4" w:space="0" w:color="auto"/>
              <w:bottom w:val="single" w:sz="4" w:space="0" w:color="auto"/>
              <w:right w:val="single" w:sz="4" w:space="0" w:color="auto"/>
            </w:tcBorders>
            <w:vAlign w:val="center"/>
          </w:tcPr>
          <w:p w14:paraId="08D77461" w14:textId="587FE949"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11,55</w:t>
            </w:r>
          </w:p>
        </w:tc>
      </w:tr>
      <w:tr w:rsidR="00060FF2" w:rsidRPr="00134AE3" w14:paraId="0BA56D12" w14:textId="77777777" w:rsidTr="00060FF2">
        <w:trPr>
          <w:trHeight w:val="98"/>
        </w:trPr>
        <w:tc>
          <w:tcPr>
            <w:tcW w:w="384" w:type="dxa"/>
            <w:tcBorders>
              <w:top w:val="nil"/>
              <w:left w:val="single" w:sz="4" w:space="0" w:color="auto"/>
              <w:bottom w:val="single" w:sz="4" w:space="0" w:color="auto"/>
              <w:right w:val="single" w:sz="4" w:space="0" w:color="auto"/>
            </w:tcBorders>
            <w:shd w:val="clear" w:color="auto" w:fill="auto"/>
            <w:noWrap/>
            <w:vAlign w:val="center"/>
          </w:tcPr>
          <w:p w14:paraId="14A9DD0B" w14:textId="77777777" w:rsidR="00060FF2" w:rsidRPr="00134AE3" w:rsidRDefault="00060FF2" w:rsidP="00060FF2">
            <w:pPr>
              <w:jc w:val="both"/>
              <w:rPr>
                <w:b/>
                <w:bCs/>
                <w:sz w:val="18"/>
                <w:szCs w:val="18"/>
                <w:lang w:eastAsia="hr-HR"/>
              </w:rPr>
            </w:pPr>
          </w:p>
        </w:tc>
        <w:tc>
          <w:tcPr>
            <w:tcW w:w="3297" w:type="dxa"/>
            <w:tcBorders>
              <w:top w:val="single" w:sz="4" w:space="0" w:color="auto"/>
              <w:left w:val="nil"/>
              <w:bottom w:val="single" w:sz="4" w:space="0" w:color="auto"/>
              <w:right w:val="single" w:sz="4" w:space="0" w:color="auto"/>
            </w:tcBorders>
            <w:shd w:val="clear" w:color="auto" w:fill="auto"/>
            <w:vAlign w:val="center"/>
          </w:tcPr>
          <w:p w14:paraId="5391BCFF" w14:textId="106C32AD" w:rsidR="00060FF2" w:rsidRPr="00134AE3" w:rsidRDefault="00060FF2" w:rsidP="00060FF2">
            <w:pPr>
              <w:rPr>
                <w:b/>
                <w:bCs/>
                <w:i/>
                <w:iCs/>
                <w:sz w:val="18"/>
                <w:szCs w:val="18"/>
                <w:lang w:eastAsia="hr-HR"/>
              </w:rPr>
            </w:pPr>
            <w:r w:rsidRPr="00134AE3">
              <w:rPr>
                <w:rFonts w:eastAsia="Times New Roman"/>
                <w:b/>
                <w:bCs/>
                <w:i/>
                <w:iCs/>
                <w:sz w:val="18"/>
                <w:szCs w:val="18"/>
              </w:rPr>
              <w:t>Potpore za suzbijanje učinaka COVID-a i ruske agresije na Ukrajinu</w:t>
            </w:r>
          </w:p>
        </w:tc>
        <w:tc>
          <w:tcPr>
            <w:tcW w:w="992" w:type="dxa"/>
            <w:tcBorders>
              <w:top w:val="single" w:sz="4" w:space="0" w:color="auto"/>
              <w:left w:val="nil"/>
              <w:bottom w:val="single" w:sz="4" w:space="0" w:color="auto"/>
              <w:right w:val="single" w:sz="4" w:space="0" w:color="auto"/>
            </w:tcBorders>
            <w:vAlign w:val="center"/>
          </w:tcPr>
          <w:p w14:paraId="42DD7329" w14:textId="4166BD78"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1.110,2</w:t>
            </w:r>
          </w:p>
        </w:tc>
        <w:tc>
          <w:tcPr>
            <w:tcW w:w="851" w:type="dxa"/>
            <w:tcBorders>
              <w:top w:val="single" w:sz="4" w:space="0" w:color="auto"/>
              <w:left w:val="single" w:sz="4" w:space="0" w:color="auto"/>
              <w:bottom w:val="single" w:sz="4" w:space="0" w:color="auto"/>
              <w:right w:val="single" w:sz="4" w:space="0" w:color="auto"/>
            </w:tcBorders>
            <w:vAlign w:val="center"/>
          </w:tcPr>
          <w:p w14:paraId="0CAF49DE" w14:textId="3CD214A3"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51,79</w:t>
            </w:r>
          </w:p>
        </w:tc>
        <w:tc>
          <w:tcPr>
            <w:tcW w:w="992" w:type="dxa"/>
            <w:tcBorders>
              <w:top w:val="single" w:sz="4" w:space="0" w:color="auto"/>
              <w:left w:val="single" w:sz="4" w:space="0" w:color="auto"/>
              <w:bottom w:val="single" w:sz="4" w:space="0" w:color="auto"/>
              <w:right w:val="single" w:sz="4" w:space="0" w:color="auto"/>
            </w:tcBorders>
            <w:vAlign w:val="center"/>
          </w:tcPr>
          <w:p w14:paraId="44DA65BF" w14:textId="4685E200"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556,6</w:t>
            </w:r>
          </w:p>
        </w:tc>
        <w:tc>
          <w:tcPr>
            <w:tcW w:w="850" w:type="dxa"/>
            <w:tcBorders>
              <w:top w:val="single" w:sz="4" w:space="0" w:color="auto"/>
              <w:left w:val="single" w:sz="4" w:space="0" w:color="auto"/>
              <w:bottom w:val="single" w:sz="4" w:space="0" w:color="auto"/>
              <w:right w:val="single" w:sz="4" w:space="0" w:color="auto"/>
            </w:tcBorders>
            <w:vAlign w:val="center"/>
          </w:tcPr>
          <w:p w14:paraId="3B58DF26" w14:textId="2965AF0B"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26,75</w:t>
            </w:r>
          </w:p>
        </w:tc>
        <w:tc>
          <w:tcPr>
            <w:tcW w:w="943" w:type="dxa"/>
            <w:tcBorders>
              <w:top w:val="single" w:sz="4" w:space="0" w:color="auto"/>
              <w:left w:val="single" w:sz="4" w:space="0" w:color="auto"/>
              <w:bottom w:val="single" w:sz="4" w:space="0" w:color="auto"/>
              <w:right w:val="single" w:sz="4" w:space="0" w:color="auto"/>
            </w:tcBorders>
            <w:vAlign w:val="center"/>
          </w:tcPr>
          <w:p w14:paraId="3555F81F" w14:textId="354CA75A"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2,5</w:t>
            </w:r>
          </w:p>
        </w:tc>
        <w:tc>
          <w:tcPr>
            <w:tcW w:w="756" w:type="dxa"/>
            <w:tcBorders>
              <w:top w:val="single" w:sz="4" w:space="0" w:color="auto"/>
              <w:left w:val="single" w:sz="4" w:space="0" w:color="auto"/>
              <w:bottom w:val="single" w:sz="4" w:space="0" w:color="auto"/>
              <w:right w:val="single" w:sz="4" w:space="0" w:color="auto"/>
            </w:tcBorders>
            <w:vAlign w:val="center"/>
          </w:tcPr>
          <w:p w14:paraId="0B059234" w14:textId="66976EF0"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0,17</w:t>
            </w:r>
          </w:p>
        </w:tc>
      </w:tr>
      <w:tr w:rsidR="00060FF2" w:rsidRPr="00134AE3" w14:paraId="6D19630F" w14:textId="77777777" w:rsidTr="00060FF2">
        <w:trPr>
          <w:trHeight w:val="102"/>
        </w:trPr>
        <w:tc>
          <w:tcPr>
            <w:tcW w:w="3681" w:type="dxa"/>
            <w:gridSpan w:val="2"/>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4561258" w14:textId="77777777" w:rsidR="00060FF2" w:rsidRPr="00134AE3" w:rsidRDefault="00060FF2" w:rsidP="00060FF2">
            <w:pPr>
              <w:jc w:val="both"/>
              <w:rPr>
                <w:b/>
                <w:bCs/>
                <w:sz w:val="18"/>
                <w:szCs w:val="18"/>
                <w:lang w:eastAsia="hr-HR"/>
              </w:rPr>
            </w:pPr>
            <w:r w:rsidRPr="00134AE3">
              <w:rPr>
                <w:b/>
                <w:bCs/>
                <w:sz w:val="18"/>
                <w:szCs w:val="18"/>
                <w:lang w:eastAsia="hr-HR"/>
              </w:rPr>
              <w:t>UKUPNO</w:t>
            </w:r>
          </w:p>
        </w:tc>
        <w:tc>
          <w:tcPr>
            <w:tcW w:w="992" w:type="dxa"/>
            <w:tcBorders>
              <w:top w:val="single" w:sz="4" w:space="0" w:color="auto"/>
              <w:left w:val="nil"/>
              <w:bottom w:val="single" w:sz="4" w:space="0" w:color="auto"/>
              <w:right w:val="single" w:sz="4" w:space="0" w:color="auto"/>
            </w:tcBorders>
            <w:shd w:val="clear" w:color="000000" w:fill="FFFF99"/>
            <w:vAlign w:val="center"/>
          </w:tcPr>
          <w:p w14:paraId="0B42093A" w14:textId="0EA8E35E"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2.143,6</w:t>
            </w:r>
          </w:p>
        </w:tc>
        <w:tc>
          <w:tcPr>
            <w:tcW w:w="851" w:type="dxa"/>
            <w:tcBorders>
              <w:top w:val="single" w:sz="4" w:space="0" w:color="auto"/>
              <w:left w:val="single" w:sz="4" w:space="0" w:color="auto"/>
              <w:bottom w:val="single" w:sz="4" w:space="0" w:color="auto"/>
              <w:right w:val="single" w:sz="4" w:space="0" w:color="auto"/>
            </w:tcBorders>
            <w:shd w:val="clear" w:color="000000" w:fill="FFFF99"/>
            <w:vAlign w:val="center"/>
          </w:tcPr>
          <w:p w14:paraId="242B1A03" w14:textId="7BECF70B"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99"/>
            <w:vAlign w:val="center"/>
          </w:tcPr>
          <w:p w14:paraId="4899BF92" w14:textId="265F4B79"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2.081,0</w:t>
            </w:r>
          </w:p>
        </w:tc>
        <w:tc>
          <w:tcPr>
            <w:tcW w:w="850" w:type="dxa"/>
            <w:tcBorders>
              <w:top w:val="single" w:sz="4" w:space="0" w:color="auto"/>
              <w:left w:val="single" w:sz="4" w:space="0" w:color="auto"/>
              <w:bottom w:val="single" w:sz="4" w:space="0" w:color="auto"/>
              <w:right w:val="single" w:sz="4" w:space="0" w:color="auto"/>
            </w:tcBorders>
            <w:shd w:val="clear" w:color="000000" w:fill="FFFF99"/>
            <w:vAlign w:val="center"/>
          </w:tcPr>
          <w:p w14:paraId="479AC55D" w14:textId="7BF6F746"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100,00</w:t>
            </w:r>
          </w:p>
        </w:tc>
        <w:tc>
          <w:tcPr>
            <w:tcW w:w="943" w:type="dxa"/>
            <w:tcBorders>
              <w:top w:val="single" w:sz="4" w:space="0" w:color="auto"/>
              <w:left w:val="single" w:sz="4" w:space="0" w:color="auto"/>
              <w:bottom w:val="single" w:sz="4" w:space="0" w:color="auto"/>
              <w:right w:val="single" w:sz="4" w:space="0" w:color="auto"/>
            </w:tcBorders>
            <w:shd w:val="clear" w:color="000000" w:fill="FFFF99"/>
            <w:vAlign w:val="center"/>
          </w:tcPr>
          <w:p w14:paraId="698755FF" w14:textId="60679D37" w:rsidR="00060FF2" w:rsidRPr="00134AE3" w:rsidRDefault="00060FF2" w:rsidP="00060FF2">
            <w:pPr>
              <w:jc w:val="right"/>
              <w:rPr>
                <w:rFonts w:eastAsia="Times New Roman"/>
                <w:b/>
                <w:bCs/>
                <w:sz w:val="18"/>
                <w:szCs w:val="18"/>
                <w:lang w:eastAsia="hr-HR"/>
              </w:rPr>
            </w:pPr>
            <w:r w:rsidRPr="00134AE3">
              <w:rPr>
                <w:rFonts w:eastAsia="Times New Roman"/>
                <w:b/>
                <w:bCs/>
                <w:sz w:val="18"/>
                <w:szCs w:val="18"/>
                <w:lang w:eastAsia="hr-HR"/>
              </w:rPr>
              <w:t>1.449,1</w:t>
            </w:r>
          </w:p>
        </w:tc>
        <w:tc>
          <w:tcPr>
            <w:tcW w:w="756" w:type="dxa"/>
            <w:tcBorders>
              <w:top w:val="single" w:sz="4" w:space="0" w:color="auto"/>
              <w:left w:val="single" w:sz="4" w:space="0" w:color="auto"/>
              <w:bottom w:val="single" w:sz="4" w:space="0" w:color="auto"/>
              <w:right w:val="single" w:sz="4" w:space="0" w:color="auto"/>
            </w:tcBorders>
            <w:shd w:val="clear" w:color="000000" w:fill="FFFF99"/>
            <w:vAlign w:val="center"/>
          </w:tcPr>
          <w:p w14:paraId="2C5687BF" w14:textId="6AF256E0" w:rsidR="00060FF2" w:rsidRPr="00134AE3" w:rsidRDefault="00060FF2" w:rsidP="00060FF2">
            <w:pPr>
              <w:jc w:val="center"/>
              <w:rPr>
                <w:rFonts w:eastAsia="Times New Roman"/>
                <w:b/>
                <w:bCs/>
                <w:sz w:val="18"/>
                <w:szCs w:val="18"/>
                <w:lang w:eastAsia="hr-HR"/>
              </w:rPr>
            </w:pPr>
            <w:r w:rsidRPr="00134AE3">
              <w:rPr>
                <w:rFonts w:eastAsia="Times New Roman"/>
                <w:b/>
                <w:bCs/>
                <w:sz w:val="18"/>
                <w:szCs w:val="18"/>
                <w:lang w:eastAsia="hr-HR"/>
              </w:rPr>
              <w:t>100,00</w:t>
            </w:r>
          </w:p>
        </w:tc>
      </w:tr>
    </w:tbl>
    <w:p w14:paraId="01FA2EDD" w14:textId="77777777" w:rsidR="00FE2D9A" w:rsidRPr="00134AE3" w:rsidRDefault="00FE2D9A" w:rsidP="00BE487D">
      <w:pPr>
        <w:contextualSpacing/>
        <w:jc w:val="both"/>
        <w:rPr>
          <w:i/>
          <w:sz w:val="20"/>
        </w:rPr>
      </w:pPr>
      <w:r w:rsidRPr="00134AE3">
        <w:rPr>
          <w:i/>
          <w:sz w:val="20"/>
        </w:rPr>
        <w:t>Izvor: Ministarstvo financija i davatelji potpora; podaci obrađeni u Ministarstvu financija</w:t>
      </w:r>
    </w:p>
    <w:p w14:paraId="51FE9103" w14:textId="77777777" w:rsidR="00BA405D" w:rsidRPr="00134AE3" w:rsidRDefault="00BA405D" w:rsidP="00BE487D">
      <w:pPr>
        <w:jc w:val="both"/>
      </w:pPr>
    </w:p>
    <w:p w14:paraId="2A03A171" w14:textId="7A1D1EA4" w:rsidR="00E337DC" w:rsidRPr="00134AE3" w:rsidRDefault="00FE2D9A" w:rsidP="001828A8">
      <w:pPr>
        <w:jc w:val="both"/>
      </w:pPr>
      <w:r w:rsidRPr="00134AE3">
        <w:rPr>
          <w:u w:val="single"/>
        </w:rPr>
        <w:t xml:space="preserve">Potpore </w:t>
      </w:r>
      <w:r w:rsidR="000607B4" w:rsidRPr="00134AE3">
        <w:rPr>
          <w:u w:val="single"/>
        </w:rPr>
        <w:t xml:space="preserve">u </w:t>
      </w:r>
      <w:r w:rsidRPr="00134AE3">
        <w:rPr>
          <w:u w:val="single"/>
        </w:rPr>
        <w:t>sektoru poljoprivrede i ribarstva</w:t>
      </w:r>
      <w:r w:rsidRPr="00134AE3">
        <w:t xml:space="preserve"> </w:t>
      </w:r>
      <w:r w:rsidR="002C7455" w:rsidRPr="00134AE3">
        <w:t xml:space="preserve">dodijeljene </w:t>
      </w:r>
      <w:r w:rsidR="00A84276" w:rsidRPr="00134AE3">
        <w:t>s</w:t>
      </w:r>
      <w:r w:rsidR="002C7455" w:rsidRPr="00134AE3">
        <w:t xml:space="preserve">u </w:t>
      </w:r>
      <w:r w:rsidR="00A84276" w:rsidRPr="00134AE3">
        <w:t xml:space="preserve">u </w:t>
      </w:r>
      <w:r w:rsidRPr="00134AE3">
        <w:t>202</w:t>
      </w:r>
      <w:r w:rsidR="000607B4" w:rsidRPr="00134AE3">
        <w:t>4</w:t>
      </w:r>
      <w:r w:rsidRPr="00134AE3">
        <w:t>. godini</w:t>
      </w:r>
      <w:r w:rsidR="00A84276" w:rsidRPr="00134AE3">
        <w:t xml:space="preserve"> u </w:t>
      </w:r>
      <w:r w:rsidR="00CB3EEA" w:rsidRPr="00134AE3">
        <w:t>iznos</w:t>
      </w:r>
      <w:r w:rsidR="00A84276" w:rsidRPr="00134AE3">
        <w:t xml:space="preserve">u od </w:t>
      </w:r>
      <w:r w:rsidR="000607B4" w:rsidRPr="00134AE3">
        <w:t>128,2</w:t>
      </w:r>
      <w:r w:rsidR="00E0274E" w:rsidRPr="00134AE3">
        <w:t xml:space="preserve"> </w:t>
      </w:r>
      <w:r w:rsidRPr="00134AE3">
        <w:t xml:space="preserve">milijuna </w:t>
      </w:r>
      <w:r w:rsidR="00A84276" w:rsidRPr="00134AE3">
        <w:t>eura</w:t>
      </w:r>
      <w:r w:rsidRPr="00134AE3">
        <w:t xml:space="preserve">, što </w:t>
      </w:r>
      <w:r w:rsidR="00E0274E" w:rsidRPr="00134AE3">
        <w:t>je</w:t>
      </w:r>
      <w:r w:rsidR="00CE3FA7" w:rsidRPr="00134AE3">
        <w:t xml:space="preserve"> </w:t>
      </w:r>
      <w:r w:rsidR="00A84276" w:rsidRPr="00134AE3">
        <w:t>povećanje</w:t>
      </w:r>
      <w:r w:rsidR="00CB3EEA" w:rsidRPr="00134AE3">
        <w:t xml:space="preserve"> </w:t>
      </w:r>
      <w:r w:rsidRPr="00134AE3">
        <w:t xml:space="preserve">za </w:t>
      </w:r>
      <w:r w:rsidR="000607B4" w:rsidRPr="00134AE3">
        <w:t xml:space="preserve">14,4 </w:t>
      </w:r>
      <w:r w:rsidR="00A84276" w:rsidRPr="00134AE3">
        <w:t xml:space="preserve">milijuna eura ili </w:t>
      </w:r>
      <w:r w:rsidR="000607B4" w:rsidRPr="00134AE3">
        <w:t>12,</w:t>
      </w:r>
      <w:r w:rsidR="00406C47" w:rsidRPr="00134AE3">
        <w:t>6</w:t>
      </w:r>
      <w:r w:rsidR="000607B4" w:rsidRPr="00134AE3">
        <w:t xml:space="preserve"> </w:t>
      </w:r>
      <w:r w:rsidR="00A84276" w:rsidRPr="00134AE3">
        <w:t xml:space="preserve">posto u </w:t>
      </w:r>
      <w:r w:rsidRPr="00134AE3">
        <w:t>odnosu na 20</w:t>
      </w:r>
      <w:r w:rsidR="00CB3EEA" w:rsidRPr="00134AE3">
        <w:t>2</w:t>
      </w:r>
      <w:r w:rsidR="000607B4" w:rsidRPr="00134AE3">
        <w:t>3</w:t>
      </w:r>
      <w:r w:rsidRPr="00134AE3">
        <w:t>. godinu</w:t>
      </w:r>
      <w:r w:rsidR="00E0274E" w:rsidRPr="00134AE3">
        <w:t xml:space="preserve"> kada su </w:t>
      </w:r>
      <w:r w:rsidR="00A84276" w:rsidRPr="00134AE3">
        <w:t xml:space="preserve">dodijeljene u </w:t>
      </w:r>
      <w:r w:rsidR="00E0274E" w:rsidRPr="00134AE3">
        <w:t>iznos</w:t>
      </w:r>
      <w:r w:rsidR="00A84276" w:rsidRPr="00134AE3">
        <w:t xml:space="preserve">u od </w:t>
      </w:r>
      <w:r w:rsidR="000607B4" w:rsidRPr="00134AE3">
        <w:t>113,</w:t>
      </w:r>
      <w:r w:rsidR="00406C47" w:rsidRPr="00134AE3">
        <w:t xml:space="preserve">8 </w:t>
      </w:r>
      <w:r w:rsidR="00E0274E" w:rsidRPr="00134AE3">
        <w:t xml:space="preserve">milijuna </w:t>
      </w:r>
      <w:r w:rsidR="00A84276" w:rsidRPr="00134AE3">
        <w:t>eura</w:t>
      </w:r>
      <w:r w:rsidRPr="00134AE3">
        <w:t xml:space="preserve">, </w:t>
      </w:r>
      <w:r w:rsidR="00A84276" w:rsidRPr="00134AE3">
        <w:t xml:space="preserve">te </w:t>
      </w:r>
      <w:r w:rsidR="002140C3" w:rsidRPr="00134AE3">
        <w:t xml:space="preserve">predstavlja </w:t>
      </w:r>
      <w:r w:rsidR="000607B4" w:rsidRPr="00134AE3">
        <w:t>povećanje za 34</w:t>
      </w:r>
      <w:r w:rsidR="00A84276" w:rsidRPr="00134AE3">
        <w:t xml:space="preserve"> milijuna eura ili </w:t>
      </w:r>
      <w:r w:rsidR="000607B4" w:rsidRPr="00134AE3">
        <w:t>36</w:t>
      </w:r>
      <w:r w:rsidR="00406C47" w:rsidRPr="00134AE3">
        <w:t>,1</w:t>
      </w:r>
      <w:r w:rsidRPr="00134AE3">
        <w:t xml:space="preserve"> posto u odnosu na 20</w:t>
      </w:r>
      <w:r w:rsidR="00E0274E" w:rsidRPr="00134AE3">
        <w:t>2</w:t>
      </w:r>
      <w:r w:rsidR="000607B4" w:rsidRPr="00134AE3">
        <w:t>2</w:t>
      </w:r>
      <w:r w:rsidRPr="00134AE3">
        <w:t>. godinu</w:t>
      </w:r>
      <w:r w:rsidR="00E0274E" w:rsidRPr="00134AE3">
        <w:t xml:space="preserve"> kada su </w:t>
      </w:r>
      <w:r w:rsidR="000607B4" w:rsidRPr="00134AE3">
        <w:t>iznosile 94,2</w:t>
      </w:r>
      <w:r w:rsidR="00E0274E" w:rsidRPr="00134AE3">
        <w:t xml:space="preserve"> milijuna </w:t>
      </w:r>
      <w:r w:rsidR="00A84276" w:rsidRPr="00134AE3">
        <w:t>eura</w:t>
      </w:r>
      <w:r w:rsidR="00E0274E" w:rsidRPr="00134AE3">
        <w:t>.</w:t>
      </w:r>
      <w:r w:rsidR="00E337DC" w:rsidRPr="00134AE3">
        <w:t xml:space="preserve"> </w:t>
      </w:r>
      <w:r w:rsidR="001828A8" w:rsidRPr="00134AE3">
        <w:t xml:space="preserve">Ukoliko bi se dodijeljenim potporama u sektoru poljoprivrede i ribarstva u 2024. godini u iznosu od 128,2 milijuna eura pribrojile i </w:t>
      </w:r>
      <w:r w:rsidR="00E337DC" w:rsidRPr="00134AE3">
        <w:t>dodijeljena sredstva za p</w:t>
      </w:r>
      <w:r w:rsidR="001828A8" w:rsidRPr="00134AE3">
        <w:t>oticaj</w:t>
      </w:r>
      <w:r w:rsidR="00E337DC" w:rsidRPr="00134AE3">
        <w:t xml:space="preserve">e i izravna plaćanja u iznosu od 842,1 milijun eura, ukupni </w:t>
      </w:r>
      <w:r w:rsidR="001828A8" w:rsidRPr="00134AE3">
        <w:t xml:space="preserve">iznos </w:t>
      </w:r>
      <w:r w:rsidR="00E337DC" w:rsidRPr="00134AE3">
        <w:t>svih</w:t>
      </w:r>
      <w:r w:rsidR="001828A8" w:rsidRPr="00134AE3">
        <w:t xml:space="preserve"> </w:t>
      </w:r>
      <w:r w:rsidR="00E337DC" w:rsidRPr="00134AE3">
        <w:t>sr</w:t>
      </w:r>
      <w:r w:rsidR="001828A8" w:rsidRPr="00134AE3">
        <w:t xml:space="preserve">edstava </w:t>
      </w:r>
      <w:r w:rsidR="00E337DC" w:rsidRPr="00134AE3">
        <w:t xml:space="preserve">dodijeljenih u sektoru poljoprivrede i ribarstva </w:t>
      </w:r>
      <w:r w:rsidR="001828A8" w:rsidRPr="00134AE3">
        <w:t>iznosio bi 970,3 milijuna eura</w:t>
      </w:r>
    </w:p>
    <w:p w14:paraId="3EFAFC37" w14:textId="77777777" w:rsidR="001828A8" w:rsidRPr="00134AE3" w:rsidRDefault="001828A8" w:rsidP="00CE087A"/>
    <w:p w14:paraId="0F624809" w14:textId="09DE064F" w:rsidR="00FE2D9A" w:rsidRPr="00134AE3" w:rsidRDefault="00FE2D9A" w:rsidP="00BE487D">
      <w:pPr>
        <w:jc w:val="both"/>
      </w:pPr>
      <w:r w:rsidRPr="00134AE3">
        <w:rPr>
          <w:u w:val="single"/>
        </w:rPr>
        <w:t xml:space="preserve">Potpore </w:t>
      </w:r>
      <w:r w:rsidR="00CB3EEA" w:rsidRPr="00134AE3">
        <w:rPr>
          <w:u w:val="single"/>
        </w:rPr>
        <w:t xml:space="preserve">u sektoru </w:t>
      </w:r>
      <w:r w:rsidRPr="00134AE3">
        <w:rPr>
          <w:u w:val="single"/>
        </w:rPr>
        <w:t>industrij</w:t>
      </w:r>
      <w:r w:rsidR="00CB3EEA" w:rsidRPr="00134AE3">
        <w:rPr>
          <w:u w:val="single"/>
        </w:rPr>
        <w:t>e</w:t>
      </w:r>
      <w:r w:rsidRPr="00134AE3">
        <w:rPr>
          <w:u w:val="single"/>
        </w:rPr>
        <w:t xml:space="preserve"> i usluga</w:t>
      </w:r>
      <w:r w:rsidRPr="00134AE3">
        <w:t xml:space="preserve"> </w:t>
      </w:r>
      <w:r w:rsidR="00A84276" w:rsidRPr="00134AE3">
        <w:t>dodijeljene su u 202</w:t>
      </w:r>
      <w:r w:rsidR="000607B4" w:rsidRPr="00134AE3">
        <w:t>4</w:t>
      </w:r>
      <w:r w:rsidR="00A84276" w:rsidRPr="00134AE3">
        <w:t xml:space="preserve">. godini u iznosu od </w:t>
      </w:r>
      <w:r w:rsidR="00134AE3" w:rsidRPr="00134AE3">
        <w:t>1,3 milijarde eura</w:t>
      </w:r>
      <w:r w:rsidRPr="00134AE3">
        <w:t xml:space="preserve">, što </w:t>
      </w:r>
      <w:r w:rsidR="00E0274E" w:rsidRPr="00134AE3">
        <w:t>je</w:t>
      </w:r>
      <w:r w:rsidR="00CE3FA7" w:rsidRPr="00134AE3">
        <w:t xml:space="preserve"> </w:t>
      </w:r>
      <w:r w:rsidR="00CB3EEA" w:rsidRPr="00134AE3">
        <w:t xml:space="preserve">smanjenje </w:t>
      </w:r>
      <w:r w:rsidRPr="00134AE3">
        <w:t xml:space="preserve">za </w:t>
      </w:r>
      <w:r w:rsidR="000607B4" w:rsidRPr="00134AE3">
        <w:t>646,3</w:t>
      </w:r>
      <w:r w:rsidR="00A84276" w:rsidRPr="00134AE3">
        <w:t xml:space="preserve"> milijuna eura ili </w:t>
      </w:r>
      <w:r w:rsidR="000607B4" w:rsidRPr="00134AE3">
        <w:t xml:space="preserve">32,9 </w:t>
      </w:r>
      <w:r w:rsidR="00A84276" w:rsidRPr="00134AE3">
        <w:t xml:space="preserve">posto </w:t>
      </w:r>
      <w:r w:rsidR="00BB0CB3" w:rsidRPr="00134AE3">
        <w:t>u odnosu na 202</w:t>
      </w:r>
      <w:r w:rsidR="000607B4" w:rsidRPr="00134AE3">
        <w:t>3</w:t>
      </w:r>
      <w:r w:rsidR="00BB0CB3" w:rsidRPr="00134AE3">
        <w:t xml:space="preserve">. godinu kada su </w:t>
      </w:r>
      <w:r w:rsidR="00653C5E" w:rsidRPr="00134AE3">
        <w:t>iznosile</w:t>
      </w:r>
      <w:r w:rsidR="00BB0CB3" w:rsidRPr="00134AE3">
        <w:t xml:space="preserve"> </w:t>
      </w:r>
      <w:r w:rsidR="00134AE3" w:rsidRPr="00134AE3">
        <w:t xml:space="preserve">gotovo 2 milijarde </w:t>
      </w:r>
      <w:r w:rsidR="00A84276" w:rsidRPr="00134AE3">
        <w:t>eura</w:t>
      </w:r>
      <w:r w:rsidR="00CB3EEA" w:rsidRPr="00134AE3">
        <w:t>,</w:t>
      </w:r>
      <w:r w:rsidRPr="00134AE3">
        <w:t xml:space="preserve"> te </w:t>
      </w:r>
      <w:r w:rsidR="002140C3" w:rsidRPr="00134AE3">
        <w:t xml:space="preserve">predstavlja </w:t>
      </w:r>
      <w:r w:rsidR="00653C5E" w:rsidRPr="00134AE3">
        <w:t xml:space="preserve">smanjenje </w:t>
      </w:r>
      <w:r w:rsidR="00E0274E" w:rsidRPr="00134AE3">
        <w:t>z</w:t>
      </w:r>
      <w:r w:rsidR="00093A16" w:rsidRPr="00134AE3">
        <w:t xml:space="preserve">a </w:t>
      </w:r>
      <w:r w:rsidR="00653C5E" w:rsidRPr="00134AE3">
        <w:t>728,</w:t>
      </w:r>
      <w:r w:rsidR="00406C47" w:rsidRPr="00134AE3">
        <w:t>5</w:t>
      </w:r>
      <w:r w:rsidR="00653C5E" w:rsidRPr="00134AE3">
        <w:t xml:space="preserve"> </w:t>
      </w:r>
      <w:r w:rsidR="00BB0CB3" w:rsidRPr="00134AE3">
        <w:t xml:space="preserve">milijuna eura ili </w:t>
      </w:r>
      <w:r w:rsidR="00653C5E" w:rsidRPr="00134AE3">
        <w:t xml:space="preserve">35,5 </w:t>
      </w:r>
      <w:r w:rsidRPr="00134AE3">
        <w:t>posto u odnosu na 20</w:t>
      </w:r>
      <w:r w:rsidR="00E0274E" w:rsidRPr="00134AE3">
        <w:t>2</w:t>
      </w:r>
      <w:r w:rsidR="00653C5E" w:rsidRPr="00134AE3">
        <w:t>2</w:t>
      </w:r>
      <w:r w:rsidRPr="00134AE3">
        <w:t>. godinu kad</w:t>
      </w:r>
      <w:r w:rsidR="00653C5E" w:rsidRPr="00134AE3">
        <w:t>a</w:t>
      </w:r>
      <w:r w:rsidRPr="00134AE3">
        <w:t xml:space="preserve"> su </w:t>
      </w:r>
      <w:r w:rsidR="00E0274E" w:rsidRPr="00134AE3">
        <w:t>iznosile</w:t>
      </w:r>
      <w:r w:rsidR="00CB3EEA" w:rsidRPr="00134AE3">
        <w:t xml:space="preserve"> </w:t>
      </w:r>
      <w:r w:rsidR="00134AE3" w:rsidRPr="00134AE3">
        <w:t>2 milijarde eura</w:t>
      </w:r>
      <w:r w:rsidRPr="00134AE3">
        <w:t>.</w:t>
      </w:r>
    </w:p>
    <w:p w14:paraId="00CE9CF4" w14:textId="77777777" w:rsidR="00CE087A" w:rsidRPr="00134AE3" w:rsidRDefault="00CE087A" w:rsidP="00CE087A"/>
    <w:p w14:paraId="430DCFE8" w14:textId="00D8EB78" w:rsidR="00FE2D9A" w:rsidRPr="00134AE3" w:rsidRDefault="00FE2D9A" w:rsidP="00BE487D">
      <w:pPr>
        <w:jc w:val="both"/>
      </w:pPr>
      <w:r w:rsidRPr="00134AE3">
        <w:t xml:space="preserve">Slika </w:t>
      </w:r>
      <w:r w:rsidR="00653C5E" w:rsidRPr="00134AE3">
        <w:t>1</w:t>
      </w:r>
      <w:r w:rsidRPr="00134AE3">
        <w:t xml:space="preserve">. Udio potpora </w:t>
      </w:r>
      <w:r w:rsidR="007A17B5" w:rsidRPr="00134AE3">
        <w:t xml:space="preserve">u postocima </w:t>
      </w:r>
      <w:r w:rsidRPr="00134AE3">
        <w:t>za poljoprivredu i ribarstvo i potpora za industriju i usluge u ukupno dodijelje</w:t>
      </w:r>
      <w:r w:rsidR="00101847" w:rsidRPr="00134AE3">
        <w:t xml:space="preserve">nim potporama </w:t>
      </w:r>
      <w:r w:rsidR="009666C0" w:rsidRPr="00134AE3">
        <w:t>u</w:t>
      </w:r>
      <w:r w:rsidR="00101847" w:rsidRPr="00134AE3">
        <w:t xml:space="preserve"> razdoblj</w:t>
      </w:r>
      <w:r w:rsidR="009666C0" w:rsidRPr="00134AE3">
        <w:t>u</w:t>
      </w:r>
      <w:r w:rsidR="00101847" w:rsidRPr="00134AE3">
        <w:t xml:space="preserve"> od 20</w:t>
      </w:r>
      <w:r w:rsidR="00653C5E" w:rsidRPr="00134AE3">
        <w:t>22</w:t>
      </w:r>
      <w:r w:rsidRPr="00134AE3">
        <w:t>. do 20</w:t>
      </w:r>
      <w:r w:rsidR="00287CC3" w:rsidRPr="00134AE3">
        <w:t>2</w:t>
      </w:r>
      <w:r w:rsidR="00653C5E" w:rsidRPr="00134AE3">
        <w:t>4</w:t>
      </w:r>
      <w:r w:rsidRPr="00134AE3">
        <w:t>. godine</w:t>
      </w:r>
    </w:p>
    <w:p w14:paraId="03EDDC97" w14:textId="49F1346B" w:rsidR="001972F6" w:rsidRPr="00134AE3" w:rsidRDefault="001972F6" w:rsidP="001972F6">
      <w:pPr>
        <w:jc w:val="both"/>
        <w:rPr>
          <w:sz w:val="20"/>
        </w:rPr>
      </w:pPr>
    </w:p>
    <w:p w14:paraId="4574BC85" w14:textId="1DB9A71C" w:rsidR="007A17B5" w:rsidRPr="00134AE3" w:rsidRDefault="007A17B5" w:rsidP="007A17B5">
      <w:pPr>
        <w:jc w:val="center"/>
        <w:rPr>
          <w:sz w:val="20"/>
        </w:rPr>
      </w:pPr>
      <w:r w:rsidRPr="00134AE3">
        <w:rPr>
          <w:noProof/>
          <w:lang w:eastAsia="hr-HR"/>
        </w:rPr>
        <w:drawing>
          <wp:inline distT="0" distB="0" distL="0" distR="0" wp14:anchorId="764CA4E0" wp14:editId="18D8CF27">
            <wp:extent cx="4403271" cy="1752600"/>
            <wp:effectExtent l="0" t="0" r="16510"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25D459" w14:textId="77777777" w:rsidR="00653C5E" w:rsidRPr="00134AE3" w:rsidRDefault="00653C5E" w:rsidP="00653C5E">
      <w:pPr>
        <w:contextualSpacing/>
        <w:jc w:val="center"/>
        <w:rPr>
          <w:i/>
          <w:sz w:val="20"/>
        </w:rPr>
      </w:pPr>
      <w:r w:rsidRPr="00134AE3">
        <w:rPr>
          <w:i/>
          <w:sz w:val="20"/>
        </w:rPr>
        <w:t>Izvor: Ministarstvo financija i davatelji potpora; podaci obrađeni u Ministarstvu financija</w:t>
      </w:r>
    </w:p>
    <w:p w14:paraId="6F4D2D74" w14:textId="77777777" w:rsidR="00201D7E" w:rsidRPr="00134AE3" w:rsidRDefault="00201D7E" w:rsidP="001972F6">
      <w:pPr>
        <w:jc w:val="both"/>
      </w:pPr>
    </w:p>
    <w:p w14:paraId="14BDF759" w14:textId="77777777" w:rsidR="00653C5E" w:rsidRPr="00134AE3" w:rsidRDefault="00653C5E" w:rsidP="0049485E">
      <w:pPr>
        <w:jc w:val="both"/>
      </w:pPr>
      <w:r w:rsidRPr="00134AE3">
        <w:t xml:space="preserve">Na </w:t>
      </w:r>
      <w:r w:rsidR="00CB3EEA" w:rsidRPr="00134AE3">
        <w:t>Sli</w:t>
      </w:r>
      <w:r w:rsidRPr="00134AE3">
        <w:t>ci</w:t>
      </w:r>
      <w:r w:rsidR="001972F6" w:rsidRPr="00134AE3">
        <w:t xml:space="preserve"> </w:t>
      </w:r>
      <w:r w:rsidRPr="00134AE3">
        <w:t>1</w:t>
      </w:r>
      <w:r w:rsidR="001972F6" w:rsidRPr="00134AE3">
        <w:t>. prikaz</w:t>
      </w:r>
      <w:r w:rsidRPr="00134AE3">
        <w:t xml:space="preserve">an </w:t>
      </w:r>
      <w:r w:rsidR="0049485E" w:rsidRPr="00134AE3">
        <w:t>je</w:t>
      </w:r>
      <w:r w:rsidR="001972F6" w:rsidRPr="00134AE3">
        <w:t xml:space="preserve"> udio potpora </w:t>
      </w:r>
      <w:r w:rsidR="00CB3EEA" w:rsidRPr="00134AE3">
        <w:t xml:space="preserve">u postotcima, </w:t>
      </w:r>
      <w:r w:rsidR="001972F6" w:rsidRPr="00134AE3">
        <w:t xml:space="preserve">u sektoru poljoprivrede i ribarstva </w:t>
      </w:r>
      <w:r w:rsidR="00032790" w:rsidRPr="00134AE3">
        <w:t>i</w:t>
      </w:r>
      <w:r w:rsidR="001972F6" w:rsidRPr="00134AE3">
        <w:t xml:space="preserve"> u sektoru industrije i usluga u ukupno dodijeljenim potporama </w:t>
      </w:r>
      <w:r w:rsidRPr="00134AE3">
        <w:t>u razdoblju</w:t>
      </w:r>
      <w:r w:rsidR="001972F6" w:rsidRPr="00134AE3">
        <w:t xml:space="preserve"> od 20</w:t>
      </w:r>
      <w:r w:rsidRPr="00134AE3">
        <w:t>22</w:t>
      </w:r>
      <w:r w:rsidR="001972F6" w:rsidRPr="00134AE3">
        <w:t>. do 202</w:t>
      </w:r>
      <w:r w:rsidRPr="00134AE3">
        <w:t>4</w:t>
      </w:r>
      <w:r w:rsidR="001972F6" w:rsidRPr="00134AE3">
        <w:t>. godine</w:t>
      </w:r>
      <w:r w:rsidRPr="00134AE3">
        <w:t>.</w:t>
      </w:r>
    </w:p>
    <w:p w14:paraId="67C7B733" w14:textId="382ADD76" w:rsidR="00201D7E" w:rsidRPr="00134AE3" w:rsidRDefault="00201D7E" w:rsidP="00BE487D">
      <w:pPr>
        <w:jc w:val="both"/>
      </w:pPr>
    </w:p>
    <w:p w14:paraId="5F7EC2DE" w14:textId="77777777" w:rsidR="00653C5E" w:rsidRPr="00134AE3" w:rsidRDefault="00653C5E" w:rsidP="00BE487D">
      <w:pPr>
        <w:jc w:val="both"/>
      </w:pPr>
    </w:p>
    <w:p w14:paraId="08E26C66" w14:textId="77777777" w:rsidR="00F4498F" w:rsidRPr="00134AE3" w:rsidRDefault="00F4498F" w:rsidP="00BE487D">
      <w:pPr>
        <w:jc w:val="both"/>
      </w:pPr>
    </w:p>
    <w:p w14:paraId="66DEB7CD" w14:textId="2304561C" w:rsidR="00BE0817" w:rsidRPr="00134AE3" w:rsidRDefault="00CC2841" w:rsidP="00C92009">
      <w:pPr>
        <w:pStyle w:val="Heading2"/>
        <w:ind w:left="811" w:hanging="454"/>
      </w:pPr>
      <w:r w:rsidRPr="00134AE3">
        <w:t xml:space="preserve"> </w:t>
      </w:r>
      <w:bookmarkStart w:id="9" w:name="_Toc213660030"/>
      <w:r w:rsidR="00B20C9B" w:rsidRPr="00134AE3">
        <w:t>DRŽAVNE POTPORE PREMA INSTRUMENTIMA</w:t>
      </w:r>
      <w:bookmarkEnd w:id="9"/>
    </w:p>
    <w:p w14:paraId="093E12A3" w14:textId="77777777" w:rsidR="00CC2841" w:rsidRPr="00134AE3" w:rsidRDefault="00CC2841" w:rsidP="00BE487D">
      <w:pPr>
        <w:jc w:val="both"/>
      </w:pPr>
    </w:p>
    <w:p w14:paraId="2D5D9E8E" w14:textId="77777777" w:rsidR="00CC2841" w:rsidRPr="00134AE3" w:rsidRDefault="00CC2841" w:rsidP="00BE487D">
      <w:pPr>
        <w:jc w:val="both"/>
      </w:pPr>
    </w:p>
    <w:p w14:paraId="7B986EEC" w14:textId="77777777" w:rsidR="00D625B8" w:rsidRPr="00134AE3" w:rsidRDefault="000E0349" w:rsidP="000E0349">
      <w:pPr>
        <w:jc w:val="both"/>
      </w:pPr>
      <w:r w:rsidRPr="00134AE3">
        <w:t xml:space="preserve">Potpore </w:t>
      </w:r>
      <w:r w:rsidR="009E4ECA" w:rsidRPr="00134AE3">
        <w:t xml:space="preserve">se dodjeljuju </w:t>
      </w:r>
      <w:r w:rsidR="00ED3785" w:rsidRPr="00134AE3">
        <w:t>putem raznih instrumenata, kao što su</w:t>
      </w:r>
      <w:r w:rsidRPr="00134AE3">
        <w:rPr>
          <w:vertAlign w:val="superscript"/>
        </w:rPr>
        <w:footnoteReference w:id="18"/>
      </w:r>
      <w:r w:rsidRPr="00134AE3">
        <w:t xml:space="preserve">: </w:t>
      </w:r>
    </w:p>
    <w:p w14:paraId="21E43C90" w14:textId="5F541034" w:rsidR="00D625B8" w:rsidRPr="00134AE3" w:rsidRDefault="000E0349" w:rsidP="00E346B9">
      <w:pPr>
        <w:pStyle w:val="ListParagraph"/>
        <w:numPr>
          <w:ilvl w:val="0"/>
          <w:numId w:val="12"/>
        </w:numPr>
        <w:ind w:left="714" w:hanging="357"/>
        <w:jc w:val="both"/>
      </w:pPr>
      <w:r w:rsidRPr="00134AE3">
        <w:t>A1</w:t>
      </w:r>
      <w:r w:rsidR="00D625B8" w:rsidRPr="00134AE3">
        <w:t xml:space="preserve"> – </w:t>
      </w:r>
      <w:r w:rsidRPr="00134AE3">
        <w:t>subvencije</w:t>
      </w:r>
      <w:r w:rsidR="00374990" w:rsidRPr="00134AE3">
        <w:t xml:space="preserve">, </w:t>
      </w:r>
      <w:r w:rsidRPr="00134AE3">
        <w:t xml:space="preserve">neposredne subvencije kamata, </w:t>
      </w:r>
      <w:r w:rsidR="00D625B8" w:rsidRPr="00134AE3">
        <w:t>oprost duga po osnovi zajma i prisiln</w:t>
      </w:r>
      <w:r w:rsidR="002140C3" w:rsidRPr="00134AE3">
        <w:t>e</w:t>
      </w:r>
      <w:r w:rsidR="00D625B8" w:rsidRPr="00134AE3">
        <w:t xml:space="preserve"> nagodb</w:t>
      </w:r>
      <w:r w:rsidR="002140C3" w:rsidRPr="00134AE3">
        <w:t>e</w:t>
      </w:r>
      <w:r w:rsidR="00D625B8" w:rsidRPr="00134AE3">
        <w:t xml:space="preserve"> i stečaj</w:t>
      </w:r>
    </w:p>
    <w:p w14:paraId="4BF41849" w14:textId="0D74C676" w:rsidR="00996C82" w:rsidRPr="00134AE3" w:rsidRDefault="000E0349" w:rsidP="00E346B9">
      <w:pPr>
        <w:pStyle w:val="ListParagraph"/>
        <w:numPr>
          <w:ilvl w:val="0"/>
          <w:numId w:val="12"/>
        </w:numPr>
        <w:ind w:left="714" w:hanging="357"/>
        <w:jc w:val="both"/>
      </w:pPr>
      <w:r w:rsidRPr="00134AE3">
        <w:t>A2</w:t>
      </w:r>
      <w:r w:rsidR="00D625B8" w:rsidRPr="00134AE3">
        <w:t xml:space="preserve"> –</w:t>
      </w:r>
      <w:r w:rsidR="00996C82" w:rsidRPr="00134AE3">
        <w:t xml:space="preserve"> oprost poreza, porezna oslobođenja, izuzeća i olakšice, snižavanje, oslobođenje, olakšice, izuzeće i oprost plaćanja doprinosa, odgode pri plaćanju poreza, otpis duga i odgode pri podmirenju duga</w:t>
      </w:r>
    </w:p>
    <w:p w14:paraId="6E54764B" w14:textId="00F4A7B6" w:rsidR="00D625B8" w:rsidRPr="00134AE3" w:rsidRDefault="000E0349" w:rsidP="00E346B9">
      <w:pPr>
        <w:pStyle w:val="ListParagraph"/>
        <w:numPr>
          <w:ilvl w:val="0"/>
          <w:numId w:val="12"/>
        </w:numPr>
        <w:ind w:left="714" w:hanging="357"/>
        <w:jc w:val="both"/>
      </w:pPr>
      <w:r w:rsidRPr="00134AE3">
        <w:t>B</w:t>
      </w:r>
      <w:r w:rsidR="00996C82" w:rsidRPr="00134AE3">
        <w:t xml:space="preserve"> – ulaganja u vlastiti kapital, kapitalna ulaganja i rizični kapital, pretvaranje duga u vlasnički udjel, prodaja državne imovine pod povoljnim uvjetima i odricanje od isplate dobiti poduzetnika</w:t>
      </w:r>
    </w:p>
    <w:p w14:paraId="394B09EA" w14:textId="61C311A5" w:rsidR="00D625B8" w:rsidRPr="00134AE3" w:rsidRDefault="000E0349" w:rsidP="00E346B9">
      <w:pPr>
        <w:pStyle w:val="ListParagraph"/>
        <w:numPr>
          <w:ilvl w:val="0"/>
          <w:numId w:val="12"/>
        </w:numPr>
        <w:ind w:left="714" w:hanging="357"/>
        <w:jc w:val="both"/>
      </w:pPr>
      <w:r w:rsidRPr="00134AE3">
        <w:t>C</w:t>
      </w:r>
      <w:r w:rsidR="00996C82" w:rsidRPr="00134AE3">
        <w:t xml:space="preserve"> – </w:t>
      </w:r>
      <w:r w:rsidRPr="00134AE3">
        <w:t>povoljni zajmovi i za</w:t>
      </w:r>
      <w:r w:rsidR="000857FF" w:rsidRPr="00134AE3">
        <w:t>jmovi poduzetnicima u teškoćama</w:t>
      </w:r>
      <w:r w:rsidRPr="00134AE3">
        <w:t xml:space="preserve"> i </w:t>
      </w:r>
    </w:p>
    <w:p w14:paraId="0EC83ACA" w14:textId="77777777" w:rsidR="000E0349" w:rsidRPr="00BD177B" w:rsidRDefault="000E0349" w:rsidP="00E346B9">
      <w:pPr>
        <w:pStyle w:val="ListParagraph"/>
        <w:numPr>
          <w:ilvl w:val="0"/>
          <w:numId w:val="12"/>
        </w:numPr>
        <w:ind w:left="714" w:hanging="357"/>
        <w:jc w:val="both"/>
      </w:pPr>
      <w:r w:rsidRPr="00BD177B">
        <w:t>D</w:t>
      </w:r>
      <w:r w:rsidR="00996C82" w:rsidRPr="00BD177B">
        <w:t xml:space="preserve"> – </w:t>
      </w:r>
      <w:r w:rsidRPr="00BD177B">
        <w:t xml:space="preserve">izdana državna jamstva te aktivirana odnosno protestirana ili opozvana jamstva. </w:t>
      </w:r>
    </w:p>
    <w:p w14:paraId="1F001806" w14:textId="319142D5" w:rsidR="00374990" w:rsidRPr="00BD177B" w:rsidRDefault="00374990" w:rsidP="008C2D7C">
      <w:pPr>
        <w:jc w:val="both"/>
      </w:pPr>
    </w:p>
    <w:p w14:paraId="09A25B5D" w14:textId="5F3C406B" w:rsidR="00653C5E" w:rsidRPr="00BD177B" w:rsidRDefault="00653C5E" w:rsidP="00653C5E">
      <w:pPr>
        <w:jc w:val="both"/>
      </w:pPr>
      <w:r w:rsidRPr="00BD177B">
        <w:rPr>
          <w:u w:val="single"/>
        </w:rPr>
        <w:t>Ukupne potpore</w:t>
      </w:r>
      <w:r w:rsidRPr="00BD177B">
        <w:t xml:space="preserve"> dodijeljene su u 2024. godini u iznosu od </w:t>
      </w:r>
      <w:r w:rsidR="00BD177B" w:rsidRPr="00BD177B">
        <w:t>1,4 milijarde eura</w:t>
      </w:r>
      <w:r w:rsidRPr="00BD177B">
        <w:t xml:space="preserve">, a najvećim dijelom dodjeljivane su putem subvencija i neposrednih subvencija kamata u iznosu od </w:t>
      </w:r>
      <w:r w:rsidR="00BD177B" w:rsidRPr="00BD177B">
        <w:t xml:space="preserve">1,2 milijarde eura </w:t>
      </w:r>
      <w:r w:rsidRPr="00BD177B">
        <w:t xml:space="preserve">ili s udjelom od 82,8 posto u ukupno dodijeljenim potporama, slijede porezna oslobođenja, izuzeća, oprost poreza i doprinosa i olakšice </w:t>
      </w:r>
      <w:r w:rsidR="009B43B6" w:rsidRPr="00BD177B">
        <w:t>s</w:t>
      </w:r>
      <w:r w:rsidRPr="00BD177B">
        <w:t xml:space="preserve"> 202,</w:t>
      </w:r>
      <w:r w:rsidR="00406C47" w:rsidRPr="00BD177B">
        <w:t>9</w:t>
      </w:r>
      <w:r w:rsidRPr="00BD177B">
        <w:t xml:space="preserve"> milijuna eura ili 14 posto, povoljni zajmovi s 2</w:t>
      </w:r>
      <w:r w:rsidR="00406C47" w:rsidRPr="00BD177B">
        <w:t>4,9</w:t>
      </w:r>
      <w:r w:rsidRPr="00BD177B">
        <w:t xml:space="preserve"> milijuna eura ili 1,7 posto, izdana jamstva s 19,6 milijuna eura ili 1,4 posto te kapitalna ulaganja s 1,7 milijuna eura ili 0,1 posto.</w:t>
      </w:r>
    </w:p>
    <w:p w14:paraId="03609A00" w14:textId="77777777" w:rsidR="00653C5E" w:rsidRPr="00BD177B" w:rsidRDefault="00653C5E" w:rsidP="008C2D7C">
      <w:pPr>
        <w:jc w:val="both"/>
      </w:pPr>
    </w:p>
    <w:p w14:paraId="30ED62CD" w14:textId="77777777" w:rsidR="00653C5E" w:rsidRPr="00BD177B" w:rsidRDefault="00653C5E">
      <w:r w:rsidRPr="00BD177B">
        <w:br w:type="page"/>
      </w:r>
    </w:p>
    <w:p w14:paraId="1064B74B" w14:textId="38C9CDEA" w:rsidR="008C2D7C" w:rsidRPr="00BD177B" w:rsidRDefault="008C2D7C" w:rsidP="008C2D7C">
      <w:pPr>
        <w:jc w:val="both"/>
      </w:pPr>
      <w:r w:rsidRPr="00BD177B">
        <w:lastRenderedPageBreak/>
        <w:t xml:space="preserve">Tablica </w:t>
      </w:r>
      <w:r w:rsidR="00B3287A" w:rsidRPr="00BD177B">
        <w:t>3</w:t>
      </w:r>
      <w:r w:rsidRPr="00BD177B">
        <w:t>. Potpore prema instrumentima dodjele u 202</w:t>
      </w:r>
      <w:r w:rsidR="007D7599" w:rsidRPr="00BD177B">
        <w:t>4</w:t>
      </w:r>
      <w:r w:rsidRPr="00BD177B">
        <w:t xml:space="preserve">. godini (u milijunima </w:t>
      </w:r>
      <w:r w:rsidR="00A84276" w:rsidRPr="00BD177B">
        <w:t>eura</w:t>
      </w:r>
      <w:r w:rsidRPr="00BD177B">
        <w:t>)</w:t>
      </w:r>
    </w:p>
    <w:p w14:paraId="02D87072" w14:textId="77777777" w:rsidR="008C2D7C" w:rsidRPr="00BD177B" w:rsidRDefault="008C2D7C" w:rsidP="008C2D7C">
      <w:pPr>
        <w:contextualSpacing/>
        <w:jc w:val="both"/>
        <w:rPr>
          <w:b/>
          <w:bCs/>
          <w:sz w:val="20"/>
        </w:rPr>
      </w:pPr>
    </w:p>
    <w:tbl>
      <w:tblPr>
        <w:tblW w:w="9166" w:type="dxa"/>
        <w:tblLook w:val="04A0" w:firstRow="1" w:lastRow="0" w:firstColumn="1" w:lastColumn="0" w:noHBand="0" w:noVBand="1"/>
      </w:tblPr>
      <w:tblGrid>
        <w:gridCol w:w="366"/>
        <w:gridCol w:w="308"/>
        <w:gridCol w:w="3432"/>
        <w:gridCol w:w="851"/>
        <w:gridCol w:w="850"/>
        <w:gridCol w:w="851"/>
        <w:gridCol w:w="756"/>
        <w:gridCol w:w="760"/>
        <w:gridCol w:w="992"/>
      </w:tblGrid>
      <w:tr w:rsidR="008C2D7C" w:rsidRPr="00BD177B" w14:paraId="0C1C140E" w14:textId="77777777" w:rsidTr="008606F8">
        <w:trPr>
          <w:trHeight w:val="51"/>
        </w:trPr>
        <w:tc>
          <w:tcPr>
            <w:tcW w:w="4106" w:type="dxa"/>
            <w:gridSpan w:val="3"/>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445E81BB" w14:textId="77777777" w:rsidR="008C2D7C" w:rsidRPr="00BD177B" w:rsidRDefault="008C2D7C" w:rsidP="00842357">
            <w:pPr>
              <w:jc w:val="center"/>
              <w:rPr>
                <w:b/>
                <w:sz w:val="20"/>
                <w:szCs w:val="20"/>
                <w:lang w:eastAsia="hr-HR"/>
              </w:rPr>
            </w:pPr>
            <w:r w:rsidRPr="00BD177B">
              <w:rPr>
                <w:b/>
                <w:sz w:val="20"/>
                <w:szCs w:val="20"/>
                <w:lang w:eastAsia="hr-HR"/>
              </w:rPr>
              <w:t>Kategorija</w:t>
            </w:r>
          </w:p>
        </w:tc>
        <w:tc>
          <w:tcPr>
            <w:tcW w:w="851" w:type="dxa"/>
            <w:tcBorders>
              <w:top w:val="single" w:sz="4" w:space="0" w:color="auto"/>
              <w:left w:val="nil"/>
              <w:bottom w:val="single" w:sz="4" w:space="0" w:color="auto"/>
              <w:right w:val="single" w:sz="4" w:space="0" w:color="auto"/>
            </w:tcBorders>
            <w:shd w:val="clear" w:color="000000" w:fill="FFFF99"/>
            <w:noWrap/>
            <w:vAlign w:val="center"/>
            <w:hideMark/>
          </w:tcPr>
          <w:p w14:paraId="78A3C53D" w14:textId="77777777" w:rsidR="008C2D7C" w:rsidRPr="00BD177B" w:rsidRDefault="008C2D7C" w:rsidP="00842357">
            <w:pPr>
              <w:jc w:val="center"/>
              <w:rPr>
                <w:b/>
                <w:sz w:val="20"/>
                <w:szCs w:val="20"/>
                <w:lang w:eastAsia="hr-HR"/>
              </w:rPr>
            </w:pPr>
            <w:r w:rsidRPr="00BD177B">
              <w:rPr>
                <w:b/>
                <w:sz w:val="20"/>
                <w:szCs w:val="20"/>
                <w:lang w:eastAsia="hr-HR"/>
              </w:rPr>
              <w:t>A1</w:t>
            </w:r>
          </w:p>
        </w:tc>
        <w:tc>
          <w:tcPr>
            <w:tcW w:w="850" w:type="dxa"/>
            <w:tcBorders>
              <w:top w:val="single" w:sz="4" w:space="0" w:color="auto"/>
              <w:left w:val="nil"/>
              <w:bottom w:val="single" w:sz="4" w:space="0" w:color="auto"/>
              <w:right w:val="single" w:sz="4" w:space="0" w:color="auto"/>
            </w:tcBorders>
            <w:shd w:val="clear" w:color="000000" w:fill="FFFF99"/>
            <w:noWrap/>
            <w:vAlign w:val="center"/>
            <w:hideMark/>
          </w:tcPr>
          <w:p w14:paraId="3DD2B1FE" w14:textId="77777777" w:rsidR="008C2D7C" w:rsidRPr="00BD177B" w:rsidRDefault="008C2D7C" w:rsidP="00842357">
            <w:pPr>
              <w:jc w:val="center"/>
              <w:rPr>
                <w:b/>
                <w:sz w:val="20"/>
                <w:szCs w:val="20"/>
                <w:lang w:eastAsia="hr-HR"/>
              </w:rPr>
            </w:pPr>
            <w:r w:rsidRPr="00BD177B">
              <w:rPr>
                <w:b/>
                <w:sz w:val="20"/>
                <w:szCs w:val="20"/>
                <w:lang w:eastAsia="hr-HR"/>
              </w:rPr>
              <w:t>A2</w:t>
            </w:r>
          </w:p>
        </w:tc>
        <w:tc>
          <w:tcPr>
            <w:tcW w:w="851" w:type="dxa"/>
            <w:tcBorders>
              <w:top w:val="single" w:sz="4" w:space="0" w:color="auto"/>
              <w:left w:val="nil"/>
              <w:bottom w:val="single" w:sz="4" w:space="0" w:color="auto"/>
              <w:right w:val="single" w:sz="4" w:space="0" w:color="auto"/>
            </w:tcBorders>
            <w:shd w:val="clear" w:color="000000" w:fill="FFFF99"/>
            <w:noWrap/>
            <w:vAlign w:val="center"/>
            <w:hideMark/>
          </w:tcPr>
          <w:p w14:paraId="5703286D" w14:textId="3165B54B" w:rsidR="008C2D7C" w:rsidRPr="00BD177B" w:rsidRDefault="00C53C8B" w:rsidP="00842357">
            <w:pPr>
              <w:jc w:val="center"/>
              <w:rPr>
                <w:b/>
                <w:sz w:val="20"/>
                <w:szCs w:val="20"/>
                <w:lang w:eastAsia="hr-HR"/>
              </w:rPr>
            </w:pPr>
            <w:r w:rsidRPr="00BD177B">
              <w:rPr>
                <w:b/>
                <w:sz w:val="20"/>
                <w:szCs w:val="20"/>
                <w:lang w:eastAsia="hr-HR"/>
              </w:rPr>
              <w:t>B</w:t>
            </w:r>
          </w:p>
        </w:tc>
        <w:tc>
          <w:tcPr>
            <w:tcW w:w="756" w:type="dxa"/>
            <w:tcBorders>
              <w:top w:val="single" w:sz="4" w:space="0" w:color="auto"/>
              <w:left w:val="nil"/>
              <w:bottom w:val="single" w:sz="4" w:space="0" w:color="auto"/>
              <w:right w:val="single" w:sz="4" w:space="0" w:color="auto"/>
            </w:tcBorders>
            <w:shd w:val="clear" w:color="000000" w:fill="FFFF99"/>
            <w:noWrap/>
            <w:vAlign w:val="center"/>
            <w:hideMark/>
          </w:tcPr>
          <w:p w14:paraId="2F32BE8E" w14:textId="756CAFE9" w:rsidR="008C2D7C" w:rsidRPr="00BD177B" w:rsidRDefault="008C2D7C" w:rsidP="00374990">
            <w:pPr>
              <w:jc w:val="center"/>
              <w:rPr>
                <w:b/>
                <w:sz w:val="20"/>
                <w:szCs w:val="20"/>
                <w:lang w:eastAsia="hr-HR"/>
              </w:rPr>
            </w:pPr>
            <w:r w:rsidRPr="00BD177B">
              <w:rPr>
                <w:b/>
                <w:sz w:val="20"/>
                <w:szCs w:val="20"/>
                <w:lang w:eastAsia="hr-HR"/>
              </w:rPr>
              <w:t>C</w:t>
            </w:r>
          </w:p>
        </w:tc>
        <w:tc>
          <w:tcPr>
            <w:tcW w:w="760" w:type="dxa"/>
            <w:tcBorders>
              <w:top w:val="single" w:sz="4" w:space="0" w:color="auto"/>
              <w:left w:val="nil"/>
              <w:bottom w:val="single" w:sz="4" w:space="0" w:color="auto"/>
              <w:right w:val="nil"/>
            </w:tcBorders>
            <w:shd w:val="clear" w:color="000000" w:fill="FFFF99"/>
            <w:noWrap/>
            <w:vAlign w:val="center"/>
            <w:hideMark/>
          </w:tcPr>
          <w:p w14:paraId="48C52913" w14:textId="77777777" w:rsidR="008C2D7C" w:rsidRPr="00BD177B" w:rsidRDefault="008C2D7C" w:rsidP="00842357">
            <w:pPr>
              <w:jc w:val="center"/>
              <w:rPr>
                <w:b/>
                <w:sz w:val="20"/>
                <w:szCs w:val="20"/>
                <w:lang w:eastAsia="hr-HR"/>
              </w:rPr>
            </w:pPr>
            <w:r w:rsidRPr="00BD177B">
              <w:rPr>
                <w:b/>
                <w:sz w:val="20"/>
                <w:szCs w:val="20"/>
                <w:lang w:eastAsia="hr-HR"/>
              </w:rPr>
              <w:t>D</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EC58F6C" w14:textId="77777777" w:rsidR="008C2D7C" w:rsidRPr="00BD177B" w:rsidRDefault="008C2D7C" w:rsidP="00842357">
            <w:pPr>
              <w:jc w:val="center"/>
              <w:rPr>
                <w:b/>
                <w:bCs/>
                <w:sz w:val="20"/>
                <w:szCs w:val="20"/>
                <w:lang w:eastAsia="hr-HR"/>
              </w:rPr>
            </w:pPr>
            <w:r w:rsidRPr="00BD177B">
              <w:rPr>
                <w:b/>
                <w:bCs/>
                <w:sz w:val="20"/>
                <w:szCs w:val="20"/>
                <w:lang w:eastAsia="hr-HR"/>
              </w:rPr>
              <w:t>Ukupno</w:t>
            </w:r>
          </w:p>
        </w:tc>
      </w:tr>
      <w:tr w:rsidR="008606F8" w:rsidRPr="00BD177B" w14:paraId="26444A16" w14:textId="77777777" w:rsidTr="008606F8">
        <w:trPr>
          <w:trHeight w:val="40"/>
        </w:trPr>
        <w:tc>
          <w:tcPr>
            <w:tcW w:w="366" w:type="dxa"/>
            <w:tcBorders>
              <w:top w:val="nil"/>
              <w:left w:val="single" w:sz="4" w:space="0" w:color="auto"/>
              <w:bottom w:val="single" w:sz="4" w:space="0" w:color="auto"/>
              <w:right w:val="single" w:sz="4" w:space="0" w:color="auto"/>
            </w:tcBorders>
            <w:shd w:val="clear" w:color="auto" w:fill="auto"/>
            <w:noWrap/>
            <w:vAlign w:val="center"/>
            <w:hideMark/>
          </w:tcPr>
          <w:p w14:paraId="2C3A0D31" w14:textId="77777777" w:rsidR="008606F8" w:rsidRPr="00BD177B" w:rsidRDefault="008606F8" w:rsidP="008606F8">
            <w:pPr>
              <w:jc w:val="both"/>
              <w:rPr>
                <w:b/>
                <w:bCs/>
                <w:sz w:val="20"/>
                <w:szCs w:val="20"/>
                <w:lang w:eastAsia="hr-HR"/>
              </w:rPr>
            </w:pPr>
            <w:r w:rsidRPr="00BD177B">
              <w:rPr>
                <w:b/>
                <w:bCs/>
                <w:sz w:val="20"/>
                <w:szCs w:val="20"/>
                <w:lang w:eastAsia="hr-HR"/>
              </w:rPr>
              <w:t>1.</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A18DBCE" w14:textId="77777777" w:rsidR="008606F8" w:rsidRPr="00BD177B" w:rsidRDefault="008606F8" w:rsidP="008606F8">
            <w:pPr>
              <w:jc w:val="both"/>
              <w:rPr>
                <w:b/>
                <w:bCs/>
                <w:i/>
                <w:iCs/>
                <w:sz w:val="20"/>
                <w:szCs w:val="20"/>
                <w:lang w:eastAsia="hr-HR"/>
              </w:rPr>
            </w:pPr>
            <w:r w:rsidRPr="00BD177B">
              <w:rPr>
                <w:b/>
                <w:bCs/>
                <w:i/>
                <w:iCs/>
                <w:sz w:val="20"/>
                <w:szCs w:val="20"/>
                <w:lang w:eastAsia="hr-HR"/>
              </w:rPr>
              <w:t>Poljoprivreda i ribarstvo</w:t>
            </w:r>
          </w:p>
        </w:tc>
        <w:tc>
          <w:tcPr>
            <w:tcW w:w="851" w:type="dxa"/>
            <w:tcBorders>
              <w:top w:val="nil"/>
              <w:left w:val="nil"/>
              <w:bottom w:val="nil"/>
              <w:right w:val="nil"/>
            </w:tcBorders>
            <w:shd w:val="clear" w:color="auto" w:fill="auto"/>
            <w:noWrap/>
            <w:vAlign w:val="center"/>
          </w:tcPr>
          <w:p w14:paraId="36B540DB" w14:textId="44865D25"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62,0</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285F549" w14:textId="0DD85E3F"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66,2</w:t>
            </w:r>
          </w:p>
        </w:tc>
        <w:tc>
          <w:tcPr>
            <w:tcW w:w="851" w:type="dxa"/>
            <w:tcBorders>
              <w:top w:val="nil"/>
              <w:left w:val="nil"/>
              <w:bottom w:val="single" w:sz="4" w:space="0" w:color="auto"/>
              <w:right w:val="single" w:sz="4" w:space="0" w:color="auto"/>
            </w:tcBorders>
            <w:shd w:val="clear" w:color="auto" w:fill="auto"/>
            <w:noWrap/>
            <w:vAlign w:val="center"/>
          </w:tcPr>
          <w:p w14:paraId="481FE8A8" w14:textId="513309F3" w:rsidR="008606F8" w:rsidRPr="00BD177B" w:rsidRDefault="008606F8" w:rsidP="008606F8">
            <w:pPr>
              <w:jc w:val="right"/>
              <w:rPr>
                <w:rFonts w:eastAsia="Times New Roman"/>
                <w:b/>
                <w:bCs/>
                <w:sz w:val="20"/>
                <w:szCs w:val="20"/>
                <w:lang w:eastAsia="hr-HR"/>
              </w:rPr>
            </w:pPr>
            <w:r w:rsidRPr="00BD177B">
              <w:rPr>
                <w:b/>
                <w:sz w:val="20"/>
              </w:rPr>
              <w:t>–</w:t>
            </w:r>
          </w:p>
        </w:tc>
        <w:tc>
          <w:tcPr>
            <w:tcW w:w="756" w:type="dxa"/>
            <w:tcBorders>
              <w:top w:val="nil"/>
              <w:left w:val="nil"/>
              <w:bottom w:val="single" w:sz="4" w:space="0" w:color="auto"/>
              <w:right w:val="single" w:sz="4" w:space="0" w:color="auto"/>
            </w:tcBorders>
            <w:shd w:val="clear" w:color="auto" w:fill="auto"/>
            <w:noWrap/>
            <w:vAlign w:val="center"/>
          </w:tcPr>
          <w:p w14:paraId="0B2D4788" w14:textId="71AF169A" w:rsidR="008606F8" w:rsidRPr="00BD177B" w:rsidRDefault="008606F8" w:rsidP="008606F8">
            <w:pPr>
              <w:jc w:val="right"/>
              <w:rPr>
                <w:rFonts w:eastAsia="Times New Roman"/>
                <w:b/>
                <w:bCs/>
                <w:sz w:val="20"/>
                <w:szCs w:val="20"/>
                <w:lang w:eastAsia="hr-HR"/>
              </w:rPr>
            </w:pPr>
            <w:r w:rsidRPr="00BD177B">
              <w:rPr>
                <w:b/>
                <w:sz w:val="20"/>
              </w:rPr>
              <w:t>–</w:t>
            </w:r>
          </w:p>
        </w:tc>
        <w:tc>
          <w:tcPr>
            <w:tcW w:w="760" w:type="dxa"/>
            <w:tcBorders>
              <w:top w:val="nil"/>
              <w:left w:val="nil"/>
              <w:bottom w:val="single" w:sz="4" w:space="0" w:color="auto"/>
              <w:right w:val="single" w:sz="4" w:space="0" w:color="auto"/>
            </w:tcBorders>
            <w:shd w:val="clear" w:color="auto" w:fill="auto"/>
            <w:noWrap/>
            <w:vAlign w:val="center"/>
          </w:tcPr>
          <w:p w14:paraId="631DDF5B" w14:textId="40FBD7A4" w:rsidR="008606F8" w:rsidRPr="00BD177B" w:rsidRDefault="008606F8" w:rsidP="008606F8">
            <w:pPr>
              <w:jc w:val="right"/>
              <w:rPr>
                <w:rFonts w:eastAsia="Times New Roman"/>
                <w:b/>
                <w:bCs/>
                <w:sz w:val="20"/>
                <w:szCs w:val="20"/>
                <w:lang w:eastAsia="hr-HR"/>
              </w:rPr>
            </w:pPr>
            <w:r w:rsidRPr="00BD177B">
              <w:rPr>
                <w:b/>
                <w:sz w:val="20"/>
              </w:rPr>
              <w:t>–</w:t>
            </w:r>
          </w:p>
        </w:tc>
        <w:tc>
          <w:tcPr>
            <w:tcW w:w="992" w:type="dxa"/>
            <w:tcBorders>
              <w:top w:val="nil"/>
              <w:left w:val="nil"/>
              <w:bottom w:val="single" w:sz="4" w:space="0" w:color="auto"/>
              <w:right w:val="single" w:sz="4" w:space="0" w:color="auto"/>
            </w:tcBorders>
            <w:shd w:val="clear" w:color="auto" w:fill="auto"/>
            <w:noWrap/>
            <w:vAlign w:val="center"/>
          </w:tcPr>
          <w:p w14:paraId="0C0E93AF" w14:textId="320B3169"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128,2</w:t>
            </w:r>
          </w:p>
        </w:tc>
      </w:tr>
      <w:tr w:rsidR="008606F8" w:rsidRPr="00BD177B" w14:paraId="21E71EB4" w14:textId="77777777" w:rsidTr="008606F8">
        <w:trPr>
          <w:trHeight w:val="51"/>
        </w:trPr>
        <w:tc>
          <w:tcPr>
            <w:tcW w:w="366" w:type="dxa"/>
            <w:tcBorders>
              <w:top w:val="nil"/>
              <w:left w:val="single" w:sz="4" w:space="0" w:color="auto"/>
              <w:bottom w:val="single" w:sz="4" w:space="0" w:color="auto"/>
              <w:right w:val="single" w:sz="4" w:space="0" w:color="auto"/>
            </w:tcBorders>
            <w:shd w:val="clear" w:color="auto" w:fill="auto"/>
            <w:noWrap/>
            <w:vAlign w:val="center"/>
            <w:hideMark/>
          </w:tcPr>
          <w:p w14:paraId="24DAF999" w14:textId="77777777" w:rsidR="008606F8" w:rsidRPr="00BD177B" w:rsidRDefault="008606F8" w:rsidP="008606F8">
            <w:pPr>
              <w:jc w:val="both"/>
              <w:rPr>
                <w:b/>
                <w:bCs/>
                <w:sz w:val="20"/>
                <w:szCs w:val="20"/>
                <w:lang w:eastAsia="hr-HR"/>
              </w:rPr>
            </w:pPr>
            <w:r w:rsidRPr="00BD177B">
              <w:rPr>
                <w:b/>
                <w:bCs/>
                <w:sz w:val="20"/>
                <w:szCs w:val="20"/>
                <w:lang w:eastAsia="hr-HR"/>
              </w:rPr>
              <w:t>2.</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7FA6209E" w14:textId="77777777" w:rsidR="008606F8" w:rsidRPr="00BD177B" w:rsidRDefault="008606F8" w:rsidP="008606F8">
            <w:pPr>
              <w:jc w:val="both"/>
              <w:rPr>
                <w:b/>
                <w:bCs/>
                <w:i/>
                <w:iCs/>
                <w:sz w:val="20"/>
                <w:szCs w:val="20"/>
                <w:lang w:eastAsia="hr-HR"/>
              </w:rPr>
            </w:pPr>
            <w:r w:rsidRPr="00BD177B">
              <w:rPr>
                <w:b/>
                <w:bCs/>
                <w:i/>
                <w:iCs/>
                <w:sz w:val="20"/>
                <w:szCs w:val="20"/>
                <w:lang w:eastAsia="hr-HR"/>
              </w:rPr>
              <w:t>Industrija i usluge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E5CE3" w14:textId="32034556"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1.138,0</w:t>
            </w:r>
          </w:p>
        </w:tc>
        <w:tc>
          <w:tcPr>
            <w:tcW w:w="850" w:type="dxa"/>
            <w:tcBorders>
              <w:top w:val="nil"/>
              <w:left w:val="nil"/>
              <w:bottom w:val="single" w:sz="4" w:space="0" w:color="auto"/>
              <w:right w:val="single" w:sz="4" w:space="0" w:color="auto"/>
            </w:tcBorders>
            <w:shd w:val="clear" w:color="auto" w:fill="auto"/>
            <w:noWrap/>
            <w:vAlign w:val="center"/>
          </w:tcPr>
          <w:p w14:paraId="2A7E4450" w14:textId="6B0E9A6F"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136,7</w:t>
            </w:r>
          </w:p>
        </w:tc>
        <w:tc>
          <w:tcPr>
            <w:tcW w:w="851" w:type="dxa"/>
            <w:tcBorders>
              <w:top w:val="nil"/>
              <w:left w:val="nil"/>
              <w:bottom w:val="single" w:sz="4" w:space="0" w:color="auto"/>
              <w:right w:val="single" w:sz="4" w:space="0" w:color="auto"/>
            </w:tcBorders>
            <w:shd w:val="clear" w:color="auto" w:fill="auto"/>
            <w:noWrap/>
            <w:vAlign w:val="center"/>
          </w:tcPr>
          <w:p w14:paraId="490F6E5B" w14:textId="141A533F"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1,7</w:t>
            </w:r>
          </w:p>
        </w:tc>
        <w:tc>
          <w:tcPr>
            <w:tcW w:w="756" w:type="dxa"/>
            <w:tcBorders>
              <w:top w:val="nil"/>
              <w:left w:val="nil"/>
              <w:bottom w:val="single" w:sz="4" w:space="0" w:color="auto"/>
              <w:right w:val="single" w:sz="4" w:space="0" w:color="auto"/>
            </w:tcBorders>
            <w:shd w:val="clear" w:color="auto" w:fill="auto"/>
            <w:noWrap/>
            <w:vAlign w:val="center"/>
          </w:tcPr>
          <w:p w14:paraId="700962DC" w14:textId="2AB5C483"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w:t>
            </w:r>
            <w:r w:rsidR="004A7564" w:rsidRPr="00BD177B">
              <w:rPr>
                <w:rFonts w:eastAsia="Times New Roman"/>
                <w:b/>
                <w:bCs/>
                <w:sz w:val="20"/>
                <w:szCs w:val="20"/>
                <w:lang w:eastAsia="hr-HR"/>
              </w:rPr>
              <w:t>4</w:t>
            </w:r>
            <w:r w:rsidRPr="00BD177B">
              <w:rPr>
                <w:rFonts w:eastAsia="Times New Roman"/>
                <w:b/>
                <w:bCs/>
                <w:sz w:val="20"/>
                <w:szCs w:val="20"/>
                <w:lang w:eastAsia="hr-HR"/>
              </w:rPr>
              <w:t>,</w:t>
            </w:r>
            <w:r w:rsidR="004A7564" w:rsidRPr="00BD177B">
              <w:rPr>
                <w:rFonts w:eastAsia="Times New Roman"/>
                <w:b/>
                <w:bCs/>
                <w:sz w:val="20"/>
                <w:szCs w:val="20"/>
                <w:lang w:eastAsia="hr-HR"/>
              </w:rPr>
              <w:t>9</w:t>
            </w:r>
          </w:p>
        </w:tc>
        <w:tc>
          <w:tcPr>
            <w:tcW w:w="760" w:type="dxa"/>
            <w:tcBorders>
              <w:top w:val="nil"/>
              <w:left w:val="nil"/>
              <w:bottom w:val="single" w:sz="4" w:space="0" w:color="auto"/>
              <w:right w:val="single" w:sz="4" w:space="0" w:color="auto"/>
            </w:tcBorders>
            <w:shd w:val="clear" w:color="auto" w:fill="auto"/>
            <w:noWrap/>
            <w:vAlign w:val="center"/>
          </w:tcPr>
          <w:p w14:paraId="33228EE7" w14:textId="4ACDD1F7"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19,6</w:t>
            </w:r>
          </w:p>
        </w:tc>
        <w:tc>
          <w:tcPr>
            <w:tcW w:w="992" w:type="dxa"/>
            <w:tcBorders>
              <w:top w:val="nil"/>
              <w:left w:val="nil"/>
              <w:bottom w:val="single" w:sz="4" w:space="0" w:color="auto"/>
              <w:right w:val="single" w:sz="4" w:space="0" w:color="auto"/>
            </w:tcBorders>
            <w:shd w:val="clear" w:color="auto" w:fill="auto"/>
            <w:noWrap/>
            <w:vAlign w:val="center"/>
          </w:tcPr>
          <w:p w14:paraId="4FD10CDB" w14:textId="66E2B3C7"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1.32</w:t>
            </w:r>
            <w:r w:rsidR="004A7564" w:rsidRPr="00BD177B">
              <w:rPr>
                <w:rFonts w:eastAsia="Times New Roman"/>
                <w:b/>
                <w:bCs/>
                <w:sz w:val="20"/>
                <w:szCs w:val="20"/>
                <w:lang w:eastAsia="hr-HR"/>
              </w:rPr>
              <w:t>0</w:t>
            </w:r>
            <w:r w:rsidRPr="00BD177B">
              <w:rPr>
                <w:rFonts w:eastAsia="Times New Roman"/>
                <w:b/>
                <w:bCs/>
                <w:sz w:val="20"/>
                <w:szCs w:val="20"/>
                <w:lang w:eastAsia="hr-HR"/>
              </w:rPr>
              <w:t>,</w:t>
            </w:r>
            <w:r w:rsidR="004A7564" w:rsidRPr="00BD177B">
              <w:rPr>
                <w:rFonts w:eastAsia="Times New Roman"/>
                <w:b/>
                <w:bCs/>
                <w:sz w:val="20"/>
                <w:szCs w:val="20"/>
                <w:lang w:eastAsia="hr-HR"/>
              </w:rPr>
              <w:t>9</w:t>
            </w:r>
          </w:p>
        </w:tc>
      </w:tr>
      <w:tr w:rsidR="008606F8" w:rsidRPr="00BD177B" w14:paraId="5B37CCA5" w14:textId="77777777" w:rsidTr="008606F8">
        <w:trPr>
          <w:trHeight w:val="47"/>
        </w:trPr>
        <w:tc>
          <w:tcPr>
            <w:tcW w:w="366" w:type="dxa"/>
            <w:tcBorders>
              <w:top w:val="nil"/>
              <w:left w:val="single" w:sz="4" w:space="0" w:color="auto"/>
              <w:bottom w:val="nil"/>
              <w:right w:val="single" w:sz="4" w:space="0" w:color="auto"/>
            </w:tcBorders>
            <w:shd w:val="clear" w:color="auto" w:fill="auto"/>
            <w:noWrap/>
            <w:vAlign w:val="center"/>
          </w:tcPr>
          <w:p w14:paraId="3A919D82" w14:textId="637F3BE1" w:rsidR="008606F8" w:rsidRPr="00BD177B" w:rsidRDefault="008606F8" w:rsidP="008606F8">
            <w:pPr>
              <w:jc w:val="both"/>
              <w:rPr>
                <w:b/>
                <w:bCs/>
                <w:sz w:val="20"/>
                <w:szCs w:val="20"/>
                <w:lang w:eastAsia="hr-HR"/>
              </w:rPr>
            </w:pPr>
          </w:p>
        </w:tc>
        <w:tc>
          <w:tcPr>
            <w:tcW w:w="3740" w:type="dxa"/>
            <w:gridSpan w:val="2"/>
            <w:tcBorders>
              <w:top w:val="single" w:sz="4" w:space="0" w:color="auto"/>
              <w:left w:val="nil"/>
              <w:bottom w:val="single" w:sz="4" w:space="0" w:color="auto"/>
              <w:right w:val="single" w:sz="4" w:space="0" w:color="000000"/>
            </w:tcBorders>
            <w:shd w:val="clear" w:color="auto" w:fill="auto"/>
            <w:vAlign w:val="center"/>
            <w:hideMark/>
          </w:tcPr>
          <w:p w14:paraId="7F544DF4" w14:textId="77777777" w:rsidR="008606F8" w:rsidRPr="00BD177B" w:rsidRDefault="008606F8" w:rsidP="008606F8">
            <w:pPr>
              <w:jc w:val="both"/>
              <w:rPr>
                <w:b/>
                <w:bCs/>
                <w:i/>
                <w:iCs/>
                <w:sz w:val="20"/>
                <w:szCs w:val="20"/>
                <w:lang w:eastAsia="hr-HR"/>
              </w:rPr>
            </w:pPr>
            <w:r w:rsidRPr="00BD177B">
              <w:rPr>
                <w:b/>
                <w:bCs/>
                <w:i/>
                <w:iCs/>
                <w:sz w:val="20"/>
                <w:szCs w:val="20"/>
                <w:lang w:eastAsia="hr-HR"/>
              </w:rPr>
              <w:t>Horizontalni ciljevi</w:t>
            </w:r>
          </w:p>
        </w:tc>
        <w:tc>
          <w:tcPr>
            <w:tcW w:w="851" w:type="dxa"/>
            <w:tcBorders>
              <w:top w:val="nil"/>
              <w:left w:val="nil"/>
              <w:bottom w:val="single" w:sz="4" w:space="0" w:color="auto"/>
              <w:right w:val="single" w:sz="4" w:space="0" w:color="auto"/>
            </w:tcBorders>
            <w:shd w:val="clear" w:color="auto" w:fill="auto"/>
            <w:noWrap/>
            <w:vAlign w:val="center"/>
          </w:tcPr>
          <w:p w14:paraId="603F7FA7" w14:textId="054C7742"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21</w:t>
            </w:r>
            <w:r w:rsidR="004A7564" w:rsidRPr="00BD177B">
              <w:rPr>
                <w:rFonts w:eastAsia="Times New Roman"/>
                <w:b/>
                <w:bCs/>
                <w:sz w:val="20"/>
                <w:szCs w:val="20"/>
                <w:lang w:eastAsia="hr-HR"/>
              </w:rPr>
              <w:t>2,9</w:t>
            </w:r>
          </w:p>
        </w:tc>
        <w:tc>
          <w:tcPr>
            <w:tcW w:w="850" w:type="dxa"/>
            <w:tcBorders>
              <w:top w:val="nil"/>
              <w:left w:val="nil"/>
              <w:bottom w:val="single" w:sz="4" w:space="0" w:color="auto"/>
              <w:right w:val="single" w:sz="4" w:space="0" w:color="auto"/>
            </w:tcBorders>
            <w:shd w:val="clear" w:color="auto" w:fill="auto"/>
            <w:noWrap/>
            <w:vAlign w:val="center"/>
          </w:tcPr>
          <w:p w14:paraId="7F1106CD" w14:textId="6D0BE8DE" w:rsidR="008606F8" w:rsidRPr="00BD177B" w:rsidRDefault="008606F8" w:rsidP="008606F8">
            <w:pPr>
              <w:jc w:val="right"/>
              <w:rPr>
                <w:b/>
                <w:sz w:val="20"/>
                <w:szCs w:val="20"/>
              </w:rPr>
            </w:pPr>
            <w:r w:rsidRPr="00BD177B">
              <w:rPr>
                <w:b/>
                <w:sz w:val="20"/>
              </w:rPr>
              <w:t>–</w:t>
            </w:r>
          </w:p>
        </w:tc>
        <w:tc>
          <w:tcPr>
            <w:tcW w:w="851" w:type="dxa"/>
            <w:tcBorders>
              <w:top w:val="nil"/>
              <w:left w:val="nil"/>
              <w:bottom w:val="single" w:sz="4" w:space="0" w:color="auto"/>
              <w:right w:val="single" w:sz="4" w:space="0" w:color="auto"/>
            </w:tcBorders>
            <w:shd w:val="clear" w:color="auto" w:fill="auto"/>
            <w:noWrap/>
            <w:vAlign w:val="center"/>
          </w:tcPr>
          <w:p w14:paraId="4B3EDE35" w14:textId="5964DC90" w:rsidR="008606F8" w:rsidRPr="00BD177B" w:rsidRDefault="008606F8" w:rsidP="008606F8">
            <w:pPr>
              <w:jc w:val="right"/>
              <w:rPr>
                <w:b/>
                <w:sz w:val="20"/>
                <w:szCs w:val="20"/>
              </w:rPr>
            </w:pPr>
            <w:r w:rsidRPr="00BD177B">
              <w:rPr>
                <w:b/>
                <w:sz w:val="20"/>
              </w:rPr>
              <w:t>–</w:t>
            </w:r>
          </w:p>
        </w:tc>
        <w:tc>
          <w:tcPr>
            <w:tcW w:w="756" w:type="dxa"/>
            <w:tcBorders>
              <w:top w:val="nil"/>
              <w:left w:val="nil"/>
              <w:bottom w:val="single" w:sz="4" w:space="0" w:color="auto"/>
              <w:right w:val="single" w:sz="4" w:space="0" w:color="auto"/>
            </w:tcBorders>
            <w:shd w:val="clear" w:color="auto" w:fill="auto"/>
            <w:noWrap/>
            <w:vAlign w:val="center"/>
          </w:tcPr>
          <w:p w14:paraId="45DF7B48" w14:textId="13585234"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0,6</w:t>
            </w:r>
          </w:p>
        </w:tc>
        <w:tc>
          <w:tcPr>
            <w:tcW w:w="760" w:type="dxa"/>
            <w:tcBorders>
              <w:top w:val="nil"/>
              <w:left w:val="nil"/>
              <w:bottom w:val="single" w:sz="4" w:space="0" w:color="auto"/>
              <w:right w:val="single" w:sz="4" w:space="0" w:color="auto"/>
            </w:tcBorders>
            <w:shd w:val="clear" w:color="auto" w:fill="auto"/>
            <w:noWrap/>
            <w:vAlign w:val="center"/>
          </w:tcPr>
          <w:p w14:paraId="298965CE" w14:textId="2A60F51A" w:rsidR="008606F8" w:rsidRPr="00BD177B" w:rsidRDefault="008606F8" w:rsidP="008606F8">
            <w:pPr>
              <w:jc w:val="right"/>
              <w:rPr>
                <w:rFonts w:eastAsia="Times New Roman"/>
                <w:b/>
                <w:bCs/>
                <w:sz w:val="20"/>
                <w:szCs w:val="20"/>
                <w:lang w:eastAsia="hr-HR"/>
              </w:rPr>
            </w:pPr>
            <w:r w:rsidRPr="00BD177B">
              <w:rPr>
                <w:b/>
                <w:sz w:val="20"/>
              </w:rPr>
              <w:t>–</w:t>
            </w:r>
          </w:p>
        </w:tc>
        <w:tc>
          <w:tcPr>
            <w:tcW w:w="992" w:type="dxa"/>
            <w:tcBorders>
              <w:top w:val="nil"/>
              <w:left w:val="nil"/>
              <w:bottom w:val="single" w:sz="4" w:space="0" w:color="auto"/>
              <w:right w:val="single" w:sz="4" w:space="0" w:color="auto"/>
            </w:tcBorders>
            <w:shd w:val="clear" w:color="auto" w:fill="auto"/>
            <w:noWrap/>
            <w:vAlign w:val="center"/>
          </w:tcPr>
          <w:p w14:paraId="171351DA" w14:textId="4FA7CD6E"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213,</w:t>
            </w:r>
            <w:r w:rsidR="004A7564" w:rsidRPr="00BD177B">
              <w:rPr>
                <w:rFonts w:eastAsia="Times New Roman"/>
                <w:b/>
                <w:bCs/>
                <w:sz w:val="20"/>
                <w:szCs w:val="20"/>
                <w:lang w:eastAsia="hr-HR"/>
              </w:rPr>
              <w:t>5</w:t>
            </w:r>
          </w:p>
        </w:tc>
      </w:tr>
      <w:tr w:rsidR="008606F8" w:rsidRPr="00BD177B" w14:paraId="1C959D77"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06B2B57B" w14:textId="232920F3"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10E8D381" w14:textId="0289B6F2"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4F06A898" w14:textId="77777777" w:rsidR="008606F8" w:rsidRPr="00BD177B" w:rsidRDefault="008606F8" w:rsidP="008606F8">
            <w:pPr>
              <w:jc w:val="both"/>
              <w:rPr>
                <w:sz w:val="20"/>
                <w:szCs w:val="20"/>
                <w:lang w:eastAsia="hr-HR"/>
              </w:rPr>
            </w:pPr>
            <w:r w:rsidRPr="00BD177B">
              <w:rPr>
                <w:sz w:val="20"/>
                <w:szCs w:val="20"/>
                <w:lang w:eastAsia="hr-HR"/>
              </w:rPr>
              <w:t>Istraživanje i razvoj i inovacije</w:t>
            </w:r>
          </w:p>
        </w:tc>
        <w:tc>
          <w:tcPr>
            <w:tcW w:w="851" w:type="dxa"/>
            <w:tcBorders>
              <w:top w:val="nil"/>
              <w:left w:val="nil"/>
              <w:bottom w:val="single" w:sz="4" w:space="0" w:color="auto"/>
              <w:right w:val="single" w:sz="4" w:space="0" w:color="auto"/>
            </w:tcBorders>
            <w:shd w:val="clear" w:color="auto" w:fill="auto"/>
            <w:noWrap/>
            <w:vAlign w:val="center"/>
          </w:tcPr>
          <w:p w14:paraId="4D7EB9EB" w14:textId="5C98A253"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160,4</w:t>
            </w:r>
          </w:p>
        </w:tc>
        <w:tc>
          <w:tcPr>
            <w:tcW w:w="850" w:type="dxa"/>
            <w:tcBorders>
              <w:top w:val="nil"/>
              <w:left w:val="nil"/>
              <w:bottom w:val="single" w:sz="4" w:space="0" w:color="auto"/>
              <w:right w:val="single" w:sz="4" w:space="0" w:color="auto"/>
            </w:tcBorders>
            <w:shd w:val="clear" w:color="auto" w:fill="auto"/>
            <w:noWrap/>
            <w:vAlign w:val="center"/>
          </w:tcPr>
          <w:p w14:paraId="11AF3907" w14:textId="3FCC4D34"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0A2B6E0E" w14:textId="363B8A22"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3F29BE84" w14:textId="55223157"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3F7EA6F8" w14:textId="128FC419"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78D849D6" w14:textId="4CE9BB13"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160,4</w:t>
            </w:r>
          </w:p>
        </w:tc>
      </w:tr>
      <w:tr w:rsidR="008606F8" w:rsidRPr="00BD177B" w14:paraId="52C199F3"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32C6A87C" w14:textId="7BE1C791"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0A3A771D" w14:textId="783C037B"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7FF853BF" w14:textId="77777777" w:rsidR="008606F8" w:rsidRPr="00BD177B" w:rsidRDefault="008606F8" w:rsidP="008606F8">
            <w:pPr>
              <w:jc w:val="both"/>
              <w:rPr>
                <w:sz w:val="20"/>
                <w:szCs w:val="20"/>
                <w:lang w:eastAsia="hr-HR"/>
              </w:rPr>
            </w:pPr>
            <w:r w:rsidRPr="00BD177B">
              <w:rPr>
                <w:sz w:val="20"/>
                <w:szCs w:val="20"/>
                <w:lang w:eastAsia="hr-HR"/>
              </w:rPr>
              <w:t>Zapošljavanje</w:t>
            </w:r>
          </w:p>
        </w:tc>
        <w:tc>
          <w:tcPr>
            <w:tcW w:w="851" w:type="dxa"/>
            <w:tcBorders>
              <w:top w:val="nil"/>
              <w:left w:val="nil"/>
              <w:bottom w:val="single" w:sz="4" w:space="0" w:color="auto"/>
              <w:right w:val="single" w:sz="4" w:space="0" w:color="auto"/>
            </w:tcBorders>
            <w:shd w:val="clear" w:color="auto" w:fill="auto"/>
            <w:noWrap/>
            <w:vAlign w:val="center"/>
          </w:tcPr>
          <w:p w14:paraId="74B1B9C6" w14:textId="39E1DE75"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39,0</w:t>
            </w:r>
          </w:p>
        </w:tc>
        <w:tc>
          <w:tcPr>
            <w:tcW w:w="850" w:type="dxa"/>
            <w:tcBorders>
              <w:top w:val="nil"/>
              <w:left w:val="nil"/>
              <w:bottom w:val="single" w:sz="4" w:space="0" w:color="auto"/>
              <w:right w:val="single" w:sz="4" w:space="0" w:color="auto"/>
            </w:tcBorders>
            <w:shd w:val="clear" w:color="auto" w:fill="auto"/>
            <w:noWrap/>
            <w:vAlign w:val="center"/>
          </w:tcPr>
          <w:p w14:paraId="6130D6A4" w14:textId="5E596219"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29A73935" w14:textId="18F89B0E"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0F4A61C0" w14:textId="72A9BB26"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3394BEC5" w14:textId="573FE3B8"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6C6751FF" w14:textId="048EE329"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39,0</w:t>
            </w:r>
          </w:p>
        </w:tc>
      </w:tr>
      <w:tr w:rsidR="008606F8" w:rsidRPr="00BD177B" w14:paraId="029E7AB0"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683BD1EC" w14:textId="77777777"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59F131FC" w14:textId="77777777"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tcPr>
          <w:p w14:paraId="151775EE" w14:textId="77777777" w:rsidR="008606F8" w:rsidRPr="00BD177B" w:rsidRDefault="008606F8" w:rsidP="008606F8">
            <w:pPr>
              <w:jc w:val="both"/>
              <w:rPr>
                <w:sz w:val="20"/>
                <w:szCs w:val="20"/>
                <w:lang w:eastAsia="hr-HR"/>
              </w:rPr>
            </w:pPr>
            <w:r w:rsidRPr="00BD177B">
              <w:rPr>
                <w:sz w:val="20"/>
                <w:szCs w:val="20"/>
              </w:rPr>
              <w:t>Usavršavanje</w:t>
            </w:r>
          </w:p>
        </w:tc>
        <w:tc>
          <w:tcPr>
            <w:tcW w:w="851" w:type="dxa"/>
            <w:tcBorders>
              <w:top w:val="nil"/>
              <w:left w:val="nil"/>
              <w:bottom w:val="single" w:sz="4" w:space="0" w:color="auto"/>
              <w:right w:val="single" w:sz="4" w:space="0" w:color="auto"/>
            </w:tcBorders>
            <w:shd w:val="clear" w:color="auto" w:fill="auto"/>
            <w:noWrap/>
            <w:vAlign w:val="center"/>
          </w:tcPr>
          <w:p w14:paraId="4013D5B9" w14:textId="28DC82F0"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0,8</w:t>
            </w:r>
          </w:p>
        </w:tc>
        <w:tc>
          <w:tcPr>
            <w:tcW w:w="850" w:type="dxa"/>
            <w:tcBorders>
              <w:top w:val="nil"/>
              <w:left w:val="nil"/>
              <w:bottom w:val="single" w:sz="4" w:space="0" w:color="auto"/>
              <w:right w:val="single" w:sz="4" w:space="0" w:color="auto"/>
            </w:tcBorders>
            <w:shd w:val="clear" w:color="auto" w:fill="auto"/>
            <w:noWrap/>
            <w:vAlign w:val="center"/>
          </w:tcPr>
          <w:p w14:paraId="53FADEC4" w14:textId="1AF843BD"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5A40E6C2" w14:textId="6DF50344"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06E18D5A" w14:textId="115A69B4"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15F86640" w14:textId="3EABCDBF"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757773B2" w14:textId="787A0DBF"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0,8</w:t>
            </w:r>
          </w:p>
        </w:tc>
      </w:tr>
      <w:tr w:rsidR="008606F8" w:rsidRPr="00BD177B" w14:paraId="103126CC"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14D571B4" w14:textId="1FB1F5D9"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5B77CFF9" w14:textId="315E6DEA"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1E725C2D" w14:textId="77777777" w:rsidR="008606F8" w:rsidRPr="00BD177B" w:rsidRDefault="008606F8" w:rsidP="008606F8">
            <w:pPr>
              <w:jc w:val="both"/>
              <w:rPr>
                <w:sz w:val="20"/>
                <w:szCs w:val="20"/>
                <w:lang w:eastAsia="hr-HR"/>
              </w:rPr>
            </w:pPr>
            <w:r w:rsidRPr="00BD177B">
              <w:rPr>
                <w:sz w:val="20"/>
                <w:szCs w:val="20"/>
                <w:lang w:eastAsia="hr-HR"/>
              </w:rPr>
              <w:t>Mali i srednji poduzetnici</w:t>
            </w:r>
          </w:p>
        </w:tc>
        <w:tc>
          <w:tcPr>
            <w:tcW w:w="851" w:type="dxa"/>
            <w:tcBorders>
              <w:top w:val="nil"/>
              <w:left w:val="nil"/>
              <w:bottom w:val="single" w:sz="4" w:space="0" w:color="auto"/>
              <w:right w:val="single" w:sz="4" w:space="0" w:color="auto"/>
            </w:tcBorders>
            <w:shd w:val="clear" w:color="auto" w:fill="auto"/>
            <w:noWrap/>
            <w:vAlign w:val="center"/>
          </w:tcPr>
          <w:p w14:paraId="2446E039" w14:textId="524CD405" w:rsidR="008606F8" w:rsidRPr="00BD177B" w:rsidRDefault="008606F8" w:rsidP="004A7564">
            <w:pPr>
              <w:jc w:val="right"/>
              <w:rPr>
                <w:rFonts w:eastAsia="Times New Roman"/>
                <w:sz w:val="20"/>
                <w:szCs w:val="20"/>
                <w:lang w:eastAsia="hr-HR"/>
              </w:rPr>
            </w:pPr>
            <w:r w:rsidRPr="00BD177B">
              <w:rPr>
                <w:rFonts w:eastAsia="Times New Roman"/>
                <w:sz w:val="20"/>
                <w:szCs w:val="20"/>
                <w:lang w:eastAsia="hr-HR"/>
              </w:rPr>
              <w:t>9,</w:t>
            </w:r>
            <w:r w:rsidR="004A7564" w:rsidRPr="00BD177B">
              <w:rPr>
                <w:rFonts w:eastAsia="Times New Roman"/>
                <w:sz w:val="20"/>
                <w:szCs w:val="20"/>
                <w:lang w:eastAsia="hr-HR"/>
              </w:rPr>
              <w:t>6</w:t>
            </w:r>
          </w:p>
        </w:tc>
        <w:tc>
          <w:tcPr>
            <w:tcW w:w="850" w:type="dxa"/>
            <w:tcBorders>
              <w:top w:val="nil"/>
              <w:left w:val="nil"/>
              <w:bottom w:val="single" w:sz="4" w:space="0" w:color="auto"/>
              <w:right w:val="single" w:sz="4" w:space="0" w:color="auto"/>
            </w:tcBorders>
            <w:shd w:val="clear" w:color="auto" w:fill="auto"/>
            <w:noWrap/>
            <w:vAlign w:val="center"/>
          </w:tcPr>
          <w:p w14:paraId="4E14B52F" w14:textId="4105AA9F"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0B77BB0C" w14:textId="5C61EE3F"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0B4F6F37" w14:textId="2B63D2C7"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0,6</w:t>
            </w:r>
          </w:p>
        </w:tc>
        <w:tc>
          <w:tcPr>
            <w:tcW w:w="760" w:type="dxa"/>
            <w:tcBorders>
              <w:top w:val="nil"/>
              <w:left w:val="nil"/>
              <w:bottom w:val="single" w:sz="4" w:space="0" w:color="auto"/>
              <w:right w:val="single" w:sz="4" w:space="0" w:color="auto"/>
            </w:tcBorders>
            <w:shd w:val="clear" w:color="auto" w:fill="auto"/>
            <w:noWrap/>
            <w:vAlign w:val="center"/>
          </w:tcPr>
          <w:p w14:paraId="016A38C6" w14:textId="1FA9E920" w:rsidR="008606F8" w:rsidRPr="00BD177B" w:rsidRDefault="008606F8" w:rsidP="008606F8">
            <w:pPr>
              <w:jc w:val="right"/>
              <w:rPr>
                <w:rFonts w:eastAsia="Times New Roman"/>
                <w:sz w:val="20"/>
                <w:szCs w:val="20"/>
                <w:lang w:eastAsia="hr-HR"/>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6310A259" w14:textId="48B8D7C2"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10,2</w:t>
            </w:r>
          </w:p>
        </w:tc>
      </w:tr>
      <w:tr w:rsidR="008606F8" w:rsidRPr="00BD177B" w14:paraId="02717E8A"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48AA25B8" w14:textId="0931362A"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4275D3DE" w14:textId="0EAB6787"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3D4DC530" w14:textId="77777777" w:rsidR="008606F8" w:rsidRPr="00BD177B" w:rsidRDefault="008606F8" w:rsidP="008606F8">
            <w:pPr>
              <w:jc w:val="both"/>
              <w:rPr>
                <w:sz w:val="20"/>
                <w:szCs w:val="20"/>
                <w:lang w:eastAsia="hr-HR"/>
              </w:rPr>
            </w:pPr>
            <w:r w:rsidRPr="00BD177B">
              <w:rPr>
                <w:sz w:val="20"/>
                <w:szCs w:val="20"/>
                <w:lang w:eastAsia="hr-HR"/>
              </w:rPr>
              <w:t>Kultura</w:t>
            </w:r>
          </w:p>
        </w:tc>
        <w:tc>
          <w:tcPr>
            <w:tcW w:w="851" w:type="dxa"/>
            <w:tcBorders>
              <w:top w:val="nil"/>
              <w:left w:val="nil"/>
              <w:bottom w:val="single" w:sz="4" w:space="0" w:color="auto"/>
              <w:right w:val="single" w:sz="4" w:space="0" w:color="auto"/>
            </w:tcBorders>
            <w:shd w:val="clear" w:color="auto" w:fill="auto"/>
            <w:noWrap/>
            <w:vAlign w:val="center"/>
          </w:tcPr>
          <w:p w14:paraId="6B929E99" w14:textId="29BC112C"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3,1</w:t>
            </w:r>
          </w:p>
        </w:tc>
        <w:tc>
          <w:tcPr>
            <w:tcW w:w="850" w:type="dxa"/>
            <w:tcBorders>
              <w:top w:val="nil"/>
              <w:left w:val="nil"/>
              <w:bottom w:val="single" w:sz="4" w:space="0" w:color="auto"/>
              <w:right w:val="single" w:sz="4" w:space="0" w:color="auto"/>
            </w:tcBorders>
            <w:shd w:val="clear" w:color="auto" w:fill="auto"/>
            <w:noWrap/>
            <w:vAlign w:val="center"/>
          </w:tcPr>
          <w:p w14:paraId="72DB3D74" w14:textId="78BD93C6"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5FD17E4E" w14:textId="2A50004D"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02E75739" w14:textId="730B904E"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0009D3DE" w14:textId="68A6766F"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14119AEF" w14:textId="7407C9E3"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3,1</w:t>
            </w:r>
          </w:p>
        </w:tc>
      </w:tr>
      <w:tr w:rsidR="008606F8" w:rsidRPr="00BD177B" w14:paraId="353FA995"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57103415" w14:textId="228B9E09" w:rsidR="008606F8" w:rsidRPr="00BD177B" w:rsidRDefault="008606F8" w:rsidP="008606F8">
            <w:pPr>
              <w:jc w:val="both"/>
              <w:rPr>
                <w:b/>
                <w:bCs/>
                <w:sz w:val="20"/>
                <w:szCs w:val="20"/>
                <w:lang w:eastAsia="hr-HR"/>
              </w:rPr>
            </w:pPr>
          </w:p>
        </w:tc>
        <w:tc>
          <w:tcPr>
            <w:tcW w:w="3740" w:type="dxa"/>
            <w:gridSpan w:val="2"/>
            <w:tcBorders>
              <w:top w:val="single" w:sz="4" w:space="0" w:color="auto"/>
              <w:left w:val="nil"/>
              <w:bottom w:val="single" w:sz="4" w:space="0" w:color="auto"/>
              <w:right w:val="single" w:sz="4" w:space="0" w:color="000000"/>
            </w:tcBorders>
            <w:shd w:val="clear" w:color="auto" w:fill="auto"/>
            <w:vAlign w:val="center"/>
            <w:hideMark/>
          </w:tcPr>
          <w:p w14:paraId="23AAF7D1" w14:textId="77777777" w:rsidR="008606F8" w:rsidRPr="00BD177B" w:rsidRDefault="008606F8" w:rsidP="008606F8">
            <w:pPr>
              <w:jc w:val="both"/>
              <w:rPr>
                <w:b/>
                <w:bCs/>
                <w:i/>
                <w:iCs/>
                <w:sz w:val="20"/>
                <w:szCs w:val="20"/>
                <w:lang w:eastAsia="hr-HR"/>
              </w:rPr>
            </w:pPr>
            <w:r w:rsidRPr="00BD177B">
              <w:rPr>
                <w:b/>
                <w:bCs/>
                <w:i/>
                <w:iCs/>
                <w:sz w:val="20"/>
                <w:szCs w:val="20"/>
                <w:lang w:eastAsia="hr-HR"/>
              </w:rPr>
              <w:t>Posebni sektori</w:t>
            </w:r>
          </w:p>
        </w:tc>
        <w:tc>
          <w:tcPr>
            <w:tcW w:w="851" w:type="dxa"/>
            <w:tcBorders>
              <w:top w:val="nil"/>
              <w:left w:val="nil"/>
              <w:bottom w:val="single" w:sz="4" w:space="0" w:color="auto"/>
              <w:right w:val="single" w:sz="4" w:space="0" w:color="auto"/>
            </w:tcBorders>
            <w:shd w:val="clear" w:color="auto" w:fill="auto"/>
            <w:noWrap/>
            <w:vAlign w:val="center"/>
          </w:tcPr>
          <w:p w14:paraId="70F1C81E" w14:textId="5F933B44"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751,6</w:t>
            </w:r>
          </w:p>
        </w:tc>
        <w:tc>
          <w:tcPr>
            <w:tcW w:w="850" w:type="dxa"/>
            <w:tcBorders>
              <w:top w:val="nil"/>
              <w:left w:val="nil"/>
              <w:bottom w:val="single" w:sz="4" w:space="0" w:color="auto"/>
              <w:right w:val="single" w:sz="4" w:space="0" w:color="auto"/>
            </w:tcBorders>
            <w:shd w:val="clear" w:color="auto" w:fill="auto"/>
            <w:noWrap/>
            <w:vAlign w:val="center"/>
          </w:tcPr>
          <w:p w14:paraId="069713C6" w14:textId="22945F1B"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19,5</w:t>
            </w:r>
          </w:p>
        </w:tc>
        <w:tc>
          <w:tcPr>
            <w:tcW w:w="851" w:type="dxa"/>
            <w:tcBorders>
              <w:top w:val="nil"/>
              <w:left w:val="nil"/>
              <w:bottom w:val="single" w:sz="4" w:space="0" w:color="auto"/>
              <w:right w:val="single" w:sz="4" w:space="0" w:color="auto"/>
            </w:tcBorders>
            <w:shd w:val="clear" w:color="auto" w:fill="auto"/>
            <w:noWrap/>
            <w:vAlign w:val="center"/>
          </w:tcPr>
          <w:p w14:paraId="6CDE438E" w14:textId="79FCBD22" w:rsidR="008606F8" w:rsidRPr="00BD177B" w:rsidRDefault="008606F8" w:rsidP="008606F8">
            <w:pPr>
              <w:jc w:val="right"/>
              <w:rPr>
                <w:b/>
                <w:sz w:val="20"/>
                <w:szCs w:val="20"/>
              </w:rPr>
            </w:pPr>
            <w:r w:rsidRPr="00BD177B">
              <w:rPr>
                <w:b/>
                <w:sz w:val="20"/>
              </w:rPr>
              <w:t>–</w:t>
            </w:r>
          </w:p>
        </w:tc>
        <w:tc>
          <w:tcPr>
            <w:tcW w:w="756" w:type="dxa"/>
            <w:tcBorders>
              <w:top w:val="nil"/>
              <w:left w:val="nil"/>
              <w:bottom w:val="single" w:sz="4" w:space="0" w:color="auto"/>
              <w:right w:val="single" w:sz="4" w:space="0" w:color="auto"/>
            </w:tcBorders>
            <w:shd w:val="clear" w:color="auto" w:fill="auto"/>
            <w:noWrap/>
            <w:vAlign w:val="center"/>
          </w:tcPr>
          <w:p w14:paraId="25D29A5F" w14:textId="55EFE317" w:rsidR="008606F8" w:rsidRPr="00BD177B" w:rsidRDefault="008606F8" w:rsidP="004A7564">
            <w:pPr>
              <w:jc w:val="right"/>
              <w:rPr>
                <w:b/>
                <w:sz w:val="20"/>
                <w:szCs w:val="20"/>
              </w:rPr>
            </w:pPr>
            <w:r w:rsidRPr="00BD177B">
              <w:rPr>
                <w:rFonts w:eastAsia="Times New Roman"/>
                <w:b/>
                <w:bCs/>
                <w:sz w:val="20"/>
                <w:szCs w:val="20"/>
                <w:lang w:eastAsia="hr-HR"/>
              </w:rPr>
              <w:t>16,</w:t>
            </w:r>
            <w:r w:rsidR="004A7564" w:rsidRPr="00BD177B">
              <w:rPr>
                <w:rFonts w:eastAsia="Times New Roman"/>
                <w:b/>
                <w:bCs/>
                <w:sz w:val="20"/>
                <w:szCs w:val="20"/>
                <w:lang w:eastAsia="hr-HR"/>
              </w:rPr>
              <w:t>3</w:t>
            </w:r>
          </w:p>
        </w:tc>
        <w:tc>
          <w:tcPr>
            <w:tcW w:w="760" w:type="dxa"/>
            <w:tcBorders>
              <w:top w:val="nil"/>
              <w:left w:val="nil"/>
              <w:bottom w:val="single" w:sz="4" w:space="0" w:color="auto"/>
              <w:right w:val="single" w:sz="4" w:space="0" w:color="auto"/>
            </w:tcBorders>
            <w:shd w:val="clear" w:color="auto" w:fill="auto"/>
            <w:noWrap/>
            <w:vAlign w:val="center"/>
          </w:tcPr>
          <w:p w14:paraId="1B78E4B0" w14:textId="33B1176B"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15,2</w:t>
            </w:r>
          </w:p>
        </w:tc>
        <w:tc>
          <w:tcPr>
            <w:tcW w:w="992" w:type="dxa"/>
            <w:tcBorders>
              <w:top w:val="nil"/>
              <w:left w:val="nil"/>
              <w:bottom w:val="single" w:sz="4" w:space="0" w:color="auto"/>
              <w:right w:val="single" w:sz="4" w:space="0" w:color="auto"/>
            </w:tcBorders>
            <w:shd w:val="clear" w:color="auto" w:fill="auto"/>
            <w:noWrap/>
            <w:vAlign w:val="center"/>
          </w:tcPr>
          <w:p w14:paraId="07E9F3EE" w14:textId="3C12B6F6"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802,6</w:t>
            </w:r>
          </w:p>
        </w:tc>
      </w:tr>
      <w:tr w:rsidR="008606F8" w:rsidRPr="00BD177B" w14:paraId="1D8F5FAD"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665994D7" w14:textId="613A7E95"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15AFE289" w14:textId="0E202AB2"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vAlign w:val="center"/>
            <w:hideMark/>
          </w:tcPr>
          <w:p w14:paraId="179260DD" w14:textId="77777777" w:rsidR="008606F8" w:rsidRPr="00BD177B" w:rsidRDefault="008606F8" w:rsidP="008606F8">
            <w:pPr>
              <w:jc w:val="both"/>
              <w:rPr>
                <w:sz w:val="20"/>
                <w:szCs w:val="20"/>
                <w:lang w:eastAsia="hr-HR"/>
              </w:rPr>
            </w:pPr>
            <w:r w:rsidRPr="00BD177B">
              <w:rPr>
                <w:sz w:val="20"/>
                <w:szCs w:val="20"/>
                <w:lang w:eastAsia="hr-HR"/>
              </w:rPr>
              <w:t>Poštanske usluge</w:t>
            </w:r>
          </w:p>
        </w:tc>
        <w:tc>
          <w:tcPr>
            <w:tcW w:w="851" w:type="dxa"/>
            <w:tcBorders>
              <w:top w:val="nil"/>
              <w:left w:val="nil"/>
              <w:bottom w:val="single" w:sz="4" w:space="0" w:color="auto"/>
              <w:right w:val="single" w:sz="4" w:space="0" w:color="auto"/>
            </w:tcBorders>
            <w:shd w:val="clear" w:color="auto" w:fill="auto"/>
            <w:vAlign w:val="center"/>
          </w:tcPr>
          <w:p w14:paraId="659AAF83" w14:textId="0CBA36D5"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25,1</w:t>
            </w:r>
          </w:p>
        </w:tc>
        <w:tc>
          <w:tcPr>
            <w:tcW w:w="850" w:type="dxa"/>
            <w:tcBorders>
              <w:top w:val="nil"/>
              <w:left w:val="nil"/>
              <w:bottom w:val="single" w:sz="4" w:space="0" w:color="auto"/>
              <w:right w:val="single" w:sz="4" w:space="0" w:color="auto"/>
            </w:tcBorders>
            <w:shd w:val="clear" w:color="auto" w:fill="auto"/>
            <w:noWrap/>
            <w:vAlign w:val="center"/>
          </w:tcPr>
          <w:p w14:paraId="7A4C1B63" w14:textId="258D9B0B"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vAlign w:val="center"/>
          </w:tcPr>
          <w:p w14:paraId="54C3AD42" w14:textId="40287919"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vAlign w:val="center"/>
          </w:tcPr>
          <w:p w14:paraId="71DAA666" w14:textId="3328C43B"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6C2E86B2" w14:textId="26FAC260"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4FF24D61" w14:textId="26AC17A9"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25,1</w:t>
            </w:r>
          </w:p>
        </w:tc>
      </w:tr>
      <w:tr w:rsidR="008606F8" w:rsidRPr="00BD177B" w14:paraId="6257BB7C"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205636BB" w14:textId="1C1706A1"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267E7755" w14:textId="0312B926"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5CB4B1B9" w14:textId="77777777" w:rsidR="008606F8" w:rsidRPr="00BD177B" w:rsidRDefault="008606F8" w:rsidP="008606F8">
            <w:pPr>
              <w:jc w:val="both"/>
              <w:rPr>
                <w:sz w:val="20"/>
                <w:szCs w:val="20"/>
                <w:lang w:eastAsia="hr-HR"/>
              </w:rPr>
            </w:pPr>
            <w:r w:rsidRPr="00BD177B">
              <w:rPr>
                <w:sz w:val="20"/>
                <w:szCs w:val="20"/>
                <w:lang w:eastAsia="hr-HR"/>
              </w:rPr>
              <w:t>Zaštita okoliša i očuvanje energije</w:t>
            </w:r>
          </w:p>
        </w:tc>
        <w:tc>
          <w:tcPr>
            <w:tcW w:w="851" w:type="dxa"/>
            <w:tcBorders>
              <w:top w:val="nil"/>
              <w:left w:val="nil"/>
              <w:bottom w:val="single" w:sz="4" w:space="0" w:color="auto"/>
              <w:right w:val="single" w:sz="4" w:space="0" w:color="auto"/>
            </w:tcBorders>
            <w:shd w:val="clear" w:color="auto" w:fill="auto"/>
            <w:noWrap/>
            <w:vAlign w:val="center"/>
          </w:tcPr>
          <w:p w14:paraId="1B12E8BE" w14:textId="33AD2F23"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142,6</w:t>
            </w:r>
          </w:p>
        </w:tc>
        <w:tc>
          <w:tcPr>
            <w:tcW w:w="850" w:type="dxa"/>
            <w:tcBorders>
              <w:top w:val="nil"/>
              <w:left w:val="nil"/>
              <w:bottom w:val="single" w:sz="4" w:space="0" w:color="auto"/>
              <w:right w:val="single" w:sz="4" w:space="0" w:color="auto"/>
            </w:tcBorders>
            <w:shd w:val="clear" w:color="auto" w:fill="auto"/>
            <w:noWrap/>
            <w:vAlign w:val="center"/>
          </w:tcPr>
          <w:p w14:paraId="3F776F08" w14:textId="1DE96FAB" w:rsidR="008606F8" w:rsidRPr="00BD177B" w:rsidRDefault="008606F8" w:rsidP="008606F8">
            <w:pPr>
              <w:jc w:val="right"/>
              <w:rPr>
                <w:sz w:val="20"/>
                <w:szCs w:val="20"/>
              </w:rPr>
            </w:pPr>
            <w:r w:rsidRPr="00BD177B">
              <w:rPr>
                <w:rFonts w:eastAsia="Times New Roman"/>
                <w:sz w:val="20"/>
                <w:szCs w:val="20"/>
                <w:lang w:eastAsia="hr-HR"/>
              </w:rPr>
              <w:t>12,0</w:t>
            </w:r>
          </w:p>
        </w:tc>
        <w:tc>
          <w:tcPr>
            <w:tcW w:w="851" w:type="dxa"/>
            <w:tcBorders>
              <w:top w:val="nil"/>
              <w:left w:val="nil"/>
              <w:bottom w:val="single" w:sz="4" w:space="0" w:color="auto"/>
              <w:right w:val="single" w:sz="4" w:space="0" w:color="auto"/>
            </w:tcBorders>
            <w:shd w:val="clear" w:color="auto" w:fill="auto"/>
            <w:noWrap/>
            <w:vAlign w:val="center"/>
          </w:tcPr>
          <w:p w14:paraId="63EB4D9C" w14:textId="1FA275BB"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550D535B" w14:textId="3F7DF02A" w:rsidR="008606F8" w:rsidRPr="00BD177B" w:rsidRDefault="004A7564" w:rsidP="008606F8">
            <w:pPr>
              <w:jc w:val="right"/>
              <w:rPr>
                <w:sz w:val="20"/>
                <w:szCs w:val="20"/>
              </w:rPr>
            </w:pPr>
            <w:r w:rsidRPr="00BD177B">
              <w:rPr>
                <w:rFonts w:eastAsia="Times New Roman"/>
                <w:sz w:val="20"/>
                <w:szCs w:val="20"/>
                <w:lang w:eastAsia="hr-HR"/>
              </w:rPr>
              <w:t>16,3</w:t>
            </w:r>
          </w:p>
        </w:tc>
        <w:tc>
          <w:tcPr>
            <w:tcW w:w="760" w:type="dxa"/>
            <w:tcBorders>
              <w:top w:val="nil"/>
              <w:left w:val="nil"/>
              <w:bottom w:val="single" w:sz="4" w:space="0" w:color="auto"/>
              <w:right w:val="single" w:sz="4" w:space="0" w:color="auto"/>
            </w:tcBorders>
            <w:shd w:val="clear" w:color="auto" w:fill="auto"/>
            <w:noWrap/>
            <w:vAlign w:val="center"/>
          </w:tcPr>
          <w:p w14:paraId="7B43A34B" w14:textId="11802EEC" w:rsidR="008606F8" w:rsidRPr="00BD177B" w:rsidRDefault="008606F8" w:rsidP="008606F8">
            <w:pPr>
              <w:jc w:val="right"/>
              <w:rPr>
                <w:sz w:val="20"/>
                <w:szCs w:val="20"/>
              </w:rPr>
            </w:pPr>
            <w:r w:rsidRPr="00BD177B">
              <w:rPr>
                <w:rFonts w:eastAsia="Times New Roman"/>
                <w:sz w:val="20"/>
                <w:szCs w:val="20"/>
                <w:lang w:eastAsia="hr-HR"/>
              </w:rPr>
              <w:t>1,2</w:t>
            </w:r>
          </w:p>
        </w:tc>
        <w:tc>
          <w:tcPr>
            <w:tcW w:w="992" w:type="dxa"/>
            <w:tcBorders>
              <w:top w:val="nil"/>
              <w:left w:val="nil"/>
              <w:bottom w:val="single" w:sz="4" w:space="0" w:color="auto"/>
              <w:right w:val="single" w:sz="4" w:space="0" w:color="auto"/>
            </w:tcBorders>
            <w:shd w:val="clear" w:color="auto" w:fill="auto"/>
            <w:noWrap/>
            <w:vAlign w:val="center"/>
          </w:tcPr>
          <w:p w14:paraId="6CDC8142" w14:textId="4FF3110E"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172,1</w:t>
            </w:r>
          </w:p>
        </w:tc>
      </w:tr>
      <w:tr w:rsidR="008606F8" w:rsidRPr="00BD177B" w14:paraId="14ED90B7"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5AC05D49" w14:textId="3A660290"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20C7A02C" w14:textId="0055890D"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vAlign w:val="center"/>
            <w:hideMark/>
          </w:tcPr>
          <w:p w14:paraId="25588BFB" w14:textId="77777777" w:rsidR="008606F8" w:rsidRPr="00BD177B" w:rsidRDefault="008606F8" w:rsidP="008606F8">
            <w:pPr>
              <w:jc w:val="both"/>
              <w:rPr>
                <w:sz w:val="20"/>
                <w:szCs w:val="20"/>
                <w:lang w:eastAsia="hr-HR"/>
              </w:rPr>
            </w:pPr>
            <w:r w:rsidRPr="00BD177B">
              <w:rPr>
                <w:sz w:val="20"/>
                <w:szCs w:val="20"/>
                <w:lang w:eastAsia="hr-HR"/>
              </w:rPr>
              <w:t>Promet</w:t>
            </w:r>
          </w:p>
        </w:tc>
        <w:tc>
          <w:tcPr>
            <w:tcW w:w="851" w:type="dxa"/>
            <w:tcBorders>
              <w:top w:val="nil"/>
              <w:left w:val="nil"/>
              <w:bottom w:val="single" w:sz="4" w:space="0" w:color="auto"/>
              <w:right w:val="single" w:sz="4" w:space="0" w:color="auto"/>
            </w:tcBorders>
            <w:shd w:val="clear" w:color="auto" w:fill="auto"/>
            <w:vAlign w:val="center"/>
          </w:tcPr>
          <w:p w14:paraId="50FEE769" w14:textId="3370CB02" w:rsidR="008606F8" w:rsidRPr="00BD177B" w:rsidRDefault="004A7564" w:rsidP="008606F8">
            <w:pPr>
              <w:jc w:val="right"/>
              <w:rPr>
                <w:rFonts w:eastAsia="Times New Roman"/>
                <w:sz w:val="20"/>
                <w:szCs w:val="20"/>
                <w:lang w:eastAsia="hr-HR"/>
              </w:rPr>
            </w:pPr>
            <w:r w:rsidRPr="00BD177B">
              <w:rPr>
                <w:rFonts w:eastAsia="Times New Roman"/>
                <w:sz w:val="20"/>
                <w:szCs w:val="20"/>
                <w:lang w:eastAsia="hr-HR"/>
              </w:rPr>
              <w:t>358,4</w:t>
            </w:r>
          </w:p>
        </w:tc>
        <w:tc>
          <w:tcPr>
            <w:tcW w:w="850" w:type="dxa"/>
            <w:tcBorders>
              <w:top w:val="nil"/>
              <w:left w:val="nil"/>
              <w:bottom w:val="single" w:sz="4" w:space="0" w:color="auto"/>
              <w:right w:val="single" w:sz="4" w:space="0" w:color="auto"/>
            </w:tcBorders>
            <w:shd w:val="clear" w:color="auto" w:fill="auto"/>
            <w:noWrap/>
            <w:vAlign w:val="center"/>
          </w:tcPr>
          <w:p w14:paraId="5E008F12" w14:textId="1460E2DD"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7,5</w:t>
            </w:r>
          </w:p>
        </w:tc>
        <w:tc>
          <w:tcPr>
            <w:tcW w:w="851" w:type="dxa"/>
            <w:tcBorders>
              <w:top w:val="nil"/>
              <w:left w:val="nil"/>
              <w:bottom w:val="single" w:sz="4" w:space="0" w:color="auto"/>
              <w:right w:val="single" w:sz="4" w:space="0" w:color="auto"/>
            </w:tcBorders>
            <w:shd w:val="clear" w:color="auto" w:fill="auto"/>
            <w:vAlign w:val="center"/>
          </w:tcPr>
          <w:p w14:paraId="567D7CE8" w14:textId="17CDCE7D"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vAlign w:val="center"/>
          </w:tcPr>
          <w:p w14:paraId="272DA22E" w14:textId="33896F16"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1CB386A5" w14:textId="15044DD0"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2E4129CE" w14:textId="5770A6F4" w:rsidR="008606F8" w:rsidRPr="00BD177B" w:rsidRDefault="004A7564" w:rsidP="008606F8">
            <w:pPr>
              <w:jc w:val="right"/>
              <w:rPr>
                <w:rFonts w:eastAsia="Times New Roman"/>
                <w:sz w:val="20"/>
                <w:szCs w:val="20"/>
                <w:lang w:eastAsia="hr-HR"/>
              </w:rPr>
            </w:pPr>
            <w:r w:rsidRPr="00BD177B">
              <w:rPr>
                <w:rFonts w:eastAsia="Times New Roman"/>
                <w:sz w:val="20"/>
                <w:szCs w:val="20"/>
                <w:lang w:eastAsia="hr-HR"/>
              </w:rPr>
              <w:t>365,9</w:t>
            </w:r>
          </w:p>
        </w:tc>
      </w:tr>
      <w:tr w:rsidR="008606F8" w:rsidRPr="00BD177B" w14:paraId="4AC907BB"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78D57DE4" w14:textId="767D315D"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314B839F" w14:textId="6C776B93"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vAlign w:val="center"/>
            <w:hideMark/>
          </w:tcPr>
          <w:p w14:paraId="390544E7" w14:textId="77777777" w:rsidR="008606F8" w:rsidRPr="00BD177B" w:rsidRDefault="008606F8" w:rsidP="008606F8">
            <w:pPr>
              <w:jc w:val="both"/>
              <w:rPr>
                <w:sz w:val="20"/>
                <w:szCs w:val="20"/>
                <w:lang w:eastAsia="hr-HR"/>
              </w:rPr>
            </w:pPr>
            <w:r w:rsidRPr="00BD177B">
              <w:rPr>
                <w:sz w:val="20"/>
                <w:szCs w:val="20"/>
                <w:lang w:eastAsia="hr-HR"/>
              </w:rPr>
              <w:t>Brodogradnja</w:t>
            </w:r>
          </w:p>
        </w:tc>
        <w:tc>
          <w:tcPr>
            <w:tcW w:w="851" w:type="dxa"/>
            <w:tcBorders>
              <w:top w:val="nil"/>
              <w:left w:val="nil"/>
              <w:bottom w:val="single" w:sz="4" w:space="0" w:color="auto"/>
              <w:right w:val="single" w:sz="4" w:space="0" w:color="auto"/>
            </w:tcBorders>
            <w:shd w:val="clear" w:color="auto" w:fill="auto"/>
            <w:noWrap/>
            <w:vAlign w:val="center"/>
          </w:tcPr>
          <w:p w14:paraId="1A31191A" w14:textId="3E0C44A9" w:rsidR="008606F8" w:rsidRPr="00BD177B" w:rsidRDefault="008606F8" w:rsidP="008606F8">
            <w:pPr>
              <w:jc w:val="right"/>
              <w:rPr>
                <w:sz w:val="20"/>
                <w:szCs w:val="20"/>
              </w:rPr>
            </w:pPr>
            <w:r w:rsidRPr="00BD177B">
              <w:rPr>
                <w:sz w:val="20"/>
              </w:rPr>
              <w:t>–</w:t>
            </w:r>
          </w:p>
        </w:tc>
        <w:tc>
          <w:tcPr>
            <w:tcW w:w="850" w:type="dxa"/>
            <w:tcBorders>
              <w:top w:val="nil"/>
              <w:left w:val="nil"/>
              <w:bottom w:val="single" w:sz="4" w:space="0" w:color="auto"/>
              <w:right w:val="single" w:sz="4" w:space="0" w:color="auto"/>
            </w:tcBorders>
            <w:shd w:val="clear" w:color="auto" w:fill="auto"/>
            <w:noWrap/>
            <w:vAlign w:val="center"/>
          </w:tcPr>
          <w:p w14:paraId="689CC359" w14:textId="256621BD"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60FF236B" w14:textId="770462D2"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36FEA3E7" w14:textId="5A9A8B10"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61E29B33" w14:textId="27B7C7C6"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14,0</w:t>
            </w:r>
          </w:p>
        </w:tc>
        <w:tc>
          <w:tcPr>
            <w:tcW w:w="992" w:type="dxa"/>
            <w:tcBorders>
              <w:top w:val="nil"/>
              <w:left w:val="nil"/>
              <w:bottom w:val="single" w:sz="4" w:space="0" w:color="auto"/>
              <w:right w:val="single" w:sz="4" w:space="0" w:color="auto"/>
            </w:tcBorders>
            <w:shd w:val="clear" w:color="auto" w:fill="auto"/>
            <w:noWrap/>
            <w:vAlign w:val="center"/>
          </w:tcPr>
          <w:p w14:paraId="4D68DBE7" w14:textId="1B6C36F6"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14,0</w:t>
            </w:r>
          </w:p>
        </w:tc>
      </w:tr>
      <w:tr w:rsidR="008606F8" w:rsidRPr="00BD177B" w14:paraId="094CBB7E"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1D3A7078" w14:textId="3BDBC1EF"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65F975C5" w14:textId="3C66CB8D"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vAlign w:val="center"/>
            <w:hideMark/>
          </w:tcPr>
          <w:p w14:paraId="2E280007" w14:textId="77777777" w:rsidR="008606F8" w:rsidRPr="00BD177B" w:rsidRDefault="008606F8" w:rsidP="008606F8">
            <w:pPr>
              <w:jc w:val="both"/>
              <w:rPr>
                <w:sz w:val="20"/>
                <w:szCs w:val="20"/>
                <w:lang w:eastAsia="hr-HR"/>
              </w:rPr>
            </w:pPr>
            <w:r w:rsidRPr="00BD177B">
              <w:rPr>
                <w:sz w:val="20"/>
                <w:szCs w:val="20"/>
                <w:lang w:eastAsia="hr-HR"/>
              </w:rPr>
              <w:t>Turizam</w:t>
            </w:r>
          </w:p>
        </w:tc>
        <w:tc>
          <w:tcPr>
            <w:tcW w:w="851" w:type="dxa"/>
            <w:tcBorders>
              <w:top w:val="nil"/>
              <w:left w:val="nil"/>
              <w:bottom w:val="single" w:sz="4" w:space="0" w:color="auto"/>
              <w:right w:val="single" w:sz="4" w:space="0" w:color="auto"/>
            </w:tcBorders>
            <w:shd w:val="clear" w:color="auto" w:fill="auto"/>
            <w:noWrap/>
            <w:vAlign w:val="center"/>
          </w:tcPr>
          <w:p w14:paraId="4F95D0E0" w14:textId="456D54BD"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44,6</w:t>
            </w:r>
          </w:p>
        </w:tc>
        <w:tc>
          <w:tcPr>
            <w:tcW w:w="850" w:type="dxa"/>
            <w:tcBorders>
              <w:top w:val="nil"/>
              <w:left w:val="nil"/>
              <w:bottom w:val="single" w:sz="4" w:space="0" w:color="auto"/>
              <w:right w:val="single" w:sz="4" w:space="0" w:color="auto"/>
            </w:tcBorders>
            <w:shd w:val="clear" w:color="auto" w:fill="auto"/>
            <w:noWrap/>
            <w:vAlign w:val="center"/>
          </w:tcPr>
          <w:p w14:paraId="417B1464" w14:textId="76E09580"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29CA1333" w14:textId="0D4FEF24"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484F6152" w14:textId="66CE2B86"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28555FCE" w14:textId="61C11729"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6E493395" w14:textId="51EE6ED4"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44,6</w:t>
            </w:r>
          </w:p>
        </w:tc>
      </w:tr>
      <w:tr w:rsidR="008606F8" w:rsidRPr="00BD177B" w14:paraId="648F8613"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3EA760A4" w14:textId="6FCFE52C" w:rsidR="008606F8" w:rsidRPr="00BD177B" w:rsidRDefault="008606F8" w:rsidP="008606F8">
            <w:pPr>
              <w:jc w:val="both"/>
              <w:rPr>
                <w:sz w:val="20"/>
                <w:szCs w:val="20"/>
                <w:lang w:eastAsia="hr-HR"/>
              </w:rPr>
            </w:pPr>
          </w:p>
        </w:tc>
        <w:tc>
          <w:tcPr>
            <w:tcW w:w="308" w:type="dxa"/>
            <w:tcBorders>
              <w:top w:val="nil"/>
              <w:left w:val="nil"/>
              <w:bottom w:val="single" w:sz="4" w:space="0" w:color="auto"/>
              <w:right w:val="nil"/>
            </w:tcBorders>
            <w:shd w:val="clear" w:color="auto" w:fill="auto"/>
            <w:noWrap/>
            <w:vAlign w:val="center"/>
          </w:tcPr>
          <w:p w14:paraId="36334BFF" w14:textId="460D1731" w:rsidR="008606F8" w:rsidRPr="00BD177B" w:rsidRDefault="008606F8" w:rsidP="008606F8">
            <w:pPr>
              <w:jc w:val="both"/>
              <w:rPr>
                <w:b/>
                <w:bCs/>
                <w:sz w:val="20"/>
                <w:szCs w:val="20"/>
                <w:lang w:eastAsia="hr-HR"/>
              </w:rPr>
            </w:pPr>
          </w:p>
        </w:tc>
        <w:tc>
          <w:tcPr>
            <w:tcW w:w="3432" w:type="dxa"/>
            <w:tcBorders>
              <w:top w:val="nil"/>
              <w:left w:val="nil"/>
              <w:bottom w:val="single" w:sz="4" w:space="0" w:color="auto"/>
              <w:right w:val="single" w:sz="4" w:space="0" w:color="auto"/>
            </w:tcBorders>
            <w:shd w:val="clear" w:color="auto" w:fill="auto"/>
            <w:noWrap/>
            <w:vAlign w:val="center"/>
            <w:hideMark/>
          </w:tcPr>
          <w:p w14:paraId="68F735FF" w14:textId="77777777" w:rsidR="008606F8" w:rsidRPr="00BD177B" w:rsidRDefault="008606F8" w:rsidP="008606F8">
            <w:pPr>
              <w:rPr>
                <w:sz w:val="20"/>
                <w:szCs w:val="20"/>
                <w:lang w:eastAsia="hr-HR"/>
              </w:rPr>
            </w:pPr>
            <w:r w:rsidRPr="00BD177B">
              <w:rPr>
                <w:sz w:val="20"/>
                <w:szCs w:val="20"/>
                <w:lang w:eastAsia="hr-HR"/>
              </w:rPr>
              <w:t xml:space="preserve">Radiotelevizijsko emitiranje </w:t>
            </w:r>
            <w:r w:rsidRPr="00BD177B">
              <w:rPr>
                <w:sz w:val="20"/>
                <w:szCs w:val="20"/>
              </w:rPr>
              <w:t>i audiovizualna industrija</w:t>
            </w:r>
          </w:p>
        </w:tc>
        <w:tc>
          <w:tcPr>
            <w:tcW w:w="851" w:type="dxa"/>
            <w:tcBorders>
              <w:top w:val="nil"/>
              <w:left w:val="nil"/>
              <w:bottom w:val="single" w:sz="4" w:space="0" w:color="auto"/>
              <w:right w:val="single" w:sz="4" w:space="0" w:color="auto"/>
            </w:tcBorders>
            <w:shd w:val="clear" w:color="auto" w:fill="auto"/>
            <w:noWrap/>
            <w:vAlign w:val="center"/>
          </w:tcPr>
          <w:p w14:paraId="6EDF78F6" w14:textId="743B3187"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170,3</w:t>
            </w:r>
          </w:p>
        </w:tc>
        <w:tc>
          <w:tcPr>
            <w:tcW w:w="850" w:type="dxa"/>
            <w:tcBorders>
              <w:top w:val="nil"/>
              <w:left w:val="nil"/>
              <w:bottom w:val="single" w:sz="4" w:space="0" w:color="auto"/>
              <w:right w:val="single" w:sz="4" w:space="0" w:color="auto"/>
            </w:tcBorders>
            <w:shd w:val="clear" w:color="auto" w:fill="auto"/>
            <w:noWrap/>
            <w:vAlign w:val="center"/>
          </w:tcPr>
          <w:p w14:paraId="0E3062D7" w14:textId="09BA5028"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714C941D" w14:textId="15329435"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21DB1DB7" w14:textId="6A763A0B"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6E0FAEA6" w14:textId="3E0FD7F9"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6AAC06D8" w14:textId="536BA15B" w:rsidR="008606F8" w:rsidRPr="00BD177B" w:rsidRDefault="008606F8" w:rsidP="008606F8">
            <w:pPr>
              <w:jc w:val="right"/>
              <w:rPr>
                <w:rFonts w:eastAsia="Times New Roman"/>
                <w:sz w:val="20"/>
                <w:szCs w:val="20"/>
                <w:lang w:eastAsia="hr-HR"/>
              </w:rPr>
            </w:pPr>
            <w:r w:rsidRPr="00BD177B">
              <w:rPr>
                <w:rFonts w:eastAsia="Times New Roman"/>
                <w:sz w:val="20"/>
                <w:szCs w:val="20"/>
                <w:lang w:eastAsia="hr-HR"/>
              </w:rPr>
              <w:t>170,3</w:t>
            </w:r>
          </w:p>
        </w:tc>
      </w:tr>
      <w:tr w:rsidR="008606F8" w:rsidRPr="00BD177B" w14:paraId="17DACB33"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71177F89" w14:textId="1597ABD1" w:rsidR="008606F8" w:rsidRPr="00BD177B" w:rsidRDefault="008606F8" w:rsidP="008606F8">
            <w:pPr>
              <w:jc w:val="both"/>
              <w:rPr>
                <w:sz w:val="20"/>
                <w:szCs w:val="20"/>
                <w:lang w:eastAsia="hr-HR"/>
              </w:rPr>
            </w:pPr>
          </w:p>
        </w:tc>
        <w:tc>
          <w:tcPr>
            <w:tcW w:w="308" w:type="dxa"/>
            <w:tcBorders>
              <w:top w:val="single" w:sz="4" w:space="0" w:color="auto"/>
              <w:left w:val="nil"/>
              <w:bottom w:val="single" w:sz="4" w:space="0" w:color="auto"/>
            </w:tcBorders>
            <w:shd w:val="clear" w:color="auto" w:fill="auto"/>
            <w:noWrap/>
            <w:vAlign w:val="center"/>
          </w:tcPr>
          <w:p w14:paraId="2D84958B" w14:textId="7F3F9B06" w:rsidR="008606F8" w:rsidRPr="00BD177B" w:rsidRDefault="008606F8" w:rsidP="008606F8">
            <w:pPr>
              <w:jc w:val="both"/>
              <w:rPr>
                <w:b/>
                <w:bCs/>
                <w:sz w:val="20"/>
                <w:szCs w:val="20"/>
                <w:lang w:eastAsia="hr-HR"/>
              </w:rPr>
            </w:pPr>
          </w:p>
        </w:tc>
        <w:tc>
          <w:tcPr>
            <w:tcW w:w="3432" w:type="dxa"/>
            <w:tcBorders>
              <w:top w:val="single" w:sz="4" w:space="0" w:color="auto"/>
              <w:bottom w:val="single" w:sz="4" w:space="0" w:color="auto"/>
              <w:right w:val="single" w:sz="4" w:space="0" w:color="auto"/>
            </w:tcBorders>
            <w:shd w:val="clear" w:color="auto" w:fill="auto"/>
            <w:noWrap/>
            <w:vAlign w:val="center"/>
            <w:hideMark/>
          </w:tcPr>
          <w:p w14:paraId="5269C931" w14:textId="77777777" w:rsidR="008606F8" w:rsidRPr="00BD177B" w:rsidRDefault="008606F8" w:rsidP="008606F8">
            <w:pPr>
              <w:jc w:val="both"/>
              <w:rPr>
                <w:sz w:val="20"/>
                <w:szCs w:val="20"/>
                <w:lang w:eastAsia="hr-HR"/>
              </w:rPr>
            </w:pPr>
            <w:r w:rsidRPr="00BD177B">
              <w:rPr>
                <w:rFonts w:eastAsia="Times New Roman"/>
                <w:sz w:val="20"/>
                <w:szCs w:val="20"/>
              </w:rPr>
              <w:t>Razvoj širokopojasnih mreža</w:t>
            </w:r>
          </w:p>
        </w:tc>
        <w:tc>
          <w:tcPr>
            <w:tcW w:w="851" w:type="dxa"/>
            <w:tcBorders>
              <w:top w:val="nil"/>
              <w:left w:val="nil"/>
              <w:bottom w:val="single" w:sz="4" w:space="0" w:color="auto"/>
              <w:right w:val="single" w:sz="4" w:space="0" w:color="auto"/>
            </w:tcBorders>
            <w:shd w:val="clear" w:color="auto" w:fill="auto"/>
            <w:noWrap/>
            <w:vAlign w:val="center"/>
          </w:tcPr>
          <w:p w14:paraId="3F583285" w14:textId="76CB673B" w:rsidR="008606F8" w:rsidRPr="00BD177B" w:rsidRDefault="008606F8" w:rsidP="008606F8">
            <w:pPr>
              <w:jc w:val="right"/>
              <w:rPr>
                <w:sz w:val="20"/>
                <w:szCs w:val="20"/>
              </w:rPr>
            </w:pPr>
            <w:r w:rsidRPr="00BD177B">
              <w:rPr>
                <w:rFonts w:eastAsia="Times New Roman"/>
                <w:sz w:val="20"/>
                <w:szCs w:val="20"/>
                <w:lang w:eastAsia="hr-HR"/>
              </w:rPr>
              <w:t>10,6</w:t>
            </w:r>
          </w:p>
        </w:tc>
        <w:tc>
          <w:tcPr>
            <w:tcW w:w="850" w:type="dxa"/>
            <w:tcBorders>
              <w:top w:val="nil"/>
              <w:left w:val="nil"/>
              <w:bottom w:val="single" w:sz="4" w:space="0" w:color="auto"/>
              <w:right w:val="single" w:sz="4" w:space="0" w:color="auto"/>
            </w:tcBorders>
            <w:shd w:val="clear" w:color="auto" w:fill="auto"/>
            <w:noWrap/>
            <w:vAlign w:val="center"/>
          </w:tcPr>
          <w:p w14:paraId="3596EA5D" w14:textId="6EFC1DF2" w:rsidR="008606F8" w:rsidRPr="00BD177B" w:rsidRDefault="008606F8" w:rsidP="008606F8">
            <w:pPr>
              <w:jc w:val="right"/>
              <w:rPr>
                <w:sz w:val="20"/>
                <w:szCs w:val="20"/>
              </w:rPr>
            </w:pPr>
            <w:r w:rsidRPr="00BD177B">
              <w:rPr>
                <w:sz w:val="20"/>
              </w:rPr>
              <w:t>–</w:t>
            </w:r>
          </w:p>
        </w:tc>
        <w:tc>
          <w:tcPr>
            <w:tcW w:w="851" w:type="dxa"/>
            <w:tcBorders>
              <w:top w:val="nil"/>
              <w:left w:val="nil"/>
              <w:bottom w:val="single" w:sz="4" w:space="0" w:color="auto"/>
              <w:right w:val="single" w:sz="4" w:space="0" w:color="auto"/>
            </w:tcBorders>
            <w:shd w:val="clear" w:color="auto" w:fill="auto"/>
            <w:noWrap/>
            <w:vAlign w:val="center"/>
          </w:tcPr>
          <w:p w14:paraId="79A9C7A6" w14:textId="330659AF" w:rsidR="008606F8" w:rsidRPr="00BD177B" w:rsidRDefault="008606F8" w:rsidP="008606F8">
            <w:pPr>
              <w:jc w:val="right"/>
              <w:rPr>
                <w:sz w:val="20"/>
                <w:szCs w:val="20"/>
              </w:rPr>
            </w:pPr>
            <w:r w:rsidRPr="00BD177B">
              <w:rPr>
                <w:sz w:val="20"/>
              </w:rPr>
              <w:t>–</w:t>
            </w:r>
          </w:p>
        </w:tc>
        <w:tc>
          <w:tcPr>
            <w:tcW w:w="756" w:type="dxa"/>
            <w:tcBorders>
              <w:top w:val="nil"/>
              <w:left w:val="nil"/>
              <w:bottom w:val="single" w:sz="4" w:space="0" w:color="auto"/>
              <w:right w:val="single" w:sz="4" w:space="0" w:color="auto"/>
            </w:tcBorders>
            <w:shd w:val="clear" w:color="auto" w:fill="auto"/>
            <w:noWrap/>
            <w:vAlign w:val="center"/>
          </w:tcPr>
          <w:p w14:paraId="015D31A8" w14:textId="68E33DEE" w:rsidR="008606F8" w:rsidRPr="00BD177B" w:rsidRDefault="008606F8" w:rsidP="008606F8">
            <w:pPr>
              <w:jc w:val="right"/>
              <w:rPr>
                <w:sz w:val="20"/>
                <w:szCs w:val="20"/>
              </w:rPr>
            </w:pPr>
            <w:r w:rsidRPr="00BD177B">
              <w:rPr>
                <w:sz w:val="20"/>
              </w:rPr>
              <w:t>–</w:t>
            </w:r>
          </w:p>
        </w:tc>
        <w:tc>
          <w:tcPr>
            <w:tcW w:w="760" w:type="dxa"/>
            <w:tcBorders>
              <w:top w:val="nil"/>
              <w:left w:val="nil"/>
              <w:bottom w:val="single" w:sz="4" w:space="0" w:color="auto"/>
              <w:right w:val="single" w:sz="4" w:space="0" w:color="auto"/>
            </w:tcBorders>
            <w:shd w:val="clear" w:color="auto" w:fill="auto"/>
            <w:noWrap/>
            <w:vAlign w:val="center"/>
          </w:tcPr>
          <w:p w14:paraId="6F46A15E" w14:textId="56A950BF" w:rsidR="008606F8" w:rsidRPr="00BD177B" w:rsidRDefault="008606F8" w:rsidP="008606F8">
            <w:pPr>
              <w:jc w:val="right"/>
              <w:rPr>
                <w:sz w:val="20"/>
                <w:szCs w:val="20"/>
              </w:rPr>
            </w:pPr>
            <w:r w:rsidRPr="00BD177B">
              <w:rPr>
                <w:sz w:val="20"/>
              </w:rPr>
              <w:t>–</w:t>
            </w:r>
          </w:p>
        </w:tc>
        <w:tc>
          <w:tcPr>
            <w:tcW w:w="992" w:type="dxa"/>
            <w:tcBorders>
              <w:top w:val="nil"/>
              <w:left w:val="nil"/>
              <w:bottom w:val="single" w:sz="4" w:space="0" w:color="auto"/>
              <w:right w:val="single" w:sz="4" w:space="0" w:color="auto"/>
            </w:tcBorders>
            <w:shd w:val="clear" w:color="auto" w:fill="auto"/>
            <w:noWrap/>
            <w:vAlign w:val="center"/>
          </w:tcPr>
          <w:p w14:paraId="03A97ADB" w14:textId="36B8F170" w:rsidR="008606F8" w:rsidRPr="00BD177B" w:rsidRDefault="008606F8" w:rsidP="008606F8">
            <w:pPr>
              <w:jc w:val="right"/>
              <w:rPr>
                <w:sz w:val="20"/>
                <w:szCs w:val="20"/>
              </w:rPr>
            </w:pPr>
            <w:r w:rsidRPr="00BD177B">
              <w:rPr>
                <w:rFonts w:eastAsia="Times New Roman"/>
                <w:sz w:val="20"/>
                <w:szCs w:val="20"/>
                <w:lang w:eastAsia="hr-HR"/>
              </w:rPr>
              <w:t>10,6</w:t>
            </w:r>
          </w:p>
        </w:tc>
      </w:tr>
      <w:tr w:rsidR="008606F8" w:rsidRPr="00BD177B" w14:paraId="1567E300"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3FB21A60" w14:textId="76A73AE1" w:rsidR="008606F8" w:rsidRPr="00BD177B" w:rsidRDefault="008606F8" w:rsidP="008606F8">
            <w:pPr>
              <w:jc w:val="both"/>
              <w:rPr>
                <w:b/>
                <w:bCs/>
                <w:sz w:val="20"/>
                <w:szCs w:val="20"/>
                <w:lang w:eastAsia="hr-HR"/>
              </w:rPr>
            </w:pPr>
          </w:p>
        </w:tc>
        <w:tc>
          <w:tcPr>
            <w:tcW w:w="3740" w:type="dxa"/>
            <w:gridSpan w:val="2"/>
            <w:tcBorders>
              <w:top w:val="single" w:sz="4" w:space="0" w:color="auto"/>
              <w:left w:val="nil"/>
              <w:bottom w:val="single" w:sz="4" w:space="0" w:color="auto"/>
              <w:right w:val="nil"/>
            </w:tcBorders>
            <w:shd w:val="clear" w:color="auto" w:fill="auto"/>
            <w:vAlign w:val="center"/>
            <w:hideMark/>
          </w:tcPr>
          <w:p w14:paraId="2EAAAD38" w14:textId="77777777" w:rsidR="008606F8" w:rsidRPr="00BD177B" w:rsidRDefault="008606F8" w:rsidP="008606F8">
            <w:pPr>
              <w:jc w:val="both"/>
              <w:rPr>
                <w:b/>
                <w:bCs/>
                <w:i/>
                <w:iCs/>
                <w:sz w:val="20"/>
                <w:szCs w:val="20"/>
                <w:lang w:eastAsia="hr-HR"/>
              </w:rPr>
            </w:pPr>
            <w:r w:rsidRPr="00BD177B">
              <w:rPr>
                <w:b/>
                <w:bCs/>
                <w:i/>
                <w:iCs/>
                <w:sz w:val="20"/>
                <w:szCs w:val="20"/>
                <w:lang w:eastAsia="hr-HR"/>
              </w:rPr>
              <w:t>Regionalne potpore</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4C3F6BD" w14:textId="122E0A94"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9,0</w:t>
            </w:r>
          </w:p>
        </w:tc>
        <w:tc>
          <w:tcPr>
            <w:tcW w:w="850" w:type="dxa"/>
            <w:tcBorders>
              <w:top w:val="nil"/>
              <w:left w:val="nil"/>
              <w:bottom w:val="single" w:sz="4" w:space="0" w:color="auto"/>
              <w:right w:val="single" w:sz="4" w:space="0" w:color="auto"/>
            </w:tcBorders>
            <w:shd w:val="clear" w:color="auto" w:fill="auto"/>
            <w:noWrap/>
            <w:vAlign w:val="center"/>
          </w:tcPr>
          <w:p w14:paraId="4CDD8FBE" w14:textId="11449B1C" w:rsidR="008606F8" w:rsidRPr="00BD177B" w:rsidRDefault="004A7564" w:rsidP="008606F8">
            <w:pPr>
              <w:jc w:val="right"/>
              <w:rPr>
                <w:rFonts w:eastAsia="Times New Roman"/>
                <w:b/>
                <w:bCs/>
                <w:sz w:val="20"/>
                <w:szCs w:val="20"/>
                <w:lang w:eastAsia="hr-HR"/>
              </w:rPr>
            </w:pPr>
            <w:r w:rsidRPr="00BD177B">
              <w:rPr>
                <w:rFonts w:eastAsia="Times New Roman"/>
                <w:b/>
                <w:bCs/>
                <w:sz w:val="20"/>
                <w:szCs w:val="20"/>
                <w:lang w:eastAsia="hr-HR"/>
              </w:rPr>
              <w:t>115,9</w:t>
            </w:r>
          </w:p>
        </w:tc>
        <w:tc>
          <w:tcPr>
            <w:tcW w:w="851" w:type="dxa"/>
            <w:tcBorders>
              <w:top w:val="nil"/>
              <w:left w:val="nil"/>
              <w:bottom w:val="single" w:sz="4" w:space="0" w:color="auto"/>
              <w:right w:val="single" w:sz="4" w:space="0" w:color="auto"/>
            </w:tcBorders>
            <w:shd w:val="clear" w:color="auto" w:fill="auto"/>
            <w:noWrap/>
            <w:vAlign w:val="center"/>
          </w:tcPr>
          <w:p w14:paraId="6AE0591E" w14:textId="207530CE" w:rsidR="008606F8" w:rsidRPr="00BD177B" w:rsidRDefault="008606F8" w:rsidP="008606F8">
            <w:pPr>
              <w:jc w:val="right"/>
              <w:rPr>
                <w:b/>
                <w:sz w:val="20"/>
                <w:szCs w:val="20"/>
              </w:rPr>
            </w:pPr>
            <w:r w:rsidRPr="00BD177B">
              <w:rPr>
                <w:b/>
                <w:sz w:val="20"/>
              </w:rPr>
              <w:t>–</w:t>
            </w:r>
          </w:p>
        </w:tc>
        <w:tc>
          <w:tcPr>
            <w:tcW w:w="756" w:type="dxa"/>
            <w:tcBorders>
              <w:top w:val="nil"/>
              <w:left w:val="nil"/>
              <w:bottom w:val="single" w:sz="4" w:space="0" w:color="auto"/>
              <w:right w:val="single" w:sz="4" w:space="0" w:color="auto"/>
            </w:tcBorders>
            <w:shd w:val="clear" w:color="auto" w:fill="auto"/>
            <w:noWrap/>
            <w:vAlign w:val="center"/>
          </w:tcPr>
          <w:p w14:paraId="3BC7BFB9" w14:textId="72B3CB59"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5,6</w:t>
            </w:r>
          </w:p>
        </w:tc>
        <w:tc>
          <w:tcPr>
            <w:tcW w:w="760" w:type="dxa"/>
            <w:tcBorders>
              <w:top w:val="nil"/>
              <w:left w:val="nil"/>
              <w:bottom w:val="single" w:sz="4" w:space="0" w:color="auto"/>
              <w:right w:val="single" w:sz="4" w:space="0" w:color="auto"/>
            </w:tcBorders>
            <w:shd w:val="clear" w:color="auto" w:fill="auto"/>
            <w:noWrap/>
            <w:vAlign w:val="center"/>
          </w:tcPr>
          <w:p w14:paraId="7912DE5E" w14:textId="1E7A0F58" w:rsidR="008606F8" w:rsidRPr="00BD177B" w:rsidRDefault="008606F8" w:rsidP="008606F8">
            <w:pPr>
              <w:jc w:val="right"/>
              <w:rPr>
                <w:b/>
                <w:sz w:val="20"/>
                <w:szCs w:val="20"/>
              </w:rPr>
            </w:pPr>
            <w:r w:rsidRPr="00BD177B">
              <w:rPr>
                <w:rFonts w:eastAsia="Times New Roman"/>
                <w:b/>
                <w:bCs/>
                <w:sz w:val="20"/>
                <w:szCs w:val="20"/>
                <w:lang w:eastAsia="hr-HR"/>
              </w:rPr>
              <w:t>4,4</w:t>
            </w:r>
          </w:p>
        </w:tc>
        <w:tc>
          <w:tcPr>
            <w:tcW w:w="992" w:type="dxa"/>
            <w:tcBorders>
              <w:top w:val="nil"/>
              <w:left w:val="nil"/>
              <w:bottom w:val="single" w:sz="4" w:space="0" w:color="auto"/>
              <w:right w:val="single" w:sz="4" w:space="0" w:color="auto"/>
            </w:tcBorders>
            <w:shd w:val="clear" w:color="auto" w:fill="auto"/>
            <w:noWrap/>
            <w:vAlign w:val="center"/>
          </w:tcPr>
          <w:p w14:paraId="63E9A4E5" w14:textId="072BA493"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134,9</w:t>
            </w:r>
          </w:p>
        </w:tc>
      </w:tr>
      <w:tr w:rsidR="008606F8" w:rsidRPr="00BD177B" w14:paraId="28F4098B" w14:textId="77777777" w:rsidTr="008606F8">
        <w:trPr>
          <w:trHeight w:val="51"/>
        </w:trPr>
        <w:tc>
          <w:tcPr>
            <w:tcW w:w="366" w:type="dxa"/>
            <w:tcBorders>
              <w:top w:val="nil"/>
              <w:left w:val="single" w:sz="4" w:space="0" w:color="auto"/>
              <w:bottom w:val="nil"/>
              <w:right w:val="single" w:sz="4" w:space="0" w:color="auto"/>
            </w:tcBorders>
            <w:shd w:val="clear" w:color="auto" w:fill="auto"/>
            <w:noWrap/>
            <w:vAlign w:val="center"/>
          </w:tcPr>
          <w:p w14:paraId="4D7C2980" w14:textId="77777777" w:rsidR="008606F8" w:rsidRPr="00BD177B" w:rsidRDefault="008606F8" w:rsidP="008606F8">
            <w:pPr>
              <w:jc w:val="both"/>
              <w:rPr>
                <w:b/>
                <w:bCs/>
                <w:sz w:val="20"/>
                <w:szCs w:val="20"/>
                <w:lang w:eastAsia="hr-HR"/>
              </w:rPr>
            </w:pPr>
          </w:p>
        </w:tc>
        <w:tc>
          <w:tcPr>
            <w:tcW w:w="3740" w:type="dxa"/>
            <w:gridSpan w:val="2"/>
            <w:tcBorders>
              <w:top w:val="single" w:sz="4" w:space="0" w:color="auto"/>
              <w:left w:val="nil"/>
              <w:bottom w:val="single" w:sz="4" w:space="0" w:color="auto"/>
              <w:right w:val="nil"/>
            </w:tcBorders>
            <w:shd w:val="clear" w:color="auto" w:fill="auto"/>
            <w:vAlign w:val="center"/>
          </w:tcPr>
          <w:p w14:paraId="2F50FDAD" w14:textId="77777777" w:rsidR="008606F8" w:rsidRPr="00BD177B" w:rsidRDefault="008606F8" w:rsidP="008606F8">
            <w:pPr>
              <w:jc w:val="both"/>
              <w:rPr>
                <w:b/>
                <w:bCs/>
                <w:i/>
                <w:iCs/>
                <w:sz w:val="20"/>
                <w:szCs w:val="20"/>
                <w:lang w:eastAsia="hr-HR"/>
              </w:rPr>
            </w:pPr>
            <w:r w:rsidRPr="00BD177B">
              <w:rPr>
                <w:b/>
                <w:bCs/>
                <w:i/>
                <w:iCs/>
                <w:sz w:val="20"/>
                <w:szCs w:val="20"/>
                <w:lang w:eastAsia="hr-HR"/>
              </w:rPr>
              <w:t>Potpore na lokalnoj razini</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1209815" w14:textId="62DE0529"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164,4</w:t>
            </w:r>
          </w:p>
        </w:tc>
        <w:tc>
          <w:tcPr>
            <w:tcW w:w="850" w:type="dxa"/>
            <w:tcBorders>
              <w:top w:val="nil"/>
              <w:left w:val="nil"/>
              <w:bottom w:val="single" w:sz="4" w:space="0" w:color="auto"/>
              <w:right w:val="single" w:sz="4" w:space="0" w:color="auto"/>
            </w:tcBorders>
            <w:shd w:val="clear" w:color="auto" w:fill="auto"/>
            <w:noWrap/>
            <w:vAlign w:val="center"/>
          </w:tcPr>
          <w:p w14:paraId="6A774D58" w14:textId="091698D8" w:rsidR="008606F8" w:rsidRPr="00BD177B" w:rsidRDefault="008606F8" w:rsidP="008606F8">
            <w:pPr>
              <w:jc w:val="right"/>
              <w:rPr>
                <w:b/>
                <w:sz w:val="20"/>
                <w:szCs w:val="20"/>
              </w:rPr>
            </w:pPr>
            <w:r w:rsidRPr="00BD177B">
              <w:rPr>
                <w:rFonts w:eastAsia="Times New Roman"/>
                <w:b/>
                <w:bCs/>
                <w:sz w:val="20"/>
                <w:szCs w:val="20"/>
                <w:lang w:eastAsia="hr-HR"/>
              </w:rPr>
              <w:t>1,3</w:t>
            </w:r>
          </w:p>
        </w:tc>
        <w:tc>
          <w:tcPr>
            <w:tcW w:w="851" w:type="dxa"/>
            <w:tcBorders>
              <w:top w:val="nil"/>
              <w:left w:val="nil"/>
              <w:bottom w:val="single" w:sz="4" w:space="0" w:color="auto"/>
              <w:right w:val="single" w:sz="4" w:space="0" w:color="auto"/>
            </w:tcBorders>
            <w:shd w:val="clear" w:color="auto" w:fill="auto"/>
            <w:noWrap/>
            <w:vAlign w:val="center"/>
          </w:tcPr>
          <w:p w14:paraId="7DDF2280" w14:textId="651F8E2B" w:rsidR="008606F8" w:rsidRPr="00BD177B" w:rsidRDefault="008606F8" w:rsidP="008606F8">
            <w:pPr>
              <w:jc w:val="right"/>
              <w:rPr>
                <w:b/>
                <w:sz w:val="20"/>
                <w:szCs w:val="20"/>
              </w:rPr>
            </w:pPr>
            <w:r w:rsidRPr="00BD177B">
              <w:rPr>
                <w:rFonts w:eastAsia="Times New Roman"/>
                <w:b/>
                <w:bCs/>
                <w:sz w:val="20"/>
                <w:szCs w:val="20"/>
                <w:lang w:eastAsia="hr-HR"/>
              </w:rPr>
              <w:t>1,7</w:t>
            </w:r>
          </w:p>
        </w:tc>
        <w:tc>
          <w:tcPr>
            <w:tcW w:w="756" w:type="dxa"/>
            <w:tcBorders>
              <w:top w:val="nil"/>
              <w:left w:val="nil"/>
              <w:bottom w:val="single" w:sz="4" w:space="0" w:color="auto"/>
              <w:right w:val="single" w:sz="4" w:space="0" w:color="auto"/>
            </w:tcBorders>
            <w:shd w:val="clear" w:color="auto" w:fill="auto"/>
            <w:noWrap/>
            <w:vAlign w:val="center"/>
          </w:tcPr>
          <w:p w14:paraId="743B7A2A" w14:textId="2CAD6528" w:rsidR="008606F8" w:rsidRPr="00BD177B" w:rsidRDefault="008606F8" w:rsidP="008606F8">
            <w:pPr>
              <w:jc w:val="right"/>
              <w:rPr>
                <w:b/>
                <w:sz w:val="20"/>
                <w:szCs w:val="20"/>
              </w:rPr>
            </w:pPr>
            <w:r w:rsidRPr="00BD177B">
              <w:rPr>
                <w:b/>
                <w:sz w:val="20"/>
              </w:rPr>
              <w:t>–</w:t>
            </w:r>
          </w:p>
        </w:tc>
        <w:tc>
          <w:tcPr>
            <w:tcW w:w="760" w:type="dxa"/>
            <w:tcBorders>
              <w:top w:val="nil"/>
              <w:left w:val="nil"/>
              <w:bottom w:val="single" w:sz="4" w:space="0" w:color="auto"/>
              <w:right w:val="single" w:sz="4" w:space="0" w:color="auto"/>
            </w:tcBorders>
            <w:shd w:val="clear" w:color="auto" w:fill="auto"/>
            <w:noWrap/>
            <w:vAlign w:val="center"/>
          </w:tcPr>
          <w:p w14:paraId="28CA8C3A" w14:textId="0E13EF6A" w:rsidR="008606F8" w:rsidRPr="00BD177B" w:rsidRDefault="008606F8" w:rsidP="008606F8">
            <w:pPr>
              <w:jc w:val="right"/>
              <w:rPr>
                <w:b/>
                <w:sz w:val="20"/>
                <w:szCs w:val="20"/>
              </w:rPr>
            </w:pPr>
            <w:r w:rsidRPr="00BD177B">
              <w:rPr>
                <w:b/>
                <w:sz w:val="20"/>
              </w:rPr>
              <w:t>–</w:t>
            </w:r>
          </w:p>
        </w:tc>
        <w:tc>
          <w:tcPr>
            <w:tcW w:w="992" w:type="dxa"/>
            <w:tcBorders>
              <w:top w:val="nil"/>
              <w:left w:val="nil"/>
              <w:bottom w:val="single" w:sz="4" w:space="0" w:color="auto"/>
              <w:right w:val="single" w:sz="4" w:space="0" w:color="auto"/>
            </w:tcBorders>
            <w:shd w:val="clear" w:color="auto" w:fill="auto"/>
            <w:noWrap/>
            <w:vAlign w:val="center"/>
          </w:tcPr>
          <w:p w14:paraId="7D72675B" w14:textId="6BC92EC3"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167,4</w:t>
            </w:r>
          </w:p>
        </w:tc>
      </w:tr>
      <w:tr w:rsidR="008606F8" w:rsidRPr="00BD177B" w14:paraId="4531046C" w14:textId="77777777" w:rsidTr="008606F8">
        <w:trPr>
          <w:trHeight w:val="51"/>
        </w:trPr>
        <w:tc>
          <w:tcPr>
            <w:tcW w:w="366" w:type="dxa"/>
            <w:tcBorders>
              <w:top w:val="nil"/>
              <w:left w:val="single" w:sz="4" w:space="0" w:color="auto"/>
              <w:bottom w:val="double" w:sz="4" w:space="0" w:color="auto"/>
              <w:right w:val="single" w:sz="4" w:space="0" w:color="auto"/>
            </w:tcBorders>
            <w:shd w:val="clear" w:color="auto" w:fill="auto"/>
            <w:noWrap/>
            <w:vAlign w:val="center"/>
          </w:tcPr>
          <w:p w14:paraId="351EDA29" w14:textId="77777777" w:rsidR="008606F8" w:rsidRPr="00BD177B" w:rsidRDefault="008606F8" w:rsidP="008606F8">
            <w:pPr>
              <w:jc w:val="both"/>
              <w:rPr>
                <w:b/>
                <w:bCs/>
                <w:sz w:val="20"/>
                <w:szCs w:val="20"/>
                <w:lang w:eastAsia="hr-HR"/>
              </w:rPr>
            </w:pPr>
          </w:p>
        </w:tc>
        <w:tc>
          <w:tcPr>
            <w:tcW w:w="3740" w:type="dxa"/>
            <w:gridSpan w:val="2"/>
            <w:tcBorders>
              <w:top w:val="single" w:sz="4" w:space="0" w:color="auto"/>
              <w:left w:val="nil"/>
              <w:bottom w:val="double" w:sz="4" w:space="0" w:color="auto"/>
              <w:right w:val="nil"/>
            </w:tcBorders>
            <w:shd w:val="clear" w:color="auto" w:fill="auto"/>
            <w:vAlign w:val="center"/>
          </w:tcPr>
          <w:p w14:paraId="7BA4275D" w14:textId="2C903FA8" w:rsidR="008606F8" w:rsidRPr="00BD177B" w:rsidRDefault="008606F8" w:rsidP="008606F8">
            <w:pPr>
              <w:jc w:val="both"/>
              <w:rPr>
                <w:b/>
                <w:bCs/>
                <w:i/>
                <w:iCs/>
                <w:sz w:val="20"/>
                <w:szCs w:val="20"/>
                <w:lang w:eastAsia="hr-HR"/>
              </w:rPr>
            </w:pPr>
            <w:r w:rsidRPr="00BD177B">
              <w:rPr>
                <w:b/>
                <w:i/>
                <w:sz w:val="20"/>
                <w:szCs w:val="20"/>
              </w:rPr>
              <w:t>Potpore za suzbijanje učinaka COVID-a i ruske agresije na Ukrajinu</w:t>
            </w:r>
          </w:p>
        </w:tc>
        <w:tc>
          <w:tcPr>
            <w:tcW w:w="851" w:type="dxa"/>
            <w:tcBorders>
              <w:top w:val="nil"/>
              <w:left w:val="single" w:sz="4" w:space="0" w:color="auto"/>
              <w:bottom w:val="double" w:sz="4" w:space="0" w:color="auto"/>
              <w:right w:val="single" w:sz="4" w:space="0" w:color="auto"/>
            </w:tcBorders>
            <w:shd w:val="clear" w:color="auto" w:fill="auto"/>
            <w:noWrap/>
            <w:vAlign w:val="center"/>
          </w:tcPr>
          <w:p w14:paraId="63871E22" w14:textId="15D914EF"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0,1</w:t>
            </w:r>
          </w:p>
        </w:tc>
        <w:tc>
          <w:tcPr>
            <w:tcW w:w="850" w:type="dxa"/>
            <w:tcBorders>
              <w:top w:val="nil"/>
              <w:left w:val="nil"/>
              <w:bottom w:val="double" w:sz="4" w:space="0" w:color="auto"/>
              <w:right w:val="single" w:sz="4" w:space="0" w:color="auto"/>
            </w:tcBorders>
            <w:shd w:val="clear" w:color="auto" w:fill="auto"/>
            <w:noWrap/>
            <w:vAlign w:val="center"/>
          </w:tcPr>
          <w:p w14:paraId="519BE839" w14:textId="7D67D955" w:rsidR="008606F8" w:rsidRPr="00BD177B" w:rsidRDefault="008606F8" w:rsidP="008606F8">
            <w:pPr>
              <w:jc w:val="right"/>
              <w:rPr>
                <w:b/>
                <w:sz w:val="20"/>
                <w:szCs w:val="20"/>
              </w:rPr>
            </w:pPr>
            <w:r w:rsidRPr="00BD177B">
              <w:rPr>
                <w:b/>
                <w:sz w:val="20"/>
              </w:rPr>
              <w:t>–</w:t>
            </w:r>
          </w:p>
        </w:tc>
        <w:tc>
          <w:tcPr>
            <w:tcW w:w="851" w:type="dxa"/>
            <w:tcBorders>
              <w:top w:val="nil"/>
              <w:left w:val="nil"/>
              <w:bottom w:val="double" w:sz="4" w:space="0" w:color="auto"/>
              <w:right w:val="single" w:sz="4" w:space="0" w:color="auto"/>
            </w:tcBorders>
            <w:shd w:val="clear" w:color="auto" w:fill="auto"/>
            <w:noWrap/>
            <w:vAlign w:val="center"/>
          </w:tcPr>
          <w:p w14:paraId="6528C5CC" w14:textId="791E0A25" w:rsidR="008606F8" w:rsidRPr="00BD177B" w:rsidRDefault="008606F8" w:rsidP="008606F8">
            <w:pPr>
              <w:jc w:val="right"/>
              <w:rPr>
                <w:rFonts w:eastAsia="Times New Roman"/>
                <w:b/>
                <w:bCs/>
                <w:sz w:val="20"/>
                <w:szCs w:val="20"/>
                <w:lang w:eastAsia="hr-HR"/>
              </w:rPr>
            </w:pPr>
            <w:r w:rsidRPr="00BD177B">
              <w:rPr>
                <w:b/>
                <w:sz w:val="20"/>
              </w:rPr>
              <w:t>–</w:t>
            </w:r>
          </w:p>
        </w:tc>
        <w:tc>
          <w:tcPr>
            <w:tcW w:w="756" w:type="dxa"/>
            <w:tcBorders>
              <w:top w:val="nil"/>
              <w:left w:val="nil"/>
              <w:bottom w:val="double" w:sz="4" w:space="0" w:color="auto"/>
              <w:right w:val="single" w:sz="4" w:space="0" w:color="auto"/>
            </w:tcBorders>
            <w:shd w:val="clear" w:color="auto" w:fill="auto"/>
            <w:noWrap/>
            <w:vAlign w:val="center"/>
          </w:tcPr>
          <w:p w14:paraId="6838FCF2" w14:textId="51F2090C"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w:t>
            </w:r>
            <w:r w:rsidR="004A7564" w:rsidRPr="00BD177B">
              <w:rPr>
                <w:rFonts w:eastAsia="Times New Roman"/>
                <w:b/>
                <w:bCs/>
                <w:sz w:val="20"/>
                <w:szCs w:val="20"/>
                <w:lang w:eastAsia="hr-HR"/>
              </w:rPr>
              <w:t>4</w:t>
            </w:r>
          </w:p>
        </w:tc>
        <w:tc>
          <w:tcPr>
            <w:tcW w:w="760" w:type="dxa"/>
            <w:tcBorders>
              <w:top w:val="nil"/>
              <w:left w:val="nil"/>
              <w:bottom w:val="double" w:sz="4" w:space="0" w:color="auto"/>
              <w:right w:val="single" w:sz="4" w:space="0" w:color="auto"/>
            </w:tcBorders>
            <w:shd w:val="clear" w:color="auto" w:fill="auto"/>
            <w:noWrap/>
            <w:vAlign w:val="center"/>
          </w:tcPr>
          <w:p w14:paraId="6D4CC7F2" w14:textId="16040156" w:rsidR="008606F8" w:rsidRPr="00BD177B" w:rsidRDefault="008606F8" w:rsidP="008606F8">
            <w:pPr>
              <w:jc w:val="right"/>
              <w:rPr>
                <w:rFonts w:eastAsia="Times New Roman"/>
                <w:b/>
                <w:bCs/>
                <w:sz w:val="20"/>
                <w:szCs w:val="20"/>
                <w:lang w:eastAsia="hr-HR"/>
              </w:rPr>
            </w:pPr>
            <w:r w:rsidRPr="00BD177B">
              <w:rPr>
                <w:b/>
                <w:sz w:val="20"/>
              </w:rPr>
              <w:t>–</w:t>
            </w:r>
          </w:p>
        </w:tc>
        <w:tc>
          <w:tcPr>
            <w:tcW w:w="992" w:type="dxa"/>
            <w:tcBorders>
              <w:top w:val="nil"/>
              <w:left w:val="nil"/>
              <w:bottom w:val="double" w:sz="4" w:space="0" w:color="auto"/>
              <w:right w:val="single" w:sz="4" w:space="0" w:color="auto"/>
            </w:tcBorders>
            <w:shd w:val="clear" w:color="auto" w:fill="auto"/>
            <w:noWrap/>
            <w:vAlign w:val="center"/>
          </w:tcPr>
          <w:p w14:paraId="359F8EAB" w14:textId="1C892214"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2,5</w:t>
            </w:r>
          </w:p>
        </w:tc>
      </w:tr>
      <w:tr w:rsidR="008606F8" w:rsidRPr="00BD177B" w14:paraId="06012146" w14:textId="77777777" w:rsidTr="008606F8">
        <w:trPr>
          <w:trHeight w:val="51"/>
        </w:trPr>
        <w:tc>
          <w:tcPr>
            <w:tcW w:w="4106" w:type="dxa"/>
            <w:gridSpan w:val="3"/>
            <w:tcBorders>
              <w:top w:val="double" w:sz="4" w:space="0" w:color="auto"/>
              <w:left w:val="single" w:sz="4" w:space="0" w:color="auto"/>
              <w:bottom w:val="double" w:sz="4" w:space="0" w:color="auto"/>
              <w:right w:val="single" w:sz="4" w:space="0" w:color="000000"/>
            </w:tcBorders>
            <w:shd w:val="clear" w:color="000000" w:fill="FFFF99"/>
            <w:noWrap/>
            <w:vAlign w:val="center"/>
            <w:hideMark/>
          </w:tcPr>
          <w:p w14:paraId="048375F6" w14:textId="77777777" w:rsidR="008606F8" w:rsidRPr="00BD177B" w:rsidRDefault="008606F8" w:rsidP="008606F8">
            <w:pPr>
              <w:jc w:val="both"/>
              <w:rPr>
                <w:b/>
                <w:bCs/>
                <w:sz w:val="20"/>
                <w:szCs w:val="20"/>
                <w:lang w:eastAsia="hr-HR"/>
              </w:rPr>
            </w:pPr>
            <w:r w:rsidRPr="00BD177B">
              <w:rPr>
                <w:b/>
                <w:bCs/>
                <w:sz w:val="20"/>
                <w:szCs w:val="20"/>
                <w:lang w:eastAsia="hr-HR"/>
              </w:rPr>
              <w:t>UKUPNO</w:t>
            </w:r>
          </w:p>
        </w:tc>
        <w:tc>
          <w:tcPr>
            <w:tcW w:w="851" w:type="dxa"/>
            <w:tcBorders>
              <w:top w:val="double" w:sz="4" w:space="0" w:color="auto"/>
              <w:left w:val="nil"/>
              <w:bottom w:val="double" w:sz="4" w:space="0" w:color="auto"/>
              <w:right w:val="single" w:sz="4" w:space="0" w:color="auto"/>
            </w:tcBorders>
            <w:shd w:val="clear" w:color="000000" w:fill="FFFF99"/>
            <w:noWrap/>
            <w:vAlign w:val="center"/>
          </w:tcPr>
          <w:p w14:paraId="4250FFDC" w14:textId="72C6082C"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1.200,0</w:t>
            </w:r>
          </w:p>
        </w:tc>
        <w:tc>
          <w:tcPr>
            <w:tcW w:w="850" w:type="dxa"/>
            <w:tcBorders>
              <w:top w:val="double" w:sz="4" w:space="0" w:color="auto"/>
              <w:left w:val="nil"/>
              <w:bottom w:val="double" w:sz="4" w:space="0" w:color="auto"/>
              <w:right w:val="single" w:sz="4" w:space="0" w:color="auto"/>
            </w:tcBorders>
            <w:shd w:val="clear" w:color="000000" w:fill="FFFF99"/>
            <w:noWrap/>
            <w:vAlign w:val="center"/>
          </w:tcPr>
          <w:p w14:paraId="38747C2E" w14:textId="1A898053"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202,</w:t>
            </w:r>
            <w:r w:rsidR="004A7564" w:rsidRPr="00BD177B">
              <w:rPr>
                <w:rFonts w:eastAsia="Times New Roman"/>
                <w:b/>
                <w:bCs/>
                <w:sz w:val="20"/>
                <w:szCs w:val="20"/>
                <w:lang w:eastAsia="hr-HR"/>
              </w:rPr>
              <w:t>9</w:t>
            </w:r>
          </w:p>
        </w:tc>
        <w:tc>
          <w:tcPr>
            <w:tcW w:w="851" w:type="dxa"/>
            <w:tcBorders>
              <w:top w:val="double" w:sz="4" w:space="0" w:color="auto"/>
              <w:left w:val="nil"/>
              <w:bottom w:val="double" w:sz="4" w:space="0" w:color="auto"/>
              <w:right w:val="single" w:sz="4" w:space="0" w:color="auto"/>
            </w:tcBorders>
            <w:shd w:val="clear" w:color="000000" w:fill="FFFF99"/>
            <w:noWrap/>
            <w:vAlign w:val="center"/>
          </w:tcPr>
          <w:p w14:paraId="67CCC1B5" w14:textId="38BBC349"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1,7</w:t>
            </w:r>
          </w:p>
        </w:tc>
        <w:tc>
          <w:tcPr>
            <w:tcW w:w="756" w:type="dxa"/>
            <w:tcBorders>
              <w:top w:val="double" w:sz="4" w:space="0" w:color="auto"/>
              <w:left w:val="nil"/>
              <w:bottom w:val="double" w:sz="4" w:space="0" w:color="auto"/>
              <w:right w:val="single" w:sz="4" w:space="0" w:color="auto"/>
            </w:tcBorders>
            <w:shd w:val="clear" w:color="000000" w:fill="FFFF99"/>
            <w:noWrap/>
            <w:vAlign w:val="center"/>
          </w:tcPr>
          <w:p w14:paraId="35302428" w14:textId="0472135B" w:rsidR="008606F8" w:rsidRPr="00BD177B" w:rsidRDefault="008606F8" w:rsidP="004A7564">
            <w:pPr>
              <w:jc w:val="right"/>
              <w:rPr>
                <w:rFonts w:eastAsia="Times New Roman"/>
                <w:b/>
                <w:bCs/>
                <w:sz w:val="20"/>
                <w:szCs w:val="20"/>
                <w:lang w:eastAsia="hr-HR"/>
              </w:rPr>
            </w:pPr>
            <w:r w:rsidRPr="00BD177B">
              <w:rPr>
                <w:rFonts w:eastAsia="Times New Roman"/>
                <w:b/>
                <w:bCs/>
                <w:sz w:val="20"/>
                <w:szCs w:val="20"/>
                <w:lang w:eastAsia="hr-HR"/>
              </w:rPr>
              <w:t>2</w:t>
            </w:r>
            <w:r w:rsidR="004A7564" w:rsidRPr="00BD177B">
              <w:rPr>
                <w:rFonts w:eastAsia="Times New Roman"/>
                <w:b/>
                <w:bCs/>
                <w:sz w:val="20"/>
                <w:szCs w:val="20"/>
                <w:lang w:eastAsia="hr-HR"/>
              </w:rPr>
              <w:t>4</w:t>
            </w:r>
            <w:r w:rsidRPr="00BD177B">
              <w:rPr>
                <w:rFonts w:eastAsia="Times New Roman"/>
                <w:b/>
                <w:bCs/>
                <w:sz w:val="20"/>
                <w:szCs w:val="20"/>
                <w:lang w:eastAsia="hr-HR"/>
              </w:rPr>
              <w:t>,</w:t>
            </w:r>
            <w:r w:rsidR="004A7564" w:rsidRPr="00BD177B">
              <w:rPr>
                <w:rFonts w:eastAsia="Times New Roman"/>
                <w:b/>
                <w:bCs/>
                <w:sz w:val="20"/>
                <w:szCs w:val="20"/>
                <w:lang w:eastAsia="hr-HR"/>
              </w:rPr>
              <w:t>9</w:t>
            </w:r>
          </w:p>
        </w:tc>
        <w:tc>
          <w:tcPr>
            <w:tcW w:w="760" w:type="dxa"/>
            <w:tcBorders>
              <w:top w:val="double" w:sz="4" w:space="0" w:color="auto"/>
              <w:left w:val="nil"/>
              <w:bottom w:val="double" w:sz="4" w:space="0" w:color="auto"/>
              <w:right w:val="single" w:sz="4" w:space="0" w:color="auto"/>
            </w:tcBorders>
            <w:shd w:val="clear" w:color="000000" w:fill="FFFF99"/>
            <w:noWrap/>
            <w:vAlign w:val="center"/>
          </w:tcPr>
          <w:p w14:paraId="12E7DF7C" w14:textId="2BD50001"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19,6</w:t>
            </w:r>
          </w:p>
        </w:tc>
        <w:tc>
          <w:tcPr>
            <w:tcW w:w="992" w:type="dxa"/>
            <w:tcBorders>
              <w:top w:val="double" w:sz="4" w:space="0" w:color="auto"/>
              <w:left w:val="nil"/>
              <w:bottom w:val="double" w:sz="4" w:space="0" w:color="auto"/>
              <w:right w:val="single" w:sz="4" w:space="0" w:color="auto"/>
            </w:tcBorders>
            <w:shd w:val="clear" w:color="000000" w:fill="FFFF99"/>
            <w:noWrap/>
            <w:vAlign w:val="center"/>
          </w:tcPr>
          <w:p w14:paraId="6475606D" w14:textId="039E0F85" w:rsidR="008606F8" w:rsidRPr="00BD177B" w:rsidRDefault="008606F8" w:rsidP="008606F8">
            <w:pPr>
              <w:jc w:val="right"/>
              <w:rPr>
                <w:rFonts w:eastAsia="Times New Roman"/>
                <w:b/>
                <w:bCs/>
                <w:sz w:val="20"/>
                <w:szCs w:val="20"/>
                <w:lang w:eastAsia="hr-HR"/>
              </w:rPr>
            </w:pPr>
            <w:r w:rsidRPr="00BD177B">
              <w:rPr>
                <w:rFonts w:eastAsia="Times New Roman"/>
                <w:b/>
                <w:bCs/>
                <w:sz w:val="20"/>
                <w:szCs w:val="20"/>
                <w:lang w:eastAsia="hr-HR"/>
              </w:rPr>
              <w:t>1.449,1</w:t>
            </w:r>
          </w:p>
        </w:tc>
      </w:tr>
    </w:tbl>
    <w:p w14:paraId="74662E94" w14:textId="322DD750" w:rsidR="008C2D7C" w:rsidRPr="00BD177B" w:rsidRDefault="008C2D7C" w:rsidP="008C2D7C">
      <w:pPr>
        <w:contextualSpacing/>
        <w:jc w:val="both"/>
        <w:rPr>
          <w:i/>
          <w:sz w:val="20"/>
        </w:rPr>
      </w:pPr>
      <w:r w:rsidRPr="00BD177B">
        <w:rPr>
          <w:i/>
          <w:sz w:val="20"/>
        </w:rPr>
        <w:t>Izvor: Ministarstvo financija i davatelji potpora; podaci obrađeni u Ministarstvu financija</w:t>
      </w:r>
    </w:p>
    <w:p w14:paraId="4B947BB1" w14:textId="77777777" w:rsidR="00CE087A" w:rsidRPr="00BD177B" w:rsidRDefault="00CE087A" w:rsidP="008C2D7C">
      <w:pPr>
        <w:jc w:val="both"/>
      </w:pPr>
    </w:p>
    <w:p w14:paraId="5F261D50" w14:textId="7CF5C1CB" w:rsidR="002E1CBE" w:rsidRPr="00BD177B" w:rsidRDefault="002E1CBE" w:rsidP="002E1CBE">
      <w:pPr>
        <w:contextualSpacing/>
        <w:jc w:val="both"/>
      </w:pPr>
      <w:r w:rsidRPr="00BD177B">
        <w:t xml:space="preserve">Slika </w:t>
      </w:r>
      <w:r w:rsidR="00653C5E" w:rsidRPr="00BD177B">
        <w:t>2</w:t>
      </w:r>
      <w:r w:rsidRPr="00BD177B">
        <w:t>. Ukupne potpore prema instrumentima dodjele u 202</w:t>
      </w:r>
      <w:r w:rsidR="00653C5E" w:rsidRPr="00BD177B">
        <w:t>4</w:t>
      </w:r>
      <w:r w:rsidRPr="00BD177B">
        <w:t>. godini</w:t>
      </w:r>
      <w:r w:rsidRPr="00BD177B">
        <w:rPr>
          <w:rStyle w:val="FootnoteReference"/>
        </w:rPr>
        <w:footnoteReference w:id="19"/>
      </w:r>
    </w:p>
    <w:p w14:paraId="06F1F4C6" w14:textId="065A5479" w:rsidR="00886D03" w:rsidRPr="00BD177B" w:rsidRDefault="00886D03" w:rsidP="00BE487D">
      <w:pPr>
        <w:jc w:val="both"/>
        <w:rPr>
          <w:sz w:val="20"/>
        </w:rPr>
      </w:pPr>
    </w:p>
    <w:p w14:paraId="5267669F" w14:textId="22CE883D" w:rsidR="00932D15" w:rsidRPr="00BD177B" w:rsidRDefault="00932D15" w:rsidP="00932D15">
      <w:pPr>
        <w:jc w:val="center"/>
        <w:rPr>
          <w:sz w:val="20"/>
        </w:rPr>
      </w:pPr>
      <w:r w:rsidRPr="00BD177B">
        <w:rPr>
          <w:noProof/>
          <w:lang w:eastAsia="hr-HR"/>
        </w:rPr>
        <w:drawing>
          <wp:inline distT="0" distB="0" distL="0" distR="0" wp14:anchorId="684D5669" wp14:editId="55133F47">
            <wp:extent cx="3716867" cy="2133600"/>
            <wp:effectExtent l="0" t="0" r="171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057B67" w14:textId="77777777" w:rsidR="00932D15" w:rsidRPr="00BD177B" w:rsidRDefault="00932D15" w:rsidP="00932D15">
      <w:pPr>
        <w:contextualSpacing/>
        <w:jc w:val="center"/>
        <w:rPr>
          <w:i/>
          <w:sz w:val="20"/>
        </w:rPr>
      </w:pPr>
      <w:r w:rsidRPr="00BD177B">
        <w:rPr>
          <w:i/>
          <w:sz w:val="20"/>
        </w:rPr>
        <w:t>Izvor: Ministarstvo financija i davatelji potpora; podaci obrađeni u Ministarstvu financija</w:t>
      </w:r>
    </w:p>
    <w:p w14:paraId="4DCDB5AA" w14:textId="4018F002" w:rsidR="009073B7" w:rsidRPr="00BD177B" w:rsidRDefault="009073B7" w:rsidP="009073B7"/>
    <w:p w14:paraId="4C065C3C" w14:textId="07FFA2BB" w:rsidR="00FE2D9A" w:rsidRPr="00BD177B" w:rsidRDefault="00FE2D9A" w:rsidP="00BE487D">
      <w:pPr>
        <w:jc w:val="both"/>
      </w:pPr>
      <w:r w:rsidRPr="00BD177B">
        <w:rPr>
          <w:u w:val="single"/>
        </w:rPr>
        <w:t xml:space="preserve">Potpore </w:t>
      </w:r>
      <w:r w:rsidR="001054B3" w:rsidRPr="00BD177B">
        <w:rPr>
          <w:u w:val="single"/>
        </w:rPr>
        <w:t xml:space="preserve">u </w:t>
      </w:r>
      <w:r w:rsidRPr="00BD177B">
        <w:rPr>
          <w:u w:val="single"/>
        </w:rPr>
        <w:t>sektoru poljoprivrede i ribarstva</w:t>
      </w:r>
      <w:r w:rsidRPr="00BD177B">
        <w:t xml:space="preserve"> dodijeljene su </w:t>
      </w:r>
      <w:r w:rsidR="009A7BB3" w:rsidRPr="00BD177B">
        <w:t>u 202</w:t>
      </w:r>
      <w:r w:rsidR="00932D15" w:rsidRPr="00BD177B">
        <w:t>4</w:t>
      </w:r>
      <w:r w:rsidR="009A7BB3" w:rsidRPr="00BD177B">
        <w:t xml:space="preserve">. godini </w:t>
      </w:r>
      <w:r w:rsidRPr="00BD177B">
        <w:t xml:space="preserve">u iznosu od </w:t>
      </w:r>
      <w:r w:rsidR="00932D15" w:rsidRPr="00BD177B">
        <w:t xml:space="preserve">128,2 </w:t>
      </w:r>
      <w:r w:rsidRPr="00BD177B">
        <w:t xml:space="preserve">milijuna </w:t>
      </w:r>
      <w:r w:rsidR="00E54C8B" w:rsidRPr="00BD177B">
        <w:t>eura</w:t>
      </w:r>
      <w:r w:rsidRPr="00BD177B">
        <w:t xml:space="preserve">, </w:t>
      </w:r>
      <w:r w:rsidR="009A7BB3" w:rsidRPr="00BD177B">
        <w:t xml:space="preserve">i </w:t>
      </w:r>
      <w:r w:rsidR="009E49EE" w:rsidRPr="00BD177B">
        <w:t xml:space="preserve">to </w:t>
      </w:r>
      <w:r w:rsidRPr="00BD177B">
        <w:t xml:space="preserve">putem </w:t>
      </w:r>
      <w:r w:rsidR="00932D15" w:rsidRPr="00BD177B">
        <w:t xml:space="preserve">poreznih olakšica u iznosu od 66,2 milijuna eura ili s udjelom od 51,6 posto u sektoru poljoprivrede i ribarstva te putem </w:t>
      </w:r>
      <w:r w:rsidRPr="00BD177B">
        <w:t xml:space="preserve">subvencija </w:t>
      </w:r>
      <w:r w:rsidR="009B43B6" w:rsidRPr="00BD177B">
        <w:t>sa</w:t>
      </w:r>
      <w:r w:rsidRPr="00BD177B">
        <w:t xml:space="preserve"> </w:t>
      </w:r>
      <w:r w:rsidR="00932D15" w:rsidRPr="00BD177B">
        <w:t xml:space="preserve">62 </w:t>
      </w:r>
      <w:r w:rsidRPr="00BD177B">
        <w:t xml:space="preserve">milijuna </w:t>
      </w:r>
      <w:r w:rsidR="00E54C8B" w:rsidRPr="00BD177B">
        <w:t xml:space="preserve">eura </w:t>
      </w:r>
      <w:r w:rsidRPr="00BD177B">
        <w:t xml:space="preserve">ili </w:t>
      </w:r>
      <w:r w:rsidR="00932D15" w:rsidRPr="00BD177B">
        <w:t xml:space="preserve">48,4 </w:t>
      </w:r>
      <w:r w:rsidRPr="00BD177B">
        <w:t>posto.</w:t>
      </w:r>
    </w:p>
    <w:p w14:paraId="2606CC1D" w14:textId="77777777" w:rsidR="000250C6" w:rsidRPr="00BD177B" w:rsidRDefault="000250C6" w:rsidP="00BE487D">
      <w:pPr>
        <w:jc w:val="both"/>
      </w:pPr>
    </w:p>
    <w:p w14:paraId="3605801B" w14:textId="0F026271" w:rsidR="00FE2D9A" w:rsidRPr="00BD177B" w:rsidRDefault="00FE2D9A" w:rsidP="00BE487D">
      <w:pPr>
        <w:jc w:val="both"/>
      </w:pPr>
      <w:r w:rsidRPr="00BD177B">
        <w:rPr>
          <w:u w:val="single"/>
        </w:rPr>
        <w:t xml:space="preserve">Potpore </w:t>
      </w:r>
      <w:r w:rsidR="00E54C8B" w:rsidRPr="00BD177B">
        <w:rPr>
          <w:u w:val="single"/>
        </w:rPr>
        <w:t xml:space="preserve">u </w:t>
      </w:r>
      <w:r w:rsidRPr="00BD177B">
        <w:rPr>
          <w:u w:val="single"/>
        </w:rPr>
        <w:t>sektoru industrije i usluga</w:t>
      </w:r>
      <w:r w:rsidRPr="00BD177B">
        <w:t xml:space="preserve"> </w:t>
      </w:r>
      <w:r w:rsidR="00620C08" w:rsidRPr="00BD177B">
        <w:t>dodijeljene su u 202</w:t>
      </w:r>
      <w:r w:rsidR="000C2299" w:rsidRPr="00BD177B">
        <w:t>4</w:t>
      </w:r>
      <w:r w:rsidR="00620C08" w:rsidRPr="00BD177B">
        <w:t xml:space="preserve">. godini </w:t>
      </w:r>
      <w:r w:rsidR="00DF0232" w:rsidRPr="00BD177B">
        <w:t xml:space="preserve">u iznosu </w:t>
      </w:r>
      <w:r w:rsidRPr="00BD177B">
        <w:t xml:space="preserve">od </w:t>
      </w:r>
      <w:r w:rsidR="00BD177B" w:rsidRPr="00BD177B">
        <w:t>1,3 milijarde eura</w:t>
      </w:r>
      <w:r w:rsidRPr="00BD177B">
        <w:t xml:space="preserve">, putem subvencija i neposrednih subvencija kamata u iznosu od </w:t>
      </w:r>
      <w:r w:rsidR="00BD177B" w:rsidRPr="00BD177B">
        <w:t xml:space="preserve">1,1 milijarde eura </w:t>
      </w:r>
      <w:r w:rsidRPr="00BD177B">
        <w:t xml:space="preserve">ili s </w:t>
      </w:r>
      <w:r w:rsidR="00842357" w:rsidRPr="00BD177B">
        <w:t>u</w:t>
      </w:r>
      <w:r w:rsidRPr="00BD177B">
        <w:t xml:space="preserve">djelom </w:t>
      </w:r>
      <w:r w:rsidR="00842357" w:rsidRPr="00BD177B">
        <w:t xml:space="preserve">od </w:t>
      </w:r>
      <w:r w:rsidR="000C2299" w:rsidRPr="00BD177B">
        <w:t xml:space="preserve">86,2 </w:t>
      </w:r>
      <w:r w:rsidR="00842357" w:rsidRPr="00BD177B">
        <w:t xml:space="preserve">posto </w:t>
      </w:r>
      <w:r w:rsidRPr="00BD177B">
        <w:t xml:space="preserve">u sektoru industrije i usluga, slijede </w:t>
      </w:r>
      <w:r w:rsidR="000C2299" w:rsidRPr="00BD177B">
        <w:t xml:space="preserve">porezne olakšice </w:t>
      </w:r>
      <w:r w:rsidR="009E49EE" w:rsidRPr="00BD177B">
        <w:t>sa</w:t>
      </w:r>
      <w:r w:rsidR="000C2299" w:rsidRPr="00BD177B">
        <w:t xml:space="preserve"> 136,7 milijuna </w:t>
      </w:r>
      <w:r w:rsidR="000C2299" w:rsidRPr="00BD177B">
        <w:lastRenderedPageBreak/>
        <w:t>eura ili 10,3 posto, povoljni zajmovi s 2</w:t>
      </w:r>
      <w:r w:rsidR="000250C6" w:rsidRPr="00BD177B">
        <w:t>4,9</w:t>
      </w:r>
      <w:r w:rsidR="000C2299" w:rsidRPr="00BD177B">
        <w:t xml:space="preserve"> milijuna eura ili 1,9 posto, </w:t>
      </w:r>
      <w:r w:rsidR="00842357" w:rsidRPr="00BD177B">
        <w:t xml:space="preserve">izdana </w:t>
      </w:r>
      <w:r w:rsidRPr="00BD177B">
        <w:t xml:space="preserve">jamstva </w:t>
      </w:r>
      <w:r w:rsidR="009E49EE" w:rsidRPr="00BD177B">
        <w:t>s</w:t>
      </w:r>
      <w:r w:rsidRPr="00BD177B">
        <w:t xml:space="preserve"> </w:t>
      </w:r>
      <w:r w:rsidR="000C2299" w:rsidRPr="00BD177B">
        <w:t>19,6</w:t>
      </w:r>
      <w:r w:rsidR="00E54C8B" w:rsidRPr="00BD177B">
        <w:t xml:space="preserve"> </w:t>
      </w:r>
      <w:r w:rsidRPr="00BD177B">
        <w:t>milijun</w:t>
      </w:r>
      <w:r w:rsidR="000C2299" w:rsidRPr="00BD177B">
        <w:t>a</w:t>
      </w:r>
      <w:r w:rsidRPr="00BD177B">
        <w:t xml:space="preserve"> </w:t>
      </w:r>
      <w:r w:rsidR="00E54C8B" w:rsidRPr="00BD177B">
        <w:t xml:space="preserve">eura </w:t>
      </w:r>
      <w:r w:rsidRPr="00BD177B">
        <w:t xml:space="preserve">ili </w:t>
      </w:r>
      <w:r w:rsidR="000C2299" w:rsidRPr="00BD177B">
        <w:t>1,5</w:t>
      </w:r>
      <w:r w:rsidRPr="00BD177B">
        <w:rPr>
          <w:rFonts w:eastAsia="Times New Roman"/>
        </w:rPr>
        <w:t xml:space="preserve"> </w:t>
      </w:r>
      <w:r w:rsidRPr="00BD177B">
        <w:t xml:space="preserve">posto </w:t>
      </w:r>
      <w:r w:rsidR="00E54C8B" w:rsidRPr="00BD177B">
        <w:t>te</w:t>
      </w:r>
      <w:r w:rsidR="000C2299" w:rsidRPr="00BD177B">
        <w:t xml:space="preserve"> kapitalna ulaganja </w:t>
      </w:r>
      <w:r w:rsidR="009E49EE" w:rsidRPr="00BD177B">
        <w:t>s</w:t>
      </w:r>
      <w:r w:rsidR="000C2299" w:rsidRPr="00BD177B">
        <w:t xml:space="preserve"> 1,7 milijuna eura ili 0,1</w:t>
      </w:r>
      <w:r w:rsidR="000C2299" w:rsidRPr="00BD177B">
        <w:rPr>
          <w:rFonts w:eastAsia="Times New Roman"/>
        </w:rPr>
        <w:t xml:space="preserve"> </w:t>
      </w:r>
      <w:r w:rsidR="000C2299" w:rsidRPr="00BD177B">
        <w:t>posto.</w:t>
      </w:r>
    </w:p>
    <w:p w14:paraId="4ED234D1" w14:textId="77777777" w:rsidR="000250C6" w:rsidRPr="00BD177B" w:rsidRDefault="000250C6" w:rsidP="00BE487D">
      <w:pPr>
        <w:jc w:val="both"/>
      </w:pPr>
    </w:p>
    <w:p w14:paraId="691325C3" w14:textId="0FD77573" w:rsidR="003E3F81" w:rsidRPr="00BD177B" w:rsidRDefault="00FE2D9A" w:rsidP="003E3F81">
      <w:pPr>
        <w:jc w:val="both"/>
      </w:pPr>
      <w:r w:rsidRPr="00BD177B">
        <w:rPr>
          <w:u w:val="single"/>
        </w:rPr>
        <w:t xml:space="preserve">Potpore </w:t>
      </w:r>
      <w:r w:rsidR="00503FDB" w:rsidRPr="00BD177B">
        <w:rPr>
          <w:u w:val="single"/>
        </w:rPr>
        <w:t>horizontalnim</w:t>
      </w:r>
      <w:r w:rsidRPr="00BD177B">
        <w:rPr>
          <w:u w:val="single"/>
        </w:rPr>
        <w:t xml:space="preserve"> ciljev</w:t>
      </w:r>
      <w:r w:rsidR="00503FDB" w:rsidRPr="00BD177B">
        <w:rPr>
          <w:u w:val="single"/>
        </w:rPr>
        <w:t>ima</w:t>
      </w:r>
      <w:r w:rsidRPr="00BD177B">
        <w:rPr>
          <w:u w:val="single"/>
        </w:rPr>
        <w:t xml:space="preserve"> ili „horizontalne potpore u užem smislu“</w:t>
      </w:r>
      <w:r w:rsidR="003E3F81" w:rsidRPr="00BD177B">
        <w:rPr>
          <w:b/>
        </w:rPr>
        <w:t xml:space="preserve"> </w:t>
      </w:r>
      <w:r w:rsidR="00503FDB" w:rsidRPr="00BD177B">
        <w:t xml:space="preserve">dodijeljene su </w:t>
      </w:r>
      <w:r w:rsidR="003E3F81" w:rsidRPr="00BD177B">
        <w:t>u 202</w:t>
      </w:r>
      <w:r w:rsidR="000C2299" w:rsidRPr="00BD177B">
        <w:t>4</w:t>
      </w:r>
      <w:r w:rsidR="003E3F81" w:rsidRPr="00BD177B">
        <w:t xml:space="preserve">. godini u iznosu od </w:t>
      </w:r>
      <w:r w:rsidR="000C2299" w:rsidRPr="00BD177B">
        <w:t>213,</w:t>
      </w:r>
      <w:r w:rsidR="000250C6" w:rsidRPr="00BD177B">
        <w:t>5</w:t>
      </w:r>
      <w:r w:rsidR="000C2299" w:rsidRPr="00BD177B">
        <w:t xml:space="preserve"> </w:t>
      </w:r>
      <w:r w:rsidRPr="00BD177B">
        <w:t xml:space="preserve">milijuna </w:t>
      </w:r>
      <w:r w:rsidR="00C71DA7" w:rsidRPr="00BD177B">
        <w:t>eura</w:t>
      </w:r>
      <w:r w:rsidRPr="00BD177B">
        <w:t xml:space="preserve">, </w:t>
      </w:r>
      <w:r w:rsidR="003E3F81" w:rsidRPr="00BD177B">
        <w:t xml:space="preserve">putem </w:t>
      </w:r>
      <w:r w:rsidRPr="00BD177B">
        <w:t xml:space="preserve">subvencija </w:t>
      </w:r>
      <w:r w:rsidR="003E3F81" w:rsidRPr="00BD177B">
        <w:t>i</w:t>
      </w:r>
      <w:r w:rsidRPr="00BD177B">
        <w:t xml:space="preserve"> neposrednih subvencija kamata u iznosu od </w:t>
      </w:r>
      <w:r w:rsidR="00CB466E" w:rsidRPr="00BD177B">
        <w:t>21</w:t>
      </w:r>
      <w:r w:rsidR="000250C6" w:rsidRPr="00BD177B">
        <w:t>2,9</w:t>
      </w:r>
      <w:r w:rsidR="00CB466E" w:rsidRPr="00BD177B">
        <w:t xml:space="preserve"> </w:t>
      </w:r>
      <w:r w:rsidRPr="00BD177B">
        <w:t>milijun</w:t>
      </w:r>
      <w:r w:rsidR="00C71DA7" w:rsidRPr="00BD177B">
        <w:t xml:space="preserve">a eura </w:t>
      </w:r>
      <w:r w:rsidRPr="00BD177B">
        <w:t xml:space="preserve">ili s udjelom od </w:t>
      </w:r>
      <w:r w:rsidR="00CB466E" w:rsidRPr="00BD177B">
        <w:t>99,7</w:t>
      </w:r>
      <w:r w:rsidRPr="00BD177B">
        <w:rPr>
          <w:rFonts w:eastAsia="Times New Roman"/>
        </w:rPr>
        <w:t xml:space="preserve"> </w:t>
      </w:r>
      <w:r w:rsidRPr="00BD177B">
        <w:t>posto</w:t>
      </w:r>
      <w:r w:rsidR="003E3F81" w:rsidRPr="00BD177B">
        <w:t xml:space="preserve"> u</w:t>
      </w:r>
      <w:r w:rsidRPr="00BD177B">
        <w:t xml:space="preserve"> horizontalni</w:t>
      </w:r>
      <w:r w:rsidR="003E3F81" w:rsidRPr="00BD177B">
        <w:t>m</w:t>
      </w:r>
      <w:r w:rsidR="00D27C89" w:rsidRPr="00BD177B">
        <w:t xml:space="preserve"> ciljev</w:t>
      </w:r>
      <w:r w:rsidR="003E3F81" w:rsidRPr="00BD177B">
        <w:t>ima</w:t>
      </w:r>
      <w:r w:rsidR="00CB466E" w:rsidRPr="00BD177B">
        <w:t xml:space="preserve"> te kroz </w:t>
      </w:r>
      <w:r w:rsidR="003E3F81" w:rsidRPr="00BD177B">
        <w:t>povoljn</w:t>
      </w:r>
      <w:r w:rsidR="00CB466E" w:rsidRPr="00BD177B">
        <w:t>e</w:t>
      </w:r>
      <w:r w:rsidR="003E3F81" w:rsidRPr="00BD177B">
        <w:t xml:space="preserve"> zajmov</w:t>
      </w:r>
      <w:r w:rsidR="00CB466E" w:rsidRPr="00BD177B">
        <w:t>e</w:t>
      </w:r>
      <w:r w:rsidR="003E3F81" w:rsidRPr="00BD177B">
        <w:t xml:space="preserve"> </w:t>
      </w:r>
      <w:r w:rsidR="00CB466E" w:rsidRPr="00BD177B">
        <w:t xml:space="preserve">556.518,12 </w:t>
      </w:r>
      <w:r w:rsidR="00C71DA7" w:rsidRPr="00BD177B">
        <w:t xml:space="preserve">eura </w:t>
      </w:r>
      <w:r w:rsidR="003E3F81" w:rsidRPr="00BD177B">
        <w:t>ili 0,</w:t>
      </w:r>
      <w:r w:rsidR="00CB466E" w:rsidRPr="00BD177B">
        <w:t>3</w:t>
      </w:r>
      <w:r w:rsidR="003E3F81" w:rsidRPr="00BD177B">
        <w:t xml:space="preserve"> posto.</w:t>
      </w:r>
    </w:p>
    <w:p w14:paraId="4D472CB3" w14:textId="77777777" w:rsidR="000250C6" w:rsidRPr="00BD177B" w:rsidRDefault="000250C6" w:rsidP="003E3F81">
      <w:pPr>
        <w:jc w:val="both"/>
      </w:pPr>
    </w:p>
    <w:p w14:paraId="7A8AA14B" w14:textId="7FF51725" w:rsidR="007C318A" w:rsidRPr="00BD177B" w:rsidRDefault="007C318A" w:rsidP="007C318A">
      <w:pPr>
        <w:jc w:val="both"/>
      </w:pPr>
      <w:r w:rsidRPr="00BD177B">
        <w:rPr>
          <w:u w:val="single"/>
        </w:rPr>
        <w:t>Potpore posebnim sektorima</w:t>
      </w:r>
      <w:r w:rsidRPr="00BD177B">
        <w:t xml:space="preserve"> </w:t>
      </w:r>
      <w:r w:rsidR="00503FDB" w:rsidRPr="00BD177B">
        <w:t xml:space="preserve">dodijeljene su </w:t>
      </w:r>
      <w:r w:rsidRPr="00BD177B">
        <w:t>u 202</w:t>
      </w:r>
      <w:r w:rsidR="00CB466E" w:rsidRPr="00BD177B">
        <w:t>4</w:t>
      </w:r>
      <w:r w:rsidRPr="00BD177B">
        <w:t xml:space="preserve">. godini u iznosu od </w:t>
      </w:r>
      <w:r w:rsidR="00CB466E" w:rsidRPr="00BD177B">
        <w:t xml:space="preserve">802,6 </w:t>
      </w:r>
      <w:r w:rsidRPr="00BD177B">
        <w:t xml:space="preserve">milijuna </w:t>
      </w:r>
      <w:r w:rsidR="00C71DA7" w:rsidRPr="00BD177B">
        <w:t>eura</w:t>
      </w:r>
      <w:r w:rsidRPr="00BD177B">
        <w:t xml:space="preserve">, </w:t>
      </w:r>
      <w:r w:rsidR="00C71DA7" w:rsidRPr="00BD177B">
        <w:t xml:space="preserve">i to </w:t>
      </w:r>
      <w:r w:rsidRPr="00BD177B">
        <w:t xml:space="preserve">najvećem dijelom putem subvencija i neposrednih subvencija kamata u iznosu od </w:t>
      </w:r>
      <w:r w:rsidR="00CB466E" w:rsidRPr="00BD177B">
        <w:t xml:space="preserve">751,6 </w:t>
      </w:r>
      <w:r w:rsidRPr="00BD177B">
        <w:t>milijun</w:t>
      </w:r>
      <w:r w:rsidR="00C71DA7" w:rsidRPr="00BD177B">
        <w:t>a</w:t>
      </w:r>
      <w:r w:rsidRPr="00BD177B">
        <w:t xml:space="preserve"> </w:t>
      </w:r>
      <w:r w:rsidR="00C71DA7" w:rsidRPr="00BD177B">
        <w:t xml:space="preserve">eura </w:t>
      </w:r>
      <w:r w:rsidRPr="00BD177B">
        <w:t xml:space="preserve">ili s udjelom od </w:t>
      </w:r>
      <w:r w:rsidR="00CB466E" w:rsidRPr="00BD177B">
        <w:t>93,</w:t>
      </w:r>
      <w:r w:rsidR="003246C9" w:rsidRPr="00BD177B">
        <w:t>7</w:t>
      </w:r>
      <w:r w:rsidR="00CB466E" w:rsidRPr="00BD177B">
        <w:t xml:space="preserve"> </w:t>
      </w:r>
      <w:r w:rsidRPr="00BD177B">
        <w:t xml:space="preserve">posto u posebnim sektorima, slijede </w:t>
      </w:r>
      <w:r w:rsidR="00CB466E" w:rsidRPr="00BD177B">
        <w:t xml:space="preserve">porezne olakšice </w:t>
      </w:r>
      <w:r w:rsidR="009E49EE" w:rsidRPr="00BD177B">
        <w:t>s</w:t>
      </w:r>
      <w:r w:rsidR="00CB466E" w:rsidRPr="00BD177B">
        <w:t xml:space="preserve"> 19,5 milijuna eura ili 2,4 posto, povoljni zajmovi </w:t>
      </w:r>
      <w:r w:rsidR="009E49EE" w:rsidRPr="00BD177B">
        <w:t>sa</w:t>
      </w:r>
      <w:r w:rsidR="00CB466E" w:rsidRPr="00BD177B">
        <w:t xml:space="preserve"> 16,</w:t>
      </w:r>
      <w:r w:rsidR="000250C6" w:rsidRPr="00BD177B">
        <w:t>3</w:t>
      </w:r>
      <w:r w:rsidR="00CB466E" w:rsidRPr="00BD177B">
        <w:t xml:space="preserve"> milijuna eura ili 2 posto te </w:t>
      </w:r>
      <w:r w:rsidRPr="00BD177B">
        <w:t xml:space="preserve">izdana jamstva </w:t>
      </w:r>
      <w:r w:rsidR="009E49EE" w:rsidRPr="00BD177B">
        <w:t>s</w:t>
      </w:r>
      <w:r w:rsidRPr="00BD177B">
        <w:t xml:space="preserve"> </w:t>
      </w:r>
      <w:r w:rsidR="00CB466E" w:rsidRPr="00BD177B">
        <w:t xml:space="preserve">15,2 </w:t>
      </w:r>
      <w:r w:rsidRPr="00BD177B">
        <w:t>milijun</w:t>
      </w:r>
      <w:r w:rsidR="00C71DA7" w:rsidRPr="00BD177B">
        <w:t>a</w:t>
      </w:r>
      <w:r w:rsidRPr="00BD177B">
        <w:t xml:space="preserve"> </w:t>
      </w:r>
      <w:r w:rsidR="00C71DA7" w:rsidRPr="00BD177B">
        <w:t xml:space="preserve">eura </w:t>
      </w:r>
      <w:r w:rsidRPr="00BD177B">
        <w:t xml:space="preserve">ili </w:t>
      </w:r>
      <w:r w:rsidR="00CB466E" w:rsidRPr="00BD177B">
        <w:t>1,9</w:t>
      </w:r>
      <w:r w:rsidRPr="00BD177B">
        <w:rPr>
          <w:rFonts w:eastAsia="Times New Roman"/>
        </w:rPr>
        <w:t xml:space="preserve"> </w:t>
      </w:r>
      <w:r w:rsidR="00CB466E" w:rsidRPr="00BD177B">
        <w:t>posto</w:t>
      </w:r>
      <w:r w:rsidRPr="00BD177B">
        <w:t>.</w:t>
      </w:r>
    </w:p>
    <w:p w14:paraId="28D4E0FD" w14:textId="77777777" w:rsidR="000250C6" w:rsidRPr="00BD177B" w:rsidRDefault="000250C6" w:rsidP="003E3F81">
      <w:pPr>
        <w:jc w:val="both"/>
      </w:pPr>
    </w:p>
    <w:p w14:paraId="7329A246" w14:textId="4E389B89" w:rsidR="00C71DA7" w:rsidRPr="00BD177B" w:rsidRDefault="00FE2D9A" w:rsidP="00C71DA7">
      <w:pPr>
        <w:jc w:val="both"/>
      </w:pPr>
      <w:r w:rsidRPr="00BD177B">
        <w:rPr>
          <w:u w:val="single"/>
        </w:rPr>
        <w:t>Regionalne potpore</w:t>
      </w:r>
      <w:r w:rsidRPr="00BD177B">
        <w:t xml:space="preserve"> </w:t>
      </w:r>
      <w:r w:rsidR="00503FDB" w:rsidRPr="00BD177B">
        <w:t xml:space="preserve">dodijeljene su </w:t>
      </w:r>
      <w:r w:rsidR="00F43A0B" w:rsidRPr="00BD177B">
        <w:t>u 202</w:t>
      </w:r>
      <w:r w:rsidR="009B43B6" w:rsidRPr="00BD177B">
        <w:t>4</w:t>
      </w:r>
      <w:r w:rsidR="00F43A0B" w:rsidRPr="00BD177B">
        <w:t xml:space="preserve">. godini u iznosu od </w:t>
      </w:r>
      <w:r w:rsidR="009B43B6" w:rsidRPr="00BD177B">
        <w:t xml:space="preserve">134,9 </w:t>
      </w:r>
      <w:r w:rsidRPr="00BD177B">
        <w:t>milijun</w:t>
      </w:r>
      <w:r w:rsidR="00503FDB" w:rsidRPr="00BD177B">
        <w:t>a</w:t>
      </w:r>
      <w:r w:rsidRPr="00BD177B">
        <w:t xml:space="preserve"> </w:t>
      </w:r>
      <w:r w:rsidR="00C71DA7" w:rsidRPr="00BD177B">
        <w:t>eura</w:t>
      </w:r>
      <w:r w:rsidRPr="00BD177B">
        <w:t xml:space="preserve">, </w:t>
      </w:r>
      <w:r w:rsidR="00C71DA7" w:rsidRPr="00BD177B">
        <w:t xml:space="preserve">i to </w:t>
      </w:r>
      <w:r w:rsidR="00F43A0B" w:rsidRPr="00BD177B">
        <w:t xml:space="preserve">najvećem dijelom putem poreznih olakšica u iznosu od </w:t>
      </w:r>
      <w:r w:rsidR="009B43B6" w:rsidRPr="00BD177B">
        <w:t>115,</w:t>
      </w:r>
      <w:r w:rsidR="000250C6" w:rsidRPr="00BD177B">
        <w:t>9</w:t>
      </w:r>
      <w:r w:rsidR="009B43B6" w:rsidRPr="00BD177B">
        <w:t xml:space="preserve"> </w:t>
      </w:r>
      <w:r w:rsidR="00F43A0B" w:rsidRPr="00BD177B">
        <w:t xml:space="preserve">milijuna </w:t>
      </w:r>
      <w:r w:rsidR="00C71DA7" w:rsidRPr="00BD177B">
        <w:t xml:space="preserve">eura </w:t>
      </w:r>
      <w:r w:rsidR="00F43A0B" w:rsidRPr="00BD177B">
        <w:t xml:space="preserve">ili s udjelom od </w:t>
      </w:r>
      <w:r w:rsidR="009B43B6" w:rsidRPr="00BD177B">
        <w:t xml:space="preserve">85,9 </w:t>
      </w:r>
      <w:r w:rsidR="00F43A0B" w:rsidRPr="00BD177B">
        <w:t>posto u regionalnim potporama,</w:t>
      </w:r>
      <w:r w:rsidR="004D3787" w:rsidRPr="00BD177B">
        <w:t xml:space="preserve"> slijede </w:t>
      </w:r>
      <w:r w:rsidR="009B43B6" w:rsidRPr="00BD177B">
        <w:t xml:space="preserve">subvencije </w:t>
      </w:r>
      <w:r w:rsidR="009E49EE" w:rsidRPr="00BD177B">
        <w:t>s</w:t>
      </w:r>
      <w:r w:rsidR="009B43B6" w:rsidRPr="00BD177B">
        <w:t xml:space="preserve"> 9 milijuna eura ili 6,7</w:t>
      </w:r>
      <w:r w:rsidR="009B43B6" w:rsidRPr="00BD177B">
        <w:rPr>
          <w:rFonts w:eastAsia="Times New Roman"/>
        </w:rPr>
        <w:t xml:space="preserve"> </w:t>
      </w:r>
      <w:r w:rsidR="009B43B6" w:rsidRPr="00BD177B">
        <w:t xml:space="preserve">posto, </w:t>
      </w:r>
      <w:r w:rsidR="00503FDB" w:rsidRPr="00BD177B">
        <w:t xml:space="preserve">povoljni zajmovi od </w:t>
      </w:r>
      <w:r w:rsidR="009B43B6" w:rsidRPr="00BD177B">
        <w:t>5,6</w:t>
      </w:r>
      <w:r w:rsidR="00C71DA7" w:rsidRPr="00BD177B">
        <w:t xml:space="preserve"> </w:t>
      </w:r>
      <w:r w:rsidR="00503FDB" w:rsidRPr="00BD177B">
        <w:t xml:space="preserve">milijuna </w:t>
      </w:r>
      <w:r w:rsidR="00C71DA7" w:rsidRPr="00BD177B">
        <w:t xml:space="preserve">eura </w:t>
      </w:r>
      <w:r w:rsidR="00503FDB" w:rsidRPr="00BD177B">
        <w:t xml:space="preserve">ili </w:t>
      </w:r>
      <w:r w:rsidR="009B43B6" w:rsidRPr="00BD177B">
        <w:t>4,</w:t>
      </w:r>
      <w:r w:rsidR="003246C9" w:rsidRPr="00BD177B">
        <w:t>1</w:t>
      </w:r>
      <w:r w:rsidR="00503FDB" w:rsidRPr="00BD177B">
        <w:t xml:space="preserve"> posto</w:t>
      </w:r>
      <w:r w:rsidR="00C71DA7" w:rsidRPr="00BD177B">
        <w:t xml:space="preserve"> te izdana jamstva </w:t>
      </w:r>
      <w:r w:rsidR="009E49EE" w:rsidRPr="00BD177B">
        <w:t>sa</w:t>
      </w:r>
      <w:r w:rsidR="00C71DA7" w:rsidRPr="00BD177B">
        <w:t xml:space="preserve"> </w:t>
      </w:r>
      <w:r w:rsidR="009B43B6" w:rsidRPr="00BD177B">
        <w:t xml:space="preserve">4,4 milijuna </w:t>
      </w:r>
      <w:r w:rsidR="00C71DA7" w:rsidRPr="00BD177B">
        <w:t xml:space="preserve">eura ili </w:t>
      </w:r>
      <w:r w:rsidR="009B43B6" w:rsidRPr="00BD177B">
        <w:t>3,3</w:t>
      </w:r>
      <w:r w:rsidR="00C71DA7" w:rsidRPr="00BD177B">
        <w:t xml:space="preserve"> posto.</w:t>
      </w:r>
    </w:p>
    <w:p w14:paraId="6F0C2C56" w14:textId="77777777" w:rsidR="000250C6" w:rsidRPr="00BD177B" w:rsidRDefault="000250C6" w:rsidP="00BE487D">
      <w:pPr>
        <w:jc w:val="both"/>
        <w:rPr>
          <w:b/>
        </w:rPr>
      </w:pPr>
    </w:p>
    <w:p w14:paraId="57BD3F9E" w14:textId="2E3386AA" w:rsidR="009E49EE" w:rsidRPr="00BD177B" w:rsidRDefault="00FE2D9A" w:rsidP="00BE487D">
      <w:pPr>
        <w:jc w:val="both"/>
      </w:pPr>
      <w:r w:rsidRPr="00BD177B">
        <w:rPr>
          <w:u w:val="single"/>
        </w:rPr>
        <w:t xml:space="preserve">Potpore dodijeljene kao </w:t>
      </w:r>
      <w:r w:rsidRPr="00BD177B">
        <w:rPr>
          <w:rFonts w:eastAsia="Times New Roman"/>
          <w:bCs/>
          <w:iCs/>
          <w:u w:val="single"/>
        </w:rPr>
        <w:t>podrška gospodarstvu u COVID-19 pandemiji</w:t>
      </w:r>
      <w:r w:rsidRPr="00BD177B">
        <w:rPr>
          <w:u w:val="single"/>
        </w:rPr>
        <w:t xml:space="preserve"> </w:t>
      </w:r>
      <w:r w:rsidR="001E1E97" w:rsidRPr="00BD177B">
        <w:rPr>
          <w:bCs/>
          <w:u w:val="single"/>
        </w:rPr>
        <w:t>i suzbijanja učinaka ruske agresije na Ukrajinu</w:t>
      </w:r>
      <w:r w:rsidR="001E1E97" w:rsidRPr="00BD177B">
        <w:t xml:space="preserve"> </w:t>
      </w:r>
      <w:r w:rsidR="00D50EB6" w:rsidRPr="00BD177B">
        <w:t xml:space="preserve">dodijeljene su </w:t>
      </w:r>
      <w:r w:rsidR="004D3787" w:rsidRPr="00BD177B">
        <w:t>u 202</w:t>
      </w:r>
      <w:r w:rsidR="009E49EE" w:rsidRPr="00BD177B">
        <w:t>4</w:t>
      </w:r>
      <w:r w:rsidR="004D3787" w:rsidRPr="00BD177B">
        <w:t xml:space="preserve">. godini u iznosu od </w:t>
      </w:r>
      <w:r w:rsidR="009E49EE" w:rsidRPr="00BD177B">
        <w:t>2,5</w:t>
      </w:r>
      <w:r w:rsidR="006227D2" w:rsidRPr="00BD177B">
        <w:t xml:space="preserve"> </w:t>
      </w:r>
      <w:r w:rsidRPr="00BD177B">
        <w:t xml:space="preserve">milijuna </w:t>
      </w:r>
      <w:r w:rsidR="006227D2" w:rsidRPr="00BD177B">
        <w:t>eura</w:t>
      </w:r>
      <w:r w:rsidRPr="00BD177B">
        <w:t xml:space="preserve">, </w:t>
      </w:r>
      <w:r w:rsidR="006227D2" w:rsidRPr="00BD177B">
        <w:t xml:space="preserve">i to </w:t>
      </w:r>
      <w:r w:rsidR="004D3787" w:rsidRPr="00BD177B">
        <w:t>putem</w:t>
      </w:r>
      <w:r w:rsidR="009E49EE" w:rsidRPr="00BD177B">
        <w:t xml:space="preserve"> povoljnih zajmova </w:t>
      </w:r>
      <w:r w:rsidR="004C3C64" w:rsidRPr="00BD177B">
        <w:t>2,5</w:t>
      </w:r>
      <w:r w:rsidR="009E49EE" w:rsidRPr="00BD177B">
        <w:t xml:space="preserve"> milijuna eura ili </w:t>
      </w:r>
      <w:r w:rsidR="004C3C64" w:rsidRPr="00BD177B">
        <w:t>98</w:t>
      </w:r>
      <w:r w:rsidR="009E49EE" w:rsidRPr="00BD177B">
        <w:t xml:space="preserve"> posto</w:t>
      </w:r>
      <w:r w:rsidR="004C3C64" w:rsidRPr="00BD177B">
        <w:t xml:space="preserve"> udjela u navedenim potporama te putem subvencija 55.809,02 eura ili 2 posto.</w:t>
      </w:r>
    </w:p>
    <w:p w14:paraId="3923034B" w14:textId="0E54FBC3" w:rsidR="003246C9" w:rsidRPr="00BD177B" w:rsidRDefault="003246C9" w:rsidP="00BE487D">
      <w:pPr>
        <w:jc w:val="both"/>
      </w:pPr>
    </w:p>
    <w:p w14:paraId="251A9483" w14:textId="6E0406E1" w:rsidR="00FE2D9A" w:rsidRPr="00BD177B" w:rsidRDefault="00FE2D9A" w:rsidP="00BE487D">
      <w:pPr>
        <w:jc w:val="both"/>
      </w:pPr>
      <w:r w:rsidRPr="00BD177B">
        <w:t xml:space="preserve">Tablica </w:t>
      </w:r>
      <w:r w:rsidR="004824D4" w:rsidRPr="00BD177B">
        <w:t>4</w:t>
      </w:r>
      <w:r w:rsidRPr="00BD177B">
        <w:t xml:space="preserve">. </w:t>
      </w:r>
      <w:r w:rsidR="004824D4" w:rsidRPr="00BD177B">
        <w:t>Ukupne p</w:t>
      </w:r>
      <w:r w:rsidRPr="00BD177B">
        <w:t xml:space="preserve">otpore prema instrumentima dodjele </w:t>
      </w:r>
      <w:r w:rsidR="006227D2" w:rsidRPr="00BD177B">
        <w:t>u</w:t>
      </w:r>
      <w:r w:rsidRPr="00BD177B">
        <w:t xml:space="preserve"> razdoblj</w:t>
      </w:r>
      <w:r w:rsidR="006227D2" w:rsidRPr="00BD177B">
        <w:t>u</w:t>
      </w:r>
      <w:r w:rsidRPr="00BD177B">
        <w:t xml:space="preserve"> od 20</w:t>
      </w:r>
      <w:r w:rsidR="005E2883" w:rsidRPr="00BD177B">
        <w:t>2</w:t>
      </w:r>
      <w:r w:rsidR="00222606" w:rsidRPr="00BD177B">
        <w:t>2</w:t>
      </w:r>
      <w:r w:rsidRPr="00BD177B">
        <w:t>. do 202</w:t>
      </w:r>
      <w:r w:rsidR="00222606" w:rsidRPr="00BD177B">
        <w:t>4</w:t>
      </w:r>
      <w:r w:rsidRPr="00BD177B">
        <w:t xml:space="preserve">. godine </w:t>
      </w:r>
    </w:p>
    <w:p w14:paraId="07C02834" w14:textId="77777777" w:rsidR="00FE2D9A" w:rsidRPr="00BD177B" w:rsidRDefault="00FE2D9A" w:rsidP="00BE487D">
      <w:pPr>
        <w:contextualSpacing/>
        <w:jc w:val="both"/>
        <w:rPr>
          <w:sz w:val="20"/>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992"/>
        <w:gridCol w:w="1134"/>
        <w:gridCol w:w="992"/>
        <w:gridCol w:w="1134"/>
        <w:gridCol w:w="1134"/>
      </w:tblGrid>
      <w:tr w:rsidR="004824D4" w:rsidRPr="00BD177B" w14:paraId="0620DABD" w14:textId="77777777" w:rsidTr="004824D4">
        <w:trPr>
          <w:trHeight w:val="38"/>
        </w:trPr>
        <w:tc>
          <w:tcPr>
            <w:tcW w:w="988" w:type="dxa"/>
            <w:vMerge w:val="restart"/>
            <w:shd w:val="clear" w:color="000000" w:fill="FFFF99"/>
            <w:noWrap/>
            <w:vAlign w:val="center"/>
            <w:hideMark/>
          </w:tcPr>
          <w:p w14:paraId="71D318B9" w14:textId="77777777" w:rsidR="004824D4" w:rsidRPr="00BD177B" w:rsidRDefault="004824D4" w:rsidP="004824D4">
            <w:pPr>
              <w:jc w:val="both"/>
              <w:rPr>
                <w:b/>
                <w:bCs/>
                <w:sz w:val="20"/>
                <w:lang w:eastAsia="hr-HR"/>
              </w:rPr>
            </w:pPr>
          </w:p>
        </w:tc>
        <w:tc>
          <w:tcPr>
            <w:tcW w:w="2126" w:type="dxa"/>
            <w:gridSpan w:val="2"/>
            <w:shd w:val="clear" w:color="000000" w:fill="FFFF99"/>
            <w:noWrap/>
            <w:vAlign w:val="bottom"/>
            <w:hideMark/>
          </w:tcPr>
          <w:p w14:paraId="4A685623" w14:textId="61EECD85" w:rsidR="004824D4" w:rsidRPr="00BD177B" w:rsidRDefault="004824D4" w:rsidP="00222606">
            <w:pPr>
              <w:jc w:val="center"/>
              <w:rPr>
                <w:rFonts w:eastAsia="Times New Roman"/>
                <w:b/>
                <w:bCs/>
                <w:sz w:val="20"/>
              </w:rPr>
            </w:pPr>
            <w:r w:rsidRPr="00BD177B">
              <w:rPr>
                <w:rFonts w:eastAsia="Times New Roman"/>
                <w:b/>
                <w:bCs/>
                <w:sz w:val="20"/>
              </w:rPr>
              <w:t>202</w:t>
            </w:r>
            <w:r w:rsidR="00222606" w:rsidRPr="00BD177B">
              <w:rPr>
                <w:rFonts w:eastAsia="Times New Roman"/>
                <w:b/>
                <w:bCs/>
                <w:sz w:val="20"/>
              </w:rPr>
              <w:t>2</w:t>
            </w:r>
            <w:r w:rsidRPr="00BD177B">
              <w:rPr>
                <w:rFonts w:eastAsia="Times New Roman"/>
                <w:b/>
                <w:bCs/>
                <w:sz w:val="20"/>
              </w:rPr>
              <w:t>.</w:t>
            </w:r>
          </w:p>
        </w:tc>
        <w:tc>
          <w:tcPr>
            <w:tcW w:w="2126" w:type="dxa"/>
            <w:gridSpan w:val="2"/>
            <w:shd w:val="clear" w:color="000000" w:fill="FFFF99"/>
            <w:vAlign w:val="bottom"/>
          </w:tcPr>
          <w:p w14:paraId="42370753" w14:textId="5032D8CF" w:rsidR="004824D4" w:rsidRPr="00BD177B" w:rsidRDefault="004824D4" w:rsidP="00222606">
            <w:pPr>
              <w:jc w:val="center"/>
              <w:rPr>
                <w:rFonts w:eastAsia="Times New Roman"/>
                <w:b/>
                <w:bCs/>
                <w:sz w:val="20"/>
              </w:rPr>
            </w:pPr>
            <w:r w:rsidRPr="00BD177B">
              <w:rPr>
                <w:b/>
                <w:sz w:val="20"/>
                <w:szCs w:val="20"/>
              </w:rPr>
              <w:t>202</w:t>
            </w:r>
            <w:r w:rsidR="00222606" w:rsidRPr="00BD177B">
              <w:rPr>
                <w:b/>
                <w:sz w:val="20"/>
                <w:szCs w:val="20"/>
              </w:rPr>
              <w:t>3</w:t>
            </w:r>
            <w:r w:rsidRPr="00BD177B">
              <w:rPr>
                <w:b/>
                <w:sz w:val="20"/>
                <w:szCs w:val="20"/>
              </w:rPr>
              <w:t>.</w:t>
            </w:r>
          </w:p>
        </w:tc>
        <w:tc>
          <w:tcPr>
            <w:tcW w:w="2268" w:type="dxa"/>
            <w:gridSpan w:val="2"/>
            <w:shd w:val="clear" w:color="000000" w:fill="FFFF99"/>
            <w:vAlign w:val="bottom"/>
          </w:tcPr>
          <w:p w14:paraId="3B2DD73C" w14:textId="42A5B3F2" w:rsidR="004824D4" w:rsidRPr="00BD177B" w:rsidRDefault="004824D4" w:rsidP="00222606">
            <w:pPr>
              <w:jc w:val="center"/>
              <w:rPr>
                <w:rFonts w:eastAsia="Times New Roman"/>
                <w:b/>
                <w:bCs/>
                <w:sz w:val="20"/>
              </w:rPr>
            </w:pPr>
            <w:r w:rsidRPr="00BD177B">
              <w:rPr>
                <w:b/>
                <w:sz w:val="20"/>
                <w:szCs w:val="20"/>
              </w:rPr>
              <w:t>202</w:t>
            </w:r>
            <w:r w:rsidR="00222606" w:rsidRPr="00BD177B">
              <w:rPr>
                <w:b/>
                <w:sz w:val="20"/>
                <w:szCs w:val="20"/>
              </w:rPr>
              <w:t>4</w:t>
            </w:r>
            <w:r w:rsidRPr="00BD177B">
              <w:rPr>
                <w:b/>
                <w:sz w:val="20"/>
                <w:szCs w:val="20"/>
              </w:rPr>
              <w:t>.</w:t>
            </w:r>
          </w:p>
        </w:tc>
      </w:tr>
      <w:tr w:rsidR="004824D4" w:rsidRPr="00BD177B" w14:paraId="70D1D821" w14:textId="77777777" w:rsidTr="004824D4">
        <w:trPr>
          <w:trHeight w:val="73"/>
        </w:trPr>
        <w:tc>
          <w:tcPr>
            <w:tcW w:w="988" w:type="dxa"/>
            <w:vMerge/>
            <w:vAlign w:val="center"/>
            <w:hideMark/>
          </w:tcPr>
          <w:p w14:paraId="35743A4F" w14:textId="77777777" w:rsidR="004824D4" w:rsidRPr="00BD177B" w:rsidRDefault="004824D4" w:rsidP="004824D4">
            <w:pPr>
              <w:jc w:val="both"/>
              <w:rPr>
                <w:b/>
                <w:bCs/>
                <w:sz w:val="20"/>
                <w:lang w:eastAsia="hr-HR"/>
              </w:rPr>
            </w:pPr>
          </w:p>
        </w:tc>
        <w:tc>
          <w:tcPr>
            <w:tcW w:w="1134" w:type="dxa"/>
            <w:shd w:val="clear" w:color="000000" w:fill="FFFF99"/>
            <w:vAlign w:val="center"/>
            <w:hideMark/>
          </w:tcPr>
          <w:p w14:paraId="2A9D762F" w14:textId="2747BCFA" w:rsidR="004824D4" w:rsidRPr="00BD177B" w:rsidRDefault="004824D4" w:rsidP="004824D4">
            <w:pPr>
              <w:jc w:val="center"/>
              <w:rPr>
                <w:b/>
                <w:bCs/>
                <w:sz w:val="18"/>
                <w:lang w:eastAsia="hr-HR"/>
              </w:rPr>
            </w:pPr>
            <w:r w:rsidRPr="00BD177B">
              <w:rPr>
                <w:b/>
                <w:bCs/>
                <w:sz w:val="18"/>
                <w:lang w:eastAsia="hr-HR"/>
              </w:rPr>
              <w:t>u mln EUR</w:t>
            </w:r>
          </w:p>
        </w:tc>
        <w:tc>
          <w:tcPr>
            <w:tcW w:w="992" w:type="dxa"/>
            <w:shd w:val="clear" w:color="000000" w:fill="FFFF99"/>
            <w:vAlign w:val="center"/>
            <w:hideMark/>
          </w:tcPr>
          <w:p w14:paraId="718D35B1" w14:textId="77777777" w:rsidR="004824D4" w:rsidRPr="00BD177B" w:rsidRDefault="004824D4" w:rsidP="004824D4">
            <w:pPr>
              <w:jc w:val="center"/>
              <w:rPr>
                <w:b/>
                <w:bCs/>
                <w:sz w:val="18"/>
                <w:lang w:eastAsia="hr-HR"/>
              </w:rPr>
            </w:pPr>
            <w:r w:rsidRPr="00BD177B">
              <w:rPr>
                <w:b/>
                <w:bCs/>
                <w:sz w:val="18"/>
                <w:lang w:eastAsia="hr-HR"/>
              </w:rPr>
              <w:t>udio (%)</w:t>
            </w:r>
          </w:p>
        </w:tc>
        <w:tc>
          <w:tcPr>
            <w:tcW w:w="1134" w:type="dxa"/>
            <w:shd w:val="clear" w:color="000000" w:fill="FFFF99"/>
            <w:vAlign w:val="center"/>
          </w:tcPr>
          <w:p w14:paraId="5EC53DF7" w14:textId="68558D20" w:rsidR="004824D4" w:rsidRPr="00BD177B" w:rsidRDefault="004824D4" w:rsidP="004824D4">
            <w:pPr>
              <w:jc w:val="center"/>
              <w:rPr>
                <w:b/>
                <w:bCs/>
                <w:sz w:val="18"/>
                <w:lang w:eastAsia="hr-HR"/>
              </w:rPr>
            </w:pPr>
            <w:r w:rsidRPr="00BD177B">
              <w:rPr>
                <w:b/>
                <w:bCs/>
                <w:sz w:val="18"/>
                <w:lang w:eastAsia="hr-HR"/>
              </w:rPr>
              <w:t>u mln EUR</w:t>
            </w:r>
          </w:p>
        </w:tc>
        <w:tc>
          <w:tcPr>
            <w:tcW w:w="992" w:type="dxa"/>
            <w:shd w:val="clear" w:color="000000" w:fill="FFFF99"/>
            <w:vAlign w:val="center"/>
          </w:tcPr>
          <w:p w14:paraId="08A3BC74" w14:textId="33A3EB2C" w:rsidR="004824D4" w:rsidRPr="00BD177B" w:rsidRDefault="004824D4" w:rsidP="004824D4">
            <w:pPr>
              <w:jc w:val="center"/>
              <w:rPr>
                <w:b/>
                <w:bCs/>
                <w:sz w:val="18"/>
                <w:lang w:eastAsia="hr-HR"/>
              </w:rPr>
            </w:pPr>
            <w:r w:rsidRPr="00BD177B">
              <w:rPr>
                <w:b/>
                <w:bCs/>
                <w:sz w:val="18"/>
                <w:lang w:eastAsia="hr-HR"/>
              </w:rPr>
              <w:t>udio (%)</w:t>
            </w:r>
          </w:p>
        </w:tc>
        <w:tc>
          <w:tcPr>
            <w:tcW w:w="1134" w:type="dxa"/>
            <w:shd w:val="clear" w:color="000000" w:fill="FFFF99"/>
            <w:vAlign w:val="center"/>
          </w:tcPr>
          <w:p w14:paraId="7B993BCB" w14:textId="7E4C8EDD" w:rsidR="004824D4" w:rsidRPr="00BD177B" w:rsidRDefault="004824D4" w:rsidP="004824D4">
            <w:pPr>
              <w:jc w:val="center"/>
              <w:rPr>
                <w:b/>
                <w:bCs/>
                <w:sz w:val="18"/>
                <w:lang w:eastAsia="hr-HR"/>
              </w:rPr>
            </w:pPr>
            <w:r w:rsidRPr="00BD177B">
              <w:rPr>
                <w:b/>
                <w:bCs/>
                <w:sz w:val="18"/>
                <w:lang w:eastAsia="hr-HR"/>
              </w:rPr>
              <w:t>u mln EUR</w:t>
            </w:r>
          </w:p>
        </w:tc>
        <w:tc>
          <w:tcPr>
            <w:tcW w:w="1134" w:type="dxa"/>
            <w:shd w:val="clear" w:color="000000" w:fill="FFFF99"/>
            <w:vAlign w:val="center"/>
          </w:tcPr>
          <w:p w14:paraId="656FA323" w14:textId="0FD27A10" w:rsidR="004824D4" w:rsidRPr="00BD177B" w:rsidRDefault="004824D4" w:rsidP="004824D4">
            <w:pPr>
              <w:jc w:val="center"/>
              <w:rPr>
                <w:b/>
                <w:bCs/>
                <w:sz w:val="18"/>
                <w:lang w:eastAsia="hr-HR"/>
              </w:rPr>
            </w:pPr>
            <w:r w:rsidRPr="00BD177B">
              <w:rPr>
                <w:b/>
                <w:bCs/>
                <w:sz w:val="18"/>
                <w:lang w:eastAsia="hr-HR"/>
              </w:rPr>
              <w:t>udio (%)</w:t>
            </w:r>
          </w:p>
        </w:tc>
      </w:tr>
      <w:tr w:rsidR="006922F6" w:rsidRPr="00BD177B" w14:paraId="136BF5AC" w14:textId="77777777" w:rsidTr="004824D4">
        <w:trPr>
          <w:trHeight w:val="107"/>
        </w:trPr>
        <w:tc>
          <w:tcPr>
            <w:tcW w:w="988" w:type="dxa"/>
            <w:shd w:val="clear" w:color="auto" w:fill="auto"/>
            <w:vAlign w:val="center"/>
            <w:hideMark/>
          </w:tcPr>
          <w:p w14:paraId="3D5D4E18" w14:textId="77777777" w:rsidR="006922F6" w:rsidRPr="00BD177B" w:rsidRDefault="006922F6" w:rsidP="006922F6">
            <w:pPr>
              <w:jc w:val="center"/>
              <w:rPr>
                <w:b/>
                <w:sz w:val="20"/>
                <w:lang w:eastAsia="hr-HR"/>
              </w:rPr>
            </w:pPr>
            <w:r w:rsidRPr="00BD177B">
              <w:rPr>
                <w:b/>
                <w:sz w:val="20"/>
                <w:lang w:eastAsia="hr-HR"/>
              </w:rPr>
              <w:t>A1</w:t>
            </w:r>
          </w:p>
        </w:tc>
        <w:tc>
          <w:tcPr>
            <w:tcW w:w="1134" w:type="dxa"/>
            <w:shd w:val="clear" w:color="auto" w:fill="auto"/>
            <w:noWrap/>
            <w:vAlign w:val="bottom"/>
            <w:hideMark/>
          </w:tcPr>
          <w:p w14:paraId="3F89BBF8" w14:textId="3C382C56" w:rsidR="006922F6" w:rsidRPr="00BD177B" w:rsidRDefault="006922F6" w:rsidP="006922F6">
            <w:pPr>
              <w:jc w:val="right"/>
              <w:rPr>
                <w:rFonts w:eastAsia="Times New Roman"/>
                <w:sz w:val="20"/>
                <w:szCs w:val="20"/>
                <w:lang w:eastAsia="hr-HR"/>
              </w:rPr>
            </w:pPr>
            <w:r w:rsidRPr="00BD177B">
              <w:rPr>
                <w:sz w:val="20"/>
                <w:szCs w:val="20"/>
              </w:rPr>
              <w:t>1.538,3</w:t>
            </w:r>
          </w:p>
        </w:tc>
        <w:tc>
          <w:tcPr>
            <w:tcW w:w="992" w:type="dxa"/>
            <w:shd w:val="clear" w:color="auto" w:fill="auto"/>
            <w:noWrap/>
            <w:vAlign w:val="bottom"/>
            <w:hideMark/>
          </w:tcPr>
          <w:p w14:paraId="01901A86" w14:textId="20E5D553" w:rsidR="006922F6" w:rsidRPr="00BD177B" w:rsidRDefault="00D6022E" w:rsidP="006922F6">
            <w:pPr>
              <w:jc w:val="center"/>
              <w:rPr>
                <w:rFonts w:eastAsia="Times New Roman"/>
                <w:sz w:val="20"/>
                <w:szCs w:val="20"/>
                <w:lang w:eastAsia="hr-HR"/>
              </w:rPr>
            </w:pPr>
            <w:r w:rsidRPr="00BD177B">
              <w:rPr>
                <w:sz w:val="20"/>
                <w:szCs w:val="20"/>
              </w:rPr>
              <w:t>71,76</w:t>
            </w:r>
          </w:p>
        </w:tc>
        <w:tc>
          <w:tcPr>
            <w:tcW w:w="1134" w:type="dxa"/>
            <w:vAlign w:val="bottom"/>
          </w:tcPr>
          <w:p w14:paraId="6CCBA285" w14:textId="51AEFC5B" w:rsidR="006922F6" w:rsidRPr="00BD177B" w:rsidRDefault="006922F6" w:rsidP="006922F6">
            <w:pPr>
              <w:jc w:val="right"/>
              <w:rPr>
                <w:rFonts w:eastAsia="Times New Roman"/>
                <w:sz w:val="20"/>
                <w:szCs w:val="20"/>
                <w:lang w:eastAsia="hr-HR"/>
              </w:rPr>
            </w:pPr>
            <w:r w:rsidRPr="00BD177B">
              <w:rPr>
                <w:sz w:val="20"/>
                <w:szCs w:val="20"/>
              </w:rPr>
              <w:t>1.248,9</w:t>
            </w:r>
          </w:p>
        </w:tc>
        <w:tc>
          <w:tcPr>
            <w:tcW w:w="992" w:type="dxa"/>
            <w:vAlign w:val="bottom"/>
          </w:tcPr>
          <w:p w14:paraId="58B35147" w14:textId="120F2A7F" w:rsidR="006922F6" w:rsidRPr="00BD177B" w:rsidRDefault="006922F6" w:rsidP="00D6022E">
            <w:pPr>
              <w:jc w:val="center"/>
              <w:rPr>
                <w:rFonts w:eastAsia="Times New Roman"/>
                <w:sz w:val="20"/>
                <w:szCs w:val="20"/>
                <w:lang w:eastAsia="hr-HR"/>
              </w:rPr>
            </w:pPr>
            <w:r w:rsidRPr="00BD177B">
              <w:rPr>
                <w:sz w:val="20"/>
                <w:szCs w:val="20"/>
              </w:rPr>
              <w:t>60,0</w:t>
            </w:r>
            <w:r w:rsidR="00A7765F" w:rsidRPr="00BD177B">
              <w:rPr>
                <w:sz w:val="20"/>
                <w:szCs w:val="20"/>
              </w:rPr>
              <w:t>1</w:t>
            </w:r>
          </w:p>
        </w:tc>
        <w:tc>
          <w:tcPr>
            <w:tcW w:w="1134" w:type="dxa"/>
            <w:vAlign w:val="bottom"/>
          </w:tcPr>
          <w:p w14:paraId="1939762C" w14:textId="4B6A7180" w:rsidR="006922F6" w:rsidRPr="00BD177B" w:rsidRDefault="006922F6" w:rsidP="006922F6">
            <w:pPr>
              <w:jc w:val="right"/>
              <w:rPr>
                <w:rFonts w:eastAsia="Times New Roman"/>
                <w:sz w:val="20"/>
                <w:szCs w:val="20"/>
                <w:lang w:eastAsia="hr-HR"/>
              </w:rPr>
            </w:pPr>
            <w:r w:rsidRPr="00BD177B">
              <w:rPr>
                <w:sz w:val="20"/>
                <w:szCs w:val="20"/>
              </w:rPr>
              <w:t>1.200,0</w:t>
            </w:r>
          </w:p>
        </w:tc>
        <w:tc>
          <w:tcPr>
            <w:tcW w:w="1134" w:type="dxa"/>
            <w:vAlign w:val="bottom"/>
          </w:tcPr>
          <w:p w14:paraId="51D4B79F" w14:textId="1D4779E8" w:rsidR="006922F6" w:rsidRPr="00BD177B" w:rsidRDefault="006922F6" w:rsidP="00D6022E">
            <w:pPr>
              <w:jc w:val="center"/>
              <w:rPr>
                <w:rFonts w:eastAsia="Times New Roman"/>
                <w:sz w:val="20"/>
                <w:szCs w:val="20"/>
                <w:lang w:eastAsia="hr-HR"/>
              </w:rPr>
            </w:pPr>
            <w:r w:rsidRPr="00BD177B">
              <w:rPr>
                <w:sz w:val="20"/>
                <w:szCs w:val="20"/>
              </w:rPr>
              <w:t>82,8</w:t>
            </w:r>
            <w:r w:rsidR="00D6022E" w:rsidRPr="00BD177B">
              <w:rPr>
                <w:sz w:val="20"/>
                <w:szCs w:val="20"/>
              </w:rPr>
              <w:t>1</w:t>
            </w:r>
          </w:p>
        </w:tc>
      </w:tr>
      <w:tr w:rsidR="006922F6" w:rsidRPr="00BD177B" w14:paraId="2E86B64E" w14:textId="77777777" w:rsidTr="004824D4">
        <w:trPr>
          <w:trHeight w:val="60"/>
        </w:trPr>
        <w:tc>
          <w:tcPr>
            <w:tcW w:w="988" w:type="dxa"/>
            <w:shd w:val="clear" w:color="auto" w:fill="auto"/>
            <w:vAlign w:val="center"/>
            <w:hideMark/>
          </w:tcPr>
          <w:p w14:paraId="2FBC93EA" w14:textId="77777777" w:rsidR="006922F6" w:rsidRPr="00BD177B" w:rsidRDefault="006922F6" w:rsidP="006922F6">
            <w:pPr>
              <w:jc w:val="center"/>
              <w:rPr>
                <w:b/>
                <w:sz w:val="20"/>
                <w:lang w:eastAsia="hr-HR"/>
              </w:rPr>
            </w:pPr>
            <w:r w:rsidRPr="00BD177B">
              <w:rPr>
                <w:b/>
                <w:sz w:val="20"/>
                <w:lang w:eastAsia="hr-HR"/>
              </w:rPr>
              <w:t>A2</w:t>
            </w:r>
          </w:p>
        </w:tc>
        <w:tc>
          <w:tcPr>
            <w:tcW w:w="1134" w:type="dxa"/>
            <w:shd w:val="clear" w:color="auto" w:fill="auto"/>
            <w:noWrap/>
            <w:vAlign w:val="bottom"/>
            <w:hideMark/>
          </w:tcPr>
          <w:p w14:paraId="708335F9" w14:textId="57B84733" w:rsidR="006922F6" w:rsidRPr="00BD177B" w:rsidRDefault="006922F6" w:rsidP="006922F6">
            <w:pPr>
              <w:jc w:val="right"/>
              <w:rPr>
                <w:rFonts w:eastAsia="Times New Roman"/>
                <w:sz w:val="20"/>
                <w:szCs w:val="20"/>
                <w:lang w:eastAsia="hr-HR"/>
              </w:rPr>
            </w:pPr>
            <w:r w:rsidRPr="00BD177B">
              <w:rPr>
                <w:sz w:val="20"/>
                <w:szCs w:val="20"/>
              </w:rPr>
              <w:t>193,1</w:t>
            </w:r>
          </w:p>
        </w:tc>
        <w:tc>
          <w:tcPr>
            <w:tcW w:w="992" w:type="dxa"/>
            <w:shd w:val="clear" w:color="auto" w:fill="auto"/>
            <w:noWrap/>
            <w:vAlign w:val="bottom"/>
            <w:hideMark/>
          </w:tcPr>
          <w:p w14:paraId="2FF22614" w14:textId="7C234E8E" w:rsidR="006922F6" w:rsidRPr="00BD177B" w:rsidRDefault="00D6022E" w:rsidP="006922F6">
            <w:pPr>
              <w:jc w:val="center"/>
              <w:rPr>
                <w:rFonts w:eastAsia="Times New Roman"/>
                <w:sz w:val="20"/>
                <w:szCs w:val="20"/>
                <w:lang w:eastAsia="hr-HR"/>
              </w:rPr>
            </w:pPr>
            <w:r w:rsidRPr="00BD177B">
              <w:rPr>
                <w:sz w:val="20"/>
                <w:szCs w:val="20"/>
              </w:rPr>
              <w:t>9,00</w:t>
            </w:r>
          </w:p>
        </w:tc>
        <w:tc>
          <w:tcPr>
            <w:tcW w:w="1134" w:type="dxa"/>
            <w:vAlign w:val="bottom"/>
          </w:tcPr>
          <w:p w14:paraId="76FC09AF" w14:textId="3A32DF61" w:rsidR="006922F6" w:rsidRPr="00BD177B" w:rsidRDefault="006922F6" w:rsidP="006922F6">
            <w:pPr>
              <w:jc w:val="right"/>
              <w:rPr>
                <w:rFonts w:eastAsia="Times New Roman"/>
                <w:sz w:val="20"/>
                <w:szCs w:val="20"/>
                <w:lang w:eastAsia="hr-HR"/>
              </w:rPr>
            </w:pPr>
            <w:r w:rsidRPr="00BD177B">
              <w:rPr>
                <w:sz w:val="20"/>
                <w:szCs w:val="20"/>
              </w:rPr>
              <w:t>234,1</w:t>
            </w:r>
          </w:p>
        </w:tc>
        <w:tc>
          <w:tcPr>
            <w:tcW w:w="992" w:type="dxa"/>
            <w:vAlign w:val="bottom"/>
          </w:tcPr>
          <w:p w14:paraId="694E326E" w14:textId="40A096BA" w:rsidR="006922F6" w:rsidRPr="00BD177B" w:rsidRDefault="006922F6" w:rsidP="00D6022E">
            <w:pPr>
              <w:jc w:val="center"/>
              <w:rPr>
                <w:rFonts w:eastAsia="Times New Roman"/>
                <w:sz w:val="20"/>
                <w:szCs w:val="20"/>
                <w:lang w:eastAsia="hr-HR"/>
              </w:rPr>
            </w:pPr>
            <w:r w:rsidRPr="00BD177B">
              <w:rPr>
                <w:sz w:val="20"/>
                <w:szCs w:val="20"/>
              </w:rPr>
              <w:t>11,2</w:t>
            </w:r>
            <w:r w:rsidR="00D6022E" w:rsidRPr="00BD177B">
              <w:rPr>
                <w:sz w:val="20"/>
                <w:szCs w:val="20"/>
              </w:rPr>
              <w:t>5</w:t>
            </w:r>
          </w:p>
        </w:tc>
        <w:tc>
          <w:tcPr>
            <w:tcW w:w="1134" w:type="dxa"/>
            <w:vAlign w:val="bottom"/>
          </w:tcPr>
          <w:p w14:paraId="14C5EB4A" w14:textId="2C38348B" w:rsidR="006922F6" w:rsidRPr="00BD177B" w:rsidRDefault="006922F6" w:rsidP="00212042">
            <w:pPr>
              <w:jc w:val="right"/>
              <w:rPr>
                <w:rFonts w:eastAsia="Times New Roman"/>
                <w:sz w:val="20"/>
                <w:szCs w:val="20"/>
                <w:lang w:eastAsia="hr-HR"/>
              </w:rPr>
            </w:pPr>
            <w:r w:rsidRPr="00BD177B">
              <w:rPr>
                <w:sz w:val="20"/>
                <w:szCs w:val="20"/>
              </w:rPr>
              <w:t>202,</w:t>
            </w:r>
            <w:r w:rsidR="00212042" w:rsidRPr="00BD177B">
              <w:rPr>
                <w:sz w:val="20"/>
                <w:szCs w:val="20"/>
              </w:rPr>
              <w:t>9</w:t>
            </w:r>
          </w:p>
        </w:tc>
        <w:tc>
          <w:tcPr>
            <w:tcW w:w="1134" w:type="dxa"/>
            <w:vAlign w:val="bottom"/>
          </w:tcPr>
          <w:p w14:paraId="3ECD3BE6" w14:textId="1C7EC184" w:rsidR="006922F6" w:rsidRPr="00BD177B" w:rsidRDefault="006922F6" w:rsidP="00D6022E">
            <w:pPr>
              <w:jc w:val="center"/>
              <w:rPr>
                <w:rFonts w:eastAsia="Times New Roman"/>
                <w:sz w:val="20"/>
                <w:szCs w:val="20"/>
                <w:lang w:eastAsia="hr-HR"/>
              </w:rPr>
            </w:pPr>
            <w:r w:rsidRPr="00BD177B">
              <w:rPr>
                <w:sz w:val="20"/>
                <w:szCs w:val="20"/>
              </w:rPr>
              <w:t>14,0</w:t>
            </w:r>
            <w:r w:rsidR="00D6022E" w:rsidRPr="00BD177B">
              <w:rPr>
                <w:sz w:val="20"/>
                <w:szCs w:val="20"/>
              </w:rPr>
              <w:t>0</w:t>
            </w:r>
          </w:p>
        </w:tc>
      </w:tr>
      <w:tr w:rsidR="006922F6" w:rsidRPr="00BD177B" w14:paraId="5D6DA4A8" w14:textId="77777777" w:rsidTr="004824D4">
        <w:trPr>
          <w:trHeight w:val="80"/>
        </w:trPr>
        <w:tc>
          <w:tcPr>
            <w:tcW w:w="988" w:type="dxa"/>
            <w:shd w:val="clear" w:color="auto" w:fill="auto"/>
            <w:vAlign w:val="center"/>
            <w:hideMark/>
          </w:tcPr>
          <w:p w14:paraId="010C9898" w14:textId="77777777" w:rsidR="006922F6" w:rsidRPr="00BD177B" w:rsidRDefault="006922F6" w:rsidP="006922F6">
            <w:pPr>
              <w:jc w:val="center"/>
              <w:rPr>
                <w:b/>
                <w:sz w:val="20"/>
                <w:lang w:eastAsia="hr-HR"/>
              </w:rPr>
            </w:pPr>
            <w:r w:rsidRPr="00BD177B">
              <w:rPr>
                <w:b/>
                <w:sz w:val="20"/>
                <w:lang w:eastAsia="hr-HR"/>
              </w:rPr>
              <w:t>B</w:t>
            </w:r>
          </w:p>
        </w:tc>
        <w:tc>
          <w:tcPr>
            <w:tcW w:w="1134" w:type="dxa"/>
            <w:shd w:val="clear" w:color="auto" w:fill="auto"/>
            <w:noWrap/>
            <w:vAlign w:val="bottom"/>
            <w:hideMark/>
          </w:tcPr>
          <w:p w14:paraId="5B46B2EB" w14:textId="634416D5" w:rsidR="006922F6" w:rsidRPr="00BD177B" w:rsidRDefault="006922F6" w:rsidP="006922F6">
            <w:pPr>
              <w:jc w:val="right"/>
              <w:rPr>
                <w:rFonts w:eastAsia="Times New Roman"/>
                <w:sz w:val="20"/>
                <w:szCs w:val="20"/>
                <w:lang w:eastAsia="hr-HR"/>
              </w:rPr>
            </w:pPr>
            <w:r w:rsidRPr="00BD177B">
              <w:rPr>
                <w:sz w:val="20"/>
                <w:szCs w:val="20"/>
              </w:rPr>
              <w:t>54,4</w:t>
            </w:r>
          </w:p>
        </w:tc>
        <w:tc>
          <w:tcPr>
            <w:tcW w:w="992" w:type="dxa"/>
            <w:shd w:val="clear" w:color="auto" w:fill="auto"/>
            <w:noWrap/>
            <w:vAlign w:val="bottom"/>
            <w:hideMark/>
          </w:tcPr>
          <w:p w14:paraId="49E58DC4" w14:textId="1247201F" w:rsidR="006922F6" w:rsidRPr="00BD177B" w:rsidRDefault="006922F6" w:rsidP="006922F6">
            <w:pPr>
              <w:jc w:val="center"/>
              <w:rPr>
                <w:rFonts w:eastAsia="Times New Roman"/>
                <w:sz w:val="20"/>
                <w:szCs w:val="20"/>
                <w:lang w:eastAsia="hr-HR"/>
              </w:rPr>
            </w:pPr>
            <w:r w:rsidRPr="00BD177B">
              <w:rPr>
                <w:sz w:val="20"/>
                <w:szCs w:val="20"/>
              </w:rPr>
              <w:t>2,5</w:t>
            </w:r>
            <w:r w:rsidR="00D6022E" w:rsidRPr="00BD177B">
              <w:rPr>
                <w:sz w:val="20"/>
                <w:szCs w:val="20"/>
              </w:rPr>
              <w:t>4</w:t>
            </w:r>
          </w:p>
        </w:tc>
        <w:tc>
          <w:tcPr>
            <w:tcW w:w="1134" w:type="dxa"/>
            <w:vAlign w:val="bottom"/>
          </w:tcPr>
          <w:p w14:paraId="00FB0386" w14:textId="273A5413" w:rsidR="006922F6" w:rsidRPr="00BD177B" w:rsidRDefault="006922F6" w:rsidP="006922F6">
            <w:pPr>
              <w:jc w:val="right"/>
              <w:rPr>
                <w:rFonts w:eastAsia="Times New Roman"/>
                <w:sz w:val="20"/>
                <w:szCs w:val="20"/>
                <w:lang w:eastAsia="hr-HR"/>
              </w:rPr>
            </w:pPr>
            <w:r w:rsidRPr="00BD177B">
              <w:rPr>
                <w:sz w:val="20"/>
                <w:szCs w:val="20"/>
              </w:rPr>
              <w:t>0,1</w:t>
            </w:r>
          </w:p>
        </w:tc>
        <w:tc>
          <w:tcPr>
            <w:tcW w:w="992" w:type="dxa"/>
            <w:vAlign w:val="bottom"/>
          </w:tcPr>
          <w:p w14:paraId="0AB47FA0" w14:textId="157F7314" w:rsidR="006922F6" w:rsidRPr="00BD177B" w:rsidRDefault="006922F6" w:rsidP="00D6022E">
            <w:pPr>
              <w:jc w:val="center"/>
              <w:rPr>
                <w:rFonts w:eastAsia="Times New Roman"/>
                <w:sz w:val="20"/>
                <w:szCs w:val="20"/>
                <w:lang w:eastAsia="hr-HR"/>
              </w:rPr>
            </w:pPr>
            <w:r w:rsidRPr="00BD177B">
              <w:rPr>
                <w:sz w:val="20"/>
                <w:szCs w:val="20"/>
              </w:rPr>
              <w:t>0,00</w:t>
            </w:r>
            <w:r w:rsidR="009251BA" w:rsidRPr="00BD177B">
              <w:rPr>
                <w:sz w:val="20"/>
                <w:szCs w:val="20"/>
              </w:rPr>
              <w:t>5</w:t>
            </w:r>
          </w:p>
        </w:tc>
        <w:tc>
          <w:tcPr>
            <w:tcW w:w="1134" w:type="dxa"/>
            <w:vAlign w:val="bottom"/>
          </w:tcPr>
          <w:p w14:paraId="3EAAD411" w14:textId="53A9E65A" w:rsidR="006922F6" w:rsidRPr="00BD177B" w:rsidRDefault="006922F6" w:rsidP="006922F6">
            <w:pPr>
              <w:jc w:val="right"/>
              <w:rPr>
                <w:rFonts w:eastAsia="Times New Roman"/>
                <w:sz w:val="20"/>
                <w:szCs w:val="20"/>
                <w:lang w:eastAsia="hr-HR"/>
              </w:rPr>
            </w:pPr>
            <w:r w:rsidRPr="00BD177B">
              <w:rPr>
                <w:sz w:val="20"/>
                <w:szCs w:val="20"/>
              </w:rPr>
              <w:t>1,7</w:t>
            </w:r>
          </w:p>
        </w:tc>
        <w:tc>
          <w:tcPr>
            <w:tcW w:w="1134" w:type="dxa"/>
            <w:vAlign w:val="bottom"/>
          </w:tcPr>
          <w:p w14:paraId="5B944263" w14:textId="13365985" w:rsidR="006922F6" w:rsidRPr="00BD177B" w:rsidRDefault="006922F6" w:rsidP="00D6022E">
            <w:pPr>
              <w:jc w:val="center"/>
              <w:rPr>
                <w:rFonts w:eastAsia="Times New Roman"/>
                <w:sz w:val="20"/>
                <w:szCs w:val="20"/>
                <w:lang w:eastAsia="hr-HR"/>
              </w:rPr>
            </w:pPr>
            <w:r w:rsidRPr="00BD177B">
              <w:rPr>
                <w:sz w:val="20"/>
                <w:szCs w:val="20"/>
              </w:rPr>
              <w:t>0,1</w:t>
            </w:r>
            <w:r w:rsidR="00D6022E" w:rsidRPr="00BD177B">
              <w:rPr>
                <w:sz w:val="20"/>
                <w:szCs w:val="20"/>
              </w:rPr>
              <w:t>2</w:t>
            </w:r>
          </w:p>
        </w:tc>
      </w:tr>
      <w:tr w:rsidR="006922F6" w:rsidRPr="00BD177B" w14:paraId="13BED574" w14:textId="77777777" w:rsidTr="004824D4">
        <w:trPr>
          <w:trHeight w:val="60"/>
        </w:trPr>
        <w:tc>
          <w:tcPr>
            <w:tcW w:w="988" w:type="dxa"/>
            <w:shd w:val="clear" w:color="auto" w:fill="auto"/>
            <w:vAlign w:val="center"/>
            <w:hideMark/>
          </w:tcPr>
          <w:p w14:paraId="52529CAB" w14:textId="2DD047B9" w:rsidR="006922F6" w:rsidRPr="00BD177B" w:rsidRDefault="006922F6" w:rsidP="006922F6">
            <w:pPr>
              <w:jc w:val="center"/>
              <w:rPr>
                <w:b/>
                <w:sz w:val="20"/>
                <w:lang w:eastAsia="hr-HR"/>
              </w:rPr>
            </w:pPr>
            <w:r w:rsidRPr="00BD177B">
              <w:rPr>
                <w:b/>
                <w:sz w:val="20"/>
                <w:lang w:eastAsia="hr-HR"/>
              </w:rPr>
              <w:t>C</w:t>
            </w:r>
          </w:p>
        </w:tc>
        <w:tc>
          <w:tcPr>
            <w:tcW w:w="1134" w:type="dxa"/>
            <w:shd w:val="clear" w:color="auto" w:fill="auto"/>
            <w:noWrap/>
            <w:vAlign w:val="bottom"/>
            <w:hideMark/>
          </w:tcPr>
          <w:p w14:paraId="46512B94" w14:textId="42775CE8" w:rsidR="006922F6" w:rsidRPr="00BD177B" w:rsidRDefault="006922F6" w:rsidP="006922F6">
            <w:pPr>
              <w:jc w:val="right"/>
              <w:rPr>
                <w:rFonts w:eastAsia="Times New Roman"/>
                <w:sz w:val="20"/>
                <w:szCs w:val="20"/>
                <w:lang w:eastAsia="hr-HR"/>
              </w:rPr>
            </w:pPr>
            <w:r w:rsidRPr="00BD177B">
              <w:rPr>
                <w:sz w:val="20"/>
                <w:szCs w:val="20"/>
              </w:rPr>
              <w:t>88,0</w:t>
            </w:r>
          </w:p>
        </w:tc>
        <w:tc>
          <w:tcPr>
            <w:tcW w:w="992" w:type="dxa"/>
            <w:shd w:val="clear" w:color="auto" w:fill="auto"/>
            <w:noWrap/>
            <w:vAlign w:val="bottom"/>
            <w:hideMark/>
          </w:tcPr>
          <w:p w14:paraId="63BCFED2" w14:textId="264DBFF5" w:rsidR="006922F6" w:rsidRPr="00BD177B" w:rsidRDefault="006922F6" w:rsidP="006922F6">
            <w:pPr>
              <w:jc w:val="center"/>
              <w:rPr>
                <w:rFonts w:eastAsia="Times New Roman"/>
                <w:sz w:val="20"/>
                <w:szCs w:val="20"/>
                <w:lang w:eastAsia="hr-HR"/>
              </w:rPr>
            </w:pPr>
            <w:r w:rsidRPr="00BD177B">
              <w:rPr>
                <w:sz w:val="20"/>
                <w:szCs w:val="20"/>
              </w:rPr>
              <w:t>4,1</w:t>
            </w:r>
            <w:r w:rsidR="00D6022E" w:rsidRPr="00BD177B">
              <w:rPr>
                <w:sz w:val="20"/>
                <w:szCs w:val="20"/>
              </w:rPr>
              <w:t>1</w:t>
            </w:r>
          </w:p>
        </w:tc>
        <w:tc>
          <w:tcPr>
            <w:tcW w:w="1134" w:type="dxa"/>
            <w:vAlign w:val="bottom"/>
          </w:tcPr>
          <w:p w14:paraId="263CFB9D" w14:textId="4CE52B06" w:rsidR="006922F6" w:rsidRPr="00BD177B" w:rsidRDefault="006922F6" w:rsidP="006922F6">
            <w:pPr>
              <w:jc w:val="right"/>
              <w:rPr>
                <w:rFonts w:eastAsia="Times New Roman"/>
                <w:sz w:val="20"/>
                <w:szCs w:val="20"/>
                <w:lang w:eastAsia="hr-HR"/>
              </w:rPr>
            </w:pPr>
            <w:r w:rsidRPr="00BD177B">
              <w:rPr>
                <w:sz w:val="20"/>
                <w:szCs w:val="20"/>
              </w:rPr>
              <w:t>164,8</w:t>
            </w:r>
          </w:p>
        </w:tc>
        <w:tc>
          <w:tcPr>
            <w:tcW w:w="992" w:type="dxa"/>
            <w:vAlign w:val="bottom"/>
          </w:tcPr>
          <w:p w14:paraId="54A7E9B8" w14:textId="31C7BCFA" w:rsidR="006922F6" w:rsidRPr="00BD177B" w:rsidRDefault="006922F6" w:rsidP="00D6022E">
            <w:pPr>
              <w:jc w:val="center"/>
              <w:rPr>
                <w:rFonts w:eastAsia="Times New Roman"/>
                <w:sz w:val="20"/>
                <w:szCs w:val="20"/>
                <w:lang w:eastAsia="hr-HR"/>
              </w:rPr>
            </w:pPr>
            <w:r w:rsidRPr="00BD177B">
              <w:rPr>
                <w:sz w:val="20"/>
                <w:szCs w:val="20"/>
              </w:rPr>
              <w:t>7,9</w:t>
            </w:r>
            <w:r w:rsidR="00D6022E" w:rsidRPr="00BD177B">
              <w:rPr>
                <w:sz w:val="20"/>
                <w:szCs w:val="20"/>
              </w:rPr>
              <w:t>2</w:t>
            </w:r>
          </w:p>
        </w:tc>
        <w:tc>
          <w:tcPr>
            <w:tcW w:w="1134" w:type="dxa"/>
            <w:vAlign w:val="bottom"/>
          </w:tcPr>
          <w:p w14:paraId="376B0D41" w14:textId="5B50CB42" w:rsidR="006922F6" w:rsidRPr="00BD177B" w:rsidRDefault="006922F6" w:rsidP="00212042">
            <w:pPr>
              <w:jc w:val="right"/>
              <w:rPr>
                <w:rFonts w:eastAsia="Times New Roman"/>
                <w:sz w:val="20"/>
                <w:szCs w:val="20"/>
                <w:lang w:eastAsia="hr-HR"/>
              </w:rPr>
            </w:pPr>
            <w:r w:rsidRPr="00BD177B">
              <w:rPr>
                <w:sz w:val="20"/>
                <w:szCs w:val="20"/>
              </w:rPr>
              <w:t>2</w:t>
            </w:r>
            <w:r w:rsidR="00212042" w:rsidRPr="00BD177B">
              <w:rPr>
                <w:sz w:val="20"/>
                <w:szCs w:val="20"/>
              </w:rPr>
              <w:t>4</w:t>
            </w:r>
            <w:r w:rsidRPr="00BD177B">
              <w:rPr>
                <w:sz w:val="20"/>
                <w:szCs w:val="20"/>
              </w:rPr>
              <w:t>,</w:t>
            </w:r>
            <w:r w:rsidR="00212042" w:rsidRPr="00BD177B">
              <w:rPr>
                <w:sz w:val="20"/>
                <w:szCs w:val="20"/>
              </w:rPr>
              <w:t>9</w:t>
            </w:r>
          </w:p>
        </w:tc>
        <w:tc>
          <w:tcPr>
            <w:tcW w:w="1134" w:type="dxa"/>
            <w:vAlign w:val="bottom"/>
          </w:tcPr>
          <w:p w14:paraId="2AA971C2" w14:textId="6B68B788" w:rsidR="006922F6" w:rsidRPr="00BD177B" w:rsidRDefault="006922F6" w:rsidP="00D6022E">
            <w:pPr>
              <w:jc w:val="center"/>
              <w:rPr>
                <w:rFonts w:eastAsia="Times New Roman"/>
                <w:sz w:val="20"/>
                <w:szCs w:val="20"/>
                <w:lang w:eastAsia="hr-HR"/>
              </w:rPr>
            </w:pPr>
            <w:r w:rsidRPr="00BD177B">
              <w:rPr>
                <w:sz w:val="20"/>
                <w:szCs w:val="20"/>
              </w:rPr>
              <w:t>1,7</w:t>
            </w:r>
            <w:r w:rsidR="00D6022E" w:rsidRPr="00BD177B">
              <w:rPr>
                <w:sz w:val="20"/>
                <w:szCs w:val="20"/>
              </w:rPr>
              <w:t>2</w:t>
            </w:r>
          </w:p>
        </w:tc>
      </w:tr>
      <w:tr w:rsidR="006922F6" w:rsidRPr="00BD177B" w14:paraId="7A8D6847" w14:textId="77777777" w:rsidTr="004824D4">
        <w:trPr>
          <w:trHeight w:val="40"/>
        </w:trPr>
        <w:tc>
          <w:tcPr>
            <w:tcW w:w="988" w:type="dxa"/>
            <w:shd w:val="clear" w:color="auto" w:fill="auto"/>
            <w:vAlign w:val="center"/>
            <w:hideMark/>
          </w:tcPr>
          <w:p w14:paraId="1B0F7233" w14:textId="77777777" w:rsidR="006922F6" w:rsidRPr="00BD177B" w:rsidRDefault="006922F6" w:rsidP="006922F6">
            <w:pPr>
              <w:jc w:val="center"/>
              <w:rPr>
                <w:b/>
                <w:sz w:val="20"/>
                <w:lang w:eastAsia="hr-HR"/>
              </w:rPr>
            </w:pPr>
            <w:r w:rsidRPr="00BD177B">
              <w:rPr>
                <w:b/>
                <w:sz w:val="20"/>
                <w:lang w:eastAsia="hr-HR"/>
              </w:rPr>
              <w:t>D</w:t>
            </w:r>
          </w:p>
        </w:tc>
        <w:tc>
          <w:tcPr>
            <w:tcW w:w="1134" w:type="dxa"/>
            <w:shd w:val="clear" w:color="auto" w:fill="auto"/>
            <w:noWrap/>
            <w:vAlign w:val="bottom"/>
            <w:hideMark/>
          </w:tcPr>
          <w:p w14:paraId="3A9CC4B3" w14:textId="7F9D571F" w:rsidR="006922F6" w:rsidRPr="00BD177B" w:rsidRDefault="006922F6" w:rsidP="006922F6">
            <w:pPr>
              <w:jc w:val="right"/>
              <w:rPr>
                <w:rFonts w:eastAsia="Times New Roman"/>
                <w:sz w:val="20"/>
                <w:szCs w:val="20"/>
                <w:lang w:eastAsia="hr-HR"/>
              </w:rPr>
            </w:pPr>
            <w:r w:rsidRPr="00BD177B">
              <w:rPr>
                <w:sz w:val="20"/>
                <w:szCs w:val="20"/>
              </w:rPr>
              <w:t>269,8</w:t>
            </w:r>
          </w:p>
        </w:tc>
        <w:tc>
          <w:tcPr>
            <w:tcW w:w="992" w:type="dxa"/>
            <w:shd w:val="clear" w:color="auto" w:fill="auto"/>
            <w:noWrap/>
            <w:vAlign w:val="bottom"/>
            <w:hideMark/>
          </w:tcPr>
          <w:p w14:paraId="5BC980B9" w14:textId="3AF10BFC" w:rsidR="006922F6" w:rsidRPr="00BD177B" w:rsidRDefault="00D6022E" w:rsidP="006922F6">
            <w:pPr>
              <w:jc w:val="center"/>
              <w:rPr>
                <w:rFonts w:eastAsia="Times New Roman"/>
                <w:sz w:val="20"/>
                <w:szCs w:val="20"/>
                <w:lang w:eastAsia="hr-HR"/>
              </w:rPr>
            </w:pPr>
            <w:r w:rsidRPr="00BD177B">
              <w:rPr>
                <w:sz w:val="20"/>
                <w:szCs w:val="20"/>
              </w:rPr>
              <w:t>12,59</w:t>
            </w:r>
          </w:p>
        </w:tc>
        <w:tc>
          <w:tcPr>
            <w:tcW w:w="1134" w:type="dxa"/>
            <w:vAlign w:val="bottom"/>
          </w:tcPr>
          <w:p w14:paraId="29A2466B" w14:textId="1EC719AA" w:rsidR="006922F6" w:rsidRPr="00BD177B" w:rsidRDefault="006922F6" w:rsidP="006922F6">
            <w:pPr>
              <w:jc w:val="right"/>
              <w:rPr>
                <w:rFonts w:eastAsia="Times New Roman"/>
                <w:sz w:val="20"/>
                <w:szCs w:val="20"/>
                <w:lang w:eastAsia="hr-HR"/>
              </w:rPr>
            </w:pPr>
            <w:r w:rsidRPr="00BD177B">
              <w:rPr>
                <w:sz w:val="20"/>
                <w:szCs w:val="20"/>
              </w:rPr>
              <w:t>433,1</w:t>
            </w:r>
          </w:p>
        </w:tc>
        <w:tc>
          <w:tcPr>
            <w:tcW w:w="992" w:type="dxa"/>
            <w:vAlign w:val="bottom"/>
          </w:tcPr>
          <w:p w14:paraId="3F547143" w14:textId="579783E1" w:rsidR="006922F6" w:rsidRPr="00BD177B" w:rsidRDefault="006922F6" w:rsidP="00D6022E">
            <w:pPr>
              <w:jc w:val="center"/>
              <w:rPr>
                <w:rFonts w:eastAsia="Times New Roman"/>
                <w:sz w:val="20"/>
                <w:szCs w:val="20"/>
                <w:lang w:eastAsia="hr-HR"/>
              </w:rPr>
            </w:pPr>
            <w:r w:rsidRPr="00BD177B">
              <w:rPr>
                <w:sz w:val="20"/>
                <w:szCs w:val="20"/>
              </w:rPr>
              <w:t>20,8</w:t>
            </w:r>
            <w:r w:rsidR="00D6022E" w:rsidRPr="00BD177B">
              <w:rPr>
                <w:sz w:val="20"/>
                <w:szCs w:val="20"/>
              </w:rPr>
              <w:t>1</w:t>
            </w:r>
          </w:p>
        </w:tc>
        <w:tc>
          <w:tcPr>
            <w:tcW w:w="1134" w:type="dxa"/>
            <w:vAlign w:val="bottom"/>
          </w:tcPr>
          <w:p w14:paraId="0BF01D7B" w14:textId="53DCB4B1" w:rsidR="006922F6" w:rsidRPr="00BD177B" w:rsidRDefault="006922F6" w:rsidP="006922F6">
            <w:pPr>
              <w:jc w:val="right"/>
              <w:rPr>
                <w:rFonts w:eastAsia="Times New Roman"/>
                <w:sz w:val="20"/>
                <w:szCs w:val="20"/>
                <w:lang w:eastAsia="hr-HR"/>
              </w:rPr>
            </w:pPr>
            <w:r w:rsidRPr="00BD177B">
              <w:rPr>
                <w:sz w:val="20"/>
                <w:szCs w:val="20"/>
              </w:rPr>
              <w:t>19,6</w:t>
            </w:r>
          </w:p>
        </w:tc>
        <w:tc>
          <w:tcPr>
            <w:tcW w:w="1134" w:type="dxa"/>
            <w:vAlign w:val="bottom"/>
          </w:tcPr>
          <w:p w14:paraId="18179282" w14:textId="3B8697DE" w:rsidR="006922F6" w:rsidRPr="00BD177B" w:rsidRDefault="00D6022E" w:rsidP="00D6022E">
            <w:pPr>
              <w:jc w:val="center"/>
              <w:rPr>
                <w:rFonts w:eastAsia="Times New Roman"/>
                <w:sz w:val="20"/>
                <w:szCs w:val="20"/>
                <w:lang w:eastAsia="hr-HR"/>
              </w:rPr>
            </w:pPr>
            <w:r w:rsidRPr="00BD177B">
              <w:rPr>
                <w:sz w:val="20"/>
                <w:szCs w:val="20"/>
              </w:rPr>
              <w:t>1,35</w:t>
            </w:r>
          </w:p>
        </w:tc>
      </w:tr>
      <w:tr w:rsidR="006922F6" w:rsidRPr="00BD177B" w14:paraId="3E37AE04" w14:textId="77777777" w:rsidTr="004824D4">
        <w:trPr>
          <w:trHeight w:val="58"/>
        </w:trPr>
        <w:tc>
          <w:tcPr>
            <w:tcW w:w="988" w:type="dxa"/>
            <w:shd w:val="clear" w:color="auto" w:fill="FFFF99"/>
            <w:vAlign w:val="center"/>
            <w:hideMark/>
          </w:tcPr>
          <w:p w14:paraId="1DE65478" w14:textId="77777777" w:rsidR="006922F6" w:rsidRPr="00BD177B" w:rsidRDefault="006922F6" w:rsidP="006922F6">
            <w:pPr>
              <w:jc w:val="both"/>
              <w:rPr>
                <w:b/>
                <w:bCs/>
                <w:sz w:val="20"/>
                <w:lang w:eastAsia="hr-HR"/>
              </w:rPr>
            </w:pPr>
          </w:p>
        </w:tc>
        <w:tc>
          <w:tcPr>
            <w:tcW w:w="1134" w:type="dxa"/>
            <w:shd w:val="clear" w:color="auto" w:fill="FFFF99"/>
            <w:noWrap/>
            <w:vAlign w:val="bottom"/>
            <w:hideMark/>
          </w:tcPr>
          <w:p w14:paraId="28434FFE" w14:textId="50D3091E" w:rsidR="006922F6" w:rsidRPr="00BD177B" w:rsidRDefault="006922F6" w:rsidP="006922F6">
            <w:pPr>
              <w:jc w:val="right"/>
              <w:rPr>
                <w:rFonts w:eastAsia="Times New Roman"/>
                <w:b/>
                <w:bCs/>
                <w:sz w:val="20"/>
                <w:szCs w:val="20"/>
                <w:lang w:eastAsia="hr-HR"/>
              </w:rPr>
            </w:pPr>
            <w:r w:rsidRPr="00BD177B">
              <w:rPr>
                <w:b/>
                <w:sz w:val="20"/>
                <w:szCs w:val="20"/>
              </w:rPr>
              <w:t>2.143,6</w:t>
            </w:r>
          </w:p>
        </w:tc>
        <w:tc>
          <w:tcPr>
            <w:tcW w:w="992" w:type="dxa"/>
            <w:shd w:val="clear" w:color="auto" w:fill="FFFF99"/>
            <w:noWrap/>
            <w:vAlign w:val="bottom"/>
            <w:hideMark/>
          </w:tcPr>
          <w:p w14:paraId="49E599CD" w14:textId="03D0E9F5" w:rsidR="006922F6" w:rsidRPr="00BD177B" w:rsidRDefault="006922F6" w:rsidP="006922F6">
            <w:pPr>
              <w:jc w:val="center"/>
              <w:rPr>
                <w:rFonts w:eastAsia="Times New Roman"/>
                <w:b/>
                <w:bCs/>
                <w:sz w:val="20"/>
                <w:szCs w:val="20"/>
                <w:lang w:eastAsia="hr-HR"/>
              </w:rPr>
            </w:pPr>
            <w:r w:rsidRPr="00BD177B">
              <w:rPr>
                <w:b/>
                <w:sz w:val="20"/>
                <w:szCs w:val="20"/>
              </w:rPr>
              <w:t>100,0</w:t>
            </w:r>
            <w:r w:rsidR="00D6022E" w:rsidRPr="00BD177B">
              <w:rPr>
                <w:b/>
                <w:sz w:val="20"/>
                <w:szCs w:val="20"/>
              </w:rPr>
              <w:t>0</w:t>
            </w:r>
          </w:p>
        </w:tc>
        <w:tc>
          <w:tcPr>
            <w:tcW w:w="1134" w:type="dxa"/>
            <w:shd w:val="clear" w:color="auto" w:fill="FFFF99"/>
            <w:vAlign w:val="bottom"/>
          </w:tcPr>
          <w:p w14:paraId="717ADF23" w14:textId="730D7696" w:rsidR="006922F6" w:rsidRPr="00BD177B" w:rsidRDefault="006922F6" w:rsidP="006922F6">
            <w:pPr>
              <w:jc w:val="right"/>
              <w:rPr>
                <w:rFonts w:eastAsia="Times New Roman"/>
                <w:b/>
                <w:bCs/>
                <w:sz w:val="20"/>
                <w:szCs w:val="20"/>
                <w:lang w:eastAsia="hr-HR"/>
              </w:rPr>
            </w:pPr>
            <w:r w:rsidRPr="00BD177B">
              <w:rPr>
                <w:b/>
                <w:sz w:val="20"/>
                <w:szCs w:val="20"/>
              </w:rPr>
              <w:t>2.081,0</w:t>
            </w:r>
          </w:p>
        </w:tc>
        <w:tc>
          <w:tcPr>
            <w:tcW w:w="992" w:type="dxa"/>
            <w:shd w:val="clear" w:color="auto" w:fill="FFFF99"/>
            <w:vAlign w:val="bottom"/>
          </w:tcPr>
          <w:p w14:paraId="390A36F8" w14:textId="7957AC47" w:rsidR="006922F6" w:rsidRPr="00BD177B" w:rsidRDefault="006922F6" w:rsidP="00D6022E">
            <w:pPr>
              <w:jc w:val="center"/>
              <w:rPr>
                <w:rFonts w:eastAsia="Times New Roman"/>
                <w:b/>
                <w:bCs/>
                <w:sz w:val="20"/>
                <w:szCs w:val="20"/>
                <w:lang w:eastAsia="hr-HR"/>
              </w:rPr>
            </w:pPr>
            <w:r w:rsidRPr="00BD177B">
              <w:rPr>
                <w:b/>
                <w:sz w:val="20"/>
                <w:szCs w:val="20"/>
              </w:rPr>
              <w:t>100,0</w:t>
            </w:r>
          </w:p>
        </w:tc>
        <w:tc>
          <w:tcPr>
            <w:tcW w:w="1134" w:type="dxa"/>
            <w:shd w:val="clear" w:color="auto" w:fill="FFFF99"/>
            <w:vAlign w:val="bottom"/>
          </w:tcPr>
          <w:p w14:paraId="5AC8C7CD" w14:textId="657A0E80" w:rsidR="006922F6" w:rsidRPr="00BD177B" w:rsidRDefault="006922F6" w:rsidP="006922F6">
            <w:pPr>
              <w:jc w:val="right"/>
              <w:rPr>
                <w:rFonts w:eastAsia="Times New Roman"/>
                <w:b/>
                <w:bCs/>
                <w:sz w:val="20"/>
                <w:szCs w:val="20"/>
                <w:lang w:eastAsia="hr-HR"/>
              </w:rPr>
            </w:pPr>
            <w:r w:rsidRPr="00BD177B">
              <w:rPr>
                <w:b/>
                <w:sz w:val="20"/>
                <w:szCs w:val="20"/>
              </w:rPr>
              <w:t>1.449,1</w:t>
            </w:r>
          </w:p>
        </w:tc>
        <w:tc>
          <w:tcPr>
            <w:tcW w:w="1134" w:type="dxa"/>
            <w:shd w:val="clear" w:color="auto" w:fill="FFFF99"/>
            <w:vAlign w:val="bottom"/>
          </w:tcPr>
          <w:p w14:paraId="7BCD0500" w14:textId="4617150E" w:rsidR="006922F6" w:rsidRPr="00BD177B" w:rsidRDefault="006922F6" w:rsidP="00D6022E">
            <w:pPr>
              <w:jc w:val="center"/>
              <w:rPr>
                <w:rFonts w:eastAsia="Times New Roman"/>
                <w:b/>
                <w:bCs/>
                <w:sz w:val="20"/>
                <w:szCs w:val="20"/>
                <w:lang w:eastAsia="hr-HR"/>
              </w:rPr>
            </w:pPr>
            <w:r w:rsidRPr="00BD177B">
              <w:rPr>
                <w:b/>
                <w:sz w:val="20"/>
                <w:szCs w:val="20"/>
              </w:rPr>
              <w:t>100,0</w:t>
            </w:r>
          </w:p>
        </w:tc>
      </w:tr>
    </w:tbl>
    <w:p w14:paraId="791B9788" w14:textId="77777777" w:rsidR="00FE2D9A" w:rsidRPr="00BD177B" w:rsidRDefault="00FE2D9A" w:rsidP="00BE487D">
      <w:pPr>
        <w:contextualSpacing/>
        <w:jc w:val="both"/>
        <w:rPr>
          <w:i/>
          <w:sz w:val="20"/>
        </w:rPr>
      </w:pPr>
      <w:r w:rsidRPr="00BD177B">
        <w:rPr>
          <w:i/>
          <w:sz w:val="20"/>
        </w:rPr>
        <w:t>Izvor: Ministarstvo financija i davatelji potpora; podaci obrađeni u Ministarstvu financija</w:t>
      </w:r>
    </w:p>
    <w:p w14:paraId="75B2BCA8" w14:textId="7BB82F15" w:rsidR="006922F6" w:rsidRPr="00BD177B" w:rsidRDefault="006922F6" w:rsidP="00BE487D">
      <w:pPr>
        <w:jc w:val="both"/>
      </w:pPr>
    </w:p>
    <w:p w14:paraId="074DCFC1" w14:textId="39D3A390" w:rsidR="001704C3" w:rsidRPr="00BD177B" w:rsidRDefault="004C3C64" w:rsidP="00BE487D">
      <w:pPr>
        <w:jc w:val="both"/>
        <w:rPr>
          <w:spacing w:val="-2"/>
        </w:rPr>
      </w:pPr>
      <w:r w:rsidRPr="00BD177B">
        <w:rPr>
          <w:spacing w:val="-2"/>
        </w:rPr>
        <w:t xml:space="preserve">U </w:t>
      </w:r>
      <w:r w:rsidR="001704C3" w:rsidRPr="00BD177B">
        <w:rPr>
          <w:spacing w:val="-2"/>
        </w:rPr>
        <w:t>Tablic</w:t>
      </w:r>
      <w:r w:rsidRPr="00BD177B">
        <w:rPr>
          <w:spacing w:val="-2"/>
        </w:rPr>
        <w:t xml:space="preserve">i </w:t>
      </w:r>
      <w:r w:rsidR="006227D2" w:rsidRPr="00BD177B">
        <w:rPr>
          <w:spacing w:val="-2"/>
        </w:rPr>
        <w:t>4</w:t>
      </w:r>
      <w:r w:rsidR="001704C3" w:rsidRPr="00BD177B">
        <w:rPr>
          <w:spacing w:val="-2"/>
        </w:rPr>
        <w:t>. prikaz</w:t>
      </w:r>
      <w:r w:rsidRPr="00BD177B">
        <w:rPr>
          <w:spacing w:val="-2"/>
        </w:rPr>
        <w:t xml:space="preserve">ane su </w:t>
      </w:r>
      <w:r w:rsidR="006227D2" w:rsidRPr="00BD177B">
        <w:rPr>
          <w:spacing w:val="-2"/>
        </w:rPr>
        <w:t>dodijeljene</w:t>
      </w:r>
      <w:r w:rsidR="001704C3" w:rsidRPr="00BD177B">
        <w:rPr>
          <w:spacing w:val="-2"/>
        </w:rPr>
        <w:t xml:space="preserve"> potpore putem različitih instrumenata u razdoblju od 20</w:t>
      </w:r>
      <w:r w:rsidR="009F11CF" w:rsidRPr="00BD177B">
        <w:rPr>
          <w:spacing w:val="-2"/>
        </w:rPr>
        <w:t>2</w:t>
      </w:r>
      <w:r w:rsidRPr="00BD177B">
        <w:rPr>
          <w:spacing w:val="-2"/>
        </w:rPr>
        <w:t>2</w:t>
      </w:r>
      <w:r w:rsidR="001704C3" w:rsidRPr="00BD177B">
        <w:rPr>
          <w:spacing w:val="-2"/>
        </w:rPr>
        <w:t>. do 202</w:t>
      </w:r>
      <w:r w:rsidRPr="00BD177B">
        <w:rPr>
          <w:spacing w:val="-2"/>
        </w:rPr>
        <w:t>4</w:t>
      </w:r>
      <w:r w:rsidR="006227D2" w:rsidRPr="00BD177B">
        <w:rPr>
          <w:spacing w:val="-2"/>
        </w:rPr>
        <w:t>. godine u milijunima eura</w:t>
      </w:r>
      <w:r w:rsidR="001704C3" w:rsidRPr="00BD177B">
        <w:rPr>
          <w:spacing w:val="-2"/>
        </w:rPr>
        <w:t xml:space="preserve">, te </w:t>
      </w:r>
      <w:r w:rsidRPr="00BD177B">
        <w:rPr>
          <w:spacing w:val="-2"/>
        </w:rPr>
        <w:t xml:space="preserve">njihov </w:t>
      </w:r>
      <w:r w:rsidR="001704C3" w:rsidRPr="00BD177B">
        <w:rPr>
          <w:spacing w:val="-2"/>
        </w:rPr>
        <w:t>udio u postocima u ukupno dodijeljenim potporama.</w:t>
      </w:r>
    </w:p>
    <w:p w14:paraId="4F27C1E1" w14:textId="34AB8E2E" w:rsidR="001704C3" w:rsidRPr="00BD177B" w:rsidRDefault="001704C3" w:rsidP="00BE487D">
      <w:pPr>
        <w:jc w:val="both"/>
      </w:pPr>
    </w:p>
    <w:p w14:paraId="52C9D7F6" w14:textId="77777777" w:rsidR="004C3C64" w:rsidRPr="00BD177B" w:rsidRDefault="004C3C64">
      <w:pPr>
        <w:rPr>
          <w:spacing w:val="-2"/>
        </w:rPr>
      </w:pPr>
      <w:r w:rsidRPr="00BD177B">
        <w:rPr>
          <w:spacing w:val="-2"/>
        </w:rPr>
        <w:br w:type="page"/>
      </w:r>
    </w:p>
    <w:p w14:paraId="4345B95E" w14:textId="747F4D6A" w:rsidR="00FE2D9A" w:rsidRPr="00BD177B" w:rsidRDefault="00FE2D9A" w:rsidP="00BE487D">
      <w:pPr>
        <w:jc w:val="both"/>
        <w:rPr>
          <w:spacing w:val="-2"/>
        </w:rPr>
      </w:pPr>
      <w:r w:rsidRPr="00BD177B">
        <w:rPr>
          <w:spacing w:val="-2"/>
        </w:rPr>
        <w:lastRenderedPageBreak/>
        <w:t xml:space="preserve">Slika </w:t>
      </w:r>
      <w:r w:rsidR="004C3C64" w:rsidRPr="00BD177B">
        <w:rPr>
          <w:spacing w:val="-2"/>
        </w:rPr>
        <w:t>3</w:t>
      </w:r>
      <w:r w:rsidRPr="00BD177B">
        <w:rPr>
          <w:spacing w:val="-2"/>
        </w:rPr>
        <w:t xml:space="preserve">. </w:t>
      </w:r>
      <w:r w:rsidR="004C3C64" w:rsidRPr="00BD177B">
        <w:rPr>
          <w:spacing w:val="-2"/>
        </w:rPr>
        <w:t>Udio</w:t>
      </w:r>
      <w:r w:rsidR="00094CFC" w:rsidRPr="00BD177B">
        <w:rPr>
          <w:spacing w:val="-2"/>
        </w:rPr>
        <w:t xml:space="preserve"> dodijeljen</w:t>
      </w:r>
      <w:r w:rsidR="004C3C64" w:rsidRPr="00BD177B">
        <w:rPr>
          <w:spacing w:val="-2"/>
        </w:rPr>
        <w:t>ih</w:t>
      </w:r>
      <w:r w:rsidR="00094CFC" w:rsidRPr="00BD177B">
        <w:rPr>
          <w:spacing w:val="-2"/>
        </w:rPr>
        <w:t xml:space="preserve"> </w:t>
      </w:r>
      <w:r w:rsidRPr="00BD177B">
        <w:rPr>
          <w:spacing w:val="-2"/>
        </w:rPr>
        <w:t>potpor</w:t>
      </w:r>
      <w:r w:rsidR="004C3C64" w:rsidRPr="00BD177B">
        <w:rPr>
          <w:spacing w:val="-2"/>
        </w:rPr>
        <w:t>a</w:t>
      </w:r>
      <w:r w:rsidRPr="00BD177B">
        <w:rPr>
          <w:spacing w:val="-2"/>
        </w:rPr>
        <w:t xml:space="preserve"> prema instrumentima </w:t>
      </w:r>
      <w:r w:rsidR="004C3C64" w:rsidRPr="00BD177B">
        <w:rPr>
          <w:spacing w:val="-2"/>
        </w:rPr>
        <w:t xml:space="preserve">u ukupno dodijeljenim potporama </w:t>
      </w:r>
      <w:r w:rsidR="00C04D37" w:rsidRPr="00BD177B">
        <w:rPr>
          <w:spacing w:val="-2"/>
        </w:rPr>
        <w:t>u</w:t>
      </w:r>
      <w:r w:rsidRPr="00BD177B">
        <w:rPr>
          <w:spacing w:val="-2"/>
        </w:rPr>
        <w:t xml:space="preserve"> razdoblj</w:t>
      </w:r>
      <w:r w:rsidR="00C04D37" w:rsidRPr="00BD177B">
        <w:rPr>
          <w:spacing w:val="-2"/>
        </w:rPr>
        <w:t>u</w:t>
      </w:r>
      <w:r w:rsidRPr="00BD177B">
        <w:rPr>
          <w:spacing w:val="-2"/>
        </w:rPr>
        <w:t xml:space="preserve"> od 20</w:t>
      </w:r>
      <w:r w:rsidR="007502C8" w:rsidRPr="00BD177B">
        <w:rPr>
          <w:spacing w:val="-2"/>
        </w:rPr>
        <w:t>2</w:t>
      </w:r>
      <w:r w:rsidR="004C3C64" w:rsidRPr="00BD177B">
        <w:rPr>
          <w:spacing w:val="-2"/>
        </w:rPr>
        <w:t>2</w:t>
      </w:r>
      <w:r w:rsidRPr="00BD177B">
        <w:rPr>
          <w:spacing w:val="-2"/>
        </w:rPr>
        <w:t>. do 202</w:t>
      </w:r>
      <w:r w:rsidR="004C3C64" w:rsidRPr="00BD177B">
        <w:rPr>
          <w:spacing w:val="-2"/>
        </w:rPr>
        <w:t>4</w:t>
      </w:r>
      <w:r w:rsidRPr="00BD177B">
        <w:rPr>
          <w:spacing w:val="-2"/>
        </w:rPr>
        <w:t>. godine</w:t>
      </w:r>
    </w:p>
    <w:p w14:paraId="64E522D0" w14:textId="77777777" w:rsidR="001D1859" w:rsidRPr="00BD177B" w:rsidRDefault="001D1859" w:rsidP="00BE487D">
      <w:pPr>
        <w:jc w:val="both"/>
        <w:rPr>
          <w:sz w:val="20"/>
        </w:rPr>
      </w:pPr>
    </w:p>
    <w:p w14:paraId="3D4C17DC" w14:textId="23CD9F07" w:rsidR="00201D7E" w:rsidRPr="00BD177B" w:rsidRDefault="00201D7E" w:rsidP="004C3C64">
      <w:pPr>
        <w:jc w:val="center"/>
      </w:pPr>
      <w:r w:rsidRPr="00BD177B">
        <w:rPr>
          <w:noProof/>
          <w:lang w:eastAsia="hr-HR"/>
        </w:rPr>
        <w:drawing>
          <wp:inline distT="0" distB="0" distL="0" distR="0" wp14:anchorId="225A98C0" wp14:editId="7C8AEB0D">
            <wp:extent cx="5197929" cy="2021840"/>
            <wp:effectExtent l="0" t="0" r="3175" b="1651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1B906A" w14:textId="77777777" w:rsidR="004C3C64" w:rsidRPr="00BD177B" w:rsidRDefault="004C3C64" w:rsidP="004C3C64">
      <w:pPr>
        <w:contextualSpacing/>
        <w:jc w:val="center"/>
        <w:rPr>
          <w:i/>
          <w:sz w:val="20"/>
        </w:rPr>
      </w:pPr>
      <w:r w:rsidRPr="00BD177B">
        <w:rPr>
          <w:i/>
          <w:sz w:val="20"/>
        </w:rPr>
        <w:t>Izvor: Ministarstvo financija i davatelji potpora; podaci obrađeni u Ministarstvu financija</w:t>
      </w:r>
    </w:p>
    <w:p w14:paraId="67F016B6" w14:textId="77777777" w:rsidR="00201D7E" w:rsidRPr="00BD177B" w:rsidRDefault="00201D7E" w:rsidP="00BE487D">
      <w:pPr>
        <w:jc w:val="both"/>
      </w:pPr>
    </w:p>
    <w:p w14:paraId="4730E68C" w14:textId="21201300" w:rsidR="008C2D7C" w:rsidRPr="00BD177B" w:rsidRDefault="004C3C64" w:rsidP="008C2D7C">
      <w:pPr>
        <w:jc w:val="both"/>
      </w:pPr>
      <w:r w:rsidRPr="00BD177B">
        <w:t xml:space="preserve">Na </w:t>
      </w:r>
      <w:r w:rsidR="008C2D7C" w:rsidRPr="00BD177B">
        <w:t>Sli</w:t>
      </w:r>
      <w:r w:rsidR="00042899" w:rsidRPr="00BD177B">
        <w:t>ci</w:t>
      </w:r>
      <w:r w:rsidR="008C2D7C" w:rsidRPr="00BD177B">
        <w:t xml:space="preserve"> </w:t>
      </w:r>
      <w:r w:rsidR="00042899" w:rsidRPr="00BD177B">
        <w:t>3</w:t>
      </w:r>
      <w:r w:rsidR="008C2D7C" w:rsidRPr="00BD177B">
        <w:t>. prikaz</w:t>
      </w:r>
      <w:r w:rsidR="00042899" w:rsidRPr="00BD177B">
        <w:t xml:space="preserve">an </w:t>
      </w:r>
      <w:r w:rsidR="009F11CF" w:rsidRPr="00BD177B">
        <w:t>je</w:t>
      </w:r>
      <w:r w:rsidR="001704C3" w:rsidRPr="00BD177B">
        <w:t xml:space="preserve"> </w:t>
      </w:r>
      <w:r w:rsidR="008C2D7C" w:rsidRPr="00BD177B">
        <w:t>udio ukupno dodijeljenih potpora</w:t>
      </w:r>
      <w:r w:rsidR="001704C3" w:rsidRPr="00BD177B">
        <w:t xml:space="preserve"> </w:t>
      </w:r>
      <w:r w:rsidR="00042899" w:rsidRPr="00BD177B">
        <w:rPr>
          <w:spacing w:val="-2"/>
        </w:rPr>
        <w:t xml:space="preserve">prema instrumentima </w:t>
      </w:r>
      <w:r w:rsidR="00042899" w:rsidRPr="00BD177B">
        <w:t xml:space="preserve">dodijele </w:t>
      </w:r>
      <w:r w:rsidR="009F11CF" w:rsidRPr="00BD177B">
        <w:t xml:space="preserve">u postocima </w:t>
      </w:r>
      <w:r w:rsidR="001704C3" w:rsidRPr="00BD177B">
        <w:t>u razdoblju od 20</w:t>
      </w:r>
      <w:r w:rsidR="009F11CF" w:rsidRPr="00BD177B">
        <w:t>2</w:t>
      </w:r>
      <w:r w:rsidR="00042899" w:rsidRPr="00BD177B">
        <w:t>2</w:t>
      </w:r>
      <w:r w:rsidR="001704C3" w:rsidRPr="00BD177B">
        <w:t>. do 202</w:t>
      </w:r>
      <w:r w:rsidR="00042899" w:rsidRPr="00BD177B">
        <w:t>4</w:t>
      </w:r>
      <w:r w:rsidR="001704C3" w:rsidRPr="00BD177B">
        <w:t>. godine</w:t>
      </w:r>
      <w:r w:rsidR="008C2D7C" w:rsidRPr="00BD177B">
        <w:t xml:space="preserve">. </w:t>
      </w:r>
    </w:p>
    <w:p w14:paraId="6685AA49" w14:textId="77777777" w:rsidR="00042899" w:rsidRPr="00BD177B" w:rsidRDefault="00042899" w:rsidP="008C2D7C">
      <w:pPr>
        <w:jc w:val="both"/>
      </w:pPr>
    </w:p>
    <w:p w14:paraId="27D5B7EC" w14:textId="05CC6E0C" w:rsidR="0074548D" w:rsidRPr="00BD177B" w:rsidRDefault="0074548D" w:rsidP="00BE487D">
      <w:pPr>
        <w:jc w:val="both"/>
      </w:pPr>
    </w:p>
    <w:p w14:paraId="0EA68499" w14:textId="77777777" w:rsidR="00042899" w:rsidRPr="00BD177B" w:rsidRDefault="00042899" w:rsidP="00BE487D">
      <w:pPr>
        <w:jc w:val="both"/>
      </w:pPr>
    </w:p>
    <w:p w14:paraId="75CB7766" w14:textId="77777777" w:rsidR="00CC2841" w:rsidRPr="00BD177B" w:rsidRDefault="00CC2841" w:rsidP="00BE487D">
      <w:pPr>
        <w:pStyle w:val="Heading4"/>
        <w:spacing w:before="0"/>
        <w:jc w:val="both"/>
        <w:rPr>
          <w:rFonts w:ascii="Times New Roman" w:hAnsi="Times New Roman" w:cs="Times New Roman"/>
          <w:b/>
          <w:color w:val="auto"/>
        </w:rPr>
      </w:pPr>
      <w:r w:rsidRPr="00BD177B">
        <w:rPr>
          <w:rFonts w:ascii="Times New Roman" w:hAnsi="Times New Roman" w:cs="Times New Roman"/>
          <w:b/>
          <w:color w:val="auto"/>
        </w:rPr>
        <w:t>Državna jamstva kao instrument potpore</w:t>
      </w:r>
      <w:r w:rsidRPr="00BD177B">
        <w:rPr>
          <w:rStyle w:val="FootnoteReference"/>
          <w:rFonts w:ascii="Times New Roman" w:hAnsi="Times New Roman" w:cs="Times New Roman"/>
          <w:b/>
          <w:color w:val="auto"/>
        </w:rPr>
        <w:footnoteReference w:id="20"/>
      </w:r>
    </w:p>
    <w:p w14:paraId="19B0726D" w14:textId="77777777" w:rsidR="00CC2841" w:rsidRPr="00BD177B" w:rsidRDefault="00CC2841" w:rsidP="00BE487D">
      <w:pPr>
        <w:jc w:val="both"/>
      </w:pPr>
    </w:p>
    <w:p w14:paraId="21228881" w14:textId="77777777" w:rsidR="00FE2D9A" w:rsidRPr="00BD177B" w:rsidRDefault="00FE2D9A" w:rsidP="00BE487D">
      <w:pPr>
        <w:jc w:val="both"/>
      </w:pPr>
    </w:p>
    <w:p w14:paraId="5A7F6022" w14:textId="7834C5EF" w:rsidR="00791EC6" w:rsidRPr="00BD177B" w:rsidRDefault="00791EC6" w:rsidP="00BE487D">
      <w:pPr>
        <w:jc w:val="both"/>
      </w:pPr>
      <w:r w:rsidRPr="00BD177B">
        <w:rPr>
          <w:u w:val="single"/>
        </w:rPr>
        <w:t>Potpore u obliku izdanih jamstva</w:t>
      </w:r>
      <w:r w:rsidRPr="00BD177B">
        <w:t xml:space="preserve"> u </w:t>
      </w:r>
      <w:r w:rsidR="009F11CF" w:rsidRPr="00BD177B">
        <w:t>202</w:t>
      </w:r>
      <w:r w:rsidR="00042899" w:rsidRPr="00BD177B">
        <w:t>4</w:t>
      </w:r>
      <w:r w:rsidR="009F11CF" w:rsidRPr="00BD177B">
        <w:t>. godin</w:t>
      </w:r>
      <w:r w:rsidRPr="00BD177B">
        <w:t>i</w:t>
      </w:r>
      <w:r w:rsidR="009F11CF" w:rsidRPr="00BD177B">
        <w:t xml:space="preserve"> </w:t>
      </w:r>
      <w:r w:rsidR="00042899" w:rsidRPr="00BD177B">
        <w:t xml:space="preserve">dodijeljene su u </w:t>
      </w:r>
      <w:r w:rsidR="00E75EDA" w:rsidRPr="00BD177B">
        <w:t>iznos</w:t>
      </w:r>
      <w:r w:rsidR="00042899" w:rsidRPr="00BD177B">
        <w:t>u od</w:t>
      </w:r>
      <w:r w:rsidR="00E75EDA" w:rsidRPr="00BD177B">
        <w:t xml:space="preserve"> </w:t>
      </w:r>
      <w:r w:rsidR="00042899" w:rsidRPr="00BD177B">
        <w:t xml:space="preserve">19,6 </w:t>
      </w:r>
      <w:r w:rsidR="00981801" w:rsidRPr="00BD177B">
        <w:t>milijun</w:t>
      </w:r>
      <w:r w:rsidR="00042899" w:rsidRPr="00BD177B">
        <w:t>a</w:t>
      </w:r>
      <w:r w:rsidR="00981801" w:rsidRPr="00BD177B">
        <w:t xml:space="preserve"> </w:t>
      </w:r>
      <w:r w:rsidRPr="00BD177B">
        <w:t>eura</w:t>
      </w:r>
      <w:r w:rsidR="00822E54" w:rsidRPr="00BD177B">
        <w:t xml:space="preserve">, što je </w:t>
      </w:r>
      <w:r w:rsidR="00042899" w:rsidRPr="00BD177B">
        <w:t>smanjenje</w:t>
      </w:r>
      <w:r w:rsidR="00822E54" w:rsidRPr="00BD177B">
        <w:t xml:space="preserve"> za </w:t>
      </w:r>
      <w:r w:rsidR="00042899" w:rsidRPr="00BD177B">
        <w:t xml:space="preserve">413,5 </w:t>
      </w:r>
      <w:r w:rsidR="00E75EDA" w:rsidRPr="00BD177B">
        <w:t xml:space="preserve">milijuna </w:t>
      </w:r>
      <w:r w:rsidRPr="00BD177B">
        <w:t>eura</w:t>
      </w:r>
      <w:r w:rsidR="00E75EDA" w:rsidRPr="00BD177B">
        <w:t xml:space="preserve"> </w:t>
      </w:r>
      <w:r w:rsidR="00042899" w:rsidRPr="00BD177B">
        <w:t>ili</w:t>
      </w:r>
      <w:r w:rsidR="00D43B49" w:rsidRPr="00BD177B">
        <w:t xml:space="preserve"> </w:t>
      </w:r>
      <w:r w:rsidR="00042899" w:rsidRPr="00BD177B">
        <w:t>95,5</w:t>
      </w:r>
      <w:r w:rsidR="00FE2D9A" w:rsidRPr="00BD177B">
        <w:t xml:space="preserve"> posto u odnosu na 20</w:t>
      </w:r>
      <w:r w:rsidR="00E56F1F" w:rsidRPr="00BD177B">
        <w:t>2</w:t>
      </w:r>
      <w:r w:rsidR="00042899" w:rsidRPr="00BD177B">
        <w:t>3</w:t>
      </w:r>
      <w:r w:rsidR="00FE2D9A" w:rsidRPr="00BD177B">
        <w:t xml:space="preserve">. godinu kada su </w:t>
      </w:r>
      <w:r w:rsidR="00042899" w:rsidRPr="00BD177B">
        <w:t>iznosile</w:t>
      </w:r>
      <w:r w:rsidR="00E56F1F" w:rsidRPr="00BD177B">
        <w:t xml:space="preserve"> </w:t>
      </w:r>
      <w:r w:rsidR="00042899" w:rsidRPr="00BD177B">
        <w:t xml:space="preserve">433,1 </w:t>
      </w:r>
      <w:r w:rsidR="00FE2D9A" w:rsidRPr="00BD177B">
        <w:t xml:space="preserve">milijun </w:t>
      </w:r>
      <w:r w:rsidRPr="00BD177B">
        <w:t>eura</w:t>
      </w:r>
      <w:r w:rsidR="00E56F1F" w:rsidRPr="00BD177B">
        <w:t xml:space="preserve">, te </w:t>
      </w:r>
      <w:r w:rsidR="002140C3" w:rsidRPr="00BD177B">
        <w:t xml:space="preserve">predstavlja </w:t>
      </w:r>
      <w:r w:rsidR="00042899" w:rsidRPr="00BD177B">
        <w:t xml:space="preserve">smanjenje </w:t>
      </w:r>
      <w:r w:rsidR="00E56F1F" w:rsidRPr="00BD177B">
        <w:t xml:space="preserve">za </w:t>
      </w:r>
      <w:r w:rsidR="00042899" w:rsidRPr="00BD177B">
        <w:t xml:space="preserve">250,2 </w:t>
      </w:r>
      <w:r w:rsidR="00E56F1F" w:rsidRPr="00BD177B">
        <w:t xml:space="preserve">milijuna </w:t>
      </w:r>
      <w:r w:rsidRPr="00BD177B">
        <w:t xml:space="preserve">eura </w:t>
      </w:r>
      <w:r w:rsidR="00042899" w:rsidRPr="00BD177B">
        <w:t>ili</w:t>
      </w:r>
      <w:r w:rsidR="00D43B49" w:rsidRPr="00BD177B">
        <w:t xml:space="preserve"> </w:t>
      </w:r>
      <w:r w:rsidR="00042899" w:rsidRPr="00BD177B">
        <w:t xml:space="preserve">92,7 </w:t>
      </w:r>
      <w:r w:rsidR="00E56F1F" w:rsidRPr="00BD177B">
        <w:t>posto u odnosu na 20</w:t>
      </w:r>
      <w:r w:rsidRPr="00BD177B">
        <w:t>2</w:t>
      </w:r>
      <w:r w:rsidR="00042899" w:rsidRPr="00BD177B">
        <w:t>2</w:t>
      </w:r>
      <w:r w:rsidRPr="00BD177B">
        <w:t>.</w:t>
      </w:r>
      <w:r w:rsidR="00E56F1F" w:rsidRPr="00BD177B">
        <w:t xml:space="preserve"> godinu kada su </w:t>
      </w:r>
      <w:r w:rsidR="00042899" w:rsidRPr="00BD177B">
        <w:t>iznosile</w:t>
      </w:r>
      <w:r w:rsidR="00E56F1F" w:rsidRPr="00BD177B">
        <w:t xml:space="preserve"> </w:t>
      </w:r>
      <w:r w:rsidR="00042899" w:rsidRPr="00BD177B">
        <w:t xml:space="preserve">269,8 </w:t>
      </w:r>
      <w:r w:rsidR="00E56F1F" w:rsidRPr="00BD177B">
        <w:t>milijun</w:t>
      </w:r>
      <w:r w:rsidR="00A1201A" w:rsidRPr="00BD177B">
        <w:t>a</w:t>
      </w:r>
      <w:r w:rsidR="00E56F1F" w:rsidRPr="00BD177B">
        <w:t xml:space="preserve"> </w:t>
      </w:r>
      <w:r w:rsidRPr="00BD177B">
        <w:t>eura</w:t>
      </w:r>
      <w:r w:rsidR="00E56F1F" w:rsidRPr="00BD177B">
        <w:t>.</w:t>
      </w:r>
      <w:r w:rsidR="006A6F4B" w:rsidRPr="00BD177B">
        <w:t xml:space="preserve"> </w:t>
      </w:r>
      <w:r w:rsidRPr="00BD177B">
        <w:t xml:space="preserve">Udio dodijeljenih potpora u obliku jamstva </w:t>
      </w:r>
      <w:r w:rsidR="00042899" w:rsidRPr="00BD177B">
        <w:t xml:space="preserve">u 2024. godini </w:t>
      </w:r>
      <w:r w:rsidRPr="00BD177B">
        <w:t xml:space="preserve">u BDP-u iznosio je </w:t>
      </w:r>
      <w:r w:rsidR="00042899" w:rsidRPr="00BD177B">
        <w:t>0,02</w:t>
      </w:r>
      <w:r w:rsidRPr="00BD177B">
        <w:t xml:space="preserve"> posto.</w:t>
      </w:r>
    </w:p>
    <w:p w14:paraId="5AE7ABF4" w14:textId="77777777" w:rsidR="00042899" w:rsidRPr="00BD177B" w:rsidRDefault="00042899" w:rsidP="00BE487D">
      <w:pPr>
        <w:jc w:val="both"/>
      </w:pPr>
    </w:p>
    <w:p w14:paraId="749684AA" w14:textId="3BE73556" w:rsidR="004F3FDC" w:rsidRPr="00BD177B" w:rsidRDefault="00042899" w:rsidP="00BE487D">
      <w:pPr>
        <w:jc w:val="both"/>
        <w:rPr>
          <w:rFonts w:eastAsia="Times New Roman"/>
          <w:lang w:eastAsia="hr-HR"/>
        </w:rPr>
      </w:pPr>
      <w:r w:rsidRPr="00BD177B">
        <w:t>D</w:t>
      </w:r>
      <w:r w:rsidR="006A6F4B" w:rsidRPr="00BD177B">
        <w:t>avatelji</w:t>
      </w:r>
      <w:r w:rsidRPr="00BD177B">
        <w:t xml:space="preserve"> </w:t>
      </w:r>
      <w:r w:rsidR="006A6F4B" w:rsidRPr="00BD177B">
        <w:t>potpora</w:t>
      </w:r>
      <w:r w:rsidR="00D268B5" w:rsidRPr="00BD177B">
        <w:t xml:space="preserve"> </w:t>
      </w:r>
      <w:r w:rsidR="00A1201A" w:rsidRPr="00BD177B">
        <w:t>putem izdanih jamstava</w:t>
      </w:r>
      <w:r w:rsidRPr="00BD177B">
        <w:t xml:space="preserve"> u 2024. godini </w:t>
      </w:r>
      <w:r w:rsidR="00FE2D9A" w:rsidRPr="00BD177B">
        <w:t xml:space="preserve">su </w:t>
      </w:r>
      <w:r w:rsidRPr="00BD177B">
        <w:t xml:space="preserve">Ministarstvo gospodarstva s iznosom od 14 </w:t>
      </w:r>
      <w:r w:rsidRPr="00BD177B">
        <w:rPr>
          <w:rFonts w:eastAsia="Times New Roman"/>
          <w:lang w:eastAsia="hr-HR"/>
        </w:rPr>
        <w:t xml:space="preserve">milijuna eura te </w:t>
      </w:r>
      <w:r w:rsidR="00D268B5" w:rsidRPr="00BD177B">
        <w:t xml:space="preserve">Hrvatska banka za obnovu i razvitak (u daljnjem tekstu: HBOR) </w:t>
      </w:r>
      <w:r w:rsidRPr="00BD177B">
        <w:t xml:space="preserve">s </w:t>
      </w:r>
      <w:r w:rsidR="00D268B5" w:rsidRPr="00BD177B">
        <w:t>iznos</w:t>
      </w:r>
      <w:r w:rsidRPr="00BD177B">
        <w:t>om</w:t>
      </w:r>
      <w:r w:rsidR="00D268B5" w:rsidRPr="00BD177B">
        <w:t xml:space="preserve"> od </w:t>
      </w:r>
      <w:r w:rsidRPr="00BD177B">
        <w:t>5,6</w:t>
      </w:r>
      <w:r w:rsidR="004F3FDC" w:rsidRPr="00BD177B">
        <w:t xml:space="preserve"> </w:t>
      </w:r>
      <w:r w:rsidR="00D268B5" w:rsidRPr="00BD177B">
        <w:rPr>
          <w:rFonts w:eastAsia="Times New Roman"/>
          <w:lang w:eastAsia="hr-HR"/>
        </w:rPr>
        <w:t xml:space="preserve">milijuna </w:t>
      </w:r>
      <w:r w:rsidR="004F3FDC" w:rsidRPr="00BD177B">
        <w:rPr>
          <w:rFonts w:eastAsia="Times New Roman"/>
          <w:lang w:eastAsia="hr-HR"/>
        </w:rPr>
        <w:t>eura</w:t>
      </w:r>
      <w:r w:rsidR="00D268B5" w:rsidRPr="00BD177B">
        <w:rPr>
          <w:rFonts w:eastAsia="Times New Roman"/>
          <w:lang w:eastAsia="hr-HR"/>
        </w:rPr>
        <w:t>,</w:t>
      </w:r>
      <w:r w:rsidR="004F3FDC" w:rsidRPr="00BD177B">
        <w:rPr>
          <w:rFonts w:eastAsia="Times New Roman"/>
          <w:lang w:eastAsia="hr-HR"/>
        </w:rPr>
        <w:t>.</w:t>
      </w:r>
    </w:p>
    <w:p w14:paraId="52F06D42" w14:textId="6CDC7310" w:rsidR="00042899" w:rsidRPr="00BD177B" w:rsidRDefault="00042899" w:rsidP="00BE487D">
      <w:pPr>
        <w:jc w:val="both"/>
        <w:rPr>
          <w:rFonts w:eastAsia="Times New Roman"/>
          <w:lang w:eastAsia="hr-HR"/>
        </w:rPr>
      </w:pPr>
    </w:p>
    <w:p w14:paraId="73605A5C" w14:textId="089555A4" w:rsidR="00040930" w:rsidRPr="00BD177B" w:rsidRDefault="00042899" w:rsidP="00040930">
      <w:pPr>
        <w:jc w:val="both"/>
      </w:pPr>
      <w:r w:rsidRPr="00BD177B">
        <w:rPr>
          <w:u w:val="single"/>
        </w:rPr>
        <w:t xml:space="preserve">Ministarstvo gospodarstva </w:t>
      </w:r>
      <w:r w:rsidRPr="00BD177B">
        <w:t xml:space="preserve">dodijelilo je </w:t>
      </w:r>
      <w:r w:rsidR="00040930" w:rsidRPr="00BD177B">
        <w:t xml:space="preserve">potporu </w:t>
      </w:r>
      <w:r w:rsidRPr="00BD177B">
        <w:t>putem izdan</w:t>
      </w:r>
      <w:r w:rsidR="00040930" w:rsidRPr="00BD177B">
        <w:t>og</w:t>
      </w:r>
      <w:r w:rsidRPr="00BD177B">
        <w:t xml:space="preserve"> jamstva </w:t>
      </w:r>
      <w:r w:rsidR="00040930" w:rsidRPr="00BD177B">
        <w:t xml:space="preserve">od 14 </w:t>
      </w:r>
      <w:r w:rsidRPr="00BD177B">
        <w:t>milijuna eura</w:t>
      </w:r>
      <w:r w:rsidR="00040930" w:rsidRPr="00BD177B">
        <w:t xml:space="preserve"> </w:t>
      </w:r>
      <w:r w:rsidRPr="00BD177B">
        <w:t xml:space="preserve">u sektoru brodogradnje za </w:t>
      </w:r>
      <w:r w:rsidR="00040930" w:rsidRPr="00BD177B">
        <w:t>osiguranje avansnih uplata kupca za praćenje dovršetka broda Novogradnje broj 527 poduzetniku 3. Maj Brodogradilište d.d.</w:t>
      </w:r>
    </w:p>
    <w:p w14:paraId="4DFE898A" w14:textId="77777777" w:rsidR="00040930" w:rsidRPr="00BD177B" w:rsidRDefault="00040930" w:rsidP="00117DD1">
      <w:pPr>
        <w:jc w:val="both"/>
        <w:rPr>
          <w:u w:val="single"/>
        </w:rPr>
      </w:pPr>
    </w:p>
    <w:p w14:paraId="6F577EC6" w14:textId="60504E56" w:rsidR="00040930" w:rsidRPr="00BD177B" w:rsidRDefault="0063713A" w:rsidP="00117DD1">
      <w:pPr>
        <w:jc w:val="both"/>
      </w:pPr>
      <w:r w:rsidRPr="00BD177B">
        <w:rPr>
          <w:u w:val="single"/>
        </w:rPr>
        <w:t>HBOR</w:t>
      </w:r>
      <w:r w:rsidRPr="00BD177B">
        <w:t xml:space="preserve"> je izda</w:t>
      </w:r>
      <w:r w:rsidR="00040930" w:rsidRPr="00BD177B">
        <w:t>o</w:t>
      </w:r>
      <w:r w:rsidRPr="00BD177B">
        <w:t xml:space="preserve"> jamstva u iznosu od </w:t>
      </w:r>
      <w:r w:rsidR="00040930" w:rsidRPr="00BD177B">
        <w:t>5,6</w:t>
      </w:r>
      <w:r w:rsidR="008A4EE2" w:rsidRPr="00BD177B">
        <w:t xml:space="preserve"> </w:t>
      </w:r>
      <w:r w:rsidRPr="00BD177B">
        <w:t xml:space="preserve">milijuna </w:t>
      </w:r>
      <w:r w:rsidR="00117DD1" w:rsidRPr="00BD177B">
        <w:t>eura</w:t>
      </w:r>
      <w:r w:rsidR="00040930" w:rsidRPr="00BD177B">
        <w:t>, i to za regionalni razvoj</w:t>
      </w:r>
      <w:r w:rsidR="00A6538F" w:rsidRPr="00BD177B">
        <w:t xml:space="preserve"> i zaštitu okoliša</w:t>
      </w:r>
      <w:r w:rsidR="00040930" w:rsidRPr="00BD177B">
        <w:t xml:space="preserve"> temeljem Izmjene i dopune Programa dodjele državnih potpora HBOR-a</w:t>
      </w:r>
      <w:r w:rsidR="002140C3" w:rsidRPr="00BD177B">
        <w:t xml:space="preserve"> koji se temelji na Uredbi o općem skupnom izuzeću, čija je primjena produljena </w:t>
      </w:r>
      <w:r w:rsidR="00040930" w:rsidRPr="00BD177B">
        <w:t xml:space="preserve">do kraja 2026. godine </w:t>
      </w:r>
      <w:r w:rsidR="002140C3" w:rsidRPr="00BD177B">
        <w:t xml:space="preserve">i </w:t>
      </w:r>
      <w:r w:rsidR="00040930" w:rsidRPr="00BD177B">
        <w:t>o kojem je Europska komisija obaviještena pod brojem SA.109743</w:t>
      </w:r>
      <w:r w:rsidR="00A6538F" w:rsidRPr="00BD177B">
        <w:t>.</w:t>
      </w:r>
    </w:p>
    <w:p w14:paraId="7D6893AD" w14:textId="77777777" w:rsidR="00CC2841" w:rsidRPr="00BD177B" w:rsidRDefault="00CC2841" w:rsidP="00BE487D">
      <w:pPr>
        <w:jc w:val="both"/>
        <w:rPr>
          <w:b/>
        </w:rPr>
      </w:pPr>
      <w:r w:rsidRPr="00BD177B">
        <w:rPr>
          <w:b/>
        </w:rPr>
        <w:br w:type="page"/>
      </w:r>
    </w:p>
    <w:p w14:paraId="2FF65181" w14:textId="4B6E287F" w:rsidR="00BE0817" w:rsidRPr="00BD177B"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10" w:name="_Toc213660031"/>
      <w:r w:rsidRPr="00BD177B">
        <w:rPr>
          <w:rFonts w:ascii="Times New Roman" w:hAnsi="Times New Roman" w:cs="Times New Roman"/>
          <w:b/>
          <w:color w:val="auto"/>
          <w:sz w:val="24"/>
          <w:szCs w:val="24"/>
        </w:rPr>
        <w:lastRenderedPageBreak/>
        <w:t xml:space="preserve">POTPORE </w:t>
      </w:r>
      <w:r w:rsidR="00B20C9B" w:rsidRPr="00BD177B">
        <w:rPr>
          <w:rFonts w:ascii="Times New Roman" w:hAnsi="Times New Roman" w:cs="Times New Roman"/>
          <w:b/>
          <w:color w:val="auto"/>
          <w:sz w:val="24"/>
          <w:szCs w:val="24"/>
        </w:rPr>
        <w:t xml:space="preserve">U </w:t>
      </w:r>
      <w:r w:rsidRPr="00BD177B">
        <w:rPr>
          <w:rFonts w:ascii="Times New Roman" w:hAnsi="Times New Roman" w:cs="Times New Roman"/>
          <w:b/>
          <w:color w:val="auto"/>
          <w:sz w:val="24"/>
          <w:szCs w:val="24"/>
        </w:rPr>
        <w:t>POLJOPRIVREDI I RIBARSTVU</w:t>
      </w:r>
      <w:bookmarkEnd w:id="10"/>
    </w:p>
    <w:p w14:paraId="17A18CDF" w14:textId="77777777" w:rsidR="00BE0817" w:rsidRPr="00BD177B" w:rsidRDefault="00BE0817" w:rsidP="00BE487D">
      <w:pPr>
        <w:jc w:val="both"/>
        <w:rPr>
          <w:b/>
        </w:rPr>
      </w:pPr>
    </w:p>
    <w:p w14:paraId="7F96DED4" w14:textId="77777777" w:rsidR="00A6538F" w:rsidRPr="00BD177B" w:rsidRDefault="00A6538F" w:rsidP="00BE487D">
      <w:pPr>
        <w:jc w:val="both"/>
        <w:rPr>
          <w:b/>
        </w:rPr>
      </w:pPr>
    </w:p>
    <w:p w14:paraId="1881CADA" w14:textId="600FC232" w:rsidR="006842B8" w:rsidRPr="00BD177B" w:rsidRDefault="00374ECB" w:rsidP="00BE487D">
      <w:pPr>
        <w:jc w:val="both"/>
      </w:pPr>
      <w:r w:rsidRPr="00BD177B">
        <w:t>P</w:t>
      </w:r>
      <w:r w:rsidR="00FE0491" w:rsidRPr="00BD177B">
        <w:t>otpore</w:t>
      </w:r>
      <w:r w:rsidRPr="00BD177B">
        <w:t xml:space="preserve"> </w:t>
      </w:r>
      <w:r w:rsidR="00FE0491" w:rsidRPr="00BD177B">
        <w:t xml:space="preserve">u sektoru poljoprivrede i ribarstva dodijeljene su </w:t>
      </w:r>
      <w:r w:rsidRPr="00BD177B">
        <w:t xml:space="preserve">u 2024. godini </w:t>
      </w:r>
      <w:r w:rsidR="00FE0491" w:rsidRPr="00BD177B">
        <w:t xml:space="preserve">u </w:t>
      </w:r>
      <w:r w:rsidR="006842B8" w:rsidRPr="00BD177B">
        <w:t xml:space="preserve">iznosu od </w:t>
      </w:r>
      <w:r w:rsidRPr="00BD177B">
        <w:t xml:space="preserve">128,2 </w:t>
      </w:r>
      <w:r w:rsidR="006842B8" w:rsidRPr="00BD177B">
        <w:t xml:space="preserve">milijuna </w:t>
      </w:r>
      <w:r w:rsidR="00B53058" w:rsidRPr="00BD177B">
        <w:t>eura</w:t>
      </w:r>
      <w:r w:rsidR="006842B8" w:rsidRPr="00BD177B">
        <w:t xml:space="preserve">, što </w:t>
      </w:r>
      <w:r w:rsidR="00FE0491" w:rsidRPr="00BD177B">
        <w:t>je</w:t>
      </w:r>
      <w:r w:rsidR="008F221A" w:rsidRPr="00BD177B">
        <w:t xml:space="preserve"> </w:t>
      </w:r>
      <w:r w:rsidR="00B53058" w:rsidRPr="00BD177B">
        <w:t>povećanje</w:t>
      </w:r>
      <w:r w:rsidR="008F221A" w:rsidRPr="00BD177B">
        <w:t xml:space="preserve"> </w:t>
      </w:r>
      <w:r w:rsidR="006842B8" w:rsidRPr="00BD177B">
        <w:t xml:space="preserve">za </w:t>
      </w:r>
      <w:r w:rsidRPr="00BD177B">
        <w:t xml:space="preserve">14,4 </w:t>
      </w:r>
      <w:r w:rsidR="006842B8" w:rsidRPr="00BD177B">
        <w:t xml:space="preserve">milijuna </w:t>
      </w:r>
      <w:r w:rsidR="00B53058" w:rsidRPr="00BD177B">
        <w:t xml:space="preserve">eura </w:t>
      </w:r>
      <w:r w:rsidR="006842B8" w:rsidRPr="00BD177B">
        <w:t xml:space="preserve">ili </w:t>
      </w:r>
      <w:r w:rsidRPr="00BD177B">
        <w:t>12,</w:t>
      </w:r>
      <w:r w:rsidR="000E35FA" w:rsidRPr="00BD177B">
        <w:t>6</w:t>
      </w:r>
      <w:r w:rsidR="006842B8" w:rsidRPr="00BD177B">
        <w:rPr>
          <w:rFonts w:eastAsia="Times New Roman"/>
        </w:rPr>
        <w:t xml:space="preserve"> </w:t>
      </w:r>
      <w:r w:rsidR="006842B8" w:rsidRPr="00BD177B">
        <w:t>posto u odnosu na 20</w:t>
      </w:r>
      <w:r w:rsidR="008F221A" w:rsidRPr="00BD177B">
        <w:t>2</w:t>
      </w:r>
      <w:r w:rsidRPr="00BD177B">
        <w:t>3</w:t>
      </w:r>
      <w:r w:rsidR="006842B8" w:rsidRPr="00BD177B">
        <w:t xml:space="preserve">. godinu </w:t>
      </w:r>
      <w:r w:rsidR="008F221A" w:rsidRPr="00BD177B">
        <w:t xml:space="preserve">kada su </w:t>
      </w:r>
      <w:r w:rsidRPr="00BD177B">
        <w:t>iznosile 113,</w:t>
      </w:r>
      <w:r w:rsidR="000E35FA" w:rsidRPr="00BD177B">
        <w:t>8</w:t>
      </w:r>
      <w:r w:rsidR="00FE0491" w:rsidRPr="00BD177B">
        <w:t xml:space="preserve"> </w:t>
      </w:r>
      <w:r w:rsidR="006842B8" w:rsidRPr="00BD177B">
        <w:t>milijun</w:t>
      </w:r>
      <w:r w:rsidR="008F221A" w:rsidRPr="00BD177B">
        <w:t>a</w:t>
      </w:r>
      <w:r w:rsidR="006842B8" w:rsidRPr="00BD177B">
        <w:t xml:space="preserve"> </w:t>
      </w:r>
      <w:r w:rsidR="00B53058" w:rsidRPr="00BD177B">
        <w:t>eura</w:t>
      </w:r>
      <w:r w:rsidR="006842B8" w:rsidRPr="00BD177B">
        <w:t xml:space="preserve">, </w:t>
      </w:r>
      <w:r w:rsidR="008F221A" w:rsidRPr="00BD177B">
        <w:t>te</w:t>
      </w:r>
      <w:r w:rsidR="00B83238" w:rsidRPr="00BD177B">
        <w:t xml:space="preserve"> </w:t>
      </w:r>
      <w:r w:rsidR="008D00F7" w:rsidRPr="00BD177B">
        <w:t>predstavlja</w:t>
      </w:r>
      <w:r w:rsidR="006842B8" w:rsidRPr="00BD177B">
        <w:t xml:space="preserve"> </w:t>
      </w:r>
      <w:r w:rsidR="00B53058" w:rsidRPr="00BD177B">
        <w:t>povećanje</w:t>
      </w:r>
      <w:r w:rsidR="00FE0491" w:rsidRPr="00BD177B">
        <w:t xml:space="preserve"> z</w:t>
      </w:r>
      <w:r w:rsidR="006842B8" w:rsidRPr="00BD177B">
        <w:t xml:space="preserve">a </w:t>
      </w:r>
      <w:r w:rsidRPr="00BD177B">
        <w:t>34</w:t>
      </w:r>
      <w:r w:rsidR="00B53058" w:rsidRPr="00BD177B">
        <w:t xml:space="preserve"> </w:t>
      </w:r>
      <w:r w:rsidR="006842B8" w:rsidRPr="00BD177B">
        <w:t xml:space="preserve">milijuna </w:t>
      </w:r>
      <w:r w:rsidR="00B53058" w:rsidRPr="00BD177B">
        <w:t xml:space="preserve">eura </w:t>
      </w:r>
      <w:r w:rsidR="006842B8" w:rsidRPr="00BD177B">
        <w:t xml:space="preserve">ili </w:t>
      </w:r>
      <w:r w:rsidR="00D43B49" w:rsidRPr="00BD177B">
        <w:t xml:space="preserve">za </w:t>
      </w:r>
      <w:r w:rsidRPr="00BD177B">
        <w:rPr>
          <w:rFonts w:eastAsia="Times New Roman"/>
        </w:rPr>
        <w:t>36</w:t>
      </w:r>
      <w:r w:rsidR="000E35FA" w:rsidRPr="00BD177B">
        <w:rPr>
          <w:rFonts w:eastAsia="Times New Roman"/>
        </w:rPr>
        <w:t>,1</w:t>
      </w:r>
      <w:r w:rsidR="006842B8" w:rsidRPr="00BD177B">
        <w:rPr>
          <w:rFonts w:eastAsia="Times New Roman"/>
        </w:rPr>
        <w:t xml:space="preserve"> </w:t>
      </w:r>
      <w:r w:rsidR="006842B8" w:rsidRPr="00BD177B">
        <w:t xml:space="preserve">posto u odnosu </w:t>
      </w:r>
      <w:r w:rsidR="008F221A" w:rsidRPr="00BD177B">
        <w:t>na 20</w:t>
      </w:r>
      <w:r w:rsidR="00FE0491" w:rsidRPr="00BD177B">
        <w:t>2</w:t>
      </w:r>
      <w:r w:rsidRPr="00BD177B">
        <w:t>2</w:t>
      </w:r>
      <w:r w:rsidR="008F221A" w:rsidRPr="00BD177B">
        <w:t xml:space="preserve">. godinu kada su </w:t>
      </w:r>
      <w:r w:rsidRPr="00BD177B">
        <w:t xml:space="preserve">navedene </w:t>
      </w:r>
      <w:r w:rsidR="008F221A" w:rsidRPr="00BD177B">
        <w:t>potpore</w:t>
      </w:r>
      <w:r w:rsidRPr="00BD177B">
        <w:t xml:space="preserve"> </w:t>
      </w:r>
      <w:r w:rsidR="008F221A" w:rsidRPr="00BD177B">
        <w:t>iznos</w:t>
      </w:r>
      <w:r w:rsidRPr="00BD177B">
        <w:t>ile</w:t>
      </w:r>
      <w:r w:rsidR="008F221A" w:rsidRPr="00BD177B">
        <w:t xml:space="preserve"> </w:t>
      </w:r>
      <w:r w:rsidRPr="00BD177B">
        <w:t xml:space="preserve">94,2 </w:t>
      </w:r>
      <w:r w:rsidR="006842B8" w:rsidRPr="00BD177B">
        <w:t>milijun</w:t>
      </w:r>
      <w:r w:rsidR="00FE0491" w:rsidRPr="00BD177B">
        <w:t>a</w:t>
      </w:r>
      <w:r w:rsidR="006842B8" w:rsidRPr="00BD177B">
        <w:t xml:space="preserve"> </w:t>
      </w:r>
      <w:r w:rsidR="00B53058" w:rsidRPr="00BD177B">
        <w:t>eura</w:t>
      </w:r>
      <w:r w:rsidR="006842B8" w:rsidRPr="00BD177B">
        <w:t>.</w:t>
      </w:r>
    </w:p>
    <w:p w14:paraId="775CAD99" w14:textId="77777777" w:rsidR="000E35FA" w:rsidRPr="00BD177B" w:rsidRDefault="000E35FA" w:rsidP="00BE487D">
      <w:pPr>
        <w:jc w:val="both"/>
      </w:pPr>
    </w:p>
    <w:p w14:paraId="01034598" w14:textId="4E3A36D7" w:rsidR="006842B8" w:rsidRPr="00BD177B" w:rsidRDefault="006842B8" w:rsidP="00BE487D">
      <w:pPr>
        <w:jc w:val="both"/>
      </w:pPr>
      <w:r w:rsidRPr="00BD177B">
        <w:t xml:space="preserve">Tablica </w:t>
      </w:r>
      <w:r w:rsidR="00C12460" w:rsidRPr="00BD177B">
        <w:t>5</w:t>
      </w:r>
      <w:r w:rsidRPr="00BD177B">
        <w:t xml:space="preserve">. </w:t>
      </w:r>
      <w:r w:rsidR="00BD607D" w:rsidRPr="00BD177B">
        <w:t>P</w:t>
      </w:r>
      <w:r w:rsidRPr="00BD177B">
        <w:t xml:space="preserve">otpore </w:t>
      </w:r>
      <w:r w:rsidR="00071039" w:rsidRPr="00BD177B">
        <w:t xml:space="preserve">dodijeljene </w:t>
      </w:r>
      <w:r w:rsidR="00D818D2" w:rsidRPr="00BD177B">
        <w:t xml:space="preserve">u </w:t>
      </w:r>
      <w:r w:rsidRPr="00BD177B">
        <w:t xml:space="preserve">poljoprivredi i ribarstvu </w:t>
      </w:r>
      <w:r w:rsidR="00C04D37" w:rsidRPr="00BD177B">
        <w:t>u</w:t>
      </w:r>
      <w:r w:rsidRPr="00BD177B">
        <w:t xml:space="preserve"> razdoblj</w:t>
      </w:r>
      <w:r w:rsidR="00C04D37" w:rsidRPr="00BD177B">
        <w:t>u</w:t>
      </w:r>
      <w:r w:rsidRPr="00BD177B">
        <w:t xml:space="preserve"> od 20</w:t>
      </w:r>
      <w:r w:rsidR="0037799D" w:rsidRPr="00BD177B">
        <w:t>2</w:t>
      </w:r>
      <w:r w:rsidR="007D7599" w:rsidRPr="00BD177B">
        <w:t>2</w:t>
      </w:r>
      <w:r w:rsidRPr="00BD177B">
        <w:t>. do 202</w:t>
      </w:r>
      <w:r w:rsidR="007D7599" w:rsidRPr="00BD177B">
        <w:t>4</w:t>
      </w:r>
      <w:r w:rsidRPr="00BD177B">
        <w:t>. godine</w:t>
      </w:r>
    </w:p>
    <w:p w14:paraId="75918B2B" w14:textId="77777777" w:rsidR="006842B8" w:rsidRPr="00BD177B" w:rsidRDefault="006842B8" w:rsidP="00BE487D">
      <w:pPr>
        <w:contextualSpacing/>
        <w:jc w:val="both"/>
        <w:rPr>
          <w:sz w:val="20"/>
        </w:rPr>
      </w:pPr>
    </w:p>
    <w:tbl>
      <w:tblPr>
        <w:tblW w:w="7366" w:type="dxa"/>
        <w:tblLayout w:type="fixed"/>
        <w:tblLook w:val="04A0" w:firstRow="1" w:lastRow="0" w:firstColumn="1" w:lastColumn="0" w:noHBand="0" w:noVBand="1"/>
      </w:tblPr>
      <w:tblGrid>
        <w:gridCol w:w="3222"/>
        <w:gridCol w:w="1309"/>
        <w:gridCol w:w="1418"/>
        <w:gridCol w:w="1417"/>
      </w:tblGrid>
      <w:tr w:rsidR="00D818D2" w:rsidRPr="00BD177B" w14:paraId="2F5C25C5" w14:textId="77777777" w:rsidTr="00D818D2">
        <w:trPr>
          <w:trHeight w:val="47"/>
        </w:trPr>
        <w:tc>
          <w:tcPr>
            <w:tcW w:w="3222"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B94DE3D" w14:textId="77777777" w:rsidR="00D818D2" w:rsidRPr="00BD177B" w:rsidRDefault="00D818D2" w:rsidP="00D818D2">
            <w:pPr>
              <w:jc w:val="both"/>
              <w:rPr>
                <w:b/>
                <w:bCs/>
                <w:sz w:val="20"/>
              </w:rPr>
            </w:pPr>
            <w:r w:rsidRPr="00BD177B">
              <w:rPr>
                <w:b/>
                <w:bCs/>
                <w:sz w:val="20"/>
              </w:rPr>
              <w:t>Poljoprivreda i ribarstvo</w:t>
            </w:r>
          </w:p>
        </w:tc>
        <w:tc>
          <w:tcPr>
            <w:tcW w:w="1309" w:type="dxa"/>
            <w:tcBorders>
              <w:top w:val="single" w:sz="4" w:space="0" w:color="auto"/>
              <w:left w:val="nil"/>
              <w:bottom w:val="single" w:sz="4" w:space="0" w:color="auto"/>
              <w:right w:val="single" w:sz="4" w:space="0" w:color="auto"/>
            </w:tcBorders>
            <w:shd w:val="clear" w:color="000000" w:fill="FFFF99"/>
            <w:noWrap/>
            <w:vAlign w:val="center"/>
            <w:hideMark/>
          </w:tcPr>
          <w:p w14:paraId="491ECC03" w14:textId="2D4B5D86" w:rsidR="00D818D2" w:rsidRPr="00BD177B" w:rsidRDefault="00D818D2" w:rsidP="007D7599">
            <w:pPr>
              <w:jc w:val="center"/>
              <w:rPr>
                <w:rFonts w:eastAsia="Times New Roman"/>
                <w:b/>
                <w:bCs/>
                <w:sz w:val="20"/>
              </w:rPr>
            </w:pPr>
            <w:r w:rsidRPr="00BD177B">
              <w:rPr>
                <w:rFonts w:eastAsia="Times New Roman"/>
                <w:b/>
                <w:bCs/>
                <w:sz w:val="20"/>
                <w:szCs w:val="20"/>
                <w:lang w:eastAsia="hr-HR"/>
              </w:rPr>
              <w:t>202</w:t>
            </w:r>
            <w:r w:rsidR="007D7599" w:rsidRPr="00BD177B">
              <w:rPr>
                <w:rFonts w:eastAsia="Times New Roman"/>
                <w:b/>
                <w:bCs/>
                <w:sz w:val="20"/>
                <w:szCs w:val="20"/>
                <w:lang w:eastAsia="hr-HR"/>
              </w:rPr>
              <w:t>2</w:t>
            </w:r>
            <w:r w:rsidRPr="00BD177B">
              <w:rPr>
                <w:rFonts w:eastAsia="Times New Roman"/>
                <w:b/>
                <w:bCs/>
                <w:sz w:val="20"/>
                <w:szCs w:val="20"/>
                <w:lang w:eastAsia="hr-HR"/>
              </w:rPr>
              <w:t>.</w:t>
            </w:r>
          </w:p>
        </w:tc>
        <w:tc>
          <w:tcPr>
            <w:tcW w:w="1418" w:type="dxa"/>
            <w:tcBorders>
              <w:top w:val="single" w:sz="4" w:space="0" w:color="auto"/>
              <w:left w:val="nil"/>
              <w:bottom w:val="single" w:sz="4" w:space="0" w:color="auto"/>
              <w:right w:val="single" w:sz="4" w:space="0" w:color="auto"/>
            </w:tcBorders>
            <w:shd w:val="clear" w:color="000000" w:fill="FFFF99"/>
            <w:noWrap/>
            <w:vAlign w:val="center"/>
            <w:hideMark/>
          </w:tcPr>
          <w:p w14:paraId="3D8560B0" w14:textId="4F9B8B94" w:rsidR="00D818D2" w:rsidRPr="00BD177B" w:rsidRDefault="00D818D2" w:rsidP="007D7599">
            <w:pPr>
              <w:jc w:val="center"/>
              <w:rPr>
                <w:rFonts w:eastAsia="Times New Roman"/>
                <w:b/>
                <w:bCs/>
                <w:sz w:val="20"/>
              </w:rPr>
            </w:pPr>
            <w:r w:rsidRPr="00BD177B">
              <w:rPr>
                <w:rFonts w:eastAsia="Times New Roman"/>
                <w:b/>
                <w:bCs/>
                <w:sz w:val="20"/>
                <w:szCs w:val="20"/>
                <w:lang w:eastAsia="hr-HR"/>
              </w:rPr>
              <w:t>202</w:t>
            </w:r>
            <w:r w:rsidR="007D7599" w:rsidRPr="00BD177B">
              <w:rPr>
                <w:rFonts w:eastAsia="Times New Roman"/>
                <w:b/>
                <w:bCs/>
                <w:sz w:val="20"/>
                <w:szCs w:val="20"/>
                <w:lang w:eastAsia="hr-HR"/>
              </w:rPr>
              <w:t>3</w:t>
            </w:r>
            <w:r w:rsidRPr="00BD177B">
              <w:rPr>
                <w:rFonts w:eastAsia="Times New Roman"/>
                <w:b/>
                <w:bCs/>
                <w:sz w:val="20"/>
                <w:szCs w:val="20"/>
                <w:lang w:eastAsia="hr-HR"/>
              </w:rPr>
              <w:t>.</w:t>
            </w:r>
          </w:p>
        </w:tc>
        <w:tc>
          <w:tcPr>
            <w:tcW w:w="1417" w:type="dxa"/>
            <w:tcBorders>
              <w:top w:val="single" w:sz="4" w:space="0" w:color="auto"/>
              <w:left w:val="nil"/>
              <w:bottom w:val="single" w:sz="4" w:space="0" w:color="auto"/>
              <w:right w:val="single" w:sz="4" w:space="0" w:color="auto"/>
            </w:tcBorders>
            <w:shd w:val="clear" w:color="000000" w:fill="FFFF99"/>
            <w:noWrap/>
            <w:vAlign w:val="center"/>
            <w:hideMark/>
          </w:tcPr>
          <w:p w14:paraId="40DB125C" w14:textId="1AFF4B7E" w:rsidR="00D818D2" w:rsidRPr="00BD177B" w:rsidRDefault="00D818D2" w:rsidP="007D7599">
            <w:pPr>
              <w:jc w:val="center"/>
              <w:rPr>
                <w:rFonts w:eastAsia="Times New Roman"/>
                <w:b/>
                <w:bCs/>
                <w:sz w:val="20"/>
              </w:rPr>
            </w:pPr>
            <w:r w:rsidRPr="00BD177B">
              <w:rPr>
                <w:rFonts w:eastAsia="Times New Roman"/>
                <w:b/>
                <w:bCs/>
                <w:sz w:val="20"/>
                <w:szCs w:val="20"/>
                <w:lang w:eastAsia="hr-HR"/>
              </w:rPr>
              <w:t>202</w:t>
            </w:r>
            <w:r w:rsidR="007D7599" w:rsidRPr="00BD177B">
              <w:rPr>
                <w:rFonts w:eastAsia="Times New Roman"/>
                <w:b/>
                <w:bCs/>
                <w:sz w:val="20"/>
                <w:szCs w:val="20"/>
                <w:lang w:eastAsia="hr-HR"/>
              </w:rPr>
              <w:t>4</w:t>
            </w:r>
            <w:r w:rsidRPr="00BD177B">
              <w:rPr>
                <w:rFonts w:eastAsia="Times New Roman"/>
                <w:b/>
                <w:bCs/>
                <w:sz w:val="20"/>
                <w:szCs w:val="20"/>
                <w:lang w:eastAsia="hr-HR"/>
              </w:rPr>
              <w:t>.</w:t>
            </w:r>
          </w:p>
        </w:tc>
      </w:tr>
      <w:tr w:rsidR="00D818D2" w:rsidRPr="00BD177B" w14:paraId="0AC1AC3E" w14:textId="77777777" w:rsidTr="00D818D2">
        <w:trPr>
          <w:trHeight w:val="112"/>
        </w:trPr>
        <w:tc>
          <w:tcPr>
            <w:tcW w:w="3222" w:type="dxa"/>
            <w:vMerge/>
            <w:tcBorders>
              <w:top w:val="single" w:sz="4" w:space="0" w:color="auto"/>
              <w:left w:val="single" w:sz="4" w:space="0" w:color="auto"/>
              <w:bottom w:val="single" w:sz="4" w:space="0" w:color="auto"/>
              <w:right w:val="single" w:sz="4" w:space="0" w:color="auto"/>
            </w:tcBorders>
            <w:vAlign w:val="center"/>
            <w:hideMark/>
          </w:tcPr>
          <w:p w14:paraId="7D21C1F1" w14:textId="77777777" w:rsidR="00D818D2" w:rsidRPr="00BD177B" w:rsidRDefault="00D818D2" w:rsidP="00D818D2">
            <w:pPr>
              <w:jc w:val="both"/>
              <w:rPr>
                <w:b/>
                <w:bCs/>
                <w:sz w:val="20"/>
              </w:rPr>
            </w:pPr>
          </w:p>
        </w:tc>
        <w:tc>
          <w:tcPr>
            <w:tcW w:w="1309" w:type="dxa"/>
            <w:tcBorders>
              <w:top w:val="single" w:sz="4" w:space="0" w:color="auto"/>
              <w:left w:val="nil"/>
              <w:bottom w:val="single" w:sz="4" w:space="0" w:color="auto"/>
              <w:right w:val="single" w:sz="4" w:space="0" w:color="auto"/>
            </w:tcBorders>
            <w:shd w:val="clear" w:color="000000" w:fill="FFFF99"/>
            <w:vAlign w:val="center"/>
            <w:hideMark/>
          </w:tcPr>
          <w:p w14:paraId="53CD5747" w14:textId="7F0CA553" w:rsidR="00D818D2" w:rsidRPr="00BD177B" w:rsidRDefault="00D818D2" w:rsidP="00D818D2">
            <w:pPr>
              <w:jc w:val="center"/>
              <w:rPr>
                <w:b/>
                <w:bCs/>
                <w:sz w:val="18"/>
              </w:rPr>
            </w:pPr>
            <w:r w:rsidRPr="00BD177B">
              <w:rPr>
                <w:b/>
                <w:bCs/>
                <w:sz w:val="18"/>
              </w:rPr>
              <w:t>u mln EUR</w:t>
            </w:r>
          </w:p>
        </w:tc>
        <w:tc>
          <w:tcPr>
            <w:tcW w:w="1418" w:type="dxa"/>
            <w:tcBorders>
              <w:top w:val="single" w:sz="4" w:space="0" w:color="auto"/>
              <w:left w:val="nil"/>
              <w:bottom w:val="single" w:sz="4" w:space="0" w:color="auto"/>
              <w:right w:val="single" w:sz="4" w:space="0" w:color="auto"/>
            </w:tcBorders>
            <w:shd w:val="clear" w:color="000000" w:fill="FFFF99"/>
          </w:tcPr>
          <w:p w14:paraId="515A1701" w14:textId="2E71AF8D" w:rsidR="00D818D2" w:rsidRPr="00BD177B" w:rsidRDefault="00D818D2" w:rsidP="00D818D2">
            <w:pPr>
              <w:jc w:val="center"/>
              <w:rPr>
                <w:b/>
                <w:bCs/>
                <w:sz w:val="18"/>
              </w:rPr>
            </w:pPr>
            <w:r w:rsidRPr="00BD177B">
              <w:rPr>
                <w:b/>
                <w:bCs/>
                <w:sz w:val="18"/>
              </w:rPr>
              <w:t>u mln EUR</w:t>
            </w:r>
          </w:p>
        </w:tc>
        <w:tc>
          <w:tcPr>
            <w:tcW w:w="1417" w:type="dxa"/>
            <w:tcBorders>
              <w:top w:val="single" w:sz="4" w:space="0" w:color="auto"/>
              <w:left w:val="nil"/>
              <w:bottom w:val="single" w:sz="4" w:space="0" w:color="auto"/>
              <w:right w:val="single" w:sz="4" w:space="0" w:color="auto"/>
            </w:tcBorders>
            <w:shd w:val="clear" w:color="000000" w:fill="FFFF99"/>
          </w:tcPr>
          <w:p w14:paraId="68EA9777" w14:textId="742DDAE0" w:rsidR="00D818D2" w:rsidRPr="00BD177B" w:rsidRDefault="00D818D2" w:rsidP="00D818D2">
            <w:pPr>
              <w:jc w:val="center"/>
              <w:rPr>
                <w:b/>
                <w:bCs/>
                <w:sz w:val="18"/>
              </w:rPr>
            </w:pPr>
            <w:r w:rsidRPr="00BD177B">
              <w:rPr>
                <w:b/>
                <w:bCs/>
                <w:sz w:val="18"/>
              </w:rPr>
              <w:t>u mln EUR</w:t>
            </w:r>
          </w:p>
        </w:tc>
      </w:tr>
      <w:tr w:rsidR="00BD607D" w:rsidRPr="00BD177B" w14:paraId="11FD1D8F" w14:textId="77777777" w:rsidTr="00891D3A">
        <w:trPr>
          <w:trHeight w:val="5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42F96B3D" w14:textId="59CCC4F6" w:rsidR="00BD607D" w:rsidRPr="00BD177B" w:rsidRDefault="00BD607D" w:rsidP="00BD607D">
            <w:pPr>
              <w:jc w:val="both"/>
              <w:rPr>
                <w:sz w:val="20"/>
              </w:rPr>
            </w:pPr>
            <w:r w:rsidRPr="00BD177B">
              <w:rPr>
                <w:rFonts w:eastAsia="Times New Roman"/>
                <w:sz w:val="20"/>
                <w:szCs w:val="20"/>
                <w:lang w:eastAsia="hr-HR"/>
              </w:rPr>
              <w:t>Poljoprivreda</w:t>
            </w:r>
          </w:p>
        </w:tc>
        <w:tc>
          <w:tcPr>
            <w:tcW w:w="1309" w:type="dxa"/>
            <w:tcBorders>
              <w:top w:val="single" w:sz="4" w:space="0" w:color="auto"/>
              <w:left w:val="nil"/>
              <w:bottom w:val="single" w:sz="4" w:space="0" w:color="auto"/>
              <w:right w:val="single" w:sz="4" w:space="0" w:color="auto"/>
            </w:tcBorders>
            <w:shd w:val="clear" w:color="auto" w:fill="auto"/>
            <w:noWrap/>
            <w:hideMark/>
          </w:tcPr>
          <w:p w14:paraId="4497DA6A" w14:textId="2D74A51C" w:rsidR="00BD607D" w:rsidRPr="00BD177B" w:rsidRDefault="00BD607D" w:rsidP="00BD607D">
            <w:pPr>
              <w:jc w:val="right"/>
              <w:rPr>
                <w:rFonts w:eastAsia="Times New Roman"/>
                <w:sz w:val="20"/>
                <w:szCs w:val="20"/>
                <w:lang w:eastAsia="hr-HR"/>
              </w:rPr>
            </w:pPr>
            <w:r w:rsidRPr="00BD177B">
              <w:rPr>
                <w:rFonts w:eastAsia="Times New Roman"/>
                <w:sz w:val="20"/>
                <w:szCs w:val="20"/>
                <w:lang w:eastAsia="hr-HR"/>
              </w:rPr>
              <w:t>86,5</w:t>
            </w:r>
          </w:p>
        </w:tc>
        <w:tc>
          <w:tcPr>
            <w:tcW w:w="1418" w:type="dxa"/>
            <w:tcBorders>
              <w:top w:val="single" w:sz="4" w:space="0" w:color="auto"/>
              <w:left w:val="nil"/>
              <w:bottom w:val="single" w:sz="4" w:space="0" w:color="auto"/>
              <w:right w:val="single" w:sz="4" w:space="0" w:color="auto"/>
            </w:tcBorders>
            <w:shd w:val="clear" w:color="auto" w:fill="auto"/>
            <w:noWrap/>
            <w:hideMark/>
          </w:tcPr>
          <w:p w14:paraId="54512D01" w14:textId="0962DDB2" w:rsidR="00BD607D" w:rsidRPr="00BD177B" w:rsidRDefault="00BD607D" w:rsidP="003E4407">
            <w:pPr>
              <w:jc w:val="right"/>
              <w:rPr>
                <w:rFonts w:eastAsia="Times New Roman"/>
                <w:sz w:val="20"/>
                <w:szCs w:val="20"/>
                <w:lang w:eastAsia="hr-HR"/>
              </w:rPr>
            </w:pPr>
            <w:r w:rsidRPr="00BD177B">
              <w:rPr>
                <w:rFonts w:eastAsia="Times New Roman"/>
                <w:sz w:val="20"/>
                <w:szCs w:val="20"/>
                <w:lang w:eastAsia="hr-HR"/>
              </w:rPr>
              <w:t>106,</w:t>
            </w:r>
            <w:r w:rsidR="003E4407" w:rsidRPr="00BD177B">
              <w:rPr>
                <w:rFonts w:eastAsia="Times New Roman"/>
                <w:sz w:val="20"/>
                <w:szCs w:val="20"/>
                <w:lang w:eastAsia="hr-HR"/>
              </w:rPr>
              <w:t>8</w:t>
            </w:r>
          </w:p>
        </w:tc>
        <w:tc>
          <w:tcPr>
            <w:tcW w:w="1417" w:type="dxa"/>
            <w:tcBorders>
              <w:top w:val="single" w:sz="4" w:space="0" w:color="auto"/>
              <w:left w:val="nil"/>
              <w:bottom w:val="single" w:sz="4" w:space="0" w:color="auto"/>
              <w:right w:val="single" w:sz="4" w:space="0" w:color="auto"/>
            </w:tcBorders>
            <w:shd w:val="clear" w:color="auto" w:fill="auto"/>
            <w:noWrap/>
            <w:hideMark/>
          </w:tcPr>
          <w:p w14:paraId="145813D2" w14:textId="3B65DFF1" w:rsidR="00BD607D" w:rsidRPr="00BD177B" w:rsidRDefault="00BD607D" w:rsidP="00BD607D">
            <w:pPr>
              <w:jc w:val="right"/>
              <w:rPr>
                <w:rFonts w:eastAsia="Times New Roman"/>
                <w:sz w:val="20"/>
                <w:szCs w:val="20"/>
                <w:lang w:eastAsia="hr-HR"/>
              </w:rPr>
            </w:pPr>
            <w:r w:rsidRPr="00BD177B">
              <w:rPr>
                <w:rFonts w:eastAsia="Times New Roman"/>
                <w:sz w:val="20"/>
                <w:szCs w:val="20"/>
                <w:lang w:eastAsia="hr-HR"/>
              </w:rPr>
              <w:t>121,0</w:t>
            </w:r>
          </w:p>
        </w:tc>
      </w:tr>
      <w:tr w:rsidR="00BD607D" w:rsidRPr="00BD177B" w14:paraId="18FB085C" w14:textId="77777777" w:rsidTr="00D818D2">
        <w:trPr>
          <w:trHeight w:val="53"/>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3663A841" w14:textId="4BD8B31C" w:rsidR="00BD607D" w:rsidRPr="00BD177B" w:rsidRDefault="00BD607D" w:rsidP="00BD607D">
            <w:pPr>
              <w:jc w:val="both"/>
              <w:rPr>
                <w:sz w:val="20"/>
              </w:rPr>
            </w:pPr>
            <w:r w:rsidRPr="00BD177B">
              <w:rPr>
                <w:rFonts w:eastAsia="Times New Roman"/>
                <w:sz w:val="20"/>
                <w:szCs w:val="20"/>
                <w:lang w:eastAsia="hr-HR"/>
              </w:rPr>
              <w:t>Ribarstvo</w:t>
            </w:r>
          </w:p>
        </w:tc>
        <w:tc>
          <w:tcPr>
            <w:tcW w:w="1309" w:type="dxa"/>
            <w:tcBorders>
              <w:top w:val="nil"/>
              <w:left w:val="nil"/>
              <w:bottom w:val="single" w:sz="4" w:space="0" w:color="auto"/>
              <w:right w:val="single" w:sz="4" w:space="0" w:color="auto"/>
            </w:tcBorders>
            <w:shd w:val="clear" w:color="auto" w:fill="auto"/>
            <w:vAlign w:val="center"/>
            <w:hideMark/>
          </w:tcPr>
          <w:p w14:paraId="6940D6A0" w14:textId="61590EAA" w:rsidR="00BD607D" w:rsidRPr="00BD177B" w:rsidRDefault="00BD607D" w:rsidP="00BD607D">
            <w:pPr>
              <w:jc w:val="right"/>
              <w:rPr>
                <w:rFonts w:eastAsia="Times New Roman"/>
                <w:sz w:val="20"/>
                <w:szCs w:val="20"/>
                <w:lang w:eastAsia="hr-HR"/>
              </w:rPr>
            </w:pPr>
            <w:r w:rsidRPr="00BD177B">
              <w:rPr>
                <w:rFonts w:eastAsia="Times New Roman"/>
                <w:sz w:val="20"/>
                <w:szCs w:val="20"/>
                <w:lang w:eastAsia="hr-HR"/>
              </w:rPr>
              <w:t>7,7</w:t>
            </w:r>
          </w:p>
        </w:tc>
        <w:tc>
          <w:tcPr>
            <w:tcW w:w="1418" w:type="dxa"/>
            <w:tcBorders>
              <w:top w:val="nil"/>
              <w:left w:val="nil"/>
              <w:bottom w:val="single" w:sz="4" w:space="0" w:color="auto"/>
              <w:right w:val="single" w:sz="4" w:space="0" w:color="auto"/>
            </w:tcBorders>
            <w:shd w:val="clear" w:color="auto" w:fill="auto"/>
            <w:noWrap/>
            <w:vAlign w:val="center"/>
            <w:hideMark/>
          </w:tcPr>
          <w:p w14:paraId="1D2BE6FD" w14:textId="62FD24BA" w:rsidR="00BD607D" w:rsidRPr="00BD177B" w:rsidRDefault="00BD607D" w:rsidP="00BD607D">
            <w:pPr>
              <w:jc w:val="right"/>
              <w:rPr>
                <w:rFonts w:eastAsia="Times New Roman"/>
                <w:sz w:val="20"/>
                <w:szCs w:val="20"/>
                <w:lang w:eastAsia="hr-HR"/>
              </w:rPr>
            </w:pPr>
            <w:r w:rsidRPr="00BD177B">
              <w:rPr>
                <w:rFonts w:eastAsia="Times New Roman"/>
                <w:sz w:val="20"/>
                <w:szCs w:val="20"/>
                <w:lang w:eastAsia="hr-HR"/>
              </w:rPr>
              <w:t>7,0</w:t>
            </w:r>
          </w:p>
        </w:tc>
        <w:tc>
          <w:tcPr>
            <w:tcW w:w="1417" w:type="dxa"/>
            <w:tcBorders>
              <w:top w:val="nil"/>
              <w:left w:val="nil"/>
              <w:bottom w:val="single" w:sz="4" w:space="0" w:color="auto"/>
              <w:right w:val="single" w:sz="4" w:space="0" w:color="auto"/>
            </w:tcBorders>
            <w:shd w:val="clear" w:color="auto" w:fill="auto"/>
            <w:noWrap/>
            <w:vAlign w:val="center"/>
            <w:hideMark/>
          </w:tcPr>
          <w:p w14:paraId="6B543826" w14:textId="7B34343A" w:rsidR="00BD607D" w:rsidRPr="00BD177B" w:rsidRDefault="00BD607D" w:rsidP="00BD607D">
            <w:pPr>
              <w:jc w:val="right"/>
              <w:rPr>
                <w:rFonts w:eastAsia="Times New Roman"/>
                <w:sz w:val="20"/>
                <w:szCs w:val="20"/>
                <w:lang w:eastAsia="hr-HR"/>
              </w:rPr>
            </w:pPr>
            <w:r w:rsidRPr="00BD177B">
              <w:rPr>
                <w:rFonts w:eastAsia="Times New Roman"/>
                <w:sz w:val="20"/>
                <w:szCs w:val="20"/>
                <w:lang w:eastAsia="hr-HR"/>
              </w:rPr>
              <w:t>7,1</w:t>
            </w:r>
          </w:p>
        </w:tc>
      </w:tr>
      <w:tr w:rsidR="00BD607D" w:rsidRPr="00BD177B" w14:paraId="66C20D33" w14:textId="77777777" w:rsidTr="00D818D2">
        <w:trPr>
          <w:trHeight w:val="53"/>
        </w:trPr>
        <w:tc>
          <w:tcPr>
            <w:tcW w:w="3222" w:type="dxa"/>
            <w:tcBorders>
              <w:top w:val="nil"/>
              <w:left w:val="single" w:sz="4" w:space="0" w:color="auto"/>
              <w:bottom w:val="single" w:sz="4" w:space="0" w:color="auto"/>
              <w:right w:val="single" w:sz="4" w:space="0" w:color="auto"/>
            </w:tcBorders>
            <w:shd w:val="clear" w:color="auto" w:fill="FFFFCC"/>
            <w:vAlign w:val="center"/>
            <w:hideMark/>
          </w:tcPr>
          <w:p w14:paraId="717C8351" w14:textId="77777777" w:rsidR="00BD607D" w:rsidRPr="00BD177B" w:rsidRDefault="00BD607D" w:rsidP="00BD607D">
            <w:pPr>
              <w:jc w:val="both"/>
              <w:rPr>
                <w:b/>
                <w:sz w:val="20"/>
              </w:rPr>
            </w:pPr>
            <w:r w:rsidRPr="00BD177B">
              <w:rPr>
                <w:b/>
                <w:sz w:val="20"/>
              </w:rPr>
              <w:t>Potpore poljoprivredi i ribarstvu</w:t>
            </w:r>
          </w:p>
        </w:tc>
        <w:tc>
          <w:tcPr>
            <w:tcW w:w="1309" w:type="dxa"/>
            <w:tcBorders>
              <w:top w:val="nil"/>
              <w:left w:val="nil"/>
              <w:bottom w:val="single" w:sz="4" w:space="0" w:color="auto"/>
              <w:right w:val="single" w:sz="4" w:space="0" w:color="auto"/>
            </w:tcBorders>
            <w:shd w:val="clear" w:color="auto" w:fill="FFFFCC"/>
            <w:vAlign w:val="center"/>
            <w:hideMark/>
          </w:tcPr>
          <w:p w14:paraId="70438311" w14:textId="4CE8331C" w:rsidR="00BD607D" w:rsidRPr="00BD177B" w:rsidRDefault="00BD607D" w:rsidP="00BD607D">
            <w:pPr>
              <w:jc w:val="right"/>
              <w:rPr>
                <w:rFonts w:eastAsia="Times New Roman"/>
                <w:b/>
                <w:sz w:val="20"/>
                <w:szCs w:val="20"/>
                <w:lang w:eastAsia="hr-HR"/>
              </w:rPr>
            </w:pPr>
            <w:r w:rsidRPr="00BD177B">
              <w:rPr>
                <w:rFonts w:eastAsia="Times New Roman"/>
                <w:b/>
                <w:bCs/>
                <w:sz w:val="20"/>
                <w:szCs w:val="20"/>
                <w:lang w:eastAsia="hr-HR"/>
              </w:rPr>
              <w:t>94,2</w:t>
            </w:r>
          </w:p>
        </w:tc>
        <w:tc>
          <w:tcPr>
            <w:tcW w:w="1418" w:type="dxa"/>
            <w:tcBorders>
              <w:top w:val="nil"/>
              <w:left w:val="nil"/>
              <w:bottom w:val="single" w:sz="4" w:space="0" w:color="auto"/>
              <w:right w:val="single" w:sz="4" w:space="0" w:color="auto"/>
            </w:tcBorders>
            <w:shd w:val="clear" w:color="auto" w:fill="FFFFCC"/>
            <w:noWrap/>
            <w:vAlign w:val="center"/>
            <w:hideMark/>
          </w:tcPr>
          <w:p w14:paraId="7650C86E" w14:textId="6039377B" w:rsidR="00BD607D" w:rsidRPr="00BD177B" w:rsidRDefault="003E4407" w:rsidP="00BD607D">
            <w:pPr>
              <w:jc w:val="right"/>
              <w:rPr>
                <w:rFonts w:eastAsia="Times New Roman"/>
                <w:b/>
                <w:sz w:val="20"/>
                <w:szCs w:val="20"/>
                <w:lang w:eastAsia="hr-HR"/>
              </w:rPr>
            </w:pPr>
            <w:r w:rsidRPr="00BD177B">
              <w:rPr>
                <w:rFonts w:eastAsia="Times New Roman"/>
                <w:b/>
                <w:bCs/>
                <w:sz w:val="20"/>
                <w:szCs w:val="20"/>
                <w:lang w:eastAsia="hr-HR"/>
              </w:rPr>
              <w:t>113,8</w:t>
            </w:r>
          </w:p>
        </w:tc>
        <w:tc>
          <w:tcPr>
            <w:tcW w:w="1417" w:type="dxa"/>
            <w:tcBorders>
              <w:top w:val="nil"/>
              <w:left w:val="nil"/>
              <w:bottom w:val="single" w:sz="4" w:space="0" w:color="auto"/>
              <w:right w:val="single" w:sz="4" w:space="0" w:color="auto"/>
            </w:tcBorders>
            <w:shd w:val="clear" w:color="auto" w:fill="FFFFCC"/>
            <w:noWrap/>
            <w:vAlign w:val="center"/>
            <w:hideMark/>
          </w:tcPr>
          <w:p w14:paraId="15E7555A" w14:textId="3DD8C201" w:rsidR="00BD607D" w:rsidRPr="00BD177B" w:rsidRDefault="00BD607D" w:rsidP="00BD607D">
            <w:pPr>
              <w:jc w:val="right"/>
              <w:rPr>
                <w:rFonts w:eastAsia="Times New Roman"/>
                <w:b/>
                <w:sz w:val="20"/>
                <w:szCs w:val="20"/>
                <w:lang w:eastAsia="hr-HR"/>
              </w:rPr>
            </w:pPr>
            <w:r w:rsidRPr="00BD177B">
              <w:rPr>
                <w:rFonts w:eastAsia="Times New Roman"/>
                <w:b/>
                <w:bCs/>
                <w:sz w:val="20"/>
                <w:szCs w:val="20"/>
                <w:lang w:eastAsia="hr-HR"/>
              </w:rPr>
              <w:t>128,2</w:t>
            </w:r>
          </w:p>
        </w:tc>
      </w:tr>
      <w:tr w:rsidR="00BD607D" w:rsidRPr="00BD177B" w14:paraId="5E5E50D9" w14:textId="77777777" w:rsidTr="00D818D2">
        <w:trPr>
          <w:trHeight w:val="6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3D813D83" w14:textId="77777777" w:rsidR="00BD607D" w:rsidRPr="00BD177B" w:rsidRDefault="00BD607D" w:rsidP="00BD607D">
            <w:pPr>
              <w:jc w:val="both"/>
              <w:rPr>
                <w:sz w:val="20"/>
              </w:rPr>
            </w:pPr>
            <w:r w:rsidRPr="00BD177B">
              <w:rPr>
                <w:sz w:val="20"/>
              </w:rPr>
              <w:t>udio (%) u ukupnim potporama</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22219838" w14:textId="25FB5E5E" w:rsidR="00BD607D" w:rsidRPr="00BD177B" w:rsidRDefault="003E4407" w:rsidP="00BD607D">
            <w:pPr>
              <w:jc w:val="center"/>
              <w:rPr>
                <w:rFonts w:eastAsia="Times New Roman"/>
                <w:sz w:val="20"/>
                <w:szCs w:val="20"/>
                <w:lang w:eastAsia="hr-HR"/>
              </w:rPr>
            </w:pPr>
            <w:r w:rsidRPr="00BD177B">
              <w:rPr>
                <w:rFonts w:eastAsia="Times New Roman"/>
                <w:sz w:val="20"/>
                <w:szCs w:val="20"/>
                <w:lang w:eastAsia="hr-HR"/>
              </w:rPr>
              <w:t>4,39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DD956B6" w14:textId="5ECE0A36" w:rsidR="00BD607D" w:rsidRPr="00BD177B" w:rsidRDefault="00BD607D" w:rsidP="00BD607D">
            <w:pPr>
              <w:jc w:val="center"/>
              <w:rPr>
                <w:rFonts w:eastAsia="Times New Roman"/>
                <w:sz w:val="20"/>
                <w:szCs w:val="20"/>
                <w:lang w:eastAsia="hr-HR"/>
              </w:rPr>
            </w:pPr>
            <w:r w:rsidRPr="00BD177B">
              <w:rPr>
                <w:rFonts w:eastAsia="Times New Roman"/>
                <w:sz w:val="20"/>
                <w:szCs w:val="20"/>
                <w:lang w:eastAsia="hr-HR"/>
              </w:rPr>
              <w:t>5,47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E07111" w14:textId="07F2F59F" w:rsidR="00BD607D" w:rsidRPr="00BD177B" w:rsidRDefault="003E4407" w:rsidP="00BD607D">
            <w:pPr>
              <w:jc w:val="center"/>
              <w:rPr>
                <w:rFonts w:eastAsia="Times New Roman"/>
                <w:sz w:val="20"/>
                <w:szCs w:val="20"/>
                <w:lang w:eastAsia="hr-HR"/>
              </w:rPr>
            </w:pPr>
            <w:r w:rsidRPr="00BD177B">
              <w:rPr>
                <w:rFonts w:eastAsia="Times New Roman"/>
                <w:sz w:val="20"/>
                <w:szCs w:val="20"/>
                <w:lang w:eastAsia="hr-HR"/>
              </w:rPr>
              <w:t>8,85</w:t>
            </w:r>
          </w:p>
        </w:tc>
      </w:tr>
      <w:tr w:rsidR="00BD607D" w:rsidRPr="00BD177B" w14:paraId="51D4325F" w14:textId="77777777" w:rsidTr="00D818D2">
        <w:trPr>
          <w:trHeight w:val="4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63506D19" w14:textId="77777777" w:rsidR="00BD607D" w:rsidRPr="00BD177B" w:rsidRDefault="00BD607D" w:rsidP="00BD607D">
            <w:pPr>
              <w:jc w:val="both"/>
              <w:rPr>
                <w:sz w:val="20"/>
              </w:rPr>
            </w:pPr>
            <w:r w:rsidRPr="00BD177B">
              <w:rPr>
                <w:sz w:val="20"/>
              </w:rPr>
              <w:t>udio (%) u BDP-u</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1F7630E0" w14:textId="539DFFD4" w:rsidR="00BD607D" w:rsidRPr="00BD177B" w:rsidRDefault="00BD607D" w:rsidP="00BD607D">
            <w:pPr>
              <w:jc w:val="center"/>
              <w:rPr>
                <w:rFonts w:eastAsia="Times New Roman"/>
                <w:sz w:val="20"/>
                <w:szCs w:val="20"/>
                <w:lang w:eastAsia="hr-HR"/>
              </w:rPr>
            </w:pPr>
            <w:r w:rsidRPr="00BD177B">
              <w:rPr>
                <w:rFonts w:eastAsia="Times New Roman"/>
                <w:sz w:val="20"/>
                <w:szCs w:val="20"/>
                <w:lang w:eastAsia="hr-HR"/>
              </w:rPr>
              <w:t>0,14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43DBE38" w14:textId="5CE8FA7F" w:rsidR="00BD607D" w:rsidRPr="00BD177B" w:rsidRDefault="00BD607D" w:rsidP="00BD607D">
            <w:pPr>
              <w:jc w:val="center"/>
              <w:rPr>
                <w:rFonts w:eastAsia="Times New Roman"/>
                <w:sz w:val="20"/>
                <w:szCs w:val="20"/>
                <w:lang w:eastAsia="hr-HR"/>
              </w:rPr>
            </w:pPr>
            <w:r w:rsidRPr="00BD177B">
              <w:rPr>
                <w:rFonts w:eastAsia="Times New Roman"/>
                <w:sz w:val="20"/>
                <w:szCs w:val="20"/>
                <w:lang w:eastAsia="hr-HR"/>
              </w:rPr>
              <w:t>0,15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B730B4" w14:textId="23BFC24A" w:rsidR="00BD607D" w:rsidRPr="00BD177B" w:rsidRDefault="00BD607D" w:rsidP="00BD607D">
            <w:pPr>
              <w:jc w:val="center"/>
              <w:rPr>
                <w:rFonts w:eastAsia="Times New Roman"/>
                <w:sz w:val="20"/>
                <w:szCs w:val="20"/>
                <w:lang w:eastAsia="hr-HR"/>
              </w:rPr>
            </w:pPr>
            <w:r w:rsidRPr="00BD177B">
              <w:rPr>
                <w:rFonts w:eastAsia="Times New Roman"/>
                <w:sz w:val="20"/>
                <w:szCs w:val="20"/>
                <w:lang w:eastAsia="hr-HR"/>
              </w:rPr>
              <w:t>0,15</w:t>
            </w:r>
          </w:p>
        </w:tc>
      </w:tr>
    </w:tbl>
    <w:p w14:paraId="549D3D34" w14:textId="22E099A3" w:rsidR="006842B8" w:rsidRPr="00BD177B" w:rsidRDefault="006842B8" w:rsidP="00BE487D">
      <w:pPr>
        <w:contextualSpacing/>
        <w:jc w:val="both"/>
        <w:rPr>
          <w:i/>
          <w:spacing w:val="-6"/>
          <w:sz w:val="20"/>
        </w:rPr>
      </w:pPr>
      <w:r w:rsidRPr="00BD177B">
        <w:rPr>
          <w:i/>
          <w:spacing w:val="-6"/>
          <w:sz w:val="20"/>
        </w:rPr>
        <w:t>Izvor: Ministarstvo financija, Ministarstvo poljoprivrede</w:t>
      </w:r>
      <w:r w:rsidR="007D7599" w:rsidRPr="00BD177B">
        <w:rPr>
          <w:i/>
          <w:spacing w:val="-6"/>
          <w:sz w:val="20"/>
        </w:rPr>
        <w:t>, šumarstva i ribarstva</w:t>
      </w:r>
      <w:r w:rsidRPr="00BD177B">
        <w:rPr>
          <w:i/>
          <w:spacing w:val="-6"/>
          <w:sz w:val="20"/>
        </w:rPr>
        <w:t>; podaci obrađeni u Ministarstvu financija</w:t>
      </w:r>
    </w:p>
    <w:p w14:paraId="54CAD970" w14:textId="77777777" w:rsidR="00BD607D" w:rsidRPr="00BD177B" w:rsidRDefault="00BD607D" w:rsidP="00BE487D">
      <w:pPr>
        <w:contextualSpacing/>
        <w:jc w:val="both"/>
      </w:pPr>
    </w:p>
    <w:p w14:paraId="0B672622" w14:textId="537455DF" w:rsidR="006842B8" w:rsidRPr="00BD177B" w:rsidRDefault="00FE0491" w:rsidP="00BE487D">
      <w:pPr>
        <w:jc w:val="both"/>
      </w:pPr>
      <w:r w:rsidRPr="00BD177B">
        <w:t>U</w:t>
      </w:r>
      <w:r w:rsidR="006842B8" w:rsidRPr="00BD177B">
        <w:t>dio</w:t>
      </w:r>
      <w:r w:rsidRPr="00BD177B">
        <w:t xml:space="preserve"> </w:t>
      </w:r>
      <w:r w:rsidR="006842B8" w:rsidRPr="00BD177B">
        <w:t xml:space="preserve">potpora </w:t>
      </w:r>
      <w:r w:rsidR="00CE40C1" w:rsidRPr="00BD177B">
        <w:t xml:space="preserve">u </w:t>
      </w:r>
      <w:r w:rsidR="006842B8" w:rsidRPr="00BD177B">
        <w:t>sektoru poljoprivrede i ribarstva u ukupn</w:t>
      </w:r>
      <w:r w:rsidR="00CE40C1" w:rsidRPr="00BD177B">
        <w:t xml:space="preserve">o dodijeljenim </w:t>
      </w:r>
      <w:r w:rsidR="006842B8" w:rsidRPr="00BD177B">
        <w:t>potporama</w:t>
      </w:r>
      <w:r w:rsidR="0069571D" w:rsidRPr="00BD177B">
        <w:t>,</w:t>
      </w:r>
      <w:r w:rsidR="006842B8" w:rsidRPr="00BD177B">
        <w:t xml:space="preserve"> </w:t>
      </w:r>
      <w:r w:rsidRPr="00BD177B">
        <w:t>u 202</w:t>
      </w:r>
      <w:r w:rsidR="0069571D" w:rsidRPr="00BD177B">
        <w:t>4</w:t>
      </w:r>
      <w:r w:rsidRPr="00BD177B">
        <w:t xml:space="preserve">. godini </w:t>
      </w:r>
      <w:r w:rsidR="006842B8" w:rsidRPr="00BD177B">
        <w:t xml:space="preserve">iznosio </w:t>
      </w:r>
      <w:r w:rsidRPr="00BD177B">
        <w:t xml:space="preserve">je </w:t>
      </w:r>
      <w:r w:rsidR="0069571D" w:rsidRPr="00BD177B">
        <w:t xml:space="preserve">8,8 </w:t>
      </w:r>
      <w:r w:rsidR="006842B8" w:rsidRPr="00BD177B">
        <w:t xml:space="preserve">posto, </w:t>
      </w:r>
      <w:r w:rsidR="009D791C" w:rsidRPr="00BD177B">
        <w:t>u 202</w:t>
      </w:r>
      <w:r w:rsidR="0069571D" w:rsidRPr="00BD177B">
        <w:t>3</w:t>
      </w:r>
      <w:r w:rsidR="009D791C" w:rsidRPr="00BD177B">
        <w:t xml:space="preserve">. godini </w:t>
      </w:r>
      <w:r w:rsidR="0069571D" w:rsidRPr="00BD177B">
        <w:t>5,5</w:t>
      </w:r>
      <w:r w:rsidR="00CE40C1" w:rsidRPr="00BD177B">
        <w:t xml:space="preserve"> </w:t>
      </w:r>
      <w:r w:rsidR="009D791C" w:rsidRPr="00BD177B">
        <w:t>posto te u 20</w:t>
      </w:r>
      <w:r w:rsidR="006D5AC6" w:rsidRPr="00BD177B">
        <w:t>2</w:t>
      </w:r>
      <w:r w:rsidR="0069571D" w:rsidRPr="00BD177B">
        <w:t>2</w:t>
      </w:r>
      <w:r w:rsidR="009D791C" w:rsidRPr="00BD177B">
        <w:t xml:space="preserve">. godini </w:t>
      </w:r>
      <w:r w:rsidR="0069571D" w:rsidRPr="00BD177B">
        <w:t>4,4</w:t>
      </w:r>
      <w:r w:rsidR="009D791C" w:rsidRPr="00BD177B">
        <w:t xml:space="preserve"> posto. </w:t>
      </w:r>
      <w:r w:rsidR="003452E1" w:rsidRPr="00BD177B">
        <w:t xml:space="preserve">Udio </w:t>
      </w:r>
      <w:r w:rsidR="0069571D" w:rsidRPr="00BD177B">
        <w:t xml:space="preserve">istih </w:t>
      </w:r>
      <w:r w:rsidR="009D791C" w:rsidRPr="00BD177B">
        <w:t xml:space="preserve">potpora </w:t>
      </w:r>
      <w:r w:rsidR="006842B8" w:rsidRPr="00BD177B">
        <w:t>u BDP-u</w:t>
      </w:r>
      <w:r w:rsidR="009D791C" w:rsidRPr="00BD177B">
        <w:t xml:space="preserve"> </w:t>
      </w:r>
      <w:r w:rsidR="0069571D" w:rsidRPr="00BD177B">
        <w:t xml:space="preserve">iznosio </w:t>
      </w:r>
      <w:r w:rsidR="009D791C" w:rsidRPr="00BD177B">
        <w:t xml:space="preserve">je u </w:t>
      </w:r>
      <w:r w:rsidR="006842B8" w:rsidRPr="00BD177B">
        <w:t>202</w:t>
      </w:r>
      <w:r w:rsidR="0069571D" w:rsidRPr="00BD177B">
        <w:t>4</w:t>
      </w:r>
      <w:r w:rsidR="006842B8" w:rsidRPr="00BD177B">
        <w:t xml:space="preserve">. godini </w:t>
      </w:r>
      <w:r w:rsidR="0069571D" w:rsidRPr="00BD177B">
        <w:t>0,15</w:t>
      </w:r>
      <w:r w:rsidR="006842B8" w:rsidRPr="00BD177B">
        <w:rPr>
          <w:rFonts w:eastAsia="Times New Roman"/>
        </w:rPr>
        <w:t xml:space="preserve"> </w:t>
      </w:r>
      <w:r w:rsidR="006842B8" w:rsidRPr="00BD177B">
        <w:t>posto, u 20</w:t>
      </w:r>
      <w:r w:rsidR="009D791C" w:rsidRPr="00BD177B">
        <w:t>2</w:t>
      </w:r>
      <w:r w:rsidR="0069571D" w:rsidRPr="00BD177B">
        <w:t>3</w:t>
      </w:r>
      <w:r w:rsidR="006842B8" w:rsidRPr="00BD177B">
        <w:t xml:space="preserve">. godini </w:t>
      </w:r>
      <w:r w:rsidR="0069571D" w:rsidRPr="00BD177B">
        <w:t>0,15</w:t>
      </w:r>
      <w:r w:rsidR="006842B8" w:rsidRPr="00BD177B">
        <w:t xml:space="preserve"> posto</w:t>
      </w:r>
      <w:r w:rsidR="0069571D" w:rsidRPr="00BD177B">
        <w:t xml:space="preserve"> te </w:t>
      </w:r>
      <w:r w:rsidR="009D791C" w:rsidRPr="00BD177B">
        <w:t xml:space="preserve">u </w:t>
      </w:r>
      <w:r w:rsidR="006842B8" w:rsidRPr="00BD177B">
        <w:t>20</w:t>
      </w:r>
      <w:r w:rsidR="006D5AC6" w:rsidRPr="00BD177B">
        <w:t>2</w:t>
      </w:r>
      <w:r w:rsidR="0069571D" w:rsidRPr="00BD177B">
        <w:t>2</w:t>
      </w:r>
      <w:r w:rsidR="006842B8" w:rsidRPr="00BD177B">
        <w:t xml:space="preserve">. godini </w:t>
      </w:r>
      <w:r w:rsidR="0069571D" w:rsidRPr="00BD177B">
        <w:t>0,14</w:t>
      </w:r>
      <w:r w:rsidR="006842B8" w:rsidRPr="00BD177B">
        <w:t xml:space="preserve"> posto.</w:t>
      </w:r>
    </w:p>
    <w:p w14:paraId="7ECD697A" w14:textId="77777777" w:rsidR="00CE40C1" w:rsidRPr="00BD177B" w:rsidRDefault="00CE40C1" w:rsidP="00BE487D">
      <w:pPr>
        <w:jc w:val="both"/>
      </w:pPr>
    </w:p>
    <w:p w14:paraId="534C046C" w14:textId="4163763D" w:rsidR="008D2184" w:rsidRPr="00BD177B" w:rsidRDefault="008D2184" w:rsidP="00D3093D">
      <w:pPr>
        <w:jc w:val="both"/>
      </w:pPr>
      <w:r w:rsidRPr="00BD177B">
        <w:t>Instrumenti putem kojih su u</w:t>
      </w:r>
      <w:r w:rsidR="00CE40C1" w:rsidRPr="00BD177B">
        <w:t xml:space="preserve"> 202</w:t>
      </w:r>
      <w:r w:rsidRPr="00BD177B">
        <w:t>4</w:t>
      </w:r>
      <w:r w:rsidR="00CE40C1" w:rsidRPr="00BD177B">
        <w:t xml:space="preserve">. godini </w:t>
      </w:r>
      <w:r w:rsidRPr="00BD177B">
        <w:t xml:space="preserve">dodijeljene </w:t>
      </w:r>
      <w:r w:rsidR="00CE40C1" w:rsidRPr="00BD177B">
        <w:t>p</w:t>
      </w:r>
      <w:r w:rsidR="00D3093D" w:rsidRPr="00BD177B">
        <w:t xml:space="preserve">otpore </w:t>
      </w:r>
      <w:r w:rsidR="00CE40C1" w:rsidRPr="00BD177B">
        <w:t xml:space="preserve">u </w:t>
      </w:r>
      <w:r w:rsidR="00D3093D" w:rsidRPr="00BD177B">
        <w:t>sektoru poljoprivrede i ribarstva u iznosu od</w:t>
      </w:r>
      <w:r w:rsidR="00CE40C1" w:rsidRPr="00BD177B">
        <w:t xml:space="preserve"> </w:t>
      </w:r>
      <w:r w:rsidRPr="00BD177B">
        <w:t>128,2</w:t>
      </w:r>
      <w:r w:rsidR="00CE40C1" w:rsidRPr="00BD177B">
        <w:t xml:space="preserve"> milijuna eura, </w:t>
      </w:r>
      <w:r w:rsidR="00D3093D" w:rsidRPr="00BD177B">
        <w:t xml:space="preserve">najvećem dijelom </w:t>
      </w:r>
      <w:r w:rsidRPr="00BD177B">
        <w:t xml:space="preserve">se odnose na </w:t>
      </w:r>
      <w:r w:rsidR="009815FE" w:rsidRPr="00BD177B">
        <w:t>porezne olakšice u iznosu od 66,2 milijuna eura ili s udjelom od 51,6 posto u potporama poljoprivredi i ribarstvu, dok je 62 milijuna eura ili 48,4 posto potpora dodijeljeno putem subvencija.</w:t>
      </w:r>
    </w:p>
    <w:p w14:paraId="78049449" w14:textId="11164B27" w:rsidR="00BD607D" w:rsidRPr="00BD177B" w:rsidRDefault="00BD607D" w:rsidP="00D3093D">
      <w:pPr>
        <w:jc w:val="both"/>
      </w:pPr>
    </w:p>
    <w:p w14:paraId="08ED7BB4" w14:textId="5DE6F3D5" w:rsidR="00BD607D" w:rsidRPr="00BD177B" w:rsidRDefault="00BD607D" w:rsidP="00371588">
      <w:pPr>
        <w:jc w:val="both"/>
      </w:pPr>
      <w:r w:rsidRPr="00BD177B">
        <w:t xml:space="preserve">Ministarstvo financija </w:t>
      </w:r>
      <w:r w:rsidR="008B0346" w:rsidRPr="00BD177B">
        <w:t xml:space="preserve">sukladno Zakonu </w:t>
      </w:r>
      <w:r w:rsidRPr="00BD177B">
        <w:t xml:space="preserve">nije nadležno za potpore u sektoru poljoprivrede i ribarstva, uključujući prehrambenu industriju, industriju pića i duhansku industriju, </w:t>
      </w:r>
      <w:r w:rsidR="00371588" w:rsidRPr="00BD177B">
        <w:t xml:space="preserve">međutim </w:t>
      </w:r>
      <w:r w:rsidRPr="00BD177B">
        <w:t>u Izvješću su prikazani i podaci o svim dodijeljenim potporama</w:t>
      </w:r>
      <w:r w:rsidR="00371588" w:rsidRPr="00BD177B">
        <w:t xml:space="preserve">, poticajima i izravnim plaćanjima </w:t>
      </w:r>
      <w:r w:rsidRPr="00BD177B">
        <w:t xml:space="preserve">u sektoru poljoprivrede i ribarstva. Ministarstvo financija je </w:t>
      </w:r>
      <w:r w:rsidR="00371588" w:rsidRPr="00BD177B">
        <w:t xml:space="preserve">dio podataka prikazanih u Izvješću </w:t>
      </w:r>
      <w:r w:rsidRPr="00BD177B">
        <w:t>preuzelo iz Registra</w:t>
      </w:r>
      <w:r w:rsidR="00371588" w:rsidRPr="00BD177B">
        <w:t>,</w:t>
      </w:r>
      <w:r w:rsidRPr="00BD177B">
        <w:t xml:space="preserve"> dok je </w:t>
      </w:r>
      <w:r w:rsidR="00371588" w:rsidRPr="00BD177B">
        <w:t xml:space="preserve">Ministarstvo poljoprivrede, šumarstva i ribarstva </w:t>
      </w:r>
      <w:r w:rsidRPr="00BD177B">
        <w:t xml:space="preserve">dio podataka dostavilo Ministarstvu financija isključivo u svrhu izrade Izvješća, s obzirom </w:t>
      </w:r>
      <w:r w:rsidR="00371588" w:rsidRPr="00BD177B">
        <w:t xml:space="preserve">na obvezu </w:t>
      </w:r>
      <w:r w:rsidRPr="00BD177B">
        <w:t>Ministarstv</w:t>
      </w:r>
      <w:r w:rsidR="00371588" w:rsidRPr="00BD177B">
        <w:t>a</w:t>
      </w:r>
      <w:r w:rsidRPr="00BD177B">
        <w:t xml:space="preserve"> financija </w:t>
      </w:r>
      <w:r w:rsidR="00371588" w:rsidRPr="00BD177B">
        <w:t>o</w:t>
      </w:r>
      <w:r w:rsidRPr="00BD177B">
        <w:t xml:space="preserve"> objavljivanj</w:t>
      </w:r>
      <w:r w:rsidR="00371588" w:rsidRPr="00BD177B">
        <w:t>u</w:t>
      </w:r>
      <w:r w:rsidRPr="00BD177B">
        <w:t xml:space="preserve"> </w:t>
      </w:r>
      <w:r w:rsidR="00371588" w:rsidRPr="00BD177B">
        <w:t xml:space="preserve">podataka </w:t>
      </w:r>
      <w:r w:rsidRPr="00BD177B">
        <w:t>o ukupno dodijeljenim potporama i potporama male vrijednosti</w:t>
      </w:r>
      <w:r w:rsidR="00371588" w:rsidRPr="00BD177B">
        <w:t xml:space="preserve"> u Godišnjem izvješću</w:t>
      </w:r>
      <w:r w:rsidRPr="00BD177B">
        <w:t>, kako u sektoru industrije i usluga tako i u sektoru poljoprivrede i ribarstva.</w:t>
      </w:r>
    </w:p>
    <w:p w14:paraId="13820841" w14:textId="54044C7D" w:rsidR="00601B36" w:rsidRPr="00BD177B" w:rsidRDefault="00601B36" w:rsidP="00A6538F">
      <w:pPr>
        <w:jc w:val="both"/>
      </w:pPr>
    </w:p>
    <w:p w14:paraId="753ABB4C" w14:textId="451496DA" w:rsidR="00A6538F" w:rsidRPr="00BD177B" w:rsidRDefault="00A6538F" w:rsidP="00A6538F">
      <w:pPr>
        <w:jc w:val="both"/>
      </w:pPr>
      <w:r w:rsidRPr="00BD177B">
        <w:t xml:space="preserve">Osim </w:t>
      </w:r>
      <w:r w:rsidR="008D00F7" w:rsidRPr="00BD177B">
        <w:t xml:space="preserve">na temelju pravila o državnim </w:t>
      </w:r>
      <w:r w:rsidRPr="00BD177B">
        <w:t>potpora</w:t>
      </w:r>
      <w:r w:rsidR="008D00F7" w:rsidRPr="00BD177B">
        <w:t>ma</w:t>
      </w:r>
      <w:r w:rsidRPr="00BD177B">
        <w:t xml:space="preserve"> i potpora</w:t>
      </w:r>
      <w:r w:rsidR="008D00F7" w:rsidRPr="00BD177B">
        <w:t>ma</w:t>
      </w:r>
      <w:r w:rsidRPr="00BD177B">
        <w:t xml:space="preserve"> m</w:t>
      </w:r>
      <w:r w:rsidR="00374ECB" w:rsidRPr="00BD177B">
        <w:t>a</w:t>
      </w:r>
      <w:r w:rsidRPr="00BD177B">
        <w:t>le vrijednosti</w:t>
      </w:r>
      <w:r w:rsidR="008D00F7" w:rsidRPr="00BD177B">
        <w:t xml:space="preserve"> koja se primjenjuju u </w:t>
      </w:r>
      <w:r w:rsidRPr="00BD177B">
        <w:t xml:space="preserve">sektoru poljoprivrede i ribarstva, većina </w:t>
      </w:r>
      <w:r w:rsidR="008D00F7" w:rsidRPr="00BD177B">
        <w:t>sredstava</w:t>
      </w:r>
      <w:r w:rsidRPr="00BD177B">
        <w:t xml:space="preserve"> dodjeljuje</w:t>
      </w:r>
      <w:r w:rsidR="008D00F7" w:rsidRPr="00BD177B">
        <w:t xml:space="preserve"> se</w:t>
      </w:r>
      <w:r w:rsidRPr="00BD177B">
        <w:t xml:space="preserve"> temeljem Strateškog plana Zajedničke poljoprivredne politike Republike Hrvatske za razdoblje 2023.-2027. (u daljnjem tekstu: Strateški plan), dok </w:t>
      </w:r>
      <w:r w:rsidR="008D00F7" w:rsidRPr="00BD177B">
        <w:t>s</w:t>
      </w:r>
      <w:r w:rsidRPr="00BD177B">
        <w:t xml:space="preserve">e Program ruralnog razvoja za razdoblje 2014.-2020. </w:t>
      </w:r>
      <w:r w:rsidR="008D00F7" w:rsidRPr="00BD177B">
        <w:t xml:space="preserve">odnosi na </w:t>
      </w:r>
      <w:r w:rsidRPr="00BD177B">
        <w:t>programski okvir za potporu ruralnom području</w:t>
      </w:r>
      <w:r w:rsidR="008D00F7" w:rsidRPr="00BD177B">
        <w:t xml:space="preserve"> koji je bio u primjeni u prethodnom razdoblju (prije primjene Strateškog plana)</w:t>
      </w:r>
      <w:r w:rsidRPr="00BD177B">
        <w:t>. Strateški plan ključan je programski i strateški dokument kojim se definiraju smjernice, ciljevi i intervencije za razvoj poljoprivrede, prehrambenog sektora i ruralnih područja u Republici Hrvatskoj, a u svrhu korištenja sredstava iz europskih poljoprivrednih fondova, Europskog fonda za jamstva u poljoprivredi (EFJP) i Europskog poljoprivrednog fonda za ruralni razvoj (EPFRR).</w:t>
      </w:r>
    </w:p>
    <w:p w14:paraId="6930579B" w14:textId="77777777" w:rsidR="00A6538F" w:rsidRPr="00BD177B" w:rsidRDefault="00A6538F" w:rsidP="00A6538F">
      <w:pPr>
        <w:jc w:val="both"/>
      </w:pPr>
    </w:p>
    <w:p w14:paraId="7E9DBF07" w14:textId="6AC2CE97" w:rsidR="00A6538F" w:rsidRPr="00BD177B" w:rsidRDefault="00A6538F" w:rsidP="00A6538F">
      <w:pPr>
        <w:jc w:val="both"/>
        <w:rPr>
          <w:b/>
        </w:rPr>
      </w:pPr>
      <w:r w:rsidRPr="00BD177B">
        <w:lastRenderedPageBreak/>
        <w:t>Strateškim planom predviđene su intervencije za financiranje izravnih plaćanja, potpora ruralnom razvoju i intervencija specifičnih za određene tržišne sektore.</w:t>
      </w:r>
    </w:p>
    <w:p w14:paraId="04B67B10" w14:textId="77777777" w:rsidR="00A6538F" w:rsidRPr="00BD177B" w:rsidRDefault="00A6538F" w:rsidP="00A6538F">
      <w:pPr>
        <w:jc w:val="both"/>
      </w:pPr>
    </w:p>
    <w:p w14:paraId="679BD0AE" w14:textId="2BBB8ABB" w:rsidR="00A6538F" w:rsidRPr="00BD177B" w:rsidRDefault="00A6538F" w:rsidP="00A6538F">
      <w:pPr>
        <w:jc w:val="both"/>
      </w:pPr>
      <w:r w:rsidRPr="00BD177B">
        <w:t xml:space="preserve">Uredba (EU) 2021/2115 Europskog parlamenta i Vijeća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w:t>
      </w:r>
      <w:r w:rsidR="008D00F7" w:rsidRPr="00BD177B">
        <w:t>U</w:t>
      </w:r>
      <w:r w:rsidRPr="00BD177B">
        <w:t>redbi (EU) br. 1305/2013 i (EU) br. 1307/2013 (S</w:t>
      </w:r>
      <w:r w:rsidR="008D00F7" w:rsidRPr="00BD177B">
        <w:t xml:space="preserve">lužbeni list Europske unije, </w:t>
      </w:r>
      <w:r w:rsidRPr="00BD177B">
        <w:t>L 435,</w:t>
      </w:r>
      <w:r w:rsidR="008D00F7" w:rsidRPr="00BD177B">
        <w:t xml:space="preserve"> od</w:t>
      </w:r>
      <w:r w:rsidRPr="00BD177B">
        <w:t xml:space="preserve"> 6.</w:t>
      </w:r>
      <w:r w:rsidR="008D00F7" w:rsidRPr="00BD177B">
        <w:t xml:space="preserve"> prosinca </w:t>
      </w:r>
      <w:r w:rsidRPr="00BD177B">
        <w:t>2021</w:t>
      </w:r>
      <w:r w:rsidR="008D00F7" w:rsidRPr="00BD177B">
        <w:t>.</w:t>
      </w:r>
      <w:r w:rsidRPr="00BD177B">
        <w:t xml:space="preserve">) u članku 145. propisuje da se članci 107., 108. i 109. UFEU-a ne primjenjuju na </w:t>
      </w:r>
      <w:r w:rsidR="008D00F7" w:rsidRPr="00BD177B">
        <w:t xml:space="preserve">sredstva koja dodjeljuju </w:t>
      </w:r>
      <w:r w:rsidRPr="00BD177B">
        <w:t>države članice na temelju ove Uredbe i u skladu s njom, kao ni na dodatno nacionalno financiranje koje je obuhvaćeno područjem primjene članka 42. UFEU-a.</w:t>
      </w:r>
    </w:p>
    <w:p w14:paraId="5FA18212" w14:textId="77777777" w:rsidR="00A6538F" w:rsidRPr="00BD177B" w:rsidRDefault="00A6538F" w:rsidP="00784EA1">
      <w:pPr>
        <w:jc w:val="both"/>
      </w:pPr>
    </w:p>
    <w:p w14:paraId="5207C4BB" w14:textId="3587D9AF" w:rsidR="00A6538F" w:rsidRPr="00BD177B" w:rsidRDefault="00A6538F" w:rsidP="00995A21">
      <w:pPr>
        <w:jc w:val="both"/>
        <w:rPr>
          <w:u w:val="single"/>
        </w:rPr>
      </w:pPr>
      <w:r w:rsidRPr="00BD177B">
        <w:t xml:space="preserve">Slijedom navedenog većina </w:t>
      </w:r>
      <w:r w:rsidR="008D00F7" w:rsidRPr="00BD177B">
        <w:t>sredstava</w:t>
      </w:r>
      <w:r w:rsidRPr="00BD177B">
        <w:t xml:space="preserve"> koj</w:t>
      </w:r>
      <w:r w:rsidR="008D00F7" w:rsidRPr="00BD177B">
        <w:t>a</w:t>
      </w:r>
      <w:r w:rsidRPr="00BD177B">
        <w:t xml:space="preserve"> se dodjeljuju sektoru poljoprivrede i ribarstva ne</w:t>
      </w:r>
      <w:r w:rsidR="00371588" w:rsidRPr="00BD177B">
        <w:t xml:space="preserve"> smatraju se državnim potporama</w:t>
      </w:r>
      <w:r w:rsidR="008D00F7" w:rsidRPr="00BD177B">
        <w:rPr>
          <w:spacing w:val="-4"/>
        </w:rPr>
        <w:t xml:space="preserve"> u smislu članka 107. stavka 1. UFEU-a</w:t>
      </w:r>
      <w:r w:rsidR="00371588" w:rsidRPr="00BD177B">
        <w:t>, već se iste u ovom Izvješću pr</w:t>
      </w:r>
      <w:r w:rsidR="0015346C" w:rsidRPr="00BD177B">
        <w:t>i</w:t>
      </w:r>
      <w:r w:rsidR="00371588" w:rsidRPr="00BD177B">
        <w:t xml:space="preserve">kazuju kao </w:t>
      </w:r>
      <w:r w:rsidR="00371588" w:rsidRPr="00BD177B">
        <w:rPr>
          <w:u w:val="single"/>
        </w:rPr>
        <w:t>poticaji i izravna plaćanja.</w:t>
      </w:r>
    </w:p>
    <w:p w14:paraId="36A925F7" w14:textId="77777777" w:rsidR="00BF0483" w:rsidRPr="00BD177B" w:rsidRDefault="00BF0483" w:rsidP="00784EA1">
      <w:pPr>
        <w:jc w:val="both"/>
      </w:pPr>
    </w:p>
    <w:p w14:paraId="6CD435EA" w14:textId="5430DDD1" w:rsidR="00371588" w:rsidRPr="00BD177B" w:rsidRDefault="00371588" w:rsidP="00A6538F">
      <w:pPr>
        <w:jc w:val="both"/>
        <w:rPr>
          <w:b/>
        </w:rPr>
      </w:pPr>
      <w:r w:rsidRPr="00BD177B">
        <w:rPr>
          <w:b/>
        </w:rPr>
        <w:t>Potpore u sektoru poljoprivrede i ribarstva</w:t>
      </w:r>
    </w:p>
    <w:p w14:paraId="42082D45" w14:textId="77777777" w:rsidR="00371588" w:rsidRPr="00BD177B" w:rsidRDefault="00371588" w:rsidP="00A6538F">
      <w:pPr>
        <w:jc w:val="both"/>
      </w:pPr>
    </w:p>
    <w:p w14:paraId="19487985" w14:textId="78A3FD42" w:rsidR="006842B8" w:rsidRPr="00BD177B" w:rsidRDefault="008D00F7" w:rsidP="00BE487D">
      <w:pPr>
        <w:jc w:val="both"/>
        <w:rPr>
          <w:spacing w:val="-2"/>
        </w:rPr>
      </w:pPr>
      <w:r w:rsidRPr="00BD177B">
        <w:rPr>
          <w:spacing w:val="-2"/>
        </w:rPr>
        <w:t xml:space="preserve">U okviru sredstava dodijeljenih </w:t>
      </w:r>
      <w:r w:rsidRPr="00BD177B">
        <w:rPr>
          <w:spacing w:val="-2"/>
          <w:u w:val="single"/>
        </w:rPr>
        <w:t>u sektoru poljoprivrede i ribarstva</w:t>
      </w:r>
      <w:r w:rsidRPr="00BD177B">
        <w:rPr>
          <w:spacing w:val="-2"/>
        </w:rPr>
        <w:t xml:space="preserve">, sredstva koja se smatraju državnom potporom u smislu članka 107. stavka 1. UFEU-a, u 2024. godini dodijeljena su </w:t>
      </w:r>
      <w:r w:rsidR="009815FE" w:rsidRPr="00BD177B">
        <w:rPr>
          <w:spacing w:val="-2"/>
        </w:rPr>
        <w:t xml:space="preserve">u </w:t>
      </w:r>
      <w:r w:rsidR="00A3381D" w:rsidRPr="00BD177B">
        <w:rPr>
          <w:spacing w:val="-2"/>
        </w:rPr>
        <w:t xml:space="preserve">iznosu od </w:t>
      </w:r>
      <w:r w:rsidR="009815FE" w:rsidRPr="00BD177B">
        <w:rPr>
          <w:spacing w:val="-2"/>
        </w:rPr>
        <w:t xml:space="preserve">128,2 </w:t>
      </w:r>
      <w:r w:rsidR="00A3381D" w:rsidRPr="00BD177B">
        <w:rPr>
          <w:spacing w:val="-2"/>
        </w:rPr>
        <w:t>milijuna</w:t>
      </w:r>
      <w:r w:rsidR="004B3800" w:rsidRPr="00BD177B">
        <w:rPr>
          <w:spacing w:val="-2"/>
        </w:rPr>
        <w:t xml:space="preserve"> </w:t>
      </w:r>
      <w:r w:rsidR="0085182C" w:rsidRPr="00BD177B">
        <w:rPr>
          <w:spacing w:val="-2"/>
        </w:rPr>
        <w:t>eura</w:t>
      </w:r>
      <w:r w:rsidR="00A3381D" w:rsidRPr="00BD177B">
        <w:rPr>
          <w:spacing w:val="-2"/>
        </w:rPr>
        <w:t xml:space="preserve">, </w:t>
      </w:r>
      <w:r w:rsidR="00BE17E2" w:rsidRPr="00BD177B">
        <w:rPr>
          <w:spacing w:val="-2"/>
        </w:rPr>
        <w:t xml:space="preserve">od čega je </w:t>
      </w:r>
      <w:r w:rsidR="00A3381D" w:rsidRPr="00BD177B">
        <w:rPr>
          <w:spacing w:val="-2"/>
        </w:rPr>
        <w:t xml:space="preserve">sektoru poljoprivrede </w:t>
      </w:r>
      <w:r w:rsidR="007E7241" w:rsidRPr="00BD177B">
        <w:rPr>
          <w:spacing w:val="-2"/>
        </w:rPr>
        <w:t xml:space="preserve">dodijeljen </w:t>
      </w:r>
      <w:r w:rsidR="00A3381D" w:rsidRPr="00BD177B">
        <w:rPr>
          <w:spacing w:val="-2"/>
        </w:rPr>
        <w:t xml:space="preserve">iznosu od </w:t>
      </w:r>
      <w:r w:rsidR="009815FE" w:rsidRPr="00BD177B">
        <w:rPr>
          <w:spacing w:val="-2"/>
        </w:rPr>
        <w:t>121</w:t>
      </w:r>
      <w:r w:rsidR="005278F8" w:rsidRPr="00BD177B">
        <w:rPr>
          <w:spacing w:val="-2"/>
        </w:rPr>
        <w:t>,1</w:t>
      </w:r>
      <w:r w:rsidR="009815FE" w:rsidRPr="00BD177B">
        <w:rPr>
          <w:spacing w:val="-2"/>
        </w:rPr>
        <w:t xml:space="preserve"> </w:t>
      </w:r>
      <w:r w:rsidR="00A3381D" w:rsidRPr="00BD177B">
        <w:rPr>
          <w:spacing w:val="-2"/>
        </w:rPr>
        <w:t xml:space="preserve">milijun </w:t>
      </w:r>
      <w:r w:rsidR="0085182C" w:rsidRPr="00BD177B">
        <w:rPr>
          <w:spacing w:val="-2"/>
        </w:rPr>
        <w:t xml:space="preserve">eura </w:t>
      </w:r>
      <w:r w:rsidR="00A3381D" w:rsidRPr="00BD177B">
        <w:rPr>
          <w:spacing w:val="-2"/>
        </w:rPr>
        <w:t xml:space="preserve">ili s udjelom od </w:t>
      </w:r>
      <w:r w:rsidR="009815FE" w:rsidRPr="00BD177B">
        <w:rPr>
          <w:spacing w:val="-2"/>
        </w:rPr>
        <w:t>94,</w:t>
      </w:r>
      <w:r w:rsidR="005278F8" w:rsidRPr="00BD177B">
        <w:rPr>
          <w:spacing w:val="-2"/>
        </w:rPr>
        <w:t>5</w:t>
      </w:r>
      <w:r w:rsidR="00A3381D" w:rsidRPr="00BD177B">
        <w:rPr>
          <w:spacing w:val="-2"/>
        </w:rPr>
        <w:t xml:space="preserve"> posto u </w:t>
      </w:r>
      <w:r w:rsidR="00696114" w:rsidRPr="00BD177B">
        <w:rPr>
          <w:spacing w:val="-2"/>
        </w:rPr>
        <w:t xml:space="preserve">ukupnim </w:t>
      </w:r>
      <w:r w:rsidR="00A3381D" w:rsidRPr="00BD177B">
        <w:rPr>
          <w:spacing w:val="-2"/>
        </w:rPr>
        <w:t xml:space="preserve">potporama </w:t>
      </w:r>
      <w:r w:rsidR="00696114" w:rsidRPr="00BD177B">
        <w:rPr>
          <w:spacing w:val="-2"/>
        </w:rPr>
        <w:t xml:space="preserve">u </w:t>
      </w:r>
      <w:r w:rsidR="00A3381D" w:rsidRPr="00BD177B">
        <w:rPr>
          <w:spacing w:val="-2"/>
        </w:rPr>
        <w:t xml:space="preserve">sektoru poljoprivrede i ribarstva, dok su </w:t>
      </w:r>
      <w:r w:rsidR="007E7241" w:rsidRPr="00BD177B">
        <w:rPr>
          <w:spacing w:val="-2"/>
        </w:rPr>
        <w:t xml:space="preserve">potpore </w:t>
      </w:r>
      <w:r w:rsidR="00A3381D" w:rsidRPr="00BD177B">
        <w:rPr>
          <w:spacing w:val="-2"/>
        </w:rPr>
        <w:t>u sektoru ribarstva dodijeljene u iznosu od</w:t>
      </w:r>
      <w:r w:rsidR="00A3381D" w:rsidRPr="00BD177B">
        <w:rPr>
          <w:b/>
          <w:spacing w:val="-2"/>
        </w:rPr>
        <w:t xml:space="preserve"> </w:t>
      </w:r>
      <w:r w:rsidR="009815FE" w:rsidRPr="00BD177B">
        <w:rPr>
          <w:spacing w:val="-2"/>
        </w:rPr>
        <w:t>7,1</w:t>
      </w:r>
      <w:r w:rsidR="007E7241" w:rsidRPr="00BD177B">
        <w:rPr>
          <w:spacing w:val="-2"/>
        </w:rPr>
        <w:t xml:space="preserve"> </w:t>
      </w:r>
      <w:r w:rsidR="00A3381D" w:rsidRPr="00BD177B">
        <w:rPr>
          <w:spacing w:val="-2"/>
        </w:rPr>
        <w:t xml:space="preserve">milijun </w:t>
      </w:r>
      <w:r w:rsidR="0085182C" w:rsidRPr="00BD177B">
        <w:rPr>
          <w:spacing w:val="-2"/>
        </w:rPr>
        <w:t xml:space="preserve">eura </w:t>
      </w:r>
      <w:r w:rsidR="00A3381D" w:rsidRPr="00BD177B">
        <w:rPr>
          <w:spacing w:val="-2"/>
        </w:rPr>
        <w:t xml:space="preserve">ili </w:t>
      </w:r>
      <w:r w:rsidR="008A5191" w:rsidRPr="00BD177B">
        <w:rPr>
          <w:spacing w:val="-2"/>
        </w:rPr>
        <w:t xml:space="preserve">s </w:t>
      </w:r>
      <w:r w:rsidR="009815FE" w:rsidRPr="00BD177B">
        <w:rPr>
          <w:spacing w:val="-2"/>
        </w:rPr>
        <w:t>5,</w:t>
      </w:r>
      <w:r w:rsidR="005278F8" w:rsidRPr="00BD177B">
        <w:rPr>
          <w:spacing w:val="-2"/>
        </w:rPr>
        <w:t>5</w:t>
      </w:r>
      <w:r w:rsidR="00A3381D" w:rsidRPr="00BD177B">
        <w:rPr>
          <w:spacing w:val="-2"/>
        </w:rPr>
        <w:t xml:space="preserve"> posto. </w:t>
      </w:r>
      <w:r w:rsidR="00BE17E2" w:rsidRPr="00BD177B">
        <w:rPr>
          <w:spacing w:val="-2"/>
        </w:rPr>
        <w:t xml:space="preserve">U okviru potpora </w:t>
      </w:r>
      <w:r w:rsidR="00A3381D" w:rsidRPr="00BD177B">
        <w:rPr>
          <w:spacing w:val="-2"/>
        </w:rPr>
        <w:t xml:space="preserve">u sektoru </w:t>
      </w:r>
      <w:r w:rsidR="006842B8" w:rsidRPr="00BD177B">
        <w:rPr>
          <w:spacing w:val="-2"/>
        </w:rPr>
        <w:t>poljoprivred</w:t>
      </w:r>
      <w:r w:rsidR="00A3381D" w:rsidRPr="00BD177B">
        <w:rPr>
          <w:spacing w:val="-2"/>
        </w:rPr>
        <w:t xml:space="preserve">e </w:t>
      </w:r>
      <w:r w:rsidR="00BE17E2" w:rsidRPr="00BD177B">
        <w:rPr>
          <w:spacing w:val="-2"/>
        </w:rPr>
        <w:t xml:space="preserve">dodijeljenih u </w:t>
      </w:r>
      <w:r w:rsidR="00A3381D" w:rsidRPr="00BD177B">
        <w:rPr>
          <w:spacing w:val="-2"/>
        </w:rPr>
        <w:t>iznos</w:t>
      </w:r>
      <w:r w:rsidR="00BE17E2" w:rsidRPr="00BD177B">
        <w:rPr>
          <w:spacing w:val="-2"/>
        </w:rPr>
        <w:t>u</w:t>
      </w:r>
      <w:r w:rsidR="006842B8" w:rsidRPr="00BD177B">
        <w:rPr>
          <w:spacing w:val="-2"/>
        </w:rPr>
        <w:t xml:space="preserve"> od </w:t>
      </w:r>
      <w:r w:rsidR="009815FE" w:rsidRPr="00BD177B">
        <w:rPr>
          <w:spacing w:val="-2"/>
        </w:rPr>
        <w:t>121</w:t>
      </w:r>
      <w:r w:rsidR="005278F8" w:rsidRPr="00BD177B">
        <w:rPr>
          <w:spacing w:val="-2"/>
        </w:rPr>
        <w:t>,1</w:t>
      </w:r>
      <w:r w:rsidR="009815FE" w:rsidRPr="00BD177B">
        <w:rPr>
          <w:spacing w:val="-2"/>
        </w:rPr>
        <w:t xml:space="preserve"> milijun eura</w:t>
      </w:r>
      <w:r w:rsidR="006842B8" w:rsidRPr="00BD177B">
        <w:rPr>
          <w:spacing w:val="-2"/>
        </w:rPr>
        <w:t xml:space="preserve">, </w:t>
      </w:r>
      <w:r w:rsidR="00BE17E2" w:rsidRPr="00BD177B">
        <w:rPr>
          <w:spacing w:val="-2"/>
        </w:rPr>
        <w:t xml:space="preserve">potpore </w:t>
      </w:r>
      <w:r w:rsidR="007E7241" w:rsidRPr="00BD177B">
        <w:rPr>
          <w:spacing w:val="-2"/>
        </w:rPr>
        <w:t>za</w:t>
      </w:r>
      <w:r w:rsidR="006842B8" w:rsidRPr="00BD177B">
        <w:rPr>
          <w:spacing w:val="-2"/>
        </w:rPr>
        <w:t xml:space="preserve"> poljoprivredu, lov i šumarstvo </w:t>
      </w:r>
      <w:r w:rsidR="007E7241" w:rsidRPr="00BD177B">
        <w:rPr>
          <w:spacing w:val="-2"/>
        </w:rPr>
        <w:t>dodijeljene su u iznosu od</w:t>
      </w:r>
      <w:r w:rsidR="006842B8" w:rsidRPr="00BD177B">
        <w:rPr>
          <w:spacing w:val="-2"/>
        </w:rPr>
        <w:t xml:space="preserve"> </w:t>
      </w:r>
      <w:r w:rsidR="009815FE" w:rsidRPr="00BD177B">
        <w:rPr>
          <w:spacing w:val="-2"/>
        </w:rPr>
        <w:t>12</w:t>
      </w:r>
      <w:r w:rsidR="00D37CC5" w:rsidRPr="00BD177B">
        <w:rPr>
          <w:spacing w:val="-2"/>
        </w:rPr>
        <w:t>0</w:t>
      </w:r>
      <w:r w:rsidR="009815FE" w:rsidRPr="00BD177B">
        <w:rPr>
          <w:spacing w:val="-2"/>
        </w:rPr>
        <w:t>,</w:t>
      </w:r>
      <w:r w:rsidR="005278F8" w:rsidRPr="00BD177B">
        <w:rPr>
          <w:spacing w:val="-2"/>
        </w:rPr>
        <w:t>8</w:t>
      </w:r>
      <w:r w:rsidR="009815FE" w:rsidRPr="00BD177B">
        <w:rPr>
          <w:spacing w:val="-2"/>
        </w:rPr>
        <w:t xml:space="preserve"> </w:t>
      </w:r>
      <w:r w:rsidR="006842B8" w:rsidRPr="00BD177B">
        <w:rPr>
          <w:spacing w:val="-2"/>
        </w:rPr>
        <w:t>milijun</w:t>
      </w:r>
      <w:r w:rsidR="009815FE" w:rsidRPr="00BD177B">
        <w:rPr>
          <w:spacing w:val="-2"/>
        </w:rPr>
        <w:t>a</w:t>
      </w:r>
      <w:r w:rsidR="006842B8" w:rsidRPr="00BD177B">
        <w:rPr>
          <w:spacing w:val="-2"/>
        </w:rPr>
        <w:t xml:space="preserve"> </w:t>
      </w:r>
      <w:r w:rsidR="0085182C" w:rsidRPr="00BD177B">
        <w:rPr>
          <w:spacing w:val="-2"/>
        </w:rPr>
        <w:t xml:space="preserve">eura </w:t>
      </w:r>
      <w:r w:rsidR="00681D9B" w:rsidRPr="00BD177B">
        <w:rPr>
          <w:spacing w:val="-2"/>
        </w:rPr>
        <w:t xml:space="preserve">ili </w:t>
      </w:r>
      <w:r w:rsidR="009815FE" w:rsidRPr="00BD177B">
        <w:rPr>
          <w:spacing w:val="-2"/>
        </w:rPr>
        <w:t>99,</w:t>
      </w:r>
      <w:r w:rsidR="00D37CC5" w:rsidRPr="00BD177B">
        <w:rPr>
          <w:spacing w:val="-2"/>
        </w:rPr>
        <w:t>8</w:t>
      </w:r>
      <w:r w:rsidR="00681D9B" w:rsidRPr="00BD177B">
        <w:rPr>
          <w:spacing w:val="-2"/>
        </w:rPr>
        <w:t xml:space="preserve"> posto </w:t>
      </w:r>
      <w:r w:rsidR="006842B8" w:rsidRPr="00BD177B">
        <w:rPr>
          <w:spacing w:val="-2"/>
        </w:rPr>
        <w:t xml:space="preserve">dok </w:t>
      </w:r>
      <w:r w:rsidR="007E7241" w:rsidRPr="00BD177B">
        <w:rPr>
          <w:spacing w:val="-2"/>
        </w:rPr>
        <w:t xml:space="preserve">je </w:t>
      </w:r>
      <w:r w:rsidR="006842B8" w:rsidRPr="00BD177B">
        <w:rPr>
          <w:spacing w:val="-2"/>
        </w:rPr>
        <w:t>ruraln</w:t>
      </w:r>
      <w:r w:rsidR="007E7241" w:rsidRPr="00BD177B">
        <w:rPr>
          <w:spacing w:val="-2"/>
        </w:rPr>
        <w:t>om</w:t>
      </w:r>
      <w:r w:rsidR="006842B8" w:rsidRPr="00BD177B">
        <w:rPr>
          <w:spacing w:val="-2"/>
        </w:rPr>
        <w:t xml:space="preserve"> </w:t>
      </w:r>
      <w:r w:rsidR="00681D9B" w:rsidRPr="00BD177B">
        <w:rPr>
          <w:spacing w:val="-2"/>
        </w:rPr>
        <w:t>odnosno regionaln</w:t>
      </w:r>
      <w:r w:rsidR="007E7241" w:rsidRPr="00BD177B">
        <w:rPr>
          <w:spacing w:val="-2"/>
        </w:rPr>
        <w:t>om</w:t>
      </w:r>
      <w:r w:rsidR="00681D9B" w:rsidRPr="00BD177B">
        <w:rPr>
          <w:spacing w:val="-2"/>
        </w:rPr>
        <w:t xml:space="preserve"> </w:t>
      </w:r>
      <w:r w:rsidR="006842B8" w:rsidRPr="00BD177B">
        <w:rPr>
          <w:spacing w:val="-2"/>
        </w:rPr>
        <w:t>razvoj</w:t>
      </w:r>
      <w:r w:rsidR="007E7241" w:rsidRPr="00BD177B">
        <w:rPr>
          <w:spacing w:val="-2"/>
        </w:rPr>
        <w:t xml:space="preserve">u dodijeljeno </w:t>
      </w:r>
      <w:r w:rsidR="009815FE" w:rsidRPr="00BD177B">
        <w:rPr>
          <w:spacing w:val="-2"/>
        </w:rPr>
        <w:t xml:space="preserve">312.587,81 </w:t>
      </w:r>
      <w:r w:rsidR="0085182C" w:rsidRPr="00BD177B">
        <w:rPr>
          <w:spacing w:val="-2"/>
        </w:rPr>
        <w:t>eur</w:t>
      </w:r>
      <w:r w:rsidR="009815FE" w:rsidRPr="00BD177B">
        <w:rPr>
          <w:spacing w:val="-2"/>
        </w:rPr>
        <w:t>o</w:t>
      </w:r>
      <w:r w:rsidR="0085182C" w:rsidRPr="00BD177B">
        <w:rPr>
          <w:spacing w:val="-2"/>
        </w:rPr>
        <w:t xml:space="preserve"> </w:t>
      </w:r>
      <w:r w:rsidR="00681D9B" w:rsidRPr="00BD177B">
        <w:rPr>
          <w:spacing w:val="-2"/>
        </w:rPr>
        <w:t xml:space="preserve">ili </w:t>
      </w:r>
      <w:r w:rsidR="009815FE" w:rsidRPr="00BD177B">
        <w:rPr>
          <w:spacing w:val="-2"/>
        </w:rPr>
        <w:t>0,</w:t>
      </w:r>
      <w:r w:rsidR="00D37CC5" w:rsidRPr="00BD177B">
        <w:rPr>
          <w:spacing w:val="-2"/>
        </w:rPr>
        <w:t>2</w:t>
      </w:r>
      <w:r w:rsidR="009815FE" w:rsidRPr="00BD177B">
        <w:rPr>
          <w:spacing w:val="-2"/>
        </w:rPr>
        <w:t xml:space="preserve"> </w:t>
      </w:r>
      <w:r w:rsidR="00681D9B" w:rsidRPr="00BD177B">
        <w:rPr>
          <w:spacing w:val="-2"/>
        </w:rPr>
        <w:t>posto</w:t>
      </w:r>
      <w:r w:rsidR="007E7241" w:rsidRPr="00BD177B">
        <w:rPr>
          <w:spacing w:val="-2"/>
        </w:rPr>
        <w:t xml:space="preserve"> potpora</w:t>
      </w:r>
      <w:r w:rsidR="006842B8" w:rsidRPr="00BD177B">
        <w:rPr>
          <w:spacing w:val="-2"/>
        </w:rPr>
        <w:t xml:space="preserve">. </w:t>
      </w:r>
    </w:p>
    <w:p w14:paraId="3D5F8B7E" w14:textId="77777777" w:rsidR="00425775" w:rsidRPr="00BD177B" w:rsidRDefault="00425775" w:rsidP="00BE487D">
      <w:pPr>
        <w:jc w:val="both"/>
      </w:pPr>
    </w:p>
    <w:p w14:paraId="723B837D" w14:textId="76D5C417" w:rsidR="00681D9B" w:rsidRPr="00BD177B" w:rsidRDefault="006842B8" w:rsidP="00BE487D">
      <w:pPr>
        <w:jc w:val="both"/>
      </w:pPr>
      <w:r w:rsidRPr="00BD177B">
        <w:rPr>
          <w:u w:val="single"/>
        </w:rPr>
        <w:t>Potpore za poljoprivredu, lov i šumarstvo</w:t>
      </w:r>
      <w:r w:rsidRPr="00BD177B">
        <w:t xml:space="preserve"> </w:t>
      </w:r>
      <w:r w:rsidR="00681D9B" w:rsidRPr="00BD177B">
        <w:t>u 202</w:t>
      </w:r>
      <w:r w:rsidR="009815FE" w:rsidRPr="00BD177B">
        <w:t>4</w:t>
      </w:r>
      <w:r w:rsidR="007E7241" w:rsidRPr="00BD177B">
        <w:t>. godini</w:t>
      </w:r>
      <w:r w:rsidR="00681D9B" w:rsidRPr="00BD177B">
        <w:t xml:space="preserve"> </w:t>
      </w:r>
      <w:r w:rsidRPr="00BD177B">
        <w:t xml:space="preserve">u iznosu od </w:t>
      </w:r>
      <w:r w:rsidR="009815FE" w:rsidRPr="00BD177B">
        <w:t>120,</w:t>
      </w:r>
      <w:r w:rsidR="00D37CC5" w:rsidRPr="00BD177B">
        <w:t>8</w:t>
      </w:r>
      <w:r w:rsidR="009815FE" w:rsidRPr="00BD177B">
        <w:t xml:space="preserve"> </w:t>
      </w:r>
      <w:r w:rsidR="00696114" w:rsidRPr="00BD177B">
        <w:t>milijun</w:t>
      </w:r>
      <w:r w:rsidR="009815FE" w:rsidRPr="00BD177B">
        <w:t>a</w:t>
      </w:r>
      <w:r w:rsidR="00696114" w:rsidRPr="00BD177B">
        <w:t xml:space="preserve"> eura</w:t>
      </w:r>
      <w:r w:rsidRPr="00BD177B">
        <w:t>,</w:t>
      </w:r>
      <w:r w:rsidR="00696114" w:rsidRPr="00BD177B">
        <w:t xml:space="preserve"> </w:t>
      </w:r>
      <w:r w:rsidR="00681D9B" w:rsidRPr="00BD177B">
        <w:t xml:space="preserve">najvećim dijelom </w:t>
      </w:r>
      <w:r w:rsidR="009815FE" w:rsidRPr="00BD177B">
        <w:t xml:space="preserve">dodijeljene su </w:t>
      </w:r>
      <w:r w:rsidR="00681D9B" w:rsidRPr="00BD177B">
        <w:t xml:space="preserve">putem </w:t>
      </w:r>
      <w:r w:rsidRPr="00BD177B">
        <w:t xml:space="preserve">subvencija </w:t>
      </w:r>
      <w:r w:rsidR="00681D9B" w:rsidRPr="00BD177B">
        <w:t xml:space="preserve">u iznosu od </w:t>
      </w:r>
      <w:r w:rsidR="009815FE" w:rsidRPr="00BD177B">
        <w:t>61,</w:t>
      </w:r>
      <w:r w:rsidR="00D37CC5" w:rsidRPr="00BD177B">
        <w:t>8</w:t>
      </w:r>
      <w:r w:rsidR="009815FE" w:rsidRPr="00BD177B">
        <w:t xml:space="preserve"> </w:t>
      </w:r>
      <w:r w:rsidR="00681D9B" w:rsidRPr="00BD177B">
        <w:t xml:space="preserve">milijun </w:t>
      </w:r>
      <w:r w:rsidR="00696114" w:rsidRPr="00BD177B">
        <w:t xml:space="preserve">eura </w:t>
      </w:r>
      <w:r w:rsidR="007E7241" w:rsidRPr="00BD177B">
        <w:t xml:space="preserve">ili s udjelom od </w:t>
      </w:r>
      <w:r w:rsidR="009815FE" w:rsidRPr="00BD177B">
        <w:t>51,</w:t>
      </w:r>
      <w:r w:rsidR="00D37CC5" w:rsidRPr="00BD177B">
        <w:t>2</w:t>
      </w:r>
      <w:r w:rsidR="009815FE" w:rsidRPr="00BD177B">
        <w:t xml:space="preserve"> </w:t>
      </w:r>
      <w:r w:rsidR="007E7241" w:rsidRPr="00BD177B">
        <w:t>posto</w:t>
      </w:r>
      <w:r w:rsidR="00C01BC3" w:rsidRPr="00BD177B">
        <w:t>,</w:t>
      </w:r>
      <w:r w:rsidR="00681D9B" w:rsidRPr="00BD177B">
        <w:t xml:space="preserve"> dok je </w:t>
      </w:r>
      <w:r w:rsidR="007E7241" w:rsidRPr="00BD177B">
        <w:t>putem</w:t>
      </w:r>
      <w:r w:rsidR="00681D9B" w:rsidRPr="00BD177B">
        <w:t xml:space="preserve"> </w:t>
      </w:r>
      <w:r w:rsidRPr="00BD177B">
        <w:t>porezn</w:t>
      </w:r>
      <w:r w:rsidR="007E7241" w:rsidRPr="00BD177B">
        <w:t>ih</w:t>
      </w:r>
      <w:r w:rsidR="00681D9B" w:rsidRPr="00BD177B">
        <w:t xml:space="preserve"> olakšic</w:t>
      </w:r>
      <w:r w:rsidR="007E7241" w:rsidRPr="00BD177B">
        <w:t>a</w:t>
      </w:r>
      <w:r w:rsidR="00681D9B" w:rsidRPr="00BD177B">
        <w:t xml:space="preserve"> dodijeljen</w:t>
      </w:r>
      <w:r w:rsidR="007E7241" w:rsidRPr="00BD177B">
        <w:t>o</w:t>
      </w:r>
      <w:r w:rsidR="00681D9B" w:rsidRPr="00BD177B">
        <w:t xml:space="preserve"> </w:t>
      </w:r>
      <w:r w:rsidR="00696114" w:rsidRPr="00BD177B">
        <w:t>5</w:t>
      </w:r>
      <w:r w:rsidR="009815FE" w:rsidRPr="00BD177B">
        <w:t>9</w:t>
      </w:r>
      <w:r w:rsidRPr="00BD177B">
        <w:rPr>
          <w:rFonts w:eastAsia="Times New Roman"/>
          <w:color w:val="000000"/>
        </w:rPr>
        <w:t xml:space="preserve"> </w:t>
      </w:r>
      <w:r w:rsidRPr="00BD177B">
        <w:t>milijun</w:t>
      </w:r>
      <w:r w:rsidR="00696114" w:rsidRPr="00BD177B">
        <w:t>a</w:t>
      </w:r>
      <w:r w:rsidRPr="00BD177B">
        <w:t xml:space="preserve"> </w:t>
      </w:r>
      <w:r w:rsidR="00696114" w:rsidRPr="00BD177B">
        <w:t xml:space="preserve">eura </w:t>
      </w:r>
      <w:r w:rsidR="007E7241" w:rsidRPr="00BD177B">
        <w:t xml:space="preserve">ili </w:t>
      </w:r>
      <w:r w:rsidR="009815FE" w:rsidRPr="00BD177B">
        <w:t>48,</w:t>
      </w:r>
      <w:r w:rsidR="00D37CC5" w:rsidRPr="00BD177B">
        <w:t>8</w:t>
      </w:r>
      <w:r w:rsidR="007E7241" w:rsidRPr="00BD177B">
        <w:t xml:space="preserve"> posto</w:t>
      </w:r>
      <w:r w:rsidRPr="00BD177B">
        <w:t xml:space="preserve">. </w:t>
      </w:r>
    </w:p>
    <w:p w14:paraId="52258BE7" w14:textId="77777777" w:rsidR="009815FE" w:rsidRPr="00BD177B" w:rsidRDefault="009815FE" w:rsidP="00BE487D">
      <w:pPr>
        <w:jc w:val="both"/>
      </w:pPr>
    </w:p>
    <w:p w14:paraId="0987BB3B" w14:textId="1D31B1EA" w:rsidR="00622C88" w:rsidRPr="00BD177B" w:rsidRDefault="00622C88" w:rsidP="00622C88">
      <w:pPr>
        <w:jc w:val="both"/>
      </w:pPr>
      <w:r w:rsidRPr="00BD177B">
        <w:t xml:space="preserve">Potpore za poljoprivredu, lov i šumarstvo </w:t>
      </w:r>
      <w:r w:rsidR="00696114" w:rsidRPr="00BD177B">
        <w:t xml:space="preserve">dodijeljene </w:t>
      </w:r>
      <w:r w:rsidR="009815FE" w:rsidRPr="00BD177B">
        <w:t>putem</w:t>
      </w:r>
      <w:r w:rsidRPr="00BD177B">
        <w:t xml:space="preserve"> porezn</w:t>
      </w:r>
      <w:r w:rsidR="009815FE" w:rsidRPr="00BD177B">
        <w:t>ih</w:t>
      </w:r>
      <w:r w:rsidRPr="00BD177B">
        <w:t xml:space="preserve"> olakšic</w:t>
      </w:r>
      <w:r w:rsidR="009815FE" w:rsidRPr="00BD177B">
        <w:t>a</w:t>
      </w:r>
      <w:r w:rsidRPr="00BD177B">
        <w:t xml:space="preserve"> u iznosu od </w:t>
      </w:r>
      <w:r w:rsidR="006A6253" w:rsidRPr="00BD177B">
        <w:t>5</w:t>
      </w:r>
      <w:r w:rsidR="009815FE" w:rsidRPr="00BD177B">
        <w:t>9</w:t>
      </w:r>
      <w:r w:rsidRPr="00BD177B">
        <w:t xml:space="preserve"> milijun</w:t>
      </w:r>
      <w:r w:rsidR="006A6253" w:rsidRPr="00BD177B">
        <w:t>a eura</w:t>
      </w:r>
      <w:r w:rsidRPr="00BD177B">
        <w:t xml:space="preserve">, odnose se na Subvencioniranje potrošnje „plavog diesela“ – Plavi diesel u poljoprivredi, i to za </w:t>
      </w:r>
      <w:r w:rsidR="009815FE" w:rsidRPr="00BD177B">
        <w:t xml:space="preserve">148.265.802,07 </w:t>
      </w:r>
      <w:r w:rsidRPr="00BD177B">
        <w:t xml:space="preserve">litara isporučene količine za </w:t>
      </w:r>
      <w:r w:rsidR="009815FE" w:rsidRPr="00BD177B">
        <w:t xml:space="preserve">121.069 </w:t>
      </w:r>
      <w:r w:rsidRPr="00BD177B">
        <w:t>korisnika.</w:t>
      </w:r>
    </w:p>
    <w:p w14:paraId="4703DCEB" w14:textId="5EF9F1D4" w:rsidR="00574475" w:rsidRPr="00BD177B" w:rsidRDefault="00574475" w:rsidP="00BE487D">
      <w:pPr>
        <w:jc w:val="both"/>
      </w:pPr>
    </w:p>
    <w:p w14:paraId="1BD56FCC" w14:textId="3E70DC21" w:rsidR="00F6058A" w:rsidRPr="00BD177B" w:rsidRDefault="00681D9B" w:rsidP="00C8232E">
      <w:pPr>
        <w:jc w:val="both"/>
      </w:pPr>
      <w:r w:rsidRPr="00BD177B">
        <w:t>P</w:t>
      </w:r>
      <w:r w:rsidR="006842B8" w:rsidRPr="00BD177B">
        <w:t>otpore</w:t>
      </w:r>
      <w:r w:rsidRPr="00BD177B">
        <w:t xml:space="preserve"> za poljoprivredu, lov i šumarstvo dodijeljene </w:t>
      </w:r>
      <w:r w:rsidR="00622C88" w:rsidRPr="00BD177B">
        <w:t xml:space="preserve">putem subvencija </w:t>
      </w:r>
      <w:r w:rsidR="007E7241" w:rsidRPr="00BD177B">
        <w:t xml:space="preserve">u iznosu od </w:t>
      </w:r>
      <w:r w:rsidR="00F6058A" w:rsidRPr="00BD177B">
        <w:t>61,</w:t>
      </w:r>
      <w:r w:rsidR="00D37CC5" w:rsidRPr="00BD177B">
        <w:t>8</w:t>
      </w:r>
      <w:r w:rsidR="00F6058A" w:rsidRPr="00BD177B">
        <w:t xml:space="preserve"> </w:t>
      </w:r>
      <w:r w:rsidR="007E7241" w:rsidRPr="00BD177B">
        <w:t>milijun</w:t>
      </w:r>
      <w:r w:rsidR="00F6058A" w:rsidRPr="00BD177B">
        <w:t>a</w:t>
      </w:r>
      <w:r w:rsidR="007E7241" w:rsidRPr="00BD177B">
        <w:t xml:space="preserve"> </w:t>
      </w:r>
      <w:r w:rsidR="006A6253" w:rsidRPr="00BD177B">
        <w:t>eura</w:t>
      </w:r>
      <w:r w:rsidRPr="00BD177B">
        <w:t>,</w:t>
      </w:r>
      <w:r w:rsidR="006842B8" w:rsidRPr="00BD177B">
        <w:t xml:space="preserve"> odnose se na sljedeće programe i ciljeve</w:t>
      </w:r>
      <w:r w:rsidR="00C01BC3" w:rsidRPr="00BD177B">
        <w:t xml:space="preserve">, prikazane po </w:t>
      </w:r>
      <w:r w:rsidR="00F5662D" w:rsidRPr="00BD177B">
        <w:t xml:space="preserve">visini </w:t>
      </w:r>
      <w:r w:rsidR="00C01BC3" w:rsidRPr="00BD177B">
        <w:t>iznosa dodjele</w:t>
      </w:r>
      <w:r w:rsidR="006842B8" w:rsidRPr="00BD177B">
        <w:t xml:space="preserve">: </w:t>
      </w:r>
      <w:r w:rsidR="00F6058A" w:rsidRPr="00BD177B">
        <w:t>20,6 milijuna eura za Izvanrednu pomoć proizvođačima zbog elementarnih nepogoda i nepovoljnih događaja, 16,8 milijuna eura za Program državnih i de minimis potpora i sufinanciranje infrastrukture za razvoj poljoprivrede</w:t>
      </w:r>
      <w:r w:rsidR="00C8232E" w:rsidRPr="00BD177B">
        <w:t xml:space="preserve">, </w:t>
      </w:r>
      <w:r w:rsidR="00F6058A" w:rsidRPr="00BD177B">
        <w:t>10,1 milijun eura za Program potpore za kompenzaciju rasta troškova proizvodnje u sektoru ratarskih kultura,</w:t>
      </w:r>
      <w:r w:rsidR="00C8232E" w:rsidRPr="00BD177B">
        <w:t xml:space="preserve"> </w:t>
      </w:r>
      <w:r w:rsidR="00F6058A" w:rsidRPr="00BD177B">
        <w:t>6,6 milijuna eura za Program potpore sektoru svinjogojstva zbog onemogućene aktivnosti uslijed pojave afričke svinjske kuge</w:t>
      </w:r>
      <w:r w:rsidR="00C8232E" w:rsidRPr="00BD177B">
        <w:t xml:space="preserve"> (naknada štete), </w:t>
      </w:r>
      <w:r w:rsidR="00F6058A" w:rsidRPr="00BD177B">
        <w:t>4 milijuna eura za Kompenzacijske mjere i potpore depopuliranim područjima</w:t>
      </w:r>
      <w:r w:rsidR="00C8232E" w:rsidRPr="00BD177B">
        <w:t xml:space="preserve">, </w:t>
      </w:r>
      <w:r w:rsidR="00F6058A" w:rsidRPr="00BD177B">
        <w:t>3 milijuna eura za Program potpore za kompenzaciju rasta cijena energenata u sektorima prerade poljoprivrednih proizvoda</w:t>
      </w:r>
      <w:r w:rsidR="00C8232E" w:rsidRPr="00BD177B">
        <w:t xml:space="preserve">, </w:t>
      </w:r>
      <w:r w:rsidR="00F6058A" w:rsidRPr="00BD177B">
        <w:t>259.446,00 eura za Uspostavu regionalnih organizacija vinograda i vinara</w:t>
      </w:r>
      <w:r w:rsidR="00C8232E" w:rsidRPr="00BD177B">
        <w:t xml:space="preserve">, </w:t>
      </w:r>
      <w:r w:rsidR="00F6058A" w:rsidRPr="00BD177B">
        <w:t>252.713,54 eura za Nacionalni program potpore proizvođačima u sektoru stočarstva</w:t>
      </w:r>
      <w:r w:rsidR="00C8232E" w:rsidRPr="00BD177B">
        <w:t xml:space="preserve"> (tekuće donacije), </w:t>
      </w:r>
      <w:r w:rsidR="00F6058A" w:rsidRPr="00BD177B">
        <w:t>82.026,57 eura za Program potpore za kompenzaciju rasta troškova proizvodnje u sektoru ratarskih kultura</w:t>
      </w:r>
      <w:r w:rsidR="00C8232E" w:rsidRPr="00BD177B">
        <w:t xml:space="preserve">, </w:t>
      </w:r>
      <w:r w:rsidR="00F6058A" w:rsidRPr="00BD177B">
        <w:t>13.733,80 eura za Program potpore za kompenzaciju rasta troškova proizvodnje u sektoru ratarskih kultura</w:t>
      </w:r>
      <w:r w:rsidR="00C8232E" w:rsidRPr="00BD177B">
        <w:t xml:space="preserve"> (tekući prijenosi), </w:t>
      </w:r>
      <w:r w:rsidR="00F6058A" w:rsidRPr="00BD177B">
        <w:lastRenderedPageBreak/>
        <w:t>12.878,35 eura za Program državnih i de minimis potpora i sufinanciranje infrastrukture za razvoj poljoprivrede</w:t>
      </w:r>
      <w:r w:rsidR="00C8232E" w:rsidRPr="00BD177B">
        <w:t xml:space="preserve"> (tekući prijenosi), </w:t>
      </w:r>
      <w:r w:rsidR="00F6058A" w:rsidRPr="00BD177B">
        <w:t>7.500,87 eura za Program državnih i de minimis potpora i sufinanciranje infrastrukture za razvoj poljoprivrede</w:t>
      </w:r>
      <w:r w:rsidR="00C8232E" w:rsidRPr="00BD177B">
        <w:t xml:space="preserve"> (tekuće pomoći), </w:t>
      </w:r>
      <w:r w:rsidR="00F6058A" w:rsidRPr="00BD177B">
        <w:t>6.777,01 euro za Izvanrednu pomoć proizvođačima zbog elementarnih nepogoda i nepovoljnih događaja</w:t>
      </w:r>
      <w:r w:rsidR="00C8232E" w:rsidRPr="00BD177B">
        <w:t xml:space="preserve"> (tekuće pomoći), </w:t>
      </w:r>
      <w:r w:rsidR="00F6058A" w:rsidRPr="00BD177B">
        <w:t xml:space="preserve">4.647,40 eura za Izvanrednu pomoć proizvođačima zbog elementarnih nepogoda i nepovoljnih događaja </w:t>
      </w:r>
      <w:r w:rsidR="00C8232E" w:rsidRPr="00BD177B">
        <w:t xml:space="preserve">(tekući prijenosi), </w:t>
      </w:r>
      <w:r w:rsidR="00F6058A" w:rsidRPr="00BD177B">
        <w:t>3.750,84 eura za Program potpore za kompenzaciju rasta troškova proizvodnje u sektoru ratarskih kultura</w:t>
      </w:r>
      <w:r w:rsidR="00C8232E" w:rsidRPr="00BD177B">
        <w:t xml:space="preserve"> (tekuće pomoći), </w:t>
      </w:r>
      <w:r w:rsidR="00F6058A" w:rsidRPr="00BD177B">
        <w:t>2.749,67 eura za Kompenzacijske mjere i potpore depopuliranim područjima (tekući prijenosi)</w:t>
      </w:r>
      <w:r w:rsidR="00C8232E" w:rsidRPr="00BD177B">
        <w:t xml:space="preserve"> te </w:t>
      </w:r>
      <w:r w:rsidR="00F6058A" w:rsidRPr="00BD177B">
        <w:t>30,26 eura za Kompenzacijske mjere i potpore depopuliranim područjima (tekuće pomoći).</w:t>
      </w:r>
    </w:p>
    <w:p w14:paraId="2AF5A363" w14:textId="77777777" w:rsidR="00F6058A" w:rsidRPr="00BD177B" w:rsidRDefault="00F6058A" w:rsidP="00C8232E">
      <w:pPr>
        <w:jc w:val="both"/>
      </w:pPr>
    </w:p>
    <w:p w14:paraId="36E09C87" w14:textId="4ADB6DED" w:rsidR="00C8232E" w:rsidRPr="00BD177B" w:rsidRDefault="00D05152" w:rsidP="00D05152">
      <w:pPr>
        <w:jc w:val="both"/>
        <w:rPr>
          <w:spacing w:val="-2"/>
        </w:rPr>
      </w:pPr>
      <w:r w:rsidRPr="00BD177B">
        <w:rPr>
          <w:spacing w:val="-2"/>
          <w:u w:val="single"/>
        </w:rPr>
        <w:t xml:space="preserve">Potpore za ruralni </w:t>
      </w:r>
      <w:r w:rsidR="00C8232E" w:rsidRPr="00BD177B">
        <w:rPr>
          <w:spacing w:val="-2"/>
          <w:u w:val="single"/>
        </w:rPr>
        <w:t>ili</w:t>
      </w:r>
      <w:r w:rsidRPr="00BD177B">
        <w:rPr>
          <w:spacing w:val="-2"/>
          <w:u w:val="single"/>
        </w:rPr>
        <w:t xml:space="preserve"> regionalni razvoj</w:t>
      </w:r>
      <w:r w:rsidRPr="00BD177B">
        <w:rPr>
          <w:spacing w:val="-2"/>
        </w:rPr>
        <w:t xml:space="preserve"> </w:t>
      </w:r>
      <w:r w:rsidR="001B5A96" w:rsidRPr="00BD177B">
        <w:rPr>
          <w:spacing w:val="-2"/>
        </w:rPr>
        <w:t xml:space="preserve">u iznosu od </w:t>
      </w:r>
      <w:r w:rsidR="00C8232E" w:rsidRPr="00BD177B">
        <w:rPr>
          <w:spacing w:val="-2"/>
        </w:rPr>
        <w:t xml:space="preserve">312.587,81 </w:t>
      </w:r>
      <w:r w:rsidR="001B5A96" w:rsidRPr="00BD177B">
        <w:rPr>
          <w:spacing w:val="-2"/>
        </w:rPr>
        <w:t>eur</w:t>
      </w:r>
      <w:r w:rsidR="00C8232E" w:rsidRPr="00BD177B">
        <w:rPr>
          <w:spacing w:val="-2"/>
        </w:rPr>
        <w:t>o dodijeljen</w:t>
      </w:r>
      <w:r w:rsidR="001B5A96" w:rsidRPr="00BD177B">
        <w:rPr>
          <w:spacing w:val="-2"/>
        </w:rPr>
        <w:t xml:space="preserve"> putem </w:t>
      </w:r>
      <w:r w:rsidR="006316E3" w:rsidRPr="00BD177B">
        <w:rPr>
          <w:spacing w:val="-2"/>
        </w:rPr>
        <w:t>subvencij</w:t>
      </w:r>
      <w:r w:rsidR="002F183A" w:rsidRPr="00BD177B">
        <w:rPr>
          <w:spacing w:val="-2"/>
        </w:rPr>
        <w:t>a</w:t>
      </w:r>
      <w:r w:rsidR="00C8232E" w:rsidRPr="00BD177B">
        <w:rPr>
          <w:spacing w:val="-2"/>
        </w:rPr>
        <w:t>,</w:t>
      </w:r>
      <w:r w:rsidR="002F183A" w:rsidRPr="00BD177B">
        <w:rPr>
          <w:spacing w:val="-2"/>
        </w:rPr>
        <w:t xml:space="preserve"> </w:t>
      </w:r>
      <w:r w:rsidR="00C8232E" w:rsidRPr="00BD177B">
        <w:rPr>
          <w:spacing w:val="-2"/>
        </w:rPr>
        <w:t>odnosi se na program Očuvanje izvornih i zaštićenih vrsta kultivara poljoprivrednog bilja.</w:t>
      </w:r>
    </w:p>
    <w:p w14:paraId="7099A959" w14:textId="77777777" w:rsidR="002C5185" w:rsidRPr="00BD177B" w:rsidRDefault="002C5185" w:rsidP="00BE487D">
      <w:pPr>
        <w:jc w:val="both"/>
      </w:pPr>
    </w:p>
    <w:p w14:paraId="37BAB0FF" w14:textId="19B26AD2" w:rsidR="00C8232E" w:rsidRPr="00BD177B" w:rsidRDefault="006842B8" w:rsidP="00BE487D">
      <w:pPr>
        <w:jc w:val="both"/>
      </w:pPr>
      <w:r w:rsidRPr="00BD177B">
        <w:rPr>
          <w:u w:val="single"/>
        </w:rPr>
        <w:t>Potpore za ribarstvo</w:t>
      </w:r>
      <w:r w:rsidRPr="00BD177B">
        <w:t xml:space="preserve"> </w:t>
      </w:r>
      <w:r w:rsidR="00896EB7" w:rsidRPr="00BD177B">
        <w:t xml:space="preserve">dodijeljene </w:t>
      </w:r>
      <w:r w:rsidR="00C8232E" w:rsidRPr="00BD177B">
        <w:t xml:space="preserve">putem poreznih olakšica </w:t>
      </w:r>
      <w:r w:rsidR="00896EB7" w:rsidRPr="00BD177B">
        <w:t xml:space="preserve">u iznosu od </w:t>
      </w:r>
      <w:r w:rsidR="00C8232E" w:rsidRPr="00BD177B">
        <w:t>7,1</w:t>
      </w:r>
      <w:r w:rsidR="00896EB7" w:rsidRPr="00BD177B">
        <w:t xml:space="preserve"> milijun eura</w:t>
      </w:r>
      <w:r w:rsidR="00BB6350" w:rsidRPr="00BD177B">
        <w:t>,</w:t>
      </w:r>
      <w:r w:rsidR="00C8232E" w:rsidRPr="00BD177B">
        <w:t xml:space="preserve"> odnos</w:t>
      </w:r>
      <w:r w:rsidR="00223DFC" w:rsidRPr="00BD177B">
        <w:t>e</w:t>
      </w:r>
      <w:r w:rsidR="00C8232E" w:rsidRPr="00BD177B">
        <w:t xml:space="preserve"> se na subvencioniranje potrošnje „plavog diesela“ putem programa Plavi diesel u ribarstvu i akvakulturi (za </w:t>
      </w:r>
      <w:r w:rsidR="00223DFC" w:rsidRPr="00BD177B">
        <w:t xml:space="preserve">18.055.951,78 </w:t>
      </w:r>
      <w:r w:rsidR="00C8232E" w:rsidRPr="00BD177B">
        <w:t>lit</w:t>
      </w:r>
      <w:r w:rsidR="00223DFC" w:rsidRPr="00BD177B">
        <w:t>ara</w:t>
      </w:r>
      <w:r w:rsidR="00C8232E" w:rsidRPr="00BD177B">
        <w:t xml:space="preserve"> isporučene količine za </w:t>
      </w:r>
      <w:r w:rsidR="00223DFC" w:rsidRPr="00BD177B">
        <w:t xml:space="preserve">2.021 </w:t>
      </w:r>
      <w:r w:rsidR="00C8232E" w:rsidRPr="00BD177B">
        <w:t>korisnika).</w:t>
      </w:r>
    </w:p>
    <w:p w14:paraId="7DA91172" w14:textId="77777777" w:rsidR="00141A36" w:rsidRPr="00BD177B" w:rsidRDefault="00141A36" w:rsidP="00141A36">
      <w:pPr>
        <w:jc w:val="both"/>
      </w:pPr>
    </w:p>
    <w:p w14:paraId="5A0F4BFB" w14:textId="23F5D9E2" w:rsidR="00141A36" w:rsidRPr="00BD177B" w:rsidRDefault="00141A36" w:rsidP="00141A36">
      <w:pPr>
        <w:jc w:val="both"/>
      </w:pPr>
      <w:r w:rsidRPr="00BD177B">
        <w:rPr>
          <w:u w:val="single"/>
        </w:rPr>
        <w:t>Potpore male vrijednosti</w:t>
      </w:r>
      <w:r w:rsidRPr="00BD177B">
        <w:t xml:space="preserve"> su dodjeljivane </w:t>
      </w:r>
      <w:r w:rsidR="00223DFC" w:rsidRPr="00BD177B">
        <w:t xml:space="preserve">u sektoru poljoprivrede i ribarstva i </w:t>
      </w:r>
      <w:r w:rsidRPr="00BD177B">
        <w:t>u 202</w:t>
      </w:r>
      <w:r w:rsidR="00223DFC" w:rsidRPr="00BD177B">
        <w:t>4</w:t>
      </w:r>
      <w:r w:rsidRPr="00BD177B">
        <w:t>. godini, te je dodijel</w:t>
      </w:r>
      <w:r w:rsidR="00223DFC" w:rsidRPr="00BD177B">
        <w:t>jeno</w:t>
      </w:r>
      <w:r w:rsidRPr="00BD177B">
        <w:t xml:space="preserve"> ukup</w:t>
      </w:r>
      <w:r w:rsidR="00223DFC" w:rsidRPr="00BD177B">
        <w:t>no</w:t>
      </w:r>
      <w:r w:rsidRPr="00BD177B">
        <w:t xml:space="preserve"> </w:t>
      </w:r>
      <w:r w:rsidR="00223DFC" w:rsidRPr="00BD177B">
        <w:t>18,6</w:t>
      </w:r>
      <w:r w:rsidRPr="00BD177B">
        <w:t xml:space="preserve"> milijuna eura, </w:t>
      </w:r>
      <w:r w:rsidR="00DF0D14" w:rsidRPr="00BD177B">
        <w:t>a od navedenog</w:t>
      </w:r>
      <w:r w:rsidRPr="00BD177B">
        <w:t xml:space="preserve"> iznos</w:t>
      </w:r>
      <w:r w:rsidR="00DF0D14" w:rsidRPr="00BD177B">
        <w:t>a</w:t>
      </w:r>
      <w:r w:rsidRPr="00BD177B">
        <w:t>,</w:t>
      </w:r>
      <w:r w:rsidR="00223DFC" w:rsidRPr="00BD177B">
        <w:t xml:space="preserve"> </w:t>
      </w:r>
      <w:r w:rsidR="00DF0D14" w:rsidRPr="00BD177B">
        <w:t xml:space="preserve">iznos od </w:t>
      </w:r>
      <w:r w:rsidR="00223DFC" w:rsidRPr="00BD177B">
        <w:t xml:space="preserve">16,4 milijuna eura ili 88,1 posto navedenih potpora odnosi </w:t>
      </w:r>
      <w:r w:rsidR="00DF0D14" w:rsidRPr="00BD177B">
        <w:t xml:space="preserve">se </w:t>
      </w:r>
      <w:r w:rsidR="00223DFC" w:rsidRPr="00BD177B">
        <w:t xml:space="preserve">na poljoprivredu, dok se </w:t>
      </w:r>
      <w:r w:rsidR="00DF0D14" w:rsidRPr="00BD177B">
        <w:t xml:space="preserve">iznos od </w:t>
      </w:r>
      <w:r w:rsidR="00223DFC" w:rsidRPr="00BD177B">
        <w:t xml:space="preserve">2,2 milijuna eura ili 11,9, posto odnosi na ribarstvo. </w:t>
      </w:r>
      <w:r w:rsidRPr="00BD177B">
        <w:t xml:space="preserve">Ukoliko bi se navedene potpore male vrijednosti u iznosu od </w:t>
      </w:r>
      <w:r w:rsidR="00223DFC" w:rsidRPr="00BD177B">
        <w:t xml:space="preserve">18,6 milijuna eura </w:t>
      </w:r>
      <w:r w:rsidRPr="00BD177B">
        <w:t xml:space="preserve">pribrojile dodijeljenim </w:t>
      </w:r>
      <w:r w:rsidR="00DF0D14" w:rsidRPr="00BD177B">
        <w:t xml:space="preserve">državnim </w:t>
      </w:r>
      <w:r w:rsidRPr="00BD177B">
        <w:t xml:space="preserve">potporama u sektoru poljoprivrede i ribarstva u iznosu od </w:t>
      </w:r>
      <w:r w:rsidR="00223DFC" w:rsidRPr="00BD177B">
        <w:t xml:space="preserve">128,2 </w:t>
      </w:r>
      <w:r w:rsidRPr="00BD177B">
        <w:t xml:space="preserve">milijuna eura, ukupan iznos svih dodijeljenih potpora koje je </w:t>
      </w:r>
      <w:r w:rsidR="00223DFC" w:rsidRPr="00BD177B">
        <w:t xml:space="preserve">odnose na </w:t>
      </w:r>
      <w:r w:rsidRPr="00BD177B">
        <w:t xml:space="preserve">sektor poljoprivrede i ribarstva iznosi </w:t>
      </w:r>
      <w:r w:rsidR="00223DFC" w:rsidRPr="00BD177B">
        <w:t>146,8</w:t>
      </w:r>
      <w:r w:rsidRPr="00BD177B">
        <w:t xml:space="preserve"> milijuna eura.</w:t>
      </w:r>
    </w:p>
    <w:p w14:paraId="29098006" w14:textId="77777777" w:rsidR="00BF0483" w:rsidRPr="00BD177B" w:rsidRDefault="00BF0483" w:rsidP="0069571D"/>
    <w:p w14:paraId="3D9B9A06" w14:textId="7B4F4866" w:rsidR="00371588" w:rsidRPr="00BD177B" w:rsidRDefault="00371588" w:rsidP="00371588">
      <w:pPr>
        <w:jc w:val="both"/>
        <w:rPr>
          <w:b/>
        </w:rPr>
      </w:pPr>
      <w:r w:rsidRPr="00BD177B">
        <w:rPr>
          <w:b/>
        </w:rPr>
        <w:t>Poticaji i izravna plaćanja u sektoru poljoprivrede i ribarstva</w:t>
      </w:r>
    </w:p>
    <w:p w14:paraId="570C4FA2" w14:textId="431E6540" w:rsidR="00D07CD4" w:rsidRPr="00BD177B" w:rsidRDefault="00D07CD4" w:rsidP="00D07CD4">
      <w:pPr>
        <w:jc w:val="both"/>
      </w:pPr>
    </w:p>
    <w:p w14:paraId="4F26776A" w14:textId="214BA412" w:rsidR="00D07CD4" w:rsidRPr="00BD177B" w:rsidRDefault="00784EA1" w:rsidP="00784EA1">
      <w:pPr>
        <w:jc w:val="both"/>
      </w:pPr>
      <w:r w:rsidRPr="00BD177B">
        <w:t xml:space="preserve">Kako je naprijed navedeno u ovom Izvješću, osim državnih potpora i potpora male vrijednosti u sektoru poljoprivrede i ribarstva, Ministarstvo poljoprivrede, šumarstva i ribarstva dodjeljivalo je i </w:t>
      </w:r>
      <w:r w:rsidR="00DF0D14" w:rsidRPr="00BD177B">
        <w:t xml:space="preserve">poticaje i izravna plaćanja koji se ne smatraju potporama u smislu članka 107. stavka 1. UFEU-a </w:t>
      </w:r>
      <w:r w:rsidRPr="00BD177B">
        <w:t xml:space="preserve">temeljem Strateškog plana, odnosno poticaje i izvana plaćanja </w:t>
      </w:r>
      <w:r w:rsidR="00D07CD4" w:rsidRPr="00BD177B">
        <w:t xml:space="preserve">na koje se i sukladno odredbama pojedinih uredbi </w:t>
      </w:r>
      <w:r w:rsidR="00DF0D14" w:rsidRPr="00BD177B">
        <w:t xml:space="preserve">i prema navodima Ministarstva poljoprivrede, šumarstva i ribarstva </w:t>
      </w:r>
      <w:r w:rsidR="00D07CD4" w:rsidRPr="00BD177B">
        <w:t>ne primjenjuju članci 107., 108. i 109. UFEU-a</w:t>
      </w:r>
      <w:r w:rsidR="00DF0D14" w:rsidRPr="00BD177B">
        <w:t xml:space="preserve"> i čiju dodjelu </w:t>
      </w:r>
      <w:r w:rsidR="00D07CD4" w:rsidRPr="00BD177B">
        <w:t>uređuje Uredba (EU) 2021/2115 Europskog parlamenta i Vijeća od 2.</w:t>
      </w:r>
      <w:r w:rsidRPr="00BD177B">
        <w:t xml:space="preserve"> </w:t>
      </w:r>
      <w:r w:rsidR="00D07CD4" w:rsidRPr="00BD177B">
        <w:t xml:space="preserve">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w:t>
      </w:r>
      <w:r w:rsidR="00DF0D14" w:rsidRPr="00BD177B">
        <w:t>U</w:t>
      </w:r>
      <w:r w:rsidR="00D07CD4" w:rsidRPr="00BD177B">
        <w:t>redbi (EU) br.</w:t>
      </w:r>
      <w:r w:rsidRPr="00BD177B">
        <w:t xml:space="preserve"> </w:t>
      </w:r>
      <w:r w:rsidR="00D07CD4" w:rsidRPr="00BD177B">
        <w:t>1305/2013 i (EU) br.</w:t>
      </w:r>
      <w:r w:rsidRPr="00BD177B">
        <w:t xml:space="preserve"> </w:t>
      </w:r>
      <w:r w:rsidR="00D07CD4" w:rsidRPr="00BD177B">
        <w:t>1307/2013 (</w:t>
      </w:r>
      <w:r w:rsidR="00995A21" w:rsidRPr="00BD177B">
        <w:t>Službeni list Europske unije,</w:t>
      </w:r>
      <w:r w:rsidR="00D07CD4" w:rsidRPr="00BD177B">
        <w:t xml:space="preserve"> L 435, </w:t>
      </w:r>
      <w:r w:rsidR="00995A21" w:rsidRPr="00BD177B">
        <w:t xml:space="preserve">od </w:t>
      </w:r>
      <w:r w:rsidR="00D07CD4" w:rsidRPr="00BD177B">
        <w:t>6.</w:t>
      </w:r>
      <w:r w:rsidR="00995A21" w:rsidRPr="00BD177B">
        <w:t xml:space="preserve"> prosinca </w:t>
      </w:r>
      <w:r w:rsidR="00D07CD4" w:rsidRPr="00BD177B">
        <w:t>2021.).</w:t>
      </w:r>
    </w:p>
    <w:p w14:paraId="78067F2E" w14:textId="77777777" w:rsidR="00371588" w:rsidRPr="00BD177B" w:rsidRDefault="00371588" w:rsidP="00BE487D">
      <w:pPr>
        <w:jc w:val="both"/>
      </w:pPr>
    </w:p>
    <w:p w14:paraId="4171805C" w14:textId="561D9CB0" w:rsidR="008D5553" w:rsidRPr="00BD177B" w:rsidRDefault="008D5553" w:rsidP="008D5553">
      <w:pPr>
        <w:jc w:val="both"/>
      </w:pPr>
      <w:r w:rsidRPr="00BD177B">
        <w:t xml:space="preserve">Tablica </w:t>
      </w:r>
      <w:r w:rsidR="00374ECB" w:rsidRPr="00BD177B">
        <w:t>6</w:t>
      </w:r>
      <w:r w:rsidRPr="00BD177B">
        <w:t>. Ukupn</w:t>
      </w:r>
      <w:r w:rsidR="00223DFC" w:rsidRPr="00BD177B">
        <w:t>i</w:t>
      </w:r>
      <w:r w:rsidRPr="00BD177B">
        <w:t xml:space="preserve"> </w:t>
      </w:r>
      <w:r w:rsidR="00223DFC" w:rsidRPr="00BD177B">
        <w:t xml:space="preserve">poticaji i </w:t>
      </w:r>
      <w:r w:rsidR="00995A21" w:rsidRPr="00BD177B">
        <w:t>izravna plaćanja</w:t>
      </w:r>
      <w:r w:rsidR="00223DFC" w:rsidRPr="00BD177B">
        <w:t xml:space="preserve"> </w:t>
      </w:r>
      <w:r w:rsidRPr="00BD177B">
        <w:t xml:space="preserve">dodijeljeni u </w:t>
      </w:r>
      <w:r w:rsidR="00E873D4" w:rsidRPr="00BD177B">
        <w:t xml:space="preserve">sektoru </w:t>
      </w:r>
      <w:r w:rsidRPr="00BD177B">
        <w:t>poljoprivred</w:t>
      </w:r>
      <w:r w:rsidR="00E873D4" w:rsidRPr="00BD177B">
        <w:t>e</w:t>
      </w:r>
      <w:r w:rsidRPr="00BD177B">
        <w:t xml:space="preserve"> i ribarstv</w:t>
      </w:r>
      <w:r w:rsidR="00E873D4" w:rsidRPr="00BD177B">
        <w:t>a</w:t>
      </w:r>
      <w:r w:rsidRPr="00BD177B">
        <w:t xml:space="preserve"> u razdoblju od 2022. do 2024. godine</w:t>
      </w:r>
    </w:p>
    <w:p w14:paraId="3A561B18" w14:textId="77777777" w:rsidR="008D5553" w:rsidRPr="00BD177B" w:rsidRDefault="008D5553" w:rsidP="008D5553">
      <w:pPr>
        <w:contextualSpacing/>
        <w:jc w:val="both"/>
        <w:rPr>
          <w:sz w:val="20"/>
        </w:rPr>
      </w:pPr>
    </w:p>
    <w:tbl>
      <w:tblPr>
        <w:tblW w:w="7366" w:type="dxa"/>
        <w:tblLayout w:type="fixed"/>
        <w:tblLook w:val="04A0" w:firstRow="1" w:lastRow="0" w:firstColumn="1" w:lastColumn="0" w:noHBand="0" w:noVBand="1"/>
      </w:tblPr>
      <w:tblGrid>
        <w:gridCol w:w="3222"/>
        <w:gridCol w:w="1309"/>
        <w:gridCol w:w="1418"/>
        <w:gridCol w:w="1417"/>
      </w:tblGrid>
      <w:tr w:rsidR="008D5553" w:rsidRPr="00BD177B" w14:paraId="47FF513B" w14:textId="77777777" w:rsidTr="00374990">
        <w:trPr>
          <w:trHeight w:val="47"/>
        </w:trPr>
        <w:tc>
          <w:tcPr>
            <w:tcW w:w="3222"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45A411C" w14:textId="6889D41A" w:rsidR="008D5553" w:rsidRPr="00BD177B" w:rsidRDefault="0069571D" w:rsidP="00995A21">
            <w:pPr>
              <w:jc w:val="both"/>
              <w:rPr>
                <w:b/>
                <w:bCs/>
                <w:sz w:val="20"/>
              </w:rPr>
            </w:pPr>
            <w:r w:rsidRPr="00BD177B">
              <w:rPr>
                <w:b/>
                <w:bCs/>
                <w:sz w:val="20"/>
              </w:rPr>
              <w:t xml:space="preserve">Poticaji i </w:t>
            </w:r>
            <w:r w:rsidR="00995A21" w:rsidRPr="00BD177B">
              <w:rPr>
                <w:b/>
                <w:bCs/>
                <w:sz w:val="20"/>
              </w:rPr>
              <w:t>izravna plaćanja</w:t>
            </w:r>
            <w:r w:rsidRPr="00BD177B">
              <w:rPr>
                <w:b/>
                <w:bCs/>
                <w:sz w:val="20"/>
              </w:rPr>
              <w:t xml:space="preserve"> </w:t>
            </w:r>
          </w:p>
        </w:tc>
        <w:tc>
          <w:tcPr>
            <w:tcW w:w="1309" w:type="dxa"/>
            <w:tcBorders>
              <w:top w:val="single" w:sz="4" w:space="0" w:color="auto"/>
              <w:left w:val="nil"/>
              <w:bottom w:val="single" w:sz="4" w:space="0" w:color="auto"/>
              <w:right w:val="single" w:sz="4" w:space="0" w:color="auto"/>
            </w:tcBorders>
            <w:shd w:val="clear" w:color="000000" w:fill="FFFF99"/>
            <w:noWrap/>
            <w:vAlign w:val="center"/>
            <w:hideMark/>
          </w:tcPr>
          <w:p w14:paraId="65809D65" w14:textId="77777777" w:rsidR="008D5553" w:rsidRPr="00BD177B" w:rsidRDefault="008D5553" w:rsidP="00374990">
            <w:pPr>
              <w:jc w:val="center"/>
              <w:rPr>
                <w:rFonts w:eastAsia="Times New Roman"/>
                <w:b/>
                <w:bCs/>
                <w:sz w:val="20"/>
              </w:rPr>
            </w:pPr>
            <w:r w:rsidRPr="00BD177B">
              <w:rPr>
                <w:rFonts w:eastAsia="Times New Roman"/>
                <w:b/>
                <w:bCs/>
                <w:sz w:val="20"/>
                <w:szCs w:val="20"/>
                <w:lang w:eastAsia="hr-HR"/>
              </w:rPr>
              <w:t>2022.</w:t>
            </w:r>
          </w:p>
        </w:tc>
        <w:tc>
          <w:tcPr>
            <w:tcW w:w="1418" w:type="dxa"/>
            <w:tcBorders>
              <w:top w:val="single" w:sz="4" w:space="0" w:color="auto"/>
              <w:left w:val="nil"/>
              <w:bottom w:val="single" w:sz="4" w:space="0" w:color="auto"/>
              <w:right w:val="single" w:sz="4" w:space="0" w:color="auto"/>
            </w:tcBorders>
            <w:shd w:val="clear" w:color="000000" w:fill="FFFF99"/>
            <w:noWrap/>
            <w:vAlign w:val="center"/>
            <w:hideMark/>
          </w:tcPr>
          <w:p w14:paraId="12231DCF" w14:textId="77777777" w:rsidR="008D5553" w:rsidRPr="00BD177B" w:rsidRDefault="008D5553" w:rsidP="00374990">
            <w:pPr>
              <w:jc w:val="center"/>
              <w:rPr>
                <w:rFonts w:eastAsia="Times New Roman"/>
                <w:b/>
                <w:bCs/>
                <w:sz w:val="20"/>
              </w:rPr>
            </w:pPr>
            <w:r w:rsidRPr="00BD177B">
              <w:rPr>
                <w:rFonts w:eastAsia="Times New Roman"/>
                <w:b/>
                <w:bCs/>
                <w:sz w:val="20"/>
                <w:szCs w:val="20"/>
                <w:lang w:eastAsia="hr-HR"/>
              </w:rPr>
              <w:t>2023.</w:t>
            </w:r>
          </w:p>
        </w:tc>
        <w:tc>
          <w:tcPr>
            <w:tcW w:w="1417" w:type="dxa"/>
            <w:tcBorders>
              <w:top w:val="single" w:sz="4" w:space="0" w:color="auto"/>
              <w:left w:val="nil"/>
              <w:bottom w:val="single" w:sz="4" w:space="0" w:color="auto"/>
              <w:right w:val="single" w:sz="4" w:space="0" w:color="auto"/>
            </w:tcBorders>
            <w:shd w:val="clear" w:color="000000" w:fill="FFFF99"/>
            <w:noWrap/>
            <w:vAlign w:val="center"/>
            <w:hideMark/>
          </w:tcPr>
          <w:p w14:paraId="683B5A2D" w14:textId="77777777" w:rsidR="008D5553" w:rsidRPr="00BD177B" w:rsidRDefault="008D5553" w:rsidP="00374990">
            <w:pPr>
              <w:jc w:val="center"/>
              <w:rPr>
                <w:rFonts w:eastAsia="Times New Roman"/>
                <w:b/>
                <w:bCs/>
                <w:sz w:val="20"/>
              </w:rPr>
            </w:pPr>
            <w:r w:rsidRPr="00BD177B">
              <w:rPr>
                <w:rFonts w:eastAsia="Times New Roman"/>
                <w:b/>
                <w:bCs/>
                <w:sz w:val="20"/>
                <w:szCs w:val="20"/>
                <w:lang w:eastAsia="hr-HR"/>
              </w:rPr>
              <w:t>2024.</w:t>
            </w:r>
          </w:p>
        </w:tc>
      </w:tr>
      <w:tr w:rsidR="008D5553" w:rsidRPr="00BD177B" w14:paraId="315B74A6" w14:textId="77777777" w:rsidTr="00374990">
        <w:trPr>
          <w:trHeight w:val="112"/>
        </w:trPr>
        <w:tc>
          <w:tcPr>
            <w:tcW w:w="3222" w:type="dxa"/>
            <w:vMerge/>
            <w:tcBorders>
              <w:top w:val="single" w:sz="4" w:space="0" w:color="auto"/>
              <w:left w:val="single" w:sz="4" w:space="0" w:color="auto"/>
              <w:bottom w:val="single" w:sz="4" w:space="0" w:color="auto"/>
              <w:right w:val="single" w:sz="4" w:space="0" w:color="auto"/>
            </w:tcBorders>
            <w:vAlign w:val="center"/>
            <w:hideMark/>
          </w:tcPr>
          <w:p w14:paraId="28DC18F4" w14:textId="77777777" w:rsidR="008D5553" w:rsidRPr="00BD177B" w:rsidRDefault="008D5553" w:rsidP="00374990">
            <w:pPr>
              <w:jc w:val="both"/>
              <w:rPr>
                <w:b/>
                <w:bCs/>
                <w:sz w:val="20"/>
              </w:rPr>
            </w:pPr>
          </w:p>
        </w:tc>
        <w:tc>
          <w:tcPr>
            <w:tcW w:w="1309" w:type="dxa"/>
            <w:tcBorders>
              <w:top w:val="single" w:sz="4" w:space="0" w:color="auto"/>
              <w:left w:val="nil"/>
              <w:bottom w:val="single" w:sz="4" w:space="0" w:color="auto"/>
              <w:right w:val="single" w:sz="4" w:space="0" w:color="auto"/>
            </w:tcBorders>
            <w:shd w:val="clear" w:color="000000" w:fill="FFFF99"/>
            <w:vAlign w:val="center"/>
            <w:hideMark/>
          </w:tcPr>
          <w:p w14:paraId="1EB61E49" w14:textId="77777777" w:rsidR="008D5553" w:rsidRPr="00BD177B" w:rsidRDefault="008D5553" w:rsidP="00374990">
            <w:pPr>
              <w:jc w:val="center"/>
              <w:rPr>
                <w:b/>
                <w:bCs/>
                <w:sz w:val="18"/>
              </w:rPr>
            </w:pPr>
            <w:r w:rsidRPr="00BD177B">
              <w:rPr>
                <w:b/>
                <w:bCs/>
                <w:sz w:val="18"/>
              </w:rPr>
              <w:t>u mln EUR</w:t>
            </w:r>
          </w:p>
        </w:tc>
        <w:tc>
          <w:tcPr>
            <w:tcW w:w="1418" w:type="dxa"/>
            <w:tcBorders>
              <w:top w:val="single" w:sz="4" w:space="0" w:color="auto"/>
              <w:left w:val="nil"/>
              <w:bottom w:val="single" w:sz="4" w:space="0" w:color="auto"/>
              <w:right w:val="single" w:sz="4" w:space="0" w:color="auto"/>
            </w:tcBorders>
            <w:shd w:val="clear" w:color="000000" w:fill="FFFF99"/>
          </w:tcPr>
          <w:p w14:paraId="4BB4A199" w14:textId="77777777" w:rsidR="008D5553" w:rsidRPr="00BD177B" w:rsidRDefault="008D5553" w:rsidP="00374990">
            <w:pPr>
              <w:jc w:val="center"/>
              <w:rPr>
                <w:b/>
                <w:bCs/>
                <w:sz w:val="18"/>
              </w:rPr>
            </w:pPr>
            <w:r w:rsidRPr="00BD177B">
              <w:rPr>
                <w:b/>
                <w:bCs/>
                <w:sz w:val="18"/>
              </w:rPr>
              <w:t>u mln EUR</w:t>
            </w:r>
          </w:p>
        </w:tc>
        <w:tc>
          <w:tcPr>
            <w:tcW w:w="1417" w:type="dxa"/>
            <w:tcBorders>
              <w:top w:val="single" w:sz="4" w:space="0" w:color="auto"/>
              <w:left w:val="nil"/>
              <w:bottom w:val="single" w:sz="4" w:space="0" w:color="auto"/>
              <w:right w:val="single" w:sz="4" w:space="0" w:color="auto"/>
            </w:tcBorders>
            <w:shd w:val="clear" w:color="000000" w:fill="FFFF99"/>
          </w:tcPr>
          <w:p w14:paraId="6BA84492" w14:textId="77777777" w:rsidR="008D5553" w:rsidRPr="00BD177B" w:rsidRDefault="008D5553" w:rsidP="00374990">
            <w:pPr>
              <w:jc w:val="center"/>
              <w:rPr>
                <w:b/>
                <w:bCs/>
                <w:sz w:val="18"/>
              </w:rPr>
            </w:pPr>
            <w:r w:rsidRPr="00BD177B">
              <w:rPr>
                <w:b/>
                <w:bCs/>
                <w:sz w:val="18"/>
              </w:rPr>
              <w:t>u mln EUR</w:t>
            </w:r>
          </w:p>
        </w:tc>
      </w:tr>
      <w:tr w:rsidR="004C6C3D" w:rsidRPr="00BD177B" w14:paraId="791EF719" w14:textId="77777777" w:rsidTr="004C6C3D">
        <w:trPr>
          <w:trHeight w:val="5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1C96D574" w14:textId="1A9E49EC" w:rsidR="004C6C3D" w:rsidRPr="00BD177B" w:rsidRDefault="004C6C3D" w:rsidP="004C6C3D">
            <w:pPr>
              <w:jc w:val="both"/>
              <w:rPr>
                <w:sz w:val="20"/>
              </w:rPr>
            </w:pPr>
            <w:r w:rsidRPr="00BD177B">
              <w:rPr>
                <w:rFonts w:eastAsia="Times New Roman"/>
                <w:bCs/>
                <w:sz w:val="20"/>
                <w:szCs w:val="20"/>
                <w:lang w:eastAsia="hr-HR"/>
              </w:rPr>
              <w:t xml:space="preserve">Ribarstvo </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6187921D" w14:textId="2145C0D9" w:rsidR="004C6C3D" w:rsidRPr="00BD177B" w:rsidRDefault="004C6C3D" w:rsidP="004C6C3D">
            <w:pPr>
              <w:jc w:val="right"/>
              <w:rPr>
                <w:rFonts w:eastAsia="Times New Roman"/>
                <w:sz w:val="20"/>
                <w:szCs w:val="20"/>
                <w:lang w:eastAsia="hr-HR"/>
              </w:rPr>
            </w:pPr>
            <w:r w:rsidRPr="00BD177B">
              <w:rPr>
                <w:rFonts w:eastAsia="Times New Roman"/>
                <w:bCs/>
                <w:sz w:val="20"/>
                <w:lang w:eastAsia="hr-HR"/>
              </w:rPr>
              <w:t>41,2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8FD4D9C" w14:textId="101A57B6" w:rsidR="004C6C3D" w:rsidRPr="00BD177B" w:rsidRDefault="004C6C3D" w:rsidP="004C6C3D">
            <w:pPr>
              <w:jc w:val="right"/>
              <w:rPr>
                <w:rFonts w:eastAsia="Times New Roman"/>
                <w:sz w:val="20"/>
                <w:szCs w:val="20"/>
                <w:lang w:eastAsia="hr-HR"/>
              </w:rPr>
            </w:pPr>
            <w:r w:rsidRPr="00BD177B">
              <w:rPr>
                <w:rFonts w:eastAsia="Times New Roman"/>
                <w:bCs/>
                <w:sz w:val="20"/>
                <w:lang w:eastAsia="hr-HR"/>
              </w:rPr>
              <w:t>65,3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9722CE" w14:textId="6654CABA" w:rsidR="004C6C3D" w:rsidRPr="00BD177B" w:rsidRDefault="004C6C3D" w:rsidP="004C6C3D">
            <w:pPr>
              <w:jc w:val="right"/>
              <w:rPr>
                <w:rFonts w:eastAsia="Times New Roman"/>
                <w:sz w:val="20"/>
                <w:szCs w:val="20"/>
                <w:lang w:eastAsia="hr-HR"/>
              </w:rPr>
            </w:pPr>
            <w:r w:rsidRPr="00BD177B">
              <w:rPr>
                <w:rFonts w:eastAsia="Times New Roman"/>
                <w:bCs/>
                <w:sz w:val="20"/>
                <w:lang w:eastAsia="hr-HR"/>
              </w:rPr>
              <w:t>94,4</w:t>
            </w:r>
          </w:p>
        </w:tc>
      </w:tr>
      <w:tr w:rsidR="004C6C3D" w:rsidRPr="00BD177B" w14:paraId="6305BE00" w14:textId="77777777" w:rsidTr="004C6C3D">
        <w:trPr>
          <w:trHeight w:val="53"/>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33FA781D" w14:textId="5ABE3EF0" w:rsidR="004C6C3D" w:rsidRPr="00BD177B" w:rsidRDefault="004C6C3D" w:rsidP="004C6C3D">
            <w:pPr>
              <w:jc w:val="both"/>
              <w:rPr>
                <w:sz w:val="20"/>
              </w:rPr>
            </w:pPr>
            <w:r w:rsidRPr="00BD177B">
              <w:rPr>
                <w:rFonts w:eastAsia="Times New Roman"/>
                <w:iCs/>
                <w:sz w:val="20"/>
                <w:szCs w:val="20"/>
                <w:lang w:eastAsia="hr-HR"/>
              </w:rPr>
              <w:t xml:space="preserve">Poljoprivreda </w:t>
            </w:r>
          </w:p>
        </w:tc>
        <w:tc>
          <w:tcPr>
            <w:tcW w:w="1309" w:type="dxa"/>
            <w:tcBorders>
              <w:top w:val="nil"/>
              <w:left w:val="nil"/>
              <w:bottom w:val="single" w:sz="4" w:space="0" w:color="auto"/>
              <w:right w:val="single" w:sz="4" w:space="0" w:color="auto"/>
            </w:tcBorders>
            <w:shd w:val="clear" w:color="auto" w:fill="auto"/>
            <w:vAlign w:val="center"/>
            <w:hideMark/>
          </w:tcPr>
          <w:p w14:paraId="2ADEB818" w14:textId="2ED85CE0"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420,7</w:t>
            </w:r>
          </w:p>
        </w:tc>
        <w:tc>
          <w:tcPr>
            <w:tcW w:w="1418" w:type="dxa"/>
            <w:tcBorders>
              <w:top w:val="nil"/>
              <w:left w:val="nil"/>
              <w:bottom w:val="single" w:sz="4" w:space="0" w:color="auto"/>
              <w:right w:val="single" w:sz="4" w:space="0" w:color="auto"/>
            </w:tcBorders>
            <w:shd w:val="clear" w:color="auto" w:fill="auto"/>
            <w:noWrap/>
            <w:vAlign w:val="center"/>
            <w:hideMark/>
          </w:tcPr>
          <w:p w14:paraId="3D49361A" w14:textId="037E2EBD"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442,3</w:t>
            </w:r>
          </w:p>
        </w:tc>
        <w:tc>
          <w:tcPr>
            <w:tcW w:w="1417" w:type="dxa"/>
            <w:tcBorders>
              <w:top w:val="nil"/>
              <w:left w:val="nil"/>
              <w:bottom w:val="single" w:sz="4" w:space="0" w:color="auto"/>
              <w:right w:val="single" w:sz="4" w:space="0" w:color="auto"/>
            </w:tcBorders>
            <w:shd w:val="clear" w:color="auto" w:fill="auto"/>
            <w:noWrap/>
            <w:vAlign w:val="center"/>
            <w:hideMark/>
          </w:tcPr>
          <w:p w14:paraId="3CAD64ED" w14:textId="47A8FF1A"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425,7</w:t>
            </w:r>
          </w:p>
        </w:tc>
      </w:tr>
      <w:tr w:rsidR="004C6C3D" w:rsidRPr="00BD177B" w14:paraId="31406900" w14:textId="77777777" w:rsidTr="004C6C3D">
        <w:trPr>
          <w:trHeight w:val="53"/>
        </w:trPr>
        <w:tc>
          <w:tcPr>
            <w:tcW w:w="3222" w:type="dxa"/>
            <w:tcBorders>
              <w:top w:val="nil"/>
              <w:left w:val="single" w:sz="4" w:space="0" w:color="auto"/>
              <w:bottom w:val="single" w:sz="4" w:space="0" w:color="auto"/>
              <w:right w:val="single" w:sz="4" w:space="0" w:color="auto"/>
            </w:tcBorders>
            <w:shd w:val="clear" w:color="auto" w:fill="auto"/>
            <w:vAlign w:val="center"/>
          </w:tcPr>
          <w:p w14:paraId="6E0C5FA0" w14:textId="2DB154C0" w:rsidR="004C6C3D" w:rsidRPr="00BD177B" w:rsidRDefault="004C6C3D" w:rsidP="004C6C3D">
            <w:pPr>
              <w:jc w:val="both"/>
              <w:rPr>
                <w:sz w:val="20"/>
              </w:rPr>
            </w:pPr>
            <w:r w:rsidRPr="00BD177B">
              <w:rPr>
                <w:rFonts w:eastAsia="Times New Roman"/>
                <w:iCs/>
                <w:sz w:val="20"/>
                <w:szCs w:val="20"/>
                <w:lang w:eastAsia="hr-HR"/>
              </w:rPr>
              <w:t xml:space="preserve">Poljoprivreda </w:t>
            </w:r>
            <w:r w:rsidR="0069571D" w:rsidRPr="00BD177B">
              <w:rPr>
                <w:rFonts w:eastAsia="Times New Roman"/>
                <w:iCs/>
                <w:sz w:val="20"/>
                <w:szCs w:val="20"/>
                <w:lang w:eastAsia="hr-HR"/>
              </w:rPr>
              <w:t>–</w:t>
            </w:r>
            <w:r w:rsidRPr="00BD177B">
              <w:rPr>
                <w:rFonts w:eastAsia="Times New Roman"/>
                <w:iCs/>
                <w:sz w:val="20"/>
                <w:szCs w:val="20"/>
                <w:lang w:eastAsia="hr-HR"/>
              </w:rPr>
              <w:t xml:space="preserve"> regionalni razvoj</w:t>
            </w:r>
          </w:p>
        </w:tc>
        <w:tc>
          <w:tcPr>
            <w:tcW w:w="1309" w:type="dxa"/>
            <w:tcBorders>
              <w:top w:val="nil"/>
              <w:left w:val="nil"/>
              <w:bottom w:val="single" w:sz="4" w:space="0" w:color="auto"/>
              <w:right w:val="single" w:sz="4" w:space="0" w:color="auto"/>
            </w:tcBorders>
            <w:shd w:val="clear" w:color="auto" w:fill="auto"/>
            <w:vAlign w:val="center"/>
          </w:tcPr>
          <w:p w14:paraId="6BBD77C8" w14:textId="394F6BA7"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417,2</w:t>
            </w:r>
          </w:p>
        </w:tc>
        <w:tc>
          <w:tcPr>
            <w:tcW w:w="1418" w:type="dxa"/>
            <w:tcBorders>
              <w:top w:val="nil"/>
              <w:left w:val="nil"/>
              <w:bottom w:val="single" w:sz="4" w:space="0" w:color="auto"/>
              <w:right w:val="single" w:sz="4" w:space="0" w:color="auto"/>
            </w:tcBorders>
            <w:shd w:val="clear" w:color="auto" w:fill="auto"/>
            <w:noWrap/>
            <w:vAlign w:val="center"/>
          </w:tcPr>
          <w:p w14:paraId="5EA91AD5" w14:textId="36E1AC07"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446,6</w:t>
            </w:r>
          </w:p>
        </w:tc>
        <w:tc>
          <w:tcPr>
            <w:tcW w:w="1417" w:type="dxa"/>
            <w:tcBorders>
              <w:top w:val="nil"/>
              <w:left w:val="nil"/>
              <w:bottom w:val="single" w:sz="4" w:space="0" w:color="auto"/>
              <w:right w:val="single" w:sz="4" w:space="0" w:color="auto"/>
            </w:tcBorders>
            <w:shd w:val="clear" w:color="auto" w:fill="auto"/>
            <w:noWrap/>
            <w:vAlign w:val="center"/>
          </w:tcPr>
          <w:p w14:paraId="18773BDE" w14:textId="0A915187" w:rsidR="004C6C3D" w:rsidRPr="00BD177B" w:rsidRDefault="004C6C3D" w:rsidP="004C6C3D">
            <w:pPr>
              <w:jc w:val="right"/>
              <w:rPr>
                <w:rFonts w:eastAsia="Times New Roman"/>
                <w:sz w:val="20"/>
                <w:szCs w:val="20"/>
                <w:lang w:eastAsia="hr-HR"/>
              </w:rPr>
            </w:pPr>
            <w:r w:rsidRPr="00BD177B">
              <w:rPr>
                <w:rFonts w:eastAsia="Times New Roman"/>
                <w:iCs/>
                <w:sz w:val="20"/>
                <w:lang w:eastAsia="hr-HR"/>
              </w:rPr>
              <w:t>322,0</w:t>
            </w:r>
          </w:p>
        </w:tc>
      </w:tr>
      <w:tr w:rsidR="004C6C3D" w:rsidRPr="00BD177B" w14:paraId="7E4AD7E8" w14:textId="77777777" w:rsidTr="004C6C3D">
        <w:trPr>
          <w:trHeight w:val="53"/>
        </w:trPr>
        <w:tc>
          <w:tcPr>
            <w:tcW w:w="3222" w:type="dxa"/>
            <w:tcBorders>
              <w:top w:val="nil"/>
              <w:left w:val="single" w:sz="4" w:space="0" w:color="auto"/>
              <w:bottom w:val="single" w:sz="4" w:space="0" w:color="auto"/>
              <w:right w:val="single" w:sz="4" w:space="0" w:color="auto"/>
            </w:tcBorders>
            <w:shd w:val="clear" w:color="auto" w:fill="FFFFCC"/>
            <w:vAlign w:val="center"/>
            <w:hideMark/>
          </w:tcPr>
          <w:p w14:paraId="6E56E109" w14:textId="119CBF47" w:rsidR="004C6C3D" w:rsidRPr="00BD177B" w:rsidRDefault="00E873D4" w:rsidP="00374ECB">
            <w:pPr>
              <w:jc w:val="both"/>
              <w:rPr>
                <w:b/>
                <w:sz w:val="20"/>
              </w:rPr>
            </w:pPr>
            <w:r w:rsidRPr="00BD177B">
              <w:rPr>
                <w:b/>
                <w:sz w:val="20"/>
              </w:rPr>
              <w:t>Ukup</w:t>
            </w:r>
            <w:r w:rsidR="00374ECB" w:rsidRPr="00BD177B">
              <w:rPr>
                <w:b/>
                <w:sz w:val="20"/>
              </w:rPr>
              <w:t>no</w:t>
            </w:r>
          </w:p>
        </w:tc>
        <w:tc>
          <w:tcPr>
            <w:tcW w:w="1309" w:type="dxa"/>
            <w:tcBorders>
              <w:top w:val="nil"/>
              <w:left w:val="nil"/>
              <w:bottom w:val="single" w:sz="4" w:space="0" w:color="auto"/>
              <w:right w:val="single" w:sz="4" w:space="0" w:color="auto"/>
            </w:tcBorders>
            <w:shd w:val="clear" w:color="auto" w:fill="FFFFCC"/>
            <w:vAlign w:val="center"/>
            <w:hideMark/>
          </w:tcPr>
          <w:p w14:paraId="16040AB6" w14:textId="64C31F18" w:rsidR="004C6C3D" w:rsidRPr="00BD177B" w:rsidRDefault="004C6C3D" w:rsidP="004C6C3D">
            <w:pPr>
              <w:jc w:val="right"/>
              <w:rPr>
                <w:rFonts w:eastAsia="Times New Roman"/>
                <w:b/>
                <w:sz w:val="20"/>
                <w:szCs w:val="20"/>
                <w:lang w:eastAsia="hr-HR"/>
              </w:rPr>
            </w:pPr>
            <w:r w:rsidRPr="00BD177B">
              <w:rPr>
                <w:rFonts w:eastAsia="Times New Roman"/>
                <w:b/>
                <w:bCs/>
                <w:sz w:val="20"/>
                <w:lang w:eastAsia="hr-HR"/>
              </w:rPr>
              <w:t>879,1</w:t>
            </w:r>
          </w:p>
        </w:tc>
        <w:tc>
          <w:tcPr>
            <w:tcW w:w="1418" w:type="dxa"/>
            <w:tcBorders>
              <w:top w:val="nil"/>
              <w:left w:val="nil"/>
              <w:bottom w:val="single" w:sz="4" w:space="0" w:color="auto"/>
              <w:right w:val="single" w:sz="4" w:space="0" w:color="auto"/>
            </w:tcBorders>
            <w:shd w:val="clear" w:color="auto" w:fill="FFFFCC"/>
            <w:noWrap/>
            <w:vAlign w:val="center"/>
            <w:hideMark/>
          </w:tcPr>
          <w:p w14:paraId="341BA615" w14:textId="310EF33B" w:rsidR="004C6C3D" w:rsidRPr="00BD177B" w:rsidRDefault="004C6C3D" w:rsidP="004C6C3D">
            <w:pPr>
              <w:jc w:val="right"/>
              <w:rPr>
                <w:rFonts w:eastAsia="Times New Roman"/>
                <w:b/>
                <w:sz w:val="20"/>
                <w:szCs w:val="20"/>
                <w:lang w:eastAsia="hr-HR"/>
              </w:rPr>
            </w:pPr>
            <w:r w:rsidRPr="00BD177B">
              <w:rPr>
                <w:rFonts w:eastAsia="Times New Roman"/>
                <w:b/>
                <w:bCs/>
                <w:sz w:val="20"/>
                <w:lang w:eastAsia="hr-HR"/>
              </w:rPr>
              <w:t>954,2</w:t>
            </w:r>
          </w:p>
        </w:tc>
        <w:tc>
          <w:tcPr>
            <w:tcW w:w="1417" w:type="dxa"/>
            <w:tcBorders>
              <w:top w:val="nil"/>
              <w:left w:val="nil"/>
              <w:bottom w:val="single" w:sz="4" w:space="0" w:color="auto"/>
              <w:right w:val="single" w:sz="4" w:space="0" w:color="auto"/>
            </w:tcBorders>
            <w:shd w:val="clear" w:color="auto" w:fill="FFFFCC"/>
            <w:noWrap/>
            <w:vAlign w:val="center"/>
            <w:hideMark/>
          </w:tcPr>
          <w:p w14:paraId="23BF55C9" w14:textId="01437691" w:rsidR="004C6C3D" w:rsidRPr="00BD177B" w:rsidRDefault="004C6C3D" w:rsidP="004C6C3D">
            <w:pPr>
              <w:jc w:val="right"/>
              <w:rPr>
                <w:rFonts w:eastAsia="Times New Roman"/>
                <w:b/>
                <w:sz w:val="20"/>
                <w:szCs w:val="20"/>
                <w:lang w:eastAsia="hr-HR"/>
              </w:rPr>
            </w:pPr>
            <w:r w:rsidRPr="00BD177B">
              <w:rPr>
                <w:rFonts w:eastAsia="Times New Roman"/>
                <w:b/>
                <w:bCs/>
                <w:sz w:val="20"/>
                <w:lang w:eastAsia="hr-HR"/>
              </w:rPr>
              <w:t>842,1</w:t>
            </w:r>
          </w:p>
        </w:tc>
      </w:tr>
      <w:tr w:rsidR="008D5553" w:rsidRPr="00BD177B" w14:paraId="598B6FE9" w14:textId="77777777" w:rsidTr="00374990">
        <w:trPr>
          <w:trHeight w:val="4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51558AB7" w14:textId="77777777" w:rsidR="008D5553" w:rsidRPr="00BD177B" w:rsidRDefault="008D5553" w:rsidP="00374990">
            <w:pPr>
              <w:jc w:val="both"/>
              <w:rPr>
                <w:sz w:val="20"/>
              </w:rPr>
            </w:pPr>
            <w:r w:rsidRPr="00BD177B">
              <w:rPr>
                <w:sz w:val="20"/>
              </w:rPr>
              <w:t>udio (%) u BDP-u</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14:paraId="59B76073" w14:textId="3B97B676" w:rsidR="008D5553" w:rsidRPr="00BD177B" w:rsidRDefault="004C6C3D" w:rsidP="00374990">
            <w:pPr>
              <w:jc w:val="center"/>
              <w:rPr>
                <w:rFonts w:eastAsia="Times New Roman"/>
                <w:sz w:val="20"/>
                <w:szCs w:val="20"/>
                <w:lang w:eastAsia="hr-HR"/>
              </w:rPr>
            </w:pPr>
            <w:r w:rsidRPr="00BD177B">
              <w:rPr>
                <w:rFonts w:eastAsia="Times New Roman"/>
                <w:sz w:val="20"/>
                <w:szCs w:val="20"/>
                <w:lang w:eastAsia="hr-HR"/>
              </w:rPr>
              <w:t>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AFC110A" w14:textId="573D7817" w:rsidR="008D5553" w:rsidRPr="00BD177B" w:rsidRDefault="004C6C3D" w:rsidP="00374990">
            <w:pPr>
              <w:jc w:val="center"/>
              <w:rPr>
                <w:rFonts w:eastAsia="Times New Roman"/>
                <w:sz w:val="20"/>
                <w:szCs w:val="20"/>
                <w:lang w:eastAsia="hr-HR"/>
              </w:rPr>
            </w:pPr>
            <w:r w:rsidRPr="00BD177B">
              <w:rPr>
                <w:rFonts w:eastAsia="Times New Roman"/>
                <w:sz w:val="20"/>
                <w:szCs w:val="20"/>
                <w:lang w:eastAsia="hr-HR"/>
              </w:rPr>
              <w:t>1,22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2690BC" w14:textId="20095EBC" w:rsidR="008D5553" w:rsidRPr="00BD177B" w:rsidRDefault="004C6C3D" w:rsidP="00374990">
            <w:pPr>
              <w:jc w:val="center"/>
              <w:rPr>
                <w:rFonts w:eastAsia="Times New Roman"/>
                <w:sz w:val="20"/>
                <w:szCs w:val="20"/>
                <w:lang w:eastAsia="hr-HR"/>
              </w:rPr>
            </w:pPr>
            <w:r w:rsidRPr="00BD177B">
              <w:rPr>
                <w:rFonts w:eastAsia="Times New Roman"/>
                <w:sz w:val="20"/>
                <w:szCs w:val="20"/>
                <w:lang w:eastAsia="hr-HR"/>
              </w:rPr>
              <w:t>0,98</w:t>
            </w:r>
          </w:p>
        </w:tc>
      </w:tr>
    </w:tbl>
    <w:p w14:paraId="2B8DA75E" w14:textId="77777777" w:rsidR="00995A21" w:rsidRPr="00BD177B" w:rsidRDefault="00995A21" w:rsidP="00995A21">
      <w:pPr>
        <w:contextualSpacing/>
        <w:jc w:val="both"/>
        <w:rPr>
          <w:i/>
          <w:spacing w:val="-6"/>
          <w:sz w:val="20"/>
        </w:rPr>
      </w:pPr>
      <w:r w:rsidRPr="00BD177B">
        <w:rPr>
          <w:i/>
          <w:spacing w:val="-6"/>
          <w:sz w:val="20"/>
        </w:rPr>
        <w:t>Izvor: Ministarstvo financija, Ministarstvo poljoprivrede, šumarstva i ribarstva; podaci obrađeni u Ministarstvu financija</w:t>
      </w:r>
    </w:p>
    <w:p w14:paraId="1025CCF6" w14:textId="5356B7C8" w:rsidR="00BD607D" w:rsidRPr="00BD177B" w:rsidRDefault="00BD607D" w:rsidP="004C6C3D">
      <w:pPr>
        <w:jc w:val="both"/>
      </w:pPr>
    </w:p>
    <w:p w14:paraId="40164346" w14:textId="3A454A4C" w:rsidR="00E873D4" w:rsidRPr="00BD177B" w:rsidRDefault="00E873D4" w:rsidP="00DF0D14">
      <w:pPr>
        <w:jc w:val="both"/>
      </w:pPr>
      <w:r w:rsidRPr="00BD177B">
        <w:t xml:space="preserve">U sektoru poljoprivrede i ribarstva u 2024. godini, </w:t>
      </w:r>
      <w:r w:rsidR="00DF0D14" w:rsidRPr="00BD177B">
        <w:t>poticaji i izravna plaćanja koji ne predstavljaju državnu potporu u smislu članka 107. stavka 1. UFEU-a, dodijeljeni su u iznosu od</w:t>
      </w:r>
      <w:r w:rsidRPr="00BD177B">
        <w:t xml:space="preserve"> 842,1 milijuna eura, što je smanjenje za 112,1 milijun eura ili za </w:t>
      </w:r>
      <w:r w:rsidRPr="00BD177B">
        <w:rPr>
          <w:rFonts w:eastAsia="Times New Roman"/>
        </w:rPr>
        <w:t xml:space="preserve">11,7 </w:t>
      </w:r>
      <w:r w:rsidRPr="00BD177B">
        <w:t xml:space="preserve">posto u odnosu na 2023. godinu kada su </w:t>
      </w:r>
      <w:r w:rsidR="009D00A0" w:rsidRPr="00BD177B">
        <w:t>poticaji</w:t>
      </w:r>
      <w:r w:rsidRPr="00BD177B">
        <w:t xml:space="preserve"> dodijeljen</w:t>
      </w:r>
      <w:r w:rsidR="009D00A0" w:rsidRPr="00BD177B">
        <w:t>i</w:t>
      </w:r>
      <w:r w:rsidRPr="00BD177B">
        <w:t xml:space="preserve"> u iznosu od 954,2 milijuna eura, te </w:t>
      </w:r>
      <w:r w:rsidR="00DF0D14" w:rsidRPr="00BD177B">
        <w:t>predstavlja</w:t>
      </w:r>
      <w:r w:rsidRPr="00BD177B">
        <w:t xml:space="preserve"> smanjenje za 36,9 milijuna eura ili za </w:t>
      </w:r>
      <w:r w:rsidRPr="00BD177B">
        <w:rPr>
          <w:rFonts w:eastAsia="Times New Roman"/>
        </w:rPr>
        <w:t xml:space="preserve">4,2 </w:t>
      </w:r>
      <w:r w:rsidRPr="00BD177B">
        <w:t xml:space="preserve">posto u odnosu na 2022. godinu kada su </w:t>
      </w:r>
      <w:r w:rsidR="009D00A0" w:rsidRPr="00BD177B">
        <w:t xml:space="preserve">poticaji </w:t>
      </w:r>
      <w:r w:rsidRPr="00BD177B">
        <w:t>dodijeljen</w:t>
      </w:r>
      <w:r w:rsidR="009D00A0" w:rsidRPr="00BD177B">
        <w:t>i</w:t>
      </w:r>
      <w:r w:rsidRPr="00BD177B">
        <w:t xml:space="preserve"> u iznosu od 879,1 milijun eura.</w:t>
      </w:r>
    </w:p>
    <w:p w14:paraId="3F8FA1A9" w14:textId="77777777" w:rsidR="00E873D4" w:rsidRPr="00BD177B" w:rsidRDefault="00E873D4" w:rsidP="00E873D4">
      <w:pPr>
        <w:jc w:val="both"/>
      </w:pPr>
    </w:p>
    <w:p w14:paraId="311FADAC" w14:textId="2F3428A4" w:rsidR="00E873D4" w:rsidRPr="00BD177B" w:rsidRDefault="00E873D4" w:rsidP="00E873D4">
      <w:pPr>
        <w:jc w:val="both"/>
      </w:pPr>
      <w:r w:rsidRPr="00BD177B">
        <w:t>Udio dodijeljenih poticaja u BDP-u iznosio je u 2024. godini 0,98</w:t>
      </w:r>
      <w:r w:rsidRPr="00BD177B">
        <w:rPr>
          <w:rFonts w:eastAsia="Times New Roman"/>
        </w:rPr>
        <w:t xml:space="preserve"> </w:t>
      </w:r>
      <w:r w:rsidRPr="00BD177B">
        <w:t>posto, u 2023. godini 1,22 posto te u 2022. godini 1,30 posto.</w:t>
      </w:r>
    </w:p>
    <w:p w14:paraId="7F07E8AD" w14:textId="77777777" w:rsidR="00E873D4" w:rsidRPr="00BD177B" w:rsidRDefault="00E873D4" w:rsidP="00E873D4">
      <w:pPr>
        <w:jc w:val="both"/>
      </w:pPr>
    </w:p>
    <w:p w14:paraId="27565FC6" w14:textId="6B7FD2C3" w:rsidR="00E873D4" w:rsidRPr="00BD177B" w:rsidRDefault="00E873D4" w:rsidP="00E873D4">
      <w:pPr>
        <w:jc w:val="both"/>
      </w:pPr>
      <w:r w:rsidRPr="00BD177B">
        <w:t xml:space="preserve">Instrumenti putem kojih su </w:t>
      </w:r>
      <w:r w:rsidR="00B75A7A" w:rsidRPr="00BD177B">
        <w:t xml:space="preserve">dodijeljeni poticaji </w:t>
      </w:r>
      <w:r w:rsidRPr="00BD177B">
        <w:t xml:space="preserve">u 2024. godini u sektoru poljoprivrede i ribarstva u iznosu od </w:t>
      </w:r>
      <w:r w:rsidR="00B75A7A" w:rsidRPr="00BD177B">
        <w:t>842,1</w:t>
      </w:r>
      <w:r w:rsidRPr="00BD177B">
        <w:t xml:space="preserve"> milijun eura, najvećem dijelom se odnose na </w:t>
      </w:r>
      <w:r w:rsidR="00F85229" w:rsidRPr="00BD177B">
        <w:t xml:space="preserve">subvencije u iznosu od 627,9 milijuna eura ili s udjelom od 74,6 posto u ukupnim poticajima u poljoprivredi i ribarstvu, potom na kapitalna ulaganja </w:t>
      </w:r>
      <w:r w:rsidRPr="00BD177B">
        <w:t xml:space="preserve">u iznosu od </w:t>
      </w:r>
      <w:r w:rsidR="00F85229" w:rsidRPr="00BD177B">
        <w:t xml:space="preserve">207,5 </w:t>
      </w:r>
      <w:r w:rsidRPr="00BD177B">
        <w:t xml:space="preserve">milijuna eura ili </w:t>
      </w:r>
      <w:r w:rsidR="00F85229" w:rsidRPr="00BD177B">
        <w:t>24,6</w:t>
      </w:r>
      <w:r w:rsidRPr="00BD177B">
        <w:t xml:space="preserve"> posto, dok je 6</w:t>
      </w:r>
      <w:r w:rsidR="00F85229" w:rsidRPr="00BD177B">
        <w:t>,7</w:t>
      </w:r>
      <w:r w:rsidRPr="00BD177B">
        <w:t xml:space="preserve"> milijuna eura ili </w:t>
      </w:r>
      <w:r w:rsidR="00F85229" w:rsidRPr="00BD177B">
        <w:t>0,8</w:t>
      </w:r>
      <w:r w:rsidRPr="00BD177B">
        <w:t xml:space="preserve"> posto </w:t>
      </w:r>
      <w:r w:rsidR="00F85229" w:rsidRPr="00BD177B">
        <w:t>poticaja</w:t>
      </w:r>
      <w:r w:rsidRPr="00BD177B">
        <w:t xml:space="preserve"> dodijeljeno putem </w:t>
      </w:r>
      <w:r w:rsidR="00F85229" w:rsidRPr="00BD177B">
        <w:t>povoljnih zajmova</w:t>
      </w:r>
      <w:r w:rsidRPr="00BD177B">
        <w:t>.</w:t>
      </w:r>
    </w:p>
    <w:p w14:paraId="71524318" w14:textId="2786A2A8" w:rsidR="00F85229" w:rsidRPr="00BD177B" w:rsidRDefault="00F85229" w:rsidP="004C6C3D">
      <w:pPr>
        <w:jc w:val="both"/>
      </w:pPr>
    </w:p>
    <w:p w14:paraId="12D6C21F" w14:textId="41D1F418" w:rsidR="00256955" w:rsidRPr="00BD177B" w:rsidRDefault="00F85229" w:rsidP="00256955">
      <w:pPr>
        <w:jc w:val="both"/>
      </w:pPr>
      <w:r w:rsidRPr="00BD177B">
        <w:t xml:space="preserve">Unutar </w:t>
      </w:r>
      <w:r w:rsidRPr="00BD177B">
        <w:rPr>
          <w:u w:val="single"/>
        </w:rPr>
        <w:t>poticaja u sektoru poljoprivrede i ribarstva</w:t>
      </w:r>
      <w:r w:rsidRPr="00BD177B">
        <w:t xml:space="preserve"> dodijeljenih u 2024. godini u iznosu od 842,1 milijun eura, poticaji </w:t>
      </w:r>
      <w:r w:rsidR="00256955" w:rsidRPr="00BD177B">
        <w:t>za poljoprivredu</w:t>
      </w:r>
      <w:r w:rsidRPr="00BD177B">
        <w:t xml:space="preserve"> dodijeljeni su u iznosu od </w:t>
      </w:r>
      <w:r w:rsidR="00256955" w:rsidRPr="00BD177B">
        <w:t xml:space="preserve">425,7 </w:t>
      </w:r>
      <w:r w:rsidRPr="00BD177B">
        <w:t xml:space="preserve">milijuna eura ili s udjelom od </w:t>
      </w:r>
      <w:r w:rsidR="00256955" w:rsidRPr="00BD177B">
        <w:t xml:space="preserve">50,6 </w:t>
      </w:r>
      <w:r w:rsidRPr="00BD177B">
        <w:t xml:space="preserve">posto u ukupnim poticajima u sektoru poljoprivrede i ribarstva, </w:t>
      </w:r>
      <w:r w:rsidR="00256955" w:rsidRPr="00BD177B">
        <w:t xml:space="preserve">poticaji za regionalni razvoj u poljoprivredi </w:t>
      </w:r>
      <w:r w:rsidRPr="00BD177B">
        <w:t xml:space="preserve">dodijeljeni </w:t>
      </w:r>
      <w:r w:rsidR="00256955" w:rsidRPr="00BD177B">
        <w:t xml:space="preserve">su </w:t>
      </w:r>
      <w:r w:rsidRPr="00BD177B">
        <w:t>u iznosu od</w:t>
      </w:r>
      <w:r w:rsidRPr="00BD177B">
        <w:rPr>
          <w:b/>
        </w:rPr>
        <w:t xml:space="preserve"> </w:t>
      </w:r>
      <w:r w:rsidR="00256955" w:rsidRPr="00BD177B">
        <w:t xml:space="preserve">322 </w:t>
      </w:r>
      <w:r w:rsidRPr="00BD177B">
        <w:t xml:space="preserve">milijuna eura ili </w:t>
      </w:r>
      <w:r w:rsidR="00256955" w:rsidRPr="00BD177B">
        <w:t>38,2</w:t>
      </w:r>
      <w:r w:rsidRPr="00BD177B">
        <w:t xml:space="preserve"> posto</w:t>
      </w:r>
      <w:r w:rsidR="00256955" w:rsidRPr="00BD177B">
        <w:t>, dok su poticaji u ribarstvu dodijeljeni u iznosu od 94,4 milijuna eura ili 11,2 posto.</w:t>
      </w:r>
    </w:p>
    <w:p w14:paraId="32518067" w14:textId="4CB278FB" w:rsidR="00F85229" w:rsidRPr="00BD177B" w:rsidRDefault="00F85229" w:rsidP="00F85229">
      <w:pPr>
        <w:jc w:val="both"/>
      </w:pPr>
    </w:p>
    <w:p w14:paraId="1C001B40" w14:textId="29F7358E" w:rsidR="00291D06" w:rsidRPr="00BD177B" w:rsidRDefault="00D279EE" w:rsidP="00291D06">
      <w:pPr>
        <w:jc w:val="both"/>
        <w:rPr>
          <w:spacing w:val="-2"/>
        </w:rPr>
      </w:pPr>
      <w:r w:rsidRPr="00BD177B">
        <w:rPr>
          <w:spacing w:val="-2"/>
          <w:u w:val="single"/>
        </w:rPr>
        <w:t>Poticaji</w:t>
      </w:r>
      <w:r w:rsidR="006C0757" w:rsidRPr="00BD177B">
        <w:rPr>
          <w:spacing w:val="-2"/>
          <w:u w:val="single"/>
        </w:rPr>
        <w:t xml:space="preserve"> za poljoprivredu</w:t>
      </w:r>
      <w:r w:rsidR="006C0757" w:rsidRPr="00BD177B">
        <w:rPr>
          <w:spacing w:val="-2"/>
        </w:rPr>
        <w:t xml:space="preserve"> </w:t>
      </w:r>
      <w:r w:rsidRPr="00BD177B">
        <w:rPr>
          <w:spacing w:val="-2"/>
        </w:rPr>
        <w:t xml:space="preserve">dodijeljeni su putem subvencija </w:t>
      </w:r>
      <w:r w:rsidR="006C0757" w:rsidRPr="00BD177B">
        <w:rPr>
          <w:spacing w:val="-2"/>
        </w:rPr>
        <w:t xml:space="preserve">u iznosu od </w:t>
      </w:r>
      <w:r w:rsidR="009D00A0" w:rsidRPr="00BD177B">
        <w:rPr>
          <w:spacing w:val="-2"/>
        </w:rPr>
        <w:t xml:space="preserve">425,7 </w:t>
      </w:r>
      <w:r w:rsidR="006C0757" w:rsidRPr="00BD177B">
        <w:rPr>
          <w:spacing w:val="-2"/>
        </w:rPr>
        <w:t>milijuna eura</w:t>
      </w:r>
      <w:r w:rsidR="00C83DFD" w:rsidRPr="00BD177B">
        <w:rPr>
          <w:spacing w:val="-2"/>
        </w:rPr>
        <w:t xml:space="preserve"> putem</w:t>
      </w:r>
      <w:r w:rsidRPr="00BD177B">
        <w:rPr>
          <w:spacing w:val="-2"/>
        </w:rPr>
        <w:t xml:space="preserve"> </w:t>
      </w:r>
      <w:r w:rsidR="006C0757" w:rsidRPr="00BD177B">
        <w:rPr>
          <w:spacing w:val="-2"/>
        </w:rPr>
        <w:t>sljedeć</w:t>
      </w:r>
      <w:r w:rsidR="00C83DFD" w:rsidRPr="00BD177B">
        <w:rPr>
          <w:spacing w:val="-2"/>
        </w:rPr>
        <w:t>ih</w:t>
      </w:r>
      <w:r w:rsidR="006C0757" w:rsidRPr="00BD177B">
        <w:rPr>
          <w:spacing w:val="-2"/>
        </w:rPr>
        <w:t xml:space="preserve"> program</w:t>
      </w:r>
      <w:r w:rsidR="00C83DFD" w:rsidRPr="00BD177B">
        <w:rPr>
          <w:spacing w:val="-2"/>
        </w:rPr>
        <w:t>a</w:t>
      </w:r>
      <w:r w:rsidR="006C0757" w:rsidRPr="00BD177B">
        <w:rPr>
          <w:spacing w:val="-2"/>
        </w:rPr>
        <w:t xml:space="preserve"> i ciljev</w:t>
      </w:r>
      <w:r w:rsidR="00C83DFD" w:rsidRPr="00BD177B">
        <w:rPr>
          <w:spacing w:val="-2"/>
        </w:rPr>
        <w:t>a</w:t>
      </w:r>
      <w:r w:rsidR="006C0757" w:rsidRPr="00BD177B">
        <w:rPr>
          <w:spacing w:val="-2"/>
        </w:rPr>
        <w:t>, prikazan</w:t>
      </w:r>
      <w:r w:rsidR="00C83DFD" w:rsidRPr="00BD177B">
        <w:rPr>
          <w:spacing w:val="-2"/>
        </w:rPr>
        <w:t>ih</w:t>
      </w:r>
      <w:r w:rsidR="006C0757" w:rsidRPr="00BD177B">
        <w:rPr>
          <w:spacing w:val="-2"/>
        </w:rPr>
        <w:t xml:space="preserve"> po visini iznosa dodjele: </w:t>
      </w:r>
      <w:r w:rsidR="002A0DEA" w:rsidRPr="00BD177B">
        <w:rPr>
          <w:spacing w:val="-2"/>
        </w:rPr>
        <w:t>371,5 milijuna eura za Zajedničku poljoprivrednu politiku ZPP – Izravna plaćanja poljoprivrednim proizvođačima Strateški plan 2023.–2027.,</w:t>
      </w:r>
      <w:r w:rsidR="00291D06" w:rsidRPr="00BD177B">
        <w:rPr>
          <w:spacing w:val="-2"/>
        </w:rPr>
        <w:t xml:space="preserve"> </w:t>
      </w:r>
      <w:r w:rsidR="002A0DEA" w:rsidRPr="00BD177B">
        <w:rPr>
          <w:spacing w:val="-2"/>
        </w:rPr>
        <w:t>27 milijuna eura za Izvanredne mjere pomoći u poljoprivredi</w:t>
      </w:r>
      <w:r w:rsidR="00291D06" w:rsidRPr="00BD177B">
        <w:rPr>
          <w:spacing w:val="-2"/>
        </w:rPr>
        <w:t xml:space="preserve">, </w:t>
      </w:r>
      <w:r w:rsidR="002A0DEA" w:rsidRPr="00BD177B">
        <w:rPr>
          <w:spacing w:val="-2"/>
        </w:rPr>
        <w:t>14 milijuna eura za Izravna plaćanja u poljoprivredi</w:t>
      </w:r>
      <w:r w:rsidR="00291D06" w:rsidRPr="00BD177B">
        <w:rPr>
          <w:spacing w:val="-2"/>
        </w:rPr>
        <w:t xml:space="preserve">, </w:t>
      </w:r>
      <w:r w:rsidR="002A0DEA" w:rsidRPr="00BD177B">
        <w:rPr>
          <w:spacing w:val="-2"/>
        </w:rPr>
        <w:t>4,9 milijuna eura za ZPP – Mjere uređenja tržišta poljoprivrednih proizvoda</w:t>
      </w:r>
      <w:r w:rsidR="00291D06" w:rsidRPr="00BD177B">
        <w:rPr>
          <w:spacing w:val="-2"/>
        </w:rPr>
        <w:t xml:space="preserve">, 3,8 </w:t>
      </w:r>
      <w:r w:rsidR="002A0DEA" w:rsidRPr="00BD177B">
        <w:rPr>
          <w:spacing w:val="-2"/>
        </w:rPr>
        <w:t>milijuna eura za</w:t>
      </w:r>
      <w:r w:rsidR="00291D06" w:rsidRPr="00BD177B">
        <w:rPr>
          <w:spacing w:val="-2"/>
        </w:rPr>
        <w:t xml:space="preserve"> ZPP – Mjere uređenja tržišta poljoprivrednih proizvoda Strateški plan 2023.–2027., 1,9 </w:t>
      </w:r>
      <w:r w:rsidR="002A0DEA" w:rsidRPr="00BD177B">
        <w:rPr>
          <w:spacing w:val="-2"/>
        </w:rPr>
        <w:t>milijuna eura za</w:t>
      </w:r>
      <w:r w:rsidR="00291D06" w:rsidRPr="00BD177B">
        <w:rPr>
          <w:spacing w:val="-2"/>
        </w:rPr>
        <w:t xml:space="preserve"> ZPP – Mjere uređenja tržišta poljoprivrednih proizvoda (tekuće pomoći), 964.794,18 </w:t>
      </w:r>
      <w:r w:rsidR="002A0DEA" w:rsidRPr="00BD177B">
        <w:rPr>
          <w:spacing w:val="-2"/>
        </w:rPr>
        <w:t>eura za</w:t>
      </w:r>
      <w:r w:rsidR="00291D06" w:rsidRPr="00BD177B">
        <w:rPr>
          <w:spacing w:val="-2"/>
        </w:rPr>
        <w:t xml:space="preserve"> ZPP – Izravna plaćanja poljoprivrednim proizvođačima, 906.940,63 </w:t>
      </w:r>
      <w:r w:rsidR="002A0DEA" w:rsidRPr="00BD177B">
        <w:rPr>
          <w:spacing w:val="-2"/>
        </w:rPr>
        <w:t>eura za</w:t>
      </w:r>
      <w:r w:rsidR="00291D06" w:rsidRPr="00BD177B">
        <w:rPr>
          <w:spacing w:val="-2"/>
        </w:rPr>
        <w:t xml:space="preserve"> ZPP – Izravna plaćanja poljoprivrednim proizvođačima Strateški plan 2023.–2027. (tekući prijenosi), 319.774,08 </w:t>
      </w:r>
      <w:r w:rsidR="002A0DEA" w:rsidRPr="00BD177B">
        <w:rPr>
          <w:spacing w:val="-2"/>
        </w:rPr>
        <w:t>eura za</w:t>
      </w:r>
      <w:r w:rsidR="00291D06" w:rsidRPr="00BD177B">
        <w:rPr>
          <w:spacing w:val="-2"/>
        </w:rPr>
        <w:t xml:space="preserve"> Izvanredna privremena potpora poljoprivrednicima i MSP-ovima koji su posebno pogođeni učincima invazije Rusije na Ukrajinu – Mjera 22, 141.642,24 </w:t>
      </w:r>
      <w:r w:rsidR="002A0DEA" w:rsidRPr="00BD177B">
        <w:rPr>
          <w:spacing w:val="-2"/>
        </w:rPr>
        <w:t>eura za</w:t>
      </w:r>
      <w:r w:rsidR="00291D06" w:rsidRPr="00BD177B">
        <w:rPr>
          <w:spacing w:val="-2"/>
        </w:rPr>
        <w:t xml:space="preserve"> Školski medni dan (tekuće pomoći), 113.068,75 </w:t>
      </w:r>
      <w:r w:rsidR="002A0DEA" w:rsidRPr="00BD177B">
        <w:rPr>
          <w:spacing w:val="-2"/>
        </w:rPr>
        <w:t>eura za</w:t>
      </w:r>
      <w:r w:rsidR="00291D06" w:rsidRPr="00BD177B">
        <w:rPr>
          <w:spacing w:val="-2"/>
        </w:rPr>
        <w:t xml:space="preserve"> ZPP – Izravna plaćanja poljoprivrednim proizvođačima Strateški plan 2023.–2027. (tekuće pomoći), 41.074,60 </w:t>
      </w:r>
      <w:r w:rsidR="002A0DEA" w:rsidRPr="00BD177B">
        <w:rPr>
          <w:spacing w:val="-2"/>
        </w:rPr>
        <w:t>eura za</w:t>
      </w:r>
      <w:r w:rsidR="00291D06" w:rsidRPr="00BD177B">
        <w:rPr>
          <w:spacing w:val="-2"/>
        </w:rPr>
        <w:t xml:space="preserve"> ZPP – Mjere uređenja tržišta poljoprivrednih proizvoda (tekući prijenosi), 40.110,74 </w:t>
      </w:r>
      <w:r w:rsidR="002A0DEA" w:rsidRPr="00BD177B">
        <w:rPr>
          <w:spacing w:val="-2"/>
        </w:rPr>
        <w:t>eura za</w:t>
      </w:r>
      <w:r w:rsidR="00291D06" w:rsidRPr="00BD177B">
        <w:rPr>
          <w:spacing w:val="-2"/>
        </w:rPr>
        <w:t xml:space="preserve"> Izvanredne mjere pomoći u poljoprivredi (tekući prijenosi), 31.697,53 </w:t>
      </w:r>
      <w:r w:rsidR="002A0DEA" w:rsidRPr="00BD177B">
        <w:rPr>
          <w:spacing w:val="-2"/>
        </w:rPr>
        <w:t>eura za</w:t>
      </w:r>
      <w:r w:rsidR="00291D06" w:rsidRPr="00BD177B">
        <w:rPr>
          <w:spacing w:val="-2"/>
        </w:rPr>
        <w:t xml:space="preserve"> Izravna plaćanja u poljoprivredi (tekući prijenosi), 26.765,78 eura za ZPP – Mjere uređenja tržišta poljoprivrednih proizvoda Strateški plan 2023.–2027. (tekući prijenosi), 13.409,65 eura za Operaciju 5.2.1 – Obnova poljoprivrednog zemljišta i proizvodnog potencijala 90-2103, 11.382,71 eura za ZPP – Mjere uređenja tržišta poljoprivrednih proizvoda (tekuće donacije), 6.911,74 eura za Izvanredn</w:t>
      </w:r>
      <w:r w:rsidR="001B60C0" w:rsidRPr="00BD177B">
        <w:rPr>
          <w:spacing w:val="-2"/>
        </w:rPr>
        <w:t>u</w:t>
      </w:r>
      <w:r w:rsidR="00291D06" w:rsidRPr="00BD177B">
        <w:rPr>
          <w:spacing w:val="-2"/>
        </w:rPr>
        <w:t xml:space="preserve"> privremen</w:t>
      </w:r>
      <w:r w:rsidR="001B60C0" w:rsidRPr="00BD177B">
        <w:rPr>
          <w:spacing w:val="-2"/>
        </w:rPr>
        <w:t>u</w:t>
      </w:r>
      <w:r w:rsidR="00291D06" w:rsidRPr="00BD177B">
        <w:rPr>
          <w:spacing w:val="-2"/>
        </w:rPr>
        <w:t xml:space="preserve"> potpora poljoprivrednicima, malim i srednjim poduzećima koji su pogođeni krizom uzrokovanom COVID-19 </w:t>
      </w:r>
      <w:r w:rsidR="001B60C0" w:rsidRPr="00BD177B">
        <w:rPr>
          <w:spacing w:val="-2"/>
        </w:rPr>
        <w:t>–</w:t>
      </w:r>
      <w:r w:rsidR="00291D06" w:rsidRPr="00BD177B">
        <w:rPr>
          <w:spacing w:val="-2"/>
        </w:rPr>
        <w:t xml:space="preserve"> Mj</w:t>
      </w:r>
      <w:r w:rsidR="001B60C0" w:rsidRPr="00BD177B">
        <w:rPr>
          <w:spacing w:val="-2"/>
        </w:rPr>
        <w:t xml:space="preserve">era 21, </w:t>
      </w:r>
      <w:r w:rsidR="00291D06" w:rsidRPr="00BD177B">
        <w:rPr>
          <w:spacing w:val="-2"/>
        </w:rPr>
        <w:t>4.597,61 eura za Izvanredne mjere pomoći u poljoprivredi (tekuće donacije)</w:t>
      </w:r>
      <w:r w:rsidR="001B60C0" w:rsidRPr="00BD177B">
        <w:rPr>
          <w:spacing w:val="-2"/>
        </w:rPr>
        <w:t xml:space="preserve">, </w:t>
      </w:r>
      <w:r w:rsidR="00291D06" w:rsidRPr="00BD177B">
        <w:rPr>
          <w:spacing w:val="-2"/>
        </w:rPr>
        <w:t>3.052,56 eura za Izravna plaćanja u poljoprivredi (tekuće pomoći)</w:t>
      </w:r>
      <w:r w:rsidR="001B60C0" w:rsidRPr="00BD177B">
        <w:rPr>
          <w:spacing w:val="-2"/>
        </w:rPr>
        <w:t xml:space="preserve">, </w:t>
      </w:r>
      <w:r w:rsidR="00291D06" w:rsidRPr="00BD177B">
        <w:rPr>
          <w:spacing w:val="-2"/>
        </w:rPr>
        <w:t>2.006,85 eura za Izvanredne mjere pomoći u poljoprivredi (tekuće pomoći)</w:t>
      </w:r>
      <w:r w:rsidR="001B60C0" w:rsidRPr="00BD177B">
        <w:rPr>
          <w:spacing w:val="-2"/>
        </w:rPr>
        <w:t xml:space="preserve"> te </w:t>
      </w:r>
      <w:r w:rsidR="00291D06" w:rsidRPr="00BD177B">
        <w:rPr>
          <w:spacing w:val="-2"/>
        </w:rPr>
        <w:t>1.340,00 eura za Školski medni dan</w:t>
      </w:r>
      <w:r w:rsidR="001B60C0" w:rsidRPr="00BD177B">
        <w:rPr>
          <w:spacing w:val="-2"/>
        </w:rPr>
        <w:t>.</w:t>
      </w:r>
    </w:p>
    <w:p w14:paraId="141C085B" w14:textId="77777777" w:rsidR="009D00A0" w:rsidRPr="00BD177B" w:rsidRDefault="009D00A0" w:rsidP="001B60C0"/>
    <w:p w14:paraId="10440577" w14:textId="13E89045" w:rsidR="009D00A0" w:rsidRPr="00BD177B" w:rsidRDefault="001B60C0" w:rsidP="009D00A0">
      <w:pPr>
        <w:jc w:val="both"/>
      </w:pPr>
      <w:r w:rsidRPr="00BD177B">
        <w:rPr>
          <w:u w:val="single"/>
        </w:rPr>
        <w:t xml:space="preserve">Poticaji </w:t>
      </w:r>
      <w:r w:rsidR="009D00A0" w:rsidRPr="00BD177B">
        <w:rPr>
          <w:u w:val="single"/>
        </w:rPr>
        <w:t>za ruralni odnosno regionalni razvoj</w:t>
      </w:r>
      <w:r w:rsidR="009D00A0" w:rsidRPr="00BD177B">
        <w:t xml:space="preserve"> </w:t>
      </w:r>
      <w:r w:rsidRPr="00BD177B">
        <w:t xml:space="preserve">u iznosu od 322 milijuna eura, </w:t>
      </w:r>
      <w:r w:rsidR="009D00A0" w:rsidRPr="00BD177B">
        <w:t>dodijeljen</w:t>
      </w:r>
      <w:r w:rsidRPr="00BD177B">
        <w:t>i</w:t>
      </w:r>
      <w:r w:rsidR="009D00A0" w:rsidRPr="00BD177B">
        <w:t xml:space="preserve"> su najvećim dijelom putem subvencija u iznosu od </w:t>
      </w:r>
      <w:r w:rsidRPr="00BD177B">
        <w:t>181,1</w:t>
      </w:r>
      <w:r w:rsidR="009D00A0" w:rsidRPr="00BD177B">
        <w:t xml:space="preserve"> milijun eura ili </w:t>
      </w:r>
      <w:r w:rsidRPr="00BD177B">
        <w:t>56,2</w:t>
      </w:r>
      <w:r w:rsidR="009D00A0" w:rsidRPr="00BD177B">
        <w:t xml:space="preserve"> posto u navedenim </w:t>
      </w:r>
      <w:r w:rsidRPr="00BD177B">
        <w:lastRenderedPageBreak/>
        <w:t>poticajima</w:t>
      </w:r>
      <w:r w:rsidR="009D00A0" w:rsidRPr="00BD177B">
        <w:t xml:space="preserve">, </w:t>
      </w:r>
      <w:r w:rsidRPr="00BD177B">
        <w:t xml:space="preserve">slijede </w:t>
      </w:r>
      <w:r w:rsidR="009D00A0" w:rsidRPr="00BD177B">
        <w:t xml:space="preserve">kapitalna ulaganja </w:t>
      </w:r>
      <w:r w:rsidRPr="00BD177B">
        <w:t>sa</w:t>
      </w:r>
      <w:r w:rsidR="009D00A0" w:rsidRPr="00BD177B">
        <w:t xml:space="preserve"> </w:t>
      </w:r>
      <w:r w:rsidRPr="00BD177B">
        <w:t xml:space="preserve">134,2 </w:t>
      </w:r>
      <w:r w:rsidR="009D00A0" w:rsidRPr="00BD177B">
        <w:t xml:space="preserve">milijuna eura ili </w:t>
      </w:r>
      <w:r w:rsidRPr="00BD177B">
        <w:t xml:space="preserve">41,7 </w:t>
      </w:r>
      <w:r w:rsidR="009D00A0" w:rsidRPr="00BD177B">
        <w:t>posto te povoljn</w:t>
      </w:r>
      <w:r w:rsidRPr="00BD177B">
        <w:t>i</w:t>
      </w:r>
      <w:r w:rsidR="009D00A0" w:rsidRPr="00BD177B">
        <w:t xml:space="preserve"> zajmov</w:t>
      </w:r>
      <w:r w:rsidRPr="00BD177B">
        <w:t>i</w:t>
      </w:r>
      <w:r w:rsidR="009D00A0" w:rsidRPr="00BD177B">
        <w:t xml:space="preserve"> </w:t>
      </w:r>
      <w:r w:rsidRPr="00BD177B">
        <w:t>sa</w:t>
      </w:r>
      <w:r w:rsidR="009D00A0" w:rsidRPr="00BD177B">
        <w:t xml:space="preserve"> </w:t>
      </w:r>
      <w:r w:rsidRPr="00BD177B">
        <w:t xml:space="preserve">6,7 </w:t>
      </w:r>
      <w:r w:rsidR="009D00A0" w:rsidRPr="00BD177B">
        <w:t xml:space="preserve">milijun eura ili </w:t>
      </w:r>
      <w:r w:rsidRPr="00BD177B">
        <w:t>2,1</w:t>
      </w:r>
      <w:r w:rsidR="009D00A0" w:rsidRPr="00BD177B">
        <w:t xml:space="preserve"> posto.</w:t>
      </w:r>
    </w:p>
    <w:p w14:paraId="5BF3701F" w14:textId="77777777" w:rsidR="001B60C0" w:rsidRPr="00BD177B" w:rsidRDefault="001B60C0" w:rsidP="009D00A0">
      <w:pPr>
        <w:jc w:val="both"/>
      </w:pPr>
    </w:p>
    <w:p w14:paraId="0392FD65" w14:textId="2F5B7646" w:rsidR="004E6D9B" w:rsidRPr="00BD177B" w:rsidRDefault="001B60C0" w:rsidP="004E6D9B">
      <w:pPr>
        <w:jc w:val="both"/>
        <w:rPr>
          <w:spacing w:val="-2"/>
        </w:rPr>
      </w:pPr>
      <w:r w:rsidRPr="00BD177B">
        <w:rPr>
          <w:spacing w:val="-2"/>
        </w:rPr>
        <w:t xml:space="preserve">Poticaji </w:t>
      </w:r>
      <w:r w:rsidR="009D00A0" w:rsidRPr="00BD177B">
        <w:rPr>
          <w:spacing w:val="-2"/>
        </w:rPr>
        <w:t>dodijeljen</w:t>
      </w:r>
      <w:r w:rsidRPr="00BD177B">
        <w:rPr>
          <w:spacing w:val="-2"/>
        </w:rPr>
        <w:t>i</w:t>
      </w:r>
      <w:r w:rsidR="009D00A0" w:rsidRPr="00BD177B">
        <w:rPr>
          <w:spacing w:val="-2"/>
        </w:rPr>
        <w:t xml:space="preserve"> za ruralni odnosno regionalni</w:t>
      </w:r>
      <w:r w:rsidR="009D00A0" w:rsidRPr="00BD177B">
        <w:rPr>
          <w:b/>
          <w:spacing w:val="-2"/>
        </w:rPr>
        <w:t xml:space="preserve"> </w:t>
      </w:r>
      <w:r w:rsidR="009D00A0" w:rsidRPr="00BD177B">
        <w:rPr>
          <w:spacing w:val="-2"/>
        </w:rPr>
        <w:t xml:space="preserve">razvoj odnose se na sljedeće programe i ciljeve, prikazane po visini iznosa dodjele: </w:t>
      </w:r>
      <w:r w:rsidRPr="00BD177B">
        <w:rPr>
          <w:spacing w:val="-2"/>
        </w:rPr>
        <w:t>62,6</w:t>
      </w:r>
      <w:r w:rsidR="003A13FA" w:rsidRPr="00BD177B">
        <w:rPr>
          <w:spacing w:val="-2"/>
        </w:rPr>
        <w:t xml:space="preserve"> milijuna eura</w:t>
      </w:r>
      <w:r w:rsidR="004E6D9B" w:rsidRPr="00BD177B">
        <w:rPr>
          <w:spacing w:val="-2"/>
        </w:rPr>
        <w:t xml:space="preserve"> </w:t>
      </w:r>
      <w:r w:rsidRPr="00BD177B">
        <w:rPr>
          <w:spacing w:val="-2"/>
        </w:rPr>
        <w:t xml:space="preserve">ZPP </w:t>
      </w:r>
      <w:r w:rsidR="004E6D9B" w:rsidRPr="00BD177B">
        <w:rPr>
          <w:spacing w:val="-2"/>
        </w:rPr>
        <w:t>–</w:t>
      </w:r>
      <w:r w:rsidRPr="00BD177B">
        <w:rPr>
          <w:spacing w:val="-2"/>
        </w:rPr>
        <w:t xml:space="preserve"> </w:t>
      </w:r>
      <w:r w:rsidR="004E6D9B" w:rsidRPr="00BD177B">
        <w:rPr>
          <w:spacing w:val="-2"/>
        </w:rPr>
        <w:t xml:space="preserve">Mjere </w:t>
      </w:r>
      <w:r w:rsidRPr="00BD177B">
        <w:rPr>
          <w:spacing w:val="-2"/>
        </w:rPr>
        <w:t xml:space="preserve">ruralnog razvoja </w:t>
      </w:r>
      <w:r w:rsidR="004E6D9B" w:rsidRPr="00BD177B">
        <w:rPr>
          <w:spacing w:val="-2"/>
        </w:rPr>
        <w:t>–</w:t>
      </w:r>
      <w:r w:rsidRPr="00BD177B">
        <w:rPr>
          <w:spacing w:val="-2"/>
        </w:rPr>
        <w:t xml:space="preserve"> Mjera</w:t>
      </w:r>
      <w:r w:rsidR="004E6D9B" w:rsidRPr="00BD177B">
        <w:rPr>
          <w:spacing w:val="-2"/>
        </w:rPr>
        <w:t xml:space="preserve"> </w:t>
      </w:r>
      <w:r w:rsidRPr="00BD177B">
        <w:rPr>
          <w:spacing w:val="-2"/>
        </w:rPr>
        <w:t>4 (kapitalne pomoći</w:t>
      </w:r>
      <w:r w:rsidR="003A13FA" w:rsidRPr="00BD177B">
        <w:rPr>
          <w:spacing w:val="-2"/>
        </w:rPr>
        <w:t>)</w:t>
      </w:r>
      <w:r w:rsidR="004E6D9B" w:rsidRPr="00BD177B">
        <w:rPr>
          <w:spacing w:val="-2"/>
        </w:rPr>
        <w:t xml:space="preserve">, </w:t>
      </w:r>
      <w:r w:rsidRPr="00BD177B">
        <w:rPr>
          <w:spacing w:val="-2"/>
        </w:rPr>
        <w:t>47,7</w:t>
      </w:r>
      <w:r w:rsidR="003A13FA" w:rsidRPr="00BD177B">
        <w:rPr>
          <w:spacing w:val="-2"/>
        </w:rPr>
        <w:t xml:space="preserve"> milijuna eura</w:t>
      </w:r>
      <w:r w:rsidR="004E6D9B" w:rsidRPr="00BD177B">
        <w:rPr>
          <w:spacing w:val="-2"/>
        </w:rPr>
        <w:t xml:space="preserve"> </w:t>
      </w:r>
      <w:r w:rsidRPr="00BD177B">
        <w:rPr>
          <w:spacing w:val="-2"/>
        </w:rPr>
        <w:t xml:space="preserve">M 71.01 Plaćanja za područja s prirodnim i ostalim ograničenjima </w:t>
      </w:r>
      <w:r w:rsidR="004E6D9B" w:rsidRPr="00BD177B">
        <w:rPr>
          <w:spacing w:val="-2"/>
        </w:rPr>
        <w:t>Strateški plan 2023.–2027.</w:t>
      </w:r>
      <w:r w:rsidRPr="00BD177B">
        <w:rPr>
          <w:spacing w:val="-2"/>
        </w:rPr>
        <w:t xml:space="preserve"> </w:t>
      </w:r>
      <w:r w:rsidR="003A13FA" w:rsidRPr="00BD177B">
        <w:rPr>
          <w:spacing w:val="-2"/>
        </w:rPr>
        <w:t>(subvencije)</w:t>
      </w:r>
      <w:r w:rsidR="004E6D9B" w:rsidRPr="00BD177B">
        <w:rPr>
          <w:spacing w:val="-2"/>
        </w:rPr>
        <w:t>,</w:t>
      </w:r>
      <w:r w:rsidR="000346DD" w:rsidRPr="00BD177B">
        <w:rPr>
          <w:spacing w:val="-2"/>
        </w:rPr>
        <w:t xml:space="preserve"> </w:t>
      </w:r>
      <w:r w:rsidRPr="00BD177B">
        <w:rPr>
          <w:spacing w:val="-2"/>
        </w:rPr>
        <w:t>34,1</w:t>
      </w:r>
      <w:r w:rsidR="000346DD" w:rsidRPr="00BD177B">
        <w:rPr>
          <w:spacing w:val="-2"/>
        </w:rPr>
        <w:t xml:space="preserve"> milijun</w:t>
      </w:r>
      <w:r w:rsidR="003A13FA" w:rsidRPr="00BD177B">
        <w:rPr>
          <w:spacing w:val="-2"/>
        </w:rPr>
        <w:t xml:space="preserve"> eura</w:t>
      </w:r>
      <w:r w:rsidR="004E6D9B" w:rsidRPr="00BD177B">
        <w:rPr>
          <w:spacing w:val="-2"/>
        </w:rPr>
        <w:t xml:space="preserve"> </w:t>
      </w:r>
      <w:r w:rsidRPr="00BD177B">
        <w:rPr>
          <w:spacing w:val="-2"/>
        </w:rPr>
        <w:t xml:space="preserve">M 70.06 Plaćanja za dobrobit životinja </w:t>
      </w:r>
      <w:r w:rsidR="004E6D9B" w:rsidRPr="00BD177B">
        <w:rPr>
          <w:spacing w:val="-2"/>
        </w:rPr>
        <w:t xml:space="preserve">Strateški plan 2023.–2027. </w:t>
      </w:r>
      <w:r w:rsidR="003A13FA" w:rsidRPr="00BD177B">
        <w:rPr>
          <w:spacing w:val="-2"/>
        </w:rPr>
        <w:t>(subvencije)</w:t>
      </w:r>
      <w:r w:rsidR="004E6D9B" w:rsidRPr="00BD177B">
        <w:rPr>
          <w:spacing w:val="-2"/>
        </w:rPr>
        <w:t xml:space="preserve">, </w:t>
      </w:r>
      <w:r w:rsidRPr="00BD177B">
        <w:rPr>
          <w:spacing w:val="-2"/>
        </w:rPr>
        <w:t>26,6</w:t>
      </w:r>
      <w:r w:rsidR="003A13FA" w:rsidRPr="00BD177B">
        <w:rPr>
          <w:spacing w:val="-2"/>
        </w:rPr>
        <w:t xml:space="preserve"> milijuna eura</w:t>
      </w:r>
      <w:r w:rsidR="004E6D9B" w:rsidRPr="00BD177B">
        <w:rPr>
          <w:spacing w:val="-2"/>
        </w:rPr>
        <w:t xml:space="preserve"> </w:t>
      </w:r>
      <w:r w:rsidRPr="00BD177B">
        <w:rPr>
          <w:spacing w:val="-2"/>
        </w:rPr>
        <w:t xml:space="preserve">M 70.04 Ekološki uzgoj </w:t>
      </w:r>
      <w:r w:rsidR="004E6D9B" w:rsidRPr="00BD177B">
        <w:rPr>
          <w:spacing w:val="-2"/>
        </w:rPr>
        <w:t xml:space="preserve">Strateški plan 2023.–2027. </w:t>
      </w:r>
      <w:r w:rsidR="003A13FA" w:rsidRPr="00BD177B">
        <w:rPr>
          <w:spacing w:val="-2"/>
        </w:rPr>
        <w:t>(subvencije)</w:t>
      </w:r>
      <w:r w:rsidR="004E6D9B" w:rsidRPr="00BD177B">
        <w:rPr>
          <w:spacing w:val="-2"/>
        </w:rPr>
        <w:t xml:space="preserve">, </w:t>
      </w:r>
      <w:r w:rsidRPr="00BD177B">
        <w:rPr>
          <w:spacing w:val="-2"/>
        </w:rPr>
        <w:t>23,1</w:t>
      </w:r>
      <w:r w:rsidR="003A13FA" w:rsidRPr="00BD177B">
        <w:rPr>
          <w:spacing w:val="-2"/>
        </w:rPr>
        <w:t xml:space="preserve"> milijun eura</w:t>
      </w:r>
      <w:r w:rsidR="004E6D9B" w:rsidRPr="00BD177B">
        <w:rPr>
          <w:spacing w:val="-2"/>
        </w:rPr>
        <w:t xml:space="preserve"> </w:t>
      </w:r>
      <w:r w:rsidRPr="00BD177B">
        <w:rPr>
          <w:spacing w:val="-2"/>
        </w:rPr>
        <w:t xml:space="preserve">M 76.01 Osiguranje poljoprivredne proizvodnje </w:t>
      </w:r>
      <w:r w:rsidR="004E6D9B" w:rsidRPr="00BD177B">
        <w:rPr>
          <w:spacing w:val="-2"/>
        </w:rPr>
        <w:t xml:space="preserve">Strateški plan 2023.–2027. </w:t>
      </w:r>
      <w:r w:rsidR="003A13FA" w:rsidRPr="00BD177B">
        <w:rPr>
          <w:spacing w:val="-2"/>
        </w:rPr>
        <w:t>(subvencije)</w:t>
      </w:r>
      <w:r w:rsidR="004E6D9B" w:rsidRPr="00BD177B">
        <w:rPr>
          <w:spacing w:val="-2"/>
        </w:rPr>
        <w:t xml:space="preserve">, </w:t>
      </w:r>
      <w:r w:rsidR="003A13FA" w:rsidRPr="00BD177B">
        <w:rPr>
          <w:spacing w:val="-2"/>
        </w:rPr>
        <w:t>18 milijuna eura</w:t>
      </w:r>
      <w:r w:rsidR="004E6D9B" w:rsidRPr="00BD177B">
        <w:rPr>
          <w:spacing w:val="-2"/>
        </w:rPr>
        <w:t xml:space="preserve"> </w:t>
      </w:r>
      <w:r w:rsidR="003A13FA" w:rsidRPr="00BD177B">
        <w:rPr>
          <w:spacing w:val="-2"/>
        </w:rPr>
        <w:t xml:space="preserve">ZPP </w:t>
      </w:r>
      <w:r w:rsidR="000346DD" w:rsidRPr="00BD177B">
        <w:rPr>
          <w:spacing w:val="-2"/>
        </w:rPr>
        <w:t xml:space="preserve">– Mjere </w:t>
      </w:r>
      <w:r w:rsidR="003A13FA" w:rsidRPr="00BD177B">
        <w:rPr>
          <w:spacing w:val="-2"/>
        </w:rPr>
        <w:t xml:space="preserve">ruralnog razvoja </w:t>
      </w:r>
      <w:r w:rsidR="000346DD" w:rsidRPr="00BD177B">
        <w:rPr>
          <w:spacing w:val="-2"/>
        </w:rPr>
        <w:t>–</w:t>
      </w:r>
      <w:r w:rsidR="003A13FA" w:rsidRPr="00BD177B">
        <w:rPr>
          <w:spacing w:val="-2"/>
        </w:rPr>
        <w:t xml:space="preserve"> Mjera</w:t>
      </w:r>
      <w:r w:rsidR="000346DD" w:rsidRPr="00BD177B">
        <w:rPr>
          <w:spacing w:val="-2"/>
        </w:rPr>
        <w:t xml:space="preserve"> </w:t>
      </w:r>
      <w:r w:rsidR="003A13FA" w:rsidRPr="00BD177B">
        <w:rPr>
          <w:spacing w:val="-2"/>
        </w:rPr>
        <w:t>7 (kapitalne pomoći)</w:t>
      </w:r>
      <w:r w:rsidR="004E6D9B" w:rsidRPr="00BD177B">
        <w:rPr>
          <w:spacing w:val="-2"/>
        </w:rPr>
        <w:t xml:space="preserve">, </w:t>
      </w:r>
      <w:r w:rsidR="003A13FA" w:rsidRPr="00BD177B">
        <w:rPr>
          <w:spacing w:val="-2"/>
        </w:rPr>
        <w:t>15,8 milijuna eura</w:t>
      </w:r>
      <w:r w:rsidR="004E6D9B" w:rsidRPr="00BD177B">
        <w:rPr>
          <w:spacing w:val="-2"/>
        </w:rPr>
        <w:t xml:space="preserve"> </w:t>
      </w:r>
      <w:r w:rsidR="003A13FA" w:rsidRPr="00BD177B">
        <w:rPr>
          <w:spacing w:val="-2"/>
        </w:rPr>
        <w:t xml:space="preserve">ZPP </w:t>
      </w:r>
      <w:r w:rsidR="00AA0803" w:rsidRPr="00BD177B">
        <w:rPr>
          <w:spacing w:val="-2"/>
        </w:rPr>
        <w:t xml:space="preserve">– Mjere </w:t>
      </w:r>
      <w:r w:rsidR="003A13FA" w:rsidRPr="00BD177B">
        <w:rPr>
          <w:spacing w:val="-2"/>
        </w:rPr>
        <w:t xml:space="preserve">ruralnog razvoja </w:t>
      </w:r>
      <w:r w:rsidR="00AA0803" w:rsidRPr="00BD177B">
        <w:rPr>
          <w:spacing w:val="-2"/>
        </w:rPr>
        <w:t>–</w:t>
      </w:r>
      <w:r w:rsidR="003A13FA" w:rsidRPr="00BD177B">
        <w:rPr>
          <w:spacing w:val="-2"/>
        </w:rPr>
        <w:t xml:space="preserve"> Mjera 8 (kapitalne pomoći)</w:t>
      </w:r>
      <w:r w:rsidR="004E6D9B" w:rsidRPr="00BD177B">
        <w:rPr>
          <w:spacing w:val="-2"/>
        </w:rPr>
        <w:t xml:space="preserve">, </w:t>
      </w:r>
      <w:r w:rsidR="003A13FA" w:rsidRPr="00BD177B">
        <w:rPr>
          <w:spacing w:val="-2"/>
        </w:rPr>
        <w:t>11,6 milijuna eura</w:t>
      </w:r>
      <w:r w:rsidR="004E6D9B" w:rsidRPr="00BD177B">
        <w:rPr>
          <w:spacing w:val="-2"/>
        </w:rPr>
        <w:t xml:space="preserve"> </w:t>
      </w:r>
      <w:r w:rsidR="003A13FA" w:rsidRPr="00BD177B">
        <w:rPr>
          <w:spacing w:val="-2"/>
        </w:rPr>
        <w:t xml:space="preserve">ZPP </w:t>
      </w:r>
      <w:r w:rsidR="00AA0803" w:rsidRPr="00BD177B">
        <w:rPr>
          <w:spacing w:val="-2"/>
        </w:rPr>
        <w:t>–</w:t>
      </w:r>
      <w:r w:rsidR="003A13FA" w:rsidRPr="00BD177B">
        <w:rPr>
          <w:spacing w:val="-2"/>
        </w:rPr>
        <w:t xml:space="preserve"> M</w:t>
      </w:r>
      <w:r w:rsidR="00AA0803" w:rsidRPr="00BD177B">
        <w:rPr>
          <w:spacing w:val="-2"/>
        </w:rPr>
        <w:t xml:space="preserve"> </w:t>
      </w:r>
      <w:r w:rsidR="003A13FA" w:rsidRPr="00BD177B">
        <w:rPr>
          <w:spacing w:val="-2"/>
        </w:rPr>
        <w:t>10, Instrument Europske unije za oporavak (EURI) (subvencije)</w:t>
      </w:r>
      <w:r w:rsidR="004E6D9B" w:rsidRPr="00BD177B">
        <w:rPr>
          <w:spacing w:val="-2"/>
        </w:rPr>
        <w:t xml:space="preserve">, </w:t>
      </w:r>
      <w:r w:rsidR="003A13FA" w:rsidRPr="00BD177B">
        <w:rPr>
          <w:spacing w:val="-2"/>
        </w:rPr>
        <w:t>9,8 milijuna eura</w:t>
      </w:r>
      <w:r w:rsidR="004E6D9B" w:rsidRPr="00BD177B">
        <w:rPr>
          <w:spacing w:val="-2"/>
        </w:rPr>
        <w:t xml:space="preserve"> </w:t>
      </w:r>
      <w:r w:rsidR="003A13FA" w:rsidRPr="00BD177B">
        <w:rPr>
          <w:spacing w:val="-2"/>
        </w:rPr>
        <w:t xml:space="preserve">ZPP </w:t>
      </w:r>
      <w:r w:rsidR="00AA0803" w:rsidRPr="00BD177B">
        <w:rPr>
          <w:spacing w:val="-2"/>
        </w:rPr>
        <w:t xml:space="preserve">– Mjere </w:t>
      </w:r>
      <w:r w:rsidR="003A13FA" w:rsidRPr="00BD177B">
        <w:rPr>
          <w:spacing w:val="-2"/>
        </w:rPr>
        <w:t xml:space="preserve">ruralnog razvoja </w:t>
      </w:r>
      <w:r w:rsidR="00AA0803" w:rsidRPr="00BD177B">
        <w:rPr>
          <w:spacing w:val="-2"/>
        </w:rPr>
        <w:t xml:space="preserve">– Mjera </w:t>
      </w:r>
      <w:r w:rsidR="003A13FA" w:rsidRPr="00BD177B">
        <w:rPr>
          <w:spacing w:val="-2"/>
        </w:rPr>
        <w:t>19 (kapitalne pomoći)</w:t>
      </w:r>
      <w:r w:rsidR="004E6D9B" w:rsidRPr="00BD177B">
        <w:rPr>
          <w:spacing w:val="-2"/>
        </w:rPr>
        <w:t xml:space="preserve">, </w:t>
      </w:r>
      <w:r w:rsidR="003A13FA" w:rsidRPr="00BD177B">
        <w:rPr>
          <w:spacing w:val="-2"/>
        </w:rPr>
        <w:t>8,5 milijuna eura</w:t>
      </w:r>
      <w:r w:rsidR="004E6D9B" w:rsidRPr="00BD177B">
        <w:rPr>
          <w:spacing w:val="-2"/>
        </w:rPr>
        <w:t xml:space="preserve"> </w:t>
      </w:r>
      <w:r w:rsidR="003A13FA" w:rsidRPr="00BD177B">
        <w:rPr>
          <w:spacing w:val="-2"/>
        </w:rPr>
        <w:t xml:space="preserve">ZPP </w:t>
      </w:r>
      <w:r w:rsidR="00AA0803" w:rsidRPr="00BD177B">
        <w:rPr>
          <w:spacing w:val="-2"/>
        </w:rPr>
        <w:t>–</w:t>
      </w:r>
      <w:r w:rsidR="003A13FA" w:rsidRPr="00BD177B">
        <w:rPr>
          <w:spacing w:val="-2"/>
        </w:rPr>
        <w:t xml:space="preserve"> M</w:t>
      </w:r>
      <w:r w:rsidR="00AA0803" w:rsidRPr="00BD177B">
        <w:rPr>
          <w:spacing w:val="-2"/>
        </w:rPr>
        <w:t xml:space="preserve"> </w:t>
      </w:r>
      <w:r w:rsidR="003A13FA" w:rsidRPr="00BD177B">
        <w:rPr>
          <w:spacing w:val="-2"/>
        </w:rPr>
        <w:t>4, Instrument Europske unije za oporavak (EURI) (kapitalne pomoći)</w:t>
      </w:r>
      <w:r w:rsidR="004E6D9B" w:rsidRPr="00BD177B">
        <w:rPr>
          <w:spacing w:val="-2"/>
        </w:rPr>
        <w:t xml:space="preserve">, </w:t>
      </w:r>
      <w:r w:rsidR="003A13FA" w:rsidRPr="00BD177B">
        <w:rPr>
          <w:spacing w:val="-2"/>
        </w:rPr>
        <w:t>7,6 milijuna eura</w:t>
      </w:r>
      <w:r w:rsidR="004E6D9B" w:rsidRPr="00BD177B">
        <w:rPr>
          <w:spacing w:val="-2"/>
        </w:rPr>
        <w:t xml:space="preserve"> </w:t>
      </w:r>
      <w:r w:rsidR="00AA0803" w:rsidRPr="00BD177B">
        <w:rPr>
          <w:spacing w:val="-2"/>
        </w:rPr>
        <w:t xml:space="preserve">M 70.03 </w:t>
      </w:r>
      <w:r w:rsidR="003A13FA" w:rsidRPr="00BD177B">
        <w:rPr>
          <w:spacing w:val="-2"/>
        </w:rPr>
        <w:t xml:space="preserve">Očuvanje ugroženih izvornih pasmina domaćih životinja </w:t>
      </w:r>
      <w:r w:rsidR="001759C5" w:rsidRPr="00BD177B">
        <w:rPr>
          <w:spacing w:val="-2"/>
        </w:rPr>
        <w:t xml:space="preserve">Strateški plan 2023.–2027. </w:t>
      </w:r>
      <w:r w:rsidR="003A13FA" w:rsidRPr="00BD177B">
        <w:rPr>
          <w:spacing w:val="-2"/>
        </w:rPr>
        <w:t>(subvencije)</w:t>
      </w:r>
      <w:r w:rsidR="004E6D9B" w:rsidRPr="00BD177B">
        <w:rPr>
          <w:spacing w:val="-2"/>
        </w:rPr>
        <w:t xml:space="preserve">, </w:t>
      </w:r>
      <w:r w:rsidR="003A13FA" w:rsidRPr="00BD177B">
        <w:rPr>
          <w:spacing w:val="-2"/>
        </w:rPr>
        <w:t>6,7 milijuna eura</w:t>
      </w:r>
      <w:r w:rsidR="004E6D9B" w:rsidRPr="00BD177B">
        <w:rPr>
          <w:spacing w:val="-2"/>
        </w:rPr>
        <w:t xml:space="preserve"> </w:t>
      </w:r>
      <w:r w:rsidR="003A13FA" w:rsidRPr="00BD177B">
        <w:rPr>
          <w:spacing w:val="-2"/>
        </w:rPr>
        <w:t xml:space="preserve">ZPP </w:t>
      </w:r>
      <w:r w:rsidR="00AA0803" w:rsidRPr="00BD177B">
        <w:rPr>
          <w:spacing w:val="-2"/>
        </w:rPr>
        <w:t xml:space="preserve">– Mjere </w:t>
      </w:r>
      <w:r w:rsidR="003A13FA" w:rsidRPr="00BD177B">
        <w:rPr>
          <w:spacing w:val="-2"/>
        </w:rPr>
        <w:t xml:space="preserve">ruralnog razvoja </w:t>
      </w:r>
      <w:r w:rsidR="00AA0803" w:rsidRPr="00BD177B">
        <w:rPr>
          <w:spacing w:val="-2"/>
        </w:rPr>
        <w:t xml:space="preserve">– Mjera </w:t>
      </w:r>
      <w:r w:rsidR="003A13FA" w:rsidRPr="00BD177B">
        <w:rPr>
          <w:spacing w:val="-2"/>
        </w:rPr>
        <w:t>6 (kapitalne pomoći)</w:t>
      </w:r>
      <w:r w:rsidR="004E6D9B" w:rsidRPr="00BD177B">
        <w:rPr>
          <w:spacing w:val="-2"/>
        </w:rPr>
        <w:t xml:space="preserve">, </w:t>
      </w:r>
      <w:r w:rsidR="001F26A4" w:rsidRPr="00BD177B">
        <w:rPr>
          <w:spacing w:val="-2"/>
        </w:rPr>
        <w:t>6 milijuna eura</w:t>
      </w:r>
      <w:r w:rsidR="004E6D9B" w:rsidRPr="00BD177B">
        <w:rPr>
          <w:spacing w:val="-2"/>
        </w:rPr>
        <w:t xml:space="preserve"> </w:t>
      </w:r>
      <w:r w:rsidR="001F26A4" w:rsidRPr="00BD177B">
        <w:rPr>
          <w:spacing w:val="-2"/>
        </w:rPr>
        <w:t xml:space="preserve">M 77.06 Suradnja – Potpora LEADER (CLLD) pristupu </w:t>
      </w:r>
      <w:r w:rsidR="001759C5" w:rsidRPr="00BD177B">
        <w:rPr>
          <w:spacing w:val="-2"/>
        </w:rPr>
        <w:t xml:space="preserve">Strateški plan 2023.–2027. </w:t>
      </w:r>
      <w:r w:rsidR="001F26A4" w:rsidRPr="00BD177B">
        <w:rPr>
          <w:spacing w:val="-2"/>
        </w:rPr>
        <w:t>(tekuće donacije)</w:t>
      </w:r>
      <w:r w:rsidR="004E6D9B" w:rsidRPr="00BD177B">
        <w:rPr>
          <w:spacing w:val="-2"/>
        </w:rPr>
        <w:t xml:space="preserve">, </w:t>
      </w:r>
      <w:r w:rsidR="001F26A4" w:rsidRPr="00BD177B">
        <w:rPr>
          <w:spacing w:val="-2"/>
        </w:rPr>
        <w:t>5 milijuna eura</w:t>
      </w:r>
      <w:r w:rsidR="004E6D9B" w:rsidRPr="00BD177B">
        <w:rPr>
          <w:spacing w:val="-2"/>
        </w:rPr>
        <w:t xml:space="preserve"> </w:t>
      </w:r>
      <w:r w:rsidR="001F26A4" w:rsidRPr="00BD177B">
        <w:rPr>
          <w:spacing w:val="-2"/>
        </w:rPr>
        <w:t>M 70.01 Smanjenje korištenja zaštitnih sredstava u višegodišnjim nasadima SP 2023.-2027. (subvencije)</w:t>
      </w:r>
      <w:r w:rsidR="004E6D9B" w:rsidRPr="00BD177B">
        <w:rPr>
          <w:spacing w:val="-2"/>
        </w:rPr>
        <w:t xml:space="preserve">, </w:t>
      </w:r>
      <w:r w:rsidR="001F26A4" w:rsidRPr="00BD177B">
        <w:rPr>
          <w:spacing w:val="-2"/>
        </w:rPr>
        <w:t>4,9 milijuna eura</w:t>
      </w:r>
      <w:r w:rsidR="004E6D9B" w:rsidRPr="00BD177B">
        <w:rPr>
          <w:spacing w:val="-2"/>
        </w:rPr>
        <w:t xml:space="preserve"> </w:t>
      </w:r>
      <w:r w:rsidR="001F26A4" w:rsidRPr="00BD177B">
        <w:rPr>
          <w:spacing w:val="-2"/>
        </w:rPr>
        <w:t xml:space="preserve">ZPP </w:t>
      </w:r>
      <w:r w:rsidR="00AA0803" w:rsidRPr="00BD177B">
        <w:rPr>
          <w:spacing w:val="-2"/>
        </w:rPr>
        <w:t>–</w:t>
      </w:r>
      <w:r w:rsidR="001F26A4" w:rsidRPr="00BD177B">
        <w:rPr>
          <w:spacing w:val="-2"/>
        </w:rPr>
        <w:t xml:space="preserve"> M</w:t>
      </w:r>
      <w:r w:rsidR="00AA0803" w:rsidRPr="00BD177B">
        <w:rPr>
          <w:spacing w:val="-2"/>
        </w:rPr>
        <w:t xml:space="preserve"> </w:t>
      </w:r>
      <w:r w:rsidR="001F26A4" w:rsidRPr="00BD177B">
        <w:rPr>
          <w:spacing w:val="-2"/>
        </w:rPr>
        <w:t>6, Instrument Europske unije za oporavak (EURI) (kapitalne pomoći)</w:t>
      </w:r>
      <w:r w:rsidR="004E6D9B" w:rsidRPr="00BD177B">
        <w:rPr>
          <w:spacing w:val="-2"/>
        </w:rPr>
        <w:t xml:space="preserve">, </w:t>
      </w:r>
      <w:r w:rsidR="001F26A4" w:rsidRPr="00BD177B">
        <w:rPr>
          <w:spacing w:val="-2"/>
        </w:rPr>
        <w:t>4,7 milijuna eura</w:t>
      </w:r>
      <w:r w:rsidR="004E6D9B" w:rsidRPr="00BD177B">
        <w:rPr>
          <w:spacing w:val="-2"/>
        </w:rPr>
        <w:t xml:space="preserve"> </w:t>
      </w:r>
      <w:r w:rsidR="001F26A4" w:rsidRPr="00BD177B">
        <w:rPr>
          <w:spacing w:val="-2"/>
        </w:rPr>
        <w:t>M 73.10 Ulaganja – Potpora za ulaganja u primarnu poljoprivrednu proizvod</w:t>
      </w:r>
      <w:r w:rsidR="004E6D9B" w:rsidRPr="00BD177B">
        <w:rPr>
          <w:spacing w:val="-2"/>
        </w:rPr>
        <w:t xml:space="preserve">nju </w:t>
      </w:r>
      <w:r w:rsidR="001759C5" w:rsidRPr="00BD177B">
        <w:rPr>
          <w:spacing w:val="-2"/>
        </w:rPr>
        <w:t xml:space="preserve">Strateški plan 2023.–2027. </w:t>
      </w:r>
      <w:r w:rsidR="004E6D9B" w:rsidRPr="00BD177B">
        <w:rPr>
          <w:spacing w:val="-2"/>
        </w:rPr>
        <w:t xml:space="preserve">FI (zajmovi), </w:t>
      </w:r>
      <w:r w:rsidR="001F26A4" w:rsidRPr="00BD177B">
        <w:rPr>
          <w:spacing w:val="-2"/>
        </w:rPr>
        <w:t>4,6 milijuna eura</w:t>
      </w:r>
      <w:r w:rsidR="004E6D9B" w:rsidRPr="00BD177B">
        <w:rPr>
          <w:spacing w:val="-2"/>
        </w:rPr>
        <w:t xml:space="preserve"> </w:t>
      </w:r>
      <w:r w:rsidR="001F26A4" w:rsidRPr="00BD177B">
        <w:rPr>
          <w:spacing w:val="-2"/>
        </w:rPr>
        <w:t xml:space="preserve">ZPP </w:t>
      </w:r>
      <w:r w:rsidR="00AA0803" w:rsidRPr="00BD177B">
        <w:rPr>
          <w:spacing w:val="-2"/>
        </w:rPr>
        <w:t xml:space="preserve">– Mjere </w:t>
      </w:r>
      <w:r w:rsidR="001F26A4" w:rsidRPr="00BD177B">
        <w:rPr>
          <w:spacing w:val="-2"/>
        </w:rPr>
        <w:t xml:space="preserve">ruralnog razvoja </w:t>
      </w:r>
      <w:r w:rsidR="00AA0803" w:rsidRPr="00BD177B">
        <w:rPr>
          <w:spacing w:val="-2"/>
        </w:rPr>
        <w:t xml:space="preserve">– Mjera </w:t>
      </w:r>
      <w:r w:rsidR="001F26A4" w:rsidRPr="00BD177B">
        <w:rPr>
          <w:spacing w:val="-2"/>
        </w:rPr>
        <w:t>20 (TP) (tekuće pomoći)</w:t>
      </w:r>
      <w:r w:rsidR="00AA0803" w:rsidRPr="00BD177B">
        <w:rPr>
          <w:spacing w:val="-2"/>
        </w:rPr>
        <w:t xml:space="preserve">, </w:t>
      </w:r>
      <w:r w:rsidR="001F26A4" w:rsidRPr="00BD177B">
        <w:rPr>
          <w:spacing w:val="-2"/>
        </w:rPr>
        <w:t>4,2 milijuna eura</w:t>
      </w:r>
      <w:r w:rsidR="004E6D9B" w:rsidRPr="00BD177B">
        <w:rPr>
          <w:spacing w:val="-2"/>
        </w:rPr>
        <w:t xml:space="preserve"> </w:t>
      </w:r>
      <w:r w:rsidR="001F26A4" w:rsidRPr="00BD177B">
        <w:rPr>
          <w:spacing w:val="-2"/>
        </w:rPr>
        <w:t xml:space="preserve">ZPP </w:t>
      </w:r>
      <w:r w:rsidR="00AA0803" w:rsidRPr="00BD177B">
        <w:rPr>
          <w:spacing w:val="-2"/>
        </w:rPr>
        <w:t xml:space="preserve">– Mjere </w:t>
      </w:r>
      <w:r w:rsidR="001F26A4" w:rsidRPr="00BD177B">
        <w:rPr>
          <w:spacing w:val="-2"/>
        </w:rPr>
        <w:t xml:space="preserve">ruralnog razvoja </w:t>
      </w:r>
      <w:r w:rsidR="00AA0803" w:rsidRPr="00BD177B">
        <w:rPr>
          <w:spacing w:val="-2"/>
        </w:rPr>
        <w:t xml:space="preserve">– Mjera </w:t>
      </w:r>
      <w:r w:rsidR="001F26A4" w:rsidRPr="00BD177B">
        <w:rPr>
          <w:spacing w:val="-2"/>
        </w:rPr>
        <w:t>7 (kapitalne donacije)</w:t>
      </w:r>
      <w:r w:rsidR="00AA0803" w:rsidRPr="00BD177B">
        <w:rPr>
          <w:spacing w:val="-2"/>
        </w:rPr>
        <w:t xml:space="preserve">, </w:t>
      </w:r>
      <w:r w:rsidR="001F26A4" w:rsidRPr="00BD177B">
        <w:rPr>
          <w:spacing w:val="-2"/>
        </w:rPr>
        <w:t>4 milijuna eura</w:t>
      </w:r>
      <w:r w:rsidR="004E6D9B" w:rsidRPr="00BD177B">
        <w:rPr>
          <w:spacing w:val="-2"/>
        </w:rPr>
        <w:t xml:space="preserve"> </w:t>
      </w:r>
      <w:r w:rsidR="001F26A4" w:rsidRPr="00BD177B">
        <w:rPr>
          <w:spacing w:val="-2"/>
        </w:rPr>
        <w:t xml:space="preserve">ZPP </w:t>
      </w:r>
      <w:r w:rsidR="00AA0803" w:rsidRPr="00BD177B">
        <w:rPr>
          <w:spacing w:val="-2"/>
        </w:rPr>
        <w:t>–</w:t>
      </w:r>
      <w:r w:rsidR="001F26A4" w:rsidRPr="00BD177B">
        <w:rPr>
          <w:spacing w:val="-2"/>
        </w:rPr>
        <w:t xml:space="preserve"> M</w:t>
      </w:r>
      <w:r w:rsidR="00AA0803" w:rsidRPr="00BD177B">
        <w:rPr>
          <w:spacing w:val="-2"/>
        </w:rPr>
        <w:t xml:space="preserve"> </w:t>
      </w:r>
      <w:r w:rsidR="001F26A4" w:rsidRPr="00BD177B">
        <w:rPr>
          <w:spacing w:val="-2"/>
        </w:rPr>
        <w:t>11, Instrument Europske unije za oporavak (EURI) (subvencije)</w:t>
      </w:r>
      <w:r w:rsidR="004E6D9B" w:rsidRPr="00BD177B">
        <w:rPr>
          <w:spacing w:val="-2"/>
        </w:rPr>
        <w:t xml:space="preserve">, </w:t>
      </w:r>
      <w:r w:rsidR="001F26A4" w:rsidRPr="00BD177B">
        <w:rPr>
          <w:spacing w:val="-2"/>
        </w:rPr>
        <w:t>2,7 milijuna eura</w:t>
      </w:r>
      <w:r w:rsidR="004E6D9B" w:rsidRPr="00BD177B">
        <w:rPr>
          <w:spacing w:val="-2"/>
        </w:rPr>
        <w:t xml:space="preserve"> </w:t>
      </w:r>
      <w:r w:rsidR="001F26A4" w:rsidRPr="00BD177B">
        <w:rPr>
          <w:spacing w:val="-2"/>
        </w:rPr>
        <w:t xml:space="preserve">ZPP </w:t>
      </w:r>
      <w:r w:rsidR="00AA0803" w:rsidRPr="00BD177B">
        <w:rPr>
          <w:spacing w:val="-2"/>
        </w:rPr>
        <w:t xml:space="preserve">– Mjere </w:t>
      </w:r>
      <w:r w:rsidR="001F26A4" w:rsidRPr="00BD177B">
        <w:rPr>
          <w:spacing w:val="-2"/>
        </w:rPr>
        <w:t xml:space="preserve">ruralnog razvoja </w:t>
      </w:r>
      <w:r w:rsidR="00AA0803" w:rsidRPr="00BD177B">
        <w:rPr>
          <w:spacing w:val="-2"/>
        </w:rPr>
        <w:t xml:space="preserve">– Mjera </w:t>
      </w:r>
      <w:r w:rsidR="001F26A4" w:rsidRPr="00BD177B">
        <w:rPr>
          <w:spacing w:val="-2"/>
        </w:rPr>
        <w:t>5 (kapitalne pomoći)</w:t>
      </w:r>
      <w:r w:rsidR="004E6D9B" w:rsidRPr="00BD177B">
        <w:rPr>
          <w:spacing w:val="-2"/>
        </w:rPr>
        <w:t xml:space="preserve">, </w:t>
      </w:r>
      <w:r w:rsidR="001F26A4" w:rsidRPr="00BD177B">
        <w:rPr>
          <w:spacing w:val="-2"/>
        </w:rPr>
        <w:t>1,8 milijuna eura</w:t>
      </w:r>
      <w:r w:rsidR="004E6D9B" w:rsidRPr="00BD177B">
        <w:rPr>
          <w:spacing w:val="-2"/>
        </w:rPr>
        <w:t xml:space="preserve"> </w:t>
      </w:r>
      <w:r w:rsidR="001F26A4" w:rsidRPr="00BD177B">
        <w:rPr>
          <w:spacing w:val="-2"/>
        </w:rPr>
        <w:t xml:space="preserve">ZPP </w:t>
      </w:r>
      <w:r w:rsidR="00AA0803" w:rsidRPr="00BD177B">
        <w:rPr>
          <w:spacing w:val="-2"/>
        </w:rPr>
        <w:t>–</w:t>
      </w:r>
      <w:r w:rsidR="001F26A4" w:rsidRPr="00BD177B">
        <w:rPr>
          <w:spacing w:val="-2"/>
        </w:rPr>
        <w:t xml:space="preserve"> M</w:t>
      </w:r>
      <w:r w:rsidR="00AA0803" w:rsidRPr="00BD177B">
        <w:rPr>
          <w:spacing w:val="-2"/>
        </w:rPr>
        <w:t xml:space="preserve"> </w:t>
      </w:r>
      <w:r w:rsidR="001F26A4" w:rsidRPr="00BD177B">
        <w:rPr>
          <w:spacing w:val="-2"/>
        </w:rPr>
        <w:t>20, Instrument Europske unije za oporavak (TP) (EURI) (tekući prijenosi)</w:t>
      </w:r>
      <w:r w:rsidR="004E6D9B" w:rsidRPr="00BD177B">
        <w:rPr>
          <w:spacing w:val="-2"/>
        </w:rPr>
        <w:t xml:space="preserve">, </w:t>
      </w:r>
      <w:r w:rsidR="001F26A4" w:rsidRPr="00BD177B">
        <w:rPr>
          <w:spacing w:val="-2"/>
        </w:rPr>
        <w:t>1,3 milijuna eura</w:t>
      </w:r>
      <w:r w:rsidR="004E6D9B" w:rsidRPr="00BD177B">
        <w:rPr>
          <w:spacing w:val="-2"/>
        </w:rPr>
        <w:t xml:space="preserve"> </w:t>
      </w:r>
      <w:r w:rsidR="001F26A4" w:rsidRPr="00BD177B">
        <w:rPr>
          <w:spacing w:val="-2"/>
        </w:rPr>
        <w:t xml:space="preserve">M 78.01 Potpora prenošenju znanja </w:t>
      </w:r>
      <w:r w:rsidR="001759C5" w:rsidRPr="00BD177B">
        <w:rPr>
          <w:spacing w:val="-2"/>
        </w:rPr>
        <w:t xml:space="preserve">Strateški plan 2023.–2027. </w:t>
      </w:r>
      <w:r w:rsidR="001F26A4" w:rsidRPr="00BD177B">
        <w:rPr>
          <w:spacing w:val="-2"/>
        </w:rPr>
        <w:t>(tekući prijenosi)</w:t>
      </w:r>
      <w:r w:rsidR="004E6D9B" w:rsidRPr="00BD177B">
        <w:rPr>
          <w:spacing w:val="-2"/>
        </w:rPr>
        <w:t xml:space="preserve">, </w:t>
      </w:r>
      <w:r w:rsidR="001F26A4" w:rsidRPr="00BD177B">
        <w:rPr>
          <w:spacing w:val="-2"/>
        </w:rPr>
        <w:t>1,2 milijuna eura</w:t>
      </w:r>
      <w:r w:rsidR="004E6D9B" w:rsidRPr="00BD177B">
        <w:rPr>
          <w:spacing w:val="-2"/>
        </w:rPr>
        <w:t xml:space="preserve"> </w:t>
      </w:r>
      <w:r w:rsidR="001F26A4" w:rsidRPr="00BD177B">
        <w:rPr>
          <w:spacing w:val="-2"/>
        </w:rPr>
        <w:t>M 70.02 Očuvanje bioraznolikosti i okoliša na trajnim travnjacima i oranicama SP 2023.-2027. (subvencije)</w:t>
      </w:r>
      <w:r w:rsidR="004E6D9B" w:rsidRPr="00BD177B">
        <w:rPr>
          <w:spacing w:val="-2"/>
        </w:rPr>
        <w:t xml:space="preserve">, </w:t>
      </w:r>
      <w:r w:rsidR="001F26A4" w:rsidRPr="00BD177B">
        <w:rPr>
          <w:spacing w:val="-2"/>
        </w:rPr>
        <w:t>1,1 milijun eura</w:t>
      </w:r>
      <w:r w:rsidR="004E6D9B" w:rsidRPr="00BD177B">
        <w:rPr>
          <w:spacing w:val="-2"/>
        </w:rPr>
        <w:t xml:space="preserve"> </w:t>
      </w:r>
      <w:r w:rsidR="001F26A4" w:rsidRPr="00BD177B">
        <w:rPr>
          <w:spacing w:val="-2"/>
        </w:rPr>
        <w:t xml:space="preserve">ZPP </w:t>
      </w:r>
      <w:r w:rsidR="00AA0803" w:rsidRPr="00BD177B">
        <w:rPr>
          <w:spacing w:val="-2"/>
        </w:rPr>
        <w:t xml:space="preserve">– Mjere </w:t>
      </w:r>
      <w:r w:rsidR="001F26A4" w:rsidRPr="00BD177B">
        <w:rPr>
          <w:spacing w:val="-2"/>
        </w:rPr>
        <w:t xml:space="preserve">ruralnog razvoja </w:t>
      </w:r>
      <w:r w:rsidR="00AA0803" w:rsidRPr="00BD177B">
        <w:rPr>
          <w:spacing w:val="-2"/>
        </w:rPr>
        <w:t xml:space="preserve">– Mjera </w:t>
      </w:r>
      <w:r w:rsidR="001F26A4" w:rsidRPr="00BD177B">
        <w:rPr>
          <w:spacing w:val="-2"/>
        </w:rPr>
        <w:t>2 (tekuće pomoći)</w:t>
      </w:r>
      <w:r w:rsidR="004E6D9B" w:rsidRPr="00BD177B">
        <w:rPr>
          <w:spacing w:val="-2"/>
        </w:rPr>
        <w:t xml:space="preserve">, </w:t>
      </w:r>
      <w:r w:rsidR="001F26A4" w:rsidRPr="00BD177B">
        <w:rPr>
          <w:spacing w:val="-2"/>
        </w:rPr>
        <w:t>1,1 milijun eura</w:t>
      </w:r>
      <w:r w:rsidR="004E6D9B" w:rsidRPr="00BD177B">
        <w:rPr>
          <w:spacing w:val="-2"/>
        </w:rPr>
        <w:t xml:space="preserve"> </w:t>
      </w:r>
      <w:r w:rsidR="001F26A4" w:rsidRPr="00BD177B">
        <w:rPr>
          <w:spacing w:val="-2"/>
        </w:rPr>
        <w:t xml:space="preserve">ZPP </w:t>
      </w:r>
      <w:r w:rsidR="00AA0803" w:rsidRPr="00BD177B">
        <w:rPr>
          <w:spacing w:val="-2"/>
        </w:rPr>
        <w:t xml:space="preserve">– Mjere </w:t>
      </w:r>
      <w:r w:rsidR="001F26A4" w:rsidRPr="00BD177B">
        <w:rPr>
          <w:spacing w:val="-2"/>
        </w:rPr>
        <w:t xml:space="preserve">ruralnog razvoja </w:t>
      </w:r>
      <w:r w:rsidR="00AA0803" w:rsidRPr="00BD177B">
        <w:rPr>
          <w:spacing w:val="-2"/>
        </w:rPr>
        <w:t xml:space="preserve">– Mjera </w:t>
      </w:r>
      <w:r w:rsidR="001F26A4" w:rsidRPr="00BD177B">
        <w:rPr>
          <w:spacing w:val="-2"/>
        </w:rPr>
        <w:t>19 (tekuće donacije)</w:t>
      </w:r>
      <w:r w:rsidR="004E6D9B" w:rsidRPr="00BD177B">
        <w:rPr>
          <w:spacing w:val="-2"/>
        </w:rPr>
        <w:t xml:space="preserve">, </w:t>
      </w:r>
      <w:r w:rsidR="001F26A4" w:rsidRPr="00BD177B">
        <w:rPr>
          <w:spacing w:val="-2"/>
        </w:rPr>
        <w:t>1 milijuna eura</w:t>
      </w:r>
      <w:r w:rsidR="004E6D9B" w:rsidRPr="00BD177B">
        <w:rPr>
          <w:spacing w:val="-2"/>
        </w:rPr>
        <w:t xml:space="preserve"> </w:t>
      </w:r>
      <w:r w:rsidR="001F26A4" w:rsidRPr="00BD177B">
        <w:rPr>
          <w:spacing w:val="-2"/>
        </w:rPr>
        <w:t xml:space="preserve">M 73.11 Ulaganja – Potpora za ulaganja u preradu poljoprivrednih proizvoda </w:t>
      </w:r>
      <w:r w:rsidR="001759C5" w:rsidRPr="00BD177B">
        <w:rPr>
          <w:spacing w:val="-2"/>
        </w:rPr>
        <w:t xml:space="preserve">Strateški plan 2023.–2027. </w:t>
      </w:r>
      <w:r w:rsidR="001F26A4" w:rsidRPr="00BD177B">
        <w:rPr>
          <w:spacing w:val="-2"/>
        </w:rPr>
        <w:t>FI (zajmovi)</w:t>
      </w:r>
      <w:r w:rsidR="004E6D9B" w:rsidRPr="00BD177B">
        <w:rPr>
          <w:spacing w:val="-2"/>
        </w:rPr>
        <w:t xml:space="preserve">, </w:t>
      </w:r>
      <w:r w:rsidR="001F26A4" w:rsidRPr="00BD177B">
        <w:rPr>
          <w:spacing w:val="-2"/>
        </w:rPr>
        <w:t>1 milijuna eura</w:t>
      </w:r>
      <w:r w:rsidR="004E6D9B" w:rsidRPr="00BD177B">
        <w:rPr>
          <w:spacing w:val="-2"/>
        </w:rPr>
        <w:t xml:space="preserve"> </w:t>
      </w:r>
      <w:r w:rsidR="001F26A4" w:rsidRPr="00BD177B">
        <w:rPr>
          <w:spacing w:val="-2"/>
        </w:rPr>
        <w:t xml:space="preserve">M 73.14 Ulaganja – Razvoj poslovanja u ruralnim područjima </w:t>
      </w:r>
      <w:r w:rsidR="001759C5" w:rsidRPr="00BD177B">
        <w:rPr>
          <w:spacing w:val="-2"/>
        </w:rPr>
        <w:t xml:space="preserve">Strateški plan 2023.–2027. </w:t>
      </w:r>
      <w:r w:rsidR="001F26A4" w:rsidRPr="00BD177B">
        <w:rPr>
          <w:spacing w:val="-2"/>
        </w:rPr>
        <w:t>FI (zajmovi)</w:t>
      </w:r>
      <w:r w:rsidR="004E6D9B" w:rsidRPr="00BD177B">
        <w:rPr>
          <w:spacing w:val="-2"/>
        </w:rPr>
        <w:t>, 829.567,51 eur</w:t>
      </w:r>
      <w:r w:rsidR="00AA0803" w:rsidRPr="00BD177B">
        <w:rPr>
          <w:spacing w:val="-2"/>
        </w:rPr>
        <w:t>o</w:t>
      </w:r>
      <w:r w:rsidR="004E6D9B" w:rsidRPr="00BD177B">
        <w:rPr>
          <w:spacing w:val="-2"/>
        </w:rPr>
        <w:t xml:space="preserve">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 (tekuće pomoći), 795.980,88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17 (subvencije)</w:t>
      </w:r>
      <w:r w:rsidR="00AA0803" w:rsidRPr="00BD177B">
        <w:rPr>
          <w:spacing w:val="-2"/>
        </w:rPr>
        <w:t xml:space="preserve">, </w:t>
      </w:r>
      <w:r w:rsidR="004E6D9B" w:rsidRPr="00BD177B">
        <w:rPr>
          <w:spacing w:val="-2"/>
        </w:rPr>
        <w:t xml:space="preserve">483.147,38 eura ZPP </w:t>
      </w:r>
      <w:r w:rsidR="00AA0803" w:rsidRPr="00BD177B">
        <w:rPr>
          <w:spacing w:val="-2"/>
        </w:rPr>
        <w:t>–</w:t>
      </w:r>
      <w:r w:rsidR="004E6D9B" w:rsidRPr="00BD177B">
        <w:rPr>
          <w:spacing w:val="-2"/>
        </w:rPr>
        <w:t xml:space="preserve"> M</w:t>
      </w:r>
      <w:r w:rsidR="00AA0803" w:rsidRPr="00BD177B">
        <w:rPr>
          <w:spacing w:val="-2"/>
        </w:rPr>
        <w:t xml:space="preserve"> </w:t>
      </w:r>
      <w:r w:rsidR="004E6D9B" w:rsidRPr="00BD177B">
        <w:rPr>
          <w:spacing w:val="-2"/>
        </w:rPr>
        <w:t>8, Instrument Europske unije za oporavak (EURI) (kapitalne pomoći)</w:t>
      </w:r>
      <w:r w:rsidR="00AA0803" w:rsidRPr="00BD177B">
        <w:rPr>
          <w:spacing w:val="-2"/>
        </w:rPr>
        <w:t xml:space="preserve">, </w:t>
      </w:r>
      <w:r w:rsidR="004E6D9B" w:rsidRPr="00BD177B">
        <w:rPr>
          <w:spacing w:val="-2"/>
        </w:rPr>
        <w:t xml:space="preserve">396.849,99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8 (kapitalni prijenos), 361.164,40 eura M 70.07 Očuvanje obilježja krajobraza </w:t>
      </w:r>
      <w:r w:rsidR="001759C5" w:rsidRPr="00BD177B">
        <w:rPr>
          <w:spacing w:val="-2"/>
        </w:rPr>
        <w:t xml:space="preserve">Strateški plan 2023.–2027. </w:t>
      </w:r>
      <w:r w:rsidR="004E6D9B" w:rsidRPr="00BD177B">
        <w:rPr>
          <w:spacing w:val="-2"/>
        </w:rPr>
        <w:t xml:space="preserve">(subvencije), 341.751,36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10 (subvencije), 284.910,34 eura M 70.08 Očuvanje ekstenzivnih voćnjaka i maslinika </w:t>
      </w:r>
      <w:r w:rsidR="001759C5" w:rsidRPr="00BD177B">
        <w:rPr>
          <w:spacing w:val="-2"/>
        </w:rPr>
        <w:t xml:space="preserve">Strateški plan 2023.–2027. </w:t>
      </w:r>
      <w:r w:rsidR="004E6D9B" w:rsidRPr="00BD177B">
        <w:rPr>
          <w:spacing w:val="-2"/>
        </w:rPr>
        <w:t xml:space="preserve">(subvencije), 242.190,32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16 (subvencije), 223.834,25 eura M 78.01 Potpora prenošenju znanja </w:t>
      </w:r>
      <w:r w:rsidR="001759C5" w:rsidRPr="00BD177B">
        <w:rPr>
          <w:spacing w:val="-2"/>
        </w:rPr>
        <w:t xml:space="preserve">Strateški plan 2023.–2027. </w:t>
      </w:r>
      <w:r w:rsidR="004E6D9B" w:rsidRPr="00BD177B">
        <w:rPr>
          <w:spacing w:val="-2"/>
        </w:rPr>
        <w:t xml:space="preserve">(subvencije), 171.529,58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11 (subvencije), 122.152,80 eura ZPP </w:t>
      </w:r>
      <w:r w:rsidR="00AA0803" w:rsidRPr="00BD177B">
        <w:rPr>
          <w:spacing w:val="-2"/>
        </w:rPr>
        <w:t>–</w:t>
      </w:r>
      <w:r w:rsidR="004E6D9B" w:rsidRPr="00BD177B">
        <w:rPr>
          <w:spacing w:val="-2"/>
        </w:rPr>
        <w:t xml:space="preserve"> M</w:t>
      </w:r>
      <w:r w:rsidR="00AA0803" w:rsidRPr="00BD177B">
        <w:rPr>
          <w:spacing w:val="-2"/>
        </w:rPr>
        <w:t xml:space="preserve"> </w:t>
      </w:r>
      <w:r w:rsidR="004E6D9B" w:rsidRPr="00BD177B">
        <w:rPr>
          <w:spacing w:val="-2"/>
        </w:rPr>
        <w:t xml:space="preserve">14, Instrument Europske unije za oporavak (EURI) (subvencije), 116.891,36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16 (tekući prijenosi), 109.648,63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19 (kapitalne donacije), 81.988,21 eur</w:t>
      </w:r>
      <w:r w:rsidR="00AA0803" w:rsidRPr="00BD177B">
        <w:rPr>
          <w:spacing w:val="-2"/>
        </w:rPr>
        <w:t>o</w:t>
      </w:r>
      <w:r w:rsidR="004E6D9B" w:rsidRPr="00BD177B">
        <w:rPr>
          <w:spacing w:val="-2"/>
        </w:rPr>
        <w:t xml:space="preserve"> M 78.02 Potpora za pružanje savjetodavnih usluga </w:t>
      </w:r>
      <w:r w:rsidR="001759C5" w:rsidRPr="00BD177B">
        <w:rPr>
          <w:spacing w:val="-2"/>
        </w:rPr>
        <w:t xml:space="preserve">Strateški plan 2023.–2027. </w:t>
      </w:r>
      <w:r w:rsidR="004E6D9B" w:rsidRPr="00BD177B">
        <w:rPr>
          <w:spacing w:val="-2"/>
        </w:rPr>
        <w:t xml:space="preserve">(subvencije), 77.152,41 </w:t>
      </w:r>
      <w:r w:rsidR="00AA0803" w:rsidRPr="00BD177B">
        <w:rPr>
          <w:spacing w:val="-2"/>
        </w:rPr>
        <w:t xml:space="preserve">euro </w:t>
      </w:r>
      <w:r w:rsidR="004E6D9B" w:rsidRPr="00BD177B">
        <w:rPr>
          <w:spacing w:val="-2"/>
        </w:rPr>
        <w:t xml:space="preserve">M 70.06 Plaćanja za dobrobit životinja </w:t>
      </w:r>
      <w:r w:rsidR="001759C5" w:rsidRPr="00BD177B">
        <w:rPr>
          <w:spacing w:val="-2"/>
        </w:rPr>
        <w:t xml:space="preserve">Strateški plan 2023.–2027. </w:t>
      </w:r>
      <w:r w:rsidR="004E6D9B" w:rsidRPr="00BD177B">
        <w:rPr>
          <w:spacing w:val="-2"/>
        </w:rPr>
        <w:t>(tekući prijenosi)</w:t>
      </w:r>
      <w:r w:rsidR="00295D82" w:rsidRPr="00BD177B">
        <w:rPr>
          <w:spacing w:val="-2"/>
        </w:rPr>
        <w:t xml:space="preserve">, </w:t>
      </w:r>
      <w:r w:rsidR="004E6D9B" w:rsidRPr="00BD177B">
        <w:rPr>
          <w:spacing w:val="-2"/>
        </w:rPr>
        <w:t xml:space="preserve">60.781,01 </w:t>
      </w:r>
      <w:r w:rsidR="00AA0803" w:rsidRPr="00BD177B">
        <w:rPr>
          <w:spacing w:val="-2"/>
        </w:rPr>
        <w:t xml:space="preserve">euro </w:t>
      </w:r>
      <w:r w:rsidR="004E6D9B" w:rsidRPr="00BD177B">
        <w:rPr>
          <w:spacing w:val="-2"/>
        </w:rPr>
        <w:t xml:space="preserve">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8 (kapitalne donacije)</w:t>
      </w:r>
      <w:r w:rsidR="00295D82" w:rsidRPr="00BD177B">
        <w:rPr>
          <w:spacing w:val="-2"/>
        </w:rPr>
        <w:t xml:space="preserve">, </w:t>
      </w:r>
      <w:r w:rsidR="004E6D9B" w:rsidRPr="00BD177B">
        <w:rPr>
          <w:spacing w:val="-2"/>
        </w:rPr>
        <w:t xml:space="preserve">57.548,75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9 (subvencije), 55.212,48 eura M 70.03 Očuvanje ugroženih izvornih pasmina domaćih životinja </w:t>
      </w:r>
      <w:r w:rsidR="001759C5" w:rsidRPr="00BD177B">
        <w:rPr>
          <w:spacing w:val="-2"/>
        </w:rPr>
        <w:t>Strateški plan 2023.–2027.</w:t>
      </w:r>
      <w:r w:rsidR="004E6D9B" w:rsidRPr="00BD177B">
        <w:rPr>
          <w:spacing w:val="-2"/>
        </w:rPr>
        <w:t xml:space="preserve"> (tekući prijenosi), 53.673,91 </w:t>
      </w:r>
      <w:r w:rsidR="00AA0803" w:rsidRPr="00BD177B">
        <w:rPr>
          <w:spacing w:val="-2"/>
        </w:rPr>
        <w:t xml:space="preserve">euro </w:t>
      </w:r>
      <w:r w:rsidR="004E6D9B" w:rsidRPr="00BD177B">
        <w:rPr>
          <w:spacing w:val="-2"/>
        </w:rPr>
        <w:t xml:space="preserve">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10 (tekuće donacije), 53.448,78 </w:t>
      </w:r>
      <w:r w:rsidR="004E6D9B" w:rsidRPr="00BD177B">
        <w:rPr>
          <w:spacing w:val="-2"/>
        </w:rPr>
        <w:lastRenderedPageBreak/>
        <w:t xml:space="preserve">eura M 76.01 Osiguranje poljoprivredne proizvodnje </w:t>
      </w:r>
      <w:r w:rsidR="001759C5" w:rsidRPr="00BD177B">
        <w:rPr>
          <w:spacing w:val="-2"/>
        </w:rPr>
        <w:t xml:space="preserve">Strateški plan 2023.–2027. </w:t>
      </w:r>
      <w:r w:rsidR="004E6D9B" w:rsidRPr="00BD177B">
        <w:rPr>
          <w:spacing w:val="-2"/>
        </w:rPr>
        <w:t xml:space="preserve">(tekući prijenosi), 46.602,48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16 (tekuće donacije), 42.406,80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3 (subvencije), 38.416,31 </w:t>
      </w:r>
      <w:r w:rsidR="00AA0803" w:rsidRPr="00BD177B">
        <w:rPr>
          <w:spacing w:val="-2"/>
        </w:rPr>
        <w:t xml:space="preserve">euro </w:t>
      </w:r>
      <w:r w:rsidR="004E6D9B" w:rsidRPr="00BD177B">
        <w:rPr>
          <w:spacing w:val="-2"/>
        </w:rPr>
        <w:t xml:space="preserve">M 71.01 Plaćanja za područja s prirodnim i ostalim ograničenjima </w:t>
      </w:r>
      <w:r w:rsidR="001759C5" w:rsidRPr="00BD177B">
        <w:rPr>
          <w:spacing w:val="-2"/>
        </w:rPr>
        <w:t xml:space="preserve">Strateški plan 2023.–2027. </w:t>
      </w:r>
      <w:r w:rsidR="004E6D9B" w:rsidRPr="00BD177B">
        <w:rPr>
          <w:spacing w:val="-2"/>
        </w:rPr>
        <w:t xml:space="preserve">(tekući prijenosi), 34.633,08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10 (tekući prijenosi), 30.808,30 eura M 70.04 Ekološki uzgoj </w:t>
      </w:r>
      <w:r w:rsidR="001759C5" w:rsidRPr="00BD177B">
        <w:rPr>
          <w:spacing w:val="-2"/>
        </w:rPr>
        <w:t xml:space="preserve">Strateški plan 2023.–2027. </w:t>
      </w:r>
      <w:r w:rsidR="004E6D9B" w:rsidRPr="00BD177B">
        <w:rPr>
          <w:spacing w:val="-2"/>
        </w:rPr>
        <w:t xml:space="preserve">(tekući prijenosi), 23.349,07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13 (subvencije), 22.285,80 eura M 70.04 Ekološki uzgoj </w:t>
      </w:r>
      <w:r w:rsidR="001759C5" w:rsidRPr="00BD177B">
        <w:rPr>
          <w:spacing w:val="-2"/>
        </w:rPr>
        <w:t xml:space="preserve">Strateški plan 2023.–2027. </w:t>
      </w:r>
      <w:r w:rsidR="004E6D9B" w:rsidRPr="00BD177B">
        <w:rPr>
          <w:spacing w:val="-2"/>
        </w:rPr>
        <w:t>(tekuće pomoći)</w:t>
      </w:r>
      <w:r w:rsidR="00295D82" w:rsidRPr="00BD177B">
        <w:rPr>
          <w:spacing w:val="-2"/>
        </w:rPr>
        <w:t xml:space="preserve">, </w:t>
      </w:r>
      <w:r w:rsidR="004E6D9B" w:rsidRPr="00BD177B">
        <w:rPr>
          <w:spacing w:val="-2"/>
        </w:rPr>
        <w:t xml:space="preserve">21.155,77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1 (subvencije)</w:t>
      </w:r>
      <w:r w:rsidR="00295D82" w:rsidRPr="00BD177B">
        <w:rPr>
          <w:spacing w:val="-2"/>
        </w:rPr>
        <w:t xml:space="preserve">, </w:t>
      </w:r>
      <w:r w:rsidR="004E6D9B" w:rsidRPr="00BD177B">
        <w:rPr>
          <w:spacing w:val="-2"/>
        </w:rPr>
        <w:t xml:space="preserve">12.019,27 eura ZPP </w:t>
      </w:r>
      <w:r w:rsidR="00295D82" w:rsidRPr="00BD177B">
        <w:rPr>
          <w:spacing w:val="-2"/>
        </w:rPr>
        <w:t>–</w:t>
      </w:r>
      <w:r w:rsidR="004E6D9B" w:rsidRPr="00BD177B">
        <w:rPr>
          <w:spacing w:val="-2"/>
        </w:rPr>
        <w:t xml:space="preserve"> M</w:t>
      </w:r>
      <w:r w:rsidR="00295D82" w:rsidRPr="00BD177B">
        <w:rPr>
          <w:spacing w:val="-2"/>
        </w:rPr>
        <w:t xml:space="preserve"> </w:t>
      </w:r>
      <w:r w:rsidR="004E6D9B" w:rsidRPr="00BD177B">
        <w:rPr>
          <w:spacing w:val="-2"/>
        </w:rPr>
        <w:t>10, Instrument Europske unije za oporavak (EURI) (tekući prijenosi)</w:t>
      </w:r>
      <w:r w:rsidR="00295D82" w:rsidRPr="00BD177B">
        <w:rPr>
          <w:spacing w:val="-2"/>
        </w:rPr>
        <w:t xml:space="preserve">, </w:t>
      </w:r>
      <w:r w:rsidR="004E6D9B" w:rsidRPr="00BD177B">
        <w:rPr>
          <w:spacing w:val="-2"/>
        </w:rPr>
        <w:t xml:space="preserve">11.195,88 eura M 76.01 Osiguranje poljoprivredne proizvodnje </w:t>
      </w:r>
      <w:r w:rsidR="001759C5" w:rsidRPr="00BD177B">
        <w:rPr>
          <w:spacing w:val="-2"/>
        </w:rPr>
        <w:t xml:space="preserve">Strateški plan 2023.–2027. </w:t>
      </w:r>
      <w:r w:rsidR="004E6D9B" w:rsidRPr="00BD177B">
        <w:rPr>
          <w:spacing w:val="-2"/>
        </w:rPr>
        <w:t xml:space="preserve">(tekuće pomoći), 10.920,97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3 (tekuće donacije)</w:t>
      </w:r>
      <w:r w:rsidR="00295D82" w:rsidRPr="00BD177B">
        <w:rPr>
          <w:spacing w:val="-2"/>
        </w:rPr>
        <w:t xml:space="preserve">, </w:t>
      </w:r>
      <w:r w:rsidR="004E6D9B" w:rsidRPr="00BD177B">
        <w:rPr>
          <w:spacing w:val="-2"/>
        </w:rPr>
        <w:t xml:space="preserve">8.991,00 </w:t>
      </w:r>
      <w:r w:rsidR="00AA0803" w:rsidRPr="00BD177B">
        <w:rPr>
          <w:spacing w:val="-2"/>
        </w:rPr>
        <w:t xml:space="preserve">euro </w:t>
      </w:r>
      <w:r w:rsidR="004E6D9B" w:rsidRPr="00BD177B">
        <w:rPr>
          <w:spacing w:val="-2"/>
        </w:rPr>
        <w:t xml:space="preserve">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14 (subvencije)</w:t>
      </w:r>
      <w:r w:rsidR="00295D82" w:rsidRPr="00BD177B">
        <w:rPr>
          <w:spacing w:val="-2"/>
        </w:rPr>
        <w:t xml:space="preserve">, </w:t>
      </w:r>
      <w:r w:rsidR="004E6D9B" w:rsidRPr="00BD177B">
        <w:rPr>
          <w:spacing w:val="-2"/>
        </w:rPr>
        <w:t xml:space="preserve">7.516,69 eura M 71.01 Plaćanja za područja s prirodnim i ostalim ograničenjima </w:t>
      </w:r>
      <w:r w:rsidR="001759C5" w:rsidRPr="00BD177B">
        <w:rPr>
          <w:spacing w:val="-2"/>
        </w:rPr>
        <w:t xml:space="preserve">Strateški plan 2023.–2027. </w:t>
      </w:r>
      <w:r w:rsidR="004E6D9B" w:rsidRPr="00BD177B">
        <w:rPr>
          <w:spacing w:val="-2"/>
        </w:rPr>
        <w:t xml:space="preserve">(tekuće pomoći), 7.414,01 </w:t>
      </w:r>
      <w:r w:rsidR="00AA0803" w:rsidRPr="00BD177B">
        <w:rPr>
          <w:spacing w:val="-2"/>
        </w:rPr>
        <w:t xml:space="preserve">euro </w:t>
      </w:r>
      <w:r w:rsidR="004E6D9B" w:rsidRPr="00BD177B">
        <w:rPr>
          <w:spacing w:val="-2"/>
        </w:rPr>
        <w:t xml:space="preserve">M 70.01 Smanjenje korištenja zaštitnih sredstava u višegodišnjim nasadima </w:t>
      </w:r>
      <w:r w:rsidR="001759C5" w:rsidRPr="00BD177B">
        <w:rPr>
          <w:spacing w:val="-2"/>
        </w:rPr>
        <w:t xml:space="preserve">Strateški plan 2023.–2027. </w:t>
      </w:r>
      <w:r w:rsidR="004E6D9B" w:rsidRPr="00BD177B">
        <w:rPr>
          <w:spacing w:val="-2"/>
        </w:rPr>
        <w:t xml:space="preserve">(tekući prijenosi), 4.464,82 eura M 70.06 Plaćanja za dobrobit životinja </w:t>
      </w:r>
      <w:r w:rsidR="001759C5" w:rsidRPr="00BD177B">
        <w:rPr>
          <w:spacing w:val="-2"/>
        </w:rPr>
        <w:t xml:space="preserve">Strateški plan 2023.–2027. </w:t>
      </w:r>
      <w:r w:rsidR="004E6D9B" w:rsidRPr="00BD177B">
        <w:rPr>
          <w:spacing w:val="-2"/>
        </w:rPr>
        <w:t xml:space="preserve">(tekuće pomoći),2.782,09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22 (subvencije), 2.362,33 eura ZPP - M 10, Instrument Europske unije za oporavak (EURI) (tekuće pomoći), 1.384,05 eura M 70.01 Smanjenje korištenja zaštitnih sredstava u višegodišnjim nasadima </w:t>
      </w:r>
      <w:r w:rsidR="001759C5" w:rsidRPr="00BD177B">
        <w:rPr>
          <w:spacing w:val="-2"/>
        </w:rPr>
        <w:t xml:space="preserve">Strateški plan 2023.–2027. </w:t>
      </w:r>
      <w:r w:rsidR="004E6D9B" w:rsidRPr="00BD177B">
        <w:rPr>
          <w:spacing w:val="-2"/>
        </w:rPr>
        <w:t xml:space="preserve">(tekuće pomoći), 658,08 eura M 70.03 Očuvanje ugroženih izvornih pasmina domaćih životinja </w:t>
      </w:r>
      <w:r w:rsidR="001759C5" w:rsidRPr="00BD177B">
        <w:rPr>
          <w:spacing w:val="-2"/>
        </w:rPr>
        <w:t xml:space="preserve">Strateški plan 2023.–2027. </w:t>
      </w:r>
      <w:r w:rsidR="004E6D9B" w:rsidRPr="00BD177B">
        <w:rPr>
          <w:spacing w:val="-2"/>
        </w:rPr>
        <w:t xml:space="preserve">(tekuće pomoći), 265,44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 xml:space="preserve">5 (naknade) i 4,26 eura ZPP </w:t>
      </w:r>
      <w:r w:rsidR="00AA0803" w:rsidRPr="00BD177B">
        <w:rPr>
          <w:spacing w:val="-2"/>
        </w:rPr>
        <w:t xml:space="preserve">– Mjere </w:t>
      </w:r>
      <w:r w:rsidR="004E6D9B" w:rsidRPr="00BD177B">
        <w:rPr>
          <w:spacing w:val="-2"/>
        </w:rPr>
        <w:t xml:space="preserve">ruralnog razvoja </w:t>
      </w:r>
      <w:r w:rsidR="00AA0803" w:rsidRPr="00BD177B">
        <w:rPr>
          <w:spacing w:val="-2"/>
        </w:rPr>
        <w:t xml:space="preserve">– Mjera </w:t>
      </w:r>
      <w:r w:rsidR="004E6D9B" w:rsidRPr="00BD177B">
        <w:rPr>
          <w:spacing w:val="-2"/>
        </w:rPr>
        <w:t>13 (tekući prijenosi)</w:t>
      </w:r>
      <w:r w:rsidR="00295D82" w:rsidRPr="00BD177B">
        <w:rPr>
          <w:spacing w:val="-2"/>
        </w:rPr>
        <w:t>.</w:t>
      </w:r>
    </w:p>
    <w:p w14:paraId="2D15EC4A" w14:textId="77777777" w:rsidR="004E6D9B" w:rsidRPr="00BD177B" w:rsidRDefault="004E6D9B" w:rsidP="004E6D9B">
      <w:pPr>
        <w:jc w:val="both"/>
      </w:pPr>
    </w:p>
    <w:p w14:paraId="207DB6A4" w14:textId="43343991" w:rsidR="00295D82" w:rsidRPr="00BD177B" w:rsidRDefault="00295D82" w:rsidP="009D00A0">
      <w:pPr>
        <w:jc w:val="both"/>
      </w:pPr>
      <w:r w:rsidRPr="00BD177B">
        <w:rPr>
          <w:u w:val="single"/>
        </w:rPr>
        <w:t xml:space="preserve">Poticaji </w:t>
      </w:r>
      <w:r w:rsidR="009D00A0" w:rsidRPr="00BD177B">
        <w:rPr>
          <w:u w:val="single"/>
        </w:rPr>
        <w:t>za ribarstvo</w:t>
      </w:r>
      <w:r w:rsidR="009D00A0" w:rsidRPr="00BD177B">
        <w:t xml:space="preserve"> dodijeljen</w:t>
      </w:r>
      <w:r w:rsidRPr="00BD177B">
        <w:t>i</w:t>
      </w:r>
      <w:r w:rsidR="009D00A0" w:rsidRPr="00BD177B">
        <w:t xml:space="preserve"> su u iznosu od </w:t>
      </w:r>
      <w:r w:rsidRPr="00BD177B">
        <w:t xml:space="preserve">94,4 </w:t>
      </w:r>
      <w:r w:rsidR="009D00A0" w:rsidRPr="00BD177B">
        <w:t xml:space="preserve">milijuna eura, i to najvećim dijelom kroz kapitalna ulaganja u iznosu od </w:t>
      </w:r>
      <w:r w:rsidRPr="00BD177B">
        <w:t xml:space="preserve">73,3 </w:t>
      </w:r>
      <w:r w:rsidR="009D00A0" w:rsidRPr="00BD177B">
        <w:t>milijuna eura ili 7</w:t>
      </w:r>
      <w:r w:rsidRPr="00BD177B">
        <w:t>7,7</w:t>
      </w:r>
      <w:r w:rsidR="009D00A0" w:rsidRPr="00BD177B">
        <w:t xml:space="preserve"> posto u navedenim </w:t>
      </w:r>
      <w:r w:rsidRPr="00BD177B">
        <w:t xml:space="preserve">poticajima te </w:t>
      </w:r>
      <w:r w:rsidR="009D00A0" w:rsidRPr="00BD177B">
        <w:t xml:space="preserve">putem subvencija u iznosu od </w:t>
      </w:r>
      <w:r w:rsidRPr="00BD177B">
        <w:t xml:space="preserve">21,1 </w:t>
      </w:r>
      <w:r w:rsidR="009D00A0" w:rsidRPr="00BD177B">
        <w:t xml:space="preserve">milijun eura ili </w:t>
      </w:r>
      <w:r w:rsidRPr="00BD177B">
        <w:t>22,3</w:t>
      </w:r>
      <w:r w:rsidR="009D00A0" w:rsidRPr="00BD177B">
        <w:t xml:space="preserve"> posto, </w:t>
      </w:r>
    </w:p>
    <w:p w14:paraId="43AAF2EA" w14:textId="7A2A771B" w:rsidR="00295D82" w:rsidRPr="00BD177B" w:rsidRDefault="00295D82" w:rsidP="009D00A0">
      <w:pPr>
        <w:jc w:val="both"/>
      </w:pPr>
    </w:p>
    <w:p w14:paraId="2F122FB1" w14:textId="755C7DF9" w:rsidR="00295D82" w:rsidRPr="00BD177B" w:rsidRDefault="00295D82" w:rsidP="00295D82">
      <w:pPr>
        <w:jc w:val="both"/>
      </w:pPr>
      <w:r w:rsidRPr="00BD177B">
        <w:t xml:space="preserve">Poticaji dodijeljeni </w:t>
      </w:r>
      <w:r w:rsidR="00D37CC5" w:rsidRPr="00BD177B">
        <w:t xml:space="preserve">za </w:t>
      </w:r>
      <w:r w:rsidRPr="00BD177B">
        <w:t xml:space="preserve">ribarstvo odnose se na sljedeće programe i ciljeve, prikazane po visini iznosa dodjele: 69,8 milijuna eura za Operativni program ribarstva </w:t>
      </w:r>
      <w:r w:rsidR="0062417A" w:rsidRPr="00BD177B">
        <w:t>(</w:t>
      </w:r>
      <w:r w:rsidRPr="00BD177B">
        <w:t>kapitalne pomoći</w:t>
      </w:r>
      <w:r w:rsidR="0062417A" w:rsidRPr="00BD177B">
        <w:t xml:space="preserve">), </w:t>
      </w:r>
      <w:r w:rsidRPr="00BD177B">
        <w:t>10,2 milijuna eura za Intervencije na tržištu proizvoda r</w:t>
      </w:r>
      <w:r w:rsidR="0062417A" w:rsidRPr="00BD177B">
        <w:t xml:space="preserve">ibarstva, </w:t>
      </w:r>
      <w:r w:rsidRPr="00BD177B">
        <w:t xml:space="preserve">4,9 milijuna eura za Operativni program ribarstva </w:t>
      </w:r>
      <w:r w:rsidR="0062417A" w:rsidRPr="00BD177B">
        <w:t>(</w:t>
      </w:r>
      <w:r w:rsidRPr="00BD177B">
        <w:t>tekuće donacije</w:t>
      </w:r>
      <w:r w:rsidR="0062417A" w:rsidRPr="00BD177B">
        <w:t xml:space="preserve">), </w:t>
      </w:r>
      <w:r w:rsidRPr="00BD177B">
        <w:t>3,6 milijuna eura za Održavanje eko sustava ribnjaka</w:t>
      </w:r>
      <w:r w:rsidR="0062417A" w:rsidRPr="00BD177B">
        <w:t xml:space="preserve">, </w:t>
      </w:r>
      <w:r w:rsidRPr="00BD177B">
        <w:t xml:space="preserve">3,5 milijuna eura za Operativni program ribarstva </w:t>
      </w:r>
      <w:r w:rsidR="0062417A" w:rsidRPr="00BD177B">
        <w:t>(</w:t>
      </w:r>
      <w:r w:rsidRPr="00BD177B">
        <w:t>kapitalni prijenosi</w:t>
      </w:r>
      <w:r w:rsidR="0062417A" w:rsidRPr="00BD177B">
        <w:t xml:space="preserve">) te </w:t>
      </w:r>
      <w:r w:rsidRPr="00BD177B">
        <w:t xml:space="preserve">2,4 milijuna eura za Operativni program ribarstva </w:t>
      </w:r>
      <w:r w:rsidR="0062417A" w:rsidRPr="00BD177B">
        <w:t>(</w:t>
      </w:r>
      <w:r w:rsidRPr="00BD177B">
        <w:t>tekući prijenosi</w:t>
      </w:r>
      <w:r w:rsidR="0062417A" w:rsidRPr="00BD177B">
        <w:t>).</w:t>
      </w:r>
    </w:p>
    <w:p w14:paraId="5AD411E9" w14:textId="77777777" w:rsidR="00F603E5" w:rsidRPr="00BD177B" w:rsidRDefault="00F603E5" w:rsidP="00BE487D">
      <w:pPr>
        <w:jc w:val="both"/>
      </w:pPr>
    </w:p>
    <w:p w14:paraId="13D6D80A" w14:textId="142BC220" w:rsidR="00BD607D" w:rsidRPr="00BD177B" w:rsidRDefault="00BD607D" w:rsidP="00BD607D">
      <w:pPr>
        <w:jc w:val="both"/>
      </w:pPr>
      <w:r w:rsidRPr="00BD177B">
        <w:t xml:space="preserve">Tablica </w:t>
      </w:r>
      <w:r w:rsidR="00374ECB" w:rsidRPr="00BD177B">
        <w:t>7</w:t>
      </w:r>
      <w:r w:rsidRPr="00BD177B">
        <w:t>. Ukupn</w:t>
      </w:r>
      <w:r w:rsidR="0062417A" w:rsidRPr="00BD177B">
        <w:t>o dodijeljene potpore i poticaji</w:t>
      </w:r>
      <w:r w:rsidR="00374ECB" w:rsidRPr="00BD177B">
        <w:t xml:space="preserve"> i </w:t>
      </w:r>
      <w:r w:rsidR="00995A21" w:rsidRPr="00BD177B">
        <w:t xml:space="preserve">izravna plaćanja </w:t>
      </w:r>
      <w:r w:rsidRPr="00BD177B">
        <w:t>u poljoprivredi i ribarstvu u razdoblju od 2022. do 2024. godine</w:t>
      </w:r>
    </w:p>
    <w:p w14:paraId="342AC3FC" w14:textId="77777777" w:rsidR="00BD607D" w:rsidRPr="00BD177B" w:rsidRDefault="00BD607D" w:rsidP="00BD607D">
      <w:pPr>
        <w:contextualSpacing/>
        <w:jc w:val="both"/>
        <w:rPr>
          <w:sz w:val="20"/>
        </w:rPr>
      </w:pPr>
    </w:p>
    <w:tbl>
      <w:tblPr>
        <w:tblW w:w="7933" w:type="dxa"/>
        <w:tblLayout w:type="fixed"/>
        <w:tblLook w:val="04A0" w:firstRow="1" w:lastRow="0" w:firstColumn="1" w:lastColumn="0" w:noHBand="0" w:noVBand="1"/>
      </w:tblPr>
      <w:tblGrid>
        <w:gridCol w:w="4248"/>
        <w:gridCol w:w="1134"/>
        <w:gridCol w:w="1276"/>
        <w:gridCol w:w="1275"/>
      </w:tblGrid>
      <w:tr w:rsidR="00BD607D" w:rsidRPr="00BD177B" w14:paraId="4C2BB2DD" w14:textId="77777777" w:rsidTr="00374ECB">
        <w:trPr>
          <w:trHeight w:val="47"/>
        </w:trPr>
        <w:tc>
          <w:tcPr>
            <w:tcW w:w="4248"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7AD77E8" w14:textId="088BE40B" w:rsidR="00BD607D" w:rsidRPr="00BD177B" w:rsidRDefault="0062417A" w:rsidP="00574475">
            <w:pPr>
              <w:jc w:val="both"/>
              <w:rPr>
                <w:b/>
                <w:bCs/>
                <w:sz w:val="20"/>
              </w:rPr>
            </w:pPr>
            <w:r w:rsidRPr="00BD177B">
              <w:rPr>
                <w:b/>
                <w:bCs/>
                <w:sz w:val="20"/>
              </w:rPr>
              <w:t>Potpore i poticaji</w:t>
            </w:r>
            <w:r w:rsidR="00995A21" w:rsidRPr="00BD177B">
              <w:rPr>
                <w:b/>
                <w:bCs/>
                <w:sz w:val="20"/>
              </w:rPr>
              <w:t xml:space="preserve"> i izravna plaćanja</w:t>
            </w:r>
          </w:p>
        </w:tc>
        <w:tc>
          <w:tcPr>
            <w:tcW w:w="1134" w:type="dxa"/>
            <w:tcBorders>
              <w:top w:val="single" w:sz="4" w:space="0" w:color="auto"/>
              <w:left w:val="nil"/>
              <w:bottom w:val="single" w:sz="4" w:space="0" w:color="auto"/>
              <w:right w:val="single" w:sz="4" w:space="0" w:color="auto"/>
            </w:tcBorders>
            <w:shd w:val="clear" w:color="000000" w:fill="FFFF99"/>
            <w:noWrap/>
            <w:vAlign w:val="center"/>
            <w:hideMark/>
          </w:tcPr>
          <w:p w14:paraId="04DDE590" w14:textId="77777777" w:rsidR="00BD607D" w:rsidRPr="00BD177B" w:rsidRDefault="00BD607D" w:rsidP="00574475">
            <w:pPr>
              <w:jc w:val="center"/>
              <w:rPr>
                <w:rFonts w:eastAsia="Times New Roman"/>
                <w:b/>
                <w:bCs/>
                <w:sz w:val="20"/>
              </w:rPr>
            </w:pPr>
            <w:r w:rsidRPr="00BD177B">
              <w:rPr>
                <w:rFonts w:eastAsia="Times New Roman"/>
                <w:b/>
                <w:bCs/>
                <w:sz w:val="20"/>
                <w:szCs w:val="20"/>
                <w:lang w:eastAsia="hr-HR"/>
              </w:rPr>
              <w:t>2022.</w:t>
            </w:r>
          </w:p>
        </w:tc>
        <w:tc>
          <w:tcPr>
            <w:tcW w:w="1276" w:type="dxa"/>
            <w:tcBorders>
              <w:top w:val="single" w:sz="4" w:space="0" w:color="auto"/>
              <w:left w:val="nil"/>
              <w:bottom w:val="single" w:sz="4" w:space="0" w:color="auto"/>
              <w:right w:val="single" w:sz="4" w:space="0" w:color="auto"/>
            </w:tcBorders>
            <w:shd w:val="clear" w:color="000000" w:fill="FFFF99"/>
            <w:noWrap/>
            <w:vAlign w:val="center"/>
            <w:hideMark/>
          </w:tcPr>
          <w:p w14:paraId="4FBC7677" w14:textId="77777777" w:rsidR="00BD607D" w:rsidRPr="00BD177B" w:rsidRDefault="00BD607D" w:rsidP="00574475">
            <w:pPr>
              <w:jc w:val="center"/>
              <w:rPr>
                <w:rFonts w:eastAsia="Times New Roman"/>
                <w:b/>
                <w:bCs/>
                <w:sz w:val="20"/>
              </w:rPr>
            </w:pPr>
            <w:r w:rsidRPr="00BD177B">
              <w:rPr>
                <w:rFonts w:eastAsia="Times New Roman"/>
                <w:b/>
                <w:bCs/>
                <w:sz w:val="20"/>
                <w:szCs w:val="20"/>
                <w:lang w:eastAsia="hr-HR"/>
              </w:rPr>
              <w:t>2023.</w:t>
            </w:r>
          </w:p>
        </w:tc>
        <w:tc>
          <w:tcPr>
            <w:tcW w:w="1275" w:type="dxa"/>
            <w:tcBorders>
              <w:top w:val="single" w:sz="4" w:space="0" w:color="auto"/>
              <w:left w:val="nil"/>
              <w:bottom w:val="single" w:sz="4" w:space="0" w:color="auto"/>
              <w:right w:val="single" w:sz="4" w:space="0" w:color="auto"/>
            </w:tcBorders>
            <w:shd w:val="clear" w:color="000000" w:fill="FFFF99"/>
            <w:noWrap/>
            <w:vAlign w:val="center"/>
            <w:hideMark/>
          </w:tcPr>
          <w:p w14:paraId="0C199311" w14:textId="77777777" w:rsidR="00BD607D" w:rsidRPr="00BD177B" w:rsidRDefault="00BD607D" w:rsidP="00574475">
            <w:pPr>
              <w:jc w:val="center"/>
              <w:rPr>
                <w:rFonts w:eastAsia="Times New Roman"/>
                <w:b/>
                <w:bCs/>
                <w:sz w:val="20"/>
              </w:rPr>
            </w:pPr>
            <w:r w:rsidRPr="00BD177B">
              <w:rPr>
                <w:rFonts w:eastAsia="Times New Roman"/>
                <w:b/>
                <w:bCs/>
                <w:sz w:val="20"/>
                <w:szCs w:val="20"/>
                <w:lang w:eastAsia="hr-HR"/>
              </w:rPr>
              <w:t>2024.</w:t>
            </w:r>
          </w:p>
        </w:tc>
      </w:tr>
      <w:tr w:rsidR="00BD607D" w:rsidRPr="00BD177B" w14:paraId="35C67B5C" w14:textId="77777777" w:rsidTr="00374ECB">
        <w:trPr>
          <w:trHeight w:val="112"/>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4379B143" w14:textId="77777777" w:rsidR="00BD607D" w:rsidRPr="00BD177B" w:rsidRDefault="00BD607D" w:rsidP="00574475">
            <w:pPr>
              <w:jc w:val="both"/>
              <w:rPr>
                <w:b/>
                <w:bCs/>
                <w:sz w:val="20"/>
              </w:rPr>
            </w:pPr>
          </w:p>
        </w:tc>
        <w:tc>
          <w:tcPr>
            <w:tcW w:w="1134" w:type="dxa"/>
            <w:tcBorders>
              <w:top w:val="single" w:sz="4" w:space="0" w:color="auto"/>
              <w:left w:val="nil"/>
              <w:bottom w:val="single" w:sz="4" w:space="0" w:color="auto"/>
              <w:right w:val="single" w:sz="4" w:space="0" w:color="auto"/>
            </w:tcBorders>
            <w:shd w:val="clear" w:color="000000" w:fill="FFFF99"/>
            <w:vAlign w:val="center"/>
            <w:hideMark/>
          </w:tcPr>
          <w:p w14:paraId="2E921D2D" w14:textId="77777777" w:rsidR="00BD607D" w:rsidRPr="00BD177B" w:rsidRDefault="00BD607D" w:rsidP="00574475">
            <w:pPr>
              <w:jc w:val="center"/>
              <w:rPr>
                <w:b/>
                <w:bCs/>
                <w:sz w:val="18"/>
              </w:rPr>
            </w:pPr>
            <w:r w:rsidRPr="00BD177B">
              <w:rPr>
                <w:b/>
                <w:bCs/>
                <w:sz w:val="18"/>
              </w:rPr>
              <w:t>u mln EUR</w:t>
            </w:r>
          </w:p>
        </w:tc>
        <w:tc>
          <w:tcPr>
            <w:tcW w:w="1276" w:type="dxa"/>
            <w:tcBorders>
              <w:top w:val="single" w:sz="4" w:space="0" w:color="auto"/>
              <w:left w:val="nil"/>
              <w:bottom w:val="single" w:sz="4" w:space="0" w:color="auto"/>
              <w:right w:val="single" w:sz="4" w:space="0" w:color="auto"/>
            </w:tcBorders>
            <w:shd w:val="clear" w:color="000000" w:fill="FFFF99"/>
          </w:tcPr>
          <w:p w14:paraId="367605EA" w14:textId="77777777" w:rsidR="00BD607D" w:rsidRPr="00BD177B" w:rsidRDefault="00BD607D" w:rsidP="00574475">
            <w:pPr>
              <w:jc w:val="center"/>
              <w:rPr>
                <w:b/>
                <w:bCs/>
                <w:sz w:val="18"/>
              </w:rPr>
            </w:pPr>
            <w:r w:rsidRPr="00BD177B">
              <w:rPr>
                <w:b/>
                <w:bCs/>
                <w:sz w:val="18"/>
              </w:rPr>
              <w:t>u mln EUR</w:t>
            </w:r>
          </w:p>
        </w:tc>
        <w:tc>
          <w:tcPr>
            <w:tcW w:w="1275" w:type="dxa"/>
            <w:tcBorders>
              <w:top w:val="single" w:sz="4" w:space="0" w:color="auto"/>
              <w:left w:val="nil"/>
              <w:bottom w:val="single" w:sz="4" w:space="0" w:color="auto"/>
              <w:right w:val="single" w:sz="4" w:space="0" w:color="auto"/>
            </w:tcBorders>
            <w:shd w:val="clear" w:color="000000" w:fill="FFFF99"/>
          </w:tcPr>
          <w:p w14:paraId="68CDAF2F" w14:textId="77777777" w:rsidR="00BD607D" w:rsidRPr="00BD177B" w:rsidRDefault="00BD607D" w:rsidP="00574475">
            <w:pPr>
              <w:jc w:val="center"/>
              <w:rPr>
                <w:b/>
                <w:bCs/>
                <w:sz w:val="18"/>
              </w:rPr>
            </w:pPr>
            <w:r w:rsidRPr="00BD177B">
              <w:rPr>
                <w:b/>
                <w:bCs/>
                <w:sz w:val="18"/>
              </w:rPr>
              <w:t>u mln EUR</w:t>
            </w:r>
          </w:p>
        </w:tc>
      </w:tr>
      <w:tr w:rsidR="0062417A" w:rsidRPr="00BD177B" w14:paraId="539A9613" w14:textId="77777777" w:rsidTr="00374ECB">
        <w:trPr>
          <w:trHeight w:val="50"/>
        </w:trPr>
        <w:tc>
          <w:tcPr>
            <w:tcW w:w="4248" w:type="dxa"/>
            <w:tcBorders>
              <w:top w:val="nil"/>
              <w:left w:val="single" w:sz="4" w:space="0" w:color="auto"/>
              <w:bottom w:val="single" w:sz="4" w:space="0" w:color="auto"/>
              <w:right w:val="single" w:sz="4" w:space="0" w:color="auto"/>
            </w:tcBorders>
            <w:shd w:val="clear" w:color="auto" w:fill="auto"/>
            <w:vAlign w:val="center"/>
          </w:tcPr>
          <w:p w14:paraId="1A7757BC" w14:textId="6DB80507" w:rsidR="0062417A" w:rsidRPr="00BD177B" w:rsidRDefault="0062417A" w:rsidP="0062417A">
            <w:pPr>
              <w:jc w:val="both"/>
              <w:rPr>
                <w:sz w:val="20"/>
              </w:rPr>
            </w:pPr>
            <w:r w:rsidRPr="00BD177B">
              <w:rPr>
                <w:rFonts w:eastAsia="Times New Roman"/>
                <w:bCs/>
                <w:sz w:val="20"/>
                <w:szCs w:val="20"/>
                <w:lang w:eastAsia="hr-HR"/>
              </w:rPr>
              <w:t>Potpore u poljoprivredi i ribarstvu</w:t>
            </w:r>
          </w:p>
        </w:tc>
        <w:tc>
          <w:tcPr>
            <w:tcW w:w="1134" w:type="dxa"/>
            <w:tcBorders>
              <w:top w:val="single" w:sz="4" w:space="0" w:color="auto"/>
              <w:left w:val="nil"/>
              <w:bottom w:val="single" w:sz="4" w:space="0" w:color="auto"/>
              <w:right w:val="single" w:sz="4" w:space="0" w:color="auto"/>
            </w:tcBorders>
            <w:shd w:val="clear" w:color="auto" w:fill="auto"/>
            <w:noWrap/>
          </w:tcPr>
          <w:p w14:paraId="6F6D7C91" w14:textId="67F1A760" w:rsidR="0062417A" w:rsidRPr="00BD177B" w:rsidRDefault="0062417A" w:rsidP="0062417A">
            <w:pPr>
              <w:jc w:val="right"/>
              <w:rPr>
                <w:rFonts w:eastAsia="Times New Roman"/>
                <w:sz w:val="20"/>
                <w:szCs w:val="20"/>
                <w:lang w:eastAsia="hr-HR"/>
              </w:rPr>
            </w:pPr>
            <w:r w:rsidRPr="00BD177B">
              <w:rPr>
                <w:rFonts w:eastAsia="Times New Roman"/>
                <w:sz w:val="20"/>
                <w:szCs w:val="20"/>
                <w:lang w:eastAsia="hr-HR"/>
              </w:rPr>
              <w:t>94,2</w:t>
            </w:r>
          </w:p>
        </w:tc>
        <w:tc>
          <w:tcPr>
            <w:tcW w:w="1276" w:type="dxa"/>
            <w:tcBorders>
              <w:top w:val="single" w:sz="4" w:space="0" w:color="auto"/>
              <w:left w:val="nil"/>
              <w:bottom w:val="single" w:sz="4" w:space="0" w:color="auto"/>
              <w:right w:val="single" w:sz="4" w:space="0" w:color="auto"/>
            </w:tcBorders>
            <w:shd w:val="clear" w:color="auto" w:fill="auto"/>
            <w:noWrap/>
          </w:tcPr>
          <w:p w14:paraId="5650CC7F" w14:textId="796637FB" w:rsidR="0062417A" w:rsidRPr="00BD177B" w:rsidRDefault="0062417A" w:rsidP="003E4407">
            <w:pPr>
              <w:jc w:val="right"/>
              <w:rPr>
                <w:rFonts w:eastAsia="Times New Roman"/>
                <w:sz w:val="20"/>
                <w:szCs w:val="20"/>
                <w:lang w:eastAsia="hr-HR"/>
              </w:rPr>
            </w:pPr>
            <w:r w:rsidRPr="00BD177B">
              <w:rPr>
                <w:rFonts w:eastAsia="Times New Roman"/>
                <w:sz w:val="20"/>
                <w:szCs w:val="20"/>
                <w:lang w:eastAsia="hr-HR"/>
              </w:rPr>
              <w:t>113,</w:t>
            </w:r>
            <w:r w:rsidR="003E4407" w:rsidRPr="00BD177B">
              <w:rPr>
                <w:rFonts w:eastAsia="Times New Roman"/>
                <w:sz w:val="20"/>
                <w:szCs w:val="20"/>
                <w:lang w:eastAsia="hr-HR"/>
              </w:rPr>
              <w:t>8</w:t>
            </w:r>
          </w:p>
        </w:tc>
        <w:tc>
          <w:tcPr>
            <w:tcW w:w="1275" w:type="dxa"/>
            <w:tcBorders>
              <w:top w:val="single" w:sz="4" w:space="0" w:color="auto"/>
              <w:left w:val="nil"/>
              <w:bottom w:val="single" w:sz="4" w:space="0" w:color="auto"/>
              <w:right w:val="single" w:sz="4" w:space="0" w:color="auto"/>
            </w:tcBorders>
            <w:shd w:val="clear" w:color="auto" w:fill="auto"/>
            <w:noWrap/>
          </w:tcPr>
          <w:p w14:paraId="74C20DDC" w14:textId="58C6D5D1" w:rsidR="0062417A" w:rsidRPr="00BD177B" w:rsidRDefault="0062417A" w:rsidP="0062417A">
            <w:pPr>
              <w:jc w:val="right"/>
              <w:rPr>
                <w:rFonts w:eastAsia="Times New Roman"/>
                <w:sz w:val="20"/>
                <w:szCs w:val="20"/>
                <w:lang w:eastAsia="hr-HR"/>
              </w:rPr>
            </w:pPr>
            <w:r w:rsidRPr="00BD177B">
              <w:rPr>
                <w:rFonts w:eastAsia="Times New Roman"/>
                <w:sz w:val="20"/>
                <w:szCs w:val="20"/>
                <w:lang w:eastAsia="hr-HR"/>
              </w:rPr>
              <w:t>128,2</w:t>
            </w:r>
          </w:p>
        </w:tc>
      </w:tr>
      <w:tr w:rsidR="0062417A" w:rsidRPr="00BD177B" w14:paraId="330278CC" w14:textId="77777777" w:rsidTr="00374ECB">
        <w:trPr>
          <w:trHeight w:val="53"/>
        </w:trPr>
        <w:tc>
          <w:tcPr>
            <w:tcW w:w="4248" w:type="dxa"/>
            <w:tcBorders>
              <w:top w:val="nil"/>
              <w:left w:val="single" w:sz="4" w:space="0" w:color="auto"/>
              <w:bottom w:val="single" w:sz="4" w:space="0" w:color="auto"/>
              <w:right w:val="single" w:sz="4" w:space="0" w:color="auto"/>
            </w:tcBorders>
            <w:shd w:val="clear" w:color="auto" w:fill="auto"/>
            <w:vAlign w:val="center"/>
          </w:tcPr>
          <w:p w14:paraId="6C7C3922" w14:textId="5D1540DD" w:rsidR="0062417A" w:rsidRPr="00BD177B" w:rsidRDefault="0062417A" w:rsidP="0062417A">
            <w:pPr>
              <w:jc w:val="both"/>
              <w:rPr>
                <w:sz w:val="20"/>
              </w:rPr>
            </w:pPr>
            <w:r w:rsidRPr="00BD177B">
              <w:rPr>
                <w:rFonts w:eastAsia="Times New Roman"/>
                <w:bCs/>
                <w:sz w:val="20"/>
                <w:szCs w:val="20"/>
                <w:lang w:eastAsia="hr-HR"/>
              </w:rPr>
              <w:t xml:space="preserve">Poticaji </w:t>
            </w:r>
            <w:r w:rsidR="00374ECB" w:rsidRPr="00BD177B">
              <w:rPr>
                <w:rFonts w:eastAsia="Times New Roman"/>
                <w:bCs/>
                <w:sz w:val="20"/>
                <w:szCs w:val="20"/>
                <w:lang w:eastAsia="hr-HR"/>
              </w:rPr>
              <w:t xml:space="preserve">i izuzeća </w:t>
            </w:r>
            <w:r w:rsidRPr="00BD177B">
              <w:rPr>
                <w:rFonts w:eastAsia="Times New Roman"/>
                <w:bCs/>
                <w:sz w:val="20"/>
                <w:szCs w:val="20"/>
                <w:lang w:eastAsia="hr-HR"/>
              </w:rPr>
              <w:t>u poljoprivredi i ribarstvu</w:t>
            </w:r>
          </w:p>
        </w:tc>
        <w:tc>
          <w:tcPr>
            <w:tcW w:w="1134" w:type="dxa"/>
            <w:tcBorders>
              <w:top w:val="nil"/>
              <w:left w:val="nil"/>
              <w:bottom w:val="single" w:sz="4" w:space="0" w:color="auto"/>
              <w:right w:val="single" w:sz="4" w:space="0" w:color="auto"/>
            </w:tcBorders>
            <w:shd w:val="clear" w:color="auto" w:fill="auto"/>
            <w:vAlign w:val="center"/>
          </w:tcPr>
          <w:p w14:paraId="74A8AC35" w14:textId="3CAEFDBE" w:rsidR="0062417A" w:rsidRPr="00BD177B" w:rsidRDefault="0062417A" w:rsidP="0062417A">
            <w:pPr>
              <w:jc w:val="right"/>
              <w:rPr>
                <w:rFonts w:eastAsia="Times New Roman"/>
                <w:sz w:val="20"/>
                <w:szCs w:val="20"/>
                <w:lang w:eastAsia="hr-HR"/>
              </w:rPr>
            </w:pPr>
            <w:r w:rsidRPr="00BD177B">
              <w:rPr>
                <w:rFonts w:eastAsia="Times New Roman"/>
                <w:sz w:val="20"/>
                <w:szCs w:val="20"/>
                <w:lang w:eastAsia="hr-HR"/>
              </w:rPr>
              <w:t>879,1</w:t>
            </w:r>
          </w:p>
        </w:tc>
        <w:tc>
          <w:tcPr>
            <w:tcW w:w="1276" w:type="dxa"/>
            <w:tcBorders>
              <w:top w:val="nil"/>
              <w:left w:val="nil"/>
              <w:bottom w:val="single" w:sz="4" w:space="0" w:color="auto"/>
              <w:right w:val="single" w:sz="4" w:space="0" w:color="auto"/>
            </w:tcBorders>
            <w:shd w:val="clear" w:color="auto" w:fill="auto"/>
            <w:noWrap/>
            <w:vAlign w:val="center"/>
          </w:tcPr>
          <w:p w14:paraId="05E36BF6" w14:textId="60815125" w:rsidR="0062417A" w:rsidRPr="00BD177B" w:rsidRDefault="0062417A" w:rsidP="0062417A">
            <w:pPr>
              <w:jc w:val="right"/>
              <w:rPr>
                <w:rFonts w:eastAsia="Times New Roman"/>
                <w:sz w:val="20"/>
                <w:szCs w:val="20"/>
                <w:lang w:eastAsia="hr-HR"/>
              </w:rPr>
            </w:pPr>
            <w:r w:rsidRPr="00BD177B">
              <w:rPr>
                <w:rFonts w:eastAsia="Times New Roman"/>
                <w:sz w:val="20"/>
                <w:szCs w:val="20"/>
                <w:lang w:eastAsia="hr-HR"/>
              </w:rPr>
              <w:t>954,2</w:t>
            </w:r>
          </w:p>
        </w:tc>
        <w:tc>
          <w:tcPr>
            <w:tcW w:w="1275" w:type="dxa"/>
            <w:tcBorders>
              <w:top w:val="nil"/>
              <w:left w:val="nil"/>
              <w:bottom w:val="single" w:sz="4" w:space="0" w:color="auto"/>
              <w:right w:val="single" w:sz="4" w:space="0" w:color="auto"/>
            </w:tcBorders>
            <w:shd w:val="clear" w:color="auto" w:fill="auto"/>
            <w:noWrap/>
            <w:vAlign w:val="center"/>
          </w:tcPr>
          <w:p w14:paraId="00B175D7" w14:textId="5F05960E" w:rsidR="0062417A" w:rsidRPr="00BD177B" w:rsidRDefault="0062417A" w:rsidP="0062417A">
            <w:pPr>
              <w:jc w:val="right"/>
              <w:rPr>
                <w:rFonts w:eastAsia="Times New Roman"/>
                <w:sz w:val="20"/>
                <w:szCs w:val="20"/>
                <w:lang w:eastAsia="hr-HR"/>
              </w:rPr>
            </w:pPr>
            <w:r w:rsidRPr="00BD177B">
              <w:rPr>
                <w:rFonts w:eastAsia="Times New Roman"/>
                <w:sz w:val="20"/>
                <w:szCs w:val="20"/>
                <w:lang w:eastAsia="hr-HR"/>
              </w:rPr>
              <w:t>842,1</w:t>
            </w:r>
          </w:p>
        </w:tc>
      </w:tr>
      <w:tr w:rsidR="0062417A" w:rsidRPr="00BD177B" w14:paraId="6F81F0A0" w14:textId="77777777" w:rsidTr="00374ECB">
        <w:trPr>
          <w:trHeight w:val="53"/>
        </w:trPr>
        <w:tc>
          <w:tcPr>
            <w:tcW w:w="4248" w:type="dxa"/>
            <w:tcBorders>
              <w:top w:val="nil"/>
              <w:left w:val="single" w:sz="4" w:space="0" w:color="auto"/>
              <w:bottom w:val="single" w:sz="4" w:space="0" w:color="auto"/>
              <w:right w:val="single" w:sz="4" w:space="0" w:color="auto"/>
            </w:tcBorders>
            <w:shd w:val="clear" w:color="auto" w:fill="FFFFCC"/>
            <w:vAlign w:val="center"/>
            <w:hideMark/>
          </w:tcPr>
          <w:p w14:paraId="3B91AD55" w14:textId="19AB9318" w:rsidR="0062417A" w:rsidRPr="00BD177B" w:rsidRDefault="00374ECB" w:rsidP="0062417A">
            <w:pPr>
              <w:jc w:val="both"/>
              <w:rPr>
                <w:b/>
                <w:sz w:val="20"/>
              </w:rPr>
            </w:pPr>
            <w:r w:rsidRPr="00BD177B">
              <w:rPr>
                <w:b/>
                <w:bCs/>
                <w:sz w:val="20"/>
              </w:rPr>
              <w:t xml:space="preserve">Ukupno </w:t>
            </w:r>
          </w:p>
        </w:tc>
        <w:tc>
          <w:tcPr>
            <w:tcW w:w="1134" w:type="dxa"/>
            <w:tcBorders>
              <w:top w:val="nil"/>
              <w:left w:val="nil"/>
              <w:bottom w:val="single" w:sz="4" w:space="0" w:color="auto"/>
              <w:right w:val="single" w:sz="4" w:space="0" w:color="auto"/>
            </w:tcBorders>
            <w:shd w:val="clear" w:color="auto" w:fill="FFFFCC"/>
            <w:vAlign w:val="center"/>
          </w:tcPr>
          <w:p w14:paraId="5EB3605B" w14:textId="20494322" w:rsidR="0062417A" w:rsidRPr="00BD177B" w:rsidRDefault="0062417A" w:rsidP="0062417A">
            <w:pPr>
              <w:jc w:val="right"/>
              <w:rPr>
                <w:rFonts w:eastAsia="Times New Roman"/>
                <w:b/>
                <w:sz w:val="20"/>
                <w:szCs w:val="20"/>
                <w:lang w:eastAsia="hr-HR"/>
              </w:rPr>
            </w:pPr>
            <w:r w:rsidRPr="00BD177B">
              <w:rPr>
                <w:rFonts w:eastAsia="Times New Roman"/>
                <w:b/>
                <w:bCs/>
                <w:sz w:val="20"/>
                <w:szCs w:val="20"/>
                <w:lang w:eastAsia="hr-HR"/>
              </w:rPr>
              <w:t>973,3</w:t>
            </w:r>
          </w:p>
        </w:tc>
        <w:tc>
          <w:tcPr>
            <w:tcW w:w="1276" w:type="dxa"/>
            <w:tcBorders>
              <w:top w:val="nil"/>
              <w:left w:val="nil"/>
              <w:bottom w:val="single" w:sz="4" w:space="0" w:color="auto"/>
              <w:right w:val="single" w:sz="4" w:space="0" w:color="auto"/>
            </w:tcBorders>
            <w:shd w:val="clear" w:color="auto" w:fill="FFFFCC"/>
            <w:noWrap/>
            <w:vAlign w:val="center"/>
          </w:tcPr>
          <w:p w14:paraId="22847208" w14:textId="5C12F558" w:rsidR="0062417A" w:rsidRPr="00BD177B" w:rsidRDefault="0062417A" w:rsidP="0062417A">
            <w:pPr>
              <w:jc w:val="right"/>
              <w:rPr>
                <w:rFonts w:eastAsia="Times New Roman"/>
                <w:b/>
                <w:sz w:val="20"/>
                <w:szCs w:val="20"/>
                <w:lang w:eastAsia="hr-HR"/>
              </w:rPr>
            </w:pPr>
            <w:r w:rsidRPr="00BD177B">
              <w:rPr>
                <w:rFonts w:eastAsia="Times New Roman"/>
                <w:b/>
                <w:bCs/>
                <w:sz w:val="20"/>
                <w:szCs w:val="20"/>
                <w:lang w:eastAsia="hr-HR"/>
              </w:rPr>
              <w:t>1.068,0</w:t>
            </w:r>
          </w:p>
        </w:tc>
        <w:tc>
          <w:tcPr>
            <w:tcW w:w="1275" w:type="dxa"/>
            <w:tcBorders>
              <w:top w:val="nil"/>
              <w:left w:val="nil"/>
              <w:bottom w:val="single" w:sz="4" w:space="0" w:color="auto"/>
              <w:right w:val="single" w:sz="4" w:space="0" w:color="auto"/>
            </w:tcBorders>
            <w:shd w:val="clear" w:color="auto" w:fill="FFFFCC"/>
            <w:noWrap/>
            <w:vAlign w:val="center"/>
          </w:tcPr>
          <w:p w14:paraId="4E1750C2" w14:textId="745A7CD6" w:rsidR="0062417A" w:rsidRPr="00BD177B" w:rsidRDefault="0062417A" w:rsidP="0062417A">
            <w:pPr>
              <w:jc w:val="right"/>
              <w:rPr>
                <w:rFonts w:eastAsia="Times New Roman"/>
                <w:b/>
                <w:sz w:val="20"/>
                <w:szCs w:val="20"/>
                <w:lang w:eastAsia="hr-HR"/>
              </w:rPr>
            </w:pPr>
            <w:r w:rsidRPr="00BD177B">
              <w:rPr>
                <w:rFonts w:eastAsia="Times New Roman"/>
                <w:b/>
                <w:bCs/>
                <w:sz w:val="20"/>
                <w:szCs w:val="20"/>
                <w:lang w:eastAsia="hr-HR"/>
              </w:rPr>
              <w:t>970,3</w:t>
            </w:r>
          </w:p>
        </w:tc>
      </w:tr>
      <w:tr w:rsidR="0062417A" w:rsidRPr="00BD177B" w14:paraId="0659A2BD" w14:textId="77777777" w:rsidTr="00374ECB">
        <w:trPr>
          <w:trHeight w:val="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66F91545" w14:textId="77777777" w:rsidR="0062417A" w:rsidRPr="00BD177B" w:rsidRDefault="0062417A" w:rsidP="0062417A">
            <w:pPr>
              <w:jc w:val="both"/>
              <w:rPr>
                <w:sz w:val="20"/>
              </w:rPr>
            </w:pPr>
            <w:r w:rsidRPr="00BD177B">
              <w:rPr>
                <w:sz w:val="20"/>
              </w:rPr>
              <w:t>udio (%) u BDP-u</w:t>
            </w:r>
          </w:p>
        </w:tc>
        <w:tc>
          <w:tcPr>
            <w:tcW w:w="1134" w:type="dxa"/>
            <w:tcBorders>
              <w:top w:val="single" w:sz="4" w:space="0" w:color="auto"/>
              <w:left w:val="nil"/>
              <w:bottom w:val="single" w:sz="4" w:space="0" w:color="auto"/>
              <w:right w:val="single" w:sz="4" w:space="0" w:color="auto"/>
            </w:tcBorders>
            <w:shd w:val="clear" w:color="auto" w:fill="auto"/>
            <w:noWrap/>
          </w:tcPr>
          <w:p w14:paraId="7CB1EEAD" w14:textId="6BE7F3E5" w:rsidR="0062417A" w:rsidRPr="00BD177B" w:rsidRDefault="0062417A" w:rsidP="0062417A">
            <w:pPr>
              <w:jc w:val="center"/>
              <w:rPr>
                <w:rFonts w:eastAsia="Times New Roman"/>
                <w:sz w:val="20"/>
                <w:szCs w:val="20"/>
                <w:lang w:eastAsia="hr-HR"/>
              </w:rPr>
            </w:pPr>
            <w:r w:rsidRPr="00BD177B">
              <w:rPr>
                <w:rFonts w:eastAsia="Times New Roman"/>
                <w:sz w:val="20"/>
                <w:szCs w:val="20"/>
                <w:lang w:eastAsia="hr-HR"/>
              </w:rPr>
              <w:t>1,44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1E514B" w14:textId="1F82DB79" w:rsidR="0062417A" w:rsidRPr="00BD177B" w:rsidRDefault="0062417A" w:rsidP="0062417A">
            <w:pPr>
              <w:jc w:val="center"/>
              <w:rPr>
                <w:rFonts w:eastAsia="Times New Roman"/>
                <w:sz w:val="20"/>
                <w:szCs w:val="20"/>
                <w:lang w:eastAsia="hr-HR"/>
              </w:rPr>
            </w:pPr>
            <w:r w:rsidRPr="00BD177B">
              <w:rPr>
                <w:rFonts w:eastAsia="Times New Roman"/>
                <w:sz w:val="20"/>
                <w:szCs w:val="20"/>
                <w:lang w:eastAsia="hr-HR"/>
              </w:rPr>
              <w:t>1,37</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3217A33" w14:textId="4380930E" w:rsidR="0062417A" w:rsidRPr="00BD177B" w:rsidRDefault="0062417A" w:rsidP="0062417A">
            <w:pPr>
              <w:jc w:val="center"/>
              <w:rPr>
                <w:rFonts w:eastAsia="Times New Roman"/>
                <w:sz w:val="20"/>
                <w:szCs w:val="20"/>
                <w:lang w:eastAsia="hr-HR"/>
              </w:rPr>
            </w:pPr>
            <w:r w:rsidRPr="00BD177B">
              <w:rPr>
                <w:rFonts w:eastAsia="Times New Roman"/>
                <w:sz w:val="20"/>
                <w:szCs w:val="20"/>
                <w:lang w:eastAsia="hr-HR"/>
              </w:rPr>
              <w:t>1,13</w:t>
            </w:r>
          </w:p>
        </w:tc>
      </w:tr>
    </w:tbl>
    <w:p w14:paraId="0C8B5E12" w14:textId="77777777" w:rsidR="00995A21" w:rsidRPr="00BD177B" w:rsidRDefault="00995A21" w:rsidP="00995A21">
      <w:pPr>
        <w:contextualSpacing/>
        <w:jc w:val="both"/>
        <w:rPr>
          <w:i/>
          <w:spacing w:val="-6"/>
          <w:sz w:val="20"/>
        </w:rPr>
      </w:pPr>
      <w:r w:rsidRPr="00BD177B">
        <w:rPr>
          <w:i/>
          <w:spacing w:val="-6"/>
          <w:sz w:val="20"/>
        </w:rPr>
        <w:t>Izvor: Ministarstvo financija, Ministarstvo poljoprivrede, šumarstva i ribarstva; podaci obrađeni u Ministarstvu financija</w:t>
      </w:r>
    </w:p>
    <w:p w14:paraId="17CEA544" w14:textId="23098E24" w:rsidR="00BD607D" w:rsidRPr="00BD177B" w:rsidRDefault="00BD607D" w:rsidP="00BD607D">
      <w:pPr>
        <w:jc w:val="both"/>
      </w:pPr>
    </w:p>
    <w:p w14:paraId="646E7418" w14:textId="3CC0DBE6" w:rsidR="00CC2841" w:rsidRPr="00BD177B" w:rsidRDefault="0062417A" w:rsidP="00BE487D">
      <w:pPr>
        <w:jc w:val="both"/>
      </w:pPr>
      <w:r w:rsidRPr="00BD177B">
        <w:t xml:space="preserve">Ukoliko bi se u sektoru poljoprivrede i ribarstva u 2024. godini, </w:t>
      </w:r>
      <w:r w:rsidR="00BA405D" w:rsidRPr="00BD177B">
        <w:t xml:space="preserve">zbrojile sve dodijeljene potpore s dodijeljenim poticajima, iznos tih navedenih sredstava iznosio bi 970,3 milijuna </w:t>
      </w:r>
      <w:r w:rsidR="00991FCC" w:rsidRPr="00BD177B">
        <w:t>eura</w:t>
      </w:r>
      <w:r w:rsidR="00BA405D" w:rsidRPr="00BD177B">
        <w:t xml:space="preserve">, što predstavlja udio u 2024. godini od 1,13 posto. Isto tako, ukoliko bi se tom navedenom iznosu od 970,3 milijuna </w:t>
      </w:r>
      <w:r w:rsidR="00991FCC" w:rsidRPr="00BD177B">
        <w:t>eura</w:t>
      </w:r>
      <w:r w:rsidR="00BA405D" w:rsidRPr="00BD177B">
        <w:t xml:space="preserve"> pribrojile i dodijeljene potpore male vrijednosti u iznosu od 18,6 milijuna </w:t>
      </w:r>
      <w:r w:rsidR="00991FCC" w:rsidRPr="00BD177B">
        <w:t>eura</w:t>
      </w:r>
      <w:r w:rsidR="00BA405D" w:rsidRPr="00BD177B">
        <w:t>, ukupan iznos svih dodijeljenih sredstava koje se odnose na sektor poljoprivrede i ribarstva, i potpore i poticaji i potpore male vrijednosti, iznosio bi 988,9 milijuna eura.</w:t>
      </w:r>
      <w:r w:rsidR="00CC2841" w:rsidRPr="00BD177B">
        <w:br w:type="page"/>
      </w:r>
    </w:p>
    <w:p w14:paraId="7C68AC35" w14:textId="03EC3890" w:rsidR="00BE0817" w:rsidRPr="00BD177B"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11" w:name="_Toc213660032"/>
      <w:r w:rsidRPr="00BD177B">
        <w:rPr>
          <w:rFonts w:ascii="Times New Roman" w:hAnsi="Times New Roman" w:cs="Times New Roman"/>
          <w:b/>
          <w:color w:val="auto"/>
          <w:sz w:val="24"/>
          <w:szCs w:val="24"/>
        </w:rPr>
        <w:lastRenderedPageBreak/>
        <w:t>POTPORE INDUSTRIJI I USLUGAMA</w:t>
      </w:r>
      <w:bookmarkEnd w:id="11"/>
    </w:p>
    <w:p w14:paraId="56A3783F" w14:textId="77777777" w:rsidR="00BE0817" w:rsidRPr="00BD177B" w:rsidRDefault="00BE0817" w:rsidP="00BE487D">
      <w:pPr>
        <w:jc w:val="both"/>
        <w:rPr>
          <w:b/>
        </w:rPr>
      </w:pPr>
    </w:p>
    <w:p w14:paraId="5848E0A0" w14:textId="77777777" w:rsidR="00CC2841" w:rsidRPr="00BD177B" w:rsidRDefault="00CC2841" w:rsidP="00BE487D">
      <w:pPr>
        <w:jc w:val="both"/>
        <w:rPr>
          <w:b/>
        </w:rPr>
      </w:pPr>
    </w:p>
    <w:p w14:paraId="7EDE4EDC" w14:textId="029614D3" w:rsidR="008F4FFD" w:rsidRPr="00BD177B" w:rsidRDefault="001566DB" w:rsidP="00BE487D">
      <w:pPr>
        <w:jc w:val="both"/>
      </w:pPr>
      <w:r w:rsidRPr="00BD177B">
        <w:t>P</w:t>
      </w:r>
      <w:r w:rsidR="008F4FFD" w:rsidRPr="00BD177B">
        <w:t xml:space="preserve">otpore u sektoru industrije i usluga </w:t>
      </w:r>
      <w:r w:rsidR="00B152B3" w:rsidRPr="00BD177B">
        <w:t xml:space="preserve">dodijeljene su </w:t>
      </w:r>
      <w:r w:rsidR="007366DE" w:rsidRPr="00BD177B">
        <w:t>u 202</w:t>
      </w:r>
      <w:r w:rsidR="00B152B3" w:rsidRPr="00BD177B">
        <w:t>4</w:t>
      </w:r>
      <w:r w:rsidR="007366DE" w:rsidRPr="00BD177B">
        <w:t xml:space="preserve">. godini </w:t>
      </w:r>
      <w:r w:rsidR="008F4FFD" w:rsidRPr="00BD177B">
        <w:t xml:space="preserve">u iznosu od </w:t>
      </w:r>
      <w:r w:rsidR="00BD177B" w:rsidRPr="00BD177B">
        <w:t>1,3 milijarde eura</w:t>
      </w:r>
      <w:r w:rsidR="008F4FFD" w:rsidRPr="00BD177B">
        <w:t xml:space="preserve">, što </w:t>
      </w:r>
      <w:r w:rsidRPr="00BD177B">
        <w:t>je</w:t>
      </w:r>
      <w:r w:rsidR="00295948" w:rsidRPr="00BD177B">
        <w:t xml:space="preserve"> smanjenje </w:t>
      </w:r>
      <w:r w:rsidR="008F4FFD" w:rsidRPr="00BD177B">
        <w:t xml:space="preserve">za </w:t>
      </w:r>
      <w:r w:rsidR="00B152B3" w:rsidRPr="00BD177B">
        <w:t xml:space="preserve">646,3 </w:t>
      </w:r>
      <w:r w:rsidR="008F4FFD" w:rsidRPr="00BD177B">
        <w:t>milijun</w:t>
      </w:r>
      <w:r w:rsidR="00295948" w:rsidRPr="00BD177B">
        <w:t>a</w:t>
      </w:r>
      <w:r w:rsidR="008F4FFD" w:rsidRPr="00BD177B">
        <w:t xml:space="preserve"> </w:t>
      </w:r>
      <w:r w:rsidR="007366DE" w:rsidRPr="00BD177B">
        <w:t xml:space="preserve">eura </w:t>
      </w:r>
      <w:r w:rsidR="00B152B3" w:rsidRPr="00BD177B">
        <w:t>ili</w:t>
      </w:r>
      <w:r w:rsidR="000E3F47" w:rsidRPr="00BD177B">
        <w:t xml:space="preserve"> </w:t>
      </w:r>
      <w:r w:rsidR="00B152B3" w:rsidRPr="00BD177B">
        <w:t xml:space="preserve">32,9 </w:t>
      </w:r>
      <w:r w:rsidR="008F4FFD" w:rsidRPr="00BD177B">
        <w:t>posto u odnosu na 20</w:t>
      </w:r>
      <w:r w:rsidR="00295948" w:rsidRPr="00BD177B">
        <w:t>2</w:t>
      </w:r>
      <w:r w:rsidR="00B152B3" w:rsidRPr="00BD177B">
        <w:t>3</w:t>
      </w:r>
      <w:r w:rsidR="008F4FFD" w:rsidRPr="00BD177B">
        <w:t xml:space="preserve">. godinu kada su iznosile </w:t>
      </w:r>
      <w:r w:rsidR="00BD177B" w:rsidRPr="00BD177B">
        <w:t xml:space="preserve">gotovo 2 milijarde </w:t>
      </w:r>
      <w:r w:rsidR="007366DE" w:rsidRPr="00BD177B">
        <w:t>eura</w:t>
      </w:r>
      <w:r w:rsidR="008F4FFD" w:rsidRPr="00BD177B">
        <w:t xml:space="preserve">, te </w:t>
      </w:r>
      <w:r w:rsidR="00BE4816" w:rsidRPr="00BD177B">
        <w:t>predstavlja</w:t>
      </w:r>
      <w:r w:rsidRPr="00BD177B">
        <w:t xml:space="preserve"> </w:t>
      </w:r>
      <w:r w:rsidR="00B152B3" w:rsidRPr="00BD177B">
        <w:t xml:space="preserve">smanjenje </w:t>
      </w:r>
      <w:r w:rsidR="008F4FFD" w:rsidRPr="00BD177B">
        <w:t xml:space="preserve">za </w:t>
      </w:r>
      <w:r w:rsidR="00B152B3" w:rsidRPr="00BD177B">
        <w:t>728,</w:t>
      </w:r>
      <w:r w:rsidR="004A2875" w:rsidRPr="00BD177B">
        <w:t>5</w:t>
      </w:r>
      <w:r w:rsidR="00B152B3" w:rsidRPr="00BD177B">
        <w:t xml:space="preserve"> </w:t>
      </w:r>
      <w:r w:rsidR="008F4FFD" w:rsidRPr="00BD177B">
        <w:t xml:space="preserve">milijuna </w:t>
      </w:r>
      <w:r w:rsidR="007366DE" w:rsidRPr="00BD177B">
        <w:t xml:space="preserve">eura </w:t>
      </w:r>
      <w:r w:rsidR="008F4FFD" w:rsidRPr="00BD177B">
        <w:t>ili</w:t>
      </w:r>
      <w:r w:rsidR="000E3F47" w:rsidRPr="00BD177B">
        <w:t xml:space="preserve"> </w:t>
      </w:r>
      <w:r w:rsidR="00B152B3" w:rsidRPr="00BD177B">
        <w:t xml:space="preserve">35,5 </w:t>
      </w:r>
      <w:r w:rsidR="008F4FFD" w:rsidRPr="00BD177B">
        <w:t>posto u odnosu na 20</w:t>
      </w:r>
      <w:r w:rsidRPr="00BD177B">
        <w:t>2</w:t>
      </w:r>
      <w:r w:rsidR="00B152B3" w:rsidRPr="00BD177B">
        <w:t>2</w:t>
      </w:r>
      <w:r w:rsidR="008F4FFD" w:rsidRPr="00BD177B">
        <w:t xml:space="preserve">. godinu kada su iznosile </w:t>
      </w:r>
      <w:r w:rsidR="00BD177B" w:rsidRPr="00BD177B">
        <w:t xml:space="preserve">2 milijarde </w:t>
      </w:r>
      <w:r w:rsidR="007366DE" w:rsidRPr="00BD177B">
        <w:t>eura</w:t>
      </w:r>
      <w:r w:rsidR="008F4FFD" w:rsidRPr="00BD177B">
        <w:t xml:space="preserve">. </w:t>
      </w:r>
    </w:p>
    <w:p w14:paraId="26170116" w14:textId="77777777" w:rsidR="004255DD" w:rsidRPr="00BD177B" w:rsidRDefault="004255DD" w:rsidP="004255DD"/>
    <w:p w14:paraId="3BB033A2" w14:textId="13C26023" w:rsidR="008F4FFD" w:rsidRPr="00BD177B" w:rsidRDefault="008F4FFD" w:rsidP="00BE487D">
      <w:pPr>
        <w:contextualSpacing/>
        <w:jc w:val="both"/>
        <w:rPr>
          <w:bCs/>
        </w:rPr>
      </w:pPr>
      <w:r w:rsidRPr="00BD177B">
        <w:t xml:space="preserve">Tablica </w:t>
      </w:r>
      <w:r w:rsidR="0015454B" w:rsidRPr="00BD177B">
        <w:t>8</w:t>
      </w:r>
      <w:r w:rsidRPr="00BD177B">
        <w:t>. Potpore</w:t>
      </w:r>
      <w:r w:rsidR="00E3336C" w:rsidRPr="00BD177B">
        <w:t xml:space="preserve"> u sektoru</w:t>
      </w:r>
      <w:r w:rsidR="00E3336C" w:rsidRPr="00BD177B">
        <w:rPr>
          <w:bCs/>
        </w:rPr>
        <w:t xml:space="preserve"> industrije i usluga </w:t>
      </w:r>
      <w:r w:rsidR="00C04D37" w:rsidRPr="00BD177B">
        <w:rPr>
          <w:bCs/>
        </w:rPr>
        <w:t>u</w:t>
      </w:r>
      <w:r w:rsidRPr="00BD177B">
        <w:rPr>
          <w:bCs/>
        </w:rPr>
        <w:t xml:space="preserve"> razdoblj</w:t>
      </w:r>
      <w:r w:rsidR="00C04D37" w:rsidRPr="00BD177B">
        <w:rPr>
          <w:bCs/>
        </w:rPr>
        <w:t>u</w:t>
      </w:r>
      <w:r w:rsidRPr="00BD177B">
        <w:rPr>
          <w:bCs/>
        </w:rPr>
        <w:t xml:space="preserve"> </w:t>
      </w:r>
      <w:r w:rsidRPr="00BD177B">
        <w:t>od 20</w:t>
      </w:r>
      <w:r w:rsidR="00031B30" w:rsidRPr="00BD177B">
        <w:t>2</w:t>
      </w:r>
      <w:r w:rsidR="00E3336C" w:rsidRPr="00BD177B">
        <w:t>2</w:t>
      </w:r>
      <w:r w:rsidRPr="00BD177B">
        <w:t>. do 202</w:t>
      </w:r>
      <w:r w:rsidR="00E3336C" w:rsidRPr="00BD177B">
        <w:t>4</w:t>
      </w:r>
      <w:r w:rsidRPr="00BD177B">
        <w:t>.</w:t>
      </w:r>
      <w:r w:rsidR="00A43EAC" w:rsidRPr="00BD177B">
        <w:t xml:space="preserve"> </w:t>
      </w:r>
      <w:r w:rsidRPr="00BD177B">
        <w:t>godine</w:t>
      </w:r>
    </w:p>
    <w:p w14:paraId="71B99016" w14:textId="77777777" w:rsidR="008F4FFD" w:rsidRPr="00BD177B" w:rsidRDefault="008F4FFD" w:rsidP="00BE487D">
      <w:pPr>
        <w:contextualSpacing/>
        <w:jc w:val="both"/>
        <w:rPr>
          <w:bCs/>
          <w:sz w:val="20"/>
        </w:rPr>
      </w:pPr>
    </w:p>
    <w:tbl>
      <w:tblPr>
        <w:tblW w:w="8926" w:type="dxa"/>
        <w:tblLook w:val="04A0" w:firstRow="1" w:lastRow="0" w:firstColumn="1" w:lastColumn="0" w:noHBand="0" w:noVBand="1"/>
      </w:tblPr>
      <w:tblGrid>
        <w:gridCol w:w="3397"/>
        <w:gridCol w:w="993"/>
        <w:gridCol w:w="850"/>
        <w:gridCol w:w="992"/>
        <w:gridCol w:w="851"/>
        <w:gridCol w:w="992"/>
        <w:gridCol w:w="851"/>
      </w:tblGrid>
      <w:tr w:rsidR="00DB77E9" w:rsidRPr="00BD177B" w14:paraId="446E966F" w14:textId="77777777" w:rsidTr="00C04D37">
        <w:trPr>
          <w:trHeight w:val="47"/>
        </w:trPr>
        <w:tc>
          <w:tcPr>
            <w:tcW w:w="3397"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D98BB5" w14:textId="77777777" w:rsidR="00DB77E9" w:rsidRPr="00BD177B" w:rsidRDefault="00DB77E9" w:rsidP="00DB77E9">
            <w:pPr>
              <w:jc w:val="center"/>
              <w:rPr>
                <w:b/>
                <w:bCs/>
                <w:sz w:val="20"/>
                <w:szCs w:val="20"/>
              </w:rPr>
            </w:pPr>
            <w:r w:rsidRPr="00BD177B">
              <w:rPr>
                <w:b/>
                <w:bCs/>
                <w:sz w:val="20"/>
                <w:szCs w:val="20"/>
              </w:rPr>
              <w:t>Kategorija</w:t>
            </w:r>
          </w:p>
        </w:tc>
        <w:tc>
          <w:tcPr>
            <w:tcW w:w="1843" w:type="dxa"/>
            <w:gridSpan w:val="2"/>
            <w:tcBorders>
              <w:top w:val="single" w:sz="4" w:space="0" w:color="auto"/>
              <w:left w:val="nil"/>
              <w:bottom w:val="single" w:sz="4" w:space="0" w:color="auto"/>
              <w:right w:val="single" w:sz="4" w:space="0" w:color="000000"/>
            </w:tcBorders>
            <w:shd w:val="clear" w:color="000000" w:fill="FFFF99"/>
            <w:noWrap/>
            <w:vAlign w:val="bottom"/>
            <w:hideMark/>
          </w:tcPr>
          <w:p w14:paraId="12D1985E" w14:textId="568A1472" w:rsidR="00DB77E9" w:rsidRPr="00BD177B" w:rsidRDefault="00DB77E9" w:rsidP="00E3336C">
            <w:pPr>
              <w:jc w:val="center"/>
              <w:rPr>
                <w:b/>
                <w:bCs/>
                <w:sz w:val="20"/>
                <w:szCs w:val="20"/>
                <w:lang w:eastAsia="hr-HR"/>
              </w:rPr>
            </w:pPr>
            <w:r w:rsidRPr="00BD177B">
              <w:rPr>
                <w:rFonts w:eastAsia="Times New Roman"/>
                <w:b/>
                <w:bCs/>
                <w:sz w:val="20"/>
                <w:szCs w:val="20"/>
                <w:lang w:eastAsia="hr-HR"/>
              </w:rPr>
              <w:t>202</w:t>
            </w:r>
            <w:r w:rsidR="00E3336C" w:rsidRPr="00BD177B">
              <w:rPr>
                <w:rFonts w:eastAsia="Times New Roman"/>
                <w:b/>
                <w:bCs/>
                <w:sz w:val="20"/>
                <w:szCs w:val="20"/>
                <w:lang w:eastAsia="hr-HR"/>
              </w:rPr>
              <w:t>2</w:t>
            </w:r>
            <w:r w:rsidRPr="00BD177B">
              <w:rPr>
                <w:rFonts w:eastAsia="Times New Roman"/>
                <w:b/>
                <w:bCs/>
                <w:sz w:val="20"/>
                <w:szCs w:val="20"/>
                <w:lang w:eastAsia="hr-HR"/>
              </w:rPr>
              <w:t>.</w:t>
            </w:r>
          </w:p>
        </w:tc>
        <w:tc>
          <w:tcPr>
            <w:tcW w:w="1843"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0DCEFA22" w14:textId="2D95956E" w:rsidR="00DB77E9" w:rsidRPr="00BD177B" w:rsidRDefault="00DB77E9" w:rsidP="00E3336C">
            <w:pPr>
              <w:jc w:val="center"/>
              <w:rPr>
                <w:b/>
                <w:bCs/>
                <w:sz w:val="20"/>
                <w:szCs w:val="20"/>
                <w:lang w:eastAsia="hr-HR"/>
              </w:rPr>
            </w:pPr>
            <w:r w:rsidRPr="00BD177B">
              <w:rPr>
                <w:rFonts w:eastAsia="Times New Roman"/>
                <w:b/>
                <w:bCs/>
                <w:sz w:val="20"/>
                <w:szCs w:val="20"/>
                <w:lang w:eastAsia="hr-HR"/>
              </w:rPr>
              <w:t>202</w:t>
            </w:r>
            <w:r w:rsidR="00E3336C" w:rsidRPr="00BD177B">
              <w:rPr>
                <w:rFonts w:eastAsia="Times New Roman"/>
                <w:b/>
                <w:bCs/>
                <w:sz w:val="20"/>
                <w:szCs w:val="20"/>
                <w:lang w:eastAsia="hr-HR"/>
              </w:rPr>
              <w:t>3</w:t>
            </w:r>
            <w:r w:rsidRPr="00BD177B">
              <w:rPr>
                <w:rFonts w:eastAsia="Times New Roman"/>
                <w:b/>
                <w:bCs/>
                <w:sz w:val="20"/>
                <w:szCs w:val="20"/>
                <w:lang w:eastAsia="hr-HR"/>
              </w:rPr>
              <w:t>.</w:t>
            </w:r>
          </w:p>
        </w:tc>
        <w:tc>
          <w:tcPr>
            <w:tcW w:w="1843"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585EB5BA" w14:textId="0C3E1D80" w:rsidR="00DB77E9" w:rsidRPr="00BD177B" w:rsidRDefault="00DB77E9" w:rsidP="00E3336C">
            <w:pPr>
              <w:jc w:val="center"/>
              <w:rPr>
                <w:b/>
                <w:bCs/>
                <w:sz w:val="20"/>
                <w:szCs w:val="20"/>
                <w:lang w:eastAsia="hr-HR"/>
              </w:rPr>
            </w:pPr>
            <w:r w:rsidRPr="00BD177B">
              <w:rPr>
                <w:rFonts w:eastAsia="Times New Roman"/>
                <w:b/>
                <w:bCs/>
                <w:sz w:val="20"/>
                <w:szCs w:val="20"/>
                <w:lang w:eastAsia="hr-HR"/>
              </w:rPr>
              <w:t>202</w:t>
            </w:r>
            <w:r w:rsidR="00E3336C" w:rsidRPr="00BD177B">
              <w:rPr>
                <w:rFonts w:eastAsia="Times New Roman"/>
                <w:b/>
                <w:bCs/>
                <w:sz w:val="20"/>
                <w:szCs w:val="20"/>
                <w:lang w:eastAsia="hr-HR"/>
              </w:rPr>
              <w:t>4</w:t>
            </w:r>
            <w:r w:rsidRPr="00BD177B">
              <w:rPr>
                <w:rFonts w:eastAsia="Times New Roman"/>
                <w:b/>
                <w:bCs/>
                <w:sz w:val="20"/>
                <w:szCs w:val="20"/>
                <w:lang w:eastAsia="hr-HR"/>
              </w:rPr>
              <w:t>.</w:t>
            </w:r>
          </w:p>
        </w:tc>
      </w:tr>
      <w:tr w:rsidR="00DB77E9" w:rsidRPr="00BD177B" w14:paraId="5436E38E" w14:textId="77777777" w:rsidTr="00C04D37">
        <w:trPr>
          <w:trHeight w:val="204"/>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618DEF72" w14:textId="77777777" w:rsidR="00DB77E9" w:rsidRPr="00BD177B" w:rsidRDefault="00DB77E9" w:rsidP="00DB77E9">
            <w:pPr>
              <w:jc w:val="center"/>
              <w:rPr>
                <w:b/>
                <w:bCs/>
                <w:sz w:val="20"/>
                <w:szCs w:val="20"/>
              </w:rPr>
            </w:pPr>
          </w:p>
        </w:tc>
        <w:tc>
          <w:tcPr>
            <w:tcW w:w="993" w:type="dxa"/>
            <w:tcBorders>
              <w:top w:val="nil"/>
              <w:left w:val="nil"/>
              <w:bottom w:val="single" w:sz="4" w:space="0" w:color="auto"/>
              <w:right w:val="single" w:sz="4" w:space="0" w:color="auto"/>
            </w:tcBorders>
            <w:shd w:val="clear" w:color="000000" w:fill="FFFF99"/>
            <w:vAlign w:val="center"/>
            <w:hideMark/>
          </w:tcPr>
          <w:p w14:paraId="1D27E16D" w14:textId="1B4A88F0" w:rsidR="00DB77E9" w:rsidRPr="00BD177B" w:rsidRDefault="00DB77E9" w:rsidP="00DB77E9">
            <w:pPr>
              <w:jc w:val="center"/>
              <w:rPr>
                <w:sz w:val="20"/>
                <w:szCs w:val="20"/>
              </w:rPr>
            </w:pPr>
            <w:r w:rsidRPr="00BD177B">
              <w:rPr>
                <w:sz w:val="20"/>
                <w:szCs w:val="20"/>
              </w:rPr>
              <w:t>u mln EUR</w:t>
            </w:r>
          </w:p>
        </w:tc>
        <w:tc>
          <w:tcPr>
            <w:tcW w:w="850" w:type="dxa"/>
            <w:tcBorders>
              <w:top w:val="nil"/>
              <w:left w:val="nil"/>
              <w:bottom w:val="single" w:sz="4" w:space="0" w:color="auto"/>
              <w:right w:val="single" w:sz="4" w:space="0" w:color="auto"/>
            </w:tcBorders>
            <w:shd w:val="clear" w:color="000000" w:fill="FFFF99"/>
            <w:vAlign w:val="center"/>
            <w:hideMark/>
          </w:tcPr>
          <w:p w14:paraId="7A61216C" w14:textId="77777777" w:rsidR="00DB77E9" w:rsidRPr="00BD177B" w:rsidRDefault="00DB77E9" w:rsidP="00DB77E9">
            <w:pPr>
              <w:jc w:val="center"/>
              <w:rPr>
                <w:sz w:val="20"/>
                <w:szCs w:val="20"/>
              </w:rPr>
            </w:pPr>
            <w:r w:rsidRPr="00BD177B">
              <w:rPr>
                <w:sz w:val="20"/>
                <w:szCs w:val="20"/>
              </w:rPr>
              <w:t>udio (%)</w:t>
            </w:r>
          </w:p>
        </w:tc>
        <w:tc>
          <w:tcPr>
            <w:tcW w:w="992" w:type="dxa"/>
            <w:tcBorders>
              <w:top w:val="nil"/>
              <w:left w:val="nil"/>
              <w:bottom w:val="single" w:sz="4" w:space="0" w:color="auto"/>
              <w:right w:val="single" w:sz="4" w:space="0" w:color="auto"/>
            </w:tcBorders>
            <w:shd w:val="clear" w:color="000000" w:fill="FFFF99"/>
            <w:vAlign w:val="center"/>
            <w:hideMark/>
          </w:tcPr>
          <w:p w14:paraId="7B4C2338" w14:textId="11B95966" w:rsidR="00DB77E9" w:rsidRPr="00BD177B" w:rsidRDefault="00DB77E9" w:rsidP="00DB77E9">
            <w:pPr>
              <w:jc w:val="center"/>
              <w:rPr>
                <w:sz w:val="20"/>
                <w:szCs w:val="20"/>
              </w:rPr>
            </w:pPr>
            <w:r w:rsidRPr="00BD177B">
              <w:rPr>
                <w:sz w:val="20"/>
                <w:szCs w:val="20"/>
              </w:rPr>
              <w:t>u mln EUR</w:t>
            </w:r>
          </w:p>
        </w:tc>
        <w:tc>
          <w:tcPr>
            <w:tcW w:w="851" w:type="dxa"/>
            <w:tcBorders>
              <w:top w:val="nil"/>
              <w:left w:val="nil"/>
              <w:bottom w:val="single" w:sz="4" w:space="0" w:color="auto"/>
              <w:right w:val="single" w:sz="4" w:space="0" w:color="auto"/>
            </w:tcBorders>
            <w:shd w:val="clear" w:color="000000" w:fill="FFFF99"/>
            <w:vAlign w:val="center"/>
            <w:hideMark/>
          </w:tcPr>
          <w:p w14:paraId="3D2D4056" w14:textId="77777777" w:rsidR="00DB77E9" w:rsidRPr="00BD177B" w:rsidRDefault="00DB77E9" w:rsidP="00DB77E9">
            <w:pPr>
              <w:jc w:val="center"/>
              <w:rPr>
                <w:sz w:val="20"/>
                <w:szCs w:val="20"/>
              </w:rPr>
            </w:pPr>
            <w:r w:rsidRPr="00BD177B">
              <w:rPr>
                <w:sz w:val="20"/>
                <w:szCs w:val="20"/>
              </w:rPr>
              <w:t>udio (%)</w:t>
            </w:r>
          </w:p>
        </w:tc>
        <w:tc>
          <w:tcPr>
            <w:tcW w:w="992" w:type="dxa"/>
            <w:tcBorders>
              <w:top w:val="nil"/>
              <w:left w:val="nil"/>
              <w:bottom w:val="single" w:sz="4" w:space="0" w:color="auto"/>
              <w:right w:val="single" w:sz="4" w:space="0" w:color="auto"/>
            </w:tcBorders>
            <w:shd w:val="clear" w:color="000000" w:fill="FFFF99"/>
            <w:vAlign w:val="center"/>
            <w:hideMark/>
          </w:tcPr>
          <w:p w14:paraId="0C09F0B9" w14:textId="46ED3C68" w:rsidR="00DB77E9" w:rsidRPr="00BD177B" w:rsidRDefault="00DB77E9" w:rsidP="00DB77E9">
            <w:pPr>
              <w:jc w:val="center"/>
              <w:rPr>
                <w:sz w:val="20"/>
                <w:szCs w:val="20"/>
              </w:rPr>
            </w:pPr>
            <w:r w:rsidRPr="00BD177B">
              <w:rPr>
                <w:sz w:val="20"/>
                <w:szCs w:val="20"/>
              </w:rPr>
              <w:t>u mln EUR</w:t>
            </w:r>
          </w:p>
        </w:tc>
        <w:tc>
          <w:tcPr>
            <w:tcW w:w="851" w:type="dxa"/>
            <w:tcBorders>
              <w:top w:val="nil"/>
              <w:left w:val="nil"/>
              <w:bottom w:val="single" w:sz="4" w:space="0" w:color="auto"/>
              <w:right w:val="single" w:sz="4" w:space="0" w:color="auto"/>
            </w:tcBorders>
            <w:shd w:val="clear" w:color="000000" w:fill="FFFF99"/>
            <w:vAlign w:val="center"/>
            <w:hideMark/>
          </w:tcPr>
          <w:p w14:paraId="51CD8367" w14:textId="77777777" w:rsidR="00DB77E9" w:rsidRPr="00BD177B" w:rsidRDefault="00DB77E9" w:rsidP="00DB77E9">
            <w:pPr>
              <w:jc w:val="center"/>
              <w:rPr>
                <w:sz w:val="20"/>
                <w:szCs w:val="20"/>
              </w:rPr>
            </w:pPr>
            <w:r w:rsidRPr="00BD177B">
              <w:rPr>
                <w:sz w:val="20"/>
                <w:szCs w:val="20"/>
              </w:rPr>
              <w:t>udio (%)</w:t>
            </w:r>
          </w:p>
        </w:tc>
      </w:tr>
      <w:tr w:rsidR="00B152B3" w:rsidRPr="00BD177B" w14:paraId="10CF82AA" w14:textId="77777777" w:rsidTr="00B152B3">
        <w:trPr>
          <w:trHeight w:val="4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8C48FF5" w14:textId="77777777" w:rsidR="00B152B3" w:rsidRPr="00BD177B" w:rsidRDefault="00B152B3" w:rsidP="00B152B3">
            <w:pPr>
              <w:jc w:val="both"/>
              <w:rPr>
                <w:b/>
                <w:bCs/>
                <w:sz w:val="20"/>
                <w:szCs w:val="20"/>
              </w:rPr>
            </w:pPr>
            <w:r w:rsidRPr="00BD177B">
              <w:rPr>
                <w:b/>
                <w:bCs/>
                <w:sz w:val="20"/>
                <w:szCs w:val="20"/>
              </w:rPr>
              <w:t>Industrija i usluge</w:t>
            </w:r>
          </w:p>
        </w:tc>
        <w:tc>
          <w:tcPr>
            <w:tcW w:w="993" w:type="dxa"/>
            <w:tcBorders>
              <w:top w:val="nil"/>
              <w:left w:val="nil"/>
              <w:bottom w:val="single" w:sz="4" w:space="0" w:color="auto"/>
              <w:right w:val="single" w:sz="4" w:space="0" w:color="auto"/>
            </w:tcBorders>
            <w:shd w:val="clear" w:color="auto" w:fill="auto"/>
            <w:noWrap/>
            <w:vAlign w:val="center"/>
            <w:hideMark/>
          </w:tcPr>
          <w:p w14:paraId="07D38DE3" w14:textId="650AEA72" w:rsidR="00B152B3" w:rsidRPr="00BD177B" w:rsidRDefault="00B152B3" w:rsidP="00B152B3">
            <w:pPr>
              <w:jc w:val="right"/>
              <w:rPr>
                <w:b/>
                <w:sz w:val="20"/>
                <w:szCs w:val="20"/>
              </w:rPr>
            </w:pPr>
            <w:r w:rsidRPr="00BD177B">
              <w:rPr>
                <w:b/>
                <w:sz w:val="20"/>
                <w:szCs w:val="20"/>
              </w:rPr>
              <w:t>2.049,4</w:t>
            </w:r>
          </w:p>
        </w:tc>
        <w:tc>
          <w:tcPr>
            <w:tcW w:w="850" w:type="dxa"/>
            <w:tcBorders>
              <w:top w:val="nil"/>
              <w:left w:val="nil"/>
              <w:bottom w:val="single" w:sz="4" w:space="0" w:color="auto"/>
              <w:right w:val="single" w:sz="4" w:space="0" w:color="auto"/>
            </w:tcBorders>
            <w:shd w:val="clear" w:color="auto" w:fill="auto"/>
            <w:noWrap/>
            <w:vAlign w:val="center"/>
          </w:tcPr>
          <w:p w14:paraId="7240F6D0" w14:textId="631440CD" w:rsidR="00B152B3" w:rsidRPr="00BD177B" w:rsidRDefault="00B152B3" w:rsidP="00B152B3">
            <w:pPr>
              <w:jc w:val="center"/>
              <w:rPr>
                <w:b/>
                <w:sz w:val="20"/>
                <w:szCs w:val="20"/>
              </w:rPr>
            </w:pPr>
            <w:r w:rsidRPr="00BD177B">
              <w:rPr>
                <w:rFonts w:eastAsia="Times New Roman"/>
                <w:b/>
                <w:bCs/>
                <w:sz w:val="20"/>
                <w:szCs w:val="20"/>
                <w:lang w:eastAsia="hr-HR"/>
              </w:rPr>
              <w:t>100,00</w:t>
            </w:r>
          </w:p>
        </w:tc>
        <w:tc>
          <w:tcPr>
            <w:tcW w:w="992" w:type="dxa"/>
            <w:tcBorders>
              <w:top w:val="nil"/>
              <w:left w:val="nil"/>
              <w:bottom w:val="single" w:sz="4" w:space="0" w:color="auto"/>
              <w:right w:val="single" w:sz="4" w:space="0" w:color="auto"/>
            </w:tcBorders>
            <w:shd w:val="clear" w:color="auto" w:fill="auto"/>
            <w:noWrap/>
            <w:vAlign w:val="center"/>
          </w:tcPr>
          <w:p w14:paraId="414989FD" w14:textId="5208F1E2" w:rsidR="00B152B3" w:rsidRPr="00BD177B" w:rsidRDefault="00B152B3" w:rsidP="00B152B3">
            <w:pPr>
              <w:jc w:val="right"/>
              <w:rPr>
                <w:b/>
                <w:sz w:val="20"/>
                <w:szCs w:val="20"/>
              </w:rPr>
            </w:pPr>
            <w:r w:rsidRPr="00BD177B">
              <w:rPr>
                <w:b/>
                <w:sz w:val="20"/>
                <w:szCs w:val="20"/>
              </w:rPr>
              <w:t>1.967,2</w:t>
            </w:r>
          </w:p>
        </w:tc>
        <w:tc>
          <w:tcPr>
            <w:tcW w:w="851" w:type="dxa"/>
            <w:tcBorders>
              <w:top w:val="nil"/>
              <w:left w:val="nil"/>
              <w:bottom w:val="single" w:sz="4" w:space="0" w:color="auto"/>
              <w:right w:val="single" w:sz="4" w:space="0" w:color="auto"/>
            </w:tcBorders>
            <w:shd w:val="clear" w:color="auto" w:fill="auto"/>
            <w:noWrap/>
            <w:vAlign w:val="center"/>
          </w:tcPr>
          <w:p w14:paraId="4B5C692D" w14:textId="46B9C1DA" w:rsidR="00B152B3" w:rsidRPr="00BD177B" w:rsidRDefault="00B152B3" w:rsidP="00B152B3">
            <w:pPr>
              <w:jc w:val="center"/>
              <w:rPr>
                <w:b/>
                <w:sz w:val="20"/>
                <w:szCs w:val="20"/>
              </w:rPr>
            </w:pPr>
            <w:r w:rsidRPr="00BD177B">
              <w:rPr>
                <w:rFonts w:eastAsia="Times New Roman"/>
                <w:b/>
                <w:bCs/>
                <w:sz w:val="20"/>
                <w:szCs w:val="20"/>
                <w:lang w:eastAsia="hr-HR"/>
              </w:rPr>
              <w:t>100,00</w:t>
            </w:r>
          </w:p>
        </w:tc>
        <w:tc>
          <w:tcPr>
            <w:tcW w:w="992" w:type="dxa"/>
            <w:tcBorders>
              <w:top w:val="nil"/>
              <w:left w:val="nil"/>
              <w:bottom w:val="single" w:sz="4" w:space="0" w:color="auto"/>
              <w:right w:val="single" w:sz="4" w:space="0" w:color="auto"/>
            </w:tcBorders>
            <w:shd w:val="clear" w:color="auto" w:fill="auto"/>
            <w:noWrap/>
            <w:vAlign w:val="center"/>
          </w:tcPr>
          <w:p w14:paraId="333BD0D2" w14:textId="4E03EE42" w:rsidR="00B152B3" w:rsidRPr="00BD177B" w:rsidRDefault="00B152B3" w:rsidP="00D6022E">
            <w:pPr>
              <w:jc w:val="right"/>
              <w:rPr>
                <w:b/>
                <w:sz w:val="20"/>
                <w:szCs w:val="20"/>
              </w:rPr>
            </w:pPr>
            <w:r w:rsidRPr="00BD177B">
              <w:rPr>
                <w:b/>
                <w:sz w:val="20"/>
                <w:szCs w:val="20"/>
              </w:rPr>
              <w:t>1.32</w:t>
            </w:r>
            <w:r w:rsidR="00D6022E" w:rsidRPr="00BD177B">
              <w:rPr>
                <w:b/>
                <w:sz w:val="20"/>
                <w:szCs w:val="20"/>
              </w:rPr>
              <w:t>0</w:t>
            </w:r>
            <w:r w:rsidRPr="00BD177B">
              <w:rPr>
                <w:b/>
                <w:sz w:val="20"/>
                <w:szCs w:val="20"/>
              </w:rPr>
              <w:t>,</w:t>
            </w:r>
            <w:r w:rsidR="00D6022E" w:rsidRPr="00BD177B">
              <w:rPr>
                <w:b/>
                <w:sz w:val="20"/>
                <w:szCs w:val="20"/>
              </w:rPr>
              <w:t>9</w:t>
            </w:r>
          </w:p>
        </w:tc>
        <w:tc>
          <w:tcPr>
            <w:tcW w:w="851" w:type="dxa"/>
            <w:tcBorders>
              <w:top w:val="nil"/>
              <w:left w:val="nil"/>
              <w:bottom w:val="single" w:sz="4" w:space="0" w:color="auto"/>
              <w:right w:val="single" w:sz="4" w:space="0" w:color="auto"/>
            </w:tcBorders>
            <w:shd w:val="clear" w:color="auto" w:fill="auto"/>
            <w:noWrap/>
            <w:vAlign w:val="center"/>
          </w:tcPr>
          <w:p w14:paraId="1D48E6EB" w14:textId="19A1A105" w:rsidR="00B152B3" w:rsidRPr="00BD177B" w:rsidRDefault="00B152B3" w:rsidP="00B152B3">
            <w:pPr>
              <w:jc w:val="center"/>
              <w:rPr>
                <w:b/>
                <w:sz w:val="20"/>
                <w:szCs w:val="20"/>
              </w:rPr>
            </w:pPr>
            <w:r w:rsidRPr="00BD177B">
              <w:rPr>
                <w:rFonts w:eastAsia="Times New Roman"/>
                <w:b/>
                <w:bCs/>
                <w:sz w:val="20"/>
                <w:szCs w:val="20"/>
                <w:lang w:eastAsia="hr-HR"/>
              </w:rPr>
              <w:t>100,00</w:t>
            </w:r>
          </w:p>
        </w:tc>
      </w:tr>
      <w:tr w:rsidR="00B152B3" w:rsidRPr="00BD177B" w14:paraId="5E253246" w14:textId="77777777" w:rsidTr="00B152B3">
        <w:trPr>
          <w:trHeight w:val="4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3D47D91" w14:textId="77777777" w:rsidR="00B152B3" w:rsidRPr="00BD177B" w:rsidRDefault="00B152B3" w:rsidP="00B152B3">
            <w:pPr>
              <w:jc w:val="both"/>
              <w:rPr>
                <w:iCs/>
                <w:sz w:val="20"/>
                <w:szCs w:val="20"/>
              </w:rPr>
            </w:pPr>
            <w:r w:rsidRPr="00BD177B">
              <w:rPr>
                <w:iCs/>
                <w:sz w:val="20"/>
                <w:szCs w:val="20"/>
              </w:rPr>
              <w:t>1. Sektorske potpore</w:t>
            </w:r>
          </w:p>
        </w:tc>
        <w:tc>
          <w:tcPr>
            <w:tcW w:w="993" w:type="dxa"/>
            <w:tcBorders>
              <w:top w:val="nil"/>
              <w:left w:val="nil"/>
              <w:bottom w:val="single" w:sz="4" w:space="0" w:color="auto"/>
              <w:right w:val="single" w:sz="4" w:space="0" w:color="auto"/>
            </w:tcBorders>
            <w:shd w:val="clear" w:color="auto" w:fill="auto"/>
            <w:noWrap/>
            <w:vAlign w:val="center"/>
            <w:hideMark/>
          </w:tcPr>
          <w:p w14:paraId="09E1D3EF" w14:textId="634DCA85" w:rsidR="00B152B3" w:rsidRPr="00BD177B" w:rsidRDefault="00B152B3" w:rsidP="00B152B3">
            <w:pPr>
              <w:jc w:val="right"/>
              <w:rPr>
                <w:b/>
                <w:sz w:val="20"/>
                <w:szCs w:val="20"/>
              </w:rPr>
            </w:pPr>
            <w:r w:rsidRPr="00BD177B">
              <w:rPr>
                <w:b/>
                <w:sz w:val="20"/>
                <w:szCs w:val="20"/>
              </w:rPr>
              <w:t>604,0</w:t>
            </w:r>
          </w:p>
        </w:tc>
        <w:tc>
          <w:tcPr>
            <w:tcW w:w="850" w:type="dxa"/>
            <w:tcBorders>
              <w:top w:val="nil"/>
              <w:left w:val="nil"/>
              <w:bottom w:val="single" w:sz="4" w:space="0" w:color="auto"/>
              <w:right w:val="single" w:sz="4" w:space="0" w:color="auto"/>
            </w:tcBorders>
            <w:shd w:val="clear" w:color="auto" w:fill="auto"/>
            <w:noWrap/>
            <w:vAlign w:val="center"/>
          </w:tcPr>
          <w:p w14:paraId="17437C33" w14:textId="1B06E0DA" w:rsidR="00B152B3" w:rsidRPr="00BD177B" w:rsidRDefault="00B152B3" w:rsidP="00B152B3">
            <w:pPr>
              <w:jc w:val="center"/>
              <w:rPr>
                <w:b/>
                <w:sz w:val="20"/>
                <w:szCs w:val="20"/>
              </w:rPr>
            </w:pPr>
            <w:r w:rsidRPr="00BD177B">
              <w:rPr>
                <w:rFonts w:eastAsia="Times New Roman"/>
                <w:b/>
                <w:sz w:val="20"/>
                <w:szCs w:val="20"/>
                <w:lang w:eastAsia="hr-HR"/>
              </w:rPr>
              <w:t>29,47</w:t>
            </w:r>
          </w:p>
        </w:tc>
        <w:tc>
          <w:tcPr>
            <w:tcW w:w="992" w:type="dxa"/>
            <w:tcBorders>
              <w:top w:val="nil"/>
              <w:left w:val="nil"/>
              <w:bottom w:val="single" w:sz="4" w:space="0" w:color="auto"/>
              <w:right w:val="single" w:sz="4" w:space="0" w:color="auto"/>
            </w:tcBorders>
            <w:shd w:val="clear" w:color="auto" w:fill="auto"/>
            <w:noWrap/>
            <w:vAlign w:val="center"/>
          </w:tcPr>
          <w:p w14:paraId="13006EA5" w14:textId="78A5CC6E" w:rsidR="00B152B3" w:rsidRPr="00BD177B" w:rsidRDefault="00D6022E" w:rsidP="00B152B3">
            <w:pPr>
              <w:jc w:val="right"/>
              <w:rPr>
                <w:b/>
                <w:sz w:val="20"/>
                <w:szCs w:val="20"/>
              </w:rPr>
            </w:pPr>
            <w:r w:rsidRPr="00BD177B">
              <w:rPr>
                <w:b/>
                <w:sz w:val="20"/>
                <w:szCs w:val="20"/>
              </w:rPr>
              <w:t>849,4</w:t>
            </w:r>
          </w:p>
        </w:tc>
        <w:tc>
          <w:tcPr>
            <w:tcW w:w="851" w:type="dxa"/>
            <w:tcBorders>
              <w:top w:val="nil"/>
              <w:left w:val="nil"/>
              <w:bottom w:val="single" w:sz="4" w:space="0" w:color="auto"/>
              <w:right w:val="single" w:sz="4" w:space="0" w:color="auto"/>
            </w:tcBorders>
            <w:shd w:val="clear" w:color="auto" w:fill="auto"/>
            <w:noWrap/>
            <w:vAlign w:val="center"/>
          </w:tcPr>
          <w:p w14:paraId="57C58B22" w14:textId="0FF67A81" w:rsidR="00B152B3" w:rsidRPr="00BD177B" w:rsidRDefault="00D6022E" w:rsidP="00B152B3">
            <w:pPr>
              <w:jc w:val="center"/>
              <w:rPr>
                <w:b/>
                <w:sz w:val="20"/>
                <w:szCs w:val="20"/>
              </w:rPr>
            </w:pPr>
            <w:r w:rsidRPr="00BD177B">
              <w:rPr>
                <w:rFonts w:eastAsia="Times New Roman"/>
                <w:b/>
                <w:sz w:val="20"/>
                <w:szCs w:val="20"/>
                <w:lang w:eastAsia="hr-HR"/>
              </w:rPr>
              <w:t>43,18</w:t>
            </w:r>
          </w:p>
        </w:tc>
        <w:tc>
          <w:tcPr>
            <w:tcW w:w="992" w:type="dxa"/>
            <w:tcBorders>
              <w:top w:val="nil"/>
              <w:left w:val="nil"/>
              <w:bottom w:val="single" w:sz="4" w:space="0" w:color="auto"/>
              <w:right w:val="single" w:sz="4" w:space="0" w:color="auto"/>
            </w:tcBorders>
            <w:shd w:val="clear" w:color="auto" w:fill="auto"/>
            <w:noWrap/>
            <w:vAlign w:val="center"/>
          </w:tcPr>
          <w:p w14:paraId="50777469" w14:textId="0C59DCF5" w:rsidR="00B152B3" w:rsidRPr="00BD177B" w:rsidRDefault="00B152B3" w:rsidP="00B152B3">
            <w:pPr>
              <w:jc w:val="right"/>
              <w:rPr>
                <w:b/>
                <w:sz w:val="20"/>
                <w:szCs w:val="20"/>
              </w:rPr>
            </w:pPr>
            <w:r w:rsidRPr="00BD177B">
              <w:rPr>
                <w:b/>
                <w:sz w:val="20"/>
                <w:szCs w:val="20"/>
              </w:rPr>
              <w:t>802,6</w:t>
            </w:r>
          </w:p>
        </w:tc>
        <w:tc>
          <w:tcPr>
            <w:tcW w:w="851" w:type="dxa"/>
            <w:tcBorders>
              <w:top w:val="nil"/>
              <w:left w:val="nil"/>
              <w:bottom w:val="single" w:sz="4" w:space="0" w:color="auto"/>
              <w:right w:val="single" w:sz="4" w:space="0" w:color="auto"/>
            </w:tcBorders>
            <w:shd w:val="clear" w:color="auto" w:fill="auto"/>
            <w:noWrap/>
            <w:vAlign w:val="center"/>
          </w:tcPr>
          <w:p w14:paraId="209062A6" w14:textId="68AB0ABD" w:rsidR="00B152B3" w:rsidRPr="00BD177B" w:rsidRDefault="00B152B3" w:rsidP="00B152B3">
            <w:pPr>
              <w:jc w:val="center"/>
              <w:rPr>
                <w:b/>
                <w:sz w:val="20"/>
                <w:szCs w:val="20"/>
              </w:rPr>
            </w:pPr>
            <w:r w:rsidRPr="00BD177B">
              <w:rPr>
                <w:rFonts w:eastAsia="Times New Roman"/>
                <w:b/>
                <w:sz w:val="20"/>
                <w:szCs w:val="20"/>
                <w:lang w:eastAsia="hr-HR"/>
              </w:rPr>
              <w:t>60,76</w:t>
            </w:r>
          </w:p>
        </w:tc>
      </w:tr>
      <w:tr w:rsidR="00B152B3" w:rsidRPr="00BD177B" w14:paraId="5361D85E" w14:textId="77777777" w:rsidTr="00B152B3">
        <w:trPr>
          <w:trHeight w:val="7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4069B91" w14:textId="77777777" w:rsidR="00B152B3" w:rsidRPr="00BD177B" w:rsidRDefault="00B152B3" w:rsidP="00B152B3">
            <w:pPr>
              <w:jc w:val="both"/>
              <w:rPr>
                <w:iCs/>
                <w:sz w:val="20"/>
                <w:szCs w:val="20"/>
              </w:rPr>
            </w:pPr>
            <w:r w:rsidRPr="00BD177B">
              <w:rPr>
                <w:iCs/>
                <w:sz w:val="20"/>
                <w:szCs w:val="20"/>
              </w:rPr>
              <w:t>2. Horizontalne potpore</w:t>
            </w:r>
          </w:p>
        </w:tc>
        <w:tc>
          <w:tcPr>
            <w:tcW w:w="993" w:type="dxa"/>
            <w:tcBorders>
              <w:top w:val="nil"/>
              <w:left w:val="nil"/>
              <w:bottom w:val="single" w:sz="4" w:space="0" w:color="auto"/>
              <w:right w:val="single" w:sz="4" w:space="0" w:color="auto"/>
            </w:tcBorders>
            <w:shd w:val="clear" w:color="auto" w:fill="auto"/>
            <w:noWrap/>
            <w:vAlign w:val="center"/>
            <w:hideMark/>
          </w:tcPr>
          <w:p w14:paraId="1C8AF859" w14:textId="72C6B0D6" w:rsidR="00B152B3" w:rsidRPr="00BD177B" w:rsidRDefault="00B152B3" w:rsidP="00B152B3">
            <w:pPr>
              <w:jc w:val="right"/>
              <w:rPr>
                <w:b/>
                <w:sz w:val="20"/>
                <w:szCs w:val="20"/>
              </w:rPr>
            </w:pPr>
            <w:r w:rsidRPr="00BD177B">
              <w:rPr>
                <w:b/>
                <w:sz w:val="20"/>
                <w:szCs w:val="20"/>
              </w:rPr>
              <w:t>335,2</w:t>
            </w:r>
          </w:p>
        </w:tc>
        <w:tc>
          <w:tcPr>
            <w:tcW w:w="850" w:type="dxa"/>
            <w:tcBorders>
              <w:top w:val="nil"/>
              <w:left w:val="nil"/>
              <w:bottom w:val="single" w:sz="4" w:space="0" w:color="auto"/>
              <w:right w:val="single" w:sz="4" w:space="0" w:color="auto"/>
            </w:tcBorders>
            <w:shd w:val="clear" w:color="auto" w:fill="auto"/>
            <w:noWrap/>
            <w:vAlign w:val="center"/>
          </w:tcPr>
          <w:p w14:paraId="5CCCA11E" w14:textId="7172732E" w:rsidR="00B152B3" w:rsidRPr="00BD177B" w:rsidRDefault="00B152B3" w:rsidP="00D6022E">
            <w:pPr>
              <w:jc w:val="center"/>
              <w:rPr>
                <w:b/>
                <w:sz w:val="20"/>
                <w:szCs w:val="20"/>
              </w:rPr>
            </w:pPr>
            <w:r w:rsidRPr="00BD177B">
              <w:rPr>
                <w:rFonts w:eastAsia="Times New Roman"/>
                <w:b/>
                <w:sz w:val="20"/>
                <w:szCs w:val="20"/>
                <w:lang w:eastAsia="hr-HR"/>
              </w:rPr>
              <w:t>16,3</w:t>
            </w:r>
            <w:r w:rsidR="00D6022E" w:rsidRPr="00BD177B">
              <w:rPr>
                <w:rFonts w:eastAsia="Times New Roman"/>
                <w:b/>
                <w:sz w:val="20"/>
                <w:szCs w:val="20"/>
                <w:lang w:eastAsia="hr-HR"/>
              </w:rPr>
              <w:t>6</w:t>
            </w:r>
          </w:p>
        </w:tc>
        <w:tc>
          <w:tcPr>
            <w:tcW w:w="992" w:type="dxa"/>
            <w:tcBorders>
              <w:top w:val="nil"/>
              <w:left w:val="nil"/>
              <w:bottom w:val="single" w:sz="4" w:space="0" w:color="auto"/>
              <w:right w:val="single" w:sz="4" w:space="0" w:color="auto"/>
            </w:tcBorders>
            <w:shd w:val="clear" w:color="auto" w:fill="auto"/>
            <w:noWrap/>
            <w:vAlign w:val="center"/>
          </w:tcPr>
          <w:p w14:paraId="314DE58C" w14:textId="117DACC2" w:rsidR="00B152B3" w:rsidRPr="00BD177B" w:rsidRDefault="00B152B3" w:rsidP="00B152B3">
            <w:pPr>
              <w:jc w:val="right"/>
              <w:rPr>
                <w:b/>
                <w:sz w:val="20"/>
                <w:szCs w:val="20"/>
              </w:rPr>
            </w:pPr>
            <w:r w:rsidRPr="00BD177B">
              <w:rPr>
                <w:b/>
                <w:sz w:val="20"/>
                <w:szCs w:val="20"/>
              </w:rPr>
              <w:t>5</w:t>
            </w:r>
            <w:r w:rsidR="00D6022E" w:rsidRPr="00BD177B">
              <w:rPr>
                <w:b/>
                <w:sz w:val="20"/>
                <w:szCs w:val="20"/>
              </w:rPr>
              <w:t>61,2</w:t>
            </w:r>
          </w:p>
        </w:tc>
        <w:tc>
          <w:tcPr>
            <w:tcW w:w="851" w:type="dxa"/>
            <w:tcBorders>
              <w:top w:val="nil"/>
              <w:left w:val="nil"/>
              <w:bottom w:val="single" w:sz="4" w:space="0" w:color="auto"/>
              <w:right w:val="single" w:sz="4" w:space="0" w:color="auto"/>
            </w:tcBorders>
            <w:shd w:val="clear" w:color="auto" w:fill="auto"/>
            <w:noWrap/>
            <w:vAlign w:val="center"/>
          </w:tcPr>
          <w:p w14:paraId="0FCA2E34" w14:textId="67EA1696" w:rsidR="00B152B3" w:rsidRPr="00BD177B" w:rsidRDefault="00B152B3" w:rsidP="00B152B3">
            <w:pPr>
              <w:jc w:val="center"/>
              <w:rPr>
                <w:b/>
                <w:sz w:val="20"/>
                <w:szCs w:val="20"/>
              </w:rPr>
            </w:pPr>
            <w:r w:rsidRPr="00BD177B">
              <w:rPr>
                <w:rFonts w:eastAsia="Times New Roman"/>
                <w:b/>
                <w:sz w:val="20"/>
                <w:szCs w:val="20"/>
                <w:lang w:eastAsia="hr-HR"/>
              </w:rPr>
              <w:t>28,53</w:t>
            </w:r>
          </w:p>
        </w:tc>
        <w:tc>
          <w:tcPr>
            <w:tcW w:w="992" w:type="dxa"/>
            <w:tcBorders>
              <w:top w:val="nil"/>
              <w:left w:val="nil"/>
              <w:bottom w:val="single" w:sz="4" w:space="0" w:color="auto"/>
              <w:right w:val="single" w:sz="4" w:space="0" w:color="auto"/>
            </w:tcBorders>
            <w:shd w:val="clear" w:color="auto" w:fill="auto"/>
            <w:noWrap/>
            <w:vAlign w:val="center"/>
          </w:tcPr>
          <w:p w14:paraId="5A5B2B13" w14:textId="454A447E" w:rsidR="00B152B3" w:rsidRPr="00BD177B" w:rsidRDefault="00B152B3" w:rsidP="00D6022E">
            <w:pPr>
              <w:jc w:val="right"/>
              <w:rPr>
                <w:b/>
                <w:sz w:val="20"/>
                <w:szCs w:val="20"/>
              </w:rPr>
            </w:pPr>
            <w:r w:rsidRPr="00BD177B">
              <w:rPr>
                <w:b/>
                <w:sz w:val="20"/>
                <w:szCs w:val="20"/>
              </w:rPr>
              <w:t>515,</w:t>
            </w:r>
            <w:r w:rsidR="00D6022E" w:rsidRPr="00BD177B">
              <w:rPr>
                <w:b/>
                <w:sz w:val="20"/>
                <w:szCs w:val="20"/>
              </w:rPr>
              <w:t>8</w:t>
            </w:r>
          </w:p>
        </w:tc>
        <w:tc>
          <w:tcPr>
            <w:tcW w:w="851" w:type="dxa"/>
            <w:tcBorders>
              <w:top w:val="nil"/>
              <w:left w:val="nil"/>
              <w:bottom w:val="single" w:sz="4" w:space="0" w:color="auto"/>
              <w:right w:val="single" w:sz="4" w:space="0" w:color="auto"/>
            </w:tcBorders>
            <w:shd w:val="clear" w:color="auto" w:fill="auto"/>
            <w:noWrap/>
            <w:vAlign w:val="center"/>
          </w:tcPr>
          <w:p w14:paraId="1B20C63D" w14:textId="04C7F145" w:rsidR="00B152B3" w:rsidRPr="00BD177B" w:rsidRDefault="00B152B3" w:rsidP="00B152B3">
            <w:pPr>
              <w:jc w:val="center"/>
              <w:rPr>
                <w:b/>
                <w:sz w:val="20"/>
                <w:szCs w:val="20"/>
              </w:rPr>
            </w:pPr>
            <w:r w:rsidRPr="00BD177B">
              <w:rPr>
                <w:rFonts w:eastAsia="Times New Roman"/>
                <w:b/>
                <w:sz w:val="20"/>
                <w:szCs w:val="20"/>
                <w:lang w:eastAsia="hr-HR"/>
              </w:rPr>
              <w:t>39,05</w:t>
            </w:r>
          </w:p>
        </w:tc>
      </w:tr>
      <w:tr w:rsidR="00B152B3" w:rsidRPr="00BD177B" w14:paraId="58001C06" w14:textId="77777777" w:rsidTr="00B152B3">
        <w:trPr>
          <w:trHeight w:val="129"/>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BB66F8E" w14:textId="77777777" w:rsidR="00B152B3" w:rsidRPr="00BD177B" w:rsidRDefault="00B152B3" w:rsidP="00B152B3">
            <w:pPr>
              <w:jc w:val="both"/>
              <w:rPr>
                <w:i/>
                <w:iCs/>
                <w:sz w:val="20"/>
                <w:szCs w:val="20"/>
              </w:rPr>
            </w:pPr>
            <w:r w:rsidRPr="00BD177B">
              <w:rPr>
                <w:i/>
                <w:iCs/>
                <w:sz w:val="20"/>
                <w:szCs w:val="20"/>
              </w:rPr>
              <w:t>2.1. horizontalni ciljevi</w:t>
            </w:r>
          </w:p>
        </w:tc>
        <w:tc>
          <w:tcPr>
            <w:tcW w:w="993" w:type="dxa"/>
            <w:tcBorders>
              <w:top w:val="nil"/>
              <w:left w:val="nil"/>
              <w:bottom w:val="single" w:sz="4" w:space="0" w:color="auto"/>
              <w:right w:val="single" w:sz="4" w:space="0" w:color="auto"/>
            </w:tcBorders>
            <w:shd w:val="clear" w:color="auto" w:fill="auto"/>
            <w:noWrap/>
            <w:vAlign w:val="center"/>
            <w:hideMark/>
          </w:tcPr>
          <w:p w14:paraId="50E27985" w14:textId="44D922C5" w:rsidR="00B152B3" w:rsidRPr="00BD177B" w:rsidRDefault="00B152B3" w:rsidP="00B152B3">
            <w:pPr>
              <w:jc w:val="right"/>
              <w:rPr>
                <w:sz w:val="20"/>
                <w:szCs w:val="20"/>
              </w:rPr>
            </w:pPr>
            <w:r w:rsidRPr="00BD177B">
              <w:rPr>
                <w:sz w:val="20"/>
                <w:szCs w:val="20"/>
              </w:rPr>
              <w:t>98,6</w:t>
            </w:r>
          </w:p>
        </w:tc>
        <w:tc>
          <w:tcPr>
            <w:tcW w:w="850" w:type="dxa"/>
            <w:tcBorders>
              <w:top w:val="nil"/>
              <w:left w:val="nil"/>
              <w:bottom w:val="single" w:sz="4" w:space="0" w:color="auto"/>
              <w:right w:val="single" w:sz="4" w:space="0" w:color="auto"/>
            </w:tcBorders>
            <w:shd w:val="clear" w:color="auto" w:fill="auto"/>
            <w:noWrap/>
            <w:vAlign w:val="center"/>
          </w:tcPr>
          <w:p w14:paraId="50A06FE4" w14:textId="2280FC7A" w:rsidR="00B152B3" w:rsidRPr="00BD177B" w:rsidRDefault="00B152B3" w:rsidP="00B152B3">
            <w:pPr>
              <w:jc w:val="center"/>
              <w:rPr>
                <w:sz w:val="20"/>
                <w:szCs w:val="20"/>
              </w:rPr>
            </w:pPr>
            <w:r w:rsidRPr="00BD177B">
              <w:rPr>
                <w:rFonts w:eastAsia="Times New Roman"/>
                <w:sz w:val="20"/>
                <w:szCs w:val="20"/>
                <w:lang w:eastAsia="hr-HR"/>
              </w:rPr>
              <w:t>4,81</w:t>
            </w:r>
          </w:p>
        </w:tc>
        <w:tc>
          <w:tcPr>
            <w:tcW w:w="992" w:type="dxa"/>
            <w:tcBorders>
              <w:top w:val="nil"/>
              <w:left w:val="nil"/>
              <w:bottom w:val="single" w:sz="4" w:space="0" w:color="auto"/>
              <w:right w:val="single" w:sz="4" w:space="0" w:color="auto"/>
            </w:tcBorders>
            <w:shd w:val="clear" w:color="auto" w:fill="auto"/>
            <w:noWrap/>
            <w:vAlign w:val="center"/>
          </w:tcPr>
          <w:p w14:paraId="35F16169" w14:textId="76A42056" w:rsidR="00B152B3" w:rsidRPr="00BD177B" w:rsidRDefault="00D6022E" w:rsidP="00B152B3">
            <w:pPr>
              <w:jc w:val="right"/>
              <w:rPr>
                <w:sz w:val="20"/>
                <w:szCs w:val="20"/>
              </w:rPr>
            </w:pPr>
            <w:r w:rsidRPr="00BD177B">
              <w:rPr>
                <w:sz w:val="20"/>
                <w:szCs w:val="20"/>
              </w:rPr>
              <w:t>268,3</w:t>
            </w:r>
          </w:p>
        </w:tc>
        <w:tc>
          <w:tcPr>
            <w:tcW w:w="851" w:type="dxa"/>
            <w:tcBorders>
              <w:top w:val="nil"/>
              <w:left w:val="nil"/>
              <w:bottom w:val="single" w:sz="4" w:space="0" w:color="auto"/>
              <w:right w:val="single" w:sz="4" w:space="0" w:color="auto"/>
            </w:tcBorders>
            <w:shd w:val="clear" w:color="auto" w:fill="auto"/>
            <w:noWrap/>
            <w:vAlign w:val="center"/>
          </w:tcPr>
          <w:p w14:paraId="1D6266ED" w14:textId="1A7154CE" w:rsidR="00B152B3" w:rsidRPr="00BD177B" w:rsidRDefault="00B152B3" w:rsidP="00B152B3">
            <w:pPr>
              <w:jc w:val="center"/>
              <w:rPr>
                <w:sz w:val="20"/>
                <w:szCs w:val="20"/>
              </w:rPr>
            </w:pPr>
            <w:r w:rsidRPr="00BD177B">
              <w:rPr>
                <w:rFonts w:eastAsia="Times New Roman"/>
                <w:sz w:val="20"/>
                <w:szCs w:val="20"/>
                <w:lang w:eastAsia="hr-HR"/>
              </w:rPr>
              <w:t>13,64</w:t>
            </w:r>
          </w:p>
        </w:tc>
        <w:tc>
          <w:tcPr>
            <w:tcW w:w="992" w:type="dxa"/>
            <w:tcBorders>
              <w:top w:val="nil"/>
              <w:left w:val="nil"/>
              <w:bottom w:val="single" w:sz="4" w:space="0" w:color="auto"/>
              <w:right w:val="single" w:sz="4" w:space="0" w:color="auto"/>
            </w:tcBorders>
            <w:shd w:val="clear" w:color="auto" w:fill="auto"/>
            <w:noWrap/>
            <w:vAlign w:val="center"/>
          </w:tcPr>
          <w:p w14:paraId="6313444C" w14:textId="1D040BE0" w:rsidR="00B152B3" w:rsidRPr="00BD177B" w:rsidRDefault="00D6022E" w:rsidP="00B152B3">
            <w:pPr>
              <w:jc w:val="right"/>
              <w:rPr>
                <w:sz w:val="20"/>
                <w:szCs w:val="20"/>
              </w:rPr>
            </w:pPr>
            <w:r w:rsidRPr="00BD177B">
              <w:rPr>
                <w:sz w:val="20"/>
                <w:szCs w:val="20"/>
              </w:rPr>
              <w:t>213,5</w:t>
            </w:r>
          </w:p>
        </w:tc>
        <w:tc>
          <w:tcPr>
            <w:tcW w:w="851" w:type="dxa"/>
            <w:tcBorders>
              <w:top w:val="nil"/>
              <w:left w:val="nil"/>
              <w:bottom w:val="single" w:sz="4" w:space="0" w:color="auto"/>
              <w:right w:val="single" w:sz="4" w:space="0" w:color="auto"/>
            </w:tcBorders>
            <w:shd w:val="clear" w:color="auto" w:fill="auto"/>
            <w:noWrap/>
            <w:vAlign w:val="center"/>
          </w:tcPr>
          <w:p w14:paraId="4F53AC26" w14:textId="6B94CB7B" w:rsidR="00B152B3" w:rsidRPr="00BD177B" w:rsidRDefault="00D6022E" w:rsidP="00B152B3">
            <w:pPr>
              <w:jc w:val="center"/>
              <w:rPr>
                <w:sz w:val="20"/>
                <w:szCs w:val="20"/>
              </w:rPr>
            </w:pPr>
            <w:r w:rsidRPr="00BD177B">
              <w:rPr>
                <w:rFonts w:eastAsia="Times New Roman"/>
                <w:sz w:val="20"/>
                <w:szCs w:val="20"/>
                <w:lang w:eastAsia="hr-HR"/>
              </w:rPr>
              <w:t>16,16</w:t>
            </w:r>
          </w:p>
        </w:tc>
      </w:tr>
      <w:tr w:rsidR="00B152B3" w:rsidRPr="00BD177B" w14:paraId="71B7437E" w14:textId="77777777" w:rsidTr="00B152B3">
        <w:trPr>
          <w:trHeight w:val="6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FF370" w14:textId="77777777" w:rsidR="00B152B3" w:rsidRPr="00BD177B" w:rsidRDefault="00B152B3" w:rsidP="00B152B3">
            <w:pPr>
              <w:jc w:val="both"/>
              <w:rPr>
                <w:i/>
                <w:iCs/>
                <w:sz w:val="20"/>
                <w:szCs w:val="20"/>
              </w:rPr>
            </w:pPr>
            <w:r w:rsidRPr="00BD177B">
              <w:rPr>
                <w:i/>
                <w:iCs/>
                <w:sz w:val="20"/>
                <w:szCs w:val="20"/>
              </w:rPr>
              <w:t>2.2. regionalne potpore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6AE0B0" w14:textId="7EF133C9" w:rsidR="00B152B3" w:rsidRPr="00BD177B" w:rsidRDefault="00B152B3" w:rsidP="00B152B3">
            <w:pPr>
              <w:jc w:val="right"/>
              <w:rPr>
                <w:sz w:val="20"/>
                <w:szCs w:val="20"/>
              </w:rPr>
            </w:pPr>
            <w:r w:rsidRPr="00BD177B">
              <w:rPr>
                <w:sz w:val="20"/>
                <w:szCs w:val="20"/>
              </w:rPr>
              <w:t>107,0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572C3C6" w14:textId="49629E93" w:rsidR="00B152B3" w:rsidRPr="00BD177B" w:rsidRDefault="00B152B3" w:rsidP="00B152B3">
            <w:pPr>
              <w:jc w:val="center"/>
              <w:rPr>
                <w:sz w:val="20"/>
                <w:szCs w:val="20"/>
              </w:rPr>
            </w:pPr>
            <w:r w:rsidRPr="00BD177B">
              <w:rPr>
                <w:rFonts w:eastAsia="Times New Roman"/>
                <w:sz w:val="20"/>
                <w:szCs w:val="20"/>
                <w:lang w:eastAsia="hr-HR"/>
              </w:rPr>
              <w:t>5,22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CD4B4F" w14:textId="035E0F41" w:rsidR="00B152B3" w:rsidRPr="00BD177B" w:rsidRDefault="00B152B3" w:rsidP="00B152B3">
            <w:pPr>
              <w:jc w:val="right"/>
              <w:rPr>
                <w:sz w:val="20"/>
                <w:szCs w:val="20"/>
              </w:rPr>
            </w:pPr>
            <w:r w:rsidRPr="00BD177B">
              <w:rPr>
                <w:sz w:val="20"/>
                <w:szCs w:val="20"/>
              </w:rPr>
              <w:t>150,9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4747407" w14:textId="08CF3449" w:rsidR="00B152B3" w:rsidRPr="00BD177B" w:rsidRDefault="00B152B3" w:rsidP="00B152B3">
            <w:pPr>
              <w:jc w:val="center"/>
              <w:rPr>
                <w:sz w:val="20"/>
                <w:szCs w:val="20"/>
              </w:rPr>
            </w:pPr>
            <w:r w:rsidRPr="00BD177B">
              <w:rPr>
                <w:rFonts w:eastAsia="Times New Roman"/>
                <w:sz w:val="20"/>
                <w:szCs w:val="20"/>
                <w:lang w:eastAsia="hr-HR"/>
              </w:rPr>
              <w:t>7,67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293F434" w14:textId="6AD961BB" w:rsidR="00B152B3" w:rsidRPr="00BD177B" w:rsidRDefault="00B152B3" w:rsidP="00B152B3">
            <w:pPr>
              <w:jc w:val="right"/>
              <w:rPr>
                <w:sz w:val="20"/>
                <w:szCs w:val="20"/>
              </w:rPr>
            </w:pPr>
            <w:r w:rsidRPr="00BD177B">
              <w:rPr>
                <w:sz w:val="20"/>
                <w:szCs w:val="20"/>
              </w:rPr>
              <w:t>134,9</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6E9E2F" w14:textId="0B4A1CA5" w:rsidR="00B152B3" w:rsidRPr="00BD177B" w:rsidRDefault="00B152B3" w:rsidP="00B152B3">
            <w:pPr>
              <w:jc w:val="center"/>
              <w:rPr>
                <w:sz w:val="20"/>
                <w:szCs w:val="20"/>
              </w:rPr>
            </w:pPr>
            <w:r w:rsidRPr="00BD177B">
              <w:rPr>
                <w:rFonts w:eastAsia="Times New Roman"/>
                <w:sz w:val="20"/>
                <w:szCs w:val="20"/>
                <w:lang w:eastAsia="hr-HR"/>
              </w:rPr>
              <w:t>10,21</w:t>
            </w:r>
          </w:p>
        </w:tc>
      </w:tr>
      <w:tr w:rsidR="00B152B3" w:rsidRPr="00BD177B" w14:paraId="10006921" w14:textId="77777777" w:rsidTr="00B152B3">
        <w:trPr>
          <w:trHeight w:val="121"/>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5317C" w14:textId="77777777" w:rsidR="00B152B3" w:rsidRPr="00BD177B" w:rsidRDefault="00B152B3" w:rsidP="00B152B3">
            <w:pPr>
              <w:jc w:val="both"/>
              <w:rPr>
                <w:i/>
                <w:iCs/>
                <w:sz w:val="20"/>
                <w:szCs w:val="20"/>
              </w:rPr>
            </w:pPr>
            <w:r w:rsidRPr="00BD177B">
              <w:rPr>
                <w:i/>
                <w:iCs/>
                <w:sz w:val="20"/>
                <w:szCs w:val="20"/>
              </w:rPr>
              <w:t>2.3. potpore na lokalnoj razini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2682D80" w14:textId="2A2E1838" w:rsidR="00B152B3" w:rsidRPr="00BD177B" w:rsidRDefault="00B152B3" w:rsidP="00B152B3">
            <w:pPr>
              <w:jc w:val="right"/>
              <w:rPr>
                <w:sz w:val="20"/>
                <w:szCs w:val="20"/>
              </w:rPr>
            </w:pPr>
            <w:r w:rsidRPr="00BD177B">
              <w:rPr>
                <w:sz w:val="20"/>
                <w:szCs w:val="20"/>
              </w:rPr>
              <w:t>129,6</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6FBE19" w14:textId="676A4777" w:rsidR="00B152B3" w:rsidRPr="00BD177B" w:rsidRDefault="00B152B3" w:rsidP="00B152B3">
            <w:pPr>
              <w:jc w:val="center"/>
              <w:rPr>
                <w:sz w:val="20"/>
                <w:szCs w:val="20"/>
              </w:rPr>
            </w:pPr>
            <w:r w:rsidRPr="00BD177B">
              <w:rPr>
                <w:rFonts w:eastAsia="Times New Roman"/>
                <w:sz w:val="20"/>
                <w:szCs w:val="20"/>
                <w:lang w:eastAsia="hr-HR"/>
              </w:rPr>
              <w:t>6,32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DC981B" w14:textId="0DB09A9E" w:rsidR="00B152B3" w:rsidRPr="00BD177B" w:rsidRDefault="00B152B3" w:rsidP="00B152B3">
            <w:pPr>
              <w:jc w:val="right"/>
              <w:rPr>
                <w:sz w:val="20"/>
                <w:szCs w:val="20"/>
              </w:rPr>
            </w:pPr>
            <w:r w:rsidRPr="00BD177B">
              <w:rPr>
                <w:sz w:val="20"/>
                <w:szCs w:val="20"/>
              </w:rPr>
              <w:t>142,0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6DEC1E" w14:textId="10159902" w:rsidR="00B152B3" w:rsidRPr="00BD177B" w:rsidRDefault="00B152B3" w:rsidP="00B152B3">
            <w:pPr>
              <w:jc w:val="center"/>
              <w:rPr>
                <w:sz w:val="20"/>
                <w:szCs w:val="20"/>
              </w:rPr>
            </w:pPr>
            <w:r w:rsidRPr="00BD177B">
              <w:rPr>
                <w:rFonts w:eastAsia="Times New Roman"/>
                <w:sz w:val="20"/>
                <w:szCs w:val="20"/>
                <w:lang w:eastAsia="hr-HR"/>
              </w:rPr>
              <w:t>7,22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0833C3" w14:textId="506F4427" w:rsidR="00B152B3" w:rsidRPr="00BD177B" w:rsidRDefault="00B152B3" w:rsidP="00B152B3">
            <w:pPr>
              <w:jc w:val="right"/>
              <w:rPr>
                <w:sz w:val="20"/>
                <w:szCs w:val="20"/>
              </w:rPr>
            </w:pPr>
            <w:r w:rsidRPr="00BD177B">
              <w:rPr>
                <w:sz w:val="20"/>
                <w:szCs w:val="20"/>
              </w:rPr>
              <w:t>167,4</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D617CE0" w14:textId="3539A22F" w:rsidR="00B152B3" w:rsidRPr="00BD177B" w:rsidRDefault="00B152B3" w:rsidP="00B152B3">
            <w:pPr>
              <w:jc w:val="center"/>
              <w:rPr>
                <w:sz w:val="20"/>
                <w:szCs w:val="20"/>
              </w:rPr>
            </w:pPr>
            <w:r w:rsidRPr="00BD177B">
              <w:rPr>
                <w:rFonts w:eastAsia="Times New Roman"/>
                <w:sz w:val="20"/>
                <w:szCs w:val="20"/>
                <w:lang w:eastAsia="hr-HR"/>
              </w:rPr>
              <w:t>12,67</w:t>
            </w:r>
          </w:p>
        </w:tc>
      </w:tr>
      <w:tr w:rsidR="00B152B3" w:rsidRPr="00BD177B" w14:paraId="39A54C76" w14:textId="77777777" w:rsidTr="00B152B3">
        <w:trPr>
          <w:trHeight w:val="225"/>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ACDE2F6" w14:textId="3BED4867" w:rsidR="00B152B3" w:rsidRPr="00BD177B" w:rsidRDefault="00B152B3" w:rsidP="00B152B3">
            <w:pPr>
              <w:rPr>
                <w:rFonts w:eastAsia="Times New Roman"/>
                <w:iCs/>
                <w:sz w:val="20"/>
                <w:szCs w:val="20"/>
              </w:rPr>
            </w:pPr>
            <w:r w:rsidRPr="00BD177B">
              <w:rPr>
                <w:rFonts w:eastAsia="Times New Roman"/>
                <w:iCs/>
                <w:sz w:val="20"/>
                <w:szCs w:val="20"/>
              </w:rPr>
              <w:t xml:space="preserve">3. </w:t>
            </w:r>
            <w:r w:rsidRPr="00BD177B">
              <w:rPr>
                <w:sz w:val="20"/>
                <w:szCs w:val="20"/>
              </w:rPr>
              <w:t>Potpore za suzbijanje učinaka COVID-a i ruske agresije na Ukrajinu</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788FE9D" w14:textId="23EE7D05" w:rsidR="00B152B3" w:rsidRPr="00BD177B" w:rsidRDefault="00B152B3" w:rsidP="00B152B3">
            <w:pPr>
              <w:jc w:val="right"/>
              <w:rPr>
                <w:b/>
                <w:sz w:val="20"/>
                <w:szCs w:val="20"/>
              </w:rPr>
            </w:pPr>
            <w:r w:rsidRPr="00BD177B">
              <w:rPr>
                <w:b/>
                <w:sz w:val="20"/>
                <w:szCs w:val="20"/>
              </w:rPr>
              <w:t>1.110,2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F17A1A" w14:textId="734486CE" w:rsidR="00B152B3" w:rsidRPr="00BD177B" w:rsidRDefault="00B152B3" w:rsidP="00B152B3">
            <w:pPr>
              <w:jc w:val="center"/>
              <w:rPr>
                <w:b/>
                <w:sz w:val="20"/>
                <w:szCs w:val="20"/>
              </w:rPr>
            </w:pPr>
            <w:r w:rsidRPr="00BD177B">
              <w:rPr>
                <w:rFonts w:eastAsia="Times New Roman"/>
                <w:b/>
                <w:sz w:val="20"/>
                <w:szCs w:val="20"/>
                <w:lang w:eastAsia="hr-HR"/>
              </w:rPr>
              <w:t>54,17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E5FE67" w14:textId="65C963FE" w:rsidR="00B152B3" w:rsidRPr="00BD177B" w:rsidRDefault="00B152B3" w:rsidP="00B152B3">
            <w:pPr>
              <w:jc w:val="right"/>
              <w:rPr>
                <w:b/>
                <w:sz w:val="20"/>
                <w:szCs w:val="20"/>
              </w:rPr>
            </w:pPr>
            <w:r w:rsidRPr="00BD177B">
              <w:rPr>
                <w:b/>
                <w:sz w:val="20"/>
                <w:szCs w:val="20"/>
              </w:rPr>
              <w:t>556,6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061C7BF" w14:textId="279B95F4" w:rsidR="00B152B3" w:rsidRPr="00BD177B" w:rsidRDefault="00B152B3" w:rsidP="00B152B3">
            <w:pPr>
              <w:jc w:val="center"/>
              <w:rPr>
                <w:b/>
                <w:sz w:val="20"/>
                <w:szCs w:val="20"/>
              </w:rPr>
            </w:pPr>
            <w:r w:rsidRPr="00BD177B">
              <w:rPr>
                <w:rFonts w:eastAsia="Times New Roman"/>
                <w:b/>
                <w:sz w:val="20"/>
                <w:szCs w:val="20"/>
                <w:lang w:eastAsia="hr-HR"/>
              </w:rPr>
              <w:t>28,29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38A6EE" w14:textId="4191B85A" w:rsidR="00B152B3" w:rsidRPr="00BD177B" w:rsidRDefault="00B152B3" w:rsidP="00B152B3">
            <w:pPr>
              <w:jc w:val="right"/>
              <w:rPr>
                <w:b/>
                <w:sz w:val="20"/>
                <w:szCs w:val="20"/>
              </w:rPr>
            </w:pPr>
            <w:r w:rsidRPr="00BD177B">
              <w:rPr>
                <w:b/>
                <w:sz w:val="20"/>
                <w:szCs w:val="20"/>
              </w:rPr>
              <w:t>2,5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B279C54" w14:textId="7F0FC069" w:rsidR="00B152B3" w:rsidRPr="00BD177B" w:rsidRDefault="00B152B3" w:rsidP="00B152B3">
            <w:pPr>
              <w:jc w:val="center"/>
              <w:rPr>
                <w:b/>
                <w:sz w:val="20"/>
                <w:szCs w:val="20"/>
              </w:rPr>
            </w:pPr>
            <w:r w:rsidRPr="00BD177B">
              <w:rPr>
                <w:rFonts w:eastAsia="Times New Roman"/>
                <w:b/>
                <w:sz w:val="20"/>
                <w:szCs w:val="20"/>
                <w:lang w:eastAsia="hr-HR"/>
              </w:rPr>
              <w:t>0,19</w:t>
            </w:r>
          </w:p>
        </w:tc>
      </w:tr>
    </w:tbl>
    <w:p w14:paraId="15730DC8" w14:textId="77777777" w:rsidR="008F4FFD" w:rsidRPr="00BD177B" w:rsidRDefault="008F4FFD" w:rsidP="00BE487D">
      <w:pPr>
        <w:contextualSpacing/>
        <w:jc w:val="both"/>
        <w:rPr>
          <w:i/>
          <w:sz w:val="20"/>
        </w:rPr>
      </w:pPr>
      <w:r w:rsidRPr="00BD177B">
        <w:rPr>
          <w:i/>
          <w:sz w:val="20"/>
        </w:rPr>
        <w:t>Izvor: Ministarstvo financija i davatelji potpora; podaci obrađeni u Ministarstvu financija</w:t>
      </w:r>
    </w:p>
    <w:p w14:paraId="3498E5A8" w14:textId="77777777" w:rsidR="00F557BE" w:rsidRPr="00BD177B" w:rsidRDefault="00F557BE" w:rsidP="00BE487D">
      <w:pPr>
        <w:jc w:val="both"/>
      </w:pPr>
    </w:p>
    <w:p w14:paraId="4B366D72" w14:textId="1C983797" w:rsidR="0088692A" w:rsidRPr="00BD177B" w:rsidRDefault="0088692A" w:rsidP="00BE487D">
      <w:pPr>
        <w:jc w:val="both"/>
      </w:pPr>
      <w:r w:rsidRPr="00BD177B">
        <w:t xml:space="preserve">Udio potpora </w:t>
      </w:r>
      <w:r w:rsidR="001566DB" w:rsidRPr="00BD177B">
        <w:t xml:space="preserve">u </w:t>
      </w:r>
      <w:r w:rsidRPr="00BD177B">
        <w:t xml:space="preserve">sektoru industrije i usluga </w:t>
      </w:r>
      <w:r w:rsidR="00295948" w:rsidRPr="00BD177B">
        <w:t>u BDP-u u 202</w:t>
      </w:r>
      <w:r w:rsidR="00A93A08" w:rsidRPr="00BD177B">
        <w:t>4</w:t>
      </w:r>
      <w:r w:rsidR="00295948" w:rsidRPr="00BD177B">
        <w:t>. godin</w:t>
      </w:r>
      <w:r w:rsidR="001566DB" w:rsidRPr="00BD177B">
        <w:t>i</w:t>
      </w:r>
      <w:r w:rsidR="00295948" w:rsidRPr="00BD177B">
        <w:t xml:space="preserve"> iznosio je </w:t>
      </w:r>
      <w:r w:rsidR="00A93A08" w:rsidRPr="00BD177B">
        <w:t xml:space="preserve">1,54 </w:t>
      </w:r>
      <w:r w:rsidR="00295948" w:rsidRPr="00BD177B">
        <w:t>posto</w:t>
      </w:r>
      <w:r w:rsidR="00FB1A84" w:rsidRPr="00BD177B">
        <w:t>, u 202</w:t>
      </w:r>
      <w:r w:rsidR="00A93A08" w:rsidRPr="00BD177B">
        <w:t>3</w:t>
      </w:r>
      <w:r w:rsidR="00FB1A84" w:rsidRPr="00BD177B">
        <w:t xml:space="preserve">. godini </w:t>
      </w:r>
      <w:r w:rsidR="00A93A08" w:rsidRPr="00BD177B">
        <w:t>2,52</w:t>
      </w:r>
      <w:r w:rsidR="00FB1A84" w:rsidRPr="00BD177B">
        <w:t xml:space="preserve"> posto</w:t>
      </w:r>
      <w:r w:rsidR="00F80E83" w:rsidRPr="00BD177B">
        <w:t>,</w:t>
      </w:r>
      <w:r w:rsidR="00FB1A84" w:rsidRPr="00BD177B">
        <w:t xml:space="preserve"> </w:t>
      </w:r>
      <w:r w:rsidR="00A93A08" w:rsidRPr="00BD177B">
        <w:t xml:space="preserve">i </w:t>
      </w:r>
      <w:r w:rsidR="00FB1A84" w:rsidRPr="00BD177B">
        <w:t>u 20</w:t>
      </w:r>
      <w:r w:rsidR="001566DB" w:rsidRPr="00BD177B">
        <w:t>2</w:t>
      </w:r>
      <w:r w:rsidR="00A93A08" w:rsidRPr="00BD177B">
        <w:t>2</w:t>
      </w:r>
      <w:r w:rsidR="00FB1A84" w:rsidRPr="00BD177B">
        <w:t xml:space="preserve">. godini </w:t>
      </w:r>
      <w:r w:rsidR="00A93A08" w:rsidRPr="00BD177B">
        <w:t>3,03</w:t>
      </w:r>
      <w:r w:rsidR="00FB1A84" w:rsidRPr="00BD177B">
        <w:t xml:space="preserve"> posto. Udio potpora </w:t>
      </w:r>
      <w:r w:rsidR="00F80E83" w:rsidRPr="00BD177B">
        <w:t xml:space="preserve">u </w:t>
      </w:r>
      <w:r w:rsidR="00FB1A84" w:rsidRPr="00BD177B">
        <w:t xml:space="preserve">sektoru industrije i usluga </w:t>
      </w:r>
      <w:r w:rsidRPr="00BD177B">
        <w:t>u ukupno dodijeljenim potporama</w:t>
      </w:r>
      <w:r w:rsidR="00FB1A84" w:rsidRPr="00BD177B">
        <w:t xml:space="preserve"> u 202</w:t>
      </w:r>
      <w:r w:rsidR="00801273" w:rsidRPr="00BD177B">
        <w:t>4</w:t>
      </w:r>
      <w:r w:rsidR="00FB1A84" w:rsidRPr="00BD177B">
        <w:t>. godini</w:t>
      </w:r>
      <w:r w:rsidRPr="00BD177B">
        <w:t xml:space="preserve"> iznosio je </w:t>
      </w:r>
      <w:r w:rsidR="00801273" w:rsidRPr="00BD177B">
        <w:t xml:space="preserve">91,2 </w:t>
      </w:r>
      <w:r w:rsidRPr="00BD177B">
        <w:t>posto, u 20</w:t>
      </w:r>
      <w:r w:rsidR="00FB1A84" w:rsidRPr="00BD177B">
        <w:t>2</w:t>
      </w:r>
      <w:r w:rsidR="00801273" w:rsidRPr="00BD177B">
        <w:t>3</w:t>
      </w:r>
      <w:r w:rsidRPr="00BD177B">
        <w:t xml:space="preserve">. godini </w:t>
      </w:r>
      <w:r w:rsidR="00801273" w:rsidRPr="00BD177B">
        <w:t>94,5</w:t>
      </w:r>
      <w:r w:rsidR="002A6A45" w:rsidRPr="00BD177B">
        <w:t xml:space="preserve"> </w:t>
      </w:r>
      <w:r w:rsidRPr="00BD177B">
        <w:t xml:space="preserve">posto </w:t>
      </w:r>
      <w:r w:rsidR="00801273" w:rsidRPr="00BD177B">
        <w:t xml:space="preserve">i </w:t>
      </w:r>
      <w:r w:rsidRPr="00BD177B">
        <w:t>u 20</w:t>
      </w:r>
      <w:r w:rsidR="001566DB" w:rsidRPr="00BD177B">
        <w:t>2</w:t>
      </w:r>
      <w:r w:rsidR="00801273" w:rsidRPr="00BD177B">
        <w:t>2</w:t>
      </w:r>
      <w:r w:rsidRPr="00BD177B">
        <w:t xml:space="preserve">. godini </w:t>
      </w:r>
      <w:r w:rsidR="00801273" w:rsidRPr="00BD177B">
        <w:t xml:space="preserve">95,6 </w:t>
      </w:r>
      <w:r w:rsidRPr="00BD177B">
        <w:t>posto.</w:t>
      </w:r>
    </w:p>
    <w:p w14:paraId="028E9034" w14:textId="77777777" w:rsidR="004255DD" w:rsidRPr="00BD177B" w:rsidRDefault="004255DD" w:rsidP="004255DD"/>
    <w:p w14:paraId="5B1FDFA5" w14:textId="19AA4360" w:rsidR="00D83051" w:rsidRPr="00BD177B" w:rsidRDefault="00801273" w:rsidP="00BE487D">
      <w:pPr>
        <w:jc w:val="both"/>
      </w:pPr>
      <w:r w:rsidRPr="00BD177B">
        <w:t>U</w:t>
      </w:r>
      <w:r w:rsidR="008F4FFD" w:rsidRPr="00BD177B">
        <w:t>nutar</w:t>
      </w:r>
      <w:r w:rsidRPr="00BD177B">
        <w:t xml:space="preserve"> </w:t>
      </w:r>
      <w:r w:rsidR="008F4FFD" w:rsidRPr="00BD177B">
        <w:t xml:space="preserve">potpora </w:t>
      </w:r>
      <w:r w:rsidR="00FB1A84" w:rsidRPr="00BD177B">
        <w:t xml:space="preserve">u </w:t>
      </w:r>
      <w:r w:rsidR="008F4FFD" w:rsidRPr="00BD177B">
        <w:t xml:space="preserve">sektoru industrije i usluga dodijeljenih </w:t>
      </w:r>
      <w:r w:rsidRPr="00BD177B">
        <w:t xml:space="preserve">u 2024. godini </w:t>
      </w:r>
      <w:r w:rsidR="00FB1A84" w:rsidRPr="00BD177B">
        <w:t xml:space="preserve">u </w:t>
      </w:r>
      <w:r w:rsidR="008F4FFD" w:rsidRPr="00BD177B">
        <w:t xml:space="preserve">iznosu od </w:t>
      </w:r>
      <w:r w:rsidR="00BD177B" w:rsidRPr="00BD177B">
        <w:t xml:space="preserve">1,3 milijarde </w:t>
      </w:r>
      <w:r w:rsidR="00D83051" w:rsidRPr="00BD177B">
        <w:t>eura</w:t>
      </w:r>
      <w:r w:rsidR="008F4FFD" w:rsidRPr="00BD177B">
        <w:t xml:space="preserve">, </w:t>
      </w:r>
      <w:r w:rsidR="00826C27" w:rsidRPr="00BD177B">
        <w:t>posebnim sektorima dodijeljen</w:t>
      </w:r>
      <w:r w:rsidRPr="00BD177B">
        <w:t>o</w:t>
      </w:r>
      <w:r w:rsidR="004A2875" w:rsidRPr="00BD177B">
        <w:t xml:space="preserve"> je</w:t>
      </w:r>
      <w:r w:rsidR="00826C27" w:rsidRPr="00BD177B">
        <w:t xml:space="preserve"> </w:t>
      </w:r>
      <w:r w:rsidRPr="00BD177B">
        <w:t xml:space="preserve">802,6 </w:t>
      </w:r>
      <w:r w:rsidR="00826C27" w:rsidRPr="00BD177B">
        <w:t xml:space="preserve">milijuna </w:t>
      </w:r>
      <w:r w:rsidR="00D83051" w:rsidRPr="00BD177B">
        <w:t xml:space="preserve">eura </w:t>
      </w:r>
      <w:r w:rsidRPr="00BD177B">
        <w:t>ili</w:t>
      </w:r>
      <w:r w:rsidR="00826C27" w:rsidRPr="00BD177B">
        <w:t xml:space="preserve"> </w:t>
      </w:r>
      <w:r w:rsidRPr="00BD177B">
        <w:t xml:space="preserve">udio </w:t>
      </w:r>
      <w:r w:rsidR="00826C27" w:rsidRPr="00BD177B">
        <w:t xml:space="preserve">od </w:t>
      </w:r>
      <w:r w:rsidRPr="00BD177B">
        <w:t>60,</w:t>
      </w:r>
      <w:r w:rsidR="004A2875" w:rsidRPr="00BD177B">
        <w:t>8</w:t>
      </w:r>
      <w:r w:rsidR="00D83051" w:rsidRPr="00BD177B">
        <w:t xml:space="preserve"> </w:t>
      </w:r>
      <w:r w:rsidR="00826C27" w:rsidRPr="00BD177B">
        <w:t xml:space="preserve">posto u sektoru industrije i usluga, </w:t>
      </w:r>
      <w:r w:rsidR="00D83051" w:rsidRPr="00BD177B">
        <w:t>horizontalnim ciljevima, uključujući horizontalne potpore, regionalne potpore i potpore na lokalnoj razini, dodijeljen</w:t>
      </w:r>
      <w:r w:rsidR="00BA2F3C" w:rsidRPr="00BD177B">
        <w:t>o</w:t>
      </w:r>
      <w:r w:rsidR="00D83051" w:rsidRPr="00BD177B">
        <w:t xml:space="preserve"> je </w:t>
      </w:r>
      <w:r w:rsidR="00BA2F3C" w:rsidRPr="00BD177B">
        <w:t>515,</w:t>
      </w:r>
      <w:r w:rsidR="00DF63A2" w:rsidRPr="00BD177B">
        <w:t>8</w:t>
      </w:r>
      <w:r w:rsidR="00D83051" w:rsidRPr="00BD177B">
        <w:t xml:space="preserve"> milijuna eura ili </w:t>
      </w:r>
      <w:r w:rsidR="00BA2F3C" w:rsidRPr="00BD177B">
        <w:t>39</w:t>
      </w:r>
      <w:r w:rsidR="00D83051" w:rsidRPr="00BD177B">
        <w:t xml:space="preserve"> posto </w:t>
      </w:r>
      <w:r w:rsidR="00BA2F3C" w:rsidRPr="00BD177B">
        <w:t xml:space="preserve">i </w:t>
      </w:r>
      <w:r w:rsidR="001566DB" w:rsidRPr="00BD177B">
        <w:t xml:space="preserve">kao potpora podrške gospodarstvu u COVID–19 pandemiji </w:t>
      </w:r>
      <w:r w:rsidR="00BE4737" w:rsidRPr="00BD177B">
        <w:t xml:space="preserve">te za suzbijanje učinaka ruske agresije na Ukrajinu </w:t>
      </w:r>
      <w:r w:rsidR="001566DB" w:rsidRPr="00BD177B">
        <w:t>dodijeljen</w:t>
      </w:r>
      <w:r w:rsidR="00BA2F3C" w:rsidRPr="00BD177B">
        <w:t>o je 2,5</w:t>
      </w:r>
      <w:r w:rsidR="00D83051" w:rsidRPr="00BD177B">
        <w:t xml:space="preserve"> </w:t>
      </w:r>
      <w:r w:rsidR="001566DB" w:rsidRPr="00BD177B">
        <w:t xml:space="preserve">milijuna </w:t>
      </w:r>
      <w:r w:rsidR="00D83051" w:rsidRPr="00BD177B">
        <w:t xml:space="preserve">eura </w:t>
      </w:r>
      <w:r w:rsidR="001566DB" w:rsidRPr="00BD177B">
        <w:t xml:space="preserve">ili </w:t>
      </w:r>
      <w:r w:rsidR="00BA2F3C" w:rsidRPr="00BD177B">
        <w:t>0,2</w:t>
      </w:r>
      <w:r w:rsidR="00D83051" w:rsidRPr="00BD177B">
        <w:t xml:space="preserve"> </w:t>
      </w:r>
      <w:r w:rsidR="001566DB" w:rsidRPr="00BD177B">
        <w:t>posto</w:t>
      </w:r>
      <w:r w:rsidR="00D83051" w:rsidRPr="00BD177B">
        <w:t>.</w:t>
      </w:r>
    </w:p>
    <w:p w14:paraId="6D0EE4D0" w14:textId="77777777" w:rsidR="004255DD" w:rsidRPr="00BD177B" w:rsidRDefault="004255DD" w:rsidP="00BE487D">
      <w:pPr>
        <w:jc w:val="both"/>
      </w:pPr>
    </w:p>
    <w:p w14:paraId="046C65DE" w14:textId="0216E734" w:rsidR="003D7F03" w:rsidRPr="00BD177B" w:rsidRDefault="00B43F61" w:rsidP="003D7F03">
      <w:pPr>
        <w:jc w:val="both"/>
      </w:pPr>
      <w:r w:rsidRPr="00BD177B">
        <w:rPr>
          <w:u w:val="single"/>
        </w:rPr>
        <w:t>Sektorske potpore</w:t>
      </w:r>
      <w:r w:rsidRPr="00BD177B">
        <w:t xml:space="preserve"> odnosno potpore posebnim sektorima </w:t>
      </w:r>
      <w:r w:rsidR="003D7F03" w:rsidRPr="00BD177B">
        <w:t>u 202</w:t>
      </w:r>
      <w:r w:rsidR="00523627" w:rsidRPr="00BD177B">
        <w:t>4</w:t>
      </w:r>
      <w:r w:rsidR="003D7F03" w:rsidRPr="00BD177B">
        <w:t xml:space="preserve">. godini dodijeljene su u iznosu od </w:t>
      </w:r>
      <w:r w:rsidR="00523627" w:rsidRPr="00BD177B">
        <w:t xml:space="preserve">802,6 </w:t>
      </w:r>
      <w:r w:rsidR="003D7F03" w:rsidRPr="00BD177B">
        <w:t xml:space="preserve">milijuna </w:t>
      </w:r>
      <w:r w:rsidR="007A4040" w:rsidRPr="00BD177B">
        <w:t>eura</w:t>
      </w:r>
      <w:r w:rsidR="003D7F03" w:rsidRPr="00BD177B">
        <w:t xml:space="preserve">, što </w:t>
      </w:r>
      <w:r w:rsidRPr="00BD177B">
        <w:t>je</w:t>
      </w:r>
      <w:r w:rsidR="003D7F03" w:rsidRPr="00BD177B">
        <w:t xml:space="preserve"> </w:t>
      </w:r>
      <w:r w:rsidR="00523627" w:rsidRPr="00BD177B">
        <w:t>smanjenje</w:t>
      </w:r>
      <w:r w:rsidR="003D7F03" w:rsidRPr="00BD177B">
        <w:t xml:space="preserve"> za </w:t>
      </w:r>
      <w:r w:rsidR="00523627" w:rsidRPr="00BD177B">
        <w:t>46,</w:t>
      </w:r>
      <w:r w:rsidR="00DF63A2" w:rsidRPr="00BD177B">
        <w:t>8</w:t>
      </w:r>
      <w:r w:rsidR="007A4040" w:rsidRPr="00BD177B">
        <w:t xml:space="preserve"> </w:t>
      </w:r>
      <w:r w:rsidR="003D7F03" w:rsidRPr="00BD177B">
        <w:t xml:space="preserve">milijuna </w:t>
      </w:r>
      <w:r w:rsidR="007A4040" w:rsidRPr="00BD177B">
        <w:t xml:space="preserve">eura </w:t>
      </w:r>
      <w:r w:rsidR="00523627" w:rsidRPr="00BD177B">
        <w:t xml:space="preserve">ili </w:t>
      </w:r>
      <w:r w:rsidR="000E3F47" w:rsidRPr="00BD177B">
        <w:t>za</w:t>
      </w:r>
      <w:r w:rsidR="003D7F03" w:rsidRPr="00BD177B">
        <w:t xml:space="preserve"> </w:t>
      </w:r>
      <w:r w:rsidR="00523627" w:rsidRPr="00BD177B">
        <w:t>5,5</w:t>
      </w:r>
      <w:r w:rsidR="003D7F03" w:rsidRPr="00BD177B">
        <w:t xml:space="preserve"> posto u odnosu na 202</w:t>
      </w:r>
      <w:r w:rsidR="00523627" w:rsidRPr="00BD177B">
        <w:t>3</w:t>
      </w:r>
      <w:r w:rsidR="003D7F03" w:rsidRPr="00BD177B">
        <w:t xml:space="preserve">. godinu kada su navedene potpore iznosile </w:t>
      </w:r>
      <w:r w:rsidR="00523627" w:rsidRPr="00BD177B">
        <w:t>849,</w:t>
      </w:r>
      <w:r w:rsidR="00DF63A2" w:rsidRPr="00BD177B">
        <w:t>4</w:t>
      </w:r>
      <w:r w:rsidR="00523627" w:rsidRPr="00BD177B">
        <w:t xml:space="preserve"> </w:t>
      </w:r>
      <w:r w:rsidR="003D7F03" w:rsidRPr="00BD177B">
        <w:t xml:space="preserve">milijuna </w:t>
      </w:r>
      <w:r w:rsidR="007A4040" w:rsidRPr="00BD177B">
        <w:t>eura</w:t>
      </w:r>
      <w:r w:rsidR="003D7F03" w:rsidRPr="00BD177B">
        <w:t xml:space="preserve">, te </w:t>
      </w:r>
      <w:r w:rsidR="00BE4816" w:rsidRPr="00BD177B">
        <w:t xml:space="preserve">predstavlja </w:t>
      </w:r>
      <w:r w:rsidR="007A4040" w:rsidRPr="00BD177B">
        <w:t>povećanje</w:t>
      </w:r>
      <w:r w:rsidR="003D7F03" w:rsidRPr="00BD177B">
        <w:t xml:space="preserve"> za </w:t>
      </w:r>
      <w:r w:rsidR="00523627" w:rsidRPr="00BD177B">
        <w:t xml:space="preserve">198,6 </w:t>
      </w:r>
      <w:r w:rsidR="003D7F03" w:rsidRPr="00BD177B">
        <w:t>milijun</w:t>
      </w:r>
      <w:r w:rsidRPr="00BD177B">
        <w:t>a</w:t>
      </w:r>
      <w:r w:rsidR="003D7F03" w:rsidRPr="00BD177B">
        <w:t xml:space="preserve"> </w:t>
      </w:r>
      <w:r w:rsidR="007A4040" w:rsidRPr="00BD177B">
        <w:t xml:space="preserve">eura </w:t>
      </w:r>
      <w:r w:rsidR="003D7F03" w:rsidRPr="00BD177B">
        <w:t xml:space="preserve">ili </w:t>
      </w:r>
      <w:r w:rsidR="00523627" w:rsidRPr="00BD177B">
        <w:t>32,9</w:t>
      </w:r>
      <w:r w:rsidR="007A4040" w:rsidRPr="00BD177B">
        <w:t xml:space="preserve"> </w:t>
      </w:r>
      <w:r w:rsidR="003D7F03" w:rsidRPr="00BD177B">
        <w:t>posto u odnosu na 20</w:t>
      </w:r>
      <w:r w:rsidRPr="00BD177B">
        <w:t>2</w:t>
      </w:r>
      <w:r w:rsidR="00523627" w:rsidRPr="00BD177B">
        <w:t>2</w:t>
      </w:r>
      <w:r w:rsidR="003D7F03" w:rsidRPr="00BD177B">
        <w:t xml:space="preserve">. godinu kada su iznosile </w:t>
      </w:r>
      <w:r w:rsidR="00523627" w:rsidRPr="00BD177B">
        <w:t xml:space="preserve">604 </w:t>
      </w:r>
      <w:r w:rsidR="003D7F03" w:rsidRPr="00BD177B">
        <w:t>milijun</w:t>
      </w:r>
      <w:r w:rsidRPr="00BD177B">
        <w:t>a</w:t>
      </w:r>
      <w:r w:rsidR="003D7F03" w:rsidRPr="00BD177B">
        <w:t xml:space="preserve"> </w:t>
      </w:r>
      <w:r w:rsidR="007A4040" w:rsidRPr="00BD177B">
        <w:t>eura</w:t>
      </w:r>
      <w:r w:rsidR="003D7F03" w:rsidRPr="00BD177B">
        <w:t>.</w:t>
      </w:r>
    </w:p>
    <w:p w14:paraId="5DAC5B43" w14:textId="77777777" w:rsidR="00DF63A2" w:rsidRPr="00BD177B" w:rsidRDefault="00DF63A2" w:rsidP="007A4040"/>
    <w:p w14:paraId="28272376" w14:textId="538BB9F8" w:rsidR="008F4FFD" w:rsidRPr="00BD177B" w:rsidRDefault="003D7F03" w:rsidP="00BE487D">
      <w:pPr>
        <w:jc w:val="both"/>
      </w:pPr>
      <w:r w:rsidRPr="00BD177B">
        <w:rPr>
          <w:u w:val="single"/>
        </w:rPr>
        <w:t>Horizontalne potpore</w:t>
      </w:r>
      <w:r w:rsidRPr="00BD177B">
        <w:t>, uključujući horizontalne ciljeve</w:t>
      </w:r>
      <w:r w:rsidR="008F4FFD" w:rsidRPr="00BD177B">
        <w:t>, regionalne potpore i potpore na lokalnoj razini</w:t>
      </w:r>
      <w:r w:rsidR="00234458" w:rsidRPr="00BD177B">
        <w:t xml:space="preserve"> </w:t>
      </w:r>
      <w:r w:rsidRPr="00BD177B">
        <w:t>u 202</w:t>
      </w:r>
      <w:r w:rsidR="00523627" w:rsidRPr="00BD177B">
        <w:t>4</w:t>
      </w:r>
      <w:r w:rsidRPr="00BD177B">
        <w:t>. godini</w:t>
      </w:r>
      <w:r w:rsidR="008F4FFD" w:rsidRPr="00BD177B">
        <w:t xml:space="preserve"> dodijeljene </w:t>
      </w:r>
      <w:r w:rsidR="00523627" w:rsidRPr="00BD177B">
        <w:t xml:space="preserve">su </w:t>
      </w:r>
      <w:r w:rsidR="008F4FFD" w:rsidRPr="00BD177B">
        <w:t xml:space="preserve">u iznosu od </w:t>
      </w:r>
      <w:r w:rsidR="00523627" w:rsidRPr="00BD177B">
        <w:t>515,</w:t>
      </w:r>
      <w:r w:rsidR="00DF63A2" w:rsidRPr="00BD177B">
        <w:t>8</w:t>
      </w:r>
      <w:r w:rsidR="00523627" w:rsidRPr="00BD177B">
        <w:t xml:space="preserve"> </w:t>
      </w:r>
      <w:r w:rsidR="008F4FFD" w:rsidRPr="00BD177B">
        <w:t xml:space="preserve">milijuna </w:t>
      </w:r>
      <w:r w:rsidR="007A4040" w:rsidRPr="00BD177B">
        <w:t>eura</w:t>
      </w:r>
      <w:r w:rsidRPr="00BD177B">
        <w:t>,</w:t>
      </w:r>
      <w:r w:rsidR="008F4FFD" w:rsidRPr="00BD177B">
        <w:t xml:space="preserve"> </w:t>
      </w:r>
      <w:r w:rsidRPr="00BD177B">
        <w:t xml:space="preserve">što </w:t>
      </w:r>
      <w:r w:rsidR="00234458" w:rsidRPr="00BD177B">
        <w:t>je</w:t>
      </w:r>
      <w:r w:rsidRPr="00BD177B">
        <w:t xml:space="preserve"> </w:t>
      </w:r>
      <w:r w:rsidR="00523627" w:rsidRPr="00BD177B">
        <w:t>smanjenje</w:t>
      </w:r>
      <w:r w:rsidRPr="00BD177B">
        <w:t xml:space="preserve"> za </w:t>
      </w:r>
      <w:r w:rsidR="00523627" w:rsidRPr="00BD177B">
        <w:t xml:space="preserve">45,4 </w:t>
      </w:r>
      <w:r w:rsidR="008F4FFD" w:rsidRPr="00BD177B">
        <w:t>milijun</w:t>
      </w:r>
      <w:r w:rsidR="000C1B2B" w:rsidRPr="00BD177B">
        <w:t>a</w:t>
      </w:r>
      <w:r w:rsidR="008F4FFD" w:rsidRPr="00BD177B">
        <w:t xml:space="preserve"> </w:t>
      </w:r>
      <w:r w:rsidR="007A4040" w:rsidRPr="00BD177B">
        <w:t xml:space="preserve">eura </w:t>
      </w:r>
      <w:r w:rsidR="008F4FFD" w:rsidRPr="00BD177B">
        <w:t xml:space="preserve">ili </w:t>
      </w:r>
      <w:r w:rsidR="00523627" w:rsidRPr="00BD177B">
        <w:t>8,1</w:t>
      </w:r>
      <w:r w:rsidR="007A4040" w:rsidRPr="00BD177B">
        <w:t xml:space="preserve"> </w:t>
      </w:r>
      <w:r w:rsidR="008F4FFD" w:rsidRPr="00BD177B">
        <w:t>posto u odnosu na 20</w:t>
      </w:r>
      <w:r w:rsidRPr="00BD177B">
        <w:t>2</w:t>
      </w:r>
      <w:r w:rsidR="00523627" w:rsidRPr="00BD177B">
        <w:t>3</w:t>
      </w:r>
      <w:r w:rsidR="008F4FFD" w:rsidRPr="00BD177B">
        <w:t xml:space="preserve">. godinu kada su iznosile </w:t>
      </w:r>
      <w:r w:rsidR="00523627" w:rsidRPr="00BD177B">
        <w:t>561,</w:t>
      </w:r>
      <w:r w:rsidR="00DF63A2" w:rsidRPr="00BD177B">
        <w:t>2</w:t>
      </w:r>
      <w:r w:rsidR="007A4040" w:rsidRPr="00BD177B">
        <w:t xml:space="preserve"> </w:t>
      </w:r>
      <w:r w:rsidR="008F4FFD" w:rsidRPr="00BD177B">
        <w:t xml:space="preserve">milijuna </w:t>
      </w:r>
      <w:r w:rsidR="007A4040" w:rsidRPr="00BD177B">
        <w:t>eura</w:t>
      </w:r>
      <w:r w:rsidR="008F4FFD" w:rsidRPr="00BD177B">
        <w:t xml:space="preserve">, </w:t>
      </w:r>
      <w:r w:rsidRPr="00BD177B">
        <w:t xml:space="preserve">te </w:t>
      </w:r>
      <w:r w:rsidR="00BE4816" w:rsidRPr="00BD177B">
        <w:t xml:space="preserve">predstavlja </w:t>
      </w:r>
      <w:r w:rsidR="007A4040" w:rsidRPr="00BD177B">
        <w:t xml:space="preserve">povećanje </w:t>
      </w:r>
      <w:r w:rsidRPr="00BD177B">
        <w:t xml:space="preserve">za </w:t>
      </w:r>
      <w:r w:rsidR="00523627" w:rsidRPr="00BD177B">
        <w:t>180,</w:t>
      </w:r>
      <w:r w:rsidR="00DF63A2" w:rsidRPr="00BD177B">
        <w:t>6</w:t>
      </w:r>
      <w:r w:rsidR="00523627" w:rsidRPr="00BD177B">
        <w:t xml:space="preserve"> </w:t>
      </w:r>
      <w:r w:rsidR="008F4FFD" w:rsidRPr="00BD177B">
        <w:t>milijun</w:t>
      </w:r>
      <w:r w:rsidR="000C1B2B" w:rsidRPr="00BD177B">
        <w:t>a</w:t>
      </w:r>
      <w:r w:rsidR="008F4FFD" w:rsidRPr="00BD177B">
        <w:t xml:space="preserve"> </w:t>
      </w:r>
      <w:r w:rsidR="007A4040" w:rsidRPr="00BD177B">
        <w:t xml:space="preserve">eura </w:t>
      </w:r>
      <w:r w:rsidR="008F4FFD" w:rsidRPr="00BD177B">
        <w:t xml:space="preserve">ili </w:t>
      </w:r>
      <w:r w:rsidR="00523627" w:rsidRPr="00BD177B">
        <w:t>53,9</w:t>
      </w:r>
      <w:r w:rsidR="008F4FFD" w:rsidRPr="00BD177B">
        <w:t xml:space="preserve"> posto u odnosu na 20</w:t>
      </w:r>
      <w:r w:rsidR="00234458" w:rsidRPr="00BD177B">
        <w:t>2</w:t>
      </w:r>
      <w:r w:rsidR="00523627" w:rsidRPr="00BD177B">
        <w:t>2</w:t>
      </w:r>
      <w:r w:rsidR="008F4FFD" w:rsidRPr="00BD177B">
        <w:t xml:space="preserve">. godinu, kada su iznosile </w:t>
      </w:r>
      <w:r w:rsidR="00523627" w:rsidRPr="00BD177B">
        <w:t xml:space="preserve">335,2 </w:t>
      </w:r>
      <w:r w:rsidR="008F4FFD" w:rsidRPr="00BD177B">
        <w:t xml:space="preserve">milijuna </w:t>
      </w:r>
      <w:r w:rsidR="007A4040" w:rsidRPr="00BD177B">
        <w:t>eura</w:t>
      </w:r>
      <w:r w:rsidR="008F4FFD" w:rsidRPr="00BD177B">
        <w:t xml:space="preserve">. </w:t>
      </w:r>
      <w:r w:rsidR="00960DCD" w:rsidRPr="00BD177B">
        <w:t xml:space="preserve">Unutar horizontalnih potpora u iznosu od </w:t>
      </w:r>
      <w:r w:rsidR="00523627" w:rsidRPr="00BD177B">
        <w:t>515,</w:t>
      </w:r>
      <w:r w:rsidR="00DF63A2" w:rsidRPr="00BD177B">
        <w:t>8</w:t>
      </w:r>
      <w:r w:rsidR="00523627" w:rsidRPr="00BD177B">
        <w:t xml:space="preserve"> </w:t>
      </w:r>
      <w:r w:rsidR="00AB4DD6" w:rsidRPr="00BD177B">
        <w:t>milijuna eura</w:t>
      </w:r>
      <w:r w:rsidR="00523627" w:rsidRPr="00BD177B">
        <w:t xml:space="preserve"> dodijeljenih u 2024. godini</w:t>
      </w:r>
      <w:r w:rsidR="00960DCD" w:rsidRPr="00BD177B">
        <w:t>, n</w:t>
      </w:r>
      <w:r w:rsidR="008F4FFD" w:rsidRPr="00BD177B">
        <w:t xml:space="preserve">a </w:t>
      </w:r>
      <w:r w:rsidRPr="00BD177B">
        <w:t xml:space="preserve">horizontalne ciljeve </w:t>
      </w:r>
      <w:r w:rsidR="00AB4DD6" w:rsidRPr="00BD177B">
        <w:t>ili</w:t>
      </w:r>
      <w:r w:rsidRPr="00BD177B">
        <w:t xml:space="preserve"> </w:t>
      </w:r>
      <w:r w:rsidR="008F4FFD" w:rsidRPr="00BD177B">
        <w:t>horizontalne potpore u užem smislu</w:t>
      </w:r>
      <w:r w:rsidR="008F4FFD" w:rsidRPr="00BD177B">
        <w:rPr>
          <w:vertAlign w:val="superscript"/>
        </w:rPr>
        <w:footnoteReference w:id="21"/>
      </w:r>
      <w:r w:rsidR="00AB4DD6" w:rsidRPr="00BD177B">
        <w:t xml:space="preserve"> </w:t>
      </w:r>
      <w:r w:rsidR="008F4FFD" w:rsidRPr="00BD177B">
        <w:t xml:space="preserve">odnosi </w:t>
      </w:r>
      <w:r w:rsidR="00523627" w:rsidRPr="00BD177B">
        <w:t xml:space="preserve">se </w:t>
      </w:r>
      <w:r w:rsidR="008F4FFD" w:rsidRPr="00BD177B">
        <w:t xml:space="preserve">iznos od </w:t>
      </w:r>
      <w:r w:rsidR="00523627" w:rsidRPr="00BD177B">
        <w:t>213,</w:t>
      </w:r>
      <w:r w:rsidR="00DF63A2" w:rsidRPr="00BD177B">
        <w:t>5</w:t>
      </w:r>
      <w:r w:rsidR="00523627" w:rsidRPr="00BD177B">
        <w:t xml:space="preserve"> </w:t>
      </w:r>
      <w:r w:rsidR="008F4FFD" w:rsidRPr="00BD177B">
        <w:t xml:space="preserve">milijuna </w:t>
      </w:r>
      <w:r w:rsidR="007A4040" w:rsidRPr="00BD177B">
        <w:t>eura</w:t>
      </w:r>
      <w:r w:rsidR="008F4FFD" w:rsidRPr="00BD177B">
        <w:t>, na regionalne potpore</w:t>
      </w:r>
      <w:r w:rsidR="00A44C81" w:rsidRPr="00BD177B">
        <w:t xml:space="preserve"> </w:t>
      </w:r>
      <w:r w:rsidR="00523627" w:rsidRPr="00BD177B">
        <w:t>134,9</w:t>
      </w:r>
      <w:r w:rsidR="00AB4DD6" w:rsidRPr="00BD177B">
        <w:t xml:space="preserve"> </w:t>
      </w:r>
      <w:r w:rsidR="008F4FFD" w:rsidRPr="00BD177B">
        <w:t>milijun</w:t>
      </w:r>
      <w:r w:rsidR="00234458" w:rsidRPr="00BD177B">
        <w:t>a</w:t>
      </w:r>
      <w:r w:rsidR="008F4FFD" w:rsidRPr="00BD177B">
        <w:t xml:space="preserve"> </w:t>
      </w:r>
      <w:r w:rsidR="007A4040" w:rsidRPr="00BD177B">
        <w:t xml:space="preserve">eura </w:t>
      </w:r>
      <w:r w:rsidR="00523627" w:rsidRPr="00BD177B">
        <w:t>te</w:t>
      </w:r>
      <w:r w:rsidR="00A44C81" w:rsidRPr="00BD177B">
        <w:t xml:space="preserve"> </w:t>
      </w:r>
      <w:r w:rsidR="008F4FFD" w:rsidRPr="00BD177B">
        <w:t xml:space="preserve">na potpore na lokalnoj razini </w:t>
      </w:r>
      <w:r w:rsidR="00523627" w:rsidRPr="00BD177B">
        <w:t>167,4</w:t>
      </w:r>
      <w:r w:rsidR="00AB4DD6" w:rsidRPr="00BD177B">
        <w:t xml:space="preserve"> </w:t>
      </w:r>
      <w:r w:rsidR="008F4FFD" w:rsidRPr="00BD177B">
        <w:t>milijun</w:t>
      </w:r>
      <w:r w:rsidR="000C1B2B" w:rsidRPr="00BD177B">
        <w:t>a</w:t>
      </w:r>
      <w:r w:rsidR="008F4FFD" w:rsidRPr="00BD177B">
        <w:t xml:space="preserve"> </w:t>
      </w:r>
      <w:r w:rsidR="007A4040" w:rsidRPr="00BD177B">
        <w:t>eura</w:t>
      </w:r>
      <w:r w:rsidR="008F4FFD" w:rsidRPr="00BD177B">
        <w:t>.</w:t>
      </w:r>
    </w:p>
    <w:p w14:paraId="7A12C50C" w14:textId="77777777" w:rsidR="00DF63A2" w:rsidRPr="00BD177B" w:rsidRDefault="00DF63A2" w:rsidP="00BE487D">
      <w:pPr>
        <w:jc w:val="both"/>
      </w:pPr>
    </w:p>
    <w:p w14:paraId="05BEB767" w14:textId="7FCF5F1B" w:rsidR="00960DCD" w:rsidRPr="00BD177B" w:rsidRDefault="008F4FFD" w:rsidP="00960DCD">
      <w:pPr>
        <w:jc w:val="both"/>
      </w:pPr>
      <w:r w:rsidRPr="00BD177B">
        <w:lastRenderedPageBreak/>
        <w:t>Potpore za podršku gospodarstvu u COVID</w:t>
      </w:r>
      <w:r w:rsidR="00960DCD" w:rsidRPr="00BD177B">
        <w:t>–</w:t>
      </w:r>
      <w:r w:rsidRPr="00BD177B">
        <w:t xml:space="preserve">19 pandemiji </w:t>
      </w:r>
      <w:r w:rsidR="003F168C" w:rsidRPr="00BD177B">
        <w:t xml:space="preserve">te za suzbijanje učinaka ruske agresije na Ukrajinu </w:t>
      </w:r>
      <w:r w:rsidR="00960DCD" w:rsidRPr="00BD177B">
        <w:t>su u 202</w:t>
      </w:r>
      <w:r w:rsidR="00523627" w:rsidRPr="00BD177B">
        <w:t>4</w:t>
      </w:r>
      <w:r w:rsidR="00960DCD" w:rsidRPr="00BD177B">
        <w:t xml:space="preserve">. godini </w:t>
      </w:r>
      <w:r w:rsidR="00AB4DD6" w:rsidRPr="00BD177B">
        <w:t xml:space="preserve">dodijeljene </w:t>
      </w:r>
      <w:r w:rsidR="00960DCD" w:rsidRPr="00BD177B">
        <w:t xml:space="preserve">u iznosu od </w:t>
      </w:r>
      <w:r w:rsidR="00523627" w:rsidRPr="00BD177B">
        <w:t>2,5</w:t>
      </w:r>
      <w:r w:rsidR="00AB4DD6" w:rsidRPr="00BD177B">
        <w:t xml:space="preserve"> </w:t>
      </w:r>
      <w:r w:rsidR="00960DCD" w:rsidRPr="00BD177B">
        <w:t xml:space="preserve">milijuna </w:t>
      </w:r>
      <w:r w:rsidR="00AB4DD6" w:rsidRPr="00BD177B">
        <w:t>eura</w:t>
      </w:r>
      <w:r w:rsidR="00960DCD" w:rsidRPr="00BD177B">
        <w:t xml:space="preserve">, što </w:t>
      </w:r>
      <w:r w:rsidR="00234458" w:rsidRPr="00BD177B">
        <w:t>je smanjenje</w:t>
      </w:r>
      <w:r w:rsidR="00960DCD" w:rsidRPr="00BD177B">
        <w:t xml:space="preserve"> za </w:t>
      </w:r>
      <w:r w:rsidR="00357669" w:rsidRPr="00BD177B">
        <w:t xml:space="preserve">554,1 </w:t>
      </w:r>
      <w:r w:rsidR="00960DCD" w:rsidRPr="00BD177B">
        <w:t xml:space="preserve">milijun </w:t>
      </w:r>
      <w:r w:rsidR="00AB4DD6" w:rsidRPr="00BD177B">
        <w:t xml:space="preserve">eura </w:t>
      </w:r>
      <w:r w:rsidR="00357669" w:rsidRPr="00BD177B">
        <w:t>ili</w:t>
      </w:r>
      <w:r w:rsidR="00960DCD" w:rsidRPr="00BD177B">
        <w:t xml:space="preserve"> </w:t>
      </w:r>
      <w:r w:rsidR="00DF63A2" w:rsidRPr="00BD177B">
        <w:t>99,6</w:t>
      </w:r>
      <w:r w:rsidR="00234458" w:rsidRPr="00BD177B">
        <w:t xml:space="preserve"> </w:t>
      </w:r>
      <w:r w:rsidR="00960DCD" w:rsidRPr="00BD177B">
        <w:t>posto u odnosu na 202</w:t>
      </w:r>
      <w:r w:rsidR="00357669" w:rsidRPr="00BD177B">
        <w:t>3</w:t>
      </w:r>
      <w:r w:rsidR="00960DCD" w:rsidRPr="00BD177B">
        <w:t>. godinu, kada su iznos</w:t>
      </w:r>
      <w:r w:rsidR="00AB4DD6" w:rsidRPr="00BD177B">
        <w:t>ile</w:t>
      </w:r>
      <w:r w:rsidR="00960DCD" w:rsidRPr="00BD177B">
        <w:t xml:space="preserve"> </w:t>
      </w:r>
      <w:r w:rsidR="00357669" w:rsidRPr="00BD177B">
        <w:t>556,6</w:t>
      </w:r>
      <w:r w:rsidR="00AB4DD6" w:rsidRPr="00BD177B">
        <w:t xml:space="preserve"> </w:t>
      </w:r>
      <w:r w:rsidR="00234458" w:rsidRPr="00BD177B">
        <w:t xml:space="preserve">milijuna </w:t>
      </w:r>
      <w:r w:rsidR="00AB4DD6" w:rsidRPr="00BD177B">
        <w:t>eura</w:t>
      </w:r>
      <w:r w:rsidR="00234458" w:rsidRPr="00BD177B">
        <w:t xml:space="preserve">, te </w:t>
      </w:r>
      <w:r w:rsidR="00BE4816" w:rsidRPr="00BD177B">
        <w:t xml:space="preserve">predstavlja </w:t>
      </w:r>
      <w:r w:rsidR="00234458" w:rsidRPr="00BD177B">
        <w:t xml:space="preserve">smanjenje za </w:t>
      </w:r>
      <w:r w:rsidR="00BD177B" w:rsidRPr="00BD177B">
        <w:t>1,1 milijardu</w:t>
      </w:r>
      <w:r w:rsidR="00234458" w:rsidRPr="00BD177B">
        <w:t xml:space="preserve"> </w:t>
      </w:r>
      <w:r w:rsidR="00AB4DD6" w:rsidRPr="00BD177B">
        <w:t xml:space="preserve">eura </w:t>
      </w:r>
      <w:r w:rsidR="00234458" w:rsidRPr="00BD177B">
        <w:t xml:space="preserve">ili </w:t>
      </w:r>
      <w:r w:rsidR="00357669" w:rsidRPr="00BD177B">
        <w:t>99,8</w:t>
      </w:r>
      <w:r w:rsidR="00234458" w:rsidRPr="00BD177B">
        <w:t xml:space="preserve"> posto u odnosu na 202</w:t>
      </w:r>
      <w:r w:rsidR="00357669" w:rsidRPr="00BD177B">
        <w:t>2</w:t>
      </w:r>
      <w:r w:rsidR="00234458" w:rsidRPr="00BD177B">
        <w:t xml:space="preserve">. godinu kada su iznosile </w:t>
      </w:r>
      <w:r w:rsidR="00BD177B" w:rsidRPr="00BD177B">
        <w:t xml:space="preserve">1,1 milijardu </w:t>
      </w:r>
      <w:r w:rsidR="00AB4DD6" w:rsidRPr="00BD177B">
        <w:t>eura</w:t>
      </w:r>
      <w:r w:rsidR="00234458" w:rsidRPr="00BD177B">
        <w:t>.</w:t>
      </w:r>
    </w:p>
    <w:p w14:paraId="5FBF61A2" w14:textId="77777777" w:rsidR="00DF63A2" w:rsidRPr="00BD177B" w:rsidRDefault="00DF63A2" w:rsidP="00BE487D">
      <w:pPr>
        <w:jc w:val="both"/>
      </w:pPr>
    </w:p>
    <w:p w14:paraId="65B44AC3" w14:textId="2246C2EA" w:rsidR="00AB4DD6" w:rsidRPr="00BD177B" w:rsidRDefault="00357669" w:rsidP="00BE487D">
      <w:pPr>
        <w:jc w:val="both"/>
      </w:pPr>
      <w:r w:rsidRPr="00BD177B">
        <w:t>Instrumenti putem kojih su dodijeljene p</w:t>
      </w:r>
      <w:r w:rsidR="008F4FFD" w:rsidRPr="00BD177B">
        <w:t>otpore</w:t>
      </w:r>
      <w:r w:rsidR="00960DCD" w:rsidRPr="00BD177B">
        <w:t xml:space="preserve"> </w:t>
      </w:r>
      <w:r w:rsidR="008F4FFD" w:rsidRPr="00BD177B">
        <w:t>u sektoru industrije i usluga</w:t>
      </w:r>
      <w:r w:rsidR="00960DCD" w:rsidRPr="00BD177B">
        <w:t xml:space="preserve"> </w:t>
      </w:r>
      <w:r w:rsidR="00AB4DD6" w:rsidRPr="00BD177B">
        <w:t>u 202</w:t>
      </w:r>
      <w:r w:rsidRPr="00BD177B">
        <w:t>4</w:t>
      </w:r>
      <w:r w:rsidR="00AB4DD6" w:rsidRPr="00BD177B">
        <w:t xml:space="preserve">. godini </w:t>
      </w:r>
      <w:r w:rsidR="008F4FFD" w:rsidRPr="00BD177B">
        <w:t xml:space="preserve">u iznosu </w:t>
      </w:r>
      <w:r w:rsidR="00AB4DD6" w:rsidRPr="00BD177B">
        <w:t xml:space="preserve">od </w:t>
      </w:r>
      <w:r w:rsidR="00BD177B" w:rsidRPr="00BD177B">
        <w:t xml:space="preserve">1,3 milijarde </w:t>
      </w:r>
      <w:r w:rsidR="00AB4DD6" w:rsidRPr="00BD177B">
        <w:t>eura</w:t>
      </w:r>
      <w:r w:rsidR="008F4FFD" w:rsidRPr="00BD177B">
        <w:t xml:space="preserve">, najvećim dijelom </w:t>
      </w:r>
      <w:r w:rsidRPr="00BD177B">
        <w:t>se odnose na potpore dodijeljene put</w:t>
      </w:r>
      <w:r w:rsidR="008F4FFD" w:rsidRPr="00BD177B">
        <w:t xml:space="preserve">em </w:t>
      </w:r>
      <w:r w:rsidR="00BD772D" w:rsidRPr="00BD177B">
        <w:t xml:space="preserve">subvencija i neposrednih subvencija kamata u iznosu od </w:t>
      </w:r>
      <w:r w:rsidR="00BD177B" w:rsidRPr="00BD177B">
        <w:t xml:space="preserve">1,1 milijardu </w:t>
      </w:r>
      <w:r w:rsidR="00FA2983" w:rsidRPr="00BD177B">
        <w:t>eura</w:t>
      </w:r>
      <w:r w:rsidR="00BD772D" w:rsidRPr="00BD177B">
        <w:t xml:space="preserve"> </w:t>
      </w:r>
      <w:r w:rsidRPr="00BD177B">
        <w:t>ili</w:t>
      </w:r>
      <w:r w:rsidR="00BD772D" w:rsidRPr="00BD177B">
        <w:t xml:space="preserve"> s udjelom od </w:t>
      </w:r>
      <w:r w:rsidRPr="00BD177B">
        <w:t>86,2</w:t>
      </w:r>
      <w:r w:rsidR="00BD772D" w:rsidRPr="00BD177B">
        <w:t xml:space="preserve"> posto u sektoru industrije i usluga, slijede</w:t>
      </w:r>
      <w:r w:rsidRPr="00BD177B">
        <w:t xml:space="preserve"> porezne olakšice sa 136,7 milijuna eura ili 10,3 posto, povoljni zajmovi s </w:t>
      </w:r>
      <w:r w:rsidR="00DF63A2" w:rsidRPr="00BD177B">
        <w:t>24,9</w:t>
      </w:r>
      <w:r w:rsidRPr="00BD177B">
        <w:t xml:space="preserve"> milijuna eura ili 1,9 posto, </w:t>
      </w:r>
      <w:r w:rsidR="00BD772D" w:rsidRPr="00BD177B">
        <w:t xml:space="preserve">izdana jamstva </w:t>
      </w:r>
      <w:r w:rsidRPr="00BD177B">
        <w:t>s 19,6</w:t>
      </w:r>
      <w:r w:rsidR="00AB4DD6" w:rsidRPr="00BD177B">
        <w:t xml:space="preserve"> </w:t>
      </w:r>
      <w:r w:rsidR="00BD772D" w:rsidRPr="00BD177B">
        <w:t>milijun</w:t>
      </w:r>
      <w:r w:rsidRPr="00BD177B">
        <w:t>a</w:t>
      </w:r>
      <w:r w:rsidR="00AB4DD6" w:rsidRPr="00BD177B">
        <w:t xml:space="preserve"> eura</w:t>
      </w:r>
      <w:r w:rsidR="00BD772D" w:rsidRPr="00BD177B">
        <w:t xml:space="preserve"> ili </w:t>
      </w:r>
      <w:r w:rsidRPr="00BD177B">
        <w:t>1,5</w:t>
      </w:r>
      <w:r w:rsidR="00BD772D" w:rsidRPr="00BD177B">
        <w:t xml:space="preserve"> posto</w:t>
      </w:r>
      <w:r w:rsidRPr="00BD177B">
        <w:t xml:space="preserve"> te kapitalna ulaganja s 1,7</w:t>
      </w:r>
      <w:r w:rsidR="00AB4DD6" w:rsidRPr="00BD177B">
        <w:t xml:space="preserve"> </w:t>
      </w:r>
      <w:r w:rsidR="00BD772D" w:rsidRPr="00BD177B">
        <w:t xml:space="preserve">milijuna </w:t>
      </w:r>
      <w:r w:rsidR="00AB4DD6" w:rsidRPr="00BD177B">
        <w:t xml:space="preserve">eura </w:t>
      </w:r>
      <w:r w:rsidR="00BD772D" w:rsidRPr="00BD177B">
        <w:t xml:space="preserve">ili </w:t>
      </w:r>
      <w:r w:rsidRPr="00BD177B">
        <w:t>0,1</w:t>
      </w:r>
      <w:r w:rsidR="00BD772D" w:rsidRPr="00BD177B">
        <w:t xml:space="preserve"> posto</w:t>
      </w:r>
      <w:r w:rsidR="00AB4DD6" w:rsidRPr="00BD177B">
        <w:t>.</w:t>
      </w:r>
    </w:p>
    <w:p w14:paraId="733E6A86" w14:textId="77777777" w:rsidR="00DF63A2" w:rsidRPr="00BD177B" w:rsidRDefault="00DF63A2" w:rsidP="004255DD"/>
    <w:p w14:paraId="4371FBF1" w14:textId="1DB7BD47" w:rsidR="00B87C45" w:rsidRPr="00BD177B" w:rsidRDefault="00B87C45" w:rsidP="00B87C45">
      <w:pPr>
        <w:contextualSpacing/>
        <w:jc w:val="both"/>
      </w:pPr>
      <w:r w:rsidRPr="00BD177B">
        <w:t xml:space="preserve">Slika </w:t>
      </w:r>
      <w:r w:rsidR="00870E9F" w:rsidRPr="00BD177B">
        <w:t>4</w:t>
      </w:r>
      <w:r w:rsidRPr="00BD177B">
        <w:t xml:space="preserve">. Potpore </w:t>
      </w:r>
      <w:r w:rsidR="00DB77E9" w:rsidRPr="00BD177B">
        <w:t xml:space="preserve">dodijeljene </w:t>
      </w:r>
      <w:r w:rsidRPr="00BD177B">
        <w:t>u sektoru industrije i usluga u razdoblju od 201</w:t>
      </w:r>
      <w:r w:rsidR="00B152B3" w:rsidRPr="00BD177B">
        <w:t>4</w:t>
      </w:r>
      <w:r w:rsidRPr="00BD177B">
        <w:t>. do 202</w:t>
      </w:r>
      <w:r w:rsidR="00B152B3" w:rsidRPr="00BD177B">
        <w:t>4</w:t>
      </w:r>
      <w:r w:rsidRPr="00BD177B">
        <w:t xml:space="preserve">. godine (u milijunima </w:t>
      </w:r>
      <w:r w:rsidR="00EF23F8" w:rsidRPr="00BD177B">
        <w:t>eura</w:t>
      </w:r>
      <w:r w:rsidRPr="00BD177B">
        <w:t>)</w:t>
      </w:r>
    </w:p>
    <w:p w14:paraId="6E244467" w14:textId="542C519D" w:rsidR="001D1F79" w:rsidRPr="00BD177B" w:rsidRDefault="001D1F79" w:rsidP="00BE487D">
      <w:pPr>
        <w:jc w:val="both"/>
        <w:rPr>
          <w:b/>
          <w:sz w:val="20"/>
        </w:rPr>
      </w:pPr>
    </w:p>
    <w:p w14:paraId="4343C5DB" w14:textId="4880082A" w:rsidR="008B12DD" w:rsidRPr="00BD177B" w:rsidRDefault="008B12DD" w:rsidP="00BE487D">
      <w:pPr>
        <w:jc w:val="both"/>
        <w:rPr>
          <w:b/>
        </w:rPr>
      </w:pPr>
      <w:r w:rsidRPr="00BD177B">
        <w:rPr>
          <w:noProof/>
          <w:lang w:eastAsia="hr-HR"/>
        </w:rPr>
        <w:drawing>
          <wp:inline distT="0" distB="0" distL="0" distR="0" wp14:anchorId="72C60214" wp14:editId="4AAC1B8B">
            <wp:extent cx="5825067" cy="1955800"/>
            <wp:effectExtent l="0" t="0" r="42545" b="44450"/>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58B034" w14:textId="77777777" w:rsidR="00B152B3" w:rsidRPr="00BD177B" w:rsidRDefault="00B152B3" w:rsidP="00B152B3">
      <w:pPr>
        <w:contextualSpacing/>
        <w:jc w:val="center"/>
        <w:rPr>
          <w:i/>
          <w:sz w:val="20"/>
        </w:rPr>
      </w:pPr>
      <w:r w:rsidRPr="00BD177B">
        <w:rPr>
          <w:i/>
          <w:sz w:val="20"/>
        </w:rPr>
        <w:t>Izvor: Ministarstvo financija i davatelji potpora; podaci obrađeni u Ministarstvu financija</w:t>
      </w:r>
    </w:p>
    <w:p w14:paraId="13524D68" w14:textId="77777777" w:rsidR="008B12DD" w:rsidRPr="00BD177B" w:rsidRDefault="008B12DD" w:rsidP="00BE487D">
      <w:pPr>
        <w:jc w:val="both"/>
        <w:rPr>
          <w:b/>
        </w:rPr>
      </w:pPr>
    </w:p>
    <w:p w14:paraId="497F5780" w14:textId="587A75F7" w:rsidR="0028517A" w:rsidRPr="00BD177B" w:rsidRDefault="0028517A" w:rsidP="00BE487D">
      <w:pPr>
        <w:jc w:val="both"/>
      </w:pPr>
      <w:r w:rsidRPr="00BD177B">
        <w:t>Sli</w:t>
      </w:r>
      <w:r w:rsidR="00357669" w:rsidRPr="00BD177B">
        <w:t>ka 4</w:t>
      </w:r>
      <w:r w:rsidRPr="00BD177B">
        <w:t>. prikaz</w:t>
      </w:r>
      <w:r w:rsidR="00357669" w:rsidRPr="00BD177B">
        <w:t>uje</w:t>
      </w:r>
      <w:r w:rsidR="007A7C7C" w:rsidRPr="00BD177B">
        <w:t xml:space="preserve"> </w:t>
      </w:r>
      <w:r w:rsidRPr="00BD177B">
        <w:t>iznos potpora dodijeljenih u sektoru industrije i usluga u razdoblju od 201</w:t>
      </w:r>
      <w:r w:rsidR="00357669" w:rsidRPr="00BD177B">
        <w:t>4</w:t>
      </w:r>
      <w:r w:rsidRPr="00BD177B">
        <w:t>. do 202</w:t>
      </w:r>
      <w:r w:rsidR="00357669" w:rsidRPr="00BD177B">
        <w:t>4</w:t>
      </w:r>
      <w:r w:rsidRPr="00BD177B">
        <w:t>. godine</w:t>
      </w:r>
      <w:r w:rsidR="007A7C7C" w:rsidRPr="00BD177B">
        <w:t xml:space="preserve"> u milijunima eura.</w:t>
      </w:r>
    </w:p>
    <w:p w14:paraId="354CB8C5" w14:textId="77777777" w:rsidR="0028517A" w:rsidRPr="00BD177B" w:rsidRDefault="0028517A" w:rsidP="00BE487D">
      <w:pPr>
        <w:jc w:val="both"/>
      </w:pPr>
    </w:p>
    <w:p w14:paraId="5B592D4A" w14:textId="77777777" w:rsidR="0028517A" w:rsidRPr="00BD177B" w:rsidRDefault="0028517A" w:rsidP="00BE487D">
      <w:pPr>
        <w:jc w:val="both"/>
        <w:rPr>
          <w:b/>
        </w:rPr>
      </w:pPr>
    </w:p>
    <w:p w14:paraId="072B53EA" w14:textId="77777777" w:rsidR="00E45043" w:rsidRPr="005C47F2" w:rsidRDefault="00E45043">
      <w:pPr>
        <w:rPr>
          <w:b/>
          <w:highlight w:val="green"/>
        </w:rPr>
      </w:pPr>
      <w:r w:rsidRPr="005C47F2">
        <w:rPr>
          <w:b/>
          <w:highlight w:val="green"/>
        </w:rPr>
        <w:br w:type="page"/>
      </w:r>
    </w:p>
    <w:p w14:paraId="243EFE4B" w14:textId="68BC9043" w:rsidR="00BE0817" w:rsidRPr="00EB5312" w:rsidRDefault="00B20C9B" w:rsidP="00937A35">
      <w:pPr>
        <w:pStyle w:val="Heading2"/>
        <w:ind w:left="811" w:hanging="454"/>
      </w:pPr>
      <w:r w:rsidRPr="00EB5312">
        <w:lastRenderedPageBreak/>
        <w:t xml:space="preserve"> </w:t>
      </w:r>
      <w:bookmarkStart w:id="12" w:name="_Toc213660033"/>
      <w:r w:rsidRPr="00EB5312">
        <w:t>HORIZONTALNE POTPORE</w:t>
      </w:r>
      <w:bookmarkEnd w:id="12"/>
    </w:p>
    <w:p w14:paraId="1FAE4543" w14:textId="77777777" w:rsidR="00BE0817" w:rsidRPr="00EB5312" w:rsidRDefault="00BE0817" w:rsidP="00BE487D">
      <w:pPr>
        <w:ind w:left="348"/>
        <w:jc w:val="both"/>
        <w:rPr>
          <w:b/>
        </w:rPr>
      </w:pPr>
    </w:p>
    <w:p w14:paraId="7BA3CFC9" w14:textId="77777777" w:rsidR="005B7944" w:rsidRPr="00EB5312" w:rsidRDefault="005B7944" w:rsidP="00BE487D">
      <w:pPr>
        <w:ind w:left="348"/>
        <w:jc w:val="both"/>
        <w:rPr>
          <w:b/>
        </w:rPr>
      </w:pPr>
    </w:p>
    <w:p w14:paraId="566757EA" w14:textId="3197EC80" w:rsidR="00D305BF" w:rsidRPr="00EB5312" w:rsidRDefault="008C3BF8" w:rsidP="00BE487D">
      <w:pPr>
        <w:jc w:val="both"/>
      </w:pPr>
      <w:r w:rsidRPr="00EB5312">
        <w:rPr>
          <w:rFonts w:eastAsiaTheme="minorEastAsia"/>
        </w:rPr>
        <w:t>H</w:t>
      </w:r>
      <w:r w:rsidR="00502B96" w:rsidRPr="00EB5312">
        <w:rPr>
          <w:rFonts w:eastAsiaTheme="minorEastAsia"/>
        </w:rPr>
        <w:t>orizontaln</w:t>
      </w:r>
      <w:r w:rsidRPr="00EB5312">
        <w:rPr>
          <w:rFonts w:eastAsiaTheme="minorEastAsia"/>
        </w:rPr>
        <w:t xml:space="preserve">e </w:t>
      </w:r>
      <w:r w:rsidR="00502B96" w:rsidRPr="00EB5312">
        <w:rPr>
          <w:rFonts w:eastAsiaTheme="minorEastAsia"/>
        </w:rPr>
        <w:t>potpor</w:t>
      </w:r>
      <w:r w:rsidRPr="00EB5312">
        <w:rPr>
          <w:rFonts w:eastAsiaTheme="minorEastAsia"/>
        </w:rPr>
        <w:t>e</w:t>
      </w:r>
      <w:r w:rsidR="00502B96" w:rsidRPr="00EB5312">
        <w:rPr>
          <w:rFonts w:eastAsiaTheme="minorEastAsia"/>
        </w:rPr>
        <w:t xml:space="preserve"> s</w:t>
      </w:r>
      <w:r w:rsidRPr="00EB5312">
        <w:rPr>
          <w:rFonts w:eastAsiaTheme="minorEastAsia"/>
        </w:rPr>
        <w:t>u</w:t>
      </w:r>
      <w:r w:rsidR="00D305BF" w:rsidRPr="00EB5312">
        <w:t xml:space="preserve"> sve potpore</w:t>
      </w:r>
      <w:r w:rsidRPr="00EB5312">
        <w:t xml:space="preserve">, </w:t>
      </w:r>
      <w:r w:rsidRPr="00EB5312">
        <w:rPr>
          <w:rFonts w:eastAsiaTheme="minorEastAsia"/>
        </w:rPr>
        <w:t xml:space="preserve">sukladno </w:t>
      </w:r>
      <w:r w:rsidRPr="00EB5312">
        <w:t>EU metodologiji praćenja potpora,</w:t>
      </w:r>
      <w:r w:rsidRPr="00EB5312">
        <w:rPr>
          <w:rFonts w:eastAsiaTheme="minorEastAsia"/>
        </w:rPr>
        <w:t xml:space="preserve"> </w:t>
      </w:r>
      <w:r w:rsidR="008E65B5" w:rsidRPr="00EB5312">
        <w:t xml:space="preserve">dodijeljene </w:t>
      </w:r>
      <w:r w:rsidR="00D305BF" w:rsidRPr="00EB5312">
        <w:t>za horizontalne ciljeve u „užem“ smislu</w:t>
      </w:r>
      <w:r w:rsidR="00502B96" w:rsidRPr="00EB5312">
        <w:t xml:space="preserve">, </w:t>
      </w:r>
      <w:r w:rsidRPr="00EB5312">
        <w:t>kao što</w:t>
      </w:r>
      <w:r w:rsidR="00502B96" w:rsidRPr="00EB5312">
        <w:t xml:space="preserve"> su potpore za </w:t>
      </w:r>
      <w:r w:rsidR="00D305BF" w:rsidRPr="00EB5312">
        <w:t xml:space="preserve">istraživanje i razvoj i inovacije, male i srednje poduzetnike, usavršavanje, zapošljavanje i kulturu i očuvanje kulturne baštine, </w:t>
      </w:r>
      <w:r w:rsidR="00502B96" w:rsidRPr="00EB5312">
        <w:t xml:space="preserve">te potpore dodijeljene </w:t>
      </w:r>
      <w:r w:rsidR="008E65B5" w:rsidRPr="00EB5312">
        <w:t>za</w:t>
      </w:r>
      <w:r w:rsidR="00D305BF" w:rsidRPr="00EB5312">
        <w:t xml:space="preserve"> </w:t>
      </w:r>
      <w:r w:rsidR="003F168C" w:rsidRPr="00EB5312">
        <w:t xml:space="preserve">regionalni razvoj putem </w:t>
      </w:r>
      <w:r w:rsidR="00D305BF" w:rsidRPr="00EB5312">
        <w:t>regionaln</w:t>
      </w:r>
      <w:r w:rsidR="003F168C" w:rsidRPr="00EB5312">
        <w:t>ih</w:t>
      </w:r>
      <w:r w:rsidR="00D305BF" w:rsidRPr="00EB5312">
        <w:t xml:space="preserve"> potpor</w:t>
      </w:r>
      <w:r w:rsidR="003F168C" w:rsidRPr="00EB5312">
        <w:t>a</w:t>
      </w:r>
      <w:r w:rsidR="00D305BF" w:rsidRPr="00EB5312">
        <w:t xml:space="preserve"> te potpore na razini jedinica lokalne i područne (regionalne) samouprave</w:t>
      </w:r>
      <w:r w:rsidR="008E65B5" w:rsidRPr="00EB5312">
        <w:t>.</w:t>
      </w:r>
    </w:p>
    <w:p w14:paraId="55A49CA0" w14:textId="77777777" w:rsidR="009E61F0" w:rsidRPr="00EB5312" w:rsidRDefault="009E61F0" w:rsidP="00BE487D">
      <w:pPr>
        <w:jc w:val="both"/>
      </w:pPr>
    </w:p>
    <w:p w14:paraId="27198031" w14:textId="1829F760" w:rsidR="00B60D14" w:rsidRPr="00EB5312" w:rsidRDefault="00D305BF" w:rsidP="00B60D14">
      <w:pPr>
        <w:jc w:val="both"/>
      </w:pPr>
      <w:r w:rsidRPr="00EB5312">
        <w:rPr>
          <w:u w:val="single"/>
        </w:rPr>
        <w:t>Horizontalne potpore</w:t>
      </w:r>
      <w:r w:rsidR="00B60D14" w:rsidRPr="00EB5312">
        <w:t>,</w:t>
      </w:r>
      <w:r w:rsidRPr="00EB5312">
        <w:t xml:space="preserve"> </w:t>
      </w:r>
      <w:r w:rsidR="00B60D14" w:rsidRPr="00EB5312">
        <w:t>uključujući horizontalne ciljeve u „užem“ smislu</w:t>
      </w:r>
      <w:r w:rsidR="003F168C" w:rsidRPr="00EB5312">
        <w:rPr>
          <w:rStyle w:val="FootnoteReference"/>
        </w:rPr>
        <w:footnoteReference w:id="22"/>
      </w:r>
      <w:r w:rsidR="00B60D14" w:rsidRPr="00EB5312">
        <w:t xml:space="preserve">, </w:t>
      </w:r>
      <w:r w:rsidRPr="00EB5312">
        <w:t xml:space="preserve">regionalne potpore i potpore na lokalnoj razini, dodijeljene su </w:t>
      </w:r>
      <w:r w:rsidR="00502B96" w:rsidRPr="00EB5312">
        <w:t>u 202</w:t>
      </w:r>
      <w:r w:rsidR="00357669" w:rsidRPr="00EB5312">
        <w:t>4</w:t>
      </w:r>
      <w:r w:rsidR="00F1674A" w:rsidRPr="00EB5312">
        <w:t xml:space="preserve">. godini </w:t>
      </w:r>
      <w:r w:rsidRPr="00EB5312">
        <w:t xml:space="preserve">u iznosu od </w:t>
      </w:r>
      <w:r w:rsidR="00357669" w:rsidRPr="00EB5312">
        <w:t>515,</w:t>
      </w:r>
      <w:r w:rsidR="009D6477" w:rsidRPr="00EB5312">
        <w:t>8</w:t>
      </w:r>
      <w:r w:rsidR="00357669" w:rsidRPr="00EB5312">
        <w:t xml:space="preserve"> </w:t>
      </w:r>
      <w:r w:rsidRPr="00EB5312">
        <w:t xml:space="preserve">milijuna </w:t>
      </w:r>
      <w:r w:rsidR="00502B96" w:rsidRPr="00EB5312">
        <w:t>eura</w:t>
      </w:r>
      <w:r w:rsidRPr="00EB5312">
        <w:t>,</w:t>
      </w:r>
      <w:r w:rsidR="00B60D14" w:rsidRPr="00EB5312">
        <w:t xml:space="preserve"> što </w:t>
      </w:r>
      <w:r w:rsidR="00F1674A" w:rsidRPr="00EB5312">
        <w:t>je</w:t>
      </w:r>
      <w:r w:rsidR="00B60D14" w:rsidRPr="00EB5312">
        <w:t xml:space="preserve"> </w:t>
      </w:r>
      <w:r w:rsidR="00357669" w:rsidRPr="00EB5312">
        <w:t>smanjenje</w:t>
      </w:r>
      <w:r w:rsidR="00B60D14" w:rsidRPr="00EB5312">
        <w:t xml:space="preserve"> za </w:t>
      </w:r>
      <w:r w:rsidR="00357669" w:rsidRPr="00EB5312">
        <w:t>45,4</w:t>
      </w:r>
      <w:r w:rsidR="00502B96" w:rsidRPr="00EB5312">
        <w:t xml:space="preserve"> </w:t>
      </w:r>
      <w:r w:rsidR="00B60D14" w:rsidRPr="00EB5312">
        <w:t xml:space="preserve">milijuna </w:t>
      </w:r>
      <w:r w:rsidR="00502B96" w:rsidRPr="00EB5312">
        <w:t xml:space="preserve">eura </w:t>
      </w:r>
      <w:r w:rsidR="00357669" w:rsidRPr="00EB5312">
        <w:t>ili 8,1</w:t>
      </w:r>
      <w:r w:rsidR="00F1674A" w:rsidRPr="00EB5312">
        <w:t xml:space="preserve"> </w:t>
      </w:r>
      <w:r w:rsidR="00B60D14" w:rsidRPr="00EB5312">
        <w:t>posto u odnosu na 202</w:t>
      </w:r>
      <w:r w:rsidR="00357669" w:rsidRPr="00EB5312">
        <w:t>3</w:t>
      </w:r>
      <w:r w:rsidR="00B60D14" w:rsidRPr="00EB5312">
        <w:t xml:space="preserve">. godinu, kada su </w:t>
      </w:r>
      <w:r w:rsidR="00F1674A" w:rsidRPr="00EB5312">
        <w:t>navedene</w:t>
      </w:r>
      <w:r w:rsidR="00B60D14" w:rsidRPr="00EB5312">
        <w:t xml:space="preserve"> potpore iznos</w:t>
      </w:r>
      <w:r w:rsidR="00F1674A" w:rsidRPr="00EB5312">
        <w:t>ile</w:t>
      </w:r>
      <w:r w:rsidR="00B60D14" w:rsidRPr="00EB5312">
        <w:t xml:space="preserve"> </w:t>
      </w:r>
      <w:r w:rsidR="00357669" w:rsidRPr="00EB5312">
        <w:t>561,</w:t>
      </w:r>
      <w:r w:rsidR="009D6477" w:rsidRPr="00EB5312">
        <w:t>2</w:t>
      </w:r>
      <w:r w:rsidR="00357669" w:rsidRPr="00EB5312">
        <w:t xml:space="preserve"> </w:t>
      </w:r>
      <w:r w:rsidR="00B60D14" w:rsidRPr="00EB5312">
        <w:t xml:space="preserve">milijuna </w:t>
      </w:r>
      <w:r w:rsidR="00502B96" w:rsidRPr="00EB5312">
        <w:t>eura</w:t>
      </w:r>
      <w:r w:rsidR="00B60D14" w:rsidRPr="00EB5312">
        <w:t xml:space="preserve">, te </w:t>
      </w:r>
      <w:r w:rsidR="00BE4816" w:rsidRPr="00EB5312">
        <w:t xml:space="preserve">predstavlja </w:t>
      </w:r>
      <w:r w:rsidR="00502B96" w:rsidRPr="00EB5312">
        <w:t xml:space="preserve">povećanje </w:t>
      </w:r>
      <w:r w:rsidR="00B60D14" w:rsidRPr="00EB5312">
        <w:t xml:space="preserve">za </w:t>
      </w:r>
      <w:r w:rsidR="00357669" w:rsidRPr="00EB5312">
        <w:t>180,</w:t>
      </w:r>
      <w:r w:rsidR="009D6477" w:rsidRPr="00EB5312">
        <w:t>6</w:t>
      </w:r>
      <w:r w:rsidR="00357669" w:rsidRPr="00EB5312">
        <w:t xml:space="preserve"> </w:t>
      </w:r>
      <w:r w:rsidR="00B60D14" w:rsidRPr="00EB5312">
        <w:t xml:space="preserve">milijuna </w:t>
      </w:r>
      <w:r w:rsidR="00502B96" w:rsidRPr="00EB5312">
        <w:t xml:space="preserve">eura </w:t>
      </w:r>
      <w:r w:rsidR="00357669" w:rsidRPr="00EB5312">
        <w:t>ili</w:t>
      </w:r>
      <w:r w:rsidR="00B60D14" w:rsidRPr="00EB5312">
        <w:t xml:space="preserve"> </w:t>
      </w:r>
      <w:r w:rsidR="00357669" w:rsidRPr="00EB5312">
        <w:t>53,9</w:t>
      </w:r>
      <w:r w:rsidR="00B60D14" w:rsidRPr="00EB5312">
        <w:t xml:space="preserve"> posto u odnosu na 20</w:t>
      </w:r>
      <w:r w:rsidR="00F1674A" w:rsidRPr="00EB5312">
        <w:t>2</w:t>
      </w:r>
      <w:r w:rsidR="00357669" w:rsidRPr="00EB5312">
        <w:t>2</w:t>
      </w:r>
      <w:r w:rsidR="00B60D14" w:rsidRPr="00EB5312">
        <w:t xml:space="preserve">. godinu kada su </w:t>
      </w:r>
      <w:r w:rsidR="00F1674A" w:rsidRPr="00EB5312">
        <w:t xml:space="preserve">iznosile </w:t>
      </w:r>
      <w:r w:rsidR="00357669" w:rsidRPr="00EB5312">
        <w:t xml:space="preserve">335,2 </w:t>
      </w:r>
      <w:r w:rsidR="00B60D14" w:rsidRPr="00EB5312">
        <w:t xml:space="preserve">milijuna </w:t>
      </w:r>
      <w:r w:rsidR="00502B96" w:rsidRPr="00EB5312">
        <w:t>eura</w:t>
      </w:r>
      <w:r w:rsidR="00B60D14" w:rsidRPr="00EB5312">
        <w:t>.</w:t>
      </w:r>
    </w:p>
    <w:p w14:paraId="043C1B8E" w14:textId="77777777" w:rsidR="009D6477" w:rsidRPr="00EB5312" w:rsidRDefault="009D6477" w:rsidP="00BE487D">
      <w:pPr>
        <w:jc w:val="both"/>
      </w:pPr>
    </w:p>
    <w:p w14:paraId="736F9E7A" w14:textId="4909E716" w:rsidR="002D0BE0" w:rsidRPr="00EB5312" w:rsidRDefault="00FB1A84" w:rsidP="002D0BE0">
      <w:pPr>
        <w:jc w:val="both"/>
      </w:pPr>
      <w:r w:rsidRPr="00EB5312">
        <w:t xml:space="preserve">Udio </w:t>
      </w:r>
      <w:r w:rsidR="00B60D14" w:rsidRPr="00EB5312">
        <w:t xml:space="preserve">horizontalnih </w:t>
      </w:r>
      <w:r w:rsidRPr="00EB5312">
        <w:t>potpora u BDP-u u 202</w:t>
      </w:r>
      <w:r w:rsidR="008C3BF8" w:rsidRPr="00EB5312">
        <w:t>4</w:t>
      </w:r>
      <w:r w:rsidRPr="00EB5312">
        <w:t xml:space="preserve">. godini iznosio je </w:t>
      </w:r>
      <w:r w:rsidR="00B60D14" w:rsidRPr="00EB5312">
        <w:t>0,</w:t>
      </w:r>
      <w:r w:rsidR="008C3BF8" w:rsidRPr="00EB5312">
        <w:t>60</w:t>
      </w:r>
      <w:r w:rsidRPr="00EB5312">
        <w:t xml:space="preserve"> posto, u 202</w:t>
      </w:r>
      <w:r w:rsidR="008C3BF8" w:rsidRPr="00EB5312">
        <w:t>3</w:t>
      </w:r>
      <w:r w:rsidRPr="00EB5312">
        <w:t xml:space="preserve">. godini </w:t>
      </w:r>
      <w:r w:rsidR="008C3BF8" w:rsidRPr="00EB5312">
        <w:t>0,72</w:t>
      </w:r>
      <w:r w:rsidR="00C527C6" w:rsidRPr="00EB5312">
        <w:t xml:space="preserve"> </w:t>
      </w:r>
      <w:r w:rsidRPr="00EB5312">
        <w:t xml:space="preserve">posto </w:t>
      </w:r>
      <w:r w:rsidR="008C3BF8" w:rsidRPr="00EB5312">
        <w:t xml:space="preserve">te </w:t>
      </w:r>
      <w:r w:rsidRPr="00EB5312">
        <w:t>u 20</w:t>
      </w:r>
      <w:r w:rsidR="00F1674A" w:rsidRPr="00EB5312">
        <w:t>2</w:t>
      </w:r>
      <w:r w:rsidR="008C3BF8" w:rsidRPr="00EB5312">
        <w:t>2</w:t>
      </w:r>
      <w:r w:rsidRPr="00EB5312">
        <w:t xml:space="preserve">. godini </w:t>
      </w:r>
      <w:r w:rsidR="008C3BF8" w:rsidRPr="00EB5312">
        <w:t>0,50</w:t>
      </w:r>
      <w:r w:rsidR="00C527C6" w:rsidRPr="00EB5312">
        <w:t xml:space="preserve"> </w:t>
      </w:r>
      <w:r w:rsidRPr="00EB5312">
        <w:t xml:space="preserve">posto. </w:t>
      </w:r>
      <w:r w:rsidR="00C527C6" w:rsidRPr="00EB5312">
        <w:t xml:space="preserve">Udio </w:t>
      </w:r>
      <w:r w:rsidR="002D0BE0" w:rsidRPr="00EB5312">
        <w:t xml:space="preserve">horizontalnih </w:t>
      </w:r>
      <w:r w:rsidR="00C527C6" w:rsidRPr="00EB5312">
        <w:t xml:space="preserve">potpora u </w:t>
      </w:r>
      <w:r w:rsidR="002D0BE0" w:rsidRPr="00EB5312">
        <w:t xml:space="preserve">ukupno dodijeljenim potporama u </w:t>
      </w:r>
      <w:r w:rsidR="00C527C6" w:rsidRPr="00EB5312">
        <w:t>202</w:t>
      </w:r>
      <w:r w:rsidR="008C3BF8" w:rsidRPr="00EB5312">
        <w:t>4</w:t>
      </w:r>
      <w:r w:rsidR="00C527C6" w:rsidRPr="00EB5312">
        <w:t xml:space="preserve">. godini iznosio je </w:t>
      </w:r>
      <w:r w:rsidR="008C3BF8" w:rsidRPr="00EB5312">
        <w:t>35,6</w:t>
      </w:r>
      <w:r w:rsidR="00C527C6" w:rsidRPr="00EB5312">
        <w:t xml:space="preserve"> posto, u 202</w:t>
      </w:r>
      <w:r w:rsidR="008C3BF8" w:rsidRPr="00EB5312">
        <w:t>3</w:t>
      </w:r>
      <w:r w:rsidR="00C527C6" w:rsidRPr="00EB5312">
        <w:t xml:space="preserve">. godini </w:t>
      </w:r>
      <w:r w:rsidR="008C3BF8" w:rsidRPr="00EB5312">
        <w:t>27</w:t>
      </w:r>
      <w:r w:rsidR="00C527C6" w:rsidRPr="00EB5312">
        <w:t xml:space="preserve"> posto te u 20</w:t>
      </w:r>
      <w:r w:rsidR="00F1674A" w:rsidRPr="00EB5312">
        <w:t>2</w:t>
      </w:r>
      <w:r w:rsidR="008C3BF8" w:rsidRPr="00EB5312">
        <w:t>2</w:t>
      </w:r>
      <w:r w:rsidR="00C527C6" w:rsidRPr="00EB5312">
        <w:t xml:space="preserve">. godini </w:t>
      </w:r>
      <w:r w:rsidR="008C3BF8" w:rsidRPr="00EB5312">
        <w:t>15,6</w:t>
      </w:r>
      <w:r w:rsidR="002D0BE0" w:rsidRPr="00EB5312">
        <w:t xml:space="preserve"> posto</w:t>
      </w:r>
      <w:r w:rsidR="00BE069D" w:rsidRPr="00EB5312">
        <w:t>. U</w:t>
      </w:r>
      <w:r w:rsidR="002D0BE0" w:rsidRPr="00EB5312">
        <w:t xml:space="preserve">dio </w:t>
      </w:r>
      <w:r w:rsidR="00BE069D" w:rsidRPr="00EB5312">
        <w:t xml:space="preserve">horizontalnih potpora </w:t>
      </w:r>
      <w:r w:rsidR="002D0BE0" w:rsidRPr="00EB5312">
        <w:t>u potporama dodijeljenih u sektoru industrije i usluga u 202</w:t>
      </w:r>
      <w:r w:rsidR="008C3BF8" w:rsidRPr="00EB5312">
        <w:t>4</w:t>
      </w:r>
      <w:r w:rsidR="002D0BE0" w:rsidRPr="00EB5312">
        <w:t xml:space="preserve">. godini iznosio </w:t>
      </w:r>
      <w:r w:rsidR="008C3BF8" w:rsidRPr="00EB5312">
        <w:t>je 39,1</w:t>
      </w:r>
      <w:r w:rsidR="002D0BE0" w:rsidRPr="00EB5312">
        <w:t xml:space="preserve"> posto, u 202</w:t>
      </w:r>
      <w:r w:rsidR="008C3BF8" w:rsidRPr="00EB5312">
        <w:t>3</w:t>
      </w:r>
      <w:r w:rsidR="002D0BE0" w:rsidRPr="00EB5312">
        <w:t xml:space="preserve">. godini </w:t>
      </w:r>
      <w:r w:rsidR="008C3BF8" w:rsidRPr="00EB5312">
        <w:t xml:space="preserve">28,5 </w:t>
      </w:r>
      <w:r w:rsidR="002D0BE0" w:rsidRPr="00EB5312">
        <w:t xml:space="preserve">posto </w:t>
      </w:r>
      <w:r w:rsidR="008C3BF8" w:rsidRPr="00EB5312">
        <w:t>te</w:t>
      </w:r>
      <w:r w:rsidR="002D0BE0" w:rsidRPr="00EB5312">
        <w:t xml:space="preserve"> u 20</w:t>
      </w:r>
      <w:r w:rsidR="00F1674A" w:rsidRPr="00EB5312">
        <w:t>2</w:t>
      </w:r>
      <w:r w:rsidR="008C3BF8" w:rsidRPr="00EB5312">
        <w:t>2</w:t>
      </w:r>
      <w:r w:rsidR="00F1674A" w:rsidRPr="00EB5312">
        <w:t xml:space="preserve">. godini </w:t>
      </w:r>
      <w:r w:rsidR="008C3BF8" w:rsidRPr="00EB5312">
        <w:t>16,4</w:t>
      </w:r>
      <w:r w:rsidR="002D0BE0" w:rsidRPr="00EB5312">
        <w:t xml:space="preserve"> posto. </w:t>
      </w:r>
    </w:p>
    <w:p w14:paraId="36C1CD17" w14:textId="77777777" w:rsidR="009D6477" w:rsidRPr="00EB5312" w:rsidRDefault="009D6477" w:rsidP="00B152B3"/>
    <w:p w14:paraId="04E4AE89" w14:textId="796A9FC6" w:rsidR="00F8458D" w:rsidRPr="00EB5312" w:rsidRDefault="00F8458D" w:rsidP="00F8458D">
      <w:pPr>
        <w:jc w:val="both"/>
      </w:pPr>
      <w:r w:rsidRPr="00EB5312">
        <w:t xml:space="preserve">Unutar horizontalnih potpora </w:t>
      </w:r>
      <w:r w:rsidR="00BE069D" w:rsidRPr="00EB5312">
        <w:t>dodijeljenih u 202</w:t>
      </w:r>
      <w:r w:rsidR="008C3BF8" w:rsidRPr="00EB5312">
        <w:t>4</w:t>
      </w:r>
      <w:r w:rsidR="00BE069D" w:rsidRPr="00EB5312">
        <w:t xml:space="preserve">. godini </w:t>
      </w:r>
      <w:r w:rsidRPr="00EB5312">
        <w:t xml:space="preserve">u iznosu od </w:t>
      </w:r>
      <w:r w:rsidR="008C3BF8" w:rsidRPr="00EB5312">
        <w:t>515,</w:t>
      </w:r>
      <w:r w:rsidR="009D6477" w:rsidRPr="00EB5312">
        <w:t>8</w:t>
      </w:r>
      <w:r w:rsidR="008C3BF8" w:rsidRPr="00EB5312">
        <w:t xml:space="preserve"> </w:t>
      </w:r>
      <w:r w:rsidRPr="00EB5312">
        <w:t xml:space="preserve">milijuna </w:t>
      </w:r>
      <w:r w:rsidR="00BE069D" w:rsidRPr="00EB5312">
        <w:t>eura</w:t>
      </w:r>
      <w:r w:rsidRPr="00EB5312">
        <w:t>, na horizontalne ciljeve odnosno horizontalne potpore u užem smislu</w:t>
      </w:r>
      <w:r w:rsidRPr="00EB5312">
        <w:rPr>
          <w:vertAlign w:val="superscript"/>
        </w:rPr>
        <w:footnoteReference w:id="23"/>
      </w:r>
      <w:r w:rsidRPr="00EB5312">
        <w:t xml:space="preserve"> odnosi se </w:t>
      </w:r>
      <w:r w:rsidR="008C3BF8" w:rsidRPr="00EB5312">
        <w:t>213,</w:t>
      </w:r>
      <w:r w:rsidR="009D6477" w:rsidRPr="00EB5312">
        <w:t>5</w:t>
      </w:r>
      <w:r w:rsidR="00BE069D" w:rsidRPr="00EB5312">
        <w:t xml:space="preserve"> </w:t>
      </w:r>
      <w:r w:rsidRPr="00EB5312">
        <w:t xml:space="preserve">milijuna </w:t>
      </w:r>
      <w:r w:rsidR="00BE069D" w:rsidRPr="00EB5312">
        <w:t xml:space="preserve">eura </w:t>
      </w:r>
      <w:r w:rsidRPr="00EB5312">
        <w:t xml:space="preserve">ili </w:t>
      </w:r>
      <w:r w:rsidR="008C3BF8" w:rsidRPr="00EB5312">
        <w:t>41,4</w:t>
      </w:r>
      <w:r w:rsidRPr="00EB5312">
        <w:t xml:space="preserve"> posto </w:t>
      </w:r>
      <w:r w:rsidR="008C3BF8" w:rsidRPr="00EB5312">
        <w:t xml:space="preserve">udjela </w:t>
      </w:r>
      <w:r w:rsidRPr="00EB5312">
        <w:t>u horizontalnim potporama, na regionalne potpore</w:t>
      </w:r>
      <w:r w:rsidR="00BE069D" w:rsidRPr="00EB5312">
        <w:t xml:space="preserve"> odnosi se</w:t>
      </w:r>
      <w:r w:rsidRPr="00EB5312">
        <w:t xml:space="preserve"> </w:t>
      </w:r>
      <w:r w:rsidR="008C3BF8" w:rsidRPr="00EB5312">
        <w:t>134,9</w:t>
      </w:r>
      <w:r w:rsidR="00BE069D" w:rsidRPr="00EB5312">
        <w:t xml:space="preserve"> </w:t>
      </w:r>
      <w:r w:rsidRPr="00EB5312">
        <w:t xml:space="preserve">milijuna </w:t>
      </w:r>
      <w:r w:rsidR="00BE069D" w:rsidRPr="00EB5312">
        <w:t xml:space="preserve">eura </w:t>
      </w:r>
      <w:r w:rsidRPr="00EB5312">
        <w:t xml:space="preserve">ili </w:t>
      </w:r>
      <w:r w:rsidR="008C3BF8" w:rsidRPr="00EB5312">
        <w:t>26,</w:t>
      </w:r>
      <w:r w:rsidR="009D6477" w:rsidRPr="00EB5312">
        <w:t>1</w:t>
      </w:r>
      <w:r w:rsidRPr="00EB5312">
        <w:t xml:space="preserve"> posto</w:t>
      </w:r>
      <w:r w:rsidR="00BE4816" w:rsidRPr="00EB5312">
        <w:t>, dok se</w:t>
      </w:r>
      <w:r w:rsidRPr="00EB5312">
        <w:t xml:space="preserve"> na potpore na lokalnoj razini odnosi </w:t>
      </w:r>
      <w:r w:rsidR="008C3BF8" w:rsidRPr="00EB5312">
        <w:t>167,4</w:t>
      </w:r>
      <w:r w:rsidR="00BE069D" w:rsidRPr="00EB5312">
        <w:t xml:space="preserve"> </w:t>
      </w:r>
      <w:r w:rsidRPr="00EB5312">
        <w:t xml:space="preserve">milijuna </w:t>
      </w:r>
      <w:r w:rsidR="00BE069D" w:rsidRPr="00EB5312">
        <w:t xml:space="preserve">eura </w:t>
      </w:r>
      <w:r w:rsidRPr="00EB5312">
        <w:t xml:space="preserve">ili </w:t>
      </w:r>
      <w:r w:rsidR="008C3BF8" w:rsidRPr="00EB5312">
        <w:t>32,5 p</w:t>
      </w:r>
      <w:r w:rsidRPr="00EB5312">
        <w:t>osto.</w:t>
      </w:r>
    </w:p>
    <w:p w14:paraId="7991D5CD" w14:textId="77777777" w:rsidR="009D6477" w:rsidRPr="00EB5312" w:rsidRDefault="009D6477" w:rsidP="002D0BE0">
      <w:pPr>
        <w:jc w:val="both"/>
      </w:pPr>
    </w:p>
    <w:p w14:paraId="6420E1B8" w14:textId="31AA7BEC" w:rsidR="002D0BE0" w:rsidRPr="00EB5312" w:rsidRDefault="008C3BF8" w:rsidP="00D6125A">
      <w:pPr>
        <w:jc w:val="both"/>
        <w:rPr>
          <w:spacing w:val="-2"/>
        </w:rPr>
      </w:pPr>
      <w:r w:rsidRPr="00EB5312">
        <w:rPr>
          <w:spacing w:val="-2"/>
        </w:rPr>
        <w:t xml:space="preserve">Instrumenti putem kojih su dodijeljene horizontalne potpore u 2024. godini u iznosu od </w:t>
      </w:r>
      <w:r w:rsidR="00D6125A" w:rsidRPr="00EB5312">
        <w:rPr>
          <w:spacing w:val="-2"/>
        </w:rPr>
        <w:t>515,</w:t>
      </w:r>
      <w:r w:rsidR="009D6477" w:rsidRPr="00EB5312">
        <w:rPr>
          <w:spacing w:val="-2"/>
        </w:rPr>
        <w:t>8</w:t>
      </w:r>
      <w:r w:rsidR="00D6125A" w:rsidRPr="00EB5312">
        <w:rPr>
          <w:spacing w:val="-2"/>
        </w:rPr>
        <w:t xml:space="preserve"> </w:t>
      </w:r>
      <w:r w:rsidRPr="00EB5312">
        <w:rPr>
          <w:spacing w:val="-2"/>
        </w:rPr>
        <w:t>milijun</w:t>
      </w:r>
      <w:r w:rsidR="00D6125A" w:rsidRPr="00EB5312">
        <w:rPr>
          <w:spacing w:val="-2"/>
        </w:rPr>
        <w:t>a</w:t>
      </w:r>
      <w:r w:rsidRPr="00EB5312">
        <w:rPr>
          <w:spacing w:val="-2"/>
        </w:rPr>
        <w:t xml:space="preserve"> eura, najvećim dijelom se odnose na potpore dodijeljene putem</w:t>
      </w:r>
      <w:r w:rsidR="002D0BE0" w:rsidRPr="00EB5312">
        <w:rPr>
          <w:spacing w:val="-2"/>
        </w:rPr>
        <w:t xml:space="preserve"> </w:t>
      </w:r>
      <w:r w:rsidR="0047332C" w:rsidRPr="00EB5312">
        <w:rPr>
          <w:spacing w:val="-2"/>
        </w:rPr>
        <w:t xml:space="preserve">subvencija i neposrednih subvencija kamata </w:t>
      </w:r>
      <w:r w:rsidR="002D0BE0" w:rsidRPr="00EB5312">
        <w:rPr>
          <w:spacing w:val="-2"/>
        </w:rPr>
        <w:t xml:space="preserve">u iznosu od </w:t>
      </w:r>
      <w:r w:rsidR="00D6125A" w:rsidRPr="00EB5312">
        <w:rPr>
          <w:spacing w:val="-2"/>
        </w:rPr>
        <w:t>386,</w:t>
      </w:r>
      <w:r w:rsidR="009D6477" w:rsidRPr="00EB5312">
        <w:rPr>
          <w:spacing w:val="-2"/>
        </w:rPr>
        <w:t>3</w:t>
      </w:r>
      <w:r w:rsidR="00D6125A" w:rsidRPr="00EB5312">
        <w:rPr>
          <w:spacing w:val="-2"/>
        </w:rPr>
        <w:t xml:space="preserve"> </w:t>
      </w:r>
      <w:r w:rsidR="002D0BE0" w:rsidRPr="00EB5312">
        <w:rPr>
          <w:spacing w:val="-2"/>
        </w:rPr>
        <w:t>milijun</w:t>
      </w:r>
      <w:r w:rsidR="00F8458D" w:rsidRPr="00EB5312">
        <w:rPr>
          <w:spacing w:val="-2"/>
        </w:rPr>
        <w:t>a</w:t>
      </w:r>
      <w:r w:rsidR="002D0BE0" w:rsidRPr="00EB5312">
        <w:rPr>
          <w:spacing w:val="-2"/>
        </w:rPr>
        <w:t xml:space="preserve"> </w:t>
      </w:r>
      <w:r w:rsidR="00BE069D" w:rsidRPr="00EB5312">
        <w:rPr>
          <w:spacing w:val="-2"/>
        </w:rPr>
        <w:t xml:space="preserve">eura </w:t>
      </w:r>
      <w:r w:rsidR="00D6125A" w:rsidRPr="00EB5312">
        <w:rPr>
          <w:spacing w:val="-2"/>
        </w:rPr>
        <w:t>ili</w:t>
      </w:r>
      <w:r w:rsidR="002D0BE0" w:rsidRPr="00EB5312">
        <w:rPr>
          <w:spacing w:val="-2"/>
        </w:rPr>
        <w:t xml:space="preserve"> s </w:t>
      </w:r>
      <w:r w:rsidR="00D6125A" w:rsidRPr="00EB5312">
        <w:rPr>
          <w:spacing w:val="-2"/>
        </w:rPr>
        <w:t xml:space="preserve">74,9 posto udjela </w:t>
      </w:r>
      <w:r w:rsidR="002D0BE0" w:rsidRPr="00EB5312">
        <w:rPr>
          <w:spacing w:val="-2"/>
        </w:rPr>
        <w:t xml:space="preserve">u </w:t>
      </w:r>
      <w:r w:rsidR="0047332C" w:rsidRPr="00EB5312">
        <w:rPr>
          <w:spacing w:val="-2"/>
        </w:rPr>
        <w:t>horizontalnim potporama</w:t>
      </w:r>
      <w:r w:rsidR="002D0BE0" w:rsidRPr="00EB5312">
        <w:rPr>
          <w:spacing w:val="-2"/>
        </w:rPr>
        <w:t xml:space="preserve">, slijede </w:t>
      </w:r>
      <w:r w:rsidR="0047332C" w:rsidRPr="00EB5312">
        <w:rPr>
          <w:spacing w:val="-2"/>
        </w:rPr>
        <w:t xml:space="preserve">porezne olakšice </w:t>
      </w:r>
      <w:r w:rsidR="002D0BE0" w:rsidRPr="00EB5312">
        <w:rPr>
          <w:spacing w:val="-2"/>
        </w:rPr>
        <w:t xml:space="preserve">u iznosu od </w:t>
      </w:r>
      <w:r w:rsidR="00BE069D" w:rsidRPr="00EB5312">
        <w:rPr>
          <w:spacing w:val="-2"/>
        </w:rPr>
        <w:t>117,</w:t>
      </w:r>
      <w:r w:rsidR="00D6125A" w:rsidRPr="00EB5312">
        <w:rPr>
          <w:spacing w:val="-2"/>
        </w:rPr>
        <w:t>2</w:t>
      </w:r>
      <w:r w:rsidR="00BE069D" w:rsidRPr="00EB5312">
        <w:rPr>
          <w:spacing w:val="-2"/>
        </w:rPr>
        <w:t xml:space="preserve"> </w:t>
      </w:r>
      <w:r w:rsidR="002D0BE0" w:rsidRPr="00EB5312">
        <w:rPr>
          <w:spacing w:val="-2"/>
        </w:rPr>
        <w:t xml:space="preserve">milijuna </w:t>
      </w:r>
      <w:r w:rsidR="00BE069D" w:rsidRPr="00EB5312">
        <w:rPr>
          <w:spacing w:val="-2"/>
        </w:rPr>
        <w:t xml:space="preserve">eura </w:t>
      </w:r>
      <w:r w:rsidR="002D0BE0" w:rsidRPr="00EB5312">
        <w:rPr>
          <w:spacing w:val="-2"/>
        </w:rPr>
        <w:t xml:space="preserve">ili </w:t>
      </w:r>
      <w:r w:rsidR="00D6125A" w:rsidRPr="00EB5312">
        <w:rPr>
          <w:spacing w:val="-2"/>
        </w:rPr>
        <w:t>22,7</w:t>
      </w:r>
      <w:r w:rsidR="00F8458D" w:rsidRPr="00EB5312">
        <w:rPr>
          <w:spacing w:val="-2"/>
        </w:rPr>
        <w:t xml:space="preserve"> </w:t>
      </w:r>
      <w:r w:rsidR="002D0BE0" w:rsidRPr="00EB5312">
        <w:rPr>
          <w:spacing w:val="-2"/>
        </w:rPr>
        <w:t xml:space="preserve">posto, </w:t>
      </w:r>
      <w:r w:rsidR="00BE069D" w:rsidRPr="00EB5312">
        <w:rPr>
          <w:spacing w:val="-2"/>
        </w:rPr>
        <w:t xml:space="preserve">zatim </w:t>
      </w:r>
      <w:r w:rsidR="00F8458D" w:rsidRPr="00EB5312">
        <w:rPr>
          <w:spacing w:val="-2"/>
        </w:rPr>
        <w:t xml:space="preserve">povoljni zajmovi </w:t>
      </w:r>
      <w:r w:rsidR="00D6125A" w:rsidRPr="00EB5312">
        <w:rPr>
          <w:spacing w:val="-2"/>
        </w:rPr>
        <w:t xml:space="preserve">s </w:t>
      </w:r>
      <w:r w:rsidR="00F8458D" w:rsidRPr="00EB5312">
        <w:rPr>
          <w:spacing w:val="-2"/>
        </w:rPr>
        <w:t>iznos</w:t>
      </w:r>
      <w:r w:rsidR="00D6125A" w:rsidRPr="00EB5312">
        <w:rPr>
          <w:spacing w:val="-2"/>
        </w:rPr>
        <w:t>om</w:t>
      </w:r>
      <w:r w:rsidR="00F8458D" w:rsidRPr="00EB5312">
        <w:rPr>
          <w:spacing w:val="-2"/>
        </w:rPr>
        <w:t xml:space="preserve"> od </w:t>
      </w:r>
      <w:r w:rsidR="00D6125A" w:rsidRPr="00EB5312">
        <w:rPr>
          <w:spacing w:val="-2"/>
        </w:rPr>
        <w:t>6,</w:t>
      </w:r>
      <w:r w:rsidR="009D6477" w:rsidRPr="00EB5312">
        <w:rPr>
          <w:spacing w:val="-2"/>
        </w:rPr>
        <w:t>2</w:t>
      </w:r>
      <w:r w:rsidR="00D6125A" w:rsidRPr="00EB5312">
        <w:rPr>
          <w:spacing w:val="-2"/>
        </w:rPr>
        <w:t xml:space="preserve"> milijun</w:t>
      </w:r>
      <w:r w:rsidR="009D6477" w:rsidRPr="00EB5312">
        <w:rPr>
          <w:spacing w:val="-2"/>
        </w:rPr>
        <w:t>a</w:t>
      </w:r>
      <w:r w:rsidR="00F8458D" w:rsidRPr="00EB5312">
        <w:rPr>
          <w:spacing w:val="-2"/>
        </w:rPr>
        <w:t xml:space="preserve"> </w:t>
      </w:r>
      <w:r w:rsidR="00BE069D" w:rsidRPr="00EB5312">
        <w:rPr>
          <w:spacing w:val="-2"/>
        </w:rPr>
        <w:t xml:space="preserve">eura </w:t>
      </w:r>
      <w:r w:rsidR="00F8458D" w:rsidRPr="00EB5312">
        <w:rPr>
          <w:spacing w:val="-2"/>
        </w:rPr>
        <w:t xml:space="preserve">ili </w:t>
      </w:r>
      <w:r w:rsidR="00D6125A" w:rsidRPr="00EB5312">
        <w:rPr>
          <w:spacing w:val="-2"/>
        </w:rPr>
        <w:t>1,2</w:t>
      </w:r>
      <w:r w:rsidR="00F8458D" w:rsidRPr="00EB5312">
        <w:rPr>
          <w:spacing w:val="-2"/>
        </w:rPr>
        <w:t xml:space="preserve"> posto</w:t>
      </w:r>
      <w:r w:rsidR="00D6125A" w:rsidRPr="00EB5312">
        <w:rPr>
          <w:spacing w:val="-2"/>
        </w:rPr>
        <w:t xml:space="preserve">, </w:t>
      </w:r>
      <w:r w:rsidR="001E4F2E" w:rsidRPr="00EB5312">
        <w:rPr>
          <w:spacing w:val="-2"/>
        </w:rPr>
        <w:t xml:space="preserve">izdana jamstva </w:t>
      </w:r>
      <w:r w:rsidR="002D0BE0" w:rsidRPr="00EB5312">
        <w:rPr>
          <w:spacing w:val="-2"/>
        </w:rPr>
        <w:t xml:space="preserve">u iznosu od </w:t>
      </w:r>
      <w:r w:rsidR="00D6125A" w:rsidRPr="00EB5312">
        <w:rPr>
          <w:spacing w:val="-2"/>
        </w:rPr>
        <w:t>4,4</w:t>
      </w:r>
      <w:r w:rsidR="001E4F2E" w:rsidRPr="00EB5312">
        <w:rPr>
          <w:spacing w:val="-2"/>
        </w:rPr>
        <w:t xml:space="preserve"> </w:t>
      </w:r>
      <w:r w:rsidR="002D0BE0" w:rsidRPr="00EB5312">
        <w:rPr>
          <w:spacing w:val="-2"/>
        </w:rPr>
        <w:t>milijun</w:t>
      </w:r>
      <w:r w:rsidR="00D6125A" w:rsidRPr="00EB5312">
        <w:rPr>
          <w:spacing w:val="-2"/>
        </w:rPr>
        <w:t>a</w:t>
      </w:r>
      <w:r w:rsidR="002D0BE0" w:rsidRPr="00EB5312">
        <w:rPr>
          <w:spacing w:val="-2"/>
        </w:rPr>
        <w:t xml:space="preserve"> </w:t>
      </w:r>
      <w:r w:rsidR="00BE069D" w:rsidRPr="00EB5312">
        <w:rPr>
          <w:spacing w:val="-2"/>
        </w:rPr>
        <w:t xml:space="preserve">eura </w:t>
      </w:r>
      <w:r w:rsidR="002D0BE0" w:rsidRPr="00EB5312">
        <w:rPr>
          <w:spacing w:val="-2"/>
        </w:rPr>
        <w:t xml:space="preserve">ili </w:t>
      </w:r>
      <w:r w:rsidR="001E4F2E" w:rsidRPr="00EB5312">
        <w:rPr>
          <w:spacing w:val="-2"/>
        </w:rPr>
        <w:t>0,</w:t>
      </w:r>
      <w:r w:rsidR="00D6125A" w:rsidRPr="00EB5312">
        <w:rPr>
          <w:spacing w:val="-2"/>
        </w:rPr>
        <w:t>9</w:t>
      </w:r>
      <w:r w:rsidR="002D0BE0" w:rsidRPr="00EB5312">
        <w:rPr>
          <w:spacing w:val="-2"/>
        </w:rPr>
        <w:t xml:space="preserve"> post</w:t>
      </w:r>
      <w:r w:rsidR="00D6125A" w:rsidRPr="00EB5312">
        <w:rPr>
          <w:spacing w:val="-2"/>
        </w:rPr>
        <w:t>o te kapitalna ulaganja s iznosom od 1,7 milijuna eura ili 0,3 posto.</w:t>
      </w:r>
    </w:p>
    <w:p w14:paraId="007C7E14" w14:textId="77777777" w:rsidR="005B0EE6" w:rsidRPr="00EB5312" w:rsidRDefault="005B0EE6" w:rsidP="00BE487D">
      <w:pPr>
        <w:jc w:val="both"/>
        <w:rPr>
          <w:b/>
        </w:rPr>
      </w:pPr>
    </w:p>
    <w:p w14:paraId="42FD7F2F" w14:textId="77777777" w:rsidR="005B0EE6" w:rsidRPr="00EB5312" w:rsidRDefault="005B0EE6" w:rsidP="00BE487D">
      <w:pPr>
        <w:jc w:val="both"/>
        <w:rPr>
          <w:b/>
        </w:rPr>
      </w:pPr>
    </w:p>
    <w:p w14:paraId="78E2389D" w14:textId="77777777" w:rsidR="000A5FF3" w:rsidRPr="00EB5312" w:rsidRDefault="000A5FF3">
      <w:pPr>
        <w:rPr>
          <w:rFonts w:eastAsiaTheme="majorEastAsia"/>
          <w:b/>
        </w:rPr>
      </w:pPr>
      <w:bookmarkStart w:id="13" w:name="_Toc213660034"/>
      <w:r w:rsidRPr="00EB5312">
        <w:rPr>
          <w:b/>
        </w:rPr>
        <w:br w:type="page"/>
      </w:r>
    </w:p>
    <w:p w14:paraId="12051794" w14:textId="61619D73" w:rsidR="00BB6808" w:rsidRPr="00EB5312" w:rsidRDefault="005B7944" w:rsidP="00BE487D">
      <w:pPr>
        <w:pStyle w:val="Heading3"/>
        <w:spacing w:before="0"/>
        <w:ind w:firstLine="360"/>
        <w:jc w:val="both"/>
        <w:rPr>
          <w:rFonts w:ascii="Times New Roman" w:hAnsi="Times New Roman" w:cs="Times New Roman"/>
          <w:b/>
          <w:color w:val="auto"/>
        </w:rPr>
      </w:pPr>
      <w:r w:rsidRPr="00EB5312">
        <w:rPr>
          <w:rFonts w:ascii="Times New Roman" w:hAnsi="Times New Roman" w:cs="Times New Roman"/>
          <w:b/>
          <w:color w:val="auto"/>
        </w:rPr>
        <w:lastRenderedPageBreak/>
        <w:t>Horizontalne potpore u „užem smislu“</w:t>
      </w:r>
      <w:bookmarkEnd w:id="13"/>
    </w:p>
    <w:p w14:paraId="68663E1D" w14:textId="77777777" w:rsidR="00BB6808" w:rsidRPr="00EB5312" w:rsidRDefault="00BB6808" w:rsidP="00BE487D">
      <w:pPr>
        <w:ind w:left="348"/>
        <w:jc w:val="both"/>
        <w:rPr>
          <w:b/>
        </w:rPr>
      </w:pPr>
    </w:p>
    <w:p w14:paraId="3569C4F7" w14:textId="77777777" w:rsidR="005B7944" w:rsidRPr="00EB5312" w:rsidRDefault="005B7944" w:rsidP="00BE487D">
      <w:pPr>
        <w:ind w:left="348"/>
        <w:jc w:val="both"/>
        <w:rPr>
          <w:b/>
        </w:rPr>
      </w:pPr>
    </w:p>
    <w:p w14:paraId="35B5F6D2" w14:textId="77777777" w:rsidR="00D305BF" w:rsidRPr="00EB5312" w:rsidRDefault="006F2040" w:rsidP="00BE487D">
      <w:pPr>
        <w:jc w:val="both"/>
      </w:pPr>
      <w:r w:rsidRPr="00EB5312">
        <w:t>Horizontalnim ciljevima ili h</w:t>
      </w:r>
      <w:r w:rsidR="00D305BF" w:rsidRPr="00EB5312">
        <w:t xml:space="preserve">orizontalnim potporama u „užem smislu“ smatraju se potpore za istraživanje i razvoj i inovacije, potpore malim i srednjim poduzetnicima, potpore za usavršavanje i zapošljavanje </w:t>
      </w:r>
      <w:r w:rsidRPr="00EB5312">
        <w:t xml:space="preserve">te </w:t>
      </w:r>
      <w:r w:rsidR="00D305BF" w:rsidRPr="00EB5312">
        <w:t>za kulturu i očuvanje kulturne baštine.</w:t>
      </w:r>
    </w:p>
    <w:p w14:paraId="20CAADE2" w14:textId="77777777" w:rsidR="001B2AC7" w:rsidRPr="00EB5312" w:rsidRDefault="001B2AC7" w:rsidP="00BE487D">
      <w:pPr>
        <w:jc w:val="both"/>
      </w:pPr>
    </w:p>
    <w:p w14:paraId="1A7D778B" w14:textId="5C2B9DE7" w:rsidR="006F2040" w:rsidRPr="00EB5312" w:rsidRDefault="00C12681" w:rsidP="006F2040">
      <w:pPr>
        <w:jc w:val="both"/>
      </w:pPr>
      <w:r w:rsidRPr="00EB5312">
        <w:t>H</w:t>
      </w:r>
      <w:r w:rsidR="00B97518" w:rsidRPr="00EB5312">
        <w:t>orizontalne</w:t>
      </w:r>
      <w:r w:rsidR="007453F7" w:rsidRPr="00EB5312">
        <w:t xml:space="preserve"> </w:t>
      </w:r>
      <w:r w:rsidR="00B97518" w:rsidRPr="00EB5312">
        <w:t>potpore</w:t>
      </w:r>
      <w:r w:rsidR="00D305BF" w:rsidRPr="00EB5312">
        <w:rPr>
          <w:rFonts w:eastAsiaTheme="minorEastAsia"/>
        </w:rPr>
        <w:t xml:space="preserve"> </w:t>
      </w:r>
      <w:r w:rsidR="006749ED" w:rsidRPr="00EB5312">
        <w:rPr>
          <w:rFonts w:eastAsiaTheme="minorEastAsia"/>
        </w:rPr>
        <w:t xml:space="preserve">u </w:t>
      </w:r>
      <w:r w:rsidR="00D305BF" w:rsidRPr="00EB5312">
        <w:rPr>
          <w:rFonts w:eastAsiaTheme="minorEastAsia"/>
        </w:rPr>
        <w:t xml:space="preserve">„užem smislu“ </w:t>
      </w:r>
      <w:r w:rsidR="006F2040" w:rsidRPr="00EB5312">
        <w:t xml:space="preserve">dodijeljene su </w:t>
      </w:r>
      <w:r w:rsidRPr="00EB5312">
        <w:t xml:space="preserve">u 2024. godini </w:t>
      </w:r>
      <w:r w:rsidR="007453F7" w:rsidRPr="00EB5312">
        <w:t xml:space="preserve">u </w:t>
      </w:r>
      <w:r w:rsidR="006F2040" w:rsidRPr="00EB5312">
        <w:t xml:space="preserve">iznosu od </w:t>
      </w:r>
      <w:r w:rsidRPr="00EB5312">
        <w:t>213,</w:t>
      </w:r>
      <w:r w:rsidR="002B782A" w:rsidRPr="00EB5312">
        <w:t>5</w:t>
      </w:r>
      <w:r w:rsidRPr="00EB5312">
        <w:t xml:space="preserve"> </w:t>
      </w:r>
      <w:r w:rsidR="006F2040" w:rsidRPr="00EB5312">
        <w:t xml:space="preserve">milijuna </w:t>
      </w:r>
      <w:r w:rsidR="00BE069D" w:rsidRPr="00EB5312">
        <w:t>eura</w:t>
      </w:r>
      <w:r w:rsidR="006F2040" w:rsidRPr="00EB5312">
        <w:t xml:space="preserve">, što </w:t>
      </w:r>
      <w:r w:rsidR="007453F7" w:rsidRPr="00EB5312">
        <w:t>je</w:t>
      </w:r>
      <w:r w:rsidR="006F2040" w:rsidRPr="00EB5312">
        <w:t xml:space="preserve"> </w:t>
      </w:r>
      <w:r w:rsidRPr="00EB5312">
        <w:t>smanjenje</w:t>
      </w:r>
      <w:r w:rsidR="006F2040" w:rsidRPr="00EB5312">
        <w:t xml:space="preserve"> za </w:t>
      </w:r>
      <w:r w:rsidRPr="00EB5312">
        <w:t>54,</w:t>
      </w:r>
      <w:r w:rsidR="002B782A" w:rsidRPr="00EB5312">
        <w:t>8</w:t>
      </w:r>
      <w:r w:rsidR="00BE069D" w:rsidRPr="00EB5312">
        <w:t xml:space="preserve"> milijun</w:t>
      </w:r>
      <w:r w:rsidRPr="00EB5312">
        <w:t>a</w:t>
      </w:r>
      <w:r w:rsidR="006F2040" w:rsidRPr="00EB5312">
        <w:t xml:space="preserve"> </w:t>
      </w:r>
      <w:r w:rsidR="00BE069D" w:rsidRPr="00EB5312">
        <w:t xml:space="preserve">eura </w:t>
      </w:r>
      <w:r w:rsidRPr="00EB5312">
        <w:t>ili</w:t>
      </w:r>
      <w:r w:rsidR="006F2040" w:rsidRPr="00EB5312">
        <w:t xml:space="preserve"> </w:t>
      </w:r>
      <w:r w:rsidRPr="00EB5312">
        <w:t>20,4</w:t>
      </w:r>
      <w:r w:rsidR="007453F7" w:rsidRPr="00EB5312">
        <w:t xml:space="preserve"> </w:t>
      </w:r>
      <w:r w:rsidR="006F2040" w:rsidRPr="00EB5312">
        <w:t>posto u odnosu na 202</w:t>
      </w:r>
      <w:r w:rsidRPr="00EB5312">
        <w:t>3</w:t>
      </w:r>
      <w:r w:rsidR="006F2040" w:rsidRPr="00EB5312">
        <w:t xml:space="preserve">. godinu, kada su </w:t>
      </w:r>
      <w:r w:rsidRPr="00EB5312">
        <w:t xml:space="preserve">navedene </w:t>
      </w:r>
      <w:r w:rsidR="006F2040" w:rsidRPr="00EB5312">
        <w:t>potpore iznos</w:t>
      </w:r>
      <w:r w:rsidRPr="00EB5312">
        <w:t>ile 268,</w:t>
      </w:r>
      <w:r w:rsidR="002B782A" w:rsidRPr="00EB5312">
        <w:t>3</w:t>
      </w:r>
      <w:r w:rsidR="00BE069D" w:rsidRPr="00EB5312">
        <w:t xml:space="preserve"> </w:t>
      </w:r>
      <w:r w:rsidR="006F2040" w:rsidRPr="00EB5312">
        <w:t xml:space="preserve">milijuna </w:t>
      </w:r>
      <w:r w:rsidR="00BE069D" w:rsidRPr="00EB5312">
        <w:t>eura</w:t>
      </w:r>
      <w:r w:rsidR="006F2040" w:rsidRPr="00EB5312">
        <w:t xml:space="preserve">, te </w:t>
      </w:r>
      <w:r w:rsidR="000A5FF3" w:rsidRPr="00EB5312">
        <w:t xml:space="preserve">predstavlja </w:t>
      </w:r>
      <w:r w:rsidRPr="00EB5312">
        <w:t>povećanje</w:t>
      </w:r>
      <w:r w:rsidR="007453F7" w:rsidRPr="00EB5312">
        <w:t xml:space="preserve"> </w:t>
      </w:r>
      <w:r w:rsidR="006F2040" w:rsidRPr="00EB5312">
        <w:t xml:space="preserve">za </w:t>
      </w:r>
      <w:r w:rsidRPr="00EB5312">
        <w:t xml:space="preserve">114,9 </w:t>
      </w:r>
      <w:r w:rsidR="006F2040" w:rsidRPr="00EB5312">
        <w:t xml:space="preserve">milijuna </w:t>
      </w:r>
      <w:r w:rsidR="00BE069D" w:rsidRPr="00EB5312">
        <w:t xml:space="preserve">eura </w:t>
      </w:r>
      <w:r w:rsidRPr="00EB5312">
        <w:t>ili</w:t>
      </w:r>
      <w:r w:rsidR="006F2040" w:rsidRPr="00EB5312">
        <w:t xml:space="preserve"> </w:t>
      </w:r>
      <w:r w:rsidRPr="00EB5312">
        <w:t>116,6</w:t>
      </w:r>
      <w:r w:rsidR="006F2040" w:rsidRPr="00EB5312">
        <w:t xml:space="preserve"> posto u odnosu na 20</w:t>
      </w:r>
      <w:r w:rsidR="007453F7" w:rsidRPr="00EB5312">
        <w:t>2</w:t>
      </w:r>
      <w:r w:rsidRPr="00EB5312">
        <w:t>2</w:t>
      </w:r>
      <w:r w:rsidR="006F2040" w:rsidRPr="00EB5312">
        <w:t>. godinu kada su iznos</w:t>
      </w:r>
      <w:r w:rsidRPr="00EB5312">
        <w:t>ile</w:t>
      </w:r>
      <w:r w:rsidR="006F2040" w:rsidRPr="00EB5312">
        <w:t xml:space="preserve"> </w:t>
      </w:r>
      <w:r w:rsidRPr="00EB5312">
        <w:t>98,6</w:t>
      </w:r>
      <w:r w:rsidR="00A348C1" w:rsidRPr="00EB5312">
        <w:t xml:space="preserve"> </w:t>
      </w:r>
      <w:r w:rsidR="006F2040" w:rsidRPr="00EB5312">
        <w:t>milijun</w:t>
      </w:r>
      <w:r w:rsidR="00A348C1" w:rsidRPr="00EB5312">
        <w:t>a</w:t>
      </w:r>
      <w:r w:rsidR="006F2040" w:rsidRPr="00EB5312">
        <w:t xml:space="preserve"> </w:t>
      </w:r>
      <w:r w:rsidR="00BE069D" w:rsidRPr="00EB5312">
        <w:t>eura</w:t>
      </w:r>
      <w:r w:rsidR="006F2040" w:rsidRPr="00EB5312">
        <w:t>.</w:t>
      </w:r>
    </w:p>
    <w:p w14:paraId="05773A86" w14:textId="77777777" w:rsidR="009D6477" w:rsidRPr="00EB5312" w:rsidRDefault="009D6477" w:rsidP="00C12681"/>
    <w:p w14:paraId="27FE0E2A" w14:textId="1AC650BF" w:rsidR="00D305BF" w:rsidRPr="00CA354E" w:rsidRDefault="00D305BF" w:rsidP="00BE487D">
      <w:pPr>
        <w:contextualSpacing/>
        <w:jc w:val="both"/>
      </w:pPr>
      <w:r w:rsidRPr="00CA354E">
        <w:t xml:space="preserve">Tablica </w:t>
      </w:r>
      <w:r w:rsidR="00870E9F" w:rsidRPr="00CA354E">
        <w:t>9</w:t>
      </w:r>
      <w:r w:rsidRPr="00CA354E">
        <w:t xml:space="preserve">. Horizontalne potpore u „užem smislu“ </w:t>
      </w:r>
      <w:r w:rsidR="00A348C1" w:rsidRPr="00CA354E">
        <w:t>dodijeljene u</w:t>
      </w:r>
      <w:r w:rsidRPr="00CA354E">
        <w:t xml:space="preserve"> razdoblj</w:t>
      </w:r>
      <w:r w:rsidR="00A348C1" w:rsidRPr="00CA354E">
        <w:t>u</w:t>
      </w:r>
      <w:r w:rsidRPr="00CA354E">
        <w:t xml:space="preserve"> od 20</w:t>
      </w:r>
      <w:r w:rsidR="00A348C1" w:rsidRPr="00CA354E">
        <w:t>2</w:t>
      </w:r>
      <w:r w:rsidR="00E3336C" w:rsidRPr="00CA354E">
        <w:t>2</w:t>
      </w:r>
      <w:r w:rsidRPr="00CA354E">
        <w:t>. do 202</w:t>
      </w:r>
      <w:r w:rsidR="00E3336C" w:rsidRPr="00CA354E">
        <w:t>4</w:t>
      </w:r>
      <w:r w:rsidRPr="00CA354E">
        <w:t>. godine (bez regionalnih potpora i potpora na lokalnoj razini)</w:t>
      </w:r>
    </w:p>
    <w:p w14:paraId="58722391" w14:textId="77777777" w:rsidR="00D305BF" w:rsidRPr="00CA354E" w:rsidRDefault="00D305BF" w:rsidP="00BE487D">
      <w:pPr>
        <w:jc w:val="both"/>
        <w:rPr>
          <w:sz w:val="20"/>
        </w:rPr>
      </w:pPr>
    </w:p>
    <w:tbl>
      <w:tblPr>
        <w:tblW w:w="8926" w:type="dxa"/>
        <w:tblLook w:val="04A0" w:firstRow="1" w:lastRow="0" w:firstColumn="1" w:lastColumn="0" w:noHBand="0" w:noVBand="1"/>
      </w:tblPr>
      <w:tblGrid>
        <w:gridCol w:w="2830"/>
        <w:gridCol w:w="993"/>
        <w:gridCol w:w="992"/>
        <w:gridCol w:w="992"/>
        <w:gridCol w:w="992"/>
        <w:gridCol w:w="993"/>
        <w:gridCol w:w="1134"/>
      </w:tblGrid>
      <w:tr w:rsidR="00891D3A" w:rsidRPr="00CA354E" w14:paraId="5918B644" w14:textId="77777777" w:rsidTr="009D4AF4">
        <w:trPr>
          <w:trHeight w:val="38"/>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DCB685D" w14:textId="77777777" w:rsidR="00891D3A" w:rsidRPr="00CA354E" w:rsidRDefault="00891D3A" w:rsidP="00891D3A">
            <w:pPr>
              <w:rPr>
                <w:rFonts w:eastAsia="Times New Roman"/>
                <w:b/>
                <w:bCs/>
                <w:sz w:val="20"/>
                <w:szCs w:val="20"/>
              </w:rPr>
            </w:pPr>
            <w:r w:rsidRPr="00CA354E">
              <w:rPr>
                <w:rFonts w:eastAsia="Times New Roman"/>
                <w:b/>
                <w:bCs/>
                <w:sz w:val="20"/>
                <w:szCs w:val="20"/>
              </w:rPr>
              <w:t>Horizontalni ciljevi</w:t>
            </w:r>
          </w:p>
        </w:tc>
        <w:tc>
          <w:tcPr>
            <w:tcW w:w="1985"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6F6F86D5" w14:textId="29F418E2" w:rsidR="00891D3A" w:rsidRPr="00CA354E" w:rsidRDefault="00891D3A" w:rsidP="00E3336C">
            <w:pPr>
              <w:jc w:val="center"/>
              <w:rPr>
                <w:rFonts w:eastAsia="Times New Roman"/>
                <w:b/>
                <w:bCs/>
                <w:sz w:val="20"/>
                <w:szCs w:val="20"/>
              </w:rPr>
            </w:pPr>
            <w:r w:rsidRPr="00CA354E">
              <w:rPr>
                <w:b/>
                <w:sz w:val="20"/>
                <w:szCs w:val="20"/>
              </w:rPr>
              <w:t>202</w:t>
            </w:r>
            <w:r w:rsidR="00E3336C" w:rsidRPr="00CA354E">
              <w:rPr>
                <w:b/>
                <w:sz w:val="20"/>
                <w:szCs w:val="20"/>
              </w:rPr>
              <w:t>2</w:t>
            </w:r>
            <w:r w:rsidRPr="00CA354E">
              <w:rPr>
                <w:b/>
                <w:sz w:val="20"/>
                <w:szCs w:val="20"/>
              </w:rPr>
              <w:t>.</w:t>
            </w:r>
          </w:p>
        </w:tc>
        <w:tc>
          <w:tcPr>
            <w:tcW w:w="1984"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24948B6C" w14:textId="1B236974" w:rsidR="00891D3A" w:rsidRPr="00CA354E" w:rsidRDefault="00891D3A" w:rsidP="00E3336C">
            <w:pPr>
              <w:jc w:val="center"/>
              <w:rPr>
                <w:rFonts w:eastAsia="Times New Roman"/>
                <w:b/>
                <w:bCs/>
                <w:sz w:val="20"/>
                <w:szCs w:val="20"/>
              </w:rPr>
            </w:pPr>
            <w:r w:rsidRPr="00CA354E">
              <w:rPr>
                <w:b/>
                <w:sz w:val="20"/>
                <w:szCs w:val="20"/>
              </w:rPr>
              <w:t>202</w:t>
            </w:r>
            <w:r w:rsidR="00E3336C" w:rsidRPr="00CA354E">
              <w:rPr>
                <w:b/>
                <w:sz w:val="20"/>
                <w:szCs w:val="20"/>
              </w:rPr>
              <w:t>3</w:t>
            </w:r>
            <w:r w:rsidRPr="00CA354E">
              <w:rPr>
                <w:b/>
                <w:sz w:val="20"/>
                <w:szCs w:val="20"/>
              </w:rPr>
              <w:t>.</w:t>
            </w:r>
          </w:p>
        </w:tc>
        <w:tc>
          <w:tcPr>
            <w:tcW w:w="2127" w:type="dxa"/>
            <w:gridSpan w:val="2"/>
            <w:tcBorders>
              <w:top w:val="single" w:sz="4" w:space="0" w:color="auto"/>
              <w:left w:val="nil"/>
              <w:bottom w:val="single" w:sz="4" w:space="0" w:color="auto"/>
              <w:right w:val="single" w:sz="4" w:space="0" w:color="auto"/>
            </w:tcBorders>
            <w:shd w:val="clear" w:color="000000" w:fill="FFFF99"/>
            <w:noWrap/>
            <w:vAlign w:val="bottom"/>
            <w:hideMark/>
          </w:tcPr>
          <w:p w14:paraId="71B57364" w14:textId="76E5A9FB" w:rsidR="00891D3A" w:rsidRPr="00CA354E" w:rsidRDefault="00891D3A" w:rsidP="00E3336C">
            <w:pPr>
              <w:jc w:val="center"/>
              <w:rPr>
                <w:rFonts w:eastAsia="Times New Roman"/>
                <w:b/>
                <w:bCs/>
                <w:sz w:val="20"/>
                <w:szCs w:val="20"/>
              </w:rPr>
            </w:pPr>
            <w:r w:rsidRPr="00CA354E">
              <w:rPr>
                <w:b/>
                <w:sz w:val="20"/>
                <w:szCs w:val="20"/>
              </w:rPr>
              <w:t>202</w:t>
            </w:r>
            <w:r w:rsidR="00E3336C" w:rsidRPr="00CA354E">
              <w:rPr>
                <w:b/>
                <w:sz w:val="20"/>
                <w:szCs w:val="20"/>
              </w:rPr>
              <w:t>4</w:t>
            </w:r>
            <w:r w:rsidRPr="00CA354E">
              <w:rPr>
                <w:b/>
                <w:sz w:val="20"/>
                <w:szCs w:val="20"/>
              </w:rPr>
              <w:t>.</w:t>
            </w:r>
          </w:p>
        </w:tc>
      </w:tr>
      <w:tr w:rsidR="00891D3A" w:rsidRPr="00CA354E" w14:paraId="78ACE5E0" w14:textId="77777777" w:rsidTr="009D4AF4">
        <w:trPr>
          <w:trHeight w:val="157"/>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415411F" w14:textId="77777777" w:rsidR="00891D3A" w:rsidRPr="00CA354E" w:rsidRDefault="00891D3A" w:rsidP="00891D3A">
            <w:pPr>
              <w:rPr>
                <w:rFonts w:eastAsia="Times New Roman"/>
                <w:b/>
                <w:bCs/>
                <w:sz w:val="20"/>
                <w:szCs w:val="20"/>
              </w:rPr>
            </w:pPr>
          </w:p>
        </w:tc>
        <w:tc>
          <w:tcPr>
            <w:tcW w:w="993" w:type="dxa"/>
            <w:tcBorders>
              <w:top w:val="nil"/>
              <w:left w:val="nil"/>
              <w:bottom w:val="single" w:sz="4" w:space="0" w:color="auto"/>
              <w:right w:val="single" w:sz="4" w:space="0" w:color="auto"/>
            </w:tcBorders>
            <w:shd w:val="clear" w:color="000000" w:fill="FFFF99"/>
            <w:vAlign w:val="center"/>
            <w:hideMark/>
          </w:tcPr>
          <w:p w14:paraId="5E7003BF" w14:textId="04AD7D6F" w:rsidR="00891D3A" w:rsidRPr="00CA354E" w:rsidRDefault="00891D3A" w:rsidP="00891D3A">
            <w:pPr>
              <w:jc w:val="center"/>
              <w:rPr>
                <w:rFonts w:eastAsia="Times New Roman"/>
                <w:bCs/>
                <w:sz w:val="20"/>
                <w:szCs w:val="20"/>
              </w:rPr>
            </w:pPr>
            <w:r w:rsidRPr="00CA354E">
              <w:rPr>
                <w:rFonts w:eastAsia="Times New Roman"/>
                <w:bCs/>
                <w:sz w:val="20"/>
                <w:szCs w:val="20"/>
              </w:rPr>
              <w:t>u mln EUR</w:t>
            </w:r>
          </w:p>
        </w:tc>
        <w:tc>
          <w:tcPr>
            <w:tcW w:w="992" w:type="dxa"/>
            <w:tcBorders>
              <w:top w:val="nil"/>
              <w:left w:val="nil"/>
              <w:bottom w:val="single" w:sz="4" w:space="0" w:color="auto"/>
              <w:right w:val="single" w:sz="4" w:space="0" w:color="auto"/>
            </w:tcBorders>
            <w:shd w:val="clear" w:color="000000" w:fill="FFFF99"/>
            <w:vAlign w:val="center"/>
            <w:hideMark/>
          </w:tcPr>
          <w:p w14:paraId="3A9B60D3" w14:textId="77777777" w:rsidR="00891D3A" w:rsidRPr="00CA354E" w:rsidRDefault="00891D3A" w:rsidP="00891D3A">
            <w:pPr>
              <w:jc w:val="center"/>
              <w:rPr>
                <w:rFonts w:eastAsia="Times New Roman"/>
                <w:bCs/>
                <w:sz w:val="20"/>
                <w:szCs w:val="20"/>
              </w:rPr>
            </w:pPr>
            <w:r w:rsidRPr="00CA354E">
              <w:rPr>
                <w:rFonts w:eastAsia="Times New Roman"/>
                <w:bCs/>
                <w:sz w:val="20"/>
                <w:szCs w:val="20"/>
              </w:rPr>
              <w:t>udio u BDP (%)</w:t>
            </w:r>
          </w:p>
        </w:tc>
        <w:tc>
          <w:tcPr>
            <w:tcW w:w="992" w:type="dxa"/>
            <w:tcBorders>
              <w:top w:val="nil"/>
              <w:left w:val="nil"/>
              <w:bottom w:val="single" w:sz="4" w:space="0" w:color="auto"/>
              <w:right w:val="single" w:sz="4" w:space="0" w:color="auto"/>
            </w:tcBorders>
            <w:shd w:val="clear" w:color="000000" w:fill="FFFF99"/>
            <w:vAlign w:val="center"/>
            <w:hideMark/>
          </w:tcPr>
          <w:p w14:paraId="75DE4635" w14:textId="22B9CD73" w:rsidR="00891D3A" w:rsidRPr="00CA354E" w:rsidRDefault="00891D3A" w:rsidP="00891D3A">
            <w:pPr>
              <w:jc w:val="center"/>
              <w:rPr>
                <w:rFonts w:eastAsia="Times New Roman"/>
                <w:bCs/>
                <w:sz w:val="20"/>
                <w:szCs w:val="20"/>
              </w:rPr>
            </w:pPr>
            <w:r w:rsidRPr="00CA354E">
              <w:rPr>
                <w:rFonts w:eastAsia="Times New Roman"/>
                <w:bCs/>
                <w:sz w:val="20"/>
                <w:szCs w:val="20"/>
              </w:rPr>
              <w:t>u mln EUR</w:t>
            </w:r>
          </w:p>
        </w:tc>
        <w:tc>
          <w:tcPr>
            <w:tcW w:w="992" w:type="dxa"/>
            <w:tcBorders>
              <w:top w:val="nil"/>
              <w:left w:val="nil"/>
              <w:bottom w:val="single" w:sz="4" w:space="0" w:color="auto"/>
              <w:right w:val="single" w:sz="4" w:space="0" w:color="auto"/>
            </w:tcBorders>
            <w:shd w:val="clear" w:color="000000" w:fill="FFFF99"/>
            <w:vAlign w:val="center"/>
            <w:hideMark/>
          </w:tcPr>
          <w:p w14:paraId="69A220A1" w14:textId="77777777" w:rsidR="00891D3A" w:rsidRPr="00CA354E" w:rsidRDefault="00891D3A" w:rsidP="00891D3A">
            <w:pPr>
              <w:jc w:val="center"/>
              <w:rPr>
                <w:rFonts w:eastAsia="Times New Roman"/>
                <w:bCs/>
                <w:sz w:val="20"/>
                <w:szCs w:val="20"/>
              </w:rPr>
            </w:pPr>
            <w:r w:rsidRPr="00CA354E">
              <w:rPr>
                <w:rFonts w:eastAsia="Times New Roman"/>
                <w:bCs/>
                <w:sz w:val="20"/>
                <w:szCs w:val="20"/>
              </w:rPr>
              <w:t>udio u BDP (%)</w:t>
            </w:r>
          </w:p>
        </w:tc>
        <w:tc>
          <w:tcPr>
            <w:tcW w:w="993" w:type="dxa"/>
            <w:tcBorders>
              <w:top w:val="nil"/>
              <w:left w:val="nil"/>
              <w:bottom w:val="single" w:sz="4" w:space="0" w:color="auto"/>
              <w:right w:val="single" w:sz="4" w:space="0" w:color="auto"/>
            </w:tcBorders>
            <w:shd w:val="clear" w:color="000000" w:fill="FFFF99"/>
            <w:vAlign w:val="center"/>
            <w:hideMark/>
          </w:tcPr>
          <w:p w14:paraId="0BCAB468" w14:textId="7A4D34BB" w:rsidR="00891D3A" w:rsidRPr="00CA354E" w:rsidRDefault="00891D3A" w:rsidP="00891D3A">
            <w:pPr>
              <w:jc w:val="center"/>
              <w:rPr>
                <w:rFonts w:eastAsia="Times New Roman"/>
                <w:bCs/>
                <w:sz w:val="20"/>
                <w:szCs w:val="20"/>
              </w:rPr>
            </w:pPr>
            <w:r w:rsidRPr="00CA354E">
              <w:rPr>
                <w:rFonts w:eastAsia="Times New Roman"/>
                <w:bCs/>
                <w:sz w:val="20"/>
                <w:szCs w:val="20"/>
              </w:rPr>
              <w:t>u mln EUR</w:t>
            </w:r>
          </w:p>
        </w:tc>
        <w:tc>
          <w:tcPr>
            <w:tcW w:w="1134" w:type="dxa"/>
            <w:tcBorders>
              <w:top w:val="nil"/>
              <w:left w:val="nil"/>
              <w:bottom w:val="single" w:sz="4" w:space="0" w:color="auto"/>
              <w:right w:val="single" w:sz="4" w:space="0" w:color="auto"/>
            </w:tcBorders>
            <w:shd w:val="clear" w:color="000000" w:fill="FFFF99"/>
            <w:vAlign w:val="center"/>
            <w:hideMark/>
          </w:tcPr>
          <w:p w14:paraId="5C3BAEC7" w14:textId="77777777" w:rsidR="00891D3A" w:rsidRPr="00CA354E" w:rsidRDefault="00891D3A" w:rsidP="00891D3A">
            <w:pPr>
              <w:jc w:val="center"/>
              <w:rPr>
                <w:rFonts w:eastAsia="Times New Roman"/>
                <w:bCs/>
                <w:sz w:val="20"/>
                <w:szCs w:val="20"/>
              </w:rPr>
            </w:pPr>
            <w:r w:rsidRPr="00CA354E">
              <w:rPr>
                <w:rFonts w:eastAsia="Times New Roman"/>
                <w:bCs/>
                <w:sz w:val="20"/>
                <w:szCs w:val="20"/>
              </w:rPr>
              <w:t>udio u BDP (%)</w:t>
            </w:r>
          </w:p>
        </w:tc>
      </w:tr>
      <w:tr w:rsidR="00D328C6" w:rsidRPr="00CA354E" w14:paraId="62084A20" w14:textId="77777777" w:rsidTr="009D4AF4">
        <w:trPr>
          <w:trHeight w:val="64"/>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BFBBD8F" w14:textId="77777777" w:rsidR="00D328C6" w:rsidRPr="00CA354E" w:rsidRDefault="00D328C6" w:rsidP="00D328C6">
            <w:pPr>
              <w:rPr>
                <w:rFonts w:eastAsia="Times New Roman"/>
                <w:sz w:val="20"/>
                <w:szCs w:val="20"/>
              </w:rPr>
            </w:pPr>
            <w:r w:rsidRPr="00CA354E">
              <w:rPr>
                <w:rFonts w:eastAsia="Times New Roman"/>
                <w:sz w:val="20"/>
                <w:szCs w:val="20"/>
              </w:rPr>
              <w:t>Istraživanje i razvoj i inovacije</w:t>
            </w:r>
          </w:p>
        </w:tc>
        <w:tc>
          <w:tcPr>
            <w:tcW w:w="993" w:type="dxa"/>
            <w:tcBorders>
              <w:top w:val="nil"/>
              <w:left w:val="nil"/>
              <w:bottom w:val="single" w:sz="4" w:space="0" w:color="auto"/>
              <w:right w:val="single" w:sz="4" w:space="0" w:color="auto"/>
            </w:tcBorders>
            <w:shd w:val="clear" w:color="auto" w:fill="auto"/>
            <w:vAlign w:val="bottom"/>
          </w:tcPr>
          <w:p w14:paraId="23A3E21B" w14:textId="27FC437A" w:rsidR="00D328C6" w:rsidRPr="00CA354E" w:rsidRDefault="00D328C6" w:rsidP="00D328C6">
            <w:pPr>
              <w:jc w:val="right"/>
              <w:rPr>
                <w:sz w:val="20"/>
                <w:szCs w:val="20"/>
              </w:rPr>
            </w:pPr>
            <w:r w:rsidRPr="00CA354E">
              <w:rPr>
                <w:sz w:val="20"/>
              </w:rPr>
              <w:t>35,0</w:t>
            </w:r>
          </w:p>
        </w:tc>
        <w:tc>
          <w:tcPr>
            <w:tcW w:w="992" w:type="dxa"/>
            <w:tcBorders>
              <w:top w:val="nil"/>
              <w:left w:val="nil"/>
              <w:bottom w:val="single" w:sz="4" w:space="0" w:color="auto"/>
              <w:right w:val="single" w:sz="4" w:space="0" w:color="auto"/>
            </w:tcBorders>
            <w:shd w:val="clear" w:color="auto" w:fill="auto"/>
            <w:noWrap/>
            <w:vAlign w:val="bottom"/>
          </w:tcPr>
          <w:p w14:paraId="051EAAE9" w14:textId="0B4A131D" w:rsidR="00D328C6" w:rsidRPr="00CA354E" w:rsidRDefault="00D328C6" w:rsidP="00D328C6">
            <w:pPr>
              <w:jc w:val="center"/>
              <w:rPr>
                <w:sz w:val="20"/>
                <w:szCs w:val="20"/>
              </w:rPr>
            </w:pPr>
            <w:r w:rsidRPr="00CA354E">
              <w:rPr>
                <w:sz w:val="20"/>
              </w:rPr>
              <w:t>0,05</w:t>
            </w:r>
          </w:p>
        </w:tc>
        <w:tc>
          <w:tcPr>
            <w:tcW w:w="992" w:type="dxa"/>
            <w:tcBorders>
              <w:top w:val="nil"/>
              <w:left w:val="nil"/>
              <w:bottom w:val="single" w:sz="4" w:space="0" w:color="auto"/>
              <w:right w:val="single" w:sz="4" w:space="0" w:color="auto"/>
            </w:tcBorders>
            <w:shd w:val="clear" w:color="auto" w:fill="auto"/>
            <w:vAlign w:val="bottom"/>
          </w:tcPr>
          <w:p w14:paraId="048F57CF" w14:textId="37017114" w:rsidR="00D328C6" w:rsidRPr="00CA354E" w:rsidRDefault="00D328C6" w:rsidP="00D328C6">
            <w:pPr>
              <w:jc w:val="right"/>
              <w:rPr>
                <w:sz w:val="20"/>
                <w:szCs w:val="20"/>
              </w:rPr>
            </w:pPr>
            <w:r w:rsidRPr="00CA354E">
              <w:rPr>
                <w:sz w:val="20"/>
              </w:rPr>
              <w:t>194,0</w:t>
            </w:r>
          </w:p>
        </w:tc>
        <w:tc>
          <w:tcPr>
            <w:tcW w:w="992" w:type="dxa"/>
            <w:tcBorders>
              <w:top w:val="nil"/>
              <w:left w:val="nil"/>
              <w:bottom w:val="single" w:sz="4" w:space="0" w:color="auto"/>
              <w:right w:val="single" w:sz="4" w:space="0" w:color="auto"/>
            </w:tcBorders>
            <w:shd w:val="clear" w:color="auto" w:fill="auto"/>
            <w:noWrap/>
            <w:vAlign w:val="bottom"/>
          </w:tcPr>
          <w:p w14:paraId="45F6FE5A" w14:textId="62FFEE10" w:rsidR="00D328C6" w:rsidRPr="00CA354E" w:rsidRDefault="00D328C6" w:rsidP="00D328C6">
            <w:pPr>
              <w:jc w:val="center"/>
              <w:rPr>
                <w:sz w:val="20"/>
                <w:szCs w:val="20"/>
              </w:rPr>
            </w:pPr>
            <w:r w:rsidRPr="00CA354E">
              <w:rPr>
                <w:sz w:val="20"/>
              </w:rPr>
              <w:t>0,25</w:t>
            </w:r>
          </w:p>
        </w:tc>
        <w:tc>
          <w:tcPr>
            <w:tcW w:w="993" w:type="dxa"/>
            <w:tcBorders>
              <w:top w:val="nil"/>
              <w:left w:val="nil"/>
              <w:bottom w:val="single" w:sz="4" w:space="0" w:color="auto"/>
              <w:right w:val="single" w:sz="4" w:space="0" w:color="auto"/>
            </w:tcBorders>
            <w:shd w:val="clear" w:color="auto" w:fill="auto"/>
            <w:vAlign w:val="bottom"/>
          </w:tcPr>
          <w:p w14:paraId="2F888DB3" w14:textId="09D90628" w:rsidR="00D328C6" w:rsidRPr="00CA354E" w:rsidRDefault="00D328C6" w:rsidP="00D328C6">
            <w:pPr>
              <w:jc w:val="right"/>
              <w:rPr>
                <w:sz w:val="20"/>
                <w:szCs w:val="20"/>
              </w:rPr>
            </w:pPr>
            <w:r w:rsidRPr="00CA354E">
              <w:rPr>
                <w:sz w:val="20"/>
              </w:rPr>
              <w:t>160,4</w:t>
            </w:r>
          </w:p>
        </w:tc>
        <w:tc>
          <w:tcPr>
            <w:tcW w:w="1134" w:type="dxa"/>
            <w:tcBorders>
              <w:top w:val="nil"/>
              <w:left w:val="nil"/>
              <w:bottom w:val="single" w:sz="4" w:space="0" w:color="auto"/>
              <w:right w:val="single" w:sz="4" w:space="0" w:color="auto"/>
            </w:tcBorders>
            <w:shd w:val="clear" w:color="auto" w:fill="auto"/>
            <w:noWrap/>
            <w:vAlign w:val="bottom"/>
          </w:tcPr>
          <w:p w14:paraId="3069B317" w14:textId="101BC072" w:rsidR="00D328C6" w:rsidRPr="00CA354E" w:rsidRDefault="00D328C6" w:rsidP="00D328C6">
            <w:pPr>
              <w:jc w:val="center"/>
              <w:rPr>
                <w:sz w:val="20"/>
                <w:szCs w:val="20"/>
              </w:rPr>
            </w:pPr>
            <w:r w:rsidRPr="00CA354E">
              <w:rPr>
                <w:sz w:val="20"/>
              </w:rPr>
              <w:t>0,19</w:t>
            </w:r>
          </w:p>
        </w:tc>
      </w:tr>
      <w:tr w:rsidR="00D328C6" w:rsidRPr="00CA354E" w14:paraId="23B2C031" w14:textId="77777777" w:rsidTr="009D4AF4">
        <w:trPr>
          <w:trHeight w:val="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310A67B" w14:textId="77777777" w:rsidR="00D328C6" w:rsidRPr="00CA354E" w:rsidRDefault="00D328C6" w:rsidP="00D328C6">
            <w:pPr>
              <w:rPr>
                <w:rFonts w:eastAsia="Times New Roman"/>
                <w:sz w:val="20"/>
                <w:szCs w:val="20"/>
              </w:rPr>
            </w:pPr>
            <w:r w:rsidRPr="00CA354E">
              <w:rPr>
                <w:rFonts w:eastAsia="Times New Roman"/>
                <w:sz w:val="20"/>
                <w:szCs w:val="20"/>
              </w:rPr>
              <w:t>Zapošljavanje</w:t>
            </w:r>
          </w:p>
        </w:tc>
        <w:tc>
          <w:tcPr>
            <w:tcW w:w="993" w:type="dxa"/>
            <w:tcBorders>
              <w:top w:val="nil"/>
              <w:left w:val="nil"/>
              <w:bottom w:val="single" w:sz="4" w:space="0" w:color="auto"/>
              <w:right w:val="single" w:sz="4" w:space="0" w:color="auto"/>
            </w:tcBorders>
            <w:shd w:val="clear" w:color="auto" w:fill="auto"/>
            <w:vAlign w:val="bottom"/>
          </w:tcPr>
          <w:p w14:paraId="60CFBC5C" w14:textId="32637DAC" w:rsidR="00D328C6" w:rsidRPr="00CA354E" w:rsidRDefault="00D328C6" w:rsidP="00D328C6">
            <w:pPr>
              <w:jc w:val="right"/>
              <w:rPr>
                <w:sz w:val="20"/>
                <w:szCs w:val="20"/>
              </w:rPr>
            </w:pPr>
            <w:r w:rsidRPr="00CA354E">
              <w:rPr>
                <w:sz w:val="20"/>
              </w:rPr>
              <w:t>38,0</w:t>
            </w:r>
          </w:p>
        </w:tc>
        <w:tc>
          <w:tcPr>
            <w:tcW w:w="992" w:type="dxa"/>
            <w:tcBorders>
              <w:top w:val="nil"/>
              <w:left w:val="nil"/>
              <w:bottom w:val="single" w:sz="4" w:space="0" w:color="auto"/>
              <w:right w:val="single" w:sz="4" w:space="0" w:color="auto"/>
            </w:tcBorders>
            <w:shd w:val="clear" w:color="auto" w:fill="auto"/>
            <w:noWrap/>
            <w:vAlign w:val="bottom"/>
          </w:tcPr>
          <w:p w14:paraId="0FD38CDF" w14:textId="36F989F4" w:rsidR="00D328C6" w:rsidRPr="00CA354E" w:rsidRDefault="00D328C6" w:rsidP="00D328C6">
            <w:pPr>
              <w:jc w:val="center"/>
              <w:rPr>
                <w:sz w:val="20"/>
                <w:szCs w:val="20"/>
              </w:rPr>
            </w:pPr>
            <w:r w:rsidRPr="00CA354E">
              <w:rPr>
                <w:sz w:val="20"/>
              </w:rPr>
              <w:t>0,06</w:t>
            </w:r>
          </w:p>
        </w:tc>
        <w:tc>
          <w:tcPr>
            <w:tcW w:w="992" w:type="dxa"/>
            <w:tcBorders>
              <w:top w:val="nil"/>
              <w:left w:val="nil"/>
              <w:bottom w:val="single" w:sz="4" w:space="0" w:color="auto"/>
              <w:right w:val="single" w:sz="4" w:space="0" w:color="auto"/>
            </w:tcBorders>
            <w:shd w:val="clear" w:color="auto" w:fill="auto"/>
            <w:vAlign w:val="bottom"/>
          </w:tcPr>
          <w:p w14:paraId="41D0129D" w14:textId="58301BA5" w:rsidR="00D328C6" w:rsidRPr="00CA354E" w:rsidRDefault="00D328C6" w:rsidP="00D328C6">
            <w:pPr>
              <w:jc w:val="right"/>
              <w:rPr>
                <w:sz w:val="20"/>
                <w:szCs w:val="20"/>
              </w:rPr>
            </w:pPr>
            <w:r w:rsidRPr="00CA354E">
              <w:rPr>
                <w:sz w:val="20"/>
              </w:rPr>
              <w:t>42,4</w:t>
            </w:r>
          </w:p>
        </w:tc>
        <w:tc>
          <w:tcPr>
            <w:tcW w:w="992" w:type="dxa"/>
            <w:tcBorders>
              <w:top w:val="nil"/>
              <w:left w:val="nil"/>
              <w:bottom w:val="single" w:sz="4" w:space="0" w:color="auto"/>
              <w:right w:val="single" w:sz="4" w:space="0" w:color="auto"/>
            </w:tcBorders>
            <w:shd w:val="clear" w:color="auto" w:fill="auto"/>
            <w:noWrap/>
            <w:vAlign w:val="bottom"/>
          </w:tcPr>
          <w:p w14:paraId="16E2B2D1" w14:textId="58CC787F" w:rsidR="00D328C6" w:rsidRPr="00CA354E" w:rsidRDefault="00D328C6" w:rsidP="00D328C6">
            <w:pPr>
              <w:jc w:val="center"/>
              <w:rPr>
                <w:sz w:val="20"/>
                <w:szCs w:val="20"/>
              </w:rPr>
            </w:pPr>
            <w:r w:rsidRPr="00CA354E">
              <w:rPr>
                <w:sz w:val="20"/>
              </w:rPr>
              <w:t>0,05</w:t>
            </w:r>
          </w:p>
        </w:tc>
        <w:tc>
          <w:tcPr>
            <w:tcW w:w="993" w:type="dxa"/>
            <w:tcBorders>
              <w:top w:val="nil"/>
              <w:left w:val="nil"/>
              <w:bottom w:val="single" w:sz="4" w:space="0" w:color="auto"/>
              <w:right w:val="single" w:sz="4" w:space="0" w:color="auto"/>
            </w:tcBorders>
            <w:shd w:val="clear" w:color="auto" w:fill="auto"/>
            <w:vAlign w:val="bottom"/>
          </w:tcPr>
          <w:p w14:paraId="11F2A956" w14:textId="2698D895" w:rsidR="00D328C6" w:rsidRPr="00CA354E" w:rsidRDefault="00D328C6" w:rsidP="00D328C6">
            <w:pPr>
              <w:jc w:val="right"/>
              <w:rPr>
                <w:sz w:val="20"/>
                <w:szCs w:val="20"/>
              </w:rPr>
            </w:pPr>
            <w:r w:rsidRPr="00CA354E">
              <w:rPr>
                <w:sz w:val="20"/>
              </w:rPr>
              <w:t>39,0</w:t>
            </w:r>
          </w:p>
        </w:tc>
        <w:tc>
          <w:tcPr>
            <w:tcW w:w="1134" w:type="dxa"/>
            <w:tcBorders>
              <w:top w:val="nil"/>
              <w:left w:val="nil"/>
              <w:bottom w:val="single" w:sz="4" w:space="0" w:color="auto"/>
              <w:right w:val="single" w:sz="4" w:space="0" w:color="auto"/>
            </w:tcBorders>
            <w:shd w:val="clear" w:color="auto" w:fill="auto"/>
            <w:noWrap/>
            <w:vAlign w:val="bottom"/>
          </w:tcPr>
          <w:p w14:paraId="1570CE9B" w14:textId="747D09D1" w:rsidR="00D328C6" w:rsidRPr="00CA354E" w:rsidRDefault="00D328C6" w:rsidP="00D328C6">
            <w:pPr>
              <w:jc w:val="center"/>
              <w:rPr>
                <w:sz w:val="20"/>
                <w:szCs w:val="20"/>
              </w:rPr>
            </w:pPr>
            <w:r w:rsidRPr="00CA354E">
              <w:rPr>
                <w:sz w:val="20"/>
              </w:rPr>
              <w:t>0,05</w:t>
            </w:r>
          </w:p>
        </w:tc>
      </w:tr>
      <w:tr w:rsidR="00D328C6" w:rsidRPr="00CA354E" w14:paraId="7D19A50F" w14:textId="77777777" w:rsidTr="009D4AF4">
        <w:trPr>
          <w:trHeight w:val="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B83CDE7" w14:textId="77777777" w:rsidR="00D328C6" w:rsidRPr="00CA354E" w:rsidRDefault="00D328C6" w:rsidP="00D328C6">
            <w:pPr>
              <w:rPr>
                <w:rFonts w:eastAsia="Times New Roman"/>
                <w:sz w:val="20"/>
                <w:szCs w:val="20"/>
              </w:rPr>
            </w:pPr>
            <w:r w:rsidRPr="00CA354E">
              <w:rPr>
                <w:rFonts w:eastAsia="Times New Roman"/>
                <w:sz w:val="20"/>
                <w:szCs w:val="20"/>
              </w:rPr>
              <w:t>Usavršavanje</w:t>
            </w:r>
          </w:p>
        </w:tc>
        <w:tc>
          <w:tcPr>
            <w:tcW w:w="993" w:type="dxa"/>
            <w:tcBorders>
              <w:top w:val="nil"/>
              <w:left w:val="nil"/>
              <w:bottom w:val="single" w:sz="4" w:space="0" w:color="auto"/>
              <w:right w:val="single" w:sz="4" w:space="0" w:color="auto"/>
            </w:tcBorders>
            <w:shd w:val="clear" w:color="auto" w:fill="auto"/>
            <w:vAlign w:val="bottom"/>
          </w:tcPr>
          <w:p w14:paraId="2A7ECFF1" w14:textId="7A6FC503" w:rsidR="00D328C6" w:rsidRPr="00CA354E" w:rsidRDefault="00D328C6" w:rsidP="00D328C6">
            <w:pPr>
              <w:jc w:val="right"/>
              <w:rPr>
                <w:sz w:val="20"/>
                <w:szCs w:val="20"/>
              </w:rPr>
            </w:pPr>
            <w:r w:rsidRPr="00CA354E">
              <w:rPr>
                <w:sz w:val="20"/>
              </w:rPr>
              <w:t>3,7</w:t>
            </w:r>
          </w:p>
        </w:tc>
        <w:tc>
          <w:tcPr>
            <w:tcW w:w="992" w:type="dxa"/>
            <w:tcBorders>
              <w:top w:val="nil"/>
              <w:left w:val="nil"/>
              <w:bottom w:val="single" w:sz="4" w:space="0" w:color="auto"/>
              <w:right w:val="single" w:sz="4" w:space="0" w:color="auto"/>
            </w:tcBorders>
            <w:shd w:val="clear" w:color="auto" w:fill="auto"/>
            <w:noWrap/>
            <w:vAlign w:val="bottom"/>
          </w:tcPr>
          <w:p w14:paraId="2983A316" w14:textId="2393F191" w:rsidR="00D328C6" w:rsidRPr="00CA354E" w:rsidRDefault="00D328C6" w:rsidP="00D328C6">
            <w:pPr>
              <w:jc w:val="center"/>
              <w:rPr>
                <w:sz w:val="20"/>
                <w:szCs w:val="20"/>
              </w:rPr>
            </w:pPr>
            <w:r w:rsidRPr="00CA354E">
              <w:rPr>
                <w:sz w:val="20"/>
              </w:rPr>
              <w:t>0,01</w:t>
            </w:r>
          </w:p>
        </w:tc>
        <w:tc>
          <w:tcPr>
            <w:tcW w:w="992" w:type="dxa"/>
            <w:tcBorders>
              <w:top w:val="nil"/>
              <w:left w:val="nil"/>
              <w:bottom w:val="single" w:sz="4" w:space="0" w:color="auto"/>
              <w:right w:val="single" w:sz="4" w:space="0" w:color="auto"/>
            </w:tcBorders>
            <w:shd w:val="clear" w:color="auto" w:fill="auto"/>
            <w:vAlign w:val="bottom"/>
          </w:tcPr>
          <w:p w14:paraId="3A144694" w14:textId="31474992" w:rsidR="00D328C6" w:rsidRPr="00CA354E" w:rsidRDefault="00D328C6" w:rsidP="00D328C6">
            <w:pPr>
              <w:jc w:val="right"/>
              <w:rPr>
                <w:sz w:val="20"/>
                <w:szCs w:val="20"/>
              </w:rPr>
            </w:pPr>
            <w:r w:rsidRPr="00CA354E">
              <w:rPr>
                <w:sz w:val="20"/>
              </w:rPr>
              <w:t>0,03</w:t>
            </w:r>
          </w:p>
        </w:tc>
        <w:tc>
          <w:tcPr>
            <w:tcW w:w="992" w:type="dxa"/>
            <w:tcBorders>
              <w:top w:val="nil"/>
              <w:left w:val="nil"/>
              <w:bottom w:val="single" w:sz="4" w:space="0" w:color="auto"/>
              <w:right w:val="single" w:sz="4" w:space="0" w:color="auto"/>
            </w:tcBorders>
            <w:shd w:val="clear" w:color="auto" w:fill="auto"/>
            <w:noWrap/>
            <w:vAlign w:val="bottom"/>
          </w:tcPr>
          <w:p w14:paraId="7494D795" w14:textId="7E15F422" w:rsidR="00D328C6" w:rsidRPr="00CA354E" w:rsidRDefault="00D328C6" w:rsidP="00D328C6">
            <w:pPr>
              <w:jc w:val="center"/>
              <w:rPr>
                <w:sz w:val="20"/>
                <w:szCs w:val="20"/>
              </w:rPr>
            </w:pPr>
            <w:r w:rsidRPr="00CA354E">
              <w:rPr>
                <w:sz w:val="20"/>
              </w:rPr>
              <w:t>0,00004</w:t>
            </w:r>
          </w:p>
        </w:tc>
        <w:tc>
          <w:tcPr>
            <w:tcW w:w="993" w:type="dxa"/>
            <w:tcBorders>
              <w:top w:val="nil"/>
              <w:left w:val="nil"/>
              <w:bottom w:val="single" w:sz="4" w:space="0" w:color="auto"/>
              <w:right w:val="single" w:sz="4" w:space="0" w:color="auto"/>
            </w:tcBorders>
            <w:shd w:val="clear" w:color="auto" w:fill="auto"/>
            <w:vAlign w:val="bottom"/>
          </w:tcPr>
          <w:p w14:paraId="0D1F678B" w14:textId="784444C3" w:rsidR="00D328C6" w:rsidRPr="00CA354E" w:rsidRDefault="00D328C6" w:rsidP="00D328C6">
            <w:pPr>
              <w:jc w:val="right"/>
              <w:rPr>
                <w:sz w:val="20"/>
                <w:szCs w:val="20"/>
              </w:rPr>
            </w:pPr>
            <w:r w:rsidRPr="00CA354E">
              <w:rPr>
                <w:sz w:val="20"/>
              </w:rPr>
              <w:t>0,8</w:t>
            </w:r>
          </w:p>
        </w:tc>
        <w:tc>
          <w:tcPr>
            <w:tcW w:w="1134" w:type="dxa"/>
            <w:tcBorders>
              <w:top w:val="nil"/>
              <w:left w:val="nil"/>
              <w:bottom w:val="single" w:sz="4" w:space="0" w:color="auto"/>
              <w:right w:val="single" w:sz="4" w:space="0" w:color="auto"/>
            </w:tcBorders>
            <w:shd w:val="clear" w:color="auto" w:fill="auto"/>
            <w:noWrap/>
            <w:vAlign w:val="bottom"/>
          </w:tcPr>
          <w:p w14:paraId="458792DB" w14:textId="2CD6B3DA" w:rsidR="00D328C6" w:rsidRPr="00CA354E" w:rsidRDefault="00D328C6" w:rsidP="00D328C6">
            <w:pPr>
              <w:jc w:val="center"/>
              <w:rPr>
                <w:sz w:val="20"/>
                <w:szCs w:val="20"/>
              </w:rPr>
            </w:pPr>
            <w:r w:rsidRPr="00CA354E">
              <w:rPr>
                <w:sz w:val="20"/>
              </w:rPr>
              <w:t>0,001</w:t>
            </w:r>
          </w:p>
        </w:tc>
      </w:tr>
      <w:tr w:rsidR="00D328C6" w:rsidRPr="00CA354E" w14:paraId="27AFD7C7" w14:textId="77777777" w:rsidTr="009D4AF4">
        <w:trPr>
          <w:trHeight w:val="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BDE37EB" w14:textId="77777777" w:rsidR="00D328C6" w:rsidRPr="00CA354E" w:rsidRDefault="00D328C6" w:rsidP="00D328C6">
            <w:pPr>
              <w:rPr>
                <w:rFonts w:eastAsia="Times New Roman"/>
                <w:sz w:val="20"/>
                <w:szCs w:val="20"/>
              </w:rPr>
            </w:pPr>
            <w:r w:rsidRPr="00CA354E">
              <w:rPr>
                <w:rFonts w:eastAsia="Times New Roman"/>
                <w:sz w:val="20"/>
                <w:szCs w:val="20"/>
              </w:rPr>
              <w:t>Mali i srednji poduzetnici</w:t>
            </w:r>
          </w:p>
        </w:tc>
        <w:tc>
          <w:tcPr>
            <w:tcW w:w="993" w:type="dxa"/>
            <w:tcBorders>
              <w:top w:val="nil"/>
              <w:left w:val="nil"/>
              <w:bottom w:val="single" w:sz="4" w:space="0" w:color="auto"/>
              <w:right w:val="single" w:sz="4" w:space="0" w:color="auto"/>
            </w:tcBorders>
            <w:shd w:val="clear" w:color="auto" w:fill="auto"/>
            <w:vAlign w:val="bottom"/>
          </w:tcPr>
          <w:p w14:paraId="77141BCB" w14:textId="0C48A523" w:rsidR="00D328C6" w:rsidRPr="00CA354E" w:rsidRDefault="00D328C6" w:rsidP="00D328C6">
            <w:pPr>
              <w:jc w:val="right"/>
              <w:rPr>
                <w:sz w:val="20"/>
                <w:szCs w:val="20"/>
              </w:rPr>
            </w:pPr>
            <w:r w:rsidRPr="00CA354E">
              <w:rPr>
                <w:sz w:val="20"/>
              </w:rPr>
              <w:t>2,8</w:t>
            </w:r>
          </w:p>
        </w:tc>
        <w:tc>
          <w:tcPr>
            <w:tcW w:w="992" w:type="dxa"/>
            <w:tcBorders>
              <w:top w:val="nil"/>
              <w:left w:val="nil"/>
              <w:bottom w:val="single" w:sz="4" w:space="0" w:color="auto"/>
              <w:right w:val="single" w:sz="4" w:space="0" w:color="auto"/>
            </w:tcBorders>
            <w:shd w:val="clear" w:color="auto" w:fill="auto"/>
            <w:noWrap/>
            <w:vAlign w:val="bottom"/>
          </w:tcPr>
          <w:p w14:paraId="65160AAE" w14:textId="1F64C0A5" w:rsidR="00D328C6" w:rsidRPr="00CA354E" w:rsidRDefault="00D328C6" w:rsidP="00D328C6">
            <w:pPr>
              <w:jc w:val="center"/>
              <w:rPr>
                <w:sz w:val="20"/>
                <w:szCs w:val="20"/>
              </w:rPr>
            </w:pPr>
            <w:r w:rsidRPr="00CA354E">
              <w:rPr>
                <w:sz w:val="20"/>
              </w:rPr>
              <w:t>0,004</w:t>
            </w:r>
          </w:p>
        </w:tc>
        <w:tc>
          <w:tcPr>
            <w:tcW w:w="992" w:type="dxa"/>
            <w:tcBorders>
              <w:top w:val="nil"/>
              <w:left w:val="nil"/>
              <w:bottom w:val="single" w:sz="4" w:space="0" w:color="auto"/>
              <w:right w:val="single" w:sz="4" w:space="0" w:color="auto"/>
            </w:tcBorders>
            <w:shd w:val="clear" w:color="auto" w:fill="auto"/>
            <w:vAlign w:val="bottom"/>
          </w:tcPr>
          <w:p w14:paraId="19A49293" w14:textId="5FD724D8" w:rsidR="00D328C6" w:rsidRPr="00CA354E" w:rsidRDefault="00D328C6" w:rsidP="00D328C6">
            <w:pPr>
              <w:jc w:val="right"/>
              <w:rPr>
                <w:sz w:val="20"/>
                <w:szCs w:val="20"/>
              </w:rPr>
            </w:pPr>
            <w:r w:rsidRPr="00CA354E">
              <w:rPr>
                <w:sz w:val="20"/>
              </w:rPr>
              <w:t>7,8</w:t>
            </w:r>
          </w:p>
        </w:tc>
        <w:tc>
          <w:tcPr>
            <w:tcW w:w="992" w:type="dxa"/>
            <w:tcBorders>
              <w:top w:val="nil"/>
              <w:left w:val="nil"/>
              <w:bottom w:val="single" w:sz="4" w:space="0" w:color="auto"/>
              <w:right w:val="single" w:sz="4" w:space="0" w:color="auto"/>
            </w:tcBorders>
            <w:shd w:val="clear" w:color="auto" w:fill="auto"/>
            <w:noWrap/>
            <w:vAlign w:val="bottom"/>
          </w:tcPr>
          <w:p w14:paraId="3045E7F1" w14:textId="4B722325" w:rsidR="00D328C6" w:rsidRPr="00CA354E" w:rsidRDefault="00D328C6" w:rsidP="00D328C6">
            <w:pPr>
              <w:jc w:val="center"/>
              <w:rPr>
                <w:sz w:val="20"/>
                <w:szCs w:val="20"/>
              </w:rPr>
            </w:pPr>
            <w:r w:rsidRPr="00CA354E">
              <w:rPr>
                <w:sz w:val="20"/>
              </w:rPr>
              <w:t>0,01</w:t>
            </w:r>
          </w:p>
        </w:tc>
        <w:tc>
          <w:tcPr>
            <w:tcW w:w="993" w:type="dxa"/>
            <w:tcBorders>
              <w:top w:val="nil"/>
              <w:left w:val="nil"/>
              <w:bottom w:val="single" w:sz="4" w:space="0" w:color="auto"/>
              <w:right w:val="single" w:sz="4" w:space="0" w:color="auto"/>
            </w:tcBorders>
            <w:shd w:val="clear" w:color="auto" w:fill="auto"/>
            <w:vAlign w:val="bottom"/>
          </w:tcPr>
          <w:p w14:paraId="04DFE863" w14:textId="4ACB91A5" w:rsidR="00D328C6" w:rsidRPr="00CA354E" w:rsidRDefault="00D328C6" w:rsidP="00D328C6">
            <w:pPr>
              <w:jc w:val="right"/>
              <w:rPr>
                <w:sz w:val="20"/>
                <w:szCs w:val="20"/>
              </w:rPr>
            </w:pPr>
            <w:r w:rsidRPr="00CA354E">
              <w:rPr>
                <w:sz w:val="20"/>
              </w:rPr>
              <w:t>10,2</w:t>
            </w:r>
          </w:p>
        </w:tc>
        <w:tc>
          <w:tcPr>
            <w:tcW w:w="1134" w:type="dxa"/>
            <w:tcBorders>
              <w:top w:val="nil"/>
              <w:left w:val="nil"/>
              <w:bottom w:val="single" w:sz="4" w:space="0" w:color="auto"/>
              <w:right w:val="single" w:sz="4" w:space="0" w:color="auto"/>
            </w:tcBorders>
            <w:shd w:val="clear" w:color="auto" w:fill="auto"/>
            <w:noWrap/>
            <w:vAlign w:val="bottom"/>
          </w:tcPr>
          <w:p w14:paraId="465E38A4" w14:textId="7FD74ADD" w:rsidR="00D328C6" w:rsidRPr="00CA354E" w:rsidRDefault="00D328C6" w:rsidP="00D328C6">
            <w:pPr>
              <w:jc w:val="center"/>
              <w:rPr>
                <w:sz w:val="20"/>
                <w:szCs w:val="20"/>
              </w:rPr>
            </w:pPr>
            <w:r w:rsidRPr="00CA354E">
              <w:rPr>
                <w:sz w:val="20"/>
              </w:rPr>
              <w:t>0,01</w:t>
            </w:r>
          </w:p>
        </w:tc>
      </w:tr>
      <w:tr w:rsidR="00D328C6" w:rsidRPr="00CA354E" w14:paraId="0486F5D5" w14:textId="77777777" w:rsidTr="009D4AF4">
        <w:trPr>
          <w:trHeight w:val="4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FF5ABDC" w14:textId="77777777" w:rsidR="00D328C6" w:rsidRPr="00CA354E" w:rsidRDefault="00D328C6" w:rsidP="00D328C6">
            <w:pPr>
              <w:rPr>
                <w:rFonts w:eastAsia="Times New Roman"/>
                <w:sz w:val="20"/>
                <w:szCs w:val="20"/>
              </w:rPr>
            </w:pPr>
            <w:r w:rsidRPr="00CA354E">
              <w:rPr>
                <w:rFonts w:eastAsia="Times New Roman"/>
                <w:sz w:val="20"/>
                <w:szCs w:val="20"/>
              </w:rPr>
              <w:t>Kultura</w:t>
            </w:r>
          </w:p>
        </w:tc>
        <w:tc>
          <w:tcPr>
            <w:tcW w:w="993" w:type="dxa"/>
            <w:tcBorders>
              <w:top w:val="nil"/>
              <w:left w:val="nil"/>
              <w:bottom w:val="single" w:sz="4" w:space="0" w:color="auto"/>
              <w:right w:val="single" w:sz="4" w:space="0" w:color="auto"/>
            </w:tcBorders>
            <w:shd w:val="clear" w:color="auto" w:fill="auto"/>
            <w:vAlign w:val="bottom"/>
          </w:tcPr>
          <w:p w14:paraId="2ECEE419" w14:textId="7F6A9D6C" w:rsidR="00D328C6" w:rsidRPr="00CA354E" w:rsidRDefault="00D328C6" w:rsidP="00D328C6">
            <w:pPr>
              <w:jc w:val="right"/>
              <w:rPr>
                <w:sz w:val="20"/>
                <w:szCs w:val="20"/>
              </w:rPr>
            </w:pPr>
            <w:r w:rsidRPr="00CA354E">
              <w:rPr>
                <w:sz w:val="20"/>
              </w:rPr>
              <w:t>19,1</w:t>
            </w:r>
          </w:p>
        </w:tc>
        <w:tc>
          <w:tcPr>
            <w:tcW w:w="992" w:type="dxa"/>
            <w:tcBorders>
              <w:top w:val="nil"/>
              <w:left w:val="nil"/>
              <w:bottom w:val="single" w:sz="4" w:space="0" w:color="auto"/>
              <w:right w:val="single" w:sz="4" w:space="0" w:color="auto"/>
            </w:tcBorders>
            <w:shd w:val="clear" w:color="auto" w:fill="auto"/>
            <w:noWrap/>
            <w:vAlign w:val="bottom"/>
          </w:tcPr>
          <w:p w14:paraId="0210A576" w14:textId="65F19A25" w:rsidR="00D328C6" w:rsidRPr="00CA354E" w:rsidRDefault="00D328C6" w:rsidP="00D328C6">
            <w:pPr>
              <w:jc w:val="center"/>
              <w:rPr>
                <w:sz w:val="20"/>
                <w:szCs w:val="20"/>
              </w:rPr>
            </w:pPr>
            <w:r w:rsidRPr="00CA354E">
              <w:rPr>
                <w:sz w:val="20"/>
              </w:rPr>
              <w:t>0,03</w:t>
            </w:r>
          </w:p>
        </w:tc>
        <w:tc>
          <w:tcPr>
            <w:tcW w:w="992" w:type="dxa"/>
            <w:tcBorders>
              <w:top w:val="nil"/>
              <w:left w:val="nil"/>
              <w:bottom w:val="single" w:sz="4" w:space="0" w:color="auto"/>
              <w:right w:val="single" w:sz="4" w:space="0" w:color="auto"/>
            </w:tcBorders>
            <w:shd w:val="clear" w:color="auto" w:fill="auto"/>
            <w:vAlign w:val="bottom"/>
          </w:tcPr>
          <w:p w14:paraId="53A85524" w14:textId="24E1C704" w:rsidR="00D328C6" w:rsidRPr="00CA354E" w:rsidRDefault="00D328C6" w:rsidP="00D328C6">
            <w:pPr>
              <w:jc w:val="right"/>
              <w:rPr>
                <w:sz w:val="20"/>
                <w:szCs w:val="20"/>
              </w:rPr>
            </w:pPr>
            <w:r w:rsidRPr="00CA354E">
              <w:rPr>
                <w:sz w:val="20"/>
              </w:rPr>
              <w:t>24,1</w:t>
            </w:r>
          </w:p>
        </w:tc>
        <w:tc>
          <w:tcPr>
            <w:tcW w:w="992" w:type="dxa"/>
            <w:tcBorders>
              <w:top w:val="nil"/>
              <w:left w:val="nil"/>
              <w:bottom w:val="single" w:sz="4" w:space="0" w:color="auto"/>
              <w:right w:val="single" w:sz="4" w:space="0" w:color="auto"/>
            </w:tcBorders>
            <w:shd w:val="clear" w:color="auto" w:fill="auto"/>
            <w:noWrap/>
            <w:vAlign w:val="bottom"/>
          </w:tcPr>
          <w:p w14:paraId="07C7F95A" w14:textId="04270E6D" w:rsidR="00D328C6" w:rsidRPr="00CA354E" w:rsidRDefault="00D328C6" w:rsidP="00D328C6">
            <w:pPr>
              <w:jc w:val="center"/>
              <w:rPr>
                <w:sz w:val="20"/>
                <w:szCs w:val="20"/>
              </w:rPr>
            </w:pPr>
            <w:r w:rsidRPr="00CA354E">
              <w:rPr>
                <w:sz w:val="20"/>
              </w:rPr>
              <w:t>0,03</w:t>
            </w:r>
          </w:p>
        </w:tc>
        <w:tc>
          <w:tcPr>
            <w:tcW w:w="993" w:type="dxa"/>
            <w:tcBorders>
              <w:top w:val="nil"/>
              <w:left w:val="nil"/>
              <w:bottom w:val="single" w:sz="4" w:space="0" w:color="auto"/>
              <w:right w:val="single" w:sz="4" w:space="0" w:color="auto"/>
            </w:tcBorders>
            <w:shd w:val="clear" w:color="auto" w:fill="auto"/>
            <w:vAlign w:val="bottom"/>
          </w:tcPr>
          <w:p w14:paraId="1DB5997C" w14:textId="40B870FB" w:rsidR="00D328C6" w:rsidRPr="00CA354E" w:rsidRDefault="00D328C6" w:rsidP="00D328C6">
            <w:pPr>
              <w:jc w:val="right"/>
              <w:rPr>
                <w:sz w:val="20"/>
                <w:szCs w:val="20"/>
              </w:rPr>
            </w:pPr>
            <w:r w:rsidRPr="00CA354E">
              <w:rPr>
                <w:sz w:val="20"/>
              </w:rPr>
              <w:t>3,1</w:t>
            </w:r>
          </w:p>
        </w:tc>
        <w:tc>
          <w:tcPr>
            <w:tcW w:w="1134" w:type="dxa"/>
            <w:tcBorders>
              <w:top w:val="nil"/>
              <w:left w:val="nil"/>
              <w:bottom w:val="single" w:sz="4" w:space="0" w:color="auto"/>
              <w:right w:val="single" w:sz="4" w:space="0" w:color="auto"/>
            </w:tcBorders>
            <w:shd w:val="clear" w:color="auto" w:fill="auto"/>
            <w:noWrap/>
            <w:vAlign w:val="bottom"/>
          </w:tcPr>
          <w:p w14:paraId="2950317B" w14:textId="0C5D2FA1" w:rsidR="00D328C6" w:rsidRPr="00CA354E" w:rsidRDefault="00D328C6" w:rsidP="00D328C6">
            <w:pPr>
              <w:jc w:val="center"/>
              <w:rPr>
                <w:sz w:val="20"/>
                <w:szCs w:val="20"/>
              </w:rPr>
            </w:pPr>
            <w:r w:rsidRPr="00CA354E">
              <w:rPr>
                <w:sz w:val="20"/>
              </w:rPr>
              <w:t>0,004</w:t>
            </w:r>
          </w:p>
        </w:tc>
      </w:tr>
      <w:tr w:rsidR="00D328C6" w:rsidRPr="00CA354E" w14:paraId="289EB4B8" w14:textId="77777777" w:rsidTr="009D4AF4">
        <w:trPr>
          <w:trHeight w:val="52"/>
        </w:trPr>
        <w:tc>
          <w:tcPr>
            <w:tcW w:w="2830" w:type="dxa"/>
            <w:tcBorders>
              <w:top w:val="nil"/>
              <w:left w:val="single" w:sz="4" w:space="0" w:color="auto"/>
              <w:bottom w:val="single" w:sz="4" w:space="0" w:color="auto"/>
              <w:right w:val="single" w:sz="4" w:space="0" w:color="auto"/>
            </w:tcBorders>
            <w:shd w:val="clear" w:color="000000" w:fill="FFFF99"/>
            <w:noWrap/>
            <w:vAlign w:val="center"/>
            <w:hideMark/>
          </w:tcPr>
          <w:p w14:paraId="48919E0E" w14:textId="77777777" w:rsidR="00D328C6" w:rsidRPr="00CA354E" w:rsidRDefault="00D328C6" w:rsidP="00D328C6">
            <w:pPr>
              <w:rPr>
                <w:rFonts w:eastAsia="Times New Roman"/>
                <w:b/>
                <w:bCs/>
                <w:sz w:val="20"/>
                <w:szCs w:val="20"/>
              </w:rPr>
            </w:pPr>
            <w:r w:rsidRPr="00CA354E">
              <w:rPr>
                <w:rFonts w:eastAsia="Times New Roman"/>
                <w:b/>
                <w:bCs/>
                <w:sz w:val="20"/>
                <w:szCs w:val="20"/>
              </w:rPr>
              <w:t>UKUPNO</w:t>
            </w:r>
          </w:p>
        </w:tc>
        <w:tc>
          <w:tcPr>
            <w:tcW w:w="993" w:type="dxa"/>
            <w:tcBorders>
              <w:top w:val="nil"/>
              <w:left w:val="nil"/>
              <w:bottom w:val="single" w:sz="4" w:space="0" w:color="auto"/>
              <w:right w:val="single" w:sz="4" w:space="0" w:color="auto"/>
            </w:tcBorders>
            <w:shd w:val="clear" w:color="000000" w:fill="FFFF99"/>
            <w:noWrap/>
            <w:vAlign w:val="bottom"/>
          </w:tcPr>
          <w:p w14:paraId="15696956" w14:textId="5FA3F9FF" w:rsidR="00D328C6" w:rsidRPr="00CA354E" w:rsidRDefault="00D328C6" w:rsidP="00D328C6">
            <w:pPr>
              <w:jc w:val="right"/>
              <w:rPr>
                <w:b/>
                <w:sz w:val="20"/>
                <w:szCs w:val="20"/>
              </w:rPr>
            </w:pPr>
            <w:r w:rsidRPr="00CA354E">
              <w:rPr>
                <w:b/>
                <w:sz w:val="20"/>
              </w:rPr>
              <w:t>98,6</w:t>
            </w:r>
          </w:p>
        </w:tc>
        <w:tc>
          <w:tcPr>
            <w:tcW w:w="992" w:type="dxa"/>
            <w:tcBorders>
              <w:top w:val="nil"/>
              <w:left w:val="nil"/>
              <w:bottom w:val="single" w:sz="4" w:space="0" w:color="auto"/>
              <w:right w:val="single" w:sz="4" w:space="0" w:color="auto"/>
            </w:tcBorders>
            <w:shd w:val="clear" w:color="000000" w:fill="FFFF99"/>
            <w:noWrap/>
            <w:vAlign w:val="bottom"/>
          </w:tcPr>
          <w:p w14:paraId="3C41EE03" w14:textId="23F5F588" w:rsidR="00D328C6" w:rsidRPr="00CA354E" w:rsidRDefault="00D328C6" w:rsidP="00D328C6">
            <w:pPr>
              <w:jc w:val="center"/>
              <w:rPr>
                <w:b/>
                <w:sz w:val="20"/>
                <w:szCs w:val="20"/>
              </w:rPr>
            </w:pPr>
            <w:r w:rsidRPr="00CA354E">
              <w:rPr>
                <w:b/>
                <w:sz w:val="20"/>
              </w:rPr>
              <w:t>0,15</w:t>
            </w:r>
          </w:p>
        </w:tc>
        <w:tc>
          <w:tcPr>
            <w:tcW w:w="992" w:type="dxa"/>
            <w:tcBorders>
              <w:top w:val="nil"/>
              <w:left w:val="nil"/>
              <w:bottom w:val="single" w:sz="4" w:space="0" w:color="auto"/>
              <w:right w:val="single" w:sz="4" w:space="0" w:color="auto"/>
            </w:tcBorders>
            <w:shd w:val="clear" w:color="000000" w:fill="FFFF99"/>
            <w:noWrap/>
            <w:vAlign w:val="bottom"/>
          </w:tcPr>
          <w:p w14:paraId="4854BCA2" w14:textId="1DD96F36" w:rsidR="00D328C6" w:rsidRPr="00CA354E" w:rsidRDefault="00D328C6" w:rsidP="005F2AB8">
            <w:pPr>
              <w:jc w:val="right"/>
              <w:rPr>
                <w:b/>
                <w:sz w:val="20"/>
                <w:szCs w:val="20"/>
              </w:rPr>
            </w:pPr>
            <w:r w:rsidRPr="00CA354E">
              <w:rPr>
                <w:b/>
                <w:sz w:val="20"/>
              </w:rPr>
              <w:t>268,</w:t>
            </w:r>
            <w:r w:rsidR="005F2AB8" w:rsidRPr="00CA354E">
              <w:rPr>
                <w:b/>
                <w:sz w:val="20"/>
              </w:rPr>
              <w:t>3</w:t>
            </w:r>
          </w:p>
        </w:tc>
        <w:tc>
          <w:tcPr>
            <w:tcW w:w="992" w:type="dxa"/>
            <w:tcBorders>
              <w:top w:val="nil"/>
              <w:left w:val="nil"/>
              <w:bottom w:val="single" w:sz="4" w:space="0" w:color="auto"/>
              <w:right w:val="single" w:sz="4" w:space="0" w:color="auto"/>
            </w:tcBorders>
            <w:shd w:val="clear" w:color="000000" w:fill="FFFF99"/>
            <w:noWrap/>
            <w:vAlign w:val="bottom"/>
          </w:tcPr>
          <w:p w14:paraId="1AC290EE" w14:textId="2AB5256C" w:rsidR="00D328C6" w:rsidRPr="00CA354E" w:rsidRDefault="00D328C6" w:rsidP="00D328C6">
            <w:pPr>
              <w:jc w:val="center"/>
              <w:rPr>
                <w:b/>
                <w:sz w:val="20"/>
                <w:szCs w:val="20"/>
              </w:rPr>
            </w:pPr>
            <w:r w:rsidRPr="00CA354E">
              <w:rPr>
                <w:b/>
                <w:sz w:val="20"/>
              </w:rPr>
              <w:t>0,34</w:t>
            </w:r>
          </w:p>
        </w:tc>
        <w:tc>
          <w:tcPr>
            <w:tcW w:w="993" w:type="dxa"/>
            <w:tcBorders>
              <w:top w:val="nil"/>
              <w:left w:val="nil"/>
              <w:bottom w:val="single" w:sz="4" w:space="0" w:color="auto"/>
              <w:right w:val="single" w:sz="4" w:space="0" w:color="auto"/>
            </w:tcBorders>
            <w:shd w:val="clear" w:color="000000" w:fill="FFFF99"/>
            <w:noWrap/>
            <w:vAlign w:val="bottom"/>
          </w:tcPr>
          <w:p w14:paraId="353EA94B" w14:textId="46BFA2BE" w:rsidR="00D328C6" w:rsidRPr="00CA354E" w:rsidRDefault="005F2AB8" w:rsidP="00D328C6">
            <w:pPr>
              <w:jc w:val="right"/>
              <w:rPr>
                <w:b/>
                <w:sz w:val="20"/>
                <w:szCs w:val="20"/>
              </w:rPr>
            </w:pPr>
            <w:r w:rsidRPr="00CA354E">
              <w:rPr>
                <w:b/>
                <w:sz w:val="20"/>
              </w:rPr>
              <w:t>213,5</w:t>
            </w:r>
          </w:p>
        </w:tc>
        <w:tc>
          <w:tcPr>
            <w:tcW w:w="1134" w:type="dxa"/>
            <w:tcBorders>
              <w:top w:val="nil"/>
              <w:left w:val="nil"/>
              <w:bottom w:val="single" w:sz="4" w:space="0" w:color="auto"/>
              <w:right w:val="single" w:sz="4" w:space="0" w:color="auto"/>
            </w:tcBorders>
            <w:shd w:val="clear" w:color="000000" w:fill="FFFF99"/>
            <w:noWrap/>
            <w:vAlign w:val="bottom"/>
          </w:tcPr>
          <w:p w14:paraId="2B77A917" w14:textId="39EE0EE0" w:rsidR="00D328C6" w:rsidRPr="00CA354E" w:rsidRDefault="00D328C6" w:rsidP="00D328C6">
            <w:pPr>
              <w:jc w:val="center"/>
              <w:rPr>
                <w:b/>
                <w:sz w:val="20"/>
                <w:szCs w:val="20"/>
              </w:rPr>
            </w:pPr>
            <w:r w:rsidRPr="00CA354E">
              <w:rPr>
                <w:b/>
                <w:sz w:val="20"/>
              </w:rPr>
              <w:t>0,25</w:t>
            </w:r>
          </w:p>
        </w:tc>
      </w:tr>
    </w:tbl>
    <w:p w14:paraId="6B87B6C1" w14:textId="77777777" w:rsidR="00D305BF" w:rsidRPr="00CA354E" w:rsidRDefault="00D305BF" w:rsidP="00BE487D">
      <w:pPr>
        <w:contextualSpacing/>
        <w:jc w:val="both"/>
        <w:rPr>
          <w:i/>
          <w:sz w:val="20"/>
        </w:rPr>
      </w:pPr>
      <w:r w:rsidRPr="00CA354E">
        <w:rPr>
          <w:i/>
          <w:sz w:val="20"/>
        </w:rPr>
        <w:t>Izvor: Ministarstvo financija i davatelji potpora; podaci obrađeni u Ministarstvu financija</w:t>
      </w:r>
    </w:p>
    <w:p w14:paraId="228149B8" w14:textId="534B0626" w:rsidR="00210FD8" w:rsidRPr="00CA354E" w:rsidRDefault="00210FD8" w:rsidP="00BE487D">
      <w:pPr>
        <w:jc w:val="both"/>
      </w:pPr>
    </w:p>
    <w:p w14:paraId="1AEE7B1C" w14:textId="0F241A5A" w:rsidR="00893968" w:rsidRPr="00CA354E" w:rsidRDefault="00C527C6" w:rsidP="00893968">
      <w:pPr>
        <w:jc w:val="both"/>
      </w:pPr>
      <w:r w:rsidRPr="00CA354E">
        <w:t xml:space="preserve">Udio </w:t>
      </w:r>
      <w:r w:rsidR="00893968" w:rsidRPr="00CA354E">
        <w:t>horizontalnih potpora</w:t>
      </w:r>
      <w:r w:rsidR="00893968" w:rsidRPr="00CA354E">
        <w:rPr>
          <w:rFonts w:eastAsiaTheme="minorEastAsia"/>
        </w:rPr>
        <w:t xml:space="preserve"> u „užem smislu“ </w:t>
      </w:r>
      <w:r w:rsidRPr="00CA354E">
        <w:t xml:space="preserve">u BDP-u </w:t>
      </w:r>
      <w:r w:rsidR="00C12681" w:rsidRPr="00CA354E">
        <w:t xml:space="preserve">dodijeljenih </w:t>
      </w:r>
      <w:r w:rsidRPr="00CA354E">
        <w:t>u 202</w:t>
      </w:r>
      <w:r w:rsidR="00C12681" w:rsidRPr="00CA354E">
        <w:t>4</w:t>
      </w:r>
      <w:r w:rsidRPr="00CA354E">
        <w:t xml:space="preserve">. godini iznosio je </w:t>
      </w:r>
      <w:r w:rsidR="00A348C1" w:rsidRPr="00CA354E">
        <w:t>0,</w:t>
      </w:r>
      <w:r w:rsidR="00C12681" w:rsidRPr="00CA354E">
        <w:t>25</w:t>
      </w:r>
      <w:r w:rsidRPr="00CA354E">
        <w:t xml:space="preserve"> posto, u 202</w:t>
      </w:r>
      <w:r w:rsidR="00C12681" w:rsidRPr="00CA354E">
        <w:t>3</w:t>
      </w:r>
      <w:r w:rsidRPr="00CA354E">
        <w:t xml:space="preserve">. godini </w:t>
      </w:r>
      <w:r w:rsidR="00C12681" w:rsidRPr="00CA354E">
        <w:t>0,34</w:t>
      </w:r>
      <w:r w:rsidRPr="00CA354E">
        <w:t xml:space="preserve"> posto</w:t>
      </w:r>
      <w:r w:rsidR="00C12681" w:rsidRPr="00CA354E">
        <w:t xml:space="preserve"> i </w:t>
      </w:r>
      <w:r w:rsidRPr="00CA354E">
        <w:t>u 20</w:t>
      </w:r>
      <w:r w:rsidR="00A348C1" w:rsidRPr="00CA354E">
        <w:t>2</w:t>
      </w:r>
      <w:r w:rsidR="00C12681" w:rsidRPr="00CA354E">
        <w:t>2</w:t>
      </w:r>
      <w:r w:rsidRPr="00CA354E">
        <w:t xml:space="preserve">. godini </w:t>
      </w:r>
      <w:r w:rsidR="00C12681" w:rsidRPr="00CA354E">
        <w:t>0,15</w:t>
      </w:r>
      <w:r w:rsidRPr="00CA354E">
        <w:t xml:space="preserve"> posto. Udio </w:t>
      </w:r>
      <w:r w:rsidR="00C12681" w:rsidRPr="00CA354E">
        <w:t>navedenih potpora</w:t>
      </w:r>
      <w:r w:rsidRPr="00CA354E">
        <w:t xml:space="preserve"> u </w:t>
      </w:r>
      <w:r w:rsidR="00893968" w:rsidRPr="00CA354E">
        <w:t>ukupno dodijeljenim</w:t>
      </w:r>
      <w:r w:rsidRPr="00CA354E">
        <w:t xml:space="preserve"> potporama u 202</w:t>
      </w:r>
      <w:r w:rsidR="00C12681" w:rsidRPr="00CA354E">
        <w:t>4</w:t>
      </w:r>
      <w:r w:rsidRPr="00CA354E">
        <w:t xml:space="preserve">. godini iznosio je </w:t>
      </w:r>
      <w:r w:rsidR="00C12681" w:rsidRPr="00CA354E">
        <w:t>14,7</w:t>
      </w:r>
      <w:r w:rsidRPr="00CA354E">
        <w:t xml:space="preserve"> posto, u 202</w:t>
      </w:r>
      <w:r w:rsidR="00C12681" w:rsidRPr="00CA354E">
        <w:t>3</w:t>
      </w:r>
      <w:r w:rsidRPr="00CA354E">
        <w:t xml:space="preserve">. godini </w:t>
      </w:r>
      <w:r w:rsidR="00C12681" w:rsidRPr="00CA354E">
        <w:t>12,9</w:t>
      </w:r>
      <w:r w:rsidR="00A348C1" w:rsidRPr="00CA354E">
        <w:t xml:space="preserve"> posto</w:t>
      </w:r>
      <w:r w:rsidR="00C12681" w:rsidRPr="00CA354E">
        <w:t xml:space="preserve"> i </w:t>
      </w:r>
      <w:r w:rsidRPr="00CA354E">
        <w:t>u 20</w:t>
      </w:r>
      <w:r w:rsidR="00E75468" w:rsidRPr="00CA354E">
        <w:t>2</w:t>
      </w:r>
      <w:r w:rsidR="00C12681" w:rsidRPr="00CA354E">
        <w:t>2</w:t>
      </w:r>
      <w:r w:rsidRPr="00CA354E">
        <w:t xml:space="preserve">. godini </w:t>
      </w:r>
      <w:r w:rsidR="00C12681" w:rsidRPr="00CA354E">
        <w:t>4,6</w:t>
      </w:r>
      <w:r w:rsidRPr="00CA354E">
        <w:t xml:space="preserve"> posto. </w:t>
      </w:r>
      <w:r w:rsidR="00893968" w:rsidRPr="00CA354E">
        <w:t xml:space="preserve">Udio </w:t>
      </w:r>
      <w:r w:rsidR="00C12681" w:rsidRPr="00CA354E">
        <w:t xml:space="preserve">navedenih potpora </w:t>
      </w:r>
      <w:r w:rsidR="00893968" w:rsidRPr="00CA354E">
        <w:t xml:space="preserve">u sektoru </w:t>
      </w:r>
      <w:r w:rsidR="007030D8" w:rsidRPr="00CA354E">
        <w:t>industrije</w:t>
      </w:r>
      <w:r w:rsidR="00893968" w:rsidRPr="00CA354E">
        <w:t xml:space="preserve"> i </w:t>
      </w:r>
      <w:r w:rsidR="007030D8" w:rsidRPr="00CA354E">
        <w:t>usluga</w:t>
      </w:r>
      <w:r w:rsidR="00893968" w:rsidRPr="00CA354E">
        <w:t xml:space="preserve"> u 202</w:t>
      </w:r>
      <w:r w:rsidR="00C12681" w:rsidRPr="00CA354E">
        <w:t>4</w:t>
      </w:r>
      <w:r w:rsidR="00893968" w:rsidRPr="00CA354E">
        <w:t xml:space="preserve">. godini iznosio </w:t>
      </w:r>
      <w:r w:rsidR="00E75468" w:rsidRPr="00CA354E">
        <w:t xml:space="preserve">je </w:t>
      </w:r>
      <w:r w:rsidR="00C12681" w:rsidRPr="00CA354E">
        <w:t>16,2</w:t>
      </w:r>
      <w:r w:rsidR="00893968" w:rsidRPr="00CA354E">
        <w:t xml:space="preserve"> posto, u 202</w:t>
      </w:r>
      <w:r w:rsidR="00C12681" w:rsidRPr="00CA354E">
        <w:t>3</w:t>
      </w:r>
      <w:r w:rsidR="00893968" w:rsidRPr="00CA354E">
        <w:t xml:space="preserve">. godini </w:t>
      </w:r>
      <w:r w:rsidR="00C12681" w:rsidRPr="00CA354E">
        <w:t>13,6</w:t>
      </w:r>
      <w:r w:rsidR="00893968" w:rsidRPr="00CA354E">
        <w:t xml:space="preserve"> posto</w:t>
      </w:r>
      <w:r w:rsidR="00C12681" w:rsidRPr="00CA354E">
        <w:t xml:space="preserve"> i</w:t>
      </w:r>
      <w:r w:rsidR="00893968" w:rsidRPr="00CA354E">
        <w:t xml:space="preserve"> u 20</w:t>
      </w:r>
      <w:r w:rsidR="00A348C1" w:rsidRPr="00CA354E">
        <w:t>2</w:t>
      </w:r>
      <w:r w:rsidR="00C12681" w:rsidRPr="00CA354E">
        <w:t>2</w:t>
      </w:r>
      <w:r w:rsidR="00893968" w:rsidRPr="00CA354E">
        <w:t xml:space="preserve">. godini </w:t>
      </w:r>
      <w:r w:rsidR="00C12681" w:rsidRPr="00CA354E">
        <w:t>4,8</w:t>
      </w:r>
      <w:r w:rsidR="00893968" w:rsidRPr="00CA354E">
        <w:t xml:space="preserve"> posto. </w:t>
      </w:r>
    </w:p>
    <w:p w14:paraId="2FA82F33" w14:textId="77777777" w:rsidR="00543445" w:rsidRPr="00CA354E" w:rsidRDefault="00543445" w:rsidP="00C527C6">
      <w:pPr>
        <w:jc w:val="both"/>
      </w:pPr>
    </w:p>
    <w:p w14:paraId="6F2900E5" w14:textId="43B3225D" w:rsidR="007030D8" w:rsidRPr="00CA354E" w:rsidRDefault="0006755D" w:rsidP="00BE487D">
      <w:pPr>
        <w:jc w:val="both"/>
      </w:pPr>
      <w:r w:rsidRPr="00CA354E">
        <w:t>U</w:t>
      </w:r>
      <w:r w:rsidR="007030D8" w:rsidRPr="00CA354E">
        <w:t>nutar</w:t>
      </w:r>
      <w:r w:rsidRPr="00CA354E">
        <w:t xml:space="preserve"> </w:t>
      </w:r>
      <w:r w:rsidR="00D305BF" w:rsidRPr="00CA354E">
        <w:t xml:space="preserve">horizontalnih </w:t>
      </w:r>
      <w:r w:rsidR="007030D8" w:rsidRPr="00CA354E">
        <w:t>ciljeva</w:t>
      </w:r>
      <w:r w:rsidR="00D305BF" w:rsidRPr="00CA354E">
        <w:t xml:space="preserve"> </w:t>
      </w:r>
      <w:r w:rsidR="00A348C1" w:rsidRPr="00CA354E">
        <w:t xml:space="preserve">dodijeljenih </w:t>
      </w:r>
      <w:r w:rsidR="007030D8" w:rsidRPr="00CA354E">
        <w:t xml:space="preserve">u iznosu od </w:t>
      </w:r>
      <w:r w:rsidRPr="00CA354E">
        <w:t>213,</w:t>
      </w:r>
      <w:r w:rsidR="00543445" w:rsidRPr="00CA354E">
        <w:t>5</w:t>
      </w:r>
      <w:r w:rsidRPr="00CA354E">
        <w:t xml:space="preserve"> </w:t>
      </w:r>
      <w:r w:rsidR="007030D8" w:rsidRPr="00CA354E">
        <w:t xml:space="preserve">milijuna </w:t>
      </w:r>
      <w:r w:rsidR="00A348C1" w:rsidRPr="00CA354E">
        <w:t>eura</w:t>
      </w:r>
      <w:r w:rsidRPr="00CA354E">
        <w:t xml:space="preserve"> u 2024. godini</w:t>
      </w:r>
      <w:r w:rsidR="00E75468" w:rsidRPr="00CA354E">
        <w:t xml:space="preserve">, </w:t>
      </w:r>
      <w:r w:rsidR="007030D8" w:rsidRPr="00CA354E">
        <w:t>najviše potpora dodijeljeno je</w:t>
      </w:r>
      <w:r w:rsidR="00E75468" w:rsidRPr="00CA354E">
        <w:t xml:space="preserve"> </w:t>
      </w:r>
      <w:r w:rsidR="004E06CA" w:rsidRPr="00CA354E">
        <w:t xml:space="preserve">za istraživanje i razvoj i inovacije u iznosu od </w:t>
      </w:r>
      <w:r w:rsidRPr="00CA354E">
        <w:t xml:space="preserve">160,4 </w:t>
      </w:r>
      <w:r w:rsidR="004E06CA" w:rsidRPr="00CA354E">
        <w:t xml:space="preserve">milijuna eura ili </w:t>
      </w:r>
      <w:r w:rsidRPr="00CA354E">
        <w:t xml:space="preserve">sa 75,1 posto </w:t>
      </w:r>
      <w:r w:rsidR="004E06CA" w:rsidRPr="00CA354E">
        <w:t>udje</w:t>
      </w:r>
      <w:r w:rsidRPr="00CA354E">
        <w:t>la</w:t>
      </w:r>
      <w:r w:rsidR="004E06CA" w:rsidRPr="00CA354E">
        <w:t xml:space="preserve"> u horizontalnim ciljevima, slijede potpore za </w:t>
      </w:r>
      <w:r w:rsidR="00E75468" w:rsidRPr="00CA354E">
        <w:t xml:space="preserve">zapošljavanje </w:t>
      </w:r>
      <w:r w:rsidRPr="00CA354E">
        <w:t>s</w:t>
      </w:r>
      <w:r w:rsidR="00E75468" w:rsidRPr="00CA354E">
        <w:t xml:space="preserve"> </w:t>
      </w:r>
      <w:r w:rsidRPr="00CA354E">
        <w:t xml:space="preserve">39 </w:t>
      </w:r>
      <w:r w:rsidR="00E75468" w:rsidRPr="00CA354E">
        <w:t xml:space="preserve">milijuna </w:t>
      </w:r>
      <w:r w:rsidR="004E06CA" w:rsidRPr="00CA354E">
        <w:t xml:space="preserve">eura </w:t>
      </w:r>
      <w:r w:rsidR="00E75468" w:rsidRPr="00CA354E">
        <w:t xml:space="preserve">ili </w:t>
      </w:r>
      <w:r w:rsidRPr="00CA354E">
        <w:t>18,3</w:t>
      </w:r>
      <w:r w:rsidR="00E75468" w:rsidRPr="00CA354E">
        <w:t xml:space="preserve"> posto,</w:t>
      </w:r>
      <w:r w:rsidR="004E06CA" w:rsidRPr="00CA354E">
        <w:t xml:space="preserve"> </w:t>
      </w:r>
      <w:r w:rsidRPr="00CA354E">
        <w:t xml:space="preserve">potpore malim i srednjim poduzetnicima s 10,2 milijuna eura ili 4,8 posto, </w:t>
      </w:r>
      <w:r w:rsidR="007D4C11" w:rsidRPr="00CA354E">
        <w:t>potpore za kulturu</w:t>
      </w:r>
      <w:r w:rsidR="004E06CA" w:rsidRPr="00CA354E">
        <w:t xml:space="preserve"> </w:t>
      </w:r>
      <w:r w:rsidRPr="00CA354E">
        <w:t>s</w:t>
      </w:r>
      <w:r w:rsidR="007D4C11" w:rsidRPr="00CA354E">
        <w:t xml:space="preserve"> </w:t>
      </w:r>
      <w:r w:rsidRPr="00CA354E">
        <w:t>3,1</w:t>
      </w:r>
      <w:r w:rsidR="007D4C11" w:rsidRPr="00CA354E">
        <w:t xml:space="preserve"> milijun </w:t>
      </w:r>
      <w:r w:rsidR="004E06CA" w:rsidRPr="00CA354E">
        <w:t xml:space="preserve">eura </w:t>
      </w:r>
      <w:r w:rsidR="007D4C11" w:rsidRPr="00CA354E">
        <w:t xml:space="preserve">ili </w:t>
      </w:r>
      <w:r w:rsidRPr="00CA354E">
        <w:t>1,</w:t>
      </w:r>
      <w:r w:rsidR="00543445" w:rsidRPr="00CA354E">
        <w:t>4</w:t>
      </w:r>
      <w:r w:rsidR="007D4C11" w:rsidRPr="00CA354E">
        <w:t xml:space="preserve"> posto</w:t>
      </w:r>
      <w:r w:rsidRPr="00CA354E">
        <w:t xml:space="preserve"> te </w:t>
      </w:r>
      <w:r w:rsidR="004E06CA" w:rsidRPr="00CA354E">
        <w:t xml:space="preserve">potpore za </w:t>
      </w:r>
      <w:r w:rsidR="007D4C11" w:rsidRPr="00CA354E">
        <w:t xml:space="preserve">usavršavanje </w:t>
      </w:r>
      <w:r w:rsidR="004E06CA" w:rsidRPr="00CA354E">
        <w:t xml:space="preserve">dodijeljene </w:t>
      </w:r>
      <w:r w:rsidR="007D4C11" w:rsidRPr="00CA354E">
        <w:t xml:space="preserve">u iznosu od </w:t>
      </w:r>
      <w:r w:rsidRPr="00CA354E">
        <w:t xml:space="preserve">750.105,91 </w:t>
      </w:r>
      <w:r w:rsidR="004E06CA" w:rsidRPr="00CA354E">
        <w:t>eur</w:t>
      </w:r>
      <w:r w:rsidRPr="00CA354E">
        <w:t>o</w:t>
      </w:r>
      <w:r w:rsidR="004E06CA" w:rsidRPr="00CA354E">
        <w:t xml:space="preserve"> </w:t>
      </w:r>
      <w:r w:rsidR="007D4C11" w:rsidRPr="00CA354E">
        <w:t xml:space="preserve">ili </w:t>
      </w:r>
      <w:r w:rsidR="004E06CA" w:rsidRPr="00CA354E">
        <w:t>0,</w:t>
      </w:r>
      <w:r w:rsidR="00543445" w:rsidRPr="00CA354E">
        <w:t>4</w:t>
      </w:r>
      <w:r w:rsidR="007D4C11" w:rsidRPr="00CA354E">
        <w:t xml:space="preserve"> posto</w:t>
      </w:r>
      <w:r w:rsidR="004E06CA" w:rsidRPr="00CA354E">
        <w:t>.</w:t>
      </w:r>
    </w:p>
    <w:p w14:paraId="2139EEA4" w14:textId="77777777" w:rsidR="002B782A" w:rsidRPr="00CA354E" w:rsidRDefault="002B782A" w:rsidP="0006755D"/>
    <w:p w14:paraId="00CA955F" w14:textId="36F9FF06" w:rsidR="00D305BF" w:rsidRPr="00CA354E" w:rsidRDefault="00D305BF" w:rsidP="00BE487D">
      <w:pPr>
        <w:contextualSpacing/>
        <w:jc w:val="both"/>
        <w:rPr>
          <w:spacing w:val="-4"/>
        </w:rPr>
      </w:pPr>
      <w:r w:rsidRPr="00CA354E">
        <w:rPr>
          <w:spacing w:val="-4"/>
        </w:rPr>
        <w:t xml:space="preserve">Slika </w:t>
      </w:r>
      <w:r w:rsidR="00870E9F" w:rsidRPr="00CA354E">
        <w:rPr>
          <w:spacing w:val="-4"/>
        </w:rPr>
        <w:t>5</w:t>
      </w:r>
      <w:r w:rsidRPr="00CA354E">
        <w:rPr>
          <w:spacing w:val="-4"/>
        </w:rPr>
        <w:t xml:space="preserve">. Struktura horizontalnih potpora </w:t>
      </w:r>
      <w:r w:rsidR="006749ED" w:rsidRPr="00CA354E">
        <w:rPr>
          <w:spacing w:val="-4"/>
        </w:rPr>
        <w:t xml:space="preserve">u „užem smislu“ </w:t>
      </w:r>
      <w:r w:rsidR="004E06CA" w:rsidRPr="00CA354E">
        <w:rPr>
          <w:spacing w:val="-4"/>
        </w:rPr>
        <w:t>u</w:t>
      </w:r>
      <w:r w:rsidRPr="00CA354E">
        <w:rPr>
          <w:spacing w:val="-4"/>
        </w:rPr>
        <w:t xml:space="preserve"> razdoblj</w:t>
      </w:r>
      <w:r w:rsidR="004E06CA" w:rsidRPr="00CA354E">
        <w:rPr>
          <w:spacing w:val="-4"/>
        </w:rPr>
        <w:t>u</w:t>
      </w:r>
      <w:r w:rsidRPr="00CA354E">
        <w:rPr>
          <w:spacing w:val="-4"/>
        </w:rPr>
        <w:t xml:space="preserve"> od 20</w:t>
      </w:r>
      <w:r w:rsidR="00DB1ECE" w:rsidRPr="00CA354E">
        <w:rPr>
          <w:spacing w:val="-4"/>
        </w:rPr>
        <w:t>2</w:t>
      </w:r>
      <w:r w:rsidR="00D328C6" w:rsidRPr="00CA354E">
        <w:rPr>
          <w:spacing w:val="-4"/>
        </w:rPr>
        <w:t>2</w:t>
      </w:r>
      <w:r w:rsidRPr="00CA354E">
        <w:rPr>
          <w:spacing w:val="-4"/>
        </w:rPr>
        <w:t>. do 202</w:t>
      </w:r>
      <w:r w:rsidR="00D328C6" w:rsidRPr="00CA354E">
        <w:rPr>
          <w:spacing w:val="-4"/>
        </w:rPr>
        <w:t>4</w:t>
      </w:r>
      <w:r w:rsidRPr="00CA354E">
        <w:rPr>
          <w:spacing w:val="-4"/>
        </w:rPr>
        <w:t>. godine (%)</w:t>
      </w:r>
    </w:p>
    <w:p w14:paraId="76D1146E" w14:textId="77777777" w:rsidR="00DA57BD" w:rsidRPr="00CA354E" w:rsidRDefault="00DA57BD" w:rsidP="00BE487D">
      <w:pPr>
        <w:jc w:val="both"/>
        <w:rPr>
          <w:sz w:val="16"/>
        </w:rPr>
      </w:pPr>
    </w:p>
    <w:p w14:paraId="094ED6CA" w14:textId="100E2D82" w:rsidR="0086270D" w:rsidRPr="00CA354E" w:rsidRDefault="0086270D" w:rsidP="00B45C77">
      <w:pPr>
        <w:jc w:val="center"/>
      </w:pPr>
      <w:r w:rsidRPr="00CA354E">
        <w:rPr>
          <w:noProof/>
          <w:sz w:val="20"/>
          <w:szCs w:val="20"/>
          <w:lang w:eastAsia="hr-HR"/>
        </w:rPr>
        <w:drawing>
          <wp:inline distT="0" distB="0" distL="0" distR="0" wp14:anchorId="0AF49BC9" wp14:editId="4252189D">
            <wp:extent cx="4424082" cy="1721224"/>
            <wp:effectExtent l="0" t="0" r="14605" b="12700"/>
            <wp:docPr id="22" name="Grafikon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DAE01B" w14:textId="77777777" w:rsidR="00D328C6" w:rsidRPr="00CA354E" w:rsidRDefault="00D328C6" w:rsidP="00D328C6">
      <w:pPr>
        <w:contextualSpacing/>
        <w:jc w:val="center"/>
        <w:rPr>
          <w:i/>
          <w:sz w:val="20"/>
        </w:rPr>
      </w:pPr>
      <w:r w:rsidRPr="00CA354E">
        <w:rPr>
          <w:i/>
          <w:sz w:val="20"/>
        </w:rPr>
        <w:t>Izvor: Ministarstvo financija i davatelji potpora; podaci obrađeni u Ministarstvu financija</w:t>
      </w:r>
    </w:p>
    <w:p w14:paraId="2111E89D" w14:textId="77777777" w:rsidR="0086270D" w:rsidRPr="00CA354E" w:rsidRDefault="0086270D" w:rsidP="009B3BCB">
      <w:pPr>
        <w:jc w:val="both"/>
      </w:pPr>
    </w:p>
    <w:p w14:paraId="1C3B5E63" w14:textId="151137C0" w:rsidR="00D60437" w:rsidRPr="00CA354E" w:rsidRDefault="0006755D" w:rsidP="00BE487D">
      <w:pPr>
        <w:jc w:val="both"/>
        <w:rPr>
          <w:spacing w:val="-4"/>
        </w:rPr>
      </w:pPr>
      <w:r w:rsidRPr="00CA354E">
        <w:rPr>
          <w:spacing w:val="-4"/>
        </w:rPr>
        <w:t>Instrumenti putem kojih su dodijeljene horizontalne potpore u „užem smislu“ u 2024. godini u iznosu od 213,</w:t>
      </w:r>
      <w:r w:rsidR="00543445" w:rsidRPr="00CA354E">
        <w:rPr>
          <w:spacing w:val="-4"/>
        </w:rPr>
        <w:t>5</w:t>
      </w:r>
      <w:r w:rsidRPr="00CA354E">
        <w:rPr>
          <w:spacing w:val="-4"/>
        </w:rPr>
        <w:t xml:space="preserve"> milijuna eura, najvećim dijelom se odnose na potpore dodijeljene putem subvencija </w:t>
      </w:r>
      <w:r w:rsidR="00D305BF" w:rsidRPr="00CA354E">
        <w:rPr>
          <w:spacing w:val="-4"/>
        </w:rPr>
        <w:t xml:space="preserve">i neposrednih subvencija kamata u iznosu od </w:t>
      </w:r>
      <w:r w:rsidR="009B3BCB" w:rsidRPr="00CA354E">
        <w:rPr>
          <w:spacing w:val="-4"/>
        </w:rPr>
        <w:t>21</w:t>
      </w:r>
      <w:r w:rsidR="00543445" w:rsidRPr="00CA354E">
        <w:rPr>
          <w:spacing w:val="-4"/>
        </w:rPr>
        <w:t>2,9</w:t>
      </w:r>
      <w:r w:rsidR="00015717" w:rsidRPr="00CA354E">
        <w:rPr>
          <w:spacing w:val="-4"/>
        </w:rPr>
        <w:t xml:space="preserve"> </w:t>
      </w:r>
      <w:r w:rsidR="00D305BF" w:rsidRPr="00CA354E">
        <w:rPr>
          <w:spacing w:val="-4"/>
        </w:rPr>
        <w:t>milijun</w:t>
      </w:r>
      <w:r w:rsidR="00015717" w:rsidRPr="00CA354E">
        <w:rPr>
          <w:spacing w:val="-4"/>
        </w:rPr>
        <w:t>a</w:t>
      </w:r>
      <w:r w:rsidR="00D305BF" w:rsidRPr="00CA354E">
        <w:rPr>
          <w:spacing w:val="-4"/>
        </w:rPr>
        <w:t xml:space="preserve"> </w:t>
      </w:r>
      <w:r w:rsidR="00015717" w:rsidRPr="00CA354E">
        <w:rPr>
          <w:spacing w:val="-4"/>
        </w:rPr>
        <w:t xml:space="preserve">eura </w:t>
      </w:r>
      <w:r w:rsidR="00D305BF" w:rsidRPr="00CA354E">
        <w:rPr>
          <w:spacing w:val="-4"/>
        </w:rPr>
        <w:t xml:space="preserve">ili s </w:t>
      </w:r>
      <w:r w:rsidR="009B3BCB" w:rsidRPr="00CA354E">
        <w:rPr>
          <w:spacing w:val="-4"/>
        </w:rPr>
        <w:t xml:space="preserve">99,7 posto </w:t>
      </w:r>
      <w:r w:rsidR="00D305BF" w:rsidRPr="00CA354E">
        <w:rPr>
          <w:spacing w:val="-4"/>
        </w:rPr>
        <w:t>udjel</w:t>
      </w:r>
      <w:r w:rsidR="009B3BCB" w:rsidRPr="00CA354E">
        <w:rPr>
          <w:spacing w:val="-4"/>
        </w:rPr>
        <w:t>a</w:t>
      </w:r>
      <w:r w:rsidR="00D305BF" w:rsidRPr="00CA354E">
        <w:rPr>
          <w:spacing w:val="-4"/>
        </w:rPr>
        <w:t xml:space="preserve"> </w:t>
      </w:r>
      <w:r w:rsidR="00D60437" w:rsidRPr="00CA354E">
        <w:rPr>
          <w:spacing w:val="-4"/>
        </w:rPr>
        <w:t>u horizontalnim ciljevima</w:t>
      </w:r>
      <w:r w:rsidR="009B3BCB" w:rsidRPr="00CA354E">
        <w:rPr>
          <w:spacing w:val="-4"/>
        </w:rPr>
        <w:t xml:space="preserve"> dok je putem </w:t>
      </w:r>
      <w:r w:rsidR="00AE6847" w:rsidRPr="00CA354E">
        <w:rPr>
          <w:spacing w:val="-4"/>
        </w:rPr>
        <w:t>povoljni</w:t>
      </w:r>
      <w:r w:rsidR="009B3BCB" w:rsidRPr="00CA354E">
        <w:rPr>
          <w:spacing w:val="-4"/>
        </w:rPr>
        <w:t>h</w:t>
      </w:r>
      <w:r w:rsidR="00AE6847" w:rsidRPr="00CA354E">
        <w:rPr>
          <w:spacing w:val="-4"/>
        </w:rPr>
        <w:t xml:space="preserve"> zajmov</w:t>
      </w:r>
      <w:r w:rsidR="009B3BCB" w:rsidRPr="00CA354E">
        <w:rPr>
          <w:spacing w:val="-4"/>
        </w:rPr>
        <w:t xml:space="preserve">a dodijeljeno 556.518,12 eura ili </w:t>
      </w:r>
      <w:r w:rsidR="00AE6847" w:rsidRPr="00CA354E">
        <w:rPr>
          <w:spacing w:val="-4"/>
        </w:rPr>
        <w:t>0,</w:t>
      </w:r>
      <w:r w:rsidR="009B3BCB" w:rsidRPr="00CA354E">
        <w:rPr>
          <w:spacing w:val="-4"/>
        </w:rPr>
        <w:t>3</w:t>
      </w:r>
      <w:r w:rsidR="00AE6847" w:rsidRPr="00CA354E">
        <w:rPr>
          <w:spacing w:val="-4"/>
        </w:rPr>
        <w:t xml:space="preserve"> posto</w:t>
      </w:r>
      <w:r w:rsidR="00B5221A" w:rsidRPr="00CA354E">
        <w:rPr>
          <w:spacing w:val="-4"/>
        </w:rPr>
        <w:t>.</w:t>
      </w:r>
    </w:p>
    <w:p w14:paraId="02E523C9" w14:textId="77777777" w:rsidR="009D6477" w:rsidRPr="00CA354E" w:rsidRDefault="009D6477" w:rsidP="00BE487D">
      <w:pPr>
        <w:jc w:val="both"/>
      </w:pPr>
    </w:p>
    <w:p w14:paraId="2DFB36C1" w14:textId="25969584" w:rsidR="00D305BF" w:rsidRPr="00CA354E" w:rsidRDefault="00D305BF" w:rsidP="00BE487D">
      <w:pPr>
        <w:contextualSpacing/>
        <w:jc w:val="both"/>
      </w:pPr>
      <w:r w:rsidRPr="00CA354E">
        <w:t xml:space="preserve">Slika </w:t>
      </w:r>
      <w:r w:rsidR="00870E9F" w:rsidRPr="00CA354E">
        <w:t>6</w:t>
      </w:r>
      <w:r w:rsidRPr="00CA354E">
        <w:t xml:space="preserve">. </w:t>
      </w:r>
      <w:r w:rsidR="00B97518" w:rsidRPr="00CA354E">
        <w:t xml:space="preserve">Horizontalne potpore u </w:t>
      </w:r>
      <w:r w:rsidR="003C155E" w:rsidRPr="00CA354E">
        <w:t>„</w:t>
      </w:r>
      <w:r w:rsidR="00B97518" w:rsidRPr="00CA354E">
        <w:t>užem smislu</w:t>
      </w:r>
      <w:r w:rsidR="003C155E" w:rsidRPr="00CA354E">
        <w:t>“</w:t>
      </w:r>
      <w:r w:rsidRPr="00CA354E">
        <w:t xml:space="preserve"> prema instrumentima dodjele</w:t>
      </w:r>
      <w:r w:rsidRPr="00CA354E">
        <w:rPr>
          <w:rStyle w:val="FootnoteReference"/>
        </w:rPr>
        <w:footnoteReference w:id="24"/>
      </w:r>
      <w:r w:rsidRPr="00CA354E">
        <w:t xml:space="preserve"> </w:t>
      </w:r>
      <w:r w:rsidR="00C04D37" w:rsidRPr="00CA354E">
        <w:t>u</w:t>
      </w:r>
      <w:r w:rsidRPr="00CA354E">
        <w:t xml:space="preserve"> razdoblj</w:t>
      </w:r>
      <w:r w:rsidR="00C04D37" w:rsidRPr="00CA354E">
        <w:t>u</w:t>
      </w:r>
      <w:r w:rsidRPr="00CA354E">
        <w:t xml:space="preserve"> od 20</w:t>
      </w:r>
      <w:r w:rsidR="004F0F48" w:rsidRPr="00CA354E">
        <w:t>2</w:t>
      </w:r>
      <w:r w:rsidR="00B45C77" w:rsidRPr="00CA354E">
        <w:t>2</w:t>
      </w:r>
      <w:r w:rsidRPr="00CA354E">
        <w:t>. do 202</w:t>
      </w:r>
      <w:r w:rsidR="00B45C77" w:rsidRPr="00CA354E">
        <w:t>4</w:t>
      </w:r>
      <w:r w:rsidRPr="00CA354E">
        <w:t>. godine (%)</w:t>
      </w:r>
    </w:p>
    <w:p w14:paraId="1970611C" w14:textId="77777777" w:rsidR="00DB1ECE" w:rsidRPr="00CA354E" w:rsidRDefault="00DB1ECE" w:rsidP="00BE487D">
      <w:pPr>
        <w:contextualSpacing/>
        <w:jc w:val="both"/>
        <w:rPr>
          <w:b/>
          <w:sz w:val="20"/>
        </w:rPr>
      </w:pPr>
    </w:p>
    <w:p w14:paraId="38EA7C5F" w14:textId="4A116282" w:rsidR="00227AAB" w:rsidRPr="00CA354E" w:rsidRDefault="00227AAB" w:rsidP="00227AAB">
      <w:pPr>
        <w:contextualSpacing/>
        <w:jc w:val="center"/>
        <w:rPr>
          <w:b/>
        </w:rPr>
      </w:pPr>
      <w:r w:rsidRPr="00CA354E">
        <w:rPr>
          <w:noProof/>
          <w:lang w:eastAsia="hr-HR"/>
        </w:rPr>
        <w:drawing>
          <wp:inline distT="0" distB="0" distL="0" distR="0" wp14:anchorId="17FCF19E" wp14:editId="2D4D9F75">
            <wp:extent cx="4948238" cy="1633537"/>
            <wp:effectExtent l="0" t="0" r="43180" b="4318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4D8E50" w14:textId="77777777" w:rsidR="00227AAB" w:rsidRPr="00CA354E" w:rsidRDefault="00227AAB" w:rsidP="00227AAB">
      <w:pPr>
        <w:contextualSpacing/>
        <w:jc w:val="center"/>
        <w:rPr>
          <w:i/>
          <w:sz w:val="20"/>
        </w:rPr>
      </w:pPr>
      <w:r w:rsidRPr="00CA354E">
        <w:rPr>
          <w:i/>
          <w:sz w:val="20"/>
        </w:rPr>
        <w:t>Izvor: Ministarstvo financija i davatelji potpora; podaci obrađeni u Ministarstvu financija</w:t>
      </w:r>
    </w:p>
    <w:p w14:paraId="5B91391D" w14:textId="77777777" w:rsidR="00227AAB" w:rsidRPr="00CA354E" w:rsidRDefault="00227AAB" w:rsidP="00BE487D">
      <w:pPr>
        <w:contextualSpacing/>
        <w:jc w:val="both"/>
        <w:rPr>
          <w:b/>
        </w:rPr>
      </w:pPr>
    </w:p>
    <w:p w14:paraId="79ED1CE0" w14:textId="2C0DD540" w:rsidR="00AE6847" w:rsidRPr="00CA354E" w:rsidRDefault="00AE6847" w:rsidP="00BE487D">
      <w:pPr>
        <w:contextualSpacing/>
        <w:jc w:val="both"/>
      </w:pPr>
      <w:r w:rsidRPr="00CA354E">
        <w:t>Sli</w:t>
      </w:r>
      <w:r w:rsidR="009B3BCB" w:rsidRPr="00CA354E">
        <w:t>ka</w:t>
      </w:r>
      <w:r w:rsidRPr="00CA354E">
        <w:t xml:space="preserve"> </w:t>
      </w:r>
      <w:r w:rsidR="009B3BCB" w:rsidRPr="00CA354E">
        <w:t>6</w:t>
      </w:r>
      <w:r w:rsidRPr="00CA354E">
        <w:t>. prikaz</w:t>
      </w:r>
      <w:r w:rsidR="009B3BCB" w:rsidRPr="00CA354E">
        <w:t>uje</w:t>
      </w:r>
      <w:r w:rsidRPr="00CA354E">
        <w:t xml:space="preserve"> udio horizontalnih potpora u „užem smislu“ prema instrumentima dodjele </w:t>
      </w:r>
      <w:r w:rsidR="00F80C16" w:rsidRPr="00CA354E">
        <w:t>u</w:t>
      </w:r>
      <w:r w:rsidRPr="00CA354E">
        <w:t xml:space="preserve"> razdoblj</w:t>
      </w:r>
      <w:r w:rsidR="00F80C16" w:rsidRPr="00CA354E">
        <w:t>u</w:t>
      </w:r>
      <w:r w:rsidRPr="00CA354E">
        <w:t xml:space="preserve"> od 20</w:t>
      </w:r>
      <w:r w:rsidR="00E73D74" w:rsidRPr="00CA354E">
        <w:t>2</w:t>
      </w:r>
      <w:r w:rsidR="009B3BCB" w:rsidRPr="00CA354E">
        <w:t>2</w:t>
      </w:r>
      <w:r w:rsidRPr="00CA354E">
        <w:t>. do 202</w:t>
      </w:r>
      <w:r w:rsidR="009B3BCB" w:rsidRPr="00CA354E">
        <w:t>3</w:t>
      </w:r>
      <w:r w:rsidRPr="00CA354E">
        <w:t xml:space="preserve"> godine</w:t>
      </w:r>
      <w:r w:rsidR="00F80C16" w:rsidRPr="00CA354E">
        <w:t xml:space="preserve"> u postocima.</w:t>
      </w:r>
    </w:p>
    <w:p w14:paraId="1879BF87" w14:textId="77777777" w:rsidR="00AE6847" w:rsidRPr="00CA354E" w:rsidRDefault="00AE6847" w:rsidP="00BE487D">
      <w:pPr>
        <w:contextualSpacing/>
        <w:jc w:val="both"/>
        <w:rPr>
          <w:b/>
        </w:rPr>
      </w:pPr>
    </w:p>
    <w:p w14:paraId="11B56527" w14:textId="77777777" w:rsidR="00BB1765" w:rsidRPr="00CA354E" w:rsidRDefault="00BB1765" w:rsidP="00BE487D">
      <w:pPr>
        <w:contextualSpacing/>
        <w:jc w:val="both"/>
        <w:rPr>
          <w:b/>
        </w:rPr>
      </w:pPr>
    </w:p>
    <w:p w14:paraId="76F64B1A" w14:textId="6A0A4B83" w:rsidR="00E73D74" w:rsidRPr="00CA354E" w:rsidRDefault="00E73D74">
      <w:pPr>
        <w:rPr>
          <w:b/>
        </w:rPr>
      </w:pPr>
    </w:p>
    <w:p w14:paraId="61AC1EA7" w14:textId="203D6655" w:rsidR="00BE0817" w:rsidRPr="00CA354E" w:rsidRDefault="002358AF" w:rsidP="00BE487D">
      <w:pPr>
        <w:pStyle w:val="Heading3"/>
        <w:numPr>
          <w:ilvl w:val="2"/>
          <w:numId w:val="1"/>
        </w:numPr>
        <w:spacing w:before="0"/>
        <w:jc w:val="both"/>
        <w:rPr>
          <w:rFonts w:ascii="Times New Roman" w:hAnsi="Times New Roman" w:cs="Times New Roman"/>
          <w:b/>
          <w:i/>
          <w:color w:val="auto"/>
          <w:lang w:eastAsia="hr-HR"/>
        </w:rPr>
      </w:pPr>
      <w:bookmarkStart w:id="14" w:name="_Toc213660035"/>
      <w:r w:rsidRPr="00CA354E">
        <w:rPr>
          <w:rFonts w:ascii="Times New Roman" w:hAnsi="Times New Roman" w:cs="Times New Roman"/>
          <w:b/>
          <w:i/>
          <w:color w:val="auto"/>
          <w:lang w:eastAsia="hr-HR"/>
        </w:rPr>
        <w:t>Potpore za istraživanje i razvoj i inovacije</w:t>
      </w:r>
      <w:bookmarkEnd w:id="14"/>
    </w:p>
    <w:p w14:paraId="2320D066" w14:textId="77777777" w:rsidR="00E668F9" w:rsidRPr="00CA354E" w:rsidRDefault="00E668F9" w:rsidP="00BE487D">
      <w:pPr>
        <w:jc w:val="both"/>
        <w:rPr>
          <w:lang w:eastAsia="hr-HR"/>
        </w:rPr>
      </w:pPr>
    </w:p>
    <w:p w14:paraId="3CE7A9D4" w14:textId="77777777" w:rsidR="00E668F9" w:rsidRPr="00CA354E" w:rsidRDefault="00E668F9" w:rsidP="00BE487D">
      <w:pPr>
        <w:jc w:val="both"/>
        <w:rPr>
          <w:lang w:eastAsia="hr-HR"/>
        </w:rPr>
      </w:pPr>
    </w:p>
    <w:p w14:paraId="1E6AFC84" w14:textId="4994C073" w:rsidR="00BD1011" w:rsidRPr="00CA0804" w:rsidRDefault="00BD1011" w:rsidP="00BE487D">
      <w:pPr>
        <w:jc w:val="both"/>
      </w:pPr>
      <w:r w:rsidRPr="00CA0804">
        <w:t>Potpore za istraživanje i razvoj i inovacije</w:t>
      </w:r>
      <w:r w:rsidRPr="00CA0804">
        <w:rPr>
          <w:rStyle w:val="FootnoteReference"/>
        </w:rPr>
        <w:footnoteReference w:id="25"/>
      </w:r>
      <w:r w:rsidRPr="00CA0804">
        <w:t xml:space="preserve"> </w:t>
      </w:r>
      <w:r w:rsidR="00BD4EEB" w:rsidRPr="00CA0804">
        <w:t>dodijeljene</w:t>
      </w:r>
      <w:r w:rsidR="001F6B2A" w:rsidRPr="00CA0804">
        <w:t xml:space="preserve"> su</w:t>
      </w:r>
      <w:r w:rsidR="00BD4EEB" w:rsidRPr="00CA0804">
        <w:t xml:space="preserve"> </w:t>
      </w:r>
      <w:r w:rsidR="00AE2EB5" w:rsidRPr="00CA0804">
        <w:t>u 202</w:t>
      </w:r>
      <w:r w:rsidR="001F6B2A" w:rsidRPr="00CA0804">
        <w:t>4</w:t>
      </w:r>
      <w:r w:rsidR="00AE2EB5" w:rsidRPr="00CA0804">
        <w:t xml:space="preserve">. godini </w:t>
      </w:r>
      <w:r w:rsidRPr="00CA0804">
        <w:t xml:space="preserve">u iznosu od </w:t>
      </w:r>
      <w:r w:rsidR="001F6B2A" w:rsidRPr="00CA0804">
        <w:t xml:space="preserve">160,4 </w:t>
      </w:r>
      <w:r w:rsidRPr="00CA0804">
        <w:t xml:space="preserve">milijuna </w:t>
      </w:r>
      <w:r w:rsidR="00BD4EEB" w:rsidRPr="00CA0804">
        <w:t>eura</w:t>
      </w:r>
      <w:r w:rsidRPr="00CA0804">
        <w:t xml:space="preserve">, što </w:t>
      </w:r>
      <w:r w:rsidR="003C1135" w:rsidRPr="00CA0804">
        <w:t>je</w:t>
      </w:r>
      <w:r w:rsidR="0023321A" w:rsidRPr="00CA0804">
        <w:t xml:space="preserve"> </w:t>
      </w:r>
      <w:r w:rsidR="001F6B2A" w:rsidRPr="00CA0804">
        <w:t>smanjenje</w:t>
      </w:r>
      <w:r w:rsidR="0023321A" w:rsidRPr="00CA0804">
        <w:t xml:space="preserve"> </w:t>
      </w:r>
      <w:r w:rsidRPr="00CA0804">
        <w:t xml:space="preserve">za </w:t>
      </w:r>
      <w:r w:rsidR="001F6B2A" w:rsidRPr="00CA0804">
        <w:t>33,6</w:t>
      </w:r>
      <w:r w:rsidR="003C1135" w:rsidRPr="00CA0804">
        <w:t xml:space="preserve"> </w:t>
      </w:r>
      <w:r w:rsidRPr="00CA0804">
        <w:t xml:space="preserve">milijuna </w:t>
      </w:r>
      <w:r w:rsidR="00BD4EEB" w:rsidRPr="00CA0804">
        <w:t xml:space="preserve">eura </w:t>
      </w:r>
      <w:r w:rsidRPr="00CA0804">
        <w:t xml:space="preserve">ili </w:t>
      </w:r>
      <w:r w:rsidR="001F6B2A" w:rsidRPr="00CA0804">
        <w:t>17,3</w:t>
      </w:r>
      <w:r w:rsidR="003C1135" w:rsidRPr="00CA0804">
        <w:t xml:space="preserve"> </w:t>
      </w:r>
      <w:r w:rsidRPr="00CA0804">
        <w:t>posto u odnosu na 20</w:t>
      </w:r>
      <w:r w:rsidR="0023321A" w:rsidRPr="00CA0804">
        <w:t>2</w:t>
      </w:r>
      <w:r w:rsidR="001F6B2A" w:rsidRPr="00CA0804">
        <w:t>3</w:t>
      </w:r>
      <w:r w:rsidRPr="00CA0804">
        <w:t xml:space="preserve">. godinu, kada su </w:t>
      </w:r>
      <w:r w:rsidR="003C1135" w:rsidRPr="00CA0804">
        <w:t>navedene</w:t>
      </w:r>
      <w:r w:rsidR="0023321A" w:rsidRPr="00CA0804">
        <w:t xml:space="preserve"> </w:t>
      </w:r>
      <w:r w:rsidRPr="00CA0804">
        <w:t xml:space="preserve">potpore iznosile </w:t>
      </w:r>
      <w:r w:rsidR="001F6B2A" w:rsidRPr="00CA0804">
        <w:t xml:space="preserve">194 </w:t>
      </w:r>
      <w:r w:rsidRPr="00CA0804">
        <w:t>milijun</w:t>
      </w:r>
      <w:r w:rsidR="003C1135" w:rsidRPr="00CA0804">
        <w:t>a</w:t>
      </w:r>
      <w:r w:rsidRPr="00CA0804">
        <w:t xml:space="preserve"> </w:t>
      </w:r>
      <w:r w:rsidR="00BD4EEB" w:rsidRPr="00CA0804">
        <w:t>eura</w:t>
      </w:r>
      <w:r w:rsidRPr="00CA0804">
        <w:t xml:space="preserve">, </w:t>
      </w:r>
      <w:r w:rsidR="0023321A" w:rsidRPr="00CA0804">
        <w:t>te</w:t>
      </w:r>
      <w:r w:rsidR="008A7D87" w:rsidRPr="00CA0804">
        <w:t xml:space="preserve"> </w:t>
      </w:r>
      <w:r w:rsidR="000A5FF3" w:rsidRPr="00CA0804">
        <w:t xml:space="preserve">predstavlja </w:t>
      </w:r>
      <w:r w:rsidR="00BD4EEB" w:rsidRPr="00CA0804">
        <w:t xml:space="preserve">povećanje </w:t>
      </w:r>
      <w:r w:rsidRPr="00CA0804">
        <w:t xml:space="preserve">za </w:t>
      </w:r>
      <w:r w:rsidR="001F6B2A" w:rsidRPr="00CA0804">
        <w:t xml:space="preserve">125,4 </w:t>
      </w:r>
      <w:r w:rsidRPr="00CA0804">
        <w:t>milijun</w:t>
      </w:r>
      <w:r w:rsidR="00BD4EEB" w:rsidRPr="00CA0804">
        <w:t>a</w:t>
      </w:r>
      <w:r w:rsidRPr="00CA0804">
        <w:t xml:space="preserve"> </w:t>
      </w:r>
      <w:r w:rsidR="00BD4EEB" w:rsidRPr="00CA0804">
        <w:t xml:space="preserve">eura </w:t>
      </w:r>
      <w:r w:rsidRPr="00CA0804">
        <w:t xml:space="preserve">ili </w:t>
      </w:r>
      <w:r w:rsidR="001F6B2A" w:rsidRPr="00CA0804">
        <w:t xml:space="preserve">358,3 </w:t>
      </w:r>
      <w:r w:rsidRPr="00CA0804">
        <w:t>posto u odnosu na 20</w:t>
      </w:r>
      <w:r w:rsidR="003C1135" w:rsidRPr="00CA0804">
        <w:t>2</w:t>
      </w:r>
      <w:r w:rsidR="001F6B2A" w:rsidRPr="00CA0804">
        <w:t>2</w:t>
      </w:r>
      <w:r w:rsidRPr="00CA0804">
        <w:t xml:space="preserve">. godinu kada su </w:t>
      </w:r>
      <w:r w:rsidR="001F6B2A" w:rsidRPr="00CA0804">
        <w:t>iste</w:t>
      </w:r>
      <w:r w:rsidR="00BD4EEB" w:rsidRPr="00CA0804">
        <w:t xml:space="preserve"> </w:t>
      </w:r>
      <w:r w:rsidRPr="00CA0804">
        <w:t xml:space="preserve">iznosile </w:t>
      </w:r>
      <w:r w:rsidR="001F6B2A" w:rsidRPr="00CA0804">
        <w:t>35</w:t>
      </w:r>
      <w:r w:rsidR="00BD4EEB" w:rsidRPr="00CA0804">
        <w:t xml:space="preserve"> </w:t>
      </w:r>
      <w:r w:rsidRPr="00CA0804">
        <w:t>milijun</w:t>
      </w:r>
      <w:r w:rsidR="00BD4EEB" w:rsidRPr="00CA0804">
        <w:t>a</w:t>
      </w:r>
      <w:r w:rsidRPr="00CA0804">
        <w:t xml:space="preserve"> </w:t>
      </w:r>
      <w:r w:rsidR="00BD4EEB" w:rsidRPr="00CA0804">
        <w:t>eura</w:t>
      </w:r>
      <w:r w:rsidRPr="00CA0804">
        <w:t xml:space="preserve">. </w:t>
      </w:r>
    </w:p>
    <w:p w14:paraId="29645B6F" w14:textId="77777777" w:rsidR="00543445" w:rsidRPr="00CA0804" w:rsidRDefault="00543445" w:rsidP="001F6B2A"/>
    <w:p w14:paraId="2A23B98A" w14:textId="331A8340" w:rsidR="00BD1011" w:rsidRPr="00CA0804" w:rsidRDefault="00BD1011" w:rsidP="00BE487D">
      <w:pPr>
        <w:jc w:val="both"/>
      </w:pPr>
      <w:r w:rsidRPr="00CA0804">
        <w:t xml:space="preserve">Tablica </w:t>
      </w:r>
      <w:r w:rsidR="00870E9F" w:rsidRPr="00CA0804">
        <w:t>10</w:t>
      </w:r>
      <w:r w:rsidRPr="00CA0804">
        <w:t xml:space="preserve">. Potpore za istraživanje i razvoj i inovacije </w:t>
      </w:r>
      <w:r w:rsidR="000A1E58" w:rsidRPr="00CA0804">
        <w:t xml:space="preserve">dodijeljene </w:t>
      </w:r>
      <w:r w:rsidR="0021338C" w:rsidRPr="00CA0804">
        <w:t>u</w:t>
      </w:r>
      <w:r w:rsidRPr="00CA0804">
        <w:t xml:space="preserve"> razdoblj</w:t>
      </w:r>
      <w:r w:rsidR="0021338C" w:rsidRPr="00CA0804">
        <w:t>u</w:t>
      </w:r>
      <w:r w:rsidRPr="00CA0804">
        <w:t xml:space="preserve"> od 20</w:t>
      </w:r>
      <w:r w:rsidR="004C3637" w:rsidRPr="00CA0804">
        <w:t>2</w:t>
      </w:r>
      <w:r w:rsidR="00E3336C" w:rsidRPr="00CA0804">
        <w:t>2</w:t>
      </w:r>
      <w:r w:rsidRPr="00CA0804">
        <w:t>. do 202</w:t>
      </w:r>
      <w:r w:rsidR="00E3336C" w:rsidRPr="00CA0804">
        <w:t>4</w:t>
      </w:r>
      <w:r w:rsidRPr="00CA0804">
        <w:t>. godine</w:t>
      </w:r>
    </w:p>
    <w:p w14:paraId="3791B302" w14:textId="77777777" w:rsidR="00BD1011" w:rsidRPr="00CA0804" w:rsidRDefault="00BD1011"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21338C" w:rsidRPr="00CA0804" w14:paraId="632C011E" w14:textId="1A4467FE" w:rsidTr="0021338C">
        <w:trPr>
          <w:trHeight w:val="38"/>
        </w:trPr>
        <w:tc>
          <w:tcPr>
            <w:tcW w:w="3376" w:type="dxa"/>
            <w:vMerge w:val="restart"/>
            <w:shd w:val="clear" w:color="000000" w:fill="FFFF99"/>
            <w:noWrap/>
            <w:vAlign w:val="center"/>
            <w:hideMark/>
          </w:tcPr>
          <w:p w14:paraId="6B8D1F54" w14:textId="77777777" w:rsidR="0021338C" w:rsidRPr="00CA0804" w:rsidRDefault="0021338C" w:rsidP="0021338C">
            <w:pPr>
              <w:rPr>
                <w:rFonts w:eastAsia="Times New Roman"/>
                <w:b/>
                <w:bCs/>
                <w:sz w:val="20"/>
                <w:szCs w:val="20"/>
              </w:rPr>
            </w:pPr>
            <w:r w:rsidRPr="00CA0804">
              <w:rPr>
                <w:rFonts w:eastAsia="Times New Roman"/>
                <w:b/>
                <w:bCs/>
                <w:sz w:val="20"/>
                <w:szCs w:val="20"/>
              </w:rPr>
              <w:t>Istraživanje i razvoj i inovacije</w:t>
            </w:r>
          </w:p>
        </w:tc>
        <w:tc>
          <w:tcPr>
            <w:tcW w:w="1439" w:type="dxa"/>
            <w:shd w:val="clear" w:color="000000" w:fill="FFFF99"/>
            <w:vAlign w:val="center"/>
          </w:tcPr>
          <w:p w14:paraId="7CC4CE37" w14:textId="67DBCB52" w:rsidR="0021338C" w:rsidRPr="00CA0804" w:rsidRDefault="0021338C" w:rsidP="00E3336C">
            <w:pPr>
              <w:jc w:val="center"/>
              <w:rPr>
                <w:rFonts w:eastAsia="Times New Roman"/>
                <w:b/>
                <w:bCs/>
                <w:sz w:val="20"/>
                <w:szCs w:val="20"/>
              </w:rPr>
            </w:pPr>
            <w:r w:rsidRPr="00CA0804">
              <w:rPr>
                <w:b/>
                <w:sz w:val="20"/>
                <w:szCs w:val="20"/>
              </w:rPr>
              <w:t>202</w:t>
            </w:r>
            <w:r w:rsidR="00E3336C" w:rsidRPr="00CA0804">
              <w:rPr>
                <w:b/>
                <w:sz w:val="20"/>
                <w:szCs w:val="20"/>
              </w:rPr>
              <w:t>2</w:t>
            </w:r>
            <w:r w:rsidRPr="00CA0804">
              <w:rPr>
                <w:b/>
                <w:sz w:val="20"/>
                <w:szCs w:val="20"/>
              </w:rPr>
              <w:t>.</w:t>
            </w:r>
          </w:p>
        </w:tc>
        <w:tc>
          <w:tcPr>
            <w:tcW w:w="1559" w:type="dxa"/>
            <w:shd w:val="clear" w:color="000000" w:fill="FFFF99"/>
            <w:vAlign w:val="center"/>
          </w:tcPr>
          <w:p w14:paraId="61000262" w14:textId="513350EA" w:rsidR="0021338C" w:rsidRPr="00CA0804" w:rsidRDefault="0021338C" w:rsidP="00C21C11">
            <w:pPr>
              <w:jc w:val="center"/>
              <w:rPr>
                <w:rFonts w:eastAsia="Times New Roman"/>
                <w:b/>
                <w:bCs/>
                <w:sz w:val="20"/>
                <w:szCs w:val="20"/>
              </w:rPr>
            </w:pPr>
            <w:r w:rsidRPr="00CA0804">
              <w:rPr>
                <w:b/>
                <w:sz w:val="20"/>
                <w:szCs w:val="20"/>
              </w:rPr>
              <w:t>202</w:t>
            </w:r>
            <w:r w:rsidR="00C21C11" w:rsidRPr="00CA0804">
              <w:rPr>
                <w:b/>
                <w:sz w:val="20"/>
                <w:szCs w:val="20"/>
              </w:rPr>
              <w:t>3</w:t>
            </w:r>
            <w:r w:rsidRPr="00CA0804">
              <w:rPr>
                <w:b/>
                <w:sz w:val="20"/>
                <w:szCs w:val="20"/>
              </w:rPr>
              <w:t>.</w:t>
            </w:r>
          </w:p>
        </w:tc>
        <w:tc>
          <w:tcPr>
            <w:tcW w:w="1559" w:type="dxa"/>
            <w:shd w:val="clear" w:color="000000" w:fill="FFFF99"/>
            <w:vAlign w:val="center"/>
          </w:tcPr>
          <w:p w14:paraId="27F222F6" w14:textId="2ABE0F1F" w:rsidR="0021338C" w:rsidRPr="00CA0804" w:rsidRDefault="0021338C" w:rsidP="00E3336C">
            <w:pPr>
              <w:jc w:val="center"/>
              <w:rPr>
                <w:rFonts w:eastAsia="Times New Roman"/>
                <w:b/>
                <w:bCs/>
                <w:sz w:val="20"/>
                <w:szCs w:val="20"/>
              </w:rPr>
            </w:pPr>
            <w:r w:rsidRPr="00CA0804">
              <w:rPr>
                <w:b/>
                <w:sz w:val="20"/>
                <w:szCs w:val="20"/>
              </w:rPr>
              <w:t>202</w:t>
            </w:r>
            <w:r w:rsidR="00E3336C" w:rsidRPr="00CA0804">
              <w:rPr>
                <w:b/>
                <w:sz w:val="20"/>
                <w:szCs w:val="20"/>
              </w:rPr>
              <w:t>4</w:t>
            </w:r>
            <w:r w:rsidRPr="00CA0804">
              <w:rPr>
                <w:b/>
                <w:sz w:val="20"/>
                <w:szCs w:val="20"/>
              </w:rPr>
              <w:t>.</w:t>
            </w:r>
          </w:p>
        </w:tc>
      </w:tr>
      <w:tr w:rsidR="0021338C" w:rsidRPr="00CA0804" w14:paraId="5512BD9A" w14:textId="77777777" w:rsidTr="0021338C">
        <w:trPr>
          <w:trHeight w:val="212"/>
        </w:trPr>
        <w:tc>
          <w:tcPr>
            <w:tcW w:w="3376" w:type="dxa"/>
            <w:vMerge/>
            <w:vAlign w:val="center"/>
            <w:hideMark/>
          </w:tcPr>
          <w:p w14:paraId="2A33B7C3" w14:textId="77777777" w:rsidR="0021338C" w:rsidRPr="00CA0804" w:rsidRDefault="0021338C" w:rsidP="0021338C">
            <w:pPr>
              <w:rPr>
                <w:rFonts w:eastAsia="Times New Roman"/>
                <w:b/>
                <w:bCs/>
                <w:sz w:val="20"/>
                <w:szCs w:val="20"/>
              </w:rPr>
            </w:pPr>
          </w:p>
        </w:tc>
        <w:tc>
          <w:tcPr>
            <w:tcW w:w="1439" w:type="dxa"/>
            <w:shd w:val="clear" w:color="000000" w:fill="FFFF99"/>
            <w:vAlign w:val="center"/>
          </w:tcPr>
          <w:p w14:paraId="0CF74845" w14:textId="0B1E8349" w:rsidR="0021338C" w:rsidRPr="00CA0804" w:rsidRDefault="0021338C" w:rsidP="0021338C">
            <w:pPr>
              <w:rPr>
                <w:rFonts w:eastAsia="Times New Roman"/>
                <w:b/>
                <w:sz w:val="18"/>
                <w:szCs w:val="20"/>
              </w:rPr>
            </w:pPr>
            <w:r w:rsidRPr="00CA0804">
              <w:rPr>
                <w:b/>
                <w:sz w:val="20"/>
                <w:szCs w:val="20"/>
              </w:rPr>
              <w:t>u mln EUR</w:t>
            </w:r>
          </w:p>
        </w:tc>
        <w:tc>
          <w:tcPr>
            <w:tcW w:w="1559" w:type="dxa"/>
            <w:shd w:val="clear" w:color="000000" w:fill="FFFF99"/>
            <w:vAlign w:val="center"/>
          </w:tcPr>
          <w:p w14:paraId="35687B46" w14:textId="651AB391" w:rsidR="0021338C" w:rsidRPr="00CA0804" w:rsidRDefault="0021338C" w:rsidP="0021338C">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5B9ECEC3" w14:textId="3FCB5159" w:rsidR="0021338C" w:rsidRPr="00CA0804" w:rsidRDefault="0021338C" w:rsidP="0021338C">
            <w:pPr>
              <w:jc w:val="center"/>
              <w:rPr>
                <w:rFonts w:eastAsia="Times New Roman"/>
                <w:b/>
                <w:sz w:val="18"/>
                <w:szCs w:val="20"/>
              </w:rPr>
            </w:pPr>
            <w:r w:rsidRPr="00CA0804">
              <w:rPr>
                <w:b/>
                <w:sz w:val="20"/>
                <w:szCs w:val="20"/>
              </w:rPr>
              <w:t>u mln EUR</w:t>
            </w:r>
          </w:p>
        </w:tc>
      </w:tr>
      <w:tr w:rsidR="00B45C77" w:rsidRPr="00CA0804" w14:paraId="2B611AE0" w14:textId="77777777" w:rsidTr="0021338C">
        <w:trPr>
          <w:trHeight w:val="40"/>
        </w:trPr>
        <w:tc>
          <w:tcPr>
            <w:tcW w:w="3376" w:type="dxa"/>
            <w:shd w:val="clear" w:color="auto" w:fill="auto"/>
            <w:noWrap/>
            <w:vAlign w:val="center"/>
            <w:hideMark/>
          </w:tcPr>
          <w:p w14:paraId="4B00B1D5" w14:textId="77777777" w:rsidR="00B45C77" w:rsidRPr="00CA0804" w:rsidRDefault="00B45C77" w:rsidP="00B45C77">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570650BE" w14:textId="1A4AC317" w:rsidR="00B45C77" w:rsidRPr="00CA0804" w:rsidRDefault="00B45C77" w:rsidP="00B45C77">
            <w:pPr>
              <w:jc w:val="right"/>
              <w:rPr>
                <w:sz w:val="20"/>
                <w:szCs w:val="14"/>
              </w:rPr>
            </w:pPr>
            <w:r w:rsidRPr="00CA0804">
              <w:rPr>
                <w:sz w:val="20"/>
                <w:szCs w:val="20"/>
              </w:rPr>
              <w:t>33,8</w:t>
            </w:r>
          </w:p>
        </w:tc>
        <w:tc>
          <w:tcPr>
            <w:tcW w:w="1559" w:type="dxa"/>
            <w:vAlign w:val="center"/>
          </w:tcPr>
          <w:p w14:paraId="3C9EC16B" w14:textId="640E364D" w:rsidR="00B45C77" w:rsidRPr="00CA0804" w:rsidRDefault="00B45C77" w:rsidP="00A029D3">
            <w:pPr>
              <w:jc w:val="right"/>
              <w:rPr>
                <w:sz w:val="20"/>
                <w:szCs w:val="14"/>
              </w:rPr>
            </w:pPr>
            <w:r w:rsidRPr="00CA0804">
              <w:rPr>
                <w:sz w:val="20"/>
                <w:szCs w:val="20"/>
              </w:rPr>
              <w:t>193,</w:t>
            </w:r>
            <w:r w:rsidR="00A029D3" w:rsidRPr="00CA0804">
              <w:rPr>
                <w:sz w:val="20"/>
                <w:szCs w:val="20"/>
              </w:rPr>
              <w:t>3</w:t>
            </w:r>
          </w:p>
        </w:tc>
        <w:tc>
          <w:tcPr>
            <w:tcW w:w="1559" w:type="dxa"/>
            <w:vAlign w:val="center"/>
          </w:tcPr>
          <w:p w14:paraId="1800CB77" w14:textId="4A44E293" w:rsidR="00B45C77" w:rsidRPr="00CA0804" w:rsidRDefault="00B45C77" w:rsidP="00B45C77">
            <w:pPr>
              <w:jc w:val="right"/>
              <w:rPr>
                <w:sz w:val="20"/>
                <w:szCs w:val="14"/>
              </w:rPr>
            </w:pPr>
            <w:r w:rsidRPr="00CA0804">
              <w:rPr>
                <w:sz w:val="20"/>
                <w:szCs w:val="20"/>
              </w:rPr>
              <w:t>160,4</w:t>
            </w:r>
          </w:p>
        </w:tc>
      </w:tr>
      <w:tr w:rsidR="00B45C77" w:rsidRPr="00CA0804" w14:paraId="7D5A2DEC" w14:textId="77777777" w:rsidTr="0021338C">
        <w:trPr>
          <w:trHeight w:val="40"/>
        </w:trPr>
        <w:tc>
          <w:tcPr>
            <w:tcW w:w="3376" w:type="dxa"/>
            <w:shd w:val="clear" w:color="auto" w:fill="auto"/>
            <w:noWrap/>
            <w:vAlign w:val="center"/>
            <w:hideMark/>
          </w:tcPr>
          <w:p w14:paraId="4750C3AA" w14:textId="77777777" w:rsidR="00B45C77" w:rsidRPr="00CA0804" w:rsidRDefault="00B45C77" w:rsidP="00B45C77">
            <w:pPr>
              <w:rPr>
                <w:rFonts w:eastAsia="Times New Roman"/>
                <w:b/>
                <w:bCs/>
                <w:sz w:val="20"/>
                <w:szCs w:val="20"/>
              </w:rPr>
            </w:pPr>
            <w:r w:rsidRPr="00CA0804">
              <w:rPr>
                <w:rFonts w:eastAsia="Times New Roman"/>
                <w:b/>
                <w:bCs/>
                <w:sz w:val="20"/>
                <w:szCs w:val="20"/>
              </w:rPr>
              <w:t>A2</w:t>
            </w:r>
            <w:r w:rsidRPr="00CA0804">
              <w:rPr>
                <w:rFonts w:eastAsia="Times New Roman"/>
                <w:sz w:val="20"/>
                <w:szCs w:val="20"/>
              </w:rPr>
              <w:t xml:space="preserve"> porezne olakšice</w:t>
            </w:r>
          </w:p>
        </w:tc>
        <w:tc>
          <w:tcPr>
            <w:tcW w:w="1439" w:type="dxa"/>
            <w:vAlign w:val="center"/>
          </w:tcPr>
          <w:p w14:paraId="47B7F196" w14:textId="0DCA2E52" w:rsidR="00B45C77" w:rsidRPr="00CA0804" w:rsidRDefault="00B45C77" w:rsidP="00A029D3">
            <w:pPr>
              <w:jc w:val="right"/>
              <w:rPr>
                <w:sz w:val="20"/>
                <w:szCs w:val="14"/>
              </w:rPr>
            </w:pPr>
            <w:r w:rsidRPr="00CA0804">
              <w:rPr>
                <w:sz w:val="20"/>
                <w:szCs w:val="20"/>
              </w:rPr>
              <w:t>1,</w:t>
            </w:r>
            <w:r w:rsidR="00A029D3" w:rsidRPr="00CA0804">
              <w:rPr>
                <w:sz w:val="20"/>
                <w:szCs w:val="20"/>
              </w:rPr>
              <w:t>2</w:t>
            </w:r>
          </w:p>
        </w:tc>
        <w:tc>
          <w:tcPr>
            <w:tcW w:w="1559" w:type="dxa"/>
            <w:vAlign w:val="center"/>
          </w:tcPr>
          <w:p w14:paraId="0718E00A" w14:textId="0010F225" w:rsidR="00B45C77" w:rsidRPr="00CA0804" w:rsidRDefault="00B45C77" w:rsidP="00B45C77">
            <w:pPr>
              <w:jc w:val="right"/>
              <w:rPr>
                <w:sz w:val="20"/>
                <w:szCs w:val="14"/>
              </w:rPr>
            </w:pPr>
            <w:r w:rsidRPr="00CA0804">
              <w:rPr>
                <w:sz w:val="20"/>
                <w:szCs w:val="20"/>
              </w:rPr>
              <w:t>0,7</w:t>
            </w:r>
          </w:p>
        </w:tc>
        <w:tc>
          <w:tcPr>
            <w:tcW w:w="1559" w:type="dxa"/>
            <w:vAlign w:val="center"/>
          </w:tcPr>
          <w:p w14:paraId="5FD40919" w14:textId="479B43AD" w:rsidR="00B45C77" w:rsidRPr="00CA0804" w:rsidRDefault="00A029D3" w:rsidP="00B45C77">
            <w:pPr>
              <w:jc w:val="right"/>
              <w:rPr>
                <w:sz w:val="20"/>
                <w:szCs w:val="14"/>
              </w:rPr>
            </w:pPr>
            <w:r w:rsidRPr="00CA0804">
              <w:rPr>
                <w:sz w:val="20"/>
                <w:szCs w:val="20"/>
              </w:rPr>
              <w:t>-</w:t>
            </w:r>
          </w:p>
        </w:tc>
      </w:tr>
      <w:tr w:rsidR="00B45C77" w:rsidRPr="00CA0804" w14:paraId="549AB409" w14:textId="77777777" w:rsidTr="0021338C">
        <w:trPr>
          <w:trHeight w:val="40"/>
        </w:trPr>
        <w:tc>
          <w:tcPr>
            <w:tcW w:w="3376" w:type="dxa"/>
            <w:shd w:val="clear" w:color="000000" w:fill="FFFF99"/>
            <w:noWrap/>
            <w:vAlign w:val="center"/>
            <w:hideMark/>
          </w:tcPr>
          <w:p w14:paraId="07A0A482" w14:textId="77777777" w:rsidR="00B45C77" w:rsidRPr="00CA0804" w:rsidRDefault="00B45C77" w:rsidP="00B45C77">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22A055F5" w14:textId="2152E820" w:rsidR="00B45C77" w:rsidRPr="00CA0804" w:rsidRDefault="00B45C77" w:rsidP="00B45C77">
            <w:pPr>
              <w:jc w:val="right"/>
              <w:rPr>
                <w:b/>
                <w:sz w:val="20"/>
                <w:szCs w:val="14"/>
              </w:rPr>
            </w:pPr>
            <w:r w:rsidRPr="00CA0804">
              <w:rPr>
                <w:b/>
                <w:sz w:val="20"/>
                <w:szCs w:val="20"/>
              </w:rPr>
              <w:t>35,0</w:t>
            </w:r>
          </w:p>
        </w:tc>
        <w:tc>
          <w:tcPr>
            <w:tcW w:w="1559" w:type="dxa"/>
            <w:shd w:val="clear" w:color="000000" w:fill="FFFF99"/>
            <w:vAlign w:val="center"/>
          </w:tcPr>
          <w:p w14:paraId="1A462FC3" w14:textId="45050525" w:rsidR="00B45C77" w:rsidRPr="00CA0804" w:rsidRDefault="00B45C77" w:rsidP="00B45C77">
            <w:pPr>
              <w:jc w:val="right"/>
              <w:rPr>
                <w:b/>
                <w:sz w:val="20"/>
                <w:szCs w:val="14"/>
              </w:rPr>
            </w:pPr>
            <w:r w:rsidRPr="00CA0804">
              <w:rPr>
                <w:b/>
                <w:sz w:val="20"/>
                <w:szCs w:val="20"/>
              </w:rPr>
              <w:t>194,0</w:t>
            </w:r>
          </w:p>
        </w:tc>
        <w:tc>
          <w:tcPr>
            <w:tcW w:w="1559" w:type="dxa"/>
            <w:shd w:val="clear" w:color="000000" w:fill="FFFF99"/>
            <w:vAlign w:val="center"/>
          </w:tcPr>
          <w:p w14:paraId="68DE5643" w14:textId="171769A3" w:rsidR="00B45C77" w:rsidRPr="00CA0804" w:rsidRDefault="00B45C77" w:rsidP="00B45C77">
            <w:pPr>
              <w:jc w:val="right"/>
              <w:rPr>
                <w:b/>
                <w:sz w:val="20"/>
                <w:szCs w:val="14"/>
              </w:rPr>
            </w:pPr>
            <w:r w:rsidRPr="00CA0804">
              <w:rPr>
                <w:b/>
                <w:sz w:val="20"/>
                <w:szCs w:val="20"/>
              </w:rPr>
              <w:t>160,4</w:t>
            </w:r>
          </w:p>
        </w:tc>
      </w:tr>
      <w:tr w:rsidR="00B45C77" w:rsidRPr="00CA0804" w14:paraId="5C5A5A86" w14:textId="7211C062" w:rsidTr="0021338C">
        <w:trPr>
          <w:trHeight w:val="40"/>
        </w:trPr>
        <w:tc>
          <w:tcPr>
            <w:tcW w:w="3376" w:type="dxa"/>
            <w:shd w:val="clear" w:color="auto" w:fill="auto"/>
            <w:vAlign w:val="center"/>
            <w:hideMark/>
          </w:tcPr>
          <w:p w14:paraId="4DF995E9" w14:textId="77777777" w:rsidR="00B45C77" w:rsidRPr="00CA0804" w:rsidRDefault="00B45C77" w:rsidP="00B45C77">
            <w:pPr>
              <w:rPr>
                <w:rFonts w:eastAsia="Times New Roman"/>
                <w:sz w:val="20"/>
                <w:szCs w:val="20"/>
              </w:rPr>
            </w:pPr>
            <w:r w:rsidRPr="00CA0804">
              <w:rPr>
                <w:rFonts w:eastAsia="Times New Roman"/>
                <w:sz w:val="20"/>
                <w:szCs w:val="20"/>
              </w:rPr>
              <w:t>udio (%) u horizontalnim ciljevima</w:t>
            </w:r>
          </w:p>
        </w:tc>
        <w:tc>
          <w:tcPr>
            <w:tcW w:w="1439" w:type="dxa"/>
            <w:vAlign w:val="center"/>
          </w:tcPr>
          <w:p w14:paraId="4BBD3BFE" w14:textId="76F6D271" w:rsidR="00B45C77" w:rsidRPr="00CA0804" w:rsidRDefault="00B45C77" w:rsidP="00A029D3">
            <w:pPr>
              <w:jc w:val="center"/>
              <w:rPr>
                <w:sz w:val="20"/>
                <w:szCs w:val="14"/>
              </w:rPr>
            </w:pPr>
            <w:r w:rsidRPr="00CA0804">
              <w:rPr>
                <w:sz w:val="20"/>
                <w:szCs w:val="20"/>
              </w:rPr>
              <w:t>35,</w:t>
            </w:r>
            <w:r w:rsidR="00A029D3" w:rsidRPr="00CA0804">
              <w:rPr>
                <w:sz w:val="20"/>
                <w:szCs w:val="20"/>
              </w:rPr>
              <w:t>50</w:t>
            </w:r>
          </w:p>
        </w:tc>
        <w:tc>
          <w:tcPr>
            <w:tcW w:w="1559" w:type="dxa"/>
            <w:vAlign w:val="center"/>
          </w:tcPr>
          <w:p w14:paraId="35911371" w14:textId="7AC026E4" w:rsidR="00B45C77" w:rsidRPr="00CA0804" w:rsidRDefault="00B45C77" w:rsidP="00B45C77">
            <w:pPr>
              <w:jc w:val="center"/>
              <w:rPr>
                <w:sz w:val="20"/>
                <w:szCs w:val="14"/>
              </w:rPr>
            </w:pPr>
            <w:r w:rsidRPr="00CA0804">
              <w:rPr>
                <w:sz w:val="20"/>
                <w:szCs w:val="20"/>
              </w:rPr>
              <w:t>7</w:t>
            </w:r>
            <w:r w:rsidR="00A029D3" w:rsidRPr="00CA0804">
              <w:rPr>
                <w:sz w:val="20"/>
                <w:szCs w:val="20"/>
              </w:rPr>
              <w:t>2,30</w:t>
            </w:r>
          </w:p>
        </w:tc>
        <w:tc>
          <w:tcPr>
            <w:tcW w:w="1559" w:type="dxa"/>
            <w:vAlign w:val="center"/>
          </w:tcPr>
          <w:p w14:paraId="01E9A6BE" w14:textId="36620DC6" w:rsidR="00B45C77" w:rsidRPr="00CA0804" w:rsidRDefault="009302D5" w:rsidP="00B45C77">
            <w:pPr>
              <w:jc w:val="center"/>
              <w:rPr>
                <w:sz w:val="20"/>
                <w:szCs w:val="14"/>
              </w:rPr>
            </w:pPr>
            <w:r w:rsidRPr="00CA0804">
              <w:rPr>
                <w:sz w:val="20"/>
                <w:szCs w:val="20"/>
              </w:rPr>
              <w:t>75,13</w:t>
            </w:r>
          </w:p>
        </w:tc>
      </w:tr>
      <w:tr w:rsidR="00B45C77" w:rsidRPr="00CA0804" w14:paraId="37DDA4EB" w14:textId="7A48CA90" w:rsidTr="0021338C">
        <w:trPr>
          <w:trHeight w:val="90"/>
        </w:trPr>
        <w:tc>
          <w:tcPr>
            <w:tcW w:w="3376" w:type="dxa"/>
            <w:shd w:val="clear" w:color="auto" w:fill="auto"/>
            <w:vAlign w:val="center"/>
            <w:hideMark/>
          </w:tcPr>
          <w:p w14:paraId="114FA552" w14:textId="77777777" w:rsidR="00B45C77" w:rsidRPr="00CA0804" w:rsidRDefault="00B45C77" w:rsidP="00B45C77">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3D8DF246" w14:textId="4D1E82DD" w:rsidR="00B45C77" w:rsidRPr="00CA0804" w:rsidRDefault="00B45C77" w:rsidP="00B45C77">
            <w:pPr>
              <w:jc w:val="center"/>
              <w:rPr>
                <w:sz w:val="20"/>
                <w:szCs w:val="14"/>
              </w:rPr>
            </w:pPr>
            <w:r w:rsidRPr="00CA0804">
              <w:rPr>
                <w:sz w:val="20"/>
                <w:szCs w:val="20"/>
              </w:rPr>
              <w:t>1,71</w:t>
            </w:r>
          </w:p>
        </w:tc>
        <w:tc>
          <w:tcPr>
            <w:tcW w:w="1559" w:type="dxa"/>
            <w:vAlign w:val="center"/>
          </w:tcPr>
          <w:p w14:paraId="3851C77C" w14:textId="5D521501" w:rsidR="00B45C77" w:rsidRPr="00CA0804" w:rsidRDefault="00B45C77" w:rsidP="00B45C77">
            <w:pPr>
              <w:jc w:val="center"/>
              <w:rPr>
                <w:sz w:val="20"/>
                <w:szCs w:val="14"/>
              </w:rPr>
            </w:pPr>
            <w:r w:rsidRPr="00CA0804">
              <w:rPr>
                <w:sz w:val="20"/>
                <w:szCs w:val="20"/>
              </w:rPr>
              <w:t>9,86</w:t>
            </w:r>
          </w:p>
        </w:tc>
        <w:tc>
          <w:tcPr>
            <w:tcW w:w="1559" w:type="dxa"/>
            <w:vAlign w:val="center"/>
          </w:tcPr>
          <w:p w14:paraId="71E8B7CA" w14:textId="68E900BB" w:rsidR="00B45C77" w:rsidRPr="00CA0804" w:rsidRDefault="00B45C77" w:rsidP="00B45C77">
            <w:pPr>
              <w:jc w:val="center"/>
              <w:rPr>
                <w:sz w:val="20"/>
                <w:szCs w:val="14"/>
              </w:rPr>
            </w:pPr>
            <w:r w:rsidRPr="00CA0804">
              <w:rPr>
                <w:sz w:val="20"/>
                <w:szCs w:val="20"/>
              </w:rPr>
              <w:t>12,14</w:t>
            </w:r>
          </w:p>
        </w:tc>
      </w:tr>
      <w:tr w:rsidR="00B45C77" w:rsidRPr="00CA0804" w14:paraId="564102FB" w14:textId="0EC5D991" w:rsidTr="0021338C">
        <w:trPr>
          <w:trHeight w:val="40"/>
        </w:trPr>
        <w:tc>
          <w:tcPr>
            <w:tcW w:w="3376" w:type="dxa"/>
            <w:shd w:val="clear" w:color="auto" w:fill="auto"/>
            <w:vAlign w:val="center"/>
            <w:hideMark/>
          </w:tcPr>
          <w:p w14:paraId="4D0CAD9A" w14:textId="77777777" w:rsidR="00B45C77" w:rsidRPr="00CA0804" w:rsidRDefault="00B45C77" w:rsidP="00B45C77">
            <w:pPr>
              <w:rPr>
                <w:rFonts w:eastAsia="Times New Roman"/>
                <w:sz w:val="20"/>
                <w:szCs w:val="20"/>
              </w:rPr>
            </w:pPr>
            <w:r w:rsidRPr="00CA0804">
              <w:rPr>
                <w:rFonts w:eastAsia="Times New Roman"/>
                <w:sz w:val="20"/>
                <w:szCs w:val="20"/>
              </w:rPr>
              <w:t>udio (%) u ukupnim potporama</w:t>
            </w:r>
          </w:p>
        </w:tc>
        <w:tc>
          <w:tcPr>
            <w:tcW w:w="1439" w:type="dxa"/>
            <w:vAlign w:val="center"/>
          </w:tcPr>
          <w:p w14:paraId="1902F572" w14:textId="7025288B" w:rsidR="00B45C77" w:rsidRPr="00CA0804" w:rsidRDefault="00B45C77" w:rsidP="00B45C77">
            <w:pPr>
              <w:jc w:val="center"/>
              <w:rPr>
                <w:sz w:val="20"/>
                <w:szCs w:val="14"/>
              </w:rPr>
            </w:pPr>
            <w:r w:rsidRPr="00CA0804">
              <w:rPr>
                <w:sz w:val="20"/>
                <w:szCs w:val="20"/>
              </w:rPr>
              <w:t>1,63</w:t>
            </w:r>
          </w:p>
        </w:tc>
        <w:tc>
          <w:tcPr>
            <w:tcW w:w="1559" w:type="dxa"/>
            <w:vAlign w:val="center"/>
          </w:tcPr>
          <w:p w14:paraId="2D3137A0" w14:textId="4FA99042" w:rsidR="00B45C77" w:rsidRPr="00CA0804" w:rsidRDefault="00B45C77" w:rsidP="00B45C77">
            <w:pPr>
              <w:jc w:val="center"/>
              <w:rPr>
                <w:sz w:val="20"/>
                <w:szCs w:val="14"/>
              </w:rPr>
            </w:pPr>
            <w:r w:rsidRPr="00CA0804">
              <w:rPr>
                <w:sz w:val="20"/>
                <w:szCs w:val="20"/>
              </w:rPr>
              <w:t>9,32</w:t>
            </w:r>
          </w:p>
        </w:tc>
        <w:tc>
          <w:tcPr>
            <w:tcW w:w="1559" w:type="dxa"/>
            <w:vAlign w:val="center"/>
          </w:tcPr>
          <w:p w14:paraId="2C0EE1B5" w14:textId="7C708DCB" w:rsidR="00B45C77" w:rsidRPr="00CA0804" w:rsidRDefault="00B45C77" w:rsidP="00B45C77">
            <w:pPr>
              <w:jc w:val="center"/>
              <w:rPr>
                <w:sz w:val="20"/>
                <w:szCs w:val="14"/>
              </w:rPr>
            </w:pPr>
            <w:r w:rsidRPr="00CA0804">
              <w:rPr>
                <w:sz w:val="20"/>
                <w:szCs w:val="20"/>
              </w:rPr>
              <w:t>11,07</w:t>
            </w:r>
          </w:p>
        </w:tc>
      </w:tr>
      <w:tr w:rsidR="00B45C77" w:rsidRPr="00CA0804" w14:paraId="02734573" w14:textId="27E77923" w:rsidTr="0021338C">
        <w:trPr>
          <w:trHeight w:val="40"/>
        </w:trPr>
        <w:tc>
          <w:tcPr>
            <w:tcW w:w="3376" w:type="dxa"/>
            <w:shd w:val="clear" w:color="auto" w:fill="auto"/>
            <w:vAlign w:val="center"/>
            <w:hideMark/>
          </w:tcPr>
          <w:p w14:paraId="171C3F69" w14:textId="77777777" w:rsidR="00B45C77" w:rsidRPr="00CA0804" w:rsidRDefault="00B45C77" w:rsidP="00B45C77">
            <w:pPr>
              <w:rPr>
                <w:rFonts w:eastAsia="Times New Roman"/>
                <w:sz w:val="20"/>
                <w:szCs w:val="20"/>
              </w:rPr>
            </w:pPr>
            <w:r w:rsidRPr="00CA0804">
              <w:rPr>
                <w:rFonts w:eastAsia="Times New Roman"/>
                <w:sz w:val="20"/>
                <w:szCs w:val="20"/>
              </w:rPr>
              <w:t>udio (%) u BDP-u</w:t>
            </w:r>
          </w:p>
        </w:tc>
        <w:tc>
          <w:tcPr>
            <w:tcW w:w="1439" w:type="dxa"/>
            <w:vAlign w:val="center"/>
          </w:tcPr>
          <w:p w14:paraId="007EE380" w14:textId="6CE61DB6" w:rsidR="00B45C77" w:rsidRPr="00CA0804" w:rsidRDefault="00B45C77" w:rsidP="00B45C77">
            <w:pPr>
              <w:jc w:val="center"/>
              <w:rPr>
                <w:sz w:val="20"/>
                <w:szCs w:val="14"/>
              </w:rPr>
            </w:pPr>
            <w:r w:rsidRPr="00CA0804">
              <w:rPr>
                <w:sz w:val="20"/>
                <w:szCs w:val="20"/>
              </w:rPr>
              <w:t>0,05</w:t>
            </w:r>
          </w:p>
        </w:tc>
        <w:tc>
          <w:tcPr>
            <w:tcW w:w="1559" w:type="dxa"/>
            <w:vAlign w:val="center"/>
          </w:tcPr>
          <w:p w14:paraId="48CD6F48" w14:textId="794B7915" w:rsidR="00B45C77" w:rsidRPr="00CA0804" w:rsidRDefault="00B45C77" w:rsidP="00B45C77">
            <w:pPr>
              <w:jc w:val="center"/>
              <w:rPr>
                <w:sz w:val="20"/>
                <w:szCs w:val="14"/>
              </w:rPr>
            </w:pPr>
            <w:r w:rsidRPr="00CA0804">
              <w:rPr>
                <w:sz w:val="20"/>
                <w:szCs w:val="20"/>
              </w:rPr>
              <w:t>0,25</w:t>
            </w:r>
          </w:p>
        </w:tc>
        <w:tc>
          <w:tcPr>
            <w:tcW w:w="1559" w:type="dxa"/>
            <w:vAlign w:val="center"/>
          </w:tcPr>
          <w:p w14:paraId="5A6D96C3" w14:textId="116CCBB6" w:rsidR="00B45C77" w:rsidRPr="00CA0804" w:rsidRDefault="00B45C77" w:rsidP="00B45C77">
            <w:pPr>
              <w:jc w:val="center"/>
              <w:rPr>
                <w:sz w:val="20"/>
                <w:szCs w:val="14"/>
              </w:rPr>
            </w:pPr>
            <w:r w:rsidRPr="00CA0804">
              <w:rPr>
                <w:sz w:val="20"/>
                <w:szCs w:val="20"/>
              </w:rPr>
              <w:t>0,19</w:t>
            </w:r>
          </w:p>
        </w:tc>
      </w:tr>
    </w:tbl>
    <w:p w14:paraId="1B3BEDAC" w14:textId="77777777" w:rsidR="00BD1011" w:rsidRPr="00CA0804" w:rsidRDefault="00BD1011" w:rsidP="00BE487D">
      <w:pPr>
        <w:contextualSpacing/>
        <w:jc w:val="both"/>
        <w:rPr>
          <w:i/>
          <w:sz w:val="20"/>
        </w:rPr>
      </w:pPr>
      <w:r w:rsidRPr="00CA0804">
        <w:rPr>
          <w:i/>
          <w:sz w:val="20"/>
        </w:rPr>
        <w:t>Izvor: Ministarstvo financija i davatelji potpora; podaci obrađeni u Ministarstvu financija</w:t>
      </w:r>
    </w:p>
    <w:p w14:paraId="4F7A3209" w14:textId="77777777" w:rsidR="009302D5" w:rsidRPr="00CA0804" w:rsidRDefault="009302D5" w:rsidP="004C3637"/>
    <w:p w14:paraId="040C1315" w14:textId="1A85851C" w:rsidR="003E4E58" w:rsidRPr="00CA0804" w:rsidRDefault="00A16DBC" w:rsidP="00BE487D">
      <w:pPr>
        <w:jc w:val="both"/>
      </w:pPr>
      <w:r w:rsidRPr="00CA0804">
        <w:t>Udio potpora za istraživanje i razvoj i inovacije u BDP-u u 202</w:t>
      </w:r>
      <w:r w:rsidR="001F6B2A" w:rsidRPr="00CA0804">
        <w:t>4</w:t>
      </w:r>
      <w:r w:rsidRPr="00CA0804">
        <w:t>. godini iznosio je 0</w:t>
      </w:r>
      <w:r w:rsidR="001F6B2A" w:rsidRPr="00CA0804">
        <w:t>,19</w:t>
      </w:r>
      <w:r w:rsidRPr="00CA0804">
        <w:t xml:space="preserve"> posto, u 202</w:t>
      </w:r>
      <w:r w:rsidR="001F6B2A" w:rsidRPr="00CA0804">
        <w:t>3</w:t>
      </w:r>
      <w:r w:rsidRPr="00CA0804">
        <w:t xml:space="preserve">. godini </w:t>
      </w:r>
      <w:r w:rsidR="001F6B2A" w:rsidRPr="00CA0804">
        <w:t>0,25</w:t>
      </w:r>
      <w:r w:rsidRPr="00CA0804">
        <w:t xml:space="preserve"> posto</w:t>
      </w:r>
      <w:r w:rsidR="001F6B2A" w:rsidRPr="00CA0804">
        <w:t xml:space="preserve"> te </w:t>
      </w:r>
      <w:r w:rsidRPr="00CA0804">
        <w:t>u 20</w:t>
      </w:r>
      <w:r w:rsidR="00BD4EEB" w:rsidRPr="00CA0804">
        <w:t>2</w:t>
      </w:r>
      <w:r w:rsidR="001F6B2A" w:rsidRPr="00CA0804">
        <w:t>2</w:t>
      </w:r>
      <w:r w:rsidRPr="00CA0804">
        <w:t xml:space="preserve">. godini </w:t>
      </w:r>
      <w:r w:rsidR="001F6B2A" w:rsidRPr="00CA0804">
        <w:t>0,05</w:t>
      </w:r>
      <w:r w:rsidRPr="00CA0804">
        <w:t xml:space="preserve"> posto. Udio navedenih potpora u 202</w:t>
      </w:r>
      <w:r w:rsidR="001F6B2A" w:rsidRPr="00CA0804">
        <w:t>4</w:t>
      </w:r>
      <w:r w:rsidRPr="00CA0804">
        <w:t xml:space="preserve">. godini u </w:t>
      </w:r>
      <w:r w:rsidR="0023321A" w:rsidRPr="00CA0804">
        <w:t xml:space="preserve">ukupno dodijeljenim potporama iznosio je </w:t>
      </w:r>
      <w:r w:rsidR="001F6B2A" w:rsidRPr="00CA0804">
        <w:t xml:space="preserve">11,1 </w:t>
      </w:r>
      <w:r w:rsidR="0023321A" w:rsidRPr="00CA0804">
        <w:t xml:space="preserve">posto, </w:t>
      </w:r>
      <w:r w:rsidR="003E4E58" w:rsidRPr="00CA0804">
        <w:t>u</w:t>
      </w:r>
      <w:r w:rsidR="00A64EBE" w:rsidRPr="00CA0804">
        <w:t xml:space="preserve">dio </w:t>
      </w:r>
      <w:r w:rsidR="0023321A" w:rsidRPr="00CA0804">
        <w:t xml:space="preserve">u potporama u sektoru industrije i usluga iznosio je </w:t>
      </w:r>
      <w:r w:rsidR="001F6B2A" w:rsidRPr="00CA0804">
        <w:t xml:space="preserve">12,1 </w:t>
      </w:r>
      <w:r w:rsidR="0023321A" w:rsidRPr="00CA0804">
        <w:t xml:space="preserve">posto, </w:t>
      </w:r>
      <w:r w:rsidR="003E4E58" w:rsidRPr="00CA0804">
        <w:t>dok je u</w:t>
      </w:r>
      <w:r w:rsidR="00A64EBE" w:rsidRPr="00CA0804">
        <w:t xml:space="preserve">dio u horizontalnim ciljevima iznosio </w:t>
      </w:r>
      <w:r w:rsidR="001F6B2A" w:rsidRPr="00CA0804">
        <w:t>75,1</w:t>
      </w:r>
      <w:r w:rsidR="00A64EBE" w:rsidRPr="00CA0804">
        <w:t xml:space="preserve"> posto</w:t>
      </w:r>
      <w:r w:rsidR="003E4E58" w:rsidRPr="00CA0804">
        <w:t>.</w:t>
      </w:r>
    </w:p>
    <w:p w14:paraId="5D577D08" w14:textId="77777777" w:rsidR="003D2B7C" w:rsidRPr="00CA0804" w:rsidRDefault="003D2B7C" w:rsidP="00BE487D">
      <w:pPr>
        <w:jc w:val="both"/>
      </w:pPr>
    </w:p>
    <w:p w14:paraId="24A8C203" w14:textId="17FB3F94" w:rsidR="00A64EBE" w:rsidRPr="00CA0804" w:rsidRDefault="001F6B2A" w:rsidP="001E741D">
      <w:pPr>
        <w:jc w:val="both"/>
      </w:pPr>
      <w:r w:rsidRPr="00CA0804">
        <w:t>D</w:t>
      </w:r>
      <w:r w:rsidR="00A64EBE" w:rsidRPr="00CA0804">
        <w:t>avatelji</w:t>
      </w:r>
      <w:r w:rsidRPr="00CA0804">
        <w:t xml:space="preserve"> </w:t>
      </w:r>
      <w:r w:rsidR="00A64EBE" w:rsidRPr="00CA0804">
        <w:t>potpora za istraživanje i razvoj i inovacije, koj</w:t>
      </w:r>
      <w:r w:rsidRPr="00CA0804">
        <w:t>i</w:t>
      </w:r>
      <w:r w:rsidR="00A64EBE" w:rsidRPr="00CA0804">
        <w:t xml:space="preserve"> su </w:t>
      </w:r>
      <w:r w:rsidRPr="00CA0804">
        <w:t xml:space="preserve">u 2024. godini dodijelili </w:t>
      </w:r>
      <w:r w:rsidR="00E224D1" w:rsidRPr="00CA0804">
        <w:t>navedene</w:t>
      </w:r>
      <w:r w:rsidRPr="00CA0804">
        <w:t xml:space="preserve"> potpore </w:t>
      </w:r>
      <w:r w:rsidR="00A64EBE" w:rsidRPr="00CA0804">
        <w:t xml:space="preserve">u iznosu od </w:t>
      </w:r>
      <w:r w:rsidRPr="00CA0804">
        <w:t>160,4</w:t>
      </w:r>
      <w:r w:rsidR="00A64EBE" w:rsidRPr="00CA0804">
        <w:t xml:space="preserve"> milijuna eura su </w:t>
      </w:r>
      <w:r w:rsidR="001E741D" w:rsidRPr="00CA0804">
        <w:t xml:space="preserve">Ministarstvo regionalnoga razvoja i fondova Europske unije s iznosom od 127,1 milijun eura, Ministarstvo znanosti, obrazovanja i mladih s iznosom od 23,6 milijuna eura, </w:t>
      </w:r>
      <w:r w:rsidR="00A64EBE" w:rsidRPr="00CA0804">
        <w:t xml:space="preserve">Ministarstvo mora, prometa i infrastrukture </w:t>
      </w:r>
      <w:r w:rsidR="001E741D" w:rsidRPr="00CA0804">
        <w:t>s iznosom od 9,3</w:t>
      </w:r>
      <w:r w:rsidR="00A64EBE" w:rsidRPr="00CA0804">
        <w:t xml:space="preserve"> milijuna eura</w:t>
      </w:r>
      <w:r w:rsidR="001E741D" w:rsidRPr="00CA0804">
        <w:t xml:space="preserve"> i </w:t>
      </w:r>
      <w:r w:rsidR="00A64EBE" w:rsidRPr="00CA0804">
        <w:t xml:space="preserve">Ministarstvo gospodarstva </w:t>
      </w:r>
      <w:r w:rsidR="001E741D" w:rsidRPr="00CA0804">
        <w:t>s iznosom od 413.896,66</w:t>
      </w:r>
      <w:r w:rsidR="00A64EBE" w:rsidRPr="00CA0804">
        <w:t xml:space="preserve"> eura.</w:t>
      </w:r>
    </w:p>
    <w:p w14:paraId="3B0B174E" w14:textId="171914A8" w:rsidR="00A64EBE" w:rsidRPr="00CA0804" w:rsidRDefault="00A64EBE" w:rsidP="001E741D"/>
    <w:p w14:paraId="1C07FA3A" w14:textId="7656DDFA" w:rsidR="001E741D" w:rsidRPr="00CA0804" w:rsidRDefault="001E741D" w:rsidP="001E741D">
      <w:pPr>
        <w:jc w:val="both"/>
      </w:pPr>
      <w:r w:rsidRPr="00CA0804">
        <w:rPr>
          <w:u w:val="single"/>
        </w:rPr>
        <w:t>Ministarstvo regionalnoga razvoja i fondova Europske unije</w:t>
      </w:r>
      <w:r w:rsidRPr="00CA0804">
        <w:t xml:space="preserve"> dodijelilo je u 2024. godini potpore putem subvencija u iznosu od 127,1 milijun eura temeljem Programa dodjele državnih potpora za strateška partnerstva za inovacije</w:t>
      </w:r>
      <w:r w:rsidRPr="00CA0804">
        <w:rPr>
          <w:rFonts w:eastAsia="Times New Roman"/>
          <w:color w:val="000000"/>
          <w:lang w:eastAsia="hr-HR"/>
        </w:rPr>
        <w:t xml:space="preserve">, o kojem je </w:t>
      </w:r>
      <w:r w:rsidRPr="00CA0804">
        <w:t>Europska komisija obaviještena pod brojem</w:t>
      </w:r>
      <w:r w:rsidRPr="00CA0804">
        <w:rPr>
          <w:rFonts w:eastAsia="Times New Roman"/>
          <w:color w:val="000000"/>
          <w:lang w:eastAsia="hr-HR"/>
        </w:rPr>
        <w:t xml:space="preserve"> </w:t>
      </w:r>
      <w:r w:rsidRPr="00CA0804">
        <w:t>SA.109392.</w:t>
      </w:r>
    </w:p>
    <w:p w14:paraId="7004B269" w14:textId="77777777" w:rsidR="001E741D" w:rsidRPr="00CA0804" w:rsidRDefault="001E741D" w:rsidP="001E741D">
      <w:pPr>
        <w:jc w:val="both"/>
      </w:pPr>
    </w:p>
    <w:p w14:paraId="58020288" w14:textId="5C96775F" w:rsidR="00806301" w:rsidRPr="00CA0804" w:rsidRDefault="001E741D" w:rsidP="00806301">
      <w:pPr>
        <w:jc w:val="both"/>
      </w:pPr>
      <w:r w:rsidRPr="00CA0804">
        <w:rPr>
          <w:u w:val="single"/>
        </w:rPr>
        <w:t>Ministarstvo znanosti, obrazovanja i mladih</w:t>
      </w:r>
      <w:r w:rsidRPr="00CA0804">
        <w:t xml:space="preserve"> dodijelilo je u 2024. godini potpore isključivo putem subvencija u ukupnom iznosu od </w:t>
      </w:r>
      <w:r w:rsidR="00806301" w:rsidRPr="00CA0804">
        <w:t>23,6</w:t>
      </w:r>
      <w:r w:rsidRPr="00CA0804">
        <w:t xml:space="preserve"> milijuna eura </w:t>
      </w:r>
      <w:r w:rsidR="00806301" w:rsidRPr="00CA0804">
        <w:t xml:space="preserve">i to </w:t>
      </w:r>
      <w:r w:rsidRPr="00CA0804">
        <w:t xml:space="preserve">temeljem </w:t>
      </w:r>
      <w:r w:rsidR="00806301" w:rsidRPr="00CA0804">
        <w:t xml:space="preserve">sljedećih programa: Izmjene Programa dodjele državnih potpora za projekte „Ciljana znanstvena istraživanja“ u iznosu od 18,4 </w:t>
      </w:r>
      <w:r w:rsidR="00806301" w:rsidRPr="00CA0804">
        <w:rPr>
          <w:rFonts w:eastAsia="Times New Roman"/>
          <w:color w:val="000000"/>
          <w:lang w:eastAsia="hr-HR"/>
        </w:rPr>
        <w:t xml:space="preserve">milijuna eura, o kojem je </w:t>
      </w:r>
      <w:r w:rsidR="00806301" w:rsidRPr="00CA0804">
        <w:t>Europska komisija obaviještena pod brojem</w:t>
      </w:r>
      <w:r w:rsidR="00806301" w:rsidRPr="00CA0804">
        <w:rPr>
          <w:rFonts w:eastAsia="Times New Roman"/>
          <w:color w:val="000000"/>
          <w:lang w:eastAsia="hr-HR"/>
        </w:rPr>
        <w:t xml:space="preserve"> </w:t>
      </w:r>
      <w:r w:rsidR="00806301" w:rsidRPr="00CA0804">
        <w:t xml:space="preserve">SA.112549, temeljem Izmjene Programa dodjele državnih potpora za projekte dokazivanja inovativnog koncepta u iznosu od 3,1 </w:t>
      </w:r>
      <w:r w:rsidR="00806301" w:rsidRPr="00CA0804">
        <w:rPr>
          <w:rFonts w:eastAsia="Times New Roman"/>
          <w:color w:val="000000"/>
          <w:lang w:eastAsia="hr-HR"/>
        </w:rPr>
        <w:t xml:space="preserve">milijun eura, o kojem je </w:t>
      </w:r>
      <w:r w:rsidR="00806301" w:rsidRPr="00CA0804">
        <w:t xml:space="preserve">Europska komisija obaviještena pod brojem SA.112585, te temeljem Druge izmjene Programa dodjele državnih potpora za projekte dokazivanja inovativnog koncepta u iznosu od 2,1 </w:t>
      </w:r>
      <w:r w:rsidR="00806301" w:rsidRPr="00CA0804">
        <w:rPr>
          <w:rFonts w:eastAsia="Times New Roman"/>
          <w:color w:val="000000"/>
          <w:lang w:eastAsia="hr-HR"/>
        </w:rPr>
        <w:t xml:space="preserve">milijun eura, o kojem je </w:t>
      </w:r>
      <w:r w:rsidR="00806301" w:rsidRPr="00CA0804">
        <w:t>Europska komisija obaviještena pod brojem SA.115535.</w:t>
      </w:r>
    </w:p>
    <w:p w14:paraId="383A325F" w14:textId="6694A0D4" w:rsidR="001E741D" w:rsidRPr="00CA0804" w:rsidRDefault="001E741D" w:rsidP="001E741D"/>
    <w:p w14:paraId="5C741DEF" w14:textId="536072C3" w:rsidR="00806301" w:rsidRPr="00CA0804" w:rsidRDefault="00806301" w:rsidP="00806301">
      <w:pPr>
        <w:jc w:val="both"/>
      </w:pPr>
      <w:r w:rsidRPr="00CA0804">
        <w:rPr>
          <w:u w:val="single"/>
        </w:rPr>
        <w:t>Ministarstvo mora, prometa i infrastrukture</w:t>
      </w:r>
      <w:r w:rsidRPr="00CA0804">
        <w:t xml:space="preserve"> dodijelilo je u 2024. godini potpore putem subvencija u iznosu od 9,3 milijuna eura temeljem Odluke o dodjeli pojedinačne jednokratne državne potpore poduzetniku Altpro d.o.o. za projekt istraživanja i razvoja „Razvoj sustava za napajanje vodikom „HERMES“ – NPOO C7.1 I1. (C1.4. R4-II) </w:t>
      </w:r>
      <w:r w:rsidRPr="00CA0804">
        <w:rPr>
          <w:rFonts w:eastAsia="Times New Roman"/>
          <w:color w:val="000000"/>
          <w:lang w:eastAsia="hr-HR"/>
        </w:rPr>
        <w:t xml:space="preserve">o kojem je </w:t>
      </w:r>
      <w:r w:rsidRPr="00CA0804">
        <w:t>Europska komisija obaviještena pod brojem SA.116101.</w:t>
      </w:r>
    </w:p>
    <w:p w14:paraId="43FC57F6" w14:textId="77777777" w:rsidR="00806301" w:rsidRPr="00CA0804" w:rsidRDefault="00806301" w:rsidP="001E741D"/>
    <w:p w14:paraId="2C515FDB" w14:textId="0F2EA351" w:rsidR="00806301" w:rsidRPr="00CA0804" w:rsidRDefault="00F249F4" w:rsidP="00833D45">
      <w:pPr>
        <w:jc w:val="both"/>
      </w:pPr>
      <w:r w:rsidRPr="00CA0804">
        <w:rPr>
          <w:u w:val="single"/>
        </w:rPr>
        <w:t xml:space="preserve">Ministarstvo gospodarstva </w:t>
      </w:r>
      <w:r w:rsidR="00833D45" w:rsidRPr="00CA0804">
        <w:t>dodijelilo je u 202</w:t>
      </w:r>
      <w:r w:rsidR="00806301" w:rsidRPr="00CA0804">
        <w:t>4</w:t>
      </w:r>
      <w:r w:rsidR="00833D45" w:rsidRPr="00CA0804">
        <w:t xml:space="preserve">. godini potpore putem subvencija u iznosu od </w:t>
      </w:r>
      <w:r w:rsidR="00806301" w:rsidRPr="00CA0804">
        <w:t xml:space="preserve">413.896,66 </w:t>
      </w:r>
      <w:r w:rsidR="00833D45" w:rsidRPr="00CA0804">
        <w:t xml:space="preserve">eura temeljem </w:t>
      </w:r>
      <w:r w:rsidRPr="00CA0804">
        <w:t xml:space="preserve">Programa </w:t>
      </w:r>
      <w:r w:rsidR="00806301" w:rsidRPr="00CA0804">
        <w:t xml:space="preserve">dodjele državnih potpora za provedbu aktivnosti Europskih digitalnih inovacijskih centara usmjerenih na pružanje usluge poduzetnicima, </w:t>
      </w:r>
      <w:r w:rsidR="00806301" w:rsidRPr="00CA0804">
        <w:rPr>
          <w:rFonts w:eastAsia="Times New Roman"/>
          <w:color w:val="000000"/>
          <w:lang w:eastAsia="hr-HR"/>
        </w:rPr>
        <w:t xml:space="preserve">o kojem je </w:t>
      </w:r>
      <w:r w:rsidR="00806301" w:rsidRPr="00CA0804">
        <w:t>Europska komisija obaviještena pod brojem SA.113101.</w:t>
      </w:r>
    </w:p>
    <w:p w14:paraId="3E07AED6" w14:textId="77777777" w:rsidR="00A2320E" w:rsidRPr="00CA0804" w:rsidRDefault="00A2320E" w:rsidP="00A2320E">
      <w:pPr>
        <w:jc w:val="both"/>
      </w:pPr>
    </w:p>
    <w:p w14:paraId="2B8A4719" w14:textId="00089413" w:rsidR="00806301" w:rsidRPr="00CA0804" w:rsidRDefault="00806301" w:rsidP="00806301">
      <w:pPr>
        <w:jc w:val="both"/>
      </w:pPr>
      <w:r w:rsidRPr="00CA0804">
        <w:rPr>
          <w:u w:val="single"/>
        </w:rPr>
        <w:t>Potpore male vrijednosti</w:t>
      </w:r>
      <w:r w:rsidRPr="00CA0804">
        <w:t xml:space="preserve"> za </w:t>
      </w:r>
      <w:r w:rsidR="00E224D1" w:rsidRPr="00CA0804">
        <w:t xml:space="preserve">istraživanje i razvoj i inovacije </w:t>
      </w:r>
      <w:r w:rsidRPr="00CA0804">
        <w:t>su u 202</w:t>
      </w:r>
      <w:r w:rsidR="00E224D1" w:rsidRPr="00CA0804">
        <w:t>4</w:t>
      </w:r>
      <w:r w:rsidRPr="00CA0804">
        <w:t xml:space="preserve">. godini dodijeljene u iznosu od </w:t>
      </w:r>
      <w:r w:rsidR="00E224D1" w:rsidRPr="00CA0804">
        <w:t xml:space="preserve">795.204,76 </w:t>
      </w:r>
      <w:r w:rsidRPr="00CA0804">
        <w:t xml:space="preserve">eura, te ukoliko bi se navedene potpore male vrijednosti pribrojile dodijeljenim potporama za </w:t>
      </w:r>
      <w:r w:rsidR="00E224D1" w:rsidRPr="00CA0804">
        <w:t xml:space="preserve">istraživanje i razvoj i inovacije </w:t>
      </w:r>
      <w:r w:rsidRPr="00CA0804">
        <w:t xml:space="preserve">u iznosu od </w:t>
      </w:r>
      <w:r w:rsidR="00E224D1" w:rsidRPr="00CA0804">
        <w:t>160,4</w:t>
      </w:r>
      <w:r w:rsidRPr="00CA0804">
        <w:t xml:space="preserve"> milijuna eura, </w:t>
      </w:r>
      <w:r w:rsidR="00E224D1" w:rsidRPr="00CA0804">
        <w:t xml:space="preserve">tada bi </w:t>
      </w:r>
      <w:r w:rsidRPr="00CA0804">
        <w:t xml:space="preserve">ukupan iznos svih dodijeljenih potpora za </w:t>
      </w:r>
      <w:r w:rsidR="00E224D1" w:rsidRPr="00CA0804">
        <w:t xml:space="preserve">istraživanje i razvoj i inovacije </w:t>
      </w:r>
      <w:r w:rsidRPr="00CA0804">
        <w:t>u 202</w:t>
      </w:r>
      <w:r w:rsidR="00E224D1" w:rsidRPr="00CA0804">
        <w:t>4</w:t>
      </w:r>
      <w:r w:rsidRPr="00CA0804">
        <w:t>. godini iznosio 1</w:t>
      </w:r>
      <w:r w:rsidR="00E224D1" w:rsidRPr="00CA0804">
        <w:t>61,2</w:t>
      </w:r>
      <w:r w:rsidRPr="00CA0804">
        <w:t xml:space="preserve"> milijuna eura. </w:t>
      </w:r>
    </w:p>
    <w:p w14:paraId="377FDFEF" w14:textId="35112487" w:rsidR="00A2320E" w:rsidRPr="00CA0804" w:rsidRDefault="00A2320E" w:rsidP="00A2320E">
      <w:pPr>
        <w:jc w:val="both"/>
      </w:pPr>
    </w:p>
    <w:p w14:paraId="0DFA55E9" w14:textId="3ECF059D" w:rsidR="00E668F9" w:rsidRPr="00CA0804" w:rsidRDefault="00E668F9" w:rsidP="00BE487D">
      <w:pPr>
        <w:jc w:val="both"/>
        <w:rPr>
          <w:lang w:eastAsia="hr-HR"/>
        </w:rPr>
      </w:pPr>
    </w:p>
    <w:p w14:paraId="271735EC" w14:textId="1F4C7B5B" w:rsidR="00E224D1" w:rsidRPr="00CA0804" w:rsidRDefault="00E224D1">
      <w:pPr>
        <w:rPr>
          <w:lang w:eastAsia="hr-HR"/>
        </w:rPr>
      </w:pPr>
      <w:r w:rsidRPr="00CA0804">
        <w:rPr>
          <w:lang w:eastAsia="hr-HR"/>
        </w:rPr>
        <w:br w:type="page"/>
      </w:r>
    </w:p>
    <w:p w14:paraId="57BE72E8" w14:textId="1CEA74AF" w:rsidR="00A64E3B" w:rsidRPr="00CA0804" w:rsidRDefault="00A64E3B" w:rsidP="00A64E3B">
      <w:pPr>
        <w:pStyle w:val="Heading3"/>
        <w:numPr>
          <w:ilvl w:val="2"/>
          <w:numId w:val="1"/>
        </w:numPr>
        <w:spacing w:before="0"/>
        <w:jc w:val="both"/>
        <w:rPr>
          <w:rFonts w:ascii="Times New Roman" w:hAnsi="Times New Roman" w:cs="Times New Roman"/>
          <w:b/>
          <w:i/>
          <w:color w:val="auto"/>
          <w:lang w:eastAsia="hr-HR"/>
        </w:rPr>
      </w:pPr>
      <w:bookmarkStart w:id="15" w:name="_Toc213660036"/>
      <w:r w:rsidRPr="00CA0804">
        <w:rPr>
          <w:rFonts w:ascii="Times New Roman" w:hAnsi="Times New Roman" w:cs="Times New Roman"/>
          <w:b/>
          <w:i/>
          <w:color w:val="auto"/>
          <w:lang w:eastAsia="hr-HR"/>
        </w:rPr>
        <w:lastRenderedPageBreak/>
        <w:t>Potpore za zapošljavanje</w:t>
      </w:r>
      <w:bookmarkEnd w:id="15"/>
    </w:p>
    <w:p w14:paraId="404B0F04" w14:textId="77777777" w:rsidR="00E668F9" w:rsidRPr="00CA0804" w:rsidRDefault="00E668F9" w:rsidP="00BE487D">
      <w:pPr>
        <w:jc w:val="both"/>
      </w:pPr>
    </w:p>
    <w:p w14:paraId="1A8BD30A" w14:textId="77777777" w:rsidR="00E668F9" w:rsidRPr="00CA0804" w:rsidRDefault="00E668F9" w:rsidP="00BE487D">
      <w:pPr>
        <w:jc w:val="both"/>
      </w:pPr>
    </w:p>
    <w:p w14:paraId="012BDE29" w14:textId="19422505" w:rsidR="00D06629" w:rsidRPr="00CA0804" w:rsidRDefault="00DC6C76" w:rsidP="00BE487D">
      <w:pPr>
        <w:jc w:val="both"/>
      </w:pPr>
      <w:r w:rsidRPr="00CA0804">
        <w:t>Potpore za zapošljavanje</w:t>
      </w:r>
      <w:r w:rsidRPr="00CA0804">
        <w:rPr>
          <w:rStyle w:val="FootnoteReference"/>
        </w:rPr>
        <w:footnoteReference w:id="26"/>
      </w:r>
      <w:r w:rsidRPr="00CA0804">
        <w:t xml:space="preserve"> </w:t>
      </w:r>
      <w:r w:rsidR="003E4E58" w:rsidRPr="00CA0804">
        <w:t xml:space="preserve">dodijeljene </w:t>
      </w:r>
      <w:r w:rsidR="00E224D1" w:rsidRPr="00CA0804">
        <w:t xml:space="preserve">su </w:t>
      </w:r>
      <w:r w:rsidR="003E4E58" w:rsidRPr="00CA0804">
        <w:t>u 202</w:t>
      </w:r>
      <w:r w:rsidR="00E224D1" w:rsidRPr="00CA0804">
        <w:t>4</w:t>
      </w:r>
      <w:r w:rsidR="003E4E58" w:rsidRPr="00CA0804">
        <w:t xml:space="preserve">. godini u iznosu od </w:t>
      </w:r>
      <w:r w:rsidR="00E224D1" w:rsidRPr="00CA0804">
        <w:t>39</w:t>
      </w:r>
      <w:r w:rsidR="003E4E58" w:rsidRPr="00CA0804">
        <w:t xml:space="preserve"> milijuna eura, što je </w:t>
      </w:r>
      <w:r w:rsidR="00E224D1" w:rsidRPr="00CA0804">
        <w:t>smanjenje</w:t>
      </w:r>
      <w:r w:rsidR="003E4E58" w:rsidRPr="00CA0804">
        <w:t xml:space="preserve"> za </w:t>
      </w:r>
      <w:r w:rsidR="00E224D1" w:rsidRPr="00CA0804">
        <w:t>3,</w:t>
      </w:r>
      <w:r w:rsidR="00E92D2D" w:rsidRPr="00CA0804">
        <w:t>4</w:t>
      </w:r>
      <w:r w:rsidR="003E4E58" w:rsidRPr="00CA0804">
        <w:t xml:space="preserve"> milijuna eura ili </w:t>
      </w:r>
      <w:r w:rsidR="00E92D2D" w:rsidRPr="00CA0804">
        <w:t>8</w:t>
      </w:r>
      <w:r w:rsidR="00E224D1" w:rsidRPr="00CA0804">
        <w:t xml:space="preserve"> posto u odnosu na 2023</w:t>
      </w:r>
      <w:r w:rsidR="003E4E58" w:rsidRPr="00CA0804">
        <w:t xml:space="preserve">. godinu, kada su </w:t>
      </w:r>
      <w:r w:rsidR="00E224D1" w:rsidRPr="00CA0804">
        <w:t xml:space="preserve">iste </w:t>
      </w:r>
      <w:r w:rsidR="003E4E58" w:rsidRPr="00CA0804">
        <w:t xml:space="preserve">iznosile </w:t>
      </w:r>
      <w:r w:rsidR="00E224D1" w:rsidRPr="00CA0804">
        <w:t>42,4</w:t>
      </w:r>
      <w:r w:rsidR="003E4E58" w:rsidRPr="00CA0804">
        <w:t xml:space="preserve"> milijuna eura, te </w:t>
      </w:r>
      <w:r w:rsidR="000A5FF3" w:rsidRPr="00CA0804">
        <w:t>predstavlja</w:t>
      </w:r>
      <w:r w:rsidR="003E4E58" w:rsidRPr="00CA0804">
        <w:t xml:space="preserve"> </w:t>
      </w:r>
      <w:r w:rsidR="00E224D1" w:rsidRPr="00CA0804">
        <w:t xml:space="preserve">povećanje </w:t>
      </w:r>
      <w:r w:rsidR="003E4E58" w:rsidRPr="00CA0804">
        <w:t xml:space="preserve">za </w:t>
      </w:r>
      <w:r w:rsidR="00E224D1" w:rsidRPr="00CA0804">
        <w:t>1</w:t>
      </w:r>
      <w:r w:rsidR="003E4E58" w:rsidRPr="00CA0804">
        <w:t xml:space="preserve"> milijun eura ili </w:t>
      </w:r>
      <w:r w:rsidR="00E92D2D" w:rsidRPr="00CA0804">
        <w:t>2,6</w:t>
      </w:r>
      <w:r w:rsidR="003E4E58" w:rsidRPr="00CA0804">
        <w:t xml:space="preserve"> posto u odnosu na 202</w:t>
      </w:r>
      <w:r w:rsidR="00E224D1" w:rsidRPr="00CA0804">
        <w:t>2</w:t>
      </w:r>
      <w:r w:rsidR="003E4E58" w:rsidRPr="00CA0804">
        <w:t xml:space="preserve">. godinu kada su iznosile </w:t>
      </w:r>
      <w:r w:rsidR="00E224D1" w:rsidRPr="00CA0804">
        <w:t>38</w:t>
      </w:r>
      <w:r w:rsidR="003E4E58" w:rsidRPr="00CA0804">
        <w:t xml:space="preserve"> milijuna eura.</w:t>
      </w:r>
    </w:p>
    <w:p w14:paraId="1A1B2448" w14:textId="115C8454" w:rsidR="003D2B7C" w:rsidRPr="00CA0804" w:rsidRDefault="003D2B7C" w:rsidP="00BE487D">
      <w:pPr>
        <w:jc w:val="both"/>
      </w:pPr>
    </w:p>
    <w:p w14:paraId="2B07CEF5" w14:textId="3DEFEB33" w:rsidR="00DC6C76" w:rsidRPr="00CA0804" w:rsidRDefault="00DC6C76" w:rsidP="00BE487D">
      <w:pPr>
        <w:jc w:val="both"/>
      </w:pPr>
      <w:r w:rsidRPr="00CA0804">
        <w:t xml:space="preserve">Tablica </w:t>
      </w:r>
      <w:r w:rsidR="00870E9F" w:rsidRPr="00CA0804">
        <w:t>11.</w:t>
      </w:r>
      <w:r w:rsidRPr="00CA0804">
        <w:t xml:space="preserve"> Potpore za zapošljavanje</w:t>
      </w:r>
      <w:r w:rsidR="000A1E58" w:rsidRPr="00CA0804">
        <w:t xml:space="preserve"> dodijeljene</w:t>
      </w:r>
      <w:r w:rsidRPr="00CA0804">
        <w:t xml:space="preserve"> </w:t>
      </w:r>
      <w:r w:rsidR="007A7C7C" w:rsidRPr="00CA0804">
        <w:t>u</w:t>
      </w:r>
      <w:r w:rsidRPr="00CA0804">
        <w:t xml:space="preserve"> razdoblj</w:t>
      </w:r>
      <w:r w:rsidR="007A7C7C" w:rsidRPr="00CA0804">
        <w:t>u</w:t>
      </w:r>
      <w:r w:rsidRPr="00CA0804">
        <w:t xml:space="preserve"> od 20</w:t>
      </w:r>
      <w:r w:rsidR="004C3637" w:rsidRPr="00CA0804">
        <w:t>2</w:t>
      </w:r>
      <w:r w:rsidR="00C21C11" w:rsidRPr="00CA0804">
        <w:t>2</w:t>
      </w:r>
      <w:r w:rsidRPr="00CA0804">
        <w:t>. do 202</w:t>
      </w:r>
      <w:r w:rsidR="00C21C11" w:rsidRPr="00CA0804">
        <w:t>4</w:t>
      </w:r>
      <w:r w:rsidRPr="00CA0804">
        <w:t>. godine</w:t>
      </w:r>
    </w:p>
    <w:p w14:paraId="659B5499" w14:textId="77777777" w:rsidR="00DC6C76" w:rsidRPr="00CA0804" w:rsidRDefault="00DC6C76"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C21C11" w:rsidRPr="00CA0804" w14:paraId="29D6A4F0" w14:textId="77777777" w:rsidTr="007A7C7C">
        <w:trPr>
          <w:trHeight w:val="38"/>
        </w:trPr>
        <w:tc>
          <w:tcPr>
            <w:tcW w:w="3376" w:type="dxa"/>
            <w:vMerge w:val="restart"/>
            <w:shd w:val="clear" w:color="000000" w:fill="FFFF99"/>
            <w:noWrap/>
            <w:vAlign w:val="center"/>
            <w:hideMark/>
          </w:tcPr>
          <w:p w14:paraId="2ED26487" w14:textId="02C49B7D" w:rsidR="00C21C11" w:rsidRPr="00CA0804" w:rsidRDefault="00C21C11" w:rsidP="00C21C11">
            <w:pPr>
              <w:rPr>
                <w:rFonts w:eastAsia="Times New Roman"/>
                <w:b/>
                <w:bCs/>
                <w:sz w:val="20"/>
                <w:szCs w:val="20"/>
              </w:rPr>
            </w:pPr>
            <w:r w:rsidRPr="00CA0804">
              <w:rPr>
                <w:rFonts w:eastAsia="Times New Roman"/>
                <w:b/>
                <w:bCs/>
                <w:sz w:val="20"/>
              </w:rPr>
              <w:t>Zapošljavanje</w:t>
            </w:r>
          </w:p>
        </w:tc>
        <w:tc>
          <w:tcPr>
            <w:tcW w:w="1439" w:type="dxa"/>
            <w:shd w:val="clear" w:color="000000" w:fill="FFFF99"/>
            <w:vAlign w:val="center"/>
          </w:tcPr>
          <w:p w14:paraId="58675BEB" w14:textId="7A6163DC" w:rsidR="00C21C11" w:rsidRPr="00CA0804" w:rsidRDefault="00C21C11" w:rsidP="00C21C11">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103E2E26" w14:textId="24457147" w:rsidR="00C21C11" w:rsidRPr="00CA0804" w:rsidRDefault="00C21C11" w:rsidP="00C21C11">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3C7D313C" w14:textId="731A0F7E" w:rsidR="00C21C11" w:rsidRPr="00CA0804" w:rsidRDefault="00C21C11" w:rsidP="00C21C11">
            <w:pPr>
              <w:jc w:val="center"/>
              <w:rPr>
                <w:rFonts w:eastAsia="Times New Roman"/>
                <w:b/>
                <w:bCs/>
                <w:sz w:val="20"/>
                <w:szCs w:val="20"/>
              </w:rPr>
            </w:pPr>
            <w:r w:rsidRPr="00CA0804">
              <w:rPr>
                <w:b/>
                <w:sz w:val="20"/>
                <w:szCs w:val="20"/>
              </w:rPr>
              <w:t>2024.</w:t>
            </w:r>
          </w:p>
        </w:tc>
      </w:tr>
      <w:tr w:rsidR="007A7C7C" w:rsidRPr="00CA0804" w14:paraId="255D1F89" w14:textId="77777777" w:rsidTr="007A7C7C">
        <w:trPr>
          <w:trHeight w:val="212"/>
        </w:trPr>
        <w:tc>
          <w:tcPr>
            <w:tcW w:w="3376" w:type="dxa"/>
            <w:vMerge/>
            <w:vAlign w:val="center"/>
            <w:hideMark/>
          </w:tcPr>
          <w:p w14:paraId="2A82525F" w14:textId="77777777" w:rsidR="00727AB3" w:rsidRPr="00CA0804" w:rsidRDefault="00727AB3" w:rsidP="007A7C7C">
            <w:pPr>
              <w:rPr>
                <w:rFonts w:eastAsia="Times New Roman"/>
                <w:b/>
                <w:bCs/>
                <w:sz w:val="20"/>
                <w:szCs w:val="20"/>
              </w:rPr>
            </w:pPr>
          </w:p>
        </w:tc>
        <w:tc>
          <w:tcPr>
            <w:tcW w:w="1439" w:type="dxa"/>
            <w:shd w:val="clear" w:color="000000" w:fill="FFFF99"/>
            <w:vAlign w:val="center"/>
          </w:tcPr>
          <w:p w14:paraId="649ECF6A" w14:textId="77777777" w:rsidR="00727AB3" w:rsidRPr="00CA0804" w:rsidRDefault="00727AB3" w:rsidP="007A7C7C">
            <w:pPr>
              <w:rPr>
                <w:rFonts w:eastAsia="Times New Roman"/>
                <w:b/>
                <w:sz w:val="18"/>
                <w:szCs w:val="20"/>
              </w:rPr>
            </w:pPr>
            <w:r w:rsidRPr="00CA0804">
              <w:rPr>
                <w:b/>
                <w:sz w:val="20"/>
                <w:szCs w:val="20"/>
              </w:rPr>
              <w:t>u mln EUR</w:t>
            </w:r>
          </w:p>
        </w:tc>
        <w:tc>
          <w:tcPr>
            <w:tcW w:w="1559" w:type="dxa"/>
            <w:shd w:val="clear" w:color="000000" w:fill="FFFF99"/>
            <w:vAlign w:val="center"/>
          </w:tcPr>
          <w:p w14:paraId="3B880B98" w14:textId="77777777" w:rsidR="00727AB3" w:rsidRPr="00CA0804" w:rsidRDefault="00727AB3" w:rsidP="007A7C7C">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6D31AA3F" w14:textId="77777777" w:rsidR="00727AB3" w:rsidRPr="00CA0804" w:rsidRDefault="00727AB3" w:rsidP="007A7C7C">
            <w:pPr>
              <w:jc w:val="center"/>
              <w:rPr>
                <w:rFonts w:eastAsia="Times New Roman"/>
                <w:b/>
                <w:sz w:val="18"/>
                <w:szCs w:val="20"/>
              </w:rPr>
            </w:pPr>
            <w:r w:rsidRPr="00CA0804">
              <w:rPr>
                <w:b/>
                <w:sz w:val="20"/>
                <w:szCs w:val="20"/>
              </w:rPr>
              <w:t>u mln EUR</w:t>
            </w:r>
          </w:p>
        </w:tc>
      </w:tr>
      <w:tr w:rsidR="002344DD" w:rsidRPr="00CA0804" w14:paraId="3583D99B" w14:textId="77777777" w:rsidTr="007A7C7C">
        <w:trPr>
          <w:trHeight w:val="40"/>
        </w:trPr>
        <w:tc>
          <w:tcPr>
            <w:tcW w:w="3376" w:type="dxa"/>
            <w:shd w:val="clear" w:color="auto" w:fill="auto"/>
            <w:noWrap/>
            <w:vAlign w:val="center"/>
            <w:hideMark/>
          </w:tcPr>
          <w:p w14:paraId="008F8CEF" w14:textId="77777777" w:rsidR="002344DD" w:rsidRPr="00CA0804" w:rsidRDefault="002344DD" w:rsidP="002344DD">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1E1E6F37" w14:textId="03604E15" w:rsidR="002344DD" w:rsidRPr="00CA0804" w:rsidRDefault="002344DD" w:rsidP="002344DD">
            <w:pPr>
              <w:jc w:val="right"/>
              <w:rPr>
                <w:sz w:val="20"/>
                <w:szCs w:val="14"/>
              </w:rPr>
            </w:pPr>
            <w:r w:rsidRPr="00CA0804">
              <w:rPr>
                <w:rFonts w:eastAsia="Times New Roman"/>
                <w:sz w:val="20"/>
                <w:szCs w:val="20"/>
                <w:lang w:eastAsia="hr-HR"/>
              </w:rPr>
              <w:t>38,0</w:t>
            </w:r>
          </w:p>
        </w:tc>
        <w:tc>
          <w:tcPr>
            <w:tcW w:w="1559" w:type="dxa"/>
            <w:vAlign w:val="center"/>
          </w:tcPr>
          <w:p w14:paraId="109D41EA" w14:textId="0C84BD8A" w:rsidR="002344DD" w:rsidRPr="00CA0804" w:rsidRDefault="002344DD" w:rsidP="002344DD">
            <w:pPr>
              <w:jc w:val="right"/>
              <w:rPr>
                <w:sz w:val="20"/>
                <w:szCs w:val="14"/>
              </w:rPr>
            </w:pPr>
            <w:r w:rsidRPr="00CA0804">
              <w:rPr>
                <w:rFonts w:eastAsia="Times New Roman"/>
                <w:sz w:val="20"/>
                <w:szCs w:val="20"/>
                <w:lang w:eastAsia="hr-HR"/>
              </w:rPr>
              <w:t>42,4</w:t>
            </w:r>
          </w:p>
        </w:tc>
        <w:tc>
          <w:tcPr>
            <w:tcW w:w="1559" w:type="dxa"/>
            <w:vAlign w:val="center"/>
          </w:tcPr>
          <w:p w14:paraId="7BF65E12" w14:textId="7498DB3B" w:rsidR="002344DD" w:rsidRPr="00CA0804" w:rsidRDefault="002344DD" w:rsidP="002344DD">
            <w:pPr>
              <w:jc w:val="right"/>
              <w:rPr>
                <w:sz w:val="20"/>
                <w:szCs w:val="14"/>
              </w:rPr>
            </w:pPr>
            <w:r w:rsidRPr="00CA0804">
              <w:rPr>
                <w:rFonts w:eastAsia="Times New Roman"/>
                <w:sz w:val="20"/>
                <w:szCs w:val="20"/>
                <w:lang w:eastAsia="hr-HR"/>
              </w:rPr>
              <w:t>39,0</w:t>
            </w:r>
          </w:p>
        </w:tc>
      </w:tr>
      <w:tr w:rsidR="002344DD" w:rsidRPr="00CA0804" w14:paraId="30F18CA0" w14:textId="77777777" w:rsidTr="007A7C7C">
        <w:trPr>
          <w:trHeight w:val="40"/>
        </w:trPr>
        <w:tc>
          <w:tcPr>
            <w:tcW w:w="3376" w:type="dxa"/>
            <w:shd w:val="clear" w:color="000000" w:fill="FFFF99"/>
            <w:noWrap/>
            <w:vAlign w:val="center"/>
            <w:hideMark/>
          </w:tcPr>
          <w:p w14:paraId="7C9158AD" w14:textId="77777777" w:rsidR="002344DD" w:rsidRPr="00CA0804" w:rsidRDefault="002344DD" w:rsidP="002344DD">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6F03CF9E" w14:textId="3D38E51A" w:rsidR="002344DD" w:rsidRPr="00CA0804" w:rsidRDefault="002344DD" w:rsidP="002344DD">
            <w:pPr>
              <w:jc w:val="right"/>
              <w:rPr>
                <w:b/>
                <w:sz w:val="20"/>
                <w:szCs w:val="14"/>
              </w:rPr>
            </w:pPr>
            <w:r w:rsidRPr="00CA0804">
              <w:rPr>
                <w:rFonts w:eastAsia="Times New Roman"/>
                <w:b/>
                <w:bCs/>
                <w:sz w:val="20"/>
                <w:szCs w:val="20"/>
                <w:lang w:eastAsia="hr-HR"/>
              </w:rPr>
              <w:t>38,0</w:t>
            </w:r>
          </w:p>
        </w:tc>
        <w:tc>
          <w:tcPr>
            <w:tcW w:w="1559" w:type="dxa"/>
            <w:shd w:val="clear" w:color="000000" w:fill="FFFF99"/>
            <w:vAlign w:val="center"/>
          </w:tcPr>
          <w:p w14:paraId="0040DA76" w14:textId="41A288E1" w:rsidR="002344DD" w:rsidRPr="00CA0804" w:rsidRDefault="002344DD" w:rsidP="002344DD">
            <w:pPr>
              <w:jc w:val="right"/>
              <w:rPr>
                <w:b/>
                <w:sz w:val="20"/>
                <w:szCs w:val="14"/>
              </w:rPr>
            </w:pPr>
            <w:r w:rsidRPr="00CA0804">
              <w:rPr>
                <w:rFonts w:eastAsia="Times New Roman"/>
                <w:b/>
                <w:bCs/>
                <w:sz w:val="20"/>
                <w:szCs w:val="20"/>
                <w:lang w:eastAsia="hr-HR"/>
              </w:rPr>
              <w:t>42,4</w:t>
            </w:r>
          </w:p>
        </w:tc>
        <w:tc>
          <w:tcPr>
            <w:tcW w:w="1559" w:type="dxa"/>
            <w:shd w:val="clear" w:color="000000" w:fill="FFFF99"/>
            <w:vAlign w:val="center"/>
          </w:tcPr>
          <w:p w14:paraId="5309904C" w14:textId="7A8BEEB7" w:rsidR="002344DD" w:rsidRPr="00CA0804" w:rsidRDefault="002344DD" w:rsidP="002344DD">
            <w:pPr>
              <w:jc w:val="right"/>
              <w:rPr>
                <w:b/>
                <w:sz w:val="20"/>
                <w:szCs w:val="14"/>
              </w:rPr>
            </w:pPr>
            <w:r w:rsidRPr="00CA0804">
              <w:rPr>
                <w:rFonts w:eastAsia="Times New Roman"/>
                <w:b/>
                <w:bCs/>
                <w:sz w:val="20"/>
                <w:szCs w:val="20"/>
                <w:lang w:eastAsia="hr-HR"/>
              </w:rPr>
              <w:t>39,0</w:t>
            </w:r>
          </w:p>
        </w:tc>
      </w:tr>
      <w:tr w:rsidR="002344DD" w:rsidRPr="00CA0804" w14:paraId="44430359" w14:textId="77777777" w:rsidTr="007A7C7C">
        <w:trPr>
          <w:trHeight w:val="40"/>
        </w:trPr>
        <w:tc>
          <w:tcPr>
            <w:tcW w:w="3376" w:type="dxa"/>
            <w:shd w:val="clear" w:color="auto" w:fill="auto"/>
            <w:vAlign w:val="center"/>
            <w:hideMark/>
          </w:tcPr>
          <w:p w14:paraId="3DACB642" w14:textId="77777777" w:rsidR="002344DD" w:rsidRPr="00CA0804" w:rsidRDefault="002344DD" w:rsidP="002344DD">
            <w:pPr>
              <w:rPr>
                <w:rFonts w:eastAsia="Times New Roman"/>
                <w:sz w:val="20"/>
                <w:szCs w:val="20"/>
              </w:rPr>
            </w:pPr>
            <w:r w:rsidRPr="00CA0804">
              <w:rPr>
                <w:rFonts w:eastAsia="Times New Roman"/>
                <w:sz w:val="20"/>
                <w:szCs w:val="20"/>
              </w:rPr>
              <w:t>udio (%) u horizontalnim ciljevima</w:t>
            </w:r>
          </w:p>
        </w:tc>
        <w:tc>
          <w:tcPr>
            <w:tcW w:w="1439" w:type="dxa"/>
            <w:vAlign w:val="center"/>
          </w:tcPr>
          <w:p w14:paraId="25D8DD8A" w14:textId="4060924C" w:rsidR="002344DD" w:rsidRPr="00CA0804" w:rsidRDefault="002344DD" w:rsidP="002344DD">
            <w:pPr>
              <w:jc w:val="center"/>
              <w:rPr>
                <w:sz w:val="20"/>
                <w:szCs w:val="14"/>
              </w:rPr>
            </w:pPr>
            <w:r w:rsidRPr="00CA0804">
              <w:rPr>
                <w:rFonts w:eastAsia="Times New Roman"/>
                <w:sz w:val="20"/>
                <w:szCs w:val="20"/>
                <w:lang w:eastAsia="hr-HR"/>
              </w:rPr>
              <w:t>38,54</w:t>
            </w:r>
          </w:p>
        </w:tc>
        <w:tc>
          <w:tcPr>
            <w:tcW w:w="1559" w:type="dxa"/>
            <w:vAlign w:val="center"/>
          </w:tcPr>
          <w:p w14:paraId="0BB7CFA0" w14:textId="4B55E87A" w:rsidR="002344DD" w:rsidRPr="00CA0804" w:rsidRDefault="00A029D3" w:rsidP="002344DD">
            <w:pPr>
              <w:jc w:val="center"/>
              <w:rPr>
                <w:sz w:val="20"/>
                <w:szCs w:val="14"/>
              </w:rPr>
            </w:pPr>
            <w:r w:rsidRPr="00CA0804">
              <w:rPr>
                <w:rFonts w:eastAsia="Times New Roman"/>
                <w:sz w:val="20"/>
                <w:szCs w:val="20"/>
                <w:lang w:eastAsia="hr-HR"/>
              </w:rPr>
              <w:t>15,80</w:t>
            </w:r>
          </w:p>
        </w:tc>
        <w:tc>
          <w:tcPr>
            <w:tcW w:w="1559" w:type="dxa"/>
            <w:vAlign w:val="center"/>
          </w:tcPr>
          <w:p w14:paraId="25A4F475" w14:textId="3F09FF18" w:rsidR="002344DD" w:rsidRPr="00CA0804" w:rsidRDefault="00000944" w:rsidP="002344DD">
            <w:pPr>
              <w:jc w:val="center"/>
              <w:rPr>
                <w:sz w:val="20"/>
                <w:szCs w:val="14"/>
              </w:rPr>
            </w:pPr>
            <w:r w:rsidRPr="00CA0804">
              <w:rPr>
                <w:rFonts w:eastAsia="Times New Roman"/>
                <w:sz w:val="20"/>
                <w:szCs w:val="20"/>
                <w:lang w:eastAsia="hr-HR"/>
              </w:rPr>
              <w:t>18,27</w:t>
            </w:r>
          </w:p>
        </w:tc>
      </w:tr>
      <w:tr w:rsidR="002344DD" w:rsidRPr="00CA0804" w14:paraId="1FE70038" w14:textId="77777777" w:rsidTr="007A7C7C">
        <w:trPr>
          <w:trHeight w:val="90"/>
        </w:trPr>
        <w:tc>
          <w:tcPr>
            <w:tcW w:w="3376" w:type="dxa"/>
            <w:shd w:val="clear" w:color="auto" w:fill="auto"/>
            <w:vAlign w:val="center"/>
            <w:hideMark/>
          </w:tcPr>
          <w:p w14:paraId="59E434D0" w14:textId="77777777" w:rsidR="002344DD" w:rsidRPr="00CA0804" w:rsidRDefault="002344DD" w:rsidP="002344DD">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22CAF458" w14:textId="54F57168" w:rsidR="002344DD" w:rsidRPr="00CA0804" w:rsidRDefault="002344DD" w:rsidP="002344DD">
            <w:pPr>
              <w:jc w:val="center"/>
              <w:rPr>
                <w:sz w:val="20"/>
                <w:szCs w:val="14"/>
              </w:rPr>
            </w:pPr>
            <w:r w:rsidRPr="00CA0804">
              <w:rPr>
                <w:rFonts w:eastAsia="Times New Roman"/>
                <w:sz w:val="20"/>
                <w:szCs w:val="20"/>
                <w:lang w:eastAsia="hr-HR"/>
              </w:rPr>
              <w:t>1,85</w:t>
            </w:r>
          </w:p>
        </w:tc>
        <w:tc>
          <w:tcPr>
            <w:tcW w:w="1559" w:type="dxa"/>
            <w:vAlign w:val="center"/>
          </w:tcPr>
          <w:p w14:paraId="5F0C9335" w14:textId="6A683493" w:rsidR="002344DD" w:rsidRPr="00CA0804" w:rsidRDefault="00000944" w:rsidP="002344DD">
            <w:pPr>
              <w:jc w:val="center"/>
              <w:rPr>
                <w:sz w:val="20"/>
                <w:szCs w:val="14"/>
              </w:rPr>
            </w:pPr>
            <w:r w:rsidRPr="00CA0804">
              <w:rPr>
                <w:rFonts w:eastAsia="Times New Roman"/>
                <w:sz w:val="20"/>
                <w:szCs w:val="20"/>
                <w:lang w:eastAsia="hr-HR"/>
              </w:rPr>
              <w:t>2,16</w:t>
            </w:r>
          </w:p>
        </w:tc>
        <w:tc>
          <w:tcPr>
            <w:tcW w:w="1559" w:type="dxa"/>
            <w:vAlign w:val="center"/>
          </w:tcPr>
          <w:p w14:paraId="00783DC9" w14:textId="24DD144A" w:rsidR="002344DD" w:rsidRPr="00CA0804" w:rsidRDefault="00000944" w:rsidP="002344DD">
            <w:pPr>
              <w:jc w:val="center"/>
              <w:rPr>
                <w:sz w:val="20"/>
                <w:szCs w:val="14"/>
              </w:rPr>
            </w:pPr>
            <w:r w:rsidRPr="00CA0804">
              <w:rPr>
                <w:rFonts w:eastAsia="Times New Roman"/>
                <w:sz w:val="20"/>
                <w:szCs w:val="20"/>
                <w:lang w:eastAsia="hr-HR"/>
              </w:rPr>
              <w:t>2,95</w:t>
            </w:r>
          </w:p>
        </w:tc>
      </w:tr>
      <w:tr w:rsidR="002344DD" w:rsidRPr="00CA0804" w14:paraId="78C5D0E7" w14:textId="77777777" w:rsidTr="007A7C7C">
        <w:trPr>
          <w:trHeight w:val="40"/>
        </w:trPr>
        <w:tc>
          <w:tcPr>
            <w:tcW w:w="3376" w:type="dxa"/>
            <w:shd w:val="clear" w:color="auto" w:fill="auto"/>
            <w:vAlign w:val="center"/>
            <w:hideMark/>
          </w:tcPr>
          <w:p w14:paraId="7C0020A9" w14:textId="77777777" w:rsidR="002344DD" w:rsidRPr="00CA0804" w:rsidRDefault="002344DD" w:rsidP="002344DD">
            <w:pPr>
              <w:rPr>
                <w:rFonts w:eastAsia="Times New Roman"/>
                <w:sz w:val="20"/>
                <w:szCs w:val="20"/>
              </w:rPr>
            </w:pPr>
            <w:r w:rsidRPr="00CA0804">
              <w:rPr>
                <w:rFonts w:eastAsia="Times New Roman"/>
                <w:sz w:val="20"/>
                <w:szCs w:val="20"/>
              </w:rPr>
              <w:t>udio (%) u ukupnim potporama</w:t>
            </w:r>
          </w:p>
        </w:tc>
        <w:tc>
          <w:tcPr>
            <w:tcW w:w="1439" w:type="dxa"/>
            <w:vAlign w:val="center"/>
          </w:tcPr>
          <w:p w14:paraId="2BF1E134" w14:textId="017715C1" w:rsidR="002344DD" w:rsidRPr="00CA0804" w:rsidRDefault="002344DD" w:rsidP="002344DD">
            <w:pPr>
              <w:jc w:val="center"/>
              <w:rPr>
                <w:sz w:val="20"/>
                <w:szCs w:val="14"/>
              </w:rPr>
            </w:pPr>
            <w:r w:rsidRPr="00CA0804">
              <w:rPr>
                <w:rFonts w:eastAsia="Times New Roman"/>
                <w:sz w:val="20"/>
                <w:szCs w:val="20"/>
                <w:lang w:eastAsia="hr-HR"/>
              </w:rPr>
              <w:t>1,77</w:t>
            </w:r>
          </w:p>
        </w:tc>
        <w:tc>
          <w:tcPr>
            <w:tcW w:w="1559" w:type="dxa"/>
            <w:vAlign w:val="center"/>
          </w:tcPr>
          <w:p w14:paraId="7959560A" w14:textId="5E234DF3" w:rsidR="002344DD" w:rsidRPr="00CA0804" w:rsidRDefault="002344DD" w:rsidP="002344DD">
            <w:pPr>
              <w:jc w:val="center"/>
              <w:rPr>
                <w:sz w:val="20"/>
                <w:szCs w:val="14"/>
              </w:rPr>
            </w:pPr>
            <w:r w:rsidRPr="00CA0804">
              <w:rPr>
                <w:rFonts w:eastAsia="Times New Roman"/>
                <w:sz w:val="20"/>
                <w:szCs w:val="20"/>
                <w:lang w:eastAsia="hr-HR"/>
              </w:rPr>
              <w:t>2,04</w:t>
            </w:r>
          </w:p>
        </w:tc>
        <w:tc>
          <w:tcPr>
            <w:tcW w:w="1559" w:type="dxa"/>
            <w:vAlign w:val="center"/>
          </w:tcPr>
          <w:p w14:paraId="7346A8C7" w14:textId="3A2975A0" w:rsidR="002344DD" w:rsidRPr="00CA0804" w:rsidRDefault="002344DD" w:rsidP="002344DD">
            <w:pPr>
              <w:jc w:val="center"/>
              <w:rPr>
                <w:sz w:val="20"/>
                <w:szCs w:val="14"/>
              </w:rPr>
            </w:pPr>
            <w:r w:rsidRPr="00CA0804">
              <w:rPr>
                <w:rFonts w:eastAsia="Times New Roman"/>
                <w:sz w:val="20"/>
                <w:szCs w:val="20"/>
                <w:lang w:eastAsia="hr-HR"/>
              </w:rPr>
              <w:t>2,69</w:t>
            </w:r>
          </w:p>
        </w:tc>
      </w:tr>
      <w:tr w:rsidR="002344DD" w:rsidRPr="00CA0804" w14:paraId="111A3421" w14:textId="77777777" w:rsidTr="007A7C7C">
        <w:trPr>
          <w:trHeight w:val="40"/>
        </w:trPr>
        <w:tc>
          <w:tcPr>
            <w:tcW w:w="3376" w:type="dxa"/>
            <w:shd w:val="clear" w:color="auto" w:fill="auto"/>
            <w:vAlign w:val="center"/>
            <w:hideMark/>
          </w:tcPr>
          <w:p w14:paraId="57EC1C70" w14:textId="77777777" w:rsidR="002344DD" w:rsidRPr="00CA0804" w:rsidRDefault="002344DD" w:rsidP="002344DD">
            <w:pPr>
              <w:rPr>
                <w:rFonts w:eastAsia="Times New Roman"/>
                <w:sz w:val="20"/>
                <w:szCs w:val="20"/>
              </w:rPr>
            </w:pPr>
            <w:r w:rsidRPr="00CA0804">
              <w:rPr>
                <w:rFonts w:eastAsia="Times New Roman"/>
                <w:sz w:val="20"/>
                <w:szCs w:val="20"/>
              </w:rPr>
              <w:t>udio (%) u BDP-u</w:t>
            </w:r>
          </w:p>
        </w:tc>
        <w:tc>
          <w:tcPr>
            <w:tcW w:w="1439" w:type="dxa"/>
            <w:vAlign w:val="center"/>
          </w:tcPr>
          <w:p w14:paraId="180BCB88" w14:textId="7A8434B8" w:rsidR="002344DD" w:rsidRPr="00CA0804" w:rsidRDefault="002344DD" w:rsidP="002344DD">
            <w:pPr>
              <w:jc w:val="center"/>
              <w:rPr>
                <w:sz w:val="20"/>
                <w:szCs w:val="14"/>
              </w:rPr>
            </w:pPr>
            <w:r w:rsidRPr="00CA0804">
              <w:rPr>
                <w:rFonts w:eastAsia="Times New Roman"/>
                <w:sz w:val="20"/>
                <w:szCs w:val="20"/>
                <w:lang w:eastAsia="hr-HR"/>
              </w:rPr>
              <w:t>0,06</w:t>
            </w:r>
          </w:p>
        </w:tc>
        <w:tc>
          <w:tcPr>
            <w:tcW w:w="1559" w:type="dxa"/>
            <w:vAlign w:val="center"/>
          </w:tcPr>
          <w:p w14:paraId="178BE7E4" w14:textId="3B5BDAD9" w:rsidR="002344DD" w:rsidRPr="00CA0804" w:rsidRDefault="002344DD" w:rsidP="002344DD">
            <w:pPr>
              <w:jc w:val="center"/>
              <w:rPr>
                <w:sz w:val="20"/>
                <w:szCs w:val="14"/>
              </w:rPr>
            </w:pPr>
            <w:r w:rsidRPr="00CA0804">
              <w:rPr>
                <w:rFonts w:eastAsia="Times New Roman"/>
                <w:sz w:val="20"/>
                <w:szCs w:val="20"/>
                <w:lang w:eastAsia="hr-HR"/>
              </w:rPr>
              <w:t>0,05</w:t>
            </w:r>
          </w:p>
        </w:tc>
        <w:tc>
          <w:tcPr>
            <w:tcW w:w="1559" w:type="dxa"/>
            <w:vAlign w:val="center"/>
          </w:tcPr>
          <w:p w14:paraId="6D4BD43E" w14:textId="0C98B8AA" w:rsidR="002344DD" w:rsidRPr="00CA0804" w:rsidRDefault="002344DD" w:rsidP="002344DD">
            <w:pPr>
              <w:jc w:val="center"/>
              <w:rPr>
                <w:sz w:val="20"/>
                <w:szCs w:val="14"/>
              </w:rPr>
            </w:pPr>
            <w:r w:rsidRPr="00CA0804">
              <w:rPr>
                <w:rFonts w:eastAsia="Times New Roman"/>
                <w:sz w:val="20"/>
                <w:szCs w:val="20"/>
                <w:lang w:eastAsia="hr-HR"/>
              </w:rPr>
              <w:t>0,05</w:t>
            </w:r>
          </w:p>
        </w:tc>
      </w:tr>
    </w:tbl>
    <w:p w14:paraId="2D1B8310" w14:textId="77777777" w:rsidR="007A7C7C" w:rsidRPr="00CA0804" w:rsidRDefault="007A7C7C" w:rsidP="007A7C7C">
      <w:pPr>
        <w:contextualSpacing/>
        <w:jc w:val="both"/>
        <w:rPr>
          <w:i/>
          <w:sz w:val="20"/>
        </w:rPr>
      </w:pPr>
      <w:r w:rsidRPr="00CA0804">
        <w:rPr>
          <w:i/>
          <w:sz w:val="20"/>
        </w:rPr>
        <w:t>Izvor: Ministarstvo financija i davatelji potpora; podaci obrađeni u Ministarstvu financija</w:t>
      </w:r>
    </w:p>
    <w:p w14:paraId="4FE57F8A" w14:textId="77777777" w:rsidR="0087701A" w:rsidRPr="00CA0804" w:rsidRDefault="0087701A" w:rsidP="00BE487D">
      <w:pPr>
        <w:jc w:val="both"/>
      </w:pPr>
    </w:p>
    <w:p w14:paraId="25619775" w14:textId="2B286C60" w:rsidR="00A93951" w:rsidRPr="00CA0804" w:rsidRDefault="00EC283D" w:rsidP="00A93951">
      <w:pPr>
        <w:jc w:val="both"/>
      </w:pPr>
      <w:r w:rsidRPr="00CA0804">
        <w:t xml:space="preserve">Udio potpora za zapošljavanje u BDP-u </w:t>
      </w:r>
      <w:r w:rsidR="00B311AD" w:rsidRPr="00CA0804">
        <w:t>u 202</w:t>
      </w:r>
      <w:r w:rsidR="00E224D1" w:rsidRPr="00CA0804">
        <w:t>4</w:t>
      </w:r>
      <w:r w:rsidR="00B311AD" w:rsidRPr="00CA0804">
        <w:t>. godini iznosio je 0,0</w:t>
      </w:r>
      <w:r w:rsidR="00E224D1" w:rsidRPr="00CA0804">
        <w:t>5</w:t>
      </w:r>
      <w:r w:rsidR="00B311AD" w:rsidRPr="00CA0804">
        <w:t xml:space="preserve"> posto, u 202</w:t>
      </w:r>
      <w:r w:rsidR="00E224D1" w:rsidRPr="00CA0804">
        <w:t>3</w:t>
      </w:r>
      <w:r w:rsidR="00B311AD" w:rsidRPr="00CA0804">
        <w:t xml:space="preserve">. godini </w:t>
      </w:r>
      <w:r w:rsidR="00E224D1" w:rsidRPr="00CA0804">
        <w:t xml:space="preserve">također </w:t>
      </w:r>
      <w:r w:rsidR="00B311AD" w:rsidRPr="00CA0804">
        <w:t>0,0</w:t>
      </w:r>
      <w:r w:rsidR="00E224D1" w:rsidRPr="00CA0804">
        <w:t>5</w:t>
      </w:r>
      <w:r w:rsidR="00B311AD" w:rsidRPr="00CA0804">
        <w:t xml:space="preserve"> posto, </w:t>
      </w:r>
      <w:r w:rsidR="00E224D1" w:rsidRPr="00CA0804">
        <w:t xml:space="preserve">a </w:t>
      </w:r>
      <w:r w:rsidR="00B311AD" w:rsidRPr="00CA0804">
        <w:t>u 202</w:t>
      </w:r>
      <w:r w:rsidR="00E224D1" w:rsidRPr="00CA0804">
        <w:t>2</w:t>
      </w:r>
      <w:r w:rsidR="00B311AD" w:rsidRPr="00CA0804">
        <w:t xml:space="preserve">. godini </w:t>
      </w:r>
      <w:r w:rsidR="00E224D1" w:rsidRPr="00CA0804">
        <w:t>0,06</w:t>
      </w:r>
      <w:r w:rsidR="00B311AD" w:rsidRPr="00CA0804">
        <w:t xml:space="preserve"> posto. Udio potpora </w:t>
      </w:r>
      <w:r w:rsidR="00E224D1" w:rsidRPr="00CA0804">
        <w:t xml:space="preserve">za zapošljavanje </w:t>
      </w:r>
      <w:r w:rsidR="00B311AD" w:rsidRPr="00CA0804">
        <w:t>u 202</w:t>
      </w:r>
      <w:r w:rsidR="00E224D1" w:rsidRPr="00CA0804">
        <w:t>4</w:t>
      </w:r>
      <w:r w:rsidR="00B311AD" w:rsidRPr="00CA0804">
        <w:t xml:space="preserve">. godini u ukupno dodijeljenim potporama iznosio je </w:t>
      </w:r>
      <w:r w:rsidR="00E224D1" w:rsidRPr="00CA0804">
        <w:t>2,7</w:t>
      </w:r>
      <w:r w:rsidR="00B311AD" w:rsidRPr="00CA0804">
        <w:t xml:space="preserve"> posto, udio u dodijeljenim potporama u sektoru industrije i usluga </w:t>
      </w:r>
      <w:r w:rsidR="00E224D1" w:rsidRPr="00CA0804">
        <w:t>3</w:t>
      </w:r>
      <w:r w:rsidR="00B311AD" w:rsidRPr="00CA0804">
        <w:t xml:space="preserve"> posto, dok je udio u horizontalnim ciljevima iznosio </w:t>
      </w:r>
      <w:r w:rsidR="00E224D1" w:rsidRPr="00CA0804">
        <w:t>18,3</w:t>
      </w:r>
      <w:r w:rsidR="00B311AD" w:rsidRPr="00CA0804">
        <w:t xml:space="preserve"> posto.</w:t>
      </w:r>
    </w:p>
    <w:p w14:paraId="64E0603E" w14:textId="77777777" w:rsidR="003D2B7C" w:rsidRPr="00CA0804" w:rsidRDefault="003D2B7C" w:rsidP="00F355D6">
      <w:pPr>
        <w:jc w:val="both"/>
      </w:pPr>
    </w:p>
    <w:p w14:paraId="310DDFA7" w14:textId="06E577DC" w:rsidR="00F355D6" w:rsidRPr="00CA0804" w:rsidRDefault="00E224D1" w:rsidP="00F355D6">
      <w:pPr>
        <w:jc w:val="both"/>
      </w:pPr>
      <w:r w:rsidRPr="00CA0804">
        <w:t>D</w:t>
      </w:r>
      <w:r w:rsidR="00F355D6" w:rsidRPr="00CA0804">
        <w:t>avatelji</w:t>
      </w:r>
      <w:r w:rsidRPr="00CA0804">
        <w:t xml:space="preserve"> </w:t>
      </w:r>
      <w:r w:rsidR="00F355D6" w:rsidRPr="00CA0804">
        <w:t>potpora za zapošljavanje</w:t>
      </w:r>
      <w:r w:rsidRPr="00CA0804">
        <w:t xml:space="preserve"> u 2024. godini u </w:t>
      </w:r>
      <w:r w:rsidR="00F355D6" w:rsidRPr="00CA0804">
        <w:t xml:space="preserve">iznosu od </w:t>
      </w:r>
      <w:r w:rsidRPr="00CA0804">
        <w:t>39</w:t>
      </w:r>
      <w:r w:rsidR="00F355D6" w:rsidRPr="00CA0804">
        <w:t xml:space="preserve"> milijuna eura su</w:t>
      </w:r>
      <w:r w:rsidRPr="00CA0804">
        <w:t xml:space="preserve"> Hrvatski zavod za zapošljavanje s iznosom od 22,7 milijuna eura i </w:t>
      </w:r>
      <w:r w:rsidR="00F355D6" w:rsidRPr="00CA0804">
        <w:t xml:space="preserve">Zavod za vještačenje, profesionalnu rehabilitaciju i zapošljavanje osoba s invaliditetom </w:t>
      </w:r>
      <w:r w:rsidR="007957FD" w:rsidRPr="00CA0804">
        <w:t xml:space="preserve">s iznosom </w:t>
      </w:r>
      <w:r w:rsidR="00F355D6" w:rsidRPr="00CA0804">
        <w:t xml:space="preserve">od </w:t>
      </w:r>
      <w:r w:rsidRPr="00CA0804">
        <w:t>16,</w:t>
      </w:r>
      <w:r w:rsidR="00E92D2D" w:rsidRPr="00CA0804">
        <w:t>3</w:t>
      </w:r>
      <w:r w:rsidRPr="00CA0804">
        <w:t xml:space="preserve"> milijuna eura.</w:t>
      </w:r>
    </w:p>
    <w:p w14:paraId="38ADF4F6" w14:textId="50F3B3F4" w:rsidR="00F355D6" w:rsidRPr="00CA0804" w:rsidRDefault="00F355D6" w:rsidP="00F355D6"/>
    <w:p w14:paraId="1E0560B5" w14:textId="4DC27C4D" w:rsidR="00DC2DAB" w:rsidRPr="00CA0804" w:rsidRDefault="00E224D1" w:rsidP="00DC2DAB">
      <w:pPr>
        <w:jc w:val="both"/>
      </w:pPr>
      <w:r w:rsidRPr="00CA0804">
        <w:rPr>
          <w:u w:val="single"/>
        </w:rPr>
        <w:t>Hrvatski zavod za zapošljavanje</w:t>
      </w:r>
      <w:r w:rsidRPr="00CA0804">
        <w:t xml:space="preserve"> dodijelio je u 2024. godini potpore za zapošljavanje putem subvencija u ukupnom iznosu od 22,7 milijuna eura temeljem Programa državnih potpora za zapošljavanje u nadležnosti Hrvatskog zavoda za zapošljavanje za 2024. godinu, o kojem je Europska komisija obaviještena pod brojem SA.113026</w:t>
      </w:r>
      <w:r w:rsidR="00DC2DAB" w:rsidRPr="00CA0804">
        <w:t xml:space="preserve">, te temeljem Izmjene Programa državnih potpora za zapošljavanje i usavršavanje u nadležnosti Hrvatskog zavoda za </w:t>
      </w:r>
      <w:r w:rsidR="00DC2DAB" w:rsidRPr="00CA0804">
        <w:rPr>
          <w:szCs w:val="24"/>
        </w:rPr>
        <w:t xml:space="preserve">zapošljavanje za razdoblje od 2021. do 2023. godine u iznosu od </w:t>
      </w:r>
      <w:r w:rsidR="00DC2DAB" w:rsidRPr="00CA0804">
        <w:rPr>
          <w:rFonts w:eastAsia="Times New Roman"/>
          <w:szCs w:val="24"/>
          <w:lang w:eastAsia="hr-HR"/>
        </w:rPr>
        <w:t>1.950,00 eura,</w:t>
      </w:r>
      <w:r w:rsidR="000A5FF3" w:rsidRPr="00CA0804">
        <w:rPr>
          <w:rFonts w:eastAsia="Times New Roman"/>
          <w:szCs w:val="24"/>
          <w:lang w:eastAsia="hr-HR"/>
        </w:rPr>
        <w:t xml:space="preserve"> a</w:t>
      </w:r>
      <w:r w:rsidR="00DC2DAB" w:rsidRPr="00CA0804">
        <w:rPr>
          <w:rFonts w:eastAsia="Times New Roman"/>
          <w:szCs w:val="24"/>
          <w:lang w:eastAsia="hr-HR"/>
        </w:rPr>
        <w:t xml:space="preserve"> </w:t>
      </w:r>
      <w:r w:rsidR="000A5FF3" w:rsidRPr="00CA0804">
        <w:rPr>
          <w:rFonts w:eastAsia="Times New Roman"/>
          <w:szCs w:val="24"/>
          <w:lang w:eastAsia="hr-HR"/>
        </w:rPr>
        <w:t xml:space="preserve">o </w:t>
      </w:r>
      <w:r w:rsidR="00DC2DAB" w:rsidRPr="00CA0804">
        <w:rPr>
          <w:szCs w:val="24"/>
        </w:rPr>
        <w:t>kojem je Europska</w:t>
      </w:r>
      <w:r w:rsidR="00DC2DAB" w:rsidRPr="00CA0804">
        <w:t xml:space="preserve"> komisija obaviještena pod brojem SA.106112.</w:t>
      </w:r>
    </w:p>
    <w:p w14:paraId="681B29EF" w14:textId="77777777" w:rsidR="00DC2DAB" w:rsidRPr="00CA0804" w:rsidRDefault="00DC2DAB" w:rsidP="00DC2DAB"/>
    <w:p w14:paraId="4FF18138" w14:textId="24ED1B2B" w:rsidR="00F355D6" w:rsidRPr="00CA0804" w:rsidRDefault="00F355D6" w:rsidP="00F355D6">
      <w:pPr>
        <w:jc w:val="both"/>
      </w:pPr>
      <w:r w:rsidRPr="00CA0804">
        <w:rPr>
          <w:u w:val="single"/>
        </w:rPr>
        <w:t>Zavod za vještačenje, profesionalnu rehabilitaciju i zapošljavanje osoba s invaliditetom</w:t>
      </w:r>
      <w:r w:rsidRPr="00CA0804">
        <w:t xml:space="preserve"> dodijelio je u 202</w:t>
      </w:r>
      <w:r w:rsidR="00DC2DAB" w:rsidRPr="00CA0804">
        <w:t>4</w:t>
      </w:r>
      <w:r w:rsidRPr="00CA0804">
        <w:t xml:space="preserve">. godini potpore za zapošljavanje putem subvencija u iznosu od </w:t>
      </w:r>
      <w:r w:rsidR="00DC2DAB" w:rsidRPr="00CA0804">
        <w:t>16,</w:t>
      </w:r>
      <w:r w:rsidR="00E92D2D" w:rsidRPr="00CA0804">
        <w:t>3</w:t>
      </w:r>
      <w:r w:rsidRPr="00CA0804">
        <w:t xml:space="preserve"> milijuna eura temeljem Programa poticaja pri zapošljavanju osoba s invaliditetom za razdoblje od 202</w:t>
      </w:r>
      <w:r w:rsidR="00DC2DAB" w:rsidRPr="00CA0804">
        <w:t>4</w:t>
      </w:r>
      <w:r w:rsidRPr="00CA0804">
        <w:t>. do 202</w:t>
      </w:r>
      <w:r w:rsidR="00DC2DAB" w:rsidRPr="00CA0804">
        <w:t>6</w:t>
      </w:r>
      <w:r w:rsidRPr="00CA0804">
        <w:t xml:space="preserve">. godine, </w:t>
      </w:r>
      <w:r w:rsidR="00C82B2A" w:rsidRPr="00CA0804">
        <w:t>o kojem</w:t>
      </w:r>
      <w:r w:rsidRPr="00CA0804">
        <w:t xml:space="preserve"> je Europska komisija obav</w:t>
      </w:r>
      <w:r w:rsidR="00C82B2A" w:rsidRPr="00CA0804">
        <w:t>iještena pod brojem SA.</w:t>
      </w:r>
      <w:r w:rsidR="00DC2DAB" w:rsidRPr="00CA0804">
        <w:t>110059</w:t>
      </w:r>
      <w:r w:rsidR="00C82B2A" w:rsidRPr="00CA0804">
        <w:t>.</w:t>
      </w:r>
    </w:p>
    <w:p w14:paraId="4D918F64" w14:textId="77777777" w:rsidR="00951AFC" w:rsidRPr="00CA0804" w:rsidRDefault="00951AFC" w:rsidP="00BE487D">
      <w:pPr>
        <w:jc w:val="both"/>
      </w:pPr>
    </w:p>
    <w:p w14:paraId="13BE4B2A" w14:textId="039B5F5E" w:rsidR="00005410" w:rsidRPr="00CA0804" w:rsidRDefault="00005410" w:rsidP="0051514E">
      <w:pPr>
        <w:jc w:val="both"/>
      </w:pPr>
      <w:r w:rsidRPr="00CA0804">
        <w:rPr>
          <w:u w:val="single"/>
        </w:rPr>
        <w:t>Potpore male vrijednosti</w:t>
      </w:r>
      <w:r w:rsidRPr="00CA0804">
        <w:t xml:space="preserve"> za zapošljavanje </w:t>
      </w:r>
      <w:r w:rsidR="00C82B2A" w:rsidRPr="00CA0804">
        <w:t>su u 202</w:t>
      </w:r>
      <w:r w:rsidR="00DC2DAB" w:rsidRPr="00CA0804">
        <w:t>4</w:t>
      </w:r>
      <w:r w:rsidR="00C82B2A" w:rsidRPr="00CA0804">
        <w:t xml:space="preserve">. godini </w:t>
      </w:r>
      <w:r w:rsidRPr="00CA0804">
        <w:t xml:space="preserve">dodijeljene u iznosu od </w:t>
      </w:r>
      <w:r w:rsidR="00DC2DAB" w:rsidRPr="00CA0804">
        <w:t>98,5</w:t>
      </w:r>
      <w:r w:rsidR="0051514E" w:rsidRPr="00CA0804">
        <w:t xml:space="preserve"> </w:t>
      </w:r>
      <w:r w:rsidRPr="00CA0804">
        <w:t xml:space="preserve">milijuna </w:t>
      </w:r>
      <w:r w:rsidR="00C82B2A" w:rsidRPr="00CA0804">
        <w:t>eura</w:t>
      </w:r>
      <w:r w:rsidRPr="00CA0804">
        <w:t xml:space="preserve">, te </w:t>
      </w:r>
      <w:r w:rsidR="00C82B2A" w:rsidRPr="00CA0804">
        <w:t xml:space="preserve">ukoliko bi se navedene potpore male vrijednosti pribrojile </w:t>
      </w:r>
      <w:r w:rsidRPr="00CA0804">
        <w:t xml:space="preserve">dodijeljenim potporama za </w:t>
      </w:r>
      <w:r w:rsidR="00243641" w:rsidRPr="00CA0804">
        <w:t xml:space="preserve">zapošljavanje </w:t>
      </w:r>
      <w:r w:rsidRPr="00CA0804">
        <w:t xml:space="preserve">u iznosu od </w:t>
      </w:r>
      <w:r w:rsidR="00DC2DAB" w:rsidRPr="00CA0804">
        <w:t>39</w:t>
      </w:r>
      <w:r w:rsidR="0051514E" w:rsidRPr="00CA0804">
        <w:t xml:space="preserve"> </w:t>
      </w:r>
      <w:r w:rsidRPr="00CA0804">
        <w:t xml:space="preserve">milijuna </w:t>
      </w:r>
      <w:r w:rsidR="00C82B2A" w:rsidRPr="00CA0804">
        <w:t>eura</w:t>
      </w:r>
      <w:r w:rsidRPr="00CA0804">
        <w:t xml:space="preserve">, </w:t>
      </w:r>
      <w:r w:rsidR="00C82B2A" w:rsidRPr="00CA0804">
        <w:t xml:space="preserve">ukupan iznos svih dodijeljenih potpora </w:t>
      </w:r>
      <w:r w:rsidRPr="00CA0804">
        <w:t xml:space="preserve">za </w:t>
      </w:r>
      <w:r w:rsidR="00243641" w:rsidRPr="00CA0804">
        <w:t xml:space="preserve">zapošljavanje </w:t>
      </w:r>
      <w:r w:rsidRPr="00CA0804">
        <w:t>u 202</w:t>
      </w:r>
      <w:r w:rsidR="00DC2DAB" w:rsidRPr="00CA0804">
        <w:t>4</w:t>
      </w:r>
      <w:r w:rsidRPr="00CA0804">
        <w:t>. godini iznosi</w:t>
      </w:r>
      <w:r w:rsidR="001E7AE2" w:rsidRPr="00CA0804">
        <w:t>o</w:t>
      </w:r>
      <w:r w:rsidR="00C82B2A" w:rsidRPr="00CA0804">
        <w:t xml:space="preserve"> bi</w:t>
      </w:r>
      <w:r w:rsidRPr="00CA0804">
        <w:t xml:space="preserve"> </w:t>
      </w:r>
      <w:r w:rsidR="00DC2DAB" w:rsidRPr="00CA0804">
        <w:t>137,5</w:t>
      </w:r>
      <w:r w:rsidRPr="00CA0804">
        <w:t xml:space="preserve"> milijuna </w:t>
      </w:r>
      <w:r w:rsidR="00C82B2A" w:rsidRPr="00CA0804">
        <w:t>eura</w:t>
      </w:r>
      <w:r w:rsidRPr="00CA0804">
        <w:t xml:space="preserve">. </w:t>
      </w:r>
    </w:p>
    <w:p w14:paraId="116E589A" w14:textId="77777777" w:rsidR="009B5376" w:rsidRPr="00CA0804" w:rsidRDefault="009B5376" w:rsidP="00DC2DAB"/>
    <w:p w14:paraId="37FDCAC7" w14:textId="77777777" w:rsidR="004009E5" w:rsidRPr="00CA0804" w:rsidRDefault="004009E5" w:rsidP="00BE487D">
      <w:pPr>
        <w:jc w:val="both"/>
      </w:pPr>
    </w:p>
    <w:p w14:paraId="57079C79" w14:textId="75439CE0" w:rsidR="00BE0817" w:rsidRPr="00CA0804" w:rsidRDefault="00E668F9" w:rsidP="00BE487D">
      <w:pPr>
        <w:pStyle w:val="Heading3"/>
        <w:numPr>
          <w:ilvl w:val="2"/>
          <w:numId w:val="1"/>
        </w:numPr>
        <w:spacing w:before="0"/>
        <w:jc w:val="both"/>
        <w:rPr>
          <w:rFonts w:ascii="Times New Roman" w:hAnsi="Times New Roman" w:cs="Times New Roman"/>
          <w:b/>
          <w:color w:val="auto"/>
        </w:rPr>
      </w:pPr>
      <w:bookmarkStart w:id="16" w:name="_Toc213660037"/>
      <w:r w:rsidRPr="00CA0804">
        <w:rPr>
          <w:rFonts w:ascii="Times New Roman" w:hAnsi="Times New Roman" w:cs="Times New Roman"/>
          <w:b/>
          <w:i/>
          <w:color w:val="auto"/>
          <w:lang w:eastAsia="hr-HR"/>
        </w:rPr>
        <w:lastRenderedPageBreak/>
        <w:t>Potpore za usavršavanje</w:t>
      </w:r>
      <w:bookmarkEnd w:id="16"/>
    </w:p>
    <w:p w14:paraId="5A0ABF9F" w14:textId="77777777" w:rsidR="00E668F9" w:rsidRPr="00CA0804" w:rsidRDefault="00E668F9" w:rsidP="00BE487D">
      <w:pPr>
        <w:jc w:val="both"/>
      </w:pPr>
    </w:p>
    <w:p w14:paraId="696625A7" w14:textId="77777777" w:rsidR="00E668F9" w:rsidRPr="00CA0804" w:rsidRDefault="00E668F9" w:rsidP="00BE487D">
      <w:pPr>
        <w:jc w:val="both"/>
      </w:pPr>
    </w:p>
    <w:p w14:paraId="0EBF7148" w14:textId="3354853E" w:rsidR="00124E4C" w:rsidRPr="00CA0804" w:rsidRDefault="00124E4C" w:rsidP="00BE487D">
      <w:pPr>
        <w:jc w:val="both"/>
        <w:rPr>
          <w:spacing w:val="-2"/>
        </w:rPr>
      </w:pPr>
      <w:r w:rsidRPr="00CA0804">
        <w:rPr>
          <w:spacing w:val="-2"/>
        </w:rPr>
        <w:t>Potpore za usavršavanje</w:t>
      </w:r>
      <w:r w:rsidRPr="00CA0804">
        <w:rPr>
          <w:rStyle w:val="FootnoteReference"/>
          <w:spacing w:val="-2"/>
        </w:rPr>
        <w:footnoteReference w:id="27"/>
      </w:r>
      <w:r w:rsidRPr="00CA0804">
        <w:rPr>
          <w:spacing w:val="-2"/>
        </w:rPr>
        <w:t xml:space="preserve"> </w:t>
      </w:r>
      <w:r w:rsidR="003E4E58" w:rsidRPr="00CA0804">
        <w:rPr>
          <w:spacing w:val="-2"/>
        </w:rPr>
        <w:t xml:space="preserve">dodijeljene </w:t>
      </w:r>
      <w:r w:rsidR="00DC2DAB" w:rsidRPr="00CA0804">
        <w:rPr>
          <w:spacing w:val="-2"/>
        </w:rPr>
        <w:t xml:space="preserve">su </w:t>
      </w:r>
      <w:r w:rsidR="008C6C88" w:rsidRPr="00CA0804">
        <w:rPr>
          <w:spacing w:val="-2"/>
        </w:rPr>
        <w:t xml:space="preserve">putem subvencija </w:t>
      </w:r>
      <w:r w:rsidR="003E4E58" w:rsidRPr="00CA0804">
        <w:rPr>
          <w:spacing w:val="-2"/>
        </w:rPr>
        <w:t>u 202</w:t>
      </w:r>
      <w:r w:rsidR="00DC2DAB" w:rsidRPr="00CA0804">
        <w:rPr>
          <w:spacing w:val="-2"/>
        </w:rPr>
        <w:t>4</w:t>
      </w:r>
      <w:r w:rsidR="003E4E58" w:rsidRPr="00CA0804">
        <w:rPr>
          <w:spacing w:val="-2"/>
        </w:rPr>
        <w:t xml:space="preserve">. godini u iznosu od </w:t>
      </w:r>
      <w:r w:rsidR="00DC2DAB" w:rsidRPr="00CA0804">
        <w:rPr>
          <w:spacing w:val="-2"/>
        </w:rPr>
        <w:t xml:space="preserve">750.105,91 </w:t>
      </w:r>
      <w:r w:rsidR="003E4E58" w:rsidRPr="00CA0804">
        <w:rPr>
          <w:spacing w:val="-2"/>
        </w:rPr>
        <w:t>eur</w:t>
      </w:r>
      <w:r w:rsidR="00DC2DAB" w:rsidRPr="00CA0804">
        <w:rPr>
          <w:spacing w:val="-2"/>
        </w:rPr>
        <w:t>o</w:t>
      </w:r>
      <w:r w:rsidR="003E4E58" w:rsidRPr="00CA0804">
        <w:rPr>
          <w:spacing w:val="-2"/>
        </w:rPr>
        <w:t xml:space="preserve">, što je </w:t>
      </w:r>
      <w:r w:rsidR="00DC2DAB" w:rsidRPr="00CA0804">
        <w:rPr>
          <w:spacing w:val="-2"/>
        </w:rPr>
        <w:t>povećanje</w:t>
      </w:r>
      <w:r w:rsidR="003E4E58" w:rsidRPr="00CA0804">
        <w:rPr>
          <w:spacing w:val="-2"/>
        </w:rPr>
        <w:t xml:space="preserve"> za </w:t>
      </w:r>
      <w:r w:rsidR="00DC2DAB" w:rsidRPr="00CA0804">
        <w:rPr>
          <w:spacing w:val="-2"/>
        </w:rPr>
        <w:t xml:space="preserve">720.846,31 </w:t>
      </w:r>
      <w:r w:rsidR="003E4E58" w:rsidRPr="00CA0804">
        <w:rPr>
          <w:spacing w:val="-2"/>
        </w:rPr>
        <w:t>eur</w:t>
      </w:r>
      <w:r w:rsidR="00DC2DAB" w:rsidRPr="00CA0804">
        <w:rPr>
          <w:spacing w:val="-2"/>
        </w:rPr>
        <w:t>o</w:t>
      </w:r>
      <w:r w:rsidR="003E4E58" w:rsidRPr="00CA0804">
        <w:rPr>
          <w:spacing w:val="-2"/>
        </w:rPr>
        <w:t xml:space="preserve"> ili za </w:t>
      </w:r>
      <w:r w:rsidR="00DC2DAB" w:rsidRPr="00CA0804">
        <w:rPr>
          <w:spacing w:val="-2"/>
        </w:rPr>
        <w:t>2.463,6</w:t>
      </w:r>
      <w:r w:rsidR="003E4E58" w:rsidRPr="00CA0804">
        <w:rPr>
          <w:spacing w:val="-2"/>
        </w:rPr>
        <w:t xml:space="preserve"> posto u odnosu na 202</w:t>
      </w:r>
      <w:r w:rsidR="00DC2DAB" w:rsidRPr="00CA0804">
        <w:rPr>
          <w:spacing w:val="-2"/>
        </w:rPr>
        <w:t>3</w:t>
      </w:r>
      <w:r w:rsidR="003E4E58" w:rsidRPr="00CA0804">
        <w:rPr>
          <w:spacing w:val="-2"/>
        </w:rPr>
        <w:t xml:space="preserve">. godinu, kada su navedene potpore iznosile </w:t>
      </w:r>
      <w:r w:rsidR="00DC2DAB" w:rsidRPr="00CA0804">
        <w:rPr>
          <w:spacing w:val="-2"/>
        </w:rPr>
        <w:t xml:space="preserve">29.259,60 </w:t>
      </w:r>
      <w:r w:rsidR="003E4E58" w:rsidRPr="00CA0804">
        <w:rPr>
          <w:spacing w:val="-2"/>
        </w:rPr>
        <w:t xml:space="preserve">eura, te </w:t>
      </w:r>
      <w:r w:rsidR="000A5FF3" w:rsidRPr="00CA0804">
        <w:rPr>
          <w:spacing w:val="-2"/>
        </w:rPr>
        <w:t>predstavlja</w:t>
      </w:r>
      <w:r w:rsidR="003E4E58" w:rsidRPr="00CA0804">
        <w:rPr>
          <w:spacing w:val="-2"/>
        </w:rPr>
        <w:t xml:space="preserve"> smanjenje za </w:t>
      </w:r>
      <w:r w:rsidR="00DC2DAB" w:rsidRPr="00CA0804">
        <w:rPr>
          <w:spacing w:val="-2"/>
        </w:rPr>
        <w:t>2,9</w:t>
      </w:r>
      <w:r w:rsidR="003E4E58" w:rsidRPr="00CA0804">
        <w:rPr>
          <w:spacing w:val="-2"/>
        </w:rPr>
        <w:t xml:space="preserve"> milijuna eura ili za </w:t>
      </w:r>
      <w:r w:rsidR="00DC2DAB" w:rsidRPr="00CA0804">
        <w:rPr>
          <w:spacing w:val="-2"/>
        </w:rPr>
        <w:t>79,6</w:t>
      </w:r>
      <w:r w:rsidR="003E4E58" w:rsidRPr="00CA0804">
        <w:rPr>
          <w:spacing w:val="-2"/>
        </w:rPr>
        <w:t xml:space="preserve"> posto u odnosu na 202</w:t>
      </w:r>
      <w:r w:rsidR="00DC2DAB" w:rsidRPr="00CA0804">
        <w:rPr>
          <w:spacing w:val="-2"/>
        </w:rPr>
        <w:t>2</w:t>
      </w:r>
      <w:r w:rsidR="003E4E58" w:rsidRPr="00CA0804">
        <w:rPr>
          <w:spacing w:val="-2"/>
        </w:rPr>
        <w:t xml:space="preserve">. godinu kada su </w:t>
      </w:r>
      <w:r w:rsidR="00DC2DAB" w:rsidRPr="00CA0804">
        <w:rPr>
          <w:spacing w:val="-2"/>
        </w:rPr>
        <w:t xml:space="preserve">te </w:t>
      </w:r>
      <w:r w:rsidR="003E4E58" w:rsidRPr="00CA0804">
        <w:rPr>
          <w:spacing w:val="-2"/>
        </w:rPr>
        <w:t xml:space="preserve">potpore iznosile </w:t>
      </w:r>
      <w:r w:rsidR="00DC2DAB" w:rsidRPr="00CA0804">
        <w:rPr>
          <w:spacing w:val="-2"/>
        </w:rPr>
        <w:t xml:space="preserve">3,7 </w:t>
      </w:r>
      <w:r w:rsidR="003E4E58" w:rsidRPr="00CA0804">
        <w:rPr>
          <w:spacing w:val="-2"/>
        </w:rPr>
        <w:t>milijuna eura</w:t>
      </w:r>
      <w:r w:rsidRPr="00CA0804">
        <w:rPr>
          <w:spacing w:val="-2"/>
        </w:rPr>
        <w:t>.</w:t>
      </w:r>
    </w:p>
    <w:p w14:paraId="793805FD" w14:textId="2F222D7C" w:rsidR="003D2B7C" w:rsidRPr="00CA0804" w:rsidRDefault="003D2B7C" w:rsidP="00BE487D">
      <w:pPr>
        <w:jc w:val="both"/>
      </w:pPr>
    </w:p>
    <w:p w14:paraId="27D5E796" w14:textId="42576628" w:rsidR="00124E4C" w:rsidRPr="00CA0804" w:rsidRDefault="00124E4C" w:rsidP="00BE487D">
      <w:pPr>
        <w:autoSpaceDE w:val="0"/>
        <w:autoSpaceDN w:val="0"/>
        <w:adjustRightInd w:val="0"/>
        <w:contextualSpacing/>
        <w:jc w:val="both"/>
        <w:rPr>
          <w:bCs/>
          <w:lang w:eastAsia="hr-HR"/>
        </w:rPr>
      </w:pPr>
      <w:r w:rsidRPr="00CA0804">
        <w:rPr>
          <w:bCs/>
          <w:lang w:eastAsia="hr-HR"/>
        </w:rPr>
        <w:t xml:space="preserve">Tablica </w:t>
      </w:r>
      <w:r w:rsidR="00381995" w:rsidRPr="00CA0804">
        <w:rPr>
          <w:bCs/>
          <w:lang w:eastAsia="hr-HR"/>
        </w:rPr>
        <w:t>1</w:t>
      </w:r>
      <w:r w:rsidR="00870E9F" w:rsidRPr="00CA0804">
        <w:rPr>
          <w:bCs/>
          <w:lang w:eastAsia="hr-HR"/>
        </w:rPr>
        <w:t>2</w:t>
      </w:r>
      <w:r w:rsidRPr="00CA0804">
        <w:rPr>
          <w:bCs/>
          <w:lang w:eastAsia="hr-HR"/>
        </w:rPr>
        <w:t xml:space="preserve">. Potpore za usavršavanje </w:t>
      </w:r>
      <w:r w:rsidR="000A1E58" w:rsidRPr="00CA0804">
        <w:t xml:space="preserve">dodijeljene u razdoblju </w:t>
      </w:r>
      <w:r w:rsidRPr="00CA0804">
        <w:t>od 20</w:t>
      </w:r>
      <w:r w:rsidR="004C3637" w:rsidRPr="00CA0804">
        <w:t>2</w:t>
      </w:r>
      <w:r w:rsidR="002344DD" w:rsidRPr="00CA0804">
        <w:t>2</w:t>
      </w:r>
      <w:r w:rsidRPr="00CA0804">
        <w:t>. do 202</w:t>
      </w:r>
      <w:r w:rsidR="002344DD" w:rsidRPr="00CA0804">
        <w:t>4</w:t>
      </w:r>
      <w:r w:rsidRPr="00CA0804">
        <w:t>. godine</w:t>
      </w:r>
    </w:p>
    <w:p w14:paraId="5422391C" w14:textId="77777777" w:rsidR="00124E4C" w:rsidRPr="00CA0804" w:rsidRDefault="00124E4C"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2344DD" w:rsidRPr="00CA0804" w14:paraId="1FCAAA15" w14:textId="77777777" w:rsidTr="007A7C7C">
        <w:trPr>
          <w:trHeight w:val="38"/>
        </w:trPr>
        <w:tc>
          <w:tcPr>
            <w:tcW w:w="3376" w:type="dxa"/>
            <w:vMerge w:val="restart"/>
            <w:shd w:val="clear" w:color="000000" w:fill="FFFF99"/>
            <w:noWrap/>
            <w:vAlign w:val="center"/>
            <w:hideMark/>
          </w:tcPr>
          <w:p w14:paraId="63D9CCEB" w14:textId="7755104D" w:rsidR="002344DD" w:rsidRPr="00CA0804" w:rsidRDefault="002344DD" w:rsidP="002344DD">
            <w:pPr>
              <w:rPr>
                <w:rFonts w:eastAsia="Times New Roman"/>
                <w:b/>
                <w:bCs/>
                <w:sz w:val="20"/>
                <w:szCs w:val="20"/>
              </w:rPr>
            </w:pPr>
            <w:r w:rsidRPr="00CA0804">
              <w:rPr>
                <w:rFonts w:eastAsia="Times New Roman"/>
                <w:b/>
                <w:bCs/>
                <w:sz w:val="20"/>
              </w:rPr>
              <w:t>Usavršavanje</w:t>
            </w:r>
          </w:p>
        </w:tc>
        <w:tc>
          <w:tcPr>
            <w:tcW w:w="1439" w:type="dxa"/>
            <w:shd w:val="clear" w:color="000000" w:fill="FFFF99"/>
            <w:vAlign w:val="center"/>
          </w:tcPr>
          <w:p w14:paraId="3597438A" w14:textId="3E5B2814" w:rsidR="002344DD" w:rsidRPr="00CA0804" w:rsidRDefault="002344DD" w:rsidP="002344DD">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0706DBC1" w14:textId="6193B7F7" w:rsidR="002344DD" w:rsidRPr="00CA0804" w:rsidRDefault="002344DD" w:rsidP="002344DD">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2D292DB1" w14:textId="4216C535" w:rsidR="002344DD" w:rsidRPr="00CA0804" w:rsidRDefault="002344DD" w:rsidP="002344DD">
            <w:pPr>
              <w:jc w:val="center"/>
              <w:rPr>
                <w:rFonts w:eastAsia="Times New Roman"/>
                <w:b/>
                <w:bCs/>
                <w:sz w:val="20"/>
                <w:szCs w:val="20"/>
              </w:rPr>
            </w:pPr>
            <w:r w:rsidRPr="00CA0804">
              <w:rPr>
                <w:b/>
                <w:sz w:val="20"/>
                <w:szCs w:val="20"/>
              </w:rPr>
              <w:t>2024.</w:t>
            </w:r>
          </w:p>
        </w:tc>
      </w:tr>
      <w:tr w:rsidR="007A7C7C" w:rsidRPr="00CA0804" w14:paraId="4E2D4323" w14:textId="77777777" w:rsidTr="007A7C7C">
        <w:trPr>
          <w:trHeight w:val="212"/>
        </w:trPr>
        <w:tc>
          <w:tcPr>
            <w:tcW w:w="3376" w:type="dxa"/>
            <w:vMerge/>
            <w:vAlign w:val="center"/>
            <w:hideMark/>
          </w:tcPr>
          <w:p w14:paraId="3CEBA5BF" w14:textId="77777777" w:rsidR="007A7C7C" w:rsidRPr="00CA0804" w:rsidRDefault="007A7C7C" w:rsidP="007A7C7C">
            <w:pPr>
              <w:rPr>
                <w:rFonts w:eastAsia="Times New Roman"/>
                <w:b/>
                <w:bCs/>
                <w:sz w:val="20"/>
                <w:szCs w:val="20"/>
              </w:rPr>
            </w:pPr>
          </w:p>
        </w:tc>
        <w:tc>
          <w:tcPr>
            <w:tcW w:w="1439" w:type="dxa"/>
            <w:shd w:val="clear" w:color="000000" w:fill="FFFF99"/>
            <w:vAlign w:val="center"/>
          </w:tcPr>
          <w:p w14:paraId="37425A1E" w14:textId="77777777" w:rsidR="007A7C7C" w:rsidRPr="00CA0804" w:rsidRDefault="007A7C7C" w:rsidP="007A7C7C">
            <w:pPr>
              <w:rPr>
                <w:rFonts w:eastAsia="Times New Roman"/>
                <w:b/>
                <w:sz w:val="18"/>
                <w:szCs w:val="20"/>
              </w:rPr>
            </w:pPr>
            <w:r w:rsidRPr="00CA0804">
              <w:rPr>
                <w:b/>
                <w:sz w:val="20"/>
                <w:szCs w:val="20"/>
              </w:rPr>
              <w:t>u mln EUR</w:t>
            </w:r>
          </w:p>
        </w:tc>
        <w:tc>
          <w:tcPr>
            <w:tcW w:w="1559" w:type="dxa"/>
            <w:shd w:val="clear" w:color="000000" w:fill="FFFF99"/>
            <w:vAlign w:val="center"/>
          </w:tcPr>
          <w:p w14:paraId="0788008D" w14:textId="77777777" w:rsidR="007A7C7C" w:rsidRPr="00CA0804" w:rsidRDefault="007A7C7C" w:rsidP="007A7C7C">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0789D7ED" w14:textId="77777777" w:rsidR="007A7C7C" w:rsidRPr="00CA0804" w:rsidRDefault="007A7C7C" w:rsidP="007A7C7C">
            <w:pPr>
              <w:jc w:val="center"/>
              <w:rPr>
                <w:rFonts w:eastAsia="Times New Roman"/>
                <w:b/>
                <w:sz w:val="18"/>
                <w:szCs w:val="20"/>
              </w:rPr>
            </w:pPr>
            <w:r w:rsidRPr="00CA0804">
              <w:rPr>
                <w:b/>
                <w:sz w:val="20"/>
                <w:szCs w:val="20"/>
              </w:rPr>
              <w:t>u mln EUR</w:t>
            </w:r>
          </w:p>
        </w:tc>
      </w:tr>
      <w:tr w:rsidR="002344DD" w:rsidRPr="00CA0804" w14:paraId="369B441C" w14:textId="77777777" w:rsidTr="007A7C7C">
        <w:trPr>
          <w:trHeight w:val="40"/>
        </w:trPr>
        <w:tc>
          <w:tcPr>
            <w:tcW w:w="3376" w:type="dxa"/>
            <w:shd w:val="clear" w:color="auto" w:fill="auto"/>
            <w:noWrap/>
            <w:vAlign w:val="center"/>
            <w:hideMark/>
          </w:tcPr>
          <w:p w14:paraId="39757DB7" w14:textId="77777777" w:rsidR="002344DD" w:rsidRPr="00CA0804" w:rsidRDefault="002344DD" w:rsidP="002344DD">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6B64B3D0" w14:textId="0EAFBA9E" w:rsidR="002344DD" w:rsidRPr="00CA0804" w:rsidRDefault="002344DD" w:rsidP="002344DD">
            <w:pPr>
              <w:jc w:val="right"/>
              <w:rPr>
                <w:sz w:val="20"/>
                <w:szCs w:val="14"/>
              </w:rPr>
            </w:pPr>
            <w:r w:rsidRPr="00CA0804">
              <w:rPr>
                <w:rFonts w:eastAsia="Times New Roman"/>
                <w:sz w:val="20"/>
                <w:szCs w:val="20"/>
                <w:lang w:eastAsia="hr-HR"/>
              </w:rPr>
              <w:t>3,7</w:t>
            </w:r>
          </w:p>
        </w:tc>
        <w:tc>
          <w:tcPr>
            <w:tcW w:w="1559" w:type="dxa"/>
            <w:vAlign w:val="center"/>
          </w:tcPr>
          <w:p w14:paraId="115326B4" w14:textId="402EA201" w:rsidR="002344DD" w:rsidRPr="00CA0804" w:rsidRDefault="002344DD" w:rsidP="002344DD">
            <w:pPr>
              <w:jc w:val="right"/>
              <w:rPr>
                <w:sz w:val="20"/>
                <w:szCs w:val="14"/>
              </w:rPr>
            </w:pPr>
            <w:r w:rsidRPr="00CA0804">
              <w:rPr>
                <w:rFonts w:eastAsia="Times New Roman"/>
                <w:sz w:val="20"/>
                <w:szCs w:val="20"/>
                <w:lang w:eastAsia="hr-HR"/>
              </w:rPr>
              <w:t>0,03</w:t>
            </w:r>
          </w:p>
        </w:tc>
        <w:tc>
          <w:tcPr>
            <w:tcW w:w="1559" w:type="dxa"/>
            <w:vAlign w:val="center"/>
          </w:tcPr>
          <w:p w14:paraId="3E008FD9" w14:textId="3B6B982A" w:rsidR="002344DD" w:rsidRPr="00CA0804" w:rsidRDefault="002344DD" w:rsidP="002344DD">
            <w:pPr>
              <w:jc w:val="right"/>
              <w:rPr>
                <w:sz w:val="20"/>
                <w:szCs w:val="14"/>
              </w:rPr>
            </w:pPr>
            <w:r w:rsidRPr="00CA0804">
              <w:rPr>
                <w:rFonts w:eastAsia="Times New Roman"/>
                <w:sz w:val="20"/>
                <w:szCs w:val="20"/>
                <w:lang w:eastAsia="hr-HR"/>
              </w:rPr>
              <w:t>0,8</w:t>
            </w:r>
          </w:p>
        </w:tc>
      </w:tr>
      <w:tr w:rsidR="002344DD" w:rsidRPr="00CA0804" w14:paraId="6BB02045" w14:textId="77777777" w:rsidTr="007A7C7C">
        <w:trPr>
          <w:trHeight w:val="40"/>
        </w:trPr>
        <w:tc>
          <w:tcPr>
            <w:tcW w:w="3376" w:type="dxa"/>
            <w:shd w:val="clear" w:color="000000" w:fill="FFFF99"/>
            <w:noWrap/>
            <w:vAlign w:val="center"/>
            <w:hideMark/>
          </w:tcPr>
          <w:p w14:paraId="2C09E616" w14:textId="77777777" w:rsidR="002344DD" w:rsidRPr="00CA0804" w:rsidRDefault="002344DD" w:rsidP="002344DD">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12CCB170" w14:textId="66F0788E" w:rsidR="002344DD" w:rsidRPr="00CA0804" w:rsidRDefault="002344DD" w:rsidP="002344DD">
            <w:pPr>
              <w:jc w:val="right"/>
              <w:rPr>
                <w:b/>
                <w:sz w:val="20"/>
                <w:szCs w:val="14"/>
              </w:rPr>
            </w:pPr>
            <w:r w:rsidRPr="00CA0804">
              <w:rPr>
                <w:rFonts w:eastAsia="Times New Roman"/>
                <w:b/>
                <w:bCs/>
                <w:sz w:val="20"/>
                <w:szCs w:val="20"/>
                <w:lang w:eastAsia="hr-HR"/>
              </w:rPr>
              <w:t>3,7</w:t>
            </w:r>
          </w:p>
        </w:tc>
        <w:tc>
          <w:tcPr>
            <w:tcW w:w="1559" w:type="dxa"/>
            <w:shd w:val="clear" w:color="000000" w:fill="FFFF99"/>
            <w:vAlign w:val="center"/>
          </w:tcPr>
          <w:p w14:paraId="51BFC830" w14:textId="0A8F4AE3" w:rsidR="002344DD" w:rsidRPr="00CA0804" w:rsidRDefault="002344DD" w:rsidP="002344DD">
            <w:pPr>
              <w:jc w:val="right"/>
              <w:rPr>
                <w:b/>
                <w:sz w:val="20"/>
                <w:szCs w:val="14"/>
              </w:rPr>
            </w:pPr>
            <w:r w:rsidRPr="00CA0804">
              <w:rPr>
                <w:rFonts w:eastAsia="Times New Roman"/>
                <w:b/>
                <w:bCs/>
                <w:sz w:val="20"/>
                <w:szCs w:val="20"/>
                <w:lang w:eastAsia="hr-HR"/>
              </w:rPr>
              <w:t>0,03</w:t>
            </w:r>
          </w:p>
        </w:tc>
        <w:tc>
          <w:tcPr>
            <w:tcW w:w="1559" w:type="dxa"/>
            <w:shd w:val="clear" w:color="000000" w:fill="FFFF99"/>
            <w:vAlign w:val="center"/>
          </w:tcPr>
          <w:p w14:paraId="456FC39C" w14:textId="439D8323" w:rsidR="002344DD" w:rsidRPr="00CA0804" w:rsidRDefault="002344DD" w:rsidP="002344DD">
            <w:pPr>
              <w:jc w:val="right"/>
              <w:rPr>
                <w:b/>
                <w:sz w:val="20"/>
                <w:szCs w:val="14"/>
              </w:rPr>
            </w:pPr>
            <w:r w:rsidRPr="00CA0804">
              <w:rPr>
                <w:rFonts w:eastAsia="Times New Roman"/>
                <w:b/>
                <w:bCs/>
                <w:sz w:val="20"/>
                <w:szCs w:val="20"/>
                <w:lang w:eastAsia="hr-HR"/>
              </w:rPr>
              <w:t>0,8</w:t>
            </w:r>
          </w:p>
        </w:tc>
      </w:tr>
      <w:tr w:rsidR="00ED74F6" w:rsidRPr="00CA0804" w14:paraId="40402C0E" w14:textId="77777777" w:rsidTr="007A7C7C">
        <w:trPr>
          <w:trHeight w:val="40"/>
        </w:trPr>
        <w:tc>
          <w:tcPr>
            <w:tcW w:w="3376" w:type="dxa"/>
            <w:shd w:val="clear" w:color="auto" w:fill="auto"/>
            <w:vAlign w:val="center"/>
            <w:hideMark/>
          </w:tcPr>
          <w:p w14:paraId="5ED2E6C8" w14:textId="77777777" w:rsidR="00ED74F6" w:rsidRPr="00CA0804" w:rsidRDefault="00ED74F6" w:rsidP="00ED74F6">
            <w:pPr>
              <w:rPr>
                <w:rFonts w:eastAsia="Times New Roman"/>
                <w:sz w:val="20"/>
                <w:szCs w:val="20"/>
              </w:rPr>
            </w:pPr>
            <w:r w:rsidRPr="00CA0804">
              <w:rPr>
                <w:rFonts w:eastAsia="Times New Roman"/>
                <w:sz w:val="20"/>
                <w:szCs w:val="20"/>
              </w:rPr>
              <w:t>udio (%) u horizontalnim ciljevima</w:t>
            </w:r>
          </w:p>
        </w:tc>
        <w:tc>
          <w:tcPr>
            <w:tcW w:w="1439" w:type="dxa"/>
            <w:vAlign w:val="center"/>
          </w:tcPr>
          <w:p w14:paraId="5BEC8043" w14:textId="4F8D31C1" w:rsidR="00ED74F6" w:rsidRPr="00CA0804" w:rsidRDefault="00000944" w:rsidP="00ED74F6">
            <w:pPr>
              <w:jc w:val="center"/>
              <w:rPr>
                <w:sz w:val="20"/>
                <w:szCs w:val="14"/>
              </w:rPr>
            </w:pPr>
            <w:r w:rsidRPr="00CA0804">
              <w:rPr>
                <w:rFonts w:eastAsia="Times New Roman"/>
                <w:sz w:val="20"/>
                <w:szCs w:val="20"/>
                <w:lang w:eastAsia="hr-HR"/>
              </w:rPr>
              <w:t>3,75</w:t>
            </w:r>
          </w:p>
        </w:tc>
        <w:tc>
          <w:tcPr>
            <w:tcW w:w="1559" w:type="dxa"/>
            <w:vAlign w:val="center"/>
          </w:tcPr>
          <w:p w14:paraId="1B0182FA" w14:textId="52DADEC9" w:rsidR="00ED74F6" w:rsidRPr="00CA0804" w:rsidRDefault="00ED74F6" w:rsidP="00ED74F6">
            <w:pPr>
              <w:jc w:val="center"/>
              <w:rPr>
                <w:sz w:val="20"/>
                <w:szCs w:val="14"/>
              </w:rPr>
            </w:pPr>
            <w:r w:rsidRPr="00CA0804">
              <w:rPr>
                <w:rFonts w:eastAsia="Times New Roman"/>
                <w:sz w:val="20"/>
                <w:szCs w:val="20"/>
                <w:lang w:eastAsia="hr-HR"/>
              </w:rPr>
              <w:t>0,01</w:t>
            </w:r>
          </w:p>
        </w:tc>
        <w:tc>
          <w:tcPr>
            <w:tcW w:w="1559" w:type="dxa"/>
            <w:vAlign w:val="center"/>
          </w:tcPr>
          <w:p w14:paraId="240A753B" w14:textId="2896F6DC" w:rsidR="00ED74F6" w:rsidRPr="00CA0804" w:rsidRDefault="00ED74F6" w:rsidP="00ED74F6">
            <w:pPr>
              <w:jc w:val="center"/>
              <w:rPr>
                <w:sz w:val="20"/>
                <w:szCs w:val="14"/>
              </w:rPr>
            </w:pPr>
            <w:r w:rsidRPr="00CA0804">
              <w:rPr>
                <w:rFonts w:eastAsia="Times New Roman"/>
                <w:sz w:val="20"/>
                <w:szCs w:val="20"/>
                <w:lang w:eastAsia="hr-HR"/>
              </w:rPr>
              <w:t>0</w:t>
            </w:r>
            <w:r w:rsidR="00000944" w:rsidRPr="00CA0804">
              <w:rPr>
                <w:rFonts w:eastAsia="Times New Roman"/>
                <w:sz w:val="20"/>
                <w:szCs w:val="20"/>
                <w:lang w:eastAsia="hr-HR"/>
              </w:rPr>
              <w:t>,37</w:t>
            </w:r>
          </w:p>
        </w:tc>
      </w:tr>
      <w:tr w:rsidR="00ED74F6" w:rsidRPr="00CA0804" w14:paraId="52AF0A5B" w14:textId="77777777" w:rsidTr="007A7C7C">
        <w:trPr>
          <w:trHeight w:val="90"/>
        </w:trPr>
        <w:tc>
          <w:tcPr>
            <w:tcW w:w="3376" w:type="dxa"/>
            <w:shd w:val="clear" w:color="auto" w:fill="auto"/>
            <w:vAlign w:val="center"/>
            <w:hideMark/>
          </w:tcPr>
          <w:p w14:paraId="78E6E3D5" w14:textId="77777777" w:rsidR="00ED74F6" w:rsidRPr="00CA0804" w:rsidRDefault="00ED74F6" w:rsidP="00ED74F6">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4CBF5EE9" w14:textId="2B1FDE10" w:rsidR="00ED74F6" w:rsidRPr="00CA0804" w:rsidRDefault="00ED74F6" w:rsidP="00ED74F6">
            <w:pPr>
              <w:jc w:val="center"/>
              <w:rPr>
                <w:sz w:val="20"/>
                <w:szCs w:val="14"/>
              </w:rPr>
            </w:pPr>
            <w:r w:rsidRPr="00CA0804">
              <w:rPr>
                <w:rFonts w:eastAsia="Times New Roman"/>
                <w:sz w:val="20"/>
                <w:szCs w:val="20"/>
                <w:lang w:eastAsia="hr-HR"/>
              </w:rPr>
              <w:t>0,18</w:t>
            </w:r>
          </w:p>
        </w:tc>
        <w:tc>
          <w:tcPr>
            <w:tcW w:w="1559" w:type="dxa"/>
            <w:vAlign w:val="center"/>
          </w:tcPr>
          <w:p w14:paraId="64A8E649" w14:textId="3FCB397D" w:rsidR="00ED74F6" w:rsidRPr="00CA0804" w:rsidRDefault="00000944" w:rsidP="00ED74F6">
            <w:pPr>
              <w:jc w:val="center"/>
              <w:rPr>
                <w:sz w:val="20"/>
                <w:szCs w:val="14"/>
              </w:rPr>
            </w:pPr>
            <w:r w:rsidRPr="00CA0804">
              <w:rPr>
                <w:rFonts w:eastAsia="Times New Roman"/>
                <w:sz w:val="20"/>
                <w:szCs w:val="20"/>
                <w:lang w:eastAsia="hr-HR"/>
              </w:rPr>
              <w:t>0,002</w:t>
            </w:r>
          </w:p>
        </w:tc>
        <w:tc>
          <w:tcPr>
            <w:tcW w:w="1559" w:type="dxa"/>
            <w:vAlign w:val="center"/>
          </w:tcPr>
          <w:p w14:paraId="3E976FF6" w14:textId="1AD6E406" w:rsidR="00ED74F6" w:rsidRPr="00CA0804" w:rsidRDefault="00ED74F6" w:rsidP="00ED74F6">
            <w:pPr>
              <w:jc w:val="center"/>
              <w:rPr>
                <w:sz w:val="20"/>
                <w:szCs w:val="14"/>
              </w:rPr>
            </w:pPr>
            <w:r w:rsidRPr="00CA0804">
              <w:rPr>
                <w:rFonts w:eastAsia="Times New Roman"/>
                <w:sz w:val="20"/>
                <w:szCs w:val="20"/>
                <w:lang w:eastAsia="hr-HR"/>
              </w:rPr>
              <w:t>0,06</w:t>
            </w:r>
          </w:p>
        </w:tc>
      </w:tr>
      <w:tr w:rsidR="00ED74F6" w:rsidRPr="00CA0804" w14:paraId="6ABF999F" w14:textId="77777777" w:rsidTr="007A7C7C">
        <w:trPr>
          <w:trHeight w:val="40"/>
        </w:trPr>
        <w:tc>
          <w:tcPr>
            <w:tcW w:w="3376" w:type="dxa"/>
            <w:shd w:val="clear" w:color="auto" w:fill="auto"/>
            <w:vAlign w:val="center"/>
            <w:hideMark/>
          </w:tcPr>
          <w:p w14:paraId="202D24AB" w14:textId="77777777" w:rsidR="00ED74F6" w:rsidRPr="00CA0804" w:rsidRDefault="00ED74F6" w:rsidP="00ED74F6">
            <w:pPr>
              <w:rPr>
                <w:rFonts w:eastAsia="Times New Roman"/>
                <w:sz w:val="20"/>
                <w:szCs w:val="20"/>
              </w:rPr>
            </w:pPr>
            <w:r w:rsidRPr="00CA0804">
              <w:rPr>
                <w:rFonts w:eastAsia="Times New Roman"/>
                <w:sz w:val="20"/>
                <w:szCs w:val="20"/>
              </w:rPr>
              <w:t>udio (%) u ukupnim potporama</w:t>
            </w:r>
          </w:p>
        </w:tc>
        <w:tc>
          <w:tcPr>
            <w:tcW w:w="1439" w:type="dxa"/>
            <w:vAlign w:val="center"/>
          </w:tcPr>
          <w:p w14:paraId="7EE48544" w14:textId="375130B6" w:rsidR="00ED74F6" w:rsidRPr="00CA0804" w:rsidRDefault="00ED74F6" w:rsidP="00ED74F6">
            <w:pPr>
              <w:jc w:val="center"/>
              <w:rPr>
                <w:sz w:val="20"/>
                <w:szCs w:val="14"/>
              </w:rPr>
            </w:pPr>
            <w:r w:rsidRPr="00CA0804">
              <w:rPr>
                <w:rFonts w:eastAsia="Times New Roman"/>
                <w:sz w:val="20"/>
                <w:szCs w:val="20"/>
                <w:lang w:eastAsia="hr-HR"/>
              </w:rPr>
              <w:t>0,17</w:t>
            </w:r>
          </w:p>
        </w:tc>
        <w:tc>
          <w:tcPr>
            <w:tcW w:w="1559" w:type="dxa"/>
            <w:vAlign w:val="center"/>
          </w:tcPr>
          <w:p w14:paraId="1FD9770B" w14:textId="50598D6B" w:rsidR="00ED74F6" w:rsidRPr="00CA0804" w:rsidRDefault="00ED74F6" w:rsidP="00ED74F6">
            <w:pPr>
              <w:jc w:val="center"/>
              <w:rPr>
                <w:sz w:val="20"/>
                <w:szCs w:val="14"/>
              </w:rPr>
            </w:pPr>
            <w:r w:rsidRPr="00CA0804">
              <w:rPr>
                <w:rFonts w:eastAsia="Times New Roman"/>
                <w:sz w:val="20"/>
                <w:szCs w:val="20"/>
                <w:lang w:eastAsia="hr-HR"/>
              </w:rPr>
              <w:t>0,001</w:t>
            </w:r>
          </w:p>
        </w:tc>
        <w:tc>
          <w:tcPr>
            <w:tcW w:w="1559" w:type="dxa"/>
            <w:vAlign w:val="center"/>
          </w:tcPr>
          <w:p w14:paraId="74B8A5DA" w14:textId="4F312351" w:rsidR="00ED74F6" w:rsidRPr="00CA0804" w:rsidRDefault="00000944" w:rsidP="00ED74F6">
            <w:pPr>
              <w:jc w:val="center"/>
              <w:rPr>
                <w:sz w:val="20"/>
                <w:szCs w:val="14"/>
              </w:rPr>
            </w:pPr>
            <w:r w:rsidRPr="00CA0804">
              <w:rPr>
                <w:rFonts w:eastAsia="Times New Roman"/>
                <w:sz w:val="20"/>
                <w:szCs w:val="20"/>
                <w:lang w:eastAsia="hr-HR"/>
              </w:rPr>
              <w:t>0,06</w:t>
            </w:r>
          </w:p>
        </w:tc>
      </w:tr>
      <w:tr w:rsidR="00ED74F6" w:rsidRPr="00CA0804" w14:paraId="3168AAA3" w14:textId="77777777" w:rsidTr="007A7C7C">
        <w:trPr>
          <w:trHeight w:val="40"/>
        </w:trPr>
        <w:tc>
          <w:tcPr>
            <w:tcW w:w="3376" w:type="dxa"/>
            <w:shd w:val="clear" w:color="auto" w:fill="auto"/>
            <w:vAlign w:val="center"/>
            <w:hideMark/>
          </w:tcPr>
          <w:p w14:paraId="53756BA9" w14:textId="77777777" w:rsidR="00ED74F6" w:rsidRPr="00CA0804" w:rsidRDefault="00ED74F6" w:rsidP="00ED74F6">
            <w:pPr>
              <w:rPr>
                <w:rFonts w:eastAsia="Times New Roman"/>
                <w:sz w:val="20"/>
                <w:szCs w:val="20"/>
              </w:rPr>
            </w:pPr>
            <w:r w:rsidRPr="00CA0804">
              <w:rPr>
                <w:rFonts w:eastAsia="Times New Roman"/>
                <w:sz w:val="20"/>
                <w:szCs w:val="20"/>
              </w:rPr>
              <w:t>udio (%) u BDP-u</w:t>
            </w:r>
          </w:p>
        </w:tc>
        <w:tc>
          <w:tcPr>
            <w:tcW w:w="1439" w:type="dxa"/>
            <w:vAlign w:val="center"/>
          </w:tcPr>
          <w:p w14:paraId="5AB018BF" w14:textId="1D315FC5" w:rsidR="00ED74F6" w:rsidRPr="00CA0804" w:rsidRDefault="00ED74F6" w:rsidP="00ED74F6">
            <w:pPr>
              <w:jc w:val="center"/>
              <w:rPr>
                <w:sz w:val="20"/>
                <w:szCs w:val="14"/>
              </w:rPr>
            </w:pPr>
            <w:r w:rsidRPr="00CA0804">
              <w:rPr>
                <w:rFonts w:eastAsia="Times New Roman"/>
                <w:sz w:val="20"/>
                <w:szCs w:val="20"/>
                <w:lang w:eastAsia="hr-HR"/>
              </w:rPr>
              <w:t>0,005</w:t>
            </w:r>
          </w:p>
        </w:tc>
        <w:tc>
          <w:tcPr>
            <w:tcW w:w="1559" w:type="dxa"/>
            <w:vAlign w:val="center"/>
          </w:tcPr>
          <w:p w14:paraId="30B235DF" w14:textId="2483E7D3" w:rsidR="00ED74F6" w:rsidRPr="00CA0804" w:rsidRDefault="00ED74F6" w:rsidP="00ED74F6">
            <w:pPr>
              <w:jc w:val="center"/>
              <w:rPr>
                <w:sz w:val="20"/>
                <w:szCs w:val="14"/>
              </w:rPr>
            </w:pPr>
            <w:r w:rsidRPr="00CA0804">
              <w:rPr>
                <w:rFonts w:eastAsia="Times New Roman"/>
                <w:sz w:val="20"/>
                <w:szCs w:val="20"/>
                <w:lang w:eastAsia="hr-HR"/>
              </w:rPr>
              <w:t>0,00004</w:t>
            </w:r>
          </w:p>
        </w:tc>
        <w:tc>
          <w:tcPr>
            <w:tcW w:w="1559" w:type="dxa"/>
            <w:vAlign w:val="center"/>
          </w:tcPr>
          <w:p w14:paraId="3FC987B9" w14:textId="2DD09BE2" w:rsidR="00ED74F6" w:rsidRPr="00CA0804" w:rsidRDefault="00ED74F6" w:rsidP="00ED74F6">
            <w:pPr>
              <w:jc w:val="center"/>
              <w:rPr>
                <w:sz w:val="20"/>
                <w:szCs w:val="14"/>
              </w:rPr>
            </w:pPr>
            <w:r w:rsidRPr="00CA0804">
              <w:rPr>
                <w:rFonts w:eastAsia="Times New Roman"/>
                <w:sz w:val="20"/>
                <w:szCs w:val="20"/>
                <w:lang w:eastAsia="hr-HR"/>
              </w:rPr>
              <w:t>0,0009</w:t>
            </w:r>
          </w:p>
        </w:tc>
      </w:tr>
    </w:tbl>
    <w:p w14:paraId="307736FA" w14:textId="77777777" w:rsidR="00D77BA2" w:rsidRPr="00CA0804" w:rsidRDefault="00D77BA2" w:rsidP="00D77BA2">
      <w:pPr>
        <w:contextualSpacing/>
        <w:jc w:val="both"/>
        <w:rPr>
          <w:i/>
          <w:sz w:val="20"/>
        </w:rPr>
      </w:pPr>
      <w:r w:rsidRPr="00CA0804">
        <w:rPr>
          <w:i/>
          <w:sz w:val="20"/>
        </w:rPr>
        <w:t>Izvor: Ministarstvo financija i davatelji potpora; podaci obrađeni u Ministarstvu financija</w:t>
      </w:r>
    </w:p>
    <w:p w14:paraId="2ECBDEB5" w14:textId="77777777" w:rsidR="00677F96" w:rsidRPr="00CA0804" w:rsidRDefault="00677F96" w:rsidP="00BE487D">
      <w:pPr>
        <w:jc w:val="both"/>
      </w:pPr>
    </w:p>
    <w:p w14:paraId="3130DCD2" w14:textId="7312D947" w:rsidR="0000477C" w:rsidRPr="00CA0804" w:rsidRDefault="0060630B" w:rsidP="0060630B">
      <w:pPr>
        <w:jc w:val="both"/>
      </w:pPr>
      <w:r w:rsidRPr="00CA0804">
        <w:t xml:space="preserve">Udio potpora za usavršavanje u BDP-u </w:t>
      </w:r>
      <w:r w:rsidR="0000477C" w:rsidRPr="00CA0804">
        <w:t>u 202</w:t>
      </w:r>
      <w:r w:rsidR="00DC2DAB" w:rsidRPr="00CA0804">
        <w:t>4. godini iznosio je 0,0009</w:t>
      </w:r>
      <w:r w:rsidR="0000477C" w:rsidRPr="00CA0804">
        <w:t xml:space="preserve"> posto, u 202</w:t>
      </w:r>
      <w:r w:rsidR="00DC2DAB" w:rsidRPr="00CA0804">
        <w:t>3</w:t>
      </w:r>
      <w:r w:rsidR="0000477C" w:rsidRPr="00CA0804">
        <w:t>. godini 0,00</w:t>
      </w:r>
      <w:r w:rsidR="00DC2DAB" w:rsidRPr="00CA0804">
        <w:t>004 posto, i u 2022</w:t>
      </w:r>
      <w:r w:rsidR="0000477C" w:rsidRPr="00CA0804">
        <w:t>. godini 0,005 posto. Udio navedenih potpora u 202</w:t>
      </w:r>
      <w:r w:rsidR="00DC2DAB" w:rsidRPr="00CA0804">
        <w:t>4</w:t>
      </w:r>
      <w:r w:rsidR="0000477C" w:rsidRPr="00CA0804">
        <w:t xml:space="preserve">. godini u ukupno dodijeljenim potporama iznosio je </w:t>
      </w:r>
      <w:r w:rsidR="00DC2DAB" w:rsidRPr="00CA0804">
        <w:t>0,</w:t>
      </w:r>
      <w:r w:rsidR="00E92D2D" w:rsidRPr="00CA0804">
        <w:t>1</w:t>
      </w:r>
      <w:r w:rsidR="0000477C" w:rsidRPr="00CA0804">
        <w:t xml:space="preserve"> posto, udio u dodijeljenim potporama u sektoru industrije i usluga 0,</w:t>
      </w:r>
      <w:r w:rsidR="00E92D2D" w:rsidRPr="00CA0804">
        <w:t>1</w:t>
      </w:r>
      <w:r w:rsidR="0000477C" w:rsidRPr="00CA0804">
        <w:t xml:space="preserve"> posto, </w:t>
      </w:r>
      <w:r w:rsidR="00DC2DAB" w:rsidRPr="00CA0804">
        <w:t xml:space="preserve">te </w:t>
      </w:r>
      <w:r w:rsidR="0000477C" w:rsidRPr="00CA0804">
        <w:t>udio u horizontalnim ciljevima 0,</w:t>
      </w:r>
      <w:r w:rsidR="00E92D2D" w:rsidRPr="00CA0804">
        <w:t>4</w:t>
      </w:r>
      <w:r w:rsidR="0000477C" w:rsidRPr="00CA0804">
        <w:t xml:space="preserve"> posto.</w:t>
      </w:r>
    </w:p>
    <w:p w14:paraId="33D5C53E" w14:textId="17556BF0" w:rsidR="00DC2DAB" w:rsidRPr="00CA0804" w:rsidRDefault="00DC2DAB" w:rsidP="0060630B">
      <w:pPr>
        <w:jc w:val="both"/>
      </w:pPr>
    </w:p>
    <w:p w14:paraId="04A76CA5" w14:textId="52E2B91F" w:rsidR="00A953EB" w:rsidRPr="00CA0804" w:rsidRDefault="008C6C88" w:rsidP="008C6C88">
      <w:pPr>
        <w:jc w:val="both"/>
      </w:pPr>
      <w:r w:rsidRPr="00CA0804">
        <w:rPr>
          <w:u w:val="single"/>
        </w:rPr>
        <w:t>Ministarstvo znanosti, obrazovanja i mladih</w:t>
      </w:r>
      <w:r w:rsidRPr="00CA0804">
        <w:t xml:space="preserve"> </w:t>
      </w:r>
      <w:r w:rsidR="0000477C" w:rsidRPr="00CA0804">
        <w:t>je j</w:t>
      </w:r>
      <w:r w:rsidR="00A551C2" w:rsidRPr="00CA0804">
        <w:t>edini davatelj potpora za usavršavanje u 202</w:t>
      </w:r>
      <w:r w:rsidRPr="00CA0804">
        <w:t>4</w:t>
      </w:r>
      <w:r w:rsidR="00A551C2" w:rsidRPr="00CA0804">
        <w:t>. godini</w:t>
      </w:r>
      <w:r w:rsidR="00A551C2" w:rsidRPr="00CA0804">
        <w:rPr>
          <w:b/>
        </w:rPr>
        <w:t xml:space="preserve"> </w:t>
      </w:r>
      <w:r w:rsidR="0000477C" w:rsidRPr="00CA0804">
        <w:t xml:space="preserve">s dodijeljenim iznosom od </w:t>
      </w:r>
      <w:r w:rsidRPr="00CA0804">
        <w:t xml:space="preserve">750.105,91 </w:t>
      </w:r>
      <w:r w:rsidR="0000477C" w:rsidRPr="00CA0804">
        <w:t>eur</w:t>
      </w:r>
      <w:r w:rsidRPr="00CA0804">
        <w:t>o</w:t>
      </w:r>
      <w:r w:rsidR="0000477C" w:rsidRPr="00CA0804">
        <w:t xml:space="preserve"> putem subvencija koje je dodijelio temeljem </w:t>
      </w:r>
      <w:r w:rsidRPr="00CA0804">
        <w:t>Izmjene Programa dodjele državnih potpora za projekte stažiranja u gospodarstvu</w:t>
      </w:r>
      <w:r w:rsidR="0000477C" w:rsidRPr="00CA0804">
        <w:t xml:space="preserve">, </w:t>
      </w:r>
      <w:r w:rsidR="00BD1054" w:rsidRPr="00CA0804">
        <w:t xml:space="preserve">o kojem je </w:t>
      </w:r>
      <w:r w:rsidR="00A551C2" w:rsidRPr="00CA0804">
        <w:t>Europska komisija o</w:t>
      </w:r>
      <w:r w:rsidR="00A953EB" w:rsidRPr="00CA0804">
        <w:t>baviještena pod brojem SA.</w:t>
      </w:r>
      <w:r w:rsidRPr="00CA0804">
        <w:t>112550</w:t>
      </w:r>
      <w:r w:rsidR="00A953EB" w:rsidRPr="00CA0804">
        <w:t>.</w:t>
      </w:r>
    </w:p>
    <w:p w14:paraId="406227B1" w14:textId="755F9D61" w:rsidR="00A2320E" w:rsidRPr="00CA0804" w:rsidRDefault="00A2320E" w:rsidP="00BE487D">
      <w:pPr>
        <w:jc w:val="both"/>
      </w:pPr>
    </w:p>
    <w:p w14:paraId="70258C38" w14:textId="77777777" w:rsidR="00A2320E" w:rsidRPr="00CA0804" w:rsidRDefault="00A2320E" w:rsidP="00BE487D">
      <w:pPr>
        <w:jc w:val="both"/>
      </w:pPr>
    </w:p>
    <w:p w14:paraId="07DD67C0" w14:textId="77777777" w:rsidR="001E38B5" w:rsidRPr="00CA0804" w:rsidRDefault="001E38B5" w:rsidP="00BE487D">
      <w:pPr>
        <w:jc w:val="both"/>
      </w:pPr>
    </w:p>
    <w:p w14:paraId="53E1DDA2" w14:textId="2EEA15AE" w:rsidR="00BB6808" w:rsidRPr="00CA0804" w:rsidRDefault="00E668F9" w:rsidP="00BE487D">
      <w:pPr>
        <w:pStyle w:val="Heading3"/>
        <w:numPr>
          <w:ilvl w:val="2"/>
          <w:numId w:val="1"/>
        </w:numPr>
        <w:spacing w:before="0"/>
        <w:jc w:val="both"/>
        <w:rPr>
          <w:rFonts w:ascii="Times New Roman" w:hAnsi="Times New Roman" w:cs="Times New Roman"/>
          <w:b/>
          <w:color w:val="auto"/>
        </w:rPr>
      </w:pPr>
      <w:bookmarkStart w:id="17" w:name="_Toc213660038"/>
      <w:r w:rsidRPr="00CA0804">
        <w:rPr>
          <w:rFonts w:ascii="Times New Roman" w:hAnsi="Times New Roman" w:cs="Times New Roman"/>
          <w:b/>
          <w:i/>
          <w:color w:val="auto"/>
          <w:lang w:eastAsia="hr-HR"/>
        </w:rPr>
        <w:t>Potpore malim i srednjim poduzetnicima</w:t>
      </w:r>
      <w:bookmarkEnd w:id="17"/>
    </w:p>
    <w:p w14:paraId="1B006DA0" w14:textId="77777777" w:rsidR="00E668F9" w:rsidRPr="00CA0804" w:rsidRDefault="00E668F9" w:rsidP="00BE487D">
      <w:pPr>
        <w:jc w:val="both"/>
      </w:pPr>
    </w:p>
    <w:p w14:paraId="7A7A6624" w14:textId="77777777" w:rsidR="00E668F9" w:rsidRPr="00CA0804" w:rsidRDefault="00E668F9" w:rsidP="00BE487D">
      <w:pPr>
        <w:jc w:val="both"/>
      </w:pPr>
    </w:p>
    <w:p w14:paraId="4B3DB927" w14:textId="7A83F232" w:rsidR="000979DE" w:rsidRPr="00CA0804" w:rsidRDefault="004972DA" w:rsidP="00BE487D">
      <w:pPr>
        <w:jc w:val="both"/>
      </w:pPr>
      <w:r w:rsidRPr="00CA0804">
        <w:t>Potpore malim i srednjim poduzetnicima</w:t>
      </w:r>
      <w:r w:rsidRPr="00CA0804">
        <w:rPr>
          <w:rStyle w:val="FootnoteReference"/>
        </w:rPr>
        <w:footnoteReference w:id="28"/>
      </w:r>
      <w:r w:rsidRPr="00CA0804">
        <w:t xml:space="preserve"> </w:t>
      </w:r>
      <w:r w:rsidR="000979DE" w:rsidRPr="00CA0804">
        <w:t xml:space="preserve">dodijeljene </w:t>
      </w:r>
      <w:r w:rsidR="008C6C88" w:rsidRPr="00CA0804">
        <w:t xml:space="preserve">su </w:t>
      </w:r>
      <w:r w:rsidR="000979DE" w:rsidRPr="00CA0804">
        <w:t>u 202</w:t>
      </w:r>
      <w:r w:rsidR="008C6C88" w:rsidRPr="00CA0804">
        <w:t>4</w:t>
      </w:r>
      <w:r w:rsidR="000979DE" w:rsidRPr="00CA0804">
        <w:t xml:space="preserve">. godini u iznosu od </w:t>
      </w:r>
      <w:r w:rsidR="008C6C88" w:rsidRPr="00CA0804">
        <w:t xml:space="preserve">10,2 </w:t>
      </w:r>
      <w:r w:rsidR="000979DE" w:rsidRPr="00CA0804">
        <w:t xml:space="preserve">milijuna eura, što je povećanje za </w:t>
      </w:r>
      <w:r w:rsidR="008C6C88" w:rsidRPr="00CA0804">
        <w:t>2,4</w:t>
      </w:r>
      <w:r w:rsidR="000979DE" w:rsidRPr="00CA0804">
        <w:t xml:space="preserve"> milijuna eura ili </w:t>
      </w:r>
      <w:r w:rsidR="008C6C88" w:rsidRPr="00CA0804">
        <w:t>30,</w:t>
      </w:r>
      <w:r w:rsidR="00C86A48" w:rsidRPr="00CA0804">
        <w:t>8</w:t>
      </w:r>
      <w:r w:rsidR="000979DE" w:rsidRPr="00CA0804">
        <w:t xml:space="preserve"> posto u odnosu na 202</w:t>
      </w:r>
      <w:r w:rsidR="008C6C88" w:rsidRPr="00CA0804">
        <w:t>3</w:t>
      </w:r>
      <w:r w:rsidR="000979DE" w:rsidRPr="00CA0804">
        <w:t xml:space="preserve">. godinu, kada su iznosile </w:t>
      </w:r>
      <w:r w:rsidR="008C6C88" w:rsidRPr="00CA0804">
        <w:t>7,8</w:t>
      </w:r>
      <w:r w:rsidR="000979DE" w:rsidRPr="00CA0804">
        <w:t xml:space="preserve"> milijuna eura, te </w:t>
      </w:r>
      <w:r w:rsidR="000A5FF3" w:rsidRPr="00CA0804">
        <w:t xml:space="preserve">predstavlja </w:t>
      </w:r>
      <w:r w:rsidR="008C6C88" w:rsidRPr="00CA0804">
        <w:t xml:space="preserve">povećanje </w:t>
      </w:r>
      <w:r w:rsidR="000979DE" w:rsidRPr="00CA0804">
        <w:t xml:space="preserve">za </w:t>
      </w:r>
      <w:r w:rsidR="008C6C88" w:rsidRPr="00CA0804">
        <w:t xml:space="preserve">7,4 </w:t>
      </w:r>
      <w:r w:rsidR="000979DE" w:rsidRPr="00CA0804">
        <w:t xml:space="preserve">milijuna eura ili </w:t>
      </w:r>
      <w:r w:rsidR="008C6C88" w:rsidRPr="00CA0804">
        <w:t>26</w:t>
      </w:r>
      <w:r w:rsidR="00C86A48" w:rsidRPr="00CA0804">
        <w:t>1,7</w:t>
      </w:r>
      <w:r w:rsidR="000979DE" w:rsidRPr="00CA0804">
        <w:t xml:space="preserve"> posto u odnosu na 202</w:t>
      </w:r>
      <w:r w:rsidR="008C6C88" w:rsidRPr="00CA0804">
        <w:t>2</w:t>
      </w:r>
      <w:r w:rsidR="000979DE" w:rsidRPr="00CA0804">
        <w:t xml:space="preserve">. godinu kada su iznosile </w:t>
      </w:r>
      <w:r w:rsidR="008C6C88" w:rsidRPr="00CA0804">
        <w:t>2,8</w:t>
      </w:r>
      <w:r w:rsidR="000979DE" w:rsidRPr="00CA0804">
        <w:t xml:space="preserve"> milijuna eura.</w:t>
      </w:r>
    </w:p>
    <w:p w14:paraId="7B40DDD0" w14:textId="77777777" w:rsidR="003D2B7C" w:rsidRPr="00CA0804" w:rsidRDefault="003D2B7C" w:rsidP="008C6C88"/>
    <w:p w14:paraId="62F56D99" w14:textId="77777777" w:rsidR="008C6C88" w:rsidRPr="005C47F2" w:rsidRDefault="008C6C88">
      <w:pPr>
        <w:rPr>
          <w:highlight w:val="green"/>
        </w:rPr>
      </w:pPr>
      <w:r w:rsidRPr="005C47F2">
        <w:rPr>
          <w:highlight w:val="green"/>
        </w:rPr>
        <w:br w:type="page"/>
      </w:r>
    </w:p>
    <w:p w14:paraId="1729B1D9" w14:textId="06AE2CB2" w:rsidR="004972DA" w:rsidRPr="00CA0804" w:rsidRDefault="004972DA" w:rsidP="00BE487D">
      <w:pPr>
        <w:jc w:val="both"/>
      </w:pPr>
      <w:r w:rsidRPr="00CA0804">
        <w:lastRenderedPageBreak/>
        <w:t xml:space="preserve">Tablica </w:t>
      </w:r>
      <w:r w:rsidR="00381995" w:rsidRPr="00CA0804">
        <w:t>1</w:t>
      </w:r>
      <w:r w:rsidR="00870E9F" w:rsidRPr="00CA0804">
        <w:t>3</w:t>
      </w:r>
      <w:r w:rsidRPr="00CA0804">
        <w:t xml:space="preserve">. Potpore malim i srednjim poduzetnicima </w:t>
      </w:r>
      <w:r w:rsidR="000A1E58" w:rsidRPr="00CA0804">
        <w:t xml:space="preserve">dodijeljene </w:t>
      </w:r>
      <w:r w:rsidRPr="00CA0804">
        <w:t>u razdoblju od 20</w:t>
      </w:r>
      <w:r w:rsidR="00AB080D" w:rsidRPr="00CA0804">
        <w:t>2</w:t>
      </w:r>
      <w:r w:rsidR="00ED74F6" w:rsidRPr="00CA0804">
        <w:t>2</w:t>
      </w:r>
      <w:r w:rsidRPr="00CA0804">
        <w:t>. do 202</w:t>
      </w:r>
      <w:r w:rsidR="00ED74F6" w:rsidRPr="00CA0804">
        <w:t>4</w:t>
      </w:r>
      <w:r w:rsidRPr="00CA0804">
        <w:t>. godine</w:t>
      </w:r>
    </w:p>
    <w:p w14:paraId="41639C7C" w14:textId="2F7C4AE9" w:rsidR="007D617C" w:rsidRPr="00CA0804" w:rsidRDefault="007D617C" w:rsidP="00BE487D">
      <w:pPr>
        <w:jc w:val="both"/>
        <w:rPr>
          <w:rFonts w:eastAsia="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59"/>
        <w:gridCol w:w="1560"/>
        <w:gridCol w:w="1417"/>
      </w:tblGrid>
      <w:tr w:rsidR="00ED74F6" w:rsidRPr="00CA0804" w14:paraId="306C8442" w14:textId="77777777" w:rsidTr="00D77BA2">
        <w:trPr>
          <w:trHeight w:val="38"/>
        </w:trPr>
        <w:tc>
          <w:tcPr>
            <w:tcW w:w="4106" w:type="dxa"/>
            <w:vMerge w:val="restart"/>
            <w:shd w:val="clear" w:color="000000" w:fill="FFFF99"/>
            <w:noWrap/>
            <w:vAlign w:val="center"/>
            <w:hideMark/>
          </w:tcPr>
          <w:p w14:paraId="7DAD0D5F" w14:textId="2DC093E8" w:rsidR="00ED74F6" w:rsidRPr="00CA0804" w:rsidRDefault="00ED74F6" w:rsidP="00ED74F6">
            <w:pPr>
              <w:rPr>
                <w:rFonts w:eastAsia="Times New Roman"/>
                <w:b/>
                <w:bCs/>
                <w:sz w:val="20"/>
                <w:szCs w:val="20"/>
              </w:rPr>
            </w:pPr>
            <w:r w:rsidRPr="00CA0804">
              <w:rPr>
                <w:rFonts w:eastAsia="Times New Roman"/>
                <w:b/>
                <w:bCs/>
                <w:sz w:val="20"/>
                <w:szCs w:val="20"/>
              </w:rPr>
              <w:t>Mali i srednji poduzetnici</w:t>
            </w:r>
          </w:p>
        </w:tc>
        <w:tc>
          <w:tcPr>
            <w:tcW w:w="1559" w:type="dxa"/>
            <w:shd w:val="clear" w:color="000000" w:fill="FFFF99"/>
            <w:vAlign w:val="center"/>
          </w:tcPr>
          <w:p w14:paraId="72E6F39D" w14:textId="5045E049" w:rsidR="00ED74F6" w:rsidRPr="00CA0804" w:rsidRDefault="00ED74F6" w:rsidP="00ED74F6">
            <w:pPr>
              <w:jc w:val="center"/>
              <w:rPr>
                <w:rFonts w:eastAsia="Times New Roman"/>
                <w:b/>
                <w:bCs/>
                <w:sz w:val="20"/>
                <w:szCs w:val="20"/>
              </w:rPr>
            </w:pPr>
            <w:r w:rsidRPr="00CA0804">
              <w:rPr>
                <w:rFonts w:eastAsia="Times New Roman"/>
                <w:b/>
                <w:bCs/>
                <w:sz w:val="20"/>
                <w:szCs w:val="20"/>
                <w:lang w:eastAsia="hr-HR"/>
              </w:rPr>
              <w:t>2022.</w:t>
            </w:r>
          </w:p>
        </w:tc>
        <w:tc>
          <w:tcPr>
            <w:tcW w:w="1560" w:type="dxa"/>
            <w:shd w:val="clear" w:color="000000" w:fill="FFFF99"/>
            <w:vAlign w:val="center"/>
          </w:tcPr>
          <w:p w14:paraId="211CC2DA" w14:textId="36DB49E6" w:rsidR="00ED74F6" w:rsidRPr="00CA0804" w:rsidRDefault="00ED74F6" w:rsidP="00ED74F6">
            <w:pPr>
              <w:jc w:val="center"/>
              <w:rPr>
                <w:rFonts w:eastAsia="Times New Roman"/>
                <w:b/>
                <w:bCs/>
                <w:sz w:val="20"/>
                <w:szCs w:val="20"/>
              </w:rPr>
            </w:pPr>
            <w:r w:rsidRPr="00CA0804">
              <w:rPr>
                <w:rFonts w:eastAsia="Times New Roman"/>
                <w:b/>
                <w:bCs/>
                <w:sz w:val="20"/>
                <w:szCs w:val="20"/>
                <w:lang w:eastAsia="hr-HR"/>
              </w:rPr>
              <w:t>2023.</w:t>
            </w:r>
          </w:p>
        </w:tc>
        <w:tc>
          <w:tcPr>
            <w:tcW w:w="1417" w:type="dxa"/>
            <w:shd w:val="clear" w:color="000000" w:fill="FFFF99"/>
            <w:vAlign w:val="center"/>
          </w:tcPr>
          <w:p w14:paraId="676BDF90" w14:textId="6D38EB52" w:rsidR="00ED74F6" w:rsidRPr="00CA0804" w:rsidRDefault="00ED74F6" w:rsidP="00ED74F6">
            <w:pPr>
              <w:jc w:val="center"/>
              <w:rPr>
                <w:rFonts w:eastAsia="Times New Roman"/>
                <w:b/>
                <w:bCs/>
                <w:sz w:val="20"/>
                <w:szCs w:val="20"/>
              </w:rPr>
            </w:pPr>
            <w:r w:rsidRPr="00CA0804">
              <w:rPr>
                <w:rFonts w:eastAsia="Times New Roman"/>
                <w:b/>
                <w:bCs/>
                <w:sz w:val="20"/>
                <w:szCs w:val="20"/>
                <w:lang w:eastAsia="hr-HR"/>
              </w:rPr>
              <w:t>2024.</w:t>
            </w:r>
          </w:p>
        </w:tc>
      </w:tr>
      <w:tr w:rsidR="00D77BA2" w:rsidRPr="00CA0804" w14:paraId="423ADF20" w14:textId="77777777" w:rsidTr="00D77BA2">
        <w:trPr>
          <w:trHeight w:val="212"/>
        </w:trPr>
        <w:tc>
          <w:tcPr>
            <w:tcW w:w="4106" w:type="dxa"/>
            <w:vMerge/>
            <w:vAlign w:val="center"/>
            <w:hideMark/>
          </w:tcPr>
          <w:p w14:paraId="4E1AB5DC" w14:textId="77777777" w:rsidR="00D77BA2" w:rsidRPr="00CA0804" w:rsidRDefault="00D77BA2" w:rsidP="007A7C7C">
            <w:pPr>
              <w:rPr>
                <w:rFonts w:eastAsia="Times New Roman"/>
                <w:b/>
                <w:bCs/>
                <w:sz w:val="20"/>
                <w:szCs w:val="20"/>
              </w:rPr>
            </w:pPr>
          </w:p>
        </w:tc>
        <w:tc>
          <w:tcPr>
            <w:tcW w:w="1559" w:type="dxa"/>
            <w:shd w:val="clear" w:color="000000" w:fill="FFFF99"/>
            <w:vAlign w:val="center"/>
          </w:tcPr>
          <w:p w14:paraId="71BFA99C" w14:textId="3FAB74CD" w:rsidR="00D77BA2" w:rsidRPr="00CA0804" w:rsidRDefault="00D77BA2" w:rsidP="00D77BA2">
            <w:pPr>
              <w:jc w:val="center"/>
              <w:rPr>
                <w:rFonts w:eastAsia="Times New Roman"/>
                <w:b/>
                <w:sz w:val="18"/>
                <w:szCs w:val="20"/>
              </w:rPr>
            </w:pPr>
            <w:r w:rsidRPr="00CA0804">
              <w:rPr>
                <w:b/>
                <w:sz w:val="20"/>
                <w:szCs w:val="20"/>
              </w:rPr>
              <w:t>u mln EUR</w:t>
            </w:r>
          </w:p>
        </w:tc>
        <w:tc>
          <w:tcPr>
            <w:tcW w:w="1560" w:type="dxa"/>
            <w:shd w:val="clear" w:color="000000" w:fill="FFFF99"/>
            <w:vAlign w:val="center"/>
          </w:tcPr>
          <w:p w14:paraId="60DACD11" w14:textId="77777777" w:rsidR="00D77BA2" w:rsidRPr="00CA0804" w:rsidRDefault="00D77BA2" w:rsidP="007A7C7C">
            <w:pPr>
              <w:jc w:val="center"/>
              <w:rPr>
                <w:rFonts w:eastAsia="Times New Roman"/>
                <w:b/>
                <w:sz w:val="18"/>
                <w:szCs w:val="20"/>
              </w:rPr>
            </w:pPr>
            <w:r w:rsidRPr="00CA0804">
              <w:rPr>
                <w:b/>
                <w:sz w:val="20"/>
                <w:szCs w:val="20"/>
              </w:rPr>
              <w:t>u mln EUR</w:t>
            </w:r>
          </w:p>
        </w:tc>
        <w:tc>
          <w:tcPr>
            <w:tcW w:w="1417" w:type="dxa"/>
            <w:shd w:val="clear" w:color="000000" w:fill="FFFF99"/>
            <w:vAlign w:val="center"/>
          </w:tcPr>
          <w:p w14:paraId="44F9E7B5" w14:textId="77777777" w:rsidR="00D77BA2" w:rsidRPr="00CA0804" w:rsidRDefault="00D77BA2" w:rsidP="007A7C7C">
            <w:pPr>
              <w:jc w:val="center"/>
              <w:rPr>
                <w:rFonts w:eastAsia="Times New Roman"/>
                <w:b/>
                <w:sz w:val="18"/>
                <w:szCs w:val="20"/>
              </w:rPr>
            </w:pPr>
            <w:r w:rsidRPr="00CA0804">
              <w:rPr>
                <w:b/>
                <w:sz w:val="20"/>
                <w:szCs w:val="20"/>
              </w:rPr>
              <w:t>u mln EUR</w:t>
            </w:r>
          </w:p>
        </w:tc>
      </w:tr>
      <w:tr w:rsidR="00ED74F6" w:rsidRPr="00CA0804" w14:paraId="3FE8218E" w14:textId="77777777" w:rsidTr="00D77BA2">
        <w:trPr>
          <w:trHeight w:val="40"/>
        </w:trPr>
        <w:tc>
          <w:tcPr>
            <w:tcW w:w="4106" w:type="dxa"/>
            <w:shd w:val="clear" w:color="auto" w:fill="auto"/>
            <w:noWrap/>
            <w:vAlign w:val="center"/>
            <w:hideMark/>
          </w:tcPr>
          <w:p w14:paraId="678E9654" w14:textId="16B64B31" w:rsidR="00ED74F6" w:rsidRPr="00CA0804" w:rsidRDefault="00ED74F6" w:rsidP="00ED74F6">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 i neposredne subvencije kamata</w:t>
            </w:r>
          </w:p>
        </w:tc>
        <w:tc>
          <w:tcPr>
            <w:tcW w:w="1559" w:type="dxa"/>
            <w:vAlign w:val="center"/>
          </w:tcPr>
          <w:p w14:paraId="642A0E33" w14:textId="64A1F549" w:rsidR="00ED74F6" w:rsidRPr="00CA0804" w:rsidRDefault="00000944" w:rsidP="00ED74F6">
            <w:pPr>
              <w:jc w:val="right"/>
              <w:rPr>
                <w:sz w:val="20"/>
                <w:szCs w:val="14"/>
              </w:rPr>
            </w:pPr>
            <w:r w:rsidRPr="00CA0804">
              <w:rPr>
                <w:rFonts w:eastAsia="Times New Roman"/>
                <w:sz w:val="20"/>
                <w:szCs w:val="20"/>
                <w:lang w:eastAsia="hr-HR"/>
              </w:rPr>
              <w:t>1,3</w:t>
            </w:r>
          </w:p>
        </w:tc>
        <w:tc>
          <w:tcPr>
            <w:tcW w:w="1560" w:type="dxa"/>
            <w:vAlign w:val="center"/>
          </w:tcPr>
          <w:p w14:paraId="3C6F93C4" w14:textId="76CD1DD8" w:rsidR="00ED74F6" w:rsidRPr="00CA0804" w:rsidRDefault="00ED74F6" w:rsidP="00ED74F6">
            <w:pPr>
              <w:jc w:val="right"/>
              <w:rPr>
                <w:sz w:val="20"/>
                <w:szCs w:val="14"/>
              </w:rPr>
            </w:pPr>
            <w:r w:rsidRPr="00CA0804">
              <w:rPr>
                <w:rFonts w:eastAsia="Times New Roman"/>
                <w:sz w:val="20"/>
                <w:szCs w:val="20"/>
                <w:lang w:eastAsia="hr-HR"/>
              </w:rPr>
              <w:t>4,7</w:t>
            </w:r>
          </w:p>
        </w:tc>
        <w:tc>
          <w:tcPr>
            <w:tcW w:w="1417" w:type="dxa"/>
            <w:vAlign w:val="center"/>
          </w:tcPr>
          <w:p w14:paraId="1F84ACDB" w14:textId="4B702E2C" w:rsidR="00ED74F6" w:rsidRPr="00CA0804" w:rsidRDefault="00000944" w:rsidP="00ED74F6">
            <w:pPr>
              <w:jc w:val="right"/>
              <w:rPr>
                <w:sz w:val="20"/>
                <w:szCs w:val="14"/>
              </w:rPr>
            </w:pPr>
            <w:r w:rsidRPr="00CA0804">
              <w:rPr>
                <w:rFonts w:eastAsia="Times New Roman"/>
                <w:sz w:val="20"/>
                <w:szCs w:val="20"/>
                <w:lang w:eastAsia="hr-HR"/>
              </w:rPr>
              <w:t>9,6</w:t>
            </w:r>
          </w:p>
        </w:tc>
      </w:tr>
      <w:tr w:rsidR="00ED74F6" w:rsidRPr="00CA0804" w14:paraId="0096C120" w14:textId="77777777" w:rsidTr="00D77BA2">
        <w:trPr>
          <w:trHeight w:val="40"/>
        </w:trPr>
        <w:tc>
          <w:tcPr>
            <w:tcW w:w="4106" w:type="dxa"/>
            <w:shd w:val="clear" w:color="auto" w:fill="auto"/>
            <w:noWrap/>
            <w:vAlign w:val="center"/>
          </w:tcPr>
          <w:p w14:paraId="2B7B2BC3" w14:textId="6352F8A1" w:rsidR="00ED74F6" w:rsidRPr="00CA0804" w:rsidRDefault="00ED74F6" w:rsidP="00ED74F6">
            <w:pPr>
              <w:rPr>
                <w:rFonts w:eastAsia="Times New Roman"/>
                <w:b/>
                <w:bCs/>
                <w:sz w:val="20"/>
                <w:szCs w:val="20"/>
              </w:rPr>
            </w:pPr>
            <w:r w:rsidRPr="00CA0804">
              <w:rPr>
                <w:rFonts w:eastAsia="Times New Roman"/>
                <w:b/>
                <w:bCs/>
                <w:sz w:val="20"/>
                <w:szCs w:val="20"/>
              </w:rPr>
              <w:t xml:space="preserve">C1 </w:t>
            </w:r>
            <w:r w:rsidRPr="00CA0804">
              <w:rPr>
                <w:rFonts w:eastAsia="Times New Roman"/>
                <w:sz w:val="20"/>
                <w:szCs w:val="20"/>
              </w:rPr>
              <w:t>povoljniji zajmovi</w:t>
            </w:r>
          </w:p>
        </w:tc>
        <w:tc>
          <w:tcPr>
            <w:tcW w:w="1559" w:type="dxa"/>
            <w:vAlign w:val="center"/>
          </w:tcPr>
          <w:p w14:paraId="2F4AA4CB" w14:textId="772FA9A8" w:rsidR="00ED74F6" w:rsidRPr="00CA0804" w:rsidRDefault="00ED74F6" w:rsidP="00ED74F6">
            <w:pPr>
              <w:jc w:val="right"/>
              <w:rPr>
                <w:sz w:val="20"/>
                <w:szCs w:val="14"/>
              </w:rPr>
            </w:pPr>
            <w:r w:rsidRPr="00CA0804">
              <w:rPr>
                <w:rFonts w:eastAsia="Times New Roman"/>
                <w:sz w:val="20"/>
                <w:szCs w:val="20"/>
                <w:lang w:eastAsia="hr-HR"/>
              </w:rPr>
              <w:t>0,02</w:t>
            </w:r>
          </w:p>
        </w:tc>
        <w:tc>
          <w:tcPr>
            <w:tcW w:w="1560" w:type="dxa"/>
            <w:vAlign w:val="center"/>
          </w:tcPr>
          <w:p w14:paraId="5DA0C820" w14:textId="0CD71C95" w:rsidR="00ED74F6" w:rsidRPr="00CA0804" w:rsidRDefault="00ED74F6" w:rsidP="00ED74F6">
            <w:pPr>
              <w:jc w:val="right"/>
              <w:rPr>
                <w:sz w:val="20"/>
                <w:szCs w:val="14"/>
              </w:rPr>
            </w:pPr>
            <w:r w:rsidRPr="00CA0804">
              <w:rPr>
                <w:rFonts w:eastAsia="Times New Roman"/>
                <w:sz w:val="20"/>
                <w:szCs w:val="20"/>
                <w:lang w:eastAsia="hr-HR"/>
              </w:rPr>
              <w:t>1,1</w:t>
            </w:r>
          </w:p>
        </w:tc>
        <w:tc>
          <w:tcPr>
            <w:tcW w:w="1417" w:type="dxa"/>
            <w:vAlign w:val="center"/>
          </w:tcPr>
          <w:p w14:paraId="7C2A5F4B" w14:textId="62D38EAD" w:rsidR="00ED74F6" w:rsidRPr="00CA0804" w:rsidRDefault="00ED74F6" w:rsidP="00ED74F6">
            <w:pPr>
              <w:jc w:val="right"/>
              <w:rPr>
                <w:sz w:val="20"/>
                <w:szCs w:val="14"/>
              </w:rPr>
            </w:pPr>
            <w:r w:rsidRPr="00CA0804">
              <w:rPr>
                <w:rFonts w:eastAsia="Times New Roman"/>
                <w:sz w:val="20"/>
                <w:szCs w:val="20"/>
                <w:lang w:eastAsia="hr-HR"/>
              </w:rPr>
              <w:t>0,6</w:t>
            </w:r>
          </w:p>
        </w:tc>
      </w:tr>
      <w:tr w:rsidR="00ED74F6" w:rsidRPr="00CA0804" w14:paraId="2262F3BC" w14:textId="77777777" w:rsidTr="00D77BA2">
        <w:trPr>
          <w:trHeight w:val="40"/>
        </w:trPr>
        <w:tc>
          <w:tcPr>
            <w:tcW w:w="4106" w:type="dxa"/>
            <w:shd w:val="clear" w:color="auto" w:fill="auto"/>
            <w:noWrap/>
            <w:vAlign w:val="center"/>
          </w:tcPr>
          <w:p w14:paraId="475C0FD0" w14:textId="011922D1" w:rsidR="00ED74F6" w:rsidRPr="00CA0804" w:rsidRDefault="00ED74F6" w:rsidP="00ED74F6">
            <w:pPr>
              <w:rPr>
                <w:rFonts w:eastAsia="Times New Roman"/>
                <w:b/>
                <w:bCs/>
                <w:sz w:val="20"/>
                <w:szCs w:val="20"/>
              </w:rPr>
            </w:pPr>
            <w:r w:rsidRPr="00CA0804">
              <w:rPr>
                <w:rFonts w:eastAsia="Times New Roman"/>
                <w:b/>
                <w:bCs/>
                <w:sz w:val="20"/>
                <w:szCs w:val="20"/>
              </w:rPr>
              <w:t>D1</w:t>
            </w:r>
            <w:r w:rsidRPr="00CA0804">
              <w:rPr>
                <w:rFonts w:eastAsia="Times New Roman"/>
                <w:sz w:val="20"/>
                <w:szCs w:val="20"/>
              </w:rPr>
              <w:t xml:space="preserve"> jamstva</w:t>
            </w:r>
          </w:p>
        </w:tc>
        <w:tc>
          <w:tcPr>
            <w:tcW w:w="1559" w:type="dxa"/>
            <w:vAlign w:val="center"/>
          </w:tcPr>
          <w:p w14:paraId="31D7867D" w14:textId="7F3A294D" w:rsidR="00ED74F6" w:rsidRPr="00CA0804" w:rsidRDefault="00ED74F6" w:rsidP="00ED74F6">
            <w:pPr>
              <w:jc w:val="right"/>
              <w:rPr>
                <w:sz w:val="20"/>
                <w:szCs w:val="14"/>
              </w:rPr>
            </w:pPr>
            <w:r w:rsidRPr="00CA0804">
              <w:rPr>
                <w:rFonts w:eastAsia="Times New Roman"/>
                <w:sz w:val="20"/>
                <w:szCs w:val="20"/>
                <w:lang w:eastAsia="hr-HR"/>
              </w:rPr>
              <w:t>1,5</w:t>
            </w:r>
          </w:p>
        </w:tc>
        <w:tc>
          <w:tcPr>
            <w:tcW w:w="1560" w:type="dxa"/>
            <w:vAlign w:val="center"/>
          </w:tcPr>
          <w:p w14:paraId="344F40C7" w14:textId="73C3241B" w:rsidR="00ED74F6" w:rsidRPr="00CA0804" w:rsidRDefault="00ED74F6" w:rsidP="00ED74F6">
            <w:pPr>
              <w:jc w:val="right"/>
              <w:rPr>
                <w:sz w:val="20"/>
                <w:szCs w:val="14"/>
              </w:rPr>
            </w:pPr>
            <w:r w:rsidRPr="00CA0804">
              <w:rPr>
                <w:rFonts w:eastAsia="Times New Roman"/>
                <w:sz w:val="20"/>
                <w:szCs w:val="20"/>
                <w:lang w:eastAsia="hr-HR"/>
              </w:rPr>
              <w:t>2,0</w:t>
            </w:r>
          </w:p>
        </w:tc>
        <w:tc>
          <w:tcPr>
            <w:tcW w:w="1417" w:type="dxa"/>
            <w:vAlign w:val="center"/>
          </w:tcPr>
          <w:p w14:paraId="5F74E430" w14:textId="7DBEEDBD" w:rsidR="00ED74F6" w:rsidRPr="00CA0804" w:rsidRDefault="00000944" w:rsidP="00ED74F6">
            <w:pPr>
              <w:jc w:val="right"/>
              <w:rPr>
                <w:sz w:val="20"/>
                <w:szCs w:val="14"/>
              </w:rPr>
            </w:pPr>
            <w:r w:rsidRPr="00CA0804">
              <w:rPr>
                <w:rFonts w:eastAsia="Times New Roman"/>
                <w:sz w:val="20"/>
                <w:szCs w:val="20"/>
                <w:lang w:eastAsia="hr-HR"/>
              </w:rPr>
              <w:t>-</w:t>
            </w:r>
          </w:p>
        </w:tc>
      </w:tr>
      <w:tr w:rsidR="00ED74F6" w:rsidRPr="00CA0804" w14:paraId="4D2C2731" w14:textId="77777777" w:rsidTr="00D77BA2">
        <w:trPr>
          <w:trHeight w:val="40"/>
        </w:trPr>
        <w:tc>
          <w:tcPr>
            <w:tcW w:w="4106" w:type="dxa"/>
            <w:shd w:val="clear" w:color="000000" w:fill="FFFF99"/>
            <w:noWrap/>
            <w:vAlign w:val="center"/>
            <w:hideMark/>
          </w:tcPr>
          <w:p w14:paraId="492D3529" w14:textId="77777777" w:rsidR="00ED74F6" w:rsidRPr="00CA0804" w:rsidRDefault="00ED74F6" w:rsidP="00ED74F6">
            <w:pPr>
              <w:rPr>
                <w:rFonts w:eastAsia="Times New Roman"/>
                <w:b/>
                <w:bCs/>
                <w:sz w:val="20"/>
                <w:szCs w:val="20"/>
              </w:rPr>
            </w:pPr>
            <w:r w:rsidRPr="00CA0804">
              <w:rPr>
                <w:rFonts w:eastAsia="Times New Roman"/>
                <w:b/>
                <w:bCs/>
                <w:sz w:val="20"/>
                <w:szCs w:val="20"/>
              </w:rPr>
              <w:t>UKUPNO</w:t>
            </w:r>
          </w:p>
        </w:tc>
        <w:tc>
          <w:tcPr>
            <w:tcW w:w="1559" w:type="dxa"/>
            <w:shd w:val="clear" w:color="000000" w:fill="FFFF99"/>
            <w:vAlign w:val="center"/>
          </w:tcPr>
          <w:p w14:paraId="665D32C5" w14:textId="00E50011" w:rsidR="00ED74F6" w:rsidRPr="00CA0804" w:rsidRDefault="00ED74F6" w:rsidP="00ED74F6">
            <w:pPr>
              <w:jc w:val="right"/>
              <w:rPr>
                <w:b/>
                <w:sz w:val="20"/>
                <w:szCs w:val="14"/>
              </w:rPr>
            </w:pPr>
            <w:r w:rsidRPr="00CA0804">
              <w:rPr>
                <w:rFonts w:eastAsia="Times New Roman"/>
                <w:b/>
                <w:bCs/>
                <w:sz w:val="20"/>
                <w:szCs w:val="20"/>
                <w:lang w:eastAsia="hr-HR"/>
              </w:rPr>
              <w:t>2,8</w:t>
            </w:r>
          </w:p>
        </w:tc>
        <w:tc>
          <w:tcPr>
            <w:tcW w:w="1560" w:type="dxa"/>
            <w:shd w:val="clear" w:color="000000" w:fill="FFFF99"/>
            <w:vAlign w:val="center"/>
          </w:tcPr>
          <w:p w14:paraId="20719758" w14:textId="47B85CF2" w:rsidR="00ED74F6" w:rsidRPr="00CA0804" w:rsidRDefault="00ED74F6" w:rsidP="00ED74F6">
            <w:pPr>
              <w:jc w:val="right"/>
              <w:rPr>
                <w:b/>
                <w:sz w:val="20"/>
                <w:szCs w:val="14"/>
              </w:rPr>
            </w:pPr>
            <w:r w:rsidRPr="00CA0804">
              <w:rPr>
                <w:rFonts w:eastAsia="Times New Roman"/>
                <w:b/>
                <w:bCs/>
                <w:sz w:val="20"/>
                <w:szCs w:val="20"/>
                <w:lang w:eastAsia="hr-HR"/>
              </w:rPr>
              <w:t>7,8</w:t>
            </w:r>
          </w:p>
        </w:tc>
        <w:tc>
          <w:tcPr>
            <w:tcW w:w="1417" w:type="dxa"/>
            <w:shd w:val="clear" w:color="000000" w:fill="FFFF99"/>
            <w:vAlign w:val="center"/>
          </w:tcPr>
          <w:p w14:paraId="40C7D466" w14:textId="34CE91AD" w:rsidR="00ED74F6" w:rsidRPr="00CA0804" w:rsidRDefault="00ED74F6" w:rsidP="00ED74F6">
            <w:pPr>
              <w:jc w:val="right"/>
              <w:rPr>
                <w:b/>
                <w:sz w:val="20"/>
                <w:szCs w:val="14"/>
              </w:rPr>
            </w:pPr>
            <w:r w:rsidRPr="00CA0804">
              <w:rPr>
                <w:rFonts w:eastAsia="Times New Roman"/>
                <w:b/>
                <w:bCs/>
                <w:sz w:val="20"/>
                <w:szCs w:val="20"/>
                <w:lang w:eastAsia="hr-HR"/>
              </w:rPr>
              <w:t>10,2</w:t>
            </w:r>
          </w:p>
        </w:tc>
      </w:tr>
      <w:tr w:rsidR="00ED74F6" w:rsidRPr="00CA0804" w14:paraId="720B2EA2" w14:textId="77777777" w:rsidTr="00D77BA2">
        <w:trPr>
          <w:trHeight w:val="40"/>
        </w:trPr>
        <w:tc>
          <w:tcPr>
            <w:tcW w:w="4106" w:type="dxa"/>
            <w:shd w:val="clear" w:color="auto" w:fill="auto"/>
            <w:vAlign w:val="center"/>
            <w:hideMark/>
          </w:tcPr>
          <w:p w14:paraId="31E87059" w14:textId="77777777" w:rsidR="00ED74F6" w:rsidRPr="00CA0804" w:rsidRDefault="00ED74F6" w:rsidP="00ED74F6">
            <w:pPr>
              <w:rPr>
                <w:rFonts w:eastAsia="Times New Roman"/>
                <w:sz w:val="20"/>
                <w:szCs w:val="20"/>
              </w:rPr>
            </w:pPr>
            <w:r w:rsidRPr="00CA0804">
              <w:rPr>
                <w:rFonts w:eastAsia="Times New Roman"/>
                <w:sz w:val="20"/>
                <w:szCs w:val="20"/>
              </w:rPr>
              <w:t>udio (%) u horizontalnim ciljevima</w:t>
            </w:r>
          </w:p>
        </w:tc>
        <w:tc>
          <w:tcPr>
            <w:tcW w:w="1559" w:type="dxa"/>
            <w:vAlign w:val="center"/>
          </w:tcPr>
          <w:p w14:paraId="3D2ACF3D" w14:textId="13960C1D" w:rsidR="00ED74F6" w:rsidRPr="00CA0804" w:rsidRDefault="00ED3709" w:rsidP="00ED74F6">
            <w:pPr>
              <w:jc w:val="center"/>
              <w:rPr>
                <w:sz w:val="20"/>
                <w:szCs w:val="14"/>
              </w:rPr>
            </w:pPr>
            <w:r w:rsidRPr="00CA0804">
              <w:rPr>
                <w:rFonts w:eastAsia="Times New Roman"/>
                <w:sz w:val="20"/>
                <w:szCs w:val="20"/>
                <w:lang w:eastAsia="hr-HR"/>
              </w:rPr>
              <w:t>2,86</w:t>
            </w:r>
          </w:p>
        </w:tc>
        <w:tc>
          <w:tcPr>
            <w:tcW w:w="1560" w:type="dxa"/>
            <w:vAlign w:val="center"/>
          </w:tcPr>
          <w:p w14:paraId="2E5D26E3" w14:textId="67987105" w:rsidR="00ED74F6" w:rsidRPr="00CA0804" w:rsidRDefault="00ED74F6" w:rsidP="00ED3709">
            <w:pPr>
              <w:jc w:val="center"/>
              <w:rPr>
                <w:sz w:val="20"/>
                <w:szCs w:val="14"/>
              </w:rPr>
            </w:pPr>
            <w:r w:rsidRPr="00CA0804">
              <w:rPr>
                <w:rFonts w:eastAsia="Times New Roman"/>
                <w:sz w:val="20"/>
                <w:szCs w:val="20"/>
                <w:lang w:eastAsia="hr-HR"/>
              </w:rPr>
              <w:t>2,9</w:t>
            </w:r>
            <w:r w:rsidR="00ED3709" w:rsidRPr="00CA0804">
              <w:rPr>
                <w:rFonts w:eastAsia="Times New Roman"/>
                <w:sz w:val="20"/>
                <w:szCs w:val="20"/>
                <w:lang w:eastAsia="hr-HR"/>
              </w:rPr>
              <w:t>1</w:t>
            </w:r>
          </w:p>
        </w:tc>
        <w:tc>
          <w:tcPr>
            <w:tcW w:w="1417" w:type="dxa"/>
            <w:vAlign w:val="center"/>
          </w:tcPr>
          <w:p w14:paraId="46A99021" w14:textId="15C7A6B7" w:rsidR="00ED74F6" w:rsidRPr="00CA0804" w:rsidRDefault="00ED74F6" w:rsidP="00ED3709">
            <w:pPr>
              <w:jc w:val="center"/>
              <w:rPr>
                <w:sz w:val="20"/>
                <w:szCs w:val="14"/>
              </w:rPr>
            </w:pPr>
            <w:r w:rsidRPr="00CA0804">
              <w:rPr>
                <w:rFonts w:eastAsia="Times New Roman"/>
                <w:sz w:val="20"/>
                <w:szCs w:val="20"/>
                <w:lang w:eastAsia="hr-HR"/>
              </w:rPr>
              <w:t>4,7</w:t>
            </w:r>
            <w:r w:rsidR="00ED3709" w:rsidRPr="00CA0804">
              <w:rPr>
                <w:rFonts w:eastAsia="Times New Roman"/>
                <w:sz w:val="20"/>
                <w:szCs w:val="20"/>
                <w:lang w:eastAsia="hr-HR"/>
              </w:rPr>
              <w:t>8</w:t>
            </w:r>
          </w:p>
        </w:tc>
      </w:tr>
      <w:tr w:rsidR="00ED74F6" w:rsidRPr="00CA0804" w14:paraId="57BC51FD" w14:textId="77777777" w:rsidTr="00D77BA2">
        <w:trPr>
          <w:trHeight w:val="90"/>
        </w:trPr>
        <w:tc>
          <w:tcPr>
            <w:tcW w:w="4106" w:type="dxa"/>
            <w:shd w:val="clear" w:color="auto" w:fill="auto"/>
            <w:vAlign w:val="center"/>
            <w:hideMark/>
          </w:tcPr>
          <w:p w14:paraId="3208E53A" w14:textId="77777777" w:rsidR="00ED74F6" w:rsidRPr="00CA0804" w:rsidRDefault="00ED74F6" w:rsidP="00ED74F6">
            <w:pPr>
              <w:rPr>
                <w:rFonts w:eastAsia="Times New Roman"/>
                <w:sz w:val="20"/>
                <w:szCs w:val="20"/>
              </w:rPr>
            </w:pPr>
            <w:r w:rsidRPr="00CA0804">
              <w:rPr>
                <w:rFonts w:eastAsia="Times New Roman"/>
                <w:sz w:val="20"/>
                <w:szCs w:val="20"/>
              </w:rPr>
              <w:t>udio (%) u ukupnim potporama (bez poljoprivrede i ribarstva)</w:t>
            </w:r>
          </w:p>
        </w:tc>
        <w:tc>
          <w:tcPr>
            <w:tcW w:w="1559" w:type="dxa"/>
            <w:vAlign w:val="center"/>
          </w:tcPr>
          <w:p w14:paraId="1A4EBCF6" w14:textId="558FD89D" w:rsidR="00ED74F6" w:rsidRPr="00CA0804" w:rsidRDefault="00ED74F6" w:rsidP="00ED74F6">
            <w:pPr>
              <w:jc w:val="center"/>
              <w:rPr>
                <w:sz w:val="20"/>
                <w:szCs w:val="14"/>
              </w:rPr>
            </w:pPr>
            <w:r w:rsidRPr="00CA0804">
              <w:rPr>
                <w:rFonts w:eastAsia="Times New Roman"/>
                <w:sz w:val="20"/>
                <w:szCs w:val="20"/>
                <w:lang w:eastAsia="hr-HR"/>
              </w:rPr>
              <w:t>0,14</w:t>
            </w:r>
          </w:p>
        </w:tc>
        <w:tc>
          <w:tcPr>
            <w:tcW w:w="1560" w:type="dxa"/>
            <w:vAlign w:val="center"/>
          </w:tcPr>
          <w:p w14:paraId="59B3E981" w14:textId="7ACCEDE9" w:rsidR="00ED74F6" w:rsidRPr="00CA0804" w:rsidRDefault="00ED74F6" w:rsidP="00ED74F6">
            <w:pPr>
              <w:jc w:val="center"/>
              <w:rPr>
                <w:sz w:val="20"/>
                <w:szCs w:val="14"/>
              </w:rPr>
            </w:pPr>
            <w:r w:rsidRPr="00CA0804">
              <w:rPr>
                <w:rFonts w:eastAsia="Times New Roman"/>
                <w:sz w:val="20"/>
                <w:szCs w:val="20"/>
                <w:lang w:eastAsia="hr-HR"/>
              </w:rPr>
              <w:t>0,40</w:t>
            </w:r>
          </w:p>
        </w:tc>
        <w:tc>
          <w:tcPr>
            <w:tcW w:w="1417" w:type="dxa"/>
            <w:vAlign w:val="center"/>
          </w:tcPr>
          <w:p w14:paraId="6611E648" w14:textId="6D0D45B6" w:rsidR="00ED74F6" w:rsidRPr="00CA0804" w:rsidRDefault="00ED74F6" w:rsidP="00ED74F6">
            <w:pPr>
              <w:jc w:val="center"/>
              <w:rPr>
                <w:sz w:val="20"/>
                <w:szCs w:val="14"/>
              </w:rPr>
            </w:pPr>
            <w:r w:rsidRPr="00CA0804">
              <w:rPr>
                <w:rFonts w:eastAsia="Times New Roman"/>
                <w:sz w:val="20"/>
                <w:szCs w:val="20"/>
                <w:lang w:eastAsia="hr-HR"/>
              </w:rPr>
              <w:t>0,77</w:t>
            </w:r>
          </w:p>
        </w:tc>
      </w:tr>
      <w:tr w:rsidR="00ED74F6" w:rsidRPr="00CA0804" w14:paraId="48311B21" w14:textId="77777777" w:rsidTr="00D77BA2">
        <w:trPr>
          <w:trHeight w:val="40"/>
        </w:trPr>
        <w:tc>
          <w:tcPr>
            <w:tcW w:w="4106" w:type="dxa"/>
            <w:shd w:val="clear" w:color="auto" w:fill="auto"/>
            <w:vAlign w:val="center"/>
            <w:hideMark/>
          </w:tcPr>
          <w:p w14:paraId="6EA23E15" w14:textId="77777777" w:rsidR="00ED74F6" w:rsidRPr="00CA0804" w:rsidRDefault="00ED74F6" w:rsidP="00ED74F6">
            <w:pPr>
              <w:rPr>
                <w:rFonts w:eastAsia="Times New Roman"/>
                <w:sz w:val="20"/>
                <w:szCs w:val="20"/>
              </w:rPr>
            </w:pPr>
            <w:r w:rsidRPr="00CA0804">
              <w:rPr>
                <w:rFonts w:eastAsia="Times New Roman"/>
                <w:sz w:val="20"/>
                <w:szCs w:val="20"/>
              </w:rPr>
              <w:t>udio (%) u ukupnim potporama</w:t>
            </w:r>
          </w:p>
        </w:tc>
        <w:tc>
          <w:tcPr>
            <w:tcW w:w="1559" w:type="dxa"/>
            <w:vAlign w:val="center"/>
          </w:tcPr>
          <w:p w14:paraId="6134B066" w14:textId="4E138ED6" w:rsidR="00ED74F6" w:rsidRPr="00CA0804" w:rsidRDefault="00ED74F6" w:rsidP="00ED74F6">
            <w:pPr>
              <w:jc w:val="center"/>
              <w:rPr>
                <w:sz w:val="20"/>
                <w:szCs w:val="14"/>
              </w:rPr>
            </w:pPr>
            <w:r w:rsidRPr="00CA0804">
              <w:rPr>
                <w:rFonts w:eastAsia="Times New Roman"/>
                <w:sz w:val="20"/>
                <w:szCs w:val="20"/>
                <w:lang w:eastAsia="hr-HR"/>
              </w:rPr>
              <w:t>0,13</w:t>
            </w:r>
          </w:p>
        </w:tc>
        <w:tc>
          <w:tcPr>
            <w:tcW w:w="1560" w:type="dxa"/>
            <w:vAlign w:val="center"/>
          </w:tcPr>
          <w:p w14:paraId="3D60342A" w14:textId="64827597" w:rsidR="00ED74F6" w:rsidRPr="00CA0804" w:rsidRDefault="00ED3709" w:rsidP="00ED74F6">
            <w:pPr>
              <w:jc w:val="center"/>
              <w:rPr>
                <w:sz w:val="20"/>
                <w:szCs w:val="14"/>
              </w:rPr>
            </w:pPr>
            <w:r w:rsidRPr="00CA0804">
              <w:rPr>
                <w:rFonts w:eastAsia="Times New Roman"/>
                <w:sz w:val="20"/>
                <w:szCs w:val="20"/>
                <w:lang w:eastAsia="hr-HR"/>
              </w:rPr>
              <w:t>0,37</w:t>
            </w:r>
          </w:p>
        </w:tc>
        <w:tc>
          <w:tcPr>
            <w:tcW w:w="1417" w:type="dxa"/>
            <w:vAlign w:val="center"/>
          </w:tcPr>
          <w:p w14:paraId="2EBDF372" w14:textId="288759F7" w:rsidR="00ED74F6" w:rsidRPr="00CA0804" w:rsidRDefault="00ED3709" w:rsidP="00ED74F6">
            <w:pPr>
              <w:jc w:val="center"/>
              <w:rPr>
                <w:sz w:val="20"/>
                <w:szCs w:val="14"/>
              </w:rPr>
            </w:pPr>
            <w:r w:rsidRPr="00CA0804">
              <w:rPr>
                <w:rFonts w:eastAsia="Times New Roman"/>
                <w:sz w:val="20"/>
                <w:szCs w:val="20"/>
                <w:lang w:eastAsia="hr-HR"/>
              </w:rPr>
              <w:t>0,70</w:t>
            </w:r>
          </w:p>
        </w:tc>
      </w:tr>
      <w:tr w:rsidR="00ED74F6" w:rsidRPr="00CA0804" w14:paraId="57564F0C" w14:textId="77777777" w:rsidTr="00D77BA2">
        <w:trPr>
          <w:trHeight w:val="40"/>
        </w:trPr>
        <w:tc>
          <w:tcPr>
            <w:tcW w:w="4106" w:type="dxa"/>
            <w:shd w:val="clear" w:color="auto" w:fill="auto"/>
            <w:vAlign w:val="center"/>
            <w:hideMark/>
          </w:tcPr>
          <w:p w14:paraId="1EEA9C1A" w14:textId="77777777" w:rsidR="00ED74F6" w:rsidRPr="00CA0804" w:rsidRDefault="00ED74F6" w:rsidP="00ED74F6">
            <w:pPr>
              <w:rPr>
                <w:rFonts w:eastAsia="Times New Roman"/>
                <w:sz w:val="20"/>
                <w:szCs w:val="20"/>
              </w:rPr>
            </w:pPr>
            <w:r w:rsidRPr="00CA0804">
              <w:rPr>
                <w:rFonts w:eastAsia="Times New Roman"/>
                <w:sz w:val="20"/>
                <w:szCs w:val="20"/>
              </w:rPr>
              <w:t>udio (%) u BDP-u</w:t>
            </w:r>
          </w:p>
        </w:tc>
        <w:tc>
          <w:tcPr>
            <w:tcW w:w="1559" w:type="dxa"/>
            <w:vAlign w:val="center"/>
          </w:tcPr>
          <w:p w14:paraId="2973667E" w14:textId="761A8F61" w:rsidR="00ED74F6" w:rsidRPr="00CA0804" w:rsidRDefault="00ED74F6" w:rsidP="00ED74F6">
            <w:pPr>
              <w:jc w:val="center"/>
              <w:rPr>
                <w:sz w:val="20"/>
                <w:szCs w:val="14"/>
              </w:rPr>
            </w:pPr>
            <w:r w:rsidRPr="00CA0804">
              <w:rPr>
                <w:rFonts w:eastAsia="Times New Roman"/>
                <w:sz w:val="20"/>
                <w:szCs w:val="20"/>
                <w:lang w:eastAsia="hr-HR"/>
              </w:rPr>
              <w:t>0,004</w:t>
            </w:r>
          </w:p>
        </w:tc>
        <w:tc>
          <w:tcPr>
            <w:tcW w:w="1560" w:type="dxa"/>
            <w:vAlign w:val="center"/>
          </w:tcPr>
          <w:p w14:paraId="4B2FA978" w14:textId="2DA123CC" w:rsidR="00ED74F6" w:rsidRPr="00CA0804" w:rsidRDefault="00ED74F6" w:rsidP="00ED74F6">
            <w:pPr>
              <w:jc w:val="center"/>
              <w:rPr>
                <w:sz w:val="20"/>
                <w:szCs w:val="14"/>
              </w:rPr>
            </w:pPr>
            <w:r w:rsidRPr="00CA0804">
              <w:rPr>
                <w:rFonts w:eastAsia="Times New Roman"/>
                <w:sz w:val="20"/>
                <w:szCs w:val="20"/>
                <w:lang w:eastAsia="hr-HR"/>
              </w:rPr>
              <w:t>0,01</w:t>
            </w:r>
          </w:p>
        </w:tc>
        <w:tc>
          <w:tcPr>
            <w:tcW w:w="1417" w:type="dxa"/>
            <w:vAlign w:val="center"/>
          </w:tcPr>
          <w:p w14:paraId="7E85352F" w14:textId="2C90D1F4" w:rsidR="00ED74F6" w:rsidRPr="00CA0804" w:rsidRDefault="00ED74F6" w:rsidP="00ED74F6">
            <w:pPr>
              <w:jc w:val="center"/>
              <w:rPr>
                <w:sz w:val="20"/>
                <w:szCs w:val="14"/>
              </w:rPr>
            </w:pPr>
            <w:r w:rsidRPr="00CA0804">
              <w:rPr>
                <w:rFonts w:eastAsia="Times New Roman"/>
                <w:sz w:val="20"/>
                <w:szCs w:val="20"/>
                <w:lang w:eastAsia="hr-HR"/>
              </w:rPr>
              <w:t>0,01</w:t>
            </w:r>
          </w:p>
        </w:tc>
      </w:tr>
    </w:tbl>
    <w:p w14:paraId="3FEEB4C8" w14:textId="77777777" w:rsidR="00D77BA2" w:rsidRPr="00CA0804" w:rsidRDefault="00D77BA2" w:rsidP="00D77BA2">
      <w:pPr>
        <w:contextualSpacing/>
        <w:jc w:val="both"/>
        <w:rPr>
          <w:i/>
          <w:sz w:val="20"/>
        </w:rPr>
      </w:pPr>
      <w:r w:rsidRPr="00CA0804">
        <w:rPr>
          <w:i/>
          <w:sz w:val="20"/>
        </w:rPr>
        <w:t>Izvor: Ministarstvo financija i davatelji potpora; podaci obrađeni u Ministarstvu financija</w:t>
      </w:r>
    </w:p>
    <w:p w14:paraId="1F3FE8D5" w14:textId="77777777" w:rsidR="00677F96" w:rsidRPr="00CA0804" w:rsidRDefault="00677F96" w:rsidP="00BE487D">
      <w:pPr>
        <w:jc w:val="both"/>
        <w:rPr>
          <w:rFonts w:eastAsia="Calibri"/>
        </w:rPr>
      </w:pPr>
    </w:p>
    <w:p w14:paraId="7B6D0AEA" w14:textId="7FB1B46E" w:rsidR="003D6C3B" w:rsidRPr="00CA0804" w:rsidRDefault="00A27F01" w:rsidP="003D6C3B">
      <w:pPr>
        <w:jc w:val="both"/>
      </w:pPr>
      <w:r w:rsidRPr="00CA0804">
        <w:t xml:space="preserve">Udio potpora malim i srednjim poduzetnicima u BDP-u </w:t>
      </w:r>
      <w:r w:rsidR="003D6C3B" w:rsidRPr="00CA0804">
        <w:t>u 202</w:t>
      </w:r>
      <w:r w:rsidR="008C6C88" w:rsidRPr="00CA0804">
        <w:t>4</w:t>
      </w:r>
      <w:r w:rsidR="003D6C3B" w:rsidRPr="00CA0804">
        <w:t>. godini iznosio je 0,</w:t>
      </w:r>
      <w:r w:rsidR="00147EA1" w:rsidRPr="00CA0804">
        <w:t>01</w:t>
      </w:r>
      <w:r w:rsidR="003D6C3B" w:rsidRPr="00CA0804">
        <w:t xml:space="preserve"> posto, u 2022. godini 0,0</w:t>
      </w:r>
      <w:r w:rsidR="008C6C88" w:rsidRPr="00CA0804">
        <w:t>1</w:t>
      </w:r>
      <w:r w:rsidR="003D6C3B" w:rsidRPr="00CA0804">
        <w:t xml:space="preserve"> posto, </w:t>
      </w:r>
      <w:r w:rsidR="008C6C88" w:rsidRPr="00CA0804">
        <w:t>i u 2021. godini 0,004</w:t>
      </w:r>
      <w:r w:rsidR="003D6C3B" w:rsidRPr="00CA0804">
        <w:t xml:space="preserve"> posto. Udio navedenih potpora u 202</w:t>
      </w:r>
      <w:r w:rsidR="008C6C88" w:rsidRPr="00CA0804">
        <w:t>4</w:t>
      </w:r>
      <w:r w:rsidR="003D6C3B" w:rsidRPr="00CA0804">
        <w:t xml:space="preserve">. godini u ukupno dodijeljenim potporama iznosio je </w:t>
      </w:r>
      <w:r w:rsidR="008C6C88" w:rsidRPr="00CA0804">
        <w:t>0,7</w:t>
      </w:r>
      <w:r w:rsidR="00147EA1" w:rsidRPr="00CA0804">
        <w:t xml:space="preserve"> </w:t>
      </w:r>
      <w:r w:rsidR="003D6C3B" w:rsidRPr="00CA0804">
        <w:t xml:space="preserve">posto, udio u dodijeljenim potporama u sektoru industrije i usluga </w:t>
      </w:r>
      <w:r w:rsidR="008C6C88" w:rsidRPr="00CA0804">
        <w:t>0,8</w:t>
      </w:r>
      <w:r w:rsidR="003D6C3B" w:rsidRPr="00CA0804">
        <w:t xml:space="preserve"> posto, dok je udio u horizontalnim ciljevima iznosio </w:t>
      </w:r>
      <w:r w:rsidR="008C6C88" w:rsidRPr="00CA0804">
        <w:t>4,8</w:t>
      </w:r>
      <w:r w:rsidR="003D6C3B" w:rsidRPr="00CA0804">
        <w:t xml:space="preserve"> posto.</w:t>
      </w:r>
    </w:p>
    <w:p w14:paraId="2E4BE785" w14:textId="32CA7822" w:rsidR="00ED74F6" w:rsidRPr="00CA0804" w:rsidRDefault="00ED74F6" w:rsidP="003D6C3B">
      <w:pPr>
        <w:jc w:val="both"/>
      </w:pPr>
    </w:p>
    <w:p w14:paraId="50A51500" w14:textId="2E6412F5" w:rsidR="00A27F01" w:rsidRPr="00CA0804" w:rsidRDefault="008C6C88" w:rsidP="00A27F01">
      <w:pPr>
        <w:jc w:val="both"/>
      </w:pPr>
      <w:r w:rsidRPr="00CA0804">
        <w:rPr>
          <w:rFonts w:eastAsia="Times New Roman"/>
          <w:szCs w:val="24"/>
          <w:lang w:eastAsia="hr-HR"/>
        </w:rPr>
        <w:t xml:space="preserve">Instrumenti putem kojih su dodijeljene potpore </w:t>
      </w:r>
      <w:r w:rsidRPr="00CA0804">
        <w:t>malim i srednjim poduzetnicima</w:t>
      </w:r>
      <w:r w:rsidRPr="00CA0804">
        <w:rPr>
          <w:rFonts w:eastAsia="Times New Roman"/>
          <w:szCs w:val="24"/>
          <w:lang w:eastAsia="hr-HR"/>
        </w:rPr>
        <w:t xml:space="preserve"> u 2024. godini u iznosu od 10,2 milijuna eura, najvećim dijelom se odnose na subvencij</w:t>
      </w:r>
      <w:r w:rsidR="00E5607A" w:rsidRPr="00CA0804">
        <w:rPr>
          <w:rFonts w:eastAsia="Times New Roman"/>
          <w:szCs w:val="24"/>
          <w:lang w:eastAsia="hr-HR"/>
        </w:rPr>
        <w:t>e</w:t>
      </w:r>
      <w:r w:rsidRPr="00CA0804">
        <w:rPr>
          <w:rFonts w:eastAsia="Times New Roman"/>
          <w:szCs w:val="24"/>
          <w:lang w:eastAsia="hr-HR"/>
        </w:rPr>
        <w:t xml:space="preserve"> </w:t>
      </w:r>
      <w:r w:rsidR="003D6C3B" w:rsidRPr="00CA0804">
        <w:t>i neposredn</w:t>
      </w:r>
      <w:r w:rsidR="00E5607A" w:rsidRPr="00CA0804">
        <w:t>e</w:t>
      </w:r>
      <w:r w:rsidR="003D6C3B" w:rsidRPr="00CA0804">
        <w:t xml:space="preserve"> subvencij</w:t>
      </w:r>
      <w:r w:rsidR="00E5607A" w:rsidRPr="00CA0804">
        <w:t>e</w:t>
      </w:r>
      <w:r w:rsidR="003D6C3B" w:rsidRPr="00CA0804">
        <w:t xml:space="preserve"> kamata u iznosu od </w:t>
      </w:r>
      <w:r w:rsidRPr="00CA0804">
        <w:t>9,</w:t>
      </w:r>
      <w:r w:rsidR="00C86A48" w:rsidRPr="00CA0804">
        <w:t>6</w:t>
      </w:r>
      <w:r w:rsidR="003D6C3B" w:rsidRPr="00CA0804">
        <w:t xml:space="preserve"> milijuna eura ili s udjelom od </w:t>
      </w:r>
      <w:r w:rsidRPr="00CA0804">
        <w:t>94,</w:t>
      </w:r>
      <w:r w:rsidR="00C86A48" w:rsidRPr="00CA0804">
        <w:t>1</w:t>
      </w:r>
      <w:r w:rsidR="003D6C3B" w:rsidRPr="00CA0804">
        <w:t xml:space="preserve"> posto u dodijeljenim </w:t>
      </w:r>
      <w:r w:rsidRPr="00CA0804">
        <w:t xml:space="preserve">navedenim </w:t>
      </w:r>
      <w:r w:rsidR="003D6C3B" w:rsidRPr="00CA0804">
        <w:t>potporama</w:t>
      </w:r>
      <w:r w:rsidRPr="00CA0804">
        <w:t xml:space="preserve">, te </w:t>
      </w:r>
      <w:r w:rsidR="00E5607A" w:rsidRPr="00CA0804">
        <w:t>na</w:t>
      </w:r>
      <w:r w:rsidRPr="00CA0804">
        <w:t xml:space="preserve"> </w:t>
      </w:r>
      <w:r w:rsidR="0047113C" w:rsidRPr="00CA0804">
        <w:t>povoljnij</w:t>
      </w:r>
      <w:r w:rsidRPr="00CA0804">
        <w:t>e</w:t>
      </w:r>
      <w:r w:rsidR="0047113C" w:rsidRPr="00CA0804">
        <w:t xml:space="preserve"> zajmov</w:t>
      </w:r>
      <w:r w:rsidRPr="00CA0804">
        <w:t xml:space="preserve">e 556.518,12 </w:t>
      </w:r>
      <w:r w:rsidR="003D6C3B" w:rsidRPr="00CA0804">
        <w:t xml:space="preserve">eura </w:t>
      </w:r>
      <w:r w:rsidR="00A27F01" w:rsidRPr="00CA0804">
        <w:t xml:space="preserve">ili </w:t>
      </w:r>
      <w:r w:rsidRPr="00CA0804">
        <w:t>5,</w:t>
      </w:r>
      <w:r w:rsidR="00C86A48" w:rsidRPr="00CA0804">
        <w:t>9</w:t>
      </w:r>
      <w:r w:rsidR="00A27F01" w:rsidRPr="00CA0804">
        <w:t xml:space="preserve"> posto.</w:t>
      </w:r>
    </w:p>
    <w:p w14:paraId="6823912A" w14:textId="3678EAD7" w:rsidR="00DF1CF8" w:rsidRPr="00CA0804" w:rsidRDefault="00DF1CF8" w:rsidP="001846CC"/>
    <w:p w14:paraId="030E4682" w14:textId="6B00759E" w:rsidR="003D6C3B" w:rsidRPr="00CA0804" w:rsidRDefault="001846CC" w:rsidP="001846CC">
      <w:pPr>
        <w:jc w:val="both"/>
      </w:pPr>
      <w:r w:rsidRPr="00CA0804">
        <w:t>D</w:t>
      </w:r>
      <w:r w:rsidR="003D6C3B" w:rsidRPr="00CA0804">
        <w:t>avatelji</w:t>
      </w:r>
      <w:r w:rsidRPr="00CA0804">
        <w:t xml:space="preserve"> </w:t>
      </w:r>
      <w:r w:rsidR="003D6C3B" w:rsidRPr="00CA0804">
        <w:t xml:space="preserve">potpora </w:t>
      </w:r>
      <w:r w:rsidR="00147EA1" w:rsidRPr="00CA0804">
        <w:t>malim i srednjim poduzetnicima</w:t>
      </w:r>
      <w:r w:rsidRPr="00CA0804">
        <w:t xml:space="preserve"> u 2024. godini u ukupnom iznosu od 10,2 milijuna eura su Ministarstvo znanosti, obrazovanja i mladih s iznosom od 5,7 milijuna eura, </w:t>
      </w:r>
      <w:r w:rsidR="00147EA1" w:rsidRPr="00CA0804">
        <w:t xml:space="preserve">HBOR </w:t>
      </w:r>
      <w:r w:rsidR="007957FD" w:rsidRPr="00CA0804">
        <w:t xml:space="preserve">s </w:t>
      </w:r>
      <w:r w:rsidRPr="00CA0804">
        <w:t>4,1</w:t>
      </w:r>
      <w:r w:rsidR="003D6C3B" w:rsidRPr="00CA0804">
        <w:t xml:space="preserve"> milijun eura</w:t>
      </w:r>
      <w:r w:rsidRPr="00CA0804">
        <w:t xml:space="preserve">, Ministarstvo gospodarstva s 220.919,75 eura i </w:t>
      </w:r>
      <w:r w:rsidR="00147EA1" w:rsidRPr="00CA0804">
        <w:t xml:space="preserve">HAMAG </w:t>
      </w:r>
      <w:r w:rsidR="005B3CF0" w:rsidRPr="00CA0804">
        <w:t>–</w:t>
      </w:r>
      <w:r w:rsidR="00147EA1" w:rsidRPr="00CA0804">
        <w:t xml:space="preserve"> BICRO</w:t>
      </w:r>
      <w:r w:rsidR="003D6C3B" w:rsidRPr="00CA0804">
        <w:t xml:space="preserve"> </w:t>
      </w:r>
      <w:r w:rsidR="007957FD" w:rsidRPr="00CA0804">
        <w:t xml:space="preserve">s </w:t>
      </w:r>
      <w:r w:rsidRPr="00CA0804">
        <w:t xml:space="preserve">199.997,85 </w:t>
      </w:r>
      <w:r w:rsidR="003D6C3B" w:rsidRPr="00CA0804">
        <w:t>eura.</w:t>
      </w:r>
    </w:p>
    <w:p w14:paraId="014D8209" w14:textId="489ED084" w:rsidR="001846CC" w:rsidRPr="00CA0804" w:rsidRDefault="001846CC" w:rsidP="001846CC"/>
    <w:p w14:paraId="6C9610E1" w14:textId="0856CD9B" w:rsidR="001846CC" w:rsidRPr="00CA0804" w:rsidRDefault="001846CC" w:rsidP="001846CC">
      <w:pPr>
        <w:jc w:val="both"/>
      </w:pPr>
      <w:r w:rsidRPr="00CA0804">
        <w:rPr>
          <w:u w:val="single"/>
        </w:rPr>
        <w:t>Ministarstvo znanosti, obrazovanja i mladih</w:t>
      </w:r>
      <w:r w:rsidRPr="00CA0804">
        <w:t xml:space="preserve"> je u 2024. godini putem subvencija dodijelilo malim i srednjim poduzetnicima 5,7 milijuna eura temeljem Druge izmjene Programa dodjele državnih potpora za projekte uspostave start-up/spin off poduzeća mladih istraživača, o kojem je Europska komisija obaviještena pod brojem SA.112548.</w:t>
      </w:r>
    </w:p>
    <w:p w14:paraId="4F5D7675" w14:textId="1F14DE87" w:rsidR="001846CC" w:rsidRPr="00CA0804" w:rsidRDefault="001846CC" w:rsidP="001846CC"/>
    <w:p w14:paraId="6D664223" w14:textId="304F1ED9" w:rsidR="001846CC" w:rsidRPr="00CA0804" w:rsidRDefault="001846CC" w:rsidP="001846CC">
      <w:pPr>
        <w:jc w:val="both"/>
        <w:rPr>
          <w:rFonts w:eastAsia="Times New Roman"/>
          <w:color w:val="000000"/>
          <w:lang w:eastAsia="hr-HR"/>
        </w:rPr>
      </w:pPr>
      <w:r w:rsidRPr="00CA0804">
        <w:rPr>
          <w:u w:val="single"/>
        </w:rPr>
        <w:t>HBOR</w:t>
      </w:r>
      <w:r w:rsidRPr="00CA0804">
        <w:t xml:space="preserve"> je u 2024. godini dodijelilo 4,1 milijun </w:t>
      </w:r>
      <w:r w:rsidRPr="00CA0804">
        <w:rPr>
          <w:rFonts w:eastAsia="Times New Roman"/>
          <w:lang w:eastAsia="hr-HR"/>
        </w:rPr>
        <w:t xml:space="preserve">eura </w:t>
      </w:r>
      <w:r w:rsidRPr="00CA0804">
        <w:t>putem neposrednih subvencija kamata i povoljnih zajmova, temeljem Izmjene i dopune Programa dodjele državnih potpora Hrvatske banke za obnovu i razvitak – produljenje do kraja 2026. godine, o kojem je Europska komisija obaviještena pod brojem SA.109743</w:t>
      </w:r>
      <w:r w:rsidRPr="00CA0804">
        <w:rPr>
          <w:rFonts w:eastAsia="Times New Roman"/>
          <w:color w:val="000000"/>
          <w:lang w:eastAsia="hr-HR"/>
        </w:rPr>
        <w:t>.</w:t>
      </w:r>
    </w:p>
    <w:p w14:paraId="5D98D574" w14:textId="00E1EC62" w:rsidR="001846CC" w:rsidRPr="00CA0804" w:rsidRDefault="001846CC" w:rsidP="00147EA1"/>
    <w:p w14:paraId="0B8D8B0E" w14:textId="01750162" w:rsidR="001846CC" w:rsidRPr="00CA0804" w:rsidRDefault="001846CC" w:rsidP="001846CC">
      <w:pPr>
        <w:jc w:val="both"/>
      </w:pPr>
      <w:r w:rsidRPr="00CA0804">
        <w:rPr>
          <w:u w:val="single"/>
        </w:rPr>
        <w:t>Ministarstvo gospodarstva</w:t>
      </w:r>
      <w:r w:rsidRPr="00CA0804">
        <w:t xml:space="preserve"> je u 2024. godini putem subvencija dodijelilo </w:t>
      </w:r>
      <w:r w:rsidR="000A2071" w:rsidRPr="00CA0804">
        <w:t xml:space="preserve">220.919,75 </w:t>
      </w:r>
      <w:r w:rsidRPr="00CA0804">
        <w:t xml:space="preserve">eura temeljem Programa </w:t>
      </w:r>
      <w:r w:rsidR="000A2071" w:rsidRPr="00CA0804">
        <w:t>dodjele potpora za inovacije za MSP-ove putem inovacijskih vaučera</w:t>
      </w:r>
      <w:r w:rsidRPr="00CA0804">
        <w:t>, o kojem je Europska komisija obav</w:t>
      </w:r>
      <w:r w:rsidR="000A2071" w:rsidRPr="00CA0804">
        <w:t>iještena pod brojem SA.113523</w:t>
      </w:r>
      <w:r w:rsidRPr="00CA0804">
        <w:rPr>
          <w:rFonts w:eastAsia="Times New Roman"/>
          <w:color w:val="000000"/>
          <w:lang w:eastAsia="hr-HR"/>
        </w:rPr>
        <w:t>.</w:t>
      </w:r>
    </w:p>
    <w:p w14:paraId="3E1407B9" w14:textId="600AA304" w:rsidR="001846CC" w:rsidRPr="00CA0804" w:rsidRDefault="001846CC" w:rsidP="00147EA1"/>
    <w:p w14:paraId="1CFF7663" w14:textId="263FF3A9" w:rsidR="000A2071" w:rsidRPr="00CA0804" w:rsidRDefault="005B3CF0" w:rsidP="00D34461">
      <w:pPr>
        <w:jc w:val="both"/>
      </w:pPr>
      <w:r w:rsidRPr="00CA0804">
        <w:rPr>
          <w:u w:val="single"/>
        </w:rPr>
        <w:t xml:space="preserve">HAMAG </w:t>
      </w:r>
      <w:r w:rsidR="00372075" w:rsidRPr="00CA0804">
        <w:rPr>
          <w:u w:val="single"/>
        </w:rPr>
        <w:t>– BICRO</w:t>
      </w:r>
      <w:r w:rsidR="00372075" w:rsidRPr="00CA0804">
        <w:t xml:space="preserve"> </w:t>
      </w:r>
      <w:r w:rsidR="00794F40" w:rsidRPr="00CA0804">
        <w:t xml:space="preserve">je </w:t>
      </w:r>
      <w:r w:rsidR="001E7AE2" w:rsidRPr="00CA0804">
        <w:t>u 202</w:t>
      </w:r>
      <w:r w:rsidR="000A2071" w:rsidRPr="00CA0804">
        <w:t>4</w:t>
      </w:r>
      <w:r w:rsidR="001E7AE2" w:rsidRPr="00CA0804">
        <w:t xml:space="preserve">. godini </w:t>
      </w:r>
      <w:r w:rsidR="00372075" w:rsidRPr="00CA0804">
        <w:t xml:space="preserve">putem </w:t>
      </w:r>
      <w:r w:rsidR="001E7AE2" w:rsidRPr="00CA0804">
        <w:t xml:space="preserve">subvencija </w:t>
      </w:r>
      <w:r w:rsidR="00794F40" w:rsidRPr="00CA0804">
        <w:t xml:space="preserve">dodijelilo </w:t>
      </w:r>
      <w:r w:rsidR="000A2071" w:rsidRPr="00CA0804">
        <w:t xml:space="preserve">199.997,85 </w:t>
      </w:r>
      <w:r w:rsidR="001E7AE2" w:rsidRPr="00CA0804">
        <w:t>eura</w:t>
      </w:r>
      <w:r w:rsidR="00794F40" w:rsidRPr="00CA0804">
        <w:t xml:space="preserve"> temeljem </w:t>
      </w:r>
      <w:r w:rsidR="00372075" w:rsidRPr="00CA0804">
        <w:t>Programa dodjele državnih potpora Hrvatske agencije za malo gospodarstvo, inovacije i investicije</w:t>
      </w:r>
      <w:r w:rsidR="001E7AE2" w:rsidRPr="00CA0804">
        <w:t xml:space="preserve">, </w:t>
      </w:r>
      <w:r w:rsidR="00BD1054" w:rsidRPr="00CA0804">
        <w:t xml:space="preserve">o kojem je </w:t>
      </w:r>
      <w:r w:rsidR="00794F40" w:rsidRPr="00CA0804">
        <w:t>Europska komisija obaviještena pod brojem SA.</w:t>
      </w:r>
      <w:r w:rsidR="000A2071" w:rsidRPr="00CA0804">
        <w:t>113467.</w:t>
      </w:r>
    </w:p>
    <w:p w14:paraId="23EA886B" w14:textId="77777777" w:rsidR="001846CC" w:rsidRPr="00CA0804" w:rsidRDefault="001846CC" w:rsidP="00D34461"/>
    <w:p w14:paraId="59045B75" w14:textId="7C28EC3B" w:rsidR="001E7AE2" w:rsidRPr="00CA0804" w:rsidRDefault="001E7AE2" w:rsidP="001E7AE2">
      <w:pPr>
        <w:jc w:val="both"/>
      </w:pPr>
      <w:r w:rsidRPr="00CA0804">
        <w:rPr>
          <w:u w:val="single"/>
        </w:rPr>
        <w:t>Potpore male vrijednosti</w:t>
      </w:r>
      <w:r w:rsidRPr="00CA0804">
        <w:t xml:space="preserve"> malim i srednjim poduzetnicima </w:t>
      </w:r>
      <w:r w:rsidR="000A2071" w:rsidRPr="00CA0804">
        <w:t xml:space="preserve">dodijeljene </w:t>
      </w:r>
      <w:r w:rsidRPr="00CA0804">
        <w:t>su u 202</w:t>
      </w:r>
      <w:r w:rsidR="000A2071" w:rsidRPr="00CA0804">
        <w:t>4</w:t>
      </w:r>
      <w:r w:rsidRPr="00CA0804">
        <w:t xml:space="preserve">. godini u iznosu od </w:t>
      </w:r>
      <w:r w:rsidR="000A2071" w:rsidRPr="00CA0804">
        <w:t>20,1</w:t>
      </w:r>
      <w:r w:rsidRPr="00CA0804">
        <w:t xml:space="preserve"> milijun eura, te ukoliko bi se </w:t>
      </w:r>
      <w:r w:rsidR="000A2071" w:rsidRPr="00CA0804">
        <w:t>iste</w:t>
      </w:r>
      <w:r w:rsidRPr="00CA0804">
        <w:t xml:space="preserve"> pribrojile dodijeljenim potporama malim i srednjim </w:t>
      </w:r>
      <w:r w:rsidRPr="00CA0804">
        <w:lastRenderedPageBreak/>
        <w:t xml:space="preserve">poduzetnicima u iznosu od </w:t>
      </w:r>
      <w:r w:rsidR="000A2071" w:rsidRPr="00CA0804">
        <w:t>10,2</w:t>
      </w:r>
      <w:r w:rsidRPr="00CA0804">
        <w:t xml:space="preserve"> milijuna eura, ukupan iznos svih dodijeljenih potpora malim i srednjim poduzetnicima u 202</w:t>
      </w:r>
      <w:r w:rsidR="000A2071" w:rsidRPr="00CA0804">
        <w:t>4</w:t>
      </w:r>
      <w:r w:rsidRPr="00CA0804">
        <w:t xml:space="preserve">. godini iznosio bi </w:t>
      </w:r>
      <w:r w:rsidR="000A2071" w:rsidRPr="00CA0804">
        <w:t>30,3</w:t>
      </w:r>
      <w:r w:rsidRPr="00CA0804">
        <w:t xml:space="preserve"> milijun</w:t>
      </w:r>
      <w:r w:rsidR="000A2071" w:rsidRPr="00CA0804">
        <w:t>a</w:t>
      </w:r>
      <w:r w:rsidRPr="00CA0804">
        <w:t xml:space="preserve"> eura. </w:t>
      </w:r>
    </w:p>
    <w:p w14:paraId="55DA9A20" w14:textId="111368DA" w:rsidR="00A953EB" w:rsidRPr="00CA0804" w:rsidRDefault="00A953EB" w:rsidP="003272FB"/>
    <w:p w14:paraId="34ED60A0" w14:textId="5DA3C226" w:rsidR="000A2071" w:rsidRPr="00CA0804" w:rsidRDefault="000A2071" w:rsidP="003272FB"/>
    <w:p w14:paraId="6E5C21F7" w14:textId="77777777" w:rsidR="000A2071" w:rsidRPr="00CA0804" w:rsidRDefault="000A2071" w:rsidP="003272FB"/>
    <w:p w14:paraId="453D1528" w14:textId="77777777" w:rsidR="00BE0817" w:rsidRPr="00CA0804" w:rsidRDefault="00C45D8A" w:rsidP="00BE487D">
      <w:pPr>
        <w:pStyle w:val="Heading3"/>
        <w:numPr>
          <w:ilvl w:val="2"/>
          <w:numId w:val="1"/>
        </w:numPr>
        <w:spacing w:before="0"/>
        <w:jc w:val="both"/>
        <w:rPr>
          <w:rFonts w:ascii="Times New Roman" w:hAnsi="Times New Roman" w:cs="Times New Roman"/>
          <w:b/>
          <w:i/>
          <w:color w:val="auto"/>
        </w:rPr>
      </w:pPr>
      <w:bookmarkStart w:id="18" w:name="_Toc213660039"/>
      <w:r w:rsidRPr="00CA0804">
        <w:rPr>
          <w:rFonts w:ascii="Times New Roman" w:hAnsi="Times New Roman" w:cs="Times New Roman"/>
          <w:b/>
          <w:i/>
          <w:color w:val="auto"/>
        </w:rPr>
        <w:t>Potpore k</w:t>
      </w:r>
      <w:r w:rsidR="00BE0817" w:rsidRPr="00CA0804">
        <w:rPr>
          <w:rFonts w:ascii="Times New Roman" w:hAnsi="Times New Roman" w:cs="Times New Roman"/>
          <w:b/>
          <w:i/>
          <w:color w:val="auto"/>
        </w:rPr>
        <w:t>ultur</w:t>
      </w:r>
      <w:r w:rsidRPr="00CA0804">
        <w:rPr>
          <w:rFonts w:ascii="Times New Roman" w:hAnsi="Times New Roman" w:cs="Times New Roman"/>
          <w:b/>
          <w:i/>
          <w:color w:val="auto"/>
        </w:rPr>
        <w:t>i</w:t>
      </w:r>
      <w:bookmarkEnd w:id="18"/>
      <w:r w:rsidR="00BE0817" w:rsidRPr="00CA0804">
        <w:rPr>
          <w:rFonts w:ascii="Times New Roman" w:hAnsi="Times New Roman" w:cs="Times New Roman"/>
          <w:b/>
          <w:i/>
          <w:color w:val="auto"/>
        </w:rPr>
        <w:t xml:space="preserve"> </w:t>
      </w:r>
    </w:p>
    <w:p w14:paraId="5361727A" w14:textId="77777777" w:rsidR="00E668F9" w:rsidRPr="00CA0804" w:rsidRDefault="00E668F9" w:rsidP="003272FB"/>
    <w:p w14:paraId="5C718F15" w14:textId="77777777" w:rsidR="00E668F9" w:rsidRPr="00CA0804" w:rsidRDefault="00E668F9" w:rsidP="003272FB"/>
    <w:p w14:paraId="0B8AED87" w14:textId="7F09B6E8" w:rsidR="00E0194C" w:rsidRPr="00CA0804" w:rsidRDefault="002D1E37" w:rsidP="00E0194C">
      <w:pPr>
        <w:jc w:val="both"/>
      </w:pPr>
      <w:r w:rsidRPr="00CA0804">
        <w:t xml:space="preserve">Potpore za kulturu </w:t>
      </w:r>
      <w:r w:rsidR="00D64718" w:rsidRPr="00CA0804">
        <w:t xml:space="preserve">dodijeljene </w:t>
      </w:r>
      <w:r w:rsidR="001902EF" w:rsidRPr="00CA0804">
        <w:t xml:space="preserve">su </w:t>
      </w:r>
      <w:r w:rsidR="00D64718" w:rsidRPr="00CA0804">
        <w:t>u 202</w:t>
      </w:r>
      <w:r w:rsidR="001902EF" w:rsidRPr="00CA0804">
        <w:t>4</w:t>
      </w:r>
      <w:r w:rsidR="00D64718" w:rsidRPr="00CA0804">
        <w:t xml:space="preserve">. godini u iznosu od </w:t>
      </w:r>
      <w:r w:rsidR="001902EF" w:rsidRPr="00CA0804">
        <w:t>3</w:t>
      </w:r>
      <w:r w:rsidR="00D64718" w:rsidRPr="00CA0804">
        <w:t xml:space="preserve">,1 milijun eura, što je </w:t>
      </w:r>
      <w:r w:rsidR="001902EF" w:rsidRPr="00CA0804">
        <w:t>smanjenje</w:t>
      </w:r>
      <w:r w:rsidR="00D64718" w:rsidRPr="00CA0804">
        <w:t xml:space="preserve"> za </w:t>
      </w:r>
      <w:r w:rsidR="001902EF" w:rsidRPr="00CA0804">
        <w:t>21</w:t>
      </w:r>
      <w:r w:rsidR="00D64718" w:rsidRPr="00CA0804">
        <w:t xml:space="preserve"> milijun eura ili za </w:t>
      </w:r>
      <w:r w:rsidR="001902EF" w:rsidRPr="00CA0804">
        <w:t>87</w:t>
      </w:r>
      <w:r w:rsidR="00B41911" w:rsidRPr="00CA0804">
        <w:t>,1</w:t>
      </w:r>
      <w:r w:rsidR="001902EF" w:rsidRPr="00CA0804">
        <w:t xml:space="preserve"> </w:t>
      </w:r>
      <w:r w:rsidR="00D64718" w:rsidRPr="00CA0804">
        <w:t>posto u odnosu na 202</w:t>
      </w:r>
      <w:r w:rsidR="001902EF" w:rsidRPr="00CA0804">
        <w:t>3</w:t>
      </w:r>
      <w:r w:rsidR="00D64718" w:rsidRPr="00CA0804">
        <w:t xml:space="preserve">. godinu, kada su iznosile </w:t>
      </w:r>
      <w:r w:rsidR="001902EF" w:rsidRPr="00CA0804">
        <w:t>24</w:t>
      </w:r>
      <w:r w:rsidR="00D64718" w:rsidRPr="00CA0804">
        <w:t xml:space="preserve">,1 milijun eura, te </w:t>
      </w:r>
      <w:r w:rsidR="000A5FF3" w:rsidRPr="00CA0804">
        <w:t xml:space="preserve">predstavlja </w:t>
      </w:r>
      <w:r w:rsidR="001902EF" w:rsidRPr="00CA0804">
        <w:t xml:space="preserve">smanjenje </w:t>
      </w:r>
      <w:r w:rsidR="00D64718" w:rsidRPr="00CA0804">
        <w:t xml:space="preserve">za </w:t>
      </w:r>
      <w:r w:rsidR="001902EF" w:rsidRPr="00CA0804">
        <w:t>16</w:t>
      </w:r>
      <w:r w:rsidR="00D64718" w:rsidRPr="00CA0804">
        <w:t xml:space="preserve"> milijuna eura ili </w:t>
      </w:r>
      <w:r w:rsidR="001902EF" w:rsidRPr="00CA0804">
        <w:t>83,</w:t>
      </w:r>
      <w:r w:rsidR="00B41911" w:rsidRPr="00CA0804">
        <w:t>8</w:t>
      </w:r>
      <w:r w:rsidR="001902EF" w:rsidRPr="00CA0804">
        <w:t xml:space="preserve"> </w:t>
      </w:r>
      <w:r w:rsidR="00D64718" w:rsidRPr="00CA0804">
        <w:t>posto u odnosu na 202</w:t>
      </w:r>
      <w:r w:rsidR="001902EF" w:rsidRPr="00CA0804">
        <w:t>2</w:t>
      </w:r>
      <w:r w:rsidR="00D64718" w:rsidRPr="00CA0804">
        <w:t xml:space="preserve">. godinu kada iznosile </w:t>
      </w:r>
      <w:r w:rsidR="001902EF" w:rsidRPr="00CA0804">
        <w:t>19,1</w:t>
      </w:r>
      <w:r w:rsidR="00D64718" w:rsidRPr="00CA0804">
        <w:t xml:space="preserve"> milijun eura.</w:t>
      </w:r>
    </w:p>
    <w:p w14:paraId="6A3A9B0A" w14:textId="77777777" w:rsidR="003D2B7C" w:rsidRPr="00CA0804" w:rsidRDefault="003D2B7C" w:rsidP="001902EF"/>
    <w:p w14:paraId="4C50384F" w14:textId="393386D3" w:rsidR="002D1E37" w:rsidRPr="00CA0804" w:rsidRDefault="002D1E37" w:rsidP="00BE487D">
      <w:pPr>
        <w:autoSpaceDE w:val="0"/>
        <w:autoSpaceDN w:val="0"/>
        <w:adjustRightInd w:val="0"/>
        <w:contextualSpacing/>
        <w:jc w:val="both"/>
        <w:rPr>
          <w:bCs/>
          <w:lang w:eastAsia="hr-HR"/>
        </w:rPr>
      </w:pPr>
      <w:r w:rsidRPr="00CA0804">
        <w:rPr>
          <w:bCs/>
          <w:lang w:eastAsia="hr-HR"/>
        </w:rPr>
        <w:t xml:space="preserve">Tablica </w:t>
      </w:r>
      <w:r w:rsidR="00381995" w:rsidRPr="00CA0804">
        <w:rPr>
          <w:bCs/>
          <w:lang w:eastAsia="hr-HR"/>
        </w:rPr>
        <w:t>1</w:t>
      </w:r>
      <w:r w:rsidR="00870E9F" w:rsidRPr="00CA0804">
        <w:rPr>
          <w:bCs/>
          <w:lang w:eastAsia="hr-HR"/>
        </w:rPr>
        <w:t>4</w:t>
      </w:r>
      <w:r w:rsidRPr="00CA0804">
        <w:rPr>
          <w:bCs/>
          <w:lang w:eastAsia="hr-HR"/>
        </w:rPr>
        <w:t>. Potpore</w:t>
      </w:r>
      <w:r w:rsidR="007E0295" w:rsidRPr="00CA0804">
        <w:rPr>
          <w:bCs/>
          <w:lang w:eastAsia="hr-HR"/>
        </w:rPr>
        <w:t xml:space="preserve"> </w:t>
      </w:r>
      <w:r w:rsidRPr="00CA0804">
        <w:rPr>
          <w:bCs/>
          <w:lang w:eastAsia="hr-HR"/>
        </w:rPr>
        <w:t xml:space="preserve">za kulturu </w:t>
      </w:r>
      <w:r w:rsidR="000A1E58" w:rsidRPr="00CA0804">
        <w:rPr>
          <w:bCs/>
          <w:lang w:eastAsia="hr-HR"/>
        </w:rPr>
        <w:t xml:space="preserve">dodijeljene </w:t>
      </w:r>
      <w:r w:rsidRPr="00CA0804">
        <w:rPr>
          <w:bCs/>
          <w:lang w:eastAsia="hr-HR"/>
        </w:rPr>
        <w:t xml:space="preserve">u razdoblju </w:t>
      </w:r>
      <w:r w:rsidRPr="00CA0804">
        <w:t>od 20</w:t>
      </w:r>
      <w:r w:rsidR="00D3445F" w:rsidRPr="00CA0804">
        <w:t>2</w:t>
      </w:r>
      <w:r w:rsidR="005252A1" w:rsidRPr="00CA0804">
        <w:t>2</w:t>
      </w:r>
      <w:r w:rsidRPr="00CA0804">
        <w:t>. do 202</w:t>
      </w:r>
      <w:r w:rsidR="005252A1" w:rsidRPr="00CA0804">
        <w:t>4</w:t>
      </w:r>
      <w:r w:rsidRPr="00CA0804">
        <w:t>. godine</w:t>
      </w:r>
    </w:p>
    <w:p w14:paraId="3C8D0AA3" w14:textId="77777777" w:rsidR="002D1E37" w:rsidRPr="00CA0804" w:rsidRDefault="002D1E37"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5252A1" w:rsidRPr="00CA0804" w14:paraId="664D3BC6" w14:textId="77777777" w:rsidTr="007A7C7C">
        <w:trPr>
          <w:trHeight w:val="38"/>
        </w:trPr>
        <w:tc>
          <w:tcPr>
            <w:tcW w:w="3376" w:type="dxa"/>
            <w:vMerge w:val="restart"/>
            <w:shd w:val="clear" w:color="000000" w:fill="FFFF99"/>
            <w:noWrap/>
            <w:vAlign w:val="center"/>
            <w:hideMark/>
          </w:tcPr>
          <w:p w14:paraId="5842E952" w14:textId="66AA7EF0" w:rsidR="005252A1" w:rsidRPr="00CA0804" w:rsidRDefault="005252A1" w:rsidP="005252A1">
            <w:pPr>
              <w:rPr>
                <w:rFonts w:eastAsia="Times New Roman"/>
                <w:b/>
                <w:bCs/>
                <w:sz w:val="20"/>
                <w:szCs w:val="20"/>
              </w:rPr>
            </w:pPr>
            <w:r w:rsidRPr="00CA0804">
              <w:rPr>
                <w:rFonts w:eastAsia="Times New Roman"/>
                <w:b/>
                <w:bCs/>
                <w:sz w:val="20"/>
              </w:rPr>
              <w:t>Kultura</w:t>
            </w:r>
          </w:p>
        </w:tc>
        <w:tc>
          <w:tcPr>
            <w:tcW w:w="1439" w:type="dxa"/>
            <w:shd w:val="clear" w:color="000000" w:fill="FFFF99"/>
            <w:vAlign w:val="center"/>
          </w:tcPr>
          <w:p w14:paraId="19FDDF2F" w14:textId="170B6FBD" w:rsidR="005252A1" w:rsidRPr="00CA0804" w:rsidRDefault="005252A1" w:rsidP="005252A1">
            <w:pPr>
              <w:jc w:val="center"/>
              <w:rPr>
                <w:rFonts w:eastAsia="Times New Roman"/>
                <w:b/>
                <w:bCs/>
                <w:sz w:val="20"/>
                <w:szCs w:val="20"/>
              </w:rPr>
            </w:pPr>
            <w:r w:rsidRPr="00CA0804">
              <w:rPr>
                <w:rFonts w:eastAsia="Times New Roman"/>
                <w:b/>
                <w:bCs/>
                <w:sz w:val="20"/>
                <w:szCs w:val="20"/>
                <w:lang w:eastAsia="hr-HR"/>
              </w:rPr>
              <w:t>2022.</w:t>
            </w:r>
          </w:p>
        </w:tc>
        <w:tc>
          <w:tcPr>
            <w:tcW w:w="1559" w:type="dxa"/>
            <w:shd w:val="clear" w:color="000000" w:fill="FFFF99"/>
            <w:vAlign w:val="center"/>
          </w:tcPr>
          <w:p w14:paraId="3B67D33C" w14:textId="6B851178" w:rsidR="005252A1" w:rsidRPr="00CA0804" w:rsidRDefault="005252A1" w:rsidP="005252A1">
            <w:pPr>
              <w:jc w:val="center"/>
              <w:rPr>
                <w:rFonts w:eastAsia="Times New Roman"/>
                <w:b/>
                <w:bCs/>
                <w:sz w:val="20"/>
                <w:szCs w:val="20"/>
              </w:rPr>
            </w:pPr>
            <w:r w:rsidRPr="00CA0804">
              <w:rPr>
                <w:rFonts w:eastAsia="Times New Roman"/>
                <w:b/>
                <w:bCs/>
                <w:sz w:val="20"/>
                <w:szCs w:val="20"/>
                <w:lang w:eastAsia="hr-HR"/>
              </w:rPr>
              <w:t>2023.</w:t>
            </w:r>
          </w:p>
        </w:tc>
        <w:tc>
          <w:tcPr>
            <w:tcW w:w="1559" w:type="dxa"/>
            <w:shd w:val="clear" w:color="000000" w:fill="FFFF99"/>
            <w:vAlign w:val="center"/>
          </w:tcPr>
          <w:p w14:paraId="191F7160" w14:textId="63859095" w:rsidR="005252A1" w:rsidRPr="00CA0804" w:rsidRDefault="005252A1" w:rsidP="005252A1">
            <w:pPr>
              <w:jc w:val="center"/>
              <w:rPr>
                <w:rFonts w:eastAsia="Times New Roman"/>
                <w:b/>
                <w:bCs/>
                <w:sz w:val="20"/>
                <w:szCs w:val="20"/>
              </w:rPr>
            </w:pPr>
            <w:r w:rsidRPr="00CA0804">
              <w:rPr>
                <w:rFonts w:eastAsia="Times New Roman"/>
                <w:b/>
                <w:bCs/>
                <w:sz w:val="20"/>
                <w:szCs w:val="20"/>
                <w:lang w:eastAsia="hr-HR"/>
              </w:rPr>
              <w:t>2024.</w:t>
            </w:r>
          </w:p>
        </w:tc>
      </w:tr>
      <w:tr w:rsidR="00CE5537" w:rsidRPr="00CA0804" w14:paraId="4C20FAD3" w14:textId="77777777" w:rsidTr="007A7C7C">
        <w:trPr>
          <w:trHeight w:val="212"/>
        </w:trPr>
        <w:tc>
          <w:tcPr>
            <w:tcW w:w="3376" w:type="dxa"/>
            <w:vMerge/>
            <w:vAlign w:val="center"/>
            <w:hideMark/>
          </w:tcPr>
          <w:p w14:paraId="3BFB1B35" w14:textId="77777777" w:rsidR="007A7C7C" w:rsidRPr="00CA0804" w:rsidRDefault="007A7C7C" w:rsidP="007A7C7C">
            <w:pPr>
              <w:rPr>
                <w:rFonts w:eastAsia="Times New Roman"/>
                <w:b/>
                <w:bCs/>
                <w:sz w:val="20"/>
                <w:szCs w:val="20"/>
              </w:rPr>
            </w:pPr>
          </w:p>
        </w:tc>
        <w:tc>
          <w:tcPr>
            <w:tcW w:w="1439" w:type="dxa"/>
            <w:shd w:val="clear" w:color="000000" w:fill="FFFF99"/>
            <w:vAlign w:val="center"/>
          </w:tcPr>
          <w:p w14:paraId="2B4F98E5" w14:textId="77777777" w:rsidR="007A7C7C" w:rsidRPr="00CA0804" w:rsidRDefault="007A7C7C" w:rsidP="007A7C7C">
            <w:pPr>
              <w:rPr>
                <w:rFonts w:eastAsia="Times New Roman"/>
                <w:b/>
                <w:sz w:val="18"/>
                <w:szCs w:val="20"/>
              </w:rPr>
            </w:pPr>
            <w:r w:rsidRPr="00CA0804">
              <w:rPr>
                <w:b/>
                <w:sz w:val="20"/>
                <w:szCs w:val="20"/>
              </w:rPr>
              <w:t>u mln EUR</w:t>
            </w:r>
          </w:p>
        </w:tc>
        <w:tc>
          <w:tcPr>
            <w:tcW w:w="1559" w:type="dxa"/>
            <w:shd w:val="clear" w:color="000000" w:fill="FFFF99"/>
            <w:vAlign w:val="center"/>
          </w:tcPr>
          <w:p w14:paraId="27A95E76" w14:textId="77777777" w:rsidR="007A7C7C" w:rsidRPr="00CA0804" w:rsidRDefault="007A7C7C" w:rsidP="007A7C7C">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2799A378" w14:textId="77777777" w:rsidR="007A7C7C" w:rsidRPr="00CA0804" w:rsidRDefault="007A7C7C" w:rsidP="007A7C7C">
            <w:pPr>
              <w:jc w:val="center"/>
              <w:rPr>
                <w:rFonts w:eastAsia="Times New Roman"/>
                <w:b/>
                <w:sz w:val="18"/>
                <w:szCs w:val="20"/>
              </w:rPr>
            </w:pPr>
            <w:r w:rsidRPr="00CA0804">
              <w:rPr>
                <w:b/>
                <w:sz w:val="20"/>
                <w:szCs w:val="20"/>
              </w:rPr>
              <w:t>u mln EUR</w:t>
            </w:r>
          </w:p>
        </w:tc>
      </w:tr>
      <w:tr w:rsidR="005252A1" w:rsidRPr="00CA0804" w14:paraId="49A890C1" w14:textId="77777777" w:rsidTr="007A7C7C">
        <w:trPr>
          <w:trHeight w:val="40"/>
        </w:trPr>
        <w:tc>
          <w:tcPr>
            <w:tcW w:w="3376" w:type="dxa"/>
            <w:shd w:val="clear" w:color="auto" w:fill="auto"/>
            <w:noWrap/>
            <w:vAlign w:val="center"/>
            <w:hideMark/>
          </w:tcPr>
          <w:p w14:paraId="28434E64" w14:textId="77777777" w:rsidR="005252A1" w:rsidRPr="00CA0804" w:rsidRDefault="005252A1" w:rsidP="005252A1">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39230EB9" w14:textId="3095C6EC" w:rsidR="005252A1" w:rsidRPr="00CA0804" w:rsidRDefault="005252A1" w:rsidP="005252A1">
            <w:pPr>
              <w:jc w:val="right"/>
              <w:rPr>
                <w:sz w:val="20"/>
                <w:szCs w:val="14"/>
              </w:rPr>
            </w:pPr>
            <w:r w:rsidRPr="00CA0804">
              <w:rPr>
                <w:rFonts w:eastAsia="Times New Roman"/>
                <w:sz w:val="20"/>
                <w:szCs w:val="20"/>
                <w:lang w:eastAsia="hr-HR"/>
              </w:rPr>
              <w:t>19,1</w:t>
            </w:r>
          </w:p>
        </w:tc>
        <w:tc>
          <w:tcPr>
            <w:tcW w:w="1559" w:type="dxa"/>
            <w:vAlign w:val="center"/>
          </w:tcPr>
          <w:p w14:paraId="10F8921F" w14:textId="602E78C4" w:rsidR="005252A1" w:rsidRPr="00CA0804" w:rsidRDefault="005252A1" w:rsidP="005252A1">
            <w:pPr>
              <w:jc w:val="right"/>
              <w:rPr>
                <w:sz w:val="20"/>
                <w:szCs w:val="14"/>
              </w:rPr>
            </w:pPr>
            <w:r w:rsidRPr="00CA0804">
              <w:rPr>
                <w:rFonts w:eastAsia="Times New Roman"/>
                <w:sz w:val="20"/>
                <w:szCs w:val="20"/>
                <w:lang w:eastAsia="hr-HR"/>
              </w:rPr>
              <w:t>24,1</w:t>
            </w:r>
          </w:p>
        </w:tc>
        <w:tc>
          <w:tcPr>
            <w:tcW w:w="1559" w:type="dxa"/>
            <w:vAlign w:val="center"/>
          </w:tcPr>
          <w:p w14:paraId="2B0A6A9B" w14:textId="5DEDB102" w:rsidR="005252A1" w:rsidRPr="00CA0804" w:rsidRDefault="005252A1" w:rsidP="005252A1">
            <w:pPr>
              <w:jc w:val="right"/>
              <w:rPr>
                <w:sz w:val="20"/>
                <w:szCs w:val="14"/>
              </w:rPr>
            </w:pPr>
            <w:r w:rsidRPr="00CA0804">
              <w:rPr>
                <w:rFonts w:eastAsia="Times New Roman"/>
                <w:sz w:val="20"/>
                <w:szCs w:val="20"/>
                <w:lang w:eastAsia="hr-HR"/>
              </w:rPr>
              <w:t>3,1</w:t>
            </w:r>
          </w:p>
        </w:tc>
      </w:tr>
      <w:tr w:rsidR="005252A1" w:rsidRPr="00CA0804" w14:paraId="66E0625A" w14:textId="77777777" w:rsidTr="007A7C7C">
        <w:trPr>
          <w:trHeight w:val="40"/>
        </w:trPr>
        <w:tc>
          <w:tcPr>
            <w:tcW w:w="3376" w:type="dxa"/>
            <w:shd w:val="clear" w:color="000000" w:fill="FFFF99"/>
            <w:noWrap/>
            <w:vAlign w:val="center"/>
            <w:hideMark/>
          </w:tcPr>
          <w:p w14:paraId="033086D7" w14:textId="77777777" w:rsidR="005252A1" w:rsidRPr="00CA0804" w:rsidRDefault="005252A1" w:rsidP="005252A1">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77B1960E" w14:textId="15555890" w:rsidR="005252A1" w:rsidRPr="00CA0804" w:rsidRDefault="005252A1" w:rsidP="005252A1">
            <w:pPr>
              <w:jc w:val="right"/>
              <w:rPr>
                <w:b/>
                <w:sz w:val="20"/>
                <w:szCs w:val="14"/>
              </w:rPr>
            </w:pPr>
            <w:r w:rsidRPr="00CA0804">
              <w:rPr>
                <w:rFonts w:eastAsia="Times New Roman"/>
                <w:b/>
                <w:bCs/>
                <w:sz w:val="20"/>
                <w:szCs w:val="20"/>
                <w:lang w:eastAsia="hr-HR"/>
              </w:rPr>
              <w:t>19,1</w:t>
            </w:r>
          </w:p>
        </w:tc>
        <w:tc>
          <w:tcPr>
            <w:tcW w:w="1559" w:type="dxa"/>
            <w:shd w:val="clear" w:color="000000" w:fill="FFFF99"/>
            <w:vAlign w:val="center"/>
          </w:tcPr>
          <w:p w14:paraId="72D6A0E1" w14:textId="1E2248CB" w:rsidR="005252A1" w:rsidRPr="00CA0804" w:rsidRDefault="005252A1" w:rsidP="005252A1">
            <w:pPr>
              <w:jc w:val="right"/>
              <w:rPr>
                <w:b/>
                <w:sz w:val="20"/>
                <w:szCs w:val="14"/>
              </w:rPr>
            </w:pPr>
            <w:r w:rsidRPr="00CA0804">
              <w:rPr>
                <w:rFonts w:eastAsia="Times New Roman"/>
                <w:b/>
                <w:bCs/>
                <w:sz w:val="20"/>
                <w:szCs w:val="20"/>
                <w:lang w:eastAsia="hr-HR"/>
              </w:rPr>
              <w:t>24,1</w:t>
            </w:r>
          </w:p>
        </w:tc>
        <w:tc>
          <w:tcPr>
            <w:tcW w:w="1559" w:type="dxa"/>
            <w:shd w:val="clear" w:color="000000" w:fill="FFFF99"/>
            <w:vAlign w:val="center"/>
          </w:tcPr>
          <w:p w14:paraId="2EE6CA01" w14:textId="2E3343D4" w:rsidR="005252A1" w:rsidRPr="00CA0804" w:rsidRDefault="005252A1" w:rsidP="005252A1">
            <w:pPr>
              <w:jc w:val="right"/>
              <w:rPr>
                <w:b/>
                <w:sz w:val="20"/>
                <w:szCs w:val="14"/>
              </w:rPr>
            </w:pPr>
            <w:r w:rsidRPr="00CA0804">
              <w:rPr>
                <w:rFonts w:eastAsia="Times New Roman"/>
                <w:b/>
                <w:bCs/>
                <w:sz w:val="20"/>
                <w:szCs w:val="20"/>
                <w:lang w:eastAsia="hr-HR"/>
              </w:rPr>
              <w:t>3,1</w:t>
            </w:r>
          </w:p>
        </w:tc>
      </w:tr>
      <w:tr w:rsidR="005252A1" w:rsidRPr="00CA0804" w14:paraId="675994F5" w14:textId="77777777" w:rsidTr="007A7C7C">
        <w:trPr>
          <w:trHeight w:val="40"/>
        </w:trPr>
        <w:tc>
          <w:tcPr>
            <w:tcW w:w="3376" w:type="dxa"/>
            <w:shd w:val="clear" w:color="auto" w:fill="auto"/>
            <w:vAlign w:val="center"/>
            <w:hideMark/>
          </w:tcPr>
          <w:p w14:paraId="4929F64E" w14:textId="77777777" w:rsidR="005252A1" w:rsidRPr="00CA0804" w:rsidRDefault="005252A1" w:rsidP="005252A1">
            <w:pPr>
              <w:rPr>
                <w:rFonts w:eastAsia="Times New Roman"/>
                <w:sz w:val="20"/>
                <w:szCs w:val="20"/>
              </w:rPr>
            </w:pPr>
            <w:r w:rsidRPr="00CA0804">
              <w:rPr>
                <w:rFonts w:eastAsia="Times New Roman"/>
                <w:sz w:val="20"/>
                <w:szCs w:val="20"/>
              </w:rPr>
              <w:t>udio (%) u horizontalnim ciljevima</w:t>
            </w:r>
          </w:p>
        </w:tc>
        <w:tc>
          <w:tcPr>
            <w:tcW w:w="1439" w:type="dxa"/>
            <w:vAlign w:val="center"/>
          </w:tcPr>
          <w:p w14:paraId="69DADF7B" w14:textId="58EB7FEF" w:rsidR="005252A1" w:rsidRPr="00CA0804" w:rsidRDefault="00ED3709" w:rsidP="005252A1">
            <w:pPr>
              <w:jc w:val="center"/>
              <w:rPr>
                <w:sz w:val="20"/>
                <w:szCs w:val="14"/>
              </w:rPr>
            </w:pPr>
            <w:r w:rsidRPr="00CA0804">
              <w:rPr>
                <w:rFonts w:eastAsia="Times New Roman"/>
                <w:sz w:val="20"/>
                <w:szCs w:val="20"/>
                <w:lang w:eastAsia="hr-HR"/>
              </w:rPr>
              <w:t>19,37</w:t>
            </w:r>
          </w:p>
        </w:tc>
        <w:tc>
          <w:tcPr>
            <w:tcW w:w="1559" w:type="dxa"/>
            <w:vAlign w:val="center"/>
          </w:tcPr>
          <w:p w14:paraId="0CBC6706" w14:textId="5825B2A1" w:rsidR="005252A1" w:rsidRPr="00CA0804" w:rsidRDefault="00ED3709" w:rsidP="005252A1">
            <w:pPr>
              <w:jc w:val="center"/>
              <w:rPr>
                <w:sz w:val="20"/>
                <w:szCs w:val="14"/>
              </w:rPr>
            </w:pPr>
            <w:r w:rsidRPr="00CA0804">
              <w:rPr>
                <w:rFonts w:eastAsia="Times New Roman"/>
                <w:sz w:val="20"/>
                <w:szCs w:val="20"/>
                <w:lang w:eastAsia="hr-HR"/>
              </w:rPr>
              <w:t>8,98</w:t>
            </w:r>
          </w:p>
        </w:tc>
        <w:tc>
          <w:tcPr>
            <w:tcW w:w="1559" w:type="dxa"/>
            <w:vAlign w:val="center"/>
          </w:tcPr>
          <w:p w14:paraId="32C915E4" w14:textId="1F238ED5" w:rsidR="005252A1" w:rsidRPr="00CA0804" w:rsidRDefault="00ED3709" w:rsidP="005252A1">
            <w:pPr>
              <w:jc w:val="center"/>
              <w:rPr>
                <w:sz w:val="20"/>
                <w:szCs w:val="14"/>
              </w:rPr>
            </w:pPr>
            <w:r w:rsidRPr="00CA0804">
              <w:rPr>
                <w:rFonts w:eastAsia="Times New Roman"/>
                <w:sz w:val="20"/>
                <w:szCs w:val="20"/>
                <w:lang w:eastAsia="hr-HR"/>
              </w:rPr>
              <w:t>1,45</w:t>
            </w:r>
          </w:p>
        </w:tc>
      </w:tr>
      <w:tr w:rsidR="005252A1" w:rsidRPr="00CA0804" w14:paraId="31B673F6" w14:textId="77777777" w:rsidTr="007A7C7C">
        <w:trPr>
          <w:trHeight w:val="90"/>
        </w:trPr>
        <w:tc>
          <w:tcPr>
            <w:tcW w:w="3376" w:type="dxa"/>
            <w:shd w:val="clear" w:color="auto" w:fill="auto"/>
            <w:vAlign w:val="center"/>
            <w:hideMark/>
          </w:tcPr>
          <w:p w14:paraId="72B45FA1" w14:textId="77777777" w:rsidR="005252A1" w:rsidRPr="00CA0804" w:rsidRDefault="005252A1" w:rsidP="005252A1">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0CC5A185" w14:textId="17A9F4D5" w:rsidR="005252A1" w:rsidRPr="00CA0804" w:rsidRDefault="005252A1" w:rsidP="005252A1">
            <w:pPr>
              <w:jc w:val="center"/>
              <w:rPr>
                <w:sz w:val="20"/>
                <w:szCs w:val="14"/>
              </w:rPr>
            </w:pPr>
            <w:r w:rsidRPr="00CA0804">
              <w:rPr>
                <w:rFonts w:eastAsia="Times New Roman"/>
                <w:sz w:val="20"/>
                <w:szCs w:val="20"/>
                <w:lang w:eastAsia="hr-HR"/>
              </w:rPr>
              <w:t>0,93</w:t>
            </w:r>
          </w:p>
        </w:tc>
        <w:tc>
          <w:tcPr>
            <w:tcW w:w="1559" w:type="dxa"/>
            <w:vAlign w:val="center"/>
          </w:tcPr>
          <w:p w14:paraId="14D232E0" w14:textId="3725F24C" w:rsidR="005252A1" w:rsidRPr="00CA0804" w:rsidRDefault="005252A1" w:rsidP="005252A1">
            <w:pPr>
              <w:jc w:val="center"/>
              <w:rPr>
                <w:sz w:val="20"/>
                <w:szCs w:val="14"/>
              </w:rPr>
            </w:pPr>
            <w:r w:rsidRPr="00CA0804">
              <w:rPr>
                <w:rFonts w:eastAsia="Times New Roman"/>
                <w:sz w:val="20"/>
                <w:szCs w:val="20"/>
                <w:lang w:eastAsia="hr-HR"/>
              </w:rPr>
              <w:t>1,23</w:t>
            </w:r>
          </w:p>
        </w:tc>
        <w:tc>
          <w:tcPr>
            <w:tcW w:w="1559" w:type="dxa"/>
            <w:vAlign w:val="center"/>
          </w:tcPr>
          <w:p w14:paraId="5EF680C2" w14:textId="76978871" w:rsidR="005252A1" w:rsidRPr="00CA0804" w:rsidRDefault="00ED3709" w:rsidP="005252A1">
            <w:pPr>
              <w:jc w:val="center"/>
              <w:rPr>
                <w:sz w:val="20"/>
                <w:szCs w:val="14"/>
              </w:rPr>
            </w:pPr>
            <w:r w:rsidRPr="00CA0804">
              <w:rPr>
                <w:rFonts w:eastAsia="Times New Roman"/>
                <w:sz w:val="20"/>
                <w:szCs w:val="20"/>
                <w:lang w:eastAsia="hr-HR"/>
              </w:rPr>
              <w:t>0,23</w:t>
            </w:r>
          </w:p>
        </w:tc>
      </w:tr>
      <w:tr w:rsidR="005252A1" w:rsidRPr="00CA0804" w14:paraId="63966073" w14:textId="77777777" w:rsidTr="007A7C7C">
        <w:trPr>
          <w:trHeight w:val="40"/>
        </w:trPr>
        <w:tc>
          <w:tcPr>
            <w:tcW w:w="3376" w:type="dxa"/>
            <w:shd w:val="clear" w:color="auto" w:fill="auto"/>
            <w:vAlign w:val="center"/>
            <w:hideMark/>
          </w:tcPr>
          <w:p w14:paraId="3F8B63E8" w14:textId="77777777" w:rsidR="005252A1" w:rsidRPr="00CA0804" w:rsidRDefault="005252A1" w:rsidP="005252A1">
            <w:pPr>
              <w:rPr>
                <w:rFonts w:eastAsia="Times New Roman"/>
                <w:sz w:val="20"/>
                <w:szCs w:val="20"/>
              </w:rPr>
            </w:pPr>
            <w:r w:rsidRPr="00CA0804">
              <w:rPr>
                <w:rFonts w:eastAsia="Times New Roman"/>
                <w:sz w:val="20"/>
                <w:szCs w:val="20"/>
              </w:rPr>
              <w:t>udio (%) u ukupnim potporama</w:t>
            </w:r>
          </w:p>
        </w:tc>
        <w:tc>
          <w:tcPr>
            <w:tcW w:w="1439" w:type="dxa"/>
            <w:vAlign w:val="center"/>
          </w:tcPr>
          <w:p w14:paraId="61849651" w14:textId="733E1317" w:rsidR="005252A1" w:rsidRPr="00CA0804" w:rsidRDefault="005252A1" w:rsidP="005252A1">
            <w:pPr>
              <w:jc w:val="center"/>
              <w:rPr>
                <w:sz w:val="20"/>
                <w:szCs w:val="14"/>
              </w:rPr>
            </w:pPr>
            <w:r w:rsidRPr="00CA0804">
              <w:rPr>
                <w:rFonts w:eastAsia="Times New Roman"/>
                <w:sz w:val="20"/>
                <w:szCs w:val="20"/>
                <w:lang w:eastAsia="hr-HR"/>
              </w:rPr>
              <w:t>0,89</w:t>
            </w:r>
          </w:p>
        </w:tc>
        <w:tc>
          <w:tcPr>
            <w:tcW w:w="1559" w:type="dxa"/>
            <w:vAlign w:val="center"/>
          </w:tcPr>
          <w:p w14:paraId="368795DE" w14:textId="5F0206BA" w:rsidR="005252A1" w:rsidRPr="00CA0804" w:rsidRDefault="005252A1" w:rsidP="005252A1">
            <w:pPr>
              <w:jc w:val="center"/>
              <w:rPr>
                <w:sz w:val="20"/>
                <w:szCs w:val="14"/>
              </w:rPr>
            </w:pPr>
            <w:r w:rsidRPr="00CA0804">
              <w:rPr>
                <w:rFonts w:eastAsia="Times New Roman"/>
                <w:sz w:val="20"/>
                <w:szCs w:val="20"/>
                <w:lang w:eastAsia="hr-HR"/>
              </w:rPr>
              <w:t>1,16</w:t>
            </w:r>
          </w:p>
        </w:tc>
        <w:tc>
          <w:tcPr>
            <w:tcW w:w="1559" w:type="dxa"/>
            <w:vAlign w:val="center"/>
          </w:tcPr>
          <w:p w14:paraId="0A8D2378" w14:textId="69A2C5F5" w:rsidR="005252A1" w:rsidRPr="00CA0804" w:rsidRDefault="00ED3709" w:rsidP="005252A1">
            <w:pPr>
              <w:jc w:val="center"/>
              <w:rPr>
                <w:sz w:val="20"/>
                <w:szCs w:val="14"/>
              </w:rPr>
            </w:pPr>
            <w:r w:rsidRPr="00CA0804">
              <w:rPr>
                <w:rFonts w:eastAsia="Times New Roman"/>
                <w:sz w:val="20"/>
                <w:szCs w:val="20"/>
                <w:lang w:eastAsia="hr-HR"/>
              </w:rPr>
              <w:t>0,21</w:t>
            </w:r>
          </w:p>
        </w:tc>
      </w:tr>
      <w:tr w:rsidR="005252A1" w:rsidRPr="00CA0804" w14:paraId="3ED411B0" w14:textId="77777777" w:rsidTr="007A7C7C">
        <w:trPr>
          <w:trHeight w:val="40"/>
        </w:trPr>
        <w:tc>
          <w:tcPr>
            <w:tcW w:w="3376" w:type="dxa"/>
            <w:shd w:val="clear" w:color="auto" w:fill="auto"/>
            <w:vAlign w:val="center"/>
            <w:hideMark/>
          </w:tcPr>
          <w:p w14:paraId="1AFEFBEA" w14:textId="77777777" w:rsidR="005252A1" w:rsidRPr="00CA0804" w:rsidRDefault="005252A1" w:rsidP="005252A1">
            <w:pPr>
              <w:rPr>
                <w:rFonts w:eastAsia="Times New Roman"/>
                <w:sz w:val="20"/>
                <w:szCs w:val="20"/>
              </w:rPr>
            </w:pPr>
            <w:r w:rsidRPr="00CA0804">
              <w:rPr>
                <w:rFonts w:eastAsia="Times New Roman"/>
                <w:sz w:val="20"/>
                <w:szCs w:val="20"/>
              </w:rPr>
              <w:t>udio (%) u BDP-u</w:t>
            </w:r>
          </w:p>
        </w:tc>
        <w:tc>
          <w:tcPr>
            <w:tcW w:w="1439" w:type="dxa"/>
            <w:vAlign w:val="center"/>
          </w:tcPr>
          <w:p w14:paraId="4312F535" w14:textId="4D30D387" w:rsidR="005252A1" w:rsidRPr="00CA0804" w:rsidRDefault="005252A1" w:rsidP="005252A1">
            <w:pPr>
              <w:jc w:val="center"/>
              <w:rPr>
                <w:sz w:val="20"/>
                <w:szCs w:val="14"/>
              </w:rPr>
            </w:pPr>
            <w:r w:rsidRPr="00CA0804">
              <w:rPr>
                <w:rFonts w:eastAsia="Times New Roman"/>
                <w:sz w:val="20"/>
                <w:szCs w:val="20"/>
                <w:lang w:eastAsia="hr-HR"/>
              </w:rPr>
              <w:t>0,03</w:t>
            </w:r>
          </w:p>
        </w:tc>
        <w:tc>
          <w:tcPr>
            <w:tcW w:w="1559" w:type="dxa"/>
            <w:vAlign w:val="center"/>
          </w:tcPr>
          <w:p w14:paraId="4955CABE" w14:textId="7233AB30" w:rsidR="005252A1" w:rsidRPr="00CA0804" w:rsidRDefault="005252A1" w:rsidP="005252A1">
            <w:pPr>
              <w:jc w:val="center"/>
              <w:rPr>
                <w:sz w:val="20"/>
                <w:szCs w:val="14"/>
              </w:rPr>
            </w:pPr>
            <w:r w:rsidRPr="00CA0804">
              <w:rPr>
                <w:rFonts w:eastAsia="Times New Roman"/>
                <w:sz w:val="20"/>
                <w:szCs w:val="20"/>
                <w:lang w:eastAsia="hr-HR"/>
              </w:rPr>
              <w:t>0,03</w:t>
            </w:r>
          </w:p>
        </w:tc>
        <w:tc>
          <w:tcPr>
            <w:tcW w:w="1559" w:type="dxa"/>
            <w:vAlign w:val="center"/>
          </w:tcPr>
          <w:p w14:paraId="7B4FC8B7" w14:textId="518C639F" w:rsidR="005252A1" w:rsidRPr="00CA0804" w:rsidRDefault="005252A1" w:rsidP="005252A1">
            <w:pPr>
              <w:jc w:val="center"/>
              <w:rPr>
                <w:sz w:val="20"/>
                <w:szCs w:val="14"/>
              </w:rPr>
            </w:pPr>
            <w:r w:rsidRPr="00CA0804">
              <w:rPr>
                <w:rFonts w:eastAsia="Times New Roman"/>
                <w:sz w:val="20"/>
                <w:szCs w:val="20"/>
                <w:lang w:eastAsia="hr-HR"/>
              </w:rPr>
              <w:t>0,004</w:t>
            </w:r>
          </w:p>
        </w:tc>
      </w:tr>
    </w:tbl>
    <w:p w14:paraId="0C97FAF0" w14:textId="77777777" w:rsidR="00CE5537" w:rsidRPr="00CA0804" w:rsidRDefault="00CE5537" w:rsidP="00CE5537">
      <w:pPr>
        <w:contextualSpacing/>
        <w:jc w:val="both"/>
        <w:rPr>
          <w:i/>
          <w:sz w:val="20"/>
        </w:rPr>
      </w:pPr>
      <w:r w:rsidRPr="00CA0804">
        <w:rPr>
          <w:i/>
          <w:sz w:val="20"/>
        </w:rPr>
        <w:t>Izvor: Ministarstvo financija i davatelji potpora; podaci obrađeni u Ministarstvu financija</w:t>
      </w:r>
    </w:p>
    <w:p w14:paraId="148F2292" w14:textId="77777777" w:rsidR="00677F96" w:rsidRPr="00CA0804" w:rsidRDefault="00677F96" w:rsidP="00CE5537"/>
    <w:p w14:paraId="438D51BC" w14:textId="0BB9512D" w:rsidR="00D64718" w:rsidRPr="00CA0804" w:rsidRDefault="00D64718" w:rsidP="00D64718">
      <w:pPr>
        <w:jc w:val="both"/>
      </w:pPr>
      <w:r w:rsidRPr="00CA0804">
        <w:t>Udio potpora za kulturu u BDP-u u 202</w:t>
      </w:r>
      <w:r w:rsidR="001902EF" w:rsidRPr="00CA0804">
        <w:t>4</w:t>
      </w:r>
      <w:r w:rsidRPr="00CA0804">
        <w:t>. godini iznosio je 0,</w:t>
      </w:r>
      <w:r w:rsidR="007957FD" w:rsidRPr="00CA0804">
        <w:t>0</w:t>
      </w:r>
      <w:r w:rsidR="001902EF" w:rsidRPr="00CA0804">
        <w:t>04</w:t>
      </w:r>
      <w:r w:rsidRPr="00CA0804">
        <w:t xml:space="preserve"> posto, u 202</w:t>
      </w:r>
      <w:r w:rsidR="001902EF" w:rsidRPr="00CA0804">
        <w:t xml:space="preserve">3. godini </w:t>
      </w:r>
      <w:r w:rsidRPr="00CA0804">
        <w:t>0,0</w:t>
      </w:r>
      <w:r w:rsidR="007957FD" w:rsidRPr="00CA0804">
        <w:t>3</w:t>
      </w:r>
      <w:r w:rsidRPr="00CA0804">
        <w:t xml:space="preserve"> posto</w:t>
      </w:r>
      <w:r w:rsidR="001902EF" w:rsidRPr="00CA0804">
        <w:t xml:space="preserve"> isto kao i u</w:t>
      </w:r>
      <w:r w:rsidRPr="00CA0804">
        <w:t xml:space="preserve"> 2021. godini. Udio navedenih potpora u 202</w:t>
      </w:r>
      <w:r w:rsidR="001902EF" w:rsidRPr="00CA0804">
        <w:t>4</w:t>
      </w:r>
      <w:r w:rsidRPr="00CA0804">
        <w:t xml:space="preserve">. godini u ukupno dodijeljenim potporama iznosio je </w:t>
      </w:r>
      <w:r w:rsidR="007957FD" w:rsidRPr="00CA0804">
        <w:t>0,</w:t>
      </w:r>
      <w:r w:rsidR="001902EF" w:rsidRPr="00CA0804">
        <w:t>2</w:t>
      </w:r>
      <w:r w:rsidRPr="00CA0804">
        <w:t xml:space="preserve"> posto, udio u dodijeljenim potporama u sektoru industrije i usluga </w:t>
      </w:r>
      <w:r w:rsidR="001902EF" w:rsidRPr="00CA0804">
        <w:t>0</w:t>
      </w:r>
      <w:r w:rsidR="007957FD" w:rsidRPr="00CA0804">
        <w:t>,2</w:t>
      </w:r>
      <w:r w:rsidRPr="00CA0804">
        <w:t xml:space="preserve"> posto, </w:t>
      </w:r>
      <w:r w:rsidR="001902EF" w:rsidRPr="00CA0804">
        <w:t>a</w:t>
      </w:r>
      <w:r w:rsidRPr="00CA0804">
        <w:t xml:space="preserve"> udio u horizontalnim ciljevima </w:t>
      </w:r>
      <w:r w:rsidR="001902EF" w:rsidRPr="00CA0804">
        <w:t>1,5</w:t>
      </w:r>
      <w:r w:rsidRPr="00CA0804">
        <w:t xml:space="preserve"> posto.</w:t>
      </w:r>
    </w:p>
    <w:p w14:paraId="5F48194D" w14:textId="77777777" w:rsidR="003D2B7C" w:rsidRPr="00CA0804" w:rsidRDefault="003D2B7C" w:rsidP="001902EF"/>
    <w:p w14:paraId="4647C232" w14:textId="5DEDCB50" w:rsidR="002B6C8A" w:rsidRPr="00CA0804" w:rsidRDefault="001902EF" w:rsidP="002B6C8A">
      <w:pPr>
        <w:jc w:val="both"/>
      </w:pPr>
      <w:r w:rsidRPr="00CA0804">
        <w:t>Jedini d</w:t>
      </w:r>
      <w:r w:rsidR="00D64718" w:rsidRPr="00CA0804">
        <w:t>avatelj</w:t>
      </w:r>
      <w:r w:rsidRPr="00CA0804">
        <w:t xml:space="preserve"> </w:t>
      </w:r>
      <w:r w:rsidR="00D64718" w:rsidRPr="00CA0804">
        <w:t xml:space="preserve">potpora </w:t>
      </w:r>
      <w:r w:rsidR="007957FD" w:rsidRPr="00CA0804">
        <w:t>u kulturi</w:t>
      </w:r>
      <w:r w:rsidRPr="00CA0804">
        <w:t xml:space="preserve"> u 2024. godini </w:t>
      </w:r>
      <w:r w:rsidR="00D64718" w:rsidRPr="00CA0804">
        <w:t xml:space="preserve">u iznosu od </w:t>
      </w:r>
      <w:r w:rsidRPr="00CA0804">
        <w:t>3</w:t>
      </w:r>
      <w:r w:rsidR="007957FD" w:rsidRPr="00CA0804">
        <w:t>,1</w:t>
      </w:r>
      <w:r w:rsidR="00D64718" w:rsidRPr="00CA0804">
        <w:t xml:space="preserve"> milijun eura</w:t>
      </w:r>
      <w:r w:rsidRPr="00CA0804">
        <w:t xml:space="preserve"> subvencija je </w:t>
      </w:r>
      <w:r w:rsidR="007957FD" w:rsidRPr="00CA0804">
        <w:rPr>
          <w:u w:val="single"/>
        </w:rPr>
        <w:t>Ministarstvo kulture i medija</w:t>
      </w:r>
      <w:r w:rsidRPr="00CA0804">
        <w:rPr>
          <w:rFonts w:eastAsia="Times New Roman"/>
          <w:lang w:eastAsia="hr-HR"/>
        </w:rPr>
        <w:t xml:space="preserve">, </w:t>
      </w:r>
      <w:r w:rsidR="002D1E37" w:rsidRPr="00CA0804">
        <w:t xml:space="preserve">temeljem </w:t>
      </w:r>
      <w:r w:rsidR="00280D82" w:rsidRPr="00CA0804">
        <w:t xml:space="preserve">Programa financiranja nakladništva </w:t>
      </w:r>
      <w:r w:rsidR="00263D4D" w:rsidRPr="00CA0804">
        <w:t>koji je Europska komisija odobrila u postupku koji se vodio pod brojem SA.</w:t>
      </w:r>
      <w:r w:rsidR="00280D82" w:rsidRPr="00CA0804">
        <w:t>102488</w:t>
      </w:r>
      <w:r w:rsidR="00263D4D" w:rsidRPr="00CA0804">
        <w:t>.</w:t>
      </w:r>
    </w:p>
    <w:p w14:paraId="0CC0C2B6" w14:textId="77777777" w:rsidR="00C54FE6" w:rsidRPr="00CA0804" w:rsidRDefault="00C54FE6" w:rsidP="00263D4D">
      <w:pPr>
        <w:jc w:val="both"/>
      </w:pPr>
    </w:p>
    <w:p w14:paraId="5B3FA72A" w14:textId="0BD2250C" w:rsidR="00073214" w:rsidRPr="00CA0804" w:rsidRDefault="00073214" w:rsidP="00073214">
      <w:pPr>
        <w:jc w:val="both"/>
      </w:pPr>
      <w:r w:rsidRPr="00CA0804">
        <w:rPr>
          <w:u w:val="single"/>
        </w:rPr>
        <w:t>Potpore male vrijednosti</w:t>
      </w:r>
      <w:r w:rsidRPr="00CA0804">
        <w:t xml:space="preserve"> za kulturu i zaštitu baštine u 202</w:t>
      </w:r>
      <w:r w:rsidR="00817824" w:rsidRPr="00CA0804">
        <w:t>4</w:t>
      </w:r>
      <w:r w:rsidRPr="00CA0804">
        <w:t xml:space="preserve">. godini </w:t>
      </w:r>
      <w:r w:rsidR="00817824" w:rsidRPr="00CA0804">
        <w:t xml:space="preserve">su </w:t>
      </w:r>
      <w:r w:rsidRPr="00CA0804">
        <w:t xml:space="preserve">dodijeljene u iznosu od </w:t>
      </w:r>
      <w:r w:rsidR="00817824" w:rsidRPr="00CA0804">
        <w:t>203.000</w:t>
      </w:r>
      <w:r w:rsidR="00D64718" w:rsidRPr="00CA0804">
        <w:t xml:space="preserve">,00 </w:t>
      </w:r>
      <w:r w:rsidRPr="00CA0804">
        <w:t xml:space="preserve">eura, te ukoliko bi se navedene potpore male vrijednosti pribrojile dodijeljenim potporama za kulturu i zaštitu baštine u iznosu od </w:t>
      </w:r>
      <w:r w:rsidR="00817824" w:rsidRPr="00CA0804">
        <w:t>3</w:t>
      </w:r>
      <w:r w:rsidR="00D64718" w:rsidRPr="00CA0804">
        <w:t>,1</w:t>
      </w:r>
      <w:r w:rsidRPr="00CA0804">
        <w:t xml:space="preserve"> milijun eura, ukupan iznos svih dodijeljenih potpora za kulturu i zaštitu baštine iznosi</w:t>
      </w:r>
      <w:r w:rsidR="00817824" w:rsidRPr="00CA0804">
        <w:t>o</w:t>
      </w:r>
      <w:r w:rsidRPr="00CA0804">
        <w:t xml:space="preserve"> bi </w:t>
      </w:r>
      <w:r w:rsidR="00817824" w:rsidRPr="00CA0804">
        <w:t>3,3</w:t>
      </w:r>
      <w:r w:rsidRPr="00CA0804">
        <w:t xml:space="preserve"> milijuna eura. </w:t>
      </w:r>
    </w:p>
    <w:p w14:paraId="17E3F4BC" w14:textId="3AF42005" w:rsidR="00817824" w:rsidRPr="00CA0804" w:rsidRDefault="00817824" w:rsidP="00073214">
      <w:pPr>
        <w:jc w:val="both"/>
      </w:pPr>
    </w:p>
    <w:p w14:paraId="747659F8" w14:textId="77777777" w:rsidR="00280D82" w:rsidRPr="00CA0804" w:rsidRDefault="00280D82" w:rsidP="00BE487D">
      <w:pPr>
        <w:jc w:val="both"/>
      </w:pPr>
    </w:p>
    <w:p w14:paraId="4B150021" w14:textId="77777777" w:rsidR="001E38B5" w:rsidRPr="00CA0804" w:rsidRDefault="001E38B5">
      <w:pPr>
        <w:rPr>
          <w:rFonts w:eastAsiaTheme="majorEastAsia"/>
          <w:b/>
          <w:sz w:val="28"/>
        </w:rPr>
      </w:pPr>
      <w:r w:rsidRPr="00CA0804">
        <w:rPr>
          <w:b/>
          <w:sz w:val="28"/>
        </w:rPr>
        <w:br w:type="page"/>
      </w:r>
    </w:p>
    <w:p w14:paraId="7FB2D5F0" w14:textId="3985E219" w:rsidR="00BE0817" w:rsidRPr="00CA0804" w:rsidRDefault="00C45D8A" w:rsidP="00B71D98">
      <w:pPr>
        <w:pStyle w:val="Heading2"/>
        <w:ind w:left="811" w:hanging="454"/>
      </w:pPr>
      <w:r w:rsidRPr="00CA0804">
        <w:lastRenderedPageBreak/>
        <w:t xml:space="preserve"> </w:t>
      </w:r>
      <w:bookmarkStart w:id="19" w:name="_Toc213660040"/>
      <w:r w:rsidRPr="00CA0804">
        <w:t>REGIONALNE POTPORE</w:t>
      </w:r>
      <w:bookmarkEnd w:id="19"/>
    </w:p>
    <w:p w14:paraId="0AC6643B" w14:textId="77777777" w:rsidR="00E668F9" w:rsidRPr="00CA0804" w:rsidRDefault="00E668F9" w:rsidP="00BE487D">
      <w:pPr>
        <w:jc w:val="both"/>
      </w:pPr>
    </w:p>
    <w:p w14:paraId="77FFF1A3" w14:textId="77777777" w:rsidR="00E668F9" w:rsidRPr="00CA0804" w:rsidRDefault="00E668F9" w:rsidP="00BE487D">
      <w:pPr>
        <w:jc w:val="both"/>
      </w:pPr>
    </w:p>
    <w:p w14:paraId="30E601FC" w14:textId="40A4A04F" w:rsidR="00891E8E" w:rsidRPr="00CA0804" w:rsidRDefault="00A53D39" w:rsidP="00891E8E">
      <w:pPr>
        <w:jc w:val="both"/>
      </w:pPr>
      <w:r w:rsidRPr="00CA0804">
        <w:t>Regionalne potpore</w:t>
      </w:r>
      <w:r w:rsidRPr="00CA0804">
        <w:rPr>
          <w:rStyle w:val="FootnoteReference"/>
        </w:rPr>
        <w:footnoteReference w:id="29"/>
      </w:r>
      <w:r w:rsidRPr="00CA0804">
        <w:t xml:space="preserve"> </w:t>
      </w:r>
      <w:r w:rsidR="00891E8E" w:rsidRPr="00CA0804">
        <w:t>dodijeljene</w:t>
      </w:r>
      <w:r w:rsidR="00817824" w:rsidRPr="00CA0804">
        <w:t xml:space="preserve"> su</w:t>
      </w:r>
      <w:r w:rsidR="00891E8E" w:rsidRPr="00CA0804">
        <w:t xml:space="preserve"> </w:t>
      </w:r>
      <w:r w:rsidR="00140E33" w:rsidRPr="00CA0804">
        <w:t xml:space="preserve">u </w:t>
      </w:r>
      <w:r w:rsidR="0081441F" w:rsidRPr="00CA0804">
        <w:t>202</w:t>
      </w:r>
      <w:r w:rsidR="00817824" w:rsidRPr="00CA0804">
        <w:t>4</w:t>
      </w:r>
      <w:r w:rsidR="0081441F" w:rsidRPr="00CA0804">
        <w:t xml:space="preserve">. godini u iznosu od </w:t>
      </w:r>
      <w:r w:rsidR="00817824" w:rsidRPr="00CA0804">
        <w:t xml:space="preserve">134,9 </w:t>
      </w:r>
      <w:r w:rsidR="0081441F" w:rsidRPr="00CA0804">
        <w:t xml:space="preserve">milijuna eura, što je </w:t>
      </w:r>
      <w:r w:rsidR="00817824" w:rsidRPr="00CA0804">
        <w:t>smanjenje</w:t>
      </w:r>
      <w:r w:rsidR="0081441F" w:rsidRPr="00CA0804">
        <w:t xml:space="preserve"> za </w:t>
      </w:r>
      <w:r w:rsidR="00817824" w:rsidRPr="00CA0804">
        <w:t>16</w:t>
      </w:r>
      <w:r w:rsidR="0081441F" w:rsidRPr="00CA0804">
        <w:t xml:space="preserve"> milijuna eura ili </w:t>
      </w:r>
      <w:r w:rsidR="00817824" w:rsidRPr="00CA0804">
        <w:t>10,6</w:t>
      </w:r>
      <w:r w:rsidR="0081441F" w:rsidRPr="00CA0804">
        <w:t xml:space="preserve"> posto u odnosu na 202</w:t>
      </w:r>
      <w:r w:rsidR="00817824" w:rsidRPr="00CA0804">
        <w:t>3</w:t>
      </w:r>
      <w:r w:rsidR="0081441F" w:rsidRPr="00CA0804">
        <w:t xml:space="preserve">. godinu, kada su iznosile </w:t>
      </w:r>
      <w:r w:rsidR="007E7BF5" w:rsidRPr="00CA0804">
        <w:t xml:space="preserve">150,9 </w:t>
      </w:r>
      <w:r w:rsidR="0081441F" w:rsidRPr="00CA0804">
        <w:t xml:space="preserve">milijuna eura, te </w:t>
      </w:r>
      <w:r w:rsidR="000A5FF3" w:rsidRPr="00CA0804">
        <w:t xml:space="preserve">predstavlja </w:t>
      </w:r>
      <w:r w:rsidR="0081441F" w:rsidRPr="00CA0804">
        <w:t xml:space="preserve">povećanje za </w:t>
      </w:r>
      <w:r w:rsidR="007E7BF5" w:rsidRPr="00CA0804">
        <w:t xml:space="preserve">27,9 </w:t>
      </w:r>
      <w:r w:rsidR="0081441F" w:rsidRPr="00CA0804">
        <w:t xml:space="preserve">milijuna eura ili </w:t>
      </w:r>
      <w:r w:rsidR="007E7BF5" w:rsidRPr="00CA0804">
        <w:t>26</w:t>
      </w:r>
      <w:r w:rsidR="0081441F" w:rsidRPr="00CA0804">
        <w:t>,1 posto u odnosu na 202</w:t>
      </w:r>
      <w:r w:rsidR="007E7BF5" w:rsidRPr="00CA0804">
        <w:t>2</w:t>
      </w:r>
      <w:r w:rsidR="0081441F" w:rsidRPr="00CA0804">
        <w:t xml:space="preserve">. godinu kada su iznosile </w:t>
      </w:r>
      <w:r w:rsidR="007E7BF5" w:rsidRPr="00CA0804">
        <w:t xml:space="preserve">107 </w:t>
      </w:r>
      <w:r w:rsidR="0081441F" w:rsidRPr="00CA0804">
        <w:t>milijuna eura</w:t>
      </w:r>
      <w:r w:rsidR="00891E8E" w:rsidRPr="00CA0804">
        <w:t>.</w:t>
      </w:r>
    </w:p>
    <w:p w14:paraId="316E16FA" w14:textId="77777777" w:rsidR="00AD548E" w:rsidRPr="00CA0804" w:rsidRDefault="00AD548E" w:rsidP="00817824"/>
    <w:p w14:paraId="72E3F0D7" w14:textId="70171981" w:rsidR="00A53D39" w:rsidRPr="00CA0804" w:rsidRDefault="00A53D39" w:rsidP="00BE487D">
      <w:pPr>
        <w:autoSpaceDE w:val="0"/>
        <w:autoSpaceDN w:val="0"/>
        <w:adjustRightInd w:val="0"/>
        <w:contextualSpacing/>
        <w:jc w:val="both"/>
        <w:rPr>
          <w:bCs/>
          <w:lang w:eastAsia="hr-HR"/>
        </w:rPr>
      </w:pPr>
      <w:r w:rsidRPr="00CA0804">
        <w:rPr>
          <w:bCs/>
          <w:lang w:eastAsia="hr-HR"/>
        </w:rPr>
        <w:t>Tablica 1</w:t>
      </w:r>
      <w:r w:rsidR="00870E9F" w:rsidRPr="00CA0804">
        <w:rPr>
          <w:bCs/>
          <w:lang w:eastAsia="hr-HR"/>
        </w:rPr>
        <w:t>5</w:t>
      </w:r>
      <w:r w:rsidRPr="00CA0804">
        <w:rPr>
          <w:bCs/>
          <w:lang w:eastAsia="hr-HR"/>
        </w:rPr>
        <w:t xml:space="preserve">. Regionalne potpore </w:t>
      </w:r>
      <w:r w:rsidR="000A1E58" w:rsidRPr="00CA0804">
        <w:rPr>
          <w:bCs/>
          <w:lang w:eastAsia="hr-HR"/>
        </w:rPr>
        <w:t xml:space="preserve">dodijeljene </w:t>
      </w:r>
      <w:r w:rsidR="000A1E58" w:rsidRPr="00CA0804">
        <w:t xml:space="preserve">u razdoblju </w:t>
      </w:r>
      <w:r w:rsidRPr="00CA0804">
        <w:t>od 20</w:t>
      </w:r>
      <w:r w:rsidR="00DE2CC0" w:rsidRPr="00CA0804">
        <w:t>2</w:t>
      </w:r>
      <w:r w:rsidR="005252A1" w:rsidRPr="00CA0804">
        <w:t>2</w:t>
      </w:r>
      <w:r w:rsidRPr="00CA0804">
        <w:t>. do 202</w:t>
      </w:r>
      <w:r w:rsidR="005252A1" w:rsidRPr="00CA0804">
        <w:t>4</w:t>
      </w:r>
      <w:r w:rsidRPr="00CA0804">
        <w:t>. godine</w:t>
      </w:r>
    </w:p>
    <w:p w14:paraId="2D9B5C2C" w14:textId="77777777" w:rsidR="00A53D39" w:rsidRPr="00CA0804" w:rsidRDefault="00A53D39" w:rsidP="00BE487D">
      <w:pPr>
        <w:jc w:val="both"/>
        <w:rPr>
          <w:sz w:val="20"/>
        </w:rPr>
      </w:pPr>
    </w:p>
    <w:tbl>
      <w:tblPr>
        <w:tblW w:w="8075" w:type="dxa"/>
        <w:tblLook w:val="04A0" w:firstRow="1" w:lastRow="0" w:firstColumn="1" w:lastColumn="0" w:noHBand="0" w:noVBand="1"/>
      </w:tblPr>
      <w:tblGrid>
        <w:gridCol w:w="3280"/>
        <w:gridCol w:w="1535"/>
        <w:gridCol w:w="1559"/>
        <w:gridCol w:w="1701"/>
      </w:tblGrid>
      <w:tr w:rsidR="005252A1" w:rsidRPr="00CA0804" w14:paraId="4DB65986" w14:textId="77777777" w:rsidTr="00DE2CC0">
        <w:trPr>
          <w:trHeight w:val="51"/>
        </w:trPr>
        <w:tc>
          <w:tcPr>
            <w:tcW w:w="3280"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2BDC53" w14:textId="6393FBDD" w:rsidR="005252A1" w:rsidRPr="00CA0804" w:rsidRDefault="005252A1" w:rsidP="005252A1">
            <w:pPr>
              <w:rPr>
                <w:rFonts w:eastAsia="Times New Roman"/>
                <w:b/>
                <w:bCs/>
                <w:sz w:val="20"/>
              </w:rPr>
            </w:pPr>
            <w:r w:rsidRPr="00CA0804">
              <w:rPr>
                <w:rFonts w:eastAsia="Times New Roman"/>
                <w:b/>
                <w:bCs/>
                <w:sz w:val="20"/>
              </w:rPr>
              <w:t xml:space="preserve">Regionalne potpore </w:t>
            </w:r>
          </w:p>
        </w:tc>
        <w:tc>
          <w:tcPr>
            <w:tcW w:w="1535" w:type="dxa"/>
            <w:tcBorders>
              <w:top w:val="single" w:sz="4" w:space="0" w:color="auto"/>
              <w:left w:val="nil"/>
              <w:bottom w:val="single" w:sz="4" w:space="0" w:color="auto"/>
              <w:right w:val="single" w:sz="4" w:space="0" w:color="auto"/>
            </w:tcBorders>
            <w:shd w:val="clear" w:color="000000" w:fill="FFFF99"/>
            <w:noWrap/>
            <w:vAlign w:val="center"/>
            <w:hideMark/>
          </w:tcPr>
          <w:p w14:paraId="79B03BE8" w14:textId="20A975CA" w:rsidR="005252A1" w:rsidRPr="00CA0804" w:rsidRDefault="005252A1" w:rsidP="005252A1">
            <w:pPr>
              <w:jc w:val="center"/>
              <w:rPr>
                <w:rFonts w:eastAsia="Times New Roman"/>
                <w:b/>
                <w:bCs/>
                <w:sz w:val="20"/>
              </w:rPr>
            </w:pPr>
            <w:r w:rsidRPr="00CA0804">
              <w:rPr>
                <w:sz w:val="20"/>
                <w:szCs w:val="20"/>
              </w:rPr>
              <w:t>2022.</w:t>
            </w:r>
          </w:p>
        </w:tc>
        <w:tc>
          <w:tcPr>
            <w:tcW w:w="1559" w:type="dxa"/>
            <w:tcBorders>
              <w:top w:val="single" w:sz="4" w:space="0" w:color="auto"/>
              <w:left w:val="nil"/>
              <w:bottom w:val="single" w:sz="4" w:space="0" w:color="auto"/>
              <w:right w:val="single" w:sz="4" w:space="0" w:color="auto"/>
            </w:tcBorders>
            <w:shd w:val="clear" w:color="000000" w:fill="FFFF99"/>
            <w:noWrap/>
            <w:vAlign w:val="center"/>
            <w:hideMark/>
          </w:tcPr>
          <w:p w14:paraId="78F738BA" w14:textId="67AB6BB6" w:rsidR="005252A1" w:rsidRPr="00CA0804" w:rsidRDefault="005252A1" w:rsidP="005252A1">
            <w:pPr>
              <w:jc w:val="center"/>
              <w:rPr>
                <w:rFonts w:eastAsia="Times New Roman"/>
                <w:b/>
                <w:bCs/>
                <w:sz w:val="20"/>
              </w:rPr>
            </w:pPr>
            <w:r w:rsidRPr="00CA0804">
              <w:rPr>
                <w:sz w:val="20"/>
                <w:szCs w:val="20"/>
              </w:rPr>
              <w:t>2023.</w:t>
            </w:r>
          </w:p>
        </w:tc>
        <w:tc>
          <w:tcPr>
            <w:tcW w:w="1701" w:type="dxa"/>
            <w:tcBorders>
              <w:top w:val="single" w:sz="4" w:space="0" w:color="auto"/>
              <w:left w:val="nil"/>
              <w:bottom w:val="single" w:sz="4" w:space="0" w:color="auto"/>
              <w:right w:val="single" w:sz="4" w:space="0" w:color="auto"/>
            </w:tcBorders>
            <w:shd w:val="clear" w:color="000000" w:fill="FFFF99"/>
            <w:noWrap/>
            <w:vAlign w:val="center"/>
            <w:hideMark/>
          </w:tcPr>
          <w:p w14:paraId="3F4824BE" w14:textId="37B53A80" w:rsidR="005252A1" w:rsidRPr="00CA0804" w:rsidRDefault="005252A1" w:rsidP="005252A1">
            <w:pPr>
              <w:jc w:val="center"/>
              <w:rPr>
                <w:rFonts w:eastAsia="Times New Roman"/>
                <w:b/>
                <w:bCs/>
                <w:sz w:val="20"/>
              </w:rPr>
            </w:pPr>
            <w:r w:rsidRPr="00CA0804">
              <w:rPr>
                <w:sz w:val="20"/>
                <w:szCs w:val="20"/>
              </w:rPr>
              <w:t>2024.</w:t>
            </w:r>
          </w:p>
        </w:tc>
      </w:tr>
      <w:tr w:rsidR="00CE5537" w:rsidRPr="00CA0804" w14:paraId="06E2A4A9" w14:textId="77777777" w:rsidTr="001445B7">
        <w:trPr>
          <w:trHeight w:val="51"/>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679554FA" w14:textId="77777777" w:rsidR="00CE5537" w:rsidRPr="00CA0804" w:rsidRDefault="00CE5537" w:rsidP="00CE5537">
            <w:pPr>
              <w:rPr>
                <w:rFonts w:eastAsia="Times New Roman"/>
                <w:b/>
                <w:bCs/>
                <w:sz w:val="20"/>
              </w:rPr>
            </w:pPr>
          </w:p>
        </w:tc>
        <w:tc>
          <w:tcPr>
            <w:tcW w:w="1535" w:type="dxa"/>
            <w:tcBorders>
              <w:top w:val="single" w:sz="4" w:space="0" w:color="auto"/>
              <w:left w:val="nil"/>
              <w:bottom w:val="single" w:sz="4" w:space="0" w:color="auto"/>
              <w:right w:val="single" w:sz="4" w:space="0" w:color="auto"/>
            </w:tcBorders>
            <w:shd w:val="clear" w:color="000000" w:fill="FFFF99"/>
            <w:vAlign w:val="center"/>
            <w:hideMark/>
          </w:tcPr>
          <w:p w14:paraId="6208EEC8" w14:textId="77777777" w:rsidR="00CE5537" w:rsidRPr="00CA0804" w:rsidRDefault="00CE5537" w:rsidP="00CE5537">
            <w:pPr>
              <w:jc w:val="center"/>
              <w:rPr>
                <w:rFonts w:eastAsia="Times New Roman"/>
                <w:b/>
                <w:sz w:val="18"/>
              </w:rPr>
            </w:pPr>
            <w:r w:rsidRPr="00CA0804">
              <w:rPr>
                <w:rFonts w:eastAsia="Times New Roman"/>
                <w:b/>
                <w:sz w:val="18"/>
              </w:rPr>
              <w:t>u mln</w:t>
            </w:r>
          </w:p>
          <w:p w14:paraId="72DEF641" w14:textId="0BBD5A8E" w:rsidR="00CE5537" w:rsidRPr="00CA0804" w:rsidRDefault="00CE5537" w:rsidP="00CE5537">
            <w:pPr>
              <w:jc w:val="center"/>
              <w:rPr>
                <w:rFonts w:eastAsia="Times New Roman"/>
                <w:b/>
                <w:sz w:val="18"/>
              </w:rPr>
            </w:pPr>
            <w:r w:rsidRPr="00CA0804">
              <w:rPr>
                <w:rFonts w:eastAsia="Times New Roman"/>
                <w:b/>
                <w:sz w:val="18"/>
              </w:rPr>
              <w:t>EUR</w:t>
            </w:r>
          </w:p>
        </w:tc>
        <w:tc>
          <w:tcPr>
            <w:tcW w:w="1559" w:type="dxa"/>
            <w:tcBorders>
              <w:top w:val="single" w:sz="4" w:space="0" w:color="auto"/>
              <w:left w:val="nil"/>
              <w:bottom w:val="single" w:sz="4" w:space="0" w:color="auto"/>
              <w:right w:val="single" w:sz="4" w:space="0" w:color="auto"/>
            </w:tcBorders>
            <w:shd w:val="clear" w:color="000000" w:fill="FFFF99"/>
            <w:vAlign w:val="center"/>
            <w:hideMark/>
          </w:tcPr>
          <w:p w14:paraId="54A78494" w14:textId="77777777" w:rsidR="00CE5537" w:rsidRPr="00CA0804" w:rsidRDefault="00CE5537" w:rsidP="00CE5537">
            <w:pPr>
              <w:jc w:val="center"/>
              <w:rPr>
                <w:rFonts w:eastAsia="Times New Roman"/>
                <w:b/>
                <w:sz w:val="18"/>
              </w:rPr>
            </w:pPr>
            <w:r w:rsidRPr="00CA0804">
              <w:rPr>
                <w:rFonts w:eastAsia="Times New Roman"/>
                <w:b/>
                <w:sz w:val="18"/>
              </w:rPr>
              <w:t>u mln</w:t>
            </w:r>
          </w:p>
          <w:p w14:paraId="32F5E3BA" w14:textId="3996141B" w:rsidR="00CE5537" w:rsidRPr="00CA0804" w:rsidRDefault="00CE5537" w:rsidP="00CE5537">
            <w:pPr>
              <w:jc w:val="center"/>
              <w:rPr>
                <w:rFonts w:eastAsia="Times New Roman"/>
                <w:b/>
                <w:sz w:val="18"/>
              </w:rPr>
            </w:pPr>
            <w:r w:rsidRPr="00CA0804">
              <w:rPr>
                <w:rFonts w:eastAsia="Times New Roman"/>
                <w:b/>
                <w:sz w:val="18"/>
              </w:rPr>
              <w:t>EUR</w:t>
            </w:r>
          </w:p>
        </w:tc>
        <w:tc>
          <w:tcPr>
            <w:tcW w:w="1701" w:type="dxa"/>
            <w:tcBorders>
              <w:top w:val="single" w:sz="4" w:space="0" w:color="auto"/>
              <w:left w:val="nil"/>
              <w:bottom w:val="single" w:sz="4" w:space="0" w:color="auto"/>
              <w:right w:val="single" w:sz="4" w:space="0" w:color="auto"/>
            </w:tcBorders>
            <w:shd w:val="clear" w:color="000000" w:fill="FFFF99"/>
            <w:vAlign w:val="center"/>
            <w:hideMark/>
          </w:tcPr>
          <w:p w14:paraId="5AF85625" w14:textId="77777777" w:rsidR="00CE5537" w:rsidRPr="00CA0804" w:rsidRDefault="00CE5537" w:rsidP="00CE5537">
            <w:pPr>
              <w:jc w:val="center"/>
              <w:rPr>
                <w:rFonts w:eastAsia="Times New Roman"/>
                <w:b/>
                <w:sz w:val="18"/>
              </w:rPr>
            </w:pPr>
            <w:r w:rsidRPr="00CA0804">
              <w:rPr>
                <w:rFonts w:eastAsia="Times New Roman"/>
                <w:b/>
                <w:sz w:val="18"/>
              </w:rPr>
              <w:t>u mln</w:t>
            </w:r>
          </w:p>
          <w:p w14:paraId="6439579A" w14:textId="040DC095" w:rsidR="00CE5537" w:rsidRPr="00CA0804" w:rsidRDefault="00CE5537" w:rsidP="00CE5537">
            <w:pPr>
              <w:jc w:val="center"/>
              <w:rPr>
                <w:rFonts w:eastAsia="Times New Roman"/>
                <w:sz w:val="18"/>
              </w:rPr>
            </w:pPr>
            <w:r w:rsidRPr="00CA0804">
              <w:rPr>
                <w:rFonts w:eastAsia="Times New Roman"/>
                <w:b/>
                <w:sz w:val="18"/>
              </w:rPr>
              <w:t>EUR</w:t>
            </w:r>
          </w:p>
        </w:tc>
      </w:tr>
      <w:tr w:rsidR="004C407F" w:rsidRPr="00CA0804" w14:paraId="2CB082DF" w14:textId="77777777" w:rsidTr="00245089">
        <w:trPr>
          <w:trHeight w:val="51"/>
        </w:trPr>
        <w:tc>
          <w:tcPr>
            <w:tcW w:w="3280" w:type="dxa"/>
            <w:tcBorders>
              <w:top w:val="nil"/>
              <w:left w:val="single" w:sz="4" w:space="0" w:color="auto"/>
              <w:bottom w:val="single" w:sz="4" w:space="0" w:color="auto"/>
              <w:right w:val="single" w:sz="4" w:space="0" w:color="auto"/>
            </w:tcBorders>
            <w:shd w:val="clear" w:color="auto" w:fill="auto"/>
            <w:vAlign w:val="bottom"/>
          </w:tcPr>
          <w:p w14:paraId="1E234C3A" w14:textId="419C5BE1" w:rsidR="004C407F" w:rsidRPr="00CA0804" w:rsidRDefault="004C407F" w:rsidP="004C407F">
            <w:pPr>
              <w:rPr>
                <w:rFonts w:eastAsia="Times New Roman"/>
                <w:sz w:val="20"/>
              </w:rPr>
            </w:pPr>
            <w:r w:rsidRPr="00CA0804">
              <w:rPr>
                <w:sz w:val="20"/>
              </w:rPr>
              <w:t>A1 subvencije</w:t>
            </w:r>
          </w:p>
        </w:tc>
        <w:tc>
          <w:tcPr>
            <w:tcW w:w="1535" w:type="dxa"/>
            <w:tcBorders>
              <w:top w:val="single" w:sz="4" w:space="0" w:color="auto"/>
              <w:left w:val="nil"/>
              <w:bottom w:val="single" w:sz="4" w:space="0" w:color="auto"/>
              <w:right w:val="single" w:sz="4" w:space="0" w:color="auto"/>
            </w:tcBorders>
            <w:shd w:val="clear" w:color="auto" w:fill="auto"/>
            <w:noWrap/>
            <w:vAlign w:val="bottom"/>
          </w:tcPr>
          <w:p w14:paraId="4B3019DF" w14:textId="6813D6E3" w:rsidR="004C407F" w:rsidRPr="00CA0804" w:rsidRDefault="004C407F" w:rsidP="004C407F">
            <w:pPr>
              <w:jc w:val="right"/>
              <w:rPr>
                <w:rFonts w:eastAsia="Times New Roman"/>
                <w:b/>
                <w:sz w:val="20"/>
                <w:szCs w:val="16"/>
                <w:lang w:eastAsia="hr-HR"/>
              </w:rPr>
            </w:pPr>
            <w:r w:rsidRPr="00CA0804">
              <w:rPr>
                <w:sz w:val="20"/>
              </w:rPr>
              <w:t>2,6</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F5D60D3" w14:textId="25CF2839" w:rsidR="004C407F" w:rsidRPr="00CA0804" w:rsidRDefault="004C407F" w:rsidP="007E7BF5">
            <w:pPr>
              <w:jc w:val="right"/>
              <w:rPr>
                <w:rFonts w:eastAsia="Times New Roman"/>
                <w:b/>
                <w:sz w:val="20"/>
                <w:szCs w:val="16"/>
                <w:lang w:eastAsia="hr-HR"/>
              </w:rPr>
            </w:pPr>
            <w:r w:rsidRPr="00CA0804">
              <w:rPr>
                <w:sz w:val="20"/>
              </w:rPr>
              <w:t>9,</w:t>
            </w:r>
            <w:r w:rsidR="007E7BF5" w:rsidRPr="00CA0804">
              <w:rPr>
                <w:sz w:val="20"/>
              </w:rPr>
              <w:t>9</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C5825D8" w14:textId="79339085" w:rsidR="004C407F" w:rsidRPr="00CA0804" w:rsidRDefault="004C407F" w:rsidP="004C407F">
            <w:pPr>
              <w:jc w:val="right"/>
              <w:rPr>
                <w:rFonts w:eastAsia="Times New Roman"/>
                <w:b/>
                <w:sz w:val="20"/>
                <w:szCs w:val="16"/>
                <w:lang w:eastAsia="hr-HR"/>
              </w:rPr>
            </w:pPr>
            <w:r w:rsidRPr="00CA0804">
              <w:rPr>
                <w:sz w:val="20"/>
              </w:rPr>
              <w:t>9,0</w:t>
            </w:r>
          </w:p>
        </w:tc>
      </w:tr>
      <w:tr w:rsidR="004C407F" w:rsidRPr="00CA0804" w14:paraId="181CFF43" w14:textId="77777777" w:rsidTr="00245089">
        <w:trPr>
          <w:trHeight w:val="51"/>
        </w:trPr>
        <w:tc>
          <w:tcPr>
            <w:tcW w:w="3280" w:type="dxa"/>
            <w:tcBorders>
              <w:top w:val="nil"/>
              <w:left w:val="single" w:sz="4" w:space="0" w:color="auto"/>
              <w:bottom w:val="single" w:sz="4" w:space="0" w:color="auto"/>
              <w:right w:val="single" w:sz="4" w:space="0" w:color="auto"/>
            </w:tcBorders>
            <w:shd w:val="clear" w:color="auto" w:fill="auto"/>
            <w:vAlign w:val="bottom"/>
          </w:tcPr>
          <w:p w14:paraId="0A2AA826" w14:textId="267D8F32" w:rsidR="004C407F" w:rsidRPr="00CA0804" w:rsidRDefault="004C407F" w:rsidP="004C407F">
            <w:pPr>
              <w:rPr>
                <w:rFonts w:eastAsia="Times New Roman"/>
                <w:sz w:val="20"/>
              </w:rPr>
            </w:pPr>
            <w:r w:rsidRPr="00CA0804">
              <w:rPr>
                <w:sz w:val="20"/>
              </w:rPr>
              <w:t>A2 porezne olakšice</w:t>
            </w:r>
          </w:p>
        </w:tc>
        <w:tc>
          <w:tcPr>
            <w:tcW w:w="1535" w:type="dxa"/>
            <w:tcBorders>
              <w:top w:val="single" w:sz="4" w:space="0" w:color="auto"/>
              <w:left w:val="nil"/>
              <w:bottom w:val="single" w:sz="4" w:space="0" w:color="auto"/>
              <w:right w:val="single" w:sz="4" w:space="0" w:color="auto"/>
            </w:tcBorders>
            <w:shd w:val="clear" w:color="auto" w:fill="auto"/>
            <w:noWrap/>
            <w:vAlign w:val="bottom"/>
          </w:tcPr>
          <w:p w14:paraId="218161E5" w14:textId="4A3C2B30" w:rsidR="004C407F" w:rsidRPr="00CA0804" w:rsidRDefault="004C407F" w:rsidP="004C407F">
            <w:pPr>
              <w:jc w:val="right"/>
              <w:rPr>
                <w:rFonts w:eastAsia="Times New Roman"/>
                <w:b/>
                <w:sz w:val="20"/>
                <w:szCs w:val="16"/>
                <w:lang w:eastAsia="hr-HR"/>
              </w:rPr>
            </w:pPr>
            <w:r w:rsidRPr="00CA0804">
              <w:rPr>
                <w:sz w:val="20"/>
              </w:rPr>
              <w:t>101,5</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B95487B" w14:textId="0151A76F" w:rsidR="004C407F" w:rsidRPr="00CA0804" w:rsidRDefault="004C407F" w:rsidP="004C407F">
            <w:pPr>
              <w:jc w:val="right"/>
              <w:rPr>
                <w:rFonts w:eastAsia="Times New Roman"/>
                <w:b/>
                <w:sz w:val="20"/>
                <w:szCs w:val="16"/>
                <w:lang w:eastAsia="hr-HR"/>
              </w:rPr>
            </w:pPr>
            <w:r w:rsidRPr="00CA0804">
              <w:rPr>
                <w:sz w:val="20"/>
              </w:rPr>
              <w:t>120,1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90AA307" w14:textId="4B13AEF8" w:rsidR="004C407F" w:rsidRPr="00CA0804" w:rsidRDefault="004C407F" w:rsidP="007E7BF5">
            <w:pPr>
              <w:jc w:val="right"/>
              <w:rPr>
                <w:rFonts w:eastAsia="Times New Roman"/>
                <w:b/>
                <w:sz w:val="20"/>
                <w:szCs w:val="16"/>
                <w:lang w:eastAsia="hr-HR"/>
              </w:rPr>
            </w:pPr>
            <w:r w:rsidRPr="00CA0804">
              <w:rPr>
                <w:sz w:val="20"/>
              </w:rPr>
              <w:t>115,</w:t>
            </w:r>
            <w:r w:rsidR="007E7BF5" w:rsidRPr="00CA0804">
              <w:rPr>
                <w:sz w:val="20"/>
              </w:rPr>
              <w:t>9</w:t>
            </w:r>
          </w:p>
        </w:tc>
      </w:tr>
      <w:tr w:rsidR="004C407F" w:rsidRPr="00CA0804" w14:paraId="12EAEA63" w14:textId="77777777" w:rsidTr="00245089">
        <w:trPr>
          <w:trHeight w:val="51"/>
        </w:trPr>
        <w:tc>
          <w:tcPr>
            <w:tcW w:w="3280" w:type="dxa"/>
            <w:tcBorders>
              <w:top w:val="nil"/>
              <w:left w:val="single" w:sz="4" w:space="0" w:color="auto"/>
              <w:bottom w:val="single" w:sz="4" w:space="0" w:color="auto"/>
              <w:right w:val="single" w:sz="4" w:space="0" w:color="auto"/>
            </w:tcBorders>
            <w:shd w:val="clear" w:color="auto" w:fill="auto"/>
            <w:vAlign w:val="bottom"/>
          </w:tcPr>
          <w:p w14:paraId="39462DA6" w14:textId="39EB3D71" w:rsidR="004C407F" w:rsidRPr="00CA0804" w:rsidRDefault="004C407F" w:rsidP="004C407F">
            <w:pPr>
              <w:rPr>
                <w:rFonts w:eastAsia="Times New Roman"/>
                <w:sz w:val="20"/>
              </w:rPr>
            </w:pPr>
            <w:r w:rsidRPr="00CA0804">
              <w:rPr>
                <w:sz w:val="20"/>
              </w:rPr>
              <w:t>C1 povoljni zajmovi</w:t>
            </w:r>
          </w:p>
        </w:tc>
        <w:tc>
          <w:tcPr>
            <w:tcW w:w="1535" w:type="dxa"/>
            <w:tcBorders>
              <w:top w:val="single" w:sz="4" w:space="0" w:color="auto"/>
              <w:left w:val="nil"/>
              <w:bottom w:val="single" w:sz="4" w:space="0" w:color="auto"/>
              <w:right w:val="single" w:sz="4" w:space="0" w:color="auto"/>
            </w:tcBorders>
            <w:shd w:val="clear" w:color="auto" w:fill="auto"/>
            <w:noWrap/>
            <w:vAlign w:val="bottom"/>
          </w:tcPr>
          <w:p w14:paraId="54521B9C" w14:textId="392EF1C7" w:rsidR="004C407F" w:rsidRPr="00CA0804" w:rsidRDefault="004C407F" w:rsidP="004C407F">
            <w:pPr>
              <w:jc w:val="right"/>
              <w:rPr>
                <w:rFonts w:eastAsia="Times New Roman"/>
                <w:b/>
                <w:sz w:val="20"/>
                <w:szCs w:val="16"/>
                <w:lang w:eastAsia="hr-HR"/>
              </w:rPr>
            </w:pPr>
            <w:r w:rsidRPr="00CA0804">
              <w:rPr>
                <w:sz w:val="20"/>
              </w:rPr>
              <w:t>2,9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CFA157F" w14:textId="58FE2AC8" w:rsidR="004C407F" w:rsidRPr="00CA0804" w:rsidRDefault="004C407F" w:rsidP="004C407F">
            <w:pPr>
              <w:jc w:val="right"/>
              <w:rPr>
                <w:rFonts w:eastAsia="Times New Roman"/>
                <w:b/>
                <w:sz w:val="20"/>
                <w:szCs w:val="16"/>
                <w:lang w:eastAsia="hr-HR"/>
              </w:rPr>
            </w:pPr>
            <w:r w:rsidRPr="00CA0804">
              <w:rPr>
                <w:sz w:val="20"/>
              </w:rPr>
              <w:t>20,8</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117A392" w14:textId="29BC27C1" w:rsidR="004C407F" w:rsidRPr="00CA0804" w:rsidRDefault="004C407F" w:rsidP="004C407F">
            <w:pPr>
              <w:jc w:val="right"/>
              <w:rPr>
                <w:rFonts w:eastAsia="Times New Roman"/>
                <w:b/>
                <w:sz w:val="20"/>
                <w:szCs w:val="16"/>
                <w:lang w:eastAsia="hr-HR"/>
              </w:rPr>
            </w:pPr>
            <w:r w:rsidRPr="00CA0804">
              <w:rPr>
                <w:sz w:val="20"/>
              </w:rPr>
              <w:t>5,6</w:t>
            </w:r>
          </w:p>
        </w:tc>
      </w:tr>
      <w:tr w:rsidR="004C407F" w:rsidRPr="00CA0804" w14:paraId="22246AD4" w14:textId="77777777" w:rsidTr="00245089">
        <w:trPr>
          <w:trHeight w:val="51"/>
        </w:trPr>
        <w:tc>
          <w:tcPr>
            <w:tcW w:w="3280" w:type="dxa"/>
            <w:tcBorders>
              <w:top w:val="nil"/>
              <w:left w:val="single" w:sz="4" w:space="0" w:color="auto"/>
              <w:bottom w:val="single" w:sz="4" w:space="0" w:color="auto"/>
              <w:right w:val="single" w:sz="4" w:space="0" w:color="auto"/>
            </w:tcBorders>
            <w:shd w:val="clear" w:color="auto" w:fill="auto"/>
            <w:vAlign w:val="center"/>
          </w:tcPr>
          <w:p w14:paraId="0C3F19D9" w14:textId="10A0EE72" w:rsidR="004C407F" w:rsidRPr="00CA0804" w:rsidRDefault="004C407F" w:rsidP="004C407F">
            <w:pPr>
              <w:rPr>
                <w:rFonts w:eastAsia="Times New Roman"/>
                <w:sz w:val="20"/>
              </w:rPr>
            </w:pPr>
            <w:r w:rsidRPr="00CA0804">
              <w:rPr>
                <w:sz w:val="20"/>
              </w:rPr>
              <w:t>D jamstva</w:t>
            </w:r>
          </w:p>
        </w:tc>
        <w:tc>
          <w:tcPr>
            <w:tcW w:w="1535" w:type="dxa"/>
            <w:tcBorders>
              <w:top w:val="single" w:sz="4" w:space="0" w:color="auto"/>
              <w:left w:val="nil"/>
              <w:bottom w:val="single" w:sz="4" w:space="0" w:color="auto"/>
              <w:right w:val="single" w:sz="4" w:space="0" w:color="auto"/>
            </w:tcBorders>
            <w:shd w:val="clear" w:color="auto" w:fill="auto"/>
            <w:noWrap/>
            <w:vAlign w:val="bottom"/>
          </w:tcPr>
          <w:p w14:paraId="6BCF54F3" w14:textId="11D24AE6" w:rsidR="004C407F" w:rsidRPr="00CA0804" w:rsidRDefault="00ED3709" w:rsidP="004C407F">
            <w:pPr>
              <w:jc w:val="right"/>
              <w:rPr>
                <w:rFonts w:eastAsia="Times New Roman"/>
                <w:b/>
                <w:sz w:val="20"/>
                <w:szCs w:val="16"/>
                <w:lang w:eastAsia="hr-HR"/>
              </w:rPr>
            </w:pPr>
            <w:r w:rsidRPr="00CA0804">
              <w:rPr>
                <w:sz w:val="20"/>
              </w:rPr>
              <w:t>-</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BFAD42F" w14:textId="7013B57D" w:rsidR="004C407F" w:rsidRPr="00CA0804" w:rsidRDefault="004C407F" w:rsidP="004C407F">
            <w:pPr>
              <w:jc w:val="right"/>
              <w:rPr>
                <w:rFonts w:eastAsia="Times New Roman"/>
                <w:b/>
                <w:sz w:val="20"/>
                <w:szCs w:val="16"/>
                <w:lang w:eastAsia="hr-HR"/>
              </w:rPr>
            </w:pPr>
            <w:r w:rsidRPr="00CA0804">
              <w:rPr>
                <w:sz w:val="20"/>
              </w:rPr>
              <w:t>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AAC3C0" w14:textId="3F265E31" w:rsidR="004C407F" w:rsidRPr="00CA0804" w:rsidRDefault="004C407F" w:rsidP="004C407F">
            <w:pPr>
              <w:jc w:val="right"/>
              <w:rPr>
                <w:rFonts w:eastAsia="Times New Roman"/>
                <w:b/>
                <w:sz w:val="20"/>
                <w:szCs w:val="16"/>
                <w:lang w:eastAsia="hr-HR"/>
              </w:rPr>
            </w:pPr>
            <w:r w:rsidRPr="00CA0804">
              <w:rPr>
                <w:sz w:val="20"/>
              </w:rPr>
              <w:t>4,4</w:t>
            </w:r>
          </w:p>
        </w:tc>
      </w:tr>
      <w:tr w:rsidR="005252A1" w:rsidRPr="00CA0804" w14:paraId="5149EAE4" w14:textId="77777777" w:rsidTr="004C407F">
        <w:trPr>
          <w:trHeight w:val="51"/>
        </w:trPr>
        <w:tc>
          <w:tcPr>
            <w:tcW w:w="3280" w:type="dxa"/>
            <w:tcBorders>
              <w:top w:val="nil"/>
              <w:left w:val="single" w:sz="4" w:space="0" w:color="auto"/>
              <w:bottom w:val="single" w:sz="4" w:space="0" w:color="auto"/>
              <w:right w:val="single" w:sz="4" w:space="0" w:color="auto"/>
            </w:tcBorders>
            <w:shd w:val="clear" w:color="auto" w:fill="FFFF99"/>
            <w:vAlign w:val="center"/>
            <w:hideMark/>
          </w:tcPr>
          <w:p w14:paraId="029AD4B1" w14:textId="24C730FE" w:rsidR="005252A1" w:rsidRPr="00CA0804" w:rsidRDefault="005252A1" w:rsidP="005252A1">
            <w:pPr>
              <w:rPr>
                <w:rFonts w:eastAsia="Times New Roman"/>
                <w:b/>
                <w:sz w:val="20"/>
              </w:rPr>
            </w:pPr>
            <w:r w:rsidRPr="00CA0804">
              <w:rPr>
                <w:rFonts w:eastAsia="Times New Roman"/>
                <w:b/>
                <w:bCs/>
                <w:sz w:val="20"/>
                <w:szCs w:val="20"/>
              </w:rPr>
              <w:t>UKUPNO</w:t>
            </w:r>
          </w:p>
        </w:tc>
        <w:tc>
          <w:tcPr>
            <w:tcW w:w="1535" w:type="dxa"/>
            <w:tcBorders>
              <w:top w:val="single" w:sz="4" w:space="0" w:color="auto"/>
              <w:left w:val="nil"/>
              <w:bottom w:val="single" w:sz="4" w:space="0" w:color="auto"/>
              <w:right w:val="single" w:sz="4" w:space="0" w:color="auto"/>
            </w:tcBorders>
            <w:shd w:val="clear" w:color="auto" w:fill="FFFF99"/>
            <w:noWrap/>
            <w:vAlign w:val="center"/>
          </w:tcPr>
          <w:p w14:paraId="08DE4BDE" w14:textId="77777777" w:rsidR="005252A1" w:rsidRPr="00CA0804" w:rsidRDefault="005252A1" w:rsidP="005252A1">
            <w:pPr>
              <w:jc w:val="right"/>
              <w:rPr>
                <w:b/>
                <w:sz w:val="20"/>
                <w:szCs w:val="20"/>
              </w:rPr>
            </w:pPr>
            <w:r w:rsidRPr="00CA0804">
              <w:rPr>
                <w:b/>
                <w:sz w:val="20"/>
                <w:szCs w:val="20"/>
              </w:rPr>
              <w:t>107,0</w:t>
            </w:r>
          </w:p>
        </w:tc>
        <w:tc>
          <w:tcPr>
            <w:tcW w:w="1559" w:type="dxa"/>
            <w:tcBorders>
              <w:top w:val="single" w:sz="4" w:space="0" w:color="auto"/>
              <w:left w:val="nil"/>
              <w:bottom w:val="single" w:sz="4" w:space="0" w:color="auto"/>
              <w:right w:val="single" w:sz="4" w:space="0" w:color="auto"/>
            </w:tcBorders>
            <w:shd w:val="clear" w:color="auto" w:fill="FFFF99"/>
            <w:noWrap/>
            <w:vAlign w:val="center"/>
          </w:tcPr>
          <w:p w14:paraId="531134A7" w14:textId="3E41A761" w:rsidR="005252A1" w:rsidRPr="00CA0804" w:rsidRDefault="005252A1" w:rsidP="005252A1">
            <w:pPr>
              <w:jc w:val="right"/>
              <w:rPr>
                <w:b/>
                <w:sz w:val="20"/>
                <w:szCs w:val="20"/>
              </w:rPr>
            </w:pPr>
            <w:r w:rsidRPr="00CA0804">
              <w:rPr>
                <w:b/>
                <w:sz w:val="20"/>
                <w:szCs w:val="20"/>
              </w:rPr>
              <w:t>150,9</w:t>
            </w:r>
          </w:p>
        </w:tc>
        <w:tc>
          <w:tcPr>
            <w:tcW w:w="1701" w:type="dxa"/>
            <w:tcBorders>
              <w:top w:val="single" w:sz="4" w:space="0" w:color="auto"/>
              <w:left w:val="nil"/>
              <w:bottom w:val="single" w:sz="4" w:space="0" w:color="auto"/>
              <w:right w:val="single" w:sz="4" w:space="0" w:color="auto"/>
            </w:tcBorders>
            <w:shd w:val="clear" w:color="auto" w:fill="FFFF99"/>
            <w:noWrap/>
            <w:vAlign w:val="center"/>
          </w:tcPr>
          <w:p w14:paraId="561DD38F" w14:textId="5B45BDC7" w:rsidR="005252A1" w:rsidRPr="00CA0804" w:rsidRDefault="005252A1" w:rsidP="005252A1">
            <w:pPr>
              <w:jc w:val="right"/>
              <w:rPr>
                <w:b/>
                <w:sz w:val="20"/>
                <w:szCs w:val="20"/>
              </w:rPr>
            </w:pPr>
            <w:r w:rsidRPr="00CA0804">
              <w:rPr>
                <w:b/>
                <w:sz w:val="20"/>
                <w:szCs w:val="20"/>
              </w:rPr>
              <w:t>134,9</w:t>
            </w:r>
          </w:p>
        </w:tc>
      </w:tr>
      <w:tr w:rsidR="004C407F" w:rsidRPr="00CA0804" w14:paraId="23065202" w14:textId="77777777" w:rsidTr="004C407F">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FBA97BF" w14:textId="77777777" w:rsidR="004C407F" w:rsidRPr="00CA0804" w:rsidRDefault="004C407F" w:rsidP="004C407F">
            <w:pPr>
              <w:rPr>
                <w:rFonts w:eastAsia="Times New Roman"/>
                <w:sz w:val="20"/>
              </w:rPr>
            </w:pPr>
            <w:r w:rsidRPr="00CA0804">
              <w:rPr>
                <w:rFonts w:eastAsia="Times New Roman"/>
                <w:sz w:val="20"/>
              </w:rPr>
              <w:t>udio (%) u ukupnim potporama (bez poljoprivrede i ribarstva)</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145C6670" w14:textId="7A871E21" w:rsidR="004C407F" w:rsidRPr="00CA0804" w:rsidRDefault="004C407F" w:rsidP="004C407F">
            <w:pPr>
              <w:jc w:val="center"/>
              <w:rPr>
                <w:sz w:val="20"/>
                <w:szCs w:val="20"/>
              </w:rPr>
            </w:pPr>
            <w:r w:rsidRPr="00CA0804">
              <w:rPr>
                <w:sz w:val="20"/>
                <w:szCs w:val="20"/>
              </w:rPr>
              <w:t>5,22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7D28751" w14:textId="72657A19" w:rsidR="004C407F" w:rsidRPr="00CA0804" w:rsidRDefault="004C407F" w:rsidP="004C407F">
            <w:pPr>
              <w:jc w:val="center"/>
              <w:rPr>
                <w:sz w:val="20"/>
                <w:szCs w:val="20"/>
              </w:rPr>
            </w:pPr>
            <w:r w:rsidRPr="00CA0804">
              <w:rPr>
                <w:sz w:val="20"/>
                <w:szCs w:val="20"/>
              </w:rPr>
              <w:t>7,67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29E03D9" w14:textId="2E7F9844" w:rsidR="004C407F" w:rsidRPr="00CA0804" w:rsidRDefault="004C407F" w:rsidP="004C407F">
            <w:pPr>
              <w:jc w:val="center"/>
              <w:rPr>
                <w:sz w:val="20"/>
                <w:szCs w:val="20"/>
              </w:rPr>
            </w:pPr>
            <w:r w:rsidRPr="00CA0804">
              <w:rPr>
                <w:sz w:val="20"/>
                <w:szCs w:val="20"/>
              </w:rPr>
              <w:t>10,21</w:t>
            </w:r>
          </w:p>
        </w:tc>
      </w:tr>
      <w:tr w:rsidR="004C407F" w:rsidRPr="00CA0804" w14:paraId="1184CDDA" w14:textId="77777777" w:rsidTr="004C407F">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484D6B7" w14:textId="77777777" w:rsidR="004C407F" w:rsidRPr="00CA0804" w:rsidRDefault="004C407F" w:rsidP="004C407F">
            <w:pPr>
              <w:rPr>
                <w:rFonts w:eastAsia="Times New Roman"/>
                <w:sz w:val="20"/>
              </w:rPr>
            </w:pPr>
            <w:r w:rsidRPr="00CA0804">
              <w:rPr>
                <w:rFonts w:eastAsia="Times New Roman"/>
                <w:sz w:val="20"/>
              </w:rPr>
              <w:t>udio (%) u ukupnim potporama</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372E08F7" w14:textId="7A06CFD0" w:rsidR="004C407F" w:rsidRPr="00CA0804" w:rsidRDefault="004C407F" w:rsidP="004C407F">
            <w:pPr>
              <w:jc w:val="center"/>
              <w:rPr>
                <w:sz w:val="20"/>
                <w:szCs w:val="20"/>
              </w:rPr>
            </w:pPr>
            <w:r w:rsidRPr="00CA0804">
              <w:rPr>
                <w:sz w:val="20"/>
                <w:szCs w:val="20"/>
              </w:rPr>
              <w:t>4,99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1AC770" w14:textId="4FB217BA" w:rsidR="004C407F" w:rsidRPr="00CA0804" w:rsidRDefault="004C407F" w:rsidP="004C407F">
            <w:pPr>
              <w:jc w:val="center"/>
              <w:rPr>
                <w:sz w:val="20"/>
                <w:szCs w:val="20"/>
              </w:rPr>
            </w:pPr>
            <w:r w:rsidRPr="00CA0804">
              <w:rPr>
                <w:sz w:val="20"/>
                <w:szCs w:val="20"/>
              </w:rPr>
              <w:t>7,25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62207B" w14:textId="3A1E9DF9" w:rsidR="004C407F" w:rsidRPr="00CA0804" w:rsidRDefault="004C407F" w:rsidP="004C407F">
            <w:pPr>
              <w:jc w:val="center"/>
              <w:rPr>
                <w:sz w:val="20"/>
                <w:szCs w:val="20"/>
              </w:rPr>
            </w:pPr>
            <w:r w:rsidRPr="00CA0804">
              <w:rPr>
                <w:sz w:val="20"/>
                <w:szCs w:val="20"/>
              </w:rPr>
              <w:t>9,31</w:t>
            </w:r>
          </w:p>
        </w:tc>
      </w:tr>
      <w:tr w:rsidR="004C407F" w:rsidRPr="00CA0804" w14:paraId="1308965F" w14:textId="77777777" w:rsidTr="004C407F">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ED9DC65" w14:textId="77777777" w:rsidR="004C407F" w:rsidRPr="00CA0804" w:rsidRDefault="004C407F" w:rsidP="004C407F">
            <w:pPr>
              <w:rPr>
                <w:rFonts w:eastAsia="Times New Roman"/>
                <w:sz w:val="20"/>
              </w:rPr>
            </w:pPr>
            <w:r w:rsidRPr="00CA0804">
              <w:rPr>
                <w:rFonts w:eastAsia="Times New Roman"/>
                <w:sz w:val="20"/>
              </w:rPr>
              <w:t>udio (%) u BDP</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14:paraId="76E8CB01" w14:textId="4DFE3697" w:rsidR="004C407F" w:rsidRPr="00CA0804" w:rsidRDefault="004C407F" w:rsidP="004C407F">
            <w:pPr>
              <w:jc w:val="center"/>
              <w:rPr>
                <w:sz w:val="20"/>
                <w:szCs w:val="20"/>
              </w:rPr>
            </w:pPr>
            <w:r w:rsidRPr="00CA0804">
              <w:rPr>
                <w:sz w:val="20"/>
                <w:szCs w:val="20"/>
              </w:rPr>
              <w:t>0,16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C0EE08" w14:textId="711E6501" w:rsidR="004C407F" w:rsidRPr="00CA0804" w:rsidRDefault="004C407F" w:rsidP="004C407F">
            <w:pPr>
              <w:jc w:val="center"/>
              <w:rPr>
                <w:sz w:val="20"/>
                <w:szCs w:val="20"/>
              </w:rPr>
            </w:pPr>
            <w:r w:rsidRPr="00CA0804">
              <w:rPr>
                <w:sz w:val="20"/>
                <w:szCs w:val="20"/>
              </w:rPr>
              <w:t>0,19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788EBD" w14:textId="7CA5C252" w:rsidR="004C407F" w:rsidRPr="00CA0804" w:rsidRDefault="004C407F" w:rsidP="004C407F">
            <w:pPr>
              <w:jc w:val="center"/>
              <w:rPr>
                <w:sz w:val="20"/>
                <w:szCs w:val="20"/>
              </w:rPr>
            </w:pPr>
            <w:r w:rsidRPr="00CA0804">
              <w:rPr>
                <w:sz w:val="20"/>
                <w:szCs w:val="20"/>
              </w:rPr>
              <w:t>0,16</w:t>
            </w:r>
          </w:p>
        </w:tc>
      </w:tr>
    </w:tbl>
    <w:p w14:paraId="4B7D6658" w14:textId="77777777" w:rsidR="00A53D39" w:rsidRPr="00CA0804" w:rsidRDefault="00A53D39" w:rsidP="00BE487D">
      <w:pPr>
        <w:contextualSpacing/>
        <w:jc w:val="both"/>
        <w:rPr>
          <w:i/>
          <w:sz w:val="20"/>
        </w:rPr>
      </w:pPr>
      <w:r w:rsidRPr="00CA0804">
        <w:rPr>
          <w:i/>
          <w:sz w:val="20"/>
        </w:rPr>
        <w:t>Izvor: Ministarstvo financija i davatelji potpora; podaci obrađeni u Ministarstvu financija</w:t>
      </w:r>
    </w:p>
    <w:p w14:paraId="2F442D70" w14:textId="77777777" w:rsidR="00677F96" w:rsidRPr="00CA0804" w:rsidRDefault="00677F96" w:rsidP="00BE487D">
      <w:pPr>
        <w:contextualSpacing/>
        <w:jc w:val="both"/>
        <w:rPr>
          <w:i/>
        </w:rPr>
      </w:pPr>
    </w:p>
    <w:p w14:paraId="75966AA4" w14:textId="667270F3" w:rsidR="0081441F" w:rsidRPr="00CA0804" w:rsidRDefault="0081441F" w:rsidP="0081441F">
      <w:pPr>
        <w:jc w:val="both"/>
      </w:pPr>
      <w:r w:rsidRPr="00CA0804">
        <w:t>Udio regionalnih potpora u BDP-u u 202</w:t>
      </w:r>
      <w:r w:rsidR="007E7BF5" w:rsidRPr="00CA0804">
        <w:t>4</w:t>
      </w:r>
      <w:r w:rsidRPr="00CA0804">
        <w:t>. godini iznosio je 0,1</w:t>
      </w:r>
      <w:r w:rsidR="007E7BF5" w:rsidRPr="00CA0804">
        <w:t>6</w:t>
      </w:r>
      <w:r w:rsidRPr="00CA0804">
        <w:t xml:space="preserve"> posto, u 202</w:t>
      </w:r>
      <w:r w:rsidR="007E7BF5" w:rsidRPr="00CA0804">
        <w:t>3</w:t>
      </w:r>
      <w:r w:rsidRPr="00CA0804">
        <w:t>. godini 0,1</w:t>
      </w:r>
      <w:r w:rsidR="007E7BF5" w:rsidRPr="00CA0804">
        <w:t>9</w:t>
      </w:r>
      <w:r w:rsidRPr="00CA0804">
        <w:t xml:space="preserve"> posto, </w:t>
      </w:r>
      <w:r w:rsidR="007E7BF5" w:rsidRPr="00CA0804">
        <w:t>i</w:t>
      </w:r>
      <w:r w:rsidRPr="00CA0804">
        <w:t xml:space="preserve"> u 202</w:t>
      </w:r>
      <w:r w:rsidR="007E7BF5" w:rsidRPr="00CA0804">
        <w:t>2</w:t>
      </w:r>
      <w:r w:rsidRPr="00CA0804">
        <w:t>. godini 0,1</w:t>
      </w:r>
      <w:r w:rsidR="007E7BF5" w:rsidRPr="00CA0804">
        <w:t>6</w:t>
      </w:r>
      <w:r w:rsidRPr="00CA0804">
        <w:t xml:space="preserve"> posto. Udio navedenih potpora u 202</w:t>
      </w:r>
      <w:r w:rsidR="007E7BF5" w:rsidRPr="00CA0804">
        <w:t>4</w:t>
      </w:r>
      <w:r w:rsidRPr="00CA0804">
        <w:t xml:space="preserve">. godini u ukupno dodijeljenim potporama iznosio je </w:t>
      </w:r>
      <w:r w:rsidR="007E7BF5" w:rsidRPr="00CA0804">
        <w:t>9,3</w:t>
      </w:r>
      <w:r w:rsidRPr="00CA0804">
        <w:t xml:space="preserve"> posto, </w:t>
      </w:r>
      <w:r w:rsidR="007E7BF5" w:rsidRPr="00CA0804">
        <w:t>a</w:t>
      </w:r>
      <w:r w:rsidRPr="00CA0804">
        <w:t xml:space="preserve"> dodijeljenim potporama u sektoru industrije i usluga </w:t>
      </w:r>
      <w:r w:rsidR="007E7BF5" w:rsidRPr="00CA0804">
        <w:t>10,2</w:t>
      </w:r>
      <w:r w:rsidRPr="00CA0804">
        <w:t xml:space="preserve"> posto.</w:t>
      </w:r>
    </w:p>
    <w:p w14:paraId="34B6CA54" w14:textId="77777777" w:rsidR="004C407F" w:rsidRPr="00CA0804" w:rsidRDefault="004C407F" w:rsidP="00BE487D"/>
    <w:p w14:paraId="126C0E68" w14:textId="14192D3F" w:rsidR="00891E8E" w:rsidRPr="00CA0804" w:rsidRDefault="007E7BF5" w:rsidP="00891E8E">
      <w:pPr>
        <w:jc w:val="both"/>
        <w:rPr>
          <w:rFonts w:eastAsia="Times New Roman"/>
          <w:szCs w:val="24"/>
          <w:lang w:eastAsia="hr-HR"/>
        </w:rPr>
      </w:pPr>
      <w:r w:rsidRPr="00CA0804">
        <w:rPr>
          <w:rFonts w:eastAsia="Times New Roman"/>
          <w:szCs w:val="24"/>
          <w:lang w:eastAsia="hr-HR"/>
        </w:rPr>
        <w:t xml:space="preserve">Instrumenti putem kojih su dodijeljene </w:t>
      </w:r>
      <w:r w:rsidRPr="00CA0804">
        <w:t xml:space="preserve">regionalne </w:t>
      </w:r>
      <w:r w:rsidRPr="00CA0804">
        <w:rPr>
          <w:rFonts w:eastAsia="Times New Roman"/>
          <w:szCs w:val="24"/>
          <w:lang w:eastAsia="hr-HR"/>
        </w:rPr>
        <w:t xml:space="preserve">potpore u 2024. godini u iznosu od </w:t>
      </w:r>
      <w:r w:rsidR="002B451A" w:rsidRPr="00CA0804">
        <w:t xml:space="preserve">134,9 </w:t>
      </w:r>
      <w:r w:rsidRPr="00CA0804">
        <w:rPr>
          <w:rFonts w:eastAsia="Times New Roman"/>
          <w:szCs w:val="24"/>
          <w:lang w:eastAsia="hr-HR"/>
        </w:rPr>
        <w:t xml:space="preserve">milijuna eura, najvećim dijelom </w:t>
      </w:r>
      <w:r w:rsidR="002B451A" w:rsidRPr="00CA0804">
        <w:rPr>
          <w:rFonts w:eastAsia="Times New Roman"/>
          <w:szCs w:val="24"/>
          <w:lang w:eastAsia="hr-HR"/>
        </w:rPr>
        <w:t xml:space="preserve">su </w:t>
      </w:r>
      <w:r w:rsidR="009011E3" w:rsidRPr="00CA0804">
        <w:t xml:space="preserve">porezne olakšice </w:t>
      </w:r>
      <w:r w:rsidR="00891E8E" w:rsidRPr="00CA0804">
        <w:t xml:space="preserve">u iznosu od </w:t>
      </w:r>
      <w:r w:rsidR="002B451A" w:rsidRPr="00CA0804">
        <w:t xml:space="preserve">115,9 </w:t>
      </w:r>
      <w:r w:rsidR="00891E8E" w:rsidRPr="00CA0804">
        <w:t xml:space="preserve">milijuna </w:t>
      </w:r>
      <w:r w:rsidR="00CE41AA" w:rsidRPr="00CA0804">
        <w:t xml:space="preserve">eura </w:t>
      </w:r>
      <w:r w:rsidR="002B451A" w:rsidRPr="00CA0804">
        <w:t>ili</w:t>
      </w:r>
      <w:r w:rsidR="00891E8E" w:rsidRPr="00CA0804">
        <w:t xml:space="preserve"> s udjelom od </w:t>
      </w:r>
      <w:r w:rsidR="002B451A" w:rsidRPr="00CA0804">
        <w:t xml:space="preserve">85,9 </w:t>
      </w:r>
      <w:r w:rsidR="00891E8E" w:rsidRPr="00CA0804">
        <w:t xml:space="preserve">posto u </w:t>
      </w:r>
      <w:r w:rsidR="009011E3" w:rsidRPr="00CA0804">
        <w:t>dodijeljenim regionalnim potporama</w:t>
      </w:r>
      <w:r w:rsidR="00891E8E" w:rsidRPr="00CA0804">
        <w:t xml:space="preserve">, </w:t>
      </w:r>
      <w:r w:rsidR="00140E33" w:rsidRPr="00CA0804">
        <w:t xml:space="preserve">slijede </w:t>
      </w:r>
      <w:r w:rsidR="002B451A" w:rsidRPr="00CA0804">
        <w:t xml:space="preserve">subvencije i neposredne subvencije kamata u iznosu od 9 milijuna eura ili 6,7 posto, </w:t>
      </w:r>
      <w:r w:rsidR="00140E33" w:rsidRPr="00CA0804">
        <w:t xml:space="preserve">povoljni zajmovi </w:t>
      </w:r>
      <w:r w:rsidR="002B451A" w:rsidRPr="00CA0804">
        <w:t xml:space="preserve">s 5,6 </w:t>
      </w:r>
      <w:r w:rsidR="00140E33" w:rsidRPr="00CA0804">
        <w:t xml:space="preserve">milijuna </w:t>
      </w:r>
      <w:r w:rsidR="00CE41AA" w:rsidRPr="00CA0804">
        <w:t xml:space="preserve">eura </w:t>
      </w:r>
      <w:r w:rsidR="00140E33" w:rsidRPr="00CA0804">
        <w:t xml:space="preserve">ili </w:t>
      </w:r>
      <w:r w:rsidR="002B451A" w:rsidRPr="00CA0804">
        <w:t>4,1</w:t>
      </w:r>
      <w:r w:rsidR="00140E33" w:rsidRPr="00CA0804">
        <w:t xml:space="preserve"> posto</w:t>
      </w:r>
      <w:r w:rsidR="00CE41AA" w:rsidRPr="00CA0804">
        <w:t xml:space="preserve"> te izdana jamstva </w:t>
      </w:r>
      <w:r w:rsidR="002B451A" w:rsidRPr="00CA0804">
        <w:t>s</w:t>
      </w:r>
      <w:r w:rsidR="00CE41AA" w:rsidRPr="00CA0804">
        <w:t xml:space="preserve"> </w:t>
      </w:r>
      <w:r w:rsidR="002B451A" w:rsidRPr="00CA0804">
        <w:t>4,4</w:t>
      </w:r>
      <w:r w:rsidR="00CE41AA" w:rsidRPr="00CA0804">
        <w:t xml:space="preserve"> </w:t>
      </w:r>
      <w:r w:rsidR="002B451A" w:rsidRPr="00CA0804">
        <w:t xml:space="preserve">milijuna </w:t>
      </w:r>
      <w:r w:rsidR="00CE41AA" w:rsidRPr="00CA0804">
        <w:t xml:space="preserve">eura ili </w:t>
      </w:r>
      <w:r w:rsidR="002B451A" w:rsidRPr="00CA0804">
        <w:t>3,3</w:t>
      </w:r>
      <w:r w:rsidR="00CE41AA" w:rsidRPr="00CA0804">
        <w:t xml:space="preserve"> posto.</w:t>
      </w:r>
    </w:p>
    <w:p w14:paraId="27C58554" w14:textId="4E8FCE1C" w:rsidR="001D2346" w:rsidRPr="00CA0804" w:rsidRDefault="001D2346" w:rsidP="00891E8E">
      <w:pPr>
        <w:jc w:val="both"/>
      </w:pPr>
    </w:p>
    <w:p w14:paraId="76DBFA00" w14:textId="77777777" w:rsidR="002B451A" w:rsidRPr="00CA0804" w:rsidRDefault="002B451A">
      <w:pPr>
        <w:rPr>
          <w:bCs/>
          <w:lang w:eastAsia="hr-HR"/>
        </w:rPr>
      </w:pPr>
      <w:r w:rsidRPr="00CA0804">
        <w:rPr>
          <w:bCs/>
          <w:lang w:eastAsia="hr-HR"/>
        </w:rPr>
        <w:br w:type="page"/>
      </w:r>
    </w:p>
    <w:p w14:paraId="5F979146" w14:textId="6E5CBD6D" w:rsidR="00A53D39" w:rsidRPr="00CA0804" w:rsidRDefault="00A53D39" w:rsidP="00BE487D">
      <w:pPr>
        <w:jc w:val="both"/>
        <w:rPr>
          <w:bCs/>
          <w:lang w:eastAsia="hr-HR"/>
        </w:rPr>
      </w:pPr>
      <w:r w:rsidRPr="00CA0804">
        <w:rPr>
          <w:bCs/>
          <w:lang w:eastAsia="hr-HR"/>
        </w:rPr>
        <w:lastRenderedPageBreak/>
        <w:t xml:space="preserve">Slika </w:t>
      </w:r>
      <w:r w:rsidR="00870E9F" w:rsidRPr="00CA0804">
        <w:rPr>
          <w:bCs/>
          <w:lang w:eastAsia="hr-HR"/>
        </w:rPr>
        <w:t>7</w:t>
      </w:r>
      <w:r w:rsidRPr="00CA0804">
        <w:rPr>
          <w:bCs/>
          <w:lang w:eastAsia="hr-HR"/>
        </w:rPr>
        <w:t xml:space="preserve">. Regionalne potpore </w:t>
      </w:r>
      <w:r w:rsidR="00382DD2" w:rsidRPr="00CA0804">
        <w:rPr>
          <w:bCs/>
          <w:lang w:eastAsia="hr-HR"/>
        </w:rPr>
        <w:t xml:space="preserve">prikazane </w:t>
      </w:r>
      <w:r w:rsidRPr="00CA0804">
        <w:rPr>
          <w:bCs/>
          <w:lang w:eastAsia="hr-HR"/>
        </w:rPr>
        <w:t xml:space="preserve">prema instrumentima dodjele </w:t>
      </w:r>
      <w:r w:rsidR="00382DD2" w:rsidRPr="00CA0804">
        <w:rPr>
          <w:bCs/>
          <w:lang w:eastAsia="hr-HR"/>
        </w:rPr>
        <w:t>u</w:t>
      </w:r>
      <w:r w:rsidRPr="00CA0804">
        <w:rPr>
          <w:bCs/>
          <w:lang w:eastAsia="hr-HR"/>
        </w:rPr>
        <w:t xml:space="preserve"> razdoblj</w:t>
      </w:r>
      <w:r w:rsidR="00382DD2" w:rsidRPr="00CA0804">
        <w:rPr>
          <w:bCs/>
          <w:lang w:eastAsia="hr-HR"/>
        </w:rPr>
        <w:t>u</w:t>
      </w:r>
      <w:r w:rsidRPr="00CA0804">
        <w:rPr>
          <w:bCs/>
          <w:lang w:eastAsia="hr-HR"/>
        </w:rPr>
        <w:t xml:space="preserve"> </w:t>
      </w:r>
      <w:r w:rsidRPr="00CA0804">
        <w:t>od 20</w:t>
      </w:r>
      <w:r w:rsidR="002611AD" w:rsidRPr="00CA0804">
        <w:t>2</w:t>
      </w:r>
      <w:r w:rsidR="004C407F" w:rsidRPr="00CA0804">
        <w:t>2</w:t>
      </w:r>
      <w:r w:rsidRPr="00CA0804">
        <w:t>. do 202</w:t>
      </w:r>
      <w:r w:rsidR="004C407F" w:rsidRPr="00CA0804">
        <w:t>4</w:t>
      </w:r>
      <w:r w:rsidRPr="00CA0804">
        <w:t>. godine</w:t>
      </w:r>
      <w:r w:rsidRPr="00CA0804">
        <w:rPr>
          <w:bCs/>
          <w:lang w:eastAsia="hr-HR"/>
        </w:rPr>
        <w:t xml:space="preserve"> (u milijunima </w:t>
      </w:r>
      <w:r w:rsidR="00381995" w:rsidRPr="00CA0804">
        <w:rPr>
          <w:bCs/>
          <w:lang w:eastAsia="hr-HR"/>
        </w:rPr>
        <w:t>eura</w:t>
      </w:r>
      <w:r w:rsidRPr="00CA0804">
        <w:rPr>
          <w:bCs/>
          <w:lang w:eastAsia="hr-HR"/>
        </w:rPr>
        <w:t>)</w:t>
      </w:r>
    </w:p>
    <w:p w14:paraId="6E14FAD8" w14:textId="3958BAED" w:rsidR="002611AD" w:rsidRPr="00CA0804" w:rsidRDefault="002611AD" w:rsidP="00BE487D">
      <w:pPr>
        <w:jc w:val="both"/>
        <w:rPr>
          <w:sz w:val="20"/>
        </w:rPr>
      </w:pPr>
    </w:p>
    <w:p w14:paraId="254F9616" w14:textId="5EBC67B7" w:rsidR="00ED3709" w:rsidRPr="00CA0804" w:rsidRDefault="00F10A10" w:rsidP="00F10A10">
      <w:pPr>
        <w:jc w:val="center"/>
      </w:pPr>
      <w:r w:rsidRPr="00CA0804">
        <w:rPr>
          <w:noProof/>
          <w:sz w:val="16"/>
          <w:szCs w:val="16"/>
          <w:lang w:eastAsia="hr-HR"/>
        </w:rPr>
        <w:drawing>
          <wp:inline distT="0" distB="0" distL="0" distR="0" wp14:anchorId="7CE3B5BD" wp14:editId="340A546F">
            <wp:extent cx="4747078" cy="2400844"/>
            <wp:effectExtent l="0" t="0" r="15875" b="0"/>
            <wp:docPr id="8" name="Grafikon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978BD33" w14:textId="77777777" w:rsidR="00F10A10" w:rsidRPr="00CA0804" w:rsidRDefault="00F10A10" w:rsidP="00F10A10">
      <w:pPr>
        <w:contextualSpacing/>
        <w:jc w:val="center"/>
        <w:rPr>
          <w:i/>
          <w:sz w:val="20"/>
        </w:rPr>
      </w:pPr>
      <w:r w:rsidRPr="00CA0804">
        <w:rPr>
          <w:i/>
          <w:sz w:val="20"/>
        </w:rPr>
        <w:t>Izvor: Ministarstvo financija i davatelji potpora; podaci obrađeni u Ministarstvu financija</w:t>
      </w:r>
    </w:p>
    <w:p w14:paraId="06BAAAF2" w14:textId="7B61AAAD" w:rsidR="00ED3709" w:rsidRPr="00CA0804" w:rsidRDefault="00ED3709" w:rsidP="00BE487D">
      <w:pPr>
        <w:jc w:val="both"/>
      </w:pPr>
    </w:p>
    <w:p w14:paraId="370C79E5" w14:textId="08C1162D" w:rsidR="00A6392E" w:rsidRPr="00CA0804" w:rsidRDefault="002B451A" w:rsidP="002B451A">
      <w:pPr>
        <w:jc w:val="both"/>
      </w:pPr>
      <w:r w:rsidRPr="00CA0804">
        <w:t>D</w:t>
      </w:r>
      <w:r w:rsidR="00A6392E" w:rsidRPr="00CA0804">
        <w:t>avatelji</w:t>
      </w:r>
      <w:r w:rsidRPr="00CA0804">
        <w:t xml:space="preserve"> </w:t>
      </w:r>
      <w:r w:rsidR="00A6392E" w:rsidRPr="00CA0804">
        <w:t>regionalnih potpora</w:t>
      </w:r>
      <w:r w:rsidRPr="00CA0804">
        <w:t xml:space="preserve"> u 2024. godini </w:t>
      </w:r>
      <w:r w:rsidR="00A6392E" w:rsidRPr="00CA0804">
        <w:t xml:space="preserve">u iznosu od </w:t>
      </w:r>
      <w:r w:rsidRPr="00CA0804">
        <w:t xml:space="preserve">134,9 </w:t>
      </w:r>
      <w:r w:rsidR="00A6392E" w:rsidRPr="00CA0804">
        <w:t xml:space="preserve">milijuna eura, su Ministarstvo gospodarstva s iznosom od </w:t>
      </w:r>
      <w:r w:rsidRPr="00CA0804">
        <w:t xml:space="preserve">117 </w:t>
      </w:r>
      <w:r w:rsidR="00A6392E" w:rsidRPr="00CA0804">
        <w:t xml:space="preserve">milijuna eura i HBOR s iznosom od </w:t>
      </w:r>
      <w:r w:rsidRPr="00CA0804">
        <w:t xml:space="preserve">17,9 </w:t>
      </w:r>
      <w:r w:rsidR="00A6392E" w:rsidRPr="00CA0804">
        <w:t>milijuna eura.</w:t>
      </w:r>
    </w:p>
    <w:p w14:paraId="31B2763B" w14:textId="77777777" w:rsidR="002B451A" w:rsidRPr="003C5EF8" w:rsidRDefault="002B451A" w:rsidP="00BE487D">
      <w:pPr>
        <w:jc w:val="both"/>
      </w:pPr>
    </w:p>
    <w:p w14:paraId="71E7F719" w14:textId="1CD1736D" w:rsidR="00E86E01" w:rsidRPr="003C5EF8" w:rsidRDefault="00A31EA7" w:rsidP="000A3565">
      <w:pPr>
        <w:jc w:val="both"/>
        <w:rPr>
          <w:spacing w:val="-2"/>
        </w:rPr>
      </w:pPr>
      <w:r w:rsidRPr="003C5EF8">
        <w:rPr>
          <w:spacing w:val="-2"/>
          <w:u w:val="single"/>
        </w:rPr>
        <w:t xml:space="preserve">Ministarstvo </w:t>
      </w:r>
      <w:r w:rsidR="00873670" w:rsidRPr="003C5EF8">
        <w:rPr>
          <w:spacing w:val="-2"/>
          <w:u w:val="single"/>
        </w:rPr>
        <w:t>gospodarstva</w:t>
      </w:r>
      <w:r w:rsidR="00873670" w:rsidRPr="003C5EF8">
        <w:rPr>
          <w:spacing w:val="-2"/>
        </w:rPr>
        <w:t xml:space="preserve"> </w:t>
      </w:r>
      <w:r w:rsidR="002B451A" w:rsidRPr="003C5EF8">
        <w:rPr>
          <w:spacing w:val="-2"/>
        </w:rPr>
        <w:t xml:space="preserve">dodijelilo </w:t>
      </w:r>
      <w:r w:rsidR="00A53D39" w:rsidRPr="003C5EF8">
        <w:rPr>
          <w:spacing w:val="-2"/>
        </w:rPr>
        <w:t xml:space="preserve">je </w:t>
      </w:r>
      <w:r w:rsidR="009C7D80" w:rsidRPr="003C5EF8">
        <w:rPr>
          <w:spacing w:val="-2"/>
        </w:rPr>
        <w:t>u 202</w:t>
      </w:r>
      <w:r w:rsidR="002B451A" w:rsidRPr="003C5EF8">
        <w:rPr>
          <w:spacing w:val="-2"/>
        </w:rPr>
        <w:t>4</w:t>
      </w:r>
      <w:r w:rsidR="009C7D80" w:rsidRPr="003C5EF8">
        <w:rPr>
          <w:spacing w:val="-2"/>
        </w:rPr>
        <w:t xml:space="preserve">. godini </w:t>
      </w:r>
      <w:r w:rsidR="00024D75" w:rsidRPr="003C5EF8">
        <w:rPr>
          <w:spacing w:val="-2"/>
        </w:rPr>
        <w:t xml:space="preserve">regionalne potpore u iznosu od </w:t>
      </w:r>
      <w:r w:rsidR="002B451A" w:rsidRPr="003C5EF8">
        <w:rPr>
          <w:spacing w:val="-2"/>
        </w:rPr>
        <w:t xml:space="preserve">117 </w:t>
      </w:r>
      <w:r w:rsidR="009C7D80" w:rsidRPr="003C5EF8">
        <w:rPr>
          <w:rFonts w:eastAsia="Times New Roman"/>
          <w:spacing w:val="-2"/>
          <w:lang w:eastAsia="hr-HR"/>
        </w:rPr>
        <w:t xml:space="preserve">milijuna eura </w:t>
      </w:r>
      <w:r w:rsidR="00A53D39" w:rsidRPr="003C5EF8">
        <w:rPr>
          <w:spacing w:val="-2"/>
        </w:rPr>
        <w:t xml:space="preserve">temeljem </w:t>
      </w:r>
      <w:r w:rsidR="002B451A" w:rsidRPr="003C5EF8">
        <w:rPr>
          <w:spacing w:val="-2"/>
        </w:rPr>
        <w:t>sljedećih</w:t>
      </w:r>
      <w:r w:rsidR="00A53D39" w:rsidRPr="003C5EF8">
        <w:rPr>
          <w:spacing w:val="-2"/>
        </w:rPr>
        <w:t xml:space="preserve"> programa</w:t>
      </w:r>
      <w:r w:rsidR="002B451A" w:rsidRPr="003C5EF8">
        <w:rPr>
          <w:spacing w:val="-2"/>
        </w:rPr>
        <w:t>:</w:t>
      </w:r>
      <w:r w:rsidR="00B973A0" w:rsidRPr="003C5EF8">
        <w:rPr>
          <w:spacing w:val="-2"/>
        </w:rPr>
        <w:t xml:space="preserve"> </w:t>
      </w:r>
      <w:r w:rsidR="00E86E01" w:rsidRPr="003C5EF8">
        <w:rPr>
          <w:spacing w:val="-2"/>
        </w:rPr>
        <w:t>temeljem Zakona o poticanju investicija i unapređenju investicijskog okruženja</w:t>
      </w:r>
      <w:r w:rsidR="00E86E01" w:rsidRPr="003C5EF8">
        <w:rPr>
          <w:b/>
          <w:spacing w:val="-2"/>
        </w:rPr>
        <w:t xml:space="preserve"> </w:t>
      </w:r>
      <w:r w:rsidR="00E86E01" w:rsidRPr="003C5EF8">
        <w:rPr>
          <w:spacing w:val="-2"/>
        </w:rPr>
        <w:t>(„Narodne novine“, br. 111/12. i 28/13.)</w:t>
      </w:r>
      <w:r w:rsidR="003C5EF8" w:rsidRPr="003C5EF8">
        <w:rPr>
          <w:spacing w:val="-2"/>
        </w:rPr>
        <w:t xml:space="preserve"> iznos od </w:t>
      </w:r>
      <w:r w:rsidR="00E86E01" w:rsidRPr="003C5EF8">
        <w:rPr>
          <w:spacing w:val="-2"/>
        </w:rPr>
        <w:t xml:space="preserve"> 5,3 milijuna eura putem poreznih olakšica, a </w:t>
      </w:r>
      <w:r w:rsidR="00E86E01" w:rsidRPr="003C5EF8">
        <w:rPr>
          <w:rFonts w:eastAsia="Times New Roman"/>
          <w:spacing w:val="-2"/>
          <w:lang w:eastAsia="hr-HR"/>
        </w:rPr>
        <w:t xml:space="preserve">Europska komisija je o navedenom Zakonu obaviještena pod brojem SA.35517; </w:t>
      </w:r>
      <w:r w:rsidR="00B973A0" w:rsidRPr="003C5EF8">
        <w:rPr>
          <w:spacing w:val="-2"/>
        </w:rPr>
        <w:t>t</w:t>
      </w:r>
      <w:r w:rsidR="00AC3DB8" w:rsidRPr="003C5EF8">
        <w:rPr>
          <w:spacing w:val="-2"/>
        </w:rPr>
        <w:t>emeljem</w:t>
      </w:r>
      <w:r w:rsidR="00AA5C34" w:rsidRPr="003C5EF8">
        <w:rPr>
          <w:spacing w:val="-2"/>
        </w:rPr>
        <w:t xml:space="preserve"> </w:t>
      </w:r>
      <w:r w:rsidR="00AC3DB8" w:rsidRPr="003C5EF8">
        <w:rPr>
          <w:spacing w:val="-2"/>
        </w:rPr>
        <w:t>Zakona o poticanju ulaganja</w:t>
      </w:r>
      <w:r w:rsidR="009F5ADF" w:rsidRPr="003C5EF8">
        <w:rPr>
          <w:spacing w:val="-2"/>
        </w:rPr>
        <w:t xml:space="preserve"> </w:t>
      </w:r>
      <w:r w:rsidR="00AC3DB8" w:rsidRPr="003C5EF8">
        <w:rPr>
          <w:spacing w:val="-2"/>
        </w:rPr>
        <w:t>(„Narodne novine“, br. 102/15., 25/18., 114/18.</w:t>
      </w:r>
      <w:r w:rsidR="009F5ADF" w:rsidRPr="003C5EF8">
        <w:rPr>
          <w:spacing w:val="-2"/>
        </w:rPr>
        <w:t>,</w:t>
      </w:r>
      <w:r w:rsidR="00AC3DB8" w:rsidRPr="003C5EF8">
        <w:rPr>
          <w:spacing w:val="-2"/>
        </w:rPr>
        <w:t xml:space="preserve"> 32/20.</w:t>
      </w:r>
      <w:r w:rsidR="009F5ADF" w:rsidRPr="003C5EF8">
        <w:rPr>
          <w:spacing w:val="-2"/>
        </w:rPr>
        <w:t xml:space="preserve"> i 20/21.</w:t>
      </w:r>
      <w:r w:rsidR="00AC3DB8" w:rsidRPr="003C5EF8">
        <w:rPr>
          <w:spacing w:val="-2"/>
        </w:rPr>
        <w:t>)</w:t>
      </w:r>
      <w:r w:rsidR="00AA5C34" w:rsidRPr="003C5EF8">
        <w:rPr>
          <w:spacing w:val="-2"/>
        </w:rPr>
        <w:t xml:space="preserve"> </w:t>
      </w:r>
      <w:r w:rsidR="00AC3DB8" w:rsidRPr="003C5EF8">
        <w:rPr>
          <w:spacing w:val="-2"/>
        </w:rPr>
        <w:t xml:space="preserve">iznos od </w:t>
      </w:r>
      <w:r w:rsidR="00E86E01" w:rsidRPr="003C5EF8">
        <w:rPr>
          <w:spacing w:val="-2"/>
        </w:rPr>
        <w:t>83,5</w:t>
      </w:r>
      <w:r w:rsidR="00AC3DB8" w:rsidRPr="003C5EF8">
        <w:rPr>
          <w:spacing w:val="-2"/>
        </w:rPr>
        <w:t xml:space="preserve"> milijun</w:t>
      </w:r>
      <w:r w:rsidR="00AA5C34" w:rsidRPr="003C5EF8">
        <w:rPr>
          <w:spacing w:val="-2"/>
        </w:rPr>
        <w:t>a</w:t>
      </w:r>
      <w:r w:rsidR="00AC3DB8" w:rsidRPr="003C5EF8">
        <w:rPr>
          <w:spacing w:val="-2"/>
        </w:rPr>
        <w:t xml:space="preserve"> </w:t>
      </w:r>
      <w:r w:rsidR="00AA5C34" w:rsidRPr="003C5EF8">
        <w:rPr>
          <w:spacing w:val="-2"/>
        </w:rPr>
        <w:t>eura</w:t>
      </w:r>
      <w:r w:rsidR="00AC3DB8" w:rsidRPr="003C5EF8">
        <w:rPr>
          <w:spacing w:val="-2"/>
        </w:rPr>
        <w:t xml:space="preserve"> putem poreznih olakšica </w:t>
      </w:r>
      <w:r w:rsidR="00AA5C34" w:rsidRPr="003C5EF8">
        <w:rPr>
          <w:spacing w:val="-2"/>
        </w:rPr>
        <w:t>i</w:t>
      </w:r>
      <w:r w:rsidR="00AC3DB8" w:rsidRPr="003C5EF8">
        <w:rPr>
          <w:spacing w:val="-2"/>
        </w:rPr>
        <w:t xml:space="preserve"> subvencija</w:t>
      </w:r>
      <w:r w:rsidR="00AA5C34" w:rsidRPr="003C5EF8">
        <w:rPr>
          <w:spacing w:val="-2"/>
        </w:rPr>
        <w:t>, a</w:t>
      </w:r>
      <w:r w:rsidR="00AC3DB8" w:rsidRPr="003C5EF8">
        <w:rPr>
          <w:spacing w:val="-2"/>
        </w:rPr>
        <w:t xml:space="preserve"> Europska komisija je o navedenom Zakonu o poticanju ulaganja obaviještena pod brojem SA.43431</w:t>
      </w:r>
      <w:r w:rsidR="000A5FF3" w:rsidRPr="003C5EF8">
        <w:rPr>
          <w:spacing w:val="-2"/>
        </w:rPr>
        <w:t>,</w:t>
      </w:r>
      <w:r w:rsidR="009F5ADF" w:rsidRPr="003C5EF8">
        <w:rPr>
          <w:spacing w:val="-2"/>
        </w:rPr>
        <w:t xml:space="preserve"> te o njegov</w:t>
      </w:r>
      <w:r w:rsidR="000A5FF3" w:rsidRPr="003C5EF8">
        <w:rPr>
          <w:spacing w:val="-2"/>
        </w:rPr>
        <w:t xml:space="preserve">im izmjenama pod </w:t>
      </w:r>
      <w:r w:rsidR="009F5ADF" w:rsidRPr="003C5EF8">
        <w:rPr>
          <w:spacing w:val="-2"/>
        </w:rPr>
        <w:t>brojevima SA.60887</w:t>
      </w:r>
      <w:r w:rsidR="00E86E01" w:rsidRPr="003C5EF8">
        <w:rPr>
          <w:spacing w:val="-2"/>
        </w:rPr>
        <w:t xml:space="preserve"> i </w:t>
      </w:r>
      <w:r w:rsidR="009F5ADF" w:rsidRPr="003C5EF8">
        <w:rPr>
          <w:spacing w:val="-2"/>
        </w:rPr>
        <w:t>SA.102080</w:t>
      </w:r>
      <w:r w:rsidR="00E86E01" w:rsidRPr="003C5EF8">
        <w:rPr>
          <w:spacing w:val="-2"/>
        </w:rPr>
        <w:t>; te temeljem</w:t>
      </w:r>
      <w:r w:rsidR="003C5EF8" w:rsidRPr="003C5EF8">
        <w:rPr>
          <w:spacing w:val="-2"/>
        </w:rPr>
        <w:t xml:space="preserve"> </w:t>
      </w:r>
      <w:r w:rsidR="00E86E01" w:rsidRPr="003C5EF8">
        <w:rPr>
          <w:spacing w:val="-2"/>
        </w:rPr>
        <w:t>Zakona o poticanju ulaganja („Narodne novine“, br</w:t>
      </w:r>
      <w:r w:rsidR="003C5EF8" w:rsidRPr="003C5EF8">
        <w:rPr>
          <w:spacing w:val="-2"/>
        </w:rPr>
        <w:t>oj 63</w:t>
      </w:r>
      <w:r w:rsidR="00E86E01" w:rsidRPr="003C5EF8">
        <w:rPr>
          <w:spacing w:val="-2"/>
        </w:rPr>
        <w:t>/2</w:t>
      </w:r>
      <w:r w:rsidR="003C5EF8" w:rsidRPr="003C5EF8">
        <w:rPr>
          <w:spacing w:val="-2"/>
        </w:rPr>
        <w:t>2</w:t>
      </w:r>
      <w:r w:rsidR="00E86E01" w:rsidRPr="003C5EF8">
        <w:rPr>
          <w:spacing w:val="-2"/>
        </w:rPr>
        <w:t xml:space="preserve">.) iznos od </w:t>
      </w:r>
      <w:r w:rsidR="003C5EF8" w:rsidRPr="003C5EF8">
        <w:rPr>
          <w:spacing w:val="-2"/>
        </w:rPr>
        <w:t>28,2</w:t>
      </w:r>
      <w:r w:rsidR="00E86E01" w:rsidRPr="003C5EF8">
        <w:rPr>
          <w:spacing w:val="-2"/>
        </w:rPr>
        <w:t xml:space="preserve"> milijuna eura putem poreznih olakšica i subvencija, </w:t>
      </w:r>
      <w:r w:rsidR="003C5EF8" w:rsidRPr="003C5EF8">
        <w:rPr>
          <w:spacing w:val="-2"/>
        </w:rPr>
        <w:t>te je</w:t>
      </w:r>
      <w:r w:rsidR="00E86E01" w:rsidRPr="003C5EF8">
        <w:rPr>
          <w:spacing w:val="-2"/>
        </w:rPr>
        <w:t xml:space="preserve"> Europska komisija o navedenom Zakonu o poticanju ulaganja obaviještena pod brojem </w:t>
      </w:r>
      <w:r w:rsidR="003C5EF8" w:rsidRPr="003C5EF8">
        <w:rPr>
          <w:spacing w:val="-2"/>
        </w:rPr>
        <w:t>SA.</w:t>
      </w:r>
      <w:r w:rsidR="00E86E01" w:rsidRPr="003C5EF8">
        <w:rPr>
          <w:spacing w:val="-2"/>
        </w:rPr>
        <w:t>104155</w:t>
      </w:r>
      <w:r w:rsidR="003C5EF8" w:rsidRPr="003C5EF8">
        <w:rPr>
          <w:spacing w:val="-2"/>
        </w:rPr>
        <w:t>.</w:t>
      </w:r>
    </w:p>
    <w:p w14:paraId="57001BF1" w14:textId="77777777" w:rsidR="00E86E01" w:rsidRPr="003C5EF8" w:rsidRDefault="00E86E01" w:rsidP="00E50653">
      <w:pPr>
        <w:jc w:val="both"/>
      </w:pPr>
    </w:p>
    <w:p w14:paraId="0009A3AA" w14:textId="19A7EEFB" w:rsidR="00A75551" w:rsidRPr="00CA0804" w:rsidRDefault="00A53D39" w:rsidP="00E50653">
      <w:pPr>
        <w:jc w:val="both"/>
        <w:rPr>
          <w:rFonts w:eastAsia="Times New Roman"/>
          <w:color w:val="000000"/>
          <w:lang w:eastAsia="hr-HR"/>
        </w:rPr>
      </w:pPr>
      <w:r w:rsidRPr="00CA0804">
        <w:rPr>
          <w:u w:val="single"/>
        </w:rPr>
        <w:t>HBOR</w:t>
      </w:r>
      <w:r w:rsidRPr="00CA0804">
        <w:t xml:space="preserve"> je </w:t>
      </w:r>
      <w:r w:rsidR="00557806" w:rsidRPr="00CA0804">
        <w:t xml:space="preserve">dodijelio </w:t>
      </w:r>
      <w:r w:rsidRPr="00CA0804">
        <w:t xml:space="preserve">regionalne potpore </w:t>
      </w:r>
      <w:r w:rsidR="00A75551" w:rsidRPr="00CA0804">
        <w:t>u 202</w:t>
      </w:r>
      <w:r w:rsidR="00B973A0" w:rsidRPr="00CA0804">
        <w:t>4</w:t>
      </w:r>
      <w:r w:rsidR="00A75551" w:rsidRPr="00CA0804">
        <w:t xml:space="preserve">. godini </w:t>
      </w:r>
      <w:r w:rsidR="00A6392E" w:rsidRPr="00CA0804">
        <w:t xml:space="preserve">temeljem Programa dodjele državnih potpora Hrvatske banke za obnovu i razvitak </w:t>
      </w:r>
      <w:r w:rsidRPr="00CA0804">
        <w:t xml:space="preserve">u iznosu od </w:t>
      </w:r>
      <w:r w:rsidR="00967B74" w:rsidRPr="00CA0804">
        <w:t xml:space="preserve">17,9 </w:t>
      </w:r>
      <w:r w:rsidRPr="00CA0804">
        <w:t xml:space="preserve">milijuna </w:t>
      </w:r>
      <w:r w:rsidR="00A6392E" w:rsidRPr="00CA0804">
        <w:t>eura</w:t>
      </w:r>
      <w:r w:rsidR="00A75551" w:rsidRPr="00CA0804">
        <w:t>, i to</w:t>
      </w:r>
      <w:r w:rsidRPr="00CA0804">
        <w:t xml:space="preserve"> </w:t>
      </w:r>
      <w:r w:rsidR="00557806" w:rsidRPr="00CA0804">
        <w:t xml:space="preserve">putem </w:t>
      </w:r>
      <w:r w:rsidR="00A6392E" w:rsidRPr="00CA0804">
        <w:t xml:space="preserve">neposrednih subvencija kamata, </w:t>
      </w:r>
      <w:r w:rsidR="00557806" w:rsidRPr="00CA0804">
        <w:t>povoljnih zajmova</w:t>
      </w:r>
      <w:r w:rsidR="00A75551" w:rsidRPr="00CA0804">
        <w:t xml:space="preserve"> </w:t>
      </w:r>
      <w:r w:rsidR="00A6392E" w:rsidRPr="00CA0804">
        <w:t>i izdanih jamstava</w:t>
      </w:r>
      <w:r w:rsidR="00967B74" w:rsidRPr="00CA0804">
        <w:t>, a o</w:t>
      </w:r>
      <w:r w:rsidR="00712C2C" w:rsidRPr="00CA0804">
        <w:t xml:space="preserve"> n</w:t>
      </w:r>
      <w:r w:rsidR="008D251F" w:rsidRPr="00CA0804">
        <w:t>aveden</w:t>
      </w:r>
      <w:r w:rsidR="00712C2C" w:rsidRPr="00CA0804">
        <w:t>om</w:t>
      </w:r>
      <w:r w:rsidR="008D251F" w:rsidRPr="00CA0804">
        <w:t xml:space="preserve"> </w:t>
      </w:r>
      <w:r w:rsidR="00712C2C" w:rsidRPr="00CA0804">
        <w:t>p</w:t>
      </w:r>
      <w:r w:rsidR="003F2634" w:rsidRPr="00CA0804">
        <w:t>rogram</w:t>
      </w:r>
      <w:r w:rsidR="00712C2C" w:rsidRPr="00CA0804">
        <w:t>u</w:t>
      </w:r>
      <w:r w:rsidR="003F2634" w:rsidRPr="00CA0804">
        <w:t xml:space="preserve"> </w:t>
      </w:r>
      <w:r w:rsidR="008D251F" w:rsidRPr="00CA0804">
        <w:t>je Europska komisija obaviještena pod brojem SA.</w:t>
      </w:r>
      <w:r w:rsidR="008D251F" w:rsidRPr="00CA0804">
        <w:rPr>
          <w:rFonts w:eastAsia="Times New Roman"/>
          <w:lang w:eastAsia="hr-HR"/>
        </w:rPr>
        <w:t>39436</w:t>
      </w:r>
      <w:r w:rsidR="000A5FF3" w:rsidRPr="00CA0804">
        <w:rPr>
          <w:rFonts w:eastAsia="Times New Roman"/>
          <w:lang w:eastAsia="hr-HR"/>
        </w:rPr>
        <w:t>, dok je o njegovim</w:t>
      </w:r>
      <w:r w:rsidR="008D251F" w:rsidRPr="00CA0804">
        <w:rPr>
          <w:rFonts w:eastAsia="Times New Roman"/>
          <w:color w:val="000000"/>
          <w:lang w:eastAsia="hr-HR"/>
        </w:rPr>
        <w:t xml:space="preserve"> kasnij</w:t>
      </w:r>
      <w:r w:rsidR="000A5FF3" w:rsidRPr="00CA0804">
        <w:rPr>
          <w:rFonts w:eastAsia="Times New Roman"/>
          <w:color w:val="000000"/>
          <w:lang w:eastAsia="hr-HR"/>
        </w:rPr>
        <w:t>im</w:t>
      </w:r>
      <w:r w:rsidR="008D251F" w:rsidRPr="00CA0804">
        <w:rPr>
          <w:rFonts w:eastAsia="Times New Roman"/>
          <w:color w:val="000000"/>
          <w:lang w:eastAsia="hr-HR"/>
        </w:rPr>
        <w:t xml:space="preserve"> izmjen</w:t>
      </w:r>
      <w:r w:rsidR="000A5FF3" w:rsidRPr="00CA0804">
        <w:rPr>
          <w:rFonts w:eastAsia="Times New Roman"/>
          <w:color w:val="000000"/>
          <w:lang w:eastAsia="hr-HR"/>
        </w:rPr>
        <w:t>ama obaviještena pod brojevima</w:t>
      </w:r>
      <w:r w:rsidR="008D251F" w:rsidRPr="00CA0804">
        <w:rPr>
          <w:rFonts w:eastAsia="Times New Roman"/>
          <w:color w:val="000000"/>
          <w:lang w:eastAsia="hr-HR"/>
        </w:rPr>
        <w:t xml:space="preserve"> SA.60264</w:t>
      </w:r>
      <w:r w:rsidR="009C7D80" w:rsidRPr="00CA0804">
        <w:rPr>
          <w:rFonts w:eastAsia="Times New Roman"/>
          <w:color w:val="000000"/>
          <w:lang w:eastAsia="hr-HR"/>
        </w:rPr>
        <w:t>,</w:t>
      </w:r>
      <w:r w:rsidR="00971E64" w:rsidRPr="00CA0804">
        <w:rPr>
          <w:rFonts w:eastAsia="Times New Roman"/>
          <w:color w:val="000000"/>
          <w:lang w:eastAsia="hr-HR"/>
        </w:rPr>
        <w:t xml:space="preserve"> SA.102053</w:t>
      </w:r>
      <w:r w:rsidR="009C7D80" w:rsidRPr="00CA0804">
        <w:rPr>
          <w:rFonts w:eastAsia="Times New Roman"/>
          <w:color w:val="000000"/>
          <w:lang w:eastAsia="hr-HR"/>
        </w:rPr>
        <w:t xml:space="preserve"> i SA.109743</w:t>
      </w:r>
      <w:r w:rsidR="00E50653" w:rsidRPr="00CA0804">
        <w:rPr>
          <w:rFonts w:eastAsia="Times New Roman"/>
          <w:color w:val="000000"/>
          <w:lang w:eastAsia="hr-HR"/>
        </w:rPr>
        <w:t>.</w:t>
      </w:r>
    </w:p>
    <w:p w14:paraId="65C607EF" w14:textId="77777777" w:rsidR="00673554" w:rsidRPr="00CA0804" w:rsidRDefault="00673554" w:rsidP="00A75551">
      <w:pPr>
        <w:jc w:val="both"/>
      </w:pPr>
    </w:p>
    <w:p w14:paraId="11A50444" w14:textId="14A06B7C" w:rsidR="00073214" w:rsidRPr="00CA0804" w:rsidRDefault="00073214" w:rsidP="00073214">
      <w:pPr>
        <w:jc w:val="both"/>
      </w:pPr>
      <w:r w:rsidRPr="00CA0804">
        <w:rPr>
          <w:u w:val="single"/>
        </w:rPr>
        <w:t>Potpore male vrijednosti</w:t>
      </w:r>
      <w:r w:rsidRPr="00CA0804">
        <w:t xml:space="preserve"> za regionalni razvoj su u 202</w:t>
      </w:r>
      <w:r w:rsidR="00967B74" w:rsidRPr="00CA0804">
        <w:t>4</w:t>
      </w:r>
      <w:r w:rsidRPr="00CA0804">
        <w:t xml:space="preserve">. godini dodijeljene u iznosu od </w:t>
      </w:r>
      <w:r w:rsidR="00967B74" w:rsidRPr="00CA0804">
        <w:t>21,9</w:t>
      </w:r>
      <w:r w:rsidRPr="00CA0804">
        <w:t xml:space="preserve"> milijuna eura, te ukoliko bi se </w:t>
      </w:r>
      <w:r w:rsidR="00967B74" w:rsidRPr="00CA0804">
        <w:t>iste</w:t>
      </w:r>
      <w:r w:rsidRPr="00CA0804">
        <w:t xml:space="preserve"> pribrojile dodijeljenim potporama za </w:t>
      </w:r>
      <w:r w:rsidR="005F1DB3" w:rsidRPr="00CA0804">
        <w:t xml:space="preserve">regionalni razvoj </w:t>
      </w:r>
      <w:r w:rsidRPr="00CA0804">
        <w:t xml:space="preserve">u iznosu od </w:t>
      </w:r>
      <w:r w:rsidR="00967B74" w:rsidRPr="00CA0804">
        <w:t xml:space="preserve">134,9 </w:t>
      </w:r>
      <w:r w:rsidRPr="00CA0804">
        <w:t xml:space="preserve">milijuna eura, ukupan iznos svih dodijeljenih potpora za </w:t>
      </w:r>
      <w:r w:rsidR="005F1DB3" w:rsidRPr="00CA0804">
        <w:t xml:space="preserve">regionalni razvoj </w:t>
      </w:r>
      <w:r w:rsidRPr="00CA0804">
        <w:t>iznosi</w:t>
      </w:r>
      <w:r w:rsidR="00A6392E" w:rsidRPr="00CA0804">
        <w:t>o</w:t>
      </w:r>
      <w:r w:rsidRPr="00CA0804">
        <w:t xml:space="preserve"> bi </w:t>
      </w:r>
      <w:r w:rsidR="00967B74" w:rsidRPr="00CA0804">
        <w:t xml:space="preserve">156,8 </w:t>
      </w:r>
      <w:r w:rsidRPr="00CA0804">
        <w:t xml:space="preserve">milijuna eura. </w:t>
      </w:r>
    </w:p>
    <w:p w14:paraId="6BB6A86A" w14:textId="0C7FCBB9" w:rsidR="00967B74" w:rsidRPr="00CA0804" w:rsidRDefault="00967B74" w:rsidP="00967B74"/>
    <w:p w14:paraId="133139A8" w14:textId="77777777" w:rsidR="009B5376" w:rsidRPr="00CA0804" w:rsidRDefault="009B5376" w:rsidP="00BE487D">
      <w:pPr>
        <w:jc w:val="both"/>
      </w:pPr>
    </w:p>
    <w:p w14:paraId="12A02588" w14:textId="77777777" w:rsidR="00316791" w:rsidRPr="00CA0804" w:rsidRDefault="00316791">
      <w:pPr>
        <w:rPr>
          <w:rFonts w:eastAsiaTheme="majorEastAsia"/>
          <w:b/>
          <w:sz w:val="28"/>
        </w:rPr>
      </w:pPr>
      <w:r w:rsidRPr="00CA0804">
        <w:rPr>
          <w:b/>
          <w:sz w:val="28"/>
        </w:rPr>
        <w:br w:type="page"/>
      </w:r>
    </w:p>
    <w:p w14:paraId="24CC9638" w14:textId="48D0360B" w:rsidR="00BE0817" w:rsidRPr="00CA0804" w:rsidRDefault="00C45D8A" w:rsidP="005E794B">
      <w:pPr>
        <w:pStyle w:val="Heading2"/>
        <w:ind w:left="811" w:hanging="454"/>
        <w:rPr>
          <w:spacing w:val="-2"/>
        </w:rPr>
      </w:pPr>
      <w:bookmarkStart w:id="20" w:name="_Toc213660041"/>
      <w:r w:rsidRPr="00CA0804">
        <w:rPr>
          <w:spacing w:val="-2"/>
        </w:rPr>
        <w:lastRenderedPageBreak/>
        <w:t>POTPORE NA RAZINI JEDINICA LOKALNE I PODRUČNE (REGIONALNE) SAMOUPRAVE</w:t>
      </w:r>
      <w:bookmarkEnd w:id="20"/>
    </w:p>
    <w:p w14:paraId="57ABA494" w14:textId="77777777" w:rsidR="00E668F9" w:rsidRPr="00CA0804" w:rsidRDefault="00E668F9" w:rsidP="00BE487D">
      <w:pPr>
        <w:jc w:val="both"/>
      </w:pPr>
    </w:p>
    <w:p w14:paraId="6ED5B17B" w14:textId="77777777" w:rsidR="00E668F9" w:rsidRPr="00CA0804" w:rsidRDefault="00E668F9" w:rsidP="00BE487D">
      <w:pPr>
        <w:jc w:val="both"/>
      </w:pPr>
    </w:p>
    <w:p w14:paraId="58F5BAAE" w14:textId="7ABA36B4" w:rsidR="00AA5C34" w:rsidRPr="00CA0804" w:rsidRDefault="00824E96" w:rsidP="00491A78">
      <w:pPr>
        <w:jc w:val="both"/>
        <w:rPr>
          <w:spacing w:val="-2"/>
        </w:rPr>
      </w:pPr>
      <w:r w:rsidRPr="00CA0804">
        <w:rPr>
          <w:spacing w:val="-2"/>
        </w:rPr>
        <w:t>P</w:t>
      </w:r>
      <w:r w:rsidR="00491A78" w:rsidRPr="00CA0804">
        <w:rPr>
          <w:spacing w:val="-2"/>
        </w:rPr>
        <w:t xml:space="preserve">otpore na razini jedinica područne i lokalne (regionalne) samouprave u </w:t>
      </w:r>
      <w:r w:rsidR="00AA5C34" w:rsidRPr="00CA0804">
        <w:rPr>
          <w:spacing w:val="-2"/>
        </w:rPr>
        <w:t>202</w:t>
      </w:r>
      <w:r w:rsidR="00967B74" w:rsidRPr="00CA0804">
        <w:rPr>
          <w:spacing w:val="-2"/>
        </w:rPr>
        <w:t>4</w:t>
      </w:r>
      <w:r w:rsidR="00AA5C34" w:rsidRPr="00CA0804">
        <w:rPr>
          <w:spacing w:val="-2"/>
        </w:rPr>
        <w:t xml:space="preserve">. godini </w:t>
      </w:r>
      <w:r w:rsidR="00967B74" w:rsidRPr="00CA0804">
        <w:rPr>
          <w:spacing w:val="-2"/>
        </w:rPr>
        <w:t xml:space="preserve">dodijeljene su </w:t>
      </w:r>
      <w:r w:rsidR="00AA5C34" w:rsidRPr="00CA0804">
        <w:rPr>
          <w:spacing w:val="-2"/>
        </w:rPr>
        <w:t xml:space="preserve">u iznosu od </w:t>
      </w:r>
      <w:r w:rsidR="00F7403C" w:rsidRPr="00CA0804">
        <w:rPr>
          <w:spacing w:val="-2"/>
        </w:rPr>
        <w:t xml:space="preserve">167,4 </w:t>
      </w:r>
      <w:r w:rsidR="00AA5C34" w:rsidRPr="00CA0804">
        <w:rPr>
          <w:spacing w:val="-2"/>
        </w:rPr>
        <w:t>milijuna eura, što je povećanje za 25,</w:t>
      </w:r>
      <w:r w:rsidR="00F7403C" w:rsidRPr="00CA0804">
        <w:rPr>
          <w:spacing w:val="-2"/>
        </w:rPr>
        <w:t>4</w:t>
      </w:r>
      <w:r w:rsidR="00AA5C34" w:rsidRPr="00CA0804">
        <w:rPr>
          <w:spacing w:val="-2"/>
        </w:rPr>
        <w:t xml:space="preserve"> milijuna eura ili za </w:t>
      </w:r>
      <w:r w:rsidR="00F7403C" w:rsidRPr="00CA0804">
        <w:rPr>
          <w:spacing w:val="-2"/>
        </w:rPr>
        <w:t>17,9</w:t>
      </w:r>
      <w:r w:rsidR="00AA5C34" w:rsidRPr="00CA0804">
        <w:rPr>
          <w:spacing w:val="-2"/>
        </w:rPr>
        <w:t xml:space="preserve"> posto u odnosu na 202</w:t>
      </w:r>
      <w:r w:rsidR="00F7403C" w:rsidRPr="00CA0804">
        <w:rPr>
          <w:spacing w:val="-2"/>
        </w:rPr>
        <w:t>3</w:t>
      </w:r>
      <w:r w:rsidR="00AA5C34" w:rsidRPr="00CA0804">
        <w:rPr>
          <w:spacing w:val="-2"/>
        </w:rPr>
        <w:t xml:space="preserve">. godinu, kada su iznosile </w:t>
      </w:r>
      <w:r w:rsidR="00F7403C" w:rsidRPr="00CA0804">
        <w:rPr>
          <w:spacing w:val="-2"/>
        </w:rPr>
        <w:t>142</w:t>
      </w:r>
      <w:r w:rsidR="00AA5C34" w:rsidRPr="00CA0804">
        <w:rPr>
          <w:spacing w:val="-2"/>
        </w:rPr>
        <w:t xml:space="preserve"> milijuna eura, te </w:t>
      </w:r>
      <w:r w:rsidR="00952DB4" w:rsidRPr="00CA0804">
        <w:rPr>
          <w:spacing w:val="-2"/>
        </w:rPr>
        <w:t>predstavlja</w:t>
      </w:r>
      <w:r w:rsidR="00AA5C34" w:rsidRPr="00CA0804">
        <w:rPr>
          <w:spacing w:val="-2"/>
        </w:rPr>
        <w:t xml:space="preserve"> povećanje za </w:t>
      </w:r>
      <w:r w:rsidR="00F7403C" w:rsidRPr="00CA0804">
        <w:rPr>
          <w:spacing w:val="-2"/>
        </w:rPr>
        <w:t xml:space="preserve">37,8 </w:t>
      </w:r>
      <w:r w:rsidR="00AA5C34" w:rsidRPr="00CA0804">
        <w:rPr>
          <w:spacing w:val="-2"/>
        </w:rPr>
        <w:t xml:space="preserve">milijuna eura ili za </w:t>
      </w:r>
      <w:r w:rsidR="00F7403C" w:rsidRPr="00CA0804">
        <w:rPr>
          <w:spacing w:val="-2"/>
        </w:rPr>
        <w:t xml:space="preserve">29,2 </w:t>
      </w:r>
      <w:r w:rsidR="00AA5C34" w:rsidRPr="00CA0804">
        <w:rPr>
          <w:spacing w:val="-2"/>
        </w:rPr>
        <w:t>posto u odnosu na 202</w:t>
      </w:r>
      <w:r w:rsidR="00F7403C" w:rsidRPr="00CA0804">
        <w:rPr>
          <w:spacing w:val="-2"/>
        </w:rPr>
        <w:t>2</w:t>
      </w:r>
      <w:r w:rsidR="00AA5C34" w:rsidRPr="00CA0804">
        <w:rPr>
          <w:spacing w:val="-2"/>
        </w:rPr>
        <w:t xml:space="preserve">. godinu kada su iznosile </w:t>
      </w:r>
      <w:r w:rsidR="00F7403C" w:rsidRPr="00CA0804">
        <w:rPr>
          <w:spacing w:val="-2"/>
        </w:rPr>
        <w:t xml:space="preserve">129,6 </w:t>
      </w:r>
      <w:r w:rsidR="00AA5C34" w:rsidRPr="00CA0804">
        <w:rPr>
          <w:spacing w:val="-2"/>
        </w:rPr>
        <w:t>milijuna eura</w:t>
      </w:r>
      <w:r w:rsidR="000F45EC" w:rsidRPr="00CA0804">
        <w:rPr>
          <w:spacing w:val="-2"/>
        </w:rPr>
        <w:t>.</w:t>
      </w:r>
    </w:p>
    <w:p w14:paraId="7698EA9F" w14:textId="77777777" w:rsidR="001D2346" w:rsidRPr="00CA0804" w:rsidRDefault="001D2346" w:rsidP="00BE487D">
      <w:pPr>
        <w:autoSpaceDE w:val="0"/>
        <w:autoSpaceDN w:val="0"/>
        <w:adjustRightInd w:val="0"/>
        <w:contextualSpacing/>
        <w:jc w:val="both"/>
        <w:rPr>
          <w:spacing w:val="-2"/>
        </w:rPr>
      </w:pPr>
    </w:p>
    <w:p w14:paraId="29BC9894" w14:textId="69DE399D" w:rsidR="004C39FF" w:rsidRPr="00CA0804" w:rsidRDefault="004C39FF" w:rsidP="00BE487D">
      <w:pPr>
        <w:autoSpaceDE w:val="0"/>
        <w:autoSpaceDN w:val="0"/>
        <w:adjustRightInd w:val="0"/>
        <w:contextualSpacing/>
        <w:jc w:val="both"/>
      </w:pPr>
      <w:r w:rsidRPr="00CA0804">
        <w:rPr>
          <w:bCs/>
          <w:lang w:eastAsia="hr-HR"/>
        </w:rPr>
        <w:t xml:space="preserve">Tablica </w:t>
      </w:r>
      <w:r w:rsidR="00466B5A" w:rsidRPr="00CA0804">
        <w:rPr>
          <w:bCs/>
          <w:lang w:eastAsia="hr-HR"/>
        </w:rPr>
        <w:t>1</w:t>
      </w:r>
      <w:r w:rsidR="00870E9F" w:rsidRPr="00CA0804">
        <w:rPr>
          <w:bCs/>
          <w:lang w:eastAsia="hr-HR"/>
        </w:rPr>
        <w:t>6</w:t>
      </w:r>
      <w:r w:rsidRPr="00CA0804">
        <w:rPr>
          <w:bCs/>
          <w:lang w:eastAsia="hr-HR"/>
        </w:rPr>
        <w:t xml:space="preserve">. Potpore dodijeljene na lokalnoj razini </w:t>
      </w:r>
      <w:r w:rsidR="000F45EC" w:rsidRPr="00CA0804">
        <w:rPr>
          <w:bCs/>
          <w:lang w:eastAsia="hr-HR"/>
        </w:rPr>
        <w:t>u</w:t>
      </w:r>
      <w:r w:rsidRPr="00CA0804">
        <w:rPr>
          <w:bCs/>
          <w:lang w:eastAsia="hr-HR"/>
        </w:rPr>
        <w:t xml:space="preserve"> razdoblj</w:t>
      </w:r>
      <w:r w:rsidR="000F45EC" w:rsidRPr="00CA0804">
        <w:rPr>
          <w:bCs/>
          <w:lang w:eastAsia="hr-HR"/>
        </w:rPr>
        <w:t>u</w:t>
      </w:r>
      <w:r w:rsidRPr="00CA0804">
        <w:rPr>
          <w:bCs/>
          <w:lang w:eastAsia="hr-HR"/>
        </w:rPr>
        <w:t xml:space="preserve"> </w:t>
      </w:r>
      <w:r w:rsidRPr="00CA0804">
        <w:t>od 20</w:t>
      </w:r>
      <w:r w:rsidR="00A0394A" w:rsidRPr="00CA0804">
        <w:t>2</w:t>
      </w:r>
      <w:r w:rsidR="00B4089E" w:rsidRPr="00CA0804">
        <w:t>2</w:t>
      </w:r>
      <w:r w:rsidRPr="00CA0804">
        <w:t>. do 202</w:t>
      </w:r>
      <w:r w:rsidR="00B4089E" w:rsidRPr="00CA0804">
        <w:t>4</w:t>
      </w:r>
      <w:r w:rsidRPr="00CA0804">
        <w:t>. godine</w:t>
      </w:r>
    </w:p>
    <w:p w14:paraId="433630EB" w14:textId="77777777" w:rsidR="004C39FF" w:rsidRPr="00CA0804" w:rsidRDefault="004C39FF"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B4089E" w:rsidRPr="00CA0804" w14:paraId="223016C3" w14:textId="77777777" w:rsidTr="001445B7">
        <w:trPr>
          <w:trHeight w:val="38"/>
        </w:trPr>
        <w:tc>
          <w:tcPr>
            <w:tcW w:w="3376" w:type="dxa"/>
            <w:vMerge w:val="restart"/>
            <w:shd w:val="clear" w:color="000000" w:fill="FFFF99"/>
            <w:noWrap/>
            <w:vAlign w:val="center"/>
            <w:hideMark/>
          </w:tcPr>
          <w:p w14:paraId="4EDE19E0" w14:textId="32476487" w:rsidR="00B4089E" w:rsidRPr="00CA0804" w:rsidRDefault="00B4089E" w:rsidP="00B4089E">
            <w:pPr>
              <w:rPr>
                <w:rFonts w:eastAsia="Times New Roman"/>
                <w:b/>
                <w:bCs/>
                <w:sz w:val="20"/>
                <w:szCs w:val="20"/>
              </w:rPr>
            </w:pPr>
            <w:r w:rsidRPr="00CA0804">
              <w:rPr>
                <w:rFonts w:eastAsia="Times New Roman"/>
                <w:b/>
                <w:bCs/>
                <w:sz w:val="20"/>
              </w:rPr>
              <w:t>Potpore na lokalnom nivou</w:t>
            </w:r>
          </w:p>
        </w:tc>
        <w:tc>
          <w:tcPr>
            <w:tcW w:w="1439" w:type="dxa"/>
            <w:shd w:val="clear" w:color="000000" w:fill="FFFF99"/>
            <w:vAlign w:val="center"/>
          </w:tcPr>
          <w:p w14:paraId="399392B9" w14:textId="0146AC40" w:rsidR="00B4089E" w:rsidRPr="00CA0804" w:rsidRDefault="00B4089E" w:rsidP="00B4089E">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6D708FB5" w14:textId="40F6336B" w:rsidR="00B4089E" w:rsidRPr="00CA0804" w:rsidRDefault="00B4089E" w:rsidP="00B4089E">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1245FE0E" w14:textId="2533406E" w:rsidR="00B4089E" w:rsidRPr="00CA0804" w:rsidRDefault="00B4089E" w:rsidP="00B4089E">
            <w:pPr>
              <w:jc w:val="center"/>
              <w:rPr>
                <w:rFonts w:eastAsia="Times New Roman"/>
                <w:b/>
                <w:bCs/>
                <w:sz w:val="20"/>
                <w:szCs w:val="20"/>
              </w:rPr>
            </w:pPr>
            <w:r w:rsidRPr="00CA0804">
              <w:rPr>
                <w:b/>
                <w:sz w:val="20"/>
                <w:szCs w:val="20"/>
              </w:rPr>
              <w:t>2024.</w:t>
            </w:r>
          </w:p>
        </w:tc>
      </w:tr>
      <w:tr w:rsidR="00CE5537" w:rsidRPr="00CA0804" w14:paraId="55BD8714" w14:textId="77777777" w:rsidTr="001445B7">
        <w:trPr>
          <w:trHeight w:val="212"/>
        </w:trPr>
        <w:tc>
          <w:tcPr>
            <w:tcW w:w="3376" w:type="dxa"/>
            <w:vMerge/>
            <w:vAlign w:val="center"/>
            <w:hideMark/>
          </w:tcPr>
          <w:p w14:paraId="29E5E8BE" w14:textId="77777777" w:rsidR="00CE5537" w:rsidRPr="00CA0804" w:rsidRDefault="00CE5537" w:rsidP="001445B7">
            <w:pPr>
              <w:rPr>
                <w:rFonts w:eastAsia="Times New Roman"/>
                <w:b/>
                <w:bCs/>
                <w:sz w:val="20"/>
                <w:szCs w:val="20"/>
              </w:rPr>
            </w:pPr>
          </w:p>
        </w:tc>
        <w:tc>
          <w:tcPr>
            <w:tcW w:w="1439" w:type="dxa"/>
            <w:shd w:val="clear" w:color="000000" w:fill="FFFF99"/>
            <w:vAlign w:val="center"/>
          </w:tcPr>
          <w:p w14:paraId="741E99D0" w14:textId="77777777" w:rsidR="00CE5537" w:rsidRPr="00CA0804" w:rsidRDefault="00CE5537" w:rsidP="001445B7">
            <w:pPr>
              <w:rPr>
                <w:rFonts w:eastAsia="Times New Roman"/>
                <w:b/>
                <w:sz w:val="18"/>
                <w:szCs w:val="20"/>
              </w:rPr>
            </w:pPr>
            <w:r w:rsidRPr="00CA0804">
              <w:rPr>
                <w:b/>
                <w:sz w:val="20"/>
                <w:szCs w:val="20"/>
              </w:rPr>
              <w:t>u mln EUR</w:t>
            </w:r>
          </w:p>
        </w:tc>
        <w:tc>
          <w:tcPr>
            <w:tcW w:w="1559" w:type="dxa"/>
            <w:shd w:val="clear" w:color="000000" w:fill="FFFF99"/>
            <w:vAlign w:val="center"/>
          </w:tcPr>
          <w:p w14:paraId="54FFA3C4" w14:textId="77777777" w:rsidR="00CE5537" w:rsidRPr="00CA0804" w:rsidRDefault="00CE5537" w:rsidP="001445B7">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6E3A82EC" w14:textId="77777777" w:rsidR="00CE5537" w:rsidRPr="00CA0804" w:rsidRDefault="00CE5537" w:rsidP="001445B7">
            <w:pPr>
              <w:jc w:val="center"/>
              <w:rPr>
                <w:rFonts w:eastAsia="Times New Roman"/>
                <w:b/>
                <w:sz w:val="18"/>
                <w:szCs w:val="20"/>
              </w:rPr>
            </w:pPr>
            <w:r w:rsidRPr="00CA0804">
              <w:rPr>
                <w:b/>
                <w:sz w:val="20"/>
                <w:szCs w:val="20"/>
              </w:rPr>
              <w:t>u mln EUR</w:t>
            </w:r>
          </w:p>
        </w:tc>
      </w:tr>
      <w:tr w:rsidR="00B4089E" w:rsidRPr="00CA0804" w14:paraId="19F6BEFC" w14:textId="77777777" w:rsidTr="001445B7">
        <w:trPr>
          <w:trHeight w:val="40"/>
        </w:trPr>
        <w:tc>
          <w:tcPr>
            <w:tcW w:w="3376" w:type="dxa"/>
            <w:shd w:val="clear" w:color="auto" w:fill="auto"/>
            <w:noWrap/>
            <w:vAlign w:val="center"/>
            <w:hideMark/>
          </w:tcPr>
          <w:p w14:paraId="62F3E11B" w14:textId="77777777" w:rsidR="00B4089E" w:rsidRPr="00CA0804" w:rsidRDefault="00B4089E" w:rsidP="00B4089E">
            <w:pPr>
              <w:rPr>
                <w:rFonts w:eastAsia="Times New Roman"/>
                <w:bCs/>
                <w:sz w:val="20"/>
                <w:szCs w:val="20"/>
              </w:rPr>
            </w:pPr>
            <w:r w:rsidRPr="00CA0804">
              <w:rPr>
                <w:rFonts w:eastAsia="Times New Roman"/>
                <w:bCs/>
                <w:sz w:val="20"/>
                <w:szCs w:val="20"/>
              </w:rPr>
              <w:t>A1</w:t>
            </w:r>
            <w:r w:rsidRPr="00CA0804">
              <w:rPr>
                <w:rFonts w:eastAsia="Times New Roman"/>
                <w:sz w:val="20"/>
                <w:szCs w:val="20"/>
              </w:rPr>
              <w:t xml:space="preserve"> subvencije</w:t>
            </w:r>
          </w:p>
        </w:tc>
        <w:tc>
          <w:tcPr>
            <w:tcW w:w="1439" w:type="dxa"/>
            <w:vAlign w:val="center"/>
          </w:tcPr>
          <w:p w14:paraId="410FB6A7" w14:textId="7FB78844" w:rsidR="00B4089E" w:rsidRPr="00CA0804" w:rsidRDefault="00B4089E" w:rsidP="00B4089E">
            <w:pPr>
              <w:jc w:val="right"/>
              <w:rPr>
                <w:sz w:val="20"/>
                <w:szCs w:val="14"/>
              </w:rPr>
            </w:pPr>
            <w:r w:rsidRPr="00CA0804">
              <w:rPr>
                <w:sz w:val="20"/>
                <w:szCs w:val="20"/>
              </w:rPr>
              <w:t>127,0</w:t>
            </w:r>
          </w:p>
        </w:tc>
        <w:tc>
          <w:tcPr>
            <w:tcW w:w="1559" w:type="dxa"/>
            <w:vAlign w:val="center"/>
          </w:tcPr>
          <w:p w14:paraId="12DF0973" w14:textId="17318C9E" w:rsidR="00B4089E" w:rsidRPr="00CA0804" w:rsidRDefault="00B4089E" w:rsidP="00B4089E">
            <w:pPr>
              <w:jc w:val="right"/>
              <w:rPr>
                <w:sz w:val="20"/>
                <w:szCs w:val="14"/>
              </w:rPr>
            </w:pPr>
            <w:r w:rsidRPr="00CA0804">
              <w:rPr>
                <w:sz w:val="20"/>
                <w:szCs w:val="20"/>
              </w:rPr>
              <w:t>141,9</w:t>
            </w:r>
          </w:p>
        </w:tc>
        <w:tc>
          <w:tcPr>
            <w:tcW w:w="1559" w:type="dxa"/>
            <w:vAlign w:val="center"/>
          </w:tcPr>
          <w:p w14:paraId="117A4005" w14:textId="06E84A63" w:rsidR="00B4089E" w:rsidRPr="00CA0804" w:rsidRDefault="00B4089E" w:rsidP="00B4089E">
            <w:pPr>
              <w:jc w:val="right"/>
              <w:rPr>
                <w:sz w:val="20"/>
                <w:szCs w:val="14"/>
              </w:rPr>
            </w:pPr>
            <w:r w:rsidRPr="00CA0804">
              <w:rPr>
                <w:sz w:val="20"/>
                <w:szCs w:val="20"/>
              </w:rPr>
              <w:t>164,4</w:t>
            </w:r>
          </w:p>
        </w:tc>
      </w:tr>
      <w:tr w:rsidR="00B4089E" w:rsidRPr="00CA0804" w14:paraId="7206D006" w14:textId="77777777" w:rsidTr="001445B7">
        <w:trPr>
          <w:trHeight w:val="40"/>
        </w:trPr>
        <w:tc>
          <w:tcPr>
            <w:tcW w:w="3376" w:type="dxa"/>
            <w:shd w:val="clear" w:color="auto" w:fill="auto"/>
            <w:noWrap/>
            <w:vAlign w:val="center"/>
          </w:tcPr>
          <w:p w14:paraId="2BB72A89" w14:textId="6C8A96C7" w:rsidR="00B4089E" w:rsidRPr="00CA0804" w:rsidRDefault="00B4089E" w:rsidP="00B4089E">
            <w:pPr>
              <w:rPr>
                <w:rFonts w:eastAsia="Times New Roman"/>
                <w:bCs/>
                <w:sz w:val="20"/>
                <w:szCs w:val="20"/>
              </w:rPr>
            </w:pPr>
            <w:r w:rsidRPr="00CA0804">
              <w:rPr>
                <w:sz w:val="20"/>
              </w:rPr>
              <w:t>A2 porezne olakšice</w:t>
            </w:r>
          </w:p>
        </w:tc>
        <w:tc>
          <w:tcPr>
            <w:tcW w:w="1439" w:type="dxa"/>
            <w:vAlign w:val="center"/>
          </w:tcPr>
          <w:p w14:paraId="2CE792C0" w14:textId="17B96B7D" w:rsidR="00B4089E" w:rsidRPr="00CA0804" w:rsidRDefault="00E60AEF" w:rsidP="00B4089E">
            <w:pPr>
              <w:jc w:val="right"/>
              <w:rPr>
                <w:sz w:val="20"/>
                <w:szCs w:val="20"/>
              </w:rPr>
            </w:pPr>
            <w:r w:rsidRPr="00CA0804">
              <w:rPr>
                <w:sz w:val="20"/>
                <w:szCs w:val="20"/>
              </w:rPr>
              <w:t>-</w:t>
            </w:r>
          </w:p>
        </w:tc>
        <w:tc>
          <w:tcPr>
            <w:tcW w:w="1559" w:type="dxa"/>
            <w:vAlign w:val="center"/>
          </w:tcPr>
          <w:p w14:paraId="4AF5A671" w14:textId="616E2EB6" w:rsidR="00B4089E" w:rsidRPr="00CA0804" w:rsidRDefault="00E60AEF" w:rsidP="00B4089E">
            <w:pPr>
              <w:jc w:val="right"/>
              <w:rPr>
                <w:sz w:val="20"/>
                <w:szCs w:val="20"/>
              </w:rPr>
            </w:pPr>
            <w:r w:rsidRPr="00CA0804">
              <w:rPr>
                <w:sz w:val="20"/>
                <w:szCs w:val="20"/>
              </w:rPr>
              <w:t>-</w:t>
            </w:r>
          </w:p>
        </w:tc>
        <w:tc>
          <w:tcPr>
            <w:tcW w:w="1559" w:type="dxa"/>
            <w:vAlign w:val="center"/>
          </w:tcPr>
          <w:p w14:paraId="4CFF1CF5" w14:textId="187A5A96" w:rsidR="00B4089E" w:rsidRPr="00CA0804" w:rsidRDefault="00B4089E" w:rsidP="00B4089E">
            <w:pPr>
              <w:jc w:val="right"/>
              <w:rPr>
                <w:sz w:val="20"/>
                <w:szCs w:val="20"/>
              </w:rPr>
            </w:pPr>
            <w:r w:rsidRPr="00CA0804">
              <w:rPr>
                <w:sz w:val="20"/>
                <w:szCs w:val="20"/>
              </w:rPr>
              <w:t>1,3</w:t>
            </w:r>
          </w:p>
        </w:tc>
      </w:tr>
      <w:tr w:rsidR="00B4089E" w:rsidRPr="00CA0804" w14:paraId="18B5CAD9" w14:textId="77777777" w:rsidTr="001445B7">
        <w:trPr>
          <w:trHeight w:val="40"/>
        </w:trPr>
        <w:tc>
          <w:tcPr>
            <w:tcW w:w="3376" w:type="dxa"/>
            <w:shd w:val="clear" w:color="auto" w:fill="auto"/>
            <w:noWrap/>
            <w:vAlign w:val="center"/>
            <w:hideMark/>
          </w:tcPr>
          <w:p w14:paraId="2A0981BF" w14:textId="2D336857" w:rsidR="00B4089E" w:rsidRPr="00CA0804" w:rsidRDefault="00B4089E" w:rsidP="00B4089E">
            <w:pPr>
              <w:rPr>
                <w:rFonts w:eastAsia="Times New Roman"/>
                <w:bCs/>
                <w:sz w:val="20"/>
                <w:szCs w:val="20"/>
              </w:rPr>
            </w:pPr>
            <w:r w:rsidRPr="00CA0804">
              <w:rPr>
                <w:sz w:val="20"/>
                <w:szCs w:val="20"/>
              </w:rPr>
              <w:t>B1 kapitalna ulaganja</w:t>
            </w:r>
          </w:p>
        </w:tc>
        <w:tc>
          <w:tcPr>
            <w:tcW w:w="1439" w:type="dxa"/>
            <w:vAlign w:val="center"/>
          </w:tcPr>
          <w:p w14:paraId="49C338B4" w14:textId="360CE1DC" w:rsidR="00B4089E" w:rsidRPr="00CA0804" w:rsidRDefault="00B4089E" w:rsidP="00B4089E">
            <w:pPr>
              <w:jc w:val="right"/>
              <w:rPr>
                <w:sz w:val="20"/>
                <w:szCs w:val="14"/>
              </w:rPr>
            </w:pPr>
            <w:r w:rsidRPr="00CA0804">
              <w:rPr>
                <w:sz w:val="20"/>
                <w:szCs w:val="20"/>
              </w:rPr>
              <w:t>2,6</w:t>
            </w:r>
          </w:p>
        </w:tc>
        <w:tc>
          <w:tcPr>
            <w:tcW w:w="1559" w:type="dxa"/>
            <w:vAlign w:val="center"/>
          </w:tcPr>
          <w:p w14:paraId="616333B2" w14:textId="3893EF58" w:rsidR="00B4089E" w:rsidRPr="00CA0804" w:rsidRDefault="00B4089E" w:rsidP="00B4089E">
            <w:pPr>
              <w:jc w:val="right"/>
              <w:rPr>
                <w:sz w:val="20"/>
                <w:szCs w:val="14"/>
              </w:rPr>
            </w:pPr>
            <w:r w:rsidRPr="00CA0804">
              <w:rPr>
                <w:sz w:val="20"/>
                <w:szCs w:val="20"/>
              </w:rPr>
              <w:t>0,1</w:t>
            </w:r>
          </w:p>
        </w:tc>
        <w:tc>
          <w:tcPr>
            <w:tcW w:w="1559" w:type="dxa"/>
            <w:vAlign w:val="center"/>
          </w:tcPr>
          <w:p w14:paraId="35C3197E" w14:textId="61B14432" w:rsidR="00B4089E" w:rsidRPr="00CA0804" w:rsidRDefault="00B4089E" w:rsidP="00B4089E">
            <w:pPr>
              <w:jc w:val="right"/>
              <w:rPr>
                <w:sz w:val="20"/>
                <w:szCs w:val="14"/>
              </w:rPr>
            </w:pPr>
            <w:r w:rsidRPr="00CA0804">
              <w:rPr>
                <w:sz w:val="20"/>
                <w:szCs w:val="20"/>
              </w:rPr>
              <w:t>1,7</w:t>
            </w:r>
          </w:p>
        </w:tc>
      </w:tr>
      <w:tr w:rsidR="00B4089E" w:rsidRPr="00CA0804" w14:paraId="23D55990" w14:textId="77777777" w:rsidTr="001445B7">
        <w:trPr>
          <w:trHeight w:val="40"/>
        </w:trPr>
        <w:tc>
          <w:tcPr>
            <w:tcW w:w="3376" w:type="dxa"/>
            <w:shd w:val="clear" w:color="000000" w:fill="FFFF99"/>
            <w:noWrap/>
            <w:vAlign w:val="center"/>
            <w:hideMark/>
          </w:tcPr>
          <w:p w14:paraId="113392AB" w14:textId="77777777" w:rsidR="00B4089E" w:rsidRPr="00CA0804" w:rsidRDefault="00B4089E" w:rsidP="00B4089E">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028E6791" w14:textId="77438897" w:rsidR="00B4089E" w:rsidRPr="00CA0804" w:rsidRDefault="00B4089E" w:rsidP="00F7403C">
            <w:pPr>
              <w:jc w:val="right"/>
              <w:rPr>
                <w:b/>
                <w:sz w:val="20"/>
                <w:szCs w:val="14"/>
              </w:rPr>
            </w:pPr>
            <w:r w:rsidRPr="00CA0804">
              <w:rPr>
                <w:b/>
                <w:sz w:val="20"/>
                <w:szCs w:val="20"/>
              </w:rPr>
              <w:t>12</w:t>
            </w:r>
            <w:r w:rsidR="00F7403C" w:rsidRPr="00CA0804">
              <w:rPr>
                <w:b/>
                <w:sz w:val="20"/>
                <w:szCs w:val="20"/>
              </w:rPr>
              <w:t>9</w:t>
            </w:r>
            <w:r w:rsidRPr="00CA0804">
              <w:rPr>
                <w:b/>
                <w:sz w:val="20"/>
                <w:szCs w:val="20"/>
              </w:rPr>
              <w:t>,</w:t>
            </w:r>
            <w:r w:rsidR="00967B74" w:rsidRPr="00CA0804">
              <w:rPr>
                <w:b/>
                <w:sz w:val="20"/>
                <w:szCs w:val="20"/>
              </w:rPr>
              <w:t>6</w:t>
            </w:r>
          </w:p>
        </w:tc>
        <w:tc>
          <w:tcPr>
            <w:tcW w:w="1559" w:type="dxa"/>
            <w:shd w:val="clear" w:color="000000" w:fill="FFFF99"/>
            <w:vAlign w:val="center"/>
          </w:tcPr>
          <w:p w14:paraId="2C27D70E" w14:textId="62528171" w:rsidR="00B4089E" w:rsidRPr="00CA0804" w:rsidRDefault="00B4089E" w:rsidP="00F7403C">
            <w:pPr>
              <w:jc w:val="right"/>
              <w:rPr>
                <w:b/>
                <w:sz w:val="20"/>
                <w:szCs w:val="14"/>
              </w:rPr>
            </w:pPr>
            <w:r w:rsidRPr="00CA0804">
              <w:rPr>
                <w:b/>
                <w:sz w:val="20"/>
                <w:szCs w:val="20"/>
              </w:rPr>
              <w:t>14</w:t>
            </w:r>
            <w:r w:rsidR="00F7403C" w:rsidRPr="00CA0804">
              <w:rPr>
                <w:b/>
                <w:sz w:val="20"/>
                <w:szCs w:val="20"/>
              </w:rPr>
              <w:t>2</w:t>
            </w:r>
            <w:r w:rsidRPr="00CA0804">
              <w:rPr>
                <w:b/>
                <w:sz w:val="20"/>
                <w:szCs w:val="20"/>
              </w:rPr>
              <w:t>,</w:t>
            </w:r>
            <w:r w:rsidR="00F7403C" w:rsidRPr="00CA0804">
              <w:rPr>
                <w:b/>
                <w:sz w:val="20"/>
                <w:szCs w:val="20"/>
              </w:rPr>
              <w:t>0</w:t>
            </w:r>
          </w:p>
        </w:tc>
        <w:tc>
          <w:tcPr>
            <w:tcW w:w="1559" w:type="dxa"/>
            <w:shd w:val="clear" w:color="000000" w:fill="FFFF99"/>
            <w:vAlign w:val="center"/>
          </w:tcPr>
          <w:p w14:paraId="0F720277" w14:textId="48C332ED" w:rsidR="00B4089E" w:rsidRPr="00CA0804" w:rsidRDefault="00B4089E" w:rsidP="00B4089E">
            <w:pPr>
              <w:jc w:val="right"/>
              <w:rPr>
                <w:b/>
                <w:sz w:val="20"/>
                <w:szCs w:val="14"/>
              </w:rPr>
            </w:pPr>
            <w:r w:rsidRPr="00CA0804">
              <w:rPr>
                <w:b/>
                <w:sz w:val="20"/>
                <w:szCs w:val="20"/>
              </w:rPr>
              <w:t>167,4</w:t>
            </w:r>
          </w:p>
        </w:tc>
      </w:tr>
      <w:tr w:rsidR="00B4089E" w:rsidRPr="00CA0804" w14:paraId="1E58EAD7" w14:textId="77777777" w:rsidTr="001445B7">
        <w:trPr>
          <w:trHeight w:val="90"/>
        </w:trPr>
        <w:tc>
          <w:tcPr>
            <w:tcW w:w="3376" w:type="dxa"/>
            <w:shd w:val="clear" w:color="auto" w:fill="auto"/>
            <w:vAlign w:val="center"/>
            <w:hideMark/>
          </w:tcPr>
          <w:p w14:paraId="799B8B07" w14:textId="4146EBCF" w:rsidR="00B4089E" w:rsidRPr="00CA0804" w:rsidRDefault="00B4089E" w:rsidP="00B4089E">
            <w:pPr>
              <w:rPr>
                <w:rFonts w:eastAsia="Times New Roman"/>
                <w:sz w:val="20"/>
                <w:szCs w:val="20"/>
              </w:rPr>
            </w:pPr>
            <w:r w:rsidRPr="00CA0804">
              <w:rPr>
                <w:rFonts w:eastAsia="Times New Roman"/>
                <w:sz w:val="20"/>
              </w:rPr>
              <w:t>udio (%) u ukupnim potporama (bez poljoprivrede i ribarstva)</w:t>
            </w:r>
          </w:p>
        </w:tc>
        <w:tc>
          <w:tcPr>
            <w:tcW w:w="1439" w:type="dxa"/>
            <w:vAlign w:val="center"/>
          </w:tcPr>
          <w:p w14:paraId="5F3186CC" w14:textId="36BC2870" w:rsidR="00B4089E" w:rsidRPr="00CA0804" w:rsidRDefault="00B4089E" w:rsidP="00B4089E">
            <w:pPr>
              <w:jc w:val="center"/>
              <w:rPr>
                <w:sz w:val="20"/>
                <w:szCs w:val="14"/>
              </w:rPr>
            </w:pPr>
            <w:r w:rsidRPr="00CA0804">
              <w:rPr>
                <w:sz w:val="20"/>
                <w:szCs w:val="20"/>
              </w:rPr>
              <w:t>6,32</w:t>
            </w:r>
          </w:p>
        </w:tc>
        <w:tc>
          <w:tcPr>
            <w:tcW w:w="1559" w:type="dxa"/>
            <w:vAlign w:val="center"/>
          </w:tcPr>
          <w:p w14:paraId="0A0D38AC" w14:textId="166DCC22" w:rsidR="00B4089E" w:rsidRPr="00CA0804" w:rsidRDefault="00B4089E" w:rsidP="00B4089E">
            <w:pPr>
              <w:jc w:val="center"/>
              <w:rPr>
                <w:sz w:val="20"/>
                <w:szCs w:val="14"/>
              </w:rPr>
            </w:pPr>
            <w:r w:rsidRPr="00CA0804">
              <w:rPr>
                <w:sz w:val="20"/>
                <w:szCs w:val="20"/>
              </w:rPr>
              <w:t>7,22</w:t>
            </w:r>
          </w:p>
        </w:tc>
        <w:tc>
          <w:tcPr>
            <w:tcW w:w="1559" w:type="dxa"/>
            <w:vAlign w:val="center"/>
          </w:tcPr>
          <w:p w14:paraId="3843DBED" w14:textId="73B08C08" w:rsidR="00B4089E" w:rsidRPr="00CA0804" w:rsidRDefault="00B4089E" w:rsidP="00B4089E">
            <w:pPr>
              <w:jc w:val="center"/>
              <w:rPr>
                <w:sz w:val="20"/>
                <w:szCs w:val="14"/>
              </w:rPr>
            </w:pPr>
            <w:r w:rsidRPr="00CA0804">
              <w:rPr>
                <w:sz w:val="20"/>
                <w:szCs w:val="20"/>
              </w:rPr>
              <w:t>12,67</w:t>
            </w:r>
          </w:p>
        </w:tc>
      </w:tr>
      <w:tr w:rsidR="00B4089E" w:rsidRPr="00CA0804" w14:paraId="53A03DD0" w14:textId="77777777" w:rsidTr="001445B7">
        <w:trPr>
          <w:trHeight w:val="40"/>
        </w:trPr>
        <w:tc>
          <w:tcPr>
            <w:tcW w:w="3376" w:type="dxa"/>
            <w:shd w:val="clear" w:color="auto" w:fill="auto"/>
            <w:vAlign w:val="center"/>
            <w:hideMark/>
          </w:tcPr>
          <w:p w14:paraId="5436087B" w14:textId="6DB8FDA4" w:rsidR="00B4089E" w:rsidRPr="00CA0804" w:rsidRDefault="00B4089E" w:rsidP="00B4089E">
            <w:pPr>
              <w:rPr>
                <w:rFonts w:eastAsia="Times New Roman"/>
                <w:sz w:val="20"/>
                <w:szCs w:val="20"/>
              </w:rPr>
            </w:pPr>
            <w:r w:rsidRPr="00CA0804">
              <w:rPr>
                <w:rFonts w:eastAsia="Times New Roman"/>
                <w:sz w:val="20"/>
              </w:rPr>
              <w:t>udio (%) u ukupnim potporama</w:t>
            </w:r>
          </w:p>
        </w:tc>
        <w:tc>
          <w:tcPr>
            <w:tcW w:w="1439" w:type="dxa"/>
            <w:vAlign w:val="center"/>
          </w:tcPr>
          <w:p w14:paraId="37F03060" w14:textId="295E5299" w:rsidR="00B4089E" w:rsidRPr="00CA0804" w:rsidRDefault="00B4089E" w:rsidP="00B4089E">
            <w:pPr>
              <w:jc w:val="center"/>
              <w:rPr>
                <w:sz w:val="20"/>
                <w:szCs w:val="14"/>
              </w:rPr>
            </w:pPr>
            <w:r w:rsidRPr="00CA0804">
              <w:rPr>
                <w:sz w:val="20"/>
                <w:szCs w:val="20"/>
              </w:rPr>
              <w:t>6,05</w:t>
            </w:r>
          </w:p>
        </w:tc>
        <w:tc>
          <w:tcPr>
            <w:tcW w:w="1559" w:type="dxa"/>
            <w:vAlign w:val="center"/>
          </w:tcPr>
          <w:p w14:paraId="147C969D" w14:textId="0D67C5A6" w:rsidR="00B4089E" w:rsidRPr="00CA0804" w:rsidRDefault="00B4089E" w:rsidP="00B4089E">
            <w:pPr>
              <w:jc w:val="center"/>
              <w:rPr>
                <w:sz w:val="20"/>
                <w:szCs w:val="14"/>
              </w:rPr>
            </w:pPr>
            <w:r w:rsidRPr="00CA0804">
              <w:rPr>
                <w:sz w:val="20"/>
                <w:szCs w:val="20"/>
              </w:rPr>
              <w:t>6,82</w:t>
            </w:r>
          </w:p>
        </w:tc>
        <w:tc>
          <w:tcPr>
            <w:tcW w:w="1559" w:type="dxa"/>
            <w:vAlign w:val="center"/>
          </w:tcPr>
          <w:p w14:paraId="0AAAC04F" w14:textId="2B346B52" w:rsidR="00B4089E" w:rsidRPr="00CA0804" w:rsidRDefault="00B4089E" w:rsidP="00B4089E">
            <w:pPr>
              <w:jc w:val="center"/>
              <w:rPr>
                <w:sz w:val="20"/>
                <w:szCs w:val="14"/>
              </w:rPr>
            </w:pPr>
            <w:r w:rsidRPr="00CA0804">
              <w:rPr>
                <w:sz w:val="20"/>
                <w:szCs w:val="20"/>
              </w:rPr>
              <w:t>11,55</w:t>
            </w:r>
          </w:p>
        </w:tc>
      </w:tr>
      <w:tr w:rsidR="00B4089E" w:rsidRPr="00CA0804" w14:paraId="2CE96CF9" w14:textId="77777777" w:rsidTr="001445B7">
        <w:trPr>
          <w:trHeight w:val="40"/>
        </w:trPr>
        <w:tc>
          <w:tcPr>
            <w:tcW w:w="3376" w:type="dxa"/>
            <w:shd w:val="clear" w:color="auto" w:fill="auto"/>
            <w:vAlign w:val="center"/>
            <w:hideMark/>
          </w:tcPr>
          <w:p w14:paraId="4570275C" w14:textId="035DE7DD" w:rsidR="00B4089E" w:rsidRPr="00CA0804" w:rsidRDefault="00B4089E" w:rsidP="00B4089E">
            <w:pPr>
              <w:rPr>
                <w:rFonts w:eastAsia="Times New Roman"/>
                <w:sz w:val="20"/>
                <w:szCs w:val="20"/>
              </w:rPr>
            </w:pPr>
            <w:r w:rsidRPr="00CA0804">
              <w:rPr>
                <w:rFonts w:eastAsia="Times New Roman"/>
                <w:sz w:val="20"/>
              </w:rPr>
              <w:t>udio (%) u BDP-u</w:t>
            </w:r>
          </w:p>
        </w:tc>
        <w:tc>
          <w:tcPr>
            <w:tcW w:w="1439" w:type="dxa"/>
            <w:vAlign w:val="center"/>
          </w:tcPr>
          <w:p w14:paraId="7AA2C33E" w14:textId="1E024151" w:rsidR="00B4089E" w:rsidRPr="00CA0804" w:rsidRDefault="00B4089E" w:rsidP="00B4089E">
            <w:pPr>
              <w:jc w:val="center"/>
              <w:rPr>
                <w:sz w:val="20"/>
                <w:szCs w:val="14"/>
              </w:rPr>
            </w:pPr>
            <w:r w:rsidRPr="00CA0804">
              <w:rPr>
                <w:sz w:val="20"/>
                <w:szCs w:val="20"/>
              </w:rPr>
              <w:t>0,19</w:t>
            </w:r>
          </w:p>
        </w:tc>
        <w:tc>
          <w:tcPr>
            <w:tcW w:w="1559" w:type="dxa"/>
            <w:vAlign w:val="center"/>
          </w:tcPr>
          <w:p w14:paraId="51292506" w14:textId="5C874D68" w:rsidR="00B4089E" w:rsidRPr="00CA0804" w:rsidRDefault="00B4089E" w:rsidP="00B4089E">
            <w:pPr>
              <w:jc w:val="center"/>
              <w:rPr>
                <w:sz w:val="20"/>
                <w:szCs w:val="14"/>
              </w:rPr>
            </w:pPr>
            <w:r w:rsidRPr="00CA0804">
              <w:rPr>
                <w:sz w:val="20"/>
                <w:szCs w:val="20"/>
              </w:rPr>
              <w:t>0,18</w:t>
            </w:r>
          </w:p>
        </w:tc>
        <w:tc>
          <w:tcPr>
            <w:tcW w:w="1559" w:type="dxa"/>
            <w:vAlign w:val="center"/>
          </w:tcPr>
          <w:p w14:paraId="327E28A1" w14:textId="2C1B3583" w:rsidR="00B4089E" w:rsidRPr="00CA0804" w:rsidRDefault="00B4089E" w:rsidP="00B4089E">
            <w:pPr>
              <w:jc w:val="center"/>
              <w:rPr>
                <w:sz w:val="20"/>
                <w:szCs w:val="14"/>
              </w:rPr>
            </w:pPr>
            <w:r w:rsidRPr="00CA0804">
              <w:rPr>
                <w:sz w:val="20"/>
                <w:szCs w:val="20"/>
              </w:rPr>
              <w:t>0,20</w:t>
            </w:r>
          </w:p>
        </w:tc>
      </w:tr>
    </w:tbl>
    <w:p w14:paraId="31466E87" w14:textId="77777777" w:rsidR="001445B7" w:rsidRPr="00CA0804" w:rsidRDefault="001445B7" w:rsidP="001445B7">
      <w:pPr>
        <w:contextualSpacing/>
        <w:jc w:val="both"/>
        <w:rPr>
          <w:i/>
          <w:sz w:val="20"/>
        </w:rPr>
      </w:pPr>
      <w:r w:rsidRPr="00CA0804">
        <w:rPr>
          <w:i/>
          <w:sz w:val="20"/>
        </w:rPr>
        <w:t>Izvor: Ministarstvo financija i davatelji potpora; podaci obrađeni u Ministarstvu financija</w:t>
      </w:r>
    </w:p>
    <w:p w14:paraId="1C3323F8" w14:textId="77777777" w:rsidR="00B4089E" w:rsidRPr="00CA0804" w:rsidRDefault="00B4089E" w:rsidP="00BE487D">
      <w:pPr>
        <w:jc w:val="both"/>
      </w:pPr>
    </w:p>
    <w:p w14:paraId="14244B76" w14:textId="23D174D4" w:rsidR="00676369" w:rsidRPr="00CA0804" w:rsidRDefault="00EB0789" w:rsidP="00E14743">
      <w:pPr>
        <w:jc w:val="both"/>
      </w:pPr>
      <w:r w:rsidRPr="00CA0804">
        <w:t xml:space="preserve">Udio potpora </w:t>
      </w:r>
      <w:r w:rsidR="00E14743" w:rsidRPr="00CA0804">
        <w:t xml:space="preserve">na razini jedinica lokalne i područne (regionalne) samouprave </w:t>
      </w:r>
      <w:r w:rsidRPr="00CA0804">
        <w:t>u BDP-u u 202</w:t>
      </w:r>
      <w:r w:rsidR="00F7403C" w:rsidRPr="00CA0804">
        <w:t>4</w:t>
      </w:r>
      <w:r w:rsidRPr="00CA0804">
        <w:t>. godini iznosio je 0,</w:t>
      </w:r>
      <w:r w:rsidR="00F7403C" w:rsidRPr="00CA0804">
        <w:t>20</w:t>
      </w:r>
      <w:r w:rsidRPr="00CA0804">
        <w:t xml:space="preserve"> posto, u 202</w:t>
      </w:r>
      <w:r w:rsidR="00F7403C" w:rsidRPr="00CA0804">
        <w:t>3</w:t>
      </w:r>
      <w:r w:rsidRPr="00CA0804">
        <w:t xml:space="preserve">. godini </w:t>
      </w:r>
      <w:r w:rsidR="00E14743" w:rsidRPr="00CA0804">
        <w:t xml:space="preserve">0,18 </w:t>
      </w:r>
      <w:r w:rsidRPr="00CA0804">
        <w:t xml:space="preserve">posto, </w:t>
      </w:r>
      <w:r w:rsidR="00F7403C" w:rsidRPr="00CA0804">
        <w:t>a</w:t>
      </w:r>
      <w:r w:rsidRPr="00CA0804">
        <w:t xml:space="preserve"> u 202</w:t>
      </w:r>
      <w:r w:rsidR="00F7403C" w:rsidRPr="00CA0804">
        <w:t>2</w:t>
      </w:r>
      <w:r w:rsidRPr="00CA0804">
        <w:t xml:space="preserve">. godini </w:t>
      </w:r>
      <w:r w:rsidR="00E14743" w:rsidRPr="00CA0804">
        <w:t>0,</w:t>
      </w:r>
      <w:r w:rsidR="00E5607A" w:rsidRPr="00CA0804">
        <w:t>19</w:t>
      </w:r>
      <w:r w:rsidR="00E14743" w:rsidRPr="00CA0804">
        <w:t xml:space="preserve"> </w:t>
      </w:r>
      <w:r w:rsidRPr="00CA0804">
        <w:t>posto. Udio navedenih potpora u 202</w:t>
      </w:r>
      <w:r w:rsidR="00E5607A" w:rsidRPr="00CA0804">
        <w:t>4</w:t>
      </w:r>
      <w:r w:rsidRPr="00CA0804">
        <w:t xml:space="preserve">. godini u ukupno dodijeljenim potporama iznosio je </w:t>
      </w:r>
      <w:r w:rsidR="00ED5A36" w:rsidRPr="00CA0804">
        <w:t>11,6</w:t>
      </w:r>
      <w:r w:rsidR="00E5607A" w:rsidRPr="00CA0804">
        <w:t xml:space="preserve"> </w:t>
      </w:r>
      <w:r w:rsidRPr="00CA0804">
        <w:t xml:space="preserve">posto, </w:t>
      </w:r>
      <w:r w:rsidR="00E5607A" w:rsidRPr="00CA0804">
        <w:t>a</w:t>
      </w:r>
      <w:r w:rsidR="00676369" w:rsidRPr="00CA0804">
        <w:t xml:space="preserve"> </w:t>
      </w:r>
      <w:r w:rsidRPr="00CA0804">
        <w:t xml:space="preserve">udio u dodijeljenim potporama u sektoru industrije i usluga </w:t>
      </w:r>
      <w:r w:rsidR="00E5607A" w:rsidRPr="00CA0804">
        <w:t xml:space="preserve">12,7 </w:t>
      </w:r>
      <w:r w:rsidRPr="00CA0804">
        <w:t>posto</w:t>
      </w:r>
      <w:r w:rsidR="00676369" w:rsidRPr="00CA0804">
        <w:t>.</w:t>
      </w:r>
    </w:p>
    <w:p w14:paraId="5CBC90DF" w14:textId="77777777" w:rsidR="00F7403C" w:rsidRPr="00CA0804" w:rsidRDefault="00F7403C" w:rsidP="001D2346"/>
    <w:p w14:paraId="03F36A8B" w14:textId="02BC8581" w:rsidR="00E5607A" w:rsidRPr="00CA0804" w:rsidRDefault="00967B74" w:rsidP="00967B74">
      <w:pPr>
        <w:jc w:val="both"/>
      </w:pPr>
      <w:r w:rsidRPr="00CA0804">
        <w:rPr>
          <w:rFonts w:eastAsia="Times New Roman"/>
          <w:szCs w:val="24"/>
          <w:lang w:eastAsia="hr-HR"/>
        </w:rPr>
        <w:t>Instrumenti putem kojih su dodijeljene potpore na lokalno</w:t>
      </w:r>
      <w:r w:rsidR="00E5607A" w:rsidRPr="00CA0804">
        <w:rPr>
          <w:rFonts w:eastAsia="Times New Roman"/>
          <w:szCs w:val="24"/>
          <w:lang w:eastAsia="hr-HR"/>
        </w:rPr>
        <w:t>j razini</w:t>
      </w:r>
      <w:r w:rsidRPr="00CA0804">
        <w:rPr>
          <w:rFonts w:eastAsia="Times New Roman"/>
          <w:szCs w:val="24"/>
          <w:lang w:eastAsia="hr-HR"/>
        </w:rPr>
        <w:t xml:space="preserve"> u 2024. godini u iznosu od </w:t>
      </w:r>
      <w:r w:rsidRPr="00CA0804">
        <w:t xml:space="preserve">167,4 </w:t>
      </w:r>
      <w:r w:rsidRPr="00CA0804">
        <w:rPr>
          <w:rFonts w:eastAsia="Times New Roman"/>
          <w:szCs w:val="24"/>
          <w:lang w:eastAsia="hr-HR"/>
        </w:rPr>
        <w:t xml:space="preserve">milijuna eura, najvećim dijelom </w:t>
      </w:r>
      <w:r w:rsidR="00E5607A" w:rsidRPr="00CA0804">
        <w:rPr>
          <w:rFonts w:eastAsia="Times New Roman"/>
          <w:szCs w:val="24"/>
          <w:lang w:eastAsia="hr-HR"/>
        </w:rPr>
        <w:t xml:space="preserve">se odnose na </w:t>
      </w:r>
      <w:r w:rsidRPr="00CA0804">
        <w:rPr>
          <w:rFonts w:eastAsia="Times New Roman"/>
          <w:szCs w:val="24"/>
          <w:lang w:eastAsia="hr-HR"/>
        </w:rPr>
        <w:t>su</w:t>
      </w:r>
      <w:r w:rsidRPr="00CA0804">
        <w:t>bvencij</w:t>
      </w:r>
      <w:r w:rsidR="00E5607A" w:rsidRPr="00CA0804">
        <w:t xml:space="preserve">e </w:t>
      </w:r>
      <w:r w:rsidRPr="00CA0804">
        <w:t xml:space="preserve">u iznosu od </w:t>
      </w:r>
      <w:r w:rsidR="00F7403C" w:rsidRPr="00CA0804">
        <w:t>164,4</w:t>
      </w:r>
      <w:r w:rsidRPr="00CA0804">
        <w:t xml:space="preserve"> milijuna eura ili </w:t>
      </w:r>
      <w:r w:rsidR="00F7403C" w:rsidRPr="00CA0804">
        <w:t xml:space="preserve">s udjelom od 98,2 </w:t>
      </w:r>
      <w:r w:rsidRPr="00CA0804">
        <w:t>posto</w:t>
      </w:r>
      <w:r w:rsidR="00F7403C" w:rsidRPr="00CA0804">
        <w:t xml:space="preserve"> u dodijeljenim </w:t>
      </w:r>
      <w:r w:rsidR="00F7403C" w:rsidRPr="00CA0804">
        <w:rPr>
          <w:rFonts w:eastAsia="Times New Roman"/>
          <w:szCs w:val="24"/>
          <w:lang w:eastAsia="hr-HR"/>
        </w:rPr>
        <w:t xml:space="preserve">potporama na lokalnom nivou, </w:t>
      </w:r>
      <w:r w:rsidR="00E5607A" w:rsidRPr="00CA0804">
        <w:rPr>
          <w:rFonts w:eastAsia="Times New Roman"/>
          <w:szCs w:val="24"/>
          <w:lang w:eastAsia="hr-HR"/>
        </w:rPr>
        <w:t>slijede kapitaln</w:t>
      </w:r>
      <w:r w:rsidR="00E973D2" w:rsidRPr="00CA0804">
        <w:rPr>
          <w:rFonts w:eastAsia="Times New Roman"/>
          <w:szCs w:val="24"/>
          <w:lang w:eastAsia="hr-HR"/>
        </w:rPr>
        <w:t>a</w:t>
      </w:r>
      <w:r w:rsidR="00E5607A" w:rsidRPr="00CA0804">
        <w:rPr>
          <w:rFonts w:eastAsia="Times New Roman"/>
          <w:szCs w:val="24"/>
          <w:lang w:eastAsia="hr-HR"/>
        </w:rPr>
        <w:t xml:space="preserve"> ulaganja s </w:t>
      </w:r>
      <w:r w:rsidR="00E5607A" w:rsidRPr="00CA0804">
        <w:t xml:space="preserve">1,7 milijuna eura ili 1 posto te </w:t>
      </w:r>
      <w:r w:rsidRPr="00CA0804">
        <w:t xml:space="preserve">porezne olakšice </w:t>
      </w:r>
      <w:r w:rsidR="00E5607A" w:rsidRPr="00CA0804">
        <w:t>s</w:t>
      </w:r>
      <w:r w:rsidR="00ED5A36" w:rsidRPr="00CA0804">
        <w:t xml:space="preserve"> </w:t>
      </w:r>
      <w:r w:rsidR="00E5607A" w:rsidRPr="00CA0804">
        <w:t>1,3</w:t>
      </w:r>
      <w:r w:rsidRPr="00CA0804">
        <w:t xml:space="preserve"> milijuna eura ili </w:t>
      </w:r>
      <w:r w:rsidR="00E5607A" w:rsidRPr="00CA0804">
        <w:t>0,8</w:t>
      </w:r>
      <w:r w:rsidRPr="00CA0804">
        <w:t xml:space="preserve"> posto</w:t>
      </w:r>
      <w:r w:rsidR="00E5607A" w:rsidRPr="00CA0804">
        <w:t>.</w:t>
      </w:r>
    </w:p>
    <w:p w14:paraId="69114502" w14:textId="77777777" w:rsidR="00E5607A" w:rsidRPr="00CA0804" w:rsidRDefault="00E5607A" w:rsidP="001D2346"/>
    <w:p w14:paraId="5B9345C1" w14:textId="71B8DDE8" w:rsidR="00676369" w:rsidRPr="00CA0804" w:rsidRDefault="00E14743" w:rsidP="00BE487D">
      <w:pPr>
        <w:jc w:val="both"/>
      </w:pPr>
      <w:r w:rsidRPr="00CA0804">
        <w:t xml:space="preserve">Unutar potpora </w:t>
      </w:r>
      <w:r w:rsidR="00676369" w:rsidRPr="00CA0804">
        <w:t xml:space="preserve">na </w:t>
      </w:r>
      <w:r w:rsidR="00E5607A" w:rsidRPr="00CA0804">
        <w:t xml:space="preserve">lokalnoj </w:t>
      </w:r>
      <w:r w:rsidR="00676369" w:rsidRPr="00CA0804">
        <w:t xml:space="preserve">razini </w:t>
      </w:r>
      <w:r w:rsidRPr="00CA0804">
        <w:t>dodijeljenih u 202</w:t>
      </w:r>
      <w:r w:rsidR="00966A8D" w:rsidRPr="00CA0804">
        <w:t>4</w:t>
      </w:r>
      <w:r w:rsidRPr="00CA0804">
        <w:t xml:space="preserve">. godini u iznosu od </w:t>
      </w:r>
      <w:r w:rsidR="00966A8D" w:rsidRPr="00CA0804">
        <w:t>167,4 milijuna eura</w:t>
      </w:r>
      <w:r w:rsidRPr="00CA0804">
        <w:t xml:space="preserve">, na </w:t>
      </w:r>
      <w:r w:rsidR="00676369" w:rsidRPr="00CA0804">
        <w:t>potpore kopnenom cestovnom promet</w:t>
      </w:r>
      <w:r w:rsidR="00A733CB" w:rsidRPr="00CA0804">
        <w:t>u</w:t>
      </w:r>
      <w:r w:rsidR="00676369" w:rsidRPr="00CA0804">
        <w:t xml:space="preserve"> </w:t>
      </w:r>
      <w:r w:rsidRPr="00CA0804">
        <w:t xml:space="preserve">odnosi se iznos od </w:t>
      </w:r>
      <w:r w:rsidR="00966A8D" w:rsidRPr="00CA0804">
        <w:t>157,7</w:t>
      </w:r>
      <w:r w:rsidRPr="00CA0804">
        <w:t xml:space="preserve"> milijun</w:t>
      </w:r>
      <w:r w:rsidR="00966A8D" w:rsidRPr="00CA0804">
        <w:t>a</w:t>
      </w:r>
      <w:r w:rsidRPr="00CA0804">
        <w:t xml:space="preserve"> eura ili udio od </w:t>
      </w:r>
      <w:r w:rsidR="00676369" w:rsidRPr="00CA0804">
        <w:t>9</w:t>
      </w:r>
      <w:r w:rsidR="00966A8D" w:rsidRPr="00CA0804">
        <w:t>4,2</w:t>
      </w:r>
      <w:r w:rsidRPr="00CA0804">
        <w:t xml:space="preserve"> posto u potporama</w:t>
      </w:r>
      <w:r w:rsidR="00676369" w:rsidRPr="00CA0804">
        <w:t xml:space="preserve"> na lokalnoj razini</w:t>
      </w:r>
      <w:r w:rsidRPr="00CA0804">
        <w:t xml:space="preserve">, na </w:t>
      </w:r>
      <w:r w:rsidR="00676369" w:rsidRPr="00CA0804">
        <w:t xml:space="preserve">potpore za zapošljavanje </w:t>
      </w:r>
      <w:r w:rsidR="00966A8D" w:rsidRPr="00CA0804">
        <w:t>7,2</w:t>
      </w:r>
      <w:r w:rsidRPr="00CA0804">
        <w:t xml:space="preserve"> milijuna eura ili </w:t>
      </w:r>
      <w:r w:rsidR="00966A8D" w:rsidRPr="00CA0804">
        <w:t>4,3</w:t>
      </w:r>
      <w:r w:rsidRPr="00CA0804">
        <w:t xml:space="preserve"> posto, </w:t>
      </w:r>
      <w:r w:rsidR="00966A8D" w:rsidRPr="00CA0804">
        <w:t xml:space="preserve">na regionalni razvoj 1,3 milijuna eura ili 0,8 posto, na kulturu 783.380,50 eura ili 0,5 posto, </w:t>
      </w:r>
      <w:r w:rsidR="00270AC3" w:rsidRPr="00CA0804">
        <w:t xml:space="preserve">na audiovizualnu industriju </w:t>
      </w:r>
      <w:r w:rsidR="00966A8D" w:rsidRPr="00CA0804">
        <w:t xml:space="preserve">299.087,85 </w:t>
      </w:r>
      <w:r w:rsidR="00270AC3" w:rsidRPr="00CA0804">
        <w:t xml:space="preserve">eura ili 0,2 posto, </w:t>
      </w:r>
      <w:r w:rsidRPr="00CA0804">
        <w:t xml:space="preserve">na </w:t>
      </w:r>
      <w:r w:rsidR="00270AC3" w:rsidRPr="00CA0804">
        <w:t xml:space="preserve">kopneni željeznički promet </w:t>
      </w:r>
      <w:r w:rsidR="00966A8D" w:rsidRPr="00CA0804">
        <w:t xml:space="preserve">63.919,51 </w:t>
      </w:r>
      <w:r w:rsidRPr="00CA0804">
        <w:t>eur</w:t>
      </w:r>
      <w:r w:rsidR="00966A8D" w:rsidRPr="00CA0804">
        <w:t>o</w:t>
      </w:r>
      <w:r w:rsidRPr="00CA0804">
        <w:t xml:space="preserve"> ili </w:t>
      </w:r>
      <w:r w:rsidR="00270AC3" w:rsidRPr="00CA0804">
        <w:t>0,0</w:t>
      </w:r>
      <w:r w:rsidR="00966A8D" w:rsidRPr="00CA0804">
        <w:t>4 posto te na pomorski promet 63.651,60 eura ili 0,04 posto</w:t>
      </w:r>
    </w:p>
    <w:p w14:paraId="014983A1" w14:textId="77777777" w:rsidR="00E5607A" w:rsidRPr="00CA0804" w:rsidRDefault="00E5607A" w:rsidP="00BE487D">
      <w:pPr>
        <w:jc w:val="both"/>
      </w:pPr>
    </w:p>
    <w:p w14:paraId="529472BB" w14:textId="63A432A1" w:rsidR="00353D91" w:rsidRPr="00CA0804" w:rsidRDefault="00966A8D" w:rsidP="00DF3F03">
      <w:pPr>
        <w:jc w:val="both"/>
        <w:rPr>
          <w:rFonts w:eastAsia="Times New Roman"/>
          <w:lang w:eastAsia="hr-HR"/>
        </w:rPr>
      </w:pPr>
      <w:r w:rsidRPr="00CA0804">
        <w:t>D</w:t>
      </w:r>
      <w:r w:rsidR="00270AC3" w:rsidRPr="00CA0804">
        <w:t>avatelji</w:t>
      </w:r>
      <w:r w:rsidRPr="00CA0804">
        <w:t xml:space="preserve"> </w:t>
      </w:r>
      <w:r w:rsidR="00270AC3" w:rsidRPr="00CA0804">
        <w:t xml:space="preserve">potpora na </w:t>
      </w:r>
      <w:r w:rsidRPr="00CA0804">
        <w:t xml:space="preserve">lokalnoj </w:t>
      </w:r>
      <w:r w:rsidR="00270AC3" w:rsidRPr="00CA0804">
        <w:t xml:space="preserve">razini </w:t>
      </w:r>
      <w:r w:rsidRPr="00CA0804">
        <w:t xml:space="preserve">u 2024. godini </w:t>
      </w:r>
      <w:r w:rsidR="00270AC3" w:rsidRPr="00CA0804">
        <w:t>su:</w:t>
      </w:r>
      <w:r w:rsidR="00297838" w:rsidRPr="00CA0804">
        <w:t xml:space="preserve"> </w:t>
      </w:r>
      <w:r w:rsidR="0021240A" w:rsidRPr="00CA0804">
        <w:rPr>
          <w:rFonts w:eastAsia="Times New Roman"/>
          <w:bCs/>
          <w:color w:val="000000"/>
          <w:lang w:eastAsia="hr-HR"/>
        </w:rPr>
        <w:t>Grad Zagreb</w:t>
      </w:r>
      <w:r w:rsidR="0021240A" w:rsidRPr="00CA0804">
        <w:t xml:space="preserve"> </w:t>
      </w:r>
      <w:r w:rsidR="00270AC3" w:rsidRPr="00CA0804">
        <w:t xml:space="preserve">u iznosu od </w:t>
      </w:r>
      <w:r w:rsidRPr="00CA0804">
        <w:t xml:space="preserve">145,7 </w:t>
      </w:r>
      <w:r w:rsidR="00270AC3" w:rsidRPr="00CA0804">
        <w:rPr>
          <w:rFonts w:eastAsia="Times New Roman"/>
          <w:lang w:eastAsia="hr-HR"/>
        </w:rPr>
        <w:t>milijuna eura</w:t>
      </w:r>
      <w:r w:rsidR="00297838" w:rsidRPr="00CA0804">
        <w:rPr>
          <w:rFonts w:eastAsia="Times New Roman"/>
          <w:lang w:eastAsia="hr-HR"/>
        </w:rPr>
        <w:t xml:space="preserve">, </w:t>
      </w:r>
      <w:r w:rsidR="00353D91" w:rsidRPr="00CA0804">
        <w:rPr>
          <w:rFonts w:eastAsia="Times New Roman"/>
          <w:bCs/>
          <w:color w:val="000000"/>
          <w:lang w:eastAsia="hr-HR"/>
        </w:rPr>
        <w:t xml:space="preserve">Grad </w:t>
      </w:r>
      <w:r w:rsidR="00353D91" w:rsidRPr="00CA0804">
        <w:t xml:space="preserve">Split s 11,6 </w:t>
      </w:r>
      <w:r w:rsidR="00353D91" w:rsidRPr="00CA0804">
        <w:rPr>
          <w:rFonts w:eastAsia="Times New Roman"/>
          <w:lang w:eastAsia="hr-HR"/>
        </w:rPr>
        <w:t>milijuna eura</w:t>
      </w:r>
      <w:r w:rsidR="00353D91" w:rsidRPr="00CA0804">
        <w:t>, Koprivničko-križevačka županija s 2,6</w:t>
      </w:r>
      <w:r w:rsidR="00353D91" w:rsidRPr="00CA0804">
        <w:rPr>
          <w:rFonts w:eastAsia="Times New Roman"/>
          <w:lang w:eastAsia="hr-HR"/>
        </w:rPr>
        <w:t xml:space="preserve"> milijuna eura, </w:t>
      </w:r>
      <w:r w:rsidR="00353D91" w:rsidRPr="00CA0804">
        <w:rPr>
          <w:rFonts w:eastAsia="Times New Roman"/>
          <w:bCs/>
          <w:color w:val="000000"/>
          <w:lang w:eastAsia="hr-HR"/>
        </w:rPr>
        <w:t xml:space="preserve">Grad </w:t>
      </w:r>
      <w:r w:rsidR="00353D91" w:rsidRPr="00CA0804">
        <w:t xml:space="preserve">Pula s 1,8 </w:t>
      </w:r>
      <w:r w:rsidR="00353D91" w:rsidRPr="00CA0804">
        <w:rPr>
          <w:rFonts w:eastAsia="Times New Roman"/>
          <w:lang w:eastAsia="hr-HR"/>
        </w:rPr>
        <w:t xml:space="preserve">milijuna eura, </w:t>
      </w:r>
      <w:r w:rsidR="00353D91" w:rsidRPr="00CA0804">
        <w:rPr>
          <w:rFonts w:eastAsia="Times New Roman"/>
          <w:bCs/>
          <w:color w:val="000000"/>
          <w:lang w:eastAsia="hr-HR"/>
        </w:rPr>
        <w:t xml:space="preserve">Grad </w:t>
      </w:r>
      <w:r w:rsidR="00353D91" w:rsidRPr="00CA0804">
        <w:t xml:space="preserve">Novska s 1,3 </w:t>
      </w:r>
      <w:r w:rsidR="00353D91" w:rsidRPr="00CA0804">
        <w:rPr>
          <w:rFonts w:eastAsia="Times New Roman"/>
          <w:lang w:eastAsia="hr-HR"/>
        </w:rPr>
        <w:t>milijuna eura</w:t>
      </w:r>
      <w:r w:rsidR="00353D91" w:rsidRPr="00CA0804">
        <w:t xml:space="preserve">, Sisačko-moslavačka županija s 1,2 </w:t>
      </w:r>
      <w:r w:rsidR="00353D91" w:rsidRPr="00CA0804">
        <w:rPr>
          <w:rFonts w:eastAsia="Times New Roman"/>
          <w:lang w:eastAsia="hr-HR"/>
        </w:rPr>
        <w:t>milijuna eura te ostale županije, općine i gradovi.</w:t>
      </w:r>
    </w:p>
    <w:p w14:paraId="421DC1DB" w14:textId="2E178E28" w:rsidR="00353D91" w:rsidRPr="00CA0804" w:rsidRDefault="00353D91" w:rsidP="00353D91">
      <w:pPr>
        <w:jc w:val="both"/>
        <w:rPr>
          <w:rFonts w:eastAsia="Times New Roman"/>
          <w:lang w:eastAsia="hr-HR"/>
        </w:rPr>
      </w:pPr>
    </w:p>
    <w:p w14:paraId="7E1C3F67" w14:textId="551DAC15" w:rsidR="00303CF0" w:rsidRPr="00CA0804" w:rsidRDefault="005103B4" w:rsidP="00EB2AE6">
      <w:pPr>
        <w:jc w:val="both"/>
        <w:rPr>
          <w:spacing w:val="-2"/>
        </w:rPr>
      </w:pPr>
      <w:r w:rsidRPr="00CA0804">
        <w:rPr>
          <w:spacing w:val="-2"/>
        </w:rPr>
        <w:t>Ukoliko bi se</w:t>
      </w:r>
      <w:r w:rsidRPr="00CA0804">
        <w:rPr>
          <w:b/>
          <w:spacing w:val="-2"/>
        </w:rPr>
        <w:t xml:space="preserve"> </w:t>
      </w:r>
      <w:r w:rsidR="00353D91" w:rsidRPr="00CA0804">
        <w:rPr>
          <w:spacing w:val="-2"/>
        </w:rPr>
        <w:t>potporama na lokalnoj razini dodijeljenih u 2024. godini</w:t>
      </w:r>
      <w:r w:rsidR="00353D91" w:rsidRPr="00CA0804">
        <w:rPr>
          <w:b/>
          <w:spacing w:val="-2"/>
        </w:rPr>
        <w:t xml:space="preserve"> </w:t>
      </w:r>
      <w:r w:rsidR="00353D91" w:rsidRPr="00CA0804">
        <w:rPr>
          <w:spacing w:val="-2"/>
        </w:rPr>
        <w:t xml:space="preserve">u iznosu od 167,4 milijuna eura pridodale </w:t>
      </w:r>
      <w:r w:rsidRPr="00CA0804">
        <w:rPr>
          <w:spacing w:val="-2"/>
          <w:u w:val="single"/>
        </w:rPr>
        <w:t>p</w:t>
      </w:r>
      <w:r w:rsidR="004C39FF" w:rsidRPr="00CA0804">
        <w:rPr>
          <w:spacing w:val="-2"/>
          <w:u w:val="single"/>
        </w:rPr>
        <w:t>otpore</w:t>
      </w:r>
      <w:r w:rsidR="00EB2AE6" w:rsidRPr="00CA0804">
        <w:rPr>
          <w:spacing w:val="-2"/>
          <w:u w:val="single"/>
        </w:rPr>
        <w:t xml:space="preserve"> </w:t>
      </w:r>
      <w:r w:rsidR="004C39FF" w:rsidRPr="00CA0804">
        <w:rPr>
          <w:spacing w:val="-2"/>
          <w:u w:val="single"/>
        </w:rPr>
        <w:t>male vrijednosti</w:t>
      </w:r>
      <w:r w:rsidR="00EB2AE6" w:rsidRPr="00CA0804">
        <w:rPr>
          <w:spacing w:val="-2"/>
        </w:rPr>
        <w:t xml:space="preserve"> </w:t>
      </w:r>
      <w:r w:rsidR="00D84321" w:rsidRPr="00CA0804">
        <w:rPr>
          <w:spacing w:val="-2"/>
        </w:rPr>
        <w:t>dodijeljene</w:t>
      </w:r>
      <w:r w:rsidRPr="00CA0804">
        <w:rPr>
          <w:spacing w:val="-2"/>
        </w:rPr>
        <w:t xml:space="preserve"> </w:t>
      </w:r>
      <w:r w:rsidR="00EB2AE6" w:rsidRPr="00CA0804">
        <w:rPr>
          <w:spacing w:val="-2"/>
        </w:rPr>
        <w:t>na lokalnoj razini</w:t>
      </w:r>
      <w:r w:rsidR="00877355" w:rsidRPr="00CA0804">
        <w:rPr>
          <w:b/>
          <w:spacing w:val="-2"/>
        </w:rPr>
        <w:t xml:space="preserve"> </w:t>
      </w:r>
      <w:r w:rsidR="004C39FF" w:rsidRPr="00CA0804">
        <w:rPr>
          <w:spacing w:val="-2"/>
        </w:rPr>
        <w:t xml:space="preserve">u iznosu od </w:t>
      </w:r>
      <w:r w:rsidR="00353D91" w:rsidRPr="00CA0804">
        <w:rPr>
          <w:spacing w:val="-2"/>
        </w:rPr>
        <w:t>33,6</w:t>
      </w:r>
      <w:r w:rsidR="00877355" w:rsidRPr="00CA0804">
        <w:rPr>
          <w:spacing w:val="-2"/>
        </w:rPr>
        <w:t xml:space="preserve"> </w:t>
      </w:r>
      <w:r w:rsidR="004C39FF" w:rsidRPr="00CA0804">
        <w:rPr>
          <w:spacing w:val="-2"/>
        </w:rPr>
        <w:t xml:space="preserve">milijuna </w:t>
      </w:r>
      <w:r w:rsidR="00D84321" w:rsidRPr="00CA0804">
        <w:rPr>
          <w:spacing w:val="-2"/>
        </w:rPr>
        <w:t>eura</w:t>
      </w:r>
      <w:r w:rsidR="004C39FF" w:rsidRPr="00CA0804">
        <w:rPr>
          <w:spacing w:val="-2"/>
        </w:rPr>
        <w:t xml:space="preserve">, ukupan iznos svih potpora dodijeljenih na lokalnoj razini iznosio </w:t>
      </w:r>
      <w:r w:rsidR="00353D91" w:rsidRPr="00CA0804">
        <w:rPr>
          <w:spacing w:val="-2"/>
        </w:rPr>
        <w:t>bi 201</w:t>
      </w:r>
      <w:r w:rsidR="00EB2AE6" w:rsidRPr="00CA0804">
        <w:rPr>
          <w:spacing w:val="-2"/>
        </w:rPr>
        <w:t xml:space="preserve"> </w:t>
      </w:r>
      <w:r w:rsidR="00CC71A4" w:rsidRPr="00CA0804">
        <w:rPr>
          <w:spacing w:val="-2"/>
        </w:rPr>
        <w:t>milijun</w:t>
      </w:r>
      <w:r w:rsidR="00D84321" w:rsidRPr="00CA0804">
        <w:rPr>
          <w:spacing w:val="-2"/>
        </w:rPr>
        <w:t xml:space="preserve"> eura</w:t>
      </w:r>
      <w:r w:rsidR="00CC71A4" w:rsidRPr="00CA0804">
        <w:rPr>
          <w:spacing w:val="-2"/>
        </w:rPr>
        <w:t>.</w:t>
      </w:r>
    </w:p>
    <w:p w14:paraId="3C1F3395" w14:textId="3BE3FA0B" w:rsidR="00966A8D" w:rsidRPr="00CA0804" w:rsidRDefault="00966A8D" w:rsidP="00F47470"/>
    <w:p w14:paraId="4506A8A7" w14:textId="77777777" w:rsidR="00D84321" w:rsidRPr="00CA0804" w:rsidRDefault="00D84321" w:rsidP="00BE487D">
      <w:pPr>
        <w:jc w:val="both"/>
      </w:pPr>
    </w:p>
    <w:p w14:paraId="33C80257" w14:textId="77777777" w:rsidR="00111949" w:rsidRPr="00CA0804" w:rsidRDefault="00111949" w:rsidP="00BE487D">
      <w:r w:rsidRPr="00CA0804">
        <w:br w:type="page"/>
      </w:r>
    </w:p>
    <w:p w14:paraId="1B0E914F" w14:textId="0B16AC65" w:rsidR="00BE0817" w:rsidRPr="00CA0804" w:rsidRDefault="00812D56" w:rsidP="00FB4B31">
      <w:pPr>
        <w:pStyle w:val="Heading2"/>
        <w:ind w:left="811" w:hanging="454"/>
      </w:pPr>
      <w:r w:rsidRPr="00CA0804">
        <w:lastRenderedPageBreak/>
        <w:t xml:space="preserve"> </w:t>
      </w:r>
      <w:bookmarkStart w:id="21" w:name="_Toc213660042"/>
      <w:r w:rsidR="00C45D8A" w:rsidRPr="00CA0804">
        <w:t>SEKTORSKE POTPORE</w:t>
      </w:r>
      <w:bookmarkEnd w:id="21"/>
    </w:p>
    <w:p w14:paraId="18E9450A" w14:textId="77777777" w:rsidR="00BE0817" w:rsidRPr="00CA0804" w:rsidRDefault="00BE0817" w:rsidP="00BE487D">
      <w:pPr>
        <w:pStyle w:val="ListParagraph"/>
        <w:jc w:val="both"/>
      </w:pPr>
    </w:p>
    <w:p w14:paraId="480A5318" w14:textId="77777777" w:rsidR="00E668F9" w:rsidRPr="00CA0804" w:rsidRDefault="00E668F9" w:rsidP="00BE487D">
      <w:pPr>
        <w:pStyle w:val="ListParagraph"/>
        <w:jc w:val="both"/>
      </w:pPr>
    </w:p>
    <w:p w14:paraId="240FBA96" w14:textId="7F3EA686" w:rsidR="005F1DB3" w:rsidRPr="00CA0804" w:rsidRDefault="00D84321" w:rsidP="00D84321">
      <w:pPr>
        <w:jc w:val="both"/>
      </w:pPr>
      <w:r w:rsidRPr="00CA0804">
        <w:t xml:space="preserve">Sektorske potpore </w:t>
      </w:r>
      <w:r w:rsidR="005F1DB3" w:rsidRPr="00CA0804">
        <w:t xml:space="preserve">dodijeljene </w:t>
      </w:r>
      <w:r w:rsidR="00DB1579" w:rsidRPr="00CA0804">
        <w:t xml:space="preserve">su </w:t>
      </w:r>
      <w:r w:rsidR="005F1DB3" w:rsidRPr="00CA0804">
        <w:t>u 202</w:t>
      </w:r>
      <w:r w:rsidR="00DB1579" w:rsidRPr="00CA0804">
        <w:t>4</w:t>
      </w:r>
      <w:r w:rsidR="005F1DB3" w:rsidRPr="00CA0804">
        <w:t xml:space="preserve">. godini u iznosu od </w:t>
      </w:r>
      <w:r w:rsidR="00DB1579" w:rsidRPr="00CA0804">
        <w:t xml:space="preserve">802,6 </w:t>
      </w:r>
      <w:r w:rsidR="005F1DB3" w:rsidRPr="00CA0804">
        <w:t xml:space="preserve">milijuna eura, što je </w:t>
      </w:r>
      <w:r w:rsidR="00DB1579" w:rsidRPr="00CA0804">
        <w:t>smanjenje</w:t>
      </w:r>
      <w:r w:rsidR="005F1DB3" w:rsidRPr="00CA0804">
        <w:t xml:space="preserve"> za </w:t>
      </w:r>
      <w:r w:rsidR="00DB1579" w:rsidRPr="00CA0804">
        <w:t>46,</w:t>
      </w:r>
      <w:r w:rsidR="00293477" w:rsidRPr="00CA0804">
        <w:t>8</w:t>
      </w:r>
      <w:r w:rsidR="00DB1579" w:rsidRPr="00CA0804">
        <w:t xml:space="preserve"> </w:t>
      </w:r>
      <w:r w:rsidR="005F1DB3" w:rsidRPr="00CA0804">
        <w:t xml:space="preserve">milijuna eura ili za </w:t>
      </w:r>
      <w:r w:rsidR="00DB1579" w:rsidRPr="00CA0804">
        <w:t>5</w:t>
      </w:r>
      <w:r w:rsidRPr="00CA0804">
        <w:t>,5</w:t>
      </w:r>
      <w:r w:rsidR="005F1DB3" w:rsidRPr="00CA0804">
        <w:t xml:space="preserve"> posto u odnosu na 202</w:t>
      </w:r>
      <w:r w:rsidR="00DB1579" w:rsidRPr="00CA0804">
        <w:t>3</w:t>
      </w:r>
      <w:r w:rsidR="005F1DB3" w:rsidRPr="00CA0804">
        <w:t xml:space="preserve">. godinu, kada su iznosile </w:t>
      </w:r>
      <w:r w:rsidR="00DB1579" w:rsidRPr="00CA0804">
        <w:t>849,</w:t>
      </w:r>
      <w:r w:rsidR="00293477" w:rsidRPr="00CA0804">
        <w:t>4</w:t>
      </w:r>
      <w:r w:rsidR="00DB1579" w:rsidRPr="00CA0804">
        <w:t xml:space="preserve"> </w:t>
      </w:r>
      <w:r w:rsidR="005F1DB3" w:rsidRPr="00CA0804">
        <w:t xml:space="preserve">milijuna eura, te </w:t>
      </w:r>
      <w:r w:rsidR="00952DB4" w:rsidRPr="00CA0804">
        <w:t xml:space="preserve">predstavlja </w:t>
      </w:r>
      <w:r w:rsidRPr="00CA0804">
        <w:t xml:space="preserve">povećanje </w:t>
      </w:r>
      <w:r w:rsidR="005F1DB3" w:rsidRPr="00CA0804">
        <w:t xml:space="preserve">za </w:t>
      </w:r>
      <w:r w:rsidR="00DB1579" w:rsidRPr="00CA0804">
        <w:t xml:space="preserve">198,6 </w:t>
      </w:r>
      <w:r w:rsidR="005F1DB3" w:rsidRPr="00CA0804">
        <w:t xml:space="preserve">milijuna eura ili za </w:t>
      </w:r>
      <w:r w:rsidR="00DB1579" w:rsidRPr="00CA0804">
        <w:t xml:space="preserve">32,9 </w:t>
      </w:r>
      <w:r w:rsidR="005F1DB3" w:rsidRPr="00CA0804">
        <w:t>posto u odnosu na 202</w:t>
      </w:r>
      <w:r w:rsidR="00DB1579" w:rsidRPr="00CA0804">
        <w:t>2</w:t>
      </w:r>
      <w:r w:rsidR="005F1DB3" w:rsidRPr="00CA0804">
        <w:t xml:space="preserve">. godinu kada su iznosile </w:t>
      </w:r>
      <w:r w:rsidR="00DB1579" w:rsidRPr="00CA0804">
        <w:t xml:space="preserve">604 </w:t>
      </w:r>
      <w:r w:rsidR="005F1DB3" w:rsidRPr="00CA0804">
        <w:t>milijuna eura.</w:t>
      </w:r>
    </w:p>
    <w:p w14:paraId="5CA9C7C9" w14:textId="77777777" w:rsidR="00477A47" w:rsidRPr="00CA0804" w:rsidRDefault="00477A47" w:rsidP="00477A47"/>
    <w:p w14:paraId="4A4918B3" w14:textId="39E98CBB" w:rsidR="00F42549" w:rsidRPr="00CA0804" w:rsidRDefault="00466B5A" w:rsidP="00BE487D">
      <w:pPr>
        <w:contextualSpacing/>
        <w:jc w:val="both"/>
      </w:pPr>
      <w:r w:rsidRPr="00CA0804">
        <w:t>Tablica 1</w:t>
      </w:r>
      <w:r w:rsidR="00870E9F" w:rsidRPr="00CA0804">
        <w:t>7</w:t>
      </w:r>
      <w:r w:rsidR="00F42549" w:rsidRPr="00CA0804">
        <w:t xml:space="preserve">. Sektorske potpore </w:t>
      </w:r>
      <w:r w:rsidR="000A1E58" w:rsidRPr="00CA0804">
        <w:t xml:space="preserve">dodijeljene u razdoblju </w:t>
      </w:r>
      <w:r w:rsidR="00F42549" w:rsidRPr="00CA0804">
        <w:t>od 20</w:t>
      </w:r>
      <w:r w:rsidR="00692E39" w:rsidRPr="00CA0804">
        <w:t>2</w:t>
      </w:r>
      <w:r w:rsidR="00245089" w:rsidRPr="00CA0804">
        <w:t>2</w:t>
      </w:r>
      <w:r w:rsidR="00F42549" w:rsidRPr="00CA0804">
        <w:t>. do 202</w:t>
      </w:r>
      <w:r w:rsidR="00245089" w:rsidRPr="00CA0804">
        <w:t>4</w:t>
      </w:r>
      <w:r w:rsidR="00F42549" w:rsidRPr="00CA0804">
        <w:t>. godine</w:t>
      </w:r>
    </w:p>
    <w:p w14:paraId="71456F5B" w14:textId="77777777" w:rsidR="00F42549" w:rsidRPr="00CA0804" w:rsidRDefault="00F42549" w:rsidP="00BE487D">
      <w:pPr>
        <w:jc w:val="both"/>
        <w:rPr>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51"/>
        <w:gridCol w:w="1134"/>
        <w:gridCol w:w="992"/>
        <w:gridCol w:w="1134"/>
        <w:gridCol w:w="850"/>
        <w:gridCol w:w="1134"/>
      </w:tblGrid>
      <w:tr w:rsidR="00245089" w:rsidRPr="00CA0804" w14:paraId="3C1695D6" w14:textId="77777777" w:rsidTr="00BD786C">
        <w:trPr>
          <w:trHeight w:val="42"/>
        </w:trPr>
        <w:tc>
          <w:tcPr>
            <w:tcW w:w="2972" w:type="dxa"/>
            <w:vMerge w:val="restart"/>
            <w:shd w:val="clear" w:color="000000" w:fill="FFFF99"/>
            <w:noWrap/>
            <w:vAlign w:val="center"/>
            <w:hideMark/>
          </w:tcPr>
          <w:p w14:paraId="0FCDD838" w14:textId="77777777" w:rsidR="00245089" w:rsidRPr="00CA0804" w:rsidRDefault="00245089" w:rsidP="00245089">
            <w:pPr>
              <w:jc w:val="center"/>
              <w:rPr>
                <w:rFonts w:eastAsia="Times New Roman"/>
                <w:b/>
                <w:bCs/>
                <w:sz w:val="20"/>
                <w:szCs w:val="20"/>
              </w:rPr>
            </w:pPr>
            <w:r w:rsidRPr="00CA0804">
              <w:rPr>
                <w:rFonts w:eastAsia="Times New Roman"/>
                <w:b/>
                <w:bCs/>
                <w:sz w:val="20"/>
                <w:szCs w:val="20"/>
              </w:rPr>
              <w:t>Posebni sektori</w:t>
            </w:r>
          </w:p>
        </w:tc>
        <w:tc>
          <w:tcPr>
            <w:tcW w:w="1985" w:type="dxa"/>
            <w:gridSpan w:val="2"/>
            <w:shd w:val="clear" w:color="000000" w:fill="FFFF99"/>
            <w:noWrap/>
            <w:vAlign w:val="center"/>
          </w:tcPr>
          <w:p w14:paraId="66EC8E05" w14:textId="5384AECD" w:rsidR="00245089" w:rsidRPr="00CA0804" w:rsidRDefault="00245089" w:rsidP="00245089">
            <w:pPr>
              <w:jc w:val="center"/>
              <w:rPr>
                <w:rFonts w:eastAsia="Times New Roman"/>
                <w:b/>
                <w:bCs/>
                <w:sz w:val="20"/>
                <w:szCs w:val="20"/>
              </w:rPr>
            </w:pPr>
            <w:r w:rsidRPr="00CA0804">
              <w:rPr>
                <w:rFonts w:eastAsia="Times New Roman"/>
                <w:b/>
                <w:bCs/>
                <w:sz w:val="20"/>
                <w:szCs w:val="20"/>
              </w:rPr>
              <w:t>2022.</w:t>
            </w:r>
          </w:p>
        </w:tc>
        <w:tc>
          <w:tcPr>
            <w:tcW w:w="2126" w:type="dxa"/>
            <w:gridSpan w:val="2"/>
            <w:shd w:val="clear" w:color="000000" w:fill="FFFF99"/>
            <w:noWrap/>
            <w:vAlign w:val="center"/>
          </w:tcPr>
          <w:p w14:paraId="1C114011" w14:textId="4B5DF52F" w:rsidR="00245089" w:rsidRPr="00CA0804" w:rsidRDefault="00245089" w:rsidP="00245089">
            <w:pPr>
              <w:jc w:val="center"/>
              <w:rPr>
                <w:rFonts w:eastAsia="Times New Roman"/>
                <w:b/>
                <w:bCs/>
                <w:sz w:val="20"/>
                <w:szCs w:val="20"/>
              </w:rPr>
            </w:pPr>
            <w:r w:rsidRPr="00CA0804">
              <w:rPr>
                <w:rFonts w:eastAsia="Times New Roman"/>
                <w:b/>
                <w:bCs/>
                <w:sz w:val="20"/>
                <w:szCs w:val="20"/>
              </w:rPr>
              <w:t>2023.</w:t>
            </w:r>
          </w:p>
        </w:tc>
        <w:tc>
          <w:tcPr>
            <w:tcW w:w="1984" w:type="dxa"/>
            <w:gridSpan w:val="2"/>
            <w:shd w:val="clear" w:color="000000" w:fill="FFFF99"/>
            <w:noWrap/>
            <w:vAlign w:val="center"/>
          </w:tcPr>
          <w:p w14:paraId="5CD39561" w14:textId="4374079D" w:rsidR="00245089" w:rsidRPr="00CA0804" w:rsidRDefault="00245089" w:rsidP="00245089">
            <w:pPr>
              <w:jc w:val="center"/>
              <w:rPr>
                <w:rFonts w:eastAsia="Times New Roman"/>
                <w:b/>
                <w:bCs/>
                <w:sz w:val="20"/>
                <w:szCs w:val="20"/>
              </w:rPr>
            </w:pPr>
            <w:r w:rsidRPr="00CA0804">
              <w:rPr>
                <w:rFonts w:eastAsia="Times New Roman"/>
                <w:b/>
                <w:bCs/>
                <w:sz w:val="20"/>
                <w:szCs w:val="20"/>
              </w:rPr>
              <w:t>2024.</w:t>
            </w:r>
          </w:p>
        </w:tc>
      </w:tr>
      <w:tr w:rsidR="00F142A4" w:rsidRPr="00CA0804" w14:paraId="394FAE6F" w14:textId="77777777" w:rsidTr="00BD786C">
        <w:trPr>
          <w:trHeight w:val="242"/>
        </w:trPr>
        <w:tc>
          <w:tcPr>
            <w:tcW w:w="2972" w:type="dxa"/>
            <w:vMerge/>
            <w:vAlign w:val="center"/>
            <w:hideMark/>
          </w:tcPr>
          <w:p w14:paraId="497F0649" w14:textId="77777777" w:rsidR="00F142A4" w:rsidRPr="00CA0804" w:rsidRDefault="00F142A4" w:rsidP="00BE487D">
            <w:pPr>
              <w:rPr>
                <w:rFonts w:eastAsia="Times New Roman"/>
                <w:b/>
                <w:bCs/>
                <w:sz w:val="20"/>
                <w:szCs w:val="20"/>
              </w:rPr>
            </w:pPr>
          </w:p>
        </w:tc>
        <w:tc>
          <w:tcPr>
            <w:tcW w:w="851" w:type="dxa"/>
            <w:shd w:val="clear" w:color="000000" w:fill="FFFF99"/>
            <w:vAlign w:val="center"/>
          </w:tcPr>
          <w:p w14:paraId="29210CAA" w14:textId="071A099F"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 mln EUR</w:t>
            </w:r>
          </w:p>
        </w:tc>
        <w:tc>
          <w:tcPr>
            <w:tcW w:w="1134" w:type="dxa"/>
            <w:shd w:val="clear" w:color="000000" w:fill="FFFF99"/>
            <w:vAlign w:val="center"/>
          </w:tcPr>
          <w:p w14:paraId="4D41917A" w14:textId="6CC86FAA"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udio u BDP (%)</w:t>
            </w:r>
          </w:p>
        </w:tc>
        <w:tc>
          <w:tcPr>
            <w:tcW w:w="992" w:type="dxa"/>
            <w:shd w:val="clear" w:color="000000" w:fill="FFFF99"/>
            <w:vAlign w:val="center"/>
          </w:tcPr>
          <w:p w14:paraId="6776DC58" w14:textId="3CF45FF5"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 mln EUR</w:t>
            </w:r>
          </w:p>
        </w:tc>
        <w:tc>
          <w:tcPr>
            <w:tcW w:w="1134" w:type="dxa"/>
            <w:shd w:val="clear" w:color="000000" w:fill="FFFF99"/>
            <w:vAlign w:val="center"/>
          </w:tcPr>
          <w:p w14:paraId="760E45D2" w14:textId="3F2AD73A"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udio u BDP (%)</w:t>
            </w:r>
          </w:p>
        </w:tc>
        <w:tc>
          <w:tcPr>
            <w:tcW w:w="850" w:type="dxa"/>
            <w:shd w:val="clear" w:color="000000" w:fill="FFFF99"/>
            <w:vAlign w:val="center"/>
          </w:tcPr>
          <w:p w14:paraId="1C997317" w14:textId="693AE1EA"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 mln EUR</w:t>
            </w:r>
          </w:p>
        </w:tc>
        <w:tc>
          <w:tcPr>
            <w:tcW w:w="1134" w:type="dxa"/>
            <w:shd w:val="clear" w:color="000000" w:fill="FFFF99"/>
            <w:vAlign w:val="center"/>
          </w:tcPr>
          <w:p w14:paraId="63A7D97E" w14:textId="509B0C92" w:rsidR="00F142A4" w:rsidRPr="00CA0804" w:rsidRDefault="00F142A4" w:rsidP="00BE487D">
            <w:pPr>
              <w:jc w:val="center"/>
              <w:rPr>
                <w:rFonts w:eastAsia="Times New Roman"/>
                <w:bCs/>
                <w:sz w:val="20"/>
                <w:szCs w:val="20"/>
              </w:rPr>
            </w:pPr>
            <w:r w:rsidRPr="00CA0804">
              <w:rPr>
                <w:rFonts w:eastAsia="Times New Roman"/>
                <w:b/>
                <w:bCs/>
                <w:sz w:val="20"/>
                <w:szCs w:val="20"/>
                <w:lang w:eastAsia="hr-HR"/>
              </w:rPr>
              <w:t>udio u BDP (%)</w:t>
            </w:r>
          </w:p>
        </w:tc>
      </w:tr>
      <w:tr w:rsidR="00245089" w:rsidRPr="00CA0804" w14:paraId="486DD729" w14:textId="77777777" w:rsidTr="00BD786C">
        <w:trPr>
          <w:trHeight w:val="42"/>
        </w:trPr>
        <w:tc>
          <w:tcPr>
            <w:tcW w:w="2972" w:type="dxa"/>
            <w:shd w:val="clear" w:color="auto" w:fill="auto"/>
            <w:vAlign w:val="center"/>
            <w:hideMark/>
          </w:tcPr>
          <w:p w14:paraId="40E3B53C" w14:textId="77777777" w:rsidR="00245089" w:rsidRPr="00CA0804" w:rsidRDefault="00245089" w:rsidP="00245089">
            <w:pPr>
              <w:rPr>
                <w:rFonts w:eastAsia="Times New Roman"/>
                <w:sz w:val="20"/>
                <w:szCs w:val="20"/>
              </w:rPr>
            </w:pPr>
            <w:r w:rsidRPr="00CA0804">
              <w:rPr>
                <w:rFonts w:eastAsia="Times New Roman"/>
                <w:sz w:val="20"/>
                <w:szCs w:val="20"/>
              </w:rPr>
              <w:t>Poštanske usluge</w:t>
            </w:r>
          </w:p>
        </w:tc>
        <w:tc>
          <w:tcPr>
            <w:tcW w:w="851" w:type="dxa"/>
            <w:shd w:val="clear" w:color="auto" w:fill="auto"/>
            <w:vAlign w:val="bottom"/>
            <w:hideMark/>
          </w:tcPr>
          <w:p w14:paraId="7AACA1A0" w14:textId="4EC4EE15" w:rsidR="00245089" w:rsidRPr="00CA0804" w:rsidRDefault="00245089" w:rsidP="00245089">
            <w:pPr>
              <w:jc w:val="right"/>
              <w:rPr>
                <w:sz w:val="20"/>
                <w:szCs w:val="20"/>
              </w:rPr>
            </w:pPr>
            <w:r w:rsidRPr="00CA0804">
              <w:rPr>
                <w:rFonts w:eastAsia="Times New Roman"/>
                <w:sz w:val="20"/>
                <w:szCs w:val="20"/>
                <w:lang w:eastAsia="hr-HR"/>
              </w:rPr>
              <w:t>13,2</w:t>
            </w:r>
          </w:p>
        </w:tc>
        <w:tc>
          <w:tcPr>
            <w:tcW w:w="1134" w:type="dxa"/>
            <w:shd w:val="clear" w:color="auto" w:fill="auto"/>
            <w:noWrap/>
            <w:vAlign w:val="bottom"/>
            <w:hideMark/>
          </w:tcPr>
          <w:p w14:paraId="55A75EE2" w14:textId="45CCD4F7" w:rsidR="00245089" w:rsidRPr="00CA0804" w:rsidRDefault="00245089" w:rsidP="00245089">
            <w:pPr>
              <w:jc w:val="center"/>
              <w:rPr>
                <w:sz w:val="20"/>
                <w:szCs w:val="20"/>
              </w:rPr>
            </w:pPr>
            <w:r w:rsidRPr="00CA0804">
              <w:rPr>
                <w:rFonts w:eastAsia="Times New Roman"/>
                <w:sz w:val="20"/>
                <w:szCs w:val="20"/>
                <w:lang w:eastAsia="hr-HR"/>
              </w:rPr>
              <w:t>0,02</w:t>
            </w:r>
          </w:p>
        </w:tc>
        <w:tc>
          <w:tcPr>
            <w:tcW w:w="992" w:type="dxa"/>
            <w:shd w:val="clear" w:color="auto" w:fill="auto"/>
            <w:vAlign w:val="bottom"/>
            <w:hideMark/>
          </w:tcPr>
          <w:p w14:paraId="10EFE6DC" w14:textId="3396C6E5" w:rsidR="00245089" w:rsidRPr="00CA0804" w:rsidRDefault="00245089" w:rsidP="00245089">
            <w:pPr>
              <w:jc w:val="right"/>
              <w:rPr>
                <w:sz w:val="20"/>
                <w:szCs w:val="20"/>
              </w:rPr>
            </w:pPr>
            <w:r w:rsidRPr="00CA0804">
              <w:rPr>
                <w:rFonts w:eastAsia="Times New Roman"/>
                <w:sz w:val="20"/>
                <w:szCs w:val="20"/>
                <w:lang w:eastAsia="hr-HR"/>
              </w:rPr>
              <w:t>14,8</w:t>
            </w:r>
          </w:p>
        </w:tc>
        <w:tc>
          <w:tcPr>
            <w:tcW w:w="1134" w:type="dxa"/>
            <w:shd w:val="clear" w:color="auto" w:fill="auto"/>
            <w:noWrap/>
            <w:vAlign w:val="bottom"/>
            <w:hideMark/>
          </w:tcPr>
          <w:p w14:paraId="478EF516" w14:textId="59DB5BB7" w:rsidR="00245089" w:rsidRPr="00CA0804" w:rsidRDefault="00245089" w:rsidP="00245089">
            <w:pPr>
              <w:jc w:val="center"/>
              <w:rPr>
                <w:sz w:val="20"/>
                <w:szCs w:val="20"/>
              </w:rPr>
            </w:pPr>
            <w:r w:rsidRPr="00CA0804">
              <w:rPr>
                <w:rFonts w:eastAsia="Times New Roman"/>
                <w:sz w:val="20"/>
                <w:szCs w:val="20"/>
                <w:lang w:eastAsia="hr-HR"/>
              </w:rPr>
              <w:t>0,02</w:t>
            </w:r>
          </w:p>
        </w:tc>
        <w:tc>
          <w:tcPr>
            <w:tcW w:w="850" w:type="dxa"/>
            <w:shd w:val="clear" w:color="auto" w:fill="auto"/>
            <w:noWrap/>
            <w:vAlign w:val="bottom"/>
            <w:hideMark/>
          </w:tcPr>
          <w:p w14:paraId="525D2170" w14:textId="241CA13C" w:rsidR="00245089" w:rsidRPr="00CA0804" w:rsidRDefault="00245089" w:rsidP="00245089">
            <w:pPr>
              <w:jc w:val="right"/>
              <w:rPr>
                <w:sz w:val="20"/>
                <w:szCs w:val="20"/>
              </w:rPr>
            </w:pPr>
            <w:r w:rsidRPr="00CA0804">
              <w:rPr>
                <w:rFonts w:eastAsia="Times New Roman"/>
                <w:sz w:val="20"/>
                <w:szCs w:val="20"/>
                <w:lang w:eastAsia="hr-HR"/>
              </w:rPr>
              <w:t>25,1</w:t>
            </w:r>
          </w:p>
        </w:tc>
        <w:tc>
          <w:tcPr>
            <w:tcW w:w="1134" w:type="dxa"/>
            <w:shd w:val="clear" w:color="auto" w:fill="auto"/>
            <w:noWrap/>
            <w:vAlign w:val="bottom"/>
            <w:hideMark/>
          </w:tcPr>
          <w:p w14:paraId="64C082FC" w14:textId="4005DE06" w:rsidR="00245089" w:rsidRPr="00CA0804" w:rsidRDefault="00245089" w:rsidP="00245089">
            <w:pPr>
              <w:jc w:val="center"/>
              <w:rPr>
                <w:sz w:val="20"/>
                <w:szCs w:val="20"/>
              </w:rPr>
            </w:pPr>
            <w:r w:rsidRPr="00CA0804">
              <w:rPr>
                <w:rFonts w:eastAsia="Times New Roman"/>
                <w:sz w:val="20"/>
                <w:szCs w:val="20"/>
                <w:lang w:eastAsia="hr-HR"/>
              </w:rPr>
              <w:t>0,03</w:t>
            </w:r>
          </w:p>
        </w:tc>
      </w:tr>
      <w:tr w:rsidR="00245089" w:rsidRPr="00CA0804" w14:paraId="5F1E69B5" w14:textId="77777777" w:rsidTr="00245089">
        <w:trPr>
          <w:trHeight w:val="42"/>
        </w:trPr>
        <w:tc>
          <w:tcPr>
            <w:tcW w:w="2972" w:type="dxa"/>
            <w:shd w:val="clear" w:color="auto" w:fill="auto"/>
            <w:vAlign w:val="center"/>
            <w:hideMark/>
          </w:tcPr>
          <w:p w14:paraId="38E42307" w14:textId="77777777" w:rsidR="00245089" w:rsidRPr="00CA0804" w:rsidRDefault="00245089" w:rsidP="00245089">
            <w:pPr>
              <w:rPr>
                <w:rFonts w:eastAsia="Times New Roman"/>
                <w:sz w:val="20"/>
                <w:szCs w:val="20"/>
              </w:rPr>
            </w:pPr>
            <w:r w:rsidRPr="00CA0804">
              <w:rPr>
                <w:rFonts w:eastAsia="Times New Roman"/>
                <w:sz w:val="20"/>
                <w:szCs w:val="20"/>
              </w:rPr>
              <w:t>Zaštita okoliša i očuvanje energije</w:t>
            </w:r>
          </w:p>
        </w:tc>
        <w:tc>
          <w:tcPr>
            <w:tcW w:w="851" w:type="dxa"/>
            <w:shd w:val="clear" w:color="auto" w:fill="auto"/>
            <w:vAlign w:val="center"/>
            <w:hideMark/>
          </w:tcPr>
          <w:p w14:paraId="232082EF" w14:textId="1C965FDB" w:rsidR="00245089" w:rsidRPr="00CA0804" w:rsidRDefault="00245089" w:rsidP="00245089">
            <w:pPr>
              <w:jc w:val="right"/>
              <w:rPr>
                <w:sz w:val="20"/>
                <w:szCs w:val="20"/>
              </w:rPr>
            </w:pPr>
            <w:r w:rsidRPr="00CA0804">
              <w:rPr>
                <w:rFonts w:eastAsia="Times New Roman"/>
                <w:sz w:val="20"/>
                <w:szCs w:val="20"/>
                <w:lang w:eastAsia="hr-HR"/>
              </w:rPr>
              <w:t>170,7</w:t>
            </w:r>
          </w:p>
        </w:tc>
        <w:tc>
          <w:tcPr>
            <w:tcW w:w="1134" w:type="dxa"/>
            <w:shd w:val="clear" w:color="auto" w:fill="auto"/>
            <w:noWrap/>
            <w:vAlign w:val="center"/>
            <w:hideMark/>
          </w:tcPr>
          <w:p w14:paraId="45A7756A" w14:textId="14F174E3" w:rsidR="00245089" w:rsidRPr="00CA0804" w:rsidRDefault="00245089" w:rsidP="00245089">
            <w:pPr>
              <w:jc w:val="center"/>
              <w:rPr>
                <w:sz w:val="20"/>
                <w:szCs w:val="20"/>
              </w:rPr>
            </w:pPr>
            <w:r w:rsidRPr="00CA0804">
              <w:rPr>
                <w:rFonts w:eastAsia="Times New Roman"/>
                <w:sz w:val="20"/>
                <w:szCs w:val="20"/>
                <w:lang w:eastAsia="hr-HR"/>
              </w:rPr>
              <w:t>0,25</w:t>
            </w:r>
          </w:p>
        </w:tc>
        <w:tc>
          <w:tcPr>
            <w:tcW w:w="992" w:type="dxa"/>
            <w:shd w:val="clear" w:color="auto" w:fill="auto"/>
            <w:vAlign w:val="center"/>
            <w:hideMark/>
          </w:tcPr>
          <w:p w14:paraId="445046F0" w14:textId="06FF9B22" w:rsidR="00245089" w:rsidRPr="00CA0804" w:rsidRDefault="00245089" w:rsidP="00245089">
            <w:pPr>
              <w:jc w:val="right"/>
              <w:rPr>
                <w:sz w:val="20"/>
                <w:szCs w:val="20"/>
              </w:rPr>
            </w:pPr>
            <w:r w:rsidRPr="00CA0804">
              <w:rPr>
                <w:rFonts w:eastAsia="Times New Roman"/>
                <w:sz w:val="20"/>
                <w:szCs w:val="20"/>
                <w:lang w:eastAsia="hr-HR"/>
              </w:rPr>
              <w:t>186,0</w:t>
            </w:r>
          </w:p>
        </w:tc>
        <w:tc>
          <w:tcPr>
            <w:tcW w:w="1134" w:type="dxa"/>
            <w:shd w:val="clear" w:color="auto" w:fill="auto"/>
            <w:noWrap/>
            <w:vAlign w:val="center"/>
            <w:hideMark/>
          </w:tcPr>
          <w:p w14:paraId="5BBB5EC2" w14:textId="59B2C380" w:rsidR="00245089" w:rsidRPr="00CA0804" w:rsidRDefault="00245089" w:rsidP="00245089">
            <w:pPr>
              <w:jc w:val="center"/>
              <w:rPr>
                <w:sz w:val="20"/>
                <w:szCs w:val="20"/>
              </w:rPr>
            </w:pPr>
            <w:r w:rsidRPr="00CA0804">
              <w:rPr>
                <w:rFonts w:eastAsia="Times New Roman"/>
                <w:sz w:val="20"/>
                <w:szCs w:val="20"/>
                <w:lang w:eastAsia="hr-HR"/>
              </w:rPr>
              <w:t>0,24</w:t>
            </w:r>
          </w:p>
        </w:tc>
        <w:tc>
          <w:tcPr>
            <w:tcW w:w="850" w:type="dxa"/>
            <w:shd w:val="clear" w:color="auto" w:fill="auto"/>
            <w:noWrap/>
            <w:vAlign w:val="center"/>
            <w:hideMark/>
          </w:tcPr>
          <w:p w14:paraId="3E2F104B" w14:textId="4A0B5D45" w:rsidR="00245089" w:rsidRPr="00CA0804" w:rsidRDefault="00245089" w:rsidP="00245089">
            <w:pPr>
              <w:jc w:val="right"/>
              <w:rPr>
                <w:sz w:val="20"/>
                <w:szCs w:val="20"/>
              </w:rPr>
            </w:pPr>
            <w:r w:rsidRPr="00CA0804">
              <w:rPr>
                <w:rFonts w:eastAsia="Times New Roman"/>
                <w:sz w:val="20"/>
                <w:szCs w:val="20"/>
                <w:lang w:eastAsia="hr-HR"/>
              </w:rPr>
              <w:t>172,1</w:t>
            </w:r>
          </w:p>
        </w:tc>
        <w:tc>
          <w:tcPr>
            <w:tcW w:w="1134" w:type="dxa"/>
            <w:shd w:val="clear" w:color="auto" w:fill="auto"/>
            <w:noWrap/>
            <w:vAlign w:val="center"/>
            <w:hideMark/>
          </w:tcPr>
          <w:p w14:paraId="0751906D" w14:textId="3635B22B" w:rsidR="00245089" w:rsidRPr="00CA0804" w:rsidRDefault="00245089" w:rsidP="00245089">
            <w:pPr>
              <w:jc w:val="center"/>
              <w:rPr>
                <w:sz w:val="20"/>
                <w:szCs w:val="20"/>
              </w:rPr>
            </w:pPr>
            <w:r w:rsidRPr="00CA0804">
              <w:rPr>
                <w:rFonts w:eastAsia="Times New Roman"/>
                <w:sz w:val="20"/>
                <w:szCs w:val="20"/>
                <w:lang w:eastAsia="hr-HR"/>
              </w:rPr>
              <w:t>0,20</w:t>
            </w:r>
          </w:p>
        </w:tc>
      </w:tr>
      <w:tr w:rsidR="00245089" w:rsidRPr="00CA0804" w14:paraId="2342F088" w14:textId="77777777" w:rsidTr="00245089">
        <w:trPr>
          <w:trHeight w:val="42"/>
        </w:trPr>
        <w:tc>
          <w:tcPr>
            <w:tcW w:w="2972" w:type="dxa"/>
            <w:shd w:val="clear" w:color="auto" w:fill="auto"/>
            <w:vAlign w:val="center"/>
            <w:hideMark/>
          </w:tcPr>
          <w:p w14:paraId="2CCA22DE" w14:textId="77777777" w:rsidR="00245089" w:rsidRPr="00CA0804" w:rsidRDefault="00245089" w:rsidP="00245089">
            <w:pPr>
              <w:rPr>
                <w:rFonts w:eastAsia="Times New Roman"/>
                <w:sz w:val="20"/>
                <w:szCs w:val="20"/>
              </w:rPr>
            </w:pPr>
            <w:r w:rsidRPr="00CA0804">
              <w:rPr>
                <w:rFonts w:eastAsia="Times New Roman"/>
                <w:sz w:val="20"/>
                <w:szCs w:val="20"/>
              </w:rPr>
              <w:t>Promet</w:t>
            </w:r>
          </w:p>
        </w:tc>
        <w:tc>
          <w:tcPr>
            <w:tcW w:w="851" w:type="dxa"/>
            <w:shd w:val="clear" w:color="auto" w:fill="auto"/>
            <w:vAlign w:val="center"/>
            <w:hideMark/>
          </w:tcPr>
          <w:p w14:paraId="61A85784" w14:textId="16FE6B1D" w:rsidR="00245089" w:rsidRPr="00CA0804" w:rsidRDefault="00245089" w:rsidP="00245089">
            <w:pPr>
              <w:jc w:val="right"/>
              <w:rPr>
                <w:sz w:val="20"/>
                <w:szCs w:val="20"/>
              </w:rPr>
            </w:pPr>
            <w:r w:rsidRPr="00CA0804">
              <w:rPr>
                <w:rFonts w:eastAsia="Times New Roman"/>
                <w:sz w:val="20"/>
                <w:szCs w:val="20"/>
                <w:lang w:eastAsia="hr-HR"/>
              </w:rPr>
              <w:t>205,0</w:t>
            </w:r>
          </w:p>
        </w:tc>
        <w:tc>
          <w:tcPr>
            <w:tcW w:w="1134" w:type="dxa"/>
            <w:shd w:val="clear" w:color="auto" w:fill="auto"/>
            <w:noWrap/>
            <w:vAlign w:val="center"/>
            <w:hideMark/>
          </w:tcPr>
          <w:p w14:paraId="314C7021" w14:textId="2C2F2B58" w:rsidR="00245089" w:rsidRPr="00CA0804" w:rsidRDefault="00245089" w:rsidP="00245089">
            <w:pPr>
              <w:jc w:val="center"/>
              <w:rPr>
                <w:sz w:val="20"/>
                <w:szCs w:val="20"/>
              </w:rPr>
            </w:pPr>
            <w:r w:rsidRPr="00CA0804">
              <w:rPr>
                <w:rFonts w:eastAsia="Times New Roman"/>
                <w:sz w:val="20"/>
                <w:szCs w:val="20"/>
                <w:lang w:eastAsia="hr-HR"/>
              </w:rPr>
              <w:t>0,30</w:t>
            </w:r>
          </w:p>
        </w:tc>
        <w:tc>
          <w:tcPr>
            <w:tcW w:w="992" w:type="dxa"/>
            <w:shd w:val="clear" w:color="auto" w:fill="auto"/>
            <w:vAlign w:val="center"/>
            <w:hideMark/>
          </w:tcPr>
          <w:p w14:paraId="5C7664D3" w14:textId="6F7D3652" w:rsidR="00245089" w:rsidRPr="00CA0804" w:rsidRDefault="00245089" w:rsidP="00245089">
            <w:pPr>
              <w:jc w:val="right"/>
              <w:rPr>
                <w:sz w:val="20"/>
                <w:szCs w:val="20"/>
              </w:rPr>
            </w:pPr>
            <w:r w:rsidRPr="00CA0804">
              <w:rPr>
                <w:rFonts w:eastAsia="Times New Roman"/>
                <w:sz w:val="20"/>
                <w:szCs w:val="20"/>
                <w:lang w:eastAsia="hr-HR"/>
              </w:rPr>
              <w:t>319,9</w:t>
            </w:r>
          </w:p>
        </w:tc>
        <w:tc>
          <w:tcPr>
            <w:tcW w:w="1134" w:type="dxa"/>
            <w:shd w:val="clear" w:color="auto" w:fill="auto"/>
            <w:noWrap/>
            <w:vAlign w:val="center"/>
            <w:hideMark/>
          </w:tcPr>
          <w:p w14:paraId="31024DE5" w14:textId="1CB76D57" w:rsidR="00245089" w:rsidRPr="00CA0804" w:rsidRDefault="00245089" w:rsidP="00245089">
            <w:pPr>
              <w:jc w:val="center"/>
              <w:rPr>
                <w:sz w:val="20"/>
                <w:szCs w:val="20"/>
              </w:rPr>
            </w:pPr>
            <w:r w:rsidRPr="00CA0804">
              <w:rPr>
                <w:rFonts w:eastAsia="Times New Roman"/>
                <w:sz w:val="20"/>
                <w:szCs w:val="20"/>
                <w:lang w:eastAsia="hr-HR"/>
              </w:rPr>
              <w:t>0,41</w:t>
            </w:r>
          </w:p>
        </w:tc>
        <w:tc>
          <w:tcPr>
            <w:tcW w:w="850" w:type="dxa"/>
            <w:shd w:val="clear" w:color="auto" w:fill="auto"/>
            <w:noWrap/>
            <w:vAlign w:val="center"/>
            <w:hideMark/>
          </w:tcPr>
          <w:p w14:paraId="4073187E" w14:textId="11CB7D01" w:rsidR="00245089" w:rsidRPr="00CA0804" w:rsidRDefault="00245089" w:rsidP="00B222F9">
            <w:pPr>
              <w:jc w:val="right"/>
              <w:rPr>
                <w:sz w:val="20"/>
                <w:szCs w:val="20"/>
              </w:rPr>
            </w:pPr>
            <w:r w:rsidRPr="00CA0804">
              <w:rPr>
                <w:rFonts w:eastAsia="Times New Roman"/>
                <w:sz w:val="20"/>
                <w:szCs w:val="20"/>
                <w:lang w:eastAsia="hr-HR"/>
              </w:rPr>
              <w:t>365,</w:t>
            </w:r>
            <w:r w:rsidR="00B222F9" w:rsidRPr="00CA0804">
              <w:rPr>
                <w:rFonts w:eastAsia="Times New Roman"/>
                <w:sz w:val="20"/>
                <w:szCs w:val="20"/>
                <w:lang w:eastAsia="hr-HR"/>
              </w:rPr>
              <w:t>9</w:t>
            </w:r>
          </w:p>
        </w:tc>
        <w:tc>
          <w:tcPr>
            <w:tcW w:w="1134" w:type="dxa"/>
            <w:shd w:val="clear" w:color="auto" w:fill="auto"/>
            <w:noWrap/>
            <w:vAlign w:val="center"/>
            <w:hideMark/>
          </w:tcPr>
          <w:p w14:paraId="25720BFF" w14:textId="50656695" w:rsidR="00245089" w:rsidRPr="00CA0804" w:rsidRDefault="00245089" w:rsidP="00245089">
            <w:pPr>
              <w:jc w:val="center"/>
              <w:rPr>
                <w:sz w:val="20"/>
                <w:szCs w:val="20"/>
              </w:rPr>
            </w:pPr>
            <w:r w:rsidRPr="00CA0804">
              <w:rPr>
                <w:rFonts w:eastAsia="Times New Roman"/>
                <w:sz w:val="20"/>
                <w:szCs w:val="20"/>
                <w:lang w:eastAsia="hr-HR"/>
              </w:rPr>
              <w:t>0,43</w:t>
            </w:r>
          </w:p>
        </w:tc>
      </w:tr>
      <w:tr w:rsidR="00245089" w:rsidRPr="00CA0804" w14:paraId="6EBB0DF3" w14:textId="77777777" w:rsidTr="00245089">
        <w:trPr>
          <w:trHeight w:val="40"/>
        </w:trPr>
        <w:tc>
          <w:tcPr>
            <w:tcW w:w="2972" w:type="dxa"/>
            <w:shd w:val="clear" w:color="auto" w:fill="auto"/>
            <w:vAlign w:val="center"/>
            <w:hideMark/>
          </w:tcPr>
          <w:p w14:paraId="5A126267" w14:textId="77777777" w:rsidR="00245089" w:rsidRPr="00CA0804" w:rsidRDefault="00245089" w:rsidP="00245089">
            <w:pPr>
              <w:rPr>
                <w:rFonts w:eastAsia="Times New Roman"/>
                <w:sz w:val="20"/>
                <w:szCs w:val="20"/>
              </w:rPr>
            </w:pPr>
            <w:r w:rsidRPr="00CA0804">
              <w:rPr>
                <w:rFonts w:eastAsia="Times New Roman"/>
                <w:sz w:val="20"/>
                <w:szCs w:val="20"/>
              </w:rPr>
              <w:t>Brodogradnja</w:t>
            </w:r>
          </w:p>
        </w:tc>
        <w:tc>
          <w:tcPr>
            <w:tcW w:w="851" w:type="dxa"/>
            <w:shd w:val="clear" w:color="auto" w:fill="auto"/>
            <w:vAlign w:val="center"/>
            <w:hideMark/>
          </w:tcPr>
          <w:p w14:paraId="0E55F0D3" w14:textId="2F37EA3B" w:rsidR="00245089" w:rsidRPr="00CA0804" w:rsidRDefault="00245089" w:rsidP="00245089">
            <w:pPr>
              <w:jc w:val="right"/>
              <w:rPr>
                <w:sz w:val="20"/>
                <w:szCs w:val="20"/>
              </w:rPr>
            </w:pPr>
            <w:r w:rsidRPr="00CA0804">
              <w:rPr>
                <w:rFonts w:eastAsia="Times New Roman"/>
                <w:sz w:val="20"/>
                <w:szCs w:val="20"/>
                <w:lang w:eastAsia="hr-HR"/>
              </w:rPr>
              <w:t>61,2</w:t>
            </w:r>
          </w:p>
        </w:tc>
        <w:tc>
          <w:tcPr>
            <w:tcW w:w="1134" w:type="dxa"/>
            <w:shd w:val="clear" w:color="auto" w:fill="auto"/>
            <w:noWrap/>
            <w:vAlign w:val="center"/>
            <w:hideMark/>
          </w:tcPr>
          <w:p w14:paraId="501293E7" w14:textId="65BF8CE9" w:rsidR="00245089" w:rsidRPr="00CA0804" w:rsidRDefault="00245089" w:rsidP="00245089">
            <w:pPr>
              <w:jc w:val="center"/>
              <w:rPr>
                <w:sz w:val="20"/>
                <w:szCs w:val="20"/>
              </w:rPr>
            </w:pPr>
            <w:r w:rsidRPr="00CA0804">
              <w:rPr>
                <w:rFonts w:eastAsia="Times New Roman"/>
                <w:sz w:val="20"/>
                <w:szCs w:val="20"/>
                <w:lang w:eastAsia="hr-HR"/>
              </w:rPr>
              <w:t>0,09</w:t>
            </w:r>
          </w:p>
        </w:tc>
        <w:tc>
          <w:tcPr>
            <w:tcW w:w="992" w:type="dxa"/>
            <w:shd w:val="clear" w:color="auto" w:fill="auto"/>
            <w:vAlign w:val="center"/>
            <w:hideMark/>
          </w:tcPr>
          <w:p w14:paraId="73C0F096" w14:textId="76DEDE9B" w:rsidR="00245089" w:rsidRPr="00CA0804" w:rsidRDefault="00245089" w:rsidP="00245089">
            <w:pPr>
              <w:jc w:val="right"/>
              <w:rPr>
                <w:sz w:val="20"/>
                <w:szCs w:val="20"/>
              </w:rPr>
            </w:pPr>
            <w:r w:rsidRPr="00CA0804">
              <w:rPr>
                <w:rFonts w:eastAsia="Times New Roman"/>
                <w:sz w:val="20"/>
                <w:szCs w:val="20"/>
                <w:lang w:eastAsia="hr-HR"/>
              </w:rPr>
              <w:t>29,5</w:t>
            </w:r>
          </w:p>
        </w:tc>
        <w:tc>
          <w:tcPr>
            <w:tcW w:w="1134" w:type="dxa"/>
            <w:shd w:val="clear" w:color="auto" w:fill="auto"/>
            <w:noWrap/>
            <w:vAlign w:val="center"/>
            <w:hideMark/>
          </w:tcPr>
          <w:p w14:paraId="1EED1F2D" w14:textId="0F799ADD" w:rsidR="00245089" w:rsidRPr="00CA0804" w:rsidRDefault="00245089" w:rsidP="00245089">
            <w:pPr>
              <w:jc w:val="center"/>
              <w:rPr>
                <w:sz w:val="20"/>
                <w:szCs w:val="20"/>
              </w:rPr>
            </w:pPr>
            <w:r w:rsidRPr="00CA0804">
              <w:rPr>
                <w:rFonts w:eastAsia="Times New Roman"/>
                <w:sz w:val="20"/>
                <w:szCs w:val="20"/>
                <w:lang w:eastAsia="hr-HR"/>
              </w:rPr>
              <w:t>0,04</w:t>
            </w:r>
          </w:p>
        </w:tc>
        <w:tc>
          <w:tcPr>
            <w:tcW w:w="850" w:type="dxa"/>
            <w:shd w:val="clear" w:color="auto" w:fill="auto"/>
            <w:vAlign w:val="center"/>
            <w:hideMark/>
          </w:tcPr>
          <w:p w14:paraId="09D1B5A7" w14:textId="32715366" w:rsidR="00245089" w:rsidRPr="00CA0804" w:rsidRDefault="00245089" w:rsidP="00245089">
            <w:pPr>
              <w:jc w:val="right"/>
              <w:rPr>
                <w:sz w:val="20"/>
                <w:szCs w:val="20"/>
              </w:rPr>
            </w:pPr>
            <w:r w:rsidRPr="00CA0804">
              <w:rPr>
                <w:rFonts w:eastAsia="Times New Roman"/>
                <w:sz w:val="20"/>
                <w:szCs w:val="20"/>
                <w:lang w:eastAsia="hr-HR"/>
              </w:rPr>
              <w:t>14,0</w:t>
            </w:r>
          </w:p>
        </w:tc>
        <w:tc>
          <w:tcPr>
            <w:tcW w:w="1134" w:type="dxa"/>
            <w:shd w:val="clear" w:color="auto" w:fill="auto"/>
            <w:noWrap/>
            <w:vAlign w:val="center"/>
            <w:hideMark/>
          </w:tcPr>
          <w:p w14:paraId="236EDA57" w14:textId="4697FEFF" w:rsidR="00245089" w:rsidRPr="00CA0804" w:rsidRDefault="00245089" w:rsidP="00245089">
            <w:pPr>
              <w:jc w:val="center"/>
              <w:rPr>
                <w:sz w:val="20"/>
                <w:szCs w:val="20"/>
              </w:rPr>
            </w:pPr>
            <w:r w:rsidRPr="00CA0804">
              <w:rPr>
                <w:rFonts w:eastAsia="Times New Roman"/>
                <w:sz w:val="20"/>
                <w:szCs w:val="20"/>
                <w:lang w:eastAsia="hr-HR"/>
              </w:rPr>
              <w:t>0,02</w:t>
            </w:r>
          </w:p>
        </w:tc>
      </w:tr>
      <w:tr w:rsidR="00245089" w:rsidRPr="00CA0804" w14:paraId="0ECCB876" w14:textId="77777777" w:rsidTr="00245089">
        <w:trPr>
          <w:trHeight w:val="40"/>
        </w:trPr>
        <w:tc>
          <w:tcPr>
            <w:tcW w:w="2972" w:type="dxa"/>
            <w:shd w:val="clear" w:color="auto" w:fill="auto"/>
            <w:vAlign w:val="center"/>
            <w:hideMark/>
          </w:tcPr>
          <w:p w14:paraId="19131505" w14:textId="77777777" w:rsidR="00245089" w:rsidRPr="00CA0804" w:rsidRDefault="00245089" w:rsidP="00245089">
            <w:pPr>
              <w:rPr>
                <w:rFonts w:eastAsia="Times New Roman"/>
                <w:sz w:val="20"/>
                <w:szCs w:val="20"/>
              </w:rPr>
            </w:pPr>
            <w:r w:rsidRPr="00CA0804">
              <w:rPr>
                <w:rFonts w:eastAsia="Times New Roman"/>
                <w:sz w:val="20"/>
                <w:szCs w:val="20"/>
              </w:rPr>
              <w:t>Turizam</w:t>
            </w:r>
          </w:p>
        </w:tc>
        <w:tc>
          <w:tcPr>
            <w:tcW w:w="851" w:type="dxa"/>
            <w:shd w:val="clear" w:color="auto" w:fill="auto"/>
            <w:vAlign w:val="center"/>
            <w:hideMark/>
          </w:tcPr>
          <w:p w14:paraId="0C1A3078" w14:textId="17388086" w:rsidR="00245089" w:rsidRPr="00CA0804" w:rsidRDefault="00245089" w:rsidP="00245089">
            <w:pPr>
              <w:jc w:val="right"/>
              <w:rPr>
                <w:sz w:val="20"/>
                <w:szCs w:val="20"/>
              </w:rPr>
            </w:pPr>
            <w:r w:rsidRPr="00CA0804">
              <w:rPr>
                <w:rFonts w:eastAsia="Times New Roman"/>
                <w:sz w:val="20"/>
                <w:szCs w:val="20"/>
                <w:lang w:eastAsia="hr-HR"/>
              </w:rPr>
              <w:t>0,7</w:t>
            </w:r>
          </w:p>
        </w:tc>
        <w:tc>
          <w:tcPr>
            <w:tcW w:w="1134" w:type="dxa"/>
            <w:shd w:val="clear" w:color="auto" w:fill="auto"/>
            <w:noWrap/>
            <w:vAlign w:val="center"/>
            <w:hideMark/>
          </w:tcPr>
          <w:p w14:paraId="29AA61A7" w14:textId="55A5B775" w:rsidR="00245089" w:rsidRPr="00CA0804" w:rsidRDefault="00245089" w:rsidP="00245089">
            <w:pPr>
              <w:jc w:val="center"/>
              <w:rPr>
                <w:sz w:val="20"/>
                <w:szCs w:val="20"/>
              </w:rPr>
            </w:pPr>
            <w:r w:rsidRPr="00CA0804">
              <w:rPr>
                <w:rFonts w:eastAsia="Times New Roman"/>
                <w:sz w:val="20"/>
                <w:szCs w:val="20"/>
                <w:lang w:eastAsia="hr-HR"/>
              </w:rPr>
              <w:t>0,001</w:t>
            </w:r>
          </w:p>
        </w:tc>
        <w:tc>
          <w:tcPr>
            <w:tcW w:w="992" w:type="dxa"/>
            <w:shd w:val="clear" w:color="auto" w:fill="auto"/>
            <w:vAlign w:val="center"/>
            <w:hideMark/>
          </w:tcPr>
          <w:p w14:paraId="0871054F" w14:textId="57830206" w:rsidR="00245089" w:rsidRPr="00CA0804" w:rsidRDefault="00245089" w:rsidP="00245089">
            <w:pPr>
              <w:jc w:val="right"/>
              <w:rPr>
                <w:sz w:val="20"/>
                <w:szCs w:val="20"/>
              </w:rPr>
            </w:pPr>
            <w:r w:rsidRPr="00CA0804">
              <w:rPr>
                <w:rFonts w:eastAsia="Times New Roman"/>
                <w:sz w:val="20"/>
                <w:szCs w:val="20"/>
                <w:lang w:eastAsia="hr-HR"/>
              </w:rPr>
              <w:t>130,5</w:t>
            </w:r>
          </w:p>
        </w:tc>
        <w:tc>
          <w:tcPr>
            <w:tcW w:w="1134" w:type="dxa"/>
            <w:shd w:val="clear" w:color="auto" w:fill="auto"/>
            <w:noWrap/>
            <w:vAlign w:val="center"/>
            <w:hideMark/>
          </w:tcPr>
          <w:p w14:paraId="64941742" w14:textId="1E7ED94B" w:rsidR="00245089" w:rsidRPr="00CA0804" w:rsidRDefault="00245089" w:rsidP="00245089">
            <w:pPr>
              <w:jc w:val="center"/>
              <w:rPr>
                <w:sz w:val="20"/>
                <w:szCs w:val="20"/>
              </w:rPr>
            </w:pPr>
            <w:r w:rsidRPr="00CA0804">
              <w:rPr>
                <w:rFonts w:eastAsia="Times New Roman"/>
                <w:sz w:val="20"/>
                <w:szCs w:val="20"/>
                <w:lang w:eastAsia="hr-HR"/>
              </w:rPr>
              <w:t>0,17</w:t>
            </w:r>
          </w:p>
        </w:tc>
        <w:tc>
          <w:tcPr>
            <w:tcW w:w="850" w:type="dxa"/>
            <w:shd w:val="clear" w:color="auto" w:fill="auto"/>
            <w:vAlign w:val="center"/>
            <w:hideMark/>
          </w:tcPr>
          <w:p w14:paraId="204D2DCC" w14:textId="53EE2547" w:rsidR="00245089" w:rsidRPr="00CA0804" w:rsidRDefault="00245089" w:rsidP="00245089">
            <w:pPr>
              <w:jc w:val="right"/>
              <w:rPr>
                <w:sz w:val="20"/>
                <w:szCs w:val="20"/>
              </w:rPr>
            </w:pPr>
            <w:r w:rsidRPr="00CA0804">
              <w:rPr>
                <w:rFonts w:eastAsia="Times New Roman"/>
                <w:sz w:val="20"/>
                <w:szCs w:val="20"/>
                <w:lang w:eastAsia="hr-HR"/>
              </w:rPr>
              <w:t>44,6</w:t>
            </w:r>
          </w:p>
        </w:tc>
        <w:tc>
          <w:tcPr>
            <w:tcW w:w="1134" w:type="dxa"/>
            <w:shd w:val="clear" w:color="auto" w:fill="auto"/>
            <w:noWrap/>
            <w:vAlign w:val="center"/>
            <w:hideMark/>
          </w:tcPr>
          <w:p w14:paraId="53A2275B" w14:textId="3821A9E5" w:rsidR="00245089" w:rsidRPr="00CA0804" w:rsidRDefault="00245089" w:rsidP="00245089">
            <w:pPr>
              <w:jc w:val="center"/>
              <w:rPr>
                <w:sz w:val="20"/>
                <w:szCs w:val="20"/>
              </w:rPr>
            </w:pPr>
            <w:r w:rsidRPr="00CA0804">
              <w:rPr>
                <w:rFonts w:eastAsia="Times New Roman"/>
                <w:sz w:val="20"/>
                <w:szCs w:val="20"/>
                <w:lang w:eastAsia="hr-HR"/>
              </w:rPr>
              <w:t>0,05</w:t>
            </w:r>
          </w:p>
        </w:tc>
      </w:tr>
      <w:tr w:rsidR="00245089" w:rsidRPr="00CA0804" w14:paraId="53D924E8" w14:textId="77777777" w:rsidTr="00245089">
        <w:trPr>
          <w:trHeight w:val="42"/>
        </w:trPr>
        <w:tc>
          <w:tcPr>
            <w:tcW w:w="2972" w:type="dxa"/>
            <w:shd w:val="clear" w:color="auto" w:fill="auto"/>
            <w:noWrap/>
            <w:vAlign w:val="center"/>
            <w:hideMark/>
          </w:tcPr>
          <w:p w14:paraId="5ECD37A5" w14:textId="77777777" w:rsidR="00245089" w:rsidRPr="00CA0804" w:rsidRDefault="00245089" w:rsidP="00245089">
            <w:pPr>
              <w:rPr>
                <w:rFonts w:eastAsia="Times New Roman"/>
                <w:sz w:val="20"/>
                <w:szCs w:val="20"/>
              </w:rPr>
            </w:pPr>
            <w:r w:rsidRPr="00CA0804">
              <w:rPr>
                <w:rFonts w:eastAsia="Times New Roman"/>
                <w:sz w:val="20"/>
                <w:szCs w:val="20"/>
              </w:rPr>
              <w:t>Sanacija i restrukturiranje</w:t>
            </w:r>
          </w:p>
        </w:tc>
        <w:tc>
          <w:tcPr>
            <w:tcW w:w="851" w:type="dxa"/>
            <w:shd w:val="clear" w:color="auto" w:fill="auto"/>
            <w:vAlign w:val="center"/>
            <w:hideMark/>
          </w:tcPr>
          <w:p w14:paraId="01DC984D" w14:textId="64132288" w:rsidR="00245089" w:rsidRPr="00CA0804" w:rsidRDefault="00245089" w:rsidP="00245089">
            <w:pPr>
              <w:jc w:val="right"/>
              <w:rPr>
                <w:sz w:val="20"/>
                <w:szCs w:val="20"/>
              </w:rPr>
            </w:pPr>
            <w:r w:rsidRPr="00CA0804">
              <w:rPr>
                <w:rFonts w:eastAsia="Times New Roman"/>
                <w:sz w:val="20"/>
                <w:szCs w:val="20"/>
                <w:lang w:eastAsia="hr-HR"/>
              </w:rPr>
              <w:t>-</w:t>
            </w:r>
          </w:p>
        </w:tc>
        <w:tc>
          <w:tcPr>
            <w:tcW w:w="1134" w:type="dxa"/>
            <w:shd w:val="clear" w:color="auto" w:fill="auto"/>
            <w:noWrap/>
            <w:vAlign w:val="center"/>
            <w:hideMark/>
          </w:tcPr>
          <w:p w14:paraId="4590D806" w14:textId="35855066" w:rsidR="00245089" w:rsidRPr="00CA0804" w:rsidRDefault="00245089" w:rsidP="00245089">
            <w:pPr>
              <w:jc w:val="center"/>
              <w:rPr>
                <w:sz w:val="20"/>
                <w:szCs w:val="20"/>
              </w:rPr>
            </w:pPr>
            <w:r w:rsidRPr="00CA0804">
              <w:rPr>
                <w:rFonts w:eastAsia="Times New Roman"/>
                <w:sz w:val="20"/>
                <w:szCs w:val="20"/>
                <w:lang w:eastAsia="hr-HR"/>
              </w:rPr>
              <w:t>-</w:t>
            </w:r>
          </w:p>
        </w:tc>
        <w:tc>
          <w:tcPr>
            <w:tcW w:w="992" w:type="dxa"/>
            <w:shd w:val="clear" w:color="auto" w:fill="auto"/>
            <w:vAlign w:val="center"/>
            <w:hideMark/>
          </w:tcPr>
          <w:p w14:paraId="60BC2640" w14:textId="68B46306" w:rsidR="00245089" w:rsidRPr="00CA0804" w:rsidRDefault="00245089" w:rsidP="00245089">
            <w:pPr>
              <w:jc w:val="right"/>
              <w:rPr>
                <w:sz w:val="20"/>
                <w:szCs w:val="20"/>
              </w:rPr>
            </w:pPr>
            <w:r w:rsidRPr="00CA0804">
              <w:rPr>
                <w:rFonts w:eastAsia="Times New Roman"/>
                <w:sz w:val="20"/>
                <w:szCs w:val="20"/>
                <w:lang w:eastAsia="hr-HR"/>
              </w:rPr>
              <w:t>9,0</w:t>
            </w:r>
          </w:p>
        </w:tc>
        <w:tc>
          <w:tcPr>
            <w:tcW w:w="1134" w:type="dxa"/>
            <w:shd w:val="clear" w:color="auto" w:fill="auto"/>
            <w:noWrap/>
            <w:vAlign w:val="center"/>
            <w:hideMark/>
          </w:tcPr>
          <w:p w14:paraId="7EB95085" w14:textId="029DD579" w:rsidR="00245089" w:rsidRPr="00CA0804" w:rsidRDefault="00245089" w:rsidP="00245089">
            <w:pPr>
              <w:jc w:val="center"/>
              <w:rPr>
                <w:sz w:val="20"/>
                <w:szCs w:val="20"/>
              </w:rPr>
            </w:pPr>
            <w:r w:rsidRPr="00CA0804">
              <w:rPr>
                <w:rFonts w:eastAsia="Times New Roman"/>
                <w:sz w:val="20"/>
                <w:szCs w:val="20"/>
                <w:lang w:eastAsia="hr-HR"/>
              </w:rPr>
              <w:t>0,01</w:t>
            </w:r>
          </w:p>
        </w:tc>
        <w:tc>
          <w:tcPr>
            <w:tcW w:w="850" w:type="dxa"/>
            <w:shd w:val="clear" w:color="auto" w:fill="auto"/>
            <w:vAlign w:val="center"/>
            <w:hideMark/>
          </w:tcPr>
          <w:p w14:paraId="265309E9" w14:textId="4719A7CF" w:rsidR="00245089" w:rsidRPr="00CA0804" w:rsidRDefault="00245089" w:rsidP="00245089">
            <w:pPr>
              <w:jc w:val="right"/>
              <w:rPr>
                <w:sz w:val="20"/>
                <w:szCs w:val="20"/>
              </w:rPr>
            </w:pPr>
            <w:r w:rsidRPr="00CA0804">
              <w:rPr>
                <w:rFonts w:eastAsia="Times New Roman"/>
                <w:sz w:val="20"/>
                <w:szCs w:val="20"/>
                <w:lang w:eastAsia="hr-HR"/>
              </w:rPr>
              <w:t>-</w:t>
            </w:r>
          </w:p>
        </w:tc>
        <w:tc>
          <w:tcPr>
            <w:tcW w:w="1134" w:type="dxa"/>
            <w:shd w:val="clear" w:color="auto" w:fill="auto"/>
            <w:noWrap/>
            <w:vAlign w:val="center"/>
            <w:hideMark/>
          </w:tcPr>
          <w:p w14:paraId="2AF3538D" w14:textId="4DB4504D" w:rsidR="00245089" w:rsidRPr="00CA0804" w:rsidRDefault="00245089" w:rsidP="00245089">
            <w:pPr>
              <w:jc w:val="center"/>
              <w:rPr>
                <w:sz w:val="20"/>
                <w:szCs w:val="20"/>
              </w:rPr>
            </w:pPr>
            <w:r w:rsidRPr="00CA0804">
              <w:rPr>
                <w:rFonts w:eastAsia="Times New Roman"/>
                <w:sz w:val="20"/>
                <w:szCs w:val="20"/>
                <w:lang w:eastAsia="hr-HR"/>
              </w:rPr>
              <w:t>-</w:t>
            </w:r>
          </w:p>
        </w:tc>
      </w:tr>
      <w:tr w:rsidR="00245089" w:rsidRPr="00CA0804" w14:paraId="7FA79226" w14:textId="77777777" w:rsidTr="00245089">
        <w:trPr>
          <w:trHeight w:val="42"/>
        </w:trPr>
        <w:tc>
          <w:tcPr>
            <w:tcW w:w="2972" w:type="dxa"/>
            <w:shd w:val="clear" w:color="auto" w:fill="auto"/>
            <w:vAlign w:val="center"/>
            <w:hideMark/>
          </w:tcPr>
          <w:p w14:paraId="4C69CC92" w14:textId="77777777" w:rsidR="00245089" w:rsidRPr="00CA0804" w:rsidRDefault="00245089" w:rsidP="00245089">
            <w:pPr>
              <w:rPr>
                <w:rFonts w:eastAsia="Times New Roman"/>
                <w:sz w:val="20"/>
                <w:szCs w:val="20"/>
              </w:rPr>
            </w:pPr>
            <w:r w:rsidRPr="00CA0804">
              <w:rPr>
                <w:rFonts w:eastAsia="Times New Roman"/>
                <w:sz w:val="20"/>
                <w:szCs w:val="20"/>
              </w:rPr>
              <w:t>Radiotelevizijsko emitiranje i audiovizualna industrija</w:t>
            </w:r>
          </w:p>
        </w:tc>
        <w:tc>
          <w:tcPr>
            <w:tcW w:w="851" w:type="dxa"/>
            <w:shd w:val="clear" w:color="auto" w:fill="auto"/>
            <w:vAlign w:val="center"/>
            <w:hideMark/>
          </w:tcPr>
          <w:p w14:paraId="11D9D349" w14:textId="7BC49B7E" w:rsidR="00245089" w:rsidRPr="00CA0804" w:rsidRDefault="00245089" w:rsidP="00245089">
            <w:pPr>
              <w:jc w:val="right"/>
              <w:rPr>
                <w:sz w:val="20"/>
                <w:szCs w:val="20"/>
              </w:rPr>
            </w:pPr>
            <w:r w:rsidRPr="00CA0804">
              <w:rPr>
                <w:rFonts w:eastAsia="Times New Roman"/>
                <w:sz w:val="20"/>
                <w:szCs w:val="20"/>
                <w:lang w:eastAsia="hr-HR"/>
              </w:rPr>
              <w:t>153,2</w:t>
            </w:r>
          </w:p>
        </w:tc>
        <w:tc>
          <w:tcPr>
            <w:tcW w:w="1134" w:type="dxa"/>
            <w:shd w:val="clear" w:color="auto" w:fill="auto"/>
            <w:noWrap/>
            <w:vAlign w:val="center"/>
            <w:hideMark/>
          </w:tcPr>
          <w:p w14:paraId="372D85C8" w14:textId="53827350" w:rsidR="00245089" w:rsidRPr="00CA0804" w:rsidRDefault="00245089" w:rsidP="00245089">
            <w:pPr>
              <w:jc w:val="center"/>
              <w:rPr>
                <w:sz w:val="20"/>
                <w:szCs w:val="20"/>
              </w:rPr>
            </w:pPr>
            <w:r w:rsidRPr="00CA0804">
              <w:rPr>
                <w:rFonts w:eastAsia="Times New Roman"/>
                <w:sz w:val="20"/>
                <w:szCs w:val="20"/>
                <w:lang w:eastAsia="hr-HR"/>
              </w:rPr>
              <w:t>0,23</w:t>
            </w:r>
          </w:p>
        </w:tc>
        <w:tc>
          <w:tcPr>
            <w:tcW w:w="992" w:type="dxa"/>
            <w:shd w:val="clear" w:color="auto" w:fill="auto"/>
            <w:vAlign w:val="center"/>
            <w:hideMark/>
          </w:tcPr>
          <w:p w14:paraId="68722C56" w14:textId="3F2A2898" w:rsidR="00245089" w:rsidRPr="00CA0804" w:rsidRDefault="00245089" w:rsidP="00245089">
            <w:pPr>
              <w:jc w:val="right"/>
              <w:rPr>
                <w:sz w:val="20"/>
                <w:szCs w:val="20"/>
              </w:rPr>
            </w:pPr>
            <w:r w:rsidRPr="00CA0804">
              <w:rPr>
                <w:rFonts w:eastAsia="Times New Roman"/>
                <w:sz w:val="20"/>
                <w:szCs w:val="20"/>
                <w:lang w:eastAsia="hr-HR"/>
              </w:rPr>
              <w:t>153,9</w:t>
            </w:r>
          </w:p>
        </w:tc>
        <w:tc>
          <w:tcPr>
            <w:tcW w:w="1134" w:type="dxa"/>
            <w:shd w:val="clear" w:color="auto" w:fill="auto"/>
            <w:noWrap/>
            <w:vAlign w:val="center"/>
            <w:hideMark/>
          </w:tcPr>
          <w:p w14:paraId="66DCFDAF" w14:textId="0897AC71" w:rsidR="00245089" w:rsidRPr="00CA0804" w:rsidRDefault="00245089" w:rsidP="00245089">
            <w:pPr>
              <w:jc w:val="center"/>
              <w:rPr>
                <w:sz w:val="20"/>
                <w:szCs w:val="20"/>
              </w:rPr>
            </w:pPr>
            <w:r w:rsidRPr="00CA0804">
              <w:rPr>
                <w:rFonts w:eastAsia="Times New Roman"/>
                <w:sz w:val="20"/>
                <w:szCs w:val="20"/>
                <w:lang w:eastAsia="hr-HR"/>
              </w:rPr>
              <w:t>0,20</w:t>
            </w:r>
          </w:p>
        </w:tc>
        <w:tc>
          <w:tcPr>
            <w:tcW w:w="850" w:type="dxa"/>
            <w:shd w:val="clear" w:color="auto" w:fill="auto"/>
            <w:vAlign w:val="center"/>
            <w:hideMark/>
          </w:tcPr>
          <w:p w14:paraId="46FD1D15" w14:textId="442CC423" w:rsidR="00245089" w:rsidRPr="00CA0804" w:rsidRDefault="00245089" w:rsidP="00245089">
            <w:pPr>
              <w:jc w:val="right"/>
              <w:rPr>
                <w:sz w:val="20"/>
                <w:szCs w:val="20"/>
              </w:rPr>
            </w:pPr>
            <w:r w:rsidRPr="00CA0804">
              <w:rPr>
                <w:rFonts w:eastAsia="Times New Roman"/>
                <w:sz w:val="20"/>
                <w:szCs w:val="20"/>
                <w:lang w:eastAsia="hr-HR"/>
              </w:rPr>
              <w:t>170,3</w:t>
            </w:r>
          </w:p>
        </w:tc>
        <w:tc>
          <w:tcPr>
            <w:tcW w:w="1134" w:type="dxa"/>
            <w:shd w:val="clear" w:color="auto" w:fill="auto"/>
            <w:noWrap/>
            <w:vAlign w:val="center"/>
            <w:hideMark/>
          </w:tcPr>
          <w:p w14:paraId="0DD3566F" w14:textId="5046AB6F" w:rsidR="00245089" w:rsidRPr="00CA0804" w:rsidRDefault="00245089" w:rsidP="00245089">
            <w:pPr>
              <w:jc w:val="center"/>
              <w:rPr>
                <w:sz w:val="20"/>
                <w:szCs w:val="20"/>
              </w:rPr>
            </w:pPr>
            <w:r w:rsidRPr="00CA0804">
              <w:rPr>
                <w:rFonts w:eastAsia="Times New Roman"/>
                <w:sz w:val="20"/>
                <w:szCs w:val="20"/>
                <w:lang w:eastAsia="hr-HR"/>
              </w:rPr>
              <w:t>0,20</w:t>
            </w:r>
          </w:p>
        </w:tc>
      </w:tr>
      <w:tr w:rsidR="00245089" w:rsidRPr="00CA0804" w14:paraId="60EE19FF" w14:textId="77777777" w:rsidTr="00245089">
        <w:trPr>
          <w:trHeight w:val="42"/>
        </w:trPr>
        <w:tc>
          <w:tcPr>
            <w:tcW w:w="2972" w:type="dxa"/>
            <w:shd w:val="clear" w:color="auto" w:fill="auto"/>
            <w:noWrap/>
            <w:vAlign w:val="center"/>
            <w:hideMark/>
          </w:tcPr>
          <w:p w14:paraId="5A9EB3FD" w14:textId="77777777" w:rsidR="00245089" w:rsidRPr="00CA0804" w:rsidRDefault="00245089" w:rsidP="00245089">
            <w:pPr>
              <w:rPr>
                <w:rFonts w:eastAsia="Times New Roman"/>
                <w:sz w:val="20"/>
                <w:szCs w:val="20"/>
              </w:rPr>
            </w:pPr>
            <w:r w:rsidRPr="00CA0804">
              <w:rPr>
                <w:rFonts w:eastAsia="Times New Roman"/>
                <w:sz w:val="20"/>
                <w:szCs w:val="20"/>
              </w:rPr>
              <w:t>Razvoj širokopojasnih mreža</w:t>
            </w:r>
          </w:p>
        </w:tc>
        <w:tc>
          <w:tcPr>
            <w:tcW w:w="851" w:type="dxa"/>
            <w:shd w:val="clear" w:color="auto" w:fill="auto"/>
            <w:vAlign w:val="center"/>
            <w:hideMark/>
          </w:tcPr>
          <w:p w14:paraId="156BD83D" w14:textId="579B53C1" w:rsidR="00245089" w:rsidRPr="00CA0804" w:rsidRDefault="00E60AEF" w:rsidP="00245089">
            <w:pPr>
              <w:jc w:val="right"/>
              <w:rPr>
                <w:sz w:val="20"/>
                <w:szCs w:val="20"/>
              </w:rPr>
            </w:pPr>
            <w:r w:rsidRPr="00CA0804">
              <w:rPr>
                <w:rFonts w:eastAsia="Times New Roman"/>
                <w:sz w:val="20"/>
                <w:szCs w:val="20"/>
                <w:lang w:eastAsia="hr-HR"/>
              </w:rPr>
              <w:t>-</w:t>
            </w:r>
          </w:p>
        </w:tc>
        <w:tc>
          <w:tcPr>
            <w:tcW w:w="1134" w:type="dxa"/>
            <w:shd w:val="clear" w:color="auto" w:fill="auto"/>
            <w:noWrap/>
            <w:vAlign w:val="center"/>
            <w:hideMark/>
          </w:tcPr>
          <w:p w14:paraId="4AE8F1F1" w14:textId="6368FC09" w:rsidR="00245089" w:rsidRPr="00CA0804" w:rsidRDefault="00245089" w:rsidP="00245089">
            <w:pPr>
              <w:jc w:val="center"/>
              <w:rPr>
                <w:sz w:val="20"/>
                <w:szCs w:val="20"/>
              </w:rPr>
            </w:pPr>
            <w:r w:rsidRPr="00CA0804">
              <w:rPr>
                <w:rFonts w:eastAsia="Times New Roman"/>
                <w:sz w:val="20"/>
                <w:szCs w:val="20"/>
                <w:lang w:eastAsia="hr-HR"/>
              </w:rPr>
              <w:t>-</w:t>
            </w:r>
          </w:p>
        </w:tc>
        <w:tc>
          <w:tcPr>
            <w:tcW w:w="992" w:type="dxa"/>
            <w:shd w:val="clear" w:color="auto" w:fill="auto"/>
            <w:vAlign w:val="center"/>
          </w:tcPr>
          <w:p w14:paraId="659695D9" w14:textId="4E321105" w:rsidR="00245089" w:rsidRPr="00CA0804" w:rsidRDefault="00245089" w:rsidP="00245089">
            <w:pPr>
              <w:jc w:val="right"/>
              <w:rPr>
                <w:sz w:val="20"/>
                <w:szCs w:val="20"/>
              </w:rPr>
            </w:pPr>
            <w:r w:rsidRPr="00CA0804">
              <w:rPr>
                <w:rFonts w:eastAsia="Times New Roman"/>
                <w:sz w:val="20"/>
                <w:szCs w:val="20"/>
                <w:lang w:eastAsia="hr-HR"/>
              </w:rPr>
              <w:t>5,8</w:t>
            </w:r>
          </w:p>
        </w:tc>
        <w:tc>
          <w:tcPr>
            <w:tcW w:w="1134" w:type="dxa"/>
            <w:shd w:val="clear" w:color="auto" w:fill="auto"/>
            <w:noWrap/>
            <w:vAlign w:val="center"/>
          </w:tcPr>
          <w:p w14:paraId="5172B3EA" w14:textId="67D4F4C8" w:rsidR="00245089" w:rsidRPr="00CA0804" w:rsidRDefault="00245089" w:rsidP="00245089">
            <w:pPr>
              <w:jc w:val="center"/>
              <w:rPr>
                <w:sz w:val="20"/>
                <w:szCs w:val="20"/>
              </w:rPr>
            </w:pPr>
            <w:r w:rsidRPr="00CA0804">
              <w:rPr>
                <w:rFonts w:eastAsia="Times New Roman"/>
                <w:sz w:val="20"/>
                <w:szCs w:val="20"/>
                <w:lang w:eastAsia="hr-HR"/>
              </w:rPr>
              <w:t>0,01</w:t>
            </w:r>
          </w:p>
        </w:tc>
        <w:tc>
          <w:tcPr>
            <w:tcW w:w="850" w:type="dxa"/>
            <w:shd w:val="clear" w:color="auto" w:fill="auto"/>
            <w:vAlign w:val="center"/>
          </w:tcPr>
          <w:p w14:paraId="386CF0CC" w14:textId="710A6AA6" w:rsidR="00245089" w:rsidRPr="00CA0804" w:rsidRDefault="00245089" w:rsidP="00245089">
            <w:pPr>
              <w:jc w:val="right"/>
              <w:rPr>
                <w:sz w:val="20"/>
                <w:szCs w:val="20"/>
              </w:rPr>
            </w:pPr>
            <w:r w:rsidRPr="00CA0804">
              <w:rPr>
                <w:rFonts w:eastAsia="Times New Roman"/>
                <w:sz w:val="20"/>
                <w:szCs w:val="20"/>
                <w:lang w:eastAsia="hr-HR"/>
              </w:rPr>
              <w:t>10,6</w:t>
            </w:r>
          </w:p>
        </w:tc>
        <w:tc>
          <w:tcPr>
            <w:tcW w:w="1134" w:type="dxa"/>
            <w:shd w:val="clear" w:color="auto" w:fill="auto"/>
            <w:noWrap/>
            <w:vAlign w:val="center"/>
          </w:tcPr>
          <w:p w14:paraId="37F8DAC9" w14:textId="1F4B1C27" w:rsidR="00245089" w:rsidRPr="00CA0804" w:rsidRDefault="00245089" w:rsidP="00245089">
            <w:pPr>
              <w:jc w:val="center"/>
              <w:rPr>
                <w:sz w:val="20"/>
                <w:szCs w:val="20"/>
              </w:rPr>
            </w:pPr>
            <w:r w:rsidRPr="00CA0804">
              <w:rPr>
                <w:rFonts w:eastAsia="Times New Roman"/>
                <w:sz w:val="20"/>
                <w:szCs w:val="20"/>
                <w:lang w:eastAsia="hr-HR"/>
              </w:rPr>
              <w:t>0,01</w:t>
            </w:r>
          </w:p>
        </w:tc>
      </w:tr>
      <w:tr w:rsidR="00245089" w:rsidRPr="00CA0804" w14:paraId="7F329469" w14:textId="77777777" w:rsidTr="00245089">
        <w:trPr>
          <w:trHeight w:val="40"/>
        </w:trPr>
        <w:tc>
          <w:tcPr>
            <w:tcW w:w="2972" w:type="dxa"/>
            <w:shd w:val="clear" w:color="000000" w:fill="FFFF99"/>
            <w:noWrap/>
            <w:vAlign w:val="center"/>
            <w:hideMark/>
          </w:tcPr>
          <w:p w14:paraId="296848B2" w14:textId="77777777" w:rsidR="00245089" w:rsidRPr="00CA0804" w:rsidRDefault="00245089" w:rsidP="00245089">
            <w:pPr>
              <w:rPr>
                <w:rFonts w:eastAsia="Times New Roman"/>
                <w:b/>
                <w:bCs/>
                <w:sz w:val="20"/>
                <w:szCs w:val="20"/>
              </w:rPr>
            </w:pPr>
            <w:r w:rsidRPr="00CA0804">
              <w:rPr>
                <w:rFonts w:eastAsia="Times New Roman"/>
                <w:b/>
                <w:bCs/>
                <w:sz w:val="20"/>
                <w:szCs w:val="20"/>
              </w:rPr>
              <w:t>Ukupno</w:t>
            </w:r>
          </w:p>
        </w:tc>
        <w:tc>
          <w:tcPr>
            <w:tcW w:w="851" w:type="dxa"/>
            <w:shd w:val="clear" w:color="000000" w:fill="FFFF99"/>
            <w:noWrap/>
            <w:vAlign w:val="center"/>
            <w:hideMark/>
          </w:tcPr>
          <w:p w14:paraId="20B98E36" w14:textId="4F2EDBD0" w:rsidR="00245089" w:rsidRPr="00CA0804" w:rsidRDefault="00245089" w:rsidP="00245089">
            <w:pPr>
              <w:jc w:val="right"/>
              <w:rPr>
                <w:b/>
                <w:sz w:val="20"/>
                <w:szCs w:val="20"/>
              </w:rPr>
            </w:pPr>
            <w:r w:rsidRPr="00CA0804">
              <w:rPr>
                <w:rFonts w:eastAsia="Times New Roman"/>
                <w:b/>
                <w:bCs/>
                <w:sz w:val="20"/>
                <w:szCs w:val="20"/>
                <w:lang w:eastAsia="hr-HR"/>
              </w:rPr>
              <w:t>604,0</w:t>
            </w:r>
          </w:p>
        </w:tc>
        <w:tc>
          <w:tcPr>
            <w:tcW w:w="1134" w:type="dxa"/>
            <w:shd w:val="clear" w:color="000000" w:fill="FFFF99"/>
            <w:noWrap/>
            <w:vAlign w:val="center"/>
            <w:hideMark/>
          </w:tcPr>
          <w:p w14:paraId="2C268649" w14:textId="4B5FB0D6" w:rsidR="00245089" w:rsidRPr="00CA0804" w:rsidRDefault="00245089" w:rsidP="00245089">
            <w:pPr>
              <w:jc w:val="center"/>
              <w:rPr>
                <w:b/>
                <w:sz w:val="20"/>
                <w:szCs w:val="20"/>
              </w:rPr>
            </w:pPr>
            <w:r w:rsidRPr="00CA0804">
              <w:rPr>
                <w:rFonts w:eastAsia="Times New Roman"/>
                <w:b/>
                <w:bCs/>
                <w:sz w:val="20"/>
                <w:szCs w:val="20"/>
                <w:lang w:eastAsia="hr-HR"/>
              </w:rPr>
              <w:t>0,89</w:t>
            </w:r>
          </w:p>
        </w:tc>
        <w:tc>
          <w:tcPr>
            <w:tcW w:w="992" w:type="dxa"/>
            <w:shd w:val="clear" w:color="000000" w:fill="FFFF99"/>
            <w:noWrap/>
            <w:vAlign w:val="center"/>
            <w:hideMark/>
          </w:tcPr>
          <w:p w14:paraId="5CFA64BA" w14:textId="6D9DDA23" w:rsidR="00245089" w:rsidRPr="00CA0804" w:rsidRDefault="00E60AEF" w:rsidP="00245089">
            <w:pPr>
              <w:jc w:val="right"/>
              <w:rPr>
                <w:b/>
                <w:sz w:val="20"/>
                <w:szCs w:val="20"/>
              </w:rPr>
            </w:pPr>
            <w:r w:rsidRPr="00CA0804">
              <w:rPr>
                <w:rFonts w:eastAsia="Times New Roman"/>
                <w:b/>
                <w:bCs/>
                <w:sz w:val="20"/>
                <w:szCs w:val="20"/>
                <w:lang w:eastAsia="hr-HR"/>
              </w:rPr>
              <w:t>849,4</w:t>
            </w:r>
          </w:p>
        </w:tc>
        <w:tc>
          <w:tcPr>
            <w:tcW w:w="1134" w:type="dxa"/>
            <w:shd w:val="clear" w:color="000000" w:fill="FFFF99"/>
            <w:noWrap/>
            <w:vAlign w:val="center"/>
            <w:hideMark/>
          </w:tcPr>
          <w:p w14:paraId="7DEC99C0" w14:textId="234248FF" w:rsidR="00245089" w:rsidRPr="00CA0804" w:rsidRDefault="00245089" w:rsidP="00245089">
            <w:pPr>
              <w:jc w:val="center"/>
              <w:rPr>
                <w:b/>
                <w:sz w:val="20"/>
                <w:szCs w:val="20"/>
              </w:rPr>
            </w:pPr>
            <w:r w:rsidRPr="00CA0804">
              <w:rPr>
                <w:rFonts w:eastAsia="Times New Roman"/>
                <w:b/>
                <w:bCs/>
                <w:sz w:val="20"/>
                <w:szCs w:val="20"/>
                <w:lang w:eastAsia="hr-HR"/>
              </w:rPr>
              <w:t>1,09</w:t>
            </w:r>
          </w:p>
        </w:tc>
        <w:tc>
          <w:tcPr>
            <w:tcW w:w="850" w:type="dxa"/>
            <w:shd w:val="clear" w:color="000000" w:fill="FFFF99"/>
            <w:noWrap/>
            <w:vAlign w:val="center"/>
            <w:hideMark/>
          </w:tcPr>
          <w:p w14:paraId="78D36045" w14:textId="1F9A5B14" w:rsidR="00245089" w:rsidRPr="00CA0804" w:rsidRDefault="00245089" w:rsidP="00245089">
            <w:pPr>
              <w:jc w:val="right"/>
              <w:rPr>
                <w:b/>
                <w:sz w:val="20"/>
                <w:szCs w:val="20"/>
              </w:rPr>
            </w:pPr>
            <w:r w:rsidRPr="00CA0804">
              <w:rPr>
                <w:rFonts w:eastAsia="Times New Roman"/>
                <w:b/>
                <w:bCs/>
                <w:sz w:val="20"/>
                <w:szCs w:val="20"/>
                <w:lang w:eastAsia="hr-HR"/>
              </w:rPr>
              <w:t>802,6</w:t>
            </w:r>
          </w:p>
        </w:tc>
        <w:tc>
          <w:tcPr>
            <w:tcW w:w="1134" w:type="dxa"/>
            <w:shd w:val="clear" w:color="000000" w:fill="FFFF99"/>
            <w:noWrap/>
            <w:vAlign w:val="center"/>
            <w:hideMark/>
          </w:tcPr>
          <w:p w14:paraId="73863881" w14:textId="203C4C29" w:rsidR="00245089" w:rsidRPr="00CA0804" w:rsidRDefault="00245089" w:rsidP="00245089">
            <w:pPr>
              <w:jc w:val="center"/>
              <w:rPr>
                <w:b/>
                <w:sz w:val="20"/>
                <w:szCs w:val="20"/>
              </w:rPr>
            </w:pPr>
            <w:r w:rsidRPr="00CA0804">
              <w:rPr>
                <w:rFonts w:eastAsia="Times New Roman"/>
                <w:b/>
                <w:bCs/>
                <w:sz w:val="20"/>
                <w:szCs w:val="20"/>
                <w:lang w:eastAsia="hr-HR"/>
              </w:rPr>
              <w:t>0,94</w:t>
            </w:r>
          </w:p>
        </w:tc>
      </w:tr>
    </w:tbl>
    <w:p w14:paraId="5274818B" w14:textId="77777777" w:rsidR="00F42549" w:rsidRPr="00CA0804" w:rsidRDefault="00F42549" w:rsidP="00BE487D">
      <w:pPr>
        <w:contextualSpacing/>
        <w:jc w:val="both"/>
        <w:rPr>
          <w:i/>
          <w:sz w:val="20"/>
        </w:rPr>
      </w:pPr>
      <w:r w:rsidRPr="00CA0804">
        <w:rPr>
          <w:i/>
          <w:sz w:val="20"/>
        </w:rPr>
        <w:t>Izvor: Ministarstvo financija i davatelji potpora; podaci obrađeni u Ministarstvu financija</w:t>
      </w:r>
    </w:p>
    <w:p w14:paraId="6E20C56C" w14:textId="12B59D9D" w:rsidR="00477A47" w:rsidRPr="00CA0804" w:rsidRDefault="00477A47" w:rsidP="00BE487D">
      <w:pPr>
        <w:jc w:val="both"/>
      </w:pPr>
    </w:p>
    <w:p w14:paraId="4FFF3927" w14:textId="7E0BA5A0" w:rsidR="00D84321" w:rsidRPr="00CA0804" w:rsidRDefault="00D84321" w:rsidP="00D84321">
      <w:pPr>
        <w:jc w:val="both"/>
      </w:pPr>
      <w:r w:rsidRPr="00CA0804">
        <w:t>Udio sektorskih potpora u BDP-u u 202</w:t>
      </w:r>
      <w:r w:rsidR="00B222F9" w:rsidRPr="00CA0804">
        <w:t>4</w:t>
      </w:r>
      <w:r w:rsidRPr="00CA0804">
        <w:t xml:space="preserve">. godini iznosio je </w:t>
      </w:r>
      <w:r w:rsidR="00B222F9" w:rsidRPr="00CA0804">
        <w:t xml:space="preserve">0,94 </w:t>
      </w:r>
      <w:r w:rsidRPr="00CA0804">
        <w:t>posto, u 202</w:t>
      </w:r>
      <w:r w:rsidR="00B222F9" w:rsidRPr="00CA0804">
        <w:t>3</w:t>
      </w:r>
      <w:r w:rsidRPr="00CA0804">
        <w:t xml:space="preserve">. godini </w:t>
      </w:r>
      <w:r w:rsidR="00B222F9" w:rsidRPr="00CA0804">
        <w:t>1,09</w:t>
      </w:r>
      <w:r w:rsidRPr="00CA0804">
        <w:t xml:space="preserve"> posto, </w:t>
      </w:r>
      <w:r w:rsidR="00B222F9" w:rsidRPr="00CA0804">
        <w:t xml:space="preserve">i </w:t>
      </w:r>
      <w:r w:rsidRPr="00CA0804">
        <w:t>u 202</w:t>
      </w:r>
      <w:r w:rsidR="00B222F9" w:rsidRPr="00CA0804">
        <w:t>2</w:t>
      </w:r>
      <w:r w:rsidRPr="00CA0804">
        <w:t xml:space="preserve">. godini </w:t>
      </w:r>
      <w:r w:rsidR="00B222F9" w:rsidRPr="00CA0804">
        <w:t>0,89</w:t>
      </w:r>
      <w:r w:rsidRPr="00CA0804">
        <w:t xml:space="preserve"> posto. Udio navedenih potpora u 202</w:t>
      </w:r>
      <w:r w:rsidR="00B222F9" w:rsidRPr="00CA0804">
        <w:t>4</w:t>
      </w:r>
      <w:r w:rsidRPr="00CA0804">
        <w:t xml:space="preserve">. godini u ukupno dodijeljenim potporama iznosio je </w:t>
      </w:r>
      <w:r w:rsidR="00B222F9" w:rsidRPr="00CA0804">
        <w:t xml:space="preserve">55,4 </w:t>
      </w:r>
      <w:r w:rsidRPr="00CA0804">
        <w:t xml:space="preserve">posto, </w:t>
      </w:r>
      <w:r w:rsidR="00B222F9" w:rsidRPr="00CA0804">
        <w:t xml:space="preserve">a </w:t>
      </w:r>
      <w:r w:rsidRPr="00CA0804">
        <w:t xml:space="preserve">udio u dodijeljenim potporama u sektoru industrije i usluga </w:t>
      </w:r>
      <w:r w:rsidR="00B222F9" w:rsidRPr="00CA0804">
        <w:t xml:space="preserve">60,8 </w:t>
      </w:r>
      <w:r w:rsidR="009A27FC" w:rsidRPr="00CA0804">
        <w:t>posto</w:t>
      </w:r>
      <w:r w:rsidRPr="00CA0804">
        <w:t>.</w:t>
      </w:r>
    </w:p>
    <w:p w14:paraId="00920CDA" w14:textId="77777777" w:rsidR="00477A47" w:rsidRPr="00CA0804" w:rsidRDefault="00477A47" w:rsidP="009A27FC"/>
    <w:p w14:paraId="5D353A9F" w14:textId="7295512D" w:rsidR="0085281F" w:rsidRPr="00CA0804" w:rsidRDefault="00ED082F" w:rsidP="00BE487D">
      <w:pPr>
        <w:jc w:val="both"/>
      </w:pPr>
      <w:r w:rsidRPr="00CA0804">
        <w:t>U</w:t>
      </w:r>
      <w:r w:rsidR="006E49A5" w:rsidRPr="00CA0804">
        <w:t>nutar sektorskih potpora, dodijeljenih</w:t>
      </w:r>
      <w:r w:rsidRPr="00CA0804">
        <w:t xml:space="preserve"> u 202</w:t>
      </w:r>
      <w:r w:rsidR="00B222F9" w:rsidRPr="00CA0804">
        <w:t>4</w:t>
      </w:r>
      <w:r w:rsidRPr="00CA0804">
        <w:t>. godini</w:t>
      </w:r>
      <w:r w:rsidR="006E49A5" w:rsidRPr="00CA0804">
        <w:t xml:space="preserve"> u iznosu od </w:t>
      </w:r>
      <w:r w:rsidR="00B222F9" w:rsidRPr="00CA0804">
        <w:t xml:space="preserve">802,6 </w:t>
      </w:r>
      <w:r w:rsidR="006E49A5" w:rsidRPr="00CA0804">
        <w:t xml:space="preserve">milijuna </w:t>
      </w:r>
      <w:r w:rsidR="00F872C6" w:rsidRPr="00CA0804">
        <w:t>eura</w:t>
      </w:r>
      <w:r w:rsidR="006E49A5" w:rsidRPr="00CA0804">
        <w:t xml:space="preserve">, </w:t>
      </w:r>
      <w:r w:rsidR="00F872C6" w:rsidRPr="00CA0804">
        <w:t>najviše</w:t>
      </w:r>
      <w:r w:rsidR="006E49A5" w:rsidRPr="00CA0804">
        <w:t xml:space="preserve"> </w:t>
      </w:r>
      <w:r w:rsidR="00F872C6" w:rsidRPr="00CA0804">
        <w:t xml:space="preserve">potpora dodijeljeno je </w:t>
      </w:r>
      <w:r w:rsidR="0070139A" w:rsidRPr="00CA0804">
        <w:t xml:space="preserve">sektoru prometa </w:t>
      </w:r>
      <w:r w:rsidR="00F872C6" w:rsidRPr="00CA0804">
        <w:t xml:space="preserve">u iznosu </w:t>
      </w:r>
      <w:r w:rsidR="0070139A" w:rsidRPr="00CA0804">
        <w:t xml:space="preserve">od </w:t>
      </w:r>
      <w:r w:rsidR="005663EC" w:rsidRPr="00CA0804">
        <w:t xml:space="preserve">365,9 </w:t>
      </w:r>
      <w:r w:rsidR="0070139A" w:rsidRPr="00CA0804">
        <w:t xml:space="preserve">milijuna </w:t>
      </w:r>
      <w:r w:rsidR="00F872C6" w:rsidRPr="00CA0804">
        <w:t xml:space="preserve">eura </w:t>
      </w:r>
      <w:r w:rsidR="009B7A58" w:rsidRPr="00CA0804">
        <w:t xml:space="preserve">ili </w:t>
      </w:r>
      <w:r w:rsidR="00F872C6" w:rsidRPr="00CA0804">
        <w:t xml:space="preserve">s </w:t>
      </w:r>
      <w:r w:rsidR="005663EC" w:rsidRPr="00CA0804">
        <w:t xml:space="preserve">45,6 </w:t>
      </w:r>
      <w:r w:rsidR="009B7A58" w:rsidRPr="00CA0804">
        <w:t xml:space="preserve">posto udjela u sektorskim potporama, slijede potpore </w:t>
      </w:r>
      <w:r w:rsidR="00F872C6" w:rsidRPr="00CA0804">
        <w:t xml:space="preserve">za zaštitu okoliša i očuvanje energije </w:t>
      </w:r>
      <w:r w:rsidR="005663EC" w:rsidRPr="00CA0804">
        <w:t xml:space="preserve">sa 172,1 </w:t>
      </w:r>
      <w:r w:rsidR="00F872C6" w:rsidRPr="00CA0804">
        <w:t>milijun eura ili 21,</w:t>
      </w:r>
      <w:r w:rsidR="00293477" w:rsidRPr="00CA0804">
        <w:t>5</w:t>
      </w:r>
      <w:r w:rsidR="00F872C6" w:rsidRPr="00CA0804">
        <w:t xml:space="preserve"> posto, </w:t>
      </w:r>
      <w:r w:rsidR="009B7A58" w:rsidRPr="00CA0804">
        <w:t xml:space="preserve">usluge za javno radiotelevizijsko emitiranje i audiovizualnu industriju </w:t>
      </w:r>
      <w:r w:rsidR="005663EC" w:rsidRPr="00CA0804">
        <w:t>170,3</w:t>
      </w:r>
      <w:r w:rsidR="009B7A58" w:rsidRPr="00CA0804">
        <w:t xml:space="preserve"> milijuna </w:t>
      </w:r>
      <w:r w:rsidR="00F872C6" w:rsidRPr="00CA0804">
        <w:t xml:space="preserve">eura </w:t>
      </w:r>
      <w:r w:rsidR="009B7A58" w:rsidRPr="00CA0804">
        <w:t xml:space="preserve">ili </w:t>
      </w:r>
      <w:r w:rsidR="005663EC" w:rsidRPr="00CA0804">
        <w:t xml:space="preserve">21,2 </w:t>
      </w:r>
      <w:r w:rsidR="009B7A58" w:rsidRPr="00CA0804">
        <w:t xml:space="preserve">posto, </w:t>
      </w:r>
      <w:r w:rsidR="0085281F" w:rsidRPr="00CA0804">
        <w:t xml:space="preserve">sektor </w:t>
      </w:r>
      <w:r w:rsidR="00F872C6" w:rsidRPr="00CA0804">
        <w:t>turizm</w:t>
      </w:r>
      <w:r w:rsidR="0085281F" w:rsidRPr="00CA0804">
        <w:t>a</w:t>
      </w:r>
      <w:r w:rsidR="00F872C6" w:rsidRPr="00CA0804">
        <w:t xml:space="preserve"> </w:t>
      </w:r>
      <w:r w:rsidR="005663EC" w:rsidRPr="00CA0804">
        <w:t>sa</w:t>
      </w:r>
      <w:r w:rsidR="0085281F" w:rsidRPr="00CA0804">
        <w:t xml:space="preserve"> </w:t>
      </w:r>
      <w:r w:rsidR="005663EC" w:rsidRPr="00CA0804">
        <w:t xml:space="preserve">44,6 </w:t>
      </w:r>
      <w:r w:rsidR="00F872C6" w:rsidRPr="00CA0804">
        <w:t xml:space="preserve">milijuna eura ili </w:t>
      </w:r>
      <w:r w:rsidR="005663EC" w:rsidRPr="00CA0804">
        <w:t xml:space="preserve">5,6 </w:t>
      </w:r>
      <w:r w:rsidR="00F872C6" w:rsidRPr="00CA0804">
        <w:t xml:space="preserve">posto, </w:t>
      </w:r>
      <w:r w:rsidR="005663EC" w:rsidRPr="00CA0804">
        <w:t xml:space="preserve">poštanske usluge s 25,1 milijun eura ili 3,1 posto, </w:t>
      </w:r>
      <w:r w:rsidR="009B7A58" w:rsidRPr="00CA0804">
        <w:t>brodogradnj</w:t>
      </w:r>
      <w:r w:rsidR="005663EC" w:rsidRPr="00CA0804">
        <w:t>a</w:t>
      </w:r>
      <w:r w:rsidR="009B7A58" w:rsidRPr="00CA0804">
        <w:t xml:space="preserve"> </w:t>
      </w:r>
      <w:r w:rsidR="005663EC" w:rsidRPr="00CA0804">
        <w:t>sa</w:t>
      </w:r>
      <w:r w:rsidR="009B7A58" w:rsidRPr="00CA0804">
        <w:t xml:space="preserve"> </w:t>
      </w:r>
      <w:r w:rsidR="005663EC" w:rsidRPr="00CA0804">
        <w:t xml:space="preserve">14 </w:t>
      </w:r>
      <w:r w:rsidR="009B7A58" w:rsidRPr="00CA0804">
        <w:t>milijun</w:t>
      </w:r>
      <w:r w:rsidR="00F9565B" w:rsidRPr="00CA0804">
        <w:t>a</w:t>
      </w:r>
      <w:r w:rsidR="009B7A58" w:rsidRPr="00CA0804">
        <w:t xml:space="preserve"> </w:t>
      </w:r>
      <w:r w:rsidR="00F872C6" w:rsidRPr="00CA0804">
        <w:t xml:space="preserve">eura </w:t>
      </w:r>
      <w:r w:rsidR="009B7A58" w:rsidRPr="00CA0804">
        <w:t xml:space="preserve">ili </w:t>
      </w:r>
      <w:r w:rsidR="005663EC" w:rsidRPr="00CA0804">
        <w:t xml:space="preserve">1,7 </w:t>
      </w:r>
      <w:r w:rsidR="009B7A58" w:rsidRPr="00CA0804">
        <w:t>posto</w:t>
      </w:r>
      <w:r w:rsidR="005663EC" w:rsidRPr="00CA0804">
        <w:t xml:space="preserve"> </w:t>
      </w:r>
      <w:r w:rsidR="0085281F" w:rsidRPr="00CA0804">
        <w:t xml:space="preserve">te razvoj širokopojasnih mreža </w:t>
      </w:r>
      <w:r w:rsidR="005663EC" w:rsidRPr="00CA0804">
        <w:t>s</w:t>
      </w:r>
      <w:r w:rsidR="0085281F" w:rsidRPr="00CA0804">
        <w:t xml:space="preserve"> </w:t>
      </w:r>
      <w:r w:rsidR="005663EC" w:rsidRPr="00CA0804">
        <w:t xml:space="preserve">10,6 </w:t>
      </w:r>
      <w:r w:rsidR="0085281F" w:rsidRPr="00CA0804">
        <w:t xml:space="preserve">milijuna eura ili </w:t>
      </w:r>
      <w:r w:rsidR="005663EC" w:rsidRPr="00CA0804">
        <w:t xml:space="preserve">1,3 </w:t>
      </w:r>
      <w:r w:rsidR="0085281F" w:rsidRPr="00CA0804">
        <w:t>posto.</w:t>
      </w:r>
    </w:p>
    <w:p w14:paraId="6BA9550D" w14:textId="77777777" w:rsidR="00293477" w:rsidRPr="00CA0804" w:rsidRDefault="00293477" w:rsidP="00293477"/>
    <w:p w14:paraId="7BA1D5BB" w14:textId="2AB3EB16" w:rsidR="009A27FC" w:rsidRPr="00CA0804" w:rsidRDefault="005663EC" w:rsidP="009A27FC">
      <w:pPr>
        <w:jc w:val="both"/>
      </w:pPr>
      <w:r w:rsidRPr="00CA0804">
        <w:rPr>
          <w:rFonts w:eastAsia="Times New Roman"/>
          <w:szCs w:val="24"/>
          <w:lang w:eastAsia="hr-HR"/>
        </w:rPr>
        <w:t xml:space="preserve">Instrumenti putem kojih su dodijeljene </w:t>
      </w:r>
      <w:r w:rsidRPr="00CA0804">
        <w:t xml:space="preserve">sektorske </w:t>
      </w:r>
      <w:r w:rsidRPr="00CA0804">
        <w:rPr>
          <w:rFonts w:eastAsia="Times New Roman"/>
          <w:szCs w:val="24"/>
          <w:lang w:eastAsia="hr-HR"/>
        </w:rPr>
        <w:t xml:space="preserve">potpore u 2024. godini u iznosu od </w:t>
      </w:r>
      <w:r w:rsidRPr="00CA0804">
        <w:t xml:space="preserve">802,6 </w:t>
      </w:r>
      <w:r w:rsidRPr="00CA0804">
        <w:rPr>
          <w:rFonts w:eastAsia="Times New Roman"/>
          <w:szCs w:val="24"/>
          <w:lang w:eastAsia="hr-HR"/>
        </w:rPr>
        <w:t>milijuna eura, najvećim dijelom se odnose na su</w:t>
      </w:r>
      <w:r w:rsidRPr="00CA0804">
        <w:t xml:space="preserve">bvencije u iznosu od </w:t>
      </w:r>
      <w:r w:rsidR="00E973D2" w:rsidRPr="00CA0804">
        <w:t>751,</w:t>
      </w:r>
      <w:r w:rsidR="00293477" w:rsidRPr="00CA0804">
        <w:t>6</w:t>
      </w:r>
      <w:r w:rsidR="00E973D2" w:rsidRPr="00CA0804">
        <w:t xml:space="preserve"> </w:t>
      </w:r>
      <w:r w:rsidRPr="00CA0804">
        <w:t xml:space="preserve">milijuna eura ili s udjelom od </w:t>
      </w:r>
      <w:r w:rsidR="00E973D2" w:rsidRPr="00CA0804">
        <w:t>93,</w:t>
      </w:r>
      <w:r w:rsidR="00293477" w:rsidRPr="00CA0804">
        <w:t>7</w:t>
      </w:r>
      <w:r w:rsidR="00E973D2" w:rsidRPr="00CA0804">
        <w:t xml:space="preserve"> </w:t>
      </w:r>
      <w:r w:rsidRPr="00CA0804">
        <w:t xml:space="preserve">posto u </w:t>
      </w:r>
      <w:r w:rsidR="00E973D2" w:rsidRPr="00CA0804">
        <w:t xml:space="preserve">sektorskim </w:t>
      </w:r>
      <w:r w:rsidR="00E973D2" w:rsidRPr="00CA0804">
        <w:rPr>
          <w:rFonts w:eastAsia="Times New Roman"/>
          <w:szCs w:val="24"/>
          <w:lang w:eastAsia="hr-HR"/>
        </w:rPr>
        <w:t>potporama</w:t>
      </w:r>
      <w:r w:rsidRPr="00CA0804">
        <w:rPr>
          <w:rFonts w:eastAsia="Times New Roman"/>
          <w:szCs w:val="24"/>
          <w:lang w:eastAsia="hr-HR"/>
        </w:rPr>
        <w:t xml:space="preserve">, slijede </w:t>
      </w:r>
      <w:r w:rsidR="00E973D2" w:rsidRPr="00CA0804">
        <w:t>porezne olakšice s 19,5 milijuna eura ili 2,4 posto, povoljni zajmovi od 16,</w:t>
      </w:r>
      <w:r w:rsidR="00293477" w:rsidRPr="00CA0804">
        <w:t>3</w:t>
      </w:r>
      <w:r w:rsidR="00E973D2" w:rsidRPr="00CA0804">
        <w:t xml:space="preserve"> milijuna eura ili 2 posto te </w:t>
      </w:r>
      <w:r w:rsidR="009A27FC" w:rsidRPr="00CA0804">
        <w:t xml:space="preserve">izdana jamstva od </w:t>
      </w:r>
      <w:r w:rsidR="00E973D2" w:rsidRPr="00CA0804">
        <w:t>15,2</w:t>
      </w:r>
      <w:r w:rsidR="009A27FC" w:rsidRPr="00CA0804">
        <w:t xml:space="preserve"> milijuna eura ili </w:t>
      </w:r>
      <w:r w:rsidR="00E973D2" w:rsidRPr="00CA0804">
        <w:t xml:space="preserve">1,9 </w:t>
      </w:r>
      <w:r w:rsidR="009A27FC" w:rsidRPr="00CA0804">
        <w:t>posto.</w:t>
      </w:r>
    </w:p>
    <w:p w14:paraId="643DF60B" w14:textId="1919FD9A" w:rsidR="005663EC" w:rsidRPr="00CA0804" w:rsidRDefault="005663EC" w:rsidP="00BE487D">
      <w:pPr>
        <w:contextualSpacing/>
        <w:jc w:val="both"/>
        <w:rPr>
          <w:b/>
        </w:rPr>
      </w:pPr>
    </w:p>
    <w:p w14:paraId="1522C45B" w14:textId="77777777" w:rsidR="00293477" w:rsidRPr="00CA0804" w:rsidRDefault="00293477" w:rsidP="00BE487D">
      <w:pPr>
        <w:contextualSpacing/>
        <w:jc w:val="both"/>
        <w:rPr>
          <w:b/>
        </w:rPr>
      </w:pPr>
    </w:p>
    <w:p w14:paraId="642208B2" w14:textId="77777777" w:rsidR="00E973D2" w:rsidRPr="005C47F2" w:rsidRDefault="00E973D2">
      <w:pPr>
        <w:rPr>
          <w:highlight w:val="green"/>
        </w:rPr>
      </w:pPr>
      <w:r w:rsidRPr="005C47F2">
        <w:rPr>
          <w:highlight w:val="green"/>
        </w:rPr>
        <w:br w:type="page"/>
      </w:r>
    </w:p>
    <w:p w14:paraId="5348C871" w14:textId="791CE249" w:rsidR="00F42549" w:rsidRPr="00CA0804" w:rsidRDefault="00F42549" w:rsidP="00BE487D">
      <w:pPr>
        <w:contextualSpacing/>
        <w:jc w:val="both"/>
      </w:pPr>
      <w:r w:rsidRPr="00CA0804">
        <w:lastRenderedPageBreak/>
        <w:t xml:space="preserve">Slika </w:t>
      </w:r>
      <w:r w:rsidR="00870E9F" w:rsidRPr="00CA0804">
        <w:t>8</w:t>
      </w:r>
      <w:r w:rsidRPr="00CA0804">
        <w:t>. Struktura sektorskih potpora dodijeljenih u razdoblju od 20</w:t>
      </w:r>
      <w:r w:rsidR="002F63E1" w:rsidRPr="00CA0804">
        <w:t>2</w:t>
      </w:r>
      <w:r w:rsidR="00245089" w:rsidRPr="00CA0804">
        <w:t>2</w:t>
      </w:r>
      <w:r w:rsidRPr="00CA0804">
        <w:t>. do 202</w:t>
      </w:r>
      <w:r w:rsidR="00245089" w:rsidRPr="00CA0804">
        <w:t>4</w:t>
      </w:r>
      <w:r w:rsidRPr="00CA0804">
        <w:t>. godine (%)</w:t>
      </w:r>
    </w:p>
    <w:p w14:paraId="2A3E8712" w14:textId="77777777" w:rsidR="007D617C" w:rsidRPr="00CA0804" w:rsidRDefault="007D617C" w:rsidP="00BE487D">
      <w:pPr>
        <w:rPr>
          <w:b/>
          <w:sz w:val="20"/>
        </w:rPr>
      </w:pPr>
    </w:p>
    <w:p w14:paraId="222471AE" w14:textId="2944BBB4" w:rsidR="0071691E" w:rsidRPr="00CA0804" w:rsidRDefault="0071691E" w:rsidP="00E73EC3">
      <w:pPr>
        <w:jc w:val="center"/>
        <w:rPr>
          <w:b/>
        </w:rPr>
      </w:pPr>
      <w:r w:rsidRPr="00CA0804">
        <w:rPr>
          <w:noProof/>
          <w:sz w:val="20"/>
          <w:lang w:eastAsia="hr-HR"/>
        </w:rPr>
        <w:drawing>
          <wp:inline distT="0" distB="0" distL="0" distR="0" wp14:anchorId="4CE1C36E" wp14:editId="4C1BE5A1">
            <wp:extent cx="5759450" cy="2292350"/>
            <wp:effectExtent l="0" t="0" r="12700" b="12700"/>
            <wp:docPr id="34" name="Grafikon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8CA0D5" w14:textId="77777777" w:rsidR="00245089" w:rsidRPr="00CA0804" w:rsidRDefault="00245089" w:rsidP="00245089">
      <w:pPr>
        <w:contextualSpacing/>
        <w:jc w:val="center"/>
        <w:rPr>
          <w:i/>
          <w:sz w:val="20"/>
        </w:rPr>
      </w:pPr>
      <w:r w:rsidRPr="00CA0804">
        <w:rPr>
          <w:i/>
          <w:sz w:val="20"/>
        </w:rPr>
        <w:t>Izvor: Ministarstvo financija i davatelji potpora; podaci obrađeni u Ministarstvu financija</w:t>
      </w:r>
    </w:p>
    <w:p w14:paraId="466ED690" w14:textId="622DA68D" w:rsidR="0071691E" w:rsidRPr="00CA0804" w:rsidRDefault="0071691E" w:rsidP="00BE487D">
      <w:pPr>
        <w:jc w:val="both"/>
        <w:rPr>
          <w:b/>
        </w:rPr>
      </w:pPr>
    </w:p>
    <w:p w14:paraId="29474477" w14:textId="0989D3B5" w:rsidR="00E668F9" w:rsidRPr="00CA0804" w:rsidRDefault="00E668F9" w:rsidP="00BE487D">
      <w:pPr>
        <w:pStyle w:val="ListParagraph"/>
        <w:jc w:val="both"/>
        <w:rPr>
          <w:b/>
        </w:rPr>
      </w:pPr>
    </w:p>
    <w:p w14:paraId="078B8AB8" w14:textId="77777777" w:rsidR="00BD786C" w:rsidRPr="00CA0804" w:rsidRDefault="00BD786C" w:rsidP="00BE487D">
      <w:pPr>
        <w:pStyle w:val="ListParagraph"/>
        <w:jc w:val="both"/>
        <w:rPr>
          <w:b/>
        </w:rPr>
      </w:pPr>
    </w:p>
    <w:p w14:paraId="2E1A5C1A" w14:textId="34434751" w:rsidR="00BB6808" w:rsidRPr="00CA0804" w:rsidRDefault="00BC66CE" w:rsidP="00BE487D">
      <w:pPr>
        <w:pStyle w:val="Heading3"/>
        <w:spacing w:before="0"/>
        <w:ind w:firstLine="360"/>
        <w:jc w:val="both"/>
        <w:rPr>
          <w:rFonts w:ascii="Times New Roman" w:hAnsi="Times New Roman" w:cs="Times New Roman"/>
          <w:b/>
          <w:color w:val="auto"/>
        </w:rPr>
      </w:pPr>
      <w:bookmarkStart w:id="22" w:name="_Toc213660043"/>
      <w:r w:rsidRPr="00CA0804">
        <w:rPr>
          <w:rFonts w:ascii="Times New Roman" w:hAnsi="Times New Roman" w:cs="Times New Roman"/>
          <w:b/>
          <w:color w:val="auto"/>
        </w:rPr>
        <w:t>Potpore za obavljanje usluga od općeg gospodarskog interesa</w:t>
      </w:r>
      <w:bookmarkEnd w:id="22"/>
    </w:p>
    <w:p w14:paraId="444C273D" w14:textId="77777777" w:rsidR="00BB6808" w:rsidRPr="00CA0804" w:rsidRDefault="00BB6808" w:rsidP="00BE487D">
      <w:pPr>
        <w:pStyle w:val="ListParagraph"/>
        <w:jc w:val="both"/>
        <w:rPr>
          <w:b/>
        </w:rPr>
      </w:pPr>
    </w:p>
    <w:p w14:paraId="388A282D" w14:textId="77777777" w:rsidR="00E668F9" w:rsidRPr="00CA0804" w:rsidRDefault="00E668F9" w:rsidP="00BE487D">
      <w:pPr>
        <w:pStyle w:val="ListParagraph"/>
        <w:jc w:val="both"/>
        <w:rPr>
          <w:b/>
        </w:rPr>
      </w:pPr>
    </w:p>
    <w:p w14:paraId="07A09660" w14:textId="604C8E24" w:rsidR="00DE4B92" w:rsidRPr="00CA0804" w:rsidRDefault="00817713" w:rsidP="00DE4B92">
      <w:pPr>
        <w:jc w:val="both"/>
      </w:pPr>
      <w:r w:rsidRPr="00CA0804">
        <w:t>Pravila o potporama za obavljanje usluga od općeg gospodarskog interesa sadržana su u</w:t>
      </w:r>
      <w:r w:rsidR="00BE1A0A" w:rsidRPr="00CA0804">
        <w:t xml:space="preserve"> Odluci Komisije od 20. prosinca 2011. o primjeni članka 106. stavka 2. Ugovora o funkcioniranju Europske unije na državne potpore u obliku naknada određenim poduzetnicima kojima je povjereno obavljanje usluga od općeg gospodarskog interesa</w:t>
      </w:r>
      <w:r w:rsidR="00BE1A0A" w:rsidRPr="00CA0804">
        <w:rPr>
          <w:rStyle w:val="FootnoteReference"/>
        </w:rPr>
        <w:footnoteReference w:id="30"/>
      </w:r>
      <w:r w:rsidR="00BE1A0A" w:rsidRPr="00CA0804">
        <w:t xml:space="preserve"> (u da</w:t>
      </w:r>
      <w:r w:rsidRPr="00CA0804">
        <w:t>ljnjem tekstu: Odluka Komisije)</w:t>
      </w:r>
      <w:r w:rsidR="00BE1A0A" w:rsidRPr="00CA0804">
        <w:t xml:space="preserve">. </w:t>
      </w:r>
      <w:r w:rsidRPr="00CA0804">
        <w:t xml:space="preserve">Sukladno navedenoj Odluci Komisije, državi članici je dopušteno da pod određenim uvjetima dodjeljuje naknadu za pružanje usluga od općeg gospodarskog interesa, odnosno ima obvezu pokrivanja </w:t>
      </w:r>
      <w:r w:rsidR="0052274E" w:rsidRPr="00CA0804">
        <w:t xml:space="preserve">dijela </w:t>
      </w:r>
      <w:r w:rsidRPr="00CA0804">
        <w:t>troškova</w:t>
      </w:r>
      <w:r w:rsidR="000D6856" w:rsidRPr="00CA0804">
        <w:t xml:space="preserve"> </w:t>
      </w:r>
      <w:r w:rsidR="0052274E" w:rsidRPr="00CA0804">
        <w:t xml:space="preserve">ili ukupnih troškova </w:t>
      </w:r>
      <w:r w:rsidR="000D6856" w:rsidRPr="00CA0804">
        <w:t xml:space="preserve">onih </w:t>
      </w:r>
      <w:r w:rsidR="00A03AFF" w:rsidRPr="00CA0804">
        <w:t>usluga koje</w:t>
      </w:r>
      <w:r w:rsidR="000D6856" w:rsidRPr="00CA0804">
        <w:t xml:space="preserve"> imaju gospodarski karakter i koje su usmjerene k građanima, odnosno interesu društva u cijelosti, a koje</w:t>
      </w:r>
      <w:r w:rsidR="00A03AFF" w:rsidRPr="00CA0804">
        <w:t>, bez intervencije države, odnosno isključivo primjenom tržišnih kriterija, pružatelji usluga ne bi o</w:t>
      </w:r>
      <w:r w:rsidR="000D6856" w:rsidRPr="00CA0804">
        <w:t xml:space="preserve">bavljali na odgovarajući način glede cijene, kvalitete, kontinuiteta i pristupa usluzi. </w:t>
      </w:r>
      <w:r w:rsidR="00DE4B92" w:rsidRPr="00CA0804">
        <w:t xml:space="preserve">Naknada koji dobiju korisnici </w:t>
      </w:r>
      <w:r w:rsidR="000D6856" w:rsidRPr="00CA0804">
        <w:t>koji obavljaju takve usluge</w:t>
      </w:r>
      <w:r w:rsidR="00DE4B92" w:rsidRPr="00CA0804">
        <w:t xml:space="preserve"> predstavlja kompenzaciju za obavljanje usluga od općeg gospodarskog interesa.</w:t>
      </w:r>
    </w:p>
    <w:p w14:paraId="36B586A4" w14:textId="77777777" w:rsidR="00DE4B92" w:rsidRPr="00CA0804" w:rsidRDefault="00DE4B92" w:rsidP="00817713"/>
    <w:p w14:paraId="6CFB0A08" w14:textId="6DC2EB96" w:rsidR="00DE4B92" w:rsidRPr="00CA0804" w:rsidRDefault="00DE4B92" w:rsidP="00DE4B92">
      <w:pPr>
        <w:jc w:val="both"/>
      </w:pPr>
      <w:r w:rsidRPr="00CA0804">
        <w:t>Priopćenje Komisije – Okvir Europske unije za državne potpore u obliku naknade za obavljanje</w:t>
      </w:r>
      <w:r w:rsidR="0052274E" w:rsidRPr="00CA0804">
        <w:t xml:space="preserve"> </w:t>
      </w:r>
      <w:r w:rsidRPr="00CA0804">
        <w:t>javne sluge</w:t>
      </w:r>
      <w:r w:rsidRPr="00CA0804">
        <w:rPr>
          <w:rStyle w:val="FootnoteReference"/>
        </w:rPr>
        <w:footnoteReference w:id="31"/>
      </w:r>
      <w:r w:rsidRPr="00CA0804">
        <w:t xml:space="preserve"> (u daljnjem tekstu: Okvir EU)</w:t>
      </w:r>
      <w:r w:rsidR="008C0718" w:rsidRPr="00CA0804">
        <w:t xml:space="preserve"> primjenjuje </w:t>
      </w:r>
      <w:r w:rsidR="009B7A58" w:rsidRPr="00CA0804">
        <w:t xml:space="preserve">se </w:t>
      </w:r>
      <w:r w:rsidR="008C0718" w:rsidRPr="00CA0804">
        <w:t>na potpore za obavljanje usluga od općeg gospodarskog interesa koje ne ispunjavaju uvjete iz Odluke Komisije</w:t>
      </w:r>
      <w:r w:rsidR="007C6E32" w:rsidRPr="00CA0804">
        <w:t xml:space="preserve"> ili koje nije moguće dodijeliti putem Odluke Komisije</w:t>
      </w:r>
      <w:r w:rsidR="008C0718" w:rsidRPr="00CA0804">
        <w:t>.</w:t>
      </w:r>
      <w:r w:rsidR="000D6856" w:rsidRPr="00CA0804">
        <w:t xml:space="preserve"> </w:t>
      </w:r>
      <w:r w:rsidR="00111F89" w:rsidRPr="00CA0804">
        <w:t>P</w:t>
      </w:r>
      <w:r w:rsidR="000D6856" w:rsidRPr="00CA0804">
        <w:t xml:space="preserve">otpore iz Odluke Komisije izuzete su od obveze prijave Europskoj komisiji, dok potpore iz Priopćenja Komisije nije moguće dodijeliti bez </w:t>
      </w:r>
      <w:r w:rsidR="00952DB4" w:rsidRPr="00CA0804">
        <w:t>o</w:t>
      </w:r>
      <w:r w:rsidR="003B216D" w:rsidRPr="00CA0804">
        <w:t xml:space="preserve">dluke </w:t>
      </w:r>
      <w:r w:rsidR="000D6856" w:rsidRPr="00CA0804">
        <w:t xml:space="preserve">Europske </w:t>
      </w:r>
      <w:r w:rsidR="00111F89" w:rsidRPr="00CA0804">
        <w:t>komisije</w:t>
      </w:r>
      <w:r w:rsidR="000D6856" w:rsidRPr="00CA0804">
        <w:t>.</w:t>
      </w:r>
    </w:p>
    <w:p w14:paraId="75BCC78B" w14:textId="77777777" w:rsidR="00DE4B92" w:rsidRPr="00CA0804" w:rsidRDefault="00DE4B92" w:rsidP="00817713"/>
    <w:p w14:paraId="553F094A" w14:textId="77777777" w:rsidR="00E973D2" w:rsidRPr="00CA0804" w:rsidRDefault="00E973D2">
      <w:r w:rsidRPr="00CA0804">
        <w:br w:type="page"/>
      </w:r>
    </w:p>
    <w:p w14:paraId="448E6D77" w14:textId="2C36A4A1" w:rsidR="00BE1A0A" w:rsidRPr="00CA0804" w:rsidRDefault="00BE1A0A" w:rsidP="00BE487D">
      <w:pPr>
        <w:contextualSpacing/>
        <w:jc w:val="both"/>
      </w:pPr>
      <w:r w:rsidRPr="00CA0804">
        <w:lastRenderedPageBreak/>
        <w:t xml:space="preserve">Tablica </w:t>
      </w:r>
      <w:r w:rsidR="00024C59" w:rsidRPr="00CA0804">
        <w:t>1</w:t>
      </w:r>
      <w:r w:rsidR="00E4105D" w:rsidRPr="00CA0804">
        <w:t>8</w:t>
      </w:r>
      <w:r w:rsidRPr="00CA0804">
        <w:t xml:space="preserve">. Potpore </w:t>
      </w:r>
      <w:r w:rsidR="00BD786C" w:rsidRPr="00CA0804">
        <w:t xml:space="preserve">dodijeljene </w:t>
      </w:r>
      <w:r w:rsidR="004A5CF2" w:rsidRPr="00CA0804">
        <w:t xml:space="preserve">putem subvencija </w:t>
      </w:r>
      <w:r w:rsidRPr="00CA0804">
        <w:t>za obavljanje usluga od općeg gospodarskog interesa u 202</w:t>
      </w:r>
      <w:r w:rsidR="00A02921" w:rsidRPr="00CA0804">
        <w:t>4</w:t>
      </w:r>
      <w:r w:rsidRPr="00CA0804">
        <w:t xml:space="preserve">. godini (u milijunima </w:t>
      </w:r>
      <w:r w:rsidR="00A82E29" w:rsidRPr="00CA0804">
        <w:t>eura</w:t>
      </w:r>
      <w:r w:rsidRPr="00CA0804">
        <w:t>)</w:t>
      </w:r>
    </w:p>
    <w:p w14:paraId="270A441A" w14:textId="77777777" w:rsidR="00BE1A0A" w:rsidRPr="00CA0804" w:rsidRDefault="00BE1A0A" w:rsidP="00BE487D">
      <w:pPr>
        <w:pStyle w:val="T-98-2"/>
        <w:spacing w:after="0"/>
        <w:ind w:firstLine="0"/>
        <w:contextualSpacing/>
        <w:rPr>
          <w:rFonts w:ascii="Times New Roman" w:hAnsi="Times New Roman"/>
          <w:sz w:val="20"/>
          <w:szCs w:val="24"/>
          <w:lang w:val="hr-H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048"/>
        <w:gridCol w:w="582"/>
      </w:tblGrid>
      <w:tr w:rsidR="004A5CF2" w:rsidRPr="00CA0804" w14:paraId="1FDE0BA1" w14:textId="77777777" w:rsidTr="00C12EEB">
        <w:trPr>
          <w:trHeight w:val="268"/>
          <w:tblHeader/>
        </w:trPr>
        <w:tc>
          <w:tcPr>
            <w:tcW w:w="1584" w:type="dxa"/>
            <w:shd w:val="clear" w:color="000000" w:fill="FFFF99"/>
            <w:vAlign w:val="center"/>
            <w:hideMark/>
          </w:tcPr>
          <w:p w14:paraId="4FE35311" w14:textId="77777777" w:rsidR="004A5CF2" w:rsidRPr="00CA0804" w:rsidRDefault="004A5CF2" w:rsidP="00121757">
            <w:pPr>
              <w:rPr>
                <w:b/>
                <w:sz w:val="16"/>
                <w:szCs w:val="16"/>
              </w:rPr>
            </w:pPr>
            <w:r w:rsidRPr="00CA0804">
              <w:rPr>
                <w:b/>
                <w:sz w:val="16"/>
                <w:szCs w:val="16"/>
              </w:rPr>
              <w:t>Kategorija potpore</w:t>
            </w:r>
          </w:p>
        </w:tc>
        <w:tc>
          <w:tcPr>
            <w:tcW w:w="7048" w:type="dxa"/>
            <w:shd w:val="clear" w:color="000000" w:fill="FFFF99"/>
            <w:vAlign w:val="center"/>
            <w:hideMark/>
          </w:tcPr>
          <w:p w14:paraId="5EF680CD" w14:textId="77777777" w:rsidR="004A5CF2" w:rsidRPr="00CA0804" w:rsidRDefault="004A5CF2" w:rsidP="00121757">
            <w:pPr>
              <w:rPr>
                <w:b/>
                <w:sz w:val="16"/>
                <w:szCs w:val="16"/>
              </w:rPr>
            </w:pPr>
            <w:r w:rsidRPr="00CA0804">
              <w:rPr>
                <w:b/>
                <w:sz w:val="16"/>
                <w:szCs w:val="16"/>
              </w:rPr>
              <w:t>Naziv potpore</w:t>
            </w:r>
          </w:p>
        </w:tc>
        <w:tc>
          <w:tcPr>
            <w:tcW w:w="582" w:type="dxa"/>
            <w:shd w:val="clear" w:color="000000" w:fill="FFFF99"/>
            <w:vAlign w:val="center"/>
            <w:hideMark/>
          </w:tcPr>
          <w:p w14:paraId="7EABCCD5" w14:textId="14D7C68F" w:rsidR="004A5CF2" w:rsidRPr="00CA0804" w:rsidRDefault="004A5CF2" w:rsidP="00121757">
            <w:pPr>
              <w:rPr>
                <w:b/>
                <w:sz w:val="16"/>
                <w:szCs w:val="16"/>
              </w:rPr>
            </w:pPr>
            <w:r w:rsidRPr="00CA0804">
              <w:rPr>
                <w:b/>
                <w:sz w:val="16"/>
                <w:szCs w:val="16"/>
              </w:rPr>
              <w:t>Iznos</w:t>
            </w:r>
          </w:p>
        </w:tc>
      </w:tr>
      <w:tr w:rsidR="004A5CF2" w:rsidRPr="00CA0804" w14:paraId="33F35A44" w14:textId="77777777" w:rsidTr="00C12EEB">
        <w:trPr>
          <w:trHeight w:val="207"/>
        </w:trPr>
        <w:tc>
          <w:tcPr>
            <w:tcW w:w="1584" w:type="dxa"/>
            <w:shd w:val="clear" w:color="auto" w:fill="auto"/>
            <w:hideMark/>
          </w:tcPr>
          <w:p w14:paraId="2470E9E5" w14:textId="77777777" w:rsidR="004A5CF2" w:rsidRPr="00CA0804" w:rsidRDefault="004A5CF2" w:rsidP="002F63E1">
            <w:pPr>
              <w:rPr>
                <w:sz w:val="16"/>
                <w:szCs w:val="16"/>
              </w:rPr>
            </w:pPr>
            <w:r w:rsidRPr="00CA0804">
              <w:rPr>
                <w:sz w:val="16"/>
                <w:szCs w:val="16"/>
              </w:rPr>
              <w:t>Radiotelevizijsko emitiranje</w:t>
            </w:r>
          </w:p>
        </w:tc>
        <w:tc>
          <w:tcPr>
            <w:tcW w:w="7048" w:type="dxa"/>
            <w:shd w:val="clear" w:color="auto" w:fill="auto"/>
            <w:hideMark/>
          </w:tcPr>
          <w:p w14:paraId="1AC9B7D5" w14:textId="77777777" w:rsidR="004A5CF2" w:rsidRPr="00CA0804" w:rsidRDefault="004A5CF2" w:rsidP="00395BB6">
            <w:pPr>
              <w:jc w:val="both"/>
              <w:rPr>
                <w:sz w:val="16"/>
                <w:szCs w:val="16"/>
              </w:rPr>
            </w:pPr>
            <w:r w:rsidRPr="00CA0804">
              <w:rPr>
                <w:sz w:val="16"/>
                <w:szCs w:val="16"/>
              </w:rPr>
              <w:t>Zakon o Hrvatskoj radioteleviziji (Prihod od HRT pristojbe)</w:t>
            </w:r>
          </w:p>
        </w:tc>
        <w:tc>
          <w:tcPr>
            <w:tcW w:w="582" w:type="dxa"/>
            <w:shd w:val="clear" w:color="auto" w:fill="auto"/>
            <w:hideMark/>
          </w:tcPr>
          <w:p w14:paraId="17FF3079" w14:textId="111D8648" w:rsidR="004A5CF2" w:rsidRPr="00CA0804" w:rsidRDefault="004A5CF2" w:rsidP="00820AAB">
            <w:pPr>
              <w:jc w:val="right"/>
              <w:rPr>
                <w:bCs/>
                <w:sz w:val="16"/>
                <w:szCs w:val="16"/>
              </w:rPr>
            </w:pPr>
            <w:r w:rsidRPr="00CA0804">
              <w:rPr>
                <w:bCs/>
                <w:sz w:val="16"/>
                <w:szCs w:val="16"/>
              </w:rPr>
              <w:t>153,4</w:t>
            </w:r>
          </w:p>
        </w:tc>
      </w:tr>
      <w:tr w:rsidR="004A5CF2" w:rsidRPr="00CA0804" w14:paraId="1C152893" w14:textId="77777777" w:rsidTr="00C12EEB">
        <w:trPr>
          <w:trHeight w:val="270"/>
        </w:trPr>
        <w:tc>
          <w:tcPr>
            <w:tcW w:w="1584" w:type="dxa"/>
            <w:vMerge w:val="restart"/>
            <w:shd w:val="clear" w:color="auto" w:fill="auto"/>
            <w:hideMark/>
          </w:tcPr>
          <w:p w14:paraId="19DAA10C" w14:textId="77777777" w:rsidR="004A5CF2" w:rsidRPr="00CA0804" w:rsidRDefault="004A5CF2" w:rsidP="00820AAB">
            <w:pPr>
              <w:rPr>
                <w:sz w:val="16"/>
                <w:szCs w:val="16"/>
              </w:rPr>
            </w:pPr>
            <w:r w:rsidRPr="00CA0804">
              <w:rPr>
                <w:sz w:val="16"/>
                <w:szCs w:val="16"/>
              </w:rPr>
              <w:t>Poštanske usluge</w:t>
            </w:r>
          </w:p>
        </w:tc>
        <w:tc>
          <w:tcPr>
            <w:tcW w:w="7048" w:type="dxa"/>
            <w:shd w:val="clear" w:color="auto" w:fill="auto"/>
            <w:hideMark/>
          </w:tcPr>
          <w:p w14:paraId="736101A1" w14:textId="77777777" w:rsidR="004A5CF2" w:rsidRPr="00CA0804" w:rsidRDefault="004A5CF2" w:rsidP="00820AAB">
            <w:pPr>
              <w:jc w:val="both"/>
              <w:rPr>
                <w:sz w:val="16"/>
                <w:szCs w:val="16"/>
              </w:rPr>
            </w:pPr>
            <w:r w:rsidRPr="00CA0804">
              <w:rPr>
                <w:sz w:val="16"/>
                <w:szCs w:val="16"/>
              </w:rPr>
              <w:t>Državna potpora HP – Hrvatskoj pošti d.d. u obliku naknade za obavljanje usluge od općeg gospodarskog interesa - univerzalne poštanske usluge</w:t>
            </w:r>
          </w:p>
        </w:tc>
        <w:tc>
          <w:tcPr>
            <w:tcW w:w="582" w:type="dxa"/>
            <w:shd w:val="clear" w:color="auto" w:fill="auto"/>
            <w:hideMark/>
          </w:tcPr>
          <w:p w14:paraId="6AE9880C" w14:textId="7F244CF3" w:rsidR="004A5CF2" w:rsidRPr="00CA0804" w:rsidRDefault="004A5CF2" w:rsidP="00820AAB">
            <w:pPr>
              <w:jc w:val="right"/>
              <w:rPr>
                <w:sz w:val="16"/>
                <w:szCs w:val="16"/>
              </w:rPr>
            </w:pPr>
            <w:r w:rsidRPr="00CA0804">
              <w:rPr>
                <w:sz w:val="16"/>
                <w:szCs w:val="16"/>
              </w:rPr>
              <w:t>15,0</w:t>
            </w:r>
          </w:p>
        </w:tc>
      </w:tr>
      <w:tr w:rsidR="004A5CF2" w:rsidRPr="00CA0804" w14:paraId="4505510E" w14:textId="77777777" w:rsidTr="00C12EEB">
        <w:trPr>
          <w:trHeight w:val="270"/>
        </w:trPr>
        <w:tc>
          <w:tcPr>
            <w:tcW w:w="1584" w:type="dxa"/>
            <w:vMerge/>
            <w:shd w:val="clear" w:color="auto" w:fill="auto"/>
          </w:tcPr>
          <w:p w14:paraId="3DF339A7" w14:textId="77777777" w:rsidR="004A5CF2" w:rsidRPr="00CA0804" w:rsidRDefault="004A5CF2" w:rsidP="00820AAB">
            <w:pPr>
              <w:rPr>
                <w:sz w:val="16"/>
                <w:szCs w:val="16"/>
              </w:rPr>
            </w:pPr>
          </w:p>
        </w:tc>
        <w:tc>
          <w:tcPr>
            <w:tcW w:w="7048" w:type="dxa"/>
            <w:shd w:val="clear" w:color="auto" w:fill="auto"/>
          </w:tcPr>
          <w:p w14:paraId="36F79343" w14:textId="047422FA" w:rsidR="004A5CF2" w:rsidRPr="00CA0804" w:rsidRDefault="004A5CF2" w:rsidP="00820AAB">
            <w:pPr>
              <w:jc w:val="both"/>
              <w:rPr>
                <w:sz w:val="16"/>
                <w:szCs w:val="16"/>
              </w:rPr>
            </w:pPr>
            <w:r w:rsidRPr="00CA0804">
              <w:rPr>
                <w:sz w:val="16"/>
                <w:szCs w:val="16"/>
              </w:rPr>
              <w:t xml:space="preserve">Pojedinačna državna potpora HP – Hrvatskoj pošti d.d. u obliku naknade za obavljanje univerzalne usluge za razdoblje od 2024. do 2027. godine </w:t>
            </w:r>
          </w:p>
        </w:tc>
        <w:tc>
          <w:tcPr>
            <w:tcW w:w="582" w:type="dxa"/>
            <w:shd w:val="clear" w:color="auto" w:fill="auto"/>
          </w:tcPr>
          <w:p w14:paraId="71578139" w14:textId="2EA90283" w:rsidR="004A5CF2" w:rsidRPr="00CA0804" w:rsidRDefault="004A5CF2" w:rsidP="00820AAB">
            <w:pPr>
              <w:jc w:val="right"/>
              <w:rPr>
                <w:rFonts w:eastAsia="Times New Roman"/>
                <w:bCs/>
                <w:sz w:val="16"/>
                <w:szCs w:val="16"/>
                <w:lang w:eastAsia="hr-HR"/>
              </w:rPr>
            </w:pPr>
            <w:r w:rsidRPr="00CA0804">
              <w:rPr>
                <w:sz w:val="16"/>
                <w:szCs w:val="16"/>
              </w:rPr>
              <w:t>10,2</w:t>
            </w:r>
          </w:p>
        </w:tc>
      </w:tr>
      <w:tr w:rsidR="004A5CF2" w:rsidRPr="00CA0804" w14:paraId="5CBB386F" w14:textId="77777777" w:rsidTr="00C12EEB">
        <w:trPr>
          <w:trHeight w:val="161"/>
        </w:trPr>
        <w:tc>
          <w:tcPr>
            <w:tcW w:w="1584" w:type="dxa"/>
            <w:vMerge w:val="restart"/>
            <w:shd w:val="clear" w:color="auto" w:fill="auto"/>
            <w:hideMark/>
          </w:tcPr>
          <w:p w14:paraId="72C25EC0" w14:textId="77777777" w:rsidR="004A5CF2" w:rsidRPr="00CA0804" w:rsidRDefault="004A5CF2" w:rsidP="00820AAB">
            <w:pPr>
              <w:rPr>
                <w:sz w:val="16"/>
                <w:szCs w:val="16"/>
              </w:rPr>
            </w:pPr>
            <w:r w:rsidRPr="00CA0804">
              <w:rPr>
                <w:sz w:val="16"/>
                <w:szCs w:val="16"/>
              </w:rPr>
              <w:t>Zračni promet</w:t>
            </w:r>
          </w:p>
        </w:tc>
        <w:tc>
          <w:tcPr>
            <w:tcW w:w="7048" w:type="dxa"/>
            <w:shd w:val="clear" w:color="auto" w:fill="auto"/>
            <w:hideMark/>
          </w:tcPr>
          <w:p w14:paraId="25B9D34E" w14:textId="6B1E2E1F" w:rsidR="004A5CF2" w:rsidRPr="00CA0804" w:rsidRDefault="004A5CF2" w:rsidP="00820AAB">
            <w:pPr>
              <w:jc w:val="both"/>
              <w:rPr>
                <w:sz w:val="16"/>
                <w:szCs w:val="16"/>
              </w:rPr>
            </w:pPr>
            <w:r w:rsidRPr="00CA0804">
              <w:rPr>
                <w:rFonts w:eastAsia="Times New Roman"/>
                <w:sz w:val="16"/>
                <w:szCs w:val="16"/>
                <w:lang w:eastAsia="hr-HR"/>
              </w:rPr>
              <w:t>Očuvanje vremena otvorenosti Zračne luke Osijek d.o.o. za javni zračni promet</w:t>
            </w:r>
          </w:p>
        </w:tc>
        <w:tc>
          <w:tcPr>
            <w:tcW w:w="582" w:type="dxa"/>
            <w:shd w:val="clear" w:color="auto" w:fill="auto"/>
            <w:hideMark/>
          </w:tcPr>
          <w:p w14:paraId="4E959D2A" w14:textId="04C7091A" w:rsidR="004A5CF2" w:rsidRPr="00CA0804" w:rsidRDefault="004A5CF2" w:rsidP="00820AAB">
            <w:pPr>
              <w:jc w:val="right"/>
              <w:rPr>
                <w:sz w:val="16"/>
                <w:szCs w:val="16"/>
              </w:rPr>
            </w:pPr>
            <w:r w:rsidRPr="00CA0804">
              <w:rPr>
                <w:sz w:val="16"/>
                <w:szCs w:val="16"/>
              </w:rPr>
              <w:t>1,4</w:t>
            </w:r>
          </w:p>
        </w:tc>
      </w:tr>
      <w:tr w:rsidR="004A5CF2" w:rsidRPr="00CA0804" w14:paraId="78ACE6E8" w14:textId="77777777" w:rsidTr="00C12EEB">
        <w:trPr>
          <w:trHeight w:val="134"/>
        </w:trPr>
        <w:tc>
          <w:tcPr>
            <w:tcW w:w="1584" w:type="dxa"/>
            <w:vMerge/>
            <w:shd w:val="clear" w:color="auto" w:fill="auto"/>
          </w:tcPr>
          <w:p w14:paraId="32BB27C0" w14:textId="77777777" w:rsidR="004A5CF2" w:rsidRPr="00CA0804" w:rsidRDefault="004A5CF2" w:rsidP="00820AAB">
            <w:pPr>
              <w:rPr>
                <w:sz w:val="16"/>
                <w:szCs w:val="16"/>
              </w:rPr>
            </w:pPr>
          </w:p>
        </w:tc>
        <w:tc>
          <w:tcPr>
            <w:tcW w:w="7048" w:type="dxa"/>
            <w:shd w:val="clear" w:color="auto" w:fill="auto"/>
          </w:tcPr>
          <w:p w14:paraId="50F0C412" w14:textId="5766B471" w:rsidR="004A5CF2" w:rsidRPr="00CA0804" w:rsidRDefault="004A5CF2" w:rsidP="00820AAB">
            <w:pPr>
              <w:jc w:val="both"/>
              <w:rPr>
                <w:sz w:val="16"/>
                <w:szCs w:val="16"/>
              </w:rPr>
            </w:pPr>
            <w:r w:rsidRPr="00CA0804">
              <w:rPr>
                <w:rFonts w:eastAsia="Times New Roman"/>
                <w:sz w:val="16"/>
                <w:szCs w:val="16"/>
                <w:lang w:eastAsia="hr-HR"/>
              </w:rPr>
              <w:t>Očuvanje prometne povezanosti regija (domaći linijski zračni promet)</w:t>
            </w:r>
          </w:p>
        </w:tc>
        <w:tc>
          <w:tcPr>
            <w:tcW w:w="582" w:type="dxa"/>
            <w:shd w:val="clear" w:color="auto" w:fill="auto"/>
          </w:tcPr>
          <w:p w14:paraId="48301BF2" w14:textId="5036B275" w:rsidR="004A5CF2" w:rsidRPr="00CA0804" w:rsidRDefault="004A5CF2" w:rsidP="00820AAB">
            <w:pPr>
              <w:jc w:val="right"/>
              <w:rPr>
                <w:sz w:val="16"/>
                <w:szCs w:val="16"/>
              </w:rPr>
            </w:pPr>
            <w:r w:rsidRPr="00CA0804">
              <w:rPr>
                <w:sz w:val="16"/>
                <w:szCs w:val="16"/>
              </w:rPr>
              <w:t>19,1</w:t>
            </w:r>
          </w:p>
        </w:tc>
      </w:tr>
      <w:tr w:rsidR="004A5CF2" w:rsidRPr="00CA0804" w14:paraId="71B0E8EF" w14:textId="77777777" w:rsidTr="00C12EEB">
        <w:trPr>
          <w:trHeight w:val="328"/>
        </w:trPr>
        <w:tc>
          <w:tcPr>
            <w:tcW w:w="1584" w:type="dxa"/>
            <w:vMerge w:val="restart"/>
            <w:shd w:val="clear" w:color="auto" w:fill="auto"/>
            <w:hideMark/>
          </w:tcPr>
          <w:p w14:paraId="07BB6E01" w14:textId="77777777" w:rsidR="004A5CF2" w:rsidRPr="00CA0804" w:rsidRDefault="004A5CF2" w:rsidP="00820AAB">
            <w:pPr>
              <w:rPr>
                <w:sz w:val="16"/>
                <w:szCs w:val="16"/>
              </w:rPr>
            </w:pPr>
            <w:r w:rsidRPr="00CA0804">
              <w:rPr>
                <w:sz w:val="16"/>
                <w:szCs w:val="16"/>
              </w:rPr>
              <w:t>Pomorski promet</w:t>
            </w:r>
          </w:p>
        </w:tc>
        <w:tc>
          <w:tcPr>
            <w:tcW w:w="7048" w:type="dxa"/>
            <w:shd w:val="clear" w:color="auto" w:fill="auto"/>
          </w:tcPr>
          <w:p w14:paraId="3C77E3D8" w14:textId="7115EE72" w:rsidR="004A5CF2" w:rsidRPr="00CA0804" w:rsidRDefault="004A5CF2" w:rsidP="00433444">
            <w:pPr>
              <w:jc w:val="both"/>
              <w:rPr>
                <w:spacing w:val="-2"/>
                <w:sz w:val="16"/>
                <w:szCs w:val="16"/>
              </w:rPr>
            </w:pPr>
            <w:r w:rsidRPr="00CA0804">
              <w:rPr>
                <w:spacing w:val="-2"/>
                <w:sz w:val="16"/>
                <w:szCs w:val="16"/>
              </w:rPr>
              <w:t>Program državne potpore za usluge od općeg gospodarskog interesa u obliku naknade za obavljanje javne usluge javnog obalnog linijskog pomorskog prijevoza za razdoblje od 2020. do 2025. na državnoj brzobrodskoj liniji 9502 Žirje – Kaprije – Šibenik i obratno</w:t>
            </w:r>
          </w:p>
        </w:tc>
        <w:tc>
          <w:tcPr>
            <w:tcW w:w="582" w:type="dxa"/>
            <w:shd w:val="clear" w:color="auto" w:fill="auto"/>
          </w:tcPr>
          <w:p w14:paraId="0C31E87E" w14:textId="6B7EA206" w:rsidR="004A5CF2" w:rsidRPr="00CA0804" w:rsidRDefault="004A5CF2" w:rsidP="00820AAB">
            <w:pPr>
              <w:jc w:val="right"/>
              <w:rPr>
                <w:sz w:val="16"/>
                <w:szCs w:val="16"/>
              </w:rPr>
            </w:pPr>
            <w:r w:rsidRPr="00CA0804">
              <w:rPr>
                <w:bCs/>
                <w:sz w:val="16"/>
                <w:szCs w:val="16"/>
              </w:rPr>
              <w:t>0,9</w:t>
            </w:r>
          </w:p>
        </w:tc>
      </w:tr>
      <w:tr w:rsidR="004A5CF2" w:rsidRPr="00CA0804" w14:paraId="46FD2F11" w14:textId="77777777" w:rsidTr="00C12EEB">
        <w:trPr>
          <w:trHeight w:val="328"/>
        </w:trPr>
        <w:tc>
          <w:tcPr>
            <w:tcW w:w="1584" w:type="dxa"/>
            <w:vMerge/>
            <w:shd w:val="clear" w:color="auto" w:fill="auto"/>
          </w:tcPr>
          <w:p w14:paraId="2AE51DC0" w14:textId="77777777" w:rsidR="004A5CF2" w:rsidRPr="00CA0804" w:rsidRDefault="004A5CF2" w:rsidP="00820AAB">
            <w:pPr>
              <w:rPr>
                <w:sz w:val="16"/>
                <w:szCs w:val="16"/>
              </w:rPr>
            </w:pPr>
          </w:p>
        </w:tc>
        <w:tc>
          <w:tcPr>
            <w:tcW w:w="7048" w:type="dxa"/>
            <w:shd w:val="clear" w:color="auto" w:fill="auto"/>
          </w:tcPr>
          <w:p w14:paraId="32B30B38" w14:textId="07A17B9E" w:rsidR="004A5CF2" w:rsidRPr="00CA0804" w:rsidRDefault="004A5CF2" w:rsidP="00820AAB">
            <w:pPr>
              <w:jc w:val="both"/>
              <w:rPr>
                <w:sz w:val="16"/>
                <w:szCs w:val="16"/>
              </w:rPr>
            </w:pPr>
            <w:r w:rsidRPr="00CA0804">
              <w:rPr>
                <w:sz w:val="16"/>
                <w:szCs w:val="16"/>
              </w:rPr>
              <w:t>Program državne potpore za usluge od općeg gospodarskog interesa u obliku naknade za obavljanje javne usluge javnog obalnog linijskog pomorskog prijevoza na državnoj brodskoj liniji br. 409</w:t>
            </w:r>
          </w:p>
        </w:tc>
        <w:tc>
          <w:tcPr>
            <w:tcW w:w="582" w:type="dxa"/>
            <w:shd w:val="clear" w:color="auto" w:fill="auto"/>
          </w:tcPr>
          <w:p w14:paraId="494DC14B" w14:textId="3E7EE1F0" w:rsidR="004A5CF2" w:rsidRPr="00CA0804" w:rsidRDefault="004A5CF2" w:rsidP="00820AAB">
            <w:pPr>
              <w:jc w:val="right"/>
              <w:rPr>
                <w:sz w:val="16"/>
                <w:szCs w:val="16"/>
              </w:rPr>
            </w:pPr>
            <w:r w:rsidRPr="00CA0804">
              <w:rPr>
                <w:bCs/>
                <w:sz w:val="16"/>
                <w:szCs w:val="16"/>
              </w:rPr>
              <w:t>0,3</w:t>
            </w:r>
          </w:p>
        </w:tc>
      </w:tr>
      <w:tr w:rsidR="004A5CF2" w:rsidRPr="00CA0804" w14:paraId="6EC5864A" w14:textId="77777777" w:rsidTr="00C12EEB">
        <w:trPr>
          <w:trHeight w:val="429"/>
        </w:trPr>
        <w:tc>
          <w:tcPr>
            <w:tcW w:w="1584" w:type="dxa"/>
            <w:vMerge/>
            <w:shd w:val="clear" w:color="auto" w:fill="auto"/>
          </w:tcPr>
          <w:p w14:paraId="7A036A53" w14:textId="77777777" w:rsidR="004A5CF2" w:rsidRPr="00CA0804" w:rsidRDefault="004A5CF2" w:rsidP="00820AAB">
            <w:pPr>
              <w:rPr>
                <w:sz w:val="16"/>
                <w:szCs w:val="16"/>
              </w:rPr>
            </w:pPr>
          </w:p>
        </w:tc>
        <w:tc>
          <w:tcPr>
            <w:tcW w:w="7048" w:type="dxa"/>
            <w:shd w:val="clear" w:color="auto" w:fill="auto"/>
          </w:tcPr>
          <w:p w14:paraId="7012F978" w14:textId="4FE12B11" w:rsidR="004A5CF2" w:rsidRPr="00CA0804" w:rsidRDefault="004A5CF2" w:rsidP="00820AAB">
            <w:pPr>
              <w:jc w:val="both"/>
              <w:rPr>
                <w:sz w:val="16"/>
                <w:szCs w:val="16"/>
              </w:rPr>
            </w:pPr>
            <w:r w:rsidRPr="00CA0804">
              <w:rPr>
                <w:sz w:val="16"/>
                <w:szCs w:val="16"/>
              </w:rPr>
              <w:t>Program državne potpore za usluge od općeg gospodarskog interesa u obliku naknade za obavljanje javne usluge javnog obalnog linijskog pomorskog prijevoza na državnoj trajektnoj liniji br. 635</w:t>
            </w:r>
          </w:p>
        </w:tc>
        <w:tc>
          <w:tcPr>
            <w:tcW w:w="582" w:type="dxa"/>
            <w:shd w:val="clear" w:color="auto" w:fill="auto"/>
          </w:tcPr>
          <w:p w14:paraId="56AE10C0" w14:textId="58EFE42D" w:rsidR="004A5CF2" w:rsidRPr="00CA0804" w:rsidRDefault="004A5CF2" w:rsidP="00820AAB">
            <w:pPr>
              <w:jc w:val="right"/>
              <w:rPr>
                <w:sz w:val="16"/>
                <w:szCs w:val="16"/>
              </w:rPr>
            </w:pPr>
            <w:r w:rsidRPr="00CA0804">
              <w:rPr>
                <w:bCs/>
                <w:sz w:val="16"/>
                <w:szCs w:val="16"/>
              </w:rPr>
              <w:t>0,8</w:t>
            </w:r>
          </w:p>
        </w:tc>
      </w:tr>
      <w:tr w:rsidR="004A5CF2" w:rsidRPr="00CA0804" w14:paraId="6558834C" w14:textId="77777777" w:rsidTr="00C12EEB">
        <w:trPr>
          <w:trHeight w:val="328"/>
        </w:trPr>
        <w:tc>
          <w:tcPr>
            <w:tcW w:w="1584" w:type="dxa"/>
            <w:vMerge/>
            <w:shd w:val="clear" w:color="auto" w:fill="auto"/>
          </w:tcPr>
          <w:p w14:paraId="6968E429" w14:textId="77777777" w:rsidR="004A5CF2" w:rsidRPr="00CA0804" w:rsidRDefault="004A5CF2" w:rsidP="00820AAB">
            <w:pPr>
              <w:rPr>
                <w:sz w:val="16"/>
                <w:szCs w:val="16"/>
              </w:rPr>
            </w:pPr>
          </w:p>
        </w:tc>
        <w:tc>
          <w:tcPr>
            <w:tcW w:w="7048" w:type="dxa"/>
            <w:shd w:val="clear" w:color="auto" w:fill="auto"/>
          </w:tcPr>
          <w:p w14:paraId="7805DC65" w14:textId="2E4D4D20" w:rsidR="004A5CF2" w:rsidRPr="00CA0804" w:rsidRDefault="004A5CF2" w:rsidP="00433444">
            <w:pPr>
              <w:jc w:val="both"/>
              <w:rPr>
                <w:sz w:val="16"/>
                <w:szCs w:val="16"/>
              </w:rPr>
            </w:pPr>
            <w:r w:rsidRPr="00CA0804">
              <w:rPr>
                <w:sz w:val="16"/>
                <w:szCs w:val="16"/>
              </w:rPr>
              <w:t>Program državne potpore za usluge od općeg gospodarskog interesa u obliku naknade za obavljanje javne usluge javnog obalnog linijskog pomorskog prijevoza za razdoblje od 6 godina (očekivano od 2021.-2026. godine) na državnoj brzobrodskoj liniji 9808 Lastovo – Korčula – Dubrovnik</w:t>
            </w:r>
          </w:p>
        </w:tc>
        <w:tc>
          <w:tcPr>
            <w:tcW w:w="582" w:type="dxa"/>
            <w:shd w:val="clear" w:color="auto" w:fill="auto"/>
          </w:tcPr>
          <w:p w14:paraId="56BB2A74" w14:textId="694752E1" w:rsidR="004A5CF2" w:rsidRPr="00CA0804" w:rsidRDefault="004A5CF2" w:rsidP="00820AAB">
            <w:pPr>
              <w:jc w:val="right"/>
              <w:rPr>
                <w:sz w:val="16"/>
                <w:szCs w:val="16"/>
              </w:rPr>
            </w:pPr>
            <w:r w:rsidRPr="00CA0804">
              <w:rPr>
                <w:bCs/>
                <w:sz w:val="16"/>
                <w:szCs w:val="16"/>
              </w:rPr>
              <w:t>1,8</w:t>
            </w:r>
          </w:p>
        </w:tc>
      </w:tr>
      <w:tr w:rsidR="004A5CF2" w:rsidRPr="00CA0804" w14:paraId="1CC378E3" w14:textId="77777777" w:rsidTr="00C12EEB">
        <w:trPr>
          <w:trHeight w:val="392"/>
        </w:trPr>
        <w:tc>
          <w:tcPr>
            <w:tcW w:w="1584" w:type="dxa"/>
            <w:vMerge/>
            <w:hideMark/>
          </w:tcPr>
          <w:p w14:paraId="0FB1EEAD" w14:textId="77777777" w:rsidR="004A5CF2" w:rsidRPr="00CA0804" w:rsidRDefault="004A5CF2" w:rsidP="00820AAB">
            <w:pPr>
              <w:rPr>
                <w:sz w:val="16"/>
                <w:szCs w:val="16"/>
              </w:rPr>
            </w:pPr>
          </w:p>
        </w:tc>
        <w:tc>
          <w:tcPr>
            <w:tcW w:w="7048" w:type="dxa"/>
            <w:shd w:val="clear" w:color="auto" w:fill="auto"/>
          </w:tcPr>
          <w:p w14:paraId="381E2430" w14:textId="51340812" w:rsidR="004A5CF2" w:rsidRPr="00CA0804" w:rsidRDefault="004A5CF2" w:rsidP="00820AAB">
            <w:pPr>
              <w:jc w:val="both"/>
              <w:rPr>
                <w:sz w:val="16"/>
                <w:szCs w:val="16"/>
              </w:rPr>
            </w:pPr>
            <w:r w:rsidRPr="00CA0804">
              <w:rPr>
                <w:sz w:val="16"/>
                <w:szCs w:val="16"/>
              </w:rPr>
              <w:t>Program državne potpore za usluge od općeg gospodarskog interesa u obliku naknade za obavljanje usluge javnog obalnog linijskog pomorskog prijevoza za razdoblje 2018. do 2023. uz mogućnost produljenja do 2027. godine na državnim brzobrodskim linijama</w:t>
            </w:r>
          </w:p>
        </w:tc>
        <w:tc>
          <w:tcPr>
            <w:tcW w:w="582" w:type="dxa"/>
            <w:shd w:val="clear" w:color="auto" w:fill="auto"/>
          </w:tcPr>
          <w:p w14:paraId="13BEE0D1" w14:textId="648CFDE2" w:rsidR="004A5CF2" w:rsidRPr="00CA0804" w:rsidRDefault="004A5CF2" w:rsidP="00820AAB">
            <w:pPr>
              <w:jc w:val="right"/>
              <w:rPr>
                <w:sz w:val="16"/>
                <w:szCs w:val="16"/>
              </w:rPr>
            </w:pPr>
            <w:r w:rsidRPr="00CA0804">
              <w:rPr>
                <w:bCs/>
                <w:sz w:val="16"/>
                <w:szCs w:val="16"/>
              </w:rPr>
              <w:t>6,0</w:t>
            </w:r>
          </w:p>
        </w:tc>
      </w:tr>
      <w:tr w:rsidR="004A5CF2" w:rsidRPr="00CA0804" w14:paraId="17966D0A" w14:textId="77777777" w:rsidTr="00C12EEB">
        <w:trPr>
          <w:trHeight w:val="76"/>
        </w:trPr>
        <w:tc>
          <w:tcPr>
            <w:tcW w:w="1584" w:type="dxa"/>
            <w:vMerge/>
          </w:tcPr>
          <w:p w14:paraId="12015078" w14:textId="77777777" w:rsidR="004A5CF2" w:rsidRPr="00CA0804" w:rsidRDefault="004A5CF2" w:rsidP="00820AAB">
            <w:pPr>
              <w:rPr>
                <w:sz w:val="16"/>
                <w:szCs w:val="16"/>
              </w:rPr>
            </w:pPr>
          </w:p>
        </w:tc>
        <w:tc>
          <w:tcPr>
            <w:tcW w:w="7048" w:type="dxa"/>
            <w:shd w:val="clear" w:color="auto" w:fill="auto"/>
          </w:tcPr>
          <w:p w14:paraId="5778C151" w14:textId="04AF3AD0" w:rsidR="004A5CF2" w:rsidRPr="00CA0804" w:rsidRDefault="004A5CF2" w:rsidP="00820AAB">
            <w:pPr>
              <w:jc w:val="both"/>
              <w:rPr>
                <w:sz w:val="16"/>
                <w:szCs w:val="16"/>
              </w:rPr>
            </w:pPr>
            <w:r w:rsidRPr="00CA0804">
              <w:rPr>
                <w:sz w:val="16"/>
                <w:szCs w:val="16"/>
              </w:rPr>
              <w:t>Izmjene Prijedloga programa državne potpore za usluge od općeg gospodarskog interesa u obliku naknade za obavljanje javne usluge javnog obalnog linijskog pomorskog prijevoza za razdoblje od 6 godina na državnoj liniji 9141</w:t>
            </w:r>
          </w:p>
        </w:tc>
        <w:tc>
          <w:tcPr>
            <w:tcW w:w="582" w:type="dxa"/>
            <w:shd w:val="clear" w:color="auto" w:fill="auto"/>
          </w:tcPr>
          <w:p w14:paraId="7D6144B9" w14:textId="5BAC9149" w:rsidR="004A5CF2" w:rsidRPr="00CA0804" w:rsidRDefault="004A5CF2" w:rsidP="00820AAB">
            <w:pPr>
              <w:jc w:val="right"/>
              <w:rPr>
                <w:sz w:val="16"/>
                <w:szCs w:val="16"/>
              </w:rPr>
            </w:pPr>
            <w:r w:rsidRPr="00CA0804">
              <w:rPr>
                <w:bCs/>
                <w:sz w:val="16"/>
                <w:szCs w:val="16"/>
              </w:rPr>
              <w:t>1,3</w:t>
            </w:r>
          </w:p>
        </w:tc>
      </w:tr>
      <w:tr w:rsidR="004A5CF2" w:rsidRPr="00CA0804" w14:paraId="23C588AF" w14:textId="77777777" w:rsidTr="00C12EEB">
        <w:trPr>
          <w:trHeight w:val="70"/>
        </w:trPr>
        <w:tc>
          <w:tcPr>
            <w:tcW w:w="1584" w:type="dxa"/>
            <w:vMerge/>
          </w:tcPr>
          <w:p w14:paraId="7D401094" w14:textId="77777777" w:rsidR="004A5CF2" w:rsidRPr="00CA0804" w:rsidRDefault="004A5CF2" w:rsidP="00820AAB">
            <w:pPr>
              <w:rPr>
                <w:sz w:val="16"/>
                <w:szCs w:val="16"/>
              </w:rPr>
            </w:pPr>
          </w:p>
        </w:tc>
        <w:tc>
          <w:tcPr>
            <w:tcW w:w="7048" w:type="dxa"/>
            <w:shd w:val="clear" w:color="auto" w:fill="auto"/>
          </w:tcPr>
          <w:p w14:paraId="1DC8F714" w14:textId="5033CAA5" w:rsidR="004A5CF2" w:rsidRPr="00CA0804" w:rsidRDefault="004A5CF2" w:rsidP="00820AAB">
            <w:pPr>
              <w:jc w:val="both"/>
              <w:rPr>
                <w:sz w:val="16"/>
                <w:szCs w:val="16"/>
              </w:rPr>
            </w:pPr>
            <w:r w:rsidRPr="00CA0804">
              <w:rPr>
                <w:sz w:val="16"/>
                <w:szCs w:val="16"/>
              </w:rPr>
              <w:t>Prijedlog programa državne potpore za usluge od općeg gospodarskog interesa u obliku naknade za obavljanje javne usluge javnog obalnog linijskog pomorskog prijevoza za razdoblje od 6 godine na državnim trajektnim linijama 338, 532, 831</w:t>
            </w:r>
          </w:p>
        </w:tc>
        <w:tc>
          <w:tcPr>
            <w:tcW w:w="582" w:type="dxa"/>
            <w:shd w:val="clear" w:color="auto" w:fill="auto"/>
          </w:tcPr>
          <w:p w14:paraId="4EE0DE86" w14:textId="0E81B0DA" w:rsidR="004A5CF2" w:rsidRPr="00CA0804" w:rsidRDefault="004A5CF2" w:rsidP="00820AAB">
            <w:pPr>
              <w:jc w:val="right"/>
              <w:rPr>
                <w:rFonts w:eastAsia="Times New Roman"/>
                <w:sz w:val="16"/>
                <w:szCs w:val="16"/>
                <w:lang w:eastAsia="hr-HR"/>
              </w:rPr>
            </w:pPr>
            <w:r w:rsidRPr="00CA0804">
              <w:rPr>
                <w:bCs/>
                <w:sz w:val="16"/>
                <w:szCs w:val="16"/>
              </w:rPr>
              <w:t>3,9</w:t>
            </w:r>
          </w:p>
        </w:tc>
      </w:tr>
      <w:tr w:rsidR="004A5CF2" w:rsidRPr="00CA0804" w14:paraId="5756475F" w14:textId="77777777" w:rsidTr="00C12EEB">
        <w:trPr>
          <w:trHeight w:val="42"/>
        </w:trPr>
        <w:tc>
          <w:tcPr>
            <w:tcW w:w="1584" w:type="dxa"/>
            <w:vMerge/>
          </w:tcPr>
          <w:p w14:paraId="00E1C79E" w14:textId="77777777" w:rsidR="004A5CF2" w:rsidRPr="00CA0804" w:rsidRDefault="004A5CF2" w:rsidP="00820AAB">
            <w:pPr>
              <w:rPr>
                <w:sz w:val="16"/>
                <w:szCs w:val="16"/>
              </w:rPr>
            </w:pPr>
          </w:p>
        </w:tc>
        <w:tc>
          <w:tcPr>
            <w:tcW w:w="7048" w:type="dxa"/>
            <w:shd w:val="clear" w:color="auto" w:fill="auto"/>
          </w:tcPr>
          <w:p w14:paraId="70B3A79A" w14:textId="7A3A5F9D" w:rsidR="004A5CF2" w:rsidRPr="00CA0804" w:rsidRDefault="004A5CF2" w:rsidP="00820AAB">
            <w:pPr>
              <w:jc w:val="both"/>
              <w:rPr>
                <w:sz w:val="16"/>
                <w:szCs w:val="16"/>
              </w:rPr>
            </w:pPr>
            <w:r w:rsidRPr="00CA0804">
              <w:rPr>
                <w:color w:val="000000"/>
                <w:sz w:val="16"/>
                <w:szCs w:val="16"/>
              </w:rPr>
              <w:t>Prijedlog programa državne potpore za usluge od općeg gospodarskog interesa u obliku naknade za obavljanje javne usluge javnog obalnog linijskog pomorskog prijevoza za razdoblje od 3 godine na državnim brodskim linijama 310, 311, 501, 614, 807</w:t>
            </w:r>
          </w:p>
        </w:tc>
        <w:tc>
          <w:tcPr>
            <w:tcW w:w="582" w:type="dxa"/>
            <w:shd w:val="clear" w:color="auto" w:fill="auto"/>
          </w:tcPr>
          <w:p w14:paraId="073D5799" w14:textId="29A3AACC" w:rsidR="004A5CF2" w:rsidRPr="00CA0804" w:rsidRDefault="004A5CF2" w:rsidP="00820AAB">
            <w:pPr>
              <w:jc w:val="right"/>
              <w:rPr>
                <w:sz w:val="16"/>
                <w:szCs w:val="16"/>
              </w:rPr>
            </w:pPr>
            <w:r w:rsidRPr="00CA0804">
              <w:rPr>
                <w:bCs/>
                <w:sz w:val="16"/>
                <w:szCs w:val="16"/>
              </w:rPr>
              <w:t>0,6</w:t>
            </w:r>
          </w:p>
        </w:tc>
      </w:tr>
      <w:tr w:rsidR="004A5CF2" w:rsidRPr="00CA0804" w14:paraId="61D009C3" w14:textId="77777777" w:rsidTr="00C12EEB">
        <w:trPr>
          <w:trHeight w:val="51"/>
        </w:trPr>
        <w:tc>
          <w:tcPr>
            <w:tcW w:w="1584" w:type="dxa"/>
            <w:vMerge/>
          </w:tcPr>
          <w:p w14:paraId="23FCE998" w14:textId="77777777" w:rsidR="004A5CF2" w:rsidRPr="00CA0804" w:rsidRDefault="004A5CF2" w:rsidP="00820AAB">
            <w:pPr>
              <w:rPr>
                <w:sz w:val="16"/>
                <w:szCs w:val="16"/>
              </w:rPr>
            </w:pPr>
          </w:p>
        </w:tc>
        <w:tc>
          <w:tcPr>
            <w:tcW w:w="7048" w:type="dxa"/>
            <w:shd w:val="clear" w:color="auto" w:fill="auto"/>
          </w:tcPr>
          <w:p w14:paraId="389A3D24" w14:textId="74B901D8" w:rsidR="004A5CF2" w:rsidRPr="00CA0804" w:rsidRDefault="004A5CF2" w:rsidP="00820AAB">
            <w:pPr>
              <w:jc w:val="both"/>
              <w:rPr>
                <w:sz w:val="16"/>
                <w:szCs w:val="16"/>
              </w:rPr>
            </w:pPr>
            <w:r w:rsidRPr="00CA0804">
              <w:rPr>
                <w:sz w:val="16"/>
                <w:szCs w:val="16"/>
              </w:rPr>
              <w:t>Izmjene Prijedloga programa državne potpore za usluge od općeg gospodarskog interesa u obliku naknade za obavljanje javne usluge javnog obalnog linijskog pomorskog prijevoza za razdoblje od 3 godine na državnim linijama 310, 331, 501, 614 i 807</w:t>
            </w:r>
          </w:p>
        </w:tc>
        <w:tc>
          <w:tcPr>
            <w:tcW w:w="582" w:type="dxa"/>
            <w:shd w:val="clear" w:color="auto" w:fill="auto"/>
          </w:tcPr>
          <w:p w14:paraId="7A2468A9" w14:textId="433B4A3B" w:rsidR="004A5CF2" w:rsidRPr="00CA0804" w:rsidRDefault="004A5CF2" w:rsidP="00820AAB">
            <w:pPr>
              <w:jc w:val="right"/>
              <w:rPr>
                <w:sz w:val="16"/>
                <w:szCs w:val="16"/>
              </w:rPr>
            </w:pPr>
            <w:r w:rsidRPr="00CA0804">
              <w:rPr>
                <w:bCs/>
                <w:sz w:val="16"/>
                <w:szCs w:val="16"/>
              </w:rPr>
              <w:t>1,9</w:t>
            </w:r>
          </w:p>
        </w:tc>
      </w:tr>
      <w:tr w:rsidR="004A5CF2" w:rsidRPr="00CA0804" w14:paraId="11D6814A" w14:textId="77777777" w:rsidTr="00C12EEB">
        <w:trPr>
          <w:trHeight w:val="51"/>
        </w:trPr>
        <w:tc>
          <w:tcPr>
            <w:tcW w:w="1584" w:type="dxa"/>
            <w:vMerge/>
          </w:tcPr>
          <w:p w14:paraId="05136D1D" w14:textId="77777777" w:rsidR="004A5CF2" w:rsidRPr="00CA0804" w:rsidRDefault="004A5CF2" w:rsidP="00820AAB">
            <w:pPr>
              <w:rPr>
                <w:sz w:val="16"/>
                <w:szCs w:val="16"/>
              </w:rPr>
            </w:pPr>
          </w:p>
        </w:tc>
        <w:tc>
          <w:tcPr>
            <w:tcW w:w="7048" w:type="dxa"/>
            <w:shd w:val="clear" w:color="auto" w:fill="auto"/>
          </w:tcPr>
          <w:p w14:paraId="554D9AE5" w14:textId="32161F6E" w:rsidR="004A5CF2" w:rsidRPr="00CA0804" w:rsidRDefault="004A5CF2" w:rsidP="00820AAB">
            <w:pPr>
              <w:jc w:val="both"/>
              <w:rPr>
                <w:sz w:val="16"/>
                <w:szCs w:val="16"/>
              </w:rPr>
            </w:pPr>
            <w:r w:rsidRPr="00CA0804">
              <w:rPr>
                <w:sz w:val="16"/>
                <w:szCs w:val="16"/>
              </w:rPr>
              <w:t>Prijedlog programa državne potpore za usluge od općeg gospodarskog interesa u obliku naknade za obavljanje javne usluge javnog obalnog linijskog pomorskog prijevoza za razdoblje od 6 godina na državnim brodskim linijama 405/406, 505 i 612</w:t>
            </w:r>
          </w:p>
        </w:tc>
        <w:tc>
          <w:tcPr>
            <w:tcW w:w="582" w:type="dxa"/>
            <w:shd w:val="clear" w:color="auto" w:fill="auto"/>
          </w:tcPr>
          <w:p w14:paraId="27B97BFE" w14:textId="70D7E5CE" w:rsidR="004A5CF2" w:rsidRPr="00CA0804" w:rsidRDefault="004A5CF2" w:rsidP="00820AAB">
            <w:pPr>
              <w:jc w:val="right"/>
              <w:rPr>
                <w:sz w:val="16"/>
                <w:szCs w:val="16"/>
              </w:rPr>
            </w:pPr>
            <w:r w:rsidRPr="00CA0804">
              <w:rPr>
                <w:bCs/>
                <w:sz w:val="16"/>
                <w:szCs w:val="16"/>
              </w:rPr>
              <w:t>1,1</w:t>
            </w:r>
          </w:p>
        </w:tc>
      </w:tr>
      <w:tr w:rsidR="004A5CF2" w:rsidRPr="00CA0804" w14:paraId="676E4E7E" w14:textId="77777777" w:rsidTr="00C12EEB">
        <w:trPr>
          <w:trHeight w:val="102"/>
        </w:trPr>
        <w:tc>
          <w:tcPr>
            <w:tcW w:w="1584" w:type="dxa"/>
            <w:vMerge/>
          </w:tcPr>
          <w:p w14:paraId="6D2AA855" w14:textId="77777777" w:rsidR="004A5CF2" w:rsidRPr="00CA0804" w:rsidRDefault="004A5CF2" w:rsidP="00820AAB">
            <w:pPr>
              <w:rPr>
                <w:sz w:val="16"/>
                <w:szCs w:val="16"/>
              </w:rPr>
            </w:pPr>
          </w:p>
        </w:tc>
        <w:tc>
          <w:tcPr>
            <w:tcW w:w="7048" w:type="dxa"/>
            <w:shd w:val="clear" w:color="auto" w:fill="auto"/>
          </w:tcPr>
          <w:p w14:paraId="1888A46A" w14:textId="07D67F8C" w:rsidR="004A5CF2" w:rsidRPr="00CA0804" w:rsidRDefault="004A5CF2" w:rsidP="00820AAB">
            <w:pPr>
              <w:jc w:val="both"/>
              <w:rPr>
                <w:sz w:val="16"/>
                <w:szCs w:val="16"/>
              </w:rPr>
            </w:pPr>
            <w:r w:rsidRPr="00CA0804">
              <w:rPr>
                <w:sz w:val="16"/>
                <w:szCs w:val="16"/>
              </w:rPr>
              <w:t>Izmjene Prijedloga programa državne potpore za usluge od općeg gospodarskog interesa u obliku naknade za obavljanje javne usluge javnog obalnog linijskog pomorskog prijevoza za razdoblje od 6 godina na državnim linijama 405, 505, 612</w:t>
            </w:r>
          </w:p>
        </w:tc>
        <w:tc>
          <w:tcPr>
            <w:tcW w:w="582" w:type="dxa"/>
            <w:shd w:val="clear" w:color="auto" w:fill="auto"/>
          </w:tcPr>
          <w:p w14:paraId="367952E8" w14:textId="52874597" w:rsidR="004A5CF2" w:rsidRPr="00CA0804" w:rsidRDefault="004A5CF2" w:rsidP="00820AAB">
            <w:pPr>
              <w:jc w:val="right"/>
              <w:rPr>
                <w:sz w:val="16"/>
                <w:szCs w:val="16"/>
              </w:rPr>
            </w:pPr>
            <w:r w:rsidRPr="00CA0804">
              <w:rPr>
                <w:bCs/>
                <w:sz w:val="16"/>
                <w:szCs w:val="16"/>
              </w:rPr>
              <w:t>0,8</w:t>
            </w:r>
          </w:p>
        </w:tc>
      </w:tr>
      <w:tr w:rsidR="004A5CF2" w:rsidRPr="00CA0804" w14:paraId="1E7DBBC7" w14:textId="77777777" w:rsidTr="00C12EEB">
        <w:trPr>
          <w:trHeight w:val="47"/>
        </w:trPr>
        <w:tc>
          <w:tcPr>
            <w:tcW w:w="1584" w:type="dxa"/>
            <w:vMerge/>
          </w:tcPr>
          <w:p w14:paraId="0DC62B2B" w14:textId="77777777" w:rsidR="004A5CF2" w:rsidRPr="00CA0804" w:rsidRDefault="004A5CF2" w:rsidP="00121757">
            <w:pPr>
              <w:rPr>
                <w:sz w:val="16"/>
                <w:szCs w:val="16"/>
              </w:rPr>
            </w:pPr>
          </w:p>
        </w:tc>
        <w:tc>
          <w:tcPr>
            <w:tcW w:w="7048" w:type="dxa"/>
            <w:shd w:val="clear" w:color="auto" w:fill="auto"/>
          </w:tcPr>
          <w:p w14:paraId="0672B99C" w14:textId="6413B13F" w:rsidR="004A5CF2" w:rsidRPr="00CA0804" w:rsidRDefault="004A5CF2" w:rsidP="00121757">
            <w:pPr>
              <w:jc w:val="both"/>
              <w:rPr>
                <w:spacing w:val="-4"/>
                <w:sz w:val="16"/>
                <w:szCs w:val="16"/>
              </w:rPr>
            </w:pPr>
            <w:r w:rsidRPr="00CA0804">
              <w:rPr>
                <w:sz w:val="16"/>
                <w:szCs w:val="16"/>
              </w:rPr>
              <w:t>Program državne potpore za usluge od općeg gospodarskog interesa u obliku naknade za obavljanje javne usluge javnog obalnog linijskog pomorskog prijevoza za razdoblje od 2018. do 2020. uz mogućnost produljenja do 2029.</w:t>
            </w:r>
          </w:p>
        </w:tc>
        <w:tc>
          <w:tcPr>
            <w:tcW w:w="582" w:type="dxa"/>
            <w:shd w:val="clear" w:color="auto" w:fill="auto"/>
          </w:tcPr>
          <w:p w14:paraId="1DDC10D0" w14:textId="393A5095" w:rsidR="004A5CF2" w:rsidRPr="00CA0804" w:rsidRDefault="004A5CF2" w:rsidP="00121757">
            <w:pPr>
              <w:jc w:val="right"/>
              <w:rPr>
                <w:sz w:val="16"/>
                <w:szCs w:val="16"/>
              </w:rPr>
            </w:pPr>
            <w:r w:rsidRPr="00CA0804">
              <w:rPr>
                <w:bCs/>
                <w:sz w:val="16"/>
                <w:szCs w:val="16"/>
              </w:rPr>
              <w:t>1,3</w:t>
            </w:r>
          </w:p>
        </w:tc>
      </w:tr>
      <w:tr w:rsidR="004A5CF2" w:rsidRPr="00CA0804" w14:paraId="4DC43F38" w14:textId="77777777" w:rsidTr="00C12EEB">
        <w:trPr>
          <w:trHeight w:val="51"/>
        </w:trPr>
        <w:tc>
          <w:tcPr>
            <w:tcW w:w="1584" w:type="dxa"/>
            <w:vMerge/>
          </w:tcPr>
          <w:p w14:paraId="36285A2A" w14:textId="77777777" w:rsidR="004A5CF2" w:rsidRPr="00CA0804" w:rsidRDefault="004A5CF2" w:rsidP="00121757">
            <w:pPr>
              <w:rPr>
                <w:sz w:val="16"/>
                <w:szCs w:val="16"/>
              </w:rPr>
            </w:pPr>
          </w:p>
        </w:tc>
        <w:tc>
          <w:tcPr>
            <w:tcW w:w="7048" w:type="dxa"/>
            <w:shd w:val="clear" w:color="auto" w:fill="auto"/>
          </w:tcPr>
          <w:p w14:paraId="4517E003" w14:textId="2C3C14CC" w:rsidR="004A5CF2" w:rsidRPr="00CA0804" w:rsidRDefault="004A5CF2" w:rsidP="00433444">
            <w:pPr>
              <w:jc w:val="both"/>
              <w:rPr>
                <w:sz w:val="16"/>
                <w:szCs w:val="16"/>
              </w:rPr>
            </w:pPr>
            <w:r w:rsidRPr="00CA0804">
              <w:rPr>
                <w:sz w:val="16"/>
                <w:szCs w:val="16"/>
              </w:rPr>
              <w:t>Program državne potpore za usluge od općeg gospodarskog interesa u obliku naknade za obavljanje javne usluge javnog obalnog linijskog pomorskog prijevoza za razdoblje od 2018. do 2023. godine uz mogućnost produljenja do 2027. godine na državnim trajektnim linijama</w:t>
            </w:r>
          </w:p>
        </w:tc>
        <w:tc>
          <w:tcPr>
            <w:tcW w:w="582" w:type="dxa"/>
            <w:shd w:val="clear" w:color="auto" w:fill="auto"/>
          </w:tcPr>
          <w:p w14:paraId="6ABC1D7D" w14:textId="0D322A0A" w:rsidR="004A5CF2" w:rsidRPr="00CA0804" w:rsidRDefault="004A5CF2" w:rsidP="00121757">
            <w:pPr>
              <w:jc w:val="right"/>
              <w:rPr>
                <w:sz w:val="16"/>
                <w:szCs w:val="16"/>
              </w:rPr>
            </w:pPr>
            <w:r w:rsidRPr="00CA0804">
              <w:rPr>
                <w:bCs/>
                <w:sz w:val="16"/>
                <w:szCs w:val="16"/>
              </w:rPr>
              <w:t>8,7</w:t>
            </w:r>
          </w:p>
        </w:tc>
      </w:tr>
      <w:tr w:rsidR="004A5CF2" w:rsidRPr="00CA0804" w14:paraId="22C18679" w14:textId="77777777" w:rsidTr="00C12EEB">
        <w:trPr>
          <w:trHeight w:val="51"/>
        </w:trPr>
        <w:tc>
          <w:tcPr>
            <w:tcW w:w="1584" w:type="dxa"/>
            <w:vMerge/>
          </w:tcPr>
          <w:p w14:paraId="22273E6B" w14:textId="77777777" w:rsidR="004A5CF2" w:rsidRPr="00CA0804" w:rsidRDefault="004A5CF2" w:rsidP="00121757">
            <w:pPr>
              <w:rPr>
                <w:sz w:val="16"/>
                <w:szCs w:val="16"/>
              </w:rPr>
            </w:pPr>
          </w:p>
        </w:tc>
        <w:tc>
          <w:tcPr>
            <w:tcW w:w="7048" w:type="dxa"/>
            <w:shd w:val="clear" w:color="auto" w:fill="auto"/>
          </w:tcPr>
          <w:p w14:paraId="569250CF" w14:textId="716CE13F" w:rsidR="004A5CF2" w:rsidRPr="00CA0804" w:rsidRDefault="004A5CF2" w:rsidP="00121757">
            <w:pPr>
              <w:jc w:val="both"/>
              <w:rPr>
                <w:sz w:val="16"/>
                <w:szCs w:val="16"/>
              </w:rPr>
            </w:pPr>
            <w:r w:rsidRPr="00CA0804">
              <w:rPr>
                <w:sz w:val="16"/>
                <w:szCs w:val="16"/>
              </w:rPr>
              <w:t>Program državne potpore za usluge od općeg gospodarskog interesa u obliku naknade za obavljanje javne usluge javnog obalnog linijskog pomorskog prijevoza na državnim linijama: 338 Valbiska – Lopar, 501 Brodarica – Krapanj i 612 Komiža – Biševo</w:t>
            </w:r>
          </w:p>
        </w:tc>
        <w:tc>
          <w:tcPr>
            <w:tcW w:w="582" w:type="dxa"/>
            <w:shd w:val="clear" w:color="auto" w:fill="auto"/>
          </w:tcPr>
          <w:p w14:paraId="2A232EA7" w14:textId="5883872A" w:rsidR="004A5CF2" w:rsidRPr="00CA0804" w:rsidRDefault="004A5CF2" w:rsidP="00121757">
            <w:pPr>
              <w:jc w:val="right"/>
              <w:rPr>
                <w:sz w:val="16"/>
                <w:szCs w:val="16"/>
              </w:rPr>
            </w:pPr>
            <w:r w:rsidRPr="00CA0804">
              <w:rPr>
                <w:bCs/>
                <w:sz w:val="16"/>
                <w:szCs w:val="16"/>
              </w:rPr>
              <w:t>0,1</w:t>
            </w:r>
          </w:p>
        </w:tc>
      </w:tr>
      <w:tr w:rsidR="004A5CF2" w:rsidRPr="00CA0804" w14:paraId="525DAAE2" w14:textId="77777777" w:rsidTr="00C12EEB">
        <w:trPr>
          <w:trHeight w:val="51"/>
        </w:trPr>
        <w:tc>
          <w:tcPr>
            <w:tcW w:w="1584" w:type="dxa"/>
            <w:vMerge/>
          </w:tcPr>
          <w:p w14:paraId="02749942" w14:textId="77777777" w:rsidR="004A5CF2" w:rsidRPr="00CA0804" w:rsidRDefault="004A5CF2" w:rsidP="00121757">
            <w:pPr>
              <w:rPr>
                <w:sz w:val="16"/>
                <w:szCs w:val="16"/>
              </w:rPr>
            </w:pPr>
          </w:p>
        </w:tc>
        <w:tc>
          <w:tcPr>
            <w:tcW w:w="7048" w:type="dxa"/>
            <w:shd w:val="clear" w:color="auto" w:fill="auto"/>
          </w:tcPr>
          <w:p w14:paraId="4E2817FF" w14:textId="301D33D2" w:rsidR="004A5CF2" w:rsidRPr="00CA0804" w:rsidRDefault="004A5CF2" w:rsidP="00A02921">
            <w:pPr>
              <w:rPr>
                <w:sz w:val="16"/>
                <w:szCs w:val="16"/>
              </w:rPr>
            </w:pPr>
            <w:r w:rsidRPr="00CA0804">
              <w:rPr>
                <w:sz w:val="16"/>
                <w:szCs w:val="16"/>
              </w:rPr>
              <w:t>Program državne potpore za usluge od općeg gospodarskog interesa u obliku naknade za obavljanje javne usluge javnog obalnog linijskog pomorskog prijevoza – 310 Mali Lošinj – Unije –Vele Srakane – Susak i obratno za razdoblje od 5.2.2024. – 4.2.2025.</w:t>
            </w:r>
          </w:p>
        </w:tc>
        <w:tc>
          <w:tcPr>
            <w:tcW w:w="582" w:type="dxa"/>
            <w:shd w:val="clear" w:color="auto" w:fill="auto"/>
          </w:tcPr>
          <w:p w14:paraId="31A642CE" w14:textId="48E545AD" w:rsidR="004A5CF2" w:rsidRPr="00CA0804" w:rsidRDefault="004A5CF2" w:rsidP="00121757">
            <w:pPr>
              <w:jc w:val="right"/>
              <w:rPr>
                <w:sz w:val="16"/>
                <w:szCs w:val="16"/>
              </w:rPr>
            </w:pPr>
            <w:r w:rsidRPr="00CA0804">
              <w:rPr>
                <w:bCs/>
                <w:sz w:val="16"/>
                <w:szCs w:val="16"/>
              </w:rPr>
              <w:t>1,1</w:t>
            </w:r>
          </w:p>
        </w:tc>
      </w:tr>
      <w:tr w:rsidR="004A5CF2" w:rsidRPr="00CA0804" w14:paraId="4F0B564E" w14:textId="77777777" w:rsidTr="00C12EEB">
        <w:trPr>
          <w:trHeight w:val="51"/>
        </w:trPr>
        <w:tc>
          <w:tcPr>
            <w:tcW w:w="1584" w:type="dxa"/>
            <w:vMerge/>
          </w:tcPr>
          <w:p w14:paraId="01F611D2" w14:textId="77777777" w:rsidR="004A5CF2" w:rsidRPr="00CA0804" w:rsidRDefault="004A5CF2" w:rsidP="00121757">
            <w:pPr>
              <w:rPr>
                <w:sz w:val="16"/>
                <w:szCs w:val="16"/>
              </w:rPr>
            </w:pPr>
          </w:p>
        </w:tc>
        <w:tc>
          <w:tcPr>
            <w:tcW w:w="7048" w:type="dxa"/>
            <w:shd w:val="clear" w:color="auto" w:fill="auto"/>
          </w:tcPr>
          <w:p w14:paraId="58166115" w14:textId="02CE8C96" w:rsidR="004A5CF2" w:rsidRPr="00CA0804" w:rsidRDefault="004A5CF2" w:rsidP="00A02921">
            <w:pPr>
              <w:jc w:val="both"/>
              <w:rPr>
                <w:sz w:val="16"/>
                <w:szCs w:val="16"/>
              </w:rPr>
            </w:pPr>
            <w:r w:rsidRPr="00CA0804">
              <w:rPr>
                <w:sz w:val="16"/>
                <w:szCs w:val="16"/>
              </w:rPr>
              <w:t>Program državne potpore za usluge od općeg gospodarskog interesa u obliku naknade za obavljanje javne usluge javnog obalnog linijskog pomorskog prijevoza – 311 Ilovik – Mrtvaška – Mali Lošinj i obratno za razdoblje od 5.2.2024. – 4.2.2025.</w:t>
            </w:r>
          </w:p>
        </w:tc>
        <w:tc>
          <w:tcPr>
            <w:tcW w:w="582" w:type="dxa"/>
            <w:shd w:val="clear" w:color="auto" w:fill="auto"/>
          </w:tcPr>
          <w:p w14:paraId="5DACF3A1" w14:textId="2C6D2B47" w:rsidR="004A5CF2" w:rsidRPr="00CA0804" w:rsidRDefault="004A5CF2" w:rsidP="00121757">
            <w:pPr>
              <w:jc w:val="right"/>
              <w:rPr>
                <w:sz w:val="16"/>
                <w:szCs w:val="16"/>
              </w:rPr>
            </w:pPr>
            <w:r w:rsidRPr="00CA0804">
              <w:rPr>
                <w:bCs/>
                <w:sz w:val="16"/>
                <w:szCs w:val="16"/>
              </w:rPr>
              <w:t>0,2</w:t>
            </w:r>
          </w:p>
        </w:tc>
      </w:tr>
      <w:tr w:rsidR="004A5CF2" w:rsidRPr="00CA0804" w14:paraId="0C2F76D4" w14:textId="77777777" w:rsidTr="00C12EEB">
        <w:trPr>
          <w:trHeight w:val="51"/>
        </w:trPr>
        <w:tc>
          <w:tcPr>
            <w:tcW w:w="1584" w:type="dxa"/>
            <w:vMerge/>
          </w:tcPr>
          <w:p w14:paraId="61E68E3A" w14:textId="77777777" w:rsidR="004A5CF2" w:rsidRPr="00CA0804" w:rsidRDefault="004A5CF2" w:rsidP="00121757">
            <w:pPr>
              <w:rPr>
                <w:sz w:val="16"/>
                <w:szCs w:val="16"/>
              </w:rPr>
            </w:pPr>
          </w:p>
        </w:tc>
        <w:tc>
          <w:tcPr>
            <w:tcW w:w="7048" w:type="dxa"/>
            <w:shd w:val="clear" w:color="auto" w:fill="auto"/>
          </w:tcPr>
          <w:p w14:paraId="64EB3DFB" w14:textId="471286DB" w:rsidR="004A5CF2" w:rsidRPr="00CA0804" w:rsidRDefault="004A5CF2" w:rsidP="00A02921">
            <w:pPr>
              <w:jc w:val="both"/>
              <w:rPr>
                <w:sz w:val="16"/>
                <w:szCs w:val="16"/>
              </w:rPr>
            </w:pPr>
            <w:r w:rsidRPr="00CA0804">
              <w:rPr>
                <w:sz w:val="16"/>
                <w:szCs w:val="16"/>
              </w:rPr>
              <w:t>Program državne potpore za usluge od općeg gospodarskog interesa u obliku naknade za obavljanje javne usluge javnog obalnog linijskog pomorskog prijevoza – 501 Krapanj – Brodarica i obratno za razdoblje od 5.2.2024. – 4.2.2025.</w:t>
            </w:r>
          </w:p>
        </w:tc>
        <w:tc>
          <w:tcPr>
            <w:tcW w:w="582" w:type="dxa"/>
            <w:shd w:val="clear" w:color="auto" w:fill="auto"/>
          </w:tcPr>
          <w:p w14:paraId="674CE664" w14:textId="73220088" w:rsidR="004A5CF2" w:rsidRPr="00CA0804" w:rsidRDefault="004A5CF2" w:rsidP="00121757">
            <w:pPr>
              <w:jc w:val="right"/>
              <w:rPr>
                <w:sz w:val="16"/>
                <w:szCs w:val="16"/>
              </w:rPr>
            </w:pPr>
            <w:r w:rsidRPr="00CA0804">
              <w:rPr>
                <w:bCs/>
                <w:sz w:val="16"/>
                <w:szCs w:val="16"/>
              </w:rPr>
              <w:t>0,2</w:t>
            </w:r>
          </w:p>
        </w:tc>
      </w:tr>
      <w:tr w:rsidR="004A5CF2" w:rsidRPr="00CA0804" w14:paraId="613DD508" w14:textId="77777777" w:rsidTr="00C12EEB">
        <w:trPr>
          <w:trHeight w:val="51"/>
        </w:trPr>
        <w:tc>
          <w:tcPr>
            <w:tcW w:w="1584" w:type="dxa"/>
            <w:vMerge/>
          </w:tcPr>
          <w:p w14:paraId="131FA37C" w14:textId="77777777" w:rsidR="004A5CF2" w:rsidRPr="00CA0804" w:rsidRDefault="004A5CF2" w:rsidP="00121757">
            <w:pPr>
              <w:rPr>
                <w:sz w:val="16"/>
                <w:szCs w:val="16"/>
              </w:rPr>
            </w:pPr>
          </w:p>
        </w:tc>
        <w:tc>
          <w:tcPr>
            <w:tcW w:w="7048" w:type="dxa"/>
            <w:shd w:val="clear" w:color="auto" w:fill="auto"/>
          </w:tcPr>
          <w:p w14:paraId="3FCF95A0" w14:textId="2B597EE4" w:rsidR="004A5CF2" w:rsidRPr="00CA0804" w:rsidRDefault="004A5CF2" w:rsidP="00A02921">
            <w:pPr>
              <w:jc w:val="both"/>
              <w:rPr>
                <w:sz w:val="16"/>
                <w:szCs w:val="16"/>
              </w:rPr>
            </w:pPr>
            <w:r w:rsidRPr="00CA0804">
              <w:rPr>
                <w:sz w:val="16"/>
                <w:szCs w:val="16"/>
              </w:rPr>
              <w:t>Program državne potpore za usluge od općeg gospodarskog interesa u obliku naknade za obavljanje javne usluge javnog obalnog linijskog pomorskog prijevoza – 614 Orebić – Korčula i obratno za razdoblje od 3+7 godina (01.10.2024.-30.09.2034.)</w:t>
            </w:r>
          </w:p>
        </w:tc>
        <w:tc>
          <w:tcPr>
            <w:tcW w:w="582" w:type="dxa"/>
            <w:shd w:val="clear" w:color="auto" w:fill="auto"/>
          </w:tcPr>
          <w:p w14:paraId="7703A0D4" w14:textId="7A7B5504" w:rsidR="004A5CF2" w:rsidRPr="00CA0804" w:rsidRDefault="004A5CF2" w:rsidP="00121757">
            <w:pPr>
              <w:jc w:val="right"/>
              <w:rPr>
                <w:sz w:val="16"/>
                <w:szCs w:val="16"/>
              </w:rPr>
            </w:pPr>
            <w:r w:rsidRPr="00CA0804">
              <w:rPr>
                <w:bCs/>
                <w:sz w:val="16"/>
                <w:szCs w:val="16"/>
              </w:rPr>
              <w:t>0,1</w:t>
            </w:r>
          </w:p>
        </w:tc>
      </w:tr>
      <w:tr w:rsidR="004A5CF2" w:rsidRPr="00CA0804" w14:paraId="7AF6C75B" w14:textId="77777777" w:rsidTr="00C12EEB">
        <w:trPr>
          <w:trHeight w:val="51"/>
        </w:trPr>
        <w:tc>
          <w:tcPr>
            <w:tcW w:w="1584" w:type="dxa"/>
            <w:vMerge/>
          </w:tcPr>
          <w:p w14:paraId="58998E51" w14:textId="77777777" w:rsidR="004A5CF2" w:rsidRPr="00CA0804" w:rsidRDefault="004A5CF2" w:rsidP="00121757">
            <w:pPr>
              <w:rPr>
                <w:sz w:val="16"/>
                <w:szCs w:val="16"/>
              </w:rPr>
            </w:pPr>
          </w:p>
        </w:tc>
        <w:tc>
          <w:tcPr>
            <w:tcW w:w="7048" w:type="dxa"/>
            <w:shd w:val="clear" w:color="auto" w:fill="auto"/>
          </w:tcPr>
          <w:p w14:paraId="15F5AF24" w14:textId="457457AC" w:rsidR="004A5CF2" w:rsidRPr="00CA0804" w:rsidRDefault="004A5CF2" w:rsidP="00A02921">
            <w:pPr>
              <w:jc w:val="both"/>
              <w:rPr>
                <w:sz w:val="16"/>
                <w:szCs w:val="16"/>
              </w:rPr>
            </w:pPr>
            <w:r w:rsidRPr="00CA0804">
              <w:rPr>
                <w:sz w:val="16"/>
                <w:szCs w:val="16"/>
              </w:rPr>
              <w:t>Program državne potpore za usluge od općeg gospodarskog interesa u obliku naknade za obavljanje javne usluge javnog obalnog linijskog pomorskog prijevoza – 614 Orebić – Korčula i obratno za razdoblje od 6 godina (01.07.2024.-30.06.2030.)</w:t>
            </w:r>
          </w:p>
        </w:tc>
        <w:tc>
          <w:tcPr>
            <w:tcW w:w="582" w:type="dxa"/>
            <w:shd w:val="clear" w:color="auto" w:fill="auto"/>
          </w:tcPr>
          <w:p w14:paraId="536C4097" w14:textId="77D7DE3F" w:rsidR="004A5CF2" w:rsidRPr="00CA0804" w:rsidRDefault="004A5CF2" w:rsidP="00121757">
            <w:pPr>
              <w:jc w:val="right"/>
              <w:rPr>
                <w:sz w:val="16"/>
                <w:szCs w:val="16"/>
              </w:rPr>
            </w:pPr>
            <w:r w:rsidRPr="00CA0804">
              <w:rPr>
                <w:bCs/>
                <w:sz w:val="16"/>
                <w:szCs w:val="16"/>
              </w:rPr>
              <w:t>0,01</w:t>
            </w:r>
          </w:p>
        </w:tc>
      </w:tr>
      <w:tr w:rsidR="004A5CF2" w:rsidRPr="00CA0804" w14:paraId="6C159E71" w14:textId="77777777" w:rsidTr="00C12EEB">
        <w:trPr>
          <w:trHeight w:val="51"/>
        </w:trPr>
        <w:tc>
          <w:tcPr>
            <w:tcW w:w="1584" w:type="dxa"/>
            <w:vMerge/>
          </w:tcPr>
          <w:p w14:paraId="5BB47645" w14:textId="77777777" w:rsidR="004A5CF2" w:rsidRPr="00CA0804" w:rsidRDefault="004A5CF2" w:rsidP="00121757">
            <w:pPr>
              <w:rPr>
                <w:sz w:val="16"/>
                <w:szCs w:val="16"/>
              </w:rPr>
            </w:pPr>
          </w:p>
        </w:tc>
        <w:tc>
          <w:tcPr>
            <w:tcW w:w="7048" w:type="dxa"/>
            <w:shd w:val="clear" w:color="auto" w:fill="auto"/>
          </w:tcPr>
          <w:p w14:paraId="352A11FA" w14:textId="394F4354" w:rsidR="004A5CF2" w:rsidRPr="00CA0804" w:rsidRDefault="004A5CF2" w:rsidP="00121757">
            <w:pPr>
              <w:jc w:val="both"/>
              <w:rPr>
                <w:sz w:val="16"/>
                <w:szCs w:val="16"/>
              </w:rPr>
            </w:pPr>
            <w:r w:rsidRPr="00CA0804">
              <w:rPr>
                <w:sz w:val="16"/>
                <w:szCs w:val="16"/>
              </w:rPr>
              <w:t>Brzobrodske linije od 01.01.2024.-31.12.2024.</w:t>
            </w:r>
          </w:p>
        </w:tc>
        <w:tc>
          <w:tcPr>
            <w:tcW w:w="582" w:type="dxa"/>
            <w:shd w:val="clear" w:color="auto" w:fill="auto"/>
          </w:tcPr>
          <w:p w14:paraId="713A7E8B" w14:textId="5E329E3F" w:rsidR="004A5CF2" w:rsidRPr="00CA0804" w:rsidRDefault="004A5CF2" w:rsidP="00121757">
            <w:pPr>
              <w:jc w:val="right"/>
              <w:rPr>
                <w:rFonts w:eastAsia="Times New Roman"/>
                <w:sz w:val="16"/>
                <w:szCs w:val="16"/>
                <w:lang w:eastAsia="hr-HR"/>
              </w:rPr>
            </w:pPr>
            <w:r w:rsidRPr="00CA0804">
              <w:rPr>
                <w:bCs/>
                <w:sz w:val="16"/>
                <w:szCs w:val="16"/>
              </w:rPr>
              <w:t>17,2</w:t>
            </w:r>
          </w:p>
        </w:tc>
      </w:tr>
      <w:tr w:rsidR="004A5CF2" w:rsidRPr="00CA0804" w14:paraId="095E7D2D" w14:textId="77777777" w:rsidTr="00C12EEB">
        <w:trPr>
          <w:trHeight w:val="51"/>
        </w:trPr>
        <w:tc>
          <w:tcPr>
            <w:tcW w:w="1584" w:type="dxa"/>
            <w:vMerge/>
          </w:tcPr>
          <w:p w14:paraId="496C5563" w14:textId="77777777" w:rsidR="004A5CF2" w:rsidRPr="00CA0804" w:rsidRDefault="004A5CF2" w:rsidP="00121757">
            <w:pPr>
              <w:rPr>
                <w:sz w:val="16"/>
                <w:szCs w:val="16"/>
              </w:rPr>
            </w:pPr>
          </w:p>
        </w:tc>
        <w:tc>
          <w:tcPr>
            <w:tcW w:w="7048" w:type="dxa"/>
            <w:shd w:val="clear" w:color="auto" w:fill="auto"/>
          </w:tcPr>
          <w:p w14:paraId="5C1489FC" w14:textId="30D6B1ED" w:rsidR="004A5CF2" w:rsidRPr="00CA0804" w:rsidRDefault="004A5CF2" w:rsidP="00121757">
            <w:pPr>
              <w:jc w:val="both"/>
              <w:rPr>
                <w:sz w:val="16"/>
                <w:szCs w:val="16"/>
              </w:rPr>
            </w:pPr>
            <w:r w:rsidRPr="00CA0804">
              <w:rPr>
                <w:sz w:val="16"/>
                <w:szCs w:val="16"/>
              </w:rPr>
              <w:t>Trajektne linije od 01.01.2024.-31.12.2024.</w:t>
            </w:r>
          </w:p>
        </w:tc>
        <w:tc>
          <w:tcPr>
            <w:tcW w:w="582" w:type="dxa"/>
            <w:shd w:val="clear" w:color="auto" w:fill="auto"/>
          </w:tcPr>
          <w:p w14:paraId="2D8CB091" w14:textId="56EDBE83" w:rsidR="004A5CF2" w:rsidRPr="00CA0804" w:rsidRDefault="004A5CF2" w:rsidP="00121757">
            <w:pPr>
              <w:jc w:val="right"/>
              <w:rPr>
                <w:rFonts w:eastAsia="Times New Roman"/>
                <w:sz w:val="16"/>
                <w:szCs w:val="16"/>
                <w:lang w:eastAsia="hr-HR"/>
              </w:rPr>
            </w:pPr>
            <w:r w:rsidRPr="00CA0804">
              <w:rPr>
                <w:bCs/>
                <w:sz w:val="16"/>
                <w:szCs w:val="16"/>
              </w:rPr>
              <w:t>17,3</w:t>
            </w:r>
          </w:p>
        </w:tc>
      </w:tr>
      <w:tr w:rsidR="004A5CF2" w:rsidRPr="00CA0804" w14:paraId="4AABFF2F" w14:textId="77777777" w:rsidTr="00C12EEB">
        <w:trPr>
          <w:trHeight w:val="51"/>
        </w:trPr>
        <w:tc>
          <w:tcPr>
            <w:tcW w:w="1584" w:type="dxa"/>
            <w:vMerge/>
            <w:hideMark/>
          </w:tcPr>
          <w:p w14:paraId="684ADA7A" w14:textId="77777777" w:rsidR="004A5CF2" w:rsidRPr="00CA0804" w:rsidRDefault="004A5CF2" w:rsidP="003634C1">
            <w:pPr>
              <w:rPr>
                <w:sz w:val="16"/>
                <w:szCs w:val="16"/>
              </w:rPr>
            </w:pPr>
          </w:p>
        </w:tc>
        <w:tc>
          <w:tcPr>
            <w:tcW w:w="7048" w:type="dxa"/>
            <w:shd w:val="clear" w:color="auto" w:fill="auto"/>
          </w:tcPr>
          <w:p w14:paraId="1AAC743B" w14:textId="77777777" w:rsidR="004A5CF2" w:rsidRPr="00CA0804" w:rsidRDefault="004A5CF2" w:rsidP="00395BB6">
            <w:pPr>
              <w:jc w:val="both"/>
              <w:rPr>
                <w:sz w:val="16"/>
                <w:szCs w:val="16"/>
              </w:rPr>
            </w:pPr>
            <w:r w:rsidRPr="00CA0804">
              <w:rPr>
                <w:sz w:val="16"/>
                <w:szCs w:val="16"/>
              </w:rPr>
              <w:t>Lokalni nivo – gradovi, općine</w:t>
            </w:r>
          </w:p>
        </w:tc>
        <w:tc>
          <w:tcPr>
            <w:tcW w:w="582" w:type="dxa"/>
            <w:shd w:val="clear" w:color="auto" w:fill="auto"/>
          </w:tcPr>
          <w:p w14:paraId="7694EF44" w14:textId="0DC1162B" w:rsidR="004A5CF2" w:rsidRPr="00CA0804" w:rsidRDefault="004A5CF2" w:rsidP="003634C1">
            <w:pPr>
              <w:jc w:val="right"/>
              <w:rPr>
                <w:sz w:val="16"/>
                <w:szCs w:val="16"/>
              </w:rPr>
            </w:pPr>
            <w:r w:rsidRPr="00CA0804">
              <w:rPr>
                <w:rFonts w:eastAsia="Times New Roman"/>
                <w:sz w:val="16"/>
                <w:szCs w:val="16"/>
                <w:lang w:eastAsia="hr-HR"/>
              </w:rPr>
              <w:t>0,1</w:t>
            </w:r>
          </w:p>
        </w:tc>
      </w:tr>
      <w:tr w:rsidR="004A5CF2" w:rsidRPr="00CA0804" w14:paraId="0FFF7BAF" w14:textId="77777777" w:rsidTr="00C12EEB">
        <w:trPr>
          <w:trHeight w:val="47"/>
        </w:trPr>
        <w:tc>
          <w:tcPr>
            <w:tcW w:w="1584" w:type="dxa"/>
            <w:vMerge w:val="restart"/>
            <w:shd w:val="clear" w:color="auto" w:fill="auto"/>
          </w:tcPr>
          <w:p w14:paraId="4369951A" w14:textId="77777777" w:rsidR="004A5CF2" w:rsidRPr="00CA0804" w:rsidRDefault="004A5CF2" w:rsidP="003634C1">
            <w:pPr>
              <w:rPr>
                <w:sz w:val="16"/>
                <w:szCs w:val="16"/>
              </w:rPr>
            </w:pPr>
            <w:r w:rsidRPr="00CA0804">
              <w:rPr>
                <w:sz w:val="16"/>
                <w:szCs w:val="16"/>
              </w:rPr>
              <w:lastRenderedPageBreak/>
              <w:t>Kopneni cestovni promet</w:t>
            </w:r>
          </w:p>
        </w:tc>
        <w:tc>
          <w:tcPr>
            <w:tcW w:w="7048" w:type="dxa"/>
            <w:shd w:val="clear" w:color="auto" w:fill="auto"/>
          </w:tcPr>
          <w:p w14:paraId="4489D6EB" w14:textId="007DA4A2" w:rsidR="004A5CF2" w:rsidRPr="00CA0804" w:rsidRDefault="004A5CF2" w:rsidP="00395BB6">
            <w:pPr>
              <w:jc w:val="both"/>
              <w:rPr>
                <w:sz w:val="16"/>
                <w:szCs w:val="16"/>
              </w:rPr>
            </w:pPr>
            <w:r w:rsidRPr="00CA0804">
              <w:rPr>
                <w:rFonts w:eastAsia="Times New Roman"/>
                <w:sz w:val="16"/>
                <w:szCs w:val="16"/>
                <w:lang w:eastAsia="hr-HR"/>
              </w:rPr>
              <w:t>7. Izmjena ugovora o koncesiji za financiranje, građenje, upravljanje i održavanje Jadranske autoceste dionica 2B2-2 i 2B2-3</w:t>
            </w:r>
          </w:p>
        </w:tc>
        <w:tc>
          <w:tcPr>
            <w:tcW w:w="582" w:type="dxa"/>
            <w:shd w:val="clear" w:color="auto" w:fill="auto"/>
          </w:tcPr>
          <w:p w14:paraId="5BC0D6DB" w14:textId="0E4051AF" w:rsidR="004A5CF2" w:rsidRPr="00CA0804" w:rsidRDefault="004A5CF2" w:rsidP="003634C1">
            <w:pPr>
              <w:jc w:val="right"/>
              <w:rPr>
                <w:sz w:val="16"/>
                <w:szCs w:val="16"/>
              </w:rPr>
            </w:pPr>
            <w:r w:rsidRPr="00CA0804">
              <w:rPr>
                <w:rFonts w:eastAsia="Times New Roman"/>
                <w:sz w:val="16"/>
                <w:szCs w:val="16"/>
                <w:lang w:eastAsia="hr-HR"/>
              </w:rPr>
              <w:t>30,1</w:t>
            </w:r>
          </w:p>
        </w:tc>
      </w:tr>
      <w:tr w:rsidR="004A5CF2" w:rsidRPr="00CA0804" w14:paraId="7015A244" w14:textId="77777777" w:rsidTr="00C12EEB">
        <w:trPr>
          <w:trHeight w:val="40"/>
        </w:trPr>
        <w:tc>
          <w:tcPr>
            <w:tcW w:w="1584" w:type="dxa"/>
            <w:vMerge/>
            <w:shd w:val="clear" w:color="auto" w:fill="auto"/>
          </w:tcPr>
          <w:p w14:paraId="7C01E147" w14:textId="77777777" w:rsidR="004A5CF2" w:rsidRPr="00CA0804" w:rsidRDefault="004A5CF2" w:rsidP="00820AAB">
            <w:pPr>
              <w:rPr>
                <w:sz w:val="16"/>
                <w:szCs w:val="16"/>
              </w:rPr>
            </w:pPr>
          </w:p>
        </w:tc>
        <w:tc>
          <w:tcPr>
            <w:tcW w:w="7048" w:type="dxa"/>
            <w:shd w:val="clear" w:color="auto" w:fill="auto"/>
          </w:tcPr>
          <w:p w14:paraId="6F2C4951" w14:textId="44443F24" w:rsidR="004A5CF2" w:rsidRPr="00CA0804" w:rsidRDefault="004A5CF2" w:rsidP="00A02921">
            <w:pPr>
              <w:jc w:val="both"/>
              <w:rPr>
                <w:sz w:val="16"/>
                <w:szCs w:val="16"/>
              </w:rPr>
            </w:pPr>
            <w:r w:rsidRPr="00CA0804">
              <w:rPr>
                <w:sz w:val="16"/>
                <w:szCs w:val="16"/>
              </w:rPr>
              <w:t>1. Faza modernizacije tramvajske infrastrukture u gradu Zagrebu – II. Faza projekta</w:t>
            </w:r>
          </w:p>
        </w:tc>
        <w:tc>
          <w:tcPr>
            <w:tcW w:w="582" w:type="dxa"/>
            <w:shd w:val="clear" w:color="auto" w:fill="auto"/>
          </w:tcPr>
          <w:p w14:paraId="1DA22296" w14:textId="47995592" w:rsidR="004A5CF2" w:rsidRPr="00CA0804" w:rsidRDefault="004A5CF2" w:rsidP="00820AAB">
            <w:pPr>
              <w:jc w:val="right"/>
              <w:rPr>
                <w:sz w:val="16"/>
                <w:szCs w:val="16"/>
              </w:rPr>
            </w:pPr>
            <w:r w:rsidRPr="00CA0804">
              <w:rPr>
                <w:bCs/>
                <w:sz w:val="16"/>
                <w:szCs w:val="16"/>
              </w:rPr>
              <w:t>8,3</w:t>
            </w:r>
          </w:p>
        </w:tc>
      </w:tr>
      <w:tr w:rsidR="004A5CF2" w:rsidRPr="00CA0804" w14:paraId="58355BBE" w14:textId="77777777" w:rsidTr="00C12EEB">
        <w:trPr>
          <w:trHeight w:val="32"/>
        </w:trPr>
        <w:tc>
          <w:tcPr>
            <w:tcW w:w="1584" w:type="dxa"/>
            <w:vMerge/>
            <w:shd w:val="clear" w:color="auto" w:fill="auto"/>
          </w:tcPr>
          <w:p w14:paraId="415747FB" w14:textId="77777777" w:rsidR="004A5CF2" w:rsidRPr="00CA0804" w:rsidRDefault="004A5CF2" w:rsidP="00820AAB">
            <w:pPr>
              <w:rPr>
                <w:sz w:val="16"/>
                <w:szCs w:val="16"/>
              </w:rPr>
            </w:pPr>
          </w:p>
        </w:tc>
        <w:tc>
          <w:tcPr>
            <w:tcW w:w="7048" w:type="dxa"/>
            <w:shd w:val="clear" w:color="auto" w:fill="auto"/>
          </w:tcPr>
          <w:p w14:paraId="4C713283" w14:textId="4F9C520C" w:rsidR="004A5CF2" w:rsidRPr="00CA0804" w:rsidRDefault="004A5CF2" w:rsidP="00820AAB">
            <w:pPr>
              <w:jc w:val="both"/>
              <w:rPr>
                <w:sz w:val="16"/>
                <w:szCs w:val="16"/>
              </w:rPr>
            </w:pPr>
            <w:r w:rsidRPr="00CA0804">
              <w:rPr>
                <w:sz w:val="16"/>
                <w:szCs w:val="16"/>
              </w:rPr>
              <w:t xml:space="preserve">Modernizacija tramvajske infrastrukture na području grada Osijeka – II faza </w:t>
            </w:r>
          </w:p>
        </w:tc>
        <w:tc>
          <w:tcPr>
            <w:tcW w:w="582" w:type="dxa"/>
            <w:shd w:val="clear" w:color="auto" w:fill="auto"/>
          </w:tcPr>
          <w:p w14:paraId="2E0A3238" w14:textId="71E3970F" w:rsidR="004A5CF2" w:rsidRPr="00CA0804" w:rsidRDefault="004A5CF2" w:rsidP="00820AAB">
            <w:pPr>
              <w:jc w:val="right"/>
              <w:rPr>
                <w:sz w:val="16"/>
                <w:szCs w:val="16"/>
              </w:rPr>
            </w:pPr>
            <w:r w:rsidRPr="00CA0804">
              <w:rPr>
                <w:bCs/>
                <w:sz w:val="16"/>
                <w:szCs w:val="16"/>
              </w:rPr>
              <w:t>22,5</w:t>
            </w:r>
          </w:p>
        </w:tc>
      </w:tr>
      <w:tr w:rsidR="004A5CF2" w:rsidRPr="00CA0804" w14:paraId="490335AE" w14:textId="77777777" w:rsidTr="00C12EEB">
        <w:trPr>
          <w:trHeight w:val="40"/>
        </w:trPr>
        <w:tc>
          <w:tcPr>
            <w:tcW w:w="1584" w:type="dxa"/>
            <w:vMerge/>
            <w:shd w:val="clear" w:color="auto" w:fill="auto"/>
          </w:tcPr>
          <w:p w14:paraId="5738A02C" w14:textId="77777777" w:rsidR="004A5CF2" w:rsidRPr="00CA0804" w:rsidRDefault="004A5CF2" w:rsidP="00395BB6">
            <w:pPr>
              <w:rPr>
                <w:sz w:val="16"/>
                <w:szCs w:val="16"/>
              </w:rPr>
            </w:pPr>
          </w:p>
        </w:tc>
        <w:tc>
          <w:tcPr>
            <w:tcW w:w="7048" w:type="dxa"/>
            <w:shd w:val="clear" w:color="auto" w:fill="auto"/>
          </w:tcPr>
          <w:p w14:paraId="32658948" w14:textId="77777777" w:rsidR="004A5CF2" w:rsidRPr="00CA0804" w:rsidRDefault="004A5CF2" w:rsidP="00395BB6">
            <w:pPr>
              <w:jc w:val="both"/>
              <w:rPr>
                <w:sz w:val="16"/>
                <w:szCs w:val="16"/>
              </w:rPr>
            </w:pPr>
            <w:r w:rsidRPr="00CA0804">
              <w:rPr>
                <w:sz w:val="16"/>
                <w:szCs w:val="16"/>
              </w:rPr>
              <w:t>Lokalni nivo - gradovi, općine</w:t>
            </w:r>
          </w:p>
        </w:tc>
        <w:tc>
          <w:tcPr>
            <w:tcW w:w="582" w:type="dxa"/>
            <w:shd w:val="clear" w:color="auto" w:fill="auto"/>
          </w:tcPr>
          <w:p w14:paraId="344EAB02" w14:textId="5C38A556" w:rsidR="004A5CF2" w:rsidRPr="00CA0804" w:rsidRDefault="004A5CF2" w:rsidP="00395BB6">
            <w:pPr>
              <w:jc w:val="right"/>
              <w:rPr>
                <w:sz w:val="16"/>
                <w:szCs w:val="16"/>
              </w:rPr>
            </w:pPr>
            <w:r w:rsidRPr="00CA0804">
              <w:rPr>
                <w:rFonts w:eastAsia="Times New Roman"/>
                <w:sz w:val="16"/>
                <w:szCs w:val="16"/>
                <w:lang w:eastAsia="hr-HR"/>
              </w:rPr>
              <w:t>157,7</w:t>
            </w:r>
          </w:p>
        </w:tc>
      </w:tr>
      <w:tr w:rsidR="004A5CF2" w:rsidRPr="00CA0804" w14:paraId="01587015" w14:textId="77777777" w:rsidTr="00C12EEB">
        <w:trPr>
          <w:trHeight w:val="34"/>
        </w:trPr>
        <w:tc>
          <w:tcPr>
            <w:tcW w:w="1584" w:type="dxa"/>
            <w:vMerge w:val="restart"/>
            <w:shd w:val="clear" w:color="auto" w:fill="auto"/>
            <w:hideMark/>
          </w:tcPr>
          <w:p w14:paraId="1B2F38C4" w14:textId="77777777" w:rsidR="004A5CF2" w:rsidRPr="00CA0804" w:rsidRDefault="004A5CF2" w:rsidP="00820AAB">
            <w:pPr>
              <w:rPr>
                <w:sz w:val="16"/>
                <w:szCs w:val="16"/>
              </w:rPr>
            </w:pPr>
            <w:r w:rsidRPr="00CA0804">
              <w:rPr>
                <w:sz w:val="16"/>
                <w:szCs w:val="16"/>
              </w:rPr>
              <w:t>Željeznički promet</w:t>
            </w:r>
          </w:p>
        </w:tc>
        <w:tc>
          <w:tcPr>
            <w:tcW w:w="7048" w:type="dxa"/>
            <w:shd w:val="clear" w:color="auto" w:fill="auto"/>
            <w:hideMark/>
          </w:tcPr>
          <w:p w14:paraId="7DA187E6" w14:textId="42F0CBD0" w:rsidR="004A5CF2" w:rsidRPr="00CA0804" w:rsidRDefault="004A5CF2" w:rsidP="00C12EEB">
            <w:pPr>
              <w:rPr>
                <w:sz w:val="16"/>
                <w:szCs w:val="16"/>
              </w:rPr>
            </w:pPr>
            <w:r w:rsidRPr="00CA0804">
              <w:rPr>
                <w:sz w:val="16"/>
                <w:szCs w:val="16"/>
              </w:rPr>
              <w:t xml:space="preserve">Javne usluge od općeg gospodarskog interesa u javnom željezničkom prometu RH – HŽ Putnički prijevoz </w:t>
            </w:r>
          </w:p>
        </w:tc>
        <w:tc>
          <w:tcPr>
            <w:tcW w:w="582" w:type="dxa"/>
            <w:shd w:val="clear" w:color="auto" w:fill="auto"/>
          </w:tcPr>
          <w:p w14:paraId="226B16DA" w14:textId="781F4299" w:rsidR="004A5CF2" w:rsidRPr="00CA0804" w:rsidRDefault="004A5CF2" w:rsidP="00820AAB">
            <w:pPr>
              <w:jc w:val="right"/>
              <w:rPr>
                <w:sz w:val="16"/>
                <w:szCs w:val="16"/>
              </w:rPr>
            </w:pPr>
            <w:r w:rsidRPr="00CA0804">
              <w:rPr>
                <w:sz w:val="16"/>
                <w:szCs w:val="16"/>
              </w:rPr>
              <w:t>100,5</w:t>
            </w:r>
          </w:p>
        </w:tc>
      </w:tr>
      <w:tr w:rsidR="004A5CF2" w:rsidRPr="00CA0804" w14:paraId="020C778E" w14:textId="77777777" w:rsidTr="00C12EEB">
        <w:trPr>
          <w:trHeight w:val="42"/>
        </w:trPr>
        <w:tc>
          <w:tcPr>
            <w:tcW w:w="1584" w:type="dxa"/>
            <w:vMerge/>
            <w:shd w:val="clear" w:color="auto" w:fill="auto"/>
          </w:tcPr>
          <w:p w14:paraId="3DAA96A7" w14:textId="77777777" w:rsidR="004A5CF2" w:rsidRPr="00CA0804" w:rsidRDefault="004A5CF2" w:rsidP="00820AAB">
            <w:pPr>
              <w:rPr>
                <w:sz w:val="16"/>
                <w:szCs w:val="16"/>
              </w:rPr>
            </w:pPr>
          </w:p>
        </w:tc>
        <w:tc>
          <w:tcPr>
            <w:tcW w:w="7048" w:type="dxa"/>
            <w:shd w:val="clear" w:color="auto" w:fill="auto"/>
          </w:tcPr>
          <w:p w14:paraId="546253F1" w14:textId="151866B5" w:rsidR="004A5CF2" w:rsidRPr="00CA0804" w:rsidRDefault="004A5CF2" w:rsidP="00C12EEB">
            <w:pPr>
              <w:rPr>
                <w:sz w:val="16"/>
                <w:szCs w:val="16"/>
              </w:rPr>
            </w:pPr>
            <w:r w:rsidRPr="00CA0804">
              <w:rPr>
                <w:sz w:val="16"/>
                <w:szCs w:val="16"/>
              </w:rPr>
              <w:t>Obnova voznog parka HŽ putničkog prijevoza d.o.o. novim elektromotornim vlako</w:t>
            </w:r>
            <w:r w:rsidR="00C12EEB" w:rsidRPr="00CA0804">
              <w:rPr>
                <w:sz w:val="16"/>
                <w:szCs w:val="16"/>
              </w:rPr>
              <w:t>vima – II faza</w:t>
            </w:r>
          </w:p>
        </w:tc>
        <w:tc>
          <w:tcPr>
            <w:tcW w:w="582" w:type="dxa"/>
            <w:shd w:val="clear" w:color="auto" w:fill="auto"/>
          </w:tcPr>
          <w:p w14:paraId="070C685D" w14:textId="6F3A954C" w:rsidR="004A5CF2" w:rsidRPr="00CA0804" w:rsidRDefault="004A5CF2" w:rsidP="00820AAB">
            <w:pPr>
              <w:jc w:val="right"/>
              <w:rPr>
                <w:sz w:val="16"/>
                <w:szCs w:val="16"/>
              </w:rPr>
            </w:pPr>
            <w:r w:rsidRPr="00CA0804">
              <w:rPr>
                <w:sz w:val="16"/>
                <w:szCs w:val="16"/>
              </w:rPr>
              <w:t>22,7</w:t>
            </w:r>
          </w:p>
        </w:tc>
      </w:tr>
      <w:tr w:rsidR="004A5CF2" w:rsidRPr="00CA0804" w14:paraId="51EEDA1D" w14:textId="77777777" w:rsidTr="00C12EEB">
        <w:trPr>
          <w:trHeight w:val="42"/>
        </w:trPr>
        <w:tc>
          <w:tcPr>
            <w:tcW w:w="1584" w:type="dxa"/>
            <w:vMerge/>
            <w:shd w:val="clear" w:color="auto" w:fill="auto"/>
          </w:tcPr>
          <w:p w14:paraId="09FD8B5A" w14:textId="77777777" w:rsidR="004A5CF2" w:rsidRPr="00CA0804" w:rsidRDefault="004A5CF2" w:rsidP="00820AAB">
            <w:pPr>
              <w:rPr>
                <w:sz w:val="16"/>
                <w:szCs w:val="16"/>
              </w:rPr>
            </w:pPr>
          </w:p>
        </w:tc>
        <w:tc>
          <w:tcPr>
            <w:tcW w:w="7048" w:type="dxa"/>
            <w:shd w:val="clear" w:color="auto" w:fill="auto"/>
          </w:tcPr>
          <w:p w14:paraId="5ED7B610" w14:textId="78470C6F" w:rsidR="004A5CF2" w:rsidRPr="00CA0804" w:rsidRDefault="004A5CF2" w:rsidP="00C12EEB">
            <w:pPr>
              <w:rPr>
                <w:sz w:val="16"/>
                <w:szCs w:val="16"/>
              </w:rPr>
            </w:pPr>
            <w:r w:rsidRPr="00CA0804">
              <w:rPr>
                <w:sz w:val="16"/>
                <w:szCs w:val="16"/>
              </w:rPr>
              <w:t>Modernizacija inf</w:t>
            </w:r>
            <w:r w:rsidR="00C12EEB" w:rsidRPr="00CA0804">
              <w:rPr>
                <w:sz w:val="16"/>
                <w:szCs w:val="16"/>
              </w:rPr>
              <w:t>ormatičkog i prodajnog sustava</w:t>
            </w:r>
          </w:p>
        </w:tc>
        <w:tc>
          <w:tcPr>
            <w:tcW w:w="582" w:type="dxa"/>
            <w:shd w:val="clear" w:color="auto" w:fill="auto"/>
          </w:tcPr>
          <w:p w14:paraId="38A2A05D" w14:textId="5091DE8E" w:rsidR="004A5CF2" w:rsidRPr="00CA0804" w:rsidRDefault="004A5CF2" w:rsidP="00820AAB">
            <w:pPr>
              <w:jc w:val="right"/>
              <w:rPr>
                <w:sz w:val="16"/>
                <w:szCs w:val="16"/>
              </w:rPr>
            </w:pPr>
            <w:r w:rsidRPr="00CA0804">
              <w:rPr>
                <w:sz w:val="16"/>
                <w:szCs w:val="16"/>
              </w:rPr>
              <w:t>6,4</w:t>
            </w:r>
          </w:p>
        </w:tc>
      </w:tr>
      <w:tr w:rsidR="004A5CF2" w:rsidRPr="00CA0804" w14:paraId="1B106B1C" w14:textId="77777777" w:rsidTr="00C12EEB">
        <w:trPr>
          <w:trHeight w:val="42"/>
        </w:trPr>
        <w:tc>
          <w:tcPr>
            <w:tcW w:w="1584" w:type="dxa"/>
            <w:vMerge/>
            <w:shd w:val="clear" w:color="auto" w:fill="auto"/>
          </w:tcPr>
          <w:p w14:paraId="5520328C" w14:textId="77777777" w:rsidR="004A5CF2" w:rsidRPr="00CA0804" w:rsidRDefault="004A5CF2" w:rsidP="00820AAB">
            <w:pPr>
              <w:rPr>
                <w:sz w:val="16"/>
                <w:szCs w:val="16"/>
              </w:rPr>
            </w:pPr>
          </w:p>
        </w:tc>
        <w:tc>
          <w:tcPr>
            <w:tcW w:w="7048" w:type="dxa"/>
            <w:shd w:val="clear" w:color="auto" w:fill="auto"/>
          </w:tcPr>
          <w:p w14:paraId="4F4009CA" w14:textId="085CB5E0" w:rsidR="004A5CF2" w:rsidRPr="00CA0804" w:rsidRDefault="004A5CF2" w:rsidP="00820AAB">
            <w:pPr>
              <w:rPr>
                <w:sz w:val="16"/>
                <w:szCs w:val="16"/>
              </w:rPr>
            </w:pPr>
            <w:r w:rsidRPr="00CA0804">
              <w:rPr>
                <w:rFonts w:eastAsia="Times New Roman"/>
                <w:sz w:val="16"/>
                <w:szCs w:val="16"/>
                <w:lang w:eastAsia="hr-HR"/>
              </w:rPr>
              <w:t>Lokalni nivo - gradovi, općine</w:t>
            </w:r>
          </w:p>
        </w:tc>
        <w:tc>
          <w:tcPr>
            <w:tcW w:w="582" w:type="dxa"/>
            <w:shd w:val="clear" w:color="auto" w:fill="auto"/>
          </w:tcPr>
          <w:p w14:paraId="155FE63D" w14:textId="1D240EC8" w:rsidR="004A5CF2" w:rsidRPr="00CA0804" w:rsidRDefault="004A5CF2" w:rsidP="00820AAB">
            <w:pPr>
              <w:jc w:val="right"/>
              <w:rPr>
                <w:sz w:val="16"/>
                <w:szCs w:val="16"/>
              </w:rPr>
            </w:pPr>
            <w:r w:rsidRPr="00CA0804">
              <w:rPr>
                <w:sz w:val="16"/>
                <w:szCs w:val="16"/>
              </w:rPr>
              <w:t>0,1</w:t>
            </w:r>
          </w:p>
        </w:tc>
      </w:tr>
      <w:tr w:rsidR="004A5CF2" w:rsidRPr="00CA0804" w14:paraId="50AB0A47" w14:textId="77777777" w:rsidTr="00C12EEB">
        <w:trPr>
          <w:trHeight w:val="40"/>
        </w:trPr>
        <w:tc>
          <w:tcPr>
            <w:tcW w:w="1584" w:type="dxa"/>
            <w:shd w:val="clear" w:color="000000" w:fill="FFFF99"/>
            <w:hideMark/>
          </w:tcPr>
          <w:p w14:paraId="38D082A9" w14:textId="77777777" w:rsidR="004A5CF2" w:rsidRPr="00CA0804" w:rsidRDefault="004A5CF2" w:rsidP="003634C1">
            <w:pPr>
              <w:rPr>
                <w:sz w:val="16"/>
                <w:szCs w:val="16"/>
              </w:rPr>
            </w:pPr>
            <w:r w:rsidRPr="00CA0804">
              <w:rPr>
                <w:b/>
                <w:sz w:val="16"/>
                <w:szCs w:val="16"/>
              </w:rPr>
              <w:t>Ukupno</w:t>
            </w:r>
          </w:p>
        </w:tc>
        <w:tc>
          <w:tcPr>
            <w:tcW w:w="7048" w:type="dxa"/>
            <w:shd w:val="clear" w:color="000000" w:fill="FFFF99"/>
            <w:hideMark/>
          </w:tcPr>
          <w:p w14:paraId="32316D9B" w14:textId="77777777" w:rsidR="004A5CF2" w:rsidRPr="00CA0804" w:rsidRDefault="004A5CF2" w:rsidP="003634C1">
            <w:pPr>
              <w:rPr>
                <w:sz w:val="16"/>
                <w:szCs w:val="16"/>
              </w:rPr>
            </w:pPr>
          </w:p>
        </w:tc>
        <w:tc>
          <w:tcPr>
            <w:tcW w:w="582" w:type="dxa"/>
            <w:shd w:val="clear" w:color="000000" w:fill="FFFF99"/>
          </w:tcPr>
          <w:p w14:paraId="08B2DBE8" w14:textId="563B43D4" w:rsidR="004A5CF2" w:rsidRPr="00CA0804" w:rsidRDefault="004A5CF2" w:rsidP="003634C1">
            <w:pPr>
              <w:jc w:val="right"/>
              <w:rPr>
                <w:b/>
                <w:sz w:val="16"/>
                <w:szCs w:val="16"/>
              </w:rPr>
            </w:pPr>
            <w:r w:rsidRPr="00CA0804">
              <w:rPr>
                <w:rFonts w:eastAsia="Times New Roman"/>
                <w:b/>
                <w:bCs/>
                <w:sz w:val="16"/>
                <w:szCs w:val="16"/>
                <w:lang w:eastAsia="hr-HR"/>
              </w:rPr>
              <w:t>612,9</w:t>
            </w:r>
          </w:p>
        </w:tc>
      </w:tr>
    </w:tbl>
    <w:p w14:paraId="4CB62C12" w14:textId="77777777" w:rsidR="00BE1A0A" w:rsidRPr="00CA0804" w:rsidRDefault="00BE1A0A" w:rsidP="00BE487D">
      <w:pPr>
        <w:contextualSpacing/>
        <w:jc w:val="both"/>
        <w:rPr>
          <w:i/>
          <w:sz w:val="20"/>
        </w:rPr>
      </w:pPr>
      <w:r w:rsidRPr="00CA0804">
        <w:rPr>
          <w:i/>
          <w:sz w:val="20"/>
        </w:rPr>
        <w:t>Izvor: Ministarstvo financija i davatelji potpora; podaci obrađeni u Ministarstvu financija</w:t>
      </w:r>
    </w:p>
    <w:p w14:paraId="0045799B" w14:textId="0CC675E8" w:rsidR="009E0344" w:rsidRPr="00CA0804" w:rsidRDefault="009E0344" w:rsidP="00EB0832"/>
    <w:p w14:paraId="5A6F39A2" w14:textId="4F98C8A6" w:rsidR="00025431" w:rsidRPr="00CA0804" w:rsidRDefault="006E4E2E" w:rsidP="00025431">
      <w:pPr>
        <w:jc w:val="both"/>
      </w:pPr>
      <w:r w:rsidRPr="00CA0804">
        <w:t>Potpore za obavljanje usluga od općeg gospodarskog interesa dodijeljene su u 202</w:t>
      </w:r>
      <w:r w:rsidR="00E973D2" w:rsidRPr="00CA0804">
        <w:t>4</w:t>
      </w:r>
      <w:r w:rsidRPr="00CA0804">
        <w:t xml:space="preserve">. godini </w:t>
      </w:r>
      <w:r w:rsidR="00E973D2" w:rsidRPr="00CA0804">
        <w:t xml:space="preserve">putem subvencija </w:t>
      </w:r>
      <w:r w:rsidRPr="00CA0804">
        <w:t xml:space="preserve">u iznosu od </w:t>
      </w:r>
      <w:r w:rsidR="00E973D2" w:rsidRPr="00CA0804">
        <w:t>612,9</w:t>
      </w:r>
      <w:r w:rsidRPr="00CA0804">
        <w:t xml:space="preserve"> milijuna eura te je udio navedenih potpora u BDP-u u </w:t>
      </w:r>
      <w:r w:rsidR="00452BF2" w:rsidRPr="00CA0804">
        <w:t>istoj</w:t>
      </w:r>
      <w:r w:rsidRPr="00CA0804">
        <w:t xml:space="preserve"> godini iznosio </w:t>
      </w:r>
      <w:r w:rsidR="00452BF2" w:rsidRPr="00CA0804">
        <w:t>0,7</w:t>
      </w:r>
      <w:r w:rsidR="00E973D2" w:rsidRPr="00CA0804">
        <w:t>2</w:t>
      </w:r>
      <w:r w:rsidRPr="00CA0804">
        <w:t xml:space="preserve"> posto, </w:t>
      </w:r>
      <w:r w:rsidR="00452BF2" w:rsidRPr="00CA0804">
        <w:t xml:space="preserve">udio </w:t>
      </w:r>
      <w:r w:rsidRPr="00CA0804">
        <w:t xml:space="preserve">u ukupno dodijeljenim potporama </w:t>
      </w:r>
      <w:r w:rsidR="00E973D2" w:rsidRPr="00CA0804">
        <w:t xml:space="preserve">42,3 </w:t>
      </w:r>
      <w:r w:rsidRPr="00CA0804">
        <w:t xml:space="preserve">posto, udio u dodijeljenim potporama u sektoru industrije i usluga iznosio je </w:t>
      </w:r>
      <w:r w:rsidR="00554D8D" w:rsidRPr="00CA0804">
        <w:t>46,4</w:t>
      </w:r>
      <w:r w:rsidRPr="00CA0804">
        <w:t xml:space="preserve"> posto</w:t>
      </w:r>
      <w:r w:rsidR="00E973D2" w:rsidRPr="00CA0804">
        <w:t xml:space="preserve"> i </w:t>
      </w:r>
      <w:r w:rsidRPr="00CA0804">
        <w:t xml:space="preserve">udio u </w:t>
      </w:r>
      <w:r w:rsidR="00452BF2" w:rsidRPr="00CA0804">
        <w:t xml:space="preserve">sektorskim potporama </w:t>
      </w:r>
      <w:r w:rsidR="00E973D2" w:rsidRPr="00CA0804">
        <w:t xml:space="preserve">76,4 </w:t>
      </w:r>
      <w:r w:rsidRPr="00CA0804">
        <w:t>posto.</w:t>
      </w:r>
    </w:p>
    <w:p w14:paraId="286C4604" w14:textId="77777777" w:rsidR="00A02921" w:rsidRPr="00CA0804" w:rsidRDefault="00A02921" w:rsidP="00025431">
      <w:pPr>
        <w:jc w:val="both"/>
      </w:pPr>
    </w:p>
    <w:p w14:paraId="4949F735" w14:textId="4CB4DD4C" w:rsidR="00EB0832" w:rsidRPr="00CA0804" w:rsidRDefault="006067FD" w:rsidP="00EB0832">
      <w:pPr>
        <w:jc w:val="both"/>
      </w:pPr>
      <w:r w:rsidRPr="00CA0804">
        <w:t>P</w:t>
      </w:r>
      <w:r w:rsidR="00EB0832" w:rsidRPr="00CA0804">
        <w:t>otpore</w:t>
      </w:r>
      <w:r w:rsidRPr="00CA0804">
        <w:t xml:space="preserve"> </w:t>
      </w:r>
      <w:r w:rsidR="00EB0832" w:rsidRPr="00CA0804">
        <w:t xml:space="preserve">za obavljanje usluga od općeg gospodarskog interesa </w:t>
      </w:r>
      <w:r w:rsidR="00D85402" w:rsidRPr="00CA0804">
        <w:t xml:space="preserve">prevladavaju </w:t>
      </w:r>
      <w:r w:rsidR="00EB0832" w:rsidRPr="00CA0804">
        <w:t>u okviru sektorskih potpora</w:t>
      </w:r>
      <w:r w:rsidR="00952DB4" w:rsidRPr="00CA0804">
        <w:t>, a dodjeljuju se</w:t>
      </w:r>
      <w:r w:rsidR="00EB0832" w:rsidRPr="00CA0804">
        <w:t xml:space="preserve"> kao naknada </w:t>
      </w:r>
      <w:r w:rsidR="00D85402" w:rsidRPr="00CA0804">
        <w:t>ili</w:t>
      </w:r>
      <w:r w:rsidR="00EB0832" w:rsidRPr="00CA0804">
        <w:t xml:space="preserve"> kompenzacija za obavljanje javne usluge u kopnenom cestovnom, željezničkom, pomorskom i zračnom prometu, uslugama zračnih luka, </w:t>
      </w:r>
      <w:r w:rsidR="00A113FF" w:rsidRPr="00CA0804">
        <w:t>u</w:t>
      </w:r>
      <w:r w:rsidR="00EB0832" w:rsidRPr="00CA0804">
        <w:t xml:space="preserve"> javn</w:t>
      </w:r>
      <w:r w:rsidR="00A113FF" w:rsidRPr="00CA0804">
        <w:t>im</w:t>
      </w:r>
      <w:r w:rsidR="00EB0832" w:rsidRPr="00CA0804">
        <w:t xml:space="preserve"> radiodifuzijsk</w:t>
      </w:r>
      <w:r w:rsidR="00A113FF" w:rsidRPr="00CA0804">
        <w:t>im uslugama</w:t>
      </w:r>
      <w:r w:rsidR="00EB0832" w:rsidRPr="00CA0804">
        <w:t xml:space="preserve"> te poštansk</w:t>
      </w:r>
      <w:r w:rsidR="00A113FF" w:rsidRPr="00CA0804">
        <w:t>im uslugama.</w:t>
      </w:r>
    </w:p>
    <w:p w14:paraId="359D9887" w14:textId="77777777" w:rsidR="00EB0832" w:rsidRPr="00CA0804" w:rsidRDefault="00EB0832" w:rsidP="00BE487D">
      <w:pPr>
        <w:jc w:val="both"/>
      </w:pPr>
    </w:p>
    <w:p w14:paraId="4420AC06" w14:textId="41675C42" w:rsidR="00155083" w:rsidRPr="00CA0804" w:rsidRDefault="00155083" w:rsidP="00155083">
      <w:pPr>
        <w:jc w:val="both"/>
      </w:pPr>
      <w:r w:rsidRPr="00CA0804">
        <w:t xml:space="preserve">Unutar potpora za obavljanje usluga od općeg gospodarskog interesa </w:t>
      </w:r>
      <w:r w:rsidR="006067FD" w:rsidRPr="00CA0804">
        <w:t xml:space="preserve">dodijeljenih u 2024. godini </w:t>
      </w:r>
      <w:r w:rsidR="00A113FF" w:rsidRPr="00CA0804">
        <w:t xml:space="preserve">u iznosu od </w:t>
      </w:r>
      <w:r w:rsidR="006067FD" w:rsidRPr="00CA0804">
        <w:t>612,9 milijuna eura</w:t>
      </w:r>
      <w:r w:rsidRPr="00CA0804">
        <w:t>, najv</w:t>
      </w:r>
      <w:r w:rsidR="00A113FF" w:rsidRPr="00CA0804">
        <w:t xml:space="preserve">eći udio </w:t>
      </w:r>
      <w:r w:rsidRPr="00CA0804">
        <w:t xml:space="preserve">odnosi se na </w:t>
      </w:r>
      <w:r w:rsidR="00A113FF" w:rsidRPr="00CA0804">
        <w:t xml:space="preserve">potpore kopnenom cestovnom prometu u iznosu od </w:t>
      </w:r>
      <w:r w:rsidR="006067FD" w:rsidRPr="00CA0804">
        <w:t xml:space="preserve">218,6 </w:t>
      </w:r>
      <w:r w:rsidR="00A113FF" w:rsidRPr="00CA0804">
        <w:t xml:space="preserve">milijuna eura ili s </w:t>
      </w:r>
      <w:r w:rsidR="006067FD" w:rsidRPr="00CA0804">
        <w:t xml:space="preserve">35,7 </w:t>
      </w:r>
      <w:r w:rsidR="00A113FF" w:rsidRPr="00CA0804">
        <w:t xml:space="preserve">posto, slijede </w:t>
      </w:r>
      <w:r w:rsidRPr="00CA0804">
        <w:t xml:space="preserve">potpore za javne radiodifuzijske usluge za emitiranje javnog radio i televizijskog programa od </w:t>
      </w:r>
      <w:r w:rsidR="006067FD" w:rsidRPr="00CA0804">
        <w:t xml:space="preserve">153,4 </w:t>
      </w:r>
      <w:r w:rsidRPr="00CA0804">
        <w:t xml:space="preserve">milijuna </w:t>
      </w:r>
      <w:r w:rsidR="00A113FF" w:rsidRPr="00CA0804">
        <w:t xml:space="preserve">eura </w:t>
      </w:r>
      <w:r w:rsidRPr="00CA0804">
        <w:t xml:space="preserve">ili </w:t>
      </w:r>
      <w:r w:rsidR="006067FD" w:rsidRPr="00CA0804">
        <w:t xml:space="preserve">25 </w:t>
      </w:r>
      <w:r w:rsidRPr="00CA0804">
        <w:t>posto</w:t>
      </w:r>
      <w:r w:rsidR="00A113FF" w:rsidRPr="00CA0804">
        <w:t xml:space="preserve">, </w:t>
      </w:r>
      <w:r w:rsidRPr="00CA0804">
        <w:t xml:space="preserve">potpore za kopneni željeznički promet od </w:t>
      </w:r>
      <w:r w:rsidR="006067FD" w:rsidRPr="00CA0804">
        <w:t xml:space="preserve">129,6 </w:t>
      </w:r>
      <w:r w:rsidRPr="00CA0804">
        <w:t xml:space="preserve">milijuna </w:t>
      </w:r>
      <w:r w:rsidR="00A113FF" w:rsidRPr="00CA0804">
        <w:t xml:space="preserve">eura </w:t>
      </w:r>
      <w:r w:rsidRPr="00CA0804">
        <w:t xml:space="preserve">ili </w:t>
      </w:r>
      <w:r w:rsidR="006067FD" w:rsidRPr="00CA0804">
        <w:t xml:space="preserve">21,1 </w:t>
      </w:r>
      <w:r w:rsidRPr="00CA0804">
        <w:t>posto, potpore p</w:t>
      </w:r>
      <w:r w:rsidR="00DF38A5" w:rsidRPr="00CA0804">
        <w:t xml:space="preserve">omorskom prometu od </w:t>
      </w:r>
      <w:r w:rsidR="006067FD" w:rsidRPr="00CA0804">
        <w:t xml:space="preserve">65,6 </w:t>
      </w:r>
      <w:r w:rsidRPr="00CA0804">
        <w:t xml:space="preserve">milijuna </w:t>
      </w:r>
      <w:r w:rsidR="00A113FF" w:rsidRPr="00CA0804">
        <w:t xml:space="preserve">eura </w:t>
      </w:r>
      <w:r w:rsidRPr="00CA0804">
        <w:t xml:space="preserve">ili </w:t>
      </w:r>
      <w:r w:rsidR="00A113FF" w:rsidRPr="00CA0804">
        <w:t>10,</w:t>
      </w:r>
      <w:r w:rsidR="00FA2A4C" w:rsidRPr="00CA0804">
        <w:t>7</w:t>
      </w:r>
      <w:r w:rsidRPr="00CA0804">
        <w:t xml:space="preserve"> posto, </w:t>
      </w:r>
      <w:r w:rsidR="004C6B92" w:rsidRPr="00CA0804">
        <w:t xml:space="preserve">potpore za poštanske usluge od 25,1 milijun eura ili 4,1 posto te </w:t>
      </w:r>
      <w:r w:rsidRPr="00CA0804">
        <w:t xml:space="preserve">potpore zračnom prometu od </w:t>
      </w:r>
      <w:r w:rsidR="004C6B92" w:rsidRPr="00CA0804">
        <w:t xml:space="preserve">20,6 </w:t>
      </w:r>
      <w:r w:rsidRPr="00CA0804">
        <w:t xml:space="preserve">milijuna </w:t>
      </w:r>
      <w:r w:rsidR="00A113FF" w:rsidRPr="00CA0804">
        <w:t xml:space="preserve">eura </w:t>
      </w:r>
      <w:r w:rsidRPr="00CA0804">
        <w:t xml:space="preserve">ili </w:t>
      </w:r>
      <w:r w:rsidR="00FA2A4C" w:rsidRPr="00CA0804">
        <w:t>3,</w:t>
      </w:r>
      <w:r w:rsidR="004C6B92" w:rsidRPr="00CA0804">
        <w:t>4</w:t>
      </w:r>
      <w:r w:rsidRPr="00CA0804">
        <w:t xml:space="preserve"> posto</w:t>
      </w:r>
      <w:r w:rsidR="00A113FF" w:rsidRPr="00CA0804">
        <w:t>.</w:t>
      </w:r>
    </w:p>
    <w:p w14:paraId="42EF2654" w14:textId="77777777" w:rsidR="006067FD" w:rsidRPr="00CA0804" w:rsidRDefault="006067FD" w:rsidP="00BE487D">
      <w:pPr>
        <w:jc w:val="both"/>
      </w:pPr>
    </w:p>
    <w:p w14:paraId="1DE5A48C" w14:textId="6273124B" w:rsidR="00A113FF" w:rsidRPr="00CA0804" w:rsidRDefault="00A113FF" w:rsidP="00A113FF">
      <w:pPr>
        <w:jc w:val="both"/>
      </w:pPr>
      <w:r w:rsidRPr="00CA0804">
        <w:rPr>
          <w:u w:val="single"/>
        </w:rPr>
        <w:t>Potpore za kopneni cestovni promet</w:t>
      </w:r>
      <w:r w:rsidRPr="00CA0804">
        <w:t xml:space="preserve"> u iznosu od </w:t>
      </w:r>
      <w:r w:rsidR="004A5CF2" w:rsidRPr="00CA0804">
        <w:t xml:space="preserve">218,6 </w:t>
      </w:r>
      <w:r w:rsidR="001241FA" w:rsidRPr="00CA0804">
        <w:t>milijuna eura</w:t>
      </w:r>
      <w:r w:rsidRPr="00CA0804">
        <w:t xml:space="preserve">, dodijelilo je </w:t>
      </w:r>
      <w:r w:rsidRPr="00CA0804">
        <w:rPr>
          <w:rFonts w:eastAsiaTheme="minorEastAsia"/>
        </w:rPr>
        <w:t xml:space="preserve">Ministarstvo mora, prometa i infrastrukture u iznosu od </w:t>
      </w:r>
      <w:r w:rsidR="004A5CF2" w:rsidRPr="00CA0804">
        <w:t xml:space="preserve">60,9 </w:t>
      </w:r>
      <w:r w:rsidRPr="00CA0804">
        <w:rPr>
          <w:rFonts w:eastAsiaTheme="minorEastAsia"/>
        </w:rPr>
        <w:t xml:space="preserve">milijuna </w:t>
      </w:r>
      <w:r w:rsidR="001241FA" w:rsidRPr="00CA0804">
        <w:rPr>
          <w:rFonts w:eastAsiaTheme="minorEastAsia"/>
        </w:rPr>
        <w:t>eura</w:t>
      </w:r>
      <w:r w:rsidRPr="00CA0804">
        <w:t xml:space="preserve"> te davatelji potpora s lokalne razine </w:t>
      </w:r>
      <w:r w:rsidR="004A5CF2" w:rsidRPr="00CA0804">
        <w:t>157,7</w:t>
      </w:r>
      <w:r w:rsidR="00952DB4" w:rsidRPr="00CA0804">
        <w:t xml:space="preserve"> </w:t>
      </w:r>
      <w:r w:rsidRPr="00CA0804">
        <w:t>milijun</w:t>
      </w:r>
      <w:r w:rsidR="004A5CF2" w:rsidRPr="00CA0804">
        <w:t>a</w:t>
      </w:r>
      <w:r w:rsidRPr="00CA0804">
        <w:t xml:space="preserve"> </w:t>
      </w:r>
      <w:r w:rsidR="001241FA" w:rsidRPr="00CA0804">
        <w:t>eura</w:t>
      </w:r>
      <w:r w:rsidRPr="00CA0804">
        <w:t>.</w:t>
      </w:r>
    </w:p>
    <w:p w14:paraId="14AF8C3E" w14:textId="77777777" w:rsidR="004A5CF2" w:rsidRPr="00CA0804" w:rsidRDefault="004A5CF2" w:rsidP="00BE487D">
      <w:pPr>
        <w:jc w:val="both"/>
      </w:pPr>
    </w:p>
    <w:p w14:paraId="6B856E19" w14:textId="4FF067A8" w:rsidR="00BE1A0A" w:rsidRPr="00CA0804" w:rsidRDefault="00BE1A0A" w:rsidP="00BE487D">
      <w:pPr>
        <w:jc w:val="both"/>
      </w:pPr>
      <w:r w:rsidRPr="00CA0804">
        <w:rPr>
          <w:u w:val="single"/>
        </w:rPr>
        <w:t>Potpore za radiotelevizijsko emitiranje</w:t>
      </w:r>
      <w:r w:rsidRPr="00CA0804">
        <w:rPr>
          <w:b/>
        </w:rPr>
        <w:t xml:space="preserve"> </w:t>
      </w:r>
      <w:r w:rsidR="003739CE" w:rsidRPr="00CA0804">
        <w:t xml:space="preserve">u iznosu od </w:t>
      </w:r>
      <w:r w:rsidR="004A5CF2" w:rsidRPr="00CA0804">
        <w:t xml:space="preserve">153,4 </w:t>
      </w:r>
      <w:r w:rsidR="001241FA" w:rsidRPr="00CA0804">
        <w:t xml:space="preserve">milijuna eura odnose se na </w:t>
      </w:r>
      <w:r w:rsidRPr="00CA0804">
        <w:t>pristojbe uplaćene temeljem Zakona o Hrvatskoj radioteleviziji</w:t>
      </w:r>
      <w:r w:rsidR="0066706B" w:rsidRPr="00CA0804">
        <w:t>.</w:t>
      </w:r>
    </w:p>
    <w:p w14:paraId="7810D116" w14:textId="77777777" w:rsidR="004A5CF2" w:rsidRPr="00CA0804" w:rsidRDefault="004A5CF2" w:rsidP="004A5CF2"/>
    <w:p w14:paraId="4B1E6A91" w14:textId="391AB513" w:rsidR="001241FA" w:rsidRPr="00CA0804" w:rsidRDefault="009D0AC7" w:rsidP="001241FA">
      <w:pPr>
        <w:jc w:val="both"/>
      </w:pPr>
      <w:r w:rsidRPr="00CA0804">
        <w:rPr>
          <w:u w:val="single"/>
        </w:rPr>
        <w:t>Potpore za kopneni željeznički promet</w:t>
      </w:r>
      <w:r w:rsidRPr="00CA0804">
        <w:t xml:space="preserve"> u iznosu od </w:t>
      </w:r>
      <w:r w:rsidR="004A5CF2" w:rsidRPr="00CA0804">
        <w:t xml:space="preserve">129,6 </w:t>
      </w:r>
      <w:r w:rsidR="001241FA" w:rsidRPr="00CA0804">
        <w:t>milijuna eura</w:t>
      </w:r>
      <w:r w:rsidR="00481E2F" w:rsidRPr="00CA0804">
        <w:t>,</w:t>
      </w:r>
      <w:r w:rsidRPr="00CA0804">
        <w:t xml:space="preserve"> </w:t>
      </w:r>
      <w:r w:rsidRPr="00CA0804">
        <w:rPr>
          <w:rFonts w:eastAsiaTheme="minorEastAsia"/>
        </w:rPr>
        <w:t xml:space="preserve">dodijelilo je </w:t>
      </w:r>
      <w:r w:rsidRPr="00CA0804">
        <w:t xml:space="preserve">Ministarstvo mora, prometa i infrastrukture </w:t>
      </w:r>
      <w:r w:rsidR="001241FA" w:rsidRPr="00CA0804">
        <w:t xml:space="preserve">u iznosu od </w:t>
      </w:r>
      <w:r w:rsidR="004A5CF2" w:rsidRPr="00CA0804">
        <w:t xml:space="preserve">129,6 </w:t>
      </w:r>
      <w:r w:rsidR="001241FA" w:rsidRPr="00CA0804">
        <w:t xml:space="preserve">milijuna eura te davatelji potpora s lokalne razine </w:t>
      </w:r>
      <w:r w:rsidR="004A5CF2" w:rsidRPr="00CA0804">
        <w:t xml:space="preserve">63.919,51 </w:t>
      </w:r>
      <w:r w:rsidR="001241FA" w:rsidRPr="00CA0804">
        <w:t>eur</w:t>
      </w:r>
      <w:r w:rsidR="004A5CF2" w:rsidRPr="00CA0804">
        <w:t>o</w:t>
      </w:r>
      <w:r w:rsidR="001241FA" w:rsidRPr="00CA0804">
        <w:t>.</w:t>
      </w:r>
    </w:p>
    <w:p w14:paraId="18109C3D" w14:textId="77777777" w:rsidR="006067FD" w:rsidRPr="00CA0804" w:rsidRDefault="006067FD" w:rsidP="00481E2F"/>
    <w:p w14:paraId="3D1456DF" w14:textId="65DB1A6D" w:rsidR="009D0AC7" w:rsidRPr="00CA0804" w:rsidRDefault="009D0AC7" w:rsidP="009D0AC7">
      <w:pPr>
        <w:jc w:val="both"/>
      </w:pPr>
      <w:r w:rsidRPr="00CA0804">
        <w:rPr>
          <w:u w:val="single"/>
        </w:rPr>
        <w:t>Potpore pomorskom prometu</w:t>
      </w:r>
      <w:r w:rsidRPr="00CA0804">
        <w:t xml:space="preserve"> u iznosu od </w:t>
      </w:r>
      <w:r w:rsidR="004A5CF2" w:rsidRPr="00CA0804">
        <w:t xml:space="preserve">65,6 </w:t>
      </w:r>
      <w:r w:rsidR="00C53E97" w:rsidRPr="00CA0804">
        <w:t>milijuna eura</w:t>
      </w:r>
      <w:r w:rsidRPr="00CA0804">
        <w:t xml:space="preserve">, dodjeljivala je Agencija za obalni linijski pomorski promet u iznosu </w:t>
      </w:r>
      <w:r w:rsidR="004A5CF2" w:rsidRPr="00CA0804">
        <w:t xml:space="preserve">65,6 </w:t>
      </w:r>
      <w:r w:rsidR="00C53E97" w:rsidRPr="00CA0804">
        <w:t xml:space="preserve">milijuna eura </w:t>
      </w:r>
      <w:r w:rsidRPr="00CA0804">
        <w:t xml:space="preserve">dok su davatelji </w:t>
      </w:r>
      <w:r w:rsidR="00481E2F" w:rsidRPr="00CA0804">
        <w:t xml:space="preserve">na </w:t>
      </w:r>
      <w:r w:rsidRPr="00CA0804">
        <w:t>lokaln</w:t>
      </w:r>
      <w:r w:rsidR="00481E2F" w:rsidRPr="00CA0804">
        <w:t>oj</w:t>
      </w:r>
      <w:r w:rsidRPr="00CA0804">
        <w:t xml:space="preserve"> razin</w:t>
      </w:r>
      <w:r w:rsidR="00481E2F" w:rsidRPr="00CA0804">
        <w:t xml:space="preserve">i dodijelili </w:t>
      </w:r>
      <w:r w:rsidR="004A5CF2" w:rsidRPr="00CA0804">
        <w:t>63.651,6</w:t>
      </w:r>
      <w:r w:rsidR="00C53E97" w:rsidRPr="00CA0804">
        <w:t>eura</w:t>
      </w:r>
      <w:r w:rsidR="00481E2F" w:rsidRPr="00CA0804">
        <w:t>.</w:t>
      </w:r>
    </w:p>
    <w:p w14:paraId="4E821353" w14:textId="0492A8FB" w:rsidR="005615F3" w:rsidRPr="00CA0804" w:rsidRDefault="005615F3" w:rsidP="009D0AC7">
      <w:pPr>
        <w:jc w:val="both"/>
      </w:pPr>
    </w:p>
    <w:p w14:paraId="251B34B9" w14:textId="5FF81898" w:rsidR="004A5CF2" w:rsidRPr="00CA0804" w:rsidRDefault="004A5CF2" w:rsidP="004A5CF2">
      <w:pPr>
        <w:jc w:val="both"/>
      </w:pPr>
      <w:r w:rsidRPr="00CA0804">
        <w:rPr>
          <w:rFonts w:eastAsiaTheme="minorEastAsia"/>
          <w:u w:val="single"/>
        </w:rPr>
        <w:t xml:space="preserve">Potpore </w:t>
      </w:r>
      <w:r w:rsidRPr="00CA0804">
        <w:rPr>
          <w:u w:val="single"/>
        </w:rPr>
        <w:t>za poštanske usluge</w:t>
      </w:r>
      <w:r w:rsidRPr="00CA0804">
        <w:rPr>
          <w:b/>
        </w:rPr>
        <w:t xml:space="preserve"> </w:t>
      </w:r>
      <w:r w:rsidRPr="00CA0804">
        <w:t>u iznosu od 25,1 milijun eura dodijelilo je Ministarstvo mora, prometa i infrastrukture.</w:t>
      </w:r>
    </w:p>
    <w:p w14:paraId="7828858F" w14:textId="77777777" w:rsidR="004A5CF2" w:rsidRPr="00CA0804" w:rsidRDefault="004A5CF2" w:rsidP="009D0AC7">
      <w:pPr>
        <w:jc w:val="both"/>
      </w:pPr>
    </w:p>
    <w:p w14:paraId="394AA0AA" w14:textId="5720C15B" w:rsidR="00A02921" w:rsidRPr="00CA0804" w:rsidRDefault="00BE1A0A" w:rsidP="00C12EEB">
      <w:pPr>
        <w:jc w:val="both"/>
      </w:pPr>
      <w:r w:rsidRPr="00CA0804">
        <w:rPr>
          <w:u w:val="single"/>
        </w:rPr>
        <w:t xml:space="preserve">Potpore za </w:t>
      </w:r>
      <w:r w:rsidRPr="00CA0804">
        <w:rPr>
          <w:rFonts w:eastAsiaTheme="minorEastAsia"/>
          <w:u w:val="single"/>
        </w:rPr>
        <w:t>zračni promet</w:t>
      </w:r>
      <w:r w:rsidRPr="00CA0804">
        <w:t xml:space="preserve"> </w:t>
      </w:r>
      <w:r w:rsidR="00C53E97" w:rsidRPr="00CA0804">
        <w:t xml:space="preserve">u iznosu od </w:t>
      </w:r>
      <w:r w:rsidR="004A5CF2" w:rsidRPr="00CA0804">
        <w:t xml:space="preserve">20,6 </w:t>
      </w:r>
      <w:r w:rsidR="00C53E97" w:rsidRPr="00CA0804">
        <w:t xml:space="preserve">milijuna eura </w:t>
      </w:r>
      <w:r w:rsidR="00481E2F" w:rsidRPr="00CA0804">
        <w:t xml:space="preserve">dodijelilo je </w:t>
      </w:r>
      <w:r w:rsidRPr="00CA0804">
        <w:t>Ministarstvo mora, prometa i infrastrukture.</w:t>
      </w:r>
    </w:p>
    <w:p w14:paraId="55C45B1E" w14:textId="77777777" w:rsidR="000426FD" w:rsidRPr="00CA0804" w:rsidRDefault="000426FD">
      <w:pPr>
        <w:rPr>
          <w:rFonts w:eastAsiaTheme="majorEastAsia"/>
          <w:b/>
          <w:i/>
          <w:sz w:val="28"/>
        </w:rPr>
      </w:pPr>
      <w:r w:rsidRPr="00CA0804">
        <w:rPr>
          <w:b/>
          <w:i/>
          <w:sz w:val="28"/>
        </w:rPr>
        <w:br w:type="page"/>
      </w:r>
    </w:p>
    <w:p w14:paraId="68E86530" w14:textId="4AB59936" w:rsidR="00BE0817" w:rsidRPr="00CA0804" w:rsidRDefault="00BC66CE" w:rsidP="00BE487D">
      <w:pPr>
        <w:pStyle w:val="Heading3"/>
        <w:numPr>
          <w:ilvl w:val="2"/>
          <w:numId w:val="1"/>
        </w:numPr>
        <w:spacing w:before="0"/>
        <w:jc w:val="both"/>
        <w:rPr>
          <w:rFonts w:ascii="Times New Roman" w:hAnsi="Times New Roman" w:cs="Times New Roman"/>
          <w:b/>
          <w:color w:val="auto"/>
        </w:rPr>
      </w:pPr>
      <w:bookmarkStart w:id="23" w:name="_Toc213660044"/>
      <w:r w:rsidRPr="00CA0804">
        <w:rPr>
          <w:rFonts w:ascii="Times New Roman" w:hAnsi="Times New Roman" w:cs="Times New Roman"/>
          <w:b/>
          <w:i/>
          <w:color w:val="auto"/>
        </w:rPr>
        <w:lastRenderedPageBreak/>
        <w:t>Potpore za poštanske usluge</w:t>
      </w:r>
      <w:bookmarkEnd w:id="23"/>
    </w:p>
    <w:p w14:paraId="367ED3BB" w14:textId="77777777" w:rsidR="00BC66CE" w:rsidRPr="00CA0804" w:rsidRDefault="00BC66CE" w:rsidP="00BE487D">
      <w:pPr>
        <w:jc w:val="both"/>
      </w:pPr>
    </w:p>
    <w:p w14:paraId="3A8D78FD" w14:textId="77777777" w:rsidR="00BC66CE" w:rsidRPr="00CA0804" w:rsidRDefault="00BC66CE" w:rsidP="00BE487D">
      <w:pPr>
        <w:jc w:val="both"/>
      </w:pPr>
    </w:p>
    <w:p w14:paraId="1809A295" w14:textId="0649CFE5" w:rsidR="005F1DB3" w:rsidRPr="00CA0804" w:rsidRDefault="005F1DB3" w:rsidP="008C0A8E">
      <w:pPr>
        <w:jc w:val="both"/>
      </w:pPr>
      <w:r w:rsidRPr="00CA0804">
        <w:t xml:space="preserve">Potpore za </w:t>
      </w:r>
      <w:r w:rsidR="008C0A8E" w:rsidRPr="00CA0804">
        <w:t xml:space="preserve">poštanske usluge </w:t>
      </w:r>
      <w:r w:rsidRPr="00CA0804">
        <w:t xml:space="preserve">dodijeljene </w:t>
      </w:r>
      <w:r w:rsidR="00C12EEB" w:rsidRPr="00CA0804">
        <w:t xml:space="preserve">su </w:t>
      </w:r>
      <w:r w:rsidRPr="00CA0804">
        <w:t>u 202</w:t>
      </w:r>
      <w:r w:rsidR="00C12EEB" w:rsidRPr="00CA0804">
        <w:t>4</w:t>
      </w:r>
      <w:r w:rsidRPr="00CA0804">
        <w:t xml:space="preserve">. godini u iznosu od </w:t>
      </w:r>
      <w:r w:rsidR="00C12EEB" w:rsidRPr="00CA0804">
        <w:t xml:space="preserve">25,1 </w:t>
      </w:r>
      <w:r w:rsidRPr="00CA0804">
        <w:t xml:space="preserve">milijun eura, što je povećanje za </w:t>
      </w:r>
      <w:r w:rsidR="00C12EEB" w:rsidRPr="00CA0804">
        <w:t xml:space="preserve">10,3 </w:t>
      </w:r>
      <w:r w:rsidRPr="00CA0804">
        <w:t xml:space="preserve">milijuna eura ili </w:t>
      </w:r>
      <w:r w:rsidR="00554D8D" w:rsidRPr="00CA0804">
        <w:t>69,6</w:t>
      </w:r>
      <w:r w:rsidR="00C12EEB" w:rsidRPr="00CA0804">
        <w:t xml:space="preserve"> </w:t>
      </w:r>
      <w:r w:rsidRPr="00CA0804">
        <w:t>posto u odnosu na 202</w:t>
      </w:r>
      <w:r w:rsidR="00C12EEB" w:rsidRPr="00CA0804">
        <w:t>3</w:t>
      </w:r>
      <w:r w:rsidRPr="00CA0804">
        <w:t xml:space="preserve">. godinu, kada su iznosile </w:t>
      </w:r>
      <w:r w:rsidR="00C12EEB" w:rsidRPr="00CA0804">
        <w:t>14,8</w:t>
      </w:r>
      <w:r w:rsidRPr="00CA0804">
        <w:t xml:space="preserve"> milijuna eura, te </w:t>
      </w:r>
      <w:r w:rsidR="00952DB4" w:rsidRPr="00CA0804">
        <w:t>predstavlja</w:t>
      </w:r>
      <w:r w:rsidRPr="00CA0804">
        <w:t xml:space="preserve"> </w:t>
      </w:r>
      <w:r w:rsidR="008C0A8E" w:rsidRPr="00CA0804">
        <w:t xml:space="preserve">povećanje </w:t>
      </w:r>
      <w:r w:rsidRPr="00CA0804">
        <w:t xml:space="preserve">za </w:t>
      </w:r>
      <w:r w:rsidR="00C12EEB" w:rsidRPr="00CA0804">
        <w:t xml:space="preserve">11,9 </w:t>
      </w:r>
      <w:r w:rsidRPr="00CA0804">
        <w:t xml:space="preserve">milijuna eura ili </w:t>
      </w:r>
      <w:r w:rsidR="00554D8D" w:rsidRPr="00CA0804">
        <w:t>90,2</w:t>
      </w:r>
      <w:r w:rsidR="00C12EEB" w:rsidRPr="00CA0804">
        <w:t xml:space="preserve"> </w:t>
      </w:r>
      <w:r w:rsidRPr="00CA0804">
        <w:t>posto u odnosu na 202</w:t>
      </w:r>
      <w:r w:rsidR="00C12EEB" w:rsidRPr="00CA0804">
        <w:t>2</w:t>
      </w:r>
      <w:r w:rsidRPr="00CA0804">
        <w:t xml:space="preserve">. godinu kada su iznosile </w:t>
      </w:r>
      <w:r w:rsidR="00C12EEB" w:rsidRPr="00CA0804">
        <w:t xml:space="preserve">13,2 </w:t>
      </w:r>
      <w:r w:rsidRPr="00CA0804">
        <w:t>milijuna eura.</w:t>
      </w:r>
    </w:p>
    <w:p w14:paraId="03577A7A" w14:textId="77777777" w:rsidR="00294CAD" w:rsidRPr="00CA0804" w:rsidRDefault="00294CAD" w:rsidP="002429A4">
      <w:pPr>
        <w:jc w:val="both"/>
      </w:pPr>
    </w:p>
    <w:p w14:paraId="0A93E829" w14:textId="28E0FF92" w:rsidR="00D6279C" w:rsidRPr="00CA0804" w:rsidRDefault="00D6279C" w:rsidP="00BE487D">
      <w:pPr>
        <w:pStyle w:val="T-109sred"/>
        <w:spacing w:before="0" w:after="0"/>
        <w:contextualSpacing/>
        <w:jc w:val="both"/>
        <w:rPr>
          <w:rFonts w:ascii="Times New Roman" w:hAnsi="Times New Roman"/>
          <w:sz w:val="24"/>
          <w:szCs w:val="24"/>
          <w:lang w:val="hr-HR"/>
        </w:rPr>
      </w:pPr>
      <w:r w:rsidRPr="00CA0804">
        <w:rPr>
          <w:rFonts w:ascii="Times New Roman" w:hAnsi="Times New Roman"/>
          <w:sz w:val="24"/>
          <w:szCs w:val="24"/>
          <w:lang w:val="hr-HR"/>
        </w:rPr>
        <w:t xml:space="preserve">Tablica </w:t>
      </w:r>
      <w:r w:rsidR="00DA0C65" w:rsidRPr="00CA0804">
        <w:rPr>
          <w:rFonts w:ascii="Times New Roman" w:hAnsi="Times New Roman"/>
          <w:sz w:val="24"/>
          <w:szCs w:val="24"/>
          <w:lang w:val="hr-HR"/>
        </w:rPr>
        <w:t>1</w:t>
      </w:r>
      <w:r w:rsidR="00E4105D" w:rsidRPr="00CA0804">
        <w:rPr>
          <w:rFonts w:ascii="Times New Roman" w:hAnsi="Times New Roman"/>
          <w:sz w:val="24"/>
          <w:szCs w:val="24"/>
          <w:lang w:val="hr-HR"/>
        </w:rPr>
        <w:t>9</w:t>
      </w:r>
      <w:r w:rsidRPr="00CA0804">
        <w:rPr>
          <w:rFonts w:ascii="Times New Roman" w:hAnsi="Times New Roman"/>
          <w:sz w:val="24"/>
          <w:szCs w:val="24"/>
          <w:lang w:val="hr-HR"/>
        </w:rPr>
        <w:t xml:space="preserve">. Potpore za poštanske usluge </w:t>
      </w:r>
      <w:r w:rsidR="000A1E58" w:rsidRPr="00CA0804">
        <w:rPr>
          <w:rFonts w:ascii="Times New Roman" w:hAnsi="Times New Roman"/>
          <w:sz w:val="24"/>
          <w:szCs w:val="24"/>
          <w:lang w:val="hr-HR"/>
        </w:rPr>
        <w:t>dodijeljene u razdoblju</w:t>
      </w:r>
      <w:r w:rsidR="000A1E58" w:rsidRPr="00CA0804">
        <w:rPr>
          <w:rFonts w:ascii="Times New Roman" w:hAnsi="Times New Roman"/>
          <w:lang w:val="hr-HR"/>
        </w:rPr>
        <w:t xml:space="preserve"> </w:t>
      </w:r>
      <w:r w:rsidRPr="00CA0804">
        <w:rPr>
          <w:rFonts w:ascii="Times New Roman" w:hAnsi="Times New Roman"/>
          <w:sz w:val="24"/>
          <w:szCs w:val="24"/>
          <w:lang w:val="hr-HR"/>
        </w:rPr>
        <w:t>od 20</w:t>
      </w:r>
      <w:r w:rsidR="003C7980" w:rsidRPr="00CA0804">
        <w:rPr>
          <w:rFonts w:ascii="Times New Roman" w:hAnsi="Times New Roman"/>
          <w:sz w:val="24"/>
          <w:szCs w:val="24"/>
          <w:lang w:val="hr-HR"/>
        </w:rPr>
        <w:t>2</w:t>
      </w:r>
      <w:r w:rsidR="00023CFC" w:rsidRPr="00CA0804">
        <w:rPr>
          <w:rFonts w:ascii="Times New Roman" w:hAnsi="Times New Roman"/>
          <w:sz w:val="24"/>
          <w:szCs w:val="24"/>
          <w:lang w:val="hr-HR"/>
        </w:rPr>
        <w:t>2</w:t>
      </w:r>
      <w:r w:rsidR="000B02D4" w:rsidRPr="00CA0804">
        <w:rPr>
          <w:rFonts w:ascii="Times New Roman" w:hAnsi="Times New Roman"/>
          <w:sz w:val="24"/>
          <w:szCs w:val="24"/>
          <w:lang w:val="hr-HR"/>
        </w:rPr>
        <w:t>. do 202</w:t>
      </w:r>
      <w:r w:rsidR="00023CFC" w:rsidRPr="00CA0804">
        <w:rPr>
          <w:rFonts w:ascii="Times New Roman" w:hAnsi="Times New Roman"/>
          <w:sz w:val="24"/>
          <w:szCs w:val="24"/>
          <w:lang w:val="hr-HR"/>
        </w:rPr>
        <w:t>4</w:t>
      </w:r>
      <w:r w:rsidRPr="00CA0804">
        <w:rPr>
          <w:rFonts w:ascii="Times New Roman" w:hAnsi="Times New Roman"/>
          <w:sz w:val="24"/>
          <w:szCs w:val="24"/>
          <w:lang w:val="hr-HR"/>
        </w:rPr>
        <w:t>. godine</w:t>
      </w:r>
    </w:p>
    <w:p w14:paraId="15D84CC3" w14:textId="40F10BB8" w:rsidR="007D617C" w:rsidRPr="00CA0804" w:rsidRDefault="007D617C"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023CFC" w:rsidRPr="00CA0804" w14:paraId="2AA1EAF4" w14:textId="77777777" w:rsidTr="001445B7">
        <w:trPr>
          <w:trHeight w:val="38"/>
        </w:trPr>
        <w:tc>
          <w:tcPr>
            <w:tcW w:w="3376" w:type="dxa"/>
            <w:vMerge w:val="restart"/>
            <w:shd w:val="clear" w:color="000000" w:fill="FFFF99"/>
            <w:noWrap/>
            <w:vAlign w:val="center"/>
            <w:hideMark/>
          </w:tcPr>
          <w:p w14:paraId="1375129B" w14:textId="02130368" w:rsidR="00023CFC" w:rsidRPr="00CA0804" w:rsidRDefault="00023CFC" w:rsidP="00023CFC">
            <w:pPr>
              <w:rPr>
                <w:rFonts w:eastAsia="Times New Roman"/>
                <w:b/>
                <w:bCs/>
                <w:sz w:val="20"/>
                <w:szCs w:val="20"/>
              </w:rPr>
            </w:pPr>
            <w:r w:rsidRPr="00CA0804">
              <w:rPr>
                <w:rFonts w:eastAsia="Times New Roman"/>
                <w:b/>
                <w:bCs/>
                <w:sz w:val="20"/>
                <w:szCs w:val="20"/>
                <w:lang w:eastAsia="hr-HR"/>
              </w:rPr>
              <w:t>Poštanske usluge</w:t>
            </w:r>
          </w:p>
        </w:tc>
        <w:tc>
          <w:tcPr>
            <w:tcW w:w="1439" w:type="dxa"/>
            <w:shd w:val="clear" w:color="000000" w:fill="FFFF99"/>
            <w:vAlign w:val="center"/>
          </w:tcPr>
          <w:p w14:paraId="0D578F8A" w14:textId="67B88CF4" w:rsidR="00023CFC" w:rsidRPr="00CA0804" w:rsidRDefault="00023CFC" w:rsidP="00023CFC">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732A62B1" w14:textId="76699ED5" w:rsidR="00023CFC" w:rsidRPr="00CA0804" w:rsidRDefault="00023CFC" w:rsidP="00023CFC">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3C191E08" w14:textId="59F7C833" w:rsidR="00023CFC" w:rsidRPr="00CA0804" w:rsidRDefault="00023CFC" w:rsidP="00023CFC">
            <w:pPr>
              <w:jc w:val="center"/>
              <w:rPr>
                <w:rFonts w:eastAsia="Times New Roman"/>
                <w:b/>
                <w:bCs/>
                <w:sz w:val="20"/>
                <w:szCs w:val="20"/>
              </w:rPr>
            </w:pPr>
            <w:r w:rsidRPr="00CA0804">
              <w:rPr>
                <w:b/>
                <w:sz w:val="20"/>
                <w:szCs w:val="20"/>
              </w:rPr>
              <w:t>2024.</w:t>
            </w:r>
          </w:p>
        </w:tc>
      </w:tr>
      <w:tr w:rsidR="00CE5537" w:rsidRPr="00CA0804" w14:paraId="56D4C58F" w14:textId="77777777" w:rsidTr="001445B7">
        <w:trPr>
          <w:trHeight w:val="212"/>
        </w:trPr>
        <w:tc>
          <w:tcPr>
            <w:tcW w:w="3376" w:type="dxa"/>
            <w:vMerge/>
            <w:vAlign w:val="center"/>
            <w:hideMark/>
          </w:tcPr>
          <w:p w14:paraId="20BF6883" w14:textId="77777777" w:rsidR="00CE5537" w:rsidRPr="00CA0804" w:rsidRDefault="00CE5537" w:rsidP="001445B7">
            <w:pPr>
              <w:rPr>
                <w:rFonts w:eastAsia="Times New Roman"/>
                <w:b/>
                <w:bCs/>
                <w:sz w:val="20"/>
                <w:szCs w:val="20"/>
              </w:rPr>
            </w:pPr>
          </w:p>
        </w:tc>
        <w:tc>
          <w:tcPr>
            <w:tcW w:w="1439" w:type="dxa"/>
            <w:shd w:val="clear" w:color="000000" w:fill="FFFF99"/>
            <w:vAlign w:val="center"/>
          </w:tcPr>
          <w:p w14:paraId="6A192335" w14:textId="77777777" w:rsidR="00CE5537" w:rsidRPr="00CA0804" w:rsidRDefault="00CE5537" w:rsidP="001445B7">
            <w:pPr>
              <w:rPr>
                <w:rFonts w:eastAsia="Times New Roman"/>
                <w:b/>
                <w:sz w:val="18"/>
                <w:szCs w:val="20"/>
              </w:rPr>
            </w:pPr>
            <w:r w:rsidRPr="00CA0804">
              <w:rPr>
                <w:b/>
                <w:sz w:val="20"/>
                <w:szCs w:val="20"/>
              </w:rPr>
              <w:t>u mln EUR</w:t>
            </w:r>
          </w:p>
        </w:tc>
        <w:tc>
          <w:tcPr>
            <w:tcW w:w="1559" w:type="dxa"/>
            <w:shd w:val="clear" w:color="000000" w:fill="FFFF99"/>
            <w:vAlign w:val="center"/>
          </w:tcPr>
          <w:p w14:paraId="61689C3E" w14:textId="77777777" w:rsidR="00CE5537" w:rsidRPr="00CA0804" w:rsidRDefault="00CE5537" w:rsidP="001445B7">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053ED743" w14:textId="77777777" w:rsidR="00CE5537" w:rsidRPr="00CA0804" w:rsidRDefault="00CE5537" w:rsidP="001445B7">
            <w:pPr>
              <w:jc w:val="center"/>
              <w:rPr>
                <w:rFonts w:eastAsia="Times New Roman"/>
                <w:b/>
                <w:sz w:val="18"/>
                <w:szCs w:val="20"/>
              </w:rPr>
            </w:pPr>
            <w:r w:rsidRPr="00CA0804">
              <w:rPr>
                <w:b/>
                <w:sz w:val="20"/>
                <w:szCs w:val="20"/>
              </w:rPr>
              <w:t>u mln EUR</w:t>
            </w:r>
          </w:p>
        </w:tc>
      </w:tr>
      <w:tr w:rsidR="00023CFC" w:rsidRPr="00CA0804" w14:paraId="5006FF8A" w14:textId="77777777" w:rsidTr="001445B7">
        <w:trPr>
          <w:trHeight w:val="40"/>
        </w:trPr>
        <w:tc>
          <w:tcPr>
            <w:tcW w:w="3376" w:type="dxa"/>
            <w:shd w:val="clear" w:color="auto" w:fill="auto"/>
            <w:noWrap/>
            <w:vAlign w:val="center"/>
            <w:hideMark/>
          </w:tcPr>
          <w:p w14:paraId="3BABDCD6" w14:textId="77777777" w:rsidR="00023CFC" w:rsidRPr="00CA0804" w:rsidRDefault="00023CFC" w:rsidP="00023CFC">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4B43C812" w14:textId="4180CC4C" w:rsidR="00023CFC" w:rsidRPr="00CA0804" w:rsidRDefault="00023CFC" w:rsidP="00023CFC">
            <w:pPr>
              <w:jc w:val="right"/>
              <w:rPr>
                <w:sz w:val="20"/>
                <w:szCs w:val="14"/>
              </w:rPr>
            </w:pPr>
            <w:r w:rsidRPr="00CA0804">
              <w:rPr>
                <w:sz w:val="20"/>
                <w:szCs w:val="20"/>
              </w:rPr>
              <w:t>13,2</w:t>
            </w:r>
          </w:p>
        </w:tc>
        <w:tc>
          <w:tcPr>
            <w:tcW w:w="1559" w:type="dxa"/>
            <w:vAlign w:val="center"/>
          </w:tcPr>
          <w:p w14:paraId="025F3B93" w14:textId="281111CD" w:rsidR="00023CFC" w:rsidRPr="00CA0804" w:rsidRDefault="00023CFC" w:rsidP="00023CFC">
            <w:pPr>
              <w:jc w:val="right"/>
              <w:rPr>
                <w:sz w:val="20"/>
                <w:szCs w:val="14"/>
              </w:rPr>
            </w:pPr>
            <w:r w:rsidRPr="00CA0804">
              <w:rPr>
                <w:sz w:val="20"/>
                <w:szCs w:val="20"/>
              </w:rPr>
              <w:t>14,8</w:t>
            </w:r>
          </w:p>
        </w:tc>
        <w:tc>
          <w:tcPr>
            <w:tcW w:w="1559" w:type="dxa"/>
            <w:vAlign w:val="center"/>
          </w:tcPr>
          <w:p w14:paraId="1A7D327F" w14:textId="13FB9E65" w:rsidR="00023CFC" w:rsidRPr="00CA0804" w:rsidRDefault="00023CFC" w:rsidP="00023CFC">
            <w:pPr>
              <w:jc w:val="right"/>
              <w:rPr>
                <w:sz w:val="20"/>
                <w:szCs w:val="14"/>
              </w:rPr>
            </w:pPr>
            <w:r w:rsidRPr="00CA0804">
              <w:rPr>
                <w:sz w:val="20"/>
                <w:szCs w:val="20"/>
              </w:rPr>
              <w:t>25,1</w:t>
            </w:r>
          </w:p>
        </w:tc>
      </w:tr>
      <w:tr w:rsidR="00023CFC" w:rsidRPr="00CA0804" w14:paraId="47A0014F" w14:textId="77777777" w:rsidTr="001445B7">
        <w:trPr>
          <w:trHeight w:val="40"/>
        </w:trPr>
        <w:tc>
          <w:tcPr>
            <w:tcW w:w="3376" w:type="dxa"/>
            <w:shd w:val="clear" w:color="000000" w:fill="FFFF99"/>
            <w:noWrap/>
            <w:vAlign w:val="center"/>
            <w:hideMark/>
          </w:tcPr>
          <w:p w14:paraId="2A4DF64C" w14:textId="77777777" w:rsidR="00023CFC" w:rsidRPr="00CA0804" w:rsidRDefault="00023CFC" w:rsidP="00023CFC">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0BEE9D1A" w14:textId="436331B6" w:rsidR="00023CFC" w:rsidRPr="00CA0804" w:rsidRDefault="00023CFC" w:rsidP="00023CFC">
            <w:pPr>
              <w:jc w:val="right"/>
              <w:rPr>
                <w:b/>
                <w:sz w:val="20"/>
                <w:szCs w:val="14"/>
              </w:rPr>
            </w:pPr>
            <w:r w:rsidRPr="00CA0804">
              <w:rPr>
                <w:b/>
                <w:sz w:val="20"/>
                <w:szCs w:val="20"/>
              </w:rPr>
              <w:t>13,2</w:t>
            </w:r>
          </w:p>
        </w:tc>
        <w:tc>
          <w:tcPr>
            <w:tcW w:w="1559" w:type="dxa"/>
            <w:shd w:val="clear" w:color="000000" w:fill="FFFF99"/>
            <w:vAlign w:val="center"/>
          </w:tcPr>
          <w:p w14:paraId="5C0D999A" w14:textId="2D6CEA2E" w:rsidR="00023CFC" w:rsidRPr="00CA0804" w:rsidRDefault="00023CFC" w:rsidP="00023CFC">
            <w:pPr>
              <w:jc w:val="right"/>
              <w:rPr>
                <w:b/>
                <w:sz w:val="20"/>
                <w:szCs w:val="14"/>
              </w:rPr>
            </w:pPr>
            <w:r w:rsidRPr="00CA0804">
              <w:rPr>
                <w:b/>
                <w:sz w:val="20"/>
                <w:szCs w:val="20"/>
              </w:rPr>
              <w:t>14,8</w:t>
            </w:r>
          </w:p>
        </w:tc>
        <w:tc>
          <w:tcPr>
            <w:tcW w:w="1559" w:type="dxa"/>
            <w:shd w:val="clear" w:color="000000" w:fill="FFFF99"/>
            <w:vAlign w:val="center"/>
          </w:tcPr>
          <w:p w14:paraId="10CA9AC4" w14:textId="6F1484AB" w:rsidR="00023CFC" w:rsidRPr="00CA0804" w:rsidRDefault="00023CFC" w:rsidP="00023CFC">
            <w:pPr>
              <w:jc w:val="right"/>
              <w:rPr>
                <w:b/>
                <w:sz w:val="20"/>
                <w:szCs w:val="14"/>
              </w:rPr>
            </w:pPr>
            <w:r w:rsidRPr="00CA0804">
              <w:rPr>
                <w:b/>
                <w:sz w:val="20"/>
                <w:szCs w:val="20"/>
              </w:rPr>
              <w:t>25,1</w:t>
            </w:r>
          </w:p>
        </w:tc>
      </w:tr>
      <w:tr w:rsidR="00023CFC" w:rsidRPr="00CA0804" w14:paraId="523A4F4D" w14:textId="77777777" w:rsidTr="001445B7">
        <w:trPr>
          <w:trHeight w:val="40"/>
        </w:trPr>
        <w:tc>
          <w:tcPr>
            <w:tcW w:w="3376" w:type="dxa"/>
            <w:shd w:val="clear" w:color="auto" w:fill="auto"/>
            <w:vAlign w:val="center"/>
            <w:hideMark/>
          </w:tcPr>
          <w:p w14:paraId="605EFEB3" w14:textId="3F01A943" w:rsidR="00023CFC" w:rsidRPr="00CA0804" w:rsidRDefault="00023CFC" w:rsidP="00023CFC">
            <w:pPr>
              <w:rPr>
                <w:rFonts w:eastAsia="Times New Roman"/>
                <w:sz w:val="20"/>
                <w:szCs w:val="20"/>
              </w:rPr>
            </w:pPr>
            <w:r w:rsidRPr="00CA0804">
              <w:rPr>
                <w:rFonts w:eastAsia="Times New Roman"/>
                <w:sz w:val="20"/>
              </w:rPr>
              <w:t>udio (%) u posebnim sektorima</w:t>
            </w:r>
          </w:p>
        </w:tc>
        <w:tc>
          <w:tcPr>
            <w:tcW w:w="1439" w:type="dxa"/>
            <w:vAlign w:val="center"/>
          </w:tcPr>
          <w:p w14:paraId="375E1269" w14:textId="12B5FD8F" w:rsidR="00023CFC" w:rsidRPr="00CA0804" w:rsidRDefault="00023CFC" w:rsidP="00023CFC">
            <w:pPr>
              <w:jc w:val="center"/>
              <w:rPr>
                <w:sz w:val="20"/>
                <w:szCs w:val="14"/>
              </w:rPr>
            </w:pPr>
            <w:r w:rsidRPr="00CA0804">
              <w:rPr>
                <w:sz w:val="20"/>
                <w:szCs w:val="20"/>
              </w:rPr>
              <w:t>2,19</w:t>
            </w:r>
          </w:p>
        </w:tc>
        <w:tc>
          <w:tcPr>
            <w:tcW w:w="1559" w:type="dxa"/>
            <w:vAlign w:val="center"/>
          </w:tcPr>
          <w:p w14:paraId="2EF529E0" w14:textId="5635935B" w:rsidR="00023CFC" w:rsidRPr="00CA0804" w:rsidRDefault="00023CFC" w:rsidP="00023CFC">
            <w:pPr>
              <w:jc w:val="center"/>
              <w:rPr>
                <w:sz w:val="20"/>
                <w:szCs w:val="14"/>
              </w:rPr>
            </w:pPr>
            <w:r w:rsidRPr="00CA0804">
              <w:rPr>
                <w:sz w:val="20"/>
                <w:szCs w:val="20"/>
              </w:rPr>
              <w:t>1,74</w:t>
            </w:r>
          </w:p>
        </w:tc>
        <w:tc>
          <w:tcPr>
            <w:tcW w:w="1559" w:type="dxa"/>
            <w:vAlign w:val="center"/>
          </w:tcPr>
          <w:p w14:paraId="0E544727" w14:textId="4EEA27EA" w:rsidR="00023CFC" w:rsidRPr="00CA0804" w:rsidRDefault="00023CFC" w:rsidP="00023CFC">
            <w:pPr>
              <w:jc w:val="center"/>
              <w:rPr>
                <w:sz w:val="20"/>
                <w:szCs w:val="14"/>
              </w:rPr>
            </w:pPr>
            <w:r w:rsidRPr="00CA0804">
              <w:rPr>
                <w:sz w:val="20"/>
                <w:szCs w:val="20"/>
              </w:rPr>
              <w:t>3,13</w:t>
            </w:r>
          </w:p>
        </w:tc>
      </w:tr>
      <w:tr w:rsidR="00023CFC" w:rsidRPr="00CA0804" w14:paraId="66FFBAED" w14:textId="77777777" w:rsidTr="001445B7">
        <w:trPr>
          <w:trHeight w:val="90"/>
        </w:trPr>
        <w:tc>
          <w:tcPr>
            <w:tcW w:w="3376" w:type="dxa"/>
            <w:shd w:val="clear" w:color="auto" w:fill="auto"/>
            <w:vAlign w:val="center"/>
            <w:hideMark/>
          </w:tcPr>
          <w:p w14:paraId="2201164A" w14:textId="77777777" w:rsidR="00023CFC" w:rsidRPr="00CA0804" w:rsidRDefault="00023CFC" w:rsidP="00023CFC">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1EC0DC24" w14:textId="43483485" w:rsidR="00023CFC" w:rsidRPr="00CA0804" w:rsidRDefault="00E60AEF" w:rsidP="00023CFC">
            <w:pPr>
              <w:jc w:val="center"/>
              <w:rPr>
                <w:sz w:val="20"/>
                <w:szCs w:val="14"/>
              </w:rPr>
            </w:pPr>
            <w:r w:rsidRPr="00CA0804">
              <w:rPr>
                <w:sz w:val="20"/>
                <w:szCs w:val="20"/>
              </w:rPr>
              <w:t>0,64</w:t>
            </w:r>
          </w:p>
        </w:tc>
        <w:tc>
          <w:tcPr>
            <w:tcW w:w="1559" w:type="dxa"/>
            <w:vAlign w:val="center"/>
          </w:tcPr>
          <w:p w14:paraId="67CA20F3" w14:textId="2FB2FB59" w:rsidR="00023CFC" w:rsidRPr="00CA0804" w:rsidRDefault="00023CFC" w:rsidP="00023CFC">
            <w:pPr>
              <w:jc w:val="center"/>
              <w:rPr>
                <w:sz w:val="20"/>
                <w:szCs w:val="14"/>
              </w:rPr>
            </w:pPr>
            <w:r w:rsidRPr="00CA0804">
              <w:rPr>
                <w:sz w:val="20"/>
                <w:szCs w:val="20"/>
              </w:rPr>
              <w:t>0,75</w:t>
            </w:r>
          </w:p>
        </w:tc>
        <w:tc>
          <w:tcPr>
            <w:tcW w:w="1559" w:type="dxa"/>
            <w:vAlign w:val="center"/>
          </w:tcPr>
          <w:p w14:paraId="505EFC3E" w14:textId="2EE9968F" w:rsidR="00023CFC" w:rsidRPr="00CA0804" w:rsidRDefault="00023CFC" w:rsidP="00023CFC">
            <w:pPr>
              <w:jc w:val="center"/>
              <w:rPr>
                <w:sz w:val="20"/>
                <w:szCs w:val="14"/>
              </w:rPr>
            </w:pPr>
            <w:r w:rsidRPr="00CA0804">
              <w:rPr>
                <w:sz w:val="20"/>
                <w:szCs w:val="20"/>
              </w:rPr>
              <w:t>1,90</w:t>
            </w:r>
          </w:p>
        </w:tc>
      </w:tr>
      <w:tr w:rsidR="00023CFC" w:rsidRPr="00CA0804" w14:paraId="36AC34B1" w14:textId="77777777" w:rsidTr="001445B7">
        <w:trPr>
          <w:trHeight w:val="40"/>
        </w:trPr>
        <w:tc>
          <w:tcPr>
            <w:tcW w:w="3376" w:type="dxa"/>
            <w:shd w:val="clear" w:color="auto" w:fill="auto"/>
            <w:vAlign w:val="center"/>
            <w:hideMark/>
          </w:tcPr>
          <w:p w14:paraId="7BB2FF38" w14:textId="77777777" w:rsidR="00023CFC" w:rsidRPr="00CA0804" w:rsidRDefault="00023CFC" w:rsidP="00023CFC">
            <w:pPr>
              <w:rPr>
                <w:rFonts w:eastAsia="Times New Roman"/>
                <w:sz w:val="20"/>
                <w:szCs w:val="20"/>
              </w:rPr>
            </w:pPr>
            <w:r w:rsidRPr="00CA0804">
              <w:rPr>
                <w:rFonts w:eastAsia="Times New Roman"/>
                <w:sz w:val="20"/>
                <w:szCs w:val="20"/>
              </w:rPr>
              <w:t>udio (%) u ukupnim potporama</w:t>
            </w:r>
          </w:p>
        </w:tc>
        <w:tc>
          <w:tcPr>
            <w:tcW w:w="1439" w:type="dxa"/>
            <w:vAlign w:val="center"/>
          </w:tcPr>
          <w:p w14:paraId="1CF6017B" w14:textId="3F1D0426" w:rsidR="00023CFC" w:rsidRPr="00CA0804" w:rsidRDefault="00023CFC" w:rsidP="00023CFC">
            <w:pPr>
              <w:jc w:val="center"/>
              <w:rPr>
                <w:sz w:val="20"/>
                <w:szCs w:val="14"/>
              </w:rPr>
            </w:pPr>
            <w:r w:rsidRPr="00CA0804">
              <w:rPr>
                <w:sz w:val="20"/>
                <w:szCs w:val="20"/>
              </w:rPr>
              <w:t>0,62</w:t>
            </w:r>
          </w:p>
        </w:tc>
        <w:tc>
          <w:tcPr>
            <w:tcW w:w="1559" w:type="dxa"/>
            <w:vAlign w:val="center"/>
          </w:tcPr>
          <w:p w14:paraId="24A38229" w14:textId="28B01E10" w:rsidR="00023CFC" w:rsidRPr="00CA0804" w:rsidRDefault="00023CFC" w:rsidP="00023CFC">
            <w:pPr>
              <w:jc w:val="center"/>
              <w:rPr>
                <w:sz w:val="20"/>
                <w:szCs w:val="14"/>
              </w:rPr>
            </w:pPr>
            <w:r w:rsidRPr="00CA0804">
              <w:rPr>
                <w:sz w:val="20"/>
                <w:szCs w:val="20"/>
              </w:rPr>
              <w:t>0,71</w:t>
            </w:r>
          </w:p>
        </w:tc>
        <w:tc>
          <w:tcPr>
            <w:tcW w:w="1559" w:type="dxa"/>
            <w:vAlign w:val="center"/>
          </w:tcPr>
          <w:p w14:paraId="2FC51465" w14:textId="09163BC8" w:rsidR="00023CFC" w:rsidRPr="00CA0804" w:rsidRDefault="00023CFC" w:rsidP="00023CFC">
            <w:pPr>
              <w:jc w:val="center"/>
              <w:rPr>
                <w:sz w:val="20"/>
                <w:szCs w:val="14"/>
              </w:rPr>
            </w:pPr>
            <w:r w:rsidRPr="00CA0804">
              <w:rPr>
                <w:sz w:val="20"/>
                <w:szCs w:val="20"/>
              </w:rPr>
              <w:t>1,73</w:t>
            </w:r>
          </w:p>
        </w:tc>
      </w:tr>
      <w:tr w:rsidR="00023CFC" w:rsidRPr="00CA0804" w14:paraId="2F8A47B2" w14:textId="77777777" w:rsidTr="001445B7">
        <w:trPr>
          <w:trHeight w:val="40"/>
        </w:trPr>
        <w:tc>
          <w:tcPr>
            <w:tcW w:w="3376" w:type="dxa"/>
            <w:shd w:val="clear" w:color="auto" w:fill="auto"/>
            <w:vAlign w:val="center"/>
            <w:hideMark/>
          </w:tcPr>
          <w:p w14:paraId="076E4784" w14:textId="77777777" w:rsidR="00023CFC" w:rsidRPr="00CA0804" w:rsidRDefault="00023CFC" w:rsidP="00023CFC">
            <w:pPr>
              <w:rPr>
                <w:rFonts w:eastAsia="Times New Roman"/>
                <w:sz w:val="20"/>
                <w:szCs w:val="20"/>
              </w:rPr>
            </w:pPr>
            <w:r w:rsidRPr="00CA0804">
              <w:rPr>
                <w:rFonts w:eastAsia="Times New Roman"/>
                <w:sz w:val="20"/>
                <w:szCs w:val="20"/>
              </w:rPr>
              <w:t>udio (%) u BDP-u</w:t>
            </w:r>
          </w:p>
        </w:tc>
        <w:tc>
          <w:tcPr>
            <w:tcW w:w="1439" w:type="dxa"/>
            <w:vAlign w:val="center"/>
          </w:tcPr>
          <w:p w14:paraId="2CBA44EF" w14:textId="5F7140C8" w:rsidR="00023CFC" w:rsidRPr="00CA0804" w:rsidRDefault="00023CFC" w:rsidP="00023CFC">
            <w:pPr>
              <w:jc w:val="center"/>
              <w:rPr>
                <w:sz w:val="20"/>
                <w:szCs w:val="14"/>
              </w:rPr>
            </w:pPr>
            <w:r w:rsidRPr="00CA0804">
              <w:rPr>
                <w:sz w:val="20"/>
                <w:szCs w:val="20"/>
              </w:rPr>
              <w:t>0,02</w:t>
            </w:r>
          </w:p>
        </w:tc>
        <w:tc>
          <w:tcPr>
            <w:tcW w:w="1559" w:type="dxa"/>
            <w:vAlign w:val="center"/>
          </w:tcPr>
          <w:p w14:paraId="00F33E39" w14:textId="2383871A" w:rsidR="00023CFC" w:rsidRPr="00CA0804" w:rsidRDefault="00023CFC" w:rsidP="00023CFC">
            <w:pPr>
              <w:jc w:val="center"/>
              <w:rPr>
                <w:sz w:val="20"/>
                <w:szCs w:val="14"/>
              </w:rPr>
            </w:pPr>
            <w:r w:rsidRPr="00CA0804">
              <w:rPr>
                <w:sz w:val="20"/>
                <w:szCs w:val="20"/>
              </w:rPr>
              <w:t>0,02</w:t>
            </w:r>
          </w:p>
        </w:tc>
        <w:tc>
          <w:tcPr>
            <w:tcW w:w="1559" w:type="dxa"/>
            <w:vAlign w:val="center"/>
          </w:tcPr>
          <w:p w14:paraId="0EA6C96E" w14:textId="1D865D19" w:rsidR="00023CFC" w:rsidRPr="00CA0804" w:rsidRDefault="00023CFC" w:rsidP="00023CFC">
            <w:pPr>
              <w:jc w:val="center"/>
              <w:rPr>
                <w:sz w:val="20"/>
                <w:szCs w:val="14"/>
              </w:rPr>
            </w:pPr>
            <w:r w:rsidRPr="00CA0804">
              <w:rPr>
                <w:sz w:val="20"/>
                <w:szCs w:val="20"/>
              </w:rPr>
              <w:t>0,03</w:t>
            </w:r>
          </w:p>
        </w:tc>
      </w:tr>
    </w:tbl>
    <w:p w14:paraId="48CA5D13" w14:textId="77777777" w:rsidR="00E627B3" w:rsidRPr="00CA0804" w:rsidRDefault="00E627B3" w:rsidP="00E627B3">
      <w:pPr>
        <w:contextualSpacing/>
        <w:jc w:val="both"/>
        <w:rPr>
          <w:i/>
          <w:sz w:val="20"/>
        </w:rPr>
      </w:pPr>
      <w:r w:rsidRPr="00CA0804">
        <w:rPr>
          <w:i/>
          <w:sz w:val="20"/>
        </w:rPr>
        <w:t>Izvor: Ministarstvo financija i davatelji potpora; podaci obrađeni u Ministarstvu financija</w:t>
      </w:r>
    </w:p>
    <w:p w14:paraId="7318AEDC" w14:textId="77777777" w:rsidR="00C12EEB" w:rsidRPr="00CA0804" w:rsidRDefault="00C12EEB" w:rsidP="00BE487D">
      <w:pPr>
        <w:jc w:val="both"/>
      </w:pPr>
    </w:p>
    <w:p w14:paraId="6E4B3051" w14:textId="25AD25E8" w:rsidR="008C0A8E" w:rsidRPr="00CA0804" w:rsidRDefault="008C0A8E" w:rsidP="008C0A8E">
      <w:pPr>
        <w:jc w:val="both"/>
      </w:pPr>
      <w:r w:rsidRPr="00CA0804">
        <w:t>Udio potpora za poštanske usluge u BDP-u u 202</w:t>
      </w:r>
      <w:r w:rsidR="00C12EEB" w:rsidRPr="00CA0804">
        <w:t>4</w:t>
      </w:r>
      <w:r w:rsidRPr="00CA0804">
        <w:t>. godini iznosio je 0,0</w:t>
      </w:r>
      <w:r w:rsidR="00C12EEB" w:rsidRPr="00CA0804">
        <w:t>3</w:t>
      </w:r>
      <w:r w:rsidRPr="00CA0804">
        <w:t xml:space="preserve"> posto, </w:t>
      </w:r>
      <w:r w:rsidR="00C12EEB" w:rsidRPr="00CA0804">
        <w:t xml:space="preserve">dok je i u </w:t>
      </w:r>
      <w:r w:rsidRPr="00CA0804">
        <w:t>202</w:t>
      </w:r>
      <w:r w:rsidR="00C12EEB" w:rsidRPr="00CA0804">
        <w:t>3</w:t>
      </w:r>
      <w:r w:rsidRPr="00CA0804">
        <w:t>. i 202</w:t>
      </w:r>
      <w:r w:rsidR="00C12EEB" w:rsidRPr="00CA0804">
        <w:t>2</w:t>
      </w:r>
      <w:r w:rsidRPr="00CA0804">
        <w:t>. godini</w:t>
      </w:r>
      <w:r w:rsidR="00C12EEB" w:rsidRPr="00CA0804">
        <w:t xml:space="preserve"> iznosio 0,02 posto</w:t>
      </w:r>
      <w:r w:rsidRPr="00CA0804">
        <w:t>. Udio navedenih potpora u 202</w:t>
      </w:r>
      <w:r w:rsidR="00C12EEB" w:rsidRPr="00CA0804">
        <w:t>4</w:t>
      </w:r>
      <w:r w:rsidRPr="00CA0804">
        <w:t xml:space="preserve">. godini u ukupno dodijeljenim potporama iznosio je </w:t>
      </w:r>
      <w:r w:rsidR="00C12EEB" w:rsidRPr="00CA0804">
        <w:t xml:space="preserve">1,7 </w:t>
      </w:r>
      <w:r w:rsidRPr="00CA0804">
        <w:t xml:space="preserve">posto, u dodijeljenim potporama u sektoru industrije i usluga </w:t>
      </w:r>
      <w:r w:rsidR="00C12EEB" w:rsidRPr="00CA0804">
        <w:t xml:space="preserve">1,9 </w:t>
      </w:r>
      <w:r w:rsidRPr="00CA0804">
        <w:t>posto</w:t>
      </w:r>
      <w:r w:rsidR="00C12EEB" w:rsidRPr="00CA0804">
        <w:t xml:space="preserve"> te </w:t>
      </w:r>
      <w:r w:rsidRPr="00CA0804">
        <w:t xml:space="preserve">u sektorskim potporama </w:t>
      </w:r>
      <w:r w:rsidR="00C12EEB" w:rsidRPr="00CA0804">
        <w:t xml:space="preserve">3,1 </w:t>
      </w:r>
      <w:r w:rsidRPr="00CA0804">
        <w:t>posto.</w:t>
      </w:r>
    </w:p>
    <w:p w14:paraId="62857AC7" w14:textId="77777777" w:rsidR="00294CAD" w:rsidRPr="00CA0804" w:rsidRDefault="00294CAD" w:rsidP="00BE487D">
      <w:pPr>
        <w:jc w:val="both"/>
      </w:pPr>
    </w:p>
    <w:p w14:paraId="71F2A8FE" w14:textId="3FD82BFF" w:rsidR="00D839E2" w:rsidRPr="00CA0804" w:rsidRDefault="00C12EEB" w:rsidP="00D839E2">
      <w:pPr>
        <w:jc w:val="both"/>
      </w:pPr>
      <w:r w:rsidRPr="00CA0804">
        <w:t>P</w:t>
      </w:r>
      <w:r w:rsidR="002429A4" w:rsidRPr="00CA0804">
        <w:t>otpore</w:t>
      </w:r>
      <w:r w:rsidRPr="00CA0804">
        <w:t xml:space="preserve"> </w:t>
      </w:r>
      <w:r w:rsidR="00F80F9A" w:rsidRPr="00CA0804">
        <w:t xml:space="preserve">za poštanske usluge </w:t>
      </w:r>
      <w:r w:rsidRPr="00CA0804">
        <w:t xml:space="preserve">u 2024. godini </w:t>
      </w:r>
      <w:r w:rsidR="008F3C5B" w:rsidRPr="00CA0804">
        <w:t xml:space="preserve">u iznosu od </w:t>
      </w:r>
      <w:r w:rsidRPr="00CA0804">
        <w:t xml:space="preserve">25,1 milijun eura </w:t>
      </w:r>
      <w:r w:rsidR="002429A4" w:rsidRPr="00CA0804">
        <w:t>dodijelilo je Ministarstvo mora, prometa i infrastrukture</w:t>
      </w:r>
      <w:r w:rsidR="00F80F9A" w:rsidRPr="00CA0804">
        <w:t xml:space="preserve"> putem subvencija </w:t>
      </w:r>
      <w:r w:rsidR="00D839E2" w:rsidRPr="00CA0804">
        <w:t xml:space="preserve">za univerzalne poštanske usluge kao Državna potpora </w:t>
      </w:r>
      <w:r w:rsidR="00845470" w:rsidRPr="00CA0804">
        <w:t xml:space="preserve">HP – </w:t>
      </w:r>
      <w:r w:rsidR="009366E2" w:rsidRPr="00CA0804">
        <w:t xml:space="preserve">Hrvatskoj pošti </w:t>
      </w:r>
      <w:r w:rsidR="00845470" w:rsidRPr="00CA0804">
        <w:t xml:space="preserve">d.d. </w:t>
      </w:r>
      <w:r w:rsidR="002429A4" w:rsidRPr="00CA0804">
        <w:t xml:space="preserve">u obliku naknade za obavljanje usluge od općeg gospodarskog interesa </w:t>
      </w:r>
      <w:r w:rsidR="00D839E2" w:rsidRPr="00CA0804">
        <w:t xml:space="preserve">u iznosu od 15 milijuna </w:t>
      </w:r>
      <w:r w:rsidR="00991FCC" w:rsidRPr="00CA0804">
        <w:t>eura</w:t>
      </w:r>
      <w:r w:rsidR="00D839E2" w:rsidRPr="00CA0804">
        <w:t xml:space="preserve"> te kao Pojedinačna državna potpora HP – Hrvatskoj pošti d.d. u obliku naknade za obavljanje univerzalne usluge za razdoblje od 2024. do 2027. godine 10,1 milijun </w:t>
      </w:r>
      <w:r w:rsidR="00991FCC" w:rsidRPr="00CA0804">
        <w:t>eura</w:t>
      </w:r>
      <w:r w:rsidR="00D839E2" w:rsidRPr="00CA0804">
        <w:t>.</w:t>
      </w:r>
    </w:p>
    <w:p w14:paraId="341B57C5" w14:textId="77777777" w:rsidR="00673554" w:rsidRPr="00CA0804" w:rsidRDefault="00673554" w:rsidP="002429A4">
      <w:pPr>
        <w:jc w:val="both"/>
      </w:pPr>
    </w:p>
    <w:p w14:paraId="7E5BBBA5" w14:textId="77777777" w:rsidR="00E973D2" w:rsidRPr="00CA0804" w:rsidRDefault="00E973D2" w:rsidP="002429A4">
      <w:pPr>
        <w:jc w:val="both"/>
      </w:pPr>
    </w:p>
    <w:p w14:paraId="6667EEC4" w14:textId="77777777" w:rsidR="00342FEF" w:rsidRPr="00CA0804" w:rsidRDefault="00342FEF" w:rsidP="00BE487D">
      <w:pPr>
        <w:jc w:val="both"/>
      </w:pPr>
    </w:p>
    <w:p w14:paraId="754FE674" w14:textId="2FD350C6" w:rsidR="00BE0817" w:rsidRPr="00CA0804" w:rsidRDefault="00BC66CE" w:rsidP="00BE487D">
      <w:pPr>
        <w:pStyle w:val="Heading3"/>
        <w:numPr>
          <w:ilvl w:val="2"/>
          <w:numId w:val="1"/>
        </w:numPr>
        <w:spacing w:before="0"/>
        <w:jc w:val="both"/>
        <w:rPr>
          <w:rFonts w:ascii="Times New Roman" w:hAnsi="Times New Roman" w:cs="Times New Roman"/>
          <w:b/>
          <w:i/>
          <w:color w:val="auto"/>
        </w:rPr>
      </w:pPr>
      <w:bookmarkStart w:id="24" w:name="_Toc213660045"/>
      <w:r w:rsidRPr="00CA0804">
        <w:rPr>
          <w:rFonts w:ascii="Times New Roman" w:hAnsi="Times New Roman" w:cs="Times New Roman"/>
          <w:b/>
          <w:i/>
          <w:color w:val="auto"/>
          <w:lang w:eastAsia="hr-HR"/>
        </w:rPr>
        <w:t>Potpore za zaštitu okoliša i uštedu energije</w:t>
      </w:r>
      <w:bookmarkEnd w:id="24"/>
    </w:p>
    <w:p w14:paraId="1548ECE6" w14:textId="77777777" w:rsidR="00BC66CE" w:rsidRPr="00CA0804" w:rsidRDefault="00BC66CE" w:rsidP="00BE487D">
      <w:pPr>
        <w:jc w:val="both"/>
      </w:pPr>
    </w:p>
    <w:p w14:paraId="3C150DF0" w14:textId="77777777" w:rsidR="00BC66CE" w:rsidRPr="00CA0804" w:rsidRDefault="00BC66CE" w:rsidP="00BE487D">
      <w:pPr>
        <w:jc w:val="both"/>
      </w:pPr>
    </w:p>
    <w:p w14:paraId="5D8B802F" w14:textId="41862612" w:rsidR="00D80E96" w:rsidRPr="00CA0804" w:rsidRDefault="00ED3BD6" w:rsidP="00D80E96">
      <w:pPr>
        <w:jc w:val="both"/>
      </w:pPr>
      <w:r w:rsidRPr="00CA0804">
        <w:t>Potpore za zaštitu okoliša i uštedu energije</w:t>
      </w:r>
      <w:r w:rsidRPr="00CA0804">
        <w:rPr>
          <w:rStyle w:val="FootnoteReference"/>
        </w:rPr>
        <w:footnoteReference w:id="32"/>
      </w:r>
      <w:r w:rsidRPr="00CA0804">
        <w:t xml:space="preserve"> </w:t>
      </w:r>
      <w:r w:rsidR="00D80E96" w:rsidRPr="00CA0804">
        <w:t xml:space="preserve">dodijeljene </w:t>
      </w:r>
      <w:r w:rsidR="00D839E2" w:rsidRPr="00CA0804">
        <w:t xml:space="preserve">su </w:t>
      </w:r>
      <w:r w:rsidR="00D80E96" w:rsidRPr="00CA0804">
        <w:t>u 202</w:t>
      </w:r>
      <w:r w:rsidR="00D839E2" w:rsidRPr="00CA0804">
        <w:t>4</w:t>
      </w:r>
      <w:r w:rsidR="00D80E96" w:rsidRPr="00CA0804">
        <w:t xml:space="preserve">. godini u iznosu od </w:t>
      </w:r>
      <w:r w:rsidR="00D839E2" w:rsidRPr="00CA0804">
        <w:t xml:space="preserve">172,1 </w:t>
      </w:r>
      <w:r w:rsidR="00D80E96" w:rsidRPr="00CA0804">
        <w:t xml:space="preserve">milijun eura, što je </w:t>
      </w:r>
      <w:r w:rsidR="00D839E2" w:rsidRPr="00CA0804">
        <w:t>smanjenje</w:t>
      </w:r>
      <w:r w:rsidR="00D80E96" w:rsidRPr="00CA0804">
        <w:t xml:space="preserve"> za </w:t>
      </w:r>
      <w:r w:rsidR="00554D8D" w:rsidRPr="00CA0804">
        <w:t>13,9</w:t>
      </w:r>
      <w:r w:rsidR="00D80E96" w:rsidRPr="00CA0804">
        <w:t xml:space="preserve"> milijuna eura ili za </w:t>
      </w:r>
      <w:r w:rsidR="00D839E2" w:rsidRPr="00CA0804">
        <w:t xml:space="preserve">7,5 </w:t>
      </w:r>
      <w:r w:rsidR="00D80E96" w:rsidRPr="00CA0804">
        <w:t>posto u odnosu na 202</w:t>
      </w:r>
      <w:r w:rsidR="00D839E2" w:rsidRPr="00CA0804">
        <w:t>3</w:t>
      </w:r>
      <w:r w:rsidR="00D80E96" w:rsidRPr="00CA0804">
        <w:t xml:space="preserve">. godinu, kada su iznosile </w:t>
      </w:r>
      <w:r w:rsidR="00D839E2" w:rsidRPr="00CA0804">
        <w:t xml:space="preserve">186 </w:t>
      </w:r>
      <w:r w:rsidR="00D80E96" w:rsidRPr="00CA0804">
        <w:t xml:space="preserve">milijuna eura, te je povećanje za </w:t>
      </w:r>
      <w:r w:rsidR="00D839E2" w:rsidRPr="00CA0804">
        <w:t xml:space="preserve">1,4 </w:t>
      </w:r>
      <w:r w:rsidR="00D80E96" w:rsidRPr="00CA0804">
        <w:t xml:space="preserve">milijuna eura ili </w:t>
      </w:r>
      <w:r w:rsidR="00D839E2" w:rsidRPr="00CA0804">
        <w:t xml:space="preserve">0,8 </w:t>
      </w:r>
      <w:r w:rsidR="00D80E96" w:rsidRPr="00CA0804">
        <w:t>posto u odnosu na 202</w:t>
      </w:r>
      <w:r w:rsidR="00D839E2" w:rsidRPr="00CA0804">
        <w:t>2</w:t>
      </w:r>
      <w:r w:rsidR="00D80E96" w:rsidRPr="00CA0804">
        <w:t xml:space="preserve">. godinu kada su iznosile </w:t>
      </w:r>
      <w:r w:rsidR="00D839E2" w:rsidRPr="00CA0804">
        <w:t xml:space="preserve">170,7 </w:t>
      </w:r>
      <w:r w:rsidR="00D80E96" w:rsidRPr="00CA0804">
        <w:t>milijuna eura.</w:t>
      </w:r>
    </w:p>
    <w:p w14:paraId="298B687C" w14:textId="44DBF070" w:rsidR="00294CAD" w:rsidRPr="00CA0804" w:rsidRDefault="00294CAD" w:rsidP="00BE487D">
      <w:pPr>
        <w:jc w:val="both"/>
      </w:pPr>
    </w:p>
    <w:p w14:paraId="42D6C62A" w14:textId="77777777" w:rsidR="00D839E2" w:rsidRPr="00CA0804" w:rsidRDefault="00D839E2">
      <w:r w:rsidRPr="00CA0804">
        <w:br w:type="page"/>
      </w:r>
    </w:p>
    <w:p w14:paraId="5A73E825" w14:textId="6F80FF80" w:rsidR="00ED3BD6" w:rsidRPr="00CA0804" w:rsidRDefault="001D0097" w:rsidP="00BE487D">
      <w:pPr>
        <w:jc w:val="both"/>
      </w:pPr>
      <w:r w:rsidRPr="00CA0804">
        <w:lastRenderedPageBreak/>
        <w:t xml:space="preserve">Tablica </w:t>
      </w:r>
      <w:r w:rsidR="00E4105D" w:rsidRPr="00CA0804">
        <w:t>20</w:t>
      </w:r>
      <w:r w:rsidR="00ED3BD6" w:rsidRPr="00CA0804">
        <w:t xml:space="preserve">. Potpore za zaštitu okoliša i uštedu energije </w:t>
      </w:r>
      <w:r w:rsidR="000A1E58" w:rsidRPr="00CA0804">
        <w:t xml:space="preserve">dodijeljene </w:t>
      </w:r>
      <w:r w:rsidR="00DF44C6" w:rsidRPr="00CA0804">
        <w:t>u</w:t>
      </w:r>
      <w:r w:rsidR="00ED3BD6" w:rsidRPr="00CA0804">
        <w:t xml:space="preserve"> razdoblj</w:t>
      </w:r>
      <w:r w:rsidR="00DF44C6" w:rsidRPr="00CA0804">
        <w:t>u</w:t>
      </w:r>
      <w:r w:rsidR="00ED3BD6" w:rsidRPr="00CA0804">
        <w:t xml:space="preserve"> od 20</w:t>
      </w:r>
      <w:r w:rsidR="003C7980" w:rsidRPr="00CA0804">
        <w:t>2</w:t>
      </w:r>
      <w:r w:rsidR="00023CFC" w:rsidRPr="00CA0804">
        <w:t>2</w:t>
      </w:r>
      <w:r w:rsidR="00ED3BD6" w:rsidRPr="00CA0804">
        <w:t>. do 202</w:t>
      </w:r>
      <w:r w:rsidR="00023CFC" w:rsidRPr="00CA0804">
        <w:t>4</w:t>
      </w:r>
      <w:r w:rsidR="00ED3BD6" w:rsidRPr="00CA0804">
        <w:t>. godine</w:t>
      </w:r>
    </w:p>
    <w:p w14:paraId="2B9DBCA4" w14:textId="77777777" w:rsidR="006261B9" w:rsidRPr="00CA0804" w:rsidRDefault="006261B9"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023CFC" w:rsidRPr="00CA0804" w14:paraId="363B564A" w14:textId="77777777" w:rsidTr="00E627B3">
        <w:trPr>
          <w:trHeight w:val="38"/>
        </w:trPr>
        <w:tc>
          <w:tcPr>
            <w:tcW w:w="3376" w:type="dxa"/>
            <w:vMerge w:val="restart"/>
            <w:shd w:val="clear" w:color="000000" w:fill="FFFF99"/>
            <w:noWrap/>
            <w:vAlign w:val="center"/>
            <w:hideMark/>
          </w:tcPr>
          <w:p w14:paraId="7F259EB1" w14:textId="041A8535" w:rsidR="00023CFC" w:rsidRPr="00CA0804" w:rsidRDefault="00023CFC" w:rsidP="00023CFC">
            <w:pPr>
              <w:rPr>
                <w:rFonts w:eastAsia="Times New Roman"/>
                <w:b/>
                <w:bCs/>
                <w:sz w:val="20"/>
                <w:szCs w:val="20"/>
              </w:rPr>
            </w:pPr>
            <w:r w:rsidRPr="00CA0804">
              <w:rPr>
                <w:rFonts w:eastAsia="Times New Roman"/>
                <w:b/>
                <w:bCs/>
                <w:sz w:val="20"/>
              </w:rPr>
              <w:t>Zaštita okoliša i očuvanje energije</w:t>
            </w:r>
          </w:p>
        </w:tc>
        <w:tc>
          <w:tcPr>
            <w:tcW w:w="1439" w:type="dxa"/>
            <w:shd w:val="clear" w:color="000000" w:fill="FFFF99"/>
            <w:vAlign w:val="center"/>
          </w:tcPr>
          <w:p w14:paraId="6145E6BB" w14:textId="39DFC397" w:rsidR="00023CFC" w:rsidRPr="00CA0804" w:rsidRDefault="00023CFC" w:rsidP="00023CFC">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51B18CA4" w14:textId="5CC52036" w:rsidR="00023CFC" w:rsidRPr="00CA0804" w:rsidRDefault="00023CFC" w:rsidP="00023CFC">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236D6152" w14:textId="0301FBDB" w:rsidR="00023CFC" w:rsidRPr="00CA0804" w:rsidRDefault="00023CFC" w:rsidP="00023CFC">
            <w:pPr>
              <w:jc w:val="center"/>
              <w:rPr>
                <w:rFonts w:eastAsia="Times New Roman"/>
                <w:b/>
                <w:bCs/>
                <w:sz w:val="20"/>
                <w:szCs w:val="20"/>
              </w:rPr>
            </w:pPr>
            <w:r w:rsidRPr="00CA0804">
              <w:rPr>
                <w:b/>
                <w:sz w:val="20"/>
                <w:szCs w:val="20"/>
              </w:rPr>
              <w:t>2024.</w:t>
            </w:r>
          </w:p>
        </w:tc>
      </w:tr>
      <w:tr w:rsidR="00D80E96" w:rsidRPr="00CA0804" w14:paraId="349894F8" w14:textId="77777777" w:rsidTr="00E627B3">
        <w:trPr>
          <w:trHeight w:val="212"/>
        </w:trPr>
        <w:tc>
          <w:tcPr>
            <w:tcW w:w="3376" w:type="dxa"/>
            <w:vMerge/>
            <w:vAlign w:val="center"/>
            <w:hideMark/>
          </w:tcPr>
          <w:p w14:paraId="1D6A2402"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0BF43360"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3263AAC4"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349AE038"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BF0AD1" w:rsidRPr="00CA0804" w14:paraId="4CA0C506" w14:textId="77777777" w:rsidTr="00E627B3">
        <w:trPr>
          <w:trHeight w:val="40"/>
        </w:trPr>
        <w:tc>
          <w:tcPr>
            <w:tcW w:w="3376" w:type="dxa"/>
            <w:shd w:val="clear" w:color="auto" w:fill="auto"/>
            <w:noWrap/>
            <w:vAlign w:val="center"/>
            <w:hideMark/>
          </w:tcPr>
          <w:p w14:paraId="5C97B2A7" w14:textId="53AFEE0C" w:rsidR="00BF0AD1" w:rsidRPr="00CA0804" w:rsidRDefault="00BF0AD1" w:rsidP="00BF0AD1">
            <w:pPr>
              <w:rPr>
                <w:rFonts w:eastAsia="Times New Roman"/>
                <w:b/>
                <w:bCs/>
                <w:sz w:val="20"/>
                <w:szCs w:val="20"/>
              </w:rPr>
            </w:pPr>
            <w:r w:rsidRPr="00CA0804">
              <w:rPr>
                <w:rFonts w:eastAsia="Times New Roman"/>
                <w:b/>
                <w:bCs/>
                <w:sz w:val="20"/>
                <w:szCs w:val="20"/>
                <w:lang w:eastAsia="hr-HR"/>
              </w:rPr>
              <w:t>A1</w:t>
            </w:r>
            <w:r w:rsidRPr="00CA0804">
              <w:rPr>
                <w:rFonts w:eastAsia="Times New Roman"/>
                <w:sz w:val="20"/>
                <w:szCs w:val="20"/>
                <w:lang w:eastAsia="hr-HR"/>
              </w:rPr>
              <w:t xml:space="preserve"> subvencije</w:t>
            </w:r>
          </w:p>
        </w:tc>
        <w:tc>
          <w:tcPr>
            <w:tcW w:w="1439" w:type="dxa"/>
            <w:vAlign w:val="center"/>
          </w:tcPr>
          <w:p w14:paraId="42AD923A" w14:textId="69027383" w:rsidR="00BF0AD1" w:rsidRPr="00CA0804" w:rsidRDefault="00BF0AD1" w:rsidP="00BF0AD1">
            <w:pPr>
              <w:jc w:val="right"/>
              <w:rPr>
                <w:sz w:val="20"/>
                <w:szCs w:val="14"/>
              </w:rPr>
            </w:pPr>
            <w:r w:rsidRPr="00CA0804">
              <w:rPr>
                <w:rFonts w:eastAsia="Times New Roman"/>
                <w:sz w:val="20"/>
                <w:szCs w:val="20"/>
                <w:lang w:eastAsia="hr-HR"/>
              </w:rPr>
              <w:t>170,7</w:t>
            </w:r>
          </w:p>
        </w:tc>
        <w:tc>
          <w:tcPr>
            <w:tcW w:w="1559" w:type="dxa"/>
            <w:vAlign w:val="center"/>
          </w:tcPr>
          <w:p w14:paraId="17CF8195" w14:textId="5D36C3A3" w:rsidR="00BF0AD1" w:rsidRPr="00CA0804" w:rsidRDefault="00BF0AD1" w:rsidP="00BF0AD1">
            <w:pPr>
              <w:jc w:val="right"/>
              <w:rPr>
                <w:sz w:val="20"/>
                <w:szCs w:val="14"/>
              </w:rPr>
            </w:pPr>
            <w:r w:rsidRPr="00CA0804">
              <w:rPr>
                <w:rFonts w:eastAsia="Times New Roman"/>
                <w:sz w:val="20"/>
                <w:szCs w:val="20"/>
                <w:lang w:eastAsia="hr-HR"/>
              </w:rPr>
              <w:t>168,1</w:t>
            </w:r>
          </w:p>
        </w:tc>
        <w:tc>
          <w:tcPr>
            <w:tcW w:w="1559" w:type="dxa"/>
            <w:vAlign w:val="center"/>
          </w:tcPr>
          <w:p w14:paraId="0EAAE1B0" w14:textId="0EC1D49E" w:rsidR="00BF0AD1" w:rsidRPr="00CA0804" w:rsidRDefault="00BF0AD1" w:rsidP="003D473D">
            <w:pPr>
              <w:jc w:val="right"/>
              <w:rPr>
                <w:sz w:val="20"/>
                <w:szCs w:val="14"/>
              </w:rPr>
            </w:pPr>
            <w:r w:rsidRPr="00CA0804">
              <w:rPr>
                <w:rFonts w:eastAsia="Times New Roman"/>
                <w:sz w:val="20"/>
                <w:szCs w:val="20"/>
                <w:lang w:eastAsia="hr-HR"/>
              </w:rPr>
              <w:t>137,</w:t>
            </w:r>
            <w:r w:rsidR="003D473D" w:rsidRPr="00CA0804">
              <w:rPr>
                <w:rFonts w:eastAsia="Times New Roman"/>
                <w:sz w:val="20"/>
                <w:szCs w:val="20"/>
                <w:lang w:eastAsia="hr-HR"/>
              </w:rPr>
              <w:t>1</w:t>
            </w:r>
          </w:p>
        </w:tc>
      </w:tr>
      <w:tr w:rsidR="00BF0AD1" w:rsidRPr="00CA0804" w14:paraId="6BF4A694" w14:textId="77777777" w:rsidTr="00BF0AD1">
        <w:trPr>
          <w:trHeight w:val="40"/>
        </w:trPr>
        <w:tc>
          <w:tcPr>
            <w:tcW w:w="3376" w:type="dxa"/>
            <w:shd w:val="clear" w:color="auto" w:fill="auto"/>
            <w:noWrap/>
            <w:vAlign w:val="center"/>
          </w:tcPr>
          <w:p w14:paraId="3C8BA34A" w14:textId="1F4C2139" w:rsidR="00BF0AD1" w:rsidRPr="00CA0804" w:rsidRDefault="00BF0AD1" w:rsidP="00BF0AD1">
            <w:pPr>
              <w:rPr>
                <w:rFonts w:eastAsia="Times New Roman"/>
                <w:b/>
                <w:bCs/>
                <w:sz w:val="20"/>
                <w:szCs w:val="20"/>
              </w:rPr>
            </w:pPr>
            <w:r w:rsidRPr="00CA0804">
              <w:rPr>
                <w:rFonts w:eastAsia="Times New Roman"/>
                <w:b/>
                <w:bCs/>
                <w:sz w:val="20"/>
                <w:szCs w:val="20"/>
                <w:lang w:eastAsia="hr-HR"/>
              </w:rPr>
              <w:t>A1</w:t>
            </w:r>
            <w:r w:rsidRPr="00CA0804">
              <w:rPr>
                <w:rFonts w:eastAsia="Times New Roman"/>
                <w:sz w:val="20"/>
                <w:szCs w:val="20"/>
                <w:lang w:eastAsia="hr-HR"/>
              </w:rPr>
              <w:t xml:space="preserve"> neposredne subvencije kamata</w:t>
            </w:r>
          </w:p>
        </w:tc>
        <w:tc>
          <w:tcPr>
            <w:tcW w:w="1439" w:type="dxa"/>
          </w:tcPr>
          <w:p w14:paraId="54042C4B" w14:textId="375F764D" w:rsidR="00BF0AD1" w:rsidRPr="00CA0804" w:rsidRDefault="00BF0AD1" w:rsidP="00BF0AD1">
            <w:pPr>
              <w:jc w:val="right"/>
              <w:rPr>
                <w:sz w:val="20"/>
                <w:szCs w:val="14"/>
              </w:rPr>
            </w:pPr>
            <w:r w:rsidRPr="00CA0804">
              <w:rPr>
                <w:rFonts w:eastAsia="Times New Roman"/>
                <w:sz w:val="20"/>
                <w:szCs w:val="20"/>
                <w:lang w:eastAsia="hr-HR"/>
              </w:rPr>
              <w:t>-</w:t>
            </w:r>
          </w:p>
        </w:tc>
        <w:tc>
          <w:tcPr>
            <w:tcW w:w="1559" w:type="dxa"/>
            <w:vAlign w:val="center"/>
          </w:tcPr>
          <w:p w14:paraId="3F240DFE" w14:textId="1F1EE276" w:rsidR="00BF0AD1" w:rsidRPr="00CA0804" w:rsidRDefault="00BF0AD1" w:rsidP="00BF0AD1">
            <w:pPr>
              <w:jc w:val="right"/>
              <w:rPr>
                <w:sz w:val="20"/>
                <w:szCs w:val="14"/>
              </w:rPr>
            </w:pPr>
            <w:r w:rsidRPr="00CA0804">
              <w:rPr>
                <w:rFonts w:eastAsia="Times New Roman"/>
                <w:sz w:val="20"/>
                <w:szCs w:val="20"/>
                <w:lang w:eastAsia="hr-HR"/>
              </w:rPr>
              <w:t>0,7</w:t>
            </w:r>
          </w:p>
        </w:tc>
        <w:tc>
          <w:tcPr>
            <w:tcW w:w="1559" w:type="dxa"/>
            <w:vAlign w:val="center"/>
          </w:tcPr>
          <w:p w14:paraId="65398D75" w14:textId="61784303" w:rsidR="00BF0AD1" w:rsidRPr="00CA0804" w:rsidRDefault="00BF0AD1" w:rsidP="00BF0AD1">
            <w:pPr>
              <w:jc w:val="right"/>
              <w:rPr>
                <w:sz w:val="20"/>
                <w:szCs w:val="14"/>
              </w:rPr>
            </w:pPr>
            <w:r w:rsidRPr="00CA0804">
              <w:rPr>
                <w:rFonts w:eastAsia="Times New Roman"/>
                <w:sz w:val="20"/>
                <w:szCs w:val="20"/>
                <w:lang w:eastAsia="hr-HR"/>
              </w:rPr>
              <w:t>5,4</w:t>
            </w:r>
          </w:p>
        </w:tc>
      </w:tr>
      <w:tr w:rsidR="00BF0AD1" w:rsidRPr="00CA0804" w14:paraId="312D2BCC" w14:textId="77777777" w:rsidTr="00BF0AD1">
        <w:trPr>
          <w:trHeight w:val="40"/>
        </w:trPr>
        <w:tc>
          <w:tcPr>
            <w:tcW w:w="3376" w:type="dxa"/>
            <w:shd w:val="clear" w:color="auto" w:fill="auto"/>
            <w:noWrap/>
          </w:tcPr>
          <w:p w14:paraId="2E8DB1EA" w14:textId="46A33989" w:rsidR="00BF0AD1" w:rsidRPr="00CA0804" w:rsidRDefault="00BF0AD1" w:rsidP="00BF0AD1">
            <w:pPr>
              <w:rPr>
                <w:rFonts w:eastAsia="Times New Roman"/>
                <w:b/>
                <w:bCs/>
                <w:sz w:val="20"/>
                <w:szCs w:val="20"/>
              </w:rPr>
            </w:pPr>
            <w:r w:rsidRPr="00CA0804">
              <w:rPr>
                <w:rFonts w:eastAsia="Times New Roman"/>
                <w:b/>
                <w:bCs/>
                <w:sz w:val="20"/>
                <w:szCs w:val="20"/>
                <w:lang w:eastAsia="hr-HR"/>
              </w:rPr>
              <w:t>A2</w:t>
            </w:r>
            <w:r w:rsidRPr="00CA0804">
              <w:rPr>
                <w:rFonts w:eastAsia="Times New Roman"/>
                <w:sz w:val="20"/>
                <w:szCs w:val="20"/>
                <w:lang w:eastAsia="hr-HR"/>
              </w:rPr>
              <w:t xml:space="preserve"> Snižavanje, oslobođenje, olakšice, izuzeće i oprost plaćanja doprinosa</w:t>
            </w:r>
          </w:p>
        </w:tc>
        <w:tc>
          <w:tcPr>
            <w:tcW w:w="1439" w:type="dxa"/>
          </w:tcPr>
          <w:p w14:paraId="0CEF2678" w14:textId="0F448051" w:rsidR="00BF0AD1" w:rsidRPr="00CA0804" w:rsidRDefault="00BF0AD1" w:rsidP="00BF0AD1">
            <w:pPr>
              <w:jc w:val="right"/>
              <w:rPr>
                <w:sz w:val="20"/>
                <w:szCs w:val="14"/>
              </w:rPr>
            </w:pPr>
            <w:r w:rsidRPr="00CA0804">
              <w:rPr>
                <w:rFonts w:eastAsia="Times New Roman"/>
                <w:sz w:val="20"/>
                <w:szCs w:val="20"/>
                <w:lang w:eastAsia="hr-HR"/>
              </w:rPr>
              <w:t>-</w:t>
            </w:r>
          </w:p>
        </w:tc>
        <w:tc>
          <w:tcPr>
            <w:tcW w:w="1559" w:type="dxa"/>
            <w:vAlign w:val="center"/>
          </w:tcPr>
          <w:p w14:paraId="4DA36F82" w14:textId="54D6EA77" w:rsidR="00BF0AD1" w:rsidRPr="00CA0804" w:rsidRDefault="00BF0AD1" w:rsidP="00BF0AD1">
            <w:pPr>
              <w:jc w:val="right"/>
              <w:rPr>
                <w:sz w:val="20"/>
                <w:szCs w:val="14"/>
              </w:rPr>
            </w:pPr>
            <w:r w:rsidRPr="00CA0804">
              <w:rPr>
                <w:rFonts w:eastAsia="Times New Roman"/>
                <w:sz w:val="20"/>
                <w:szCs w:val="20"/>
                <w:lang w:eastAsia="hr-HR"/>
              </w:rPr>
              <w:t>16,3</w:t>
            </w:r>
          </w:p>
        </w:tc>
        <w:tc>
          <w:tcPr>
            <w:tcW w:w="1559" w:type="dxa"/>
            <w:vAlign w:val="center"/>
          </w:tcPr>
          <w:p w14:paraId="11F9A49F" w14:textId="38361BDB" w:rsidR="00BF0AD1" w:rsidRPr="00CA0804" w:rsidRDefault="00BF0AD1" w:rsidP="00BF0AD1">
            <w:pPr>
              <w:jc w:val="right"/>
              <w:rPr>
                <w:sz w:val="20"/>
                <w:szCs w:val="14"/>
              </w:rPr>
            </w:pPr>
            <w:r w:rsidRPr="00CA0804">
              <w:rPr>
                <w:rFonts w:eastAsia="Times New Roman"/>
                <w:sz w:val="20"/>
                <w:szCs w:val="20"/>
                <w:lang w:eastAsia="hr-HR"/>
              </w:rPr>
              <w:t>12,0</w:t>
            </w:r>
          </w:p>
        </w:tc>
      </w:tr>
      <w:tr w:rsidR="00BF0AD1" w:rsidRPr="00CA0804" w14:paraId="344E63E3" w14:textId="77777777" w:rsidTr="00BF0AD1">
        <w:trPr>
          <w:trHeight w:val="40"/>
        </w:trPr>
        <w:tc>
          <w:tcPr>
            <w:tcW w:w="3376" w:type="dxa"/>
            <w:shd w:val="clear" w:color="auto" w:fill="auto"/>
            <w:noWrap/>
            <w:vAlign w:val="center"/>
          </w:tcPr>
          <w:p w14:paraId="1F605E4E" w14:textId="7EE30E96" w:rsidR="00BF0AD1" w:rsidRPr="00CA0804" w:rsidRDefault="00BF0AD1" w:rsidP="00BF0AD1">
            <w:pPr>
              <w:rPr>
                <w:rFonts w:eastAsia="Times New Roman"/>
                <w:b/>
                <w:bCs/>
                <w:sz w:val="20"/>
                <w:szCs w:val="20"/>
              </w:rPr>
            </w:pPr>
            <w:r w:rsidRPr="00CA0804">
              <w:rPr>
                <w:rFonts w:eastAsia="Times New Roman"/>
                <w:b/>
                <w:bCs/>
                <w:sz w:val="20"/>
                <w:szCs w:val="20"/>
                <w:lang w:eastAsia="hr-HR"/>
              </w:rPr>
              <w:t xml:space="preserve">C1 </w:t>
            </w:r>
            <w:r w:rsidRPr="00CA0804">
              <w:rPr>
                <w:rFonts w:eastAsia="Times New Roman"/>
                <w:sz w:val="20"/>
                <w:szCs w:val="20"/>
                <w:lang w:eastAsia="hr-HR"/>
              </w:rPr>
              <w:t>povoljniji zajmovi</w:t>
            </w:r>
          </w:p>
        </w:tc>
        <w:tc>
          <w:tcPr>
            <w:tcW w:w="1439" w:type="dxa"/>
          </w:tcPr>
          <w:p w14:paraId="4F0E8EE2" w14:textId="32784B22" w:rsidR="00BF0AD1" w:rsidRPr="00CA0804" w:rsidRDefault="00BF0AD1" w:rsidP="00BF0AD1">
            <w:pPr>
              <w:jc w:val="right"/>
              <w:rPr>
                <w:sz w:val="20"/>
                <w:szCs w:val="14"/>
              </w:rPr>
            </w:pPr>
            <w:r w:rsidRPr="00CA0804">
              <w:rPr>
                <w:rFonts w:eastAsia="Times New Roman"/>
                <w:sz w:val="20"/>
                <w:szCs w:val="20"/>
                <w:lang w:eastAsia="hr-HR"/>
              </w:rPr>
              <w:t>-</w:t>
            </w:r>
          </w:p>
        </w:tc>
        <w:tc>
          <w:tcPr>
            <w:tcW w:w="1559" w:type="dxa"/>
            <w:vAlign w:val="center"/>
          </w:tcPr>
          <w:p w14:paraId="7C8C6145" w14:textId="28B99394" w:rsidR="00BF0AD1" w:rsidRPr="00CA0804" w:rsidRDefault="003D473D" w:rsidP="00BF0AD1">
            <w:pPr>
              <w:jc w:val="right"/>
              <w:rPr>
                <w:sz w:val="20"/>
                <w:szCs w:val="14"/>
              </w:rPr>
            </w:pPr>
            <w:r w:rsidRPr="00CA0804">
              <w:rPr>
                <w:rFonts w:eastAsia="Times New Roman"/>
                <w:sz w:val="20"/>
                <w:szCs w:val="20"/>
                <w:lang w:eastAsia="hr-HR"/>
              </w:rPr>
              <w:t>0,9</w:t>
            </w:r>
          </w:p>
        </w:tc>
        <w:tc>
          <w:tcPr>
            <w:tcW w:w="1559" w:type="dxa"/>
            <w:vAlign w:val="center"/>
          </w:tcPr>
          <w:p w14:paraId="307C86DC" w14:textId="797FC3BE" w:rsidR="00BF0AD1" w:rsidRPr="00CA0804" w:rsidRDefault="00BF0AD1" w:rsidP="00BF0AD1">
            <w:pPr>
              <w:jc w:val="right"/>
              <w:rPr>
                <w:sz w:val="20"/>
                <w:szCs w:val="14"/>
              </w:rPr>
            </w:pPr>
            <w:r w:rsidRPr="00CA0804">
              <w:rPr>
                <w:rFonts w:eastAsia="Times New Roman"/>
                <w:sz w:val="20"/>
                <w:szCs w:val="20"/>
                <w:lang w:eastAsia="hr-HR"/>
              </w:rPr>
              <w:t>16,4</w:t>
            </w:r>
          </w:p>
        </w:tc>
      </w:tr>
      <w:tr w:rsidR="00BF0AD1" w:rsidRPr="00CA0804" w14:paraId="4CFCDA73" w14:textId="77777777" w:rsidTr="00BF0AD1">
        <w:trPr>
          <w:trHeight w:val="40"/>
        </w:trPr>
        <w:tc>
          <w:tcPr>
            <w:tcW w:w="3376" w:type="dxa"/>
            <w:shd w:val="clear" w:color="auto" w:fill="auto"/>
            <w:noWrap/>
            <w:vAlign w:val="center"/>
          </w:tcPr>
          <w:p w14:paraId="059935E8" w14:textId="27FE9D95" w:rsidR="00BF0AD1" w:rsidRPr="00CA0804" w:rsidRDefault="00BF0AD1" w:rsidP="00BF0AD1">
            <w:pPr>
              <w:rPr>
                <w:rFonts w:eastAsia="Times New Roman"/>
                <w:b/>
                <w:bCs/>
                <w:sz w:val="20"/>
                <w:szCs w:val="20"/>
                <w:lang w:eastAsia="hr-HR"/>
              </w:rPr>
            </w:pPr>
            <w:r w:rsidRPr="00CA0804">
              <w:rPr>
                <w:rFonts w:eastAsia="Times New Roman"/>
                <w:b/>
                <w:sz w:val="20"/>
                <w:szCs w:val="20"/>
                <w:lang w:eastAsia="hr-HR"/>
              </w:rPr>
              <w:t>D</w:t>
            </w:r>
            <w:r w:rsidRPr="00CA0804">
              <w:rPr>
                <w:rFonts w:eastAsia="Times New Roman"/>
                <w:sz w:val="20"/>
                <w:szCs w:val="20"/>
                <w:lang w:eastAsia="hr-HR"/>
              </w:rPr>
              <w:t xml:space="preserve"> Jamstva</w:t>
            </w:r>
          </w:p>
        </w:tc>
        <w:tc>
          <w:tcPr>
            <w:tcW w:w="1439" w:type="dxa"/>
          </w:tcPr>
          <w:p w14:paraId="61B5BFCC" w14:textId="7F0959F6" w:rsidR="00BF0AD1" w:rsidRPr="00CA0804" w:rsidRDefault="00BF0AD1" w:rsidP="00BF0AD1">
            <w:pPr>
              <w:jc w:val="right"/>
              <w:rPr>
                <w:rFonts w:eastAsia="Times New Roman"/>
                <w:sz w:val="20"/>
                <w:szCs w:val="20"/>
                <w:lang w:eastAsia="hr-HR"/>
              </w:rPr>
            </w:pPr>
            <w:r w:rsidRPr="00CA0804">
              <w:rPr>
                <w:rFonts w:eastAsia="Times New Roman"/>
                <w:sz w:val="20"/>
                <w:szCs w:val="20"/>
                <w:lang w:eastAsia="hr-HR"/>
              </w:rPr>
              <w:t>-</w:t>
            </w:r>
          </w:p>
        </w:tc>
        <w:tc>
          <w:tcPr>
            <w:tcW w:w="1559" w:type="dxa"/>
            <w:vAlign w:val="center"/>
          </w:tcPr>
          <w:p w14:paraId="148BEFFF" w14:textId="149CD5A6" w:rsidR="00BF0AD1" w:rsidRPr="00CA0804" w:rsidRDefault="00BF0AD1" w:rsidP="00BF0AD1">
            <w:pPr>
              <w:jc w:val="right"/>
              <w:rPr>
                <w:rFonts w:eastAsia="Times New Roman"/>
                <w:sz w:val="20"/>
                <w:szCs w:val="20"/>
                <w:lang w:eastAsia="hr-HR"/>
              </w:rPr>
            </w:pPr>
            <w:r w:rsidRPr="00CA0804">
              <w:rPr>
                <w:rFonts w:eastAsia="Times New Roman"/>
                <w:sz w:val="20"/>
                <w:szCs w:val="20"/>
                <w:lang w:eastAsia="hr-HR"/>
              </w:rPr>
              <w:t>-</w:t>
            </w:r>
          </w:p>
        </w:tc>
        <w:tc>
          <w:tcPr>
            <w:tcW w:w="1559" w:type="dxa"/>
            <w:vAlign w:val="center"/>
          </w:tcPr>
          <w:p w14:paraId="5782B8EA" w14:textId="3585546C" w:rsidR="00BF0AD1" w:rsidRPr="00CA0804" w:rsidRDefault="00BF0AD1" w:rsidP="00BF0AD1">
            <w:pPr>
              <w:jc w:val="right"/>
              <w:rPr>
                <w:rFonts w:eastAsia="Times New Roman"/>
                <w:sz w:val="20"/>
                <w:szCs w:val="20"/>
                <w:lang w:eastAsia="hr-HR"/>
              </w:rPr>
            </w:pPr>
            <w:r w:rsidRPr="00CA0804">
              <w:rPr>
                <w:rFonts w:eastAsia="Times New Roman"/>
                <w:sz w:val="20"/>
                <w:szCs w:val="20"/>
                <w:lang w:eastAsia="hr-HR"/>
              </w:rPr>
              <w:t>1,2</w:t>
            </w:r>
          </w:p>
        </w:tc>
      </w:tr>
      <w:tr w:rsidR="00BF0AD1" w:rsidRPr="00CA0804" w14:paraId="2073457A" w14:textId="77777777" w:rsidTr="00E627B3">
        <w:trPr>
          <w:trHeight w:val="40"/>
        </w:trPr>
        <w:tc>
          <w:tcPr>
            <w:tcW w:w="3376" w:type="dxa"/>
            <w:shd w:val="clear" w:color="000000" w:fill="FFFF99"/>
            <w:noWrap/>
            <w:vAlign w:val="center"/>
            <w:hideMark/>
          </w:tcPr>
          <w:p w14:paraId="7B9D6B1E" w14:textId="77777777" w:rsidR="00BF0AD1" w:rsidRPr="00CA0804" w:rsidRDefault="00BF0AD1" w:rsidP="00BF0AD1">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61234FDD" w14:textId="110045A3" w:rsidR="00BF0AD1" w:rsidRPr="00CA0804" w:rsidRDefault="00BF0AD1" w:rsidP="00BF0AD1">
            <w:pPr>
              <w:jc w:val="right"/>
              <w:rPr>
                <w:b/>
                <w:sz w:val="20"/>
                <w:szCs w:val="14"/>
              </w:rPr>
            </w:pPr>
            <w:r w:rsidRPr="00CA0804">
              <w:rPr>
                <w:rFonts w:eastAsia="Times New Roman"/>
                <w:b/>
                <w:bCs/>
                <w:sz w:val="20"/>
                <w:szCs w:val="20"/>
                <w:lang w:eastAsia="hr-HR"/>
              </w:rPr>
              <w:t>170,7</w:t>
            </w:r>
          </w:p>
        </w:tc>
        <w:tc>
          <w:tcPr>
            <w:tcW w:w="1559" w:type="dxa"/>
            <w:shd w:val="clear" w:color="000000" w:fill="FFFF99"/>
            <w:vAlign w:val="center"/>
          </w:tcPr>
          <w:p w14:paraId="22BBB5C4" w14:textId="21FE8598" w:rsidR="00BF0AD1" w:rsidRPr="00CA0804" w:rsidRDefault="00BF0AD1" w:rsidP="00BF0AD1">
            <w:pPr>
              <w:jc w:val="right"/>
              <w:rPr>
                <w:b/>
                <w:sz w:val="20"/>
                <w:szCs w:val="14"/>
              </w:rPr>
            </w:pPr>
            <w:r w:rsidRPr="00CA0804">
              <w:rPr>
                <w:rFonts w:eastAsia="Times New Roman"/>
                <w:b/>
                <w:bCs/>
                <w:sz w:val="20"/>
                <w:szCs w:val="20"/>
                <w:lang w:eastAsia="hr-HR"/>
              </w:rPr>
              <w:t>186,0</w:t>
            </w:r>
          </w:p>
        </w:tc>
        <w:tc>
          <w:tcPr>
            <w:tcW w:w="1559" w:type="dxa"/>
            <w:shd w:val="clear" w:color="000000" w:fill="FFFF99"/>
            <w:vAlign w:val="center"/>
          </w:tcPr>
          <w:p w14:paraId="1638E9EF" w14:textId="646B6629" w:rsidR="00BF0AD1" w:rsidRPr="00CA0804" w:rsidRDefault="00BF0AD1" w:rsidP="00BF0AD1">
            <w:pPr>
              <w:jc w:val="right"/>
              <w:rPr>
                <w:b/>
                <w:sz w:val="20"/>
                <w:szCs w:val="14"/>
              </w:rPr>
            </w:pPr>
            <w:r w:rsidRPr="00CA0804">
              <w:rPr>
                <w:rFonts w:eastAsia="Times New Roman"/>
                <w:b/>
                <w:bCs/>
                <w:sz w:val="20"/>
                <w:szCs w:val="20"/>
                <w:lang w:eastAsia="hr-HR"/>
              </w:rPr>
              <w:t>172,1</w:t>
            </w:r>
          </w:p>
        </w:tc>
      </w:tr>
      <w:tr w:rsidR="00BF0AD1" w:rsidRPr="00CA0804" w14:paraId="718F3E5F" w14:textId="77777777" w:rsidTr="00E627B3">
        <w:trPr>
          <w:trHeight w:val="40"/>
        </w:trPr>
        <w:tc>
          <w:tcPr>
            <w:tcW w:w="3376" w:type="dxa"/>
            <w:shd w:val="clear" w:color="auto" w:fill="auto"/>
            <w:vAlign w:val="center"/>
            <w:hideMark/>
          </w:tcPr>
          <w:p w14:paraId="013D1006" w14:textId="77777777" w:rsidR="00BF0AD1" w:rsidRPr="00CA0804" w:rsidRDefault="00BF0AD1" w:rsidP="00BF0AD1">
            <w:pPr>
              <w:rPr>
                <w:rFonts w:eastAsia="Times New Roman"/>
                <w:sz w:val="20"/>
                <w:szCs w:val="20"/>
              </w:rPr>
            </w:pPr>
            <w:r w:rsidRPr="00CA0804">
              <w:rPr>
                <w:rFonts w:eastAsia="Times New Roman"/>
                <w:sz w:val="20"/>
              </w:rPr>
              <w:t>udio (%) u posebnim sektorima</w:t>
            </w:r>
          </w:p>
        </w:tc>
        <w:tc>
          <w:tcPr>
            <w:tcW w:w="1439" w:type="dxa"/>
            <w:vAlign w:val="center"/>
          </w:tcPr>
          <w:p w14:paraId="1E9C5A39" w14:textId="33B6E63C" w:rsidR="00BF0AD1" w:rsidRPr="00CA0804" w:rsidRDefault="00BF0AD1" w:rsidP="00BF0AD1">
            <w:pPr>
              <w:jc w:val="center"/>
              <w:rPr>
                <w:sz w:val="20"/>
                <w:szCs w:val="14"/>
              </w:rPr>
            </w:pPr>
            <w:r w:rsidRPr="00CA0804">
              <w:rPr>
                <w:rFonts w:eastAsia="Times New Roman"/>
                <w:sz w:val="20"/>
                <w:szCs w:val="20"/>
                <w:lang w:eastAsia="hr-HR"/>
              </w:rPr>
              <w:t>28,26</w:t>
            </w:r>
          </w:p>
        </w:tc>
        <w:tc>
          <w:tcPr>
            <w:tcW w:w="1559" w:type="dxa"/>
            <w:vAlign w:val="center"/>
          </w:tcPr>
          <w:p w14:paraId="6F3DFE58" w14:textId="56F22864" w:rsidR="00BF0AD1" w:rsidRPr="00CA0804" w:rsidRDefault="00E60AEF" w:rsidP="00BF0AD1">
            <w:pPr>
              <w:jc w:val="center"/>
              <w:rPr>
                <w:sz w:val="20"/>
                <w:szCs w:val="14"/>
              </w:rPr>
            </w:pPr>
            <w:r w:rsidRPr="00CA0804">
              <w:rPr>
                <w:rFonts w:eastAsia="Times New Roman"/>
                <w:sz w:val="20"/>
                <w:szCs w:val="20"/>
                <w:lang w:eastAsia="hr-HR"/>
              </w:rPr>
              <w:t>21,90</w:t>
            </w:r>
          </w:p>
        </w:tc>
        <w:tc>
          <w:tcPr>
            <w:tcW w:w="1559" w:type="dxa"/>
            <w:vAlign w:val="center"/>
          </w:tcPr>
          <w:p w14:paraId="38535FCE" w14:textId="77E9814B" w:rsidR="00BF0AD1" w:rsidRPr="00CA0804" w:rsidRDefault="00BF0AD1" w:rsidP="00BF0AD1">
            <w:pPr>
              <w:jc w:val="center"/>
              <w:rPr>
                <w:sz w:val="20"/>
                <w:szCs w:val="14"/>
              </w:rPr>
            </w:pPr>
            <w:r w:rsidRPr="00CA0804">
              <w:rPr>
                <w:rFonts w:eastAsia="Times New Roman"/>
                <w:sz w:val="20"/>
                <w:szCs w:val="20"/>
                <w:lang w:eastAsia="hr-HR"/>
              </w:rPr>
              <w:t>21,44</w:t>
            </w:r>
          </w:p>
        </w:tc>
      </w:tr>
      <w:tr w:rsidR="00BF0AD1" w:rsidRPr="00CA0804" w14:paraId="60594933" w14:textId="77777777" w:rsidTr="00E627B3">
        <w:trPr>
          <w:trHeight w:val="90"/>
        </w:trPr>
        <w:tc>
          <w:tcPr>
            <w:tcW w:w="3376" w:type="dxa"/>
            <w:shd w:val="clear" w:color="auto" w:fill="auto"/>
            <w:vAlign w:val="center"/>
            <w:hideMark/>
          </w:tcPr>
          <w:p w14:paraId="1F58A8DE" w14:textId="77777777" w:rsidR="00BF0AD1" w:rsidRPr="00CA0804" w:rsidRDefault="00BF0AD1" w:rsidP="00BF0AD1">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275304EC" w14:textId="5517A4E7" w:rsidR="00BF0AD1" w:rsidRPr="00CA0804" w:rsidRDefault="00BF0AD1" w:rsidP="00BF0AD1">
            <w:pPr>
              <w:jc w:val="center"/>
              <w:rPr>
                <w:sz w:val="20"/>
                <w:szCs w:val="14"/>
              </w:rPr>
            </w:pPr>
            <w:r w:rsidRPr="00CA0804">
              <w:rPr>
                <w:rFonts w:eastAsia="Times New Roman"/>
                <w:sz w:val="20"/>
                <w:szCs w:val="20"/>
                <w:lang w:eastAsia="hr-HR"/>
              </w:rPr>
              <w:t>8,33</w:t>
            </w:r>
          </w:p>
        </w:tc>
        <w:tc>
          <w:tcPr>
            <w:tcW w:w="1559" w:type="dxa"/>
            <w:vAlign w:val="center"/>
          </w:tcPr>
          <w:p w14:paraId="36F09505" w14:textId="45005A53" w:rsidR="00BF0AD1" w:rsidRPr="00CA0804" w:rsidRDefault="00E60AEF" w:rsidP="00BF0AD1">
            <w:pPr>
              <w:jc w:val="center"/>
              <w:rPr>
                <w:sz w:val="20"/>
                <w:szCs w:val="14"/>
              </w:rPr>
            </w:pPr>
            <w:r w:rsidRPr="00CA0804">
              <w:rPr>
                <w:rFonts w:eastAsia="Times New Roman"/>
                <w:sz w:val="20"/>
                <w:szCs w:val="20"/>
                <w:lang w:eastAsia="hr-HR"/>
              </w:rPr>
              <w:t>9,45</w:t>
            </w:r>
          </w:p>
        </w:tc>
        <w:tc>
          <w:tcPr>
            <w:tcW w:w="1559" w:type="dxa"/>
            <w:vAlign w:val="center"/>
          </w:tcPr>
          <w:p w14:paraId="4691BF00" w14:textId="1F95DD0C" w:rsidR="00BF0AD1" w:rsidRPr="00CA0804" w:rsidRDefault="00BF0AD1" w:rsidP="00BF0AD1">
            <w:pPr>
              <w:jc w:val="center"/>
              <w:rPr>
                <w:sz w:val="20"/>
                <w:szCs w:val="14"/>
              </w:rPr>
            </w:pPr>
            <w:r w:rsidRPr="00CA0804">
              <w:rPr>
                <w:rFonts w:eastAsia="Times New Roman"/>
                <w:sz w:val="20"/>
                <w:szCs w:val="20"/>
                <w:lang w:eastAsia="hr-HR"/>
              </w:rPr>
              <w:t>13,03</w:t>
            </w:r>
          </w:p>
        </w:tc>
      </w:tr>
      <w:tr w:rsidR="00BF0AD1" w:rsidRPr="00CA0804" w14:paraId="33B24B9D" w14:textId="77777777" w:rsidTr="00E627B3">
        <w:trPr>
          <w:trHeight w:val="40"/>
        </w:trPr>
        <w:tc>
          <w:tcPr>
            <w:tcW w:w="3376" w:type="dxa"/>
            <w:shd w:val="clear" w:color="auto" w:fill="auto"/>
            <w:vAlign w:val="center"/>
            <w:hideMark/>
          </w:tcPr>
          <w:p w14:paraId="5C5A2070" w14:textId="77777777" w:rsidR="00BF0AD1" w:rsidRPr="00CA0804" w:rsidRDefault="00BF0AD1" w:rsidP="00BF0AD1">
            <w:pPr>
              <w:rPr>
                <w:rFonts w:eastAsia="Times New Roman"/>
                <w:sz w:val="20"/>
                <w:szCs w:val="20"/>
              </w:rPr>
            </w:pPr>
            <w:r w:rsidRPr="00CA0804">
              <w:rPr>
                <w:rFonts w:eastAsia="Times New Roman"/>
                <w:sz w:val="20"/>
                <w:szCs w:val="20"/>
              </w:rPr>
              <w:t>udio (%) u ukupnim potporama</w:t>
            </w:r>
          </w:p>
        </w:tc>
        <w:tc>
          <w:tcPr>
            <w:tcW w:w="1439" w:type="dxa"/>
            <w:vAlign w:val="center"/>
          </w:tcPr>
          <w:p w14:paraId="089B4CA5" w14:textId="6ABCA44C" w:rsidR="00BF0AD1" w:rsidRPr="00CA0804" w:rsidRDefault="00BF0AD1" w:rsidP="00BF0AD1">
            <w:pPr>
              <w:jc w:val="center"/>
              <w:rPr>
                <w:sz w:val="20"/>
                <w:szCs w:val="14"/>
              </w:rPr>
            </w:pPr>
            <w:r w:rsidRPr="00CA0804">
              <w:rPr>
                <w:rFonts w:eastAsia="Times New Roman"/>
                <w:sz w:val="20"/>
                <w:szCs w:val="20"/>
                <w:lang w:eastAsia="hr-HR"/>
              </w:rPr>
              <w:t>7,96</w:t>
            </w:r>
          </w:p>
        </w:tc>
        <w:tc>
          <w:tcPr>
            <w:tcW w:w="1559" w:type="dxa"/>
            <w:vAlign w:val="center"/>
          </w:tcPr>
          <w:p w14:paraId="48D81541" w14:textId="016092F0" w:rsidR="00BF0AD1" w:rsidRPr="00CA0804" w:rsidRDefault="00BF0AD1" w:rsidP="00BF0AD1">
            <w:pPr>
              <w:jc w:val="center"/>
              <w:rPr>
                <w:sz w:val="20"/>
                <w:szCs w:val="14"/>
              </w:rPr>
            </w:pPr>
            <w:r w:rsidRPr="00CA0804">
              <w:rPr>
                <w:rFonts w:eastAsia="Times New Roman"/>
                <w:sz w:val="20"/>
                <w:szCs w:val="20"/>
                <w:lang w:eastAsia="hr-HR"/>
              </w:rPr>
              <w:t>8,94</w:t>
            </w:r>
          </w:p>
        </w:tc>
        <w:tc>
          <w:tcPr>
            <w:tcW w:w="1559" w:type="dxa"/>
            <w:vAlign w:val="center"/>
          </w:tcPr>
          <w:p w14:paraId="24B44B1D" w14:textId="0CD75046" w:rsidR="00BF0AD1" w:rsidRPr="00CA0804" w:rsidRDefault="00E60AEF" w:rsidP="00BF0AD1">
            <w:pPr>
              <w:jc w:val="center"/>
              <w:rPr>
                <w:sz w:val="20"/>
                <w:szCs w:val="14"/>
              </w:rPr>
            </w:pPr>
            <w:r w:rsidRPr="00CA0804">
              <w:rPr>
                <w:rFonts w:eastAsia="Times New Roman"/>
                <w:sz w:val="20"/>
                <w:szCs w:val="20"/>
                <w:lang w:eastAsia="hr-HR"/>
              </w:rPr>
              <w:t>11,88</w:t>
            </w:r>
          </w:p>
        </w:tc>
      </w:tr>
      <w:tr w:rsidR="00BF0AD1" w:rsidRPr="00CA0804" w14:paraId="2ABDB209" w14:textId="77777777" w:rsidTr="00E627B3">
        <w:trPr>
          <w:trHeight w:val="40"/>
        </w:trPr>
        <w:tc>
          <w:tcPr>
            <w:tcW w:w="3376" w:type="dxa"/>
            <w:shd w:val="clear" w:color="auto" w:fill="auto"/>
            <w:vAlign w:val="center"/>
            <w:hideMark/>
          </w:tcPr>
          <w:p w14:paraId="5A0B82BA" w14:textId="77777777" w:rsidR="00BF0AD1" w:rsidRPr="00CA0804" w:rsidRDefault="00BF0AD1" w:rsidP="00BF0AD1">
            <w:pPr>
              <w:rPr>
                <w:rFonts w:eastAsia="Times New Roman"/>
                <w:sz w:val="20"/>
                <w:szCs w:val="20"/>
              </w:rPr>
            </w:pPr>
            <w:r w:rsidRPr="00CA0804">
              <w:rPr>
                <w:rFonts w:eastAsia="Times New Roman"/>
                <w:sz w:val="20"/>
                <w:szCs w:val="20"/>
              </w:rPr>
              <w:t>udio (%) u BDP-u</w:t>
            </w:r>
          </w:p>
        </w:tc>
        <w:tc>
          <w:tcPr>
            <w:tcW w:w="1439" w:type="dxa"/>
            <w:vAlign w:val="center"/>
          </w:tcPr>
          <w:p w14:paraId="06A2F85C" w14:textId="036763B1" w:rsidR="00BF0AD1" w:rsidRPr="00CA0804" w:rsidRDefault="00BF0AD1" w:rsidP="00BF0AD1">
            <w:pPr>
              <w:jc w:val="center"/>
              <w:rPr>
                <w:sz w:val="20"/>
                <w:szCs w:val="14"/>
              </w:rPr>
            </w:pPr>
            <w:r w:rsidRPr="00CA0804">
              <w:rPr>
                <w:rFonts w:eastAsia="Times New Roman"/>
                <w:sz w:val="20"/>
                <w:szCs w:val="20"/>
                <w:lang w:eastAsia="hr-HR"/>
              </w:rPr>
              <w:t>0,25</w:t>
            </w:r>
          </w:p>
        </w:tc>
        <w:tc>
          <w:tcPr>
            <w:tcW w:w="1559" w:type="dxa"/>
            <w:vAlign w:val="center"/>
          </w:tcPr>
          <w:p w14:paraId="351E8C48" w14:textId="272FBEF6" w:rsidR="00BF0AD1" w:rsidRPr="00CA0804" w:rsidRDefault="00BF0AD1" w:rsidP="00BF0AD1">
            <w:pPr>
              <w:jc w:val="center"/>
              <w:rPr>
                <w:sz w:val="20"/>
                <w:szCs w:val="14"/>
              </w:rPr>
            </w:pPr>
            <w:r w:rsidRPr="00CA0804">
              <w:rPr>
                <w:rFonts w:eastAsia="Times New Roman"/>
                <w:sz w:val="20"/>
                <w:szCs w:val="20"/>
                <w:lang w:eastAsia="hr-HR"/>
              </w:rPr>
              <w:t>0,24</w:t>
            </w:r>
          </w:p>
        </w:tc>
        <w:tc>
          <w:tcPr>
            <w:tcW w:w="1559" w:type="dxa"/>
            <w:vAlign w:val="center"/>
          </w:tcPr>
          <w:p w14:paraId="6FF87C19" w14:textId="1E000641" w:rsidR="00BF0AD1" w:rsidRPr="00CA0804" w:rsidRDefault="00BF0AD1" w:rsidP="00BF0AD1">
            <w:pPr>
              <w:jc w:val="center"/>
              <w:rPr>
                <w:sz w:val="20"/>
                <w:szCs w:val="14"/>
              </w:rPr>
            </w:pPr>
            <w:r w:rsidRPr="00CA0804">
              <w:rPr>
                <w:rFonts w:eastAsia="Times New Roman"/>
                <w:sz w:val="20"/>
                <w:szCs w:val="20"/>
                <w:lang w:eastAsia="hr-HR"/>
              </w:rPr>
              <w:t>0,20</w:t>
            </w:r>
          </w:p>
        </w:tc>
      </w:tr>
    </w:tbl>
    <w:p w14:paraId="64447783" w14:textId="77777777" w:rsidR="006F699D" w:rsidRPr="00CA0804" w:rsidRDefault="006F699D" w:rsidP="006F699D">
      <w:pPr>
        <w:contextualSpacing/>
        <w:jc w:val="both"/>
        <w:rPr>
          <w:i/>
          <w:sz w:val="20"/>
        </w:rPr>
      </w:pPr>
      <w:r w:rsidRPr="00CA0804">
        <w:rPr>
          <w:i/>
          <w:sz w:val="20"/>
        </w:rPr>
        <w:t>Izvor: Ministarstvo financija i davatelji potpora; podaci obrađeni u Ministarstvu financija</w:t>
      </w:r>
    </w:p>
    <w:p w14:paraId="638D9B43" w14:textId="77777777" w:rsidR="00D839E2" w:rsidRPr="00CA0804" w:rsidRDefault="00D839E2" w:rsidP="00F80F9A">
      <w:pPr>
        <w:jc w:val="both"/>
      </w:pPr>
    </w:p>
    <w:p w14:paraId="0ECAA86C" w14:textId="034442E5" w:rsidR="00D80E96" w:rsidRPr="00CA0804" w:rsidRDefault="00D80E96" w:rsidP="00D80E96">
      <w:pPr>
        <w:jc w:val="both"/>
      </w:pPr>
      <w:r w:rsidRPr="00CA0804">
        <w:t>Udio potpora za zaštitu okoliša i uštedu energije u BDP-u u 202</w:t>
      </w:r>
      <w:r w:rsidR="003D473D" w:rsidRPr="00CA0804">
        <w:t>4</w:t>
      </w:r>
      <w:r w:rsidRPr="00CA0804">
        <w:t>. godini iznosio je 0,2</w:t>
      </w:r>
      <w:r w:rsidR="003D473D" w:rsidRPr="00CA0804">
        <w:t>0</w:t>
      </w:r>
      <w:r w:rsidRPr="00CA0804">
        <w:t xml:space="preserve"> posto, u 202</w:t>
      </w:r>
      <w:r w:rsidR="003D473D" w:rsidRPr="00CA0804">
        <w:t>3</w:t>
      </w:r>
      <w:r w:rsidRPr="00CA0804">
        <w:t>. godini 0,2</w:t>
      </w:r>
      <w:r w:rsidR="003D473D" w:rsidRPr="00CA0804">
        <w:t>4</w:t>
      </w:r>
      <w:r w:rsidRPr="00CA0804">
        <w:t xml:space="preserve"> posto</w:t>
      </w:r>
      <w:r w:rsidR="003D473D" w:rsidRPr="00CA0804">
        <w:t xml:space="preserve"> i </w:t>
      </w:r>
      <w:r w:rsidRPr="00CA0804">
        <w:t>u 202</w:t>
      </w:r>
      <w:r w:rsidR="003D473D" w:rsidRPr="00CA0804">
        <w:t>2</w:t>
      </w:r>
      <w:r w:rsidRPr="00CA0804">
        <w:t>. godini 0,2</w:t>
      </w:r>
      <w:r w:rsidR="003D473D" w:rsidRPr="00CA0804">
        <w:t>5</w:t>
      </w:r>
      <w:r w:rsidRPr="00CA0804">
        <w:t xml:space="preserve"> posto. Udio navedenih potpora u 202</w:t>
      </w:r>
      <w:r w:rsidR="003D473D" w:rsidRPr="00CA0804">
        <w:t>4</w:t>
      </w:r>
      <w:r w:rsidRPr="00CA0804">
        <w:t xml:space="preserve">. godini u ukupno dodijeljenim potporama iznosio je </w:t>
      </w:r>
      <w:r w:rsidR="003D473D" w:rsidRPr="00CA0804">
        <w:t xml:space="preserve">11,9 </w:t>
      </w:r>
      <w:r w:rsidRPr="00CA0804">
        <w:t xml:space="preserve">posto, u dodijeljenim potporama u sektoru industrije i usluga </w:t>
      </w:r>
      <w:r w:rsidR="003D473D" w:rsidRPr="00CA0804">
        <w:t>13</w:t>
      </w:r>
      <w:r w:rsidRPr="00CA0804">
        <w:t xml:space="preserve"> posto</w:t>
      </w:r>
      <w:r w:rsidR="003D473D" w:rsidRPr="00CA0804">
        <w:t xml:space="preserve"> te </w:t>
      </w:r>
      <w:r w:rsidRPr="00CA0804">
        <w:t>u sektorskim potporama 21,</w:t>
      </w:r>
      <w:r w:rsidR="003D473D" w:rsidRPr="00CA0804">
        <w:t>4</w:t>
      </w:r>
      <w:r w:rsidRPr="00CA0804">
        <w:t xml:space="preserve"> posto.</w:t>
      </w:r>
    </w:p>
    <w:p w14:paraId="02AC6930" w14:textId="77777777" w:rsidR="00294CAD" w:rsidRPr="00CA0804" w:rsidRDefault="00294CAD" w:rsidP="00F80F9A">
      <w:pPr>
        <w:jc w:val="both"/>
      </w:pPr>
    </w:p>
    <w:p w14:paraId="48EAD99A" w14:textId="707EC0CF" w:rsidR="003D473D" w:rsidRPr="00CA0804" w:rsidRDefault="003D473D" w:rsidP="003D473D">
      <w:pPr>
        <w:jc w:val="both"/>
        <w:rPr>
          <w:rFonts w:eastAsia="Times New Roman"/>
          <w:spacing w:val="-2"/>
          <w:szCs w:val="24"/>
          <w:lang w:eastAsia="hr-HR"/>
        </w:rPr>
      </w:pPr>
      <w:r w:rsidRPr="00CA0804">
        <w:rPr>
          <w:rFonts w:eastAsia="Times New Roman"/>
          <w:spacing w:val="-2"/>
          <w:szCs w:val="24"/>
          <w:lang w:eastAsia="hr-HR"/>
        </w:rPr>
        <w:t xml:space="preserve">Instrumenti putem kojih su dodijeljene potpore </w:t>
      </w:r>
      <w:r w:rsidRPr="00CA0804">
        <w:rPr>
          <w:spacing w:val="-2"/>
        </w:rPr>
        <w:t>za zaštitu okoliša i uštedu energije</w:t>
      </w:r>
      <w:r w:rsidRPr="00CA0804">
        <w:rPr>
          <w:rFonts w:eastAsia="Times New Roman"/>
          <w:spacing w:val="-2"/>
          <w:szCs w:val="24"/>
          <w:lang w:eastAsia="hr-HR"/>
        </w:rPr>
        <w:t xml:space="preserve"> u 2024. godini u iznosu od </w:t>
      </w:r>
      <w:r w:rsidRPr="00CA0804">
        <w:rPr>
          <w:spacing w:val="-2"/>
        </w:rPr>
        <w:t xml:space="preserve">172,1 </w:t>
      </w:r>
      <w:r w:rsidRPr="00CA0804">
        <w:rPr>
          <w:rFonts w:eastAsia="Times New Roman"/>
          <w:spacing w:val="-2"/>
          <w:szCs w:val="24"/>
          <w:lang w:eastAsia="hr-HR"/>
        </w:rPr>
        <w:t>milijun eura, najvećim dijelom se odnose na su</w:t>
      </w:r>
      <w:r w:rsidRPr="00CA0804">
        <w:rPr>
          <w:spacing w:val="-2"/>
        </w:rPr>
        <w:t xml:space="preserve">bvencije u iznosu od </w:t>
      </w:r>
      <w:r w:rsidR="00CF3E3C" w:rsidRPr="00CA0804">
        <w:rPr>
          <w:spacing w:val="-2"/>
        </w:rPr>
        <w:t xml:space="preserve">137,1 </w:t>
      </w:r>
      <w:r w:rsidRPr="00CA0804">
        <w:rPr>
          <w:spacing w:val="-2"/>
        </w:rPr>
        <w:t xml:space="preserve">milijun eura ili s udjelom od </w:t>
      </w:r>
      <w:r w:rsidR="00CF3E3C" w:rsidRPr="00CA0804">
        <w:rPr>
          <w:spacing w:val="-2"/>
        </w:rPr>
        <w:t xml:space="preserve">79,7 </w:t>
      </w:r>
      <w:r w:rsidRPr="00CA0804">
        <w:rPr>
          <w:spacing w:val="-2"/>
        </w:rPr>
        <w:t xml:space="preserve">posto u </w:t>
      </w:r>
      <w:r w:rsidR="00CF3E3C" w:rsidRPr="00CA0804">
        <w:rPr>
          <w:spacing w:val="-2"/>
        </w:rPr>
        <w:t>navedenim</w:t>
      </w:r>
      <w:r w:rsidRPr="00CA0804">
        <w:rPr>
          <w:spacing w:val="-2"/>
        </w:rPr>
        <w:t xml:space="preserve"> </w:t>
      </w:r>
      <w:r w:rsidRPr="00CA0804">
        <w:rPr>
          <w:rFonts w:eastAsia="Times New Roman"/>
          <w:spacing w:val="-2"/>
          <w:szCs w:val="24"/>
          <w:lang w:eastAsia="hr-HR"/>
        </w:rPr>
        <w:t xml:space="preserve">potporama, slijede </w:t>
      </w:r>
      <w:r w:rsidR="00CF3E3C" w:rsidRPr="00CA0804">
        <w:rPr>
          <w:spacing w:val="-2"/>
        </w:rPr>
        <w:t>povoljni zajmovi od 16,4 milijuna eura ili 9,5 posto, porezne olakšice</w:t>
      </w:r>
      <w:r w:rsidR="00CF3E3C" w:rsidRPr="00CA0804">
        <w:rPr>
          <w:rFonts w:eastAsia="Times New Roman"/>
          <w:spacing w:val="-2"/>
          <w:szCs w:val="24"/>
          <w:lang w:eastAsia="hr-HR"/>
        </w:rPr>
        <w:t xml:space="preserve"> od </w:t>
      </w:r>
      <w:r w:rsidR="00CF3E3C" w:rsidRPr="00CA0804">
        <w:rPr>
          <w:spacing w:val="-2"/>
        </w:rPr>
        <w:t>12</w:t>
      </w:r>
      <w:r w:rsidRPr="00CA0804">
        <w:rPr>
          <w:spacing w:val="-2"/>
        </w:rPr>
        <w:t xml:space="preserve"> milijuna eura ili </w:t>
      </w:r>
      <w:r w:rsidR="00CF3E3C" w:rsidRPr="00CA0804">
        <w:rPr>
          <w:spacing w:val="-2"/>
        </w:rPr>
        <w:t xml:space="preserve">7 </w:t>
      </w:r>
      <w:r w:rsidRPr="00CA0804">
        <w:rPr>
          <w:spacing w:val="-2"/>
        </w:rPr>
        <w:t>posto,</w:t>
      </w:r>
      <w:r w:rsidR="00CF3E3C" w:rsidRPr="00CA0804">
        <w:rPr>
          <w:spacing w:val="-2"/>
        </w:rPr>
        <w:t xml:space="preserve"> neposredne subvencije kamata od 5,4 milijuna eura ili 3,1 posto te </w:t>
      </w:r>
      <w:r w:rsidRPr="00CA0804">
        <w:rPr>
          <w:spacing w:val="-2"/>
        </w:rPr>
        <w:t xml:space="preserve">izdana jamstva od 1,2 milijuna eura ili </w:t>
      </w:r>
      <w:r w:rsidR="00CF3E3C" w:rsidRPr="00CA0804">
        <w:rPr>
          <w:spacing w:val="-2"/>
        </w:rPr>
        <w:t>0,7</w:t>
      </w:r>
      <w:r w:rsidRPr="00CA0804">
        <w:rPr>
          <w:spacing w:val="-2"/>
        </w:rPr>
        <w:t xml:space="preserve"> posto.</w:t>
      </w:r>
    </w:p>
    <w:p w14:paraId="59136F96" w14:textId="77777777" w:rsidR="00BD63D8" w:rsidRPr="00CA0804" w:rsidRDefault="00BD63D8" w:rsidP="00F80F9A">
      <w:pPr>
        <w:jc w:val="both"/>
      </w:pPr>
    </w:p>
    <w:p w14:paraId="5DA85A6B" w14:textId="36A6A515" w:rsidR="000148AC" w:rsidRPr="00CA0804" w:rsidRDefault="00961FF7" w:rsidP="00CF3E3C">
      <w:pPr>
        <w:jc w:val="both"/>
      </w:pPr>
      <w:r w:rsidRPr="00CA0804">
        <w:t>U</w:t>
      </w:r>
      <w:r w:rsidR="000148AC" w:rsidRPr="00CA0804">
        <w:t xml:space="preserve">nutar potpora za zaštitu okoliša i uštedu energije </w:t>
      </w:r>
      <w:r w:rsidRPr="00CA0804">
        <w:t xml:space="preserve">u </w:t>
      </w:r>
      <w:r w:rsidR="000148AC" w:rsidRPr="00CA0804">
        <w:t xml:space="preserve">iznosu od </w:t>
      </w:r>
      <w:r w:rsidR="00CF3E3C" w:rsidRPr="00CA0804">
        <w:t>172,1 milijun eura</w:t>
      </w:r>
      <w:r w:rsidR="000148AC" w:rsidRPr="00CA0804">
        <w:t xml:space="preserve">, na potpore za zaštitu okoliša odnosi se iznos od </w:t>
      </w:r>
      <w:r w:rsidR="00CF3E3C" w:rsidRPr="00CA0804">
        <w:t>70,2</w:t>
      </w:r>
      <w:r w:rsidR="007F0325" w:rsidRPr="00CA0804">
        <w:t xml:space="preserve"> </w:t>
      </w:r>
      <w:r w:rsidR="0013342D" w:rsidRPr="00CA0804">
        <w:t xml:space="preserve">milijuna eura </w:t>
      </w:r>
      <w:r w:rsidR="000148AC" w:rsidRPr="00CA0804">
        <w:t xml:space="preserve">ili </w:t>
      </w:r>
      <w:r w:rsidR="00CF3E3C" w:rsidRPr="00CA0804">
        <w:t>40,8</w:t>
      </w:r>
      <w:r w:rsidR="000148AC" w:rsidRPr="00CA0804">
        <w:t xml:space="preserve"> posto udjela u potporama za zaštitu okoliša i uštedu energije </w:t>
      </w:r>
      <w:r w:rsidR="00CF3E3C" w:rsidRPr="00CA0804">
        <w:t>dok</w:t>
      </w:r>
      <w:r w:rsidR="000148AC" w:rsidRPr="00CA0804">
        <w:t xml:space="preserve"> se na potpore energetskom sektoru odnosi </w:t>
      </w:r>
      <w:r w:rsidR="00CF3E3C" w:rsidRPr="00CA0804">
        <w:t xml:space="preserve">101,9 </w:t>
      </w:r>
      <w:r w:rsidR="0013342D" w:rsidRPr="00CA0804">
        <w:t xml:space="preserve">milijuna eura </w:t>
      </w:r>
      <w:r w:rsidR="000148AC" w:rsidRPr="00CA0804">
        <w:t xml:space="preserve">ili </w:t>
      </w:r>
      <w:r w:rsidR="00CF3E3C" w:rsidRPr="00CA0804">
        <w:t xml:space="preserve">59,2 </w:t>
      </w:r>
      <w:r w:rsidR="000148AC" w:rsidRPr="00CA0804">
        <w:t>posto.</w:t>
      </w:r>
    </w:p>
    <w:p w14:paraId="4A2C6260" w14:textId="77777777" w:rsidR="00294CAD" w:rsidRPr="00CA0804" w:rsidRDefault="00294CAD" w:rsidP="00CF3E3C">
      <w:pPr>
        <w:jc w:val="both"/>
      </w:pPr>
    </w:p>
    <w:p w14:paraId="7CB24608" w14:textId="0F475D79" w:rsidR="00BB1325" w:rsidRPr="00CA0804" w:rsidRDefault="00CF3E3C" w:rsidP="00BB1325">
      <w:pPr>
        <w:jc w:val="both"/>
        <w:rPr>
          <w:rFonts w:eastAsia="Times New Roman"/>
          <w:lang w:eastAsia="hr-HR"/>
        </w:rPr>
      </w:pPr>
      <w:r w:rsidRPr="00CA0804">
        <w:t>D</w:t>
      </w:r>
      <w:r w:rsidR="00BB1325" w:rsidRPr="00CA0804">
        <w:t>avatelji potpora za zaštitu okoliša i uštedu energije</w:t>
      </w:r>
      <w:r w:rsidRPr="00CA0804">
        <w:t xml:space="preserve"> u 2024. godini</w:t>
      </w:r>
      <w:r w:rsidR="00BB1325" w:rsidRPr="00CA0804">
        <w:t xml:space="preserve"> su</w:t>
      </w:r>
      <w:r w:rsidR="001F0325" w:rsidRPr="00CA0804">
        <w:t>,</w:t>
      </w:r>
      <w:r w:rsidR="00BB1325" w:rsidRPr="00CA0804">
        <w:t xml:space="preserve"> </w:t>
      </w:r>
      <w:r w:rsidR="001F0325" w:rsidRPr="00CA0804">
        <w:t xml:space="preserve">Hrvatski operater tržišta energije d.o.o. (u daljnjem tekstu: HROTE) s iznosom od 70 </w:t>
      </w:r>
      <w:r w:rsidR="001F0325" w:rsidRPr="00CA0804">
        <w:rPr>
          <w:rFonts w:eastAsia="Times New Roman"/>
          <w:lang w:eastAsia="hr-HR"/>
        </w:rPr>
        <w:t xml:space="preserve">milijuna eura, </w:t>
      </w:r>
      <w:r w:rsidR="00961FF7" w:rsidRPr="00CA0804">
        <w:t>Ministarstvo gospodarstva</w:t>
      </w:r>
      <w:r w:rsidR="00DF44C6" w:rsidRPr="00CA0804">
        <w:t xml:space="preserve"> </w:t>
      </w:r>
      <w:r w:rsidR="00BB1325" w:rsidRPr="00CA0804">
        <w:t>s</w:t>
      </w:r>
      <w:r w:rsidR="001F0325" w:rsidRPr="00CA0804">
        <w:t>a</w:t>
      </w:r>
      <w:r w:rsidR="00BB1325" w:rsidRPr="00CA0804">
        <w:t xml:space="preserve"> </w:t>
      </w:r>
      <w:r w:rsidR="001F0325" w:rsidRPr="00CA0804">
        <w:t>43,8</w:t>
      </w:r>
      <w:r w:rsidR="00BB1325" w:rsidRPr="00CA0804">
        <w:t xml:space="preserve"> </w:t>
      </w:r>
      <w:r w:rsidR="00BB1325" w:rsidRPr="00CA0804">
        <w:rPr>
          <w:rFonts w:eastAsia="Times New Roman"/>
          <w:lang w:eastAsia="hr-HR"/>
        </w:rPr>
        <w:t>milijuna eura</w:t>
      </w:r>
      <w:r w:rsidR="00961FF7" w:rsidRPr="00CA0804">
        <w:rPr>
          <w:rFonts w:eastAsia="Times New Roman"/>
          <w:lang w:eastAsia="hr-HR"/>
        </w:rPr>
        <w:t xml:space="preserve">, </w:t>
      </w:r>
      <w:r w:rsidR="001F0325" w:rsidRPr="00CA0804">
        <w:t>Ministarstvo zaštite okoliša i zelene tranzicije s 35,3</w:t>
      </w:r>
      <w:r w:rsidR="001F0325" w:rsidRPr="00CA0804">
        <w:rPr>
          <w:rFonts w:eastAsia="Times New Roman"/>
          <w:lang w:eastAsia="hr-HR"/>
        </w:rPr>
        <w:t xml:space="preserve"> milijuna eura i </w:t>
      </w:r>
      <w:r w:rsidR="00961FF7" w:rsidRPr="00CA0804">
        <w:t xml:space="preserve">HBOR s </w:t>
      </w:r>
      <w:r w:rsidR="001F0325" w:rsidRPr="00CA0804">
        <w:t>23</w:t>
      </w:r>
      <w:r w:rsidR="00961FF7" w:rsidRPr="00CA0804">
        <w:t xml:space="preserve"> </w:t>
      </w:r>
      <w:r w:rsidR="00961FF7" w:rsidRPr="00CA0804">
        <w:rPr>
          <w:rFonts w:eastAsia="Times New Roman"/>
          <w:lang w:eastAsia="hr-HR"/>
        </w:rPr>
        <w:t>milijuna eura</w:t>
      </w:r>
      <w:r w:rsidR="00BB1325" w:rsidRPr="00CA0804">
        <w:rPr>
          <w:rFonts w:eastAsia="Times New Roman"/>
          <w:lang w:eastAsia="hr-HR"/>
        </w:rPr>
        <w:t>.</w:t>
      </w:r>
    </w:p>
    <w:p w14:paraId="55BC5241" w14:textId="77777777" w:rsidR="001F0325" w:rsidRPr="00CA0804" w:rsidRDefault="001F0325" w:rsidP="00BE487D">
      <w:pPr>
        <w:jc w:val="both"/>
      </w:pPr>
    </w:p>
    <w:p w14:paraId="400EF875" w14:textId="755D714D" w:rsidR="00BF0AD1" w:rsidRPr="00CA0804" w:rsidRDefault="00BF0AD1" w:rsidP="00BF0AD1">
      <w:pPr>
        <w:jc w:val="both"/>
      </w:pPr>
      <w:r w:rsidRPr="00CA0804">
        <w:rPr>
          <w:u w:val="single"/>
        </w:rPr>
        <w:t>HROTE</w:t>
      </w:r>
      <w:r w:rsidRPr="00CA0804">
        <w:rPr>
          <w:b/>
        </w:rPr>
        <w:t xml:space="preserve"> </w:t>
      </w:r>
      <w:r w:rsidRPr="00CA0804">
        <w:t xml:space="preserve">je dodijelio </w:t>
      </w:r>
      <w:r w:rsidR="001F0325" w:rsidRPr="00CA0804">
        <w:t xml:space="preserve">ukupno 70,0 milijuna </w:t>
      </w:r>
      <w:r w:rsidR="00991FCC" w:rsidRPr="00CA0804">
        <w:t>eura</w:t>
      </w:r>
      <w:r w:rsidR="001F0325" w:rsidRPr="00CA0804">
        <w:t>, i to temeljem Programa državnih potpora za sustav poticanja proizvodnje električne energije iz obnovljivih izvora energije i visokoučinkovite kogeneracije tržišnom premijom i zajamčenom otkupnom cijenom subvencije u iznosu od 58,1 milijun eura, o kojem je Europska komisija obaviještena pod brojem SA.113975</w:t>
      </w:r>
      <w:r w:rsidR="001F0325" w:rsidRPr="00CA0804">
        <w:rPr>
          <w:rFonts w:eastAsia="Times New Roman"/>
          <w:color w:val="000000"/>
          <w:lang w:eastAsia="hr-HR"/>
        </w:rPr>
        <w:t xml:space="preserve">, te kroz porezne olakšice </w:t>
      </w:r>
      <w:r w:rsidRPr="00CA0804">
        <w:t>temeljem Uredbe o kriterijima za plaćanje umanjene naknade za obnovljive izvore energije i kogeneraciju</w:t>
      </w:r>
      <w:r w:rsidR="001F0325" w:rsidRPr="00CA0804">
        <w:t xml:space="preserve"> u iznosu od 12 milijuna eura</w:t>
      </w:r>
      <w:r w:rsidRPr="00CA0804">
        <w:t>,</w:t>
      </w:r>
      <w:r w:rsidRPr="00CA0804">
        <w:rPr>
          <w:rFonts w:eastAsia="Times New Roman"/>
          <w:color w:val="000000"/>
          <w:lang w:eastAsia="hr-HR"/>
        </w:rPr>
        <w:t xml:space="preserve"> kojeg je Europska komisija odobrila pod brojem </w:t>
      </w:r>
      <w:r w:rsidRPr="00CA0804">
        <w:t>SA.102294.</w:t>
      </w:r>
    </w:p>
    <w:p w14:paraId="0A2BC763" w14:textId="77777777" w:rsidR="00BF0AD1" w:rsidRPr="00CA0804" w:rsidRDefault="00BF0AD1" w:rsidP="00BE487D">
      <w:pPr>
        <w:jc w:val="both"/>
      </w:pPr>
    </w:p>
    <w:p w14:paraId="26E7A751" w14:textId="3B97A2C8" w:rsidR="00F5167E" w:rsidRPr="00CA0804" w:rsidRDefault="00BF0AD1" w:rsidP="00BF0AD1">
      <w:pPr>
        <w:jc w:val="both"/>
      </w:pPr>
      <w:r w:rsidRPr="00CA0804">
        <w:rPr>
          <w:u w:val="single"/>
        </w:rPr>
        <w:t xml:space="preserve">Ministarstvo gospodarstva </w:t>
      </w:r>
      <w:r w:rsidRPr="00CA0804">
        <w:t xml:space="preserve">dodijelilo je </w:t>
      </w:r>
      <w:r w:rsidR="001F0325" w:rsidRPr="00CA0804">
        <w:t xml:space="preserve">43,8 </w:t>
      </w:r>
      <w:r w:rsidRPr="00CA0804">
        <w:t xml:space="preserve">milijuna eura </w:t>
      </w:r>
      <w:r w:rsidR="001F0325" w:rsidRPr="00CA0804">
        <w:t xml:space="preserve">subvencija </w:t>
      </w:r>
      <w:r w:rsidRPr="00CA0804">
        <w:t xml:space="preserve">temeljem </w:t>
      </w:r>
      <w:r w:rsidR="00F5167E" w:rsidRPr="00CA0804">
        <w:t>p</w:t>
      </w:r>
      <w:r w:rsidRPr="00CA0804">
        <w:t>rograma Potpora poduzećima za tranziciju na energetski i resursno učinkovito gospodarstvo</w:t>
      </w:r>
      <w:r w:rsidR="00F5167E" w:rsidRPr="00CA0804">
        <w:t xml:space="preserve"> za 2024. godinu</w:t>
      </w:r>
      <w:r w:rsidRPr="00CA0804">
        <w:rPr>
          <w:rFonts w:eastAsia="Times New Roman"/>
          <w:color w:val="000000"/>
          <w:lang w:eastAsia="hr-HR"/>
        </w:rPr>
        <w:t xml:space="preserve">, </w:t>
      </w:r>
      <w:r w:rsidR="00F5167E" w:rsidRPr="00CA0804">
        <w:rPr>
          <w:rFonts w:eastAsia="Times New Roman"/>
          <w:color w:val="000000"/>
          <w:lang w:eastAsia="hr-HR"/>
        </w:rPr>
        <w:t xml:space="preserve">o kojem je </w:t>
      </w:r>
      <w:r w:rsidR="00F5167E" w:rsidRPr="00CA0804">
        <w:t>Europska komisija obaviještena pod brojem SA.113175.</w:t>
      </w:r>
    </w:p>
    <w:p w14:paraId="5DEADD76" w14:textId="77777777" w:rsidR="00F5167E" w:rsidRPr="00CA0804" w:rsidRDefault="00F5167E" w:rsidP="00F5167E">
      <w:pPr>
        <w:jc w:val="both"/>
      </w:pPr>
    </w:p>
    <w:p w14:paraId="4D4237A9" w14:textId="5DFDD009" w:rsidR="00F5167E" w:rsidRPr="00CA0804" w:rsidRDefault="00F5167E" w:rsidP="00F5167E">
      <w:pPr>
        <w:jc w:val="both"/>
      </w:pPr>
      <w:r w:rsidRPr="00CA0804">
        <w:lastRenderedPageBreak/>
        <w:t xml:space="preserve">Ministarstvo zaštite okoliša i zelene tranzicije </w:t>
      </w:r>
      <w:r w:rsidR="00BF0AD1" w:rsidRPr="00CA0804">
        <w:t xml:space="preserve">dodijelilo je </w:t>
      </w:r>
      <w:r w:rsidRPr="00CA0804">
        <w:t xml:space="preserve">putem subvencija </w:t>
      </w:r>
      <w:r w:rsidR="00BF0AD1" w:rsidRPr="00CA0804">
        <w:t>u 202</w:t>
      </w:r>
      <w:r w:rsidRPr="00CA0804">
        <w:t>4</w:t>
      </w:r>
      <w:r w:rsidR="00BF0AD1" w:rsidRPr="00CA0804">
        <w:t xml:space="preserve">. godini </w:t>
      </w:r>
      <w:r w:rsidRPr="00CA0804">
        <w:t xml:space="preserve">ukupno 35,3 milijuna </w:t>
      </w:r>
      <w:r w:rsidR="00BF0AD1" w:rsidRPr="00CA0804">
        <w:t>eura</w:t>
      </w:r>
      <w:r w:rsidRPr="00CA0804">
        <w:t xml:space="preserve"> temeljem programa: Program dodjele državnih potpora za ulaganje u mjere energetske učinkovitosti i visokoučinkovitu kogeneraciju u prerađivačkoj industriji i njegov</w:t>
      </w:r>
      <w:r w:rsidR="00952DB4" w:rsidRPr="00CA0804">
        <w:t>ih</w:t>
      </w:r>
      <w:r w:rsidRPr="00CA0804">
        <w:t xml:space="preserve"> izmjen</w:t>
      </w:r>
      <w:r w:rsidR="00952DB4" w:rsidRPr="00CA0804">
        <w:t>a</w:t>
      </w:r>
      <w:r w:rsidRPr="00CA0804">
        <w:t xml:space="preserve"> u iznosu od 19,1 milijun eura, o kojem je Europska komisija obaviještena pod brojem SA.115536, te Program dodjele državnih potpora za ulaganja u promicanje energije iz obnovljivih izvora energije iz sredstava Modernizacijskog fonda i njegov</w:t>
      </w:r>
      <w:r w:rsidR="00952DB4" w:rsidRPr="00CA0804">
        <w:t>ih izmjena</w:t>
      </w:r>
      <w:r w:rsidRPr="00CA0804">
        <w:t xml:space="preserve"> iznos od 16,2 milijuna eura, o kojem je Europska komisija obaviještena pod brojem SA.117488. </w:t>
      </w:r>
    </w:p>
    <w:p w14:paraId="606502B2" w14:textId="77777777" w:rsidR="00BF0AD1" w:rsidRPr="00CA0804" w:rsidRDefault="00BF0AD1" w:rsidP="00BE487D">
      <w:pPr>
        <w:jc w:val="both"/>
        <w:rPr>
          <w:b/>
        </w:rPr>
      </w:pPr>
    </w:p>
    <w:p w14:paraId="731369F9" w14:textId="5C686E23" w:rsidR="00F6727B" w:rsidRPr="00CA0804" w:rsidRDefault="00083295" w:rsidP="00BE487D">
      <w:pPr>
        <w:jc w:val="both"/>
      </w:pPr>
      <w:r w:rsidRPr="00CA0804">
        <w:rPr>
          <w:u w:val="single"/>
        </w:rPr>
        <w:t>HBOR</w:t>
      </w:r>
      <w:r w:rsidRPr="00CA0804">
        <w:t xml:space="preserve"> </w:t>
      </w:r>
      <w:r w:rsidR="00F6727B" w:rsidRPr="00CA0804">
        <w:t xml:space="preserve">je </w:t>
      </w:r>
      <w:r w:rsidRPr="00CA0804">
        <w:t>dodijelilo putem</w:t>
      </w:r>
      <w:r w:rsidR="00F6727B" w:rsidRPr="00CA0804">
        <w:t xml:space="preserve"> neposrednih subvencija kamata</w:t>
      </w:r>
      <w:r w:rsidR="00F5167E" w:rsidRPr="00CA0804">
        <w:t>,</w:t>
      </w:r>
      <w:r w:rsidR="00F6727B" w:rsidRPr="00CA0804">
        <w:t xml:space="preserve"> povoljnih zajmova </w:t>
      </w:r>
      <w:r w:rsidR="00F5167E" w:rsidRPr="00CA0804">
        <w:t xml:space="preserve">i izdanih jamstava </w:t>
      </w:r>
      <w:r w:rsidRPr="00CA0804">
        <w:t xml:space="preserve">iznos od </w:t>
      </w:r>
      <w:r w:rsidR="00F5167E" w:rsidRPr="00CA0804">
        <w:t>23</w:t>
      </w:r>
      <w:r w:rsidR="00F6727B" w:rsidRPr="00CA0804">
        <w:t xml:space="preserve"> milijuna eura temeljem Programa dodjele državnih potpora HBOR-a – produljenje do kraja 2026. godine </w:t>
      </w:r>
      <w:r w:rsidRPr="00CA0804">
        <w:t>i njegovih izmjena i dopuna</w:t>
      </w:r>
      <w:r w:rsidRPr="00CA0804">
        <w:rPr>
          <w:rFonts w:eastAsia="Times New Roman"/>
          <w:color w:val="000000"/>
          <w:lang w:eastAsia="hr-HR"/>
        </w:rPr>
        <w:t xml:space="preserve">, o kojem je </w:t>
      </w:r>
      <w:r w:rsidRPr="00CA0804">
        <w:t>Europska komisija obaviještena pod brojem SA.</w:t>
      </w:r>
      <w:r w:rsidR="00F6727B" w:rsidRPr="00CA0804">
        <w:t>109743.</w:t>
      </w:r>
    </w:p>
    <w:p w14:paraId="50B3B574" w14:textId="77777777" w:rsidR="008304EB" w:rsidRPr="00CA0804" w:rsidRDefault="008304EB" w:rsidP="00BE487D">
      <w:pPr>
        <w:jc w:val="both"/>
      </w:pPr>
    </w:p>
    <w:p w14:paraId="234B8FE2" w14:textId="735CEB52" w:rsidR="00762092" w:rsidRPr="00CA0804" w:rsidRDefault="00762092" w:rsidP="00762092">
      <w:pPr>
        <w:jc w:val="both"/>
      </w:pPr>
      <w:r w:rsidRPr="00CA0804">
        <w:rPr>
          <w:u w:val="single"/>
        </w:rPr>
        <w:t>Potpore male vrijednosti</w:t>
      </w:r>
      <w:r w:rsidRPr="00CA0804">
        <w:t xml:space="preserve"> za zaštitu okoliša i uštedu energije </w:t>
      </w:r>
      <w:r w:rsidR="00F5167E" w:rsidRPr="00CA0804">
        <w:t xml:space="preserve">dodijeljene </w:t>
      </w:r>
      <w:r w:rsidRPr="00CA0804">
        <w:t>su u 202</w:t>
      </w:r>
      <w:r w:rsidR="00F5167E" w:rsidRPr="00CA0804">
        <w:t>4</w:t>
      </w:r>
      <w:r w:rsidRPr="00CA0804">
        <w:t xml:space="preserve">. godini u iznosu od </w:t>
      </w:r>
      <w:r w:rsidR="00F5167E" w:rsidRPr="00CA0804">
        <w:t>5</w:t>
      </w:r>
      <w:r w:rsidRPr="00CA0804">
        <w:t xml:space="preserve"> milijuna eura, te ukoliko bi se navedene potpore pribrojile dodijeljenim potporama za </w:t>
      </w:r>
      <w:r w:rsidR="0004129C" w:rsidRPr="00CA0804">
        <w:t xml:space="preserve">zaštitu okoliša i uštedu energije </w:t>
      </w:r>
      <w:r w:rsidRPr="00CA0804">
        <w:t xml:space="preserve">u iznosu od </w:t>
      </w:r>
      <w:r w:rsidR="00F5167E" w:rsidRPr="00CA0804">
        <w:t>172,1</w:t>
      </w:r>
      <w:r w:rsidRPr="00CA0804">
        <w:t xml:space="preserve"> milijun eura, ukupan iznos svih dodijeljenih potpora za </w:t>
      </w:r>
      <w:r w:rsidR="0004129C" w:rsidRPr="00CA0804">
        <w:t xml:space="preserve">zaštitu okoliša i uštedu energije </w:t>
      </w:r>
      <w:r w:rsidRPr="00CA0804">
        <w:t xml:space="preserve">iznosile bi </w:t>
      </w:r>
      <w:r w:rsidR="00383E30" w:rsidRPr="00CA0804">
        <w:t>177,1</w:t>
      </w:r>
      <w:r w:rsidRPr="00CA0804">
        <w:t xml:space="preserve"> milijun eura. </w:t>
      </w:r>
    </w:p>
    <w:p w14:paraId="4EBC8C38" w14:textId="3A58FBE5" w:rsidR="00383E30" w:rsidRPr="00CA0804" w:rsidRDefault="00383E30" w:rsidP="00762092">
      <w:pPr>
        <w:jc w:val="both"/>
      </w:pPr>
    </w:p>
    <w:p w14:paraId="7AB10C2B" w14:textId="7B1A0739" w:rsidR="00B75A66" w:rsidRPr="00CA0804" w:rsidRDefault="00B75A66" w:rsidP="00BE487D">
      <w:pPr>
        <w:jc w:val="both"/>
      </w:pPr>
    </w:p>
    <w:p w14:paraId="309422A6" w14:textId="0E29369E" w:rsidR="00C12EEB" w:rsidRPr="00CA0804" w:rsidRDefault="00C12EEB" w:rsidP="00BE487D">
      <w:pPr>
        <w:jc w:val="both"/>
      </w:pPr>
    </w:p>
    <w:p w14:paraId="446146F8" w14:textId="77777777" w:rsidR="00BE0817" w:rsidRPr="00CA0804" w:rsidRDefault="00BE0817" w:rsidP="00BE487D">
      <w:pPr>
        <w:pStyle w:val="Heading3"/>
        <w:numPr>
          <w:ilvl w:val="2"/>
          <w:numId w:val="1"/>
        </w:numPr>
        <w:spacing w:before="0"/>
        <w:jc w:val="both"/>
        <w:rPr>
          <w:rFonts w:ascii="Times New Roman" w:hAnsi="Times New Roman" w:cs="Times New Roman"/>
          <w:b/>
          <w:i/>
          <w:color w:val="auto"/>
        </w:rPr>
      </w:pPr>
      <w:bookmarkStart w:id="25" w:name="_Toc213660046"/>
      <w:r w:rsidRPr="00CA0804">
        <w:rPr>
          <w:rFonts w:ascii="Times New Roman" w:hAnsi="Times New Roman" w:cs="Times New Roman"/>
          <w:b/>
          <w:i/>
          <w:color w:val="auto"/>
        </w:rPr>
        <w:t>P</w:t>
      </w:r>
      <w:r w:rsidR="00BC66CE" w:rsidRPr="00CA0804">
        <w:rPr>
          <w:rFonts w:ascii="Times New Roman" w:hAnsi="Times New Roman" w:cs="Times New Roman"/>
          <w:b/>
          <w:i/>
          <w:color w:val="auto"/>
        </w:rPr>
        <w:t>otpore p</w:t>
      </w:r>
      <w:r w:rsidRPr="00CA0804">
        <w:rPr>
          <w:rFonts w:ascii="Times New Roman" w:hAnsi="Times New Roman" w:cs="Times New Roman"/>
          <w:b/>
          <w:i/>
          <w:color w:val="auto"/>
        </w:rPr>
        <w:t>romet</w:t>
      </w:r>
      <w:r w:rsidR="00BC66CE" w:rsidRPr="00CA0804">
        <w:rPr>
          <w:rFonts w:ascii="Times New Roman" w:hAnsi="Times New Roman" w:cs="Times New Roman"/>
          <w:b/>
          <w:i/>
          <w:color w:val="auto"/>
        </w:rPr>
        <w:t>u</w:t>
      </w:r>
      <w:bookmarkEnd w:id="25"/>
      <w:r w:rsidRPr="00CA0804">
        <w:rPr>
          <w:rFonts w:ascii="Times New Roman" w:hAnsi="Times New Roman" w:cs="Times New Roman"/>
          <w:b/>
          <w:i/>
          <w:color w:val="auto"/>
        </w:rPr>
        <w:t xml:space="preserve"> </w:t>
      </w:r>
    </w:p>
    <w:p w14:paraId="62EC6891" w14:textId="77777777" w:rsidR="00BC66CE" w:rsidRPr="00CA0804" w:rsidRDefault="00BC66CE" w:rsidP="00BE487D">
      <w:pPr>
        <w:jc w:val="both"/>
      </w:pPr>
    </w:p>
    <w:p w14:paraId="22745FAA" w14:textId="77777777" w:rsidR="00BC66CE" w:rsidRPr="00CA0804" w:rsidRDefault="00BC66CE" w:rsidP="00BE487D">
      <w:pPr>
        <w:jc w:val="both"/>
      </w:pPr>
    </w:p>
    <w:p w14:paraId="011A6157" w14:textId="635FA50A" w:rsidR="005F1DB3" w:rsidRPr="00CA0804" w:rsidRDefault="005F1DB3" w:rsidP="007214A4">
      <w:pPr>
        <w:jc w:val="both"/>
      </w:pPr>
      <w:r w:rsidRPr="00CA0804">
        <w:t xml:space="preserve">Potpore </w:t>
      </w:r>
      <w:r w:rsidR="00DB495E" w:rsidRPr="00CA0804">
        <w:t xml:space="preserve">u sektoru prometa </w:t>
      </w:r>
      <w:r w:rsidRPr="00CA0804">
        <w:t xml:space="preserve">dodijeljene </w:t>
      </w:r>
      <w:r w:rsidR="002F5009" w:rsidRPr="00CA0804">
        <w:t xml:space="preserve">su </w:t>
      </w:r>
      <w:r w:rsidRPr="00CA0804">
        <w:t>u 202</w:t>
      </w:r>
      <w:r w:rsidR="002F5009" w:rsidRPr="00CA0804">
        <w:t>4</w:t>
      </w:r>
      <w:r w:rsidRPr="00CA0804">
        <w:t xml:space="preserve">. godini u iznosu od </w:t>
      </w:r>
      <w:r w:rsidR="002F5009" w:rsidRPr="00CA0804">
        <w:t xml:space="preserve">365,9 </w:t>
      </w:r>
      <w:r w:rsidRPr="00CA0804">
        <w:t xml:space="preserve">milijuna eura, što je povećanje za </w:t>
      </w:r>
      <w:r w:rsidR="002F5009" w:rsidRPr="00CA0804">
        <w:t xml:space="preserve">46 </w:t>
      </w:r>
      <w:r w:rsidRPr="00CA0804">
        <w:t xml:space="preserve">milijuna eura ili za </w:t>
      </w:r>
      <w:r w:rsidR="002F5009" w:rsidRPr="00CA0804">
        <w:t xml:space="preserve">14,4 </w:t>
      </w:r>
      <w:r w:rsidRPr="00CA0804">
        <w:t>posto u odnosu na 202</w:t>
      </w:r>
      <w:r w:rsidR="002F5009" w:rsidRPr="00CA0804">
        <w:t>3</w:t>
      </w:r>
      <w:r w:rsidRPr="00CA0804">
        <w:t xml:space="preserve">. godinu, kada su potpore iznosile </w:t>
      </w:r>
      <w:r w:rsidR="002F5009" w:rsidRPr="00CA0804">
        <w:t xml:space="preserve">319,9 </w:t>
      </w:r>
      <w:r w:rsidRPr="00CA0804">
        <w:t xml:space="preserve">milijuna eura, te je </w:t>
      </w:r>
      <w:r w:rsidR="007214A4" w:rsidRPr="00CA0804">
        <w:t xml:space="preserve">povećanje </w:t>
      </w:r>
      <w:r w:rsidRPr="00CA0804">
        <w:t xml:space="preserve">za </w:t>
      </w:r>
      <w:r w:rsidR="007214A4" w:rsidRPr="00CA0804">
        <w:t>160,</w:t>
      </w:r>
      <w:r w:rsidR="002F5009" w:rsidRPr="00CA0804">
        <w:t>9</w:t>
      </w:r>
      <w:r w:rsidR="007214A4" w:rsidRPr="00CA0804">
        <w:t xml:space="preserve"> </w:t>
      </w:r>
      <w:r w:rsidRPr="00CA0804">
        <w:t>milijun</w:t>
      </w:r>
      <w:r w:rsidR="002F5009" w:rsidRPr="00CA0804">
        <w:t>a</w:t>
      </w:r>
      <w:r w:rsidRPr="00CA0804">
        <w:t xml:space="preserve"> eura ili </w:t>
      </w:r>
      <w:r w:rsidR="002F5009" w:rsidRPr="00CA0804">
        <w:t xml:space="preserve">78,5 </w:t>
      </w:r>
      <w:r w:rsidRPr="00CA0804">
        <w:t>posto u odnosu na 202</w:t>
      </w:r>
      <w:r w:rsidR="002F5009" w:rsidRPr="00CA0804">
        <w:t>2</w:t>
      </w:r>
      <w:r w:rsidRPr="00CA0804">
        <w:t xml:space="preserve">. godinu kada su iznosile </w:t>
      </w:r>
      <w:r w:rsidR="002F5009" w:rsidRPr="00CA0804">
        <w:t xml:space="preserve">205 </w:t>
      </w:r>
      <w:r w:rsidRPr="00CA0804">
        <w:t>milijuna eura.</w:t>
      </w:r>
    </w:p>
    <w:p w14:paraId="2BC5AB91" w14:textId="77777777" w:rsidR="00294CAD" w:rsidRPr="00CA0804" w:rsidRDefault="00294CAD" w:rsidP="00BE487D">
      <w:pPr>
        <w:pStyle w:val="T-109sred"/>
        <w:spacing w:before="0" w:after="0"/>
        <w:contextualSpacing/>
        <w:jc w:val="both"/>
        <w:rPr>
          <w:rFonts w:ascii="Times New Roman" w:hAnsi="Times New Roman"/>
          <w:b/>
          <w:sz w:val="24"/>
          <w:szCs w:val="24"/>
          <w:lang w:val="hr-HR"/>
        </w:rPr>
      </w:pPr>
    </w:p>
    <w:p w14:paraId="5B70481C" w14:textId="14FC85EC" w:rsidR="0022608B" w:rsidRPr="00CA0804" w:rsidRDefault="0022608B" w:rsidP="00BE487D">
      <w:pPr>
        <w:pStyle w:val="T-109sred"/>
        <w:spacing w:before="0" w:after="0"/>
        <w:contextualSpacing/>
        <w:jc w:val="both"/>
        <w:rPr>
          <w:rFonts w:ascii="Times New Roman" w:hAnsi="Times New Roman"/>
          <w:sz w:val="24"/>
          <w:szCs w:val="24"/>
          <w:lang w:val="hr-HR"/>
        </w:rPr>
      </w:pPr>
      <w:r w:rsidRPr="00CA0804">
        <w:rPr>
          <w:rFonts w:ascii="Times New Roman" w:hAnsi="Times New Roman"/>
          <w:sz w:val="24"/>
          <w:szCs w:val="24"/>
          <w:lang w:val="hr-HR"/>
        </w:rPr>
        <w:t xml:space="preserve">Tablica </w:t>
      </w:r>
      <w:r w:rsidR="00DA0C65" w:rsidRPr="00CA0804">
        <w:rPr>
          <w:rFonts w:ascii="Times New Roman" w:hAnsi="Times New Roman"/>
          <w:sz w:val="24"/>
          <w:szCs w:val="24"/>
          <w:lang w:val="hr-HR"/>
        </w:rPr>
        <w:t>2</w:t>
      </w:r>
      <w:r w:rsidR="00E4105D" w:rsidRPr="00CA0804">
        <w:rPr>
          <w:rFonts w:ascii="Times New Roman" w:hAnsi="Times New Roman"/>
          <w:sz w:val="24"/>
          <w:szCs w:val="24"/>
          <w:lang w:val="hr-HR"/>
        </w:rPr>
        <w:t>1</w:t>
      </w:r>
      <w:r w:rsidRPr="00CA0804">
        <w:rPr>
          <w:rFonts w:ascii="Times New Roman" w:hAnsi="Times New Roman"/>
          <w:sz w:val="24"/>
          <w:szCs w:val="24"/>
          <w:lang w:val="hr-HR"/>
        </w:rPr>
        <w:t xml:space="preserve">. Potpore </w:t>
      </w:r>
      <w:r w:rsidR="00FB6521" w:rsidRPr="00CA0804">
        <w:rPr>
          <w:rFonts w:ascii="Times New Roman" w:hAnsi="Times New Roman"/>
          <w:sz w:val="24"/>
          <w:szCs w:val="24"/>
          <w:lang w:val="hr-HR"/>
        </w:rPr>
        <w:t xml:space="preserve">dodijeljene u </w:t>
      </w:r>
      <w:r w:rsidRPr="00CA0804">
        <w:rPr>
          <w:rFonts w:ascii="Times New Roman" w:hAnsi="Times New Roman"/>
          <w:sz w:val="24"/>
          <w:szCs w:val="24"/>
          <w:lang w:val="hr-HR"/>
        </w:rPr>
        <w:t xml:space="preserve">sektoru prometa </w:t>
      </w:r>
      <w:r w:rsidR="00FB6521" w:rsidRPr="00CA0804">
        <w:rPr>
          <w:rFonts w:ascii="Times New Roman" w:hAnsi="Times New Roman"/>
          <w:sz w:val="24"/>
          <w:szCs w:val="24"/>
          <w:lang w:val="hr-HR"/>
        </w:rPr>
        <w:t>u</w:t>
      </w:r>
      <w:r w:rsidRPr="00CA0804">
        <w:rPr>
          <w:rFonts w:ascii="Times New Roman" w:hAnsi="Times New Roman"/>
          <w:sz w:val="24"/>
          <w:szCs w:val="24"/>
          <w:lang w:val="hr-HR"/>
        </w:rPr>
        <w:t xml:space="preserve"> razdoblj</w:t>
      </w:r>
      <w:r w:rsidR="00FB6521" w:rsidRPr="00CA0804">
        <w:rPr>
          <w:rFonts w:ascii="Times New Roman" w:hAnsi="Times New Roman"/>
          <w:sz w:val="24"/>
          <w:szCs w:val="24"/>
          <w:lang w:val="hr-HR"/>
        </w:rPr>
        <w:t>u</w:t>
      </w:r>
      <w:r w:rsidRPr="00CA0804">
        <w:rPr>
          <w:rFonts w:ascii="Times New Roman" w:hAnsi="Times New Roman"/>
          <w:sz w:val="24"/>
          <w:szCs w:val="24"/>
          <w:lang w:val="hr-HR"/>
        </w:rPr>
        <w:t xml:space="preserve"> od 20</w:t>
      </w:r>
      <w:r w:rsidR="003C7980" w:rsidRPr="00CA0804">
        <w:rPr>
          <w:rFonts w:ascii="Times New Roman" w:hAnsi="Times New Roman"/>
          <w:sz w:val="24"/>
          <w:szCs w:val="24"/>
          <w:lang w:val="hr-HR"/>
        </w:rPr>
        <w:t>2</w:t>
      </w:r>
      <w:r w:rsidR="00BF0AD1" w:rsidRPr="00CA0804">
        <w:rPr>
          <w:rFonts w:ascii="Times New Roman" w:hAnsi="Times New Roman"/>
          <w:sz w:val="24"/>
          <w:szCs w:val="24"/>
          <w:lang w:val="hr-HR"/>
        </w:rPr>
        <w:t>2</w:t>
      </w:r>
      <w:r w:rsidRPr="00CA0804">
        <w:rPr>
          <w:rFonts w:ascii="Times New Roman" w:hAnsi="Times New Roman"/>
          <w:sz w:val="24"/>
          <w:szCs w:val="24"/>
          <w:lang w:val="hr-HR"/>
        </w:rPr>
        <w:t>. do 202</w:t>
      </w:r>
      <w:r w:rsidR="00BF0AD1" w:rsidRPr="00CA0804">
        <w:rPr>
          <w:rFonts w:ascii="Times New Roman" w:hAnsi="Times New Roman"/>
          <w:sz w:val="24"/>
          <w:szCs w:val="24"/>
          <w:lang w:val="hr-HR"/>
        </w:rPr>
        <w:t>4</w:t>
      </w:r>
      <w:r w:rsidRPr="00CA0804">
        <w:rPr>
          <w:rFonts w:ascii="Times New Roman" w:hAnsi="Times New Roman"/>
          <w:sz w:val="24"/>
          <w:szCs w:val="24"/>
          <w:lang w:val="hr-HR"/>
        </w:rPr>
        <w:t>. godine</w:t>
      </w:r>
    </w:p>
    <w:p w14:paraId="7D8B4504" w14:textId="77777777" w:rsidR="0022608B" w:rsidRPr="00CA0804" w:rsidRDefault="0022608B" w:rsidP="00BE487D">
      <w:pPr>
        <w:pStyle w:val="T-109sred"/>
        <w:spacing w:before="0" w:after="0"/>
        <w:contextualSpacing/>
        <w:jc w:val="both"/>
        <w:rPr>
          <w:rFonts w:ascii="Times New Roman" w:hAnsi="Times New Roman"/>
          <w:sz w:val="20"/>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417"/>
        <w:gridCol w:w="1418"/>
        <w:gridCol w:w="1417"/>
      </w:tblGrid>
      <w:tr w:rsidR="00BF0AD1" w:rsidRPr="00CA0804" w14:paraId="02927689" w14:textId="77777777" w:rsidTr="00145D62">
        <w:trPr>
          <w:trHeight w:val="38"/>
        </w:trPr>
        <w:tc>
          <w:tcPr>
            <w:tcW w:w="4248" w:type="dxa"/>
            <w:vMerge w:val="restart"/>
            <w:shd w:val="clear" w:color="000000" w:fill="FFFF99"/>
            <w:noWrap/>
            <w:vAlign w:val="center"/>
            <w:hideMark/>
          </w:tcPr>
          <w:p w14:paraId="5EF60A88" w14:textId="5A2DBA17" w:rsidR="00BF0AD1" w:rsidRPr="00CA0804" w:rsidRDefault="00BF0AD1" w:rsidP="00BF0AD1">
            <w:pPr>
              <w:rPr>
                <w:rFonts w:eastAsia="Times New Roman"/>
                <w:b/>
                <w:bCs/>
                <w:sz w:val="20"/>
                <w:szCs w:val="20"/>
              </w:rPr>
            </w:pPr>
            <w:r w:rsidRPr="00CA0804">
              <w:rPr>
                <w:rFonts w:eastAsia="Times New Roman"/>
                <w:b/>
                <w:bCs/>
                <w:sz w:val="20"/>
                <w:lang w:eastAsia="hr-HR"/>
              </w:rPr>
              <w:t>Promet</w:t>
            </w:r>
          </w:p>
        </w:tc>
        <w:tc>
          <w:tcPr>
            <w:tcW w:w="1417" w:type="dxa"/>
            <w:shd w:val="clear" w:color="000000" w:fill="FFFF99"/>
            <w:vAlign w:val="center"/>
          </w:tcPr>
          <w:p w14:paraId="1FFEFB12" w14:textId="0DEB06E7" w:rsidR="00BF0AD1" w:rsidRPr="00CA0804" w:rsidRDefault="00BF0AD1" w:rsidP="00BF0AD1">
            <w:pPr>
              <w:jc w:val="center"/>
              <w:rPr>
                <w:rFonts w:eastAsia="Times New Roman"/>
                <w:b/>
                <w:bCs/>
                <w:sz w:val="20"/>
                <w:szCs w:val="20"/>
              </w:rPr>
            </w:pPr>
            <w:r w:rsidRPr="00CA0804">
              <w:rPr>
                <w:b/>
                <w:sz w:val="20"/>
                <w:szCs w:val="20"/>
              </w:rPr>
              <w:t>2022.</w:t>
            </w:r>
          </w:p>
        </w:tc>
        <w:tc>
          <w:tcPr>
            <w:tcW w:w="1418" w:type="dxa"/>
            <w:shd w:val="clear" w:color="000000" w:fill="FFFF99"/>
            <w:vAlign w:val="center"/>
          </w:tcPr>
          <w:p w14:paraId="13F29817" w14:textId="6E6D1EA9" w:rsidR="00BF0AD1" w:rsidRPr="00CA0804" w:rsidRDefault="00BF0AD1" w:rsidP="00BF0AD1">
            <w:pPr>
              <w:jc w:val="center"/>
              <w:rPr>
                <w:rFonts w:eastAsia="Times New Roman"/>
                <w:b/>
                <w:bCs/>
                <w:sz w:val="20"/>
                <w:szCs w:val="20"/>
              </w:rPr>
            </w:pPr>
            <w:r w:rsidRPr="00CA0804">
              <w:rPr>
                <w:b/>
                <w:sz w:val="20"/>
                <w:szCs w:val="20"/>
              </w:rPr>
              <w:t>2023.</w:t>
            </w:r>
          </w:p>
        </w:tc>
        <w:tc>
          <w:tcPr>
            <w:tcW w:w="1417" w:type="dxa"/>
            <w:shd w:val="clear" w:color="000000" w:fill="FFFF99"/>
            <w:vAlign w:val="center"/>
          </w:tcPr>
          <w:p w14:paraId="5CC166D2" w14:textId="364B4674" w:rsidR="00BF0AD1" w:rsidRPr="00CA0804" w:rsidRDefault="00BF0AD1" w:rsidP="00BF0AD1">
            <w:pPr>
              <w:jc w:val="center"/>
              <w:rPr>
                <w:rFonts w:eastAsia="Times New Roman"/>
                <w:b/>
                <w:bCs/>
                <w:sz w:val="20"/>
                <w:szCs w:val="20"/>
              </w:rPr>
            </w:pPr>
            <w:r w:rsidRPr="00CA0804">
              <w:rPr>
                <w:b/>
                <w:sz w:val="20"/>
                <w:szCs w:val="20"/>
              </w:rPr>
              <w:t>2024.</w:t>
            </w:r>
          </w:p>
        </w:tc>
      </w:tr>
      <w:tr w:rsidR="0081459E" w:rsidRPr="00CA0804" w14:paraId="42C65104" w14:textId="77777777" w:rsidTr="00145D62">
        <w:trPr>
          <w:trHeight w:val="212"/>
        </w:trPr>
        <w:tc>
          <w:tcPr>
            <w:tcW w:w="4248" w:type="dxa"/>
            <w:vMerge/>
            <w:vAlign w:val="center"/>
            <w:hideMark/>
          </w:tcPr>
          <w:p w14:paraId="47DA1CFE" w14:textId="77777777" w:rsidR="0081459E" w:rsidRPr="00CA0804" w:rsidRDefault="0081459E" w:rsidP="00E627B3">
            <w:pPr>
              <w:rPr>
                <w:rFonts w:eastAsia="Times New Roman"/>
                <w:b/>
                <w:bCs/>
                <w:sz w:val="20"/>
                <w:szCs w:val="20"/>
              </w:rPr>
            </w:pPr>
          </w:p>
        </w:tc>
        <w:tc>
          <w:tcPr>
            <w:tcW w:w="1417" w:type="dxa"/>
            <w:shd w:val="clear" w:color="000000" w:fill="FFFF99"/>
            <w:vAlign w:val="center"/>
          </w:tcPr>
          <w:p w14:paraId="15971119" w14:textId="77777777" w:rsidR="0081459E" w:rsidRPr="00CA0804" w:rsidRDefault="0081459E" w:rsidP="00E627B3">
            <w:pPr>
              <w:rPr>
                <w:rFonts w:eastAsia="Times New Roman"/>
                <w:b/>
                <w:sz w:val="18"/>
                <w:szCs w:val="20"/>
              </w:rPr>
            </w:pPr>
            <w:r w:rsidRPr="00CA0804">
              <w:rPr>
                <w:b/>
                <w:sz w:val="20"/>
                <w:szCs w:val="20"/>
              </w:rPr>
              <w:t>u mln EUR</w:t>
            </w:r>
          </w:p>
        </w:tc>
        <w:tc>
          <w:tcPr>
            <w:tcW w:w="1418" w:type="dxa"/>
            <w:shd w:val="clear" w:color="000000" w:fill="FFFF99"/>
            <w:vAlign w:val="center"/>
          </w:tcPr>
          <w:p w14:paraId="5F77A7E0"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417" w:type="dxa"/>
            <w:shd w:val="clear" w:color="000000" w:fill="FFFF99"/>
            <w:vAlign w:val="center"/>
          </w:tcPr>
          <w:p w14:paraId="0C701445"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BF0AD1" w:rsidRPr="00CA0804" w14:paraId="53495F9A" w14:textId="77777777" w:rsidTr="00F9187E">
        <w:trPr>
          <w:trHeight w:val="40"/>
        </w:trPr>
        <w:tc>
          <w:tcPr>
            <w:tcW w:w="4248" w:type="dxa"/>
            <w:shd w:val="clear" w:color="auto" w:fill="auto"/>
            <w:noWrap/>
            <w:vAlign w:val="center"/>
          </w:tcPr>
          <w:p w14:paraId="4D1ED7E6" w14:textId="43B83575" w:rsidR="00BF0AD1" w:rsidRPr="00CA0804" w:rsidRDefault="00BF0AD1" w:rsidP="00BF0AD1">
            <w:pPr>
              <w:rPr>
                <w:rFonts w:eastAsia="Times New Roman"/>
                <w:b/>
                <w:bCs/>
                <w:sz w:val="20"/>
                <w:szCs w:val="20"/>
              </w:rPr>
            </w:pPr>
            <w:r w:rsidRPr="00CA0804">
              <w:rPr>
                <w:rFonts w:eastAsia="Times New Roman"/>
                <w:sz w:val="20"/>
                <w:lang w:eastAsia="hr-HR"/>
              </w:rPr>
              <w:t>Kopneni željeznički promet</w:t>
            </w:r>
          </w:p>
        </w:tc>
        <w:tc>
          <w:tcPr>
            <w:tcW w:w="1417" w:type="dxa"/>
            <w:vAlign w:val="center"/>
          </w:tcPr>
          <w:p w14:paraId="334D7D67" w14:textId="1DA0620E" w:rsidR="00BF0AD1" w:rsidRPr="00CA0804" w:rsidRDefault="00BF0AD1" w:rsidP="00BF0AD1">
            <w:pPr>
              <w:jc w:val="right"/>
              <w:rPr>
                <w:sz w:val="20"/>
                <w:szCs w:val="14"/>
              </w:rPr>
            </w:pPr>
            <w:r w:rsidRPr="00CA0804">
              <w:rPr>
                <w:rFonts w:eastAsia="Times New Roman"/>
                <w:sz w:val="20"/>
                <w:szCs w:val="20"/>
                <w:lang w:eastAsia="hr-HR"/>
              </w:rPr>
              <w:t>70,3</w:t>
            </w:r>
          </w:p>
        </w:tc>
        <w:tc>
          <w:tcPr>
            <w:tcW w:w="1418" w:type="dxa"/>
            <w:vAlign w:val="center"/>
          </w:tcPr>
          <w:p w14:paraId="3ED0B302" w14:textId="6D43A74D" w:rsidR="00BF0AD1" w:rsidRPr="00CA0804" w:rsidRDefault="00BF0AD1" w:rsidP="00BF0AD1">
            <w:pPr>
              <w:jc w:val="right"/>
              <w:rPr>
                <w:sz w:val="20"/>
                <w:szCs w:val="14"/>
              </w:rPr>
            </w:pPr>
            <w:r w:rsidRPr="00CA0804">
              <w:rPr>
                <w:rFonts w:eastAsia="Times New Roman"/>
                <w:sz w:val="20"/>
                <w:szCs w:val="20"/>
                <w:lang w:eastAsia="hr-HR"/>
              </w:rPr>
              <w:t>107,5</w:t>
            </w:r>
          </w:p>
        </w:tc>
        <w:tc>
          <w:tcPr>
            <w:tcW w:w="1417" w:type="dxa"/>
            <w:shd w:val="clear" w:color="auto" w:fill="auto"/>
            <w:vAlign w:val="center"/>
          </w:tcPr>
          <w:p w14:paraId="67701E5A" w14:textId="550A2531" w:rsidR="00BF0AD1" w:rsidRPr="00CA0804" w:rsidRDefault="00BF0AD1" w:rsidP="00BF0AD1">
            <w:pPr>
              <w:jc w:val="right"/>
              <w:rPr>
                <w:sz w:val="20"/>
                <w:szCs w:val="14"/>
              </w:rPr>
            </w:pPr>
            <w:r w:rsidRPr="00CA0804">
              <w:rPr>
                <w:rFonts w:eastAsia="Times New Roman"/>
                <w:sz w:val="20"/>
                <w:szCs w:val="20"/>
                <w:lang w:eastAsia="hr-HR"/>
              </w:rPr>
              <w:t>129,6</w:t>
            </w:r>
          </w:p>
        </w:tc>
      </w:tr>
      <w:tr w:rsidR="00BF0AD1" w:rsidRPr="00CA0804" w14:paraId="44A89259" w14:textId="77777777" w:rsidTr="00F9187E">
        <w:trPr>
          <w:trHeight w:val="40"/>
        </w:trPr>
        <w:tc>
          <w:tcPr>
            <w:tcW w:w="4248" w:type="dxa"/>
            <w:shd w:val="clear" w:color="auto" w:fill="auto"/>
            <w:noWrap/>
            <w:vAlign w:val="center"/>
          </w:tcPr>
          <w:p w14:paraId="0571F23D" w14:textId="0CE78F57" w:rsidR="00BF0AD1" w:rsidRPr="00CA0804" w:rsidRDefault="00BF0AD1" w:rsidP="00BF0AD1">
            <w:pPr>
              <w:rPr>
                <w:rFonts w:eastAsia="Times New Roman"/>
                <w:b/>
                <w:bCs/>
                <w:sz w:val="20"/>
                <w:szCs w:val="20"/>
              </w:rPr>
            </w:pPr>
            <w:r w:rsidRPr="00CA0804">
              <w:rPr>
                <w:rFonts w:eastAsia="Times New Roman"/>
                <w:sz w:val="20"/>
                <w:lang w:eastAsia="hr-HR"/>
              </w:rPr>
              <w:t xml:space="preserve">Kopneni promet ostali </w:t>
            </w:r>
            <w:r w:rsidRPr="00CA0804">
              <w:rPr>
                <w:sz w:val="20"/>
                <w:lang w:eastAsia="hr-HR"/>
              </w:rPr>
              <w:t>(cestovni promet i promet unutarnjim plovnim putovima)</w:t>
            </w:r>
          </w:p>
        </w:tc>
        <w:tc>
          <w:tcPr>
            <w:tcW w:w="1417" w:type="dxa"/>
            <w:vAlign w:val="center"/>
          </w:tcPr>
          <w:p w14:paraId="7F66C41B" w14:textId="6FFF5B35" w:rsidR="00BF0AD1" w:rsidRPr="00CA0804" w:rsidRDefault="00BF0AD1" w:rsidP="00BF0AD1">
            <w:pPr>
              <w:jc w:val="right"/>
              <w:rPr>
                <w:sz w:val="20"/>
                <w:szCs w:val="14"/>
              </w:rPr>
            </w:pPr>
            <w:r w:rsidRPr="00CA0804">
              <w:rPr>
                <w:rFonts w:eastAsia="Times New Roman"/>
                <w:sz w:val="20"/>
                <w:szCs w:val="20"/>
                <w:lang w:eastAsia="hr-HR"/>
              </w:rPr>
              <w:t>32,6</w:t>
            </w:r>
          </w:p>
        </w:tc>
        <w:tc>
          <w:tcPr>
            <w:tcW w:w="1418" w:type="dxa"/>
            <w:vAlign w:val="center"/>
          </w:tcPr>
          <w:p w14:paraId="247E379F" w14:textId="6B956018" w:rsidR="00BF0AD1" w:rsidRPr="00CA0804" w:rsidRDefault="00BF0AD1" w:rsidP="00BF0AD1">
            <w:pPr>
              <w:jc w:val="right"/>
              <w:rPr>
                <w:sz w:val="20"/>
                <w:szCs w:val="14"/>
              </w:rPr>
            </w:pPr>
            <w:r w:rsidRPr="00CA0804">
              <w:rPr>
                <w:rFonts w:eastAsia="Times New Roman"/>
                <w:sz w:val="20"/>
                <w:szCs w:val="20"/>
                <w:lang w:eastAsia="hr-HR"/>
              </w:rPr>
              <w:t>92,3</w:t>
            </w:r>
          </w:p>
        </w:tc>
        <w:tc>
          <w:tcPr>
            <w:tcW w:w="1417" w:type="dxa"/>
            <w:shd w:val="clear" w:color="auto" w:fill="auto"/>
            <w:vAlign w:val="center"/>
          </w:tcPr>
          <w:p w14:paraId="19289353" w14:textId="5233BDA8" w:rsidR="00BF0AD1" w:rsidRPr="00CA0804" w:rsidRDefault="00BF0AD1" w:rsidP="00BF0AD1">
            <w:pPr>
              <w:jc w:val="right"/>
              <w:rPr>
                <w:sz w:val="20"/>
                <w:szCs w:val="14"/>
              </w:rPr>
            </w:pPr>
            <w:r w:rsidRPr="00CA0804">
              <w:rPr>
                <w:rFonts w:eastAsia="Times New Roman"/>
                <w:sz w:val="20"/>
                <w:szCs w:val="20"/>
                <w:lang w:eastAsia="hr-HR"/>
              </w:rPr>
              <w:t>60,9</w:t>
            </w:r>
          </w:p>
        </w:tc>
      </w:tr>
      <w:tr w:rsidR="00BF0AD1" w:rsidRPr="00CA0804" w14:paraId="4C5C6FC1" w14:textId="77777777" w:rsidTr="00F9187E">
        <w:trPr>
          <w:trHeight w:val="40"/>
        </w:trPr>
        <w:tc>
          <w:tcPr>
            <w:tcW w:w="4248" w:type="dxa"/>
            <w:shd w:val="clear" w:color="auto" w:fill="auto"/>
            <w:noWrap/>
            <w:vAlign w:val="center"/>
          </w:tcPr>
          <w:p w14:paraId="1572A340" w14:textId="2A72BB2C" w:rsidR="00BF0AD1" w:rsidRPr="00CA0804" w:rsidRDefault="00BF0AD1" w:rsidP="00BF0AD1">
            <w:pPr>
              <w:rPr>
                <w:rFonts w:eastAsia="Times New Roman"/>
                <w:b/>
                <w:bCs/>
                <w:sz w:val="20"/>
                <w:szCs w:val="20"/>
              </w:rPr>
            </w:pPr>
            <w:r w:rsidRPr="00CA0804">
              <w:rPr>
                <w:rFonts w:eastAsia="Times New Roman"/>
                <w:sz w:val="20"/>
                <w:lang w:eastAsia="hr-HR"/>
              </w:rPr>
              <w:t>Pomorski promet</w:t>
            </w:r>
          </w:p>
        </w:tc>
        <w:tc>
          <w:tcPr>
            <w:tcW w:w="1417" w:type="dxa"/>
            <w:vAlign w:val="center"/>
          </w:tcPr>
          <w:p w14:paraId="69ED7A28" w14:textId="0D508A19" w:rsidR="00BF0AD1" w:rsidRPr="00CA0804" w:rsidRDefault="00E60AEF" w:rsidP="00BF0AD1">
            <w:pPr>
              <w:jc w:val="right"/>
              <w:rPr>
                <w:sz w:val="20"/>
                <w:szCs w:val="14"/>
              </w:rPr>
            </w:pPr>
            <w:r w:rsidRPr="00CA0804">
              <w:rPr>
                <w:rFonts w:eastAsia="Times New Roman"/>
                <w:sz w:val="20"/>
                <w:szCs w:val="20"/>
                <w:lang w:eastAsia="hr-HR"/>
              </w:rPr>
              <w:t>86,0</w:t>
            </w:r>
          </w:p>
        </w:tc>
        <w:tc>
          <w:tcPr>
            <w:tcW w:w="1418" w:type="dxa"/>
            <w:vAlign w:val="center"/>
          </w:tcPr>
          <w:p w14:paraId="56743B4E" w14:textId="44D08000" w:rsidR="00BF0AD1" w:rsidRPr="00CA0804" w:rsidRDefault="00BF0AD1" w:rsidP="00BF0AD1">
            <w:pPr>
              <w:jc w:val="right"/>
              <w:rPr>
                <w:sz w:val="20"/>
                <w:szCs w:val="14"/>
              </w:rPr>
            </w:pPr>
            <w:r w:rsidRPr="00CA0804">
              <w:rPr>
                <w:rFonts w:eastAsia="Times New Roman"/>
                <w:sz w:val="20"/>
                <w:szCs w:val="20"/>
                <w:lang w:eastAsia="hr-HR"/>
              </w:rPr>
              <w:t>89,5</w:t>
            </w:r>
          </w:p>
        </w:tc>
        <w:tc>
          <w:tcPr>
            <w:tcW w:w="1417" w:type="dxa"/>
            <w:shd w:val="clear" w:color="auto" w:fill="auto"/>
            <w:vAlign w:val="center"/>
          </w:tcPr>
          <w:p w14:paraId="4413F2F5" w14:textId="5D193A80" w:rsidR="00BF0AD1" w:rsidRPr="00CA0804" w:rsidRDefault="00BF0AD1" w:rsidP="00BF0AD1">
            <w:pPr>
              <w:jc w:val="right"/>
              <w:rPr>
                <w:sz w:val="20"/>
                <w:szCs w:val="14"/>
              </w:rPr>
            </w:pPr>
            <w:r w:rsidRPr="00CA0804">
              <w:rPr>
                <w:rFonts w:eastAsia="Times New Roman"/>
                <w:sz w:val="20"/>
                <w:szCs w:val="20"/>
                <w:lang w:eastAsia="hr-HR"/>
              </w:rPr>
              <w:t>154,8</w:t>
            </w:r>
          </w:p>
        </w:tc>
      </w:tr>
      <w:tr w:rsidR="00BF0AD1" w:rsidRPr="00CA0804" w14:paraId="09ADEC0E" w14:textId="77777777" w:rsidTr="00F9187E">
        <w:trPr>
          <w:trHeight w:val="40"/>
        </w:trPr>
        <w:tc>
          <w:tcPr>
            <w:tcW w:w="4248" w:type="dxa"/>
            <w:shd w:val="clear" w:color="auto" w:fill="auto"/>
            <w:noWrap/>
            <w:vAlign w:val="center"/>
          </w:tcPr>
          <w:p w14:paraId="40E568EB" w14:textId="0E83542A" w:rsidR="00BF0AD1" w:rsidRPr="00CA0804" w:rsidRDefault="00BF0AD1" w:rsidP="00BF0AD1">
            <w:pPr>
              <w:rPr>
                <w:rFonts w:eastAsia="Times New Roman"/>
                <w:b/>
                <w:bCs/>
                <w:sz w:val="20"/>
                <w:szCs w:val="20"/>
              </w:rPr>
            </w:pPr>
            <w:r w:rsidRPr="00CA0804">
              <w:rPr>
                <w:rFonts w:eastAsia="Times New Roman"/>
                <w:sz w:val="20"/>
                <w:lang w:eastAsia="hr-HR"/>
              </w:rPr>
              <w:t>Zračni promet</w:t>
            </w:r>
          </w:p>
        </w:tc>
        <w:tc>
          <w:tcPr>
            <w:tcW w:w="1417" w:type="dxa"/>
            <w:vAlign w:val="center"/>
          </w:tcPr>
          <w:p w14:paraId="3BF6CE45" w14:textId="27CF643F" w:rsidR="00BF0AD1" w:rsidRPr="00CA0804" w:rsidRDefault="00BF0AD1" w:rsidP="00BF0AD1">
            <w:pPr>
              <w:jc w:val="right"/>
              <w:rPr>
                <w:sz w:val="20"/>
                <w:szCs w:val="14"/>
              </w:rPr>
            </w:pPr>
            <w:r w:rsidRPr="00CA0804">
              <w:rPr>
                <w:rFonts w:eastAsia="Times New Roman"/>
                <w:sz w:val="20"/>
                <w:szCs w:val="20"/>
                <w:lang w:eastAsia="hr-HR"/>
              </w:rPr>
              <w:t>16,1</w:t>
            </w:r>
          </w:p>
        </w:tc>
        <w:tc>
          <w:tcPr>
            <w:tcW w:w="1418" w:type="dxa"/>
            <w:vAlign w:val="center"/>
          </w:tcPr>
          <w:p w14:paraId="0654112D" w14:textId="4B4595AB" w:rsidR="00BF0AD1" w:rsidRPr="00CA0804" w:rsidRDefault="00BF0AD1" w:rsidP="00BF0AD1">
            <w:pPr>
              <w:jc w:val="right"/>
              <w:rPr>
                <w:sz w:val="20"/>
                <w:szCs w:val="14"/>
              </w:rPr>
            </w:pPr>
            <w:r w:rsidRPr="00CA0804">
              <w:rPr>
                <w:rFonts w:eastAsia="Times New Roman"/>
                <w:sz w:val="20"/>
                <w:szCs w:val="20"/>
                <w:lang w:eastAsia="hr-HR"/>
              </w:rPr>
              <w:t>30,6</w:t>
            </w:r>
          </w:p>
        </w:tc>
        <w:tc>
          <w:tcPr>
            <w:tcW w:w="1417" w:type="dxa"/>
            <w:shd w:val="clear" w:color="auto" w:fill="auto"/>
            <w:vAlign w:val="center"/>
          </w:tcPr>
          <w:p w14:paraId="6223923C" w14:textId="36F1BD3E" w:rsidR="00BF0AD1" w:rsidRPr="00CA0804" w:rsidRDefault="00BF0AD1" w:rsidP="00BF0AD1">
            <w:pPr>
              <w:jc w:val="right"/>
              <w:rPr>
                <w:sz w:val="20"/>
                <w:szCs w:val="14"/>
              </w:rPr>
            </w:pPr>
            <w:r w:rsidRPr="00CA0804">
              <w:rPr>
                <w:rFonts w:eastAsia="Times New Roman"/>
                <w:sz w:val="20"/>
                <w:szCs w:val="20"/>
                <w:lang w:eastAsia="hr-HR"/>
              </w:rPr>
              <w:t>20,6</w:t>
            </w:r>
          </w:p>
        </w:tc>
      </w:tr>
      <w:tr w:rsidR="00BF0AD1" w:rsidRPr="00CA0804" w14:paraId="1459E0E8" w14:textId="77777777" w:rsidTr="00145D62">
        <w:trPr>
          <w:trHeight w:val="40"/>
        </w:trPr>
        <w:tc>
          <w:tcPr>
            <w:tcW w:w="4248" w:type="dxa"/>
            <w:shd w:val="clear" w:color="000000" w:fill="FFFF99"/>
            <w:noWrap/>
            <w:vAlign w:val="center"/>
            <w:hideMark/>
          </w:tcPr>
          <w:p w14:paraId="704589E8" w14:textId="77777777" w:rsidR="00BF0AD1" w:rsidRPr="00CA0804" w:rsidRDefault="00BF0AD1" w:rsidP="00BF0AD1">
            <w:pPr>
              <w:rPr>
                <w:rFonts w:eastAsia="Times New Roman"/>
                <w:b/>
                <w:bCs/>
                <w:sz w:val="20"/>
                <w:szCs w:val="20"/>
              </w:rPr>
            </w:pPr>
            <w:r w:rsidRPr="00CA0804">
              <w:rPr>
                <w:rFonts w:eastAsia="Times New Roman"/>
                <w:b/>
                <w:bCs/>
                <w:sz w:val="20"/>
                <w:szCs w:val="20"/>
              </w:rPr>
              <w:t>UKUPNO</w:t>
            </w:r>
          </w:p>
        </w:tc>
        <w:tc>
          <w:tcPr>
            <w:tcW w:w="1417" w:type="dxa"/>
            <w:shd w:val="clear" w:color="000000" w:fill="FFFF99"/>
            <w:vAlign w:val="center"/>
          </w:tcPr>
          <w:p w14:paraId="36C88BA8" w14:textId="39B69076" w:rsidR="00BF0AD1" w:rsidRPr="00CA0804" w:rsidRDefault="00BF0AD1" w:rsidP="00BF0AD1">
            <w:pPr>
              <w:jc w:val="right"/>
              <w:rPr>
                <w:b/>
                <w:sz w:val="20"/>
                <w:szCs w:val="14"/>
              </w:rPr>
            </w:pPr>
            <w:r w:rsidRPr="00CA0804">
              <w:rPr>
                <w:rFonts w:eastAsia="Times New Roman"/>
                <w:b/>
                <w:bCs/>
                <w:sz w:val="20"/>
                <w:szCs w:val="20"/>
                <w:lang w:eastAsia="hr-HR"/>
              </w:rPr>
              <w:t>205,0</w:t>
            </w:r>
          </w:p>
        </w:tc>
        <w:tc>
          <w:tcPr>
            <w:tcW w:w="1418" w:type="dxa"/>
            <w:shd w:val="clear" w:color="000000" w:fill="FFFF99"/>
            <w:vAlign w:val="center"/>
          </w:tcPr>
          <w:p w14:paraId="46A287F8" w14:textId="51C780E9" w:rsidR="00BF0AD1" w:rsidRPr="00CA0804" w:rsidRDefault="00BF0AD1" w:rsidP="00BF0AD1">
            <w:pPr>
              <w:jc w:val="right"/>
              <w:rPr>
                <w:b/>
                <w:sz w:val="20"/>
                <w:szCs w:val="14"/>
              </w:rPr>
            </w:pPr>
            <w:r w:rsidRPr="00CA0804">
              <w:rPr>
                <w:rFonts w:eastAsia="Times New Roman"/>
                <w:b/>
                <w:bCs/>
                <w:sz w:val="20"/>
                <w:szCs w:val="20"/>
                <w:lang w:eastAsia="hr-HR"/>
              </w:rPr>
              <w:t>319,9</w:t>
            </w:r>
          </w:p>
        </w:tc>
        <w:tc>
          <w:tcPr>
            <w:tcW w:w="1417" w:type="dxa"/>
            <w:shd w:val="clear" w:color="000000" w:fill="FFFF99"/>
            <w:vAlign w:val="center"/>
          </w:tcPr>
          <w:p w14:paraId="64470A0F" w14:textId="2058A959" w:rsidR="00BF0AD1" w:rsidRPr="00CA0804" w:rsidRDefault="00BF0AD1" w:rsidP="00F9187E">
            <w:pPr>
              <w:jc w:val="right"/>
              <w:rPr>
                <w:b/>
                <w:sz w:val="20"/>
                <w:szCs w:val="14"/>
              </w:rPr>
            </w:pPr>
            <w:r w:rsidRPr="00CA0804">
              <w:rPr>
                <w:rFonts w:eastAsia="Times New Roman"/>
                <w:b/>
                <w:bCs/>
                <w:sz w:val="20"/>
                <w:szCs w:val="20"/>
                <w:lang w:eastAsia="hr-HR"/>
              </w:rPr>
              <w:t>365,</w:t>
            </w:r>
            <w:r w:rsidR="00F9187E" w:rsidRPr="00CA0804">
              <w:rPr>
                <w:rFonts w:eastAsia="Times New Roman"/>
                <w:b/>
                <w:bCs/>
                <w:sz w:val="20"/>
                <w:szCs w:val="20"/>
                <w:lang w:eastAsia="hr-HR"/>
              </w:rPr>
              <w:t>9</w:t>
            </w:r>
          </w:p>
        </w:tc>
      </w:tr>
      <w:tr w:rsidR="008216D9" w:rsidRPr="00CA0804" w14:paraId="28D1A34A" w14:textId="77777777" w:rsidTr="00145D62">
        <w:trPr>
          <w:trHeight w:val="40"/>
        </w:trPr>
        <w:tc>
          <w:tcPr>
            <w:tcW w:w="4248" w:type="dxa"/>
            <w:shd w:val="clear" w:color="auto" w:fill="auto"/>
            <w:vAlign w:val="center"/>
            <w:hideMark/>
          </w:tcPr>
          <w:p w14:paraId="5715D6A2" w14:textId="77777777" w:rsidR="008216D9" w:rsidRPr="00CA0804" w:rsidRDefault="008216D9" w:rsidP="008216D9">
            <w:pPr>
              <w:rPr>
                <w:rFonts w:eastAsia="Times New Roman"/>
                <w:sz w:val="20"/>
                <w:szCs w:val="20"/>
              </w:rPr>
            </w:pPr>
            <w:r w:rsidRPr="00CA0804">
              <w:rPr>
                <w:rFonts w:eastAsia="Times New Roman"/>
                <w:sz w:val="20"/>
              </w:rPr>
              <w:t>udio (%) u posebnim sektorima</w:t>
            </w:r>
          </w:p>
        </w:tc>
        <w:tc>
          <w:tcPr>
            <w:tcW w:w="1417" w:type="dxa"/>
            <w:vAlign w:val="center"/>
          </w:tcPr>
          <w:p w14:paraId="7BD7E116" w14:textId="47A70FD0" w:rsidR="008216D9" w:rsidRPr="00CA0804" w:rsidRDefault="008216D9" w:rsidP="008216D9">
            <w:pPr>
              <w:jc w:val="center"/>
              <w:rPr>
                <w:sz w:val="20"/>
                <w:szCs w:val="14"/>
              </w:rPr>
            </w:pPr>
            <w:r w:rsidRPr="00CA0804">
              <w:rPr>
                <w:rFonts w:eastAsia="Times New Roman"/>
                <w:sz w:val="20"/>
                <w:szCs w:val="20"/>
                <w:lang w:eastAsia="hr-HR"/>
              </w:rPr>
              <w:t>33,94</w:t>
            </w:r>
          </w:p>
        </w:tc>
        <w:tc>
          <w:tcPr>
            <w:tcW w:w="1418" w:type="dxa"/>
            <w:vAlign w:val="center"/>
          </w:tcPr>
          <w:p w14:paraId="23E2F9D6" w14:textId="21B18D78" w:rsidR="008216D9" w:rsidRPr="00CA0804" w:rsidRDefault="00E60AEF" w:rsidP="008216D9">
            <w:pPr>
              <w:jc w:val="center"/>
              <w:rPr>
                <w:sz w:val="20"/>
                <w:szCs w:val="14"/>
              </w:rPr>
            </w:pPr>
            <w:r w:rsidRPr="00CA0804">
              <w:rPr>
                <w:rFonts w:eastAsia="Times New Roman"/>
                <w:sz w:val="20"/>
                <w:szCs w:val="20"/>
                <w:lang w:eastAsia="hr-HR"/>
              </w:rPr>
              <w:t>37,66</w:t>
            </w:r>
          </w:p>
        </w:tc>
        <w:tc>
          <w:tcPr>
            <w:tcW w:w="1417" w:type="dxa"/>
            <w:vAlign w:val="center"/>
          </w:tcPr>
          <w:p w14:paraId="55974F7F" w14:textId="0F952615" w:rsidR="008216D9" w:rsidRPr="00CA0804" w:rsidRDefault="00C11094" w:rsidP="008216D9">
            <w:pPr>
              <w:jc w:val="center"/>
              <w:rPr>
                <w:sz w:val="20"/>
                <w:szCs w:val="14"/>
              </w:rPr>
            </w:pPr>
            <w:r w:rsidRPr="00CA0804">
              <w:rPr>
                <w:rFonts w:eastAsia="Times New Roman"/>
                <w:sz w:val="20"/>
                <w:szCs w:val="20"/>
                <w:lang w:eastAsia="hr-HR"/>
              </w:rPr>
              <w:t>45,59</w:t>
            </w:r>
          </w:p>
        </w:tc>
      </w:tr>
      <w:tr w:rsidR="008216D9" w:rsidRPr="00CA0804" w14:paraId="51054373" w14:textId="77777777" w:rsidTr="00145D62">
        <w:trPr>
          <w:trHeight w:val="90"/>
        </w:trPr>
        <w:tc>
          <w:tcPr>
            <w:tcW w:w="4248" w:type="dxa"/>
            <w:shd w:val="clear" w:color="auto" w:fill="auto"/>
            <w:vAlign w:val="center"/>
            <w:hideMark/>
          </w:tcPr>
          <w:p w14:paraId="0D7213CB" w14:textId="77777777" w:rsidR="008216D9" w:rsidRPr="00CA0804" w:rsidRDefault="008216D9" w:rsidP="008216D9">
            <w:pPr>
              <w:rPr>
                <w:rFonts w:eastAsia="Times New Roman"/>
                <w:sz w:val="20"/>
                <w:szCs w:val="20"/>
              </w:rPr>
            </w:pPr>
            <w:r w:rsidRPr="00CA0804">
              <w:rPr>
                <w:rFonts w:eastAsia="Times New Roman"/>
                <w:sz w:val="20"/>
                <w:szCs w:val="20"/>
              </w:rPr>
              <w:t>udio (%) u ukupnim potporama (bez poljoprivrede i ribarstva)</w:t>
            </w:r>
          </w:p>
        </w:tc>
        <w:tc>
          <w:tcPr>
            <w:tcW w:w="1417" w:type="dxa"/>
            <w:vAlign w:val="center"/>
          </w:tcPr>
          <w:p w14:paraId="6C6E1847" w14:textId="54E992AC" w:rsidR="008216D9" w:rsidRPr="00CA0804" w:rsidRDefault="008216D9" w:rsidP="008216D9">
            <w:pPr>
              <w:jc w:val="center"/>
              <w:rPr>
                <w:sz w:val="20"/>
                <w:szCs w:val="14"/>
              </w:rPr>
            </w:pPr>
            <w:r w:rsidRPr="00CA0804">
              <w:rPr>
                <w:rFonts w:eastAsia="Times New Roman"/>
                <w:sz w:val="20"/>
                <w:szCs w:val="20"/>
                <w:lang w:eastAsia="hr-HR"/>
              </w:rPr>
              <w:t>10,00</w:t>
            </w:r>
          </w:p>
        </w:tc>
        <w:tc>
          <w:tcPr>
            <w:tcW w:w="1418" w:type="dxa"/>
            <w:vAlign w:val="center"/>
          </w:tcPr>
          <w:p w14:paraId="56A64B36" w14:textId="3F56B515" w:rsidR="008216D9" w:rsidRPr="00CA0804" w:rsidRDefault="008216D9" w:rsidP="008216D9">
            <w:pPr>
              <w:jc w:val="center"/>
              <w:rPr>
                <w:sz w:val="20"/>
                <w:szCs w:val="14"/>
              </w:rPr>
            </w:pPr>
            <w:r w:rsidRPr="00CA0804">
              <w:rPr>
                <w:rFonts w:eastAsia="Times New Roman"/>
                <w:sz w:val="20"/>
                <w:szCs w:val="20"/>
                <w:lang w:eastAsia="hr-HR"/>
              </w:rPr>
              <w:t>16,26</w:t>
            </w:r>
          </w:p>
        </w:tc>
        <w:tc>
          <w:tcPr>
            <w:tcW w:w="1417" w:type="dxa"/>
            <w:vAlign w:val="center"/>
          </w:tcPr>
          <w:p w14:paraId="44A0345A" w14:textId="18021E57" w:rsidR="008216D9" w:rsidRPr="00CA0804" w:rsidRDefault="008216D9" w:rsidP="008216D9">
            <w:pPr>
              <w:jc w:val="center"/>
              <w:rPr>
                <w:sz w:val="20"/>
                <w:szCs w:val="14"/>
              </w:rPr>
            </w:pPr>
            <w:r w:rsidRPr="00CA0804">
              <w:rPr>
                <w:rFonts w:eastAsia="Times New Roman"/>
                <w:sz w:val="20"/>
                <w:szCs w:val="20"/>
                <w:lang w:eastAsia="hr-HR"/>
              </w:rPr>
              <w:t>27,70</w:t>
            </w:r>
          </w:p>
        </w:tc>
      </w:tr>
      <w:tr w:rsidR="008216D9" w:rsidRPr="00CA0804" w14:paraId="6FD9BB92" w14:textId="77777777" w:rsidTr="00145D62">
        <w:trPr>
          <w:trHeight w:val="40"/>
        </w:trPr>
        <w:tc>
          <w:tcPr>
            <w:tcW w:w="4248" w:type="dxa"/>
            <w:shd w:val="clear" w:color="auto" w:fill="auto"/>
            <w:vAlign w:val="center"/>
            <w:hideMark/>
          </w:tcPr>
          <w:p w14:paraId="51F97C0D" w14:textId="77777777" w:rsidR="008216D9" w:rsidRPr="00CA0804" w:rsidRDefault="008216D9" w:rsidP="008216D9">
            <w:pPr>
              <w:rPr>
                <w:rFonts w:eastAsia="Times New Roman"/>
                <w:sz w:val="20"/>
                <w:szCs w:val="20"/>
              </w:rPr>
            </w:pPr>
            <w:r w:rsidRPr="00CA0804">
              <w:rPr>
                <w:rFonts w:eastAsia="Times New Roman"/>
                <w:sz w:val="20"/>
                <w:szCs w:val="20"/>
              </w:rPr>
              <w:t>udio (%) u ukupnim potporama</w:t>
            </w:r>
          </w:p>
        </w:tc>
        <w:tc>
          <w:tcPr>
            <w:tcW w:w="1417" w:type="dxa"/>
            <w:vAlign w:val="center"/>
          </w:tcPr>
          <w:p w14:paraId="6B18E06D" w14:textId="124422EC" w:rsidR="008216D9" w:rsidRPr="00CA0804" w:rsidRDefault="008216D9" w:rsidP="008216D9">
            <w:pPr>
              <w:jc w:val="center"/>
              <w:rPr>
                <w:sz w:val="20"/>
                <w:szCs w:val="14"/>
              </w:rPr>
            </w:pPr>
            <w:r w:rsidRPr="00CA0804">
              <w:rPr>
                <w:rFonts w:eastAsia="Times New Roman"/>
                <w:sz w:val="20"/>
                <w:szCs w:val="20"/>
                <w:lang w:eastAsia="hr-HR"/>
              </w:rPr>
              <w:t>9,56</w:t>
            </w:r>
          </w:p>
        </w:tc>
        <w:tc>
          <w:tcPr>
            <w:tcW w:w="1418" w:type="dxa"/>
            <w:vAlign w:val="center"/>
          </w:tcPr>
          <w:p w14:paraId="3466B068" w14:textId="23BD64DB" w:rsidR="008216D9" w:rsidRPr="00CA0804" w:rsidRDefault="008216D9" w:rsidP="008216D9">
            <w:pPr>
              <w:jc w:val="center"/>
              <w:rPr>
                <w:sz w:val="20"/>
                <w:szCs w:val="14"/>
              </w:rPr>
            </w:pPr>
            <w:r w:rsidRPr="00CA0804">
              <w:rPr>
                <w:rFonts w:eastAsia="Times New Roman"/>
                <w:sz w:val="20"/>
                <w:szCs w:val="20"/>
                <w:lang w:eastAsia="hr-HR"/>
              </w:rPr>
              <w:t>15,37</w:t>
            </w:r>
          </w:p>
        </w:tc>
        <w:tc>
          <w:tcPr>
            <w:tcW w:w="1417" w:type="dxa"/>
            <w:vAlign w:val="center"/>
          </w:tcPr>
          <w:p w14:paraId="628A5487" w14:textId="3E0D5B37" w:rsidR="008216D9" w:rsidRPr="00CA0804" w:rsidRDefault="008216D9" w:rsidP="008216D9">
            <w:pPr>
              <w:jc w:val="center"/>
              <w:rPr>
                <w:sz w:val="20"/>
                <w:szCs w:val="14"/>
              </w:rPr>
            </w:pPr>
            <w:r w:rsidRPr="00CA0804">
              <w:rPr>
                <w:rFonts w:eastAsia="Times New Roman"/>
                <w:sz w:val="20"/>
                <w:szCs w:val="20"/>
                <w:lang w:eastAsia="hr-HR"/>
              </w:rPr>
              <w:t>25,25</w:t>
            </w:r>
          </w:p>
        </w:tc>
      </w:tr>
      <w:tr w:rsidR="008216D9" w:rsidRPr="00CA0804" w14:paraId="75EFC81D" w14:textId="77777777" w:rsidTr="00145D62">
        <w:trPr>
          <w:trHeight w:val="40"/>
        </w:trPr>
        <w:tc>
          <w:tcPr>
            <w:tcW w:w="4248" w:type="dxa"/>
            <w:shd w:val="clear" w:color="auto" w:fill="auto"/>
            <w:vAlign w:val="center"/>
            <w:hideMark/>
          </w:tcPr>
          <w:p w14:paraId="0EFDCBE6" w14:textId="77777777" w:rsidR="008216D9" w:rsidRPr="00CA0804" w:rsidRDefault="008216D9" w:rsidP="008216D9">
            <w:pPr>
              <w:rPr>
                <w:rFonts w:eastAsia="Times New Roman"/>
                <w:sz w:val="20"/>
                <w:szCs w:val="20"/>
              </w:rPr>
            </w:pPr>
            <w:r w:rsidRPr="00CA0804">
              <w:rPr>
                <w:rFonts w:eastAsia="Times New Roman"/>
                <w:sz w:val="20"/>
                <w:szCs w:val="20"/>
              </w:rPr>
              <w:t>udio (%) u BDP-u</w:t>
            </w:r>
          </w:p>
        </w:tc>
        <w:tc>
          <w:tcPr>
            <w:tcW w:w="1417" w:type="dxa"/>
            <w:vAlign w:val="center"/>
          </w:tcPr>
          <w:p w14:paraId="3983F3C6" w14:textId="09EE7A5D" w:rsidR="008216D9" w:rsidRPr="00CA0804" w:rsidRDefault="008216D9" w:rsidP="008216D9">
            <w:pPr>
              <w:jc w:val="center"/>
              <w:rPr>
                <w:sz w:val="20"/>
                <w:szCs w:val="14"/>
              </w:rPr>
            </w:pPr>
            <w:r w:rsidRPr="00CA0804">
              <w:rPr>
                <w:rFonts w:eastAsia="Times New Roman"/>
                <w:sz w:val="20"/>
                <w:szCs w:val="20"/>
                <w:lang w:eastAsia="hr-HR"/>
              </w:rPr>
              <w:t>0,30</w:t>
            </w:r>
          </w:p>
        </w:tc>
        <w:tc>
          <w:tcPr>
            <w:tcW w:w="1418" w:type="dxa"/>
            <w:vAlign w:val="center"/>
          </w:tcPr>
          <w:p w14:paraId="162BB5C5" w14:textId="4D81B7C4" w:rsidR="008216D9" w:rsidRPr="00CA0804" w:rsidRDefault="008216D9" w:rsidP="008216D9">
            <w:pPr>
              <w:jc w:val="center"/>
              <w:rPr>
                <w:sz w:val="20"/>
                <w:szCs w:val="14"/>
              </w:rPr>
            </w:pPr>
            <w:r w:rsidRPr="00CA0804">
              <w:rPr>
                <w:rFonts w:eastAsia="Times New Roman"/>
                <w:sz w:val="20"/>
                <w:szCs w:val="20"/>
                <w:lang w:eastAsia="hr-HR"/>
              </w:rPr>
              <w:t>0,41</w:t>
            </w:r>
          </w:p>
        </w:tc>
        <w:tc>
          <w:tcPr>
            <w:tcW w:w="1417" w:type="dxa"/>
            <w:vAlign w:val="center"/>
          </w:tcPr>
          <w:p w14:paraId="25E8FAF1" w14:textId="6619984E" w:rsidR="008216D9" w:rsidRPr="00CA0804" w:rsidRDefault="008216D9" w:rsidP="008216D9">
            <w:pPr>
              <w:jc w:val="center"/>
              <w:rPr>
                <w:sz w:val="20"/>
                <w:szCs w:val="14"/>
              </w:rPr>
            </w:pPr>
            <w:r w:rsidRPr="00CA0804">
              <w:rPr>
                <w:rFonts w:eastAsia="Times New Roman"/>
                <w:sz w:val="20"/>
                <w:szCs w:val="20"/>
                <w:lang w:eastAsia="hr-HR"/>
              </w:rPr>
              <w:t>0,43</w:t>
            </w:r>
          </w:p>
        </w:tc>
      </w:tr>
    </w:tbl>
    <w:p w14:paraId="54C1B59C" w14:textId="77777777" w:rsidR="00145D62" w:rsidRPr="00CA0804" w:rsidRDefault="00145D62" w:rsidP="00145D62">
      <w:pPr>
        <w:contextualSpacing/>
        <w:jc w:val="both"/>
        <w:rPr>
          <w:i/>
          <w:sz w:val="20"/>
        </w:rPr>
      </w:pPr>
      <w:r w:rsidRPr="00CA0804">
        <w:rPr>
          <w:i/>
          <w:sz w:val="20"/>
        </w:rPr>
        <w:t>Izvor: Ministarstvo financija i davatelji potpora; podaci obrađeni u Ministarstvu financija</w:t>
      </w:r>
    </w:p>
    <w:p w14:paraId="0EC27467" w14:textId="240E117B" w:rsidR="00294CAD" w:rsidRPr="00CA0804" w:rsidRDefault="00294CAD" w:rsidP="00BE487D">
      <w:pPr>
        <w:contextualSpacing/>
        <w:jc w:val="both"/>
        <w:rPr>
          <w:i/>
        </w:rPr>
      </w:pPr>
    </w:p>
    <w:p w14:paraId="03056641" w14:textId="74F102BF" w:rsidR="007430EB" w:rsidRPr="00CA0804" w:rsidRDefault="007430EB" w:rsidP="007430EB">
      <w:pPr>
        <w:jc w:val="both"/>
      </w:pPr>
      <w:r w:rsidRPr="00CA0804">
        <w:t xml:space="preserve">Udio potpora u </w:t>
      </w:r>
      <w:r w:rsidRPr="00CA0804">
        <w:rPr>
          <w:rFonts w:eastAsia="Calibri"/>
        </w:rPr>
        <w:t xml:space="preserve">sektoru prometa </w:t>
      </w:r>
      <w:r w:rsidRPr="00CA0804">
        <w:t>u BDP-u u 202</w:t>
      </w:r>
      <w:r w:rsidR="002F5009" w:rsidRPr="00CA0804">
        <w:t>4</w:t>
      </w:r>
      <w:r w:rsidRPr="00CA0804">
        <w:t>. godini iznosio je 0,4</w:t>
      </w:r>
      <w:r w:rsidR="002F5009" w:rsidRPr="00CA0804">
        <w:t>3</w:t>
      </w:r>
      <w:r w:rsidRPr="00CA0804">
        <w:t xml:space="preserve"> posto, u 202</w:t>
      </w:r>
      <w:r w:rsidR="002F5009" w:rsidRPr="00CA0804">
        <w:t>3</w:t>
      </w:r>
      <w:r w:rsidRPr="00CA0804">
        <w:t>. godini 0,</w:t>
      </w:r>
      <w:r w:rsidR="002F5009" w:rsidRPr="00CA0804">
        <w:t>41</w:t>
      </w:r>
      <w:r w:rsidRPr="00CA0804">
        <w:t xml:space="preserve"> posto</w:t>
      </w:r>
      <w:r w:rsidR="002F5009" w:rsidRPr="00CA0804">
        <w:t xml:space="preserve"> i</w:t>
      </w:r>
      <w:r w:rsidRPr="00CA0804">
        <w:t xml:space="preserve"> u 202</w:t>
      </w:r>
      <w:r w:rsidR="002F5009" w:rsidRPr="00CA0804">
        <w:t>2</w:t>
      </w:r>
      <w:r w:rsidRPr="00CA0804">
        <w:t>. godini 0,</w:t>
      </w:r>
      <w:r w:rsidR="002F5009" w:rsidRPr="00CA0804">
        <w:t>30</w:t>
      </w:r>
      <w:r w:rsidRPr="00CA0804">
        <w:t xml:space="preserve"> posto. Udio navedenih potpora u 202</w:t>
      </w:r>
      <w:r w:rsidR="002F5009" w:rsidRPr="00CA0804">
        <w:t>4</w:t>
      </w:r>
      <w:r w:rsidRPr="00CA0804">
        <w:t xml:space="preserve">. godini u ukupno dodijeljenim potporama iznosio je </w:t>
      </w:r>
      <w:r w:rsidR="002F5009" w:rsidRPr="00CA0804">
        <w:t>25,3</w:t>
      </w:r>
      <w:r w:rsidRPr="00CA0804">
        <w:t xml:space="preserve"> posto, udio u sektoru industrije i usluga </w:t>
      </w:r>
      <w:r w:rsidR="002F5009" w:rsidRPr="00CA0804">
        <w:t>27,7</w:t>
      </w:r>
      <w:r w:rsidRPr="00CA0804">
        <w:t xml:space="preserve"> posto</w:t>
      </w:r>
      <w:r w:rsidR="002F5009" w:rsidRPr="00CA0804">
        <w:t xml:space="preserve"> i u</w:t>
      </w:r>
      <w:r w:rsidRPr="00CA0804">
        <w:t xml:space="preserve">dio u sektorskim potporama </w:t>
      </w:r>
      <w:r w:rsidR="002F5009" w:rsidRPr="00CA0804">
        <w:t>45,6</w:t>
      </w:r>
      <w:r w:rsidRPr="00CA0804">
        <w:t xml:space="preserve"> posto.</w:t>
      </w:r>
    </w:p>
    <w:p w14:paraId="11DDB050" w14:textId="77777777" w:rsidR="00294CAD" w:rsidRPr="00CA0804" w:rsidRDefault="00294CAD" w:rsidP="00BD5661">
      <w:pPr>
        <w:jc w:val="both"/>
      </w:pPr>
    </w:p>
    <w:p w14:paraId="082F5AD6" w14:textId="7822AA2D" w:rsidR="00A10F81" w:rsidRPr="00CA0804" w:rsidRDefault="005E6277" w:rsidP="00A10F81">
      <w:pPr>
        <w:jc w:val="both"/>
      </w:pPr>
      <w:r w:rsidRPr="00CA0804">
        <w:t xml:space="preserve">U </w:t>
      </w:r>
      <w:r w:rsidR="007430EB" w:rsidRPr="00CA0804">
        <w:t>sektor</w:t>
      </w:r>
      <w:r w:rsidR="00952DB4" w:rsidRPr="00CA0804">
        <w:t xml:space="preserve">u </w:t>
      </w:r>
      <w:r w:rsidR="007430EB" w:rsidRPr="00CA0804">
        <w:t>prometa</w:t>
      </w:r>
      <w:r w:rsidR="00952DB4" w:rsidRPr="00CA0804">
        <w:t>, potpore</w:t>
      </w:r>
      <w:r w:rsidR="007430EB" w:rsidRPr="00CA0804">
        <w:t xml:space="preserve"> u 202</w:t>
      </w:r>
      <w:r w:rsidR="002F5009" w:rsidRPr="00CA0804">
        <w:t>4</w:t>
      </w:r>
      <w:r w:rsidR="007430EB" w:rsidRPr="00CA0804">
        <w:t>. godini iznos</w:t>
      </w:r>
      <w:r w:rsidR="00952DB4" w:rsidRPr="00CA0804">
        <w:t>ile su</w:t>
      </w:r>
      <w:r w:rsidR="007430EB" w:rsidRPr="00CA0804">
        <w:t xml:space="preserve"> </w:t>
      </w:r>
      <w:r w:rsidR="002F5009" w:rsidRPr="00CA0804">
        <w:t>365,9 milijuna eura</w:t>
      </w:r>
      <w:r w:rsidR="007430EB" w:rsidRPr="00CA0804">
        <w:t xml:space="preserve">, </w:t>
      </w:r>
      <w:r w:rsidR="00952DB4" w:rsidRPr="00CA0804">
        <w:t xml:space="preserve">a </w:t>
      </w:r>
      <w:r w:rsidR="007430EB" w:rsidRPr="00CA0804">
        <w:t xml:space="preserve">najviše potpora dodijeljeno je </w:t>
      </w:r>
      <w:r w:rsidRPr="00CA0804">
        <w:t xml:space="preserve">pomorskom prometu u iznosu od 154,8 milijuna eura ili s udjelom od 42,3 posto </w:t>
      </w:r>
      <w:r w:rsidRPr="00CA0804">
        <w:lastRenderedPageBreak/>
        <w:t xml:space="preserve">u sektoru prometa, slijede potpore </w:t>
      </w:r>
      <w:r w:rsidR="007430EB" w:rsidRPr="00CA0804">
        <w:t xml:space="preserve">kopnenom željezničkom prometu od </w:t>
      </w:r>
      <w:r w:rsidRPr="00CA0804">
        <w:t xml:space="preserve">129,6 </w:t>
      </w:r>
      <w:r w:rsidR="007430EB" w:rsidRPr="00CA0804">
        <w:t xml:space="preserve">milijuna eura ili </w:t>
      </w:r>
      <w:r w:rsidRPr="00CA0804">
        <w:t>35,4</w:t>
      </w:r>
      <w:r w:rsidR="007430EB" w:rsidRPr="00CA0804">
        <w:t xml:space="preserve"> posto,</w:t>
      </w:r>
      <w:r w:rsidR="00A10F81" w:rsidRPr="00CA0804">
        <w:t xml:space="preserve"> </w:t>
      </w:r>
      <w:r w:rsidRPr="00CA0804">
        <w:t>zatim</w:t>
      </w:r>
      <w:r w:rsidR="00A10F81" w:rsidRPr="00CA0804">
        <w:t xml:space="preserve"> kopnenom cestovnom prometu od </w:t>
      </w:r>
      <w:r w:rsidRPr="00CA0804">
        <w:t>60,9</w:t>
      </w:r>
      <w:r w:rsidR="00A10F81" w:rsidRPr="00CA0804">
        <w:t xml:space="preserve"> milijuna eura ili </w:t>
      </w:r>
      <w:r w:rsidRPr="00CA0804">
        <w:t>16,7</w:t>
      </w:r>
      <w:r w:rsidR="00A10F81" w:rsidRPr="00CA0804">
        <w:t xml:space="preserve"> posto</w:t>
      </w:r>
      <w:r w:rsidRPr="00CA0804">
        <w:t xml:space="preserve"> te </w:t>
      </w:r>
      <w:r w:rsidR="00A10F81" w:rsidRPr="00CA0804">
        <w:t xml:space="preserve">zračnom prometu od </w:t>
      </w:r>
      <w:r w:rsidRPr="00CA0804">
        <w:t>20,6</w:t>
      </w:r>
      <w:r w:rsidR="00A10F81" w:rsidRPr="00CA0804">
        <w:t xml:space="preserve"> milijuna eura ili </w:t>
      </w:r>
      <w:r w:rsidRPr="00CA0804">
        <w:t>5,6</w:t>
      </w:r>
      <w:r w:rsidR="00A10F81" w:rsidRPr="00CA0804">
        <w:t xml:space="preserve"> posto.</w:t>
      </w:r>
    </w:p>
    <w:p w14:paraId="5B9487FF" w14:textId="77777777" w:rsidR="005A215A" w:rsidRPr="00CA0804" w:rsidRDefault="005A215A" w:rsidP="002E26BD">
      <w:pPr>
        <w:jc w:val="both"/>
      </w:pPr>
    </w:p>
    <w:p w14:paraId="4F91DD51" w14:textId="7D538C6F" w:rsidR="002E26BD" w:rsidRPr="00CA0804" w:rsidRDefault="002E26BD" w:rsidP="002E26BD">
      <w:pPr>
        <w:pStyle w:val="T-109sred"/>
        <w:spacing w:before="0" w:after="0"/>
        <w:contextualSpacing/>
        <w:jc w:val="both"/>
        <w:rPr>
          <w:rFonts w:ascii="Times New Roman" w:hAnsi="Times New Roman"/>
          <w:sz w:val="24"/>
          <w:szCs w:val="24"/>
          <w:lang w:val="hr-HR"/>
        </w:rPr>
      </w:pPr>
      <w:r w:rsidRPr="00CA0804">
        <w:rPr>
          <w:rFonts w:ascii="Times New Roman" w:hAnsi="Times New Roman"/>
          <w:sz w:val="24"/>
          <w:szCs w:val="24"/>
          <w:lang w:val="hr-HR"/>
        </w:rPr>
        <w:t>Tablica 2</w:t>
      </w:r>
      <w:r w:rsidR="00E4105D" w:rsidRPr="00CA0804">
        <w:rPr>
          <w:rFonts w:ascii="Times New Roman" w:hAnsi="Times New Roman"/>
          <w:sz w:val="24"/>
          <w:szCs w:val="24"/>
          <w:lang w:val="hr-HR"/>
        </w:rPr>
        <w:t>2</w:t>
      </w:r>
      <w:r w:rsidRPr="00CA0804">
        <w:rPr>
          <w:rFonts w:ascii="Times New Roman" w:hAnsi="Times New Roman"/>
          <w:sz w:val="24"/>
          <w:szCs w:val="24"/>
          <w:lang w:val="hr-HR"/>
        </w:rPr>
        <w:t xml:space="preserve">. Potpore dodijeljene </w:t>
      </w:r>
      <w:r w:rsidR="00FB6521" w:rsidRPr="00CA0804">
        <w:rPr>
          <w:rFonts w:ascii="Times New Roman" w:hAnsi="Times New Roman"/>
          <w:sz w:val="24"/>
          <w:szCs w:val="24"/>
          <w:lang w:val="hr-HR"/>
        </w:rPr>
        <w:t xml:space="preserve">u </w:t>
      </w:r>
      <w:r w:rsidRPr="00CA0804">
        <w:rPr>
          <w:rFonts w:ascii="Times New Roman" w:hAnsi="Times New Roman"/>
          <w:sz w:val="24"/>
          <w:szCs w:val="24"/>
          <w:lang w:val="hr-HR"/>
        </w:rPr>
        <w:t xml:space="preserve">sektoru prometa </w:t>
      </w:r>
      <w:r w:rsidR="00FB6521" w:rsidRPr="00CA0804">
        <w:rPr>
          <w:rFonts w:ascii="Times New Roman" w:hAnsi="Times New Roman"/>
          <w:sz w:val="24"/>
          <w:szCs w:val="24"/>
          <w:lang w:val="hr-HR"/>
        </w:rPr>
        <w:t xml:space="preserve">prikazane </w:t>
      </w:r>
      <w:r w:rsidRPr="00CA0804">
        <w:rPr>
          <w:rFonts w:ascii="Times New Roman" w:hAnsi="Times New Roman"/>
          <w:sz w:val="24"/>
          <w:szCs w:val="24"/>
          <w:lang w:val="hr-HR"/>
        </w:rPr>
        <w:t xml:space="preserve">prema instrumentima </w:t>
      </w:r>
      <w:r w:rsidR="00FB6521" w:rsidRPr="00CA0804">
        <w:rPr>
          <w:rFonts w:ascii="Times New Roman" w:hAnsi="Times New Roman"/>
          <w:sz w:val="24"/>
          <w:szCs w:val="24"/>
          <w:lang w:val="hr-HR"/>
        </w:rPr>
        <w:t>u</w:t>
      </w:r>
      <w:r w:rsidRPr="00CA0804">
        <w:rPr>
          <w:rFonts w:ascii="Times New Roman" w:hAnsi="Times New Roman"/>
          <w:sz w:val="24"/>
          <w:szCs w:val="24"/>
          <w:lang w:val="hr-HR"/>
        </w:rPr>
        <w:t xml:space="preserve"> razdoblj</w:t>
      </w:r>
      <w:r w:rsidR="00FB6521" w:rsidRPr="00CA0804">
        <w:rPr>
          <w:rFonts w:ascii="Times New Roman" w:hAnsi="Times New Roman"/>
          <w:sz w:val="24"/>
          <w:szCs w:val="24"/>
          <w:lang w:val="hr-HR"/>
        </w:rPr>
        <w:t>u</w:t>
      </w:r>
      <w:r w:rsidRPr="00CA0804">
        <w:rPr>
          <w:rFonts w:ascii="Times New Roman" w:hAnsi="Times New Roman"/>
          <w:sz w:val="24"/>
          <w:szCs w:val="24"/>
          <w:lang w:val="hr-HR"/>
        </w:rPr>
        <w:t xml:space="preserve"> od 20</w:t>
      </w:r>
      <w:r w:rsidR="00AE4AD8" w:rsidRPr="00CA0804">
        <w:rPr>
          <w:rFonts w:ascii="Times New Roman" w:hAnsi="Times New Roman"/>
          <w:sz w:val="24"/>
          <w:szCs w:val="24"/>
          <w:lang w:val="hr-HR"/>
        </w:rPr>
        <w:t>2</w:t>
      </w:r>
      <w:r w:rsidR="008216D9" w:rsidRPr="00CA0804">
        <w:rPr>
          <w:rFonts w:ascii="Times New Roman" w:hAnsi="Times New Roman"/>
          <w:sz w:val="24"/>
          <w:szCs w:val="24"/>
          <w:lang w:val="hr-HR"/>
        </w:rPr>
        <w:t>2</w:t>
      </w:r>
      <w:r w:rsidRPr="00CA0804">
        <w:rPr>
          <w:rFonts w:ascii="Times New Roman" w:hAnsi="Times New Roman"/>
          <w:sz w:val="24"/>
          <w:szCs w:val="24"/>
          <w:lang w:val="hr-HR"/>
        </w:rPr>
        <w:t>. do 202</w:t>
      </w:r>
      <w:r w:rsidR="008216D9" w:rsidRPr="00CA0804">
        <w:rPr>
          <w:rFonts w:ascii="Times New Roman" w:hAnsi="Times New Roman"/>
          <w:sz w:val="24"/>
          <w:szCs w:val="24"/>
          <w:lang w:val="hr-HR"/>
        </w:rPr>
        <w:t>4</w:t>
      </w:r>
      <w:r w:rsidRPr="00CA0804">
        <w:rPr>
          <w:rFonts w:ascii="Times New Roman" w:hAnsi="Times New Roman"/>
          <w:sz w:val="24"/>
          <w:szCs w:val="24"/>
          <w:lang w:val="hr-HR"/>
        </w:rPr>
        <w:t xml:space="preserve">. godine (u milijunima </w:t>
      </w:r>
      <w:r w:rsidR="00DA0C65" w:rsidRPr="00CA0804">
        <w:rPr>
          <w:rFonts w:ascii="Times New Roman" w:hAnsi="Times New Roman"/>
          <w:sz w:val="24"/>
          <w:szCs w:val="24"/>
          <w:lang w:val="hr-HR"/>
        </w:rPr>
        <w:t>eura</w:t>
      </w:r>
      <w:r w:rsidRPr="00CA0804">
        <w:rPr>
          <w:rFonts w:ascii="Times New Roman" w:hAnsi="Times New Roman"/>
          <w:sz w:val="24"/>
          <w:szCs w:val="24"/>
          <w:lang w:val="hr-HR"/>
        </w:rPr>
        <w:t>)</w:t>
      </w:r>
    </w:p>
    <w:p w14:paraId="29E43D0D" w14:textId="77777777" w:rsidR="002E26BD" w:rsidRPr="00CA0804" w:rsidRDefault="002E26BD" w:rsidP="002E26BD">
      <w:pPr>
        <w:pStyle w:val="T-109sred"/>
        <w:spacing w:before="0" w:after="0"/>
        <w:contextualSpacing/>
        <w:jc w:val="both"/>
        <w:rPr>
          <w:rFonts w:ascii="Times New Roman" w:hAnsi="Times New Roman"/>
          <w:b/>
          <w:sz w:val="20"/>
          <w:szCs w:val="24"/>
          <w:lang w:val="hr-HR"/>
        </w:rPr>
      </w:pPr>
    </w:p>
    <w:tbl>
      <w:tblPr>
        <w:tblW w:w="7391" w:type="dxa"/>
        <w:tblLook w:val="04A0" w:firstRow="1" w:lastRow="0" w:firstColumn="1" w:lastColumn="0" w:noHBand="0" w:noVBand="1"/>
      </w:tblPr>
      <w:tblGrid>
        <w:gridCol w:w="4854"/>
        <w:gridCol w:w="821"/>
        <w:gridCol w:w="816"/>
        <w:gridCol w:w="900"/>
      </w:tblGrid>
      <w:tr w:rsidR="008216D9" w:rsidRPr="00CA0804" w14:paraId="0660CC79" w14:textId="77777777" w:rsidTr="008724AB">
        <w:trPr>
          <w:trHeight w:val="122"/>
        </w:trPr>
        <w:tc>
          <w:tcPr>
            <w:tcW w:w="485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06E048" w14:textId="05F9E151" w:rsidR="008216D9" w:rsidRPr="00CA0804" w:rsidRDefault="008216D9" w:rsidP="008216D9">
            <w:pPr>
              <w:jc w:val="both"/>
              <w:rPr>
                <w:b/>
                <w:bCs/>
                <w:sz w:val="20"/>
                <w:lang w:eastAsia="hr-HR"/>
              </w:rPr>
            </w:pPr>
          </w:p>
        </w:tc>
        <w:tc>
          <w:tcPr>
            <w:tcW w:w="821" w:type="dxa"/>
            <w:tcBorders>
              <w:top w:val="single" w:sz="4" w:space="0" w:color="auto"/>
              <w:left w:val="nil"/>
              <w:bottom w:val="single" w:sz="4" w:space="0" w:color="auto"/>
              <w:right w:val="single" w:sz="4" w:space="0" w:color="auto"/>
            </w:tcBorders>
            <w:shd w:val="clear" w:color="000000" w:fill="FFFF99"/>
            <w:noWrap/>
            <w:vAlign w:val="center"/>
            <w:hideMark/>
          </w:tcPr>
          <w:p w14:paraId="06D70BB7" w14:textId="0639F74E" w:rsidR="008216D9" w:rsidRPr="00CA0804" w:rsidRDefault="008216D9" w:rsidP="008216D9">
            <w:pPr>
              <w:jc w:val="center"/>
              <w:rPr>
                <w:b/>
                <w:sz w:val="20"/>
              </w:rPr>
            </w:pPr>
            <w:r w:rsidRPr="00CA0804">
              <w:rPr>
                <w:rFonts w:eastAsia="Times New Roman"/>
                <w:b/>
                <w:bCs/>
                <w:sz w:val="20"/>
                <w:szCs w:val="20"/>
                <w:lang w:eastAsia="hr-HR"/>
              </w:rPr>
              <w:t>2022.</w:t>
            </w:r>
          </w:p>
        </w:tc>
        <w:tc>
          <w:tcPr>
            <w:tcW w:w="816" w:type="dxa"/>
            <w:tcBorders>
              <w:top w:val="single" w:sz="4" w:space="0" w:color="auto"/>
              <w:left w:val="nil"/>
              <w:bottom w:val="single" w:sz="4" w:space="0" w:color="auto"/>
              <w:right w:val="single" w:sz="4" w:space="0" w:color="auto"/>
            </w:tcBorders>
            <w:shd w:val="clear" w:color="000000" w:fill="FFFF99"/>
            <w:noWrap/>
            <w:vAlign w:val="center"/>
            <w:hideMark/>
          </w:tcPr>
          <w:p w14:paraId="02E931FE" w14:textId="06F461A1" w:rsidR="008216D9" w:rsidRPr="00CA0804" w:rsidRDefault="008216D9" w:rsidP="008216D9">
            <w:pPr>
              <w:jc w:val="center"/>
              <w:rPr>
                <w:b/>
                <w:sz w:val="20"/>
              </w:rPr>
            </w:pPr>
            <w:r w:rsidRPr="00CA0804">
              <w:rPr>
                <w:rFonts w:eastAsia="Times New Roman"/>
                <w:b/>
                <w:bCs/>
                <w:sz w:val="20"/>
                <w:szCs w:val="20"/>
                <w:lang w:eastAsia="hr-HR"/>
              </w:rPr>
              <w:t>2023.</w:t>
            </w:r>
          </w:p>
        </w:tc>
        <w:tc>
          <w:tcPr>
            <w:tcW w:w="900" w:type="dxa"/>
            <w:tcBorders>
              <w:top w:val="single" w:sz="4" w:space="0" w:color="auto"/>
              <w:left w:val="nil"/>
              <w:bottom w:val="single" w:sz="4" w:space="0" w:color="auto"/>
              <w:right w:val="single" w:sz="4" w:space="0" w:color="auto"/>
            </w:tcBorders>
            <w:shd w:val="clear" w:color="000000" w:fill="FFFF99"/>
            <w:noWrap/>
            <w:vAlign w:val="center"/>
            <w:hideMark/>
          </w:tcPr>
          <w:p w14:paraId="472F8DD4" w14:textId="787E513B" w:rsidR="008216D9" w:rsidRPr="00CA0804" w:rsidRDefault="008216D9" w:rsidP="008216D9">
            <w:pPr>
              <w:jc w:val="center"/>
              <w:rPr>
                <w:b/>
                <w:sz w:val="20"/>
              </w:rPr>
            </w:pPr>
            <w:r w:rsidRPr="00CA0804">
              <w:rPr>
                <w:rFonts w:eastAsia="Times New Roman"/>
                <w:b/>
                <w:bCs/>
                <w:sz w:val="20"/>
                <w:szCs w:val="20"/>
                <w:lang w:eastAsia="hr-HR"/>
              </w:rPr>
              <w:t>2024.</w:t>
            </w:r>
          </w:p>
        </w:tc>
      </w:tr>
      <w:tr w:rsidR="008216D9" w:rsidRPr="00CA0804" w14:paraId="2B8D2B41" w14:textId="77777777" w:rsidTr="008A1A07">
        <w:trPr>
          <w:trHeight w:val="112"/>
        </w:trPr>
        <w:tc>
          <w:tcPr>
            <w:tcW w:w="4854" w:type="dxa"/>
            <w:tcBorders>
              <w:top w:val="nil"/>
              <w:left w:val="single" w:sz="4" w:space="0" w:color="auto"/>
              <w:bottom w:val="single" w:sz="4" w:space="0" w:color="auto"/>
              <w:right w:val="single" w:sz="4" w:space="0" w:color="auto"/>
            </w:tcBorders>
            <w:shd w:val="clear" w:color="auto" w:fill="auto"/>
            <w:noWrap/>
            <w:vAlign w:val="center"/>
            <w:hideMark/>
          </w:tcPr>
          <w:p w14:paraId="4A90E8E4" w14:textId="77777777" w:rsidR="008216D9" w:rsidRPr="00CA0804" w:rsidRDefault="008216D9" w:rsidP="008216D9">
            <w:pPr>
              <w:jc w:val="both"/>
              <w:rPr>
                <w:b/>
                <w:bCs/>
                <w:sz w:val="20"/>
                <w:lang w:eastAsia="hr-HR"/>
              </w:rPr>
            </w:pPr>
            <w:r w:rsidRPr="00CA0804">
              <w:rPr>
                <w:b/>
                <w:bCs/>
                <w:sz w:val="20"/>
                <w:lang w:eastAsia="hr-HR"/>
              </w:rPr>
              <w:t>A1</w:t>
            </w:r>
            <w:r w:rsidRPr="00CA0804">
              <w:rPr>
                <w:sz w:val="20"/>
                <w:lang w:eastAsia="hr-HR"/>
              </w:rPr>
              <w:t xml:space="preserve"> subvencije</w:t>
            </w:r>
          </w:p>
        </w:tc>
        <w:tc>
          <w:tcPr>
            <w:tcW w:w="821" w:type="dxa"/>
            <w:tcBorders>
              <w:top w:val="nil"/>
              <w:left w:val="nil"/>
              <w:bottom w:val="single" w:sz="4" w:space="0" w:color="auto"/>
              <w:right w:val="single" w:sz="4" w:space="0" w:color="auto"/>
            </w:tcBorders>
            <w:shd w:val="clear" w:color="auto" w:fill="auto"/>
            <w:noWrap/>
            <w:vAlign w:val="center"/>
          </w:tcPr>
          <w:p w14:paraId="34434FBE" w14:textId="02E7E847" w:rsidR="008216D9" w:rsidRPr="00CA0804" w:rsidRDefault="008216D9" w:rsidP="008216D9">
            <w:pPr>
              <w:jc w:val="right"/>
              <w:rPr>
                <w:sz w:val="20"/>
                <w:szCs w:val="20"/>
              </w:rPr>
            </w:pPr>
            <w:r w:rsidRPr="00CA0804">
              <w:rPr>
                <w:rFonts w:eastAsia="Times New Roman"/>
                <w:sz w:val="20"/>
                <w:szCs w:val="20"/>
                <w:lang w:eastAsia="hr-HR"/>
              </w:rPr>
              <w:t>178,4</w:t>
            </w:r>
          </w:p>
        </w:tc>
        <w:tc>
          <w:tcPr>
            <w:tcW w:w="816" w:type="dxa"/>
            <w:tcBorders>
              <w:top w:val="nil"/>
              <w:left w:val="nil"/>
              <w:bottom w:val="single" w:sz="4" w:space="0" w:color="auto"/>
              <w:right w:val="single" w:sz="4" w:space="0" w:color="auto"/>
            </w:tcBorders>
            <w:shd w:val="clear" w:color="auto" w:fill="auto"/>
            <w:noWrap/>
            <w:vAlign w:val="center"/>
            <w:hideMark/>
          </w:tcPr>
          <w:p w14:paraId="1556E87E" w14:textId="7DD0A325" w:rsidR="008216D9" w:rsidRPr="00CA0804" w:rsidRDefault="008216D9" w:rsidP="008216D9">
            <w:pPr>
              <w:jc w:val="right"/>
              <w:rPr>
                <w:sz w:val="20"/>
                <w:szCs w:val="20"/>
              </w:rPr>
            </w:pPr>
            <w:r w:rsidRPr="00CA0804">
              <w:rPr>
                <w:rFonts w:eastAsia="Times New Roman"/>
                <w:sz w:val="20"/>
                <w:szCs w:val="20"/>
                <w:lang w:eastAsia="hr-HR"/>
              </w:rPr>
              <w:t>283,7</w:t>
            </w:r>
          </w:p>
        </w:tc>
        <w:tc>
          <w:tcPr>
            <w:tcW w:w="900" w:type="dxa"/>
            <w:tcBorders>
              <w:top w:val="nil"/>
              <w:left w:val="nil"/>
              <w:bottom w:val="single" w:sz="4" w:space="0" w:color="auto"/>
              <w:right w:val="single" w:sz="4" w:space="0" w:color="auto"/>
            </w:tcBorders>
            <w:shd w:val="clear" w:color="auto" w:fill="auto"/>
            <w:noWrap/>
            <w:vAlign w:val="center"/>
            <w:hideMark/>
          </w:tcPr>
          <w:p w14:paraId="4221F3A7" w14:textId="52E0982D" w:rsidR="008216D9" w:rsidRPr="00CA0804" w:rsidRDefault="008216D9" w:rsidP="00431868">
            <w:pPr>
              <w:jc w:val="right"/>
              <w:rPr>
                <w:sz w:val="20"/>
                <w:szCs w:val="20"/>
              </w:rPr>
            </w:pPr>
            <w:r w:rsidRPr="00CA0804">
              <w:rPr>
                <w:rFonts w:eastAsia="Times New Roman"/>
                <w:sz w:val="20"/>
                <w:szCs w:val="20"/>
                <w:lang w:eastAsia="hr-HR"/>
              </w:rPr>
              <w:t>358,</w:t>
            </w:r>
            <w:r w:rsidR="00431868" w:rsidRPr="00CA0804">
              <w:rPr>
                <w:rFonts w:eastAsia="Times New Roman"/>
                <w:sz w:val="20"/>
                <w:szCs w:val="20"/>
                <w:lang w:eastAsia="hr-HR"/>
              </w:rPr>
              <w:t>4</w:t>
            </w:r>
          </w:p>
        </w:tc>
      </w:tr>
      <w:tr w:rsidR="008216D9" w:rsidRPr="00CA0804" w14:paraId="586211AD" w14:textId="77777777" w:rsidTr="008A1A07">
        <w:trPr>
          <w:trHeight w:val="47"/>
        </w:trPr>
        <w:tc>
          <w:tcPr>
            <w:tcW w:w="4854" w:type="dxa"/>
            <w:tcBorders>
              <w:top w:val="nil"/>
              <w:left w:val="single" w:sz="4" w:space="0" w:color="auto"/>
              <w:bottom w:val="single" w:sz="4" w:space="0" w:color="auto"/>
              <w:right w:val="single" w:sz="4" w:space="0" w:color="auto"/>
            </w:tcBorders>
            <w:shd w:val="clear" w:color="auto" w:fill="auto"/>
            <w:vAlign w:val="center"/>
            <w:hideMark/>
          </w:tcPr>
          <w:p w14:paraId="61C1316E" w14:textId="77777777" w:rsidR="008216D9" w:rsidRPr="00CA0804" w:rsidRDefault="008216D9" w:rsidP="008216D9">
            <w:pPr>
              <w:jc w:val="both"/>
              <w:rPr>
                <w:sz w:val="20"/>
                <w:lang w:eastAsia="hr-HR"/>
              </w:rPr>
            </w:pPr>
            <w:r w:rsidRPr="00CA0804">
              <w:rPr>
                <w:b/>
                <w:bCs/>
                <w:sz w:val="20"/>
                <w:lang w:eastAsia="hr-HR"/>
              </w:rPr>
              <w:t xml:space="preserve">A2 </w:t>
            </w:r>
            <w:r w:rsidRPr="00CA0804">
              <w:rPr>
                <w:sz w:val="20"/>
                <w:lang w:eastAsia="hr-HR"/>
              </w:rPr>
              <w:t>Oprost poreza, porezna oslobođenja, izuzeća i olakšice</w:t>
            </w:r>
          </w:p>
        </w:tc>
        <w:tc>
          <w:tcPr>
            <w:tcW w:w="821" w:type="dxa"/>
            <w:tcBorders>
              <w:top w:val="nil"/>
              <w:left w:val="nil"/>
              <w:bottom w:val="single" w:sz="4" w:space="0" w:color="auto"/>
              <w:right w:val="single" w:sz="4" w:space="0" w:color="auto"/>
            </w:tcBorders>
            <w:shd w:val="clear" w:color="auto" w:fill="auto"/>
            <w:noWrap/>
            <w:vAlign w:val="center"/>
          </w:tcPr>
          <w:p w14:paraId="4B923A7A" w14:textId="5B975DF5" w:rsidR="008216D9" w:rsidRPr="00CA0804" w:rsidRDefault="008216D9" w:rsidP="008216D9">
            <w:pPr>
              <w:jc w:val="right"/>
              <w:rPr>
                <w:sz w:val="20"/>
                <w:szCs w:val="20"/>
              </w:rPr>
            </w:pPr>
            <w:r w:rsidRPr="00CA0804">
              <w:rPr>
                <w:rFonts w:eastAsia="Times New Roman"/>
                <w:sz w:val="20"/>
                <w:szCs w:val="20"/>
                <w:lang w:eastAsia="hr-HR"/>
              </w:rPr>
              <w:t>26,6</w:t>
            </w:r>
          </w:p>
        </w:tc>
        <w:tc>
          <w:tcPr>
            <w:tcW w:w="816" w:type="dxa"/>
            <w:tcBorders>
              <w:top w:val="nil"/>
              <w:left w:val="nil"/>
              <w:bottom w:val="single" w:sz="4" w:space="0" w:color="auto"/>
              <w:right w:val="single" w:sz="4" w:space="0" w:color="auto"/>
            </w:tcBorders>
            <w:shd w:val="clear" w:color="auto" w:fill="auto"/>
            <w:noWrap/>
            <w:vAlign w:val="center"/>
            <w:hideMark/>
          </w:tcPr>
          <w:p w14:paraId="43DA3B47" w14:textId="650F59A1" w:rsidR="008216D9" w:rsidRPr="00CA0804" w:rsidRDefault="008216D9" w:rsidP="008216D9">
            <w:pPr>
              <w:jc w:val="right"/>
              <w:rPr>
                <w:sz w:val="20"/>
                <w:szCs w:val="20"/>
              </w:rPr>
            </w:pPr>
            <w:r w:rsidRPr="00CA0804">
              <w:rPr>
                <w:rFonts w:eastAsia="Times New Roman"/>
                <w:sz w:val="20"/>
                <w:szCs w:val="20"/>
                <w:lang w:eastAsia="hr-HR"/>
              </w:rPr>
              <w:t>21,6</w:t>
            </w:r>
          </w:p>
        </w:tc>
        <w:tc>
          <w:tcPr>
            <w:tcW w:w="900" w:type="dxa"/>
            <w:tcBorders>
              <w:top w:val="nil"/>
              <w:left w:val="nil"/>
              <w:bottom w:val="single" w:sz="4" w:space="0" w:color="auto"/>
              <w:right w:val="single" w:sz="4" w:space="0" w:color="auto"/>
            </w:tcBorders>
            <w:shd w:val="clear" w:color="auto" w:fill="auto"/>
            <w:noWrap/>
            <w:vAlign w:val="center"/>
            <w:hideMark/>
          </w:tcPr>
          <w:p w14:paraId="2620EE48" w14:textId="0BDB9EDE" w:rsidR="008216D9" w:rsidRPr="00CA0804" w:rsidRDefault="008216D9" w:rsidP="008216D9">
            <w:pPr>
              <w:jc w:val="right"/>
              <w:rPr>
                <w:sz w:val="20"/>
                <w:szCs w:val="20"/>
              </w:rPr>
            </w:pPr>
            <w:r w:rsidRPr="00CA0804">
              <w:rPr>
                <w:rFonts w:eastAsia="Times New Roman"/>
                <w:sz w:val="20"/>
                <w:szCs w:val="20"/>
                <w:lang w:eastAsia="hr-HR"/>
              </w:rPr>
              <w:t>7,5</w:t>
            </w:r>
          </w:p>
        </w:tc>
      </w:tr>
      <w:tr w:rsidR="00FB6521" w:rsidRPr="00CA0804" w14:paraId="41404777" w14:textId="77777777" w:rsidTr="008A1A07">
        <w:trPr>
          <w:trHeight w:val="47"/>
        </w:trPr>
        <w:tc>
          <w:tcPr>
            <w:tcW w:w="4854" w:type="dxa"/>
            <w:tcBorders>
              <w:top w:val="nil"/>
              <w:left w:val="single" w:sz="4" w:space="0" w:color="auto"/>
              <w:bottom w:val="single" w:sz="4" w:space="0" w:color="auto"/>
              <w:right w:val="single" w:sz="4" w:space="0" w:color="auto"/>
            </w:tcBorders>
            <w:shd w:val="clear" w:color="auto" w:fill="auto"/>
            <w:vAlign w:val="center"/>
          </w:tcPr>
          <w:p w14:paraId="454D0BAA" w14:textId="74EEE70C" w:rsidR="00FB6521" w:rsidRPr="00CA0804" w:rsidRDefault="00FB6521" w:rsidP="008216D9">
            <w:pPr>
              <w:rPr>
                <w:sz w:val="20"/>
              </w:rPr>
            </w:pPr>
            <w:r w:rsidRPr="00CA0804">
              <w:rPr>
                <w:b/>
                <w:sz w:val="20"/>
              </w:rPr>
              <w:t>C</w:t>
            </w:r>
            <w:r w:rsidRPr="00CA0804">
              <w:rPr>
                <w:sz w:val="20"/>
              </w:rPr>
              <w:t xml:space="preserve"> Zajmovi poduzetnicima u teškoćama</w:t>
            </w:r>
          </w:p>
        </w:tc>
        <w:tc>
          <w:tcPr>
            <w:tcW w:w="821" w:type="dxa"/>
            <w:tcBorders>
              <w:top w:val="nil"/>
              <w:left w:val="nil"/>
              <w:bottom w:val="single" w:sz="4" w:space="0" w:color="auto"/>
              <w:right w:val="single" w:sz="4" w:space="0" w:color="auto"/>
            </w:tcBorders>
            <w:shd w:val="clear" w:color="auto" w:fill="auto"/>
            <w:noWrap/>
            <w:vAlign w:val="center"/>
          </w:tcPr>
          <w:p w14:paraId="37C54F3A" w14:textId="55ABD550" w:rsidR="00FB6521" w:rsidRPr="00CA0804" w:rsidRDefault="008216D9" w:rsidP="00FB6521">
            <w:pPr>
              <w:jc w:val="right"/>
              <w:rPr>
                <w:sz w:val="20"/>
                <w:szCs w:val="20"/>
              </w:rPr>
            </w:pPr>
            <w:r w:rsidRPr="00CA0804">
              <w:rPr>
                <w:rFonts w:eastAsia="Times New Roman"/>
                <w:sz w:val="20"/>
                <w:szCs w:val="20"/>
                <w:lang w:eastAsia="hr-HR"/>
              </w:rPr>
              <w:t>-</w:t>
            </w:r>
          </w:p>
        </w:tc>
        <w:tc>
          <w:tcPr>
            <w:tcW w:w="816" w:type="dxa"/>
            <w:tcBorders>
              <w:top w:val="nil"/>
              <w:left w:val="nil"/>
              <w:bottom w:val="single" w:sz="4" w:space="0" w:color="auto"/>
              <w:right w:val="single" w:sz="4" w:space="0" w:color="auto"/>
            </w:tcBorders>
            <w:shd w:val="clear" w:color="auto" w:fill="auto"/>
            <w:noWrap/>
            <w:vAlign w:val="center"/>
          </w:tcPr>
          <w:p w14:paraId="277D2F13" w14:textId="342543D8" w:rsidR="00FB6521" w:rsidRPr="00CA0804" w:rsidRDefault="008216D9" w:rsidP="00FB6521">
            <w:pPr>
              <w:jc w:val="right"/>
              <w:rPr>
                <w:sz w:val="20"/>
                <w:szCs w:val="20"/>
              </w:rPr>
            </w:pPr>
            <w:r w:rsidRPr="00CA0804">
              <w:rPr>
                <w:rFonts w:eastAsia="Times New Roman"/>
                <w:sz w:val="20"/>
                <w:szCs w:val="20"/>
                <w:lang w:eastAsia="hr-HR"/>
              </w:rPr>
              <w:t>14,6</w:t>
            </w:r>
          </w:p>
        </w:tc>
        <w:tc>
          <w:tcPr>
            <w:tcW w:w="900" w:type="dxa"/>
            <w:tcBorders>
              <w:top w:val="nil"/>
              <w:left w:val="nil"/>
              <w:bottom w:val="single" w:sz="4" w:space="0" w:color="auto"/>
              <w:right w:val="single" w:sz="4" w:space="0" w:color="auto"/>
            </w:tcBorders>
            <w:shd w:val="clear" w:color="auto" w:fill="auto"/>
            <w:noWrap/>
            <w:vAlign w:val="center"/>
          </w:tcPr>
          <w:p w14:paraId="0883BEED" w14:textId="0D62E0B1" w:rsidR="00FB6521" w:rsidRPr="00CA0804" w:rsidRDefault="008216D9" w:rsidP="00FB6521">
            <w:pPr>
              <w:jc w:val="right"/>
              <w:rPr>
                <w:sz w:val="20"/>
                <w:szCs w:val="20"/>
              </w:rPr>
            </w:pPr>
            <w:r w:rsidRPr="00CA0804">
              <w:rPr>
                <w:sz w:val="20"/>
                <w:szCs w:val="20"/>
              </w:rPr>
              <w:t>-</w:t>
            </w:r>
          </w:p>
        </w:tc>
      </w:tr>
      <w:tr w:rsidR="008216D9" w:rsidRPr="00CA0804" w14:paraId="74B169BE" w14:textId="77777777" w:rsidTr="008724AB">
        <w:trPr>
          <w:trHeight w:val="276"/>
        </w:trPr>
        <w:tc>
          <w:tcPr>
            <w:tcW w:w="4854" w:type="dxa"/>
            <w:tcBorders>
              <w:top w:val="nil"/>
              <w:left w:val="single" w:sz="4" w:space="0" w:color="auto"/>
              <w:bottom w:val="single" w:sz="4" w:space="0" w:color="auto"/>
              <w:right w:val="single" w:sz="4" w:space="0" w:color="auto"/>
            </w:tcBorders>
            <w:shd w:val="clear" w:color="000000" w:fill="FFFF99"/>
            <w:noWrap/>
            <w:vAlign w:val="center"/>
            <w:hideMark/>
          </w:tcPr>
          <w:p w14:paraId="5A027100" w14:textId="77777777" w:rsidR="008216D9" w:rsidRPr="00CA0804" w:rsidRDefault="008216D9" w:rsidP="008216D9">
            <w:pPr>
              <w:jc w:val="both"/>
              <w:rPr>
                <w:b/>
                <w:bCs/>
                <w:sz w:val="20"/>
                <w:lang w:eastAsia="hr-HR"/>
              </w:rPr>
            </w:pPr>
            <w:r w:rsidRPr="00CA0804">
              <w:rPr>
                <w:b/>
                <w:bCs/>
                <w:sz w:val="20"/>
                <w:lang w:eastAsia="hr-HR"/>
              </w:rPr>
              <w:t>Ukupno</w:t>
            </w:r>
          </w:p>
        </w:tc>
        <w:tc>
          <w:tcPr>
            <w:tcW w:w="821" w:type="dxa"/>
            <w:tcBorders>
              <w:top w:val="nil"/>
              <w:left w:val="nil"/>
              <w:bottom w:val="single" w:sz="4" w:space="0" w:color="auto"/>
              <w:right w:val="single" w:sz="4" w:space="0" w:color="auto"/>
            </w:tcBorders>
            <w:shd w:val="clear" w:color="000000" w:fill="FFFF99"/>
            <w:noWrap/>
            <w:vAlign w:val="center"/>
            <w:hideMark/>
          </w:tcPr>
          <w:p w14:paraId="2AB605DC" w14:textId="0D24179C" w:rsidR="008216D9" w:rsidRPr="00CA0804" w:rsidRDefault="008216D9" w:rsidP="008216D9">
            <w:pPr>
              <w:jc w:val="right"/>
              <w:rPr>
                <w:b/>
                <w:sz w:val="20"/>
                <w:szCs w:val="20"/>
              </w:rPr>
            </w:pPr>
            <w:r w:rsidRPr="00CA0804">
              <w:rPr>
                <w:rFonts w:eastAsia="Times New Roman"/>
                <w:b/>
                <w:bCs/>
                <w:sz w:val="20"/>
                <w:szCs w:val="20"/>
                <w:lang w:eastAsia="hr-HR"/>
              </w:rPr>
              <w:t>205,0</w:t>
            </w:r>
          </w:p>
        </w:tc>
        <w:tc>
          <w:tcPr>
            <w:tcW w:w="816" w:type="dxa"/>
            <w:tcBorders>
              <w:top w:val="nil"/>
              <w:left w:val="nil"/>
              <w:bottom w:val="single" w:sz="4" w:space="0" w:color="auto"/>
              <w:right w:val="single" w:sz="4" w:space="0" w:color="auto"/>
            </w:tcBorders>
            <w:shd w:val="clear" w:color="000000" w:fill="FFFF99"/>
            <w:noWrap/>
            <w:vAlign w:val="center"/>
            <w:hideMark/>
          </w:tcPr>
          <w:p w14:paraId="240BA23D" w14:textId="725FAC00" w:rsidR="008216D9" w:rsidRPr="00CA0804" w:rsidRDefault="008216D9" w:rsidP="008216D9">
            <w:pPr>
              <w:jc w:val="right"/>
              <w:rPr>
                <w:b/>
                <w:sz w:val="20"/>
                <w:szCs w:val="20"/>
              </w:rPr>
            </w:pPr>
            <w:r w:rsidRPr="00CA0804">
              <w:rPr>
                <w:rFonts w:eastAsia="Times New Roman"/>
                <w:b/>
                <w:bCs/>
                <w:sz w:val="20"/>
                <w:szCs w:val="20"/>
                <w:lang w:eastAsia="hr-HR"/>
              </w:rPr>
              <w:t>319,9</w:t>
            </w:r>
          </w:p>
        </w:tc>
        <w:tc>
          <w:tcPr>
            <w:tcW w:w="900" w:type="dxa"/>
            <w:tcBorders>
              <w:top w:val="nil"/>
              <w:left w:val="nil"/>
              <w:bottom w:val="single" w:sz="4" w:space="0" w:color="auto"/>
              <w:right w:val="single" w:sz="4" w:space="0" w:color="auto"/>
            </w:tcBorders>
            <w:shd w:val="clear" w:color="000000" w:fill="FFFF99"/>
            <w:noWrap/>
            <w:vAlign w:val="center"/>
            <w:hideMark/>
          </w:tcPr>
          <w:p w14:paraId="6D5BC56A" w14:textId="78AA1DD1" w:rsidR="008216D9" w:rsidRPr="00CA0804" w:rsidRDefault="008216D9" w:rsidP="00F9187E">
            <w:pPr>
              <w:jc w:val="right"/>
              <w:rPr>
                <w:b/>
                <w:sz w:val="20"/>
                <w:szCs w:val="20"/>
              </w:rPr>
            </w:pPr>
            <w:r w:rsidRPr="00CA0804">
              <w:rPr>
                <w:rFonts w:eastAsia="Times New Roman"/>
                <w:b/>
                <w:bCs/>
                <w:sz w:val="20"/>
                <w:szCs w:val="20"/>
                <w:lang w:eastAsia="hr-HR"/>
              </w:rPr>
              <w:t>365,</w:t>
            </w:r>
            <w:r w:rsidR="00F9187E" w:rsidRPr="00CA0804">
              <w:rPr>
                <w:rFonts w:eastAsia="Times New Roman"/>
                <w:b/>
                <w:bCs/>
                <w:sz w:val="20"/>
                <w:szCs w:val="20"/>
                <w:lang w:eastAsia="hr-HR"/>
              </w:rPr>
              <w:t>9</w:t>
            </w:r>
          </w:p>
        </w:tc>
      </w:tr>
    </w:tbl>
    <w:p w14:paraId="55329023" w14:textId="77777777" w:rsidR="002E26BD" w:rsidRPr="00CA0804" w:rsidRDefault="002E26BD" w:rsidP="002E26BD">
      <w:pPr>
        <w:contextualSpacing/>
        <w:jc w:val="both"/>
        <w:rPr>
          <w:i/>
          <w:sz w:val="20"/>
        </w:rPr>
      </w:pPr>
      <w:r w:rsidRPr="00CA0804">
        <w:rPr>
          <w:i/>
          <w:sz w:val="20"/>
        </w:rPr>
        <w:t>Izvor: Ministarstvo financija i davatelji potpora; podaci obrađeni u Ministarstvu financija</w:t>
      </w:r>
    </w:p>
    <w:p w14:paraId="2BBFF5FA" w14:textId="77777777" w:rsidR="00294CAD" w:rsidRPr="00CA0804" w:rsidRDefault="00294CAD" w:rsidP="00BE487D">
      <w:pPr>
        <w:jc w:val="both"/>
      </w:pPr>
    </w:p>
    <w:p w14:paraId="63E17862" w14:textId="430EA92E" w:rsidR="00A10F81" w:rsidRPr="00CA0804" w:rsidRDefault="005E6277" w:rsidP="00A10F81">
      <w:pPr>
        <w:jc w:val="both"/>
      </w:pPr>
      <w:r w:rsidRPr="00CA0804">
        <w:rPr>
          <w:rFonts w:eastAsia="Times New Roman"/>
          <w:spacing w:val="-2"/>
          <w:szCs w:val="24"/>
          <w:lang w:eastAsia="hr-HR"/>
        </w:rPr>
        <w:t xml:space="preserve">Instrumenti putem kojih su dodijeljene potpore </w:t>
      </w:r>
      <w:r w:rsidR="00A10F81" w:rsidRPr="00CA0804">
        <w:t>u sektoru prometa u 202</w:t>
      </w:r>
      <w:r w:rsidRPr="00CA0804">
        <w:t>4</w:t>
      </w:r>
      <w:r w:rsidR="00A10F81" w:rsidRPr="00CA0804">
        <w:t xml:space="preserve">. godini u iznosu od </w:t>
      </w:r>
      <w:r w:rsidRPr="00CA0804">
        <w:t>365,9</w:t>
      </w:r>
      <w:r w:rsidR="00A10F81" w:rsidRPr="00CA0804">
        <w:t xml:space="preserve"> milijuna eura, </w:t>
      </w:r>
      <w:r w:rsidRPr="00CA0804">
        <w:rPr>
          <w:rFonts w:eastAsia="Times New Roman"/>
          <w:spacing w:val="-2"/>
          <w:szCs w:val="24"/>
          <w:lang w:eastAsia="hr-HR"/>
        </w:rPr>
        <w:t>najvećim dijelom se odnose na su</w:t>
      </w:r>
      <w:r w:rsidRPr="00CA0804">
        <w:rPr>
          <w:spacing w:val="-2"/>
        </w:rPr>
        <w:t xml:space="preserve">bvencije u iznosu od </w:t>
      </w:r>
      <w:r w:rsidRPr="00CA0804">
        <w:t xml:space="preserve">358,4 </w:t>
      </w:r>
      <w:r w:rsidRPr="00CA0804">
        <w:rPr>
          <w:spacing w:val="-2"/>
        </w:rPr>
        <w:t>milijuna eura ili s udjelom od 9</w:t>
      </w:r>
      <w:r w:rsidR="00541990" w:rsidRPr="00CA0804">
        <w:rPr>
          <w:spacing w:val="-2"/>
        </w:rPr>
        <w:t>8</w:t>
      </w:r>
      <w:r w:rsidRPr="00CA0804">
        <w:rPr>
          <w:spacing w:val="-2"/>
        </w:rPr>
        <w:t xml:space="preserve"> posto u navedenim </w:t>
      </w:r>
      <w:r w:rsidRPr="00CA0804">
        <w:rPr>
          <w:rFonts w:eastAsia="Times New Roman"/>
          <w:spacing w:val="-2"/>
          <w:szCs w:val="24"/>
          <w:lang w:eastAsia="hr-HR"/>
        </w:rPr>
        <w:t>potporama, te</w:t>
      </w:r>
      <w:r w:rsidRPr="00CA0804">
        <w:rPr>
          <w:spacing w:val="-2"/>
        </w:rPr>
        <w:t xml:space="preserve"> </w:t>
      </w:r>
      <w:r w:rsidR="000B6DEC" w:rsidRPr="00CA0804">
        <w:rPr>
          <w:spacing w:val="-2"/>
        </w:rPr>
        <w:t xml:space="preserve">na </w:t>
      </w:r>
      <w:r w:rsidRPr="00CA0804">
        <w:rPr>
          <w:spacing w:val="-2"/>
        </w:rPr>
        <w:t>porezne olakšice</w:t>
      </w:r>
      <w:r w:rsidRPr="00CA0804">
        <w:rPr>
          <w:rFonts w:eastAsia="Times New Roman"/>
          <w:spacing w:val="-2"/>
          <w:szCs w:val="24"/>
          <w:lang w:eastAsia="hr-HR"/>
        </w:rPr>
        <w:t xml:space="preserve"> od </w:t>
      </w:r>
      <w:r w:rsidR="000B6DEC" w:rsidRPr="00CA0804">
        <w:rPr>
          <w:spacing w:val="-2"/>
        </w:rPr>
        <w:t>7,5</w:t>
      </w:r>
      <w:r w:rsidRPr="00CA0804">
        <w:rPr>
          <w:spacing w:val="-2"/>
        </w:rPr>
        <w:t xml:space="preserve"> milijuna eura ili </w:t>
      </w:r>
      <w:r w:rsidR="000B6DEC" w:rsidRPr="00CA0804">
        <w:rPr>
          <w:spacing w:val="-2"/>
        </w:rPr>
        <w:t>2</w:t>
      </w:r>
      <w:r w:rsidRPr="00CA0804">
        <w:rPr>
          <w:spacing w:val="-2"/>
        </w:rPr>
        <w:t xml:space="preserve"> </w:t>
      </w:r>
      <w:r w:rsidR="000B6DEC" w:rsidRPr="00CA0804">
        <w:rPr>
          <w:spacing w:val="-2"/>
        </w:rPr>
        <w:t>posto</w:t>
      </w:r>
      <w:r w:rsidR="00A10F81" w:rsidRPr="00CA0804">
        <w:t>.</w:t>
      </w:r>
    </w:p>
    <w:p w14:paraId="54B3719A" w14:textId="77777777" w:rsidR="00CA3ECB" w:rsidRPr="00CA0804" w:rsidRDefault="00CA3ECB" w:rsidP="00BE487D">
      <w:pPr>
        <w:jc w:val="both"/>
      </w:pPr>
    </w:p>
    <w:p w14:paraId="5F3DA66D" w14:textId="34EE89D0" w:rsidR="00E369FC" w:rsidRPr="00CA0804" w:rsidRDefault="00B92C11" w:rsidP="00E369FC">
      <w:pPr>
        <w:jc w:val="both"/>
      </w:pPr>
      <w:r w:rsidRPr="00CA0804">
        <w:rPr>
          <w:b/>
        </w:rPr>
        <w:t>Potpore</w:t>
      </w:r>
      <w:r w:rsidRPr="00CA0804">
        <w:t xml:space="preserve"> </w:t>
      </w:r>
      <w:r w:rsidRPr="00CA0804">
        <w:rPr>
          <w:b/>
        </w:rPr>
        <w:t>pomorskom prometu</w:t>
      </w:r>
      <w:r w:rsidRPr="00CA0804">
        <w:t xml:space="preserve"> </w:t>
      </w:r>
      <w:r w:rsidR="005F1DB3" w:rsidRPr="00CA0804">
        <w:t xml:space="preserve">dodijeljene </w:t>
      </w:r>
      <w:r w:rsidR="000B6DEC" w:rsidRPr="00CA0804">
        <w:t xml:space="preserve">su </w:t>
      </w:r>
      <w:r w:rsidR="005F1DB3" w:rsidRPr="00CA0804">
        <w:t>u 202</w:t>
      </w:r>
      <w:r w:rsidR="000B6DEC" w:rsidRPr="00CA0804">
        <w:t>4</w:t>
      </w:r>
      <w:r w:rsidR="005F1DB3" w:rsidRPr="00CA0804">
        <w:t xml:space="preserve">. godini u iznosu od </w:t>
      </w:r>
      <w:r w:rsidR="000B6DEC" w:rsidRPr="00CA0804">
        <w:t xml:space="preserve">154,8 </w:t>
      </w:r>
      <w:r w:rsidR="005F1DB3" w:rsidRPr="00CA0804">
        <w:t xml:space="preserve">milijuna eura, što je povećanje za </w:t>
      </w:r>
      <w:r w:rsidR="000B6DEC" w:rsidRPr="00CA0804">
        <w:t>65,</w:t>
      </w:r>
      <w:r w:rsidR="00541990" w:rsidRPr="00CA0804">
        <w:t>3</w:t>
      </w:r>
      <w:r w:rsidR="000B6DEC" w:rsidRPr="00CA0804">
        <w:t xml:space="preserve"> </w:t>
      </w:r>
      <w:r w:rsidR="005F1DB3" w:rsidRPr="00CA0804">
        <w:t xml:space="preserve">milijuna eura ili za </w:t>
      </w:r>
      <w:r w:rsidR="000B6DEC" w:rsidRPr="00CA0804">
        <w:t>7</w:t>
      </w:r>
      <w:r w:rsidR="00541990" w:rsidRPr="00CA0804">
        <w:t>3</w:t>
      </w:r>
      <w:r w:rsidRPr="00CA0804">
        <w:t xml:space="preserve"> </w:t>
      </w:r>
      <w:r w:rsidR="005F1DB3" w:rsidRPr="00CA0804">
        <w:t>posto u odnosu na 202</w:t>
      </w:r>
      <w:r w:rsidR="000B6DEC" w:rsidRPr="00CA0804">
        <w:t>3</w:t>
      </w:r>
      <w:r w:rsidR="005F1DB3" w:rsidRPr="00CA0804">
        <w:t xml:space="preserve">. godinu, kada su iznosile </w:t>
      </w:r>
      <w:r w:rsidR="000B6DEC" w:rsidRPr="00CA0804">
        <w:t xml:space="preserve">89,5 </w:t>
      </w:r>
      <w:r w:rsidR="005F1DB3" w:rsidRPr="00CA0804">
        <w:t xml:space="preserve">milijuna eura, te </w:t>
      </w:r>
      <w:r w:rsidR="00952DB4" w:rsidRPr="00CA0804">
        <w:t>predstavlja</w:t>
      </w:r>
      <w:r w:rsidR="005F1DB3" w:rsidRPr="00CA0804">
        <w:t xml:space="preserve"> </w:t>
      </w:r>
      <w:r w:rsidR="008A58C4" w:rsidRPr="00CA0804">
        <w:t xml:space="preserve">povećanje </w:t>
      </w:r>
      <w:r w:rsidR="005F1DB3" w:rsidRPr="00CA0804">
        <w:t xml:space="preserve">za </w:t>
      </w:r>
      <w:r w:rsidR="000B6DEC" w:rsidRPr="00CA0804">
        <w:t xml:space="preserve">68,8 </w:t>
      </w:r>
      <w:r w:rsidR="005F1DB3" w:rsidRPr="00CA0804">
        <w:t xml:space="preserve">milijuna eura ili za </w:t>
      </w:r>
      <w:r w:rsidR="000B6DEC" w:rsidRPr="00CA0804">
        <w:t xml:space="preserve">80 </w:t>
      </w:r>
      <w:r w:rsidR="005F1DB3" w:rsidRPr="00CA0804">
        <w:t>posto u odnosu na 202</w:t>
      </w:r>
      <w:r w:rsidR="000B6DEC" w:rsidRPr="00CA0804">
        <w:t>2</w:t>
      </w:r>
      <w:r w:rsidR="005F1DB3" w:rsidRPr="00CA0804">
        <w:t xml:space="preserve">. godinu kada su potpore iznosile </w:t>
      </w:r>
      <w:r w:rsidR="000B6DEC" w:rsidRPr="00CA0804">
        <w:t>8</w:t>
      </w:r>
      <w:r w:rsidR="00541990" w:rsidRPr="00CA0804">
        <w:t>6</w:t>
      </w:r>
      <w:r w:rsidR="000B6DEC" w:rsidRPr="00CA0804">
        <w:t xml:space="preserve"> </w:t>
      </w:r>
      <w:r w:rsidR="005F1DB3" w:rsidRPr="00CA0804">
        <w:t>milijuna eura.</w:t>
      </w:r>
      <w:r w:rsidR="008A58C4" w:rsidRPr="00CA0804">
        <w:t xml:space="preserve"> Udio potpora pomorskom prometu u BDP-u u 202</w:t>
      </w:r>
      <w:r w:rsidR="000B6DEC" w:rsidRPr="00CA0804">
        <w:t>4</w:t>
      </w:r>
      <w:r w:rsidR="008A58C4" w:rsidRPr="00CA0804">
        <w:t xml:space="preserve">. godini iznosio je </w:t>
      </w:r>
      <w:r w:rsidR="000B6DEC" w:rsidRPr="00CA0804">
        <w:t xml:space="preserve">0,18 </w:t>
      </w:r>
      <w:r w:rsidR="008A58C4" w:rsidRPr="00CA0804">
        <w:t xml:space="preserve">posto, udio u ukupno dodijeljenim potporama </w:t>
      </w:r>
      <w:r w:rsidR="000B6DEC" w:rsidRPr="00CA0804">
        <w:t>10,7</w:t>
      </w:r>
      <w:r w:rsidR="008A58C4" w:rsidRPr="00CA0804">
        <w:t xml:space="preserve"> posto, udio u sektorskim potporama </w:t>
      </w:r>
      <w:r w:rsidR="000B6DEC" w:rsidRPr="00CA0804">
        <w:t>19,3</w:t>
      </w:r>
      <w:r w:rsidR="008A58C4" w:rsidRPr="00CA0804">
        <w:t xml:space="preserve"> posto</w:t>
      </w:r>
      <w:r w:rsidR="000B6DEC" w:rsidRPr="00CA0804">
        <w:t xml:space="preserve"> i </w:t>
      </w:r>
      <w:r w:rsidR="008A58C4" w:rsidRPr="00CA0804">
        <w:t xml:space="preserve">udio u sektoru prometa </w:t>
      </w:r>
      <w:r w:rsidR="000B6DEC" w:rsidRPr="00CA0804">
        <w:t>42,3</w:t>
      </w:r>
      <w:r w:rsidR="008A58C4" w:rsidRPr="00CA0804">
        <w:t xml:space="preserve"> posto. </w:t>
      </w:r>
      <w:r w:rsidR="00E369FC" w:rsidRPr="00CA0804">
        <w:t xml:space="preserve">Potpore pomorskom prometu </w:t>
      </w:r>
      <w:r w:rsidR="000B6DEC" w:rsidRPr="00CA0804">
        <w:t xml:space="preserve">u 2024. godini </w:t>
      </w:r>
      <w:r w:rsidR="00E369FC" w:rsidRPr="00CA0804">
        <w:t xml:space="preserve">najvećim dijelom su dodjeljivane putem subvencija u iznosu od </w:t>
      </w:r>
      <w:r w:rsidR="000B6DEC" w:rsidRPr="00CA0804">
        <w:t xml:space="preserve">147,3 </w:t>
      </w:r>
      <w:r w:rsidR="00E369FC" w:rsidRPr="00CA0804">
        <w:t xml:space="preserve">milijuna eura ili s udjelom od </w:t>
      </w:r>
      <w:r w:rsidR="000B6DEC" w:rsidRPr="00CA0804">
        <w:t xml:space="preserve">95,1 </w:t>
      </w:r>
      <w:r w:rsidR="00E369FC" w:rsidRPr="00CA0804">
        <w:t xml:space="preserve">posto u navedenim potporama te putem poreznih olakšica </w:t>
      </w:r>
      <w:r w:rsidR="000B6DEC" w:rsidRPr="00CA0804">
        <w:t>7,5</w:t>
      </w:r>
      <w:r w:rsidR="00952DB4" w:rsidRPr="00CA0804">
        <w:t xml:space="preserve"> </w:t>
      </w:r>
      <w:r w:rsidR="00E369FC" w:rsidRPr="00CA0804">
        <w:t xml:space="preserve">milijuna eura ili </w:t>
      </w:r>
      <w:r w:rsidR="000B6DEC" w:rsidRPr="00CA0804">
        <w:t>4,9</w:t>
      </w:r>
      <w:r w:rsidR="00E369FC" w:rsidRPr="00CA0804">
        <w:t xml:space="preserve"> posto.</w:t>
      </w:r>
    </w:p>
    <w:p w14:paraId="388640F7" w14:textId="77777777" w:rsidR="00541990" w:rsidRPr="00CA0804" w:rsidRDefault="00541990" w:rsidP="00E369FC">
      <w:pPr>
        <w:jc w:val="both"/>
        <w:rPr>
          <w:rFonts w:ascii="Arial Narrow" w:eastAsia="Times New Roman" w:hAnsi="Arial Narrow" w:cs="Arial"/>
          <w:sz w:val="20"/>
          <w:szCs w:val="20"/>
          <w:lang w:eastAsia="hr-HR"/>
        </w:rPr>
      </w:pPr>
    </w:p>
    <w:p w14:paraId="00120424" w14:textId="2980428F" w:rsidR="00A260DF" w:rsidRPr="00CA0804" w:rsidRDefault="000B6DEC" w:rsidP="00E369FC">
      <w:pPr>
        <w:jc w:val="both"/>
        <w:rPr>
          <w:rFonts w:eastAsia="Times New Roman"/>
          <w:lang w:eastAsia="hr-HR"/>
        </w:rPr>
      </w:pPr>
      <w:r w:rsidRPr="00CA0804">
        <w:t>D</w:t>
      </w:r>
      <w:r w:rsidR="00E369FC" w:rsidRPr="00CA0804">
        <w:t>avatelji</w:t>
      </w:r>
      <w:r w:rsidRPr="00CA0804">
        <w:t xml:space="preserve"> </w:t>
      </w:r>
      <w:r w:rsidR="00E369FC" w:rsidRPr="00CA0804">
        <w:t>potpora pomorskom prometu</w:t>
      </w:r>
      <w:r w:rsidRPr="00CA0804">
        <w:t xml:space="preserve"> u 2024.</w:t>
      </w:r>
      <w:r w:rsidR="00952DB4" w:rsidRPr="00CA0804">
        <w:t xml:space="preserve"> </w:t>
      </w:r>
      <w:r w:rsidRPr="00CA0804">
        <w:t>godini u ukupnom iznosu od 154,8 milijuna eura su Ministarstvo mora, prometa i infrastrukture</w:t>
      </w:r>
      <w:r w:rsidR="00A260DF" w:rsidRPr="00CA0804">
        <w:t xml:space="preserve"> s iznosom od 89,2 </w:t>
      </w:r>
      <w:r w:rsidR="00A260DF" w:rsidRPr="00CA0804">
        <w:rPr>
          <w:rFonts w:eastAsia="Times New Roman"/>
          <w:lang w:eastAsia="hr-HR"/>
        </w:rPr>
        <w:t xml:space="preserve">milijuna eura i </w:t>
      </w:r>
      <w:r w:rsidR="00E369FC" w:rsidRPr="00CA0804">
        <w:t>Agencija za obalni linijski pomorski promet s iznosom od 6</w:t>
      </w:r>
      <w:r w:rsidR="00A260DF" w:rsidRPr="00CA0804">
        <w:t>5,6</w:t>
      </w:r>
      <w:r w:rsidR="00E369FC" w:rsidRPr="00CA0804">
        <w:t xml:space="preserve"> </w:t>
      </w:r>
      <w:r w:rsidR="00E369FC" w:rsidRPr="00CA0804">
        <w:rPr>
          <w:rFonts w:eastAsia="Times New Roman"/>
          <w:lang w:eastAsia="hr-HR"/>
        </w:rPr>
        <w:t>milijuna eura</w:t>
      </w:r>
      <w:r w:rsidR="00A260DF" w:rsidRPr="00CA0804">
        <w:rPr>
          <w:rFonts w:eastAsia="Times New Roman"/>
          <w:lang w:eastAsia="hr-HR"/>
        </w:rPr>
        <w:t>.</w:t>
      </w:r>
    </w:p>
    <w:p w14:paraId="08D7633A" w14:textId="77777777" w:rsidR="00A260DF" w:rsidRPr="00CA0804" w:rsidRDefault="00A260DF" w:rsidP="00E369FC">
      <w:pPr>
        <w:jc w:val="both"/>
        <w:rPr>
          <w:rFonts w:eastAsia="Times New Roman"/>
          <w:lang w:eastAsia="hr-HR"/>
        </w:rPr>
      </w:pPr>
    </w:p>
    <w:p w14:paraId="0C98164D" w14:textId="6F7F0F94" w:rsidR="00A260DF" w:rsidRPr="00CA0804" w:rsidRDefault="000B6DEC" w:rsidP="000B6DEC">
      <w:pPr>
        <w:jc w:val="both"/>
      </w:pPr>
      <w:r w:rsidRPr="00CA0804">
        <w:rPr>
          <w:u w:val="single"/>
        </w:rPr>
        <w:t>Ministarstvo mora, prometa i infrastrukture</w:t>
      </w:r>
      <w:r w:rsidRPr="00CA0804">
        <w:t xml:space="preserve"> dodijelilo </w:t>
      </w:r>
      <w:r w:rsidR="00A260DF" w:rsidRPr="00CA0804">
        <w:t xml:space="preserve">je u 2024. godini </w:t>
      </w:r>
      <w:r w:rsidRPr="00CA0804">
        <w:t xml:space="preserve">ukupno </w:t>
      </w:r>
      <w:r w:rsidR="00A260DF" w:rsidRPr="00CA0804">
        <w:t xml:space="preserve">89,2 </w:t>
      </w:r>
      <w:r w:rsidR="00A260DF" w:rsidRPr="00CA0804">
        <w:rPr>
          <w:rFonts w:eastAsia="Times New Roman"/>
          <w:lang w:eastAsia="hr-HR"/>
        </w:rPr>
        <w:t xml:space="preserve">milijuna eura, </w:t>
      </w:r>
      <w:r w:rsidRPr="00CA0804">
        <w:t xml:space="preserve">temeljem </w:t>
      </w:r>
      <w:r w:rsidR="00A260DF" w:rsidRPr="00CA0804">
        <w:t xml:space="preserve">Programa dodjele državnih potpora za ulaganje u izgradnju, nadogradnju ili modernizaciju lučke infrastrukture morskih luka i pristupne infrastrukture iznos od 81,7 milijuna eura subvencija, o kojem je Europska komisija obaviještena pod brojem SA.113474, te kroz porezne olakšice temeljem </w:t>
      </w:r>
      <w:r w:rsidRPr="00CA0804">
        <w:t xml:space="preserve">Programa državnih potpora u obliku poreza po tonaži broda u iznosu od </w:t>
      </w:r>
      <w:r w:rsidR="00A260DF" w:rsidRPr="00CA0804">
        <w:t xml:space="preserve">7,5 </w:t>
      </w:r>
      <w:r w:rsidRPr="00CA0804">
        <w:t>milijuna eura, a program je Europska komisija odobrila u postupku koji se vodio pod brojem SA.37912</w:t>
      </w:r>
      <w:r w:rsidR="00A260DF" w:rsidRPr="00CA0804">
        <w:t>.</w:t>
      </w:r>
    </w:p>
    <w:p w14:paraId="28EC2C11" w14:textId="77777777" w:rsidR="000B6DEC" w:rsidRPr="00CA0804" w:rsidRDefault="000B6DEC" w:rsidP="00831A3A"/>
    <w:p w14:paraId="1ED3540D" w14:textId="3458AD9C" w:rsidR="00EE0FD6" w:rsidRPr="00CA0804" w:rsidRDefault="00C169B5" w:rsidP="00EE0FD6">
      <w:pPr>
        <w:jc w:val="both"/>
      </w:pPr>
      <w:r w:rsidRPr="00CA0804">
        <w:rPr>
          <w:u w:val="single"/>
        </w:rPr>
        <w:t>Agencija za obalni linijski pomorski promet</w:t>
      </w:r>
      <w:r w:rsidRPr="00CA0804">
        <w:t xml:space="preserve"> dodijelila </w:t>
      </w:r>
      <w:r w:rsidR="00A260DF" w:rsidRPr="00CA0804">
        <w:t xml:space="preserve">je u 2024. godini 65,6 </w:t>
      </w:r>
      <w:r w:rsidR="00E369FC" w:rsidRPr="00CA0804">
        <w:rPr>
          <w:rFonts w:eastAsia="Times New Roman"/>
          <w:lang w:eastAsia="hr-HR"/>
        </w:rPr>
        <w:t xml:space="preserve">milijuna eura </w:t>
      </w:r>
      <w:r w:rsidR="00610D16" w:rsidRPr="00CA0804">
        <w:t>subvencija</w:t>
      </w:r>
      <w:r w:rsidRPr="00CA0804">
        <w:t xml:space="preserve"> </w:t>
      </w:r>
      <w:r w:rsidR="00EE0FD6" w:rsidRPr="00CA0804">
        <w:t xml:space="preserve">poduzetnicima za obavljanje usluga od općeg gospodarskog interesa </w:t>
      </w:r>
      <w:r w:rsidR="00A260DF" w:rsidRPr="00CA0804">
        <w:t>za</w:t>
      </w:r>
      <w:r w:rsidR="00EE0FD6" w:rsidRPr="00CA0804">
        <w:t xml:space="preserve"> javne usluge pomorskog prijevoza</w:t>
      </w:r>
      <w:r w:rsidRPr="00CA0804">
        <w:t xml:space="preserve">, </w:t>
      </w:r>
      <w:r w:rsidR="00EE0FD6" w:rsidRPr="00CA0804">
        <w:t xml:space="preserve">temeljem </w:t>
      </w:r>
      <w:r w:rsidR="00335E92" w:rsidRPr="00CA0804">
        <w:t xml:space="preserve">sljedećih </w:t>
      </w:r>
      <w:r w:rsidR="00EE0FD6" w:rsidRPr="00CA0804">
        <w:t>programa</w:t>
      </w:r>
      <w:r w:rsidR="00335E92" w:rsidRPr="00CA0804">
        <w:t>:</w:t>
      </w:r>
      <w:r w:rsidR="00EE0FD6" w:rsidRPr="00CA0804">
        <w:t xml:space="preserve"> </w:t>
      </w:r>
    </w:p>
    <w:p w14:paraId="4B090F69" w14:textId="44B05C94" w:rsidR="002E6DF8" w:rsidRPr="00CA0804" w:rsidRDefault="002E6DF8" w:rsidP="00E346B9">
      <w:pPr>
        <w:pStyle w:val="ListParagraph"/>
        <w:numPr>
          <w:ilvl w:val="0"/>
          <w:numId w:val="10"/>
        </w:numPr>
        <w:jc w:val="both"/>
      </w:pPr>
      <w:r w:rsidRPr="00CA0804">
        <w:rPr>
          <w:rFonts w:eastAsia="Times New Roman"/>
          <w:color w:val="000000"/>
        </w:rPr>
        <w:t>Program</w:t>
      </w:r>
      <w:r w:rsidR="007C7F5E" w:rsidRPr="00CA0804">
        <w:rPr>
          <w:rFonts w:eastAsia="Times New Roman"/>
          <w:color w:val="000000"/>
        </w:rPr>
        <w:t>a</w:t>
      </w:r>
      <w:r w:rsidRPr="00CA0804">
        <w:rPr>
          <w:rFonts w:eastAsia="Times New Roman"/>
          <w:color w:val="000000"/>
        </w:rPr>
        <w:t xml:space="preserve"> </w:t>
      </w:r>
      <w:r w:rsidR="00806400" w:rsidRPr="00CA0804">
        <w:t>Trajektne linije od 01.01.2024. - 31.12.2024. u iznosu od</w:t>
      </w:r>
      <w:r w:rsidR="00806400" w:rsidRPr="00CA0804">
        <w:rPr>
          <w:rFonts w:eastAsia="Times New Roman"/>
          <w:color w:val="000000"/>
        </w:rPr>
        <w:t xml:space="preserve"> </w:t>
      </w:r>
      <w:r w:rsidR="00806400" w:rsidRPr="00CA0804">
        <w:t>17,3</w:t>
      </w:r>
      <w:r w:rsidRPr="00CA0804">
        <w:t xml:space="preserve"> milijuna eura </w:t>
      </w:r>
    </w:p>
    <w:p w14:paraId="5670E264" w14:textId="5BFF9813" w:rsidR="00806400" w:rsidRPr="00CA0804" w:rsidRDefault="00806400" w:rsidP="00806400">
      <w:pPr>
        <w:pStyle w:val="ListParagraph"/>
        <w:numPr>
          <w:ilvl w:val="0"/>
          <w:numId w:val="10"/>
        </w:numPr>
        <w:jc w:val="both"/>
        <w:rPr>
          <w:spacing w:val="-2"/>
        </w:rPr>
      </w:pPr>
      <w:r w:rsidRPr="00CA0804">
        <w:rPr>
          <w:rFonts w:eastAsia="Times New Roman"/>
          <w:color w:val="000000"/>
          <w:spacing w:val="-2"/>
        </w:rPr>
        <w:t>Program</w:t>
      </w:r>
      <w:r w:rsidR="007C7F5E" w:rsidRPr="00CA0804">
        <w:rPr>
          <w:rFonts w:eastAsia="Times New Roman"/>
          <w:color w:val="000000"/>
          <w:spacing w:val="-2"/>
        </w:rPr>
        <w:t>a</w:t>
      </w:r>
      <w:r w:rsidRPr="00CA0804">
        <w:rPr>
          <w:rFonts w:eastAsia="Times New Roman"/>
          <w:color w:val="000000"/>
          <w:spacing w:val="-2"/>
        </w:rPr>
        <w:t xml:space="preserve"> </w:t>
      </w:r>
      <w:r w:rsidRPr="00CA0804">
        <w:rPr>
          <w:spacing w:val="-2"/>
        </w:rPr>
        <w:t>Brzobrodske linije od 01.01.2024. - 31.12.2024. u iznosu od</w:t>
      </w:r>
      <w:r w:rsidRPr="00CA0804">
        <w:rPr>
          <w:rFonts w:eastAsia="Times New Roman"/>
          <w:color w:val="000000"/>
          <w:spacing w:val="-2"/>
        </w:rPr>
        <w:t xml:space="preserve"> </w:t>
      </w:r>
      <w:r w:rsidRPr="00CA0804">
        <w:rPr>
          <w:spacing w:val="-2"/>
        </w:rPr>
        <w:t>17,2 milijuna eura</w:t>
      </w:r>
    </w:p>
    <w:p w14:paraId="14C0BEEF" w14:textId="63D77DA4" w:rsidR="00806400" w:rsidRPr="00CA0804" w:rsidRDefault="00806400" w:rsidP="00806400">
      <w:pPr>
        <w:pStyle w:val="ListParagraph"/>
        <w:numPr>
          <w:ilvl w:val="0"/>
          <w:numId w:val="10"/>
        </w:numPr>
        <w:jc w:val="both"/>
      </w:pPr>
      <w:r w:rsidRPr="00CA0804">
        <w:t>Program</w:t>
      </w:r>
      <w:r w:rsidR="007C7F5E" w:rsidRPr="00CA0804">
        <w:t>a</w:t>
      </w:r>
      <w:r w:rsidRPr="00CA0804">
        <w:t xml:space="preserve"> državne potpore za usluge od općeg gospodarskog interesa u obliku naknade za obavljanje javne usluge javnog obalnog linijskog pomorskog prijevoza za razdoblje od 2018. do 2023. godine uz mogućnost produljenja do 2027. godine </w:t>
      </w:r>
      <w:r w:rsidRPr="00CA0804">
        <w:rPr>
          <w:rFonts w:eastAsia="Times New Roman"/>
          <w:color w:val="000000"/>
        </w:rPr>
        <w:t xml:space="preserve">na </w:t>
      </w:r>
      <w:r w:rsidRPr="00CA0804">
        <w:t>državnim trajektnim linijama u iznosu od 8,7 milijuna eura</w:t>
      </w:r>
    </w:p>
    <w:p w14:paraId="420FFAB6" w14:textId="62F1C73E" w:rsidR="00806400" w:rsidRPr="00CA0804" w:rsidRDefault="00806400" w:rsidP="00806400">
      <w:pPr>
        <w:pStyle w:val="ListParagraph"/>
        <w:numPr>
          <w:ilvl w:val="0"/>
          <w:numId w:val="10"/>
        </w:numPr>
        <w:jc w:val="both"/>
      </w:pPr>
      <w:r w:rsidRPr="00CA0804">
        <w:lastRenderedPageBreak/>
        <w:t>Program</w:t>
      </w:r>
      <w:r w:rsidR="007C7F5E" w:rsidRPr="00CA0804">
        <w:t>a</w:t>
      </w:r>
      <w:r w:rsidRPr="00CA0804">
        <w:t xml:space="preserve"> državne potpore za usluge od općeg gospodarskog interesa u obliku naknade za obavljanje usluge javnog obalnog linijskog pomorskog prijevoza za razdoblje 2018. do 2023. uz mogućnost produljenja do 2027. godine na državnim brzobrodskim linijama u iznosu od 6 milijuna eura</w:t>
      </w:r>
    </w:p>
    <w:p w14:paraId="6F832510" w14:textId="2D8AD246" w:rsidR="00806400" w:rsidRPr="00CA0804" w:rsidRDefault="00806400" w:rsidP="00806400">
      <w:pPr>
        <w:pStyle w:val="ListParagraph"/>
        <w:numPr>
          <w:ilvl w:val="0"/>
          <w:numId w:val="10"/>
        </w:numPr>
        <w:jc w:val="both"/>
        <w:rPr>
          <w:spacing w:val="-2"/>
        </w:rPr>
      </w:pPr>
      <w:r w:rsidRPr="00CA0804">
        <w:rPr>
          <w:spacing w:val="-2"/>
        </w:rPr>
        <w:t>Program</w:t>
      </w:r>
      <w:r w:rsidR="007C7F5E" w:rsidRPr="00CA0804">
        <w:rPr>
          <w:spacing w:val="-2"/>
        </w:rPr>
        <w:t>a</w:t>
      </w:r>
      <w:r w:rsidRPr="00CA0804">
        <w:rPr>
          <w:spacing w:val="-2"/>
        </w:rPr>
        <w:t xml:space="preserve"> državne potpore za usluge od općeg gospodarskog interesa u obliku naknade za obavljanje javne usluge javnog obalnog linijskog pomorskog prijevoza za razdoblje od 6 godine na državnim trajektnim linijama 338, 532, 831 u iznosu od 3,9 milijuna eura</w:t>
      </w:r>
    </w:p>
    <w:p w14:paraId="5283A683" w14:textId="0BBBFEDC" w:rsidR="007C7F5E" w:rsidRPr="00CA0804" w:rsidRDefault="007C7F5E" w:rsidP="007C7F5E">
      <w:pPr>
        <w:pStyle w:val="ListParagraph"/>
        <w:numPr>
          <w:ilvl w:val="0"/>
          <w:numId w:val="10"/>
        </w:numPr>
        <w:jc w:val="both"/>
      </w:pPr>
      <w:r w:rsidRPr="00CA0804">
        <w:t>Programa državne potpore za usluge od općeg gospodarskog interesa u obliku naknade za obavljanje javne usluge javnog obalnog linijskog pomorskog prijevoza za razdoblje od 3 godine na državnim brodskim linijama 310, 311, 501, 614 i 807 i njegovih izmjena, u iznosu od</w:t>
      </w:r>
      <w:r w:rsidRPr="00CA0804">
        <w:rPr>
          <w:rFonts w:eastAsia="Times New Roman"/>
          <w:color w:val="000000"/>
        </w:rPr>
        <w:t xml:space="preserve"> </w:t>
      </w:r>
      <w:r w:rsidRPr="00CA0804">
        <w:t>2,5 milijuna eura</w:t>
      </w:r>
    </w:p>
    <w:p w14:paraId="6B5BB24D" w14:textId="1EF74B93" w:rsidR="007C7F5E" w:rsidRPr="00CA0804" w:rsidRDefault="007C7F5E" w:rsidP="007C7F5E">
      <w:pPr>
        <w:pStyle w:val="ListParagraph"/>
        <w:numPr>
          <w:ilvl w:val="0"/>
          <w:numId w:val="10"/>
        </w:numPr>
        <w:jc w:val="both"/>
      </w:pPr>
      <w:r w:rsidRPr="00CA0804">
        <w:t>Programa državne potpore za usluge od općeg gospodarskog interesa u obliku naknade za obavljanje javne usluge javnog obalnog linijskog pomorskog prijevoza za razdoblje od 6 godina na državnim linijama 405, 406, 505 i 612 i njegovih izmjena, u iznosu od</w:t>
      </w:r>
      <w:r w:rsidRPr="00CA0804">
        <w:rPr>
          <w:rFonts w:eastAsia="Times New Roman"/>
          <w:color w:val="000000"/>
        </w:rPr>
        <w:t xml:space="preserve"> 1,9 </w:t>
      </w:r>
      <w:r w:rsidRPr="00CA0804">
        <w:t>milijuna eura</w:t>
      </w:r>
    </w:p>
    <w:p w14:paraId="02E78FFF" w14:textId="057654C5" w:rsidR="007C7F5E" w:rsidRPr="00CA0804" w:rsidRDefault="007C7F5E" w:rsidP="007C7F5E">
      <w:pPr>
        <w:pStyle w:val="ListParagraph"/>
        <w:numPr>
          <w:ilvl w:val="0"/>
          <w:numId w:val="10"/>
        </w:numPr>
        <w:jc w:val="both"/>
      </w:pPr>
      <w:r w:rsidRPr="00CA0804">
        <w:t>Programa državne potpore za usluge od općeg gospodarskog interesa u obliku naknade za obavljanje javne usluge javnog obalnog linijskog pomorskog prijevoza za razdoblje od 6 godina (očekivano od 2021. do 2026. godine) na državnoj brzobrodskoj liniji 9808 Lastovo – Korčula – Dubrovnik u iznosu od 1,8 milijuna eura</w:t>
      </w:r>
    </w:p>
    <w:p w14:paraId="288B48BF" w14:textId="2D6AFA09" w:rsidR="007C7F5E" w:rsidRPr="00CA0804" w:rsidRDefault="007C7F5E" w:rsidP="007C7F5E">
      <w:pPr>
        <w:pStyle w:val="ListParagraph"/>
        <w:numPr>
          <w:ilvl w:val="0"/>
          <w:numId w:val="10"/>
        </w:numPr>
        <w:jc w:val="both"/>
      </w:pPr>
      <w:r w:rsidRPr="00CA0804">
        <w:t>Program državne potpore za usluge od općeg gospodarskog interesa u obliku naknade za obavljanje javne usluge javnog obalnog linijskog pomorskog prijevoza za razdoblje od 6 godina na državnoj liniji 9141 njegovih izmjena u iznosu od</w:t>
      </w:r>
      <w:r w:rsidRPr="00CA0804">
        <w:rPr>
          <w:rFonts w:eastAsia="Times New Roman"/>
          <w:color w:val="000000"/>
        </w:rPr>
        <w:t xml:space="preserve"> 1,3</w:t>
      </w:r>
      <w:r w:rsidRPr="00CA0804">
        <w:t xml:space="preserve"> milijuna eura </w:t>
      </w:r>
    </w:p>
    <w:p w14:paraId="6BE8B3AC" w14:textId="3577FD64" w:rsidR="007C7F5E" w:rsidRPr="00CA0804" w:rsidRDefault="007C7F5E" w:rsidP="007C7F5E">
      <w:pPr>
        <w:pStyle w:val="ListParagraph"/>
        <w:numPr>
          <w:ilvl w:val="0"/>
          <w:numId w:val="10"/>
        </w:numPr>
        <w:jc w:val="both"/>
      </w:pPr>
      <w:r w:rsidRPr="00CA0804">
        <w:t xml:space="preserve">Programa </w:t>
      </w:r>
      <w:r w:rsidRPr="00CA0804">
        <w:rPr>
          <w:rFonts w:eastAsia="Times New Roman"/>
          <w:color w:val="000000"/>
        </w:rPr>
        <w:t xml:space="preserve">državne potpore za usluge od općeg gospodarskog interesa u obliku naknade za obavljanje javne usluge javnog obalnog linijskog pomorskog prijevoza za razdoblje od 2018. do 2020. godine uz mogućnost produljenja do 2029. godine </w:t>
      </w:r>
      <w:r w:rsidRPr="00CA0804">
        <w:t>u iznosu od</w:t>
      </w:r>
      <w:r w:rsidRPr="00CA0804">
        <w:rPr>
          <w:rFonts w:eastAsia="Times New Roman"/>
          <w:color w:val="000000"/>
        </w:rPr>
        <w:t xml:space="preserve"> 1,3</w:t>
      </w:r>
      <w:r w:rsidRPr="00CA0804">
        <w:t xml:space="preserve"> milijuna eura</w:t>
      </w:r>
    </w:p>
    <w:p w14:paraId="15964B2C" w14:textId="2E7B7C26" w:rsidR="00806400" w:rsidRPr="00CA0804" w:rsidRDefault="00613E17" w:rsidP="00806400">
      <w:pPr>
        <w:pStyle w:val="ListParagraph"/>
        <w:numPr>
          <w:ilvl w:val="0"/>
          <w:numId w:val="10"/>
        </w:numPr>
        <w:jc w:val="both"/>
      </w:pPr>
      <w:r w:rsidRPr="00CA0804">
        <w:t>Programa državne potpore za usluge od općeg gospodarskog interesa u obliku naknade za obavljanje javne usluge javnog obalnog linijskog pomorskog prijevoza 310 Mali Lošinj – Unije – Vele Srakane – Susak i obratno za razdoblje od 5.2.2024. do 4.2.2025. u iznosu od</w:t>
      </w:r>
      <w:r w:rsidRPr="00CA0804">
        <w:rPr>
          <w:rFonts w:eastAsia="Times New Roman"/>
          <w:color w:val="000000"/>
        </w:rPr>
        <w:t xml:space="preserve"> 1,1</w:t>
      </w:r>
      <w:r w:rsidRPr="00CA0804">
        <w:t xml:space="preserve"> milijuna eura</w:t>
      </w:r>
    </w:p>
    <w:p w14:paraId="17AC54B0" w14:textId="5C9A30E7" w:rsidR="00613E17" w:rsidRPr="00CA0804" w:rsidRDefault="00613E17" w:rsidP="00613E17">
      <w:pPr>
        <w:pStyle w:val="ListParagraph"/>
        <w:numPr>
          <w:ilvl w:val="0"/>
          <w:numId w:val="10"/>
        </w:numPr>
        <w:jc w:val="both"/>
      </w:pPr>
      <w:r w:rsidRPr="00CA0804">
        <w:t xml:space="preserve">Programa </w:t>
      </w:r>
      <w:r w:rsidRPr="00CA0804">
        <w:rPr>
          <w:rFonts w:eastAsia="Times New Roman"/>
          <w:color w:val="000000"/>
        </w:rPr>
        <w:t>državne potpore za usluge od općeg gospodarskog interesa u obliku naknade za obavljanje javne usluge javnog obalnog linijskog pomorskog prijevoza za razdoblje od 2020. do 2025. godine na državnoj brzobrodskoj liniji 9502 Žirje – Kaprije – Šibenik i obratno</w:t>
      </w:r>
      <w:r w:rsidRPr="00CA0804">
        <w:t>, u iznosu od</w:t>
      </w:r>
      <w:r w:rsidRPr="00CA0804">
        <w:rPr>
          <w:rFonts w:eastAsia="Times New Roman"/>
          <w:color w:val="000000"/>
        </w:rPr>
        <w:t xml:space="preserve"> </w:t>
      </w:r>
      <w:r w:rsidRPr="00CA0804">
        <w:t xml:space="preserve">923.886,84 eura </w:t>
      </w:r>
    </w:p>
    <w:p w14:paraId="551F59A9" w14:textId="77777777" w:rsidR="00613E17" w:rsidRPr="00CA0804" w:rsidRDefault="00613E17" w:rsidP="00613E17">
      <w:pPr>
        <w:pStyle w:val="ListParagraph"/>
        <w:numPr>
          <w:ilvl w:val="0"/>
          <w:numId w:val="10"/>
        </w:numPr>
        <w:jc w:val="both"/>
      </w:pPr>
      <w:r w:rsidRPr="00CA0804">
        <w:t>Programa državne potpore za usluge od općeg gospodarskog interesa u obliku naknade za obavljanje javne usluge javnog obalnog linijskog pomorskog prijevoza na državnoj trajektnoj liniji broj 635 u iznosu od</w:t>
      </w:r>
      <w:r w:rsidRPr="00CA0804">
        <w:rPr>
          <w:rFonts w:eastAsia="Times New Roman"/>
          <w:color w:val="000000"/>
        </w:rPr>
        <w:t xml:space="preserve"> </w:t>
      </w:r>
      <w:r w:rsidRPr="00CA0804">
        <w:t>762.447,21 euro, koji je Europska komisija odobrila u postupku koji se vodio pod brojem SA.48119 i SA.49523</w:t>
      </w:r>
    </w:p>
    <w:p w14:paraId="31C13A14" w14:textId="0A6C5CC4" w:rsidR="00613E17" w:rsidRPr="00CA0804" w:rsidRDefault="00613E17" w:rsidP="00613E17">
      <w:pPr>
        <w:pStyle w:val="ListParagraph"/>
        <w:numPr>
          <w:ilvl w:val="0"/>
          <w:numId w:val="10"/>
        </w:numPr>
        <w:jc w:val="both"/>
      </w:pPr>
      <w:r w:rsidRPr="00CA0804">
        <w:t>Programa državne potpore za usluge od općeg gospodarskog interesa u obliku naknade za obavljanje javne usluge javnog obalnog linijskog pomorskog prijevoza na državnoj brodskoj liniji broj 409</w:t>
      </w:r>
      <w:r w:rsidRPr="00CA0804">
        <w:rPr>
          <w:rFonts w:eastAsia="Times New Roman"/>
          <w:color w:val="000000"/>
        </w:rPr>
        <w:t xml:space="preserve">, </w:t>
      </w:r>
      <w:r w:rsidRPr="00CA0804">
        <w:t>u iznosu od</w:t>
      </w:r>
      <w:r w:rsidRPr="00CA0804">
        <w:rPr>
          <w:rFonts w:eastAsia="Times New Roman"/>
          <w:color w:val="000000"/>
        </w:rPr>
        <w:t xml:space="preserve"> </w:t>
      </w:r>
      <w:r w:rsidRPr="00CA0804">
        <w:t>269.238,88 eura koji je Europska komisija odobrila u postupku koji se vodio pod brojevima SA.48120</w:t>
      </w:r>
    </w:p>
    <w:p w14:paraId="6CFC583E" w14:textId="7FE8086B" w:rsidR="00613E17" w:rsidRPr="00CA0804" w:rsidRDefault="00613E17" w:rsidP="00613E17">
      <w:pPr>
        <w:pStyle w:val="ListParagraph"/>
        <w:numPr>
          <w:ilvl w:val="0"/>
          <w:numId w:val="10"/>
        </w:numPr>
        <w:jc w:val="both"/>
        <w:rPr>
          <w:spacing w:val="-2"/>
        </w:rPr>
      </w:pPr>
      <w:r w:rsidRPr="00CA0804">
        <w:rPr>
          <w:spacing w:val="-2"/>
        </w:rPr>
        <w:t>Programa državne potpore za usluge od općeg gospodarskog interesa u obliku naknade za obavljanje javne usluge javnog obalnog linijskog pomorskog prijevoza 501 Krapanj – Brodarica i obratno za razdoblje od 5.2.2024. do 4.2.2025., u iznosu od</w:t>
      </w:r>
      <w:r w:rsidRPr="00CA0804">
        <w:rPr>
          <w:rFonts w:eastAsia="Times New Roman"/>
          <w:color w:val="000000"/>
          <w:spacing w:val="-2"/>
        </w:rPr>
        <w:t xml:space="preserve"> </w:t>
      </w:r>
      <w:r w:rsidRPr="00CA0804">
        <w:rPr>
          <w:spacing w:val="-2"/>
        </w:rPr>
        <w:t>236.021,14 eura</w:t>
      </w:r>
    </w:p>
    <w:p w14:paraId="338646DF" w14:textId="77777777" w:rsidR="00721E8B" w:rsidRPr="00CA0804" w:rsidRDefault="00721E8B" w:rsidP="00721E8B">
      <w:pPr>
        <w:pStyle w:val="ListParagraph"/>
        <w:numPr>
          <w:ilvl w:val="0"/>
          <w:numId w:val="10"/>
        </w:numPr>
        <w:jc w:val="both"/>
      </w:pPr>
      <w:r w:rsidRPr="00CA0804">
        <w:t>Programa državne potpore za usluge od općeg gospodarskog interesa u obliku naknade za obavljanje javne usluge javnog obalnog linijskog pomorskog prijevoza 311 Ilovik – Mrtvaška – Mali Lošinj i obratno za razdoblje od 5.2.2024. do 4.2.2025., u iznosu od 235.943,41 euro</w:t>
      </w:r>
    </w:p>
    <w:p w14:paraId="5E4B6975" w14:textId="77777777" w:rsidR="00721E8B" w:rsidRPr="00CA0804" w:rsidRDefault="00721E8B" w:rsidP="00721E8B">
      <w:pPr>
        <w:pStyle w:val="ListParagraph"/>
        <w:numPr>
          <w:ilvl w:val="0"/>
          <w:numId w:val="10"/>
        </w:numPr>
        <w:jc w:val="both"/>
      </w:pPr>
      <w:r w:rsidRPr="00CA0804">
        <w:lastRenderedPageBreak/>
        <w:t>Programa državne potpore za usluge od općeg gospodarskog interesa u obliku naknade za obavljanje javne usluge javnog obalnog linijskog pomorskog prijevoza 614 Orebić – Korčula i obratno za razdoblje od 3+7 godina (01.10.2024.-30.09.2034.) i njegovih izmjena, u iznosu od 125.810,96 eura, te</w:t>
      </w:r>
    </w:p>
    <w:p w14:paraId="376F89C0" w14:textId="77777777" w:rsidR="00721E8B" w:rsidRPr="00CA0804" w:rsidRDefault="00721E8B" w:rsidP="00721E8B">
      <w:pPr>
        <w:pStyle w:val="ListParagraph"/>
        <w:numPr>
          <w:ilvl w:val="0"/>
          <w:numId w:val="10"/>
        </w:numPr>
        <w:jc w:val="both"/>
      </w:pPr>
      <w:r w:rsidRPr="00CA0804">
        <w:t>Program državne potpore za usluge od općeg gospodarskog interesa u obliku naknade za obavljanje javne usluge javnog obalnog linijskog pomorskog prijevoza na državnim linijama 338 Valbiska – Lopar, 501 Brodarica – Krapanj i 612 Komiža – Biševo u iznosu od 98.503,84 eura.</w:t>
      </w:r>
    </w:p>
    <w:p w14:paraId="0419CC81" w14:textId="77777777" w:rsidR="00F9187E" w:rsidRPr="00CA0804" w:rsidRDefault="00F9187E" w:rsidP="00F9187E">
      <w:pPr>
        <w:jc w:val="both"/>
      </w:pPr>
    </w:p>
    <w:p w14:paraId="08EEA829" w14:textId="37593310" w:rsidR="00721E8B" w:rsidRPr="00CA0804" w:rsidRDefault="00F9187E" w:rsidP="00F9187E">
      <w:pPr>
        <w:jc w:val="both"/>
        <w:rPr>
          <w:spacing w:val="-2"/>
        </w:rPr>
      </w:pPr>
      <w:r w:rsidRPr="00CA0804">
        <w:rPr>
          <w:b/>
          <w:spacing w:val="-2"/>
        </w:rPr>
        <w:t>Potpore</w:t>
      </w:r>
      <w:r w:rsidRPr="00CA0804">
        <w:rPr>
          <w:spacing w:val="-2"/>
        </w:rPr>
        <w:t xml:space="preserve"> </w:t>
      </w:r>
      <w:r w:rsidRPr="00CA0804">
        <w:rPr>
          <w:b/>
          <w:spacing w:val="-2"/>
        </w:rPr>
        <w:t>željezničkom prometu</w:t>
      </w:r>
      <w:r w:rsidRPr="00CA0804">
        <w:rPr>
          <w:spacing w:val="-2"/>
        </w:rPr>
        <w:t xml:space="preserve"> dodijeljene </w:t>
      </w:r>
      <w:r w:rsidR="00721E8B" w:rsidRPr="00CA0804">
        <w:rPr>
          <w:spacing w:val="-2"/>
        </w:rPr>
        <w:t xml:space="preserve">su putem subvencija </w:t>
      </w:r>
      <w:r w:rsidRPr="00CA0804">
        <w:rPr>
          <w:spacing w:val="-2"/>
        </w:rPr>
        <w:t>u 202</w:t>
      </w:r>
      <w:r w:rsidR="00721E8B" w:rsidRPr="00CA0804">
        <w:rPr>
          <w:spacing w:val="-2"/>
        </w:rPr>
        <w:t>4</w:t>
      </w:r>
      <w:r w:rsidRPr="00CA0804">
        <w:rPr>
          <w:spacing w:val="-2"/>
        </w:rPr>
        <w:t xml:space="preserve">. godini u iznosu od </w:t>
      </w:r>
      <w:r w:rsidR="00721E8B" w:rsidRPr="00CA0804">
        <w:rPr>
          <w:spacing w:val="-2"/>
        </w:rPr>
        <w:t xml:space="preserve">129,6 </w:t>
      </w:r>
      <w:r w:rsidRPr="00CA0804">
        <w:rPr>
          <w:spacing w:val="-2"/>
        </w:rPr>
        <w:t xml:space="preserve">milijuna eura, što je povećanje za </w:t>
      </w:r>
      <w:r w:rsidR="00721E8B" w:rsidRPr="00CA0804">
        <w:rPr>
          <w:spacing w:val="-2"/>
        </w:rPr>
        <w:t>22</w:t>
      </w:r>
      <w:r w:rsidR="00541990" w:rsidRPr="00CA0804">
        <w:rPr>
          <w:spacing w:val="-2"/>
        </w:rPr>
        <w:t>,1</w:t>
      </w:r>
      <w:r w:rsidR="00721E8B" w:rsidRPr="00CA0804">
        <w:rPr>
          <w:spacing w:val="-2"/>
        </w:rPr>
        <w:t xml:space="preserve"> </w:t>
      </w:r>
      <w:r w:rsidRPr="00CA0804">
        <w:rPr>
          <w:spacing w:val="-2"/>
        </w:rPr>
        <w:t xml:space="preserve">milijuna eura ili </w:t>
      </w:r>
      <w:r w:rsidR="00721E8B" w:rsidRPr="00CA0804">
        <w:rPr>
          <w:spacing w:val="-2"/>
        </w:rPr>
        <w:t>20,</w:t>
      </w:r>
      <w:r w:rsidR="00541990" w:rsidRPr="00CA0804">
        <w:rPr>
          <w:spacing w:val="-2"/>
        </w:rPr>
        <w:t>6</w:t>
      </w:r>
      <w:r w:rsidR="00721E8B" w:rsidRPr="00CA0804">
        <w:rPr>
          <w:spacing w:val="-2"/>
        </w:rPr>
        <w:t xml:space="preserve"> </w:t>
      </w:r>
      <w:r w:rsidRPr="00CA0804">
        <w:rPr>
          <w:spacing w:val="-2"/>
        </w:rPr>
        <w:t>posto u odnosu na 202</w:t>
      </w:r>
      <w:r w:rsidR="00721E8B" w:rsidRPr="00CA0804">
        <w:rPr>
          <w:spacing w:val="-2"/>
        </w:rPr>
        <w:t>3</w:t>
      </w:r>
      <w:r w:rsidRPr="00CA0804">
        <w:rPr>
          <w:spacing w:val="-2"/>
        </w:rPr>
        <w:t xml:space="preserve">. godinu, kada su potpore iznosile </w:t>
      </w:r>
      <w:r w:rsidR="00721E8B" w:rsidRPr="00CA0804">
        <w:rPr>
          <w:spacing w:val="-2"/>
        </w:rPr>
        <w:t xml:space="preserve">107,5 </w:t>
      </w:r>
      <w:r w:rsidRPr="00CA0804">
        <w:rPr>
          <w:spacing w:val="-2"/>
        </w:rPr>
        <w:t xml:space="preserve">milijuna eura, te </w:t>
      </w:r>
      <w:r w:rsidR="005E2B1B" w:rsidRPr="00CA0804">
        <w:rPr>
          <w:spacing w:val="-2"/>
        </w:rPr>
        <w:t>predstavlja</w:t>
      </w:r>
      <w:r w:rsidRPr="00CA0804">
        <w:rPr>
          <w:spacing w:val="-2"/>
        </w:rPr>
        <w:t xml:space="preserve"> povećanje za </w:t>
      </w:r>
      <w:r w:rsidR="00721E8B" w:rsidRPr="00CA0804">
        <w:rPr>
          <w:spacing w:val="-2"/>
        </w:rPr>
        <w:t>59,</w:t>
      </w:r>
      <w:r w:rsidR="00541990" w:rsidRPr="00CA0804">
        <w:rPr>
          <w:spacing w:val="-2"/>
        </w:rPr>
        <w:t>3</w:t>
      </w:r>
      <w:r w:rsidR="00721E8B" w:rsidRPr="00CA0804">
        <w:rPr>
          <w:spacing w:val="-2"/>
        </w:rPr>
        <w:t xml:space="preserve"> </w:t>
      </w:r>
      <w:r w:rsidRPr="00CA0804">
        <w:rPr>
          <w:spacing w:val="-2"/>
        </w:rPr>
        <w:t xml:space="preserve">milijuna eura ili </w:t>
      </w:r>
      <w:r w:rsidR="00721E8B" w:rsidRPr="00CA0804">
        <w:rPr>
          <w:spacing w:val="-2"/>
        </w:rPr>
        <w:t>84,</w:t>
      </w:r>
      <w:r w:rsidR="00541990" w:rsidRPr="00CA0804">
        <w:rPr>
          <w:spacing w:val="-2"/>
        </w:rPr>
        <w:t>4</w:t>
      </w:r>
      <w:r w:rsidR="00721E8B" w:rsidRPr="00CA0804">
        <w:rPr>
          <w:spacing w:val="-2"/>
        </w:rPr>
        <w:t xml:space="preserve"> </w:t>
      </w:r>
      <w:r w:rsidRPr="00CA0804">
        <w:rPr>
          <w:spacing w:val="-2"/>
        </w:rPr>
        <w:t>posto u odnosu na 202</w:t>
      </w:r>
      <w:r w:rsidR="00721E8B" w:rsidRPr="00CA0804">
        <w:rPr>
          <w:spacing w:val="-2"/>
        </w:rPr>
        <w:t>2</w:t>
      </w:r>
      <w:r w:rsidRPr="00CA0804">
        <w:rPr>
          <w:spacing w:val="-2"/>
        </w:rPr>
        <w:t xml:space="preserve">. godinu kada su potpore iznosile </w:t>
      </w:r>
      <w:r w:rsidR="00721E8B" w:rsidRPr="00CA0804">
        <w:rPr>
          <w:spacing w:val="-2"/>
        </w:rPr>
        <w:t xml:space="preserve">70,3 </w:t>
      </w:r>
      <w:r w:rsidRPr="00CA0804">
        <w:rPr>
          <w:spacing w:val="-2"/>
        </w:rPr>
        <w:t>milijuna eura. Udio navedenih potpora u BDP-u u 202</w:t>
      </w:r>
      <w:r w:rsidR="00721E8B" w:rsidRPr="00CA0804">
        <w:rPr>
          <w:spacing w:val="-2"/>
        </w:rPr>
        <w:t>4</w:t>
      </w:r>
      <w:r w:rsidRPr="00CA0804">
        <w:rPr>
          <w:spacing w:val="-2"/>
        </w:rPr>
        <w:t>. godini iznosio je 0,1</w:t>
      </w:r>
      <w:r w:rsidR="00721E8B" w:rsidRPr="00CA0804">
        <w:rPr>
          <w:spacing w:val="-2"/>
        </w:rPr>
        <w:t>5</w:t>
      </w:r>
      <w:r w:rsidRPr="00CA0804">
        <w:rPr>
          <w:spacing w:val="-2"/>
        </w:rPr>
        <w:t xml:space="preserve"> posto, udio u ukupno dodijeljenim potporama </w:t>
      </w:r>
      <w:r w:rsidR="00721E8B" w:rsidRPr="00CA0804">
        <w:rPr>
          <w:spacing w:val="-2"/>
        </w:rPr>
        <w:t>8,9</w:t>
      </w:r>
      <w:r w:rsidRPr="00CA0804">
        <w:rPr>
          <w:spacing w:val="-2"/>
        </w:rPr>
        <w:t xml:space="preserve"> posto, udio u sektorskim potporama 1</w:t>
      </w:r>
      <w:r w:rsidR="00721E8B" w:rsidRPr="00CA0804">
        <w:rPr>
          <w:spacing w:val="-2"/>
        </w:rPr>
        <w:t>6</w:t>
      </w:r>
      <w:r w:rsidRPr="00CA0804">
        <w:rPr>
          <w:spacing w:val="-2"/>
        </w:rPr>
        <w:t>,</w:t>
      </w:r>
      <w:r w:rsidR="00721E8B" w:rsidRPr="00CA0804">
        <w:rPr>
          <w:spacing w:val="-2"/>
        </w:rPr>
        <w:t>1</w:t>
      </w:r>
      <w:r w:rsidRPr="00CA0804">
        <w:rPr>
          <w:spacing w:val="-2"/>
        </w:rPr>
        <w:t xml:space="preserve"> posto </w:t>
      </w:r>
      <w:r w:rsidR="00721E8B" w:rsidRPr="00CA0804">
        <w:rPr>
          <w:spacing w:val="-2"/>
        </w:rPr>
        <w:t xml:space="preserve">i </w:t>
      </w:r>
      <w:r w:rsidRPr="00CA0804">
        <w:rPr>
          <w:spacing w:val="-2"/>
        </w:rPr>
        <w:t xml:space="preserve">udio u sektoru prometa </w:t>
      </w:r>
      <w:r w:rsidR="00721E8B" w:rsidRPr="00CA0804">
        <w:rPr>
          <w:spacing w:val="-2"/>
        </w:rPr>
        <w:t>35,4</w:t>
      </w:r>
      <w:r w:rsidRPr="00CA0804">
        <w:rPr>
          <w:spacing w:val="-2"/>
        </w:rPr>
        <w:t xml:space="preserve"> posto.</w:t>
      </w:r>
    </w:p>
    <w:p w14:paraId="66108611" w14:textId="77777777" w:rsidR="00541990" w:rsidRPr="00CA0804" w:rsidRDefault="00541990" w:rsidP="00F9187E">
      <w:pPr>
        <w:jc w:val="both"/>
      </w:pPr>
    </w:p>
    <w:p w14:paraId="5408B430" w14:textId="406B06F4" w:rsidR="00F9187E" w:rsidRPr="00CA0804" w:rsidRDefault="00F9187E" w:rsidP="00F9187E">
      <w:pPr>
        <w:jc w:val="both"/>
      </w:pPr>
      <w:r w:rsidRPr="00CA0804">
        <w:rPr>
          <w:u w:val="single"/>
        </w:rPr>
        <w:t>Ministarstvo mora, prometa i infrastrukture</w:t>
      </w:r>
      <w:r w:rsidRPr="00CA0804">
        <w:t xml:space="preserve"> je </w:t>
      </w:r>
      <w:r w:rsidR="00721E8B" w:rsidRPr="00CA0804">
        <w:t xml:space="preserve">dodijelilo </w:t>
      </w:r>
      <w:r w:rsidRPr="00CA0804">
        <w:t>u 202</w:t>
      </w:r>
      <w:r w:rsidR="00721E8B" w:rsidRPr="00CA0804">
        <w:t>4</w:t>
      </w:r>
      <w:r w:rsidRPr="00CA0804">
        <w:t xml:space="preserve">. godini željezničkom prometu </w:t>
      </w:r>
      <w:r w:rsidR="00BF6170" w:rsidRPr="00CA0804">
        <w:t>u</w:t>
      </w:r>
      <w:r w:rsidRPr="00CA0804">
        <w:t xml:space="preserve">kupno </w:t>
      </w:r>
      <w:r w:rsidR="00BF6170" w:rsidRPr="00CA0804">
        <w:t>129,6</w:t>
      </w:r>
      <w:r w:rsidRPr="00CA0804">
        <w:t xml:space="preserve"> milijuna eura, </w:t>
      </w:r>
      <w:r w:rsidR="00BF6170" w:rsidRPr="00CA0804">
        <w:t xml:space="preserve">i to </w:t>
      </w:r>
      <w:r w:rsidRPr="00CA0804">
        <w:t xml:space="preserve">temeljem pojedinačne potpore pod nazivom Javne usluge od općeg gospodarskog interesa u javnom željezničkom prometu Republike Hrvatske – HŽ Putnički prijevoz d.o.o. </w:t>
      </w:r>
      <w:r w:rsidR="00BF6170" w:rsidRPr="00CA0804">
        <w:t>100,5</w:t>
      </w:r>
      <w:r w:rsidRPr="00CA0804">
        <w:t xml:space="preserve"> milijuna eura, temeljem pojedinačne potpore pod nazivom </w:t>
      </w:r>
      <w:r w:rsidR="00BF6170" w:rsidRPr="00CA0804">
        <w:t xml:space="preserve">Obnova voznog parka HŽ putničkog prijevoza d.o.o. novim elektromotornim vlakovima – II faza, </w:t>
      </w:r>
      <w:r w:rsidRPr="00CA0804">
        <w:t xml:space="preserve">iznos od </w:t>
      </w:r>
      <w:r w:rsidR="00BF6170" w:rsidRPr="00CA0804">
        <w:t>22,7</w:t>
      </w:r>
      <w:r w:rsidRPr="00CA0804">
        <w:t xml:space="preserve"> milijuna eura te temeljem programa </w:t>
      </w:r>
      <w:r w:rsidR="00BF6170" w:rsidRPr="00CA0804">
        <w:t>Modernizacija informatičkog i prodajnog sustava</w:t>
      </w:r>
      <w:r w:rsidRPr="00CA0804">
        <w:t xml:space="preserve"> iznos od </w:t>
      </w:r>
      <w:r w:rsidR="00BF6170" w:rsidRPr="00CA0804">
        <w:t>6,4</w:t>
      </w:r>
      <w:r w:rsidRPr="00CA0804">
        <w:t xml:space="preserve"> milijuna eura.</w:t>
      </w:r>
    </w:p>
    <w:p w14:paraId="5A60A3D7" w14:textId="77777777" w:rsidR="00F9187E" w:rsidRPr="00CA0804" w:rsidRDefault="00F9187E" w:rsidP="00F9187E">
      <w:pPr>
        <w:jc w:val="both"/>
      </w:pPr>
    </w:p>
    <w:p w14:paraId="748D5D3B" w14:textId="7CFB58A2" w:rsidR="0091766D" w:rsidRPr="00CA0804" w:rsidRDefault="00F9187E" w:rsidP="00F9187E">
      <w:pPr>
        <w:jc w:val="both"/>
      </w:pPr>
      <w:r w:rsidRPr="00CA0804">
        <w:rPr>
          <w:b/>
        </w:rPr>
        <w:t>Potpore</w:t>
      </w:r>
      <w:r w:rsidRPr="00CA0804">
        <w:t xml:space="preserve"> </w:t>
      </w:r>
      <w:r w:rsidRPr="00CA0804">
        <w:rPr>
          <w:b/>
        </w:rPr>
        <w:t>kopnenom cestovnom prometu</w:t>
      </w:r>
      <w:r w:rsidRPr="00CA0804">
        <w:t xml:space="preserve"> dodijeljene </w:t>
      </w:r>
      <w:r w:rsidR="0091766D" w:rsidRPr="00CA0804">
        <w:t xml:space="preserve">su </w:t>
      </w:r>
      <w:r w:rsidRPr="00CA0804">
        <w:t>u 202</w:t>
      </w:r>
      <w:r w:rsidR="0091766D" w:rsidRPr="00CA0804">
        <w:t>4</w:t>
      </w:r>
      <w:r w:rsidRPr="00CA0804">
        <w:t xml:space="preserve">. godini </w:t>
      </w:r>
      <w:r w:rsidR="0091766D" w:rsidRPr="00CA0804">
        <w:t xml:space="preserve">putem subvencija </w:t>
      </w:r>
      <w:r w:rsidRPr="00CA0804">
        <w:t xml:space="preserve">u iznosu od </w:t>
      </w:r>
      <w:r w:rsidR="0091766D" w:rsidRPr="00CA0804">
        <w:t>60,9</w:t>
      </w:r>
      <w:r w:rsidRPr="00CA0804">
        <w:t xml:space="preserve"> milijuna eura, što je </w:t>
      </w:r>
      <w:r w:rsidR="0091766D" w:rsidRPr="00CA0804">
        <w:t>smanjenje</w:t>
      </w:r>
      <w:r w:rsidRPr="00CA0804">
        <w:t xml:space="preserve"> za </w:t>
      </w:r>
      <w:r w:rsidR="0091766D" w:rsidRPr="00CA0804">
        <w:t>31,</w:t>
      </w:r>
      <w:r w:rsidR="00876B40" w:rsidRPr="00CA0804">
        <w:t>4</w:t>
      </w:r>
      <w:r w:rsidR="0091766D" w:rsidRPr="00CA0804">
        <w:t xml:space="preserve"> </w:t>
      </w:r>
      <w:r w:rsidRPr="00CA0804">
        <w:t xml:space="preserve">milijuna eura ili </w:t>
      </w:r>
      <w:r w:rsidR="0091766D" w:rsidRPr="00CA0804">
        <w:t>34</w:t>
      </w:r>
      <w:r w:rsidRPr="00CA0804">
        <w:t xml:space="preserve"> posto u odnosu na 202</w:t>
      </w:r>
      <w:r w:rsidR="0091766D" w:rsidRPr="00CA0804">
        <w:t>3</w:t>
      </w:r>
      <w:r w:rsidRPr="00CA0804">
        <w:t xml:space="preserve">. godinu, kada su navedene potpore iznosile </w:t>
      </w:r>
      <w:r w:rsidR="0091766D" w:rsidRPr="00CA0804">
        <w:t xml:space="preserve">92, 3 </w:t>
      </w:r>
      <w:r w:rsidRPr="00CA0804">
        <w:t xml:space="preserve">milijuna eura, te je povećanje za </w:t>
      </w:r>
      <w:r w:rsidR="0091766D" w:rsidRPr="00CA0804">
        <w:t xml:space="preserve">28,3 </w:t>
      </w:r>
      <w:r w:rsidRPr="00CA0804">
        <w:t xml:space="preserve">milijuna eura ili </w:t>
      </w:r>
      <w:r w:rsidR="0091766D" w:rsidRPr="00CA0804">
        <w:t>86,</w:t>
      </w:r>
      <w:r w:rsidR="00876B40" w:rsidRPr="00CA0804">
        <w:t>8</w:t>
      </w:r>
      <w:r w:rsidRPr="00CA0804">
        <w:t xml:space="preserve"> posto u odnosu na 202</w:t>
      </w:r>
      <w:r w:rsidR="0091766D" w:rsidRPr="00CA0804">
        <w:t>2</w:t>
      </w:r>
      <w:r w:rsidRPr="00CA0804">
        <w:t xml:space="preserve">. godinu kada su potpore iznosile </w:t>
      </w:r>
      <w:r w:rsidR="0091766D" w:rsidRPr="00CA0804">
        <w:t xml:space="preserve">32,6 </w:t>
      </w:r>
      <w:r w:rsidRPr="00CA0804">
        <w:t>milijuna eura. Udio navedenih potpora u BDP-u u 202</w:t>
      </w:r>
      <w:r w:rsidR="0091766D" w:rsidRPr="00CA0804">
        <w:t>4</w:t>
      </w:r>
      <w:r w:rsidRPr="00CA0804">
        <w:t>. godini iznosio je 0,</w:t>
      </w:r>
      <w:r w:rsidR="0091766D" w:rsidRPr="00CA0804">
        <w:t>07</w:t>
      </w:r>
      <w:r w:rsidRPr="00CA0804">
        <w:t xml:space="preserve"> posto, udio u ukupno dodijeljenim potporama </w:t>
      </w:r>
      <w:r w:rsidR="0091766D" w:rsidRPr="00CA0804">
        <w:t>4,2</w:t>
      </w:r>
      <w:r w:rsidRPr="00CA0804">
        <w:t xml:space="preserve"> posto, udio u sektorskim potporama </w:t>
      </w:r>
      <w:r w:rsidR="0091766D" w:rsidRPr="00CA0804">
        <w:t>7,6</w:t>
      </w:r>
      <w:r w:rsidRPr="00CA0804">
        <w:t xml:space="preserve"> posto</w:t>
      </w:r>
      <w:r w:rsidR="0091766D" w:rsidRPr="00CA0804">
        <w:t xml:space="preserve"> i </w:t>
      </w:r>
      <w:r w:rsidRPr="00CA0804">
        <w:t xml:space="preserve">udio u sektoru prometa </w:t>
      </w:r>
      <w:r w:rsidR="0091766D" w:rsidRPr="00CA0804">
        <w:t>16,</w:t>
      </w:r>
      <w:r w:rsidR="00876B40" w:rsidRPr="00CA0804">
        <w:t>6</w:t>
      </w:r>
      <w:r w:rsidRPr="00CA0804">
        <w:t xml:space="preserve"> posto.</w:t>
      </w:r>
    </w:p>
    <w:p w14:paraId="7C7C3E75" w14:textId="77777777" w:rsidR="00541990" w:rsidRPr="00CA0804" w:rsidRDefault="00541990" w:rsidP="0091766D"/>
    <w:p w14:paraId="1D06F4D6" w14:textId="6F6D5890" w:rsidR="00F84329" w:rsidRPr="00CA0804" w:rsidRDefault="00F9187E" w:rsidP="00F84329">
      <w:pPr>
        <w:jc w:val="both"/>
      </w:pPr>
      <w:r w:rsidRPr="00CA0804">
        <w:rPr>
          <w:rFonts w:eastAsiaTheme="minorEastAsia"/>
          <w:u w:val="single"/>
        </w:rPr>
        <w:t>Ministarstvo mora, prometa i infrastrukture</w:t>
      </w:r>
      <w:r w:rsidRPr="00CA0804">
        <w:t xml:space="preserve"> </w:t>
      </w:r>
      <w:r w:rsidR="0091766D" w:rsidRPr="00CA0804">
        <w:t xml:space="preserve">je dodijelilo u 2024. godini za kopneni cestovni promet ukupno 60,9 milijuna eura </w:t>
      </w:r>
      <w:r w:rsidRPr="00CA0804">
        <w:t xml:space="preserve">putem subvencija, </w:t>
      </w:r>
      <w:r w:rsidR="0091766D" w:rsidRPr="00CA0804">
        <w:t>i to temeljem Ugovora o koncesiji za financiranje, građenje, upravljanje i održavanje Jadranske autoceste dionica 2B2-2 i 2B2-3 i njegovih izmjena i dopuna iznos od 30,1 milijun eura, a o koj</w:t>
      </w:r>
      <w:r w:rsidR="005E2B1B" w:rsidRPr="00CA0804">
        <w:t>e</w:t>
      </w:r>
      <w:r w:rsidR="0091766D" w:rsidRPr="00CA0804">
        <w:t>m je Europska komisija odlučivala u postup</w:t>
      </w:r>
      <w:r w:rsidR="005E2B1B" w:rsidRPr="00CA0804">
        <w:t xml:space="preserve">ku </w:t>
      </w:r>
      <w:r w:rsidR="0091766D" w:rsidRPr="00CA0804">
        <w:t xml:space="preserve">koji </w:t>
      </w:r>
      <w:r w:rsidR="005E2B1B" w:rsidRPr="00CA0804">
        <w:t>je</w:t>
      </w:r>
      <w:r w:rsidR="0091766D" w:rsidRPr="00CA0804">
        <w:t xml:space="preserve"> vođen pod brojem SA.103361</w:t>
      </w:r>
      <w:r w:rsidR="00F84329" w:rsidRPr="00CA0804">
        <w:t xml:space="preserve">, temeljem pojedinačne potpore pod nazivom Modernizacija tramvajske infrastrukture na području grada Osijeka – II faza iznos od 22,5 milijuna eura i </w:t>
      </w:r>
      <w:r w:rsidRPr="00CA0804">
        <w:t xml:space="preserve">temeljem pojedinačne potpore pod nazivom </w:t>
      </w:r>
      <w:r w:rsidR="00F84329" w:rsidRPr="00CA0804">
        <w:t>1. Faza modernizacije tramvajske infrastrukture u gradu Zagrebu – II Faza projekta iznos od 8,3 milijuna eura.</w:t>
      </w:r>
    </w:p>
    <w:p w14:paraId="43D89842" w14:textId="77777777" w:rsidR="00F9187E" w:rsidRPr="00CA0804" w:rsidRDefault="00F9187E" w:rsidP="00BE487D">
      <w:pPr>
        <w:jc w:val="both"/>
        <w:rPr>
          <w:rFonts w:eastAsia="Calibri"/>
        </w:rPr>
      </w:pPr>
    </w:p>
    <w:p w14:paraId="7069357F" w14:textId="342896AB" w:rsidR="00426D82" w:rsidRPr="00CA0804" w:rsidRDefault="00426D82" w:rsidP="00426D82">
      <w:pPr>
        <w:jc w:val="both"/>
      </w:pPr>
      <w:r w:rsidRPr="00CA0804">
        <w:rPr>
          <w:b/>
        </w:rPr>
        <w:t>Potpore</w:t>
      </w:r>
      <w:r w:rsidRPr="00CA0804">
        <w:t xml:space="preserve"> </w:t>
      </w:r>
      <w:r w:rsidRPr="00CA0804">
        <w:rPr>
          <w:b/>
        </w:rPr>
        <w:t>zračnom prometu</w:t>
      </w:r>
      <w:r w:rsidRPr="00CA0804">
        <w:t xml:space="preserve"> </w:t>
      </w:r>
      <w:r w:rsidR="005F1DB3" w:rsidRPr="00CA0804">
        <w:t xml:space="preserve">dodijeljene </w:t>
      </w:r>
      <w:r w:rsidR="00F84329" w:rsidRPr="00CA0804">
        <w:t xml:space="preserve">su </w:t>
      </w:r>
      <w:r w:rsidR="005F1DB3" w:rsidRPr="00CA0804">
        <w:t>u 202</w:t>
      </w:r>
      <w:r w:rsidR="00F84329" w:rsidRPr="00CA0804">
        <w:t>4</w:t>
      </w:r>
      <w:r w:rsidR="005F1DB3" w:rsidRPr="00CA0804">
        <w:t xml:space="preserve">. godini </w:t>
      </w:r>
      <w:r w:rsidR="00F84329" w:rsidRPr="00CA0804">
        <w:t xml:space="preserve">subvencije </w:t>
      </w:r>
      <w:r w:rsidR="005F1DB3" w:rsidRPr="00CA0804">
        <w:t xml:space="preserve">u iznosu od </w:t>
      </w:r>
      <w:r w:rsidR="00F84329" w:rsidRPr="00CA0804">
        <w:t xml:space="preserve">20,6 </w:t>
      </w:r>
      <w:r w:rsidR="005F1DB3" w:rsidRPr="00CA0804">
        <w:t xml:space="preserve">milijuna eura, što je </w:t>
      </w:r>
      <w:r w:rsidR="00F84329" w:rsidRPr="00CA0804">
        <w:t>smanjenje</w:t>
      </w:r>
      <w:r w:rsidR="005F1DB3" w:rsidRPr="00CA0804">
        <w:t xml:space="preserve"> za </w:t>
      </w:r>
      <w:r w:rsidR="00F84329" w:rsidRPr="00CA0804">
        <w:t>10</w:t>
      </w:r>
      <w:r w:rsidR="007509FC" w:rsidRPr="00CA0804">
        <w:t xml:space="preserve"> </w:t>
      </w:r>
      <w:r w:rsidR="005F1DB3" w:rsidRPr="00CA0804">
        <w:t xml:space="preserve">milijuna eura ili za </w:t>
      </w:r>
      <w:r w:rsidR="00F84329" w:rsidRPr="00CA0804">
        <w:t>32,</w:t>
      </w:r>
      <w:r w:rsidR="00876B40" w:rsidRPr="00CA0804">
        <w:t>7</w:t>
      </w:r>
      <w:r w:rsidR="007509FC" w:rsidRPr="00CA0804">
        <w:t xml:space="preserve"> </w:t>
      </w:r>
      <w:r w:rsidR="005F1DB3" w:rsidRPr="00CA0804">
        <w:t>posto u odnosu na 202</w:t>
      </w:r>
      <w:r w:rsidR="00F84329" w:rsidRPr="00CA0804">
        <w:t>3</w:t>
      </w:r>
      <w:r w:rsidR="005F1DB3" w:rsidRPr="00CA0804">
        <w:t xml:space="preserve">. godinu, kada su navedene potpore iznosile </w:t>
      </w:r>
      <w:r w:rsidR="00F84329" w:rsidRPr="00CA0804">
        <w:t xml:space="preserve">30,6 </w:t>
      </w:r>
      <w:r w:rsidR="005F1DB3" w:rsidRPr="00CA0804">
        <w:t>milijun</w:t>
      </w:r>
      <w:r w:rsidR="00F84329" w:rsidRPr="00CA0804">
        <w:t>a</w:t>
      </w:r>
      <w:r w:rsidR="005F1DB3" w:rsidRPr="00CA0804">
        <w:t xml:space="preserve"> eura, te </w:t>
      </w:r>
      <w:r w:rsidR="005E2B1B" w:rsidRPr="00CA0804">
        <w:t>predstavlja</w:t>
      </w:r>
      <w:r w:rsidR="005F1DB3" w:rsidRPr="00CA0804">
        <w:t xml:space="preserve"> </w:t>
      </w:r>
      <w:r w:rsidR="007509FC" w:rsidRPr="00CA0804">
        <w:t xml:space="preserve">povećanje </w:t>
      </w:r>
      <w:r w:rsidR="005F1DB3" w:rsidRPr="00CA0804">
        <w:t xml:space="preserve">za </w:t>
      </w:r>
      <w:r w:rsidR="00F84329" w:rsidRPr="00CA0804">
        <w:t xml:space="preserve">4,5 </w:t>
      </w:r>
      <w:r w:rsidR="005F1DB3" w:rsidRPr="00CA0804">
        <w:t xml:space="preserve">milijuna eura ili za </w:t>
      </w:r>
      <w:r w:rsidR="00F84329" w:rsidRPr="00CA0804">
        <w:t>2</w:t>
      </w:r>
      <w:r w:rsidR="00876B40" w:rsidRPr="00CA0804">
        <w:t>8</w:t>
      </w:r>
      <w:r w:rsidR="00F84329" w:rsidRPr="00CA0804">
        <w:t xml:space="preserve"> </w:t>
      </w:r>
      <w:r w:rsidR="005F1DB3" w:rsidRPr="00CA0804">
        <w:t>posto u odnosu na 202</w:t>
      </w:r>
      <w:r w:rsidR="00F84329" w:rsidRPr="00CA0804">
        <w:t>2</w:t>
      </w:r>
      <w:r w:rsidR="005F1DB3" w:rsidRPr="00CA0804">
        <w:t xml:space="preserve">. godinu kada su potpore iznosile </w:t>
      </w:r>
      <w:r w:rsidR="00F84329" w:rsidRPr="00CA0804">
        <w:t>16,1 mil</w:t>
      </w:r>
      <w:r w:rsidR="005F1DB3" w:rsidRPr="00CA0804">
        <w:t>ijun eura.</w:t>
      </w:r>
      <w:r w:rsidRPr="00CA0804">
        <w:t xml:space="preserve"> Udio potpora u zračnom prometu u BDP-u u 202</w:t>
      </w:r>
      <w:r w:rsidR="00F84329" w:rsidRPr="00CA0804">
        <w:t>4</w:t>
      </w:r>
      <w:r w:rsidRPr="00CA0804">
        <w:t>. godini iznosio je 0,0</w:t>
      </w:r>
      <w:r w:rsidR="00F84329" w:rsidRPr="00CA0804">
        <w:t>2</w:t>
      </w:r>
      <w:r w:rsidRPr="00CA0804">
        <w:t xml:space="preserve"> posto, udio u ukupno dodijeljenim potporama </w:t>
      </w:r>
      <w:r w:rsidR="007509FC" w:rsidRPr="00CA0804">
        <w:t>1</w:t>
      </w:r>
      <w:r w:rsidR="00F84329" w:rsidRPr="00CA0804">
        <w:t>,4</w:t>
      </w:r>
      <w:r w:rsidRPr="00CA0804">
        <w:t xml:space="preserve"> posto, udio u sektorskim potporama </w:t>
      </w:r>
      <w:r w:rsidR="00F84329" w:rsidRPr="00CA0804">
        <w:t>2</w:t>
      </w:r>
      <w:r w:rsidR="007509FC" w:rsidRPr="00CA0804">
        <w:t>,6</w:t>
      </w:r>
      <w:r w:rsidRPr="00CA0804">
        <w:t xml:space="preserve"> posto</w:t>
      </w:r>
      <w:r w:rsidR="00F84329" w:rsidRPr="00CA0804">
        <w:t xml:space="preserve"> i </w:t>
      </w:r>
      <w:r w:rsidRPr="00CA0804">
        <w:t xml:space="preserve">udio u sektoru prometa </w:t>
      </w:r>
      <w:r w:rsidR="00F84329" w:rsidRPr="00CA0804">
        <w:t>5,6</w:t>
      </w:r>
      <w:r w:rsidRPr="00CA0804">
        <w:t xml:space="preserve"> posto. </w:t>
      </w:r>
    </w:p>
    <w:p w14:paraId="5DFDD46E" w14:textId="77777777" w:rsidR="00876B40" w:rsidRPr="00CA0804" w:rsidRDefault="00876B40" w:rsidP="002E6DF8">
      <w:pPr>
        <w:jc w:val="both"/>
      </w:pPr>
    </w:p>
    <w:p w14:paraId="0C8DEA09" w14:textId="6466C944" w:rsidR="00A97F44" w:rsidRPr="00CA0804" w:rsidRDefault="008320D4" w:rsidP="00BE487D">
      <w:pPr>
        <w:jc w:val="both"/>
      </w:pPr>
      <w:r w:rsidRPr="00CA0804">
        <w:rPr>
          <w:u w:val="single"/>
        </w:rPr>
        <w:t>Ministarstvo mora, prometa i infrastrukture</w:t>
      </w:r>
      <w:r w:rsidRPr="00CA0804">
        <w:t xml:space="preserve"> </w:t>
      </w:r>
      <w:r w:rsidR="00636199" w:rsidRPr="00CA0804">
        <w:t xml:space="preserve">dodijelilo </w:t>
      </w:r>
      <w:r w:rsidRPr="00CA0804">
        <w:t>je u</w:t>
      </w:r>
      <w:r w:rsidR="00A97F44" w:rsidRPr="00CA0804">
        <w:t xml:space="preserve"> 202</w:t>
      </w:r>
      <w:r w:rsidR="00636199" w:rsidRPr="00CA0804">
        <w:t>4</w:t>
      </w:r>
      <w:r w:rsidR="00A97F44" w:rsidRPr="00CA0804">
        <w:t xml:space="preserve">. godini </w:t>
      </w:r>
      <w:r w:rsidR="007D08B6" w:rsidRPr="00CA0804">
        <w:t xml:space="preserve">ukupno </w:t>
      </w:r>
      <w:r w:rsidR="00A97F44" w:rsidRPr="00CA0804">
        <w:t xml:space="preserve">zračnom prometu </w:t>
      </w:r>
      <w:r w:rsidR="00636199" w:rsidRPr="00CA0804">
        <w:t>20,6</w:t>
      </w:r>
      <w:r w:rsidR="0022608B" w:rsidRPr="00CA0804">
        <w:t xml:space="preserve"> milijuna </w:t>
      </w:r>
      <w:r w:rsidR="007D08B6" w:rsidRPr="00CA0804">
        <w:t>eura</w:t>
      </w:r>
      <w:r w:rsidR="00636199" w:rsidRPr="00CA0804">
        <w:t>, i to t</w:t>
      </w:r>
      <w:r w:rsidR="00A97F44" w:rsidRPr="00CA0804">
        <w:t xml:space="preserve">emeljem programa Očuvanje prometne povezanosti regije </w:t>
      </w:r>
      <w:r w:rsidR="00A97F44" w:rsidRPr="00CA0804">
        <w:lastRenderedPageBreak/>
        <w:t xml:space="preserve">(domaći linijski zračni prijevoz) </w:t>
      </w:r>
      <w:r w:rsidR="00636199" w:rsidRPr="00CA0804">
        <w:t>19,1</w:t>
      </w:r>
      <w:r w:rsidR="00A97F44" w:rsidRPr="00CA0804">
        <w:t xml:space="preserve"> milijun </w:t>
      </w:r>
      <w:r w:rsidR="007D08B6" w:rsidRPr="00CA0804">
        <w:t>eura</w:t>
      </w:r>
      <w:r w:rsidR="00636199" w:rsidRPr="00CA0804">
        <w:t xml:space="preserve"> i</w:t>
      </w:r>
      <w:r w:rsidR="007D08B6" w:rsidRPr="00CA0804">
        <w:t xml:space="preserve"> </w:t>
      </w:r>
      <w:r w:rsidR="00CE0DC4" w:rsidRPr="00CA0804">
        <w:t xml:space="preserve">temeljem </w:t>
      </w:r>
      <w:r w:rsidR="0022608B" w:rsidRPr="00CA0804">
        <w:t>programa Očuvanje vremena otvorenosti Zračne luke Osijek d.o.o. za javni zračni promet</w:t>
      </w:r>
      <w:r w:rsidR="00CE0DC4" w:rsidRPr="00CA0804">
        <w:t xml:space="preserve"> </w:t>
      </w:r>
      <w:r w:rsidR="00636199" w:rsidRPr="00CA0804">
        <w:t xml:space="preserve">1,5 milijuna </w:t>
      </w:r>
      <w:r w:rsidR="007D08B6" w:rsidRPr="00CA0804">
        <w:t>eura</w:t>
      </w:r>
      <w:r w:rsidR="00CE0DC4" w:rsidRPr="00CA0804">
        <w:t>.</w:t>
      </w:r>
      <w:r w:rsidR="00A97F44" w:rsidRPr="00CA0804">
        <w:t xml:space="preserve"> </w:t>
      </w:r>
    </w:p>
    <w:p w14:paraId="3B5D6241" w14:textId="77777777" w:rsidR="00CA3ECB" w:rsidRPr="00CA0804" w:rsidRDefault="00CA3ECB" w:rsidP="00BE487D">
      <w:pPr>
        <w:jc w:val="both"/>
      </w:pPr>
    </w:p>
    <w:p w14:paraId="78692863" w14:textId="21F6775F" w:rsidR="007D08B6" w:rsidRPr="00CA0804" w:rsidRDefault="007D08B6" w:rsidP="00636199">
      <w:pPr>
        <w:jc w:val="both"/>
      </w:pPr>
      <w:r w:rsidRPr="00CA0804">
        <w:rPr>
          <w:u w:val="single"/>
        </w:rPr>
        <w:t>Potpore male vrijednosti</w:t>
      </w:r>
      <w:r w:rsidRPr="00CA0804">
        <w:t xml:space="preserve"> </w:t>
      </w:r>
      <w:r w:rsidR="00636199" w:rsidRPr="00CA0804">
        <w:t xml:space="preserve">dodijeljene su i </w:t>
      </w:r>
      <w:r w:rsidRPr="00CA0804">
        <w:t>u sektoru prometa u 202</w:t>
      </w:r>
      <w:r w:rsidR="00636199" w:rsidRPr="00CA0804">
        <w:t>4</w:t>
      </w:r>
      <w:r w:rsidRPr="00CA0804">
        <w:t xml:space="preserve">. godini u iznosu od </w:t>
      </w:r>
      <w:r w:rsidR="00636199" w:rsidRPr="00CA0804">
        <w:t xml:space="preserve">906.571,5 </w:t>
      </w:r>
      <w:r w:rsidRPr="00CA0804">
        <w:t xml:space="preserve">eura, te ukoliko bi se </w:t>
      </w:r>
      <w:r w:rsidR="00636199" w:rsidRPr="00CA0804">
        <w:t>iste</w:t>
      </w:r>
      <w:r w:rsidRPr="00CA0804">
        <w:t xml:space="preserve"> potpore pribrojile dodijeljenim potporama u sektoru prometa u iznosu od 3</w:t>
      </w:r>
      <w:r w:rsidR="00636199" w:rsidRPr="00CA0804">
        <w:t>65,9</w:t>
      </w:r>
      <w:r w:rsidRPr="00CA0804">
        <w:t xml:space="preserve"> milijuna eura, ukupan iznos svih dodijeljenih potpora u sektoru prometa iznosile bi </w:t>
      </w:r>
      <w:r w:rsidR="00636199" w:rsidRPr="00CA0804">
        <w:t>366,8</w:t>
      </w:r>
      <w:r w:rsidRPr="00CA0804">
        <w:t xml:space="preserve"> milijuna eura. </w:t>
      </w:r>
    </w:p>
    <w:p w14:paraId="3DB045FC" w14:textId="4A1D5ECD" w:rsidR="00C12EEB" w:rsidRPr="00CA0804" w:rsidRDefault="00C12EEB" w:rsidP="00636199">
      <w:pPr>
        <w:jc w:val="both"/>
      </w:pPr>
    </w:p>
    <w:p w14:paraId="2C4C8AD2" w14:textId="77777777" w:rsidR="007D08B6" w:rsidRPr="00CA0804" w:rsidRDefault="007D08B6" w:rsidP="00BE487D">
      <w:pPr>
        <w:jc w:val="both"/>
      </w:pPr>
    </w:p>
    <w:p w14:paraId="70F8B7E4" w14:textId="77777777" w:rsidR="00BC66CE" w:rsidRPr="00CA0804" w:rsidRDefault="00BC66CE" w:rsidP="00BE487D"/>
    <w:p w14:paraId="659B268F" w14:textId="77777777" w:rsidR="00BE0817" w:rsidRPr="00CA0804" w:rsidRDefault="00BC66CE" w:rsidP="00BE487D">
      <w:pPr>
        <w:pStyle w:val="Heading3"/>
        <w:numPr>
          <w:ilvl w:val="2"/>
          <w:numId w:val="1"/>
        </w:numPr>
        <w:spacing w:before="0"/>
        <w:jc w:val="both"/>
        <w:rPr>
          <w:rFonts w:ascii="Times New Roman" w:hAnsi="Times New Roman" w:cs="Times New Roman"/>
          <w:b/>
          <w:i/>
          <w:color w:val="auto"/>
        </w:rPr>
      </w:pPr>
      <w:bookmarkStart w:id="26" w:name="_Toc213660047"/>
      <w:r w:rsidRPr="00CA0804">
        <w:rPr>
          <w:rFonts w:ascii="Times New Roman" w:hAnsi="Times New Roman" w:cs="Times New Roman"/>
          <w:b/>
          <w:i/>
          <w:color w:val="auto"/>
        </w:rPr>
        <w:t>Potpore b</w:t>
      </w:r>
      <w:r w:rsidR="00BE0817" w:rsidRPr="00CA0804">
        <w:rPr>
          <w:rFonts w:ascii="Times New Roman" w:hAnsi="Times New Roman" w:cs="Times New Roman"/>
          <w:b/>
          <w:i/>
          <w:color w:val="auto"/>
        </w:rPr>
        <w:t>rodogradnj</w:t>
      </w:r>
      <w:r w:rsidRPr="00CA0804">
        <w:rPr>
          <w:rFonts w:ascii="Times New Roman" w:hAnsi="Times New Roman" w:cs="Times New Roman"/>
          <w:b/>
          <w:i/>
          <w:color w:val="auto"/>
        </w:rPr>
        <w:t>i</w:t>
      </w:r>
      <w:bookmarkEnd w:id="26"/>
      <w:r w:rsidR="00BE0817" w:rsidRPr="00CA0804">
        <w:rPr>
          <w:rFonts w:ascii="Times New Roman" w:hAnsi="Times New Roman" w:cs="Times New Roman"/>
          <w:b/>
          <w:i/>
          <w:color w:val="auto"/>
        </w:rPr>
        <w:t xml:space="preserve"> </w:t>
      </w:r>
    </w:p>
    <w:p w14:paraId="0C2332B7" w14:textId="77777777" w:rsidR="00BC66CE" w:rsidRPr="00CA0804" w:rsidRDefault="00BC66CE" w:rsidP="00BE487D">
      <w:pPr>
        <w:jc w:val="both"/>
      </w:pPr>
    </w:p>
    <w:p w14:paraId="3D5D4623" w14:textId="77777777" w:rsidR="0087793D" w:rsidRPr="00CA0804" w:rsidRDefault="0087793D" w:rsidP="00BE487D">
      <w:pPr>
        <w:jc w:val="both"/>
      </w:pPr>
    </w:p>
    <w:p w14:paraId="7DD40C5C" w14:textId="4073CDAB" w:rsidR="005F1DB3" w:rsidRPr="00CA0804" w:rsidRDefault="005F1DB3" w:rsidP="007D08B6">
      <w:pPr>
        <w:jc w:val="both"/>
      </w:pPr>
      <w:r w:rsidRPr="00CA0804">
        <w:t xml:space="preserve">Potpore </w:t>
      </w:r>
      <w:r w:rsidR="007D08B6" w:rsidRPr="00CA0804">
        <w:t xml:space="preserve">u sektoru brodogradnje </w:t>
      </w:r>
      <w:r w:rsidRPr="00CA0804">
        <w:t xml:space="preserve">dodijeljene </w:t>
      </w:r>
      <w:r w:rsidR="00F9187E" w:rsidRPr="00CA0804">
        <w:t xml:space="preserve">su </w:t>
      </w:r>
      <w:r w:rsidRPr="00CA0804">
        <w:t>u 202</w:t>
      </w:r>
      <w:r w:rsidR="00F9187E" w:rsidRPr="00CA0804">
        <w:t>4</w:t>
      </w:r>
      <w:r w:rsidRPr="00CA0804">
        <w:t xml:space="preserve">. godini u iznosu od </w:t>
      </w:r>
      <w:r w:rsidR="00F9187E" w:rsidRPr="00CA0804">
        <w:t>14</w:t>
      </w:r>
      <w:r w:rsidRPr="00CA0804">
        <w:t xml:space="preserve"> milijuna eura, što je </w:t>
      </w:r>
      <w:r w:rsidR="007D08B6" w:rsidRPr="00CA0804">
        <w:t>smanjenje</w:t>
      </w:r>
      <w:r w:rsidRPr="00CA0804">
        <w:t xml:space="preserve"> za </w:t>
      </w:r>
      <w:r w:rsidR="00F9187E" w:rsidRPr="00CA0804">
        <w:t xml:space="preserve">15,5 </w:t>
      </w:r>
      <w:r w:rsidRPr="00CA0804">
        <w:t xml:space="preserve">milijuna eura ili za </w:t>
      </w:r>
      <w:r w:rsidR="00F9187E" w:rsidRPr="00CA0804">
        <w:t xml:space="preserve">52,5 </w:t>
      </w:r>
      <w:r w:rsidRPr="00CA0804">
        <w:t>posto u odnosu na 202</w:t>
      </w:r>
      <w:r w:rsidR="00F9187E" w:rsidRPr="00CA0804">
        <w:t>3</w:t>
      </w:r>
      <w:r w:rsidRPr="00CA0804">
        <w:t xml:space="preserve">. godinu, kada su iznosile </w:t>
      </w:r>
      <w:r w:rsidR="00F9187E" w:rsidRPr="00CA0804">
        <w:t xml:space="preserve">29,5 </w:t>
      </w:r>
      <w:r w:rsidRPr="00CA0804">
        <w:t xml:space="preserve">milijuna eura, te </w:t>
      </w:r>
      <w:r w:rsidR="005E2B1B" w:rsidRPr="00CA0804">
        <w:t>predstavlja</w:t>
      </w:r>
      <w:r w:rsidRPr="00CA0804">
        <w:t xml:space="preserve"> smanjenje za </w:t>
      </w:r>
      <w:r w:rsidR="00F9187E" w:rsidRPr="00CA0804">
        <w:t xml:space="preserve">47,2 </w:t>
      </w:r>
      <w:r w:rsidRPr="00CA0804">
        <w:t xml:space="preserve">milijuna eura ili </w:t>
      </w:r>
      <w:r w:rsidR="00F9187E" w:rsidRPr="00CA0804">
        <w:t xml:space="preserve">77,1 </w:t>
      </w:r>
      <w:r w:rsidRPr="00CA0804">
        <w:t>posto u odnosu na 202</w:t>
      </w:r>
      <w:r w:rsidR="00F9187E" w:rsidRPr="00CA0804">
        <w:t>2</w:t>
      </w:r>
      <w:r w:rsidRPr="00CA0804">
        <w:t xml:space="preserve">. godinu kada su iznosile </w:t>
      </w:r>
      <w:r w:rsidR="00F9187E" w:rsidRPr="00CA0804">
        <w:t xml:space="preserve">61,2 </w:t>
      </w:r>
      <w:r w:rsidRPr="00CA0804">
        <w:t>milijuna eura.</w:t>
      </w:r>
    </w:p>
    <w:p w14:paraId="14644810" w14:textId="77777777" w:rsidR="00DB6FFB" w:rsidRPr="00CA0804" w:rsidRDefault="00DB6FFB" w:rsidP="003F0669">
      <w:pPr>
        <w:jc w:val="both"/>
      </w:pPr>
    </w:p>
    <w:p w14:paraId="33821B0C" w14:textId="581EAD75" w:rsidR="0087793D" w:rsidRPr="00CA0804" w:rsidRDefault="0087793D" w:rsidP="00BE487D">
      <w:pPr>
        <w:contextualSpacing/>
        <w:jc w:val="both"/>
      </w:pPr>
      <w:r w:rsidRPr="00CA0804">
        <w:t>Tablica 2</w:t>
      </w:r>
      <w:r w:rsidR="00E4105D" w:rsidRPr="00CA0804">
        <w:t>3</w:t>
      </w:r>
      <w:r w:rsidRPr="00CA0804">
        <w:t xml:space="preserve">. Potpore </w:t>
      </w:r>
      <w:r w:rsidR="0033578C" w:rsidRPr="00CA0804">
        <w:t xml:space="preserve">dodijeljene u </w:t>
      </w:r>
      <w:r w:rsidRPr="00CA0804">
        <w:t xml:space="preserve">sektoru brodogradnje </w:t>
      </w:r>
      <w:r w:rsidR="0033578C" w:rsidRPr="00CA0804">
        <w:t>u</w:t>
      </w:r>
      <w:r w:rsidRPr="00CA0804">
        <w:t xml:space="preserve"> razdoblj</w:t>
      </w:r>
      <w:r w:rsidR="0033578C" w:rsidRPr="00CA0804">
        <w:t>u</w:t>
      </w:r>
      <w:r w:rsidRPr="00CA0804">
        <w:t xml:space="preserve"> od 20</w:t>
      </w:r>
      <w:r w:rsidR="007F2488" w:rsidRPr="00CA0804">
        <w:t>2</w:t>
      </w:r>
      <w:r w:rsidR="00103D53" w:rsidRPr="00CA0804">
        <w:t>2</w:t>
      </w:r>
      <w:r w:rsidRPr="00CA0804">
        <w:t>. do 202</w:t>
      </w:r>
      <w:r w:rsidR="00103D53" w:rsidRPr="00CA0804">
        <w:t>4</w:t>
      </w:r>
      <w:r w:rsidRPr="00CA0804">
        <w:t>. godine</w:t>
      </w:r>
    </w:p>
    <w:p w14:paraId="21545AE7" w14:textId="77777777" w:rsidR="0087793D" w:rsidRPr="00CA0804" w:rsidRDefault="0087793D"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103D53" w:rsidRPr="00CA0804" w14:paraId="5AFE7488" w14:textId="77777777" w:rsidTr="00E627B3">
        <w:trPr>
          <w:trHeight w:val="38"/>
        </w:trPr>
        <w:tc>
          <w:tcPr>
            <w:tcW w:w="3376" w:type="dxa"/>
            <w:vMerge w:val="restart"/>
            <w:shd w:val="clear" w:color="000000" w:fill="FFFF99"/>
            <w:noWrap/>
            <w:vAlign w:val="center"/>
            <w:hideMark/>
          </w:tcPr>
          <w:p w14:paraId="7C9AB1E4" w14:textId="57876BE6" w:rsidR="00103D53" w:rsidRPr="00CA0804" w:rsidRDefault="00103D53" w:rsidP="00103D53">
            <w:pPr>
              <w:rPr>
                <w:rFonts w:eastAsia="Times New Roman"/>
                <w:b/>
                <w:bCs/>
                <w:sz w:val="20"/>
                <w:szCs w:val="20"/>
              </w:rPr>
            </w:pPr>
            <w:r w:rsidRPr="00CA0804">
              <w:rPr>
                <w:rFonts w:eastAsia="Times New Roman"/>
                <w:b/>
                <w:bCs/>
                <w:sz w:val="20"/>
                <w:lang w:eastAsia="hr-HR"/>
              </w:rPr>
              <w:t>Brodogradnja</w:t>
            </w:r>
          </w:p>
        </w:tc>
        <w:tc>
          <w:tcPr>
            <w:tcW w:w="1439" w:type="dxa"/>
            <w:shd w:val="clear" w:color="000000" w:fill="FFFF99"/>
            <w:vAlign w:val="center"/>
          </w:tcPr>
          <w:p w14:paraId="55A782BF" w14:textId="0FE162C8" w:rsidR="00103D53" w:rsidRPr="00CA0804" w:rsidRDefault="00103D53" w:rsidP="00103D53">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164FAA3D" w14:textId="4DDFB031" w:rsidR="00103D53" w:rsidRPr="00CA0804" w:rsidRDefault="00103D53" w:rsidP="00103D53">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09429944" w14:textId="168889C9" w:rsidR="00103D53" w:rsidRPr="00CA0804" w:rsidRDefault="00103D53" w:rsidP="00103D53">
            <w:pPr>
              <w:jc w:val="center"/>
              <w:rPr>
                <w:rFonts w:eastAsia="Times New Roman"/>
                <w:b/>
                <w:bCs/>
                <w:sz w:val="20"/>
                <w:szCs w:val="20"/>
              </w:rPr>
            </w:pPr>
            <w:r w:rsidRPr="00CA0804">
              <w:rPr>
                <w:b/>
                <w:sz w:val="20"/>
                <w:szCs w:val="20"/>
              </w:rPr>
              <w:t>2024.</w:t>
            </w:r>
          </w:p>
        </w:tc>
      </w:tr>
      <w:tr w:rsidR="0033578C" w:rsidRPr="00CA0804" w14:paraId="6CB62248" w14:textId="77777777" w:rsidTr="00E627B3">
        <w:trPr>
          <w:trHeight w:val="212"/>
        </w:trPr>
        <w:tc>
          <w:tcPr>
            <w:tcW w:w="3376" w:type="dxa"/>
            <w:vMerge/>
            <w:vAlign w:val="center"/>
            <w:hideMark/>
          </w:tcPr>
          <w:p w14:paraId="6EC97366"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415D02C5"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28401D01"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3EA5763F"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103D53" w:rsidRPr="00CA0804" w14:paraId="5DF9C752" w14:textId="77777777" w:rsidTr="00E627B3">
        <w:trPr>
          <w:trHeight w:val="40"/>
        </w:trPr>
        <w:tc>
          <w:tcPr>
            <w:tcW w:w="3376" w:type="dxa"/>
            <w:shd w:val="clear" w:color="auto" w:fill="auto"/>
            <w:noWrap/>
            <w:vAlign w:val="center"/>
            <w:hideMark/>
          </w:tcPr>
          <w:p w14:paraId="224E045E" w14:textId="3B40DCDE" w:rsidR="00103D53" w:rsidRPr="00CA0804" w:rsidRDefault="00103D53" w:rsidP="00103D53">
            <w:pPr>
              <w:rPr>
                <w:rFonts w:eastAsia="Times New Roman"/>
                <w:b/>
                <w:bCs/>
                <w:sz w:val="20"/>
                <w:szCs w:val="20"/>
              </w:rPr>
            </w:pPr>
            <w:r w:rsidRPr="00CA0804">
              <w:rPr>
                <w:rFonts w:eastAsia="Times New Roman"/>
                <w:b/>
                <w:bCs/>
                <w:sz w:val="20"/>
                <w:szCs w:val="20"/>
                <w:lang w:eastAsia="hr-HR"/>
              </w:rPr>
              <w:t>D</w:t>
            </w:r>
            <w:r w:rsidRPr="00CA0804">
              <w:rPr>
                <w:rFonts w:eastAsia="Times New Roman"/>
                <w:sz w:val="20"/>
                <w:szCs w:val="20"/>
                <w:lang w:eastAsia="hr-HR"/>
              </w:rPr>
              <w:t xml:space="preserve"> jamstva</w:t>
            </w:r>
          </w:p>
        </w:tc>
        <w:tc>
          <w:tcPr>
            <w:tcW w:w="1439" w:type="dxa"/>
            <w:vAlign w:val="center"/>
          </w:tcPr>
          <w:p w14:paraId="260A4651" w14:textId="565E0267" w:rsidR="00103D53" w:rsidRPr="00CA0804" w:rsidRDefault="00103D53" w:rsidP="00103D53">
            <w:pPr>
              <w:jc w:val="right"/>
              <w:rPr>
                <w:sz w:val="20"/>
                <w:szCs w:val="14"/>
              </w:rPr>
            </w:pPr>
            <w:r w:rsidRPr="00CA0804">
              <w:rPr>
                <w:sz w:val="20"/>
                <w:szCs w:val="20"/>
              </w:rPr>
              <w:t>61,2</w:t>
            </w:r>
          </w:p>
        </w:tc>
        <w:tc>
          <w:tcPr>
            <w:tcW w:w="1559" w:type="dxa"/>
            <w:vAlign w:val="center"/>
          </w:tcPr>
          <w:p w14:paraId="733865CB" w14:textId="56B7EA70" w:rsidR="00103D53" w:rsidRPr="00CA0804" w:rsidRDefault="00103D53" w:rsidP="00103D53">
            <w:pPr>
              <w:jc w:val="right"/>
              <w:rPr>
                <w:sz w:val="20"/>
                <w:szCs w:val="14"/>
              </w:rPr>
            </w:pPr>
            <w:r w:rsidRPr="00CA0804">
              <w:rPr>
                <w:sz w:val="20"/>
                <w:szCs w:val="20"/>
              </w:rPr>
              <w:t>29,5</w:t>
            </w:r>
          </w:p>
        </w:tc>
        <w:tc>
          <w:tcPr>
            <w:tcW w:w="1559" w:type="dxa"/>
            <w:vAlign w:val="center"/>
          </w:tcPr>
          <w:p w14:paraId="55A60AD1" w14:textId="464B521B" w:rsidR="00103D53" w:rsidRPr="00CA0804" w:rsidRDefault="00103D53" w:rsidP="00103D53">
            <w:pPr>
              <w:jc w:val="right"/>
              <w:rPr>
                <w:sz w:val="20"/>
                <w:szCs w:val="14"/>
              </w:rPr>
            </w:pPr>
            <w:r w:rsidRPr="00CA0804">
              <w:rPr>
                <w:sz w:val="20"/>
                <w:szCs w:val="20"/>
              </w:rPr>
              <w:t>14,0</w:t>
            </w:r>
          </w:p>
        </w:tc>
      </w:tr>
      <w:tr w:rsidR="00103D53" w:rsidRPr="00CA0804" w14:paraId="166C1BFC" w14:textId="77777777" w:rsidTr="00E627B3">
        <w:trPr>
          <w:trHeight w:val="40"/>
        </w:trPr>
        <w:tc>
          <w:tcPr>
            <w:tcW w:w="3376" w:type="dxa"/>
            <w:shd w:val="clear" w:color="000000" w:fill="FFFF99"/>
            <w:noWrap/>
            <w:vAlign w:val="center"/>
            <w:hideMark/>
          </w:tcPr>
          <w:p w14:paraId="0E42EA1C" w14:textId="77777777" w:rsidR="00103D53" w:rsidRPr="00CA0804" w:rsidRDefault="00103D53" w:rsidP="00103D53">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381BEB65" w14:textId="5DCA3DA5" w:rsidR="00103D53" w:rsidRPr="00CA0804" w:rsidRDefault="00103D53" w:rsidP="00103D53">
            <w:pPr>
              <w:jc w:val="right"/>
              <w:rPr>
                <w:b/>
                <w:sz w:val="20"/>
                <w:szCs w:val="14"/>
              </w:rPr>
            </w:pPr>
            <w:r w:rsidRPr="00CA0804">
              <w:rPr>
                <w:b/>
                <w:sz w:val="20"/>
                <w:szCs w:val="20"/>
              </w:rPr>
              <w:t>61,2</w:t>
            </w:r>
          </w:p>
        </w:tc>
        <w:tc>
          <w:tcPr>
            <w:tcW w:w="1559" w:type="dxa"/>
            <w:shd w:val="clear" w:color="000000" w:fill="FFFF99"/>
            <w:vAlign w:val="center"/>
          </w:tcPr>
          <w:p w14:paraId="22225683" w14:textId="5301F3B5" w:rsidR="00103D53" w:rsidRPr="00CA0804" w:rsidRDefault="00103D53" w:rsidP="00103D53">
            <w:pPr>
              <w:jc w:val="right"/>
              <w:rPr>
                <w:b/>
                <w:sz w:val="20"/>
                <w:szCs w:val="14"/>
              </w:rPr>
            </w:pPr>
            <w:r w:rsidRPr="00CA0804">
              <w:rPr>
                <w:b/>
                <w:sz w:val="20"/>
                <w:szCs w:val="20"/>
              </w:rPr>
              <w:t>29,5</w:t>
            </w:r>
          </w:p>
        </w:tc>
        <w:tc>
          <w:tcPr>
            <w:tcW w:w="1559" w:type="dxa"/>
            <w:shd w:val="clear" w:color="000000" w:fill="FFFF99"/>
            <w:vAlign w:val="center"/>
          </w:tcPr>
          <w:p w14:paraId="1A5DAABF" w14:textId="6E13B80B" w:rsidR="00103D53" w:rsidRPr="00CA0804" w:rsidRDefault="00103D53" w:rsidP="00103D53">
            <w:pPr>
              <w:jc w:val="right"/>
              <w:rPr>
                <w:b/>
                <w:sz w:val="20"/>
                <w:szCs w:val="14"/>
              </w:rPr>
            </w:pPr>
            <w:r w:rsidRPr="00CA0804">
              <w:rPr>
                <w:b/>
                <w:sz w:val="20"/>
                <w:szCs w:val="20"/>
              </w:rPr>
              <w:t>14,0</w:t>
            </w:r>
          </w:p>
        </w:tc>
      </w:tr>
      <w:tr w:rsidR="00103D53" w:rsidRPr="00CA0804" w14:paraId="27E665DE" w14:textId="77777777" w:rsidTr="00E627B3">
        <w:trPr>
          <w:trHeight w:val="40"/>
        </w:trPr>
        <w:tc>
          <w:tcPr>
            <w:tcW w:w="3376" w:type="dxa"/>
            <w:shd w:val="clear" w:color="auto" w:fill="auto"/>
            <w:vAlign w:val="center"/>
            <w:hideMark/>
          </w:tcPr>
          <w:p w14:paraId="4C7A47AC" w14:textId="77777777" w:rsidR="00103D53" w:rsidRPr="00CA0804" w:rsidRDefault="00103D53" w:rsidP="00103D53">
            <w:pPr>
              <w:rPr>
                <w:rFonts w:eastAsia="Times New Roman"/>
                <w:sz w:val="20"/>
                <w:szCs w:val="20"/>
              </w:rPr>
            </w:pPr>
            <w:r w:rsidRPr="00CA0804">
              <w:rPr>
                <w:rFonts w:eastAsia="Times New Roman"/>
                <w:sz w:val="20"/>
              </w:rPr>
              <w:t>udio (%) u posebnim sektorima</w:t>
            </w:r>
          </w:p>
        </w:tc>
        <w:tc>
          <w:tcPr>
            <w:tcW w:w="1439" w:type="dxa"/>
            <w:vAlign w:val="center"/>
          </w:tcPr>
          <w:p w14:paraId="0A1C6303" w14:textId="7887CD82" w:rsidR="00103D53" w:rsidRPr="00CA0804" w:rsidRDefault="00103D53" w:rsidP="00103D53">
            <w:pPr>
              <w:jc w:val="center"/>
              <w:rPr>
                <w:sz w:val="20"/>
                <w:szCs w:val="14"/>
              </w:rPr>
            </w:pPr>
            <w:r w:rsidRPr="00CA0804">
              <w:rPr>
                <w:sz w:val="20"/>
                <w:szCs w:val="20"/>
              </w:rPr>
              <w:t>10,13</w:t>
            </w:r>
          </w:p>
        </w:tc>
        <w:tc>
          <w:tcPr>
            <w:tcW w:w="1559" w:type="dxa"/>
            <w:vAlign w:val="center"/>
          </w:tcPr>
          <w:p w14:paraId="7E0F0F2D" w14:textId="219AA0E6" w:rsidR="00103D53" w:rsidRPr="00CA0804" w:rsidRDefault="00103D53" w:rsidP="00103D53">
            <w:pPr>
              <w:jc w:val="center"/>
              <w:rPr>
                <w:sz w:val="20"/>
                <w:szCs w:val="14"/>
              </w:rPr>
            </w:pPr>
            <w:r w:rsidRPr="00CA0804">
              <w:rPr>
                <w:sz w:val="20"/>
                <w:szCs w:val="20"/>
              </w:rPr>
              <w:t>3,47</w:t>
            </w:r>
          </w:p>
        </w:tc>
        <w:tc>
          <w:tcPr>
            <w:tcW w:w="1559" w:type="dxa"/>
            <w:vAlign w:val="center"/>
          </w:tcPr>
          <w:p w14:paraId="22C62E2E" w14:textId="674815FF" w:rsidR="00103D53" w:rsidRPr="00CA0804" w:rsidRDefault="00103D53" w:rsidP="00103D53">
            <w:pPr>
              <w:jc w:val="center"/>
              <w:rPr>
                <w:sz w:val="20"/>
                <w:szCs w:val="14"/>
              </w:rPr>
            </w:pPr>
            <w:r w:rsidRPr="00CA0804">
              <w:rPr>
                <w:sz w:val="20"/>
                <w:szCs w:val="20"/>
              </w:rPr>
              <w:t>1,74</w:t>
            </w:r>
          </w:p>
        </w:tc>
      </w:tr>
      <w:tr w:rsidR="00103D53" w:rsidRPr="00CA0804" w14:paraId="21D82DE1" w14:textId="77777777" w:rsidTr="00E627B3">
        <w:trPr>
          <w:trHeight w:val="90"/>
        </w:trPr>
        <w:tc>
          <w:tcPr>
            <w:tcW w:w="3376" w:type="dxa"/>
            <w:shd w:val="clear" w:color="auto" w:fill="auto"/>
            <w:vAlign w:val="center"/>
            <w:hideMark/>
          </w:tcPr>
          <w:p w14:paraId="4CDEB03E" w14:textId="77777777" w:rsidR="00103D53" w:rsidRPr="00CA0804" w:rsidRDefault="00103D53" w:rsidP="00103D53">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161C1604" w14:textId="0F38D80D" w:rsidR="00103D53" w:rsidRPr="00CA0804" w:rsidRDefault="00103D53" w:rsidP="00103D53">
            <w:pPr>
              <w:jc w:val="center"/>
              <w:rPr>
                <w:sz w:val="20"/>
                <w:szCs w:val="14"/>
              </w:rPr>
            </w:pPr>
            <w:r w:rsidRPr="00CA0804">
              <w:rPr>
                <w:sz w:val="20"/>
                <w:szCs w:val="20"/>
              </w:rPr>
              <w:t>2,99</w:t>
            </w:r>
          </w:p>
        </w:tc>
        <w:tc>
          <w:tcPr>
            <w:tcW w:w="1559" w:type="dxa"/>
            <w:vAlign w:val="center"/>
          </w:tcPr>
          <w:p w14:paraId="4E85429C" w14:textId="2F1BBC97" w:rsidR="00103D53" w:rsidRPr="00CA0804" w:rsidRDefault="00103D53" w:rsidP="00103D53">
            <w:pPr>
              <w:jc w:val="center"/>
              <w:rPr>
                <w:sz w:val="20"/>
                <w:szCs w:val="14"/>
              </w:rPr>
            </w:pPr>
            <w:r w:rsidRPr="00CA0804">
              <w:rPr>
                <w:sz w:val="20"/>
                <w:szCs w:val="20"/>
              </w:rPr>
              <w:t>1,50</w:t>
            </w:r>
          </w:p>
        </w:tc>
        <w:tc>
          <w:tcPr>
            <w:tcW w:w="1559" w:type="dxa"/>
            <w:vAlign w:val="center"/>
          </w:tcPr>
          <w:p w14:paraId="69594C7C" w14:textId="71C2B9FC" w:rsidR="00103D53" w:rsidRPr="00CA0804" w:rsidRDefault="00103D53" w:rsidP="00103D53">
            <w:pPr>
              <w:jc w:val="center"/>
              <w:rPr>
                <w:sz w:val="20"/>
                <w:szCs w:val="14"/>
              </w:rPr>
            </w:pPr>
            <w:r w:rsidRPr="00CA0804">
              <w:rPr>
                <w:sz w:val="20"/>
                <w:szCs w:val="20"/>
              </w:rPr>
              <w:t>1,06</w:t>
            </w:r>
          </w:p>
        </w:tc>
      </w:tr>
      <w:tr w:rsidR="00103D53" w:rsidRPr="00CA0804" w14:paraId="7632CA76" w14:textId="77777777" w:rsidTr="00E627B3">
        <w:trPr>
          <w:trHeight w:val="40"/>
        </w:trPr>
        <w:tc>
          <w:tcPr>
            <w:tcW w:w="3376" w:type="dxa"/>
            <w:shd w:val="clear" w:color="auto" w:fill="auto"/>
            <w:vAlign w:val="center"/>
            <w:hideMark/>
          </w:tcPr>
          <w:p w14:paraId="7D64DBBD" w14:textId="77777777" w:rsidR="00103D53" w:rsidRPr="00CA0804" w:rsidRDefault="00103D53" w:rsidP="00103D53">
            <w:pPr>
              <w:rPr>
                <w:rFonts w:eastAsia="Times New Roman"/>
                <w:sz w:val="20"/>
                <w:szCs w:val="20"/>
              </w:rPr>
            </w:pPr>
            <w:r w:rsidRPr="00CA0804">
              <w:rPr>
                <w:rFonts w:eastAsia="Times New Roman"/>
                <w:sz w:val="20"/>
                <w:szCs w:val="20"/>
              </w:rPr>
              <w:t>udio (%) u ukupnim potporama</w:t>
            </w:r>
          </w:p>
        </w:tc>
        <w:tc>
          <w:tcPr>
            <w:tcW w:w="1439" w:type="dxa"/>
            <w:vAlign w:val="center"/>
          </w:tcPr>
          <w:p w14:paraId="214EDB0C" w14:textId="207D9581" w:rsidR="00103D53" w:rsidRPr="00CA0804" w:rsidRDefault="00103D53" w:rsidP="00103D53">
            <w:pPr>
              <w:jc w:val="center"/>
              <w:rPr>
                <w:sz w:val="20"/>
                <w:szCs w:val="14"/>
              </w:rPr>
            </w:pPr>
            <w:r w:rsidRPr="00CA0804">
              <w:rPr>
                <w:sz w:val="20"/>
                <w:szCs w:val="20"/>
              </w:rPr>
              <w:t>2,86</w:t>
            </w:r>
          </w:p>
        </w:tc>
        <w:tc>
          <w:tcPr>
            <w:tcW w:w="1559" w:type="dxa"/>
            <w:vAlign w:val="center"/>
          </w:tcPr>
          <w:p w14:paraId="693618B9" w14:textId="1BBE5DD3" w:rsidR="00103D53" w:rsidRPr="00CA0804" w:rsidRDefault="00103D53" w:rsidP="00103D53">
            <w:pPr>
              <w:jc w:val="center"/>
              <w:rPr>
                <w:sz w:val="20"/>
                <w:szCs w:val="14"/>
              </w:rPr>
            </w:pPr>
            <w:r w:rsidRPr="00CA0804">
              <w:rPr>
                <w:sz w:val="20"/>
                <w:szCs w:val="20"/>
              </w:rPr>
              <w:t>1,42</w:t>
            </w:r>
          </w:p>
        </w:tc>
        <w:tc>
          <w:tcPr>
            <w:tcW w:w="1559" w:type="dxa"/>
            <w:vAlign w:val="center"/>
          </w:tcPr>
          <w:p w14:paraId="5B5F6857" w14:textId="4429F627" w:rsidR="00103D53" w:rsidRPr="00CA0804" w:rsidRDefault="00103D53" w:rsidP="00103D53">
            <w:pPr>
              <w:jc w:val="center"/>
              <w:rPr>
                <w:sz w:val="20"/>
                <w:szCs w:val="14"/>
              </w:rPr>
            </w:pPr>
            <w:r w:rsidRPr="00CA0804">
              <w:rPr>
                <w:sz w:val="20"/>
                <w:szCs w:val="20"/>
              </w:rPr>
              <w:t>0,97</w:t>
            </w:r>
          </w:p>
        </w:tc>
      </w:tr>
      <w:tr w:rsidR="00103D53" w:rsidRPr="00CA0804" w14:paraId="0F0898D0" w14:textId="77777777" w:rsidTr="00E627B3">
        <w:trPr>
          <w:trHeight w:val="40"/>
        </w:trPr>
        <w:tc>
          <w:tcPr>
            <w:tcW w:w="3376" w:type="dxa"/>
            <w:shd w:val="clear" w:color="auto" w:fill="auto"/>
            <w:vAlign w:val="center"/>
            <w:hideMark/>
          </w:tcPr>
          <w:p w14:paraId="158E108C" w14:textId="77777777" w:rsidR="00103D53" w:rsidRPr="00CA0804" w:rsidRDefault="00103D53" w:rsidP="00103D53">
            <w:pPr>
              <w:rPr>
                <w:rFonts w:eastAsia="Times New Roman"/>
                <w:sz w:val="20"/>
                <w:szCs w:val="20"/>
              </w:rPr>
            </w:pPr>
            <w:r w:rsidRPr="00CA0804">
              <w:rPr>
                <w:rFonts w:eastAsia="Times New Roman"/>
                <w:sz w:val="20"/>
                <w:szCs w:val="20"/>
              </w:rPr>
              <w:t>udio (%) u BDP-u</w:t>
            </w:r>
          </w:p>
        </w:tc>
        <w:tc>
          <w:tcPr>
            <w:tcW w:w="1439" w:type="dxa"/>
            <w:vAlign w:val="center"/>
          </w:tcPr>
          <w:p w14:paraId="061D921F" w14:textId="4032F5A4" w:rsidR="00103D53" w:rsidRPr="00CA0804" w:rsidRDefault="00103D53" w:rsidP="00103D53">
            <w:pPr>
              <w:jc w:val="center"/>
              <w:rPr>
                <w:sz w:val="20"/>
                <w:szCs w:val="14"/>
              </w:rPr>
            </w:pPr>
            <w:r w:rsidRPr="00CA0804">
              <w:rPr>
                <w:sz w:val="20"/>
                <w:szCs w:val="20"/>
              </w:rPr>
              <w:t>0,09</w:t>
            </w:r>
          </w:p>
        </w:tc>
        <w:tc>
          <w:tcPr>
            <w:tcW w:w="1559" w:type="dxa"/>
            <w:vAlign w:val="center"/>
          </w:tcPr>
          <w:p w14:paraId="377B58C6" w14:textId="57CC9048" w:rsidR="00103D53" w:rsidRPr="00CA0804" w:rsidRDefault="00103D53" w:rsidP="00103D53">
            <w:pPr>
              <w:jc w:val="center"/>
              <w:rPr>
                <w:sz w:val="20"/>
                <w:szCs w:val="14"/>
              </w:rPr>
            </w:pPr>
            <w:r w:rsidRPr="00CA0804">
              <w:rPr>
                <w:sz w:val="20"/>
                <w:szCs w:val="20"/>
              </w:rPr>
              <w:t>0,04</w:t>
            </w:r>
          </w:p>
        </w:tc>
        <w:tc>
          <w:tcPr>
            <w:tcW w:w="1559" w:type="dxa"/>
            <w:vAlign w:val="center"/>
          </w:tcPr>
          <w:p w14:paraId="12096F89" w14:textId="5F5A9C18" w:rsidR="00103D53" w:rsidRPr="00CA0804" w:rsidRDefault="00103D53" w:rsidP="00103D53">
            <w:pPr>
              <w:jc w:val="center"/>
              <w:rPr>
                <w:sz w:val="20"/>
                <w:szCs w:val="14"/>
              </w:rPr>
            </w:pPr>
            <w:r w:rsidRPr="00CA0804">
              <w:rPr>
                <w:sz w:val="20"/>
                <w:szCs w:val="20"/>
              </w:rPr>
              <w:t>0,02</w:t>
            </w:r>
          </w:p>
        </w:tc>
      </w:tr>
    </w:tbl>
    <w:p w14:paraId="1AFE7B2F" w14:textId="77777777" w:rsidR="0033578C" w:rsidRPr="00CA0804" w:rsidRDefault="0033578C" w:rsidP="0033578C">
      <w:pPr>
        <w:contextualSpacing/>
        <w:jc w:val="both"/>
        <w:rPr>
          <w:i/>
          <w:sz w:val="20"/>
        </w:rPr>
      </w:pPr>
      <w:r w:rsidRPr="00CA0804">
        <w:rPr>
          <w:i/>
          <w:sz w:val="20"/>
        </w:rPr>
        <w:t>Izvor: Ministarstvo financija i davatelji potpora; podaci obrađeni u Ministarstvu financija</w:t>
      </w:r>
    </w:p>
    <w:p w14:paraId="0259D8E8" w14:textId="77777777" w:rsidR="00677F96" w:rsidRPr="00CA0804" w:rsidRDefault="00677F96" w:rsidP="00BE487D">
      <w:pPr>
        <w:jc w:val="both"/>
      </w:pPr>
    </w:p>
    <w:p w14:paraId="2DE6F015" w14:textId="69D69B1B" w:rsidR="00A368AA" w:rsidRPr="00CA0804" w:rsidRDefault="00A368AA" w:rsidP="00A368AA">
      <w:pPr>
        <w:jc w:val="both"/>
      </w:pPr>
      <w:r w:rsidRPr="00CA0804">
        <w:t>Udio potpora u sektoru brodogradnje u BDP-u u 202</w:t>
      </w:r>
      <w:r w:rsidR="00CB3556" w:rsidRPr="00CA0804">
        <w:t>4</w:t>
      </w:r>
      <w:r w:rsidRPr="00CA0804">
        <w:t>. godini iznosio je 0,0</w:t>
      </w:r>
      <w:r w:rsidR="00CB3556" w:rsidRPr="00CA0804">
        <w:t>2</w:t>
      </w:r>
      <w:r w:rsidRPr="00CA0804">
        <w:t xml:space="preserve"> posto, u 202</w:t>
      </w:r>
      <w:r w:rsidR="00CB3556" w:rsidRPr="00CA0804">
        <w:t>3</w:t>
      </w:r>
      <w:r w:rsidRPr="00CA0804">
        <w:t>. godini 0,0</w:t>
      </w:r>
      <w:r w:rsidR="00CB3556" w:rsidRPr="00CA0804">
        <w:t>4 posto i</w:t>
      </w:r>
      <w:r w:rsidRPr="00CA0804">
        <w:t xml:space="preserve"> u 202</w:t>
      </w:r>
      <w:r w:rsidR="00CB3556" w:rsidRPr="00CA0804">
        <w:t>2</w:t>
      </w:r>
      <w:r w:rsidRPr="00CA0804">
        <w:t xml:space="preserve">. godini </w:t>
      </w:r>
      <w:r w:rsidR="00CB3556" w:rsidRPr="00CA0804">
        <w:t>0,09</w:t>
      </w:r>
      <w:r w:rsidRPr="00CA0804">
        <w:t xml:space="preserve"> posto. Udio navedenih potpora u 202</w:t>
      </w:r>
      <w:r w:rsidR="00CB3556" w:rsidRPr="00CA0804">
        <w:t>4</w:t>
      </w:r>
      <w:r w:rsidRPr="00CA0804">
        <w:t>. godini u ukupno dodijeljenim potporama iznosio je 1 posto, udio u dodijeljenim potporama u sektoru industrije i usluga 1,</w:t>
      </w:r>
      <w:r w:rsidR="00CB3556" w:rsidRPr="00CA0804">
        <w:t>1</w:t>
      </w:r>
      <w:r w:rsidRPr="00CA0804">
        <w:t xml:space="preserve"> posto</w:t>
      </w:r>
      <w:r w:rsidR="00CB3556" w:rsidRPr="00CA0804">
        <w:t xml:space="preserve"> i </w:t>
      </w:r>
      <w:r w:rsidRPr="00CA0804">
        <w:t xml:space="preserve">udio u sektorskim potporama </w:t>
      </w:r>
      <w:r w:rsidR="00CB3556" w:rsidRPr="00CA0804">
        <w:t>1,7</w:t>
      </w:r>
      <w:r w:rsidRPr="00CA0804">
        <w:t xml:space="preserve"> posto. </w:t>
      </w:r>
      <w:r w:rsidR="00CB3556" w:rsidRPr="00CA0804">
        <w:t>I</w:t>
      </w:r>
      <w:r w:rsidRPr="00CA0804">
        <w:t>nstrument putem kojeg su dodjeljivane potpore u brodogradnji su izdana jamstva.</w:t>
      </w:r>
    </w:p>
    <w:p w14:paraId="5DE293E8" w14:textId="77777777" w:rsidR="00DB6FFB" w:rsidRPr="00CA0804" w:rsidRDefault="00DB6FFB" w:rsidP="00BE487D">
      <w:pPr>
        <w:jc w:val="both"/>
      </w:pPr>
    </w:p>
    <w:p w14:paraId="69A8F490" w14:textId="73B9880F" w:rsidR="0087793D" w:rsidRPr="00CA0804" w:rsidRDefault="00CB3556" w:rsidP="00BE487D">
      <w:pPr>
        <w:jc w:val="both"/>
        <w:rPr>
          <w:spacing w:val="-2"/>
        </w:rPr>
      </w:pPr>
      <w:r w:rsidRPr="00CA0804">
        <w:rPr>
          <w:spacing w:val="-2"/>
        </w:rPr>
        <w:t xml:space="preserve">U </w:t>
      </w:r>
      <w:r w:rsidR="0087793D" w:rsidRPr="00CA0804">
        <w:rPr>
          <w:spacing w:val="-2"/>
        </w:rPr>
        <w:t>državnim jamstvima</w:t>
      </w:r>
      <w:r w:rsidRPr="00CA0804">
        <w:rPr>
          <w:spacing w:val="-2"/>
        </w:rPr>
        <w:t xml:space="preserve"> sadržana potpora </w:t>
      </w:r>
      <w:r w:rsidR="0087793D" w:rsidRPr="00CA0804">
        <w:rPr>
          <w:spacing w:val="-2"/>
        </w:rPr>
        <w:t>za kredite brodogradilišta izračunava</w:t>
      </w:r>
      <w:r w:rsidR="005E2B1B" w:rsidRPr="00CA0804">
        <w:rPr>
          <w:spacing w:val="-2"/>
        </w:rPr>
        <w:t xml:space="preserve"> se</w:t>
      </w:r>
      <w:r w:rsidR="0087793D" w:rsidRPr="00CA0804">
        <w:rPr>
          <w:spacing w:val="-2"/>
        </w:rPr>
        <w:t xml:space="preserve"> u stopostotnom iznosu izdanog jamstva jer država preuz</w:t>
      </w:r>
      <w:r w:rsidR="00DA6C07" w:rsidRPr="00CA0804">
        <w:rPr>
          <w:spacing w:val="-2"/>
        </w:rPr>
        <w:t>ima</w:t>
      </w:r>
      <w:r w:rsidR="0087793D" w:rsidRPr="00CA0804">
        <w:rPr>
          <w:spacing w:val="-2"/>
        </w:rPr>
        <w:t xml:space="preserve"> otplatu kredita </w:t>
      </w:r>
      <w:r w:rsidR="00DA6C07" w:rsidRPr="00CA0804">
        <w:rPr>
          <w:spacing w:val="-2"/>
        </w:rPr>
        <w:t xml:space="preserve">onih </w:t>
      </w:r>
      <w:r w:rsidR="0087793D" w:rsidRPr="00CA0804">
        <w:rPr>
          <w:spacing w:val="-2"/>
        </w:rPr>
        <w:t>brodogradilišta koja su u teškoćama</w:t>
      </w:r>
      <w:r w:rsidR="00DA6C07" w:rsidRPr="00CA0804">
        <w:rPr>
          <w:spacing w:val="-2"/>
        </w:rPr>
        <w:t xml:space="preserve">, a s </w:t>
      </w:r>
      <w:r w:rsidR="0087793D" w:rsidRPr="00CA0804">
        <w:rPr>
          <w:spacing w:val="-2"/>
        </w:rPr>
        <w:t xml:space="preserve">obzirom da se na primljene avanse kupaca brodova ne plaća kamata, potpora u izdanim državnim jamstvima za avanse brodogradilišta izračunava se kao iznos tržišne kamate koji bi bio plaćen za </w:t>
      </w:r>
      <w:r w:rsidR="00DA6C07" w:rsidRPr="00CA0804">
        <w:rPr>
          <w:spacing w:val="-2"/>
        </w:rPr>
        <w:t xml:space="preserve">te </w:t>
      </w:r>
      <w:r w:rsidR="0087793D" w:rsidRPr="00CA0804">
        <w:rPr>
          <w:spacing w:val="-2"/>
        </w:rPr>
        <w:t>avanse</w:t>
      </w:r>
      <w:r w:rsidR="000763C6" w:rsidRPr="00CA0804">
        <w:rPr>
          <w:spacing w:val="-2"/>
        </w:rPr>
        <w:t xml:space="preserve"> te se </w:t>
      </w:r>
      <w:r w:rsidR="00DA6C07" w:rsidRPr="00CA0804">
        <w:rPr>
          <w:spacing w:val="-2"/>
        </w:rPr>
        <w:t xml:space="preserve">iz navedenog razloga </w:t>
      </w:r>
      <w:r w:rsidR="0087793D" w:rsidRPr="00CA0804">
        <w:rPr>
          <w:spacing w:val="-2"/>
        </w:rPr>
        <w:t>državna jamstva smatraju dodijeljenima u trenutku izdavanja, a ne</w:t>
      </w:r>
      <w:r w:rsidR="004F3496" w:rsidRPr="00CA0804">
        <w:rPr>
          <w:spacing w:val="-2"/>
        </w:rPr>
        <w:t xml:space="preserve"> u trenutku njihovog protestiranja</w:t>
      </w:r>
      <w:r w:rsidR="00DA6C07" w:rsidRPr="00CA0804">
        <w:rPr>
          <w:spacing w:val="-2"/>
        </w:rPr>
        <w:t xml:space="preserve"> odnosno aktiviranja.</w:t>
      </w:r>
    </w:p>
    <w:p w14:paraId="11BB1C6B" w14:textId="77777777" w:rsidR="002F5134" w:rsidRPr="00CA0804" w:rsidRDefault="002F5134" w:rsidP="00BE487D">
      <w:pPr>
        <w:jc w:val="both"/>
      </w:pPr>
    </w:p>
    <w:p w14:paraId="2847F549" w14:textId="2E323918" w:rsidR="00CB3556" w:rsidRPr="00CA0804" w:rsidRDefault="004F3496" w:rsidP="00CB3556">
      <w:pPr>
        <w:jc w:val="both"/>
      </w:pPr>
      <w:r w:rsidRPr="00CA0804">
        <w:rPr>
          <w:u w:val="single"/>
        </w:rPr>
        <w:t>Ministarstvo gospodarstva</w:t>
      </w:r>
      <w:r w:rsidR="00CB3556" w:rsidRPr="00CA0804">
        <w:rPr>
          <w:u w:val="single"/>
        </w:rPr>
        <w:t>,</w:t>
      </w:r>
      <w:r w:rsidR="00A368AA" w:rsidRPr="00CA0804">
        <w:t xml:space="preserve"> </w:t>
      </w:r>
      <w:r w:rsidR="00CB3556" w:rsidRPr="00CA0804">
        <w:t xml:space="preserve">kao </w:t>
      </w:r>
      <w:r w:rsidR="00A368AA" w:rsidRPr="00CA0804">
        <w:t>davatelj potpora u brodogradnji</w:t>
      </w:r>
      <w:r w:rsidR="005E2B1B" w:rsidRPr="00CA0804">
        <w:t>,</w:t>
      </w:r>
      <w:r w:rsidR="00CB3556" w:rsidRPr="00CA0804">
        <w:t xml:space="preserve"> je za osiguranje avansnih uplata kupca za praćenje dovršetka broda Novogradnje broj 527, izdalo jamstva u iznosu od 14 milijuna eura.</w:t>
      </w:r>
    </w:p>
    <w:p w14:paraId="1BFFDACE" w14:textId="29DFACFF" w:rsidR="00C12EEB" w:rsidRPr="00CA0804" w:rsidRDefault="00C12EEB" w:rsidP="00BE487D">
      <w:pPr>
        <w:jc w:val="both"/>
      </w:pPr>
    </w:p>
    <w:p w14:paraId="04FC897C" w14:textId="77777777" w:rsidR="00C12EEB" w:rsidRPr="00CA0804" w:rsidRDefault="00C12EEB" w:rsidP="00BE487D">
      <w:pPr>
        <w:jc w:val="both"/>
      </w:pPr>
    </w:p>
    <w:p w14:paraId="79949C50" w14:textId="77777777" w:rsidR="00DB6FFB" w:rsidRPr="00CA0804" w:rsidRDefault="00DB6FFB" w:rsidP="00BE487D">
      <w:pPr>
        <w:jc w:val="both"/>
      </w:pPr>
    </w:p>
    <w:p w14:paraId="64D87882" w14:textId="77777777" w:rsidR="00BE0817" w:rsidRPr="00CA0804" w:rsidRDefault="00BC66CE" w:rsidP="00BE487D">
      <w:pPr>
        <w:pStyle w:val="Heading3"/>
        <w:numPr>
          <w:ilvl w:val="2"/>
          <w:numId w:val="1"/>
        </w:numPr>
        <w:spacing w:before="0"/>
        <w:jc w:val="both"/>
        <w:rPr>
          <w:rFonts w:ascii="Times New Roman" w:hAnsi="Times New Roman" w:cs="Times New Roman"/>
          <w:b/>
          <w:i/>
          <w:color w:val="auto"/>
        </w:rPr>
      </w:pPr>
      <w:bookmarkStart w:id="27" w:name="_Toc213660048"/>
      <w:r w:rsidRPr="00CA0804">
        <w:rPr>
          <w:rFonts w:ascii="Times New Roman" w:hAnsi="Times New Roman" w:cs="Times New Roman"/>
          <w:b/>
          <w:i/>
          <w:color w:val="auto"/>
        </w:rPr>
        <w:lastRenderedPageBreak/>
        <w:t>Potpore t</w:t>
      </w:r>
      <w:r w:rsidR="00BE0817" w:rsidRPr="00CA0804">
        <w:rPr>
          <w:rFonts w:ascii="Times New Roman" w:hAnsi="Times New Roman" w:cs="Times New Roman"/>
          <w:b/>
          <w:i/>
          <w:color w:val="auto"/>
        </w:rPr>
        <w:t>urizm</w:t>
      </w:r>
      <w:r w:rsidRPr="00CA0804">
        <w:rPr>
          <w:rFonts w:ascii="Times New Roman" w:hAnsi="Times New Roman" w:cs="Times New Roman"/>
          <w:b/>
          <w:i/>
          <w:color w:val="auto"/>
        </w:rPr>
        <w:t>u</w:t>
      </w:r>
      <w:bookmarkEnd w:id="27"/>
      <w:r w:rsidR="00BE0817" w:rsidRPr="00CA0804">
        <w:rPr>
          <w:rFonts w:ascii="Times New Roman" w:hAnsi="Times New Roman" w:cs="Times New Roman"/>
          <w:b/>
          <w:i/>
          <w:color w:val="auto"/>
        </w:rPr>
        <w:t xml:space="preserve"> </w:t>
      </w:r>
    </w:p>
    <w:p w14:paraId="5F93F621" w14:textId="77777777" w:rsidR="00BC66CE" w:rsidRPr="00CA0804" w:rsidRDefault="00BC66CE" w:rsidP="00BE487D">
      <w:pPr>
        <w:jc w:val="both"/>
      </w:pPr>
    </w:p>
    <w:p w14:paraId="4A564733" w14:textId="77777777" w:rsidR="00BC66CE" w:rsidRPr="00CA0804" w:rsidRDefault="00BC66CE" w:rsidP="00BE487D">
      <w:pPr>
        <w:jc w:val="both"/>
      </w:pPr>
    </w:p>
    <w:p w14:paraId="5FBB2E5E" w14:textId="2597C880" w:rsidR="005F1DB3" w:rsidRPr="00CA0804" w:rsidRDefault="005F1DB3" w:rsidP="007A4FAB">
      <w:pPr>
        <w:jc w:val="both"/>
      </w:pPr>
      <w:r w:rsidRPr="00CA0804">
        <w:t xml:space="preserve">Potpore </w:t>
      </w:r>
      <w:r w:rsidR="007A4FAB" w:rsidRPr="00CA0804">
        <w:t xml:space="preserve">u sektoru turizma </w:t>
      </w:r>
      <w:r w:rsidRPr="00CA0804">
        <w:t xml:space="preserve">dodijeljene </w:t>
      </w:r>
      <w:r w:rsidR="00CB3556" w:rsidRPr="00CA0804">
        <w:t xml:space="preserve">su </w:t>
      </w:r>
      <w:r w:rsidRPr="00CA0804">
        <w:t>u 202</w:t>
      </w:r>
      <w:r w:rsidR="00CB3556" w:rsidRPr="00CA0804">
        <w:t>4</w:t>
      </w:r>
      <w:r w:rsidRPr="00CA0804">
        <w:t xml:space="preserve">. godini u iznosu od </w:t>
      </w:r>
      <w:r w:rsidR="00CB3556" w:rsidRPr="00CA0804">
        <w:t xml:space="preserve">44,6 </w:t>
      </w:r>
      <w:r w:rsidRPr="00CA0804">
        <w:t xml:space="preserve">milijuna eura, što je </w:t>
      </w:r>
      <w:r w:rsidR="00CB3556" w:rsidRPr="00CA0804">
        <w:t>smanjenje</w:t>
      </w:r>
      <w:r w:rsidRPr="00CA0804">
        <w:t xml:space="preserve"> za </w:t>
      </w:r>
      <w:r w:rsidR="00CB3556" w:rsidRPr="00CA0804">
        <w:t xml:space="preserve">85,9 </w:t>
      </w:r>
      <w:r w:rsidRPr="00CA0804">
        <w:t xml:space="preserve">milijuna eura </w:t>
      </w:r>
      <w:r w:rsidR="00CB3556" w:rsidRPr="00CA0804">
        <w:t xml:space="preserve">ili 65,8 posto </w:t>
      </w:r>
      <w:r w:rsidRPr="00CA0804">
        <w:t>u odnosu na 202</w:t>
      </w:r>
      <w:r w:rsidR="00CB3556" w:rsidRPr="00CA0804">
        <w:t>3</w:t>
      </w:r>
      <w:r w:rsidRPr="00CA0804">
        <w:t xml:space="preserve">. godinu, kada su iznosile </w:t>
      </w:r>
      <w:r w:rsidR="00CB3556" w:rsidRPr="00CA0804">
        <w:t xml:space="preserve">130,5 milijuna </w:t>
      </w:r>
      <w:r w:rsidRPr="00CA0804">
        <w:t xml:space="preserve">eura, te </w:t>
      </w:r>
      <w:r w:rsidR="005E2B1B" w:rsidRPr="00CA0804">
        <w:t>predstavlja</w:t>
      </w:r>
      <w:r w:rsidRPr="00CA0804">
        <w:t xml:space="preserve"> </w:t>
      </w:r>
      <w:r w:rsidR="007A4FAB" w:rsidRPr="00CA0804">
        <w:t xml:space="preserve">povećanje </w:t>
      </w:r>
      <w:r w:rsidRPr="00CA0804">
        <w:t xml:space="preserve">za </w:t>
      </w:r>
      <w:r w:rsidR="00CB3556" w:rsidRPr="00CA0804">
        <w:t xml:space="preserve">43,9 </w:t>
      </w:r>
      <w:r w:rsidRPr="00CA0804">
        <w:t>milijuna eura u odnosu na 202</w:t>
      </w:r>
      <w:r w:rsidR="00CB3556" w:rsidRPr="00CA0804">
        <w:t>2</w:t>
      </w:r>
      <w:r w:rsidRPr="00CA0804">
        <w:t xml:space="preserve">. godinu kada su potpore iznosile </w:t>
      </w:r>
      <w:r w:rsidR="00CB3556" w:rsidRPr="00CA0804">
        <w:t xml:space="preserve">728.989,14 </w:t>
      </w:r>
      <w:r w:rsidRPr="00CA0804">
        <w:t>eura.</w:t>
      </w:r>
    </w:p>
    <w:p w14:paraId="0449E986" w14:textId="77777777" w:rsidR="00876B40" w:rsidRPr="00CA0804" w:rsidRDefault="00876B40" w:rsidP="00CB3556"/>
    <w:p w14:paraId="11207C4E" w14:textId="7B7AC553" w:rsidR="00F40008" w:rsidRPr="00CA0804" w:rsidRDefault="00F40008" w:rsidP="00BE487D">
      <w:pPr>
        <w:contextualSpacing/>
        <w:jc w:val="both"/>
      </w:pPr>
      <w:r w:rsidRPr="00CA0804">
        <w:t xml:space="preserve">Tablica </w:t>
      </w:r>
      <w:r w:rsidR="00C01B6B" w:rsidRPr="00CA0804">
        <w:t>2</w:t>
      </w:r>
      <w:r w:rsidR="000F5679" w:rsidRPr="00CA0804">
        <w:t>4</w:t>
      </w:r>
      <w:r w:rsidRPr="00CA0804">
        <w:t xml:space="preserve">. Potpore </w:t>
      </w:r>
      <w:r w:rsidR="0033578C" w:rsidRPr="00CA0804">
        <w:t xml:space="preserve">dodijeljene </w:t>
      </w:r>
      <w:r w:rsidRPr="00CA0804">
        <w:t xml:space="preserve">u turizmu </w:t>
      </w:r>
      <w:r w:rsidR="0033578C" w:rsidRPr="00CA0804">
        <w:t>u</w:t>
      </w:r>
      <w:r w:rsidRPr="00CA0804">
        <w:t xml:space="preserve"> razdoblj</w:t>
      </w:r>
      <w:r w:rsidR="0033578C" w:rsidRPr="00CA0804">
        <w:t>u</w:t>
      </w:r>
      <w:r w:rsidRPr="00CA0804">
        <w:t xml:space="preserve"> od 20</w:t>
      </w:r>
      <w:r w:rsidR="000C31DD" w:rsidRPr="00CA0804">
        <w:t>2</w:t>
      </w:r>
      <w:r w:rsidR="00103D53" w:rsidRPr="00CA0804">
        <w:t>2</w:t>
      </w:r>
      <w:r w:rsidRPr="00CA0804">
        <w:t>. do 202</w:t>
      </w:r>
      <w:r w:rsidR="00103D53" w:rsidRPr="00CA0804">
        <w:t>4</w:t>
      </w:r>
      <w:r w:rsidRPr="00CA0804">
        <w:t xml:space="preserve">. godine </w:t>
      </w:r>
    </w:p>
    <w:p w14:paraId="264D694B" w14:textId="77777777" w:rsidR="00F40008" w:rsidRPr="00CA0804" w:rsidRDefault="00F40008" w:rsidP="00BE487D">
      <w:pPr>
        <w:contextualSpacing/>
        <w:jc w:val="both"/>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103D53" w:rsidRPr="00CA0804" w14:paraId="3364FED9" w14:textId="77777777" w:rsidTr="00E627B3">
        <w:trPr>
          <w:trHeight w:val="38"/>
        </w:trPr>
        <w:tc>
          <w:tcPr>
            <w:tcW w:w="3376" w:type="dxa"/>
            <w:vMerge w:val="restart"/>
            <w:shd w:val="clear" w:color="000000" w:fill="FFFF99"/>
            <w:noWrap/>
            <w:vAlign w:val="center"/>
            <w:hideMark/>
          </w:tcPr>
          <w:p w14:paraId="51881E57" w14:textId="52829F04" w:rsidR="00103D53" w:rsidRPr="00CA0804" w:rsidRDefault="00103D53" w:rsidP="00103D53">
            <w:pPr>
              <w:rPr>
                <w:rFonts w:eastAsia="Times New Roman"/>
                <w:b/>
                <w:bCs/>
                <w:sz w:val="20"/>
                <w:szCs w:val="20"/>
              </w:rPr>
            </w:pPr>
            <w:r w:rsidRPr="00CA0804">
              <w:rPr>
                <w:rFonts w:eastAsia="Times New Roman"/>
                <w:b/>
                <w:bCs/>
                <w:sz w:val="20"/>
                <w:szCs w:val="20"/>
                <w:lang w:eastAsia="hr-HR"/>
              </w:rPr>
              <w:t>Turizam</w:t>
            </w:r>
          </w:p>
        </w:tc>
        <w:tc>
          <w:tcPr>
            <w:tcW w:w="1439" w:type="dxa"/>
            <w:shd w:val="clear" w:color="000000" w:fill="FFFF99"/>
            <w:vAlign w:val="center"/>
          </w:tcPr>
          <w:p w14:paraId="6E00BF1A" w14:textId="315E9159" w:rsidR="00103D53" w:rsidRPr="00CA0804" w:rsidRDefault="00103D53" w:rsidP="00103D53">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2DB03DEF" w14:textId="180409AE" w:rsidR="00103D53" w:rsidRPr="00CA0804" w:rsidRDefault="00103D53" w:rsidP="00103D53">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5D44CC78" w14:textId="4C04D543" w:rsidR="00103D53" w:rsidRPr="00CA0804" w:rsidRDefault="00103D53" w:rsidP="00103D53">
            <w:pPr>
              <w:jc w:val="center"/>
              <w:rPr>
                <w:rFonts w:eastAsia="Times New Roman"/>
                <w:b/>
                <w:bCs/>
                <w:sz w:val="20"/>
                <w:szCs w:val="20"/>
              </w:rPr>
            </w:pPr>
            <w:r w:rsidRPr="00CA0804">
              <w:rPr>
                <w:b/>
                <w:sz w:val="20"/>
                <w:szCs w:val="20"/>
              </w:rPr>
              <w:t>2024.</w:t>
            </w:r>
          </w:p>
        </w:tc>
      </w:tr>
      <w:tr w:rsidR="0081459E" w:rsidRPr="00CA0804" w14:paraId="7B0FC504" w14:textId="77777777" w:rsidTr="00E627B3">
        <w:trPr>
          <w:trHeight w:val="212"/>
        </w:trPr>
        <w:tc>
          <w:tcPr>
            <w:tcW w:w="3376" w:type="dxa"/>
            <w:vMerge/>
            <w:vAlign w:val="center"/>
            <w:hideMark/>
          </w:tcPr>
          <w:p w14:paraId="449189D9"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1E621A75"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349DBF10"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22B7AA5F"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103D53" w:rsidRPr="00CA0804" w14:paraId="5E05EA76" w14:textId="77777777" w:rsidTr="00E627B3">
        <w:trPr>
          <w:trHeight w:val="40"/>
        </w:trPr>
        <w:tc>
          <w:tcPr>
            <w:tcW w:w="3376" w:type="dxa"/>
            <w:shd w:val="clear" w:color="auto" w:fill="auto"/>
            <w:noWrap/>
            <w:vAlign w:val="center"/>
            <w:hideMark/>
          </w:tcPr>
          <w:p w14:paraId="270627BC" w14:textId="60D99470" w:rsidR="00103D53" w:rsidRPr="00CA0804" w:rsidRDefault="00103D53" w:rsidP="00103D53">
            <w:pPr>
              <w:rPr>
                <w:rFonts w:eastAsia="Times New Roman"/>
                <w:b/>
                <w:bCs/>
                <w:sz w:val="20"/>
                <w:szCs w:val="20"/>
              </w:rPr>
            </w:pPr>
            <w:r w:rsidRPr="00CA0804">
              <w:rPr>
                <w:rFonts w:eastAsia="Times New Roman"/>
                <w:b/>
                <w:bCs/>
                <w:sz w:val="20"/>
                <w:szCs w:val="20"/>
                <w:lang w:eastAsia="hr-HR"/>
              </w:rPr>
              <w:t>A1</w:t>
            </w:r>
            <w:r w:rsidRPr="00CA0804">
              <w:rPr>
                <w:rFonts w:eastAsia="Times New Roman"/>
                <w:sz w:val="20"/>
                <w:szCs w:val="20"/>
                <w:lang w:eastAsia="hr-HR"/>
              </w:rPr>
              <w:t xml:space="preserve"> neposredne subvencije kamata</w:t>
            </w:r>
          </w:p>
        </w:tc>
        <w:tc>
          <w:tcPr>
            <w:tcW w:w="1439" w:type="dxa"/>
            <w:vAlign w:val="center"/>
          </w:tcPr>
          <w:p w14:paraId="322F25BF" w14:textId="01388864" w:rsidR="00103D53" w:rsidRPr="00CA0804" w:rsidRDefault="00103D53" w:rsidP="00103D53">
            <w:pPr>
              <w:jc w:val="right"/>
              <w:rPr>
                <w:sz w:val="20"/>
                <w:szCs w:val="14"/>
              </w:rPr>
            </w:pPr>
            <w:r w:rsidRPr="00CA0804">
              <w:rPr>
                <w:rFonts w:eastAsia="Times New Roman"/>
                <w:sz w:val="20"/>
                <w:szCs w:val="20"/>
                <w:lang w:eastAsia="hr-HR"/>
              </w:rPr>
              <w:t>0,7</w:t>
            </w:r>
          </w:p>
        </w:tc>
        <w:tc>
          <w:tcPr>
            <w:tcW w:w="1559" w:type="dxa"/>
            <w:vAlign w:val="center"/>
          </w:tcPr>
          <w:p w14:paraId="55C7F10B" w14:textId="4539A40A" w:rsidR="00103D53" w:rsidRPr="00CA0804" w:rsidRDefault="00103D53" w:rsidP="00103D53">
            <w:pPr>
              <w:jc w:val="right"/>
              <w:rPr>
                <w:sz w:val="20"/>
                <w:szCs w:val="14"/>
              </w:rPr>
            </w:pPr>
            <w:r w:rsidRPr="00CA0804">
              <w:rPr>
                <w:rFonts w:eastAsia="Times New Roman"/>
                <w:sz w:val="20"/>
                <w:szCs w:val="20"/>
                <w:lang w:eastAsia="hr-HR"/>
              </w:rPr>
              <w:t>0,5</w:t>
            </w:r>
          </w:p>
        </w:tc>
        <w:tc>
          <w:tcPr>
            <w:tcW w:w="1559" w:type="dxa"/>
            <w:vAlign w:val="center"/>
          </w:tcPr>
          <w:p w14:paraId="727718F9" w14:textId="56013C8B" w:rsidR="00103D53" w:rsidRPr="00CA0804" w:rsidRDefault="00103D53" w:rsidP="00103D53">
            <w:pPr>
              <w:jc w:val="right"/>
              <w:rPr>
                <w:sz w:val="20"/>
                <w:szCs w:val="14"/>
              </w:rPr>
            </w:pPr>
            <w:r w:rsidRPr="00CA0804">
              <w:rPr>
                <w:rFonts w:eastAsia="Times New Roman"/>
                <w:sz w:val="20"/>
                <w:szCs w:val="20"/>
                <w:lang w:eastAsia="hr-HR"/>
              </w:rPr>
              <w:t>0,4</w:t>
            </w:r>
          </w:p>
        </w:tc>
      </w:tr>
      <w:tr w:rsidR="00103D53" w:rsidRPr="00CA0804" w14:paraId="2A30C22B" w14:textId="77777777" w:rsidTr="00E627B3">
        <w:trPr>
          <w:trHeight w:val="40"/>
        </w:trPr>
        <w:tc>
          <w:tcPr>
            <w:tcW w:w="3376" w:type="dxa"/>
            <w:shd w:val="clear" w:color="auto" w:fill="auto"/>
            <w:noWrap/>
            <w:vAlign w:val="center"/>
            <w:hideMark/>
          </w:tcPr>
          <w:p w14:paraId="2400A130" w14:textId="77A1F154" w:rsidR="00103D53" w:rsidRPr="00CA0804" w:rsidRDefault="00103D53" w:rsidP="00103D53">
            <w:pPr>
              <w:rPr>
                <w:rFonts w:eastAsia="Times New Roman"/>
                <w:b/>
                <w:bCs/>
                <w:sz w:val="20"/>
                <w:szCs w:val="20"/>
              </w:rPr>
            </w:pPr>
            <w:r w:rsidRPr="00CA0804">
              <w:rPr>
                <w:rFonts w:eastAsia="Times New Roman"/>
                <w:b/>
                <w:bCs/>
                <w:sz w:val="20"/>
                <w:szCs w:val="20"/>
                <w:lang w:eastAsia="hr-HR"/>
              </w:rPr>
              <w:t>A1</w:t>
            </w:r>
            <w:r w:rsidRPr="00CA0804">
              <w:rPr>
                <w:rFonts w:eastAsia="Times New Roman"/>
                <w:sz w:val="20"/>
                <w:szCs w:val="20"/>
                <w:lang w:eastAsia="hr-HR"/>
              </w:rPr>
              <w:t xml:space="preserve"> subvencije</w:t>
            </w:r>
          </w:p>
        </w:tc>
        <w:tc>
          <w:tcPr>
            <w:tcW w:w="1439" w:type="dxa"/>
            <w:vAlign w:val="center"/>
          </w:tcPr>
          <w:p w14:paraId="47346CA1" w14:textId="59104E64" w:rsidR="00103D53" w:rsidRPr="00CA0804" w:rsidRDefault="00103D53" w:rsidP="00103D53">
            <w:pPr>
              <w:jc w:val="right"/>
              <w:rPr>
                <w:sz w:val="20"/>
                <w:szCs w:val="14"/>
              </w:rPr>
            </w:pPr>
            <w:r w:rsidRPr="00CA0804">
              <w:rPr>
                <w:rFonts w:eastAsia="Times New Roman"/>
                <w:sz w:val="20"/>
                <w:szCs w:val="20"/>
                <w:lang w:eastAsia="hr-HR"/>
              </w:rPr>
              <w:t>-</w:t>
            </w:r>
          </w:p>
        </w:tc>
        <w:tc>
          <w:tcPr>
            <w:tcW w:w="1559" w:type="dxa"/>
            <w:vAlign w:val="center"/>
          </w:tcPr>
          <w:p w14:paraId="41382D30" w14:textId="409E881F" w:rsidR="00103D53" w:rsidRPr="00CA0804" w:rsidRDefault="00C11094" w:rsidP="00103D53">
            <w:pPr>
              <w:jc w:val="right"/>
              <w:rPr>
                <w:sz w:val="20"/>
                <w:szCs w:val="14"/>
              </w:rPr>
            </w:pPr>
            <w:r w:rsidRPr="00CA0804">
              <w:rPr>
                <w:rFonts w:eastAsia="Times New Roman"/>
                <w:sz w:val="20"/>
                <w:szCs w:val="20"/>
                <w:lang w:eastAsia="hr-HR"/>
              </w:rPr>
              <w:t>130,0</w:t>
            </w:r>
          </w:p>
        </w:tc>
        <w:tc>
          <w:tcPr>
            <w:tcW w:w="1559" w:type="dxa"/>
            <w:vAlign w:val="center"/>
          </w:tcPr>
          <w:p w14:paraId="232A55F8" w14:textId="296E326D" w:rsidR="00103D53" w:rsidRPr="00CA0804" w:rsidRDefault="00103D53" w:rsidP="00103D53">
            <w:pPr>
              <w:jc w:val="right"/>
              <w:rPr>
                <w:sz w:val="20"/>
                <w:szCs w:val="14"/>
              </w:rPr>
            </w:pPr>
            <w:r w:rsidRPr="00CA0804">
              <w:rPr>
                <w:rFonts w:eastAsia="Times New Roman"/>
                <w:sz w:val="20"/>
                <w:szCs w:val="20"/>
                <w:lang w:eastAsia="hr-HR"/>
              </w:rPr>
              <w:t>44,2</w:t>
            </w:r>
          </w:p>
        </w:tc>
      </w:tr>
      <w:tr w:rsidR="00103D53" w:rsidRPr="00CA0804" w14:paraId="64D825AD" w14:textId="77777777" w:rsidTr="00E627B3">
        <w:trPr>
          <w:trHeight w:val="40"/>
        </w:trPr>
        <w:tc>
          <w:tcPr>
            <w:tcW w:w="3376" w:type="dxa"/>
            <w:shd w:val="clear" w:color="000000" w:fill="FFFF99"/>
            <w:noWrap/>
            <w:vAlign w:val="center"/>
            <w:hideMark/>
          </w:tcPr>
          <w:p w14:paraId="2B95B281" w14:textId="77777777" w:rsidR="00103D53" w:rsidRPr="00CA0804" w:rsidRDefault="00103D53" w:rsidP="00103D53">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28EDD243" w14:textId="24CB5520" w:rsidR="00103D53" w:rsidRPr="00CA0804" w:rsidRDefault="00103D53" w:rsidP="00103D53">
            <w:pPr>
              <w:jc w:val="right"/>
              <w:rPr>
                <w:b/>
                <w:sz w:val="20"/>
                <w:szCs w:val="14"/>
              </w:rPr>
            </w:pPr>
            <w:r w:rsidRPr="00CA0804">
              <w:rPr>
                <w:rFonts w:eastAsia="Times New Roman"/>
                <w:b/>
                <w:bCs/>
                <w:sz w:val="20"/>
                <w:szCs w:val="20"/>
                <w:lang w:eastAsia="hr-HR"/>
              </w:rPr>
              <w:t>0,7</w:t>
            </w:r>
          </w:p>
        </w:tc>
        <w:tc>
          <w:tcPr>
            <w:tcW w:w="1559" w:type="dxa"/>
            <w:shd w:val="clear" w:color="000000" w:fill="FFFF99"/>
            <w:vAlign w:val="center"/>
          </w:tcPr>
          <w:p w14:paraId="46A80E2F" w14:textId="0D9984EC" w:rsidR="00103D53" w:rsidRPr="00CA0804" w:rsidRDefault="00103D53" w:rsidP="00103D53">
            <w:pPr>
              <w:jc w:val="right"/>
              <w:rPr>
                <w:b/>
                <w:sz w:val="20"/>
                <w:szCs w:val="14"/>
              </w:rPr>
            </w:pPr>
            <w:r w:rsidRPr="00CA0804">
              <w:rPr>
                <w:rFonts w:eastAsia="Times New Roman"/>
                <w:b/>
                <w:bCs/>
                <w:sz w:val="20"/>
                <w:szCs w:val="20"/>
                <w:lang w:eastAsia="hr-HR"/>
              </w:rPr>
              <w:t>130,5</w:t>
            </w:r>
          </w:p>
        </w:tc>
        <w:tc>
          <w:tcPr>
            <w:tcW w:w="1559" w:type="dxa"/>
            <w:shd w:val="clear" w:color="000000" w:fill="FFFF99"/>
            <w:vAlign w:val="center"/>
          </w:tcPr>
          <w:p w14:paraId="3835039B" w14:textId="7788ED3B" w:rsidR="00103D53" w:rsidRPr="00CA0804" w:rsidRDefault="00103D53" w:rsidP="00103D53">
            <w:pPr>
              <w:jc w:val="right"/>
              <w:rPr>
                <w:b/>
                <w:sz w:val="20"/>
                <w:szCs w:val="14"/>
              </w:rPr>
            </w:pPr>
            <w:r w:rsidRPr="00CA0804">
              <w:rPr>
                <w:rFonts w:eastAsia="Times New Roman"/>
                <w:b/>
                <w:bCs/>
                <w:sz w:val="20"/>
                <w:szCs w:val="20"/>
                <w:lang w:eastAsia="hr-HR"/>
              </w:rPr>
              <w:t>44,6</w:t>
            </w:r>
          </w:p>
        </w:tc>
      </w:tr>
      <w:tr w:rsidR="00103D53" w:rsidRPr="00CA0804" w14:paraId="4DD6BB03" w14:textId="77777777" w:rsidTr="00E627B3">
        <w:trPr>
          <w:trHeight w:val="40"/>
        </w:trPr>
        <w:tc>
          <w:tcPr>
            <w:tcW w:w="3376" w:type="dxa"/>
            <w:shd w:val="clear" w:color="auto" w:fill="auto"/>
            <w:vAlign w:val="center"/>
            <w:hideMark/>
          </w:tcPr>
          <w:p w14:paraId="532A4BEB" w14:textId="77777777" w:rsidR="00103D53" w:rsidRPr="00CA0804" w:rsidRDefault="00103D53" w:rsidP="00103D53">
            <w:pPr>
              <w:rPr>
                <w:rFonts w:eastAsia="Times New Roman"/>
                <w:sz w:val="20"/>
                <w:szCs w:val="20"/>
              </w:rPr>
            </w:pPr>
            <w:r w:rsidRPr="00CA0804">
              <w:rPr>
                <w:rFonts w:eastAsia="Times New Roman"/>
                <w:sz w:val="20"/>
              </w:rPr>
              <w:t>udio (%) u posebnim sektorima</w:t>
            </w:r>
          </w:p>
        </w:tc>
        <w:tc>
          <w:tcPr>
            <w:tcW w:w="1439" w:type="dxa"/>
            <w:vAlign w:val="center"/>
          </w:tcPr>
          <w:p w14:paraId="18AF49B2" w14:textId="541CEFB2" w:rsidR="00103D53" w:rsidRPr="00CA0804" w:rsidRDefault="00103D53" w:rsidP="00103D53">
            <w:pPr>
              <w:jc w:val="center"/>
              <w:rPr>
                <w:sz w:val="20"/>
                <w:szCs w:val="14"/>
              </w:rPr>
            </w:pPr>
            <w:r w:rsidRPr="00CA0804">
              <w:rPr>
                <w:rFonts w:eastAsia="Times New Roman"/>
                <w:sz w:val="20"/>
                <w:szCs w:val="20"/>
                <w:lang w:eastAsia="hr-HR"/>
              </w:rPr>
              <w:t>0,12</w:t>
            </w:r>
          </w:p>
        </w:tc>
        <w:tc>
          <w:tcPr>
            <w:tcW w:w="1559" w:type="dxa"/>
            <w:vAlign w:val="center"/>
          </w:tcPr>
          <w:p w14:paraId="17AAE48B" w14:textId="0D346AEE" w:rsidR="00103D53" w:rsidRPr="00CA0804" w:rsidRDefault="00103D53" w:rsidP="00103D53">
            <w:pPr>
              <w:jc w:val="center"/>
              <w:rPr>
                <w:sz w:val="20"/>
                <w:szCs w:val="14"/>
              </w:rPr>
            </w:pPr>
            <w:r w:rsidRPr="00CA0804">
              <w:rPr>
                <w:rFonts w:eastAsia="Times New Roman"/>
                <w:sz w:val="20"/>
                <w:szCs w:val="20"/>
                <w:lang w:eastAsia="hr-HR"/>
              </w:rPr>
              <w:t>15,36</w:t>
            </w:r>
          </w:p>
        </w:tc>
        <w:tc>
          <w:tcPr>
            <w:tcW w:w="1559" w:type="dxa"/>
            <w:vAlign w:val="center"/>
          </w:tcPr>
          <w:p w14:paraId="120E68CA" w14:textId="4EAC5ADC" w:rsidR="00103D53" w:rsidRPr="00CA0804" w:rsidRDefault="00103D53" w:rsidP="00103D53">
            <w:pPr>
              <w:jc w:val="center"/>
              <w:rPr>
                <w:sz w:val="20"/>
                <w:szCs w:val="14"/>
              </w:rPr>
            </w:pPr>
            <w:r w:rsidRPr="00CA0804">
              <w:rPr>
                <w:rFonts w:eastAsia="Times New Roman"/>
                <w:sz w:val="20"/>
                <w:szCs w:val="20"/>
                <w:lang w:eastAsia="hr-HR"/>
              </w:rPr>
              <w:t>5,56</w:t>
            </w:r>
          </w:p>
        </w:tc>
      </w:tr>
      <w:tr w:rsidR="00103D53" w:rsidRPr="00CA0804" w14:paraId="052DADFA" w14:textId="77777777" w:rsidTr="00E627B3">
        <w:trPr>
          <w:trHeight w:val="90"/>
        </w:trPr>
        <w:tc>
          <w:tcPr>
            <w:tcW w:w="3376" w:type="dxa"/>
            <w:shd w:val="clear" w:color="auto" w:fill="auto"/>
            <w:vAlign w:val="center"/>
            <w:hideMark/>
          </w:tcPr>
          <w:p w14:paraId="41D153AE" w14:textId="77777777" w:rsidR="00103D53" w:rsidRPr="00CA0804" w:rsidRDefault="00103D53" w:rsidP="00103D53">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16842224" w14:textId="6956D74B" w:rsidR="00103D53" w:rsidRPr="00CA0804" w:rsidRDefault="00C11094" w:rsidP="00103D53">
            <w:pPr>
              <w:jc w:val="center"/>
              <w:rPr>
                <w:sz w:val="20"/>
                <w:szCs w:val="14"/>
              </w:rPr>
            </w:pPr>
            <w:r w:rsidRPr="00CA0804">
              <w:rPr>
                <w:rFonts w:eastAsia="Times New Roman"/>
                <w:sz w:val="20"/>
                <w:szCs w:val="20"/>
                <w:lang w:eastAsia="hr-HR"/>
              </w:rPr>
              <w:t>0,03</w:t>
            </w:r>
          </w:p>
        </w:tc>
        <w:tc>
          <w:tcPr>
            <w:tcW w:w="1559" w:type="dxa"/>
            <w:vAlign w:val="center"/>
          </w:tcPr>
          <w:p w14:paraId="661E7014" w14:textId="7B27351E" w:rsidR="00103D53" w:rsidRPr="00CA0804" w:rsidRDefault="00103D53" w:rsidP="00103D53">
            <w:pPr>
              <w:jc w:val="center"/>
              <w:rPr>
                <w:sz w:val="20"/>
                <w:szCs w:val="14"/>
              </w:rPr>
            </w:pPr>
            <w:r w:rsidRPr="00CA0804">
              <w:rPr>
                <w:rFonts w:eastAsia="Times New Roman"/>
                <w:sz w:val="20"/>
                <w:szCs w:val="20"/>
                <w:lang w:eastAsia="hr-HR"/>
              </w:rPr>
              <w:t>6,63</w:t>
            </w:r>
          </w:p>
        </w:tc>
        <w:tc>
          <w:tcPr>
            <w:tcW w:w="1559" w:type="dxa"/>
            <w:vAlign w:val="center"/>
          </w:tcPr>
          <w:p w14:paraId="38BEA787" w14:textId="3677AB0E" w:rsidR="00103D53" w:rsidRPr="00CA0804" w:rsidRDefault="00103D53" w:rsidP="00103D53">
            <w:pPr>
              <w:jc w:val="center"/>
              <w:rPr>
                <w:sz w:val="20"/>
                <w:szCs w:val="14"/>
              </w:rPr>
            </w:pPr>
            <w:r w:rsidRPr="00CA0804">
              <w:rPr>
                <w:rFonts w:eastAsia="Times New Roman"/>
                <w:sz w:val="20"/>
                <w:szCs w:val="20"/>
                <w:lang w:eastAsia="hr-HR"/>
              </w:rPr>
              <w:t>3,38</w:t>
            </w:r>
          </w:p>
        </w:tc>
      </w:tr>
      <w:tr w:rsidR="00103D53" w:rsidRPr="00CA0804" w14:paraId="77C41A97" w14:textId="77777777" w:rsidTr="00E627B3">
        <w:trPr>
          <w:trHeight w:val="40"/>
        </w:trPr>
        <w:tc>
          <w:tcPr>
            <w:tcW w:w="3376" w:type="dxa"/>
            <w:shd w:val="clear" w:color="auto" w:fill="auto"/>
            <w:vAlign w:val="center"/>
            <w:hideMark/>
          </w:tcPr>
          <w:p w14:paraId="447811AF" w14:textId="77777777" w:rsidR="00103D53" w:rsidRPr="00CA0804" w:rsidRDefault="00103D53" w:rsidP="00103D53">
            <w:pPr>
              <w:rPr>
                <w:rFonts w:eastAsia="Times New Roman"/>
                <w:sz w:val="20"/>
                <w:szCs w:val="20"/>
              </w:rPr>
            </w:pPr>
            <w:r w:rsidRPr="00CA0804">
              <w:rPr>
                <w:rFonts w:eastAsia="Times New Roman"/>
                <w:sz w:val="20"/>
                <w:szCs w:val="20"/>
              </w:rPr>
              <w:t>udio (%) u ukupnim potporama</w:t>
            </w:r>
          </w:p>
        </w:tc>
        <w:tc>
          <w:tcPr>
            <w:tcW w:w="1439" w:type="dxa"/>
            <w:vAlign w:val="center"/>
          </w:tcPr>
          <w:p w14:paraId="4D4B3373" w14:textId="588530DD" w:rsidR="00103D53" w:rsidRPr="00CA0804" w:rsidRDefault="00103D53" w:rsidP="00103D53">
            <w:pPr>
              <w:jc w:val="center"/>
              <w:rPr>
                <w:sz w:val="20"/>
                <w:szCs w:val="14"/>
              </w:rPr>
            </w:pPr>
            <w:r w:rsidRPr="00CA0804">
              <w:rPr>
                <w:rFonts w:eastAsia="Times New Roman"/>
                <w:sz w:val="20"/>
                <w:szCs w:val="20"/>
                <w:lang w:eastAsia="hr-HR"/>
              </w:rPr>
              <w:t>0,03</w:t>
            </w:r>
          </w:p>
        </w:tc>
        <w:tc>
          <w:tcPr>
            <w:tcW w:w="1559" w:type="dxa"/>
            <w:vAlign w:val="center"/>
          </w:tcPr>
          <w:p w14:paraId="5901AA8D" w14:textId="76999720" w:rsidR="00103D53" w:rsidRPr="00CA0804" w:rsidRDefault="00103D53" w:rsidP="00103D53">
            <w:pPr>
              <w:jc w:val="center"/>
              <w:rPr>
                <w:sz w:val="20"/>
                <w:szCs w:val="14"/>
              </w:rPr>
            </w:pPr>
            <w:r w:rsidRPr="00CA0804">
              <w:rPr>
                <w:rFonts w:eastAsia="Times New Roman"/>
                <w:sz w:val="20"/>
                <w:szCs w:val="20"/>
                <w:lang w:eastAsia="hr-HR"/>
              </w:rPr>
              <w:t>6,27</w:t>
            </w:r>
          </w:p>
        </w:tc>
        <w:tc>
          <w:tcPr>
            <w:tcW w:w="1559" w:type="dxa"/>
            <w:vAlign w:val="center"/>
          </w:tcPr>
          <w:p w14:paraId="2FF8D304" w14:textId="3EC41CC3" w:rsidR="00103D53" w:rsidRPr="00CA0804" w:rsidRDefault="00103D53" w:rsidP="00103D53">
            <w:pPr>
              <w:jc w:val="center"/>
              <w:rPr>
                <w:sz w:val="20"/>
                <w:szCs w:val="14"/>
              </w:rPr>
            </w:pPr>
            <w:r w:rsidRPr="00CA0804">
              <w:rPr>
                <w:rFonts w:eastAsia="Times New Roman"/>
                <w:sz w:val="20"/>
                <w:szCs w:val="20"/>
                <w:lang w:eastAsia="hr-HR"/>
              </w:rPr>
              <w:t>3,08</w:t>
            </w:r>
          </w:p>
        </w:tc>
      </w:tr>
      <w:tr w:rsidR="00103D53" w:rsidRPr="00CA0804" w14:paraId="5368CC36" w14:textId="77777777" w:rsidTr="00E627B3">
        <w:trPr>
          <w:trHeight w:val="40"/>
        </w:trPr>
        <w:tc>
          <w:tcPr>
            <w:tcW w:w="3376" w:type="dxa"/>
            <w:shd w:val="clear" w:color="auto" w:fill="auto"/>
            <w:vAlign w:val="center"/>
            <w:hideMark/>
          </w:tcPr>
          <w:p w14:paraId="393D0067" w14:textId="77777777" w:rsidR="00103D53" w:rsidRPr="00CA0804" w:rsidRDefault="00103D53" w:rsidP="00103D53">
            <w:pPr>
              <w:rPr>
                <w:rFonts w:eastAsia="Times New Roman"/>
                <w:sz w:val="20"/>
                <w:szCs w:val="20"/>
              </w:rPr>
            </w:pPr>
            <w:r w:rsidRPr="00CA0804">
              <w:rPr>
                <w:rFonts w:eastAsia="Times New Roman"/>
                <w:sz w:val="20"/>
                <w:szCs w:val="20"/>
              </w:rPr>
              <w:t>udio (%) u BDP-u</w:t>
            </w:r>
          </w:p>
        </w:tc>
        <w:tc>
          <w:tcPr>
            <w:tcW w:w="1439" w:type="dxa"/>
            <w:vAlign w:val="center"/>
          </w:tcPr>
          <w:p w14:paraId="74453878" w14:textId="2E0EDBE2" w:rsidR="00103D53" w:rsidRPr="00CA0804" w:rsidRDefault="00103D53" w:rsidP="00103D53">
            <w:pPr>
              <w:jc w:val="center"/>
              <w:rPr>
                <w:sz w:val="20"/>
                <w:szCs w:val="14"/>
              </w:rPr>
            </w:pPr>
            <w:r w:rsidRPr="00CA0804">
              <w:rPr>
                <w:rFonts w:eastAsia="Times New Roman"/>
                <w:sz w:val="20"/>
                <w:szCs w:val="20"/>
                <w:lang w:eastAsia="hr-HR"/>
              </w:rPr>
              <w:t>0,001</w:t>
            </w:r>
          </w:p>
        </w:tc>
        <w:tc>
          <w:tcPr>
            <w:tcW w:w="1559" w:type="dxa"/>
            <w:vAlign w:val="center"/>
          </w:tcPr>
          <w:p w14:paraId="1E94579F" w14:textId="6DF4BC84" w:rsidR="00103D53" w:rsidRPr="00CA0804" w:rsidRDefault="00103D53" w:rsidP="00103D53">
            <w:pPr>
              <w:jc w:val="center"/>
              <w:rPr>
                <w:sz w:val="20"/>
                <w:szCs w:val="14"/>
              </w:rPr>
            </w:pPr>
            <w:r w:rsidRPr="00CA0804">
              <w:rPr>
                <w:rFonts w:eastAsia="Times New Roman"/>
                <w:sz w:val="20"/>
                <w:szCs w:val="20"/>
                <w:lang w:eastAsia="hr-HR"/>
              </w:rPr>
              <w:t>0,17</w:t>
            </w:r>
          </w:p>
        </w:tc>
        <w:tc>
          <w:tcPr>
            <w:tcW w:w="1559" w:type="dxa"/>
            <w:vAlign w:val="center"/>
          </w:tcPr>
          <w:p w14:paraId="3BF22456" w14:textId="1B881551" w:rsidR="00103D53" w:rsidRPr="00CA0804" w:rsidRDefault="00103D53" w:rsidP="00103D53">
            <w:pPr>
              <w:jc w:val="center"/>
              <w:rPr>
                <w:sz w:val="20"/>
                <w:szCs w:val="14"/>
              </w:rPr>
            </w:pPr>
            <w:r w:rsidRPr="00CA0804">
              <w:rPr>
                <w:rFonts w:eastAsia="Times New Roman"/>
                <w:sz w:val="20"/>
                <w:szCs w:val="20"/>
                <w:lang w:eastAsia="hr-HR"/>
              </w:rPr>
              <w:t>0,05</w:t>
            </w:r>
          </w:p>
        </w:tc>
      </w:tr>
    </w:tbl>
    <w:p w14:paraId="4FF2EAC0" w14:textId="77777777" w:rsidR="00D148B9" w:rsidRPr="00CA0804" w:rsidRDefault="00D148B9" w:rsidP="00D148B9">
      <w:pPr>
        <w:jc w:val="both"/>
        <w:rPr>
          <w:sz w:val="20"/>
        </w:rPr>
      </w:pPr>
      <w:r w:rsidRPr="00CA0804">
        <w:rPr>
          <w:i/>
          <w:sz w:val="20"/>
        </w:rPr>
        <w:t>Izvor: Ministarstvo financija i ostali davatelji potpora; podaci obrađeni u Ministarstvu financija</w:t>
      </w:r>
    </w:p>
    <w:p w14:paraId="1057459C" w14:textId="77777777" w:rsidR="00677F96" w:rsidRPr="00CA0804" w:rsidRDefault="00677F96" w:rsidP="00BE487D">
      <w:pPr>
        <w:jc w:val="both"/>
      </w:pPr>
    </w:p>
    <w:p w14:paraId="02137C16" w14:textId="4E0BABF0" w:rsidR="007A4FAB" w:rsidRPr="00CA0804" w:rsidRDefault="007A4FAB" w:rsidP="007A4FAB">
      <w:pPr>
        <w:jc w:val="both"/>
      </w:pPr>
      <w:r w:rsidRPr="00CA0804">
        <w:t>Udio potpora u sektoru turizma u BDP-u u 202</w:t>
      </w:r>
      <w:r w:rsidR="004C2E17" w:rsidRPr="00CA0804">
        <w:t>4</w:t>
      </w:r>
      <w:r w:rsidRPr="00CA0804">
        <w:t>. godini iznosio je 0,</w:t>
      </w:r>
      <w:r w:rsidR="004C2E17" w:rsidRPr="00CA0804">
        <w:t>05</w:t>
      </w:r>
      <w:r w:rsidRPr="00CA0804">
        <w:t xml:space="preserve"> posto, u 202</w:t>
      </w:r>
      <w:r w:rsidR="004C2E17" w:rsidRPr="00CA0804">
        <w:t>3</w:t>
      </w:r>
      <w:r w:rsidRPr="00CA0804">
        <w:t>. godini 0,</w:t>
      </w:r>
      <w:r w:rsidR="004C2E17" w:rsidRPr="00CA0804">
        <w:t>17</w:t>
      </w:r>
      <w:r w:rsidRPr="00CA0804">
        <w:t xml:space="preserve"> posto</w:t>
      </w:r>
      <w:r w:rsidR="004C2E17" w:rsidRPr="00CA0804">
        <w:t xml:space="preserve"> i u 2022</w:t>
      </w:r>
      <w:r w:rsidRPr="00CA0804">
        <w:t>. godini 0,00</w:t>
      </w:r>
      <w:r w:rsidR="004C2E17" w:rsidRPr="00CA0804">
        <w:t>1</w:t>
      </w:r>
      <w:r w:rsidRPr="00CA0804">
        <w:t xml:space="preserve"> posto. Udio navedenih potpora u 202</w:t>
      </w:r>
      <w:r w:rsidR="004C2E17" w:rsidRPr="00CA0804">
        <w:t>4</w:t>
      </w:r>
      <w:r w:rsidRPr="00CA0804">
        <w:t xml:space="preserve">. godini u ukupno dodijeljenim potporama iznosio je </w:t>
      </w:r>
      <w:r w:rsidR="004C2E17" w:rsidRPr="00CA0804">
        <w:t>3,1</w:t>
      </w:r>
      <w:r w:rsidRPr="00CA0804">
        <w:t xml:space="preserve"> posto, udio u dodijeljenim potporama u sektoru industrije i usluga </w:t>
      </w:r>
      <w:r w:rsidR="004C2E17" w:rsidRPr="00CA0804">
        <w:t>3,4</w:t>
      </w:r>
      <w:r w:rsidRPr="00CA0804">
        <w:t xml:space="preserve"> posto</w:t>
      </w:r>
      <w:r w:rsidR="004C2E17" w:rsidRPr="00CA0804">
        <w:t xml:space="preserve"> i </w:t>
      </w:r>
      <w:r w:rsidRPr="00CA0804">
        <w:t xml:space="preserve">udio u sektorskim potporama </w:t>
      </w:r>
      <w:r w:rsidR="004C2E17" w:rsidRPr="00CA0804">
        <w:t>5,6</w:t>
      </w:r>
      <w:r w:rsidRPr="00CA0804">
        <w:t xml:space="preserve"> posto.</w:t>
      </w:r>
    </w:p>
    <w:p w14:paraId="07D75F1F" w14:textId="77777777" w:rsidR="00DB6FFB" w:rsidRPr="00CA0804" w:rsidRDefault="00DB6FFB" w:rsidP="00BE487D">
      <w:pPr>
        <w:jc w:val="both"/>
      </w:pPr>
    </w:p>
    <w:p w14:paraId="73B2A542" w14:textId="13E4E1D4" w:rsidR="004C2E17" w:rsidRPr="00CA0804" w:rsidRDefault="004C2E17" w:rsidP="004C2E17">
      <w:pPr>
        <w:jc w:val="both"/>
        <w:rPr>
          <w:rFonts w:eastAsia="Times New Roman"/>
          <w:spacing w:val="-2"/>
          <w:szCs w:val="24"/>
          <w:lang w:eastAsia="hr-HR"/>
        </w:rPr>
      </w:pPr>
      <w:r w:rsidRPr="00CA0804">
        <w:rPr>
          <w:rFonts w:eastAsia="Times New Roman"/>
          <w:spacing w:val="-2"/>
          <w:szCs w:val="24"/>
          <w:lang w:eastAsia="hr-HR"/>
        </w:rPr>
        <w:t xml:space="preserve">Instrumenti putem kojih su dodijeljene potpore </w:t>
      </w:r>
      <w:r w:rsidRPr="00CA0804">
        <w:t xml:space="preserve">u sektoru turizma </w:t>
      </w:r>
      <w:r w:rsidRPr="00CA0804">
        <w:rPr>
          <w:rFonts w:eastAsia="Times New Roman"/>
          <w:spacing w:val="-2"/>
          <w:szCs w:val="24"/>
          <w:lang w:eastAsia="hr-HR"/>
        </w:rPr>
        <w:t xml:space="preserve">u 2024. godini u iznosu od </w:t>
      </w:r>
      <w:r w:rsidRPr="00CA0804">
        <w:t xml:space="preserve">44,6 </w:t>
      </w:r>
      <w:r w:rsidRPr="00CA0804">
        <w:rPr>
          <w:rFonts w:eastAsia="Times New Roman"/>
          <w:spacing w:val="-2"/>
          <w:szCs w:val="24"/>
          <w:lang w:eastAsia="hr-HR"/>
        </w:rPr>
        <w:t>milijuna eura, najvećim dijelom se odnose na su</w:t>
      </w:r>
      <w:r w:rsidRPr="00CA0804">
        <w:rPr>
          <w:spacing w:val="-2"/>
        </w:rPr>
        <w:t xml:space="preserve">bvencije u iznosu od </w:t>
      </w:r>
      <w:r w:rsidRPr="00CA0804">
        <w:t xml:space="preserve">44,2 </w:t>
      </w:r>
      <w:r w:rsidRPr="00CA0804">
        <w:rPr>
          <w:spacing w:val="-2"/>
        </w:rPr>
        <w:t>milijuna eura ili s udjelom od 99,</w:t>
      </w:r>
      <w:r w:rsidR="00876B40" w:rsidRPr="00CA0804">
        <w:rPr>
          <w:spacing w:val="-2"/>
        </w:rPr>
        <w:t>1</w:t>
      </w:r>
      <w:r w:rsidRPr="00CA0804">
        <w:rPr>
          <w:spacing w:val="-2"/>
        </w:rPr>
        <w:t xml:space="preserve"> posto u navedenim </w:t>
      </w:r>
      <w:r w:rsidRPr="00CA0804">
        <w:rPr>
          <w:rFonts w:eastAsia="Times New Roman"/>
          <w:spacing w:val="-2"/>
          <w:szCs w:val="24"/>
          <w:lang w:eastAsia="hr-HR"/>
        </w:rPr>
        <w:t xml:space="preserve">potporama te </w:t>
      </w:r>
      <w:r w:rsidRPr="00CA0804">
        <w:rPr>
          <w:spacing w:val="-2"/>
        </w:rPr>
        <w:t xml:space="preserve">neposredne subvencije kamata od </w:t>
      </w:r>
      <w:r w:rsidRPr="00CA0804">
        <w:t xml:space="preserve">364.311,07 </w:t>
      </w:r>
      <w:r w:rsidRPr="00CA0804">
        <w:rPr>
          <w:spacing w:val="-2"/>
        </w:rPr>
        <w:t>eura ili 0,</w:t>
      </w:r>
      <w:r w:rsidR="00876B40" w:rsidRPr="00CA0804">
        <w:rPr>
          <w:spacing w:val="-2"/>
        </w:rPr>
        <w:t>9</w:t>
      </w:r>
      <w:r w:rsidRPr="00CA0804">
        <w:rPr>
          <w:spacing w:val="-2"/>
        </w:rPr>
        <w:t xml:space="preserve"> posto.</w:t>
      </w:r>
    </w:p>
    <w:p w14:paraId="1EF529A1" w14:textId="523F11FA" w:rsidR="00DB6FFB" w:rsidRPr="00CA0804" w:rsidRDefault="00DB6FFB" w:rsidP="004C2E17"/>
    <w:p w14:paraId="361B3286" w14:textId="1F0A074E" w:rsidR="004C2E17" w:rsidRPr="00CA0804" w:rsidRDefault="005D6B00" w:rsidP="005D6B00">
      <w:pPr>
        <w:jc w:val="both"/>
      </w:pPr>
      <w:r w:rsidRPr="00CA0804">
        <w:rPr>
          <w:u w:val="single"/>
        </w:rPr>
        <w:t>Ministarstvo turizma i sporta</w:t>
      </w:r>
      <w:r w:rsidRPr="00CA0804">
        <w:t xml:space="preserve"> </w:t>
      </w:r>
      <w:r w:rsidR="00E92A05" w:rsidRPr="00CA0804">
        <w:t xml:space="preserve">dodijelilo </w:t>
      </w:r>
      <w:r w:rsidR="004C2E17" w:rsidRPr="00CA0804">
        <w:t xml:space="preserve">je </w:t>
      </w:r>
      <w:r w:rsidRPr="00CA0804">
        <w:t xml:space="preserve">temeljem </w:t>
      </w:r>
      <w:r w:rsidR="004C2E17" w:rsidRPr="00CA0804">
        <w:t xml:space="preserve">subvencije i neposredne subvencije kamata u ukupnom iznosu od 44,6 milijuna </w:t>
      </w:r>
      <w:r w:rsidR="00991FCC" w:rsidRPr="00CA0804">
        <w:t>eura</w:t>
      </w:r>
      <w:r w:rsidR="004C2E17" w:rsidRPr="00CA0804">
        <w:t xml:space="preserve"> kroz nekoliko programa: </w:t>
      </w:r>
      <w:r w:rsidRPr="00CA0804">
        <w:t xml:space="preserve">Programa dodjele državnih potpora za ulaganja u sektoru turizma iznos od </w:t>
      </w:r>
      <w:r w:rsidR="004C2E17" w:rsidRPr="00CA0804">
        <w:t>27,3</w:t>
      </w:r>
      <w:r w:rsidRPr="00CA0804">
        <w:t xml:space="preserve"> milijuna eura, </w:t>
      </w:r>
      <w:r w:rsidRPr="00CA0804">
        <w:rPr>
          <w:rFonts w:eastAsia="Times New Roman"/>
          <w:color w:val="000000"/>
          <w:lang w:eastAsia="hr-HR"/>
        </w:rPr>
        <w:t xml:space="preserve">o kojem je </w:t>
      </w:r>
      <w:r w:rsidRPr="00CA0804">
        <w:t>Europska komisija obaviještena pod brojem SA.104072</w:t>
      </w:r>
      <w:r w:rsidR="004C2E17" w:rsidRPr="00CA0804">
        <w:t xml:space="preserve">, temeljem Odluke o dodjeli pojedinačne jednokratne potpore trgovačkom društvu Terme Bjelovar d.o.o. iznos od 16,9 milijuna eura, </w:t>
      </w:r>
      <w:r w:rsidR="004C2E17" w:rsidRPr="00CA0804">
        <w:rPr>
          <w:rFonts w:eastAsia="Times New Roman"/>
          <w:color w:val="000000"/>
          <w:lang w:eastAsia="hr-HR"/>
        </w:rPr>
        <w:t xml:space="preserve">o kojem je </w:t>
      </w:r>
      <w:r w:rsidR="004C2E17" w:rsidRPr="00CA0804">
        <w:t xml:space="preserve">Europska komisija obaviještena pod brojem SA.113646, </w:t>
      </w:r>
      <w:r w:rsidRPr="00CA0804">
        <w:t xml:space="preserve">te temeljem </w:t>
      </w:r>
      <w:r w:rsidR="00077E9C" w:rsidRPr="00CA0804">
        <w:t xml:space="preserve">Programa </w:t>
      </w:r>
      <w:r w:rsidR="00F40008" w:rsidRPr="00CA0804">
        <w:t>Poticaj za uspjeh</w:t>
      </w:r>
      <w:r w:rsidRPr="00CA0804">
        <w:t xml:space="preserve"> iznos od </w:t>
      </w:r>
      <w:r w:rsidR="004C2E17" w:rsidRPr="00CA0804">
        <w:t xml:space="preserve">364.311,07 </w:t>
      </w:r>
      <w:r w:rsidRPr="00CA0804">
        <w:t>eura</w:t>
      </w:r>
      <w:r w:rsidR="00F40008" w:rsidRPr="00CA0804">
        <w:t>.</w:t>
      </w:r>
    </w:p>
    <w:p w14:paraId="699B6765" w14:textId="77777777" w:rsidR="004C2E17" w:rsidRPr="00CA0804" w:rsidRDefault="004C2E17" w:rsidP="005D6B00">
      <w:pPr>
        <w:jc w:val="both"/>
      </w:pPr>
    </w:p>
    <w:p w14:paraId="7C93DE42" w14:textId="55DA7D12" w:rsidR="005F1DB3" w:rsidRPr="00CA0804" w:rsidRDefault="005F1DB3" w:rsidP="005F1DB3">
      <w:pPr>
        <w:jc w:val="both"/>
      </w:pPr>
      <w:r w:rsidRPr="00CA0804">
        <w:rPr>
          <w:u w:val="single"/>
        </w:rPr>
        <w:t>Potpore male vrijednosti</w:t>
      </w:r>
      <w:r w:rsidRPr="00CA0804">
        <w:t xml:space="preserve"> u sektoru turizma </w:t>
      </w:r>
      <w:r w:rsidR="004C2E17" w:rsidRPr="00CA0804">
        <w:t xml:space="preserve">dodijeljene </w:t>
      </w:r>
      <w:r w:rsidRPr="00CA0804">
        <w:t>su u 202</w:t>
      </w:r>
      <w:r w:rsidR="004C2E17" w:rsidRPr="00CA0804">
        <w:t>4</w:t>
      </w:r>
      <w:r w:rsidRPr="00CA0804">
        <w:t xml:space="preserve">. godini u iznosu od </w:t>
      </w:r>
      <w:r w:rsidR="004C2E17" w:rsidRPr="00CA0804">
        <w:t>4,2</w:t>
      </w:r>
      <w:r w:rsidRPr="00CA0804">
        <w:t xml:space="preserve"> milijuna eura, te ukoliko bi se </w:t>
      </w:r>
      <w:r w:rsidR="004C2E17" w:rsidRPr="00CA0804">
        <w:t>te</w:t>
      </w:r>
      <w:r w:rsidRPr="00CA0804">
        <w:t xml:space="preserve"> potpore pribrojile dodijeljenim potporama u sektoru turizma u iznosu od </w:t>
      </w:r>
      <w:r w:rsidR="004C2E17" w:rsidRPr="00CA0804">
        <w:t>44,6</w:t>
      </w:r>
      <w:r w:rsidRPr="00CA0804">
        <w:t xml:space="preserve"> milijuna eura, ukupan iznos svih dodijeljenih potpora u sektoru turizma iznosi</w:t>
      </w:r>
      <w:r w:rsidR="004C2E17" w:rsidRPr="00CA0804">
        <w:t>o</w:t>
      </w:r>
      <w:r w:rsidRPr="00CA0804">
        <w:t xml:space="preserve"> bi </w:t>
      </w:r>
      <w:r w:rsidR="004C2E17" w:rsidRPr="00CA0804">
        <w:t>48,8</w:t>
      </w:r>
      <w:r w:rsidRPr="00CA0804">
        <w:t xml:space="preserve"> milijuna eura. </w:t>
      </w:r>
    </w:p>
    <w:p w14:paraId="48535E75" w14:textId="77777777" w:rsidR="00C12EEB" w:rsidRPr="00CA0804" w:rsidRDefault="00C12EEB" w:rsidP="00C12EEB">
      <w:pPr>
        <w:jc w:val="both"/>
        <w:rPr>
          <w:b/>
        </w:rPr>
      </w:pPr>
    </w:p>
    <w:p w14:paraId="423BB43C" w14:textId="77777777" w:rsidR="00C12EEB" w:rsidRPr="00CA0804" w:rsidRDefault="00C12EEB" w:rsidP="00EB5847"/>
    <w:p w14:paraId="7A957CED" w14:textId="65331E29" w:rsidR="00BC66CE" w:rsidRPr="00CA0804" w:rsidRDefault="00BC66CE" w:rsidP="00BE487D">
      <w:pPr>
        <w:jc w:val="both"/>
      </w:pPr>
    </w:p>
    <w:p w14:paraId="7518FC69" w14:textId="3FCC8F5E" w:rsidR="00CF5370" w:rsidRPr="00CA0804" w:rsidRDefault="00CF5370">
      <w:r w:rsidRPr="00CA0804">
        <w:br w:type="page"/>
      </w:r>
    </w:p>
    <w:p w14:paraId="53E683C9" w14:textId="73506273" w:rsidR="00BE0817" w:rsidRPr="00CA0804" w:rsidRDefault="00BC66CE" w:rsidP="00BE487D">
      <w:pPr>
        <w:pStyle w:val="Heading3"/>
        <w:numPr>
          <w:ilvl w:val="2"/>
          <w:numId w:val="1"/>
        </w:numPr>
        <w:spacing w:before="0"/>
        <w:jc w:val="both"/>
        <w:rPr>
          <w:rFonts w:ascii="Times New Roman" w:hAnsi="Times New Roman" w:cs="Times New Roman"/>
          <w:b/>
          <w:i/>
          <w:color w:val="auto"/>
        </w:rPr>
      </w:pPr>
      <w:bookmarkStart w:id="28" w:name="_Toc213660049"/>
      <w:r w:rsidRPr="00CA0804">
        <w:rPr>
          <w:rFonts w:ascii="Times New Roman" w:hAnsi="Times New Roman" w:cs="Times New Roman"/>
          <w:b/>
          <w:i/>
          <w:color w:val="auto"/>
        </w:rPr>
        <w:lastRenderedPageBreak/>
        <w:t>Potpore za s</w:t>
      </w:r>
      <w:r w:rsidR="00BE0817" w:rsidRPr="00CA0804">
        <w:rPr>
          <w:rFonts w:ascii="Times New Roman" w:hAnsi="Times New Roman" w:cs="Times New Roman"/>
          <w:b/>
          <w:i/>
          <w:color w:val="auto"/>
        </w:rPr>
        <w:t>anacij</w:t>
      </w:r>
      <w:r w:rsidRPr="00CA0804">
        <w:rPr>
          <w:rFonts w:ascii="Times New Roman" w:hAnsi="Times New Roman" w:cs="Times New Roman"/>
          <w:b/>
          <w:i/>
          <w:color w:val="auto"/>
        </w:rPr>
        <w:t>u</w:t>
      </w:r>
      <w:r w:rsidR="00BE0817" w:rsidRPr="00CA0804">
        <w:rPr>
          <w:rFonts w:ascii="Times New Roman" w:hAnsi="Times New Roman" w:cs="Times New Roman"/>
          <w:b/>
          <w:i/>
          <w:color w:val="auto"/>
        </w:rPr>
        <w:t xml:space="preserve"> i restrukturiranje</w:t>
      </w:r>
      <w:bookmarkEnd w:id="28"/>
    </w:p>
    <w:p w14:paraId="4D5AA13E" w14:textId="77777777" w:rsidR="00BC66CE" w:rsidRPr="00CA0804" w:rsidRDefault="00BC66CE" w:rsidP="00BE487D">
      <w:pPr>
        <w:jc w:val="both"/>
      </w:pPr>
    </w:p>
    <w:p w14:paraId="28E89E98" w14:textId="77777777" w:rsidR="00BC66CE" w:rsidRPr="00CA0804" w:rsidRDefault="00BC66CE" w:rsidP="00BE487D">
      <w:pPr>
        <w:jc w:val="both"/>
      </w:pPr>
    </w:p>
    <w:p w14:paraId="0DFE5B71" w14:textId="02AB000F" w:rsidR="00BF2A09" w:rsidRPr="00CA0804" w:rsidRDefault="005D6B00" w:rsidP="005D6B00">
      <w:pPr>
        <w:jc w:val="both"/>
      </w:pPr>
      <w:r w:rsidRPr="00CA0804">
        <w:t>Potpore za sanaciju i restrukturiranje poduzetnika u teškoćama</w:t>
      </w:r>
      <w:r w:rsidRPr="00CA0804">
        <w:rPr>
          <w:rStyle w:val="FootnoteReference"/>
        </w:rPr>
        <w:footnoteReference w:id="33"/>
      </w:r>
      <w:r w:rsidRPr="00CA0804">
        <w:t xml:space="preserve"> </w:t>
      </w:r>
      <w:r w:rsidR="00247C43" w:rsidRPr="00CA0804">
        <w:t>ni</w:t>
      </w:r>
      <w:r w:rsidR="005F1DB3" w:rsidRPr="00CA0804">
        <w:t>su dodijeljene u 202</w:t>
      </w:r>
      <w:r w:rsidR="00247C43" w:rsidRPr="00CA0804">
        <w:t>4</w:t>
      </w:r>
      <w:r w:rsidR="005F1DB3" w:rsidRPr="00CA0804">
        <w:t>. godini</w:t>
      </w:r>
      <w:r w:rsidR="00247C43" w:rsidRPr="00CA0804">
        <w:t>, k</w:t>
      </w:r>
      <w:r w:rsidR="005E2B1B" w:rsidRPr="00CA0804">
        <w:t>a</w:t>
      </w:r>
      <w:r w:rsidR="00247C43" w:rsidRPr="00CA0804">
        <w:t xml:space="preserve">o niti u 2022. godini, a </w:t>
      </w:r>
      <w:r w:rsidR="005F1DB3" w:rsidRPr="00CA0804">
        <w:t xml:space="preserve">u </w:t>
      </w:r>
      <w:r w:rsidR="00247C43" w:rsidRPr="00CA0804">
        <w:t xml:space="preserve">2023. godini su dodijeljene u </w:t>
      </w:r>
      <w:r w:rsidR="005F1DB3" w:rsidRPr="00CA0804">
        <w:t xml:space="preserve">iznosu od </w:t>
      </w:r>
      <w:r w:rsidR="00BF2A09" w:rsidRPr="00CA0804">
        <w:t>9</w:t>
      </w:r>
      <w:r w:rsidR="00247C43" w:rsidRPr="00CA0804">
        <w:t xml:space="preserve"> milijuna eura</w:t>
      </w:r>
      <w:r w:rsidR="00BF2A09" w:rsidRPr="00CA0804">
        <w:t>.</w:t>
      </w:r>
    </w:p>
    <w:p w14:paraId="5641BF7E" w14:textId="77777777" w:rsidR="0038012A" w:rsidRPr="00CA0804" w:rsidRDefault="0038012A" w:rsidP="00BE487D">
      <w:pPr>
        <w:jc w:val="both"/>
      </w:pPr>
    </w:p>
    <w:p w14:paraId="426872EA" w14:textId="66CFFB57" w:rsidR="00FC755A" w:rsidRPr="00CA0804" w:rsidRDefault="00FC755A" w:rsidP="00BE487D">
      <w:pPr>
        <w:jc w:val="both"/>
        <w:rPr>
          <w:spacing w:val="-2"/>
        </w:rPr>
      </w:pPr>
      <w:r w:rsidRPr="00CA0804">
        <w:rPr>
          <w:spacing w:val="-2"/>
        </w:rPr>
        <w:t>Tablica 2</w:t>
      </w:r>
      <w:r w:rsidR="000F5679" w:rsidRPr="00CA0804">
        <w:rPr>
          <w:spacing w:val="-2"/>
        </w:rPr>
        <w:t>5</w:t>
      </w:r>
      <w:r w:rsidRPr="00CA0804">
        <w:rPr>
          <w:spacing w:val="-2"/>
        </w:rPr>
        <w:t xml:space="preserve">. Potpore za sanaciju i restrukturiranje </w:t>
      </w:r>
      <w:r w:rsidR="000A1E58" w:rsidRPr="00CA0804">
        <w:rPr>
          <w:spacing w:val="-2"/>
        </w:rPr>
        <w:t xml:space="preserve">dodijeljene u razdoblju </w:t>
      </w:r>
      <w:r w:rsidRPr="00CA0804">
        <w:rPr>
          <w:spacing w:val="-2"/>
        </w:rPr>
        <w:t>od 20</w:t>
      </w:r>
      <w:r w:rsidR="000C31DD" w:rsidRPr="00CA0804">
        <w:rPr>
          <w:spacing w:val="-2"/>
        </w:rPr>
        <w:t>2</w:t>
      </w:r>
      <w:r w:rsidR="0038012A" w:rsidRPr="00CA0804">
        <w:rPr>
          <w:spacing w:val="-2"/>
        </w:rPr>
        <w:t>2</w:t>
      </w:r>
      <w:r w:rsidRPr="00CA0804">
        <w:rPr>
          <w:spacing w:val="-2"/>
        </w:rPr>
        <w:t>. do 202</w:t>
      </w:r>
      <w:r w:rsidR="0038012A" w:rsidRPr="00CA0804">
        <w:rPr>
          <w:spacing w:val="-2"/>
        </w:rPr>
        <w:t>4</w:t>
      </w:r>
      <w:r w:rsidRPr="00CA0804">
        <w:rPr>
          <w:spacing w:val="-2"/>
        </w:rPr>
        <w:t>. godine</w:t>
      </w:r>
    </w:p>
    <w:p w14:paraId="3C0D560C" w14:textId="77777777" w:rsidR="00FC755A" w:rsidRPr="00CA0804" w:rsidRDefault="00FC755A" w:rsidP="00BE487D">
      <w:pPr>
        <w:contextualSpacing/>
        <w:jc w:val="both"/>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38012A" w:rsidRPr="00CA0804" w14:paraId="0725E52E" w14:textId="77777777" w:rsidTr="00E627B3">
        <w:trPr>
          <w:trHeight w:val="38"/>
        </w:trPr>
        <w:tc>
          <w:tcPr>
            <w:tcW w:w="3376" w:type="dxa"/>
            <w:vMerge w:val="restart"/>
            <w:shd w:val="clear" w:color="000000" w:fill="FFFF99"/>
            <w:noWrap/>
            <w:vAlign w:val="center"/>
            <w:hideMark/>
          </w:tcPr>
          <w:p w14:paraId="36B4311E" w14:textId="2EFBE284" w:rsidR="0038012A" w:rsidRPr="00CA0804" w:rsidRDefault="0038012A" w:rsidP="0038012A">
            <w:pPr>
              <w:rPr>
                <w:rFonts w:eastAsia="Times New Roman"/>
                <w:b/>
                <w:bCs/>
                <w:sz w:val="20"/>
                <w:szCs w:val="20"/>
              </w:rPr>
            </w:pPr>
            <w:r w:rsidRPr="00CA0804">
              <w:rPr>
                <w:rFonts w:eastAsia="Times New Roman"/>
                <w:b/>
                <w:bCs/>
                <w:sz w:val="20"/>
                <w:lang w:eastAsia="hr-HR"/>
              </w:rPr>
              <w:t>Sanacija i restrukturiranje</w:t>
            </w:r>
          </w:p>
        </w:tc>
        <w:tc>
          <w:tcPr>
            <w:tcW w:w="1439" w:type="dxa"/>
            <w:shd w:val="clear" w:color="000000" w:fill="FFFF99"/>
            <w:vAlign w:val="center"/>
          </w:tcPr>
          <w:p w14:paraId="39CD2D75" w14:textId="3B82285C" w:rsidR="0038012A" w:rsidRPr="00CA0804" w:rsidRDefault="0038012A" w:rsidP="0038012A">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0F55A804" w14:textId="0D1A8445" w:rsidR="0038012A" w:rsidRPr="00CA0804" w:rsidRDefault="0038012A" w:rsidP="0038012A">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641B5201" w14:textId="7C4BD488" w:rsidR="0038012A" w:rsidRPr="00CA0804" w:rsidRDefault="0038012A" w:rsidP="0038012A">
            <w:pPr>
              <w:jc w:val="center"/>
              <w:rPr>
                <w:rFonts w:eastAsia="Times New Roman"/>
                <w:b/>
                <w:bCs/>
                <w:sz w:val="20"/>
                <w:szCs w:val="20"/>
              </w:rPr>
            </w:pPr>
            <w:r w:rsidRPr="00CA0804">
              <w:rPr>
                <w:b/>
                <w:sz w:val="20"/>
                <w:szCs w:val="20"/>
              </w:rPr>
              <w:t>2024.</w:t>
            </w:r>
          </w:p>
        </w:tc>
      </w:tr>
      <w:tr w:rsidR="0081459E" w:rsidRPr="00CA0804" w14:paraId="2EFC6D77" w14:textId="77777777" w:rsidTr="00E627B3">
        <w:trPr>
          <w:trHeight w:val="212"/>
        </w:trPr>
        <w:tc>
          <w:tcPr>
            <w:tcW w:w="3376" w:type="dxa"/>
            <w:vMerge/>
            <w:vAlign w:val="center"/>
            <w:hideMark/>
          </w:tcPr>
          <w:p w14:paraId="53D5D001"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4C999C57"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3C0F979D"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3D382BFD"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D148B9" w:rsidRPr="00CA0804" w14:paraId="0527C061" w14:textId="77777777" w:rsidTr="00D148B9">
        <w:trPr>
          <w:trHeight w:val="40"/>
        </w:trPr>
        <w:tc>
          <w:tcPr>
            <w:tcW w:w="3376" w:type="dxa"/>
            <w:shd w:val="clear" w:color="auto" w:fill="auto"/>
            <w:noWrap/>
            <w:vAlign w:val="center"/>
            <w:hideMark/>
          </w:tcPr>
          <w:p w14:paraId="25003EEE" w14:textId="61331E98" w:rsidR="00D148B9" w:rsidRPr="00CA0804" w:rsidRDefault="00D148B9" w:rsidP="00D148B9">
            <w:pPr>
              <w:rPr>
                <w:rFonts w:eastAsia="Times New Roman"/>
                <w:b/>
                <w:bCs/>
                <w:sz w:val="20"/>
                <w:szCs w:val="20"/>
              </w:rPr>
            </w:pPr>
            <w:r w:rsidRPr="00CA0804">
              <w:rPr>
                <w:rFonts w:eastAsia="Times New Roman"/>
                <w:b/>
                <w:bCs/>
                <w:sz w:val="20"/>
                <w:szCs w:val="20"/>
                <w:lang w:eastAsia="hr-HR"/>
              </w:rPr>
              <w:t>D</w:t>
            </w:r>
            <w:r w:rsidRPr="00CA0804">
              <w:rPr>
                <w:rFonts w:eastAsia="Times New Roman"/>
                <w:sz w:val="20"/>
                <w:szCs w:val="20"/>
                <w:lang w:eastAsia="hr-HR"/>
              </w:rPr>
              <w:t xml:space="preserve"> jamstva</w:t>
            </w:r>
          </w:p>
        </w:tc>
        <w:tc>
          <w:tcPr>
            <w:tcW w:w="1439" w:type="dxa"/>
            <w:vAlign w:val="center"/>
          </w:tcPr>
          <w:p w14:paraId="157AFBFE" w14:textId="7813EE7D" w:rsidR="00D148B9" w:rsidRPr="00CA0804" w:rsidRDefault="0038012A" w:rsidP="00D148B9">
            <w:pPr>
              <w:jc w:val="right"/>
              <w:rPr>
                <w:sz w:val="20"/>
                <w:szCs w:val="14"/>
              </w:rPr>
            </w:pPr>
            <w:r w:rsidRPr="00CA0804">
              <w:rPr>
                <w:b/>
                <w:sz w:val="20"/>
              </w:rPr>
              <w:t>–</w:t>
            </w:r>
          </w:p>
        </w:tc>
        <w:tc>
          <w:tcPr>
            <w:tcW w:w="1559" w:type="dxa"/>
          </w:tcPr>
          <w:p w14:paraId="2A21F659" w14:textId="2E4AB94C" w:rsidR="00D148B9" w:rsidRPr="00CA0804" w:rsidRDefault="0038012A" w:rsidP="00D148B9">
            <w:pPr>
              <w:jc w:val="right"/>
              <w:rPr>
                <w:sz w:val="20"/>
                <w:szCs w:val="14"/>
              </w:rPr>
            </w:pPr>
            <w:r w:rsidRPr="00CA0804">
              <w:rPr>
                <w:rFonts w:eastAsia="Times New Roman"/>
                <w:sz w:val="20"/>
                <w:szCs w:val="20"/>
                <w:lang w:eastAsia="hr-HR"/>
              </w:rPr>
              <w:t>9,0</w:t>
            </w:r>
          </w:p>
        </w:tc>
        <w:tc>
          <w:tcPr>
            <w:tcW w:w="1559" w:type="dxa"/>
            <w:vAlign w:val="center"/>
          </w:tcPr>
          <w:p w14:paraId="73F47B36" w14:textId="60AD3540" w:rsidR="00D148B9" w:rsidRPr="00CA0804" w:rsidRDefault="0038012A" w:rsidP="00D148B9">
            <w:pPr>
              <w:jc w:val="right"/>
              <w:rPr>
                <w:sz w:val="20"/>
                <w:szCs w:val="14"/>
              </w:rPr>
            </w:pPr>
            <w:r w:rsidRPr="00CA0804">
              <w:rPr>
                <w:b/>
                <w:sz w:val="20"/>
              </w:rPr>
              <w:t>–</w:t>
            </w:r>
          </w:p>
        </w:tc>
      </w:tr>
      <w:tr w:rsidR="00D148B9" w:rsidRPr="00CA0804" w14:paraId="1D6A0F5A" w14:textId="77777777" w:rsidTr="00D148B9">
        <w:trPr>
          <w:trHeight w:val="40"/>
        </w:trPr>
        <w:tc>
          <w:tcPr>
            <w:tcW w:w="3376" w:type="dxa"/>
            <w:shd w:val="clear" w:color="000000" w:fill="FFFF99"/>
            <w:noWrap/>
            <w:vAlign w:val="center"/>
            <w:hideMark/>
          </w:tcPr>
          <w:p w14:paraId="10C7C861" w14:textId="77777777" w:rsidR="00D148B9" w:rsidRPr="00CA0804" w:rsidRDefault="00D148B9" w:rsidP="00D148B9">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5B5EF367" w14:textId="6FFF78E1" w:rsidR="00D148B9" w:rsidRPr="00CA0804" w:rsidRDefault="00D148B9" w:rsidP="00D148B9">
            <w:pPr>
              <w:jc w:val="right"/>
              <w:rPr>
                <w:b/>
                <w:sz w:val="20"/>
                <w:szCs w:val="14"/>
              </w:rPr>
            </w:pPr>
            <w:r w:rsidRPr="00CA0804">
              <w:rPr>
                <w:b/>
                <w:sz w:val="20"/>
              </w:rPr>
              <w:t>–</w:t>
            </w:r>
          </w:p>
        </w:tc>
        <w:tc>
          <w:tcPr>
            <w:tcW w:w="1559" w:type="dxa"/>
            <w:shd w:val="clear" w:color="000000" w:fill="FFFF99"/>
          </w:tcPr>
          <w:p w14:paraId="64AC8FCE" w14:textId="4B82C1CA" w:rsidR="00D148B9" w:rsidRPr="00CA0804" w:rsidRDefault="0038012A" w:rsidP="00D148B9">
            <w:pPr>
              <w:jc w:val="right"/>
              <w:rPr>
                <w:b/>
                <w:sz w:val="20"/>
                <w:szCs w:val="14"/>
              </w:rPr>
            </w:pPr>
            <w:r w:rsidRPr="00CA0804">
              <w:rPr>
                <w:rFonts w:eastAsia="Times New Roman"/>
                <w:b/>
                <w:bCs/>
                <w:sz w:val="20"/>
                <w:szCs w:val="20"/>
                <w:lang w:eastAsia="hr-HR"/>
              </w:rPr>
              <w:t>9,0</w:t>
            </w:r>
          </w:p>
        </w:tc>
        <w:tc>
          <w:tcPr>
            <w:tcW w:w="1559" w:type="dxa"/>
            <w:shd w:val="clear" w:color="000000" w:fill="FFFF99"/>
            <w:vAlign w:val="center"/>
          </w:tcPr>
          <w:p w14:paraId="4B15C66D" w14:textId="2EE359BA" w:rsidR="00D148B9" w:rsidRPr="00CA0804" w:rsidRDefault="0038012A" w:rsidP="00D148B9">
            <w:pPr>
              <w:jc w:val="right"/>
              <w:rPr>
                <w:b/>
                <w:sz w:val="20"/>
                <w:szCs w:val="14"/>
              </w:rPr>
            </w:pPr>
            <w:r w:rsidRPr="00CA0804">
              <w:rPr>
                <w:b/>
                <w:sz w:val="20"/>
              </w:rPr>
              <w:t>–</w:t>
            </w:r>
          </w:p>
        </w:tc>
      </w:tr>
      <w:tr w:rsidR="0038012A" w:rsidRPr="00CA0804" w14:paraId="4D3E5348" w14:textId="77777777" w:rsidTr="00E4105D">
        <w:trPr>
          <w:trHeight w:val="40"/>
        </w:trPr>
        <w:tc>
          <w:tcPr>
            <w:tcW w:w="3376" w:type="dxa"/>
            <w:shd w:val="clear" w:color="auto" w:fill="auto"/>
            <w:vAlign w:val="center"/>
            <w:hideMark/>
          </w:tcPr>
          <w:p w14:paraId="08DBBBAD" w14:textId="77777777" w:rsidR="0038012A" w:rsidRPr="00CA0804" w:rsidRDefault="0038012A" w:rsidP="0038012A">
            <w:pPr>
              <w:rPr>
                <w:rFonts w:eastAsia="Times New Roman"/>
                <w:sz w:val="20"/>
                <w:szCs w:val="20"/>
              </w:rPr>
            </w:pPr>
            <w:r w:rsidRPr="00CA0804">
              <w:rPr>
                <w:rFonts w:eastAsia="Times New Roman"/>
                <w:sz w:val="20"/>
              </w:rPr>
              <w:t>udio (%) u posebnim sektorima</w:t>
            </w:r>
          </w:p>
        </w:tc>
        <w:tc>
          <w:tcPr>
            <w:tcW w:w="1439" w:type="dxa"/>
          </w:tcPr>
          <w:p w14:paraId="70BB965D" w14:textId="37423412" w:rsidR="0038012A" w:rsidRPr="00CA0804" w:rsidRDefault="0038012A" w:rsidP="0038012A">
            <w:pPr>
              <w:jc w:val="center"/>
              <w:rPr>
                <w:sz w:val="20"/>
                <w:szCs w:val="14"/>
              </w:rPr>
            </w:pPr>
            <w:r w:rsidRPr="00CA0804">
              <w:rPr>
                <w:b/>
                <w:sz w:val="20"/>
              </w:rPr>
              <w:t>–</w:t>
            </w:r>
          </w:p>
        </w:tc>
        <w:tc>
          <w:tcPr>
            <w:tcW w:w="1559" w:type="dxa"/>
            <w:vAlign w:val="center"/>
          </w:tcPr>
          <w:p w14:paraId="678468AA" w14:textId="29998B98" w:rsidR="0038012A" w:rsidRPr="00CA0804" w:rsidRDefault="0038012A" w:rsidP="0038012A">
            <w:pPr>
              <w:jc w:val="center"/>
              <w:rPr>
                <w:sz w:val="20"/>
                <w:szCs w:val="14"/>
              </w:rPr>
            </w:pPr>
            <w:r w:rsidRPr="00CA0804">
              <w:rPr>
                <w:rFonts w:eastAsia="Times New Roman"/>
                <w:sz w:val="20"/>
                <w:szCs w:val="20"/>
                <w:lang w:eastAsia="hr-HR"/>
              </w:rPr>
              <w:t>1,06</w:t>
            </w:r>
          </w:p>
        </w:tc>
        <w:tc>
          <w:tcPr>
            <w:tcW w:w="1559" w:type="dxa"/>
          </w:tcPr>
          <w:p w14:paraId="5DB03DC3" w14:textId="00BD1A75" w:rsidR="0038012A" w:rsidRPr="00CA0804" w:rsidRDefault="0038012A" w:rsidP="0038012A">
            <w:pPr>
              <w:jc w:val="center"/>
              <w:rPr>
                <w:sz w:val="20"/>
                <w:szCs w:val="14"/>
              </w:rPr>
            </w:pPr>
            <w:r w:rsidRPr="00CA0804">
              <w:rPr>
                <w:b/>
                <w:sz w:val="20"/>
              </w:rPr>
              <w:t>–</w:t>
            </w:r>
          </w:p>
        </w:tc>
      </w:tr>
      <w:tr w:rsidR="0038012A" w:rsidRPr="00CA0804" w14:paraId="67E5509E" w14:textId="77777777" w:rsidTr="00E4105D">
        <w:trPr>
          <w:trHeight w:val="90"/>
        </w:trPr>
        <w:tc>
          <w:tcPr>
            <w:tcW w:w="3376" w:type="dxa"/>
            <w:shd w:val="clear" w:color="auto" w:fill="auto"/>
            <w:vAlign w:val="center"/>
            <w:hideMark/>
          </w:tcPr>
          <w:p w14:paraId="6B0DCB25" w14:textId="77777777" w:rsidR="0038012A" w:rsidRPr="00CA0804" w:rsidRDefault="0038012A" w:rsidP="0038012A">
            <w:pPr>
              <w:rPr>
                <w:rFonts w:eastAsia="Times New Roman"/>
                <w:sz w:val="20"/>
                <w:szCs w:val="20"/>
              </w:rPr>
            </w:pPr>
            <w:r w:rsidRPr="00CA0804">
              <w:rPr>
                <w:rFonts w:eastAsia="Times New Roman"/>
                <w:sz w:val="20"/>
                <w:szCs w:val="20"/>
              </w:rPr>
              <w:t>udio (%) u ukupnim potporama (bez poljoprivrede i ribarstva)</w:t>
            </w:r>
          </w:p>
        </w:tc>
        <w:tc>
          <w:tcPr>
            <w:tcW w:w="1439" w:type="dxa"/>
          </w:tcPr>
          <w:p w14:paraId="0B372A0E" w14:textId="01D45CE7" w:rsidR="0038012A" w:rsidRPr="00CA0804" w:rsidRDefault="0038012A" w:rsidP="0038012A">
            <w:pPr>
              <w:jc w:val="center"/>
              <w:rPr>
                <w:sz w:val="20"/>
                <w:szCs w:val="14"/>
              </w:rPr>
            </w:pPr>
            <w:r w:rsidRPr="00CA0804">
              <w:rPr>
                <w:b/>
                <w:sz w:val="20"/>
              </w:rPr>
              <w:t>–</w:t>
            </w:r>
          </w:p>
        </w:tc>
        <w:tc>
          <w:tcPr>
            <w:tcW w:w="1559" w:type="dxa"/>
            <w:vAlign w:val="center"/>
          </w:tcPr>
          <w:p w14:paraId="5E5505DE" w14:textId="7ADD1393" w:rsidR="0038012A" w:rsidRPr="00CA0804" w:rsidRDefault="0038012A" w:rsidP="0038012A">
            <w:pPr>
              <w:jc w:val="center"/>
              <w:rPr>
                <w:sz w:val="20"/>
                <w:szCs w:val="14"/>
              </w:rPr>
            </w:pPr>
            <w:r w:rsidRPr="00CA0804">
              <w:rPr>
                <w:rFonts w:eastAsia="Times New Roman"/>
                <w:sz w:val="20"/>
                <w:szCs w:val="20"/>
                <w:lang w:eastAsia="hr-HR"/>
              </w:rPr>
              <w:t>0,46</w:t>
            </w:r>
          </w:p>
        </w:tc>
        <w:tc>
          <w:tcPr>
            <w:tcW w:w="1559" w:type="dxa"/>
          </w:tcPr>
          <w:p w14:paraId="7ECF0AFC" w14:textId="088728C4" w:rsidR="0038012A" w:rsidRPr="00CA0804" w:rsidRDefault="0038012A" w:rsidP="0038012A">
            <w:pPr>
              <w:jc w:val="center"/>
              <w:rPr>
                <w:sz w:val="20"/>
                <w:szCs w:val="14"/>
              </w:rPr>
            </w:pPr>
            <w:r w:rsidRPr="00CA0804">
              <w:rPr>
                <w:b/>
                <w:sz w:val="20"/>
              </w:rPr>
              <w:t>–</w:t>
            </w:r>
          </w:p>
        </w:tc>
      </w:tr>
      <w:tr w:rsidR="0038012A" w:rsidRPr="00CA0804" w14:paraId="31F22B61" w14:textId="77777777" w:rsidTr="00E4105D">
        <w:trPr>
          <w:trHeight w:val="40"/>
        </w:trPr>
        <w:tc>
          <w:tcPr>
            <w:tcW w:w="3376" w:type="dxa"/>
            <w:shd w:val="clear" w:color="auto" w:fill="auto"/>
            <w:vAlign w:val="center"/>
            <w:hideMark/>
          </w:tcPr>
          <w:p w14:paraId="6352ACF7" w14:textId="77777777" w:rsidR="0038012A" w:rsidRPr="00CA0804" w:rsidRDefault="0038012A" w:rsidP="0038012A">
            <w:pPr>
              <w:rPr>
                <w:rFonts w:eastAsia="Times New Roman"/>
                <w:sz w:val="20"/>
                <w:szCs w:val="20"/>
              </w:rPr>
            </w:pPr>
            <w:r w:rsidRPr="00CA0804">
              <w:rPr>
                <w:rFonts w:eastAsia="Times New Roman"/>
                <w:sz w:val="20"/>
                <w:szCs w:val="20"/>
              </w:rPr>
              <w:t>udio (%) u ukupnim potporama</w:t>
            </w:r>
          </w:p>
        </w:tc>
        <w:tc>
          <w:tcPr>
            <w:tcW w:w="1439" w:type="dxa"/>
          </w:tcPr>
          <w:p w14:paraId="75C26B53" w14:textId="4AFCAC89" w:rsidR="0038012A" w:rsidRPr="00CA0804" w:rsidRDefault="0038012A" w:rsidP="0038012A">
            <w:pPr>
              <w:jc w:val="center"/>
              <w:rPr>
                <w:sz w:val="20"/>
                <w:szCs w:val="14"/>
              </w:rPr>
            </w:pPr>
            <w:r w:rsidRPr="00CA0804">
              <w:rPr>
                <w:b/>
                <w:sz w:val="20"/>
              </w:rPr>
              <w:t>–</w:t>
            </w:r>
          </w:p>
        </w:tc>
        <w:tc>
          <w:tcPr>
            <w:tcW w:w="1559" w:type="dxa"/>
            <w:vAlign w:val="center"/>
          </w:tcPr>
          <w:p w14:paraId="3E9C4910" w14:textId="4EEB119B" w:rsidR="0038012A" w:rsidRPr="00CA0804" w:rsidRDefault="0038012A" w:rsidP="0038012A">
            <w:pPr>
              <w:jc w:val="center"/>
              <w:rPr>
                <w:sz w:val="20"/>
                <w:szCs w:val="14"/>
              </w:rPr>
            </w:pPr>
            <w:r w:rsidRPr="00CA0804">
              <w:rPr>
                <w:rFonts w:eastAsia="Times New Roman"/>
                <w:sz w:val="20"/>
                <w:szCs w:val="20"/>
                <w:lang w:eastAsia="hr-HR"/>
              </w:rPr>
              <w:t>0,43</w:t>
            </w:r>
          </w:p>
        </w:tc>
        <w:tc>
          <w:tcPr>
            <w:tcW w:w="1559" w:type="dxa"/>
          </w:tcPr>
          <w:p w14:paraId="0CABB2AC" w14:textId="0B01140B" w:rsidR="0038012A" w:rsidRPr="00CA0804" w:rsidRDefault="0038012A" w:rsidP="0038012A">
            <w:pPr>
              <w:jc w:val="center"/>
              <w:rPr>
                <w:sz w:val="20"/>
                <w:szCs w:val="14"/>
              </w:rPr>
            </w:pPr>
            <w:r w:rsidRPr="00CA0804">
              <w:rPr>
                <w:b/>
                <w:sz w:val="20"/>
              </w:rPr>
              <w:t>–</w:t>
            </w:r>
          </w:p>
        </w:tc>
      </w:tr>
      <w:tr w:rsidR="0038012A" w:rsidRPr="00CA0804" w14:paraId="53AFC7A2" w14:textId="77777777" w:rsidTr="00E4105D">
        <w:trPr>
          <w:trHeight w:val="40"/>
        </w:trPr>
        <w:tc>
          <w:tcPr>
            <w:tcW w:w="3376" w:type="dxa"/>
            <w:shd w:val="clear" w:color="auto" w:fill="auto"/>
            <w:vAlign w:val="center"/>
            <w:hideMark/>
          </w:tcPr>
          <w:p w14:paraId="3276F93D" w14:textId="77777777" w:rsidR="0038012A" w:rsidRPr="00CA0804" w:rsidRDefault="0038012A" w:rsidP="0038012A">
            <w:pPr>
              <w:rPr>
                <w:rFonts w:eastAsia="Times New Roman"/>
                <w:sz w:val="20"/>
                <w:szCs w:val="20"/>
              </w:rPr>
            </w:pPr>
            <w:r w:rsidRPr="00CA0804">
              <w:rPr>
                <w:rFonts w:eastAsia="Times New Roman"/>
                <w:sz w:val="20"/>
                <w:szCs w:val="20"/>
              </w:rPr>
              <w:t>udio (%) u BDP-u</w:t>
            </w:r>
          </w:p>
        </w:tc>
        <w:tc>
          <w:tcPr>
            <w:tcW w:w="1439" w:type="dxa"/>
          </w:tcPr>
          <w:p w14:paraId="19445A33" w14:textId="5A73DA76" w:rsidR="0038012A" w:rsidRPr="00CA0804" w:rsidRDefault="0038012A" w:rsidP="0038012A">
            <w:pPr>
              <w:jc w:val="center"/>
              <w:rPr>
                <w:sz w:val="20"/>
                <w:szCs w:val="14"/>
              </w:rPr>
            </w:pPr>
            <w:r w:rsidRPr="00CA0804">
              <w:rPr>
                <w:b/>
                <w:sz w:val="20"/>
              </w:rPr>
              <w:t>–</w:t>
            </w:r>
          </w:p>
        </w:tc>
        <w:tc>
          <w:tcPr>
            <w:tcW w:w="1559" w:type="dxa"/>
            <w:vAlign w:val="center"/>
          </w:tcPr>
          <w:p w14:paraId="6E45237A" w14:textId="43E015FE" w:rsidR="0038012A" w:rsidRPr="00CA0804" w:rsidRDefault="0038012A" w:rsidP="0038012A">
            <w:pPr>
              <w:jc w:val="center"/>
              <w:rPr>
                <w:sz w:val="20"/>
                <w:szCs w:val="14"/>
              </w:rPr>
            </w:pPr>
            <w:r w:rsidRPr="00CA0804">
              <w:rPr>
                <w:rFonts w:eastAsia="Times New Roman"/>
                <w:sz w:val="20"/>
                <w:szCs w:val="20"/>
                <w:lang w:eastAsia="hr-HR"/>
              </w:rPr>
              <w:t>0,01</w:t>
            </w:r>
          </w:p>
        </w:tc>
        <w:tc>
          <w:tcPr>
            <w:tcW w:w="1559" w:type="dxa"/>
          </w:tcPr>
          <w:p w14:paraId="6D6EEE10" w14:textId="6A001575" w:rsidR="0038012A" w:rsidRPr="00CA0804" w:rsidRDefault="0038012A" w:rsidP="0038012A">
            <w:pPr>
              <w:jc w:val="center"/>
              <w:rPr>
                <w:sz w:val="20"/>
                <w:szCs w:val="14"/>
              </w:rPr>
            </w:pPr>
            <w:r w:rsidRPr="00CA0804">
              <w:rPr>
                <w:b/>
                <w:sz w:val="20"/>
              </w:rPr>
              <w:t>–</w:t>
            </w:r>
          </w:p>
        </w:tc>
      </w:tr>
    </w:tbl>
    <w:p w14:paraId="75249783" w14:textId="77777777" w:rsidR="00D148B9" w:rsidRPr="00CA0804" w:rsidRDefault="00D148B9" w:rsidP="00D148B9">
      <w:pPr>
        <w:jc w:val="both"/>
        <w:rPr>
          <w:i/>
          <w:sz w:val="20"/>
        </w:rPr>
      </w:pPr>
      <w:r w:rsidRPr="00CA0804">
        <w:rPr>
          <w:i/>
          <w:sz w:val="20"/>
        </w:rPr>
        <w:t>Izvor: Ministarstvo financija i ostali davatelji potpora; podaci obrađeni u Ministarstvu financija</w:t>
      </w:r>
    </w:p>
    <w:p w14:paraId="2AB5F7C5" w14:textId="77777777" w:rsidR="00677F96" w:rsidRPr="00CA0804" w:rsidRDefault="00677F96" w:rsidP="00BE487D">
      <w:pPr>
        <w:jc w:val="both"/>
      </w:pPr>
    </w:p>
    <w:p w14:paraId="35E8E642" w14:textId="77777777" w:rsidR="00247C43" w:rsidRPr="00CA0804" w:rsidRDefault="00247C43" w:rsidP="00BE487D">
      <w:pPr>
        <w:jc w:val="both"/>
      </w:pPr>
    </w:p>
    <w:p w14:paraId="2BF9EDD9" w14:textId="67E95AE8" w:rsidR="004E1347" w:rsidRPr="00CA0804" w:rsidRDefault="004E1347"/>
    <w:p w14:paraId="2E2679EC" w14:textId="18F65DD9" w:rsidR="00BE0817" w:rsidRPr="00CA0804" w:rsidRDefault="00BC66CE" w:rsidP="00BE487D">
      <w:pPr>
        <w:pStyle w:val="Heading3"/>
        <w:numPr>
          <w:ilvl w:val="2"/>
          <w:numId w:val="1"/>
        </w:numPr>
        <w:spacing w:before="0"/>
        <w:jc w:val="both"/>
        <w:rPr>
          <w:rFonts w:ascii="Times New Roman" w:hAnsi="Times New Roman" w:cs="Times New Roman"/>
          <w:b/>
          <w:i/>
          <w:color w:val="auto"/>
        </w:rPr>
      </w:pPr>
      <w:bookmarkStart w:id="29" w:name="_Toc213660050"/>
      <w:r w:rsidRPr="00CA0804">
        <w:rPr>
          <w:rFonts w:ascii="Times New Roman" w:hAnsi="Times New Roman" w:cs="Times New Roman"/>
          <w:b/>
          <w:i/>
          <w:color w:val="auto"/>
        </w:rPr>
        <w:t>Potpore za javno radiotelevizijsko emitiranje</w:t>
      </w:r>
      <w:r w:rsidR="00480665" w:rsidRPr="00CA0804">
        <w:rPr>
          <w:rFonts w:ascii="Times New Roman" w:hAnsi="Times New Roman" w:cs="Times New Roman"/>
          <w:b/>
          <w:i/>
          <w:color w:val="auto"/>
        </w:rPr>
        <w:t xml:space="preserve"> i audiovizualnu industriju</w:t>
      </w:r>
      <w:bookmarkEnd w:id="29"/>
    </w:p>
    <w:p w14:paraId="15200F48" w14:textId="77777777" w:rsidR="00BC66CE" w:rsidRPr="00CA0804" w:rsidRDefault="00BC66CE" w:rsidP="00BE487D">
      <w:pPr>
        <w:jc w:val="both"/>
      </w:pPr>
    </w:p>
    <w:p w14:paraId="09F6E7A5" w14:textId="77777777" w:rsidR="00BC66CE" w:rsidRPr="00CA0804" w:rsidRDefault="00BC66CE" w:rsidP="00BE487D">
      <w:pPr>
        <w:jc w:val="both"/>
      </w:pPr>
    </w:p>
    <w:p w14:paraId="29E42584" w14:textId="2E102942" w:rsidR="00BF2A09" w:rsidRPr="00CA0804" w:rsidRDefault="00DE3F6A" w:rsidP="00E92A05">
      <w:pPr>
        <w:jc w:val="both"/>
        <w:rPr>
          <w:spacing w:val="-2"/>
        </w:rPr>
      </w:pPr>
      <w:r w:rsidRPr="00CA0804">
        <w:rPr>
          <w:spacing w:val="-2"/>
        </w:rPr>
        <w:t>Potpore za javno radiotelevizijsko emitiranje i audiovizualnu industriju</w:t>
      </w:r>
      <w:r w:rsidRPr="00CA0804">
        <w:rPr>
          <w:rStyle w:val="FootnoteReference"/>
          <w:spacing w:val="-2"/>
        </w:rPr>
        <w:footnoteReference w:id="34"/>
      </w:r>
      <w:r w:rsidRPr="00CA0804">
        <w:rPr>
          <w:spacing w:val="-2"/>
        </w:rPr>
        <w:t xml:space="preserve"> </w:t>
      </w:r>
      <w:r w:rsidR="00BF2A09" w:rsidRPr="00CA0804">
        <w:rPr>
          <w:spacing w:val="-2"/>
        </w:rPr>
        <w:t xml:space="preserve">dodijeljene </w:t>
      </w:r>
      <w:r w:rsidR="00247C43" w:rsidRPr="00CA0804">
        <w:rPr>
          <w:spacing w:val="-2"/>
        </w:rPr>
        <w:t xml:space="preserve">su </w:t>
      </w:r>
      <w:r w:rsidR="00BF2A09" w:rsidRPr="00CA0804">
        <w:rPr>
          <w:spacing w:val="-2"/>
        </w:rPr>
        <w:t>u 202</w:t>
      </w:r>
      <w:r w:rsidR="00247C43" w:rsidRPr="00CA0804">
        <w:rPr>
          <w:spacing w:val="-2"/>
        </w:rPr>
        <w:t>4</w:t>
      </w:r>
      <w:r w:rsidR="00BF2A09" w:rsidRPr="00CA0804">
        <w:rPr>
          <w:spacing w:val="-2"/>
        </w:rPr>
        <w:t xml:space="preserve">. godini u iznosu od </w:t>
      </w:r>
      <w:r w:rsidR="00247C43" w:rsidRPr="00CA0804">
        <w:rPr>
          <w:spacing w:val="-2"/>
        </w:rPr>
        <w:t xml:space="preserve">170,3 </w:t>
      </w:r>
      <w:r w:rsidR="00BF2A09" w:rsidRPr="00CA0804">
        <w:rPr>
          <w:spacing w:val="-2"/>
        </w:rPr>
        <w:t xml:space="preserve">milijuna eura, što je povećanje za </w:t>
      </w:r>
      <w:r w:rsidR="00247C43" w:rsidRPr="00CA0804">
        <w:rPr>
          <w:spacing w:val="-2"/>
        </w:rPr>
        <w:t>16,</w:t>
      </w:r>
      <w:r w:rsidR="00876B40" w:rsidRPr="00CA0804">
        <w:rPr>
          <w:spacing w:val="-2"/>
        </w:rPr>
        <w:t>4</w:t>
      </w:r>
      <w:r w:rsidR="00247C43" w:rsidRPr="00CA0804">
        <w:rPr>
          <w:spacing w:val="-2"/>
        </w:rPr>
        <w:t xml:space="preserve"> milijuna </w:t>
      </w:r>
      <w:r w:rsidR="00BF2A09" w:rsidRPr="00CA0804">
        <w:rPr>
          <w:spacing w:val="-2"/>
        </w:rPr>
        <w:t xml:space="preserve">eura ili za </w:t>
      </w:r>
      <w:r w:rsidR="00247C43" w:rsidRPr="00CA0804">
        <w:rPr>
          <w:spacing w:val="-2"/>
        </w:rPr>
        <w:t xml:space="preserve">10,7 </w:t>
      </w:r>
      <w:r w:rsidR="00BF2A09" w:rsidRPr="00CA0804">
        <w:rPr>
          <w:spacing w:val="-2"/>
        </w:rPr>
        <w:t>posto u odnosu na 202</w:t>
      </w:r>
      <w:r w:rsidR="00247C43" w:rsidRPr="00CA0804">
        <w:rPr>
          <w:spacing w:val="-2"/>
        </w:rPr>
        <w:t>3</w:t>
      </w:r>
      <w:r w:rsidR="00BF2A09" w:rsidRPr="00CA0804">
        <w:rPr>
          <w:spacing w:val="-2"/>
        </w:rPr>
        <w:t xml:space="preserve">. godinu, kada su iznosile </w:t>
      </w:r>
      <w:r w:rsidR="00C51F59" w:rsidRPr="00CA0804">
        <w:rPr>
          <w:spacing w:val="-2"/>
        </w:rPr>
        <w:t>153,</w:t>
      </w:r>
      <w:r w:rsidR="00247C43" w:rsidRPr="00CA0804">
        <w:rPr>
          <w:spacing w:val="-2"/>
        </w:rPr>
        <w:t>9</w:t>
      </w:r>
      <w:r w:rsidR="00C51F59" w:rsidRPr="00CA0804">
        <w:rPr>
          <w:spacing w:val="-2"/>
        </w:rPr>
        <w:t xml:space="preserve"> </w:t>
      </w:r>
      <w:r w:rsidR="00BF2A09" w:rsidRPr="00CA0804">
        <w:rPr>
          <w:spacing w:val="-2"/>
        </w:rPr>
        <w:t xml:space="preserve">milijuna eura, te </w:t>
      </w:r>
      <w:r w:rsidR="005E2B1B" w:rsidRPr="00CA0804">
        <w:rPr>
          <w:spacing w:val="-2"/>
        </w:rPr>
        <w:t>predstavlja</w:t>
      </w:r>
      <w:r w:rsidR="00BF2A09" w:rsidRPr="00CA0804">
        <w:rPr>
          <w:spacing w:val="-2"/>
        </w:rPr>
        <w:t xml:space="preserve"> </w:t>
      </w:r>
      <w:r w:rsidR="00247C43" w:rsidRPr="00CA0804">
        <w:rPr>
          <w:spacing w:val="-2"/>
        </w:rPr>
        <w:t xml:space="preserve">povećanje </w:t>
      </w:r>
      <w:r w:rsidR="00BF2A09" w:rsidRPr="00CA0804">
        <w:rPr>
          <w:spacing w:val="-2"/>
        </w:rPr>
        <w:t xml:space="preserve">za </w:t>
      </w:r>
      <w:r w:rsidR="00247C43" w:rsidRPr="00CA0804">
        <w:rPr>
          <w:spacing w:val="-2"/>
        </w:rPr>
        <w:t>17,</w:t>
      </w:r>
      <w:r w:rsidR="00876B40" w:rsidRPr="00CA0804">
        <w:rPr>
          <w:spacing w:val="-2"/>
        </w:rPr>
        <w:t>1</w:t>
      </w:r>
      <w:r w:rsidR="00247C43" w:rsidRPr="00CA0804">
        <w:rPr>
          <w:spacing w:val="-2"/>
        </w:rPr>
        <w:t xml:space="preserve"> milijuna </w:t>
      </w:r>
      <w:r w:rsidR="00C51F59" w:rsidRPr="00CA0804">
        <w:rPr>
          <w:spacing w:val="-2"/>
        </w:rPr>
        <w:t xml:space="preserve">eura </w:t>
      </w:r>
      <w:r w:rsidR="00BF2A09" w:rsidRPr="00CA0804">
        <w:rPr>
          <w:spacing w:val="-2"/>
        </w:rPr>
        <w:t xml:space="preserve">ili za </w:t>
      </w:r>
      <w:r w:rsidR="00247C43" w:rsidRPr="00CA0804">
        <w:rPr>
          <w:spacing w:val="-2"/>
        </w:rPr>
        <w:t xml:space="preserve">11,2 </w:t>
      </w:r>
      <w:r w:rsidR="00BF2A09" w:rsidRPr="00CA0804">
        <w:rPr>
          <w:spacing w:val="-2"/>
        </w:rPr>
        <w:t>posto u odnosu na 202</w:t>
      </w:r>
      <w:r w:rsidR="00247C43" w:rsidRPr="00CA0804">
        <w:rPr>
          <w:spacing w:val="-2"/>
        </w:rPr>
        <w:t>2</w:t>
      </w:r>
      <w:r w:rsidR="00BF2A09" w:rsidRPr="00CA0804">
        <w:rPr>
          <w:spacing w:val="-2"/>
        </w:rPr>
        <w:t>. godinu kada su iznosile</w:t>
      </w:r>
      <w:r w:rsidR="00C51F59" w:rsidRPr="00CA0804">
        <w:rPr>
          <w:spacing w:val="-2"/>
        </w:rPr>
        <w:t xml:space="preserve"> </w:t>
      </w:r>
      <w:r w:rsidR="00247C43" w:rsidRPr="00CA0804">
        <w:rPr>
          <w:spacing w:val="-2"/>
        </w:rPr>
        <w:t xml:space="preserve">153,2 </w:t>
      </w:r>
      <w:r w:rsidR="00BF2A09" w:rsidRPr="00CA0804">
        <w:rPr>
          <w:spacing w:val="-2"/>
        </w:rPr>
        <w:t>milijuna eura.</w:t>
      </w:r>
    </w:p>
    <w:p w14:paraId="38CC6929" w14:textId="77777777" w:rsidR="00876B40" w:rsidRPr="00CA0804" w:rsidRDefault="00876B40" w:rsidP="00E92A05">
      <w:pPr>
        <w:jc w:val="both"/>
      </w:pPr>
    </w:p>
    <w:p w14:paraId="55BEE66E" w14:textId="5C7FE2E1" w:rsidR="00DE3F6A" w:rsidRPr="00CA0804" w:rsidRDefault="00DE3F6A" w:rsidP="00BE487D">
      <w:pPr>
        <w:contextualSpacing/>
        <w:jc w:val="both"/>
      </w:pPr>
      <w:r w:rsidRPr="00CA0804">
        <w:t xml:space="preserve">Tablica </w:t>
      </w:r>
      <w:r w:rsidR="002C2979" w:rsidRPr="00CA0804">
        <w:t>2</w:t>
      </w:r>
      <w:r w:rsidR="000F5679" w:rsidRPr="00CA0804">
        <w:t>6</w:t>
      </w:r>
      <w:r w:rsidRPr="00CA0804">
        <w:t xml:space="preserve">. Potpore </w:t>
      </w:r>
      <w:r w:rsidR="00D148B9" w:rsidRPr="00CA0804">
        <w:t xml:space="preserve">dodijeljene </w:t>
      </w:r>
      <w:r w:rsidRPr="00CA0804">
        <w:t xml:space="preserve">za javno radiotelevizijsko emitiranje i audiovizualnu industriju </w:t>
      </w:r>
      <w:r w:rsidR="003131F9" w:rsidRPr="00CA0804">
        <w:t>u</w:t>
      </w:r>
      <w:r w:rsidRPr="00CA0804">
        <w:t xml:space="preserve"> razdoblj</w:t>
      </w:r>
      <w:r w:rsidR="003131F9" w:rsidRPr="00CA0804">
        <w:t>u</w:t>
      </w:r>
      <w:r w:rsidRPr="00CA0804">
        <w:t xml:space="preserve"> od 20</w:t>
      </w:r>
      <w:r w:rsidR="00BE22C8" w:rsidRPr="00CA0804">
        <w:t>2</w:t>
      </w:r>
      <w:r w:rsidR="0038012A" w:rsidRPr="00CA0804">
        <w:t>2</w:t>
      </w:r>
      <w:r w:rsidRPr="00CA0804">
        <w:t>. do 202</w:t>
      </w:r>
      <w:r w:rsidR="0038012A" w:rsidRPr="00CA0804">
        <w:t>4</w:t>
      </w:r>
      <w:r w:rsidRPr="00CA0804">
        <w:t>. godine</w:t>
      </w:r>
    </w:p>
    <w:p w14:paraId="179AFCAE" w14:textId="77777777" w:rsidR="00DE3F6A" w:rsidRPr="00CA0804" w:rsidRDefault="00DE3F6A"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38012A" w:rsidRPr="00CA0804" w14:paraId="5EC4AC4C" w14:textId="77777777" w:rsidTr="00E627B3">
        <w:trPr>
          <w:trHeight w:val="38"/>
        </w:trPr>
        <w:tc>
          <w:tcPr>
            <w:tcW w:w="3376" w:type="dxa"/>
            <w:vMerge w:val="restart"/>
            <w:shd w:val="clear" w:color="000000" w:fill="FFFF99"/>
            <w:noWrap/>
            <w:vAlign w:val="center"/>
            <w:hideMark/>
          </w:tcPr>
          <w:p w14:paraId="1F85726E" w14:textId="14CF83A0" w:rsidR="0038012A" w:rsidRPr="00CA0804" w:rsidRDefault="0038012A" w:rsidP="0038012A">
            <w:pPr>
              <w:rPr>
                <w:rFonts w:eastAsia="Times New Roman"/>
                <w:b/>
                <w:bCs/>
                <w:sz w:val="20"/>
                <w:szCs w:val="20"/>
              </w:rPr>
            </w:pPr>
            <w:r w:rsidRPr="00CA0804">
              <w:rPr>
                <w:b/>
                <w:sz w:val="20"/>
              </w:rPr>
              <w:t>Radiotelevizijsko emitiranje i audiovizualna industrija</w:t>
            </w:r>
          </w:p>
        </w:tc>
        <w:tc>
          <w:tcPr>
            <w:tcW w:w="1439" w:type="dxa"/>
            <w:shd w:val="clear" w:color="000000" w:fill="FFFF99"/>
            <w:vAlign w:val="center"/>
          </w:tcPr>
          <w:p w14:paraId="5D83B78E" w14:textId="09EB8039" w:rsidR="0038012A" w:rsidRPr="00CA0804" w:rsidRDefault="0038012A" w:rsidP="0038012A">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2125BB5F" w14:textId="3E5E9A28" w:rsidR="0038012A" w:rsidRPr="00CA0804" w:rsidRDefault="0038012A" w:rsidP="0038012A">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3F91FDDC" w14:textId="5D1F5F66" w:rsidR="0038012A" w:rsidRPr="00CA0804" w:rsidRDefault="0038012A" w:rsidP="0038012A">
            <w:pPr>
              <w:jc w:val="center"/>
              <w:rPr>
                <w:rFonts w:eastAsia="Times New Roman"/>
                <w:b/>
                <w:bCs/>
                <w:sz w:val="20"/>
                <w:szCs w:val="20"/>
              </w:rPr>
            </w:pPr>
            <w:r w:rsidRPr="00CA0804">
              <w:rPr>
                <w:b/>
                <w:sz w:val="20"/>
                <w:szCs w:val="20"/>
              </w:rPr>
              <w:t>2024.</w:t>
            </w:r>
          </w:p>
        </w:tc>
      </w:tr>
      <w:tr w:rsidR="0081459E" w:rsidRPr="00CA0804" w14:paraId="71187E88" w14:textId="77777777" w:rsidTr="00E627B3">
        <w:trPr>
          <w:trHeight w:val="212"/>
        </w:trPr>
        <w:tc>
          <w:tcPr>
            <w:tcW w:w="3376" w:type="dxa"/>
            <w:vMerge/>
            <w:vAlign w:val="center"/>
            <w:hideMark/>
          </w:tcPr>
          <w:p w14:paraId="3A12D579"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7F945214"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781DC246"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28B2DEC2"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38012A" w:rsidRPr="00CA0804" w14:paraId="7DC08718" w14:textId="77777777" w:rsidTr="00C11094">
        <w:trPr>
          <w:trHeight w:val="40"/>
        </w:trPr>
        <w:tc>
          <w:tcPr>
            <w:tcW w:w="3376" w:type="dxa"/>
            <w:shd w:val="clear" w:color="auto" w:fill="auto"/>
            <w:noWrap/>
            <w:vAlign w:val="center"/>
          </w:tcPr>
          <w:p w14:paraId="53BB213D" w14:textId="5EDCDAA7" w:rsidR="0038012A" w:rsidRPr="00CA0804" w:rsidRDefault="0038012A" w:rsidP="0038012A">
            <w:pPr>
              <w:rPr>
                <w:rFonts w:eastAsia="Times New Roman"/>
                <w:bCs/>
                <w:sz w:val="20"/>
                <w:szCs w:val="20"/>
              </w:rPr>
            </w:pPr>
            <w:r w:rsidRPr="00CA0804">
              <w:rPr>
                <w:rFonts w:eastAsia="Times New Roman"/>
                <w:bCs/>
                <w:sz w:val="20"/>
                <w:szCs w:val="20"/>
                <w:lang w:eastAsia="hr-HR"/>
              </w:rPr>
              <w:t>A1</w:t>
            </w:r>
            <w:r w:rsidRPr="00CA0804">
              <w:rPr>
                <w:rFonts w:eastAsia="Times New Roman"/>
                <w:sz w:val="20"/>
                <w:szCs w:val="20"/>
                <w:lang w:eastAsia="hr-HR"/>
              </w:rPr>
              <w:t xml:space="preserve"> subvencije</w:t>
            </w:r>
          </w:p>
        </w:tc>
        <w:tc>
          <w:tcPr>
            <w:tcW w:w="1439" w:type="dxa"/>
            <w:vAlign w:val="center"/>
          </w:tcPr>
          <w:p w14:paraId="4CF7087C" w14:textId="04CE3F20" w:rsidR="0038012A" w:rsidRPr="00CA0804" w:rsidRDefault="0038012A" w:rsidP="0038012A">
            <w:pPr>
              <w:jc w:val="right"/>
              <w:rPr>
                <w:sz w:val="20"/>
                <w:szCs w:val="14"/>
              </w:rPr>
            </w:pPr>
            <w:r w:rsidRPr="00CA0804">
              <w:rPr>
                <w:sz w:val="20"/>
              </w:rPr>
              <w:t>2,2</w:t>
            </w:r>
          </w:p>
        </w:tc>
        <w:tc>
          <w:tcPr>
            <w:tcW w:w="1559" w:type="dxa"/>
            <w:vAlign w:val="center"/>
          </w:tcPr>
          <w:p w14:paraId="3C0D6965" w14:textId="4908EF27" w:rsidR="0038012A" w:rsidRPr="00CA0804" w:rsidRDefault="0038012A" w:rsidP="0038012A">
            <w:pPr>
              <w:jc w:val="right"/>
              <w:rPr>
                <w:sz w:val="20"/>
                <w:szCs w:val="14"/>
              </w:rPr>
            </w:pPr>
            <w:r w:rsidRPr="00CA0804">
              <w:rPr>
                <w:sz w:val="20"/>
              </w:rPr>
              <w:t>1,7</w:t>
            </w:r>
          </w:p>
        </w:tc>
        <w:tc>
          <w:tcPr>
            <w:tcW w:w="1559" w:type="dxa"/>
            <w:shd w:val="clear" w:color="auto" w:fill="auto"/>
            <w:vAlign w:val="center"/>
          </w:tcPr>
          <w:p w14:paraId="69911431" w14:textId="0A3EADF3" w:rsidR="0038012A" w:rsidRPr="00CA0804" w:rsidRDefault="0038012A" w:rsidP="0038012A">
            <w:pPr>
              <w:jc w:val="right"/>
              <w:rPr>
                <w:sz w:val="20"/>
                <w:szCs w:val="14"/>
              </w:rPr>
            </w:pPr>
            <w:r w:rsidRPr="00CA0804">
              <w:rPr>
                <w:sz w:val="20"/>
              </w:rPr>
              <w:t>17,0</w:t>
            </w:r>
          </w:p>
        </w:tc>
      </w:tr>
      <w:tr w:rsidR="0038012A" w:rsidRPr="00CA0804" w14:paraId="20C491A0" w14:textId="77777777" w:rsidTr="00C11094">
        <w:trPr>
          <w:trHeight w:val="40"/>
        </w:trPr>
        <w:tc>
          <w:tcPr>
            <w:tcW w:w="3376" w:type="dxa"/>
            <w:shd w:val="clear" w:color="auto" w:fill="auto"/>
            <w:noWrap/>
            <w:vAlign w:val="center"/>
          </w:tcPr>
          <w:p w14:paraId="5E0BA81E" w14:textId="59BD19B3" w:rsidR="0038012A" w:rsidRPr="00CA0804" w:rsidRDefault="0038012A" w:rsidP="0038012A">
            <w:pPr>
              <w:rPr>
                <w:rFonts w:eastAsia="Times New Roman"/>
                <w:bCs/>
                <w:sz w:val="20"/>
                <w:szCs w:val="20"/>
              </w:rPr>
            </w:pPr>
            <w:r w:rsidRPr="00CA0804">
              <w:rPr>
                <w:rFonts w:eastAsia="Times New Roman"/>
                <w:bCs/>
                <w:sz w:val="20"/>
                <w:szCs w:val="20"/>
                <w:lang w:eastAsia="hr-HR"/>
              </w:rPr>
              <w:t>A1</w:t>
            </w:r>
            <w:r w:rsidRPr="00CA0804">
              <w:rPr>
                <w:rFonts w:eastAsia="Times New Roman"/>
                <w:sz w:val="20"/>
                <w:szCs w:val="20"/>
                <w:lang w:eastAsia="hr-HR"/>
              </w:rPr>
              <w:t xml:space="preserve"> RTV pristojba</w:t>
            </w:r>
          </w:p>
        </w:tc>
        <w:tc>
          <w:tcPr>
            <w:tcW w:w="1439" w:type="dxa"/>
            <w:vAlign w:val="center"/>
          </w:tcPr>
          <w:p w14:paraId="003D5F3E" w14:textId="136AE01F" w:rsidR="0038012A" w:rsidRPr="00CA0804" w:rsidRDefault="0038012A" w:rsidP="0038012A">
            <w:pPr>
              <w:jc w:val="right"/>
              <w:rPr>
                <w:sz w:val="20"/>
                <w:szCs w:val="14"/>
              </w:rPr>
            </w:pPr>
            <w:r w:rsidRPr="00CA0804">
              <w:rPr>
                <w:sz w:val="20"/>
              </w:rPr>
              <w:t>151,0</w:t>
            </w:r>
          </w:p>
        </w:tc>
        <w:tc>
          <w:tcPr>
            <w:tcW w:w="1559" w:type="dxa"/>
            <w:vAlign w:val="center"/>
          </w:tcPr>
          <w:p w14:paraId="4D7B86EB" w14:textId="785E7389" w:rsidR="0038012A" w:rsidRPr="00CA0804" w:rsidRDefault="0038012A" w:rsidP="0038012A">
            <w:pPr>
              <w:jc w:val="right"/>
              <w:rPr>
                <w:sz w:val="20"/>
                <w:szCs w:val="14"/>
              </w:rPr>
            </w:pPr>
            <w:r w:rsidRPr="00CA0804">
              <w:rPr>
                <w:sz w:val="20"/>
              </w:rPr>
              <w:t>152,2</w:t>
            </w:r>
          </w:p>
        </w:tc>
        <w:tc>
          <w:tcPr>
            <w:tcW w:w="1559" w:type="dxa"/>
            <w:shd w:val="clear" w:color="auto" w:fill="auto"/>
            <w:vAlign w:val="center"/>
          </w:tcPr>
          <w:p w14:paraId="16F3C476" w14:textId="2610C35D" w:rsidR="0038012A" w:rsidRPr="00CA0804" w:rsidRDefault="00C11094" w:rsidP="0038012A">
            <w:pPr>
              <w:jc w:val="right"/>
              <w:rPr>
                <w:sz w:val="20"/>
                <w:szCs w:val="14"/>
              </w:rPr>
            </w:pPr>
            <w:r w:rsidRPr="00CA0804">
              <w:rPr>
                <w:sz w:val="20"/>
              </w:rPr>
              <w:t>153,3</w:t>
            </w:r>
          </w:p>
        </w:tc>
      </w:tr>
      <w:tr w:rsidR="0038012A" w:rsidRPr="00CA0804" w14:paraId="486C2D3D" w14:textId="77777777" w:rsidTr="00C11094">
        <w:trPr>
          <w:trHeight w:val="40"/>
        </w:trPr>
        <w:tc>
          <w:tcPr>
            <w:tcW w:w="3376" w:type="dxa"/>
            <w:shd w:val="clear" w:color="000000" w:fill="FFFF99"/>
            <w:noWrap/>
            <w:vAlign w:val="center"/>
            <w:hideMark/>
          </w:tcPr>
          <w:p w14:paraId="301367CA" w14:textId="77777777" w:rsidR="0038012A" w:rsidRPr="00CA0804" w:rsidRDefault="0038012A" w:rsidP="0038012A">
            <w:pPr>
              <w:rPr>
                <w:rFonts w:eastAsia="Times New Roman"/>
                <w:b/>
                <w:bCs/>
                <w:sz w:val="20"/>
                <w:szCs w:val="20"/>
              </w:rPr>
            </w:pPr>
            <w:r w:rsidRPr="00CA0804">
              <w:rPr>
                <w:rFonts w:eastAsia="Times New Roman"/>
                <w:b/>
                <w:bCs/>
                <w:sz w:val="20"/>
                <w:szCs w:val="20"/>
              </w:rPr>
              <w:t>UKUPNO</w:t>
            </w:r>
          </w:p>
        </w:tc>
        <w:tc>
          <w:tcPr>
            <w:tcW w:w="1439" w:type="dxa"/>
            <w:shd w:val="clear" w:color="000000" w:fill="FFFF99"/>
            <w:vAlign w:val="center"/>
          </w:tcPr>
          <w:p w14:paraId="738180DA" w14:textId="4C6ADE54" w:rsidR="0038012A" w:rsidRPr="00CA0804" w:rsidRDefault="0038012A" w:rsidP="0038012A">
            <w:pPr>
              <w:jc w:val="right"/>
              <w:rPr>
                <w:b/>
                <w:sz w:val="20"/>
                <w:szCs w:val="14"/>
              </w:rPr>
            </w:pPr>
            <w:r w:rsidRPr="00CA0804">
              <w:rPr>
                <w:b/>
                <w:sz w:val="20"/>
              </w:rPr>
              <w:t>153,2</w:t>
            </w:r>
          </w:p>
        </w:tc>
        <w:tc>
          <w:tcPr>
            <w:tcW w:w="1559" w:type="dxa"/>
            <w:shd w:val="clear" w:color="000000" w:fill="FFFF99"/>
            <w:vAlign w:val="center"/>
          </w:tcPr>
          <w:p w14:paraId="4A392E8B" w14:textId="77321DF7" w:rsidR="0038012A" w:rsidRPr="00CA0804" w:rsidRDefault="0038012A" w:rsidP="0038012A">
            <w:pPr>
              <w:jc w:val="right"/>
              <w:rPr>
                <w:b/>
                <w:sz w:val="20"/>
                <w:szCs w:val="14"/>
              </w:rPr>
            </w:pPr>
            <w:r w:rsidRPr="00CA0804">
              <w:rPr>
                <w:b/>
                <w:sz w:val="20"/>
              </w:rPr>
              <w:t>153,9</w:t>
            </w:r>
          </w:p>
        </w:tc>
        <w:tc>
          <w:tcPr>
            <w:tcW w:w="1559" w:type="dxa"/>
            <w:shd w:val="clear" w:color="auto" w:fill="FFFF99"/>
            <w:vAlign w:val="center"/>
          </w:tcPr>
          <w:p w14:paraId="0EBB7460" w14:textId="69AD1B15" w:rsidR="0038012A" w:rsidRPr="00CA0804" w:rsidRDefault="0038012A" w:rsidP="0038012A">
            <w:pPr>
              <w:jc w:val="right"/>
              <w:rPr>
                <w:b/>
                <w:sz w:val="20"/>
                <w:szCs w:val="14"/>
              </w:rPr>
            </w:pPr>
            <w:r w:rsidRPr="00CA0804">
              <w:rPr>
                <w:b/>
                <w:sz w:val="20"/>
              </w:rPr>
              <w:t>170,3</w:t>
            </w:r>
          </w:p>
        </w:tc>
      </w:tr>
      <w:tr w:rsidR="0038012A" w:rsidRPr="00CA0804" w14:paraId="4639407B" w14:textId="77777777" w:rsidTr="00E627B3">
        <w:trPr>
          <w:trHeight w:val="40"/>
        </w:trPr>
        <w:tc>
          <w:tcPr>
            <w:tcW w:w="3376" w:type="dxa"/>
            <w:shd w:val="clear" w:color="auto" w:fill="auto"/>
            <w:vAlign w:val="center"/>
            <w:hideMark/>
          </w:tcPr>
          <w:p w14:paraId="791056FF" w14:textId="77777777" w:rsidR="0038012A" w:rsidRPr="00CA0804" w:rsidRDefault="0038012A" w:rsidP="0038012A">
            <w:pPr>
              <w:rPr>
                <w:rFonts w:eastAsia="Times New Roman"/>
                <w:sz w:val="20"/>
                <w:szCs w:val="20"/>
              </w:rPr>
            </w:pPr>
            <w:r w:rsidRPr="00CA0804">
              <w:rPr>
                <w:rFonts w:eastAsia="Times New Roman"/>
                <w:sz w:val="20"/>
              </w:rPr>
              <w:t>udio (%) u posebnim sektorima</w:t>
            </w:r>
          </w:p>
        </w:tc>
        <w:tc>
          <w:tcPr>
            <w:tcW w:w="1439" w:type="dxa"/>
            <w:vAlign w:val="center"/>
          </w:tcPr>
          <w:p w14:paraId="02E66CAD" w14:textId="30614816" w:rsidR="0038012A" w:rsidRPr="00CA0804" w:rsidRDefault="0038012A" w:rsidP="0038012A">
            <w:pPr>
              <w:jc w:val="center"/>
              <w:rPr>
                <w:sz w:val="20"/>
                <w:szCs w:val="14"/>
              </w:rPr>
            </w:pPr>
            <w:r w:rsidRPr="00CA0804">
              <w:rPr>
                <w:sz w:val="20"/>
              </w:rPr>
              <w:t>25,36</w:t>
            </w:r>
          </w:p>
        </w:tc>
        <w:tc>
          <w:tcPr>
            <w:tcW w:w="1559" w:type="dxa"/>
            <w:vAlign w:val="center"/>
          </w:tcPr>
          <w:p w14:paraId="5CE3DC06" w14:textId="1F2D16D6" w:rsidR="0038012A" w:rsidRPr="00CA0804" w:rsidRDefault="00C11094" w:rsidP="0038012A">
            <w:pPr>
              <w:jc w:val="center"/>
              <w:rPr>
                <w:sz w:val="20"/>
                <w:szCs w:val="14"/>
              </w:rPr>
            </w:pPr>
            <w:r w:rsidRPr="00CA0804">
              <w:rPr>
                <w:sz w:val="20"/>
              </w:rPr>
              <w:t>18,12</w:t>
            </w:r>
          </w:p>
        </w:tc>
        <w:tc>
          <w:tcPr>
            <w:tcW w:w="1559" w:type="dxa"/>
            <w:vAlign w:val="center"/>
          </w:tcPr>
          <w:p w14:paraId="2C7CAE58" w14:textId="46F34860" w:rsidR="0038012A" w:rsidRPr="00CA0804" w:rsidRDefault="0038012A" w:rsidP="0038012A">
            <w:pPr>
              <w:jc w:val="center"/>
              <w:rPr>
                <w:sz w:val="20"/>
                <w:szCs w:val="14"/>
              </w:rPr>
            </w:pPr>
            <w:r w:rsidRPr="00CA0804">
              <w:rPr>
                <w:sz w:val="20"/>
              </w:rPr>
              <w:t>21,22</w:t>
            </w:r>
          </w:p>
        </w:tc>
      </w:tr>
      <w:tr w:rsidR="0038012A" w:rsidRPr="00CA0804" w14:paraId="648265CC" w14:textId="77777777" w:rsidTr="00E627B3">
        <w:trPr>
          <w:trHeight w:val="90"/>
        </w:trPr>
        <w:tc>
          <w:tcPr>
            <w:tcW w:w="3376" w:type="dxa"/>
            <w:shd w:val="clear" w:color="auto" w:fill="auto"/>
            <w:vAlign w:val="center"/>
            <w:hideMark/>
          </w:tcPr>
          <w:p w14:paraId="1D6B98B6" w14:textId="77777777" w:rsidR="0038012A" w:rsidRPr="00CA0804" w:rsidRDefault="0038012A" w:rsidP="0038012A">
            <w:pPr>
              <w:rPr>
                <w:rFonts w:eastAsia="Times New Roman"/>
                <w:sz w:val="20"/>
                <w:szCs w:val="20"/>
              </w:rPr>
            </w:pPr>
            <w:r w:rsidRPr="00CA0804">
              <w:rPr>
                <w:rFonts w:eastAsia="Times New Roman"/>
                <w:sz w:val="20"/>
                <w:szCs w:val="20"/>
              </w:rPr>
              <w:t>udio (%) u ukupnim potporama (bez poljoprivrede i ribarstva)</w:t>
            </w:r>
          </w:p>
        </w:tc>
        <w:tc>
          <w:tcPr>
            <w:tcW w:w="1439" w:type="dxa"/>
            <w:vAlign w:val="center"/>
          </w:tcPr>
          <w:p w14:paraId="43CE326B" w14:textId="5F8FEE2E" w:rsidR="0038012A" w:rsidRPr="00CA0804" w:rsidRDefault="00C11094" w:rsidP="0038012A">
            <w:pPr>
              <w:jc w:val="center"/>
              <w:rPr>
                <w:sz w:val="20"/>
                <w:szCs w:val="14"/>
              </w:rPr>
            </w:pPr>
            <w:r w:rsidRPr="00CA0804">
              <w:rPr>
                <w:sz w:val="20"/>
              </w:rPr>
              <w:t>7,48</w:t>
            </w:r>
          </w:p>
        </w:tc>
        <w:tc>
          <w:tcPr>
            <w:tcW w:w="1559" w:type="dxa"/>
            <w:vAlign w:val="center"/>
          </w:tcPr>
          <w:p w14:paraId="58710478" w14:textId="33182DD4" w:rsidR="0038012A" w:rsidRPr="00CA0804" w:rsidRDefault="0038012A" w:rsidP="0038012A">
            <w:pPr>
              <w:jc w:val="center"/>
              <w:rPr>
                <w:sz w:val="20"/>
                <w:szCs w:val="14"/>
              </w:rPr>
            </w:pPr>
            <w:r w:rsidRPr="00CA0804">
              <w:rPr>
                <w:sz w:val="20"/>
              </w:rPr>
              <w:t>7,82</w:t>
            </w:r>
          </w:p>
        </w:tc>
        <w:tc>
          <w:tcPr>
            <w:tcW w:w="1559" w:type="dxa"/>
            <w:vAlign w:val="center"/>
          </w:tcPr>
          <w:p w14:paraId="02C54205" w14:textId="24059E7E" w:rsidR="0038012A" w:rsidRPr="00CA0804" w:rsidRDefault="0038012A" w:rsidP="0038012A">
            <w:pPr>
              <w:jc w:val="center"/>
              <w:rPr>
                <w:sz w:val="20"/>
                <w:szCs w:val="14"/>
              </w:rPr>
            </w:pPr>
            <w:r w:rsidRPr="00CA0804">
              <w:rPr>
                <w:sz w:val="20"/>
              </w:rPr>
              <w:t>12,89</w:t>
            </w:r>
          </w:p>
        </w:tc>
      </w:tr>
      <w:tr w:rsidR="0038012A" w:rsidRPr="00CA0804" w14:paraId="32ED22EA" w14:textId="77777777" w:rsidTr="00E627B3">
        <w:trPr>
          <w:trHeight w:val="40"/>
        </w:trPr>
        <w:tc>
          <w:tcPr>
            <w:tcW w:w="3376" w:type="dxa"/>
            <w:shd w:val="clear" w:color="auto" w:fill="auto"/>
            <w:vAlign w:val="center"/>
            <w:hideMark/>
          </w:tcPr>
          <w:p w14:paraId="798834DA" w14:textId="77777777" w:rsidR="0038012A" w:rsidRPr="00CA0804" w:rsidRDefault="0038012A" w:rsidP="0038012A">
            <w:pPr>
              <w:rPr>
                <w:rFonts w:eastAsia="Times New Roman"/>
                <w:sz w:val="20"/>
                <w:szCs w:val="20"/>
              </w:rPr>
            </w:pPr>
            <w:r w:rsidRPr="00CA0804">
              <w:rPr>
                <w:rFonts w:eastAsia="Times New Roman"/>
                <w:sz w:val="20"/>
                <w:szCs w:val="20"/>
              </w:rPr>
              <w:t>udio (%) u ukupnim potporama</w:t>
            </w:r>
          </w:p>
        </w:tc>
        <w:tc>
          <w:tcPr>
            <w:tcW w:w="1439" w:type="dxa"/>
            <w:vAlign w:val="center"/>
          </w:tcPr>
          <w:p w14:paraId="796075B2" w14:textId="06FE71C3" w:rsidR="0038012A" w:rsidRPr="00CA0804" w:rsidRDefault="00C11094" w:rsidP="0038012A">
            <w:pPr>
              <w:jc w:val="center"/>
              <w:rPr>
                <w:sz w:val="20"/>
                <w:szCs w:val="14"/>
              </w:rPr>
            </w:pPr>
            <w:r w:rsidRPr="00CA0804">
              <w:rPr>
                <w:sz w:val="20"/>
              </w:rPr>
              <w:t>7,15</w:t>
            </w:r>
          </w:p>
        </w:tc>
        <w:tc>
          <w:tcPr>
            <w:tcW w:w="1559" w:type="dxa"/>
            <w:vAlign w:val="center"/>
          </w:tcPr>
          <w:p w14:paraId="04901A17" w14:textId="09E18433" w:rsidR="0038012A" w:rsidRPr="00CA0804" w:rsidRDefault="00C11094" w:rsidP="0038012A">
            <w:pPr>
              <w:jc w:val="center"/>
              <w:rPr>
                <w:sz w:val="20"/>
                <w:szCs w:val="14"/>
              </w:rPr>
            </w:pPr>
            <w:r w:rsidRPr="00CA0804">
              <w:rPr>
                <w:sz w:val="20"/>
              </w:rPr>
              <w:t>7,40</w:t>
            </w:r>
          </w:p>
        </w:tc>
        <w:tc>
          <w:tcPr>
            <w:tcW w:w="1559" w:type="dxa"/>
            <w:vAlign w:val="center"/>
          </w:tcPr>
          <w:p w14:paraId="2745918A" w14:textId="5F72276A" w:rsidR="0038012A" w:rsidRPr="00CA0804" w:rsidRDefault="0038012A" w:rsidP="0038012A">
            <w:pPr>
              <w:jc w:val="center"/>
              <w:rPr>
                <w:sz w:val="20"/>
                <w:szCs w:val="14"/>
              </w:rPr>
            </w:pPr>
            <w:r w:rsidRPr="00CA0804">
              <w:rPr>
                <w:sz w:val="20"/>
              </w:rPr>
              <w:t>11,75</w:t>
            </w:r>
          </w:p>
        </w:tc>
      </w:tr>
      <w:tr w:rsidR="0038012A" w:rsidRPr="00CA0804" w14:paraId="47D5DF12" w14:textId="77777777" w:rsidTr="00E627B3">
        <w:trPr>
          <w:trHeight w:val="40"/>
        </w:trPr>
        <w:tc>
          <w:tcPr>
            <w:tcW w:w="3376" w:type="dxa"/>
            <w:shd w:val="clear" w:color="auto" w:fill="auto"/>
            <w:vAlign w:val="center"/>
            <w:hideMark/>
          </w:tcPr>
          <w:p w14:paraId="4E61454C" w14:textId="77777777" w:rsidR="0038012A" w:rsidRPr="00CA0804" w:rsidRDefault="0038012A" w:rsidP="0038012A">
            <w:pPr>
              <w:rPr>
                <w:rFonts w:eastAsia="Times New Roman"/>
                <w:sz w:val="20"/>
                <w:szCs w:val="20"/>
              </w:rPr>
            </w:pPr>
            <w:r w:rsidRPr="00CA0804">
              <w:rPr>
                <w:rFonts w:eastAsia="Times New Roman"/>
                <w:sz w:val="20"/>
                <w:szCs w:val="20"/>
              </w:rPr>
              <w:t>udio (%) u BDP-u</w:t>
            </w:r>
          </w:p>
        </w:tc>
        <w:tc>
          <w:tcPr>
            <w:tcW w:w="1439" w:type="dxa"/>
            <w:vAlign w:val="center"/>
          </w:tcPr>
          <w:p w14:paraId="04AC49BB" w14:textId="0A6DA108" w:rsidR="0038012A" w:rsidRPr="00CA0804" w:rsidRDefault="0038012A" w:rsidP="0038012A">
            <w:pPr>
              <w:jc w:val="center"/>
              <w:rPr>
                <w:sz w:val="20"/>
                <w:szCs w:val="14"/>
              </w:rPr>
            </w:pPr>
            <w:r w:rsidRPr="00CA0804">
              <w:rPr>
                <w:sz w:val="20"/>
              </w:rPr>
              <w:t>0,23</w:t>
            </w:r>
          </w:p>
        </w:tc>
        <w:tc>
          <w:tcPr>
            <w:tcW w:w="1559" w:type="dxa"/>
            <w:vAlign w:val="center"/>
          </w:tcPr>
          <w:p w14:paraId="60954B98" w14:textId="3E8FD486" w:rsidR="0038012A" w:rsidRPr="00CA0804" w:rsidRDefault="0038012A" w:rsidP="0038012A">
            <w:pPr>
              <w:jc w:val="center"/>
              <w:rPr>
                <w:sz w:val="20"/>
                <w:szCs w:val="14"/>
              </w:rPr>
            </w:pPr>
            <w:r w:rsidRPr="00CA0804">
              <w:rPr>
                <w:sz w:val="20"/>
              </w:rPr>
              <w:t>0,20</w:t>
            </w:r>
          </w:p>
        </w:tc>
        <w:tc>
          <w:tcPr>
            <w:tcW w:w="1559" w:type="dxa"/>
            <w:vAlign w:val="center"/>
          </w:tcPr>
          <w:p w14:paraId="5A81FD0E" w14:textId="5321D265" w:rsidR="0038012A" w:rsidRPr="00CA0804" w:rsidRDefault="0038012A" w:rsidP="0038012A">
            <w:pPr>
              <w:jc w:val="center"/>
              <w:rPr>
                <w:sz w:val="20"/>
                <w:szCs w:val="14"/>
              </w:rPr>
            </w:pPr>
            <w:r w:rsidRPr="00CA0804">
              <w:rPr>
                <w:sz w:val="20"/>
              </w:rPr>
              <w:t>0,20</w:t>
            </w:r>
          </w:p>
        </w:tc>
      </w:tr>
    </w:tbl>
    <w:p w14:paraId="616C289B" w14:textId="77777777" w:rsidR="003131F9" w:rsidRPr="00CA0804" w:rsidRDefault="003131F9" w:rsidP="003131F9">
      <w:pPr>
        <w:contextualSpacing/>
        <w:jc w:val="both"/>
        <w:rPr>
          <w:i/>
          <w:sz w:val="20"/>
        </w:rPr>
      </w:pPr>
      <w:r w:rsidRPr="00CA0804">
        <w:rPr>
          <w:i/>
          <w:sz w:val="20"/>
        </w:rPr>
        <w:t>Izvor: Ministarstvo financija i ostali davatelji potpora; podaci obrađeni u Ministarstvu financija</w:t>
      </w:r>
    </w:p>
    <w:p w14:paraId="3819D5A2" w14:textId="77777777" w:rsidR="00677F96" w:rsidRPr="00CA0804" w:rsidRDefault="00677F96" w:rsidP="00BE487D">
      <w:pPr>
        <w:jc w:val="both"/>
      </w:pPr>
    </w:p>
    <w:p w14:paraId="5DCD170C" w14:textId="282CF74A" w:rsidR="00C51F59" w:rsidRPr="00CA0804" w:rsidRDefault="00C51F59" w:rsidP="00C51F59">
      <w:pPr>
        <w:jc w:val="both"/>
      </w:pPr>
      <w:r w:rsidRPr="00CA0804">
        <w:lastRenderedPageBreak/>
        <w:t>Udio potpora za javno radiotelevizijsko emitiranje i audiovizualnu industriju u BDP-u u 202</w:t>
      </w:r>
      <w:r w:rsidR="00247C43" w:rsidRPr="00CA0804">
        <w:t>4</w:t>
      </w:r>
      <w:r w:rsidRPr="00CA0804">
        <w:t>. godini iznosio je 0,20 posto, u 202</w:t>
      </w:r>
      <w:r w:rsidR="00247C43" w:rsidRPr="00CA0804">
        <w:t>3</w:t>
      </w:r>
      <w:r w:rsidRPr="00CA0804">
        <w:t xml:space="preserve">. godini </w:t>
      </w:r>
      <w:r w:rsidR="00247C43" w:rsidRPr="00CA0804">
        <w:t>također</w:t>
      </w:r>
      <w:r w:rsidRPr="00CA0804">
        <w:t xml:space="preserve"> 0,2</w:t>
      </w:r>
      <w:r w:rsidR="00247C43" w:rsidRPr="00CA0804">
        <w:t>0</w:t>
      </w:r>
      <w:r w:rsidRPr="00CA0804">
        <w:t xml:space="preserve"> posto</w:t>
      </w:r>
      <w:r w:rsidR="00247C43" w:rsidRPr="00CA0804">
        <w:t xml:space="preserve"> i </w:t>
      </w:r>
      <w:r w:rsidRPr="00CA0804">
        <w:t>u 202</w:t>
      </w:r>
      <w:r w:rsidR="00247C43" w:rsidRPr="00CA0804">
        <w:t>2</w:t>
      </w:r>
      <w:r w:rsidRPr="00CA0804">
        <w:t>. godini 0,2</w:t>
      </w:r>
      <w:r w:rsidR="00247C43" w:rsidRPr="00CA0804">
        <w:t>3</w:t>
      </w:r>
      <w:r w:rsidRPr="00CA0804">
        <w:t xml:space="preserve"> posto. Udio navedenih potpora u 202</w:t>
      </w:r>
      <w:r w:rsidR="00247C43" w:rsidRPr="00CA0804">
        <w:t>4</w:t>
      </w:r>
      <w:r w:rsidRPr="00CA0804">
        <w:t xml:space="preserve">. godini u ukupno dodijeljenim potporama iznosio je </w:t>
      </w:r>
      <w:r w:rsidR="00247C43" w:rsidRPr="00CA0804">
        <w:t>11,8</w:t>
      </w:r>
      <w:r w:rsidRPr="00CA0804">
        <w:t xml:space="preserve"> posto, udio u sektoru industrije i usluga </w:t>
      </w:r>
      <w:r w:rsidR="00247C43" w:rsidRPr="00CA0804">
        <w:t>12,9</w:t>
      </w:r>
      <w:r w:rsidRPr="00CA0804">
        <w:t xml:space="preserve"> posto</w:t>
      </w:r>
      <w:r w:rsidR="00247C43" w:rsidRPr="00CA0804">
        <w:t xml:space="preserve"> i </w:t>
      </w:r>
      <w:r w:rsidRPr="00CA0804">
        <w:t xml:space="preserve">udio u sektorskim potporama </w:t>
      </w:r>
      <w:r w:rsidR="00247C43" w:rsidRPr="00CA0804">
        <w:t>21,2</w:t>
      </w:r>
      <w:r w:rsidRPr="00CA0804">
        <w:t xml:space="preserve"> posto.</w:t>
      </w:r>
    </w:p>
    <w:p w14:paraId="3D959FD5" w14:textId="77777777" w:rsidR="00DB6FFB" w:rsidRPr="00CA0804" w:rsidRDefault="00DB6FFB" w:rsidP="00BE487D">
      <w:pPr>
        <w:jc w:val="both"/>
      </w:pPr>
    </w:p>
    <w:p w14:paraId="12BC1091" w14:textId="706379E0" w:rsidR="007A21F3" w:rsidRPr="00CA0804" w:rsidRDefault="00152869" w:rsidP="007A22E1">
      <w:pPr>
        <w:jc w:val="both"/>
      </w:pPr>
      <w:r w:rsidRPr="00CA0804">
        <w:t>P</w:t>
      </w:r>
      <w:r w:rsidR="007A22E1" w:rsidRPr="00CA0804">
        <w:t xml:space="preserve">otpore </w:t>
      </w:r>
      <w:r w:rsidRPr="00CA0804">
        <w:t xml:space="preserve">za javno radiotelevizijsko emitiranje i audiovizualnu industriju </w:t>
      </w:r>
      <w:r w:rsidR="007A21F3" w:rsidRPr="00CA0804">
        <w:t xml:space="preserve">dodijeljene </w:t>
      </w:r>
      <w:r w:rsidRPr="00CA0804">
        <w:t>u 202</w:t>
      </w:r>
      <w:r w:rsidR="00247C43" w:rsidRPr="00CA0804">
        <w:t>4</w:t>
      </w:r>
      <w:r w:rsidRPr="00CA0804">
        <w:t xml:space="preserve">. godini </w:t>
      </w:r>
      <w:r w:rsidR="007A22E1" w:rsidRPr="00CA0804">
        <w:t xml:space="preserve">u iznosu od </w:t>
      </w:r>
      <w:r w:rsidR="00247C43" w:rsidRPr="00CA0804">
        <w:t xml:space="preserve">170,3 </w:t>
      </w:r>
      <w:r w:rsidR="007A22E1" w:rsidRPr="00CA0804">
        <w:t xml:space="preserve">milijuna </w:t>
      </w:r>
      <w:r w:rsidRPr="00CA0804">
        <w:t xml:space="preserve">eura, </w:t>
      </w:r>
      <w:r w:rsidR="007A22E1" w:rsidRPr="00CA0804">
        <w:t xml:space="preserve">najvećim dijelom odnose se na </w:t>
      </w:r>
      <w:r w:rsidR="005E2B1B" w:rsidRPr="00CA0804">
        <w:t xml:space="preserve">sredstva koja su dobivena posljedično plaćanju </w:t>
      </w:r>
      <w:r w:rsidR="007A22E1" w:rsidRPr="00CA0804">
        <w:t>RTV pristojb</w:t>
      </w:r>
      <w:r w:rsidR="005E2B1B" w:rsidRPr="00CA0804">
        <w:t>e</w:t>
      </w:r>
      <w:r w:rsidR="007A22E1" w:rsidRPr="00CA0804">
        <w:t xml:space="preserve"> u iznosu od </w:t>
      </w:r>
      <w:r w:rsidRPr="00CA0804">
        <w:t>15</w:t>
      </w:r>
      <w:r w:rsidR="00247C43" w:rsidRPr="00CA0804">
        <w:t>3,</w:t>
      </w:r>
      <w:r w:rsidR="00876B40" w:rsidRPr="00CA0804">
        <w:t>3</w:t>
      </w:r>
      <w:r w:rsidR="007A22E1" w:rsidRPr="00CA0804">
        <w:t xml:space="preserve"> milijuna </w:t>
      </w:r>
      <w:r w:rsidRPr="00CA0804">
        <w:t>eura</w:t>
      </w:r>
      <w:r w:rsidR="007A22E1" w:rsidRPr="00CA0804">
        <w:t xml:space="preserve"> </w:t>
      </w:r>
      <w:r w:rsidR="00247C43" w:rsidRPr="00CA0804">
        <w:t>ili</w:t>
      </w:r>
      <w:r w:rsidR="007A22E1" w:rsidRPr="00CA0804">
        <w:t xml:space="preserve"> s udjelom od </w:t>
      </w:r>
      <w:r w:rsidR="00247C43" w:rsidRPr="00CA0804">
        <w:t xml:space="preserve">90 </w:t>
      </w:r>
      <w:r w:rsidR="007A22E1" w:rsidRPr="00CA0804">
        <w:t xml:space="preserve">posto </w:t>
      </w:r>
      <w:r w:rsidR="00247C43" w:rsidRPr="00CA0804">
        <w:t>i</w:t>
      </w:r>
      <w:r w:rsidR="007A22E1" w:rsidRPr="00CA0804">
        <w:t xml:space="preserve"> </w:t>
      </w:r>
      <w:r w:rsidRPr="00CA0804">
        <w:t>17</w:t>
      </w:r>
      <w:r w:rsidR="007A21F3" w:rsidRPr="00CA0804">
        <w:t xml:space="preserve"> milijuna </w:t>
      </w:r>
      <w:r w:rsidRPr="00CA0804">
        <w:t xml:space="preserve">eura </w:t>
      </w:r>
      <w:r w:rsidR="007A21F3" w:rsidRPr="00CA0804">
        <w:t>ili 1</w:t>
      </w:r>
      <w:r w:rsidR="00247C43" w:rsidRPr="00CA0804">
        <w:t>0</w:t>
      </w:r>
      <w:r w:rsidR="007A21F3" w:rsidRPr="00CA0804">
        <w:t xml:space="preserve"> posto </w:t>
      </w:r>
      <w:r w:rsidR="00247C43" w:rsidRPr="00CA0804">
        <w:t xml:space="preserve">na </w:t>
      </w:r>
      <w:r w:rsidR="007A21F3" w:rsidRPr="00CA0804">
        <w:t>subvencij</w:t>
      </w:r>
      <w:r w:rsidR="00247C43" w:rsidRPr="00CA0804">
        <w:t>e</w:t>
      </w:r>
      <w:r w:rsidR="007A21F3" w:rsidRPr="00CA0804">
        <w:t>.</w:t>
      </w:r>
    </w:p>
    <w:p w14:paraId="7DDEE910" w14:textId="77777777" w:rsidR="00247C43" w:rsidRPr="00CA0804" w:rsidRDefault="00247C43" w:rsidP="007A22E1">
      <w:pPr>
        <w:jc w:val="both"/>
      </w:pPr>
    </w:p>
    <w:p w14:paraId="12BFB48E" w14:textId="1830426F" w:rsidR="00DE3F6A" w:rsidRPr="00CA0804" w:rsidRDefault="00247C43" w:rsidP="00BE487D">
      <w:pPr>
        <w:jc w:val="both"/>
      </w:pPr>
      <w:r w:rsidRPr="00CA0804">
        <w:t>D</w:t>
      </w:r>
      <w:r w:rsidR="00152869" w:rsidRPr="00CA0804">
        <w:t xml:space="preserve">avatelji potpora </w:t>
      </w:r>
      <w:r w:rsidR="00DE3F6A" w:rsidRPr="00CA0804">
        <w:t xml:space="preserve">za javno radiotelevizijsko emitiranje i audiovizualnu industriju </w:t>
      </w:r>
      <w:r w:rsidRPr="00CA0804">
        <w:t xml:space="preserve">u 2024. godini </w:t>
      </w:r>
      <w:r w:rsidR="00DE3F6A" w:rsidRPr="00CA0804">
        <w:t xml:space="preserve">su </w:t>
      </w:r>
      <w:r w:rsidR="001B4535" w:rsidRPr="00CA0804">
        <w:t>Ministarstvo kulture i medija</w:t>
      </w:r>
      <w:r w:rsidR="00DE3F6A" w:rsidRPr="00CA0804">
        <w:t xml:space="preserve"> u iznosu od </w:t>
      </w:r>
      <w:r w:rsidR="00845C1E" w:rsidRPr="00CA0804">
        <w:t>15</w:t>
      </w:r>
      <w:r w:rsidR="008337F3" w:rsidRPr="00CA0804">
        <w:t>3,</w:t>
      </w:r>
      <w:r w:rsidR="00876B40" w:rsidRPr="00CA0804">
        <w:t>3</w:t>
      </w:r>
      <w:r w:rsidR="00845C1E" w:rsidRPr="00CA0804">
        <w:t xml:space="preserve"> milijuna eura</w:t>
      </w:r>
      <w:r w:rsidR="00085515" w:rsidRPr="00CA0804">
        <w:t xml:space="preserve">, </w:t>
      </w:r>
      <w:r w:rsidR="008337F3" w:rsidRPr="00CA0804">
        <w:t xml:space="preserve">Hrvatski audiovizualni centar u iznosu od 15,1 milijun eura i </w:t>
      </w:r>
      <w:r w:rsidR="00DE3F6A" w:rsidRPr="00CA0804">
        <w:t xml:space="preserve">Agencija za elektroničke medije u iznosu od </w:t>
      </w:r>
      <w:r w:rsidR="00845C1E" w:rsidRPr="00CA0804">
        <w:t>1,</w:t>
      </w:r>
      <w:r w:rsidR="007306BB" w:rsidRPr="00CA0804">
        <w:t>9</w:t>
      </w:r>
      <w:r w:rsidR="00845C1E" w:rsidRPr="00CA0804">
        <w:t xml:space="preserve"> milijuna eura</w:t>
      </w:r>
      <w:r w:rsidR="00DE3F6A" w:rsidRPr="00CA0804">
        <w:t>.</w:t>
      </w:r>
    </w:p>
    <w:p w14:paraId="12385BEF" w14:textId="77777777" w:rsidR="0038012A" w:rsidRPr="00CA0804" w:rsidRDefault="0038012A" w:rsidP="00845C1E"/>
    <w:p w14:paraId="284FEE5B" w14:textId="53A68ADB" w:rsidR="005E2B1B" w:rsidRPr="00CA0804" w:rsidRDefault="008337F3" w:rsidP="005E2B1B">
      <w:pPr>
        <w:jc w:val="both"/>
      </w:pPr>
      <w:r w:rsidRPr="00CA0804">
        <w:rPr>
          <w:u w:val="single"/>
        </w:rPr>
        <w:t>P</w:t>
      </w:r>
      <w:r w:rsidR="00845C1E" w:rsidRPr="00CA0804">
        <w:rPr>
          <w:u w:val="single"/>
        </w:rPr>
        <w:t>otpore</w:t>
      </w:r>
      <w:r w:rsidRPr="00CA0804">
        <w:rPr>
          <w:u w:val="single"/>
        </w:rPr>
        <w:t xml:space="preserve"> </w:t>
      </w:r>
      <w:r w:rsidR="00845C1E" w:rsidRPr="00CA0804">
        <w:rPr>
          <w:u w:val="single"/>
        </w:rPr>
        <w:t>za poticanje javnog radiotelevizijskog emitiranja</w:t>
      </w:r>
      <w:r w:rsidR="00845C1E" w:rsidRPr="00CA0804">
        <w:t xml:space="preserve"> </w:t>
      </w:r>
      <w:r w:rsidR="005E2B1B" w:rsidRPr="00CA0804">
        <w:rPr>
          <w:u w:val="single"/>
        </w:rPr>
        <w:t>odnosno javne radiodifuzijske usluge za emitiranje javnog i radio televizijskog programa koji predstavlja uslugu od općeg gospodarskog interesa</w:t>
      </w:r>
      <w:r w:rsidR="005E2B1B" w:rsidRPr="00CA0804">
        <w:t xml:space="preserve"> dodijeljene su u iznosu od 153,</w:t>
      </w:r>
      <w:r w:rsidR="007306BB" w:rsidRPr="00CA0804">
        <w:t>3</w:t>
      </w:r>
      <w:r w:rsidR="005E2B1B" w:rsidRPr="00CA0804">
        <w:t xml:space="preserve"> milijuna eura. Njihov korisnik je Hrvatska radiotelevizija, a financiraju se iz sredstava radiotelevizijske pristojbe koju su obvezni plaćati svi vlasnici radijskih i televizijskih prijemnika u Republici Hrvatskoj temeljem Zakona o Hrvatskoj radioteleviziji. Visina mjesečne pristojbe iznosi 10,62 eura. Zakon se nalazi na Listi postojećih potpora pod brojem SA.39679 koju su prije pridruživanja Republike Hrvatske Europskoj uniji zajednički utvrdile Agencija za zaštitu tržišnog natjecanja i Europska komisija. Predmetna sredstva pristojbe smatraju se potporom jer se dodjeljuju za obavljanje usluga od općeg gospodarskog interesa koje imaju gospodarski karakter.</w:t>
      </w:r>
    </w:p>
    <w:p w14:paraId="4248AF92" w14:textId="77777777" w:rsidR="005E2B1B" w:rsidRPr="00CA0804" w:rsidRDefault="005E2B1B" w:rsidP="0011122C"/>
    <w:p w14:paraId="0C2362E1" w14:textId="0BC65638" w:rsidR="001A4DC9" w:rsidRPr="00CA0804" w:rsidRDefault="008337F3" w:rsidP="001A4DC9">
      <w:pPr>
        <w:jc w:val="both"/>
      </w:pPr>
      <w:r w:rsidRPr="00CA0804">
        <w:rPr>
          <w:u w:val="single"/>
        </w:rPr>
        <w:t>Hrvatski audiovizualni centar</w:t>
      </w:r>
      <w:r w:rsidRPr="00CA0804">
        <w:t xml:space="preserve"> </w:t>
      </w:r>
      <w:r w:rsidR="008037A6" w:rsidRPr="00CA0804">
        <w:t xml:space="preserve">dodijelio je </w:t>
      </w:r>
      <w:r w:rsidRPr="00CA0804">
        <w:t xml:space="preserve">putem subvencija </w:t>
      </w:r>
      <w:r w:rsidR="008037A6" w:rsidRPr="00CA0804">
        <w:t>u 202</w:t>
      </w:r>
      <w:r w:rsidRPr="00CA0804">
        <w:t>4</w:t>
      </w:r>
      <w:r w:rsidR="008037A6" w:rsidRPr="00CA0804">
        <w:t xml:space="preserve">. godini potpore audiovizualnoj industriji u iznosu od </w:t>
      </w:r>
      <w:r w:rsidRPr="00CA0804">
        <w:t>15,1</w:t>
      </w:r>
      <w:r w:rsidR="008037A6" w:rsidRPr="00CA0804">
        <w:t xml:space="preserve"> milijun eura </w:t>
      </w:r>
      <w:r w:rsidRPr="00CA0804">
        <w:t xml:space="preserve">i to </w:t>
      </w:r>
      <w:r w:rsidR="001A4DC9" w:rsidRPr="00CA0804">
        <w:t xml:space="preserve">temeljem Programa </w:t>
      </w:r>
      <w:r w:rsidRPr="00CA0804">
        <w:t xml:space="preserve">državne potpore za dodjelu sredstava za promicanje audiovizualnog stvaralaštva, audiovizualne kulture i očuvanja audiovizualne kulturne baštine u razdoblju od 2024. do 2026. godine u iznosu od 7,7 </w:t>
      </w:r>
      <w:r w:rsidR="001A4DC9" w:rsidRPr="00CA0804">
        <w:t>milijun eura, o kojem je Europska komisija obaviještena pod brojem SA.112380, te temeljem Programa državne potpore za poticanje ulaganja u proizvodnju audiovizualnih djela u razdoblju od 2024. do 2026. godine u iznosu od 7,4 milijun eura, o kojem je Europska komisija obaviještena pod brojem SA.113192.</w:t>
      </w:r>
    </w:p>
    <w:p w14:paraId="57EEA938" w14:textId="21BFE3EE" w:rsidR="001A4DC9" w:rsidRPr="00CA0804" w:rsidRDefault="001A4DC9" w:rsidP="008037A6">
      <w:pPr>
        <w:jc w:val="both"/>
      </w:pPr>
    </w:p>
    <w:p w14:paraId="2C4E618C" w14:textId="0ADB0B61" w:rsidR="008337F3" w:rsidRPr="00CA0804" w:rsidRDefault="008337F3" w:rsidP="008337F3">
      <w:pPr>
        <w:jc w:val="both"/>
        <w:rPr>
          <w:rFonts w:eastAsia="Times New Roman"/>
          <w:color w:val="000000"/>
          <w:lang w:eastAsia="hr-HR"/>
        </w:rPr>
      </w:pPr>
      <w:r w:rsidRPr="00CA0804">
        <w:rPr>
          <w:u w:val="single"/>
        </w:rPr>
        <w:t>Agencija za elektroničke medije</w:t>
      </w:r>
      <w:r w:rsidRPr="00CA0804">
        <w:t xml:space="preserve"> dodijeli</w:t>
      </w:r>
      <w:r w:rsidR="008C18E7" w:rsidRPr="00CA0804">
        <w:t>la</w:t>
      </w:r>
      <w:r w:rsidRPr="00CA0804">
        <w:t xml:space="preserve"> je </w:t>
      </w:r>
      <w:r w:rsidR="001A4DC9" w:rsidRPr="00CA0804">
        <w:t xml:space="preserve">potpore audiovizualnoj industriji </w:t>
      </w:r>
      <w:r w:rsidRPr="00CA0804">
        <w:t>u 202</w:t>
      </w:r>
      <w:r w:rsidR="001A4DC9" w:rsidRPr="00CA0804">
        <w:t>4</w:t>
      </w:r>
      <w:r w:rsidRPr="00CA0804">
        <w:t xml:space="preserve">. godini putem subvencija u iznosu od </w:t>
      </w:r>
      <w:r w:rsidR="007306BB" w:rsidRPr="00CA0804">
        <w:t xml:space="preserve">skoro </w:t>
      </w:r>
      <w:r w:rsidRPr="00CA0804">
        <w:t>1,</w:t>
      </w:r>
      <w:r w:rsidR="007306BB" w:rsidRPr="00CA0804">
        <w:t>9</w:t>
      </w:r>
      <w:r w:rsidRPr="00CA0804">
        <w:t xml:space="preserve"> milijuna eura temeljem Programa dodjele sredstava Fonda za poticanje pluralizma i raznovrsnosti elektroničkih medija</w:t>
      </w:r>
      <w:r w:rsidR="001A4DC9" w:rsidRPr="00CA0804">
        <w:t xml:space="preserve"> za razdoblje od 2024. do 2026. godine</w:t>
      </w:r>
      <w:r w:rsidRPr="00CA0804">
        <w:t xml:space="preserve">, o kojem je Europska komisija obaviještena pod brojem </w:t>
      </w:r>
      <w:r w:rsidR="001A4DC9" w:rsidRPr="00CA0804">
        <w:t>109733</w:t>
      </w:r>
      <w:r w:rsidRPr="00CA0804">
        <w:rPr>
          <w:rFonts w:eastAsia="Times New Roman"/>
          <w:color w:val="000000"/>
          <w:lang w:eastAsia="hr-HR"/>
        </w:rPr>
        <w:t>.</w:t>
      </w:r>
    </w:p>
    <w:p w14:paraId="61DD659C" w14:textId="02451D47" w:rsidR="001A4DC9" w:rsidRPr="00CA0804" w:rsidRDefault="001A4DC9" w:rsidP="008337F3">
      <w:pPr>
        <w:jc w:val="both"/>
        <w:rPr>
          <w:rFonts w:eastAsia="Times New Roman"/>
          <w:color w:val="000000"/>
          <w:lang w:eastAsia="hr-HR"/>
        </w:rPr>
      </w:pPr>
    </w:p>
    <w:p w14:paraId="70EC5D71" w14:textId="110C8367" w:rsidR="005F1DB3" w:rsidRPr="00CA0804" w:rsidRDefault="005F1DB3" w:rsidP="005F1DB3">
      <w:pPr>
        <w:jc w:val="both"/>
        <w:rPr>
          <w:spacing w:val="-2"/>
        </w:rPr>
      </w:pPr>
      <w:r w:rsidRPr="00CA0804">
        <w:rPr>
          <w:spacing w:val="-2"/>
          <w:u w:val="single"/>
        </w:rPr>
        <w:t>Potpore male vrijednosti</w:t>
      </w:r>
      <w:r w:rsidRPr="00CA0804">
        <w:rPr>
          <w:spacing w:val="-2"/>
        </w:rPr>
        <w:t xml:space="preserve"> za javno radiotelevizijsko emitiranje i audiovizualnu industriju dodijeljene </w:t>
      </w:r>
      <w:r w:rsidR="001A4DC9" w:rsidRPr="00CA0804">
        <w:rPr>
          <w:spacing w:val="-2"/>
        </w:rPr>
        <w:t xml:space="preserve">su u 2024. godini </w:t>
      </w:r>
      <w:r w:rsidRPr="00CA0804">
        <w:rPr>
          <w:spacing w:val="-2"/>
        </w:rPr>
        <w:t xml:space="preserve">u iznosu od </w:t>
      </w:r>
      <w:r w:rsidR="001A4DC9" w:rsidRPr="00CA0804">
        <w:rPr>
          <w:spacing w:val="-2"/>
        </w:rPr>
        <w:t>2,9</w:t>
      </w:r>
      <w:r w:rsidRPr="00CA0804">
        <w:rPr>
          <w:spacing w:val="-2"/>
        </w:rPr>
        <w:t xml:space="preserve"> milijuna eura, te ukoliko se </w:t>
      </w:r>
      <w:r w:rsidR="001A4DC9" w:rsidRPr="00CA0804">
        <w:rPr>
          <w:spacing w:val="-2"/>
        </w:rPr>
        <w:t xml:space="preserve">iste </w:t>
      </w:r>
      <w:r w:rsidRPr="00CA0804">
        <w:rPr>
          <w:spacing w:val="-2"/>
        </w:rPr>
        <w:t xml:space="preserve">pribroje dodijeljenim potporama u iznosu od </w:t>
      </w:r>
      <w:r w:rsidR="001A4DC9" w:rsidRPr="00CA0804">
        <w:rPr>
          <w:spacing w:val="-2"/>
        </w:rPr>
        <w:t xml:space="preserve">170,3 </w:t>
      </w:r>
      <w:r w:rsidRPr="00CA0804">
        <w:rPr>
          <w:spacing w:val="-2"/>
        </w:rPr>
        <w:t xml:space="preserve">milijuna eura, ukupan iznos svih dodijeljenih potpora za javno radiotelevizijsko emitiranje i audiovizualnu industriju iznosi </w:t>
      </w:r>
      <w:r w:rsidR="001A4DC9" w:rsidRPr="00CA0804">
        <w:rPr>
          <w:spacing w:val="-2"/>
        </w:rPr>
        <w:t xml:space="preserve">173,2 milijuna </w:t>
      </w:r>
      <w:r w:rsidRPr="00CA0804">
        <w:rPr>
          <w:spacing w:val="-2"/>
        </w:rPr>
        <w:t xml:space="preserve">eura. </w:t>
      </w:r>
    </w:p>
    <w:p w14:paraId="2819ADD5" w14:textId="7E06832D" w:rsidR="001A4DC9" w:rsidRPr="00CA0804" w:rsidRDefault="001A4DC9" w:rsidP="005F1DB3">
      <w:pPr>
        <w:jc w:val="both"/>
      </w:pPr>
    </w:p>
    <w:p w14:paraId="182A9C6E" w14:textId="79E13505" w:rsidR="00C12EEB" w:rsidRPr="00CA0804" w:rsidRDefault="00C12EEB" w:rsidP="00BE487D">
      <w:pPr>
        <w:jc w:val="both"/>
      </w:pPr>
    </w:p>
    <w:p w14:paraId="7239F777" w14:textId="40256B19" w:rsidR="008C18E7" w:rsidRPr="00CA0804" w:rsidRDefault="008C18E7">
      <w:r w:rsidRPr="00CA0804">
        <w:br w:type="page"/>
      </w:r>
    </w:p>
    <w:p w14:paraId="2E054CD7" w14:textId="38CCD6AE" w:rsidR="00BE0817" w:rsidRPr="00CA0804" w:rsidRDefault="00A56245" w:rsidP="00BE487D">
      <w:pPr>
        <w:pStyle w:val="Heading3"/>
        <w:numPr>
          <w:ilvl w:val="2"/>
          <w:numId w:val="1"/>
        </w:numPr>
        <w:spacing w:before="0"/>
        <w:jc w:val="both"/>
        <w:rPr>
          <w:rFonts w:ascii="Times New Roman" w:hAnsi="Times New Roman" w:cs="Times New Roman"/>
          <w:b/>
          <w:i/>
          <w:color w:val="auto"/>
        </w:rPr>
      </w:pPr>
      <w:bookmarkStart w:id="30" w:name="_Toc213660051"/>
      <w:r w:rsidRPr="00CA0804">
        <w:rPr>
          <w:rFonts w:ascii="Times New Roman" w:hAnsi="Times New Roman" w:cs="Times New Roman"/>
          <w:b/>
          <w:i/>
          <w:color w:val="auto"/>
        </w:rPr>
        <w:lastRenderedPageBreak/>
        <w:t xml:space="preserve">Potpore za razvoj širokopojasnih </w:t>
      </w:r>
      <w:r w:rsidR="00BE0817" w:rsidRPr="00CA0804">
        <w:rPr>
          <w:rFonts w:ascii="Times New Roman" w:hAnsi="Times New Roman" w:cs="Times New Roman"/>
          <w:b/>
          <w:i/>
          <w:color w:val="auto"/>
        </w:rPr>
        <w:t>mrež</w:t>
      </w:r>
      <w:r w:rsidRPr="00CA0804">
        <w:rPr>
          <w:rFonts w:ascii="Times New Roman" w:hAnsi="Times New Roman" w:cs="Times New Roman"/>
          <w:b/>
          <w:i/>
          <w:color w:val="auto"/>
        </w:rPr>
        <w:t>a</w:t>
      </w:r>
      <w:bookmarkEnd w:id="30"/>
    </w:p>
    <w:p w14:paraId="1C619692" w14:textId="77777777" w:rsidR="00BC66CE" w:rsidRPr="00CA0804" w:rsidRDefault="00BC66CE" w:rsidP="00BE487D">
      <w:pPr>
        <w:jc w:val="both"/>
      </w:pPr>
    </w:p>
    <w:p w14:paraId="23A5AA33" w14:textId="77777777" w:rsidR="001A4DC9" w:rsidRPr="00CA0804" w:rsidRDefault="001A4DC9" w:rsidP="006751B5">
      <w:pPr>
        <w:jc w:val="both"/>
      </w:pPr>
    </w:p>
    <w:p w14:paraId="0527D806" w14:textId="54C28A52" w:rsidR="001A4DC9" w:rsidRPr="00CA0804" w:rsidRDefault="00671B70" w:rsidP="006751B5">
      <w:pPr>
        <w:jc w:val="both"/>
      </w:pPr>
      <w:r w:rsidRPr="00CA0804">
        <w:t>Potpore za razvoj širokopojasnih mreža</w:t>
      </w:r>
      <w:r w:rsidRPr="00CA0804">
        <w:rPr>
          <w:rStyle w:val="FootnoteReference"/>
        </w:rPr>
        <w:footnoteReference w:id="35"/>
      </w:r>
      <w:r w:rsidRPr="00CA0804">
        <w:t xml:space="preserve"> </w:t>
      </w:r>
      <w:r w:rsidR="006751B5" w:rsidRPr="00CA0804">
        <w:t xml:space="preserve">dodijeljene </w:t>
      </w:r>
      <w:r w:rsidR="001A4DC9" w:rsidRPr="00CA0804">
        <w:t xml:space="preserve">su </w:t>
      </w:r>
      <w:r w:rsidR="006751B5" w:rsidRPr="00CA0804">
        <w:t>u 202</w:t>
      </w:r>
      <w:r w:rsidR="001A4DC9" w:rsidRPr="00CA0804">
        <w:t>4</w:t>
      </w:r>
      <w:r w:rsidR="006751B5" w:rsidRPr="00CA0804">
        <w:t xml:space="preserve">. godini u iznosu od </w:t>
      </w:r>
      <w:r w:rsidR="001A4DC9" w:rsidRPr="00CA0804">
        <w:t xml:space="preserve">10,6 </w:t>
      </w:r>
      <w:r w:rsidR="006751B5" w:rsidRPr="00CA0804">
        <w:t>milijuna eura</w:t>
      </w:r>
      <w:r w:rsidR="001A4DC9" w:rsidRPr="00CA0804">
        <w:t>, što je povećanje za 4,</w:t>
      </w:r>
      <w:r w:rsidR="007306BB" w:rsidRPr="00CA0804">
        <w:t>8</w:t>
      </w:r>
      <w:r w:rsidR="001A4DC9" w:rsidRPr="00CA0804">
        <w:t xml:space="preserve"> milijuna eura ili 8</w:t>
      </w:r>
      <w:r w:rsidR="007306BB" w:rsidRPr="00CA0804">
        <w:t>2,8</w:t>
      </w:r>
      <w:r w:rsidR="001A4DC9" w:rsidRPr="00CA0804">
        <w:t xml:space="preserve"> posto u odnosu na 2023. godinu, kada su iznosile 5,8 milijuna eura. Navedene potpore nisu </w:t>
      </w:r>
      <w:r w:rsidR="00471A29" w:rsidRPr="00CA0804">
        <w:t>dodjeljivane</w:t>
      </w:r>
      <w:r w:rsidR="001A4DC9" w:rsidRPr="00CA0804">
        <w:t xml:space="preserve"> u 2022. godini. </w:t>
      </w:r>
    </w:p>
    <w:p w14:paraId="6016DA25" w14:textId="77777777" w:rsidR="001A4DC9" w:rsidRPr="00CA0804" w:rsidRDefault="001A4DC9" w:rsidP="001A4DC9"/>
    <w:p w14:paraId="6C493424" w14:textId="3101647F" w:rsidR="00671B70" w:rsidRPr="00CA0804" w:rsidRDefault="002C2979" w:rsidP="00BE487D">
      <w:pPr>
        <w:autoSpaceDE w:val="0"/>
        <w:autoSpaceDN w:val="0"/>
        <w:adjustRightInd w:val="0"/>
        <w:contextualSpacing/>
        <w:jc w:val="both"/>
        <w:rPr>
          <w:spacing w:val="-4"/>
        </w:rPr>
      </w:pPr>
      <w:r w:rsidRPr="00CA0804">
        <w:rPr>
          <w:bCs/>
          <w:spacing w:val="-4"/>
          <w:lang w:eastAsia="hr-HR"/>
        </w:rPr>
        <w:t>Tablica 2</w:t>
      </w:r>
      <w:r w:rsidR="000F5679" w:rsidRPr="00CA0804">
        <w:rPr>
          <w:bCs/>
          <w:spacing w:val="-4"/>
          <w:lang w:eastAsia="hr-HR"/>
        </w:rPr>
        <w:t>7</w:t>
      </w:r>
      <w:r w:rsidR="00671B70" w:rsidRPr="00CA0804">
        <w:rPr>
          <w:bCs/>
          <w:spacing w:val="-4"/>
          <w:lang w:eastAsia="hr-HR"/>
        </w:rPr>
        <w:t xml:space="preserve">. Potpore </w:t>
      </w:r>
      <w:r w:rsidR="00671B70" w:rsidRPr="00CA0804">
        <w:rPr>
          <w:bCs/>
          <w:spacing w:val="-4"/>
        </w:rPr>
        <w:t>razvoju širokopojasnih mreža</w:t>
      </w:r>
      <w:r w:rsidR="00671B70" w:rsidRPr="00CA0804">
        <w:rPr>
          <w:bCs/>
          <w:spacing w:val="-4"/>
          <w:lang w:eastAsia="hr-HR"/>
        </w:rPr>
        <w:t xml:space="preserve"> </w:t>
      </w:r>
      <w:r w:rsidR="000A1E58" w:rsidRPr="00CA0804">
        <w:rPr>
          <w:spacing w:val="-4"/>
        </w:rPr>
        <w:t xml:space="preserve">dodijeljene </w:t>
      </w:r>
      <w:r w:rsidR="006751B5" w:rsidRPr="00CA0804">
        <w:rPr>
          <w:bCs/>
          <w:spacing w:val="-4"/>
          <w:lang w:eastAsia="hr-HR"/>
        </w:rPr>
        <w:t>u</w:t>
      </w:r>
      <w:r w:rsidR="00671B70" w:rsidRPr="00CA0804">
        <w:rPr>
          <w:bCs/>
          <w:spacing w:val="-4"/>
          <w:lang w:eastAsia="hr-HR"/>
        </w:rPr>
        <w:t xml:space="preserve"> razdoblj</w:t>
      </w:r>
      <w:r w:rsidR="006751B5" w:rsidRPr="00CA0804">
        <w:rPr>
          <w:bCs/>
          <w:spacing w:val="-4"/>
          <w:lang w:eastAsia="hr-HR"/>
        </w:rPr>
        <w:t>u</w:t>
      </w:r>
      <w:r w:rsidR="00671B70" w:rsidRPr="00CA0804">
        <w:rPr>
          <w:bCs/>
          <w:spacing w:val="-4"/>
          <w:lang w:eastAsia="hr-HR"/>
        </w:rPr>
        <w:t xml:space="preserve"> </w:t>
      </w:r>
      <w:r w:rsidR="00671B70" w:rsidRPr="00CA0804">
        <w:rPr>
          <w:spacing w:val="-4"/>
        </w:rPr>
        <w:t>od 20</w:t>
      </w:r>
      <w:r w:rsidR="00BE22C8" w:rsidRPr="00CA0804">
        <w:rPr>
          <w:spacing w:val="-4"/>
        </w:rPr>
        <w:t>2</w:t>
      </w:r>
      <w:r w:rsidR="008037A6" w:rsidRPr="00CA0804">
        <w:rPr>
          <w:spacing w:val="-4"/>
        </w:rPr>
        <w:t>2</w:t>
      </w:r>
      <w:r w:rsidR="00671B70" w:rsidRPr="00CA0804">
        <w:rPr>
          <w:spacing w:val="-4"/>
        </w:rPr>
        <w:t>. do 202</w:t>
      </w:r>
      <w:r w:rsidR="008037A6" w:rsidRPr="00CA0804">
        <w:rPr>
          <w:spacing w:val="-4"/>
        </w:rPr>
        <w:t>4</w:t>
      </w:r>
      <w:r w:rsidR="00671B70" w:rsidRPr="00CA0804">
        <w:rPr>
          <w:spacing w:val="-4"/>
        </w:rPr>
        <w:t>. godine</w:t>
      </w:r>
    </w:p>
    <w:p w14:paraId="4F622B3C" w14:textId="77777777" w:rsidR="00671B70" w:rsidRPr="00CA0804" w:rsidRDefault="00671B70" w:rsidP="00BE487D">
      <w:pPr>
        <w:autoSpaceDE w:val="0"/>
        <w:autoSpaceDN w:val="0"/>
        <w:adjustRightInd w:val="0"/>
        <w:contextualSpacing/>
        <w:jc w:val="both"/>
        <w:rPr>
          <w:bCs/>
          <w:sz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6"/>
        <w:gridCol w:w="1439"/>
        <w:gridCol w:w="1559"/>
        <w:gridCol w:w="1559"/>
      </w:tblGrid>
      <w:tr w:rsidR="008037A6" w:rsidRPr="00CA0804" w14:paraId="56AD0226" w14:textId="77777777" w:rsidTr="00E627B3">
        <w:trPr>
          <w:trHeight w:val="38"/>
        </w:trPr>
        <w:tc>
          <w:tcPr>
            <w:tcW w:w="3376" w:type="dxa"/>
            <w:vMerge w:val="restart"/>
            <w:shd w:val="clear" w:color="000000" w:fill="FFFF99"/>
            <w:noWrap/>
            <w:vAlign w:val="center"/>
            <w:hideMark/>
          </w:tcPr>
          <w:p w14:paraId="28F89278" w14:textId="22E469DF" w:rsidR="008037A6" w:rsidRPr="00CA0804" w:rsidRDefault="008037A6" w:rsidP="008037A6">
            <w:pPr>
              <w:rPr>
                <w:rFonts w:eastAsia="Times New Roman"/>
                <w:b/>
                <w:bCs/>
                <w:sz w:val="20"/>
                <w:szCs w:val="20"/>
              </w:rPr>
            </w:pPr>
            <w:r w:rsidRPr="00CA0804">
              <w:rPr>
                <w:rFonts w:eastAsia="Times New Roman"/>
                <w:b/>
                <w:bCs/>
                <w:sz w:val="20"/>
                <w:lang w:eastAsia="hr-HR"/>
              </w:rPr>
              <w:t>Razvoj širokopojasnih mreža</w:t>
            </w:r>
          </w:p>
        </w:tc>
        <w:tc>
          <w:tcPr>
            <w:tcW w:w="1439" w:type="dxa"/>
            <w:shd w:val="clear" w:color="000000" w:fill="FFFF99"/>
            <w:vAlign w:val="center"/>
          </w:tcPr>
          <w:p w14:paraId="6317D41E" w14:textId="1D05CCB2" w:rsidR="008037A6" w:rsidRPr="00CA0804" w:rsidRDefault="008037A6" w:rsidP="008037A6">
            <w:pPr>
              <w:jc w:val="center"/>
              <w:rPr>
                <w:rFonts w:eastAsia="Times New Roman"/>
                <w:b/>
                <w:bCs/>
                <w:sz w:val="20"/>
                <w:szCs w:val="20"/>
              </w:rPr>
            </w:pPr>
            <w:r w:rsidRPr="00CA0804">
              <w:rPr>
                <w:b/>
                <w:sz w:val="20"/>
                <w:szCs w:val="20"/>
              </w:rPr>
              <w:t>2022.</w:t>
            </w:r>
          </w:p>
        </w:tc>
        <w:tc>
          <w:tcPr>
            <w:tcW w:w="1559" w:type="dxa"/>
            <w:shd w:val="clear" w:color="000000" w:fill="FFFF99"/>
            <w:vAlign w:val="center"/>
          </w:tcPr>
          <w:p w14:paraId="24316A87" w14:textId="1841A64D" w:rsidR="008037A6" w:rsidRPr="00CA0804" w:rsidRDefault="008037A6" w:rsidP="008037A6">
            <w:pPr>
              <w:jc w:val="center"/>
              <w:rPr>
                <w:rFonts w:eastAsia="Times New Roman"/>
                <w:b/>
                <w:bCs/>
                <w:sz w:val="20"/>
                <w:szCs w:val="20"/>
              </w:rPr>
            </w:pPr>
            <w:r w:rsidRPr="00CA0804">
              <w:rPr>
                <w:b/>
                <w:sz w:val="20"/>
                <w:szCs w:val="20"/>
              </w:rPr>
              <w:t>2023.</w:t>
            </w:r>
          </w:p>
        </w:tc>
        <w:tc>
          <w:tcPr>
            <w:tcW w:w="1559" w:type="dxa"/>
            <w:shd w:val="clear" w:color="000000" w:fill="FFFF99"/>
            <w:vAlign w:val="center"/>
          </w:tcPr>
          <w:p w14:paraId="16D0788A" w14:textId="3F81BA33" w:rsidR="008037A6" w:rsidRPr="00CA0804" w:rsidRDefault="008037A6" w:rsidP="008037A6">
            <w:pPr>
              <w:jc w:val="center"/>
              <w:rPr>
                <w:rFonts w:eastAsia="Times New Roman"/>
                <w:b/>
                <w:bCs/>
                <w:sz w:val="20"/>
                <w:szCs w:val="20"/>
              </w:rPr>
            </w:pPr>
            <w:r w:rsidRPr="00CA0804">
              <w:rPr>
                <w:b/>
                <w:sz w:val="20"/>
                <w:szCs w:val="20"/>
              </w:rPr>
              <w:t>2024.</w:t>
            </w:r>
          </w:p>
        </w:tc>
      </w:tr>
      <w:tr w:rsidR="0081459E" w:rsidRPr="00CA0804" w14:paraId="24652581" w14:textId="77777777" w:rsidTr="00E627B3">
        <w:trPr>
          <w:trHeight w:val="212"/>
        </w:trPr>
        <w:tc>
          <w:tcPr>
            <w:tcW w:w="3376" w:type="dxa"/>
            <w:vMerge/>
            <w:vAlign w:val="center"/>
            <w:hideMark/>
          </w:tcPr>
          <w:p w14:paraId="4638589A" w14:textId="77777777" w:rsidR="0081459E" w:rsidRPr="00CA0804" w:rsidRDefault="0081459E" w:rsidP="00E627B3">
            <w:pPr>
              <w:rPr>
                <w:rFonts w:eastAsia="Times New Roman"/>
                <w:b/>
                <w:bCs/>
                <w:sz w:val="20"/>
                <w:szCs w:val="20"/>
              </w:rPr>
            </w:pPr>
          </w:p>
        </w:tc>
        <w:tc>
          <w:tcPr>
            <w:tcW w:w="1439" w:type="dxa"/>
            <w:shd w:val="clear" w:color="000000" w:fill="FFFF99"/>
            <w:vAlign w:val="center"/>
          </w:tcPr>
          <w:p w14:paraId="7AABDBE4" w14:textId="77777777" w:rsidR="0081459E" w:rsidRPr="00CA0804" w:rsidRDefault="0081459E" w:rsidP="00E627B3">
            <w:pPr>
              <w:rPr>
                <w:rFonts w:eastAsia="Times New Roman"/>
                <w:b/>
                <w:sz w:val="18"/>
                <w:szCs w:val="20"/>
              </w:rPr>
            </w:pPr>
            <w:r w:rsidRPr="00CA0804">
              <w:rPr>
                <w:b/>
                <w:sz w:val="20"/>
                <w:szCs w:val="20"/>
              </w:rPr>
              <w:t>u mln EUR</w:t>
            </w:r>
          </w:p>
        </w:tc>
        <w:tc>
          <w:tcPr>
            <w:tcW w:w="1559" w:type="dxa"/>
            <w:shd w:val="clear" w:color="000000" w:fill="FFFF99"/>
            <w:vAlign w:val="center"/>
          </w:tcPr>
          <w:p w14:paraId="2E1FB2C4"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559" w:type="dxa"/>
            <w:shd w:val="clear" w:color="000000" w:fill="FFFF99"/>
            <w:vAlign w:val="center"/>
          </w:tcPr>
          <w:p w14:paraId="1119C347"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8037A6" w:rsidRPr="00CA0804" w14:paraId="3E2BE2FB" w14:textId="77777777" w:rsidTr="00E4105D">
        <w:trPr>
          <w:trHeight w:val="40"/>
        </w:trPr>
        <w:tc>
          <w:tcPr>
            <w:tcW w:w="3376" w:type="dxa"/>
            <w:shd w:val="clear" w:color="auto" w:fill="auto"/>
            <w:noWrap/>
            <w:vAlign w:val="center"/>
            <w:hideMark/>
          </w:tcPr>
          <w:p w14:paraId="575C8DDE" w14:textId="77777777" w:rsidR="008037A6" w:rsidRPr="00CA0804" w:rsidRDefault="008037A6" w:rsidP="008037A6">
            <w:pPr>
              <w:rPr>
                <w:rFonts w:eastAsia="Times New Roman"/>
                <w:b/>
                <w:bCs/>
                <w:sz w:val="20"/>
                <w:szCs w:val="20"/>
              </w:rPr>
            </w:pPr>
            <w:r w:rsidRPr="00CA0804">
              <w:rPr>
                <w:rFonts w:eastAsia="Times New Roman"/>
                <w:b/>
                <w:bCs/>
                <w:sz w:val="20"/>
                <w:szCs w:val="20"/>
              </w:rPr>
              <w:t>A1</w:t>
            </w:r>
            <w:r w:rsidRPr="00CA0804">
              <w:rPr>
                <w:rFonts w:eastAsia="Times New Roman"/>
                <w:sz w:val="20"/>
                <w:szCs w:val="20"/>
              </w:rPr>
              <w:t xml:space="preserve"> subvencije</w:t>
            </w:r>
          </w:p>
        </w:tc>
        <w:tc>
          <w:tcPr>
            <w:tcW w:w="1439" w:type="dxa"/>
            <w:vAlign w:val="center"/>
          </w:tcPr>
          <w:p w14:paraId="14BB6CD8" w14:textId="4D0F5B9A" w:rsidR="008037A6" w:rsidRPr="00CA0804" w:rsidRDefault="008037A6" w:rsidP="008037A6">
            <w:pPr>
              <w:jc w:val="right"/>
              <w:rPr>
                <w:sz w:val="20"/>
                <w:szCs w:val="14"/>
              </w:rPr>
            </w:pPr>
            <w:r w:rsidRPr="00CA0804">
              <w:rPr>
                <w:sz w:val="20"/>
                <w:szCs w:val="14"/>
              </w:rPr>
              <w:t>-</w:t>
            </w:r>
          </w:p>
        </w:tc>
        <w:tc>
          <w:tcPr>
            <w:tcW w:w="1559" w:type="dxa"/>
            <w:vAlign w:val="center"/>
          </w:tcPr>
          <w:p w14:paraId="754B6339" w14:textId="3A63003C" w:rsidR="008037A6" w:rsidRPr="00CA0804" w:rsidRDefault="008037A6" w:rsidP="008037A6">
            <w:pPr>
              <w:jc w:val="right"/>
              <w:rPr>
                <w:sz w:val="20"/>
                <w:szCs w:val="14"/>
              </w:rPr>
            </w:pPr>
            <w:r w:rsidRPr="00CA0804">
              <w:rPr>
                <w:rFonts w:eastAsia="Times New Roman"/>
                <w:sz w:val="20"/>
                <w:szCs w:val="20"/>
                <w:lang w:eastAsia="hr-HR"/>
              </w:rPr>
              <w:t>5,8</w:t>
            </w:r>
          </w:p>
        </w:tc>
        <w:tc>
          <w:tcPr>
            <w:tcW w:w="1559" w:type="dxa"/>
            <w:vAlign w:val="center"/>
          </w:tcPr>
          <w:p w14:paraId="682A69DB" w14:textId="66E4E2B4" w:rsidR="008037A6" w:rsidRPr="00CA0804" w:rsidRDefault="008037A6" w:rsidP="008037A6">
            <w:pPr>
              <w:jc w:val="right"/>
              <w:rPr>
                <w:sz w:val="20"/>
                <w:szCs w:val="14"/>
              </w:rPr>
            </w:pPr>
            <w:r w:rsidRPr="00CA0804">
              <w:rPr>
                <w:sz w:val="20"/>
                <w:szCs w:val="20"/>
              </w:rPr>
              <w:t>10,6</w:t>
            </w:r>
          </w:p>
        </w:tc>
      </w:tr>
      <w:tr w:rsidR="008037A6" w:rsidRPr="00CA0804" w14:paraId="13BAD033" w14:textId="77777777" w:rsidTr="00E4105D">
        <w:trPr>
          <w:trHeight w:val="40"/>
        </w:trPr>
        <w:tc>
          <w:tcPr>
            <w:tcW w:w="3376" w:type="dxa"/>
            <w:shd w:val="clear" w:color="000000" w:fill="FFFF99"/>
            <w:noWrap/>
            <w:vAlign w:val="center"/>
            <w:hideMark/>
          </w:tcPr>
          <w:p w14:paraId="20856884" w14:textId="77777777" w:rsidR="008037A6" w:rsidRPr="00CA0804" w:rsidRDefault="008037A6" w:rsidP="008037A6">
            <w:pPr>
              <w:rPr>
                <w:rFonts w:eastAsia="Times New Roman"/>
                <w:b/>
                <w:bCs/>
                <w:sz w:val="20"/>
                <w:szCs w:val="20"/>
              </w:rPr>
            </w:pPr>
            <w:r w:rsidRPr="00CA0804">
              <w:rPr>
                <w:rFonts w:eastAsia="Times New Roman"/>
                <w:b/>
                <w:bCs/>
                <w:sz w:val="20"/>
                <w:szCs w:val="20"/>
              </w:rPr>
              <w:t>UKUPNO</w:t>
            </w:r>
          </w:p>
        </w:tc>
        <w:tc>
          <w:tcPr>
            <w:tcW w:w="1439" w:type="dxa"/>
            <w:shd w:val="clear" w:color="000000" w:fill="FFFF99"/>
          </w:tcPr>
          <w:p w14:paraId="390744B4" w14:textId="746FE568" w:rsidR="008037A6" w:rsidRPr="00CA0804" w:rsidRDefault="008037A6" w:rsidP="008037A6">
            <w:pPr>
              <w:jc w:val="right"/>
              <w:rPr>
                <w:b/>
                <w:sz w:val="20"/>
                <w:szCs w:val="14"/>
              </w:rPr>
            </w:pPr>
            <w:r w:rsidRPr="00CA0804">
              <w:rPr>
                <w:sz w:val="20"/>
                <w:szCs w:val="14"/>
              </w:rPr>
              <w:t>-</w:t>
            </w:r>
          </w:p>
        </w:tc>
        <w:tc>
          <w:tcPr>
            <w:tcW w:w="1559" w:type="dxa"/>
            <w:shd w:val="clear" w:color="000000" w:fill="FFFF99"/>
            <w:vAlign w:val="center"/>
          </w:tcPr>
          <w:p w14:paraId="66E3826F" w14:textId="1AE805DC" w:rsidR="008037A6" w:rsidRPr="00CA0804" w:rsidRDefault="008037A6" w:rsidP="008037A6">
            <w:pPr>
              <w:jc w:val="right"/>
              <w:rPr>
                <w:b/>
                <w:sz w:val="20"/>
                <w:szCs w:val="14"/>
              </w:rPr>
            </w:pPr>
            <w:r w:rsidRPr="00CA0804">
              <w:rPr>
                <w:rFonts w:eastAsia="Times New Roman"/>
                <w:b/>
                <w:bCs/>
                <w:sz w:val="20"/>
                <w:szCs w:val="20"/>
                <w:lang w:eastAsia="hr-HR"/>
              </w:rPr>
              <w:t>5,8</w:t>
            </w:r>
          </w:p>
        </w:tc>
        <w:tc>
          <w:tcPr>
            <w:tcW w:w="1559" w:type="dxa"/>
            <w:shd w:val="clear" w:color="000000" w:fill="FFFF99"/>
            <w:vAlign w:val="center"/>
          </w:tcPr>
          <w:p w14:paraId="410FBC62" w14:textId="46E445C8" w:rsidR="008037A6" w:rsidRPr="00CA0804" w:rsidRDefault="008037A6" w:rsidP="008037A6">
            <w:pPr>
              <w:jc w:val="right"/>
              <w:rPr>
                <w:b/>
                <w:sz w:val="20"/>
                <w:szCs w:val="14"/>
              </w:rPr>
            </w:pPr>
            <w:r w:rsidRPr="00CA0804">
              <w:rPr>
                <w:b/>
                <w:sz w:val="20"/>
                <w:szCs w:val="20"/>
              </w:rPr>
              <w:t>10,6</w:t>
            </w:r>
          </w:p>
        </w:tc>
      </w:tr>
      <w:tr w:rsidR="008037A6" w:rsidRPr="00CA0804" w14:paraId="4FA37B51" w14:textId="77777777" w:rsidTr="00E4105D">
        <w:trPr>
          <w:trHeight w:val="40"/>
        </w:trPr>
        <w:tc>
          <w:tcPr>
            <w:tcW w:w="3376" w:type="dxa"/>
            <w:shd w:val="clear" w:color="auto" w:fill="auto"/>
            <w:vAlign w:val="center"/>
            <w:hideMark/>
          </w:tcPr>
          <w:p w14:paraId="00D1EAC8" w14:textId="77777777" w:rsidR="008037A6" w:rsidRPr="00CA0804" w:rsidRDefault="008037A6" w:rsidP="008037A6">
            <w:pPr>
              <w:rPr>
                <w:rFonts w:eastAsia="Times New Roman"/>
                <w:sz w:val="20"/>
                <w:szCs w:val="20"/>
              </w:rPr>
            </w:pPr>
            <w:r w:rsidRPr="00CA0804">
              <w:rPr>
                <w:rFonts w:eastAsia="Times New Roman"/>
                <w:sz w:val="20"/>
              </w:rPr>
              <w:t>udio (%) u posebnim sektorima</w:t>
            </w:r>
          </w:p>
        </w:tc>
        <w:tc>
          <w:tcPr>
            <w:tcW w:w="1439" w:type="dxa"/>
          </w:tcPr>
          <w:p w14:paraId="10289B41" w14:textId="03C0B142" w:rsidR="008037A6" w:rsidRPr="00CA0804" w:rsidRDefault="008037A6" w:rsidP="008037A6">
            <w:pPr>
              <w:jc w:val="center"/>
              <w:rPr>
                <w:sz w:val="20"/>
                <w:szCs w:val="14"/>
              </w:rPr>
            </w:pPr>
            <w:r w:rsidRPr="00CA0804">
              <w:rPr>
                <w:sz w:val="20"/>
                <w:szCs w:val="14"/>
              </w:rPr>
              <w:t>-</w:t>
            </w:r>
          </w:p>
        </w:tc>
        <w:tc>
          <w:tcPr>
            <w:tcW w:w="1559" w:type="dxa"/>
            <w:vAlign w:val="center"/>
          </w:tcPr>
          <w:p w14:paraId="00D8C09E" w14:textId="7BC2DC60" w:rsidR="008037A6" w:rsidRPr="00CA0804" w:rsidRDefault="008037A6" w:rsidP="008037A6">
            <w:pPr>
              <w:jc w:val="center"/>
              <w:rPr>
                <w:sz w:val="20"/>
                <w:szCs w:val="14"/>
              </w:rPr>
            </w:pPr>
            <w:r w:rsidRPr="00CA0804">
              <w:rPr>
                <w:sz w:val="20"/>
                <w:szCs w:val="20"/>
              </w:rPr>
              <w:t>0,68</w:t>
            </w:r>
          </w:p>
        </w:tc>
        <w:tc>
          <w:tcPr>
            <w:tcW w:w="1559" w:type="dxa"/>
            <w:vAlign w:val="center"/>
          </w:tcPr>
          <w:p w14:paraId="16622EA0" w14:textId="5F029E5B" w:rsidR="008037A6" w:rsidRPr="00CA0804" w:rsidRDefault="00C11094" w:rsidP="008037A6">
            <w:pPr>
              <w:jc w:val="center"/>
              <w:rPr>
                <w:sz w:val="20"/>
                <w:szCs w:val="14"/>
              </w:rPr>
            </w:pPr>
            <w:r w:rsidRPr="00CA0804">
              <w:rPr>
                <w:sz w:val="20"/>
                <w:szCs w:val="20"/>
              </w:rPr>
              <w:t>1,32</w:t>
            </w:r>
          </w:p>
        </w:tc>
      </w:tr>
      <w:tr w:rsidR="008037A6" w:rsidRPr="00CA0804" w14:paraId="5D4F1D9A" w14:textId="77777777" w:rsidTr="00E4105D">
        <w:trPr>
          <w:trHeight w:val="90"/>
        </w:trPr>
        <w:tc>
          <w:tcPr>
            <w:tcW w:w="3376" w:type="dxa"/>
            <w:shd w:val="clear" w:color="auto" w:fill="auto"/>
            <w:vAlign w:val="center"/>
            <w:hideMark/>
          </w:tcPr>
          <w:p w14:paraId="4DBEAF30" w14:textId="77777777" w:rsidR="008037A6" w:rsidRPr="00CA0804" w:rsidRDefault="008037A6" w:rsidP="008037A6">
            <w:pPr>
              <w:rPr>
                <w:rFonts w:eastAsia="Times New Roman"/>
                <w:sz w:val="20"/>
                <w:szCs w:val="20"/>
              </w:rPr>
            </w:pPr>
            <w:r w:rsidRPr="00CA0804">
              <w:rPr>
                <w:rFonts w:eastAsia="Times New Roman"/>
                <w:sz w:val="20"/>
                <w:szCs w:val="20"/>
              </w:rPr>
              <w:t>udio (%) u ukupnim potporama (bez poljoprivrede i ribarstva)</w:t>
            </w:r>
          </w:p>
        </w:tc>
        <w:tc>
          <w:tcPr>
            <w:tcW w:w="1439" w:type="dxa"/>
          </w:tcPr>
          <w:p w14:paraId="27539955" w14:textId="125CE8CD" w:rsidR="008037A6" w:rsidRPr="00CA0804" w:rsidRDefault="008037A6" w:rsidP="008037A6">
            <w:pPr>
              <w:jc w:val="center"/>
              <w:rPr>
                <w:sz w:val="20"/>
                <w:szCs w:val="14"/>
              </w:rPr>
            </w:pPr>
            <w:r w:rsidRPr="00CA0804">
              <w:rPr>
                <w:sz w:val="20"/>
                <w:szCs w:val="14"/>
              </w:rPr>
              <w:t>-</w:t>
            </w:r>
          </w:p>
        </w:tc>
        <w:tc>
          <w:tcPr>
            <w:tcW w:w="1559" w:type="dxa"/>
            <w:vAlign w:val="center"/>
          </w:tcPr>
          <w:p w14:paraId="4D2E2400" w14:textId="659152D1" w:rsidR="008037A6" w:rsidRPr="00CA0804" w:rsidRDefault="008037A6" w:rsidP="008037A6">
            <w:pPr>
              <w:jc w:val="center"/>
              <w:rPr>
                <w:sz w:val="20"/>
                <w:szCs w:val="14"/>
              </w:rPr>
            </w:pPr>
            <w:r w:rsidRPr="00CA0804">
              <w:rPr>
                <w:sz w:val="20"/>
                <w:szCs w:val="20"/>
              </w:rPr>
              <w:t>0,29</w:t>
            </w:r>
          </w:p>
        </w:tc>
        <w:tc>
          <w:tcPr>
            <w:tcW w:w="1559" w:type="dxa"/>
            <w:vAlign w:val="center"/>
          </w:tcPr>
          <w:p w14:paraId="7E27F0D5" w14:textId="042BF8D4" w:rsidR="008037A6" w:rsidRPr="00CA0804" w:rsidRDefault="00C11094" w:rsidP="008037A6">
            <w:pPr>
              <w:jc w:val="center"/>
              <w:rPr>
                <w:sz w:val="20"/>
                <w:szCs w:val="14"/>
              </w:rPr>
            </w:pPr>
            <w:r w:rsidRPr="00CA0804">
              <w:rPr>
                <w:sz w:val="20"/>
                <w:szCs w:val="20"/>
              </w:rPr>
              <w:t>0,80</w:t>
            </w:r>
          </w:p>
        </w:tc>
      </w:tr>
      <w:tr w:rsidR="008037A6" w:rsidRPr="00CA0804" w14:paraId="1C2AA729" w14:textId="77777777" w:rsidTr="00E4105D">
        <w:trPr>
          <w:trHeight w:val="40"/>
        </w:trPr>
        <w:tc>
          <w:tcPr>
            <w:tcW w:w="3376" w:type="dxa"/>
            <w:shd w:val="clear" w:color="auto" w:fill="auto"/>
            <w:vAlign w:val="center"/>
            <w:hideMark/>
          </w:tcPr>
          <w:p w14:paraId="3F2F9176" w14:textId="77777777" w:rsidR="008037A6" w:rsidRPr="00CA0804" w:rsidRDefault="008037A6" w:rsidP="008037A6">
            <w:pPr>
              <w:rPr>
                <w:rFonts w:eastAsia="Times New Roman"/>
                <w:sz w:val="20"/>
                <w:szCs w:val="20"/>
              </w:rPr>
            </w:pPr>
            <w:r w:rsidRPr="00CA0804">
              <w:rPr>
                <w:rFonts w:eastAsia="Times New Roman"/>
                <w:sz w:val="20"/>
                <w:szCs w:val="20"/>
              </w:rPr>
              <w:t>udio (%) u ukupnim potporama</w:t>
            </w:r>
          </w:p>
        </w:tc>
        <w:tc>
          <w:tcPr>
            <w:tcW w:w="1439" w:type="dxa"/>
          </w:tcPr>
          <w:p w14:paraId="1EEC20A7" w14:textId="115BC051" w:rsidR="008037A6" w:rsidRPr="00CA0804" w:rsidRDefault="008037A6" w:rsidP="008037A6">
            <w:pPr>
              <w:jc w:val="center"/>
              <w:rPr>
                <w:sz w:val="20"/>
                <w:szCs w:val="14"/>
              </w:rPr>
            </w:pPr>
            <w:r w:rsidRPr="00CA0804">
              <w:rPr>
                <w:sz w:val="20"/>
                <w:szCs w:val="14"/>
              </w:rPr>
              <w:t>-</w:t>
            </w:r>
          </w:p>
        </w:tc>
        <w:tc>
          <w:tcPr>
            <w:tcW w:w="1559" w:type="dxa"/>
            <w:vAlign w:val="center"/>
          </w:tcPr>
          <w:p w14:paraId="63AD76C4" w14:textId="0C4BF499" w:rsidR="008037A6" w:rsidRPr="00CA0804" w:rsidRDefault="008037A6" w:rsidP="008037A6">
            <w:pPr>
              <w:jc w:val="center"/>
              <w:rPr>
                <w:sz w:val="20"/>
                <w:szCs w:val="14"/>
              </w:rPr>
            </w:pPr>
            <w:r w:rsidRPr="00CA0804">
              <w:rPr>
                <w:sz w:val="20"/>
                <w:szCs w:val="20"/>
              </w:rPr>
              <w:t>0,28</w:t>
            </w:r>
          </w:p>
        </w:tc>
        <w:tc>
          <w:tcPr>
            <w:tcW w:w="1559" w:type="dxa"/>
            <w:vAlign w:val="center"/>
          </w:tcPr>
          <w:p w14:paraId="10B21DB7" w14:textId="086519D9" w:rsidR="008037A6" w:rsidRPr="00CA0804" w:rsidRDefault="008037A6" w:rsidP="008037A6">
            <w:pPr>
              <w:jc w:val="center"/>
              <w:rPr>
                <w:sz w:val="20"/>
                <w:szCs w:val="14"/>
              </w:rPr>
            </w:pPr>
            <w:r w:rsidRPr="00CA0804">
              <w:rPr>
                <w:sz w:val="20"/>
                <w:szCs w:val="20"/>
              </w:rPr>
              <w:t>0,73</w:t>
            </w:r>
          </w:p>
        </w:tc>
      </w:tr>
      <w:tr w:rsidR="008037A6" w:rsidRPr="00CA0804" w14:paraId="06DE0612" w14:textId="77777777" w:rsidTr="00E4105D">
        <w:trPr>
          <w:trHeight w:val="40"/>
        </w:trPr>
        <w:tc>
          <w:tcPr>
            <w:tcW w:w="3376" w:type="dxa"/>
            <w:shd w:val="clear" w:color="auto" w:fill="auto"/>
            <w:vAlign w:val="center"/>
            <w:hideMark/>
          </w:tcPr>
          <w:p w14:paraId="2B5B93C8" w14:textId="77777777" w:rsidR="008037A6" w:rsidRPr="00CA0804" w:rsidRDefault="008037A6" w:rsidP="008037A6">
            <w:pPr>
              <w:rPr>
                <w:rFonts w:eastAsia="Times New Roman"/>
                <w:sz w:val="20"/>
                <w:szCs w:val="20"/>
              </w:rPr>
            </w:pPr>
            <w:r w:rsidRPr="00CA0804">
              <w:rPr>
                <w:rFonts w:eastAsia="Times New Roman"/>
                <w:sz w:val="20"/>
                <w:szCs w:val="20"/>
              </w:rPr>
              <w:t>udio (%) u BDP-u</w:t>
            </w:r>
          </w:p>
        </w:tc>
        <w:tc>
          <w:tcPr>
            <w:tcW w:w="1439" w:type="dxa"/>
          </w:tcPr>
          <w:p w14:paraId="734128DC" w14:textId="07ED8D9D" w:rsidR="008037A6" w:rsidRPr="00CA0804" w:rsidRDefault="008037A6" w:rsidP="008037A6">
            <w:pPr>
              <w:jc w:val="center"/>
              <w:rPr>
                <w:sz w:val="20"/>
                <w:szCs w:val="14"/>
              </w:rPr>
            </w:pPr>
            <w:r w:rsidRPr="00CA0804">
              <w:rPr>
                <w:sz w:val="20"/>
                <w:szCs w:val="14"/>
              </w:rPr>
              <w:t>-</w:t>
            </w:r>
          </w:p>
        </w:tc>
        <w:tc>
          <w:tcPr>
            <w:tcW w:w="1559" w:type="dxa"/>
            <w:vAlign w:val="center"/>
          </w:tcPr>
          <w:p w14:paraId="25C96B85" w14:textId="135259E0" w:rsidR="008037A6" w:rsidRPr="00CA0804" w:rsidRDefault="008037A6" w:rsidP="008037A6">
            <w:pPr>
              <w:jc w:val="center"/>
              <w:rPr>
                <w:sz w:val="20"/>
                <w:szCs w:val="14"/>
              </w:rPr>
            </w:pPr>
            <w:r w:rsidRPr="00CA0804">
              <w:rPr>
                <w:sz w:val="20"/>
                <w:szCs w:val="20"/>
              </w:rPr>
              <w:t>0,01</w:t>
            </w:r>
          </w:p>
        </w:tc>
        <w:tc>
          <w:tcPr>
            <w:tcW w:w="1559" w:type="dxa"/>
            <w:vAlign w:val="center"/>
          </w:tcPr>
          <w:p w14:paraId="3B2EA0DD" w14:textId="360CA1E8" w:rsidR="008037A6" w:rsidRPr="00CA0804" w:rsidRDefault="008037A6" w:rsidP="008037A6">
            <w:pPr>
              <w:jc w:val="center"/>
              <w:rPr>
                <w:sz w:val="20"/>
                <w:szCs w:val="14"/>
              </w:rPr>
            </w:pPr>
            <w:r w:rsidRPr="00CA0804">
              <w:rPr>
                <w:sz w:val="20"/>
                <w:szCs w:val="20"/>
              </w:rPr>
              <w:t>0,01</w:t>
            </w:r>
          </w:p>
        </w:tc>
      </w:tr>
    </w:tbl>
    <w:p w14:paraId="35D4F2A8" w14:textId="77777777" w:rsidR="00231149" w:rsidRPr="00CA0804" w:rsidRDefault="00231149" w:rsidP="00231149">
      <w:pPr>
        <w:contextualSpacing/>
        <w:jc w:val="both"/>
        <w:rPr>
          <w:i/>
          <w:sz w:val="20"/>
        </w:rPr>
      </w:pPr>
      <w:r w:rsidRPr="00CA0804">
        <w:rPr>
          <w:i/>
          <w:sz w:val="20"/>
        </w:rPr>
        <w:t>Izvor: Ministarstvo financija i ostali davatelji potpora; podaci obrađeni u Ministarstvu financija</w:t>
      </w:r>
    </w:p>
    <w:p w14:paraId="565F64DB" w14:textId="77777777" w:rsidR="007D13DA" w:rsidRPr="00CA0804" w:rsidRDefault="007D13DA" w:rsidP="00BE487D">
      <w:pPr>
        <w:autoSpaceDE w:val="0"/>
        <w:autoSpaceDN w:val="0"/>
        <w:adjustRightInd w:val="0"/>
        <w:contextualSpacing/>
        <w:jc w:val="both"/>
        <w:rPr>
          <w:bCs/>
          <w:lang w:eastAsia="hr-HR"/>
        </w:rPr>
      </w:pPr>
    </w:p>
    <w:p w14:paraId="7F07C371" w14:textId="56C637C6" w:rsidR="006751B5" w:rsidRPr="00CA0804" w:rsidRDefault="006751B5" w:rsidP="006751B5">
      <w:pPr>
        <w:jc w:val="both"/>
      </w:pPr>
      <w:r w:rsidRPr="00CA0804">
        <w:t>Udio potpora za razvoj širokopojasnih mreža u BDP-u u 202</w:t>
      </w:r>
      <w:r w:rsidR="00471A29" w:rsidRPr="00CA0804">
        <w:t>4</w:t>
      </w:r>
      <w:r w:rsidRPr="00CA0804">
        <w:t>. godini iznosio je 0,01 posto</w:t>
      </w:r>
      <w:r w:rsidR="00471A29" w:rsidRPr="00CA0804">
        <w:t>, isto i u 2023. godini.</w:t>
      </w:r>
      <w:r w:rsidRPr="00CA0804">
        <w:t xml:space="preserve"> </w:t>
      </w:r>
      <w:r w:rsidR="00471A29" w:rsidRPr="00CA0804">
        <w:t>U</w:t>
      </w:r>
      <w:r w:rsidRPr="00CA0804">
        <w:t>dio</w:t>
      </w:r>
      <w:r w:rsidR="00471A29" w:rsidRPr="00CA0804">
        <w:t xml:space="preserve"> navedenih potpora u 2024. godini </w:t>
      </w:r>
      <w:r w:rsidRPr="00CA0804">
        <w:t>u ukupno dodijeljenim potporama iznosio je 0,</w:t>
      </w:r>
      <w:r w:rsidR="00471A29" w:rsidRPr="00CA0804">
        <w:t>7</w:t>
      </w:r>
      <w:r w:rsidRPr="00CA0804">
        <w:t xml:space="preserve"> posto, udio u sektoru industrije i usluga 0,</w:t>
      </w:r>
      <w:r w:rsidR="00471A29" w:rsidRPr="00CA0804">
        <w:t>8</w:t>
      </w:r>
      <w:r w:rsidRPr="00CA0804">
        <w:t xml:space="preserve"> posto</w:t>
      </w:r>
      <w:r w:rsidR="00471A29" w:rsidRPr="00CA0804">
        <w:t xml:space="preserve"> i </w:t>
      </w:r>
      <w:r w:rsidRPr="00CA0804">
        <w:t xml:space="preserve">udio </w:t>
      </w:r>
      <w:r w:rsidR="00471A29" w:rsidRPr="00CA0804">
        <w:t xml:space="preserve">u </w:t>
      </w:r>
      <w:r w:rsidRPr="00CA0804">
        <w:t xml:space="preserve">sektorskim potporama </w:t>
      </w:r>
      <w:r w:rsidR="00471A29" w:rsidRPr="00CA0804">
        <w:t>1,3</w:t>
      </w:r>
      <w:r w:rsidRPr="00CA0804">
        <w:t xml:space="preserve"> posto. Jedini instrument putem kojeg su dodjeljivane </w:t>
      </w:r>
      <w:r w:rsidR="004A64F4" w:rsidRPr="00CA0804">
        <w:t xml:space="preserve">navedene </w:t>
      </w:r>
      <w:r w:rsidRPr="00CA0804">
        <w:t xml:space="preserve">potpore su </w:t>
      </w:r>
      <w:r w:rsidR="004A64F4" w:rsidRPr="00CA0804">
        <w:t>subvencije</w:t>
      </w:r>
      <w:r w:rsidRPr="00CA0804">
        <w:t>.</w:t>
      </w:r>
    </w:p>
    <w:p w14:paraId="68EE0757" w14:textId="77777777" w:rsidR="00DB6FFB" w:rsidRPr="00CA0804" w:rsidRDefault="00DB6FFB" w:rsidP="00471A29"/>
    <w:p w14:paraId="6F0B26BD" w14:textId="3E14D41E" w:rsidR="00471A29" w:rsidRPr="00CA0804" w:rsidRDefault="006751B5" w:rsidP="00471A29">
      <w:pPr>
        <w:jc w:val="both"/>
      </w:pPr>
      <w:r w:rsidRPr="00CA0804">
        <w:rPr>
          <w:u w:val="single"/>
        </w:rPr>
        <w:t>Ministarstvo mora, prometa i infrastrukture</w:t>
      </w:r>
      <w:r w:rsidRPr="00CA0804">
        <w:t xml:space="preserve"> </w:t>
      </w:r>
      <w:r w:rsidR="004A64F4" w:rsidRPr="00CA0804">
        <w:t>d</w:t>
      </w:r>
      <w:r w:rsidRPr="00CA0804">
        <w:t>odijelilo</w:t>
      </w:r>
      <w:r w:rsidR="00471A29" w:rsidRPr="00CA0804">
        <w:t xml:space="preserve"> je u 2024. godini 10,6</w:t>
      </w:r>
      <w:r w:rsidRPr="00CA0804">
        <w:t xml:space="preserve"> milijuna eura </w:t>
      </w:r>
      <w:r w:rsidR="00471A29" w:rsidRPr="00CA0804">
        <w:t xml:space="preserve">subvencija </w:t>
      </w:r>
      <w:r w:rsidRPr="00CA0804">
        <w:t xml:space="preserve">temeljem </w:t>
      </w:r>
      <w:r w:rsidR="00471A29" w:rsidRPr="00CA0804">
        <w:t>RRF Nacionalnog plana za širokopojasnu mrežu, koji je Europska komisija odobrila u postupku koji se vodio pod brojem SA.38626 i SA.100662.</w:t>
      </w:r>
    </w:p>
    <w:p w14:paraId="57389F57" w14:textId="77777777" w:rsidR="0011122C" w:rsidRPr="00CA0804" w:rsidRDefault="0011122C" w:rsidP="00BE487D">
      <w:pPr>
        <w:autoSpaceDE w:val="0"/>
        <w:autoSpaceDN w:val="0"/>
        <w:adjustRightInd w:val="0"/>
        <w:contextualSpacing/>
        <w:jc w:val="both"/>
        <w:rPr>
          <w:bCs/>
          <w:lang w:eastAsia="hr-HR"/>
        </w:rPr>
      </w:pPr>
    </w:p>
    <w:p w14:paraId="1C44EF93" w14:textId="77777777" w:rsidR="00C12EEB" w:rsidRPr="00CA0804" w:rsidRDefault="00C12EEB" w:rsidP="00C12EEB"/>
    <w:p w14:paraId="0FF9E7D7" w14:textId="77777777" w:rsidR="00A5297F" w:rsidRPr="00CA0804" w:rsidRDefault="00A5297F">
      <w:pPr>
        <w:rPr>
          <w:rFonts w:eastAsiaTheme="majorEastAsia"/>
          <w:b/>
          <w:sz w:val="28"/>
        </w:rPr>
      </w:pPr>
      <w:r w:rsidRPr="00CA0804">
        <w:rPr>
          <w:b/>
          <w:sz w:val="28"/>
        </w:rPr>
        <w:br w:type="page"/>
      </w:r>
    </w:p>
    <w:p w14:paraId="013FCD38" w14:textId="2BAA8588" w:rsidR="00140086" w:rsidRPr="00CA0804" w:rsidRDefault="00863EE5" w:rsidP="00507F70">
      <w:pPr>
        <w:pStyle w:val="Heading2"/>
        <w:ind w:left="754" w:hanging="397"/>
      </w:pPr>
      <w:bookmarkStart w:id="31" w:name="_Toc213660052"/>
      <w:r w:rsidRPr="00CA0804">
        <w:lastRenderedPageBreak/>
        <w:t>POTPORE U SVRHU PODRŠKE GOSPODARSTVU U PANDEMIJI COVID</w:t>
      </w:r>
      <w:r w:rsidR="00312D49" w:rsidRPr="00CA0804">
        <w:t>–</w:t>
      </w:r>
      <w:r w:rsidRPr="00CA0804">
        <w:t>19</w:t>
      </w:r>
      <w:r w:rsidR="00336EEC" w:rsidRPr="00CA0804">
        <w:t xml:space="preserve"> I ZA SUZBIJANJE UČINAKA RUSKE AGRESIJE NA UKRAJINU</w:t>
      </w:r>
      <w:bookmarkEnd w:id="31"/>
    </w:p>
    <w:p w14:paraId="07B093F8" w14:textId="77777777" w:rsidR="00140086" w:rsidRPr="00CA0804" w:rsidRDefault="00140086" w:rsidP="00BE487D">
      <w:pPr>
        <w:jc w:val="both"/>
        <w:rPr>
          <w:b/>
        </w:rPr>
      </w:pPr>
    </w:p>
    <w:p w14:paraId="1C295488" w14:textId="77777777" w:rsidR="00995EF4" w:rsidRPr="00CA0804" w:rsidRDefault="00995EF4" w:rsidP="00BE487D">
      <w:pPr>
        <w:jc w:val="both"/>
        <w:rPr>
          <w:b/>
        </w:rPr>
      </w:pPr>
    </w:p>
    <w:p w14:paraId="6606B06F" w14:textId="0CEBB0F1" w:rsidR="00AD1D98" w:rsidRPr="00CA0804" w:rsidRDefault="00AD1D98" w:rsidP="00552B4E">
      <w:pPr>
        <w:jc w:val="both"/>
      </w:pPr>
      <w:r w:rsidRPr="00CA0804">
        <w:t xml:space="preserve">Gospodarstvo u </w:t>
      </w:r>
      <w:r w:rsidR="00ED678C" w:rsidRPr="00CA0804">
        <w:t>Republi</w:t>
      </w:r>
      <w:r w:rsidRPr="00CA0804">
        <w:t>ci</w:t>
      </w:r>
      <w:r w:rsidR="00ED678C" w:rsidRPr="00CA0804">
        <w:t xml:space="preserve"> Hrvatskoj, </w:t>
      </w:r>
      <w:r w:rsidRPr="00CA0804">
        <w:t xml:space="preserve">kao i u ostalim državama članicama EU, pretrpjelo je teške posljedice uzrokovane pandemijom COVID–19 te ruskom agresijom na Ukrajinu. Kako bi se poduzetnicima u navedenom razdoblju pomoglo u poslovanju, te omogućila dodjela potpora kao podrška, Europska komisija usvojila je Privremeni Okvir za mjere državnih potpora u svrhu podrške gospodarstvu u aktualnoj pandemiji COVID –19 </w:t>
      </w:r>
      <w:r w:rsidR="00D14BF4" w:rsidRPr="00CA0804">
        <w:t>koji je mijenjan nekoliko puta t</w:t>
      </w:r>
      <w:r w:rsidRPr="00CA0804">
        <w:t>e Privremeni okvir za mjere državne potpore u kriznim situacijama za potporu gospodarstvu nakon ruske agresije na Ukrajinu</w:t>
      </w:r>
      <w:r w:rsidR="002E432B" w:rsidRPr="00CA0804">
        <w:t xml:space="preserve"> s izmjenama.</w:t>
      </w:r>
    </w:p>
    <w:p w14:paraId="64D1D064" w14:textId="78C3657C" w:rsidR="00AD1D98" w:rsidRPr="00CA0804" w:rsidRDefault="00AD1D98" w:rsidP="00552B4E">
      <w:pPr>
        <w:jc w:val="both"/>
      </w:pPr>
    </w:p>
    <w:p w14:paraId="789CB6AA" w14:textId="393EBC7B" w:rsidR="00552B4E" w:rsidRPr="00CA0804" w:rsidRDefault="002E432B" w:rsidP="00552B4E">
      <w:pPr>
        <w:jc w:val="both"/>
      </w:pPr>
      <w:r w:rsidRPr="00CA0804">
        <w:t>Privremeni Okvir za mjere državnih potpora u svrhu podrške gospodarstvu u aktualnoj pandemiji COVID –19 (u daljnjem tekstu: Privremeni Okvir)</w:t>
      </w:r>
      <w:r w:rsidRPr="00CA0804">
        <w:rPr>
          <w:rStyle w:val="FootnoteReference"/>
        </w:rPr>
        <w:footnoteReference w:id="36"/>
      </w:r>
      <w:r w:rsidRPr="00CA0804">
        <w:t xml:space="preserve">, Europska komisija usvojila je </w:t>
      </w:r>
      <w:r w:rsidR="00417339" w:rsidRPr="00CA0804">
        <w:t xml:space="preserve">19. ožujka 2020., </w:t>
      </w:r>
      <w:r w:rsidR="00D14BF4" w:rsidRPr="00CA0804">
        <w:t xml:space="preserve">a kasnije izmjene usvojene su </w:t>
      </w:r>
      <w:r w:rsidR="00417339" w:rsidRPr="00CA0804">
        <w:t xml:space="preserve">3. travnja, 8. svibnja, 29. lipnja i 13. listopada 2020., </w:t>
      </w:r>
      <w:r w:rsidR="00460925" w:rsidRPr="00CA0804">
        <w:t xml:space="preserve">te </w:t>
      </w:r>
      <w:r w:rsidR="00417339" w:rsidRPr="00CA0804">
        <w:t xml:space="preserve">28. siječnja i 18. studenoga 2021. Sukladno zadnjoj, šestoj izmjeni Privremenog Okvira, </w:t>
      </w:r>
      <w:r w:rsidR="00552B4E" w:rsidRPr="00CA0804">
        <w:t xml:space="preserve">dodjela potpora produžena je do 30. lipnja 2022., osim određenih izuzetaka, ovisno o vrsti potpore, koji su navedeni na </w:t>
      </w:r>
      <w:r w:rsidR="0038758B" w:rsidRPr="00CA0804">
        <w:t>mrežnoj</w:t>
      </w:r>
      <w:r w:rsidR="00552B4E" w:rsidRPr="00CA0804">
        <w:t xml:space="preserve"> stranici Ministarstva financija</w:t>
      </w:r>
      <w:r w:rsidR="00552B4E" w:rsidRPr="00CA0804">
        <w:rPr>
          <w:rStyle w:val="FootnoteReference"/>
        </w:rPr>
        <w:footnoteReference w:id="37"/>
      </w:r>
      <w:r w:rsidR="00552B4E" w:rsidRPr="00CA0804">
        <w:t>.</w:t>
      </w:r>
    </w:p>
    <w:p w14:paraId="2F18845E" w14:textId="21CF2333" w:rsidR="00552B4E" w:rsidRPr="00CA0804" w:rsidRDefault="00552B4E" w:rsidP="002E432B">
      <w:pPr>
        <w:jc w:val="both"/>
      </w:pPr>
    </w:p>
    <w:p w14:paraId="4EF2ACFA" w14:textId="397F2A5F" w:rsidR="002E432B" w:rsidRPr="00CA0804" w:rsidRDefault="002E432B" w:rsidP="002E432B">
      <w:pPr>
        <w:jc w:val="both"/>
      </w:pPr>
      <w:r w:rsidRPr="00CA0804">
        <w:t xml:space="preserve">Također, prema Privremenom Okviru, potpore za podršku gospodarstvu tijekom pandemije Covid-a 19, mogu se dodijeliti i izravnom primjenom članka 107. stavka 2. UFEU-a spojivim sa zajedničkim tržištem smatra potpore za otklanjanje štete nastale zbog prirodnih nepogoda ili izvanrednih događaja. </w:t>
      </w:r>
    </w:p>
    <w:p w14:paraId="6AD72E15" w14:textId="0F84A0CF" w:rsidR="00E94CEF" w:rsidRPr="00CA0804" w:rsidRDefault="00E94CEF" w:rsidP="002E432B">
      <w:pPr>
        <w:jc w:val="both"/>
      </w:pPr>
    </w:p>
    <w:p w14:paraId="3F1DA382" w14:textId="51A55D78" w:rsidR="00EE0D95" w:rsidRPr="00CA0804" w:rsidRDefault="00E94CEF" w:rsidP="00DB31A6">
      <w:pPr>
        <w:contextualSpacing/>
        <w:jc w:val="both"/>
      </w:pPr>
      <w:r w:rsidRPr="00CA0804">
        <w:t xml:space="preserve">Privremeni okvir za mjere državne potpore u kriznim situacijama za potporu gospodarstvu nakon </w:t>
      </w:r>
      <w:r w:rsidR="00AD1D98" w:rsidRPr="00CA0804">
        <w:t>ruske agresije na Ukrajinu</w:t>
      </w:r>
      <w:r w:rsidRPr="00CA0804">
        <w:t xml:space="preserve">, </w:t>
      </w:r>
      <w:r w:rsidR="003525BA" w:rsidRPr="00CA0804">
        <w:t xml:space="preserve">Europska komisija je </w:t>
      </w:r>
      <w:r w:rsidR="00D14BF4" w:rsidRPr="00CA0804">
        <w:t>objavila</w:t>
      </w:r>
      <w:r w:rsidR="003525BA" w:rsidRPr="00CA0804">
        <w:t xml:space="preserve"> 23. ožujka 2022., a </w:t>
      </w:r>
      <w:r w:rsidRPr="00CA0804">
        <w:t xml:space="preserve">prve izmjene usvojene </w:t>
      </w:r>
      <w:r w:rsidR="00D14BF4" w:rsidRPr="00CA0804">
        <w:t xml:space="preserve">su </w:t>
      </w:r>
      <w:r w:rsidRPr="00CA0804">
        <w:t>21. srpnja 2022.</w:t>
      </w:r>
      <w:r w:rsidR="00C26447" w:rsidRPr="00CA0804">
        <w:rPr>
          <w:rStyle w:val="FootnoteReference"/>
        </w:rPr>
        <w:footnoteReference w:id="38"/>
      </w:r>
      <w:r w:rsidRPr="00CA0804">
        <w:t xml:space="preserve"> </w:t>
      </w:r>
      <w:r w:rsidR="00DB31A6" w:rsidRPr="00CA0804">
        <w:t xml:space="preserve">Potom je 9. ožujka 2023. </w:t>
      </w:r>
      <w:r w:rsidR="003525BA" w:rsidRPr="00CA0804">
        <w:t xml:space="preserve">Europska komisija </w:t>
      </w:r>
      <w:r w:rsidR="00DB31A6" w:rsidRPr="00CA0804">
        <w:t xml:space="preserve">usvojila </w:t>
      </w:r>
      <w:r w:rsidR="003525BA" w:rsidRPr="00CA0804">
        <w:t xml:space="preserve">i </w:t>
      </w:r>
      <w:r w:rsidR="00DB31A6" w:rsidRPr="00CA0804">
        <w:t>novi Privremeni okvir za mjere državne potpore u kriznim situacijama i za tranziciju radi potpore gospodarstvu nakon ruske agresije na Ukrajinu (</w:t>
      </w:r>
      <w:r w:rsidR="00A943A1" w:rsidRPr="00CA0804">
        <w:t xml:space="preserve">u </w:t>
      </w:r>
      <w:r w:rsidR="00DB31A6" w:rsidRPr="00CA0804">
        <w:t>dalj</w:t>
      </w:r>
      <w:r w:rsidR="009A2515" w:rsidRPr="00CA0804">
        <w:t>nj</w:t>
      </w:r>
      <w:r w:rsidR="00DB31A6" w:rsidRPr="00CA0804">
        <w:t>e</w:t>
      </w:r>
      <w:r w:rsidR="00A943A1" w:rsidRPr="00CA0804">
        <w:t>m tekstu</w:t>
      </w:r>
      <w:r w:rsidR="00DB31A6" w:rsidRPr="00CA0804">
        <w:t>: Privremeni krizni i tranzicijski okvir)</w:t>
      </w:r>
      <w:r w:rsidR="00DB31A6" w:rsidRPr="00CA0804">
        <w:rPr>
          <w:rStyle w:val="FootnoteReference"/>
        </w:rPr>
        <w:footnoteReference w:id="39"/>
      </w:r>
      <w:r w:rsidR="00DB31A6" w:rsidRPr="00CA0804">
        <w:t xml:space="preserve"> kako bi se potaknulo uvođenje mjera potpore u sektorima koji su ključni za tranziciju na gospodarstvo s nultom neto stopom emisija, u skladu s Industrijskim planom u okviru Zelenog plana.</w:t>
      </w:r>
      <w:r w:rsidR="00DB31A6" w:rsidRPr="00CA0804">
        <w:rPr>
          <w:rStyle w:val="FootnoteReference"/>
        </w:rPr>
        <w:footnoteReference w:id="40"/>
      </w:r>
      <w:r w:rsidR="00DB31A6" w:rsidRPr="00CA0804">
        <w:t xml:space="preserve"> </w:t>
      </w:r>
      <w:r w:rsidR="00755F7E" w:rsidRPr="00CA0804">
        <w:t xml:space="preserve">Pojedine mjere iz </w:t>
      </w:r>
      <w:r w:rsidR="00DB31A6" w:rsidRPr="00CA0804">
        <w:t>Privremenog kriznog i tranzicijskog okvira bit ć</w:t>
      </w:r>
      <w:r w:rsidR="00755F7E" w:rsidRPr="00CA0804">
        <w:t>e na snazi do 31. pros</w:t>
      </w:r>
      <w:r w:rsidR="00D14BF4" w:rsidRPr="00CA0804">
        <w:t>inca 2025</w:t>
      </w:r>
      <w:r w:rsidR="00755F7E" w:rsidRPr="00CA0804">
        <w:t>.</w:t>
      </w:r>
      <w:r w:rsidR="00755F7E" w:rsidRPr="00CA0804">
        <w:rPr>
          <w:rStyle w:val="FootnoteReference"/>
        </w:rPr>
        <w:footnoteReference w:id="41"/>
      </w:r>
    </w:p>
    <w:p w14:paraId="5A472103" w14:textId="6107B770" w:rsidR="00EE0D95" w:rsidRPr="00CA0804" w:rsidRDefault="00EE0D95" w:rsidP="00DB31A6"/>
    <w:p w14:paraId="51EE51C1" w14:textId="45628537" w:rsidR="004B0B0B" w:rsidRPr="00CA0804" w:rsidRDefault="003525BA" w:rsidP="003525BA">
      <w:pPr>
        <w:jc w:val="both"/>
      </w:pPr>
      <w:r w:rsidRPr="00CA0804">
        <w:t>Potpore podrške poduzetnicima u gospodarstvu u 2024. godini u Republici Hrvatskoj, kao podrška u pandemiji COVID–19 te za suzbijanje učinaka ruske agresije na Ukrajinu, dodijeljene su u</w:t>
      </w:r>
      <w:r w:rsidR="000D6853" w:rsidRPr="00CA0804">
        <w:t xml:space="preserve"> </w:t>
      </w:r>
      <w:r w:rsidR="004B0B0B" w:rsidRPr="00CA0804">
        <w:t xml:space="preserve">iznosu od </w:t>
      </w:r>
      <w:r w:rsidRPr="00CA0804">
        <w:t>2,5</w:t>
      </w:r>
      <w:r w:rsidR="00AC7524" w:rsidRPr="00CA0804">
        <w:t xml:space="preserve"> </w:t>
      </w:r>
      <w:r w:rsidR="004B0B0B" w:rsidRPr="00CA0804">
        <w:t xml:space="preserve">milijuna </w:t>
      </w:r>
      <w:r w:rsidR="000D6853" w:rsidRPr="00CA0804">
        <w:t>eura</w:t>
      </w:r>
      <w:r w:rsidR="004B0B0B" w:rsidRPr="00CA0804">
        <w:t xml:space="preserve">, što je smanjenje za </w:t>
      </w:r>
      <w:r w:rsidRPr="00CA0804">
        <w:t xml:space="preserve">554,1 </w:t>
      </w:r>
      <w:r w:rsidR="004B0B0B" w:rsidRPr="00CA0804">
        <w:t xml:space="preserve">milijun </w:t>
      </w:r>
      <w:r w:rsidR="000D6853" w:rsidRPr="00CA0804">
        <w:t xml:space="preserve">eura </w:t>
      </w:r>
      <w:r w:rsidRPr="00CA0804">
        <w:t>ili</w:t>
      </w:r>
      <w:r w:rsidR="004B0B0B" w:rsidRPr="00CA0804">
        <w:t xml:space="preserve"> za </w:t>
      </w:r>
      <w:r w:rsidRPr="00CA0804">
        <w:t>99,</w:t>
      </w:r>
      <w:r w:rsidR="00D01679" w:rsidRPr="00CA0804">
        <w:t>6</w:t>
      </w:r>
      <w:r w:rsidRPr="00CA0804">
        <w:t xml:space="preserve"> </w:t>
      </w:r>
      <w:r w:rsidR="004B0B0B" w:rsidRPr="00CA0804">
        <w:t>posto u odnosu na 202</w:t>
      </w:r>
      <w:r w:rsidRPr="00CA0804">
        <w:t>3</w:t>
      </w:r>
      <w:r w:rsidR="004B0B0B" w:rsidRPr="00CA0804">
        <w:t xml:space="preserve">. godinu, kada su </w:t>
      </w:r>
      <w:r w:rsidR="00AC7524" w:rsidRPr="00CA0804">
        <w:t xml:space="preserve">navedene </w:t>
      </w:r>
      <w:r w:rsidR="004B0B0B" w:rsidRPr="00CA0804">
        <w:t xml:space="preserve">potpore </w:t>
      </w:r>
      <w:r w:rsidRPr="00CA0804">
        <w:t xml:space="preserve">iznosile 556,6 </w:t>
      </w:r>
      <w:r w:rsidR="004B0B0B" w:rsidRPr="00CA0804">
        <w:t xml:space="preserve">milijuna </w:t>
      </w:r>
      <w:r w:rsidR="000D6853" w:rsidRPr="00CA0804">
        <w:t>eura</w:t>
      </w:r>
      <w:r w:rsidR="004B0B0B" w:rsidRPr="00CA0804">
        <w:t xml:space="preserve">, te </w:t>
      </w:r>
      <w:r w:rsidR="00D14BF4" w:rsidRPr="00CA0804">
        <w:t>predstavlja</w:t>
      </w:r>
      <w:r w:rsidR="004B0B0B" w:rsidRPr="00CA0804">
        <w:t xml:space="preserve"> smanjenje za </w:t>
      </w:r>
      <w:r w:rsidR="00CA0804" w:rsidRPr="00CA0804">
        <w:t xml:space="preserve">1,1 milijardu </w:t>
      </w:r>
      <w:r w:rsidR="000D6853" w:rsidRPr="00CA0804">
        <w:t>eura</w:t>
      </w:r>
      <w:r w:rsidR="004B0B0B" w:rsidRPr="00CA0804">
        <w:t xml:space="preserve"> u odnosu na 202</w:t>
      </w:r>
      <w:r w:rsidRPr="00CA0804">
        <w:t>2</w:t>
      </w:r>
      <w:r w:rsidR="004B0B0B" w:rsidRPr="00CA0804">
        <w:t xml:space="preserve">. godinu kada su </w:t>
      </w:r>
      <w:r w:rsidRPr="00CA0804">
        <w:t xml:space="preserve">iznosile </w:t>
      </w:r>
      <w:r w:rsidR="00CA0804" w:rsidRPr="00CA0804">
        <w:t xml:space="preserve">preko 1,1 milijarde </w:t>
      </w:r>
      <w:r w:rsidR="000D6853" w:rsidRPr="00CA0804">
        <w:t>eura</w:t>
      </w:r>
      <w:r w:rsidR="004B0B0B" w:rsidRPr="00CA0804">
        <w:t>.</w:t>
      </w:r>
    </w:p>
    <w:p w14:paraId="702EC541" w14:textId="77777777" w:rsidR="004B0B0B" w:rsidRPr="00CA0804" w:rsidRDefault="004B0B0B" w:rsidP="003525BA"/>
    <w:p w14:paraId="08C56C80" w14:textId="0D8CCBD7" w:rsidR="00746CB1" w:rsidRPr="00CA0804" w:rsidRDefault="00746CB1" w:rsidP="00746CB1">
      <w:pPr>
        <w:jc w:val="both"/>
      </w:pPr>
      <w:r w:rsidRPr="00CA0804">
        <w:lastRenderedPageBreak/>
        <w:t>Tablica 2</w:t>
      </w:r>
      <w:r w:rsidR="000F5679" w:rsidRPr="00CA0804">
        <w:t>8</w:t>
      </w:r>
      <w:r w:rsidRPr="00CA0804">
        <w:t xml:space="preserve">. Potpore za podršku gospodarstvu u aktualnoj pandemiji COVID–19 te za suzbijanje učinaka ruske agresije na Ukrajinu </w:t>
      </w:r>
      <w:r w:rsidR="0053621A" w:rsidRPr="00CA0804">
        <w:t xml:space="preserve">dodijeljene u razdoblju </w:t>
      </w:r>
      <w:r w:rsidRPr="00CA0804">
        <w:t>od 202</w:t>
      </w:r>
      <w:r w:rsidR="000F5679" w:rsidRPr="00CA0804">
        <w:t>2</w:t>
      </w:r>
      <w:r w:rsidRPr="00CA0804">
        <w:t>. do 202</w:t>
      </w:r>
      <w:r w:rsidR="000F5679" w:rsidRPr="00CA0804">
        <w:t>4</w:t>
      </w:r>
      <w:r w:rsidRPr="00CA0804">
        <w:t>. godine</w:t>
      </w:r>
    </w:p>
    <w:p w14:paraId="18E02F5D" w14:textId="1A611EF8" w:rsidR="00746CB1" w:rsidRPr="00CA0804" w:rsidRDefault="00746CB1" w:rsidP="00746CB1">
      <w:pPr>
        <w:autoSpaceDE w:val="0"/>
        <w:autoSpaceDN w:val="0"/>
        <w:adjustRightInd w:val="0"/>
        <w:contextualSpacing/>
        <w:jc w:val="both"/>
        <w:rPr>
          <w:bCs/>
          <w:sz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276"/>
        <w:gridCol w:w="1276"/>
        <w:gridCol w:w="1275"/>
      </w:tblGrid>
      <w:tr w:rsidR="008037A6" w:rsidRPr="00CA0804" w14:paraId="2E623EBE" w14:textId="77777777" w:rsidTr="00076E4A">
        <w:trPr>
          <w:trHeight w:val="38"/>
        </w:trPr>
        <w:tc>
          <w:tcPr>
            <w:tcW w:w="4106" w:type="dxa"/>
            <w:vMerge w:val="restart"/>
            <w:shd w:val="clear" w:color="000000" w:fill="FFFF99"/>
            <w:noWrap/>
            <w:vAlign w:val="center"/>
            <w:hideMark/>
          </w:tcPr>
          <w:p w14:paraId="1C7397F1" w14:textId="666E6E28" w:rsidR="008037A6" w:rsidRPr="00CA0804" w:rsidRDefault="008037A6" w:rsidP="008037A6">
            <w:pPr>
              <w:rPr>
                <w:rFonts w:eastAsia="Times New Roman"/>
                <w:b/>
                <w:bCs/>
                <w:sz w:val="20"/>
                <w:szCs w:val="20"/>
              </w:rPr>
            </w:pPr>
            <w:r w:rsidRPr="00CA0804">
              <w:rPr>
                <w:b/>
                <w:sz w:val="20"/>
              </w:rPr>
              <w:t>Potpore za suzbijanje učinaka COVID-a i ruske agresije na Ukrajinu*</w:t>
            </w:r>
          </w:p>
        </w:tc>
        <w:tc>
          <w:tcPr>
            <w:tcW w:w="1276" w:type="dxa"/>
            <w:shd w:val="clear" w:color="000000" w:fill="FFFF99"/>
            <w:vAlign w:val="center"/>
          </w:tcPr>
          <w:p w14:paraId="1998B193" w14:textId="50A8B7F7" w:rsidR="008037A6" w:rsidRPr="00CA0804" w:rsidRDefault="008037A6" w:rsidP="008037A6">
            <w:pPr>
              <w:jc w:val="center"/>
              <w:rPr>
                <w:rFonts w:eastAsia="Times New Roman"/>
                <w:b/>
                <w:bCs/>
                <w:sz w:val="20"/>
                <w:szCs w:val="20"/>
              </w:rPr>
            </w:pPr>
            <w:r w:rsidRPr="00CA0804">
              <w:rPr>
                <w:b/>
                <w:sz w:val="20"/>
                <w:szCs w:val="20"/>
              </w:rPr>
              <w:t>2022.</w:t>
            </w:r>
          </w:p>
        </w:tc>
        <w:tc>
          <w:tcPr>
            <w:tcW w:w="1276" w:type="dxa"/>
            <w:shd w:val="clear" w:color="000000" w:fill="FFFF99"/>
            <w:vAlign w:val="center"/>
          </w:tcPr>
          <w:p w14:paraId="11E110A6" w14:textId="5277E9FE" w:rsidR="008037A6" w:rsidRPr="00CA0804" w:rsidRDefault="008037A6" w:rsidP="008037A6">
            <w:pPr>
              <w:jc w:val="center"/>
              <w:rPr>
                <w:rFonts w:eastAsia="Times New Roman"/>
                <w:b/>
                <w:bCs/>
                <w:sz w:val="20"/>
                <w:szCs w:val="20"/>
              </w:rPr>
            </w:pPr>
            <w:r w:rsidRPr="00CA0804">
              <w:rPr>
                <w:b/>
                <w:sz w:val="20"/>
                <w:szCs w:val="20"/>
              </w:rPr>
              <w:t>2023.</w:t>
            </w:r>
          </w:p>
        </w:tc>
        <w:tc>
          <w:tcPr>
            <w:tcW w:w="1275" w:type="dxa"/>
            <w:shd w:val="clear" w:color="000000" w:fill="FFFF99"/>
            <w:vAlign w:val="center"/>
          </w:tcPr>
          <w:p w14:paraId="02486548" w14:textId="6BE07D09" w:rsidR="008037A6" w:rsidRPr="00CA0804" w:rsidRDefault="008037A6" w:rsidP="008037A6">
            <w:pPr>
              <w:jc w:val="center"/>
              <w:rPr>
                <w:rFonts w:eastAsia="Times New Roman"/>
                <w:b/>
                <w:bCs/>
                <w:sz w:val="20"/>
                <w:szCs w:val="20"/>
              </w:rPr>
            </w:pPr>
            <w:r w:rsidRPr="00CA0804">
              <w:rPr>
                <w:b/>
                <w:sz w:val="20"/>
                <w:szCs w:val="20"/>
              </w:rPr>
              <w:t>2024.</w:t>
            </w:r>
          </w:p>
        </w:tc>
      </w:tr>
      <w:tr w:rsidR="0081459E" w:rsidRPr="00CA0804" w14:paraId="7F02781D" w14:textId="77777777" w:rsidTr="00076E4A">
        <w:trPr>
          <w:trHeight w:val="212"/>
        </w:trPr>
        <w:tc>
          <w:tcPr>
            <w:tcW w:w="4106" w:type="dxa"/>
            <w:vMerge/>
            <w:vAlign w:val="center"/>
            <w:hideMark/>
          </w:tcPr>
          <w:p w14:paraId="0A0DD2B9" w14:textId="77777777" w:rsidR="0081459E" w:rsidRPr="00CA0804" w:rsidRDefault="0081459E" w:rsidP="00E627B3">
            <w:pPr>
              <w:rPr>
                <w:rFonts w:eastAsia="Times New Roman"/>
                <w:b/>
                <w:bCs/>
                <w:sz w:val="20"/>
                <w:szCs w:val="20"/>
              </w:rPr>
            </w:pPr>
          </w:p>
        </w:tc>
        <w:tc>
          <w:tcPr>
            <w:tcW w:w="1276" w:type="dxa"/>
            <w:shd w:val="clear" w:color="000000" w:fill="FFFF99"/>
            <w:vAlign w:val="center"/>
          </w:tcPr>
          <w:p w14:paraId="4F59C990" w14:textId="77777777" w:rsidR="0081459E" w:rsidRPr="00CA0804" w:rsidRDefault="0081459E" w:rsidP="00E627B3">
            <w:pPr>
              <w:rPr>
                <w:rFonts w:eastAsia="Times New Roman"/>
                <w:b/>
                <w:sz w:val="18"/>
                <w:szCs w:val="20"/>
              </w:rPr>
            </w:pPr>
            <w:r w:rsidRPr="00CA0804">
              <w:rPr>
                <w:b/>
                <w:sz w:val="20"/>
                <w:szCs w:val="20"/>
              </w:rPr>
              <w:t>u mln EUR</w:t>
            </w:r>
          </w:p>
        </w:tc>
        <w:tc>
          <w:tcPr>
            <w:tcW w:w="1276" w:type="dxa"/>
            <w:shd w:val="clear" w:color="000000" w:fill="FFFF99"/>
            <w:vAlign w:val="center"/>
          </w:tcPr>
          <w:p w14:paraId="429688A8" w14:textId="77777777" w:rsidR="0081459E" w:rsidRPr="00CA0804" w:rsidRDefault="0081459E" w:rsidP="00E627B3">
            <w:pPr>
              <w:jc w:val="center"/>
              <w:rPr>
                <w:rFonts w:eastAsia="Times New Roman"/>
                <w:b/>
                <w:sz w:val="18"/>
                <w:szCs w:val="20"/>
              </w:rPr>
            </w:pPr>
            <w:r w:rsidRPr="00CA0804">
              <w:rPr>
                <w:b/>
                <w:sz w:val="20"/>
                <w:szCs w:val="20"/>
              </w:rPr>
              <w:t>u mln EUR</w:t>
            </w:r>
          </w:p>
        </w:tc>
        <w:tc>
          <w:tcPr>
            <w:tcW w:w="1275" w:type="dxa"/>
            <w:shd w:val="clear" w:color="000000" w:fill="FFFF99"/>
            <w:vAlign w:val="center"/>
          </w:tcPr>
          <w:p w14:paraId="24056BBA" w14:textId="77777777" w:rsidR="0081459E" w:rsidRPr="00CA0804" w:rsidRDefault="0081459E" w:rsidP="00E627B3">
            <w:pPr>
              <w:jc w:val="center"/>
              <w:rPr>
                <w:rFonts w:eastAsia="Times New Roman"/>
                <w:b/>
                <w:sz w:val="18"/>
                <w:szCs w:val="20"/>
              </w:rPr>
            </w:pPr>
            <w:r w:rsidRPr="00CA0804">
              <w:rPr>
                <w:b/>
                <w:sz w:val="20"/>
                <w:szCs w:val="20"/>
              </w:rPr>
              <w:t>u mln EUR</w:t>
            </w:r>
          </w:p>
        </w:tc>
      </w:tr>
      <w:tr w:rsidR="00E346B9" w:rsidRPr="00CA0804" w14:paraId="3A2FD5BD" w14:textId="77777777" w:rsidTr="00076E4A">
        <w:trPr>
          <w:trHeight w:val="118"/>
        </w:trPr>
        <w:tc>
          <w:tcPr>
            <w:tcW w:w="4106" w:type="dxa"/>
            <w:shd w:val="clear" w:color="auto" w:fill="auto"/>
            <w:noWrap/>
            <w:vAlign w:val="center"/>
            <w:hideMark/>
          </w:tcPr>
          <w:p w14:paraId="1CC6DD8F" w14:textId="426E55F1" w:rsidR="00E346B9" w:rsidRPr="00CA0804" w:rsidRDefault="00E346B9" w:rsidP="00E346B9">
            <w:pPr>
              <w:rPr>
                <w:rFonts w:eastAsia="Times New Roman"/>
                <w:bCs/>
                <w:sz w:val="20"/>
                <w:szCs w:val="20"/>
              </w:rPr>
            </w:pPr>
            <w:r w:rsidRPr="00CA0804">
              <w:rPr>
                <w:bCs/>
                <w:sz w:val="20"/>
                <w:szCs w:val="20"/>
              </w:rPr>
              <w:t>A1</w:t>
            </w:r>
            <w:r w:rsidRPr="00CA0804">
              <w:rPr>
                <w:sz w:val="20"/>
                <w:szCs w:val="20"/>
              </w:rPr>
              <w:t xml:space="preserve"> subvencije</w:t>
            </w:r>
          </w:p>
        </w:tc>
        <w:tc>
          <w:tcPr>
            <w:tcW w:w="1276" w:type="dxa"/>
            <w:vAlign w:val="center"/>
          </w:tcPr>
          <w:p w14:paraId="142E7584" w14:textId="2EA91B72" w:rsidR="00E346B9" w:rsidRPr="00CA0804" w:rsidRDefault="00C11094" w:rsidP="00E346B9">
            <w:pPr>
              <w:jc w:val="right"/>
              <w:rPr>
                <w:sz w:val="20"/>
                <w:szCs w:val="14"/>
              </w:rPr>
            </w:pPr>
            <w:r w:rsidRPr="00CA0804">
              <w:rPr>
                <w:sz w:val="20"/>
                <w:szCs w:val="20"/>
              </w:rPr>
              <w:t>758,6</w:t>
            </w:r>
          </w:p>
        </w:tc>
        <w:tc>
          <w:tcPr>
            <w:tcW w:w="1276" w:type="dxa"/>
            <w:vAlign w:val="center"/>
          </w:tcPr>
          <w:p w14:paraId="555F1621" w14:textId="7CCFFCA9" w:rsidR="00E346B9" w:rsidRPr="00CA0804" w:rsidRDefault="00E346B9" w:rsidP="00E346B9">
            <w:pPr>
              <w:jc w:val="right"/>
              <w:rPr>
                <w:sz w:val="20"/>
                <w:szCs w:val="14"/>
              </w:rPr>
            </w:pPr>
            <w:r w:rsidRPr="00CA0804">
              <w:rPr>
                <w:sz w:val="20"/>
                <w:szCs w:val="20"/>
              </w:rPr>
              <w:t>6,3</w:t>
            </w:r>
          </w:p>
        </w:tc>
        <w:tc>
          <w:tcPr>
            <w:tcW w:w="1275" w:type="dxa"/>
            <w:vAlign w:val="center"/>
          </w:tcPr>
          <w:p w14:paraId="3BE0CD46" w14:textId="475174A7" w:rsidR="00E346B9" w:rsidRPr="00CA0804" w:rsidRDefault="00E346B9" w:rsidP="003525BA">
            <w:pPr>
              <w:jc w:val="right"/>
              <w:rPr>
                <w:sz w:val="20"/>
                <w:szCs w:val="14"/>
              </w:rPr>
            </w:pPr>
            <w:r w:rsidRPr="00CA0804">
              <w:rPr>
                <w:sz w:val="20"/>
                <w:szCs w:val="20"/>
              </w:rPr>
              <w:t>0,</w:t>
            </w:r>
            <w:r w:rsidR="003525BA" w:rsidRPr="00CA0804">
              <w:rPr>
                <w:sz w:val="20"/>
                <w:szCs w:val="20"/>
              </w:rPr>
              <w:t>06</w:t>
            </w:r>
          </w:p>
        </w:tc>
      </w:tr>
      <w:tr w:rsidR="00E346B9" w:rsidRPr="00CA0804" w14:paraId="11A1908F" w14:textId="77777777" w:rsidTr="00076E4A">
        <w:trPr>
          <w:trHeight w:val="40"/>
        </w:trPr>
        <w:tc>
          <w:tcPr>
            <w:tcW w:w="4106" w:type="dxa"/>
            <w:shd w:val="clear" w:color="auto" w:fill="auto"/>
            <w:noWrap/>
            <w:vAlign w:val="center"/>
            <w:hideMark/>
          </w:tcPr>
          <w:p w14:paraId="58278F4C" w14:textId="4975800D" w:rsidR="00E346B9" w:rsidRPr="00CA0804" w:rsidRDefault="00E346B9" w:rsidP="00E346B9">
            <w:pPr>
              <w:rPr>
                <w:rFonts w:eastAsia="Times New Roman"/>
                <w:bCs/>
                <w:sz w:val="20"/>
                <w:szCs w:val="20"/>
              </w:rPr>
            </w:pPr>
            <w:r w:rsidRPr="00CA0804">
              <w:rPr>
                <w:rFonts w:eastAsia="Times New Roman"/>
                <w:bCs/>
                <w:sz w:val="20"/>
                <w:szCs w:val="20"/>
                <w:lang w:eastAsia="hr-HR"/>
              </w:rPr>
              <w:t xml:space="preserve">A1 </w:t>
            </w:r>
            <w:r w:rsidRPr="00CA0804">
              <w:rPr>
                <w:rFonts w:eastAsia="Times New Roman"/>
                <w:sz w:val="20"/>
                <w:szCs w:val="20"/>
                <w:lang w:eastAsia="hr-HR"/>
              </w:rPr>
              <w:t>neposredna subvencija kamata</w:t>
            </w:r>
          </w:p>
        </w:tc>
        <w:tc>
          <w:tcPr>
            <w:tcW w:w="1276" w:type="dxa"/>
            <w:vAlign w:val="center"/>
          </w:tcPr>
          <w:p w14:paraId="00B13612" w14:textId="3535B6C7" w:rsidR="00E346B9" w:rsidRPr="00CA0804" w:rsidRDefault="00E346B9" w:rsidP="00E346B9">
            <w:pPr>
              <w:jc w:val="right"/>
              <w:rPr>
                <w:sz w:val="20"/>
                <w:szCs w:val="14"/>
              </w:rPr>
            </w:pPr>
            <w:r w:rsidRPr="00CA0804">
              <w:rPr>
                <w:sz w:val="20"/>
                <w:szCs w:val="20"/>
              </w:rPr>
              <w:t>7,6</w:t>
            </w:r>
          </w:p>
        </w:tc>
        <w:tc>
          <w:tcPr>
            <w:tcW w:w="1276" w:type="dxa"/>
            <w:vAlign w:val="center"/>
          </w:tcPr>
          <w:p w14:paraId="297413C0" w14:textId="0357240D" w:rsidR="00E346B9" w:rsidRPr="00CA0804" w:rsidRDefault="00E346B9" w:rsidP="00E346B9">
            <w:pPr>
              <w:jc w:val="right"/>
              <w:rPr>
                <w:sz w:val="20"/>
                <w:szCs w:val="14"/>
              </w:rPr>
            </w:pPr>
            <w:r w:rsidRPr="00CA0804">
              <w:rPr>
                <w:sz w:val="20"/>
                <w:szCs w:val="20"/>
              </w:rPr>
              <w:t>16,1</w:t>
            </w:r>
          </w:p>
        </w:tc>
        <w:tc>
          <w:tcPr>
            <w:tcW w:w="1275" w:type="dxa"/>
            <w:vAlign w:val="center"/>
          </w:tcPr>
          <w:p w14:paraId="652683F7" w14:textId="6E4ED995" w:rsidR="00E346B9" w:rsidRPr="00CA0804" w:rsidRDefault="00E346B9" w:rsidP="00E346B9">
            <w:pPr>
              <w:jc w:val="right"/>
              <w:rPr>
                <w:sz w:val="20"/>
                <w:szCs w:val="14"/>
              </w:rPr>
            </w:pPr>
            <w:r w:rsidRPr="00CA0804">
              <w:rPr>
                <w:sz w:val="20"/>
                <w:szCs w:val="20"/>
              </w:rPr>
              <w:t>-</w:t>
            </w:r>
          </w:p>
        </w:tc>
      </w:tr>
      <w:tr w:rsidR="00E346B9" w:rsidRPr="00CA0804" w14:paraId="3C2532DF" w14:textId="77777777" w:rsidTr="00076E4A">
        <w:trPr>
          <w:trHeight w:val="40"/>
        </w:trPr>
        <w:tc>
          <w:tcPr>
            <w:tcW w:w="4106" w:type="dxa"/>
            <w:shd w:val="clear" w:color="auto" w:fill="auto"/>
            <w:noWrap/>
            <w:vAlign w:val="center"/>
          </w:tcPr>
          <w:p w14:paraId="2158BBC1" w14:textId="56EE20B6" w:rsidR="00E346B9" w:rsidRPr="00CA0804" w:rsidRDefault="00E346B9" w:rsidP="00E346B9">
            <w:pPr>
              <w:rPr>
                <w:rFonts w:eastAsia="Times New Roman"/>
                <w:bCs/>
                <w:sz w:val="20"/>
                <w:szCs w:val="20"/>
                <w:lang w:eastAsia="hr-HR"/>
              </w:rPr>
            </w:pPr>
            <w:r w:rsidRPr="00CA0804">
              <w:rPr>
                <w:rFonts w:eastAsia="Times New Roman"/>
                <w:bCs/>
                <w:sz w:val="20"/>
                <w:szCs w:val="20"/>
                <w:lang w:eastAsia="hr-HR"/>
              </w:rPr>
              <w:t xml:space="preserve">A2 </w:t>
            </w:r>
            <w:r w:rsidRPr="00CA0804">
              <w:rPr>
                <w:rFonts w:eastAsia="Times New Roman"/>
                <w:sz w:val="20"/>
                <w:szCs w:val="20"/>
                <w:lang w:eastAsia="hr-HR"/>
              </w:rPr>
              <w:t>otpis duga</w:t>
            </w:r>
          </w:p>
        </w:tc>
        <w:tc>
          <w:tcPr>
            <w:tcW w:w="1276" w:type="dxa"/>
            <w:vAlign w:val="center"/>
          </w:tcPr>
          <w:p w14:paraId="64279CC0" w14:textId="32169571" w:rsidR="00E346B9" w:rsidRPr="00CA0804" w:rsidRDefault="00E346B9" w:rsidP="00E346B9">
            <w:pPr>
              <w:jc w:val="right"/>
              <w:rPr>
                <w:sz w:val="20"/>
                <w:szCs w:val="14"/>
              </w:rPr>
            </w:pPr>
            <w:r w:rsidRPr="00CA0804">
              <w:rPr>
                <w:sz w:val="20"/>
                <w:szCs w:val="20"/>
              </w:rPr>
              <w:t>-</w:t>
            </w:r>
          </w:p>
        </w:tc>
        <w:tc>
          <w:tcPr>
            <w:tcW w:w="1276" w:type="dxa"/>
            <w:vAlign w:val="center"/>
          </w:tcPr>
          <w:p w14:paraId="5EB55015" w14:textId="0972B844" w:rsidR="00E346B9" w:rsidRPr="00CA0804" w:rsidRDefault="00E346B9" w:rsidP="00E346B9">
            <w:pPr>
              <w:jc w:val="right"/>
              <w:rPr>
                <w:sz w:val="20"/>
                <w:szCs w:val="14"/>
              </w:rPr>
            </w:pPr>
            <w:r w:rsidRPr="00CA0804">
              <w:rPr>
                <w:sz w:val="20"/>
                <w:szCs w:val="20"/>
              </w:rPr>
              <w:t>14,3</w:t>
            </w:r>
          </w:p>
        </w:tc>
        <w:tc>
          <w:tcPr>
            <w:tcW w:w="1275" w:type="dxa"/>
            <w:vAlign w:val="center"/>
          </w:tcPr>
          <w:p w14:paraId="6CCE29C4" w14:textId="3C8BC95E" w:rsidR="00E346B9" w:rsidRPr="00CA0804" w:rsidRDefault="00E346B9" w:rsidP="00E346B9">
            <w:pPr>
              <w:jc w:val="right"/>
              <w:rPr>
                <w:sz w:val="20"/>
                <w:szCs w:val="14"/>
              </w:rPr>
            </w:pPr>
            <w:r w:rsidRPr="00CA0804">
              <w:rPr>
                <w:sz w:val="20"/>
                <w:szCs w:val="20"/>
              </w:rPr>
              <w:t>-</w:t>
            </w:r>
          </w:p>
        </w:tc>
      </w:tr>
      <w:tr w:rsidR="00E346B9" w:rsidRPr="00CA0804" w14:paraId="01147702" w14:textId="77777777" w:rsidTr="00076E4A">
        <w:trPr>
          <w:trHeight w:val="40"/>
        </w:trPr>
        <w:tc>
          <w:tcPr>
            <w:tcW w:w="4106" w:type="dxa"/>
            <w:shd w:val="clear" w:color="auto" w:fill="auto"/>
            <w:noWrap/>
            <w:vAlign w:val="center"/>
          </w:tcPr>
          <w:p w14:paraId="45E8E909" w14:textId="338ECA90" w:rsidR="00E346B9" w:rsidRPr="00CA0804" w:rsidRDefault="00E346B9" w:rsidP="00E346B9">
            <w:pPr>
              <w:rPr>
                <w:rFonts w:eastAsia="Times New Roman"/>
                <w:bCs/>
                <w:sz w:val="20"/>
                <w:szCs w:val="20"/>
                <w:lang w:eastAsia="hr-HR"/>
              </w:rPr>
            </w:pPr>
            <w:r w:rsidRPr="00CA0804">
              <w:rPr>
                <w:rFonts w:eastAsia="Times New Roman"/>
                <w:bCs/>
                <w:sz w:val="20"/>
                <w:szCs w:val="20"/>
                <w:lang w:eastAsia="hr-HR"/>
              </w:rPr>
              <w:t>A2 porezne olakšice</w:t>
            </w:r>
          </w:p>
        </w:tc>
        <w:tc>
          <w:tcPr>
            <w:tcW w:w="1276" w:type="dxa"/>
            <w:vAlign w:val="center"/>
          </w:tcPr>
          <w:p w14:paraId="1340DF14" w14:textId="12B33EEA" w:rsidR="00E346B9" w:rsidRPr="00CA0804" w:rsidRDefault="00E346B9" w:rsidP="00E346B9">
            <w:pPr>
              <w:jc w:val="right"/>
              <w:rPr>
                <w:sz w:val="20"/>
                <w:szCs w:val="20"/>
              </w:rPr>
            </w:pPr>
            <w:r w:rsidRPr="00CA0804">
              <w:rPr>
                <w:sz w:val="20"/>
                <w:szCs w:val="20"/>
              </w:rPr>
              <w:t>0,005</w:t>
            </w:r>
          </w:p>
        </w:tc>
        <w:tc>
          <w:tcPr>
            <w:tcW w:w="1276" w:type="dxa"/>
            <w:vAlign w:val="center"/>
          </w:tcPr>
          <w:p w14:paraId="3ABACFD1" w14:textId="01815A39" w:rsidR="00E346B9" w:rsidRPr="00CA0804" w:rsidRDefault="00E346B9" w:rsidP="00E346B9">
            <w:pPr>
              <w:jc w:val="right"/>
              <w:rPr>
                <w:sz w:val="20"/>
                <w:szCs w:val="20"/>
              </w:rPr>
            </w:pPr>
            <w:r w:rsidRPr="00CA0804">
              <w:rPr>
                <w:sz w:val="20"/>
                <w:szCs w:val="20"/>
              </w:rPr>
              <w:t>-</w:t>
            </w:r>
          </w:p>
        </w:tc>
        <w:tc>
          <w:tcPr>
            <w:tcW w:w="1275" w:type="dxa"/>
            <w:vAlign w:val="center"/>
          </w:tcPr>
          <w:p w14:paraId="2BC35EB1" w14:textId="5A6EED8F" w:rsidR="00E346B9" w:rsidRPr="00CA0804" w:rsidRDefault="00E346B9" w:rsidP="00E346B9">
            <w:pPr>
              <w:jc w:val="right"/>
              <w:rPr>
                <w:sz w:val="20"/>
                <w:szCs w:val="20"/>
              </w:rPr>
            </w:pPr>
            <w:r w:rsidRPr="00CA0804">
              <w:rPr>
                <w:sz w:val="20"/>
                <w:szCs w:val="20"/>
              </w:rPr>
              <w:t>-</w:t>
            </w:r>
          </w:p>
        </w:tc>
      </w:tr>
      <w:tr w:rsidR="00E346B9" w:rsidRPr="00CA0804" w14:paraId="7371F2F7" w14:textId="77777777" w:rsidTr="00076E4A">
        <w:trPr>
          <w:trHeight w:val="40"/>
        </w:trPr>
        <w:tc>
          <w:tcPr>
            <w:tcW w:w="4106" w:type="dxa"/>
            <w:shd w:val="clear" w:color="auto" w:fill="auto"/>
            <w:noWrap/>
            <w:vAlign w:val="center"/>
          </w:tcPr>
          <w:p w14:paraId="75F25FBF" w14:textId="3BBE4E5C" w:rsidR="00E346B9" w:rsidRPr="00CA0804" w:rsidRDefault="00E346B9" w:rsidP="00E346B9">
            <w:pPr>
              <w:rPr>
                <w:rFonts w:eastAsia="Times New Roman"/>
                <w:bCs/>
                <w:sz w:val="20"/>
                <w:szCs w:val="20"/>
              </w:rPr>
            </w:pPr>
            <w:r w:rsidRPr="00CA0804">
              <w:rPr>
                <w:sz w:val="20"/>
                <w:szCs w:val="20"/>
              </w:rPr>
              <w:t>B1 kapitalna ulaganja</w:t>
            </w:r>
          </w:p>
        </w:tc>
        <w:tc>
          <w:tcPr>
            <w:tcW w:w="1276" w:type="dxa"/>
            <w:vAlign w:val="center"/>
          </w:tcPr>
          <w:p w14:paraId="6E501C38" w14:textId="23DC67CD" w:rsidR="00E346B9" w:rsidRPr="00CA0804" w:rsidRDefault="00E346B9" w:rsidP="00E346B9">
            <w:pPr>
              <w:jc w:val="right"/>
              <w:rPr>
                <w:sz w:val="20"/>
                <w:szCs w:val="14"/>
              </w:rPr>
            </w:pPr>
            <w:r w:rsidRPr="00CA0804">
              <w:rPr>
                <w:sz w:val="20"/>
                <w:szCs w:val="20"/>
              </w:rPr>
              <w:t>51,8</w:t>
            </w:r>
          </w:p>
        </w:tc>
        <w:tc>
          <w:tcPr>
            <w:tcW w:w="1276" w:type="dxa"/>
            <w:vAlign w:val="center"/>
          </w:tcPr>
          <w:p w14:paraId="125777AC" w14:textId="26E80352" w:rsidR="00E346B9" w:rsidRPr="00CA0804" w:rsidRDefault="00E346B9" w:rsidP="00E346B9">
            <w:pPr>
              <w:jc w:val="right"/>
              <w:rPr>
                <w:sz w:val="20"/>
                <w:szCs w:val="14"/>
              </w:rPr>
            </w:pPr>
            <w:r w:rsidRPr="00CA0804">
              <w:rPr>
                <w:sz w:val="20"/>
                <w:szCs w:val="20"/>
              </w:rPr>
              <w:t>-</w:t>
            </w:r>
          </w:p>
        </w:tc>
        <w:tc>
          <w:tcPr>
            <w:tcW w:w="1275" w:type="dxa"/>
            <w:vAlign w:val="center"/>
          </w:tcPr>
          <w:p w14:paraId="4096C78B" w14:textId="3D3119D5" w:rsidR="00E346B9" w:rsidRPr="00CA0804" w:rsidRDefault="00E346B9" w:rsidP="00E346B9">
            <w:pPr>
              <w:jc w:val="right"/>
              <w:rPr>
                <w:sz w:val="20"/>
                <w:szCs w:val="14"/>
              </w:rPr>
            </w:pPr>
            <w:r w:rsidRPr="00CA0804">
              <w:rPr>
                <w:sz w:val="20"/>
                <w:szCs w:val="20"/>
              </w:rPr>
              <w:t>-</w:t>
            </w:r>
          </w:p>
        </w:tc>
      </w:tr>
      <w:tr w:rsidR="00E346B9" w:rsidRPr="00CA0804" w14:paraId="4CBC0579" w14:textId="77777777" w:rsidTr="00076E4A">
        <w:trPr>
          <w:trHeight w:val="40"/>
        </w:trPr>
        <w:tc>
          <w:tcPr>
            <w:tcW w:w="4106" w:type="dxa"/>
            <w:shd w:val="clear" w:color="auto" w:fill="auto"/>
            <w:noWrap/>
            <w:vAlign w:val="center"/>
          </w:tcPr>
          <w:p w14:paraId="766687FF" w14:textId="0ED0FEE2" w:rsidR="00E346B9" w:rsidRPr="00CA0804" w:rsidRDefault="00E346B9" w:rsidP="00E346B9">
            <w:pPr>
              <w:rPr>
                <w:rFonts w:eastAsia="Times New Roman"/>
                <w:bCs/>
                <w:sz w:val="20"/>
                <w:szCs w:val="20"/>
              </w:rPr>
            </w:pPr>
            <w:r w:rsidRPr="00CA0804">
              <w:rPr>
                <w:rFonts w:eastAsia="Times New Roman"/>
                <w:bCs/>
                <w:sz w:val="20"/>
                <w:szCs w:val="20"/>
              </w:rPr>
              <w:t xml:space="preserve">C1 </w:t>
            </w:r>
            <w:r w:rsidRPr="00CA0804">
              <w:rPr>
                <w:rFonts w:eastAsia="Times New Roman"/>
                <w:sz w:val="20"/>
                <w:szCs w:val="20"/>
              </w:rPr>
              <w:t>povoljni zajmovi</w:t>
            </w:r>
          </w:p>
        </w:tc>
        <w:tc>
          <w:tcPr>
            <w:tcW w:w="1276" w:type="dxa"/>
            <w:vAlign w:val="center"/>
          </w:tcPr>
          <w:p w14:paraId="567C4163" w14:textId="3DFEFD66" w:rsidR="00E346B9" w:rsidRPr="00CA0804" w:rsidRDefault="00E346B9" w:rsidP="00E346B9">
            <w:pPr>
              <w:jc w:val="right"/>
              <w:rPr>
                <w:sz w:val="20"/>
                <w:szCs w:val="14"/>
              </w:rPr>
            </w:pPr>
            <w:r w:rsidRPr="00CA0804">
              <w:rPr>
                <w:sz w:val="20"/>
                <w:szCs w:val="20"/>
              </w:rPr>
              <w:t>85,1</w:t>
            </w:r>
          </w:p>
        </w:tc>
        <w:tc>
          <w:tcPr>
            <w:tcW w:w="1276" w:type="dxa"/>
            <w:vAlign w:val="center"/>
          </w:tcPr>
          <w:p w14:paraId="77E567A0" w14:textId="51F8674B" w:rsidR="00E346B9" w:rsidRPr="00CA0804" w:rsidRDefault="00E346B9" w:rsidP="00E346B9">
            <w:pPr>
              <w:jc w:val="right"/>
              <w:rPr>
                <w:sz w:val="20"/>
                <w:szCs w:val="14"/>
              </w:rPr>
            </w:pPr>
            <w:r w:rsidRPr="00CA0804">
              <w:rPr>
                <w:sz w:val="20"/>
                <w:szCs w:val="20"/>
              </w:rPr>
              <w:t>127,4</w:t>
            </w:r>
          </w:p>
        </w:tc>
        <w:tc>
          <w:tcPr>
            <w:tcW w:w="1275" w:type="dxa"/>
            <w:vAlign w:val="center"/>
          </w:tcPr>
          <w:p w14:paraId="36C55E36" w14:textId="222E368F" w:rsidR="00E346B9" w:rsidRPr="00CA0804" w:rsidRDefault="00E346B9" w:rsidP="00E346B9">
            <w:pPr>
              <w:jc w:val="right"/>
              <w:rPr>
                <w:sz w:val="20"/>
                <w:szCs w:val="14"/>
              </w:rPr>
            </w:pPr>
            <w:r w:rsidRPr="00CA0804">
              <w:rPr>
                <w:sz w:val="20"/>
                <w:szCs w:val="20"/>
              </w:rPr>
              <w:t>2,5</w:t>
            </w:r>
          </w:p>
        </w:tc>
      </w:tr>
      <w:tr w:rsidR="00E346B9" w:rsidRPr="00CA0804" w14:paraId="36FDB7BD" w14:textId="77777777" w:rsidTr="00076E4A">
        <w:trPr>
          <w:trHeight w:val="40"/>
        </w:trPr>
        <w:tc>
          <w:tcPr>
            <w:tcW w:w="4106" w:type="dxa"/>
            <w:shd w:val="clear" w:color="auto" w:fill="auto"/>
            <w:noWrap/>
            <w:vAlign w:val="center"/>
          </w:tcPr>
          <w:p w14:paraId="502555CA" w14:textId="02CEE751" w:rsidR="00E346B9" w:rsidRPr="00CA0804" w:rsidRDefault="00E346B9" w:rsidP="00E346B9">
            <w:pPr>
              <w:rPr>
                <w:rFonts w:eastAsia="Times New Roman"/>
                <w:bCs/>
                <w:sz w:val="20"/>
                <w:szCs w:val="20"/>
              </w:rPr>
            </w:pPr>
            <w:r w:rsidRPr="00CA0804">
              <w:rPr>
                <w:rFonts w:eastAsia="Times New Roman"/>
                <w:bCs/>
                <w:sz w:val="20"/>
                <w:szCs w:val="20"/>
              </w:rPr>
              <w:t>D</w:t>
            </w:r>
            <w:r w:rsidRPr="00CA0804">
              <w:rPr>
                <w:rFonts w:eastAsia="Times New Roman"/>
                <w:sz w:val="20"/>
                <w:szCs w:val="20"/>
              </w:rPr>
              <w:t xml:space="preserve"> jamstva</w:t>
            </w:r>
          </w:p>
        </w:tc>
        <w:tc>
          <w:tcPr>
            <w:tcW w:w="1276" w:type="dxa"/>
            <w:vAlign w:val="center"/>
          </w:tcPr>
          <w:p w14:paraId="4358FB6D" w14:textId="0E70F8FD" w:rsidR="00E346B9" w:rsidRPr="00CA0804" w:rsidRDefault="00E346B9" w:rsidP="00E346B9">
            <w:pPr>
              <w:jc w:val="right"/>
              <w:rPr>
                <w:sz w:val="20"/>
                <w:szCs w:val="14"/>
              </w:rPr>
            </w:pPr>
            <w:r w:rsidRPr="00CA0804">
              <w:rPr>
                <w:sz w:val="20"/>
                <w:szCs w:val="20"/>
              </w:rPr>
              <w:t>207,1</w:t>
            </w:r>
          </w:p>
        </w:tc>
        <w:tc>
          <w:tcPr>
            <w:tcW w:w="1276" w:type="dxa"/>
            <w:vAlign w:val="center"/>
          </w:tcPr>
          <w:p w14:paraId="47B264A8" w14:textId="44DC910B" w:rsidR="00E346B9" w:rsidRPr="00CA0804" w:rsidRDefault="00E346B9" w:rsidP="00E346B9">
            <w:pPr>
              <w:jc w:val="right"/>
              <w:rPr>
                <w:sz w:val="20"/>
                <w:szCs w:val="14"/>
              </w:rPr>
            </w:pPr>
            <w:r w:rsidRPr="00CA0804">
              <w:rPr>
                <w:sz w:val="20"/>
                <w:szCs w:val="20"/>
              </w:rPr>
              <w:t>392,5</w:t>
            </w:r>
          </w:p>
        </w:tc>
        <w:tc>
          <w:tcPr>
            <w:tcW w:w="1275" w:type="dxa"/>
            <w:vAlign w:val="center"/>
          </w:tcPr>
          <w:p w14:paraId="21CC55A1" w14:textId="2D5AC15B" w:rsidR="00E346B9" w:rsidRPr="00CA0804" w:rsidRDefault="00E346B9" w:rsidP="00E346B9">
            <w:pPr>
              <w:jc w:val="right"/>
              <w:rPr>
                <w:sz w:val="20"/>
                <w:szCs w:val="14"/>
              </w:rPr>
            </w:pPr>
            <w:r w:rsidRPr="00CA0804">
              <w:rPr>
                <w:sz w:val="20"/>
                <w:szCs w:val="20"/>
              </w:rPr>
              <w:t>-</w:t>
            </w:r>
          </w:p>
        </w:tc>
      </w:tr>
      <w:tr w:rsidR="00E346B9" w:rsidRPr="00CA0804" w14:paraId="21758B4D" w14:textId="77777777" w:rsidTr="00076E4A">
        <w:trPr>
          <w:trHeight w:val="40"/>
        </w:trPr>
        <w:tc>
          <w:tcPr>
            <w:tcW w:w="4106" w:type="dxa"/>
            <w:shd w:val="clear" w:color="000000" w:fill="FFFF99"/>
            <w:noWrap/>
            <w:vAlign w:val="center"/>
            <w:hideMark/>
          </w:tcPr>
          <w:p w14:paraId="7E337671" w14:textId="77777777" w:rsidR="00E346B9" w:rsidRPr="00CA0804" w:rsidRDefault="00E346B9" w:rsidP="00E346B9">
            <w:pPr>
              <w:rPr>
                <w:rFonts w:eastAsia="Times New Roman"/>
                <w:b/>
                <w:bCs/>
                <w:sz w:val="20"/>
                <w:szCs w:val="20"/>
              </w:rPr>
            </w:pPr>
            <w:r w:rsidRPr="00CA0804">
              <w:rPr>
                <w:rFonts w:eastAsia="Times New Roman"/>
                <w:b/>
                <w:bCs/>
                <w:sz w:val="20"/>
                <w:szCs w:val="20"/>
              </w:rPr>
              <w:t>UKUPNO</w:t>
            </w:r>
          </w:p>
        </w:tc>
        <w:tc>
          <w:tcPr>
            <w:tcW w:w="1276" w:type="dxa"/>
            <w:shd w:val="clear" w:color="000000" w:fill="FFFF99"/>
            <w:vAlign w:val="center"/>
          </w:tcPr>
          <w:p w14:paraId="1753CB9C" w14:textId="3E838D9B" w:rsidR="00E346B9" w:rsidRPr="00CA0804" w:rsidRDefault="00E346B9" w:rsidP="00E346B9">
            <w:pPr>
              <w:jc w:val="right"/>
              <w:rPr>
                <w:b/>
                <w:sz w:val="20"/>
                <w:szCs w:val="14"/>
              </w:rPr>
            </w:pPr>
            <w:r w:rsidRPr="00CA0804">
              <w:rPr>
                <w:b/>
                <w:sz w:val="20"/>
                <w:szCs w:val="20"/>
              </w:rPr>
              <w:t>1.110,2</w:t>
            </w:r>
          </w:p>
        </w:tc>
        <w:tc>
          <w:tcPr>
            <w:tcW w:w="1276" w:type="dxa"/>
            <w:shd w:val="clear" w:color="000000" w:fill="FFFF99"/>
            <w:vAlign w:val="center"/>
          </w:tcPr>
          <w:p w14:paraId="04B6CB36" w14:textId="399C9B92" w:rsidR="00E346B9" w:rsidRPr="00CA0804" w:rsidRDefault="00E346B9" w:rsidP="00E346B9">
            <w:pPr>
              <w:jc w:val="right"/>
              <w:rPr>
                <w:b/>
                <w:sz w:val="20"/>
                <w:szCs w:val="14"/>
              </w:rPr>
            </w:pPr>
            <w:r w:rsidRPr="00CA0804">
              <w:rPr>
                <w:b/>
                <w:sz w:val="20"/>
                <w:szCs w:val="20"/>
              </w:rPr>
              <w:t>556,6</w:t>
            </w:r>
          </w:p>
        </w:tc>
        <w:tc>
          <w:tcPr>
            <w:tcW w:w="1275" w:type="dxa"/>
            <w:shd w:val="clear" w:color="000000" w:fill="FFFF99"/>
            <w:vAlign w:val="center"/>
          </w:tcPr>
          <w:p w14:paraId="739E782F" w14:textId="1F289EC4" w:rsidR="00E346B9" w:rsidRPr="00CA0804" w:rsidRDefault="00E346B9" w:rsidP="00E346B9">
            <w:pPr>
              <w:jc w:val="right"/>
              <w:rPr>
                <w:b/>
                <w:sz w:val="20"/>
                <w:szCs w:val="14"/>
              </w:rPr>
            </w:pPr>
            <w:r w:rsidRPr="00CA0804">
              <w:rPr>
                <w:b/>
                <w:sz w:val="20"/>
                <w:szCs w:val="20"/>
              </w:rPr>
              <w:t>2,5</w:t>
            </w:r>
          </w:p>
        </w:tc>
      </w:tr>
      <w:tr w:rsidR="00E346B9" w:rsidRPr="00CA0804" w14:paraId="433B770B" w14:textId="77777777" w:rsidTr="00076E4A">
        <w:trPr>
          <w:trHeight w:val="40"/>
        </w:trPr>
        <w:tc>
          <w:tcPr>
            <w:tcW w:w="4106" w:type="dxa"/>
            <w:shd w:val="clear" w:color="auto" w:fill="auto"/>
            <w:vAlign w:val="center"/>
            <w:hideMark/>
          </w:tcPr>
          <w:p w14:paraId="356DD5ED" w14:textId="37D0190F" w:rsidR="00E346B9" w:rsidRPr="00CA0804" w:rsidRDefault="00E346B9" w:rsidP="00E346B9">
            <w:pPr>
              <w:rPr>
                <w:rFonts w:eastAsia="Times New Roman"/>
                <w:sz w:val="20"/>
                <w:szCs w:val="20"/>
              </w:rPr>
            </w:pPr>
            <w:r w:rsidRPr="00CA0804">
              <w:rPr>
                <w:sz w:val="20"/>
                <w:szCs w:val="20"/>
              </w:rPr>
              <w:t>udio (%) u ukupnim potporama (bez poljoprivrede i ribarstva)</w:t>
            </w:r>
          </w:p>
        </w:tc>
        <w:tc>
          <w:tcPr>
            <w:tcW w:w="1276" w:type="dxa"/>
            <w:vAlign w:val="center"/>
          </w:tcPr>
          <w:p w14:paraId="51B4AD7A" w14:textId="2385F85D" w:rsidR="00E346B9" w:rsidRPr="00CA0804" w:rsidRDefault="00E346B9" w:rsidP="00E346B9">
            <w:pPr>
              <w:jc w:val="center"/>
              <w:rPr>
                <w:sz w:val="20"/>
                <w:szCs w:val="14"/>
              </w:rPr>
            </w:pPr>
            <w:r w:rsidRPr="00CA0804">
              <w:rPr>
                <w:sz w:val="20"/>
                <w:szCs w:val="20"/>
              </w:rPr>
              <w:t>54,17</w:t>
            </w:r>
          </w:p>
        </w:tc>
        <w:tc>
          <w:tcPr>
            <w:tcW w:w="1276" w:type="dxa"/>
            <w:vAlign w:val="center"/>
          </w:tcPr>
          <w:p w14:paraId="1B700CFF" w14:textId="3F73E606" w:rsidR="00E346B9" w:rsidRPr="00CA0804" w:rsidRDefault="00E346B9" w:rsidP="00E346B9">
            <w:pPr>
              <w:jc w:val="center"/>
              <w:rPr>
                <w:sz w:val="20"/>
                <w:szCs w:val="14"/>
              </w:rPr>
            </w:pPr>
            <w:r w:rsidRPr="00CA0804">
              <w:rPr>
                <w:sz w:val="20"/>
                <w:szCs w:val="20"/>
              </w:rPr>
              <w:t>28,29</w:t>
            </w:r>
          </w:p>
        </w:tc>
        <w:tc>
          <w:tcPr>
            <w:tcW w:w="1275" w:type="dxa"/>
            <w:vAlign w:val="center"/>
          </w:tcPr>
          <w:p w14:paraId="34AF46CA" w14:textId="77E0D5E6" w:rsidR="00E346B9" w:rsidRPr="00CA0804" w:rsidRDefault="00E346B9" w:rsidP="00E346B9">
            <w:pPr>
              <w:jc w:val="center"/>
              <w:rPr>
                <w:sz w:val="20"/>
                <w:szCs w:val="14"/>
              </w:rPr>
            </w:pPr>
            <w:r w:rsidRPr="00CA0804">
              <w:rPr>
                <w:sz w:val="20"/>
                <w:szCs w:val="20"/>
              </w:rPr>
              <w:t>0,19</w:t>
            </w:r>
          </w:p>
        </w:tc>
      </w:tr>
      <w:tr w:rsidR="00E346B9" w:rsidRPr="00CA0804" w14:paraId="16B4328C" w14:textId="77777777" w:rsidTr="00076E4A">
        <w:trPr>
          <w:trHeight w:val="90"/>
        </w:trPr>
        <w:tc>
          <w:tcPr>
            <w:tcW w:w="4106" w:type="dxa"/>
            <w:shd w:val="clear" w:color="auto" w:fill="auto"/>
            <w:vAlign w:val="center"/>
            <w:hideMark/>
          </w:tcPr>
          <w:p w14:paraId="5B52BBA8" w14:textId="45CFC4D6" w:rsidR="00E346B9" w:rsidRPr="00CA0804" w:rsidRDefault="00E346B9" w:rsidP="00E346B9">
            <w:pPr>
              <w:rPr>
                <w:rFonts w:eastAsia="Times New Roman"/>
                <w:sz w:val="20"/>
                <w:szCs w:val="20"/>
              </w:rPr>
            </w:pPr>
            <w:r w:rsidRPr="00CA0804">
              <w:rPr>
                <w:sz w:val="20"/>
                <w:szCs w:val="20"/>
              </w:rPr>
              <w:t>udio (%) u ukupnim potporama</w:t>
            </w:r>
          </w:p>
        </w:tc>
        <w:tc>
          <w:tcPr>
            <w:tcW w:w="1276" w:type="dxa"/>
            <w:vAlign w:val="center"/>
          </w:tcPr>
          <w:p w14:paraId="0FF613FF" w14:textId="0B48455A" w:rsidR="00E346B9" w:rsidRPr="00CA0804" w:rsidRDefault="00E346B9" w:rsidP="00E346B9">
            <w:pPr>
              <w:jc w:val="center"/>
              <w:rPr>
                <w:sz w:val="20"/>
                <w:szCs w:val="14"/>
              </w:rPr>
            </w:pPr>
            <w:r w:rsidRPr="00CA0804">
              <w:rPr>
                <w:sz w:val="20"/>
                <w:szCs w:val="20"/>
              </w:rPr>
              <w:t>51,79</w:t>
            </w:r>
          </w:p>
        </w:tc>
        <w:tc>
          <w:tcPr>
            <w:tcW w:w="1276" w:type="dxa"/>
            <w:vAlign w:val="center"/>
          </w:tcPr>
          <w:p w14:paraId="6E69C9B1" w14:textId="0A4BD0CE" w:rsidR="00E346B9" w:rsidRPr="00CA0804" w:rsidRDefault="00E346B9" w:rsidP="00E346B9">
            <w:pPr>
              <w:jc w:val="center"/>
              <w:rPr>
                <w:sz w:val="20"/>
                <w:szCs w:val="14"/>
              </w:rPr>
            </w:pPr>
            <w:r w:rsidRPr="00CA0804">
              <w:rPr>
                <w:sz w:val="20"/>
                <w:szCs w:val="20"/>
              </w:rPr>
              <w:t>26,75</w:t>
            </w:r>
          </w:p>
        </w:tc>
        <w:tc>
          <w:tcPr>
            <w:tcW w:w="1275" w:type="dxa"/>
            <w:vAlign w:val="center"/>
          </w:tcPr>
          <w:p w14:paraId="6B6B8402" w14:textId="2EBDB399" w:rsidR="00E346B9" w:rsidRPr="00CA0804" w:rsidRDefault="00E346B9" w:rsidP="00E346B9">
            <w:pPr>
              <w:jc w:val="center"/>
              <w:rPr>
                <w:sz w:val="20"/>
                <w:szCs w:val="14"/>
              </w:rPr>
            </w:pPr>
            <w:r w:rsidRPr="00CA0804">
              <w:rPr>
                <w:sz w:val="20"/>
                <w:szCs w:val="20"/>
              </w:rPr>
              <w:t>0,17</w:t>
            </w:r>
          </w:p>
        </w:tc>
      </w:tr>
      <w:tr w:rsidR="00E346B9" w:rsidRPr="00CA0804" w14:paraId="0B9D82AD" w14:textId="77777777" w:rsidTr="00076E4A">
        <w:trPr>
          <w:trHeight w:val="40"/>
        </w:trPr>
        <w:tc>
          <w:tcPr>
            <w:tcW w:w="4106" w:type="dxa"/>
            <w:shd w:val="clear" w:color="auto" w:fill="auto"/>
            <w:vAlign w:val="center"/>
            <w:hideMark/>
          </w:tcPr>
          <w:p w14:paraId="1A03D50A" w14:textId="13EF3708" w:rsidR="00E346B9" w:rsidRPr="00CA0804" w:rsidRDefault="00E346B9" w:rsidP="00E346B9">
            <w:pPr>
              <w:rPr>
                <w:rFonts w:eastAsia="Times New Roman"/>
                <w:sz w:val="20"/>
                <w:szCs w:val="20"/>
              </w:rPr>
            </w:pPr>
            <w:r w:rsidRPr="00CA0804">
              <w:rPr>
                <w:sz w:val="20"/>
                <w:szCs w:val="20"/>
              </w:rPr>
              <w:t>udio (%) u BDP-u</w:t>
            </w:r>
          </w:p>
        </w:tc>
        <w:tc>
          <w:tcPr>
            <w:tcW w:w="1276" w:type="dxa"/>
            <w:vAlign w:val="center"/>
          </w:tcPr>
          <w:p w14:paraId="2010B29B" w14:textId="13D01622" w:rsidR="00E346B9" w:rsidRPr="00CA0804" w:rsidRDefault="00E346B9" w:rsidP="00E346B9">
            <w:pPr>
              <w:jc w:val="center"/>
              <w:rPr>
                <w:sz w:val="20"/>
                <w:szCs w:val="14"/>
              </w:rPr>
            </w:pPr>
            <w:r w:rsidRPr="00CA0804">
              <w:rPr>
                <w:sz w:val="20"/>
                <w:szCs w:val="20"/>
              </w:rPr>
              <w:t>1,64</w:t>
            </w:r>
          </w:p>
        </w:tc>
        <w:tc>
          <w:tcPr>
            <w:tcW w:w="1276" w:type="dxa"/>
            <w:vAlign w:val="center"/>
          </w:tcPr>
          <w:p w14:paraId="3BA0B335" w14:textId="2F5E84ED" w:rsidR="00E346B9" w:rsidRPr="00CA0804" w:rsidRDefault="00E346B9" w:rsidP="00E346B9">
            <w:pPr>
              <w:jc w:val="center"/>
              <w:rPr>
                <w:sz w:val="20"/>
                <w:szCs w:val="14"/>
              </w:rPr>
            </w:pPr>
            <w:r w:rsidRPr="00CA0804">
              <w:rPr>
                <w:sz w:val="20"/>
                <w:szCs w:val="20"/>
              </w:rPr>
              <w:t>0,71</w:t>
            </w:r>
          </w:p>
        </w:tc>
        <w:tc>
          <w:tcPr>
            <w:tcW w:w="1275" w:type="dxa"/>
            <w:vAlign w:val="center"/>
          </w:tcPr>
          <w:p w14:paraId="1F07DC5C" w14:textId="1EB2F06E" w:rsidR="00E346B9" w:rsidRPr="00CA0804" w:rsidRDefault="00E346B9" w:rsidP="00E346B9">
            <w:pPr>
              <w:jc w:val="center"/>
              <w:rPr>
                <w:sz w:val="20"/>
                <w:szCs w:val="14"/>
              </w:rPr>
            </w:pPr>
            <w:r w:rsidRPr="00CA0804">
              <w:rPr>
                <w:sz w:val="20"/>
                <w:szCs w:val="20"/>
              </w:rPr>
              <w:t>0,003</w:t>
            </w:r>
          </w:p>
        </w:tc>
      </w:tr>
    </w:tbl>
    <w:p w14:paraId="2ED92A76" w14:textId="77777777" w:rsidR="00231149" w:rsidRPr="00CA0804" w:rsidRDefault="00231149" w:rsidP="00231149">
      <w:pPr>
        <w:contextualSpacing/>
        <w:jc w:val="both"/>
        <w:rPr>
          <w:i/>
          <w:sz w:val="20"/>
        </w:rPr>
      </w:pPr>
      <w:r w:rsidRPr="00CA0804">
        <w:rPr>
          <w:i/>
          <w:sz w:val="20"/>
        </w:rPr>
        <w:t>Izvor: Ministarstvo financija i davatelji potpora; podaci obrađeni u Ministarstvu financija</w:t>
      </w:r>
    </w:p>
    <w:p w14:paraId="5C3EC276" w14:textId="77777777" w:rsidR="00231149" w:rsidRPr="00CA0804" w:rsidRDefault="00231149" w:rsidP="00231149">
      <w:pPr>
        <w:jc w:val="both"/>
        <w:rPr>
          <w:i/>
          <w:sz w:val="20"/>
        </w:rPr>
      </w:pPr>
      <w:r w:rsidRPr="00CA0804">
        <w:rPr>
          <w:i/>
          <w:sz w:val="20"/>
        </w:rPr>
        <w:t xml:space="preserve">*Potpore za suzbijanje učinaka COVID-a i ruske agresije na Ukrajinu su potpore dodijeljene prema Privremenim okvirima: Privremeni okvir za dodjelu potpora gospodarstvu za suzbijanje učinaka COVID-a 19 i Privremeni okvir za dodjelu potpora za suzbijanje učinaka ruske agresije na Ukrajinu </w:t>
      </w:r>
    </w:p>
    <w:p w14:paraId="1D90273D" w14:textId="77777777" w:rsidR="007D13DA" w:rsidRPr="00CA0804" w:rsidRDefault="007D13DA" w:rsidP="00BE487D">
      <w:pPr>
        <w:contextualSpacing/>
        <w:jc w:val="both"/>
      </w:pPr>
    </w:p>
    <w:p w14:paraId="4BEA2EB0" w14:textId="0C4CAEC3" w:rsidR="00985402" w:rsidRPr="00CA0804" w:rsidRDefault="00985402" w:rsidP="00985402">
      <w:pPr>
        <w:jc w:val="both"/>
      </w:pPr>
      <w:r w:rsidRPr="00CA0804">
        <w:t xml:space="preserve">Udio </w:t>
      </w:r>
      <w:r w:rsidR="00ED678C" w:rsidRPr="00CA0804">
        <w:t xml:space="preserve">navedenih </w:t>
      </w:r>
      <w:r w:rsidRPr="00CA0804">
        <w:t>potpora u BDP-u u 202</w:t>
      </w:r>
      <w:r w:rsidR="003525BA" w:rsidRPr="00CA0804">
        <w:t>4</w:t>
      </w:r>
      <w:r w:rsidRPr="00CA0804">
        <w:t xml:space="preserve">. godini iznosio je </w:t>
      </w:r>
      <w:r w:rsidR="00AC7524" w:rsidRPr="00CA0804">
        <w:rPr>
          <w:rFonts w:eastAsia="Times New Roman"/>
          <w:lang w:eastAsia="hr-HR"/>
        </w:rPr>
        <w:t>0,</w:t>
      </w:r>
      <w:r w:rsidR="003525BA" w:rsidRPr="00CA0804">
        <w:rPr>
          <w:rFonts w:eastAsia="Times New Roman"/>
          <w:lang w:eastAsia="hr-HR"/>
        </w:rPr>
        <w:t>003</w:t>
      </w:r>
      <w:r w:rsidR="00AC7524" w:rsidRPr="00CA0804">
        <w:rPr>
          <w:rFonts w:eastAsia="Times New Roman"/>
          <w:lang w:eastAsia="hr-HR"/>
        </w:rPr>
        <w:t xml:space="preserve"> </w:t>
      </w:r>
      <w:r w:rsidRPr="00CA0804">
        <w:t>posto</w:t>
      </w:r>
      <w:r w:rsidR="007E0A2C" w:rsidRPr="00CA0804">
        <w:t>, u 202</w:t>
      </w:r>
      <w:r w:rsidR="003525BA" w:rsidRPr="00CA0804">
        <w:t>3</w:t>
      </w:r>
      <w:r w:rsidR="007E0A2C" w:rsidRPr="00CA0804">
        <w:t xml:space="preserve">. godini </w:t>
      </w:r>
      <w:r w:rsidR="00570D1E" w:rsidRPr="00CA0804">
        <w:t>0,71</w:t>
      </w:r>
      <w:r w:rsidR="00AC7524" w:rsidRPr="00CA0804">
        <w:t xml:space="preserve"> </w:t>
      </w:r>
      <w:r w:rsidR="007E0A2C" w:rsidRPr="00CA0804">
        <w:t xml:space="preserve">posto </w:t>
      </w:r>
      <w:r w:rsidR="00570D1E" w:rsidRPr="00CA0804">
        <w:t>i</w:t>
      </w:r>
      <w:r w:rsidRPr="00CA0804">
        <w:t xml:space="preserve"> u 202</w:t>
      </w:r>
      <w:r w:rsidR="00570D1E" w:rsidRPr="00CA0804">
        <w:t>2</w:t>
      </w:r>
      <w:r w:rsidRPr="00CA0804">
        <w:t xml:space="preserve">. godini </w:t>
      </w:r>
      <w:r w:rsidR="00570D1E" w:rsidRPr="00CA0804">
        <w:t>1,64</w:t>
      </w:r>
      <w:r w:rsidR="00AC7524" w:rsidRPr="00CA0804">
        <w:t xml:space="preserve"> </w:t>
      </w:r>
      <w:r w:rsidRPr="00CA0804">
        <w:t xml:space="preserve">posto. </w:t>
      </w:r>
      <w:r w:rsidR="00570D1E" w:rsidRPr="00CA0804">
        <w:t>U</w:t>
      </w:r>
      <w:r w:rsidRPr="00CA0804">
        <w:t>dio</w:t>
      </w:r>
      <w:r w:rsidR="00570D1E" w:rsidRPr="00CA0804">
        <w:t xml:space="preserve"> </w:t>
      </w:r>
      <w:r w:rsidRPr="00CA0804">
        <w:t xml:space="preserve">navedenih potpora </w:t>
      </w:r>
      <w:r w:rsidR="00570D1E" w:rsidRPr="00CA0804">
        <w:t xml:space="preserve">u 2024. godini </w:t>
      </w:r>
      <w:r w:rsidRPr="00CA0804">
        <w:t xml:space="preserve">u ukupno dodijeljenim potporama iznosio </w:t>
      </w:r>
      <w:r w:rsidR="00570D1E" w:rsidRPr="00CA0804">
        <w:t>je 0,2</w:t>
      </w:r>
      <w:r w:rsidRPr="00CA0804">
        <w:t xml:space="preserve"> posto</w:t>
      </w:r>
      <w:r w:rsidR="00F1588A" w:rsidRPr="00CA0804">
        <w:t xml:space="preserve">, </w:t>
      </w:r>
      <w:r w:rsidR="00570D1E" w:rsidRPr="00CA0804">
        <w:t>a u</w:t>
      </w:r>
      <w:r w:rsidRPr="00CA0804">
        <w:t xml:space="preserve">dio u dodijeljenim potporama u sektoru industrije i usluga </w:t>
      </w:r>
      <w:r w:rsidR="00570D1E" w:rsidRPr="00CA0804">
        <w:t xml:space="preserve">također 0,2 </w:t>
      </w:r>
      <w:r w:rsidRPr="00CA0804">
        <w:t>posto.</w:t>
      </w:r>
    </w:p>
    <w:p w14:paraId="619DA0D9" w14:textId="4EF00B7C" w:rsidR="00570D1E" w:rsidRPr="00CA0804" w:rsidRDefault="00570D1E" w:rsidP="00384B3C">
      <w:pPr>
        <w:jc w:val="both"/>
      </w:pPr>
    </w:p>
    <w:p w14:paraId="6613B03C" w14:textId="7C7B96CA" w:rsidR="00570D1E" w:rsidRPr="00CA0804" w:rsidRDefault="00570D1E" w:rsidP="00570D1E">
      <w:pPr>
        <w:jc w:val="both"/>
        <w:rPr>
          <w:rFonts w:eastAsia="Times New Roman"/>
          <w:spacing w:val="-2"/>
          <w:szCs w:val="24"/>
          <w:lang w:eastAsia="hr-HR"/>
        </w:rPr>
      </w:pPr>
      <w:r w:rsidRPr="00CA0804">
        <w:rPr>
          <w:rFonts w:eastAsia="Times New Roman"/>
          <w:spacing w:val="-2"/>
          <w:szCs w:val="24"/>
          <w:lang w:eastAsia="hr-HR"/>
        </w:rPr>
        <w:t xml:space="preserve">Instrumenti putem kojih su dodijeljene potpore </w:t>
      </w:r>
      <w:r w:rsidRPr="00CA0804">
        <w:t>podrške gospodarstvu u pandemiji COVID–19 i za suzbijanje učinaka ruske agresije na Ukrajinu</w:t>
      </w:r>
      <w:r w:rsidRPr="00CA0804">
        <w:rPr>
          <w:rFonts w:eastAsia="Times New Roman"/>
          <w:spacing w:val="-2"/>
          <w:szCs w:val="24"/>
          <w:lang w:eastAsia="hr-HR"/>
        </w:rPr>
        <w:t xml:space="preserve"> u 2024. godini u iznosu od </w:t>
      </w:r>
      <w:r w:rsidRPr="00CA0804">
        <w:t xml:space="preserve">2,5 </w:t>
      </w:r>
      <w:r w:rsidRPr="00CA0804">
        <w:rPr>
          <w:rFonts w:eastAsia="Times New Roman"/>
          <w:spacing w:val="-2"/>
          <w:szCs w:val="24"/>
          <w:lang w:eastAsia="hr-HR"/>
        </w:rPr>
        <w:t>milijuna eura, najvećim dijelom se odnose na povoljne zajmove</w:t>
      </w:r>
      <w:r w:rsidRPr="00CA0804">
        <w:rPr>
          <w:spacing w:val="-2"/>
        </w:rPr>
        <w:t xml:space="preserve"> u iznosu od 2,5</w:t>
      </w:r>
      <w:r w:rsidRPr="00CA0804">
        <w:t xml:space="preserve"> </w:t>
      </w:r>
      <w:r w:rsidRPr="00CA0804">
        <w:rPr>
          <w:spacing w:val="-2"/>
        </w:rPr>
        <w:t xml:space="preserve">milijuna eura ili s udjelom od </w:t>
      </w:r>
      <w:r w:rsidRPr="00CA0804">
        <w:t>97,</w:t>
      </w:r>
      <w:r w:rsidR="00D01679" w:rsidRPr="00CA0804">
        <w:t>7</w:t>
      </w:r>
      <w:r w:rsidRPr="00CA0804">
        <w:t xml:space="preserve"> </w:t>
      </w:r>
      <w:r w:rsidRPr="00CA0804">
        <w:rPr>
          <w:spacing w:val="-2"/>
        </w:rPr>
        <w:t xml:space="preserve">posto u navedenim </w:t>
      </w:r>
      <w:r w:rsidRPr="00CA0804">
        <w:rPr>
          <w:rFonts w:eastAsia="Times New Roman"/>
          <w:spacing w:val="-2"/>
          <w:szCs w:val="24"/>
          <w:lang w:eastAsia="hr-HR"/>
        </w:rPr>
        <w:t xml:space="preserve">potporama te na </w:t>
      </w:r>
      <w:r w:rsidRPr="00CA0804">
        <w:rPr>
          <w:spacing w:val="-2"/>
        </w:rPr>
        <w:t xml:space="preserve">subvencije u iznosu od </w:t>
      </w:r>
      <w:r w:rsidRPr="00CA0804">
        <w:t xml:space="preserve">55.809,02 </w:t>
      </w:r>
      <w:r w:rsidRPr="00CA0804">
        <w:rPr>
          <w:spacing w:val="-2"/>
        </w:rPr>
        <w:t>eura ili 2,</w:t>
      </w:r>
      <w:r w:rsidR="00D01679" w:rsidRPr="00CA0804">
        <w:rPr>
          <w:spacing w:val="-2"/>
        </w:rPr>
        <w:t>3</w:t>
      </w:r>
      <w:r w:rsidRPr="00CA0804">
        <w:rPr>
          <w:spacing w:val="-2"/>
        </w:rPr>
        <w:t xml:space="preserve"> posto.</w:t>
      </w:r>
    </w:p>
    <w:p w14:paraId="69F56A70" w14:textId="38633816" w:rsidR="00570D1E" w:rsidRPr="00CA0804" w:rsidRDefault="00570D1E" w:rsidP="00570D1E"/>
    <w:p w14:paraId="56F417A1" w14:textId="665B0C84" w:rsidR="00F1588A" w:rsidRPr="00CA0804" w:rsidRDefault="00985402" w:rsidP="00985402">
      <w:pPr>
        <w:contextualSpacing/>
        <w:jc w:val="both"/>
      </w:pPr>
      <w:r w:rsidRPr="00CA0804">
        <w:t xml:space="preserve">Davatelji </w:t>
      </w:r>
      <w:r w:rsidR="00ED05FB" w:rsidRPr="00CA0804">
        <w:t xml:space="preserve">navedenih </w:t>
      </w:r>
      <w:r w:rsidRPr="00CA0804">
        <w:t>potpora</w:t>
      </w:r>
      <w:r w:rsidR="00ED05FB" w:rsidRPr="00CA0804">
        <w:t xml:space="preserve"> u 202</w:t>
      </w:r>
      <w:r w:rsidR="00570D1E" w:rsidRPr="00CA0804">
        <w:t>4</w:t>
      </w:r>
      <w:r w:rsidR="00ED05FB" w:rsidRPr="00CA0804">
        <w:t>. godini</w:t>
      </w:r>
      <w:r w:rsidR="002D5F4D" w:rsidRPr="00CA0804">
        <w:t xml:space="preserve"> su:</w:t>
      </w:r>
      <w:r w:rsidRPr="00CA0804">
        <w:t xml:space="preserve"> HBOR</w:t>
      </w:r>
      <w:r w:rsidR="000F126D" w:rsidRPr="00CA0804">
        <w:t xml:space="preserve"> </w:t>
      </w:r>
      <w:r w:rsidR="002D5F4D" w:rsidRPr="00CA0804">
        <w:t xml:space="preserve">koji je dodijelio 2,5 </w:t>
      </w:r>
      <w:r w:rsidR="000F126D" w:rsidRPr="00CA0804">
        <w:t>milijun</w:t>
      </w:r>
      <w:r w:rsidR="00ED05FB" w:rsidRPr="00CA0804">
        <w:t>a</w:t>
      </w:r>
      <w:r w:rsidR="000F126D" w:rsidRPr="00CA0804">
        <w:t xml:space="preserve"> </w:t>
      </w:r>
      <w:r w:rsidR="00F1588A" w:rsidRPr="00CA0804">
        <w:t xml:space="preserve">eura i </w:t>
      </w:r>
      <w:r w:rsidR="002D5F4D" w:rsidRPr="00CA0804">
        <w:t>Hrvatski zavod za zapošljavanje</w:t>
      </w:r>
      <w:r w:rsidR="002D5F4D" w:rsidRPr="00CA0804">
        <w:rPr>
          <w:rFonts w:eastAsia="Times New Roman"/>
          <w:b/>
          <w:bCs/>
          <w:sz w:val="20"/>
          <w:szCs w:val="20"/>
          <w:lang w:eastAsia="hr-HR"/>
        </w:rPr>
        <w:t xml:space="preserve"> </w:t>
      </w:r>
      <w:r w:rsidR="002D5F4D" w:rsidRPr="00CA0804">
        <w:t xml:space="preserve">koji je dodijelio 55.809,02 </w:t>
      </w:r>
      <w:r w:rsidR="00F1588A" w:rsidRPr="00CA0804">
        <w:t>eura.</w:t>
      </w:r>
    </w:p>
    <w:p w14:paraId="085E3B5D" w14:textId="77777777" w:rsidR="0011122C" w:rsidRPr="00CA0804" w:rsidRDefault="0011122C" w:rsidP="0011122C"/>
    <w:p w14:paraId="0BE1B817" w14:textId="19552686" w:rsidR="009F32AF" w:rsidRPr="00CA0804" w:rsidRDefault="00AF5287" w:rsidP="009F32AF">
      <w:pPr>
        <w:jc w:val="both"/>
      </w:pPr>
      <w:r w:rsidRPr="00CA0804">
        <w:rPr>
          <w:u w:val="single"/>
        </w:rPr>
        <w:t>HBOR</w:t>
      </w:r>
      <w:r w:rsidRPr="00CA0804">
        <w:rPr>
          <w:b/>
        </w:rPr>
        <w:t xml:space="preserve"> </w:t>
      </w:r>
      <w:r w:rsidRPr="00CA0804">
        <w:t>je</w:t>
      </w:r>
      <w:r w:rsidRPr="00CA0804">
        <w:rPr>
          <w:b/>
        </w:rPr>
        <w:t xml:space="preserve"> </w:t>
      </w:r>
      <w:r w:rsidR="002D5F4D" w:rsidRPr="00CA0804">
        <w:t xml:space="preserve">dodijelio u 2024. godini putem povoljnih zajmova 2,5 milijuna eura potpora </w:t>
      </w:r>
      <w:r w:rsidR="00451B90" w:rsidRPr="00CA0804">
        <w:t>s ciljem</w:t>
      </w:r>
      <w:r w:rsidR="00451B90" w:rsidRPr="00CA0804">
        <w:rPr>
          <w:b/>
        </w:rPr>
        <w:t xml:space="preserve"> </w:t>
      </w:r>
      <w:r w:rsidR="00451B90" w:rsidRPr="00CA0804">
        <w:t xml:space="preserve">otklanjanja ozbiljnih poteškoća u gospodarstvu </w:t>
      </w:r>
      <w:r w:rsidR="002D5F4D" w:rsidRPr="00CA0804">
        <w:t xml:space="preserve">i to temeljem </w:t>
      </w:r>
      <w:r w:rsidR="009F32AF" w:rsidRPr="00CA0804">
        <w:t>Izmjene Programa dodjele potpora HBOR-a usklađenog s izmjenama Privremenog kriznog okvira za Ukrajinu</w:t>
      </w:r>
      <w:r w:rsidR="00D14BF4" w:rsidRPr="00CA0804">
        <w:t>, koje se odnose na pr</w:t>
      </w:r>
      <w:r w:rsidR="009F32AF" w:rsidRPr="00CA0804">
        <w:t>oduljenje</w:t>
      </w:r>
      <w:r w:rsidR="00D14BF4" w:rsidRPr="00CA0804">
        <w:t xml:space="preserve"> razdoblja primjene </w:t>
      </w:r>
      <w:r w:rsidR="009F32AF" w:rsidRPr="00CA0804">
        <w:t xml:space="preserve">do </w:t>
      </w:r>
      <w:r w:rsidR="002D5F4D" w:rsidRPr="00CA0804">
        <w:t>30.</w:t>
      </w:r>
      <w:r w:rsidR="00D14BF4" w:rsidRPr="00CA0804">
        <w:t xml:space="preserve"> lipnja </w:t>
      </w:r>
      <w:r w:rsidR="002D5F4D" w:rsidRPr="00CA0804">
        <w:t>2024.</w:t>
      </w:r>
      <w:r w:rsidR="009F32AF" w:rsidRPr="00CA0804">
        <w:t xml:space="preserve">, </w:t>
      </w:r>
      <w:r w:rsidR="002D5F4D" w:rsidRPr="00CA0804">
        <w:t>a</w:t>
      </w:r>
      <w:r w:rsidR="009F32AF" w:rsidRPr="00CA0804">
        <w:t xml:space="preserve"> Europska komisija je navedenu izmjenu Programa odobrila pod brojem SA.1</w:t>
      </w:r>
      <w:r w:rsidR="002D5F4D" w:rsidRPr="00CA0804">
        <w:t>11093</w:t>
      </w:r>
      <w:r w:rsidR="009F32AF" w:rsidRPr="00CA0804">
        <w:t>.</w:t>
      </w:r>
    </w:p>
    <w:p w14:paraId="0194DF80" w14:textId="77777777" w:rsidR="002D5F4D" w:rsidRPr="00CA0804" w:rsidRDefault="002D5F4D" w:rsidP="00CC5E5C">
      <w:pPr>
        <w:jc w:val="both"/>
        <w:rPr>
          <w:b/>
        </w:rPr>
      </w:pPr>
    </w:p>
    <w:p w14:paraId="0600FF83" w14:textId="446A7A88" w:rsidR="002D5F4D" w:rsidRPr="00CA0804" w:rsidRDefault="002D5F4D" w:rsidP="002D5F4D">
      <w:pPr>
        <w:jc w:val="both"/>
      </w:pPr>
      <w:r w:rsidRPr="00CA0804">
        <w:rPr>
          <w:u w:val="single"/>
        </w:rPr>
        <w:t>Hrvatski zavod za zapošljavanje</w:t>
      </w:r>
      <w:r w:rsidRPr="00CA0804">
        <w:t xml:space="preserve"> </w:t>
      </w:r>
      <w:r w:rsidR="00CF288B" w:rsidRPr="00CA0804">
        <w:t xml:space="preserve">dodijelio </w:t>
      </w:r>
      <w:r w:rsidR="00CC5E5C" w:rsidRPr="00CA0804">
        <w:t xml:space="preserve">je </w:t>
      </w:r>
      <w:r w:rsidRPr="00CA0804">
        <w:t>u 2024. godini putem subvencija 55.809,02 eura s ciljem</w:t>
      </w:r>
      <w:r w:rsidR="00D078E5" w:rsidRPr="00CA0804">
        <w:t xml:space="preserve"> podrške gospodarstvu u aktualnoj pandemiji COVID–19, </w:t>
      </w:r>
      <w:r w:rsidRPr="00CA0804">
        <w:t>i to temeljem Programa potpora za očuvanje radnih mjesta u djelatnostima pogođenima Koronavirusom (COVID – 19), a Europska komisija je navedeni Program odobrila pod brojem SA.103801.</w:t>
      </w:r>
    </w:p>
    <w:p w14:paraId="1408D1E1" w14:textId="77777777" w:rsidR="00337372" w:rsidRPr="00CA0804" w:rsidRDefault="00337372" w:rsidP="00CC5E5C">
      <w:pPr>
        <w:jc w:val="both"/>
      </w:pPr>
    </w:p>
    <w:p w14:paraId="50351209" w14:textId="77777777" w:rsidR="00140086" w:rsidRPr="00CA0804" w:rsidRDefault="00140086" w:rsidP="00BE487D">
      <w:pPr>
        <w:jc w:val="both"/>
      </w:pPr>
    </w:p>
    <w:p w14:paraId="1F01D337" w14:textId="77777777" w:rsidR="00A5297F" w:rsidRPr="00CA0804" w:rsidRDefault="00A5297F">
      <w:pPr>
        <w:rPr>
          <w:rFonts w:eastAsiaTheme="majorEastAsia"/>
          <w:b/>
          <w:sz w:val="32"/>
        </w:rPr>
      </w:pPr>
      <w:r w:rsidRPr="00CA0804">
        <w:rPr>
          <w:b/>
        </w:rPr>
        <w:br w:type="page"/>
      </w:r>
    </w:p>
    <w:p w14:paraId="2410A6B2" w14:textId="3CC86DC8" w:rsidR="00BE0817" w:rsidRPr="00CA0804" w:rsidRDefault="00995EF4" w:rsidP="00BE487D">
      <w:pPr>
        <w:pStyle w:val="Heading1"/>
        <w:numPr>
          <w:ilvl w:val="0"/>
          <w:numId w:val="1"/>
        </w:numPr>
        <w:spacing w:before="0"/>
        <w:jc w:val="both"/>
        <w:rPr>
          <w:rFonts w:ascii="Times New Roman" w:hAnsi="Times New Roman" w:cs="Times New Roman"/>
          <w:b/>
          <w:color w:val="auto"/>
          <w:sz w:val="24"/>
          <w:szCs w:val="24"/>
        </w:rPr>
      </w:pPr>
      <w:bookmarkStart w:id="32" w:name="_Toc213660053"/>
      <w:r w:rsidRPr="00CA0804">
        <w:rPr>
          <w:rFonts w:ascii="Times New Roman" w:hAnsi="Times New Roman" w:cs="Times New Roman"/>
          <w:b/>
          <w:color w:val="auto"/>
          <w:sz w:val="24"/>
          <w:szCs w:val="24"/>
        </w:rPr>
        <w:lastRenderedPageBreak/>
        <w:t>POTPORE MALE VRIJEDNOSTI</w:t>
      </w:r>
      <w:bookmarkEnd w:id="32"/>
    </w:p>
    <w:p w14:paraId="2DD7B99B" w14:textId="77777777" w:rsidR="00BE0817" w:rsidRPr="00CA0804" w:rsidRDefault="00BE0817" w:rsidP="00BE487D">
      <w:pPr>
        <w:jc w:val="both"/>
        <w:rPr>
          <w:b/>
        </w:rPr>
      </w:pPr>
    </w:p>
    <w:p w14:paraId="47F838F7" w14:textId="77777777" w:rsidR="00995EF4" w:rsidRPr="00CA0804" w:rsidRDefault="00995EF4" w:rsidP="00BE487D">
      <w:pPr>
        <w:jc w:val="both"/>
        <w:rPr>
          <w:b/>
        </w:rPr>
      </w:pPr>
    </w:p>
    <w:p w14:paraId="046BFD89" w14:textId="5A2C02BC" w:rsidR="0016103B" w:rsidRPr="00CA0804" w:rsidRDefault="0008191A" w:rsidP="0016103B">
      <w:pPr>
        <w:jc w:val="both"/>
      </w:pPr>
      <w:r w:rsidRPr="00CA0804">
        <w:rPr>
          <w:bCs/>
        </w:rPr>
        <w:t>Potpore male vrijednosti</w:t>
      </w:r>
      <w:r w:rsidRPr="00CA0804">
        <w:rPr>
          <w:rStyle w:val="FootnoteReference"/>
          <w:bCs/>
        </w:rPr>
        <w:footnoteReference w:id="42"/>
      </w:r>
      <w:r w:rsidRPr="00CA0804">
        <w:rPr>
          <w:bCs/>
        </w:rPr>
        <w:t xml:space="preserve"> ili de minimis potpore </w:t>
      </w:r>
      <w:r w:rsidRPr="00CA0804">
        <w:t xml:space="preserve">se u smislu članka 107. stavka 1. UFEU-a i </w:t>
      </w:r>
      <w:r w:rsidR="006E21B9" w:rsidRPr="00CA0804">
        <w:t>ne smatraju</w:t>
      </w:r>
      <w:r w:rsidRPr="00CA0804">
        <w:t xml:space="preserve"> državnim potporama, </w:t>
      </w:r>
      <w:r w:rsidR="0016103B" w:rsidRPr="00CA0804">
        <w:t>jer</w:t>
      </w:r>
      <w:r w:rsidR="00C62E75" w:rsidRPr="00CA0804">
        <w:t xml:space="preserve"> </w:t>
      </w:r>
      <w:r w:rsidRPr="00CA0804">
        <w:t xml:space="preserve">iznos od </w:t>
      </w:r>
      <w:r w:rsidR="0016103B" w:rsidRPr="00CA0804">
        <w:t>3</w:t>
      </w:r>
      <w:r w:rsidRPr="00CA0804">
        <w:t xml:space="preserve">00.000,00 eura, </w:t>
      </w:r>
      <w:r w:rsidR="003D1DBF" w:rsidRPr="00CA0804">
        <w:t xml:space="preserve">sukladno Uredbi 2023/2831, </w:t>
      </w:r>
      <w:r w:rsidRPr="00CA0804">
        <w:t>kojeg</w:t>
      </w:r>
      <w:r w:rsidR="0016103B" w:rsidRPr="00CA0804">
        <w:t xml:space="preserve"> može primiti jedan poduzetnik po državi članici tijekom bilo kojeg trogodišnjeg razdoblja</w:t>
      </w:r>
      <w:r w:rsidRPr="00CA0804">
        <w:t xml:space="preserve">, bez obzira na razinu davatelja, namjenu i instrument dodjele potpore male vrijednosti, </w:t>
      </w:r>
      <w:r w:rsidR="0016103B" w:rsidRPr="00CA0804">
        <w:t>ne utječe na trgovinu među državama članicama i ne narušava odnosno ne prijeti naruš</w:t>
      </w:r>
      <w:r w:rsidR="001C3586" w:rsidRPr="00CA0804">
        <w:t>avanju</w:t>
      </w:r>
      <w:r w:rsidR="0016103B" w:rsidRPr="00CA0804">
        <w:t xml:space="preserve"> tržišno</w:t>
      </w:r>
      <w:r w:rsidR="001C3586" w:rsidRPr="00CA0804">
        <w:t>g</w:t>
      </w:r>
      <w:r w:rsidR="0016103B" w:rsidRPr="00CA0804">
        <w:t xml:space="preserve"> natjecanj</w:t>
      </w:r>
      <w:r w:rsidR="001C3586" w:rsidRPr="00CA0804">
        <w:t>a</w:t>
      </w:r>
      <w:r w:rsidR="0016103B" w:rsidRPr="00CA0804">
        <w:t>.</w:t>
      </w:r>
      <w:r w:rsidR="003D1DBF" w:rsidRPr="00CA0804">
        <w:t xml:space="preserve"> Iznos kojeg je mogao primiti jedan poduzetnik sukladno Uredbi 1407/2013 koja je važila do 31. prosinaca 2023. je 200.000,00 eura, odnosno 100.000,00 eura za obavljanje cestovnog prijevoza tereta za najamninu ili naknadu, ali kojeg je mogao primiti u razdoblju od 3 fiskalne godine.</w:t>
      </w:r>
    </w:p>
    <w:p w14:paraId="325A1964" w14:textId="77777777" w:rsidR="0016103B" w:rsidRPr="00CA0804" w:rsidRDefault="0016103B" w:rsidP="0016103B">
      <w:pPr>
        <w:jc w:val="both"/>
      </w:pPr>
    </w:p>
    <w:p w14:paraId="2CAF66FB" w14:textId="4318514C" w:rsidR="0016103B" w:rsidRPr="00CA0804" w:rsidRDefault="00942503" w:rsidP="0016103B">
      <w:pPr>
        <w:contextualSpacing/>
        <w:jc w:val="both"/>
      </w:pPr>
      <w:r w:rsidRPr="00CA0804">
        <w:rPr>
          <w:bCs/>
        </w:rPr>
        <w:t>Potpore male vrijednosti</w:t>
      </w:r>
      <w:r w:rsidRPr="00CA0804">
        <w:t xml:space="preserve"> dodijeljene su u </w:t>
      </w:r>
      <w:r w:rsidR="0016103B" w:rsidRPr="00CA0804">
        <w:t>202</w:t>
      </w:r>
      <w:r w:rsidRPr="00CA0804">
        <w:t>4</w:t>
      </w:r>
      <w:r w:rsidR="0016103B" w:rsidRPr="00CA0804">
        <w:t xml:space="preserve">. godini </w:t>
      </w:r>
      <w:r w:rsidRPr="00CA0804">
        <w:t xml:space="preserve">u </w:t>
      </w:r>
      <w:r w:rsidR="0016103B" w:rsidRPr="00CA0804">
        <w:t xml:space="preserve">iznosu od </w:t>
      </w:r>
      <w:r w:rsidRPr="00CA0804">
        <w:t xml:space="preserve">205,7 </w:t>
      </w:r>
      <w:r w:rsidR="0016103B" w:rsidRPr="00CA0804">
        <w:rPr>
          <w:bCs/>
        </w:rPr>
        <w:t xml:space="preserve">milijuna eura, što je </w:t>
      </w:r>
      <w:r w:rsidRPr="00CA0804">
        <w:rPr>
          <w:bCs/>
        </w:rPr>
        <w:t>smanjenje</w:t>
      </w:r>
      <w:r w:rsidR="0016103B" w:rsidRPr="00CA0804">
        <w:rPr>
          <w:bCs/>
        </w:rPr>
        <w:t xml:space="preserve"> za </w:t>
      </w:r>
      <w:r w:rsidRPr="00CA0804">
        <w:rPr>
          <w:bCs/>
        </w:rPr>
        <w:t>47</w:t>
      </w:r>
      <w:r w:rsidR="0016103B" w:rsidRPr="00CA0804">
        <w:t xml:space="preserve"> </w:t>
      </w:r>
      <w:r w:rsidR="0016103B" w:rsidRPr="00CA0804">
        <w:rPr>
          <w:bCs/>
        </w:rPr>
        <w:t xml:space="preserve">milijuna eura odnosno za </w:t>
      </w:r>
      <w:r w:rsidRPr="00CA0804">
        <w:rPr>
          <w:bCs/>
        </w:rPr>
        <w:t>18,6</w:t>
      </w:r>
      <w:r w:rsidR="0016103B" w:rsidRPr="00CA0804">
        <w:t xml:space="preserve"> </w:t>
      </w:r>
      <w:r w:rsidR="0016103B" w:rsidRPr="00CA0804">
        <w:rPr>
          <w:bCs/>
        </w:rPr>
        <w:t xml:space="preserve">posto </w:t>
      </w:r>
      <w:r w:rsidR="0016103B" w:rsidRPr="00CA0804">
        <w:t>u odnos</w:t>
      </w:r>
      <w:r w:rsidRPr="00CA0804">
        <w:t>u na 2023</w:t>
      </w:r>
      <w:r w:rsidR="0016103B" w:rsidRPr="00CA0804">
        <w:t xml:space="preserve">. godinu, kada su navedene potpore iznosile </w:t>
      </w:r>
      <w:r w:rsidRPr="00CA0804">
        <w:t>252,7</w:t>
      </w:r>
      <w:r w:rsidR="0016103B" w:rsidRPr="00CA0804">
        <w:t xml:space="preserve"> milijuna </w:t>
      </w:r>
      <w:r w:rsidR="0016103B" w:rsidRPr="00CA0804">
        <w:rPr>
          <w:bCs/>
        </w:rPr>
        <w:t>eura</w:t>
      </w:r>
      <w:r w:rsidR="0016103B" w:rsidRPr="00CA0804">
        <w:t xml:space="preserve">, te </w:t>
      </w:r>
      <w:r w:rsidR="00D14BF4" w:rsidRPr="00CA0804">
        <w:t>predstavlja</w:t>
      </w:r>
      <w:r w:rsidR="0016103B" w:rsidRPr="00CA0804">
        <w:t xml:space="preserve"> </w:t>
      </w:r>
      <w:r w:rsidRPr="00CA0804">
        <w:rPr>
          <w:bCs/>
        </w:rPr>
        <w:t xml:space="preserve">smanjenje </w:t>
      </w:r>
      <w:r w:rsidR="0016103B" w:rsidRPr="00CA0804">
        <w:t xml:space="preserve">za </w:t>
      </w:r>
      <w:r w:rsidRPr="00CA0804">
        <w:t>27</w:t>
      </w:r>
      <w:r w:rsidR="0016103B" w:rsidRPr="00CA0804">
        <w:t xml:space="preserve"> milijun</w:t>
      </w:r>
      <w:r w:rsidRPr="00CA0804">
        <w:t>a</w:t>
      </w:r>
      <w:r w:rsidR="0016103B" w:rsidRPr="00CA0804">
        <w:t xml:space="preserve"> </w:t>
      </w:r>
      <w:r w:rsidR="0016103B" w:rsidRPr="00CA0804">
        <w:rPr>
          <w:bCs/>
        </w:rPr>
        <w:t>eura</w:t>
      </w:r>
      <w:r w:rsidR="0016103B" w:rsidRPr="00CA0804">
        <w:t xml:space="preserve"> odnosno za </w:t>
      </w:r>
      <w:r w:rsidRPr="00CA0804">
        <w:t>11,</w:t>
      </w:r>
      <w:r w:rsidR="00997052" w:rsidRPr="00CA0804">
        <w:t>7</w:t>
      </w:r>
      <w:r w:rsidRPr="00CA0804">
        <w:t xml:space="preserve"> </w:t>
      </w:r>
      <w:r w:rsidR="0016103B" w:rsidRPr="00CA0804">
        <w:t>posto u odnosu na 202</w:t>
      </w:r>
      <w:r w:rsidRPr="00CA0804">
        <w:t>2</w:t>
      </w:r>
      <w:r w:rsidR="0016103B" w:rsidRPr="00CA0804">
        <w:t xml:space="preserve">. godinu kada su </w:t>
      </w:r>
      <w:r w:rsidRPr="00CA0804">
        <w:t xml:space="preserve">navedene </w:t>
      </w:r>
      <w:r w:rsidR="0016103B" w:rsidRPr="00CA0804">
        <w:t xml:space="preserve">potpore </w:t>
      </w:r>
      <w:r w:rsidR="0016103B" w:rsidRPr="00CA0804">
        <w:rPr>
          <w:bCs/>
        </w:rPr>
        <w:t xml:space="preserve">male </w:t>
      </w:r>
      <w:r w:rsidRPr="00CA0804">
        <w:rPr>
          <w:bCs/>
        </w:rPr>
        <w:t>iznosile 232,8</w:t>
      </w:r>
      <w:r w:rsidR="0016103B" w:rsidRPr="00CA0804">
        <w:t xml:space="preserve"> milijuna </w:t>
      </w:r>
      <w:r w:rsidR="0016103B" w:rsidRPr="00CA0804">
        <w:rPr>
          <w:bCs/>
        </w:rPr>
        <w:t>eura</w:t>
      </w:r>
      <w:r w:rsidR="0016103B" w:rsidRPr="00CA0804">
        <w:t>.</w:t>
      </w:r>
    </w:p>
    <w:p w14:paraId="781E9562" w14:textId="6C275047" w:rsidR="00235D26" w:rsidRPr="00CA0804" w:rsidRDefault="00235D26" w:rsidP="000756A2"/>
    <w:p w14:paraId="3561AC38" w14:textId="77044905" w:rsidR="00F70D95" w:rsidRPr="00CA0804" w:rsidRDefault="00F70D95" w:rsidP="00BE487D">
      <w:pPr>
        <w:contextualSpacing/>
        <w:jc w:val="both"/>
      </w:pPr>
      <w:r w:rsidRPr="00CA0804">
        <w:t xml:space="preserve">Tablica </w:t>
      </w:r>
      <w:r w:rsidR="005C62D5" w:rsidRPr="00CA0804">
        <w:t>2</w:t>
      </w:r>
      <w:r w:rsidR="000F5679" w:rsidRPr="00CA0804">
        <w:t>9</w:t>
      </w:r>
      <w:r w:rsidRPr="00CA0804">
        <w:t>. Potpore male vrijednosti dodijeljene u razdoblju od 20</w:t>
      </w:r>
      <w:r w:rsidR="00A457CD" w:rsidRPr="00CA0804">
        <w:t>2</w:t>
      </w:r>
      <w:r w:rsidR="00932F03" w:rsidRPr="00CA0804">
        <w:t>2</w:t>
      </w:r>
      <w:r w:rsidRPr="00CA0804">
        <w:t>. do 202</w:t>
      </w:r>
      <w:r w:rsidR="00932F03" w:rsidRPr="00CA0804">
        <w:t>4</w:t>
      </w:r>
      <w:r w:rsidRPr="00CA0804">
        <w:t>. godine</w:t>
      </w:r>
    </w:p>
    <w:p w14:paraId="671474EB" w14:textId="77777777" w:rsidR="00F70D95" w:rsidRPr="00CA0804" w:rsidRDefault="00F70D95" w:rsidP="00932F03">
      <w:pPr>
        <w:rPr>
          <w:sz w:val="20"/>
        </w:rPr>
      </w:pPr>
    </w:p>
    <w:tbl>
      <w:tblPr>
        <w:tblW w:w="0" w:type="auto"/>
        <w:tblLook w:val="04A0" w:firstRow="1" w:lastRow="0" w:firstColumn="1" w:lastColumn="0" w:noHBand="0" w:noVBand="1"/>
      </w:tblPr>
      <w:tblGrid>
        <w:gridCol w:w="4957"/>
        <w:gridCol w:w="1417"/>
        <w:gridCol w:w="1418"/>
        <w:gridCol w:w="1268"/>
      </w:tblGrid>
      <w:tr w:rsidR="00746187" w:rsidRPr="00CA0804" w14:paraId="3130BAA2" w14:textId="77777777" w:rsidTr="00746187">
        <w:trPr>
          <w:trHeight w:val="214"/>
        </w:trPr>
        <w:tc>
          <w:tcPr>
            <w:tcW w:w="4957"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F5E54C4" w14:textId="77777777" w:rsidR="00746187" w:rsidRPr="00CA0804" w:rsidRDefault="00746187" w:rsidP="00746187">
            <w:pPr>
              <w:rPr>
                <w:b/>
                <w:sz w:val="20"/>
                <w:szCs w:val="20"/>
              </w:rPr>
            </w:pPr>
            <w:r w:rsidRPr="00CA0804">
              <w:rPr>
                <w:b/>
                <w:sz w:val="20"/>
                <w:szCs w:val="20"/>
              </w:rPr>
              <w:t>Potpore male vrijednosti</w:t>
            </w:r>
          </w:p>
        </w:tc>
        <w:tc>
          <w:tcPr>
            <w:tcW w:w="1417" w:type="dxa"/>
            <w:tcBorders>
              <w:top w:val="single" w:sz="4" w:space="0" w:color="auto"/>
              <w:left w:val="nil"/>
              <w:bottom w:val="single" w:sz="4" w:space="0" w:color="auto"/>
              <w:right w:val="single" w:sz="4" w:space="0" w:color="auto"/>
            </w:tcBorders>
            <w:shd w:val="clear" w:color="000000" w:fill="FFFF99"/>
            <w:vAlign w:val="center"/>
            <w:hideMark/>
          </w:tcPr>
          <w:p w14:paraId="68069ED9" w14:textId="0129D914" w:rsidR="00746187" w:rsidRPr="00CA0804" w:rsidRDefault="00746187" w:rsidP="00746187">
            <w:pPr>
              <w:jc w:val="center"/>
              <w:rPr>
                <w:b/>
                <w:sz w:val="20"/>
                <w:szCs w:val="20"/>
              </w:rPr>
            </w:pPr>
            <w:r w:rsidRPr="00CA0804">
              <w:rPr>
                <w:b/>
                <w:sz w:val="20"/>
                <w:szCs w:val="20"/>
              </w:rPr>
              <w:t>202</w:t>
            </w:r>
            <w:r w:rsidR="00932F03" w:rsidRPr="00CA0804">
              <w:rPr>
                <w:b/>
                <w:sz w:val="20"/>
                <w:szCs w:val="20"/>
              </w:rPr>
              <w:t>2</w:t>
            </w:r>
            <w:r w:rsidRPr="00CA0804">
              <w:rPr>
                <w:b/>
                <w:sz w:val="20"/>
                <w:szCs w:val="20"/>
              </w:rPr>
              <w:t>.</w:t>
            </w:r>
          </w:p>
          <w:p w14:paraId="02367AFC" w14:textId="6108E317" w:rsidR="00746187" w:rsidRPr="00CA0804" w:rsidRDefault="00746187" w:rsidP="00746187">
            <w:pPr>
              <w:jc w:val="center"/>
              <w:rPr>
                <w:b/>
                <w:sz w:val="20"/>
                <w:szCs w:val="20"/>
              </w:rPr>
            </w:pPr>
            <w:r w:rsidRPr="00CA0804">
              <w:rPr>
                <w:b/>
                <w:sz w:val="20"/>
                <w:szCs w:val="20"/>
              </w:rPr>
              <w:t>mln EUR</w:t>
            </w:r>
          </w:p>
        </w:tc>
        <w:tc>
          <w:tcPr>
            <w:tcW w:w="1418" w:type="dxa"/>
            <w:tcBorders>
              <w:top w:val="single" w:sz="4" w:space="0" w:color="auto"/>
              <w:left w:val="nil"/>
              <w:bottom w:val="single" w:sz="4" w:space="0" w:color="auto"/>
              <w:right w:val="single" w:sz="4" w:space="0" w:color="auto"/>
            </w:tcBorders>
            <w:shd w:val="clear" w:color="000000" w:fill="FFFF99"/>
            <w:vAlign w:val="center"/>
            <w:hideMark/>
          </w:tcPr>
          <w:p w14:paraId="7F18C174" w14:textId="2D994A04" w:rsidR="00746187" w:rsidRPr="00CA0804" w:rsidRDefault="00746187" w:rsidP="00746187">
            <w:pPr>
              <w:jc w:val="center"/>
              <w:rPr>
                <w:b/>
                <w:sz w:val="20"/>
                <w:szCs w:val="20"/>
              </w:rPr>
            </w:pPr>
            <w:r w:rsidRPr="00CA0804">
              <w:rPr>
                <w:b/>
                <w:sz w:val="20"/>
                <w:szCs w:val="20"/>
              </w:rPr>
              <w:t>202</w:t>
            </w:r>
            <w:r w:rsidR="00932F03" w:rsidRPr="00CA0804">
              <w:rPr>
                <w:b/>
                <w:sz w:val="20"/>
                <w:szCs w:val="20"/>
              </w:rPr>
              <w:t>3</w:t>
            </w:r>
            <w:r w:rsidRPr="00CA0804">
              <w:rPr>
                <w:b/>
                <w:sz w:val="20"/>
                <w:szCs w:val="20"/>
              </w:rPr>
              <w:t>.</w:t>
            </w:r>
          </w:p>
          <w:p w14:paraId="73C269EA" w14:textId="57B328D0" w:rsidR="00746187" w:rsidRPr="00CA0804" w:rsidRDefault="00746187" w:rsidP="00746187">
            <w:pPr>
              <w:jc w:val="center"/>
              <w:rPr>
                <w:b/>
                <w:sz w:val="20"/>
                <w:szCs w:val="20"/>
              </w:rPr>
            </w:pPr>
            <w:r w:rsidRPr="00CA0804">
              <w:rPr>
                <w:b/>
                <w:sz w:val="20"/>
                <w:szCs w:val="20"/>
              </w:rPr>
              <w:t>mln EUR</w:t>
            </w:r>
          </w:p>
        </w:tc>
        <w:tc>
          <w:tcPr>
            <w:tcW w:w="1268" w:type="dxa"/>
            <w:tcBorders>
              <w:top w:val="single" w:sz="4" w:space="0" w:color="auto"/>
              <w:left w:val="nil"/>
              <w:bottom w:val="single" w:sz="4" w:space="0" w:color="auto"/>
              <w:right w:val="single" w:sz="4" w:space="0" w:color="auto"/>
            </w:tcBorders>
            <w:shd w:val="clear" w:color="000000" w:fill="FFFF99"/>
            <w:vAlign w:val="center"/>
            <w:hideMark/>
          </w:tcPr>
          <w:p w14:paraId="2EA52861" w14:textId="0B1280C3" w:rsidR="00746187" w:rsidRPr="00CA0804" w:rsidRDefault="00746187" w:rsidP="00746187">
            <w:pPr>
              <w:jc w:val="center"/>
              <w:rPr>
                <w:b/>
                <w:sz w:val="20"/>
                <w:szCs w:val="20"/>
              </w:rPr>
            </w:pPr>
            <w:r w:rsidRPr="00CA0804">
              <w:rPr>
                <w:b/>
                <w:sz w:val="20"/>
                <w:szCs w:val="20"/>
              </w:rPr>
              <w:t>202</w:t>
            </w:r>
            <w:r w:rsidR="00932F03" w:rsidRPr="00CA0804">
              <w:rPr>
                <w:b/>
                <w:sz w:val="20"/>
                <w:szCs w:val="20"/>
              </w:rPr>
              <w:t>4</w:t>
            </w:r>
            <w:r w:rsidRPr="00CA0804">
              <w:rPr>
                <w:b/>
                <w:sz w:val="20"/>
                <w:szCs w:val="20"/>
              </w:rPr>
              <w:t>.</w:t>
            </w:r>
          </w:p>
          <w:p w14:paraId="5CFEAC9C" w14:textId="110ADD98" w:rsidR="00746187" w:rsidRPr="00CA0804" w:rsidRDefault="00746187" w:rsidP="00746187">
            <w:pPr>
              <w:jc w:val="center"/>
              <w:rPr>
                <w:b/>
                <w:sz w:val="20"/>
                <w:szCs w:val="20"/>
              </w:rPr>
            </w:pPr>
            <w:r w:rsidRPr="00CA0804">
              <w:rPr>
                <w:b/>
                <w:sz w:val="20"/>
                <w:szCs w:val="20"/>
              </w:rPr>
              <w:t>mln EUR</w:t>
            </w:r>
          </w:p>
        </w:tc>
      </w:tr>
      <w:tr w:rsidR="00F915DA" w:rsidRPr="00CA0804" w14:paraId="0B7F8024" w14:textId="77777777" w:rsidTr="00746187">
        <w:trPr>
          <w:trHeight w:val="38"/>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574AA26" w14:textId="77777777" w:rsidR="00F915DA" w:rsidRPr="00CA0804" w:rsidRDefault="00F915DA" w:rsidP="00F915DA">
            <w:pPr>
              <w:rPr>
                <w:sz w:val="20"/>
                <w:szCs w:val="20"/>
              </w:rPr>
            </w:pPr>
            <w:r w:rsidRPr="00CA0804">
              <w:rPr>
                <w:sz w:val="20"/>
                <w:szCs w:val="20"/>
              </w:rPr>
              <w:t>A‎1 Neposredne subvencije kamata</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7B050B7" w14:textId="719F87BC" w:rsidR="00F915DA" w:rsidRPr="00CA0804" w:rsidRDefault="00F915DA" w:rsidP="00F915DA">
            <w:pPr>
              <w:jc w:val="right"/>
              <w:rPr>
                <w:sz w:val="20"/>
                <w:szCs w:val="20"/>
              </w:rPr>
            </w:pPr>
            <w:r w:rsidRPr="00CA0804">
              <w:rPr>
                <w:rFonts w:eastAsia="Times New Roman"/>
                <w:sz w:val="20"/>
                <w:szCs w:val="20"/>
                <w:lang w:eastAsia="hr-HR"/>
              </w:rPr>
              <w:t>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2155F50" w14:textId="48C8BB02" w:rsidR="00F915DA" w:rsidRPr="00CA0804" w:rsidRDefault="00F915DA" w:rsidP="00F915DA">
            <w:pPr>
              <w:jc w:val="right"/>
              <w:rPr>
                <w:sz w:val="20"/>
                <w:szCs w:val="20"/>
              </w:rPr>
            </w:pPr>
            <w:r w:rsidRPr="00CA0804">
              <w:rPr>
                <w:rFonts w:eastAsia="Times New Roman"/>
                <w:sz w:val="20"/>
                <w:szCs w:val="20"/>
                <w:lang w:eastAsia="hr-HR"/>
              </w:rPr>
              <w:t>0,8</w:t>
            </w: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28F649F2" w14:textId="3D516334" w:rsidR="00F915DA" w:rsidRPr="00CA0804" w:rsidRDefault="00F915DA" w:rsidP="00F915DA">
            <w:pPr>
              <w:jc w:val="right"/>
              <w:rPr>
                <w:sz w:val="20"/>
                <w:szCs w:val="20"/>
              </w:rPr>
            </w:pPr>
            <w:r w:rsidRPr="00CA0804">
              <w:rPr>
                <w:rFonts w:eastAsia="Times New Roman"/>
                <w:sz w:val="20"/>
                <w:szCs w:val="20"/>
                <w:lang w:eastAsia="hr-HR"/>
              </w:rPr>
              <w:t>5,5</w:t>
            </w:r>
          </w:p>
        </w:tc>
      </w:tr>
      <w:tr w:rsidR="00F915DA" w:rsidRPr="00CA0804" w14:paraId="35AC9EE8" w14:textId="77777777" w:rsidTr="00746187">
        <w:trPr>
          <w:trHeight w:val="68"/>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5639389" w14:textId="77777777" w:rsidR="00F915DA" w:rsidRPr="00CA0804" w:rsidRDefault="00F915DA" w:rsidP="00F915DA">
            <w:pPr>
              <w:rPr>
                <w:sz w:val="20"/>
                <w:szCs w:val="20"/>
              </w:rPr>
            </w:pPr>
            <w:r w:rsidRPr="00CA0804">
              <w:rPr>
                <w:sz w:val="20"/>
                <w:szCs w:val="20"/>
              </w:rPr>
              <w:t>A1 Subvencije</w:t>
            </w:r>
          </w:p>
        </w:tc>
        <w:tc>
          <w:tcPr>
            <w:tcW w:w="1417" w:type="dxa"/>
            <w:tcBorders>
              <w:top w:val="nil"/>
              <w:left w:val="nil"/>
              <w:bottom w:val="single" w:sz="4" w:space="0" w:color="auto"/>
              <w:right w:val="single" w:sz="4" w:space="0" w:color="auto"/>
            </w:tcBorders>
            <w:shd w:val="clear" w:color="auto" w:fill="auto"/>
            <w:vAlign w:val="center"/>
          </w:tcPr>
          <w:p w14:paraId="481FB9EC" w14:textId="1ACFFD2B" w:rsidR="00F915DA" w:rsidRPr="00CA0804" w:rsidRDefault="00F915DA" w:rsidP="00F915DA">
            <w:pPr>
              <w:jc w:val="right"/>
              <w:rPr>
                <w:sz w:val="20"/>
                <w:szCs w:val="20"/>
              </w:rPr>
            </w:pPr>
            <w:r w:rsidRPr="00CA0804">
              <w:rPr>
                <w:rFonts w:eastAsia="Times New Roman"/>
                <w:sz w:val="20"/>
                <w:szCs w:val="20"/>
                <w:lang w:eastAsia="hr-HR"/>
              </w:rPr>
              <w:t>213,7</w:t>
            </w:r>
          </w:p>
        </w:tc>
        <w:tc>
          <w:tcPr>
            <w:tcW w:w="1418" w:type="dxa"/>
            <w:tcBorders>
              <w:top w:val="nil"/>
              <w:left w:val="nil"/>
              <w:bottom w:val="single" w:sz="4" w:space="0" w:color="auto"/>
              <w:right w:val="single" w:sz="4" w:space="0" w:color="auto"/>
            </w:tcBorders>
            <w:shd w:val="clear" w:color="auto" w:fill="auto"/>
            <w:vAlign w:val="center"/>
          </w:tcPr>
          <w:p w14:paraId="042C73B2" w14:textId="27741CED" w:rsidR="00F915DA" w:rsidRPr="00CA0804" w:rsidRDefault="00F915DA" w:rsidP="00F915DA">
            <w:pPr>
              <w:jc w:val="right"/>
              <w:rPr>
                <w:sz w:val="20"/>
                <w:szCs w:val="20"/>
              </w:rPr>
            </w:pPr>
            <w:r w:rsidRPr="00CA0804">
              <w:rPr>
                <w:rFonts w:eastAsia="Times New Roman"/>
                <w:sz w:val="20"/>
                <w:szCs w:val="20"/>
                <w:lang w:eastAsia="hr-HR"/>
              </w:rPr>
              <w:t>224,0</w:t>
            </w:r>
          </w:p>
        </w:tc>
        <w:tc>
          <w:tcPr>
            <w:tcW w:w="1268" w:type="dxa"/>
            <w:tcBorders>
              <w:top w:val="nil"/>
              <w:left w:val="nil"/>
              <w:bottom w:val="single" w:sz="4" w:space="0" w:color="auto"/>
              <w:right w:val="single" w:sz="4" w:space="0" w:color="auto"/>
            </w:tcBorders>
            <w:shd w:val="clear" w:color="auto" w:fill="auto"/>
            <w:vAlign w:val="center"/>
          </w:tcPr>
          <w:p w14:paraId="385F28CA" w14:textId="3C03BAB5" w:rsidR="00F915DA" w:rsidRPr="00CA0804" w:rsidRDefault="00162745" w:rsidP="00F915DA">
            <w:pPr>
              <w:jc w:val="right"/>
              <w:rPr>
                <w:sz w:val="20"/>
                <w:szCs w:val="20"/>
              </w:rPr>
            </w:pPr>
            <w:r w:rsidRPr="00CA0804">
              <w:rPr>
                <w:rFonts w:eastAsia="Times New Roman"/>
                <w:sz w:val="20"/>
                <w:szCs w:val="20"/>
                <w:lang w:eastAsia="hr-HR"/>
              </w:rPr>
              <w:t>165,3</w:t>
            </w:r>
          </w:p>
        </w:tc>
      </w:tr>
      <w:tr w:rsidR="00F915DA" w:rsidRPr="00CA0804" w14:paraId="1667B52A" w14:textId="77777777" w:rsidTr="008F708B">
        <w:trPr>
          <w:trHeight w:val="68"/>
        </w:trPr>
        <w:tc>
          <w:tcPr>
            <w:tcW w:w="4957" w:type="dxa"/>
            <w:tcBorders>
              <w:top w:val="nil"/>
              <w:left w:val="single" w:sz="4" w:space="0" w:color="auto"/>
              <w:bottom w:val="single" w:sz="4" w:space="0" w:color="auto"/>
              <w:right w:val="single" w:sz="4" w:space="0" w:color="auto"/>
            </w:tcBorders>
            <w:shd w:val="clear" w:color="auto" w:fill="auto"/>
            <w:vAlign w:val="center"/>
          </w:tcPr>
          <w:p w14:paraId="3A58F5BC" w14:textId="77777777" w:rsidR="00F915DA" w:rsidRPr="00CA0804" w:rsidRDefault="00F915DA" w:rsidP="00F915DA">
            <w:pPr>
              <w:rPr>
                <w:sz w:val="20"/>
                <w:szCs w:val="20"/>
              </w:rPr>
            </w:pPr>
            <w:r w:rsidRPr="00CA0804">
              <w:rPr>
                <w:sz w:val="20"/>
                <w:szCs w:val="20"/>
              </w:rPr>
              <w:t>A1 Prisilna nagodba i stečaj poduzetnika</w:t>
            </w:r>
          </w:p>
        </w:tc>
        <w:tc>
          <w:tcPr>
            <w:tcW w:w="1417" w:type="dxa"/>
            <w:tcBorders>
              <w:top w:val="nil"/>
              <w:left w:val="nil"/>
              <w:bottom w:val="single" w:sz="4" w:space="0" w:color="auto"/>
              <w:right w:val="single" w:sz="4" w:space="0" w:color="auto"/>
            </w:tcBorders>
            <w:shd w:val="clear" w:color="auto" w:fill="auto"/>
            <w:vAlign w:val="center"/>
          </w:tcPr>
          <w:p w14:paraId="01D803C5" w14:textId="0E265885" w:rsidR="00F915DA" w:rsidRPr="00CA0804" w:rsidRDefault="00F915DA" w:rsidP="00F915DA">
            <w:pPr>
              <w:jc w:val="right"/>
              <w:rPr>
                <w:sz w:val="20"/>
                <w:szCs w:val="20"/>
              </w:rPr>
            </w:pPr>
            <w:r w:rsidRPr="00CA0804">
              <w:rPr>
                <w:rFonts w:eastAsia="Times New Roman"/>
                <w:sz w:val="20"/>
                <w:szCs w:val="20"/>
                <w:lang w:eastAsia="hr-HR"/>
              </w:rPr>
              <w:t>1,4</w:t>
            </w:r>
          </w:p>
        </w:tc>
        <w:tc>
          <w:tcPr>
            <w:tcW w:w="1418" w:type="dxa"/>
            <w:tcBorders>
              <w:top w:val="nil"/>
              <w:left w:val="nil"/>
              <w:bottom w:val="single" w:sz="4" w:space="0" w:color="auto"/>
              <w:right w:val="single" w:sz="4" w:space="0" w:color="auto"/>
            </w:tcBorders>
            <w:shd w:val="clear" w:color="auto" w:fill="auto"/>
          </w:tcPr>
          <w:p w14:paraId="57154135" w14:textId="3BE2B3EB" w:rsidR="00F915DA" w:rsidRPr="00CA0804" w:rsidRDefault="00F915DA" w:rsidP="00F915DA">
            <w:pPr>
              <w:jc w:val="right"/>
              <w:rPr>
                <w:sz w:val="20"/>
                <w:szCs w:val="20"/>
              </w:rPr>
            </w:pPr>
            <w:r w:rsidRPr="00CA0804">
              <w:rPr>
                <w:b/>
                <w:sz w:val="20"/>
              </w:rPr>
              <w:t>–</w:t>
            </w:r>
          </w:p>
        </w:tc>
        <w:tc>
          <w:tcPr>
            <w:tcW w:w="1268" w:type="dxa"/>
            <w:tcBorders>
              <w:top w:val="nil"/>
              <w:left w:val="nil"/>
              <w:bottom w:val="single" w:sz="4" w:space="0" w:color="auto"/>
              <w:right w:val="single" w:sz="4" w:space="0" w:color="auto"/>
            </w:tcBorders>
            <w:shd w:val="clear" w:color="auto" w:fill="auto"/>
          </w:tcPr>
          <w:p w14:paraId="65736146" w14:textId="100B2C36" w:rsidR="00F915DA" w:rsidRPr="00CA0804" w:rsidRDefault="00F915DA" w:rsidP="00F915DA">
            <w:pPr>
              <w:jc w:val="right"/>
              <w:rPr>
                <w:sz w:val="20"/>
                <w:szCs w:val="20"/>
              </w:rPr>
            </w:pPr>
            <w:r w:rsidRPr="00CA0804">
              <w:rPr>
                <w:b/>
                <w:sz w:val="20"/>
              </w:rPr>
              <w:t>–</w:t>
            </w:r>
          </w:p>
        </w:tc>
      </w:tr>
      <w:tr w:rsidR="00F915DA" w:rsidRPr="00CA0804" w14:paraId="1F6880AF"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239DD3F7" w14:textId="6AE0A8B2" w:rsidR="00F915DA" w:rsidRPr="00CA0804" w:rsidRDefault="00F915DA" w:rsidP="00F915DA">
            <w:pPr>
              <w:rPr>
                <w:sz w:val="20"/>
                <w:szCs w:val="20"/>
              </w:rPr>
            </w:pPr>
            <w:r w:rsidRPr="00CA0804">
              <w:rPr>
                <w:rFonts w:eastAsia="Times New Roman"/>
                <w:sz w:val="20"/>
                <w:szCs w:val="20"/>
                <w:lang w:eastAsia="hr-HR"/>
              </w:rPr>
              <w:t>A2 Oprost poreza, porezna oslobođenja, izuzeća i olakšice</w:t>
            </w:r>
          </w:p>
        </w:tc>
        <w:tc>
          <w:tcPr>
            <w:tcW w:w="1417" w:type="dxa"/>
            <w:tcBorders>
              <w:top w:val="nil"/>
              <w:left w:val="nil"/>
              <w:bottom w:val="single" w:sz="4" w:space="0" w:color="auto"/>
              <w:right w:val="single" w:sz="4" w:space="0" w:color="auto"/>
            </w:tcBorders>
            <w:shd w:val="clear" w:color="auto" w:fill="auto"/>
            <w:vAlign w:val="center"/>
          </w:tcPr>
          <w:p w14:paraId="78D97E0C" w14:textId="77DFC891" w:rsidR="00F915DA" w:rsidRPr="00CA0804" w:rsidRDefault="00F915DA" w:rsidP="00F915DA">
            <w:pPr>
              <w:jc w:val="right"/>
              <w:rPr>
                <w:sz w:val="20"/>
                <w:szCs w:val="20"/>
              </w:rPr>
            </w:pPr>
            <w:r w:rsidRPr="00CA0804">
              <w:rPr>
                <w:rFonts w:eastAsia="Times New Roman"/>
                <w:sz w:val="20"/>
                <w:szCs w:val="20"/>
                <w:lang w:eastAsia="hr-HR"/>
              </w:rPr>
              <w:t>2,8</w:t>
            </w:r>
          </w:p>
        </w:tc>
        <w:tc>
          <w:tcPr>
            <w:tcW w:w="1418" w:type="dxa"/>
            <w:tcBorders>
              <w:top w:val="nil"/>
              <w:left w:val="nil"/>
              <w:bottom w:val="single" w:sz="4" w:space="0" w:color="auto"/>
              <w:right w:val="single" w:sz="4" w:space="0" w:color="auto"/>
            </w:tcBorders>
            <w:shd w:val="clear" w:color="auto" w:fill="auto"/>
            <w:vAlign w:val="center"/>
          </w:tcPr>
          <w:p w14:paraId="4AC591F6" w14:textId="0E570465" w:rsidR="00F915DA" w:rsidRPr="00CA0804" w:rsidRDefault="00C11094" w:rsidP="00F915DA">
            <w:pPr>
              <w:jc w:val="right"/>
              <w:rPr>
                <w:sz w:val="20"/>
                <w:szCs w:val="20"/>
              </w:rPr>
            </w:pPr>
            <w:r w:rsidRPr="00CA0804">
              <w:rPr>
                <w:rFonts w:eastAsia="Times New Roman"/>
                <w:sz w:val="20"/>
                <w:szCs w:val="20"/>
                <w:lang w:eastAsia="hr-HR"/>
              </w:rPr>
              <w:t>0,2</w:t>
            </w:r>
          </w:p>
        </w:tc>
        <w:tc>
          <w:tcPr>
            <w:tcW w:w="1268" w:type="dxa"/>
            <w:tcBorders>
              <w:top w:val="nil"/>
              <w:left w:val="nil"/>
              <w:bottom w:val="single" w:sz="4" w:space="0" w:color="auto"/>
              <w:right w:val="single" w:sz="4" w:space="0" w:color="auto"/>
            </w:tcBorders>
            <w:shd w:val="clear" w:color="auto" w:fill="auto"/>
            <w:vAlign w:val="center"/>
          </w:tcPr>
          <w:p w14:paraId="187D7119" w14:textId="2E609B13" w:rsidR="00F915DA" w:rsidRPr="00CA0804" w:rsidRDefault="00F915DA" w:rsidP="00162745">
            <w:pPr>
              <w:jc w:val="right"/>
              <w:rPr>
                <w:sz w:val="20"/>
                <w:szCs w:val="20"/>
              </w:rPr>
            </w:pPr>
            <w:r w:rsidRPr="00CA0804">
              <w:rPr>
                <w:rFonts w:eastAsia="Times New Roman"/>
                <w:sz w:val="20"/>
                <w:szCs w:val="20"/>
                <w:lang w:eastAsia="hr-HR"/>
              </w:rPr>
              <w:t>0,</w:t>
            </w:r>
            <w:r w:rsidR="00162745" w:rsidRPr="00CA0804">
              <w:rPr>
                <w:rFonts w:eastAsia="Times New Roman"/>
                <w:sz w:val="20"/>
                <w:szCs w:val="20"/>
                <w:lang w:eastAsia="hr-HR"/>
              </w:rPr>
              <w:t>05</w:t>
            </w:r>
          </w:p>
        </w:tc>
      </w:tr>
      <w:tr w:rsidR="00F915DA" w:rsidRPr="00CA0804" w14:paraId="6EF6FBFC"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71D80AF" w14:textId="432358F9" w:rsidR="00F915DA" w:rsidRPr="00CA0804" w:rsidRDefault="00F915DA" w:rsidP="00F915DA">
            <w:pPr>
              <w:rPr>
                <w:sz w:val="20"/>
                <w:szCs w:val="20"/>
              </w:rPr>
            </w:pPr>
            <w:r w:rsidRPr="00CA0804">
              <w:rPr>
                <w:rFonts w:eastAsia="Times New Roman"/>
                <w:sz w:val="20"/>
                <w:szCs w:val="20"/>
                <w:lang w:eastAsia="hr-HR"/>
              </w:rPr>
              <w:t>A2 Otpis duga</w:t>
            </w:r>
          </w:p>
        </w:tc>
        <w:tc>
          <w:tcPr>
            <w:tcW w:w="1417" w:type="dxa"/>
            <w:tcBorders>
              <w:top w:val="nil"/>
              <w:left w:val="nil"/>
              <w:bottom w:val="single" w:sz="4" w:space="0" w:color="auto"/>
              <w:right w:val="single" w:sz="4" w:space="0" w:color="auto"/>
            </w:tcBorders>
            <w:shd w:val="clear" w:color="auto" w:fill="auto"/>
            <w:vAlign w:val="center"/>
          </w:tcPr>
          <w:p w14:paraId="11DE7B84" w14:textId="1F2D3CCC" w:rsidR="00F915DA" w:rsidRPr="00CA0804" w:rsidRDefault="00F915DA" w:rsidP="00F915DA">
            <w:pPr>
              <w:jc w:val="right"/>
              <w:rPr>
                <w:sz w:val="20"/>
                <w:szCs w:val="20"/>
              </w:rPr>
            </w:pPr>
            <w:r w:rsidRPr="00CA0804">
              <w:rPr>
                <w:rFonts w:eastAsia="Times New Roman"/>
                <w:sz w:val="20"/>
                <w:szCs w:val="20"/>
                <w:lang w:eastAsia="hr-HR"/>
              </w:rPr>
              <w:t>0,02</w:t>
            </w:r>
          </w:p>
        </w:tc>
        <w:tc>
          <w:tcPr>
            <w:tcW w:w="1418" w:type="dxa"/>
            <w:tcBorders>
              <w:top w:val="nil"/>
              <w:left w:val="nil"/>
              <w:bottom w:val="single" w:sz="4" w:space="0" w:color="auto"/>
              <w:right w:val="single" w:sz="4" w:space="0" w:color="auto"/>
            </w:tcBorders>
            <w:shd w:val="clear" w:color="auto" w:fill="auto"/>
            <w:vAlign w:val="center"/>
          </w:tcPr>
          <w:p w14:paraId="1F352470" w14:textId="0CE05707" w:rsidR="00F915DA" w:rsidRPr="00CA0804" w:rsidRDefault="00F915DA" w:rsidP="00F915DA">
            <w:pPr>
              <w:jc w:val="right"/>
              <w:rPr>
                <w:sz w:val="20"/>
                <w:szCs w:val="20"/>
              </w:rPr>
            </w:pPr>
            <w:r w:rsidRPr="00CA0804">
              <w:rPr>
                <w:rFonts w:eastAsia="Times New Roman"/>
                <w:sz w:val="20"/>
                <w:szCs w:val="20"/>
                <w:lang w:eastAsia="hr-HR"/>
              </w:rPr>
              <w:t>0,1</w:t>
            </w:r>
          </w:p>
        </w:tc>
        <w:tc>
          <w:tcPr>
            <w:tcW w:w="1268" w:type="dxa"/>
            <w:tcBorders>
              <w:top w:val="nil"/>
              <w:left w:val="nil"/>
              <w:bottom w:val="single" w:sz="4" w:space="0" w:color="auto"/>
              <w:right w:val="single" w:sz="4" w:space="0" w:color="auto"/>
            </w:tcBorders>
            <w:shd w:val="clear" w:color="auto" w:fill="auto"/>
            <w:vAlign w:val="center"/>
          </w:tcPr>
          <w:p w14:paraId="54C399FA" w14:textId="1CC97910" w:rsidR="00F915DA" w:rsidRPr="00CA0804" w:rsidRDefault="00F915DA" w:rsidP="00F915DA">
            <w:pPr>
              <w:jc w:val="right"/>
              <w:rPr>
                <w:sz w:val="20"/>
                <w:szCs w:val="20"/>
              </w:rPr>
            </w:pPr>
            <w:r w:rsidRPr="00CA0804">
              <w:rPr>
                <w:rFonts w:eastAsia="Times New Roman"/>
                <w:sz w:val="20"/>
                <w:szCs w:val="20"/>
                <w:lang w:eastAsia="hr-HR"/>
              </w:rPr>
              <w:t>0,01</w:t>
            </w:r>
          </w:p>
        </w:tc>
      </w:tr>
      <w:tr w:rsidR="00F915DA" w:rsidRPr="00CA0804" w14:paraId="317E90A8"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142DEF88" w14:textId="27955869" w:rsidR="00F915DA" w:rsidRPr="00CA0804" w:rsidRDefault="00F915DA" w:rsidP="00F915DA">
            <w:pPr>
              <w:rPr>
                <w:sz w:val="20"/>
                <w:szCs w:val="20"/>
              </w:rPr>
            </w:pPr>
            <w:r w:rsidRPr="00CA0804">
              <w:rPr>
                <w:rFonts w:eastAsia="Times New Roman"/>
                <w:sz w:val="20"/>
                <w:szCs w:val="20"/>
                <w:lang w:eastAsia="hr-HR"/>
              </w:rPr>
              <w:t>A‎2 Snižavanje, oslobođenje, olakšice, izuzeće i oprost plaćanja doprinosa</w:t>
            </w:r>
          </w:p>
        </w:tc>
        <w:tc>
          <w:tcPr>
            <w:tcW w:w="1417" w:type="dxa"/>
            <w:tcBorders>
              <w:top w:val="nil"/>
              <w:left w:val="nil"/>
              <w:bottom w:val="single" w:sz="4" w:space="0" w:color="auto"/>
              <w:right w:val="single" w:sz="4" w:space="0" w:color="auto"/>
            </w:tcBorders>
            <w:shd w:val="clear" w:color="auto" w:fill="auto"/>
            <w:vAlign w:val="center"/>
          </w:tcPr>
          <w:p w14:paraId="414AE6FC" w14:textId="02D12FCD" w:rsidR="00F915DA" w:rsidRPr="00CA0804" w:rsidRDefault="00F915DA" w:rsidP="00F915DA">
            <w:pPr>
              <w:jc w:val="right"/>
              <w:rPr>
                <w:sz w:val="20"/>
                <w:szCs w:val="20"/>
              </w:rPr>
            </w:pPr>
            <w:r w:rsidRPr="00CA0804">
              <w:rPr>
                <w:rFonts w:eastAsia="Times New Roman"/>
                <w:sz w:val="20"/>
                <w:szCs w:val="20"/>
                <w:lang w:eastAsia="hr-HR"/>
              </w:rPr>
              <w:t>6,1</w:t>
            </w:r>
          </w:p>
        </w:tc>
        <w:tc>
          <w:tcPr>
            <w:tcW w:w="1418" w:type="dxa"/>
            <w:tcBorders>
              <w:top w:val="nil"/>
              <w:left w:val="nil"/>
              <w:bottom w:val="single" w:sz="4" w:space="0" w:color="auto"/>
              <w:right w:val="single" w:sz="4" w:space="0" w:color="auto"/>
            </w:tcBorders>
            <w:shd w:val="clear" w:color="auto" w:fill="auto"/>
            <w:vAlign w:val="center"/>
          </w:tcPr>
          <w:p w14:paraId="718C1C53" w14:textId="245C6FD9" w:rsidR="00F915DA" w:rsidRPr="00CA0804" w:rsidRDefault="00F915DA" w:rsidP="00F915DA">
            <w:pPr>
              <w:jc w:val="right"/>
              <w:rPr>
                <w:sz w:val="20"/>
                <w:szCs w:val="20"/>
              </w:rPr>
            </w:pPr>
            <w:r w:rsidRPr="00CA0804">
              <w:rPr>
                <w:rFonts w:eastAsia="Times New Roman"/>
                <w:sz w:val="20"/>
                <w:szCs w:val="20"/>
                <w:lang w:eastAsia="hr-HR"/>
              </w:rPr>
              <w:t>7,4</w:t>
            </w:r>
          </w:p>
        </w:tc>
        <w:tc>
          <w:tcPr>
            <w:tcW w:w="1268" w:type="dxa"/>
            <w:tcBorders>
              <w:top w:val="nil"/>
              <w:left w:val="nil"/>
              <w:bottom w:val="single" w:sz="4" w:space="0" w:color="auto"/>
              <w:right w:val="single" w:sz="4" w:space="0" w:color="auto"/>
            </w:tcBorders>
            <w:shd w:val="clear" w:color="auto" w:fill="auto"/>
            <w:vAlign w:val="center"/>
          </w:tcPr>
          <w:p w14:paraId="272780A2" w14:textId="4F83E308" w:rsidR="00F915DA" w:rsidRPr="00CA0804" w:rsidRDefault="00F915DA" w:rsidP="00F915DA">
            <w:pPr>
              <w:jc w:val="right"/>
              <w:rPr>
                <w:sz w:val="20"/>
                <w:szCs w:val="20"/>
              </w:rPr>
            </w:pPr>
            <w:r w:rsidRPr="00CA0804">
              <w:rPr>
                <w:rFonts w:eastAsia="Times New Roman"/>
                <w:sz w:val="20"/>
                <w:szCs w:val="20"/>
                <w:lang w:eastAsia="hr-HR"/>
              </w:rPr>
              <w:t>14,7</w:t>
            </w:r>
          </w:p>
        </w:tc>
      </w:tr>
      <w:tr w:rsidR="00F915DA" w:rsidRPr="00CA0804" w14:paraId="39562E09" w14:textId="77777777" w:rsidTr="008F708B">
        <w:trPr>
          <w:trHeight w:val="56"/>
        </w:trPr>
        <w:tc>
          <w:tcPr>
            <w:tcW w:w="4957" w:type="dxa"/>
            <w:tcBorders>
              <w:top w:val="nil"/>
              <w:left w:val="single" w:sz="4" w:space="0" w:color="auto"/>
              <w:bottom w:val="single" w:sz="4" w:space="0" w:color="auto"/>
              <w:right w:val="single" w:sz="4" w:space="0" w:color="auto"/>
            </w:tcBorders>
            <w:shd w:val="clear" w:color="auto" w:fill="auto"/>
            <w:vAlign w:val="center"/>
          </w:tcPr>
          <w:p w14:paraId="55899E0E" w14:textId="55E75E53" w:rsidR="00F915DA" w:rsidRPr="00CA0804" w:rsidRDefault="00F915DA" w:rsidP="00F915DA">
            <w:pPr>
              <w:rPr>
                <w:rFonts w:eastAsia="Times New Roman"/>
                <w:sz w:val="20"/>
                <w:szCs w:val="20"/>
                <w:lang w:eastAsia="hr-HR"/>
              </w:rPr>
            </w:pPr>
            <w:r w:rsidRPr="00CA0804">
              <w:rPr>
                <w:rFonts w:eastAsia="Times New Roman"/>
                <w:sz w:val="20"/>
                <w:szCs w:val="20"/>
                <w:lang w:eastAsia="hr-HR"/>
              </w:rPr>
              <w:t>A2 Odgode pri plaćanju poreza</w:t>
            </w:r>
          </w:p>
        </w:tc>
        <w:tc>
          <w:tcPr>
            <w:tcW w:w="1417" w:type="dxa"/>
            <w:tcBorders>
              <w:top w:val="nil"/>
              <w:left w:val="nil"/>
              <w:bottom w:val="single" w:sz="4" w:space="0" w:color="auto"/>
              <w:right w:val="single" w:sz="4" w:space="0" w:color="auto"/>
            </w:tcBorders>
            <w:shd w:val="clear" w:color="auto" w:fill="auto"/>
          </w:tcPr>
          <w:p w14:paraId="1B8163F1" w14:textId="17A51606" w:rsidR="00F915DA" w:rsidRPr="00CA0804" w:rsidRDefault="00F915DA" w:rsidP="00F915DA">
            <w:pPr>
              <w:jc w:val="right"/>
              <w:rPr>
                <w:rFonts w:eastAsia="Times New Roman"/>
                <w:sz w:val="20"/>
                <w:szCs w:val="20"/>
                <w:lang w:eastAsia="hr-HR"/>
              </w:rPr>
            </w:pPr>
            <w:r w:rsidRPr="00CA0804">
              <w:rPr>
                <w:b/>
                <w:sz w:val="20"/>
              </w:rPr>
              <w:t>–</w:t>
            </w:r>
          </w:p>
        </w:tc>
        <w:tc>
          <w:tcPr>
            <w:tcW w:w="1418" w:type="dxa"/>
            <w:tcBorders>
              <w:top w:val="nil"/>
              <w:left w:val="nil"/>
              <w:bottom w:val="single" w:sz="4" w:space="0" w:color="auto"/>
              <w:right w:val="single" w:sz="4" w:space="0" w:color="auto"/>
            </w:tcBorders>
            <w:shd w:val="clear" w:color="auto" w:fill="auto"/>
            <w:vAlign w:val="center"/>
          </w:tcPr>
          <w:p w14:paraId="4DE3DAC2" w14:textId="3399659A" w:rsidR="00F915DA" w:rsidRPr="00CA0804" w:rsidRDefault="00F915DA" w:rsidP="00F915DA">
            <w:pPr>
              <w:jc w:val="right"/>
              <w:rPr>
                <w:rFonts w:eastAsia="Times New Roman"/>
                <w:sz w:val="20"/>
                <w:szCs w:val="20"/>
                <w:lang w:eastAsia="hr-HR"/>
              </w:rPr>
            </w:pPr>
            <w:r w:rsidRPr="00CA0804">
              <w:rPr>
                <w:rFonts w:eastAsia="Times New Roman"/>
                <w:sz w:val="20"/>
                <w:szCs w:val="20"/>
                <w:lang w:eastAsia="hr-HR"/>
              </w:rPr>
              <w:t>0,003</w:t>
            </w:r>
          </w:p>
        </w:tc>
        <w:tc>
          <w:tcPr>
            <w:tcW w:w="1268" w:type="dxa"/>
            <w:tcBorders>
              <w:top w:val="nil"/>
              <w:left w:val="nil"/>
              <w:bottom w:val="single" w:sz="4" w:space="0" w:color="auto"/>
              <w:right w:val="single" w:sz="4" w:space="0" w:color="auto"/>
            </w:tcBorders>
            <w:shd w:val="clear" w:color="auto" w:fill="auto"/>
            <w:vAlign w:val="center"/>
          </w:tcPr>
          <w:p w14:paraId="394C25E2" w14:textId="6B41CCDC" w:rsidR="00F915DA" w:rsidRPr="00CA0804" w:rsidRDefault="00F915DA" w:rsidP="00F915DA">
            <w:pPr>
              <w:jc w:val="right"/>
              <w:rPr>
                <w:rFonts w:eastAsia="Times New Roman"/>
                <w:sz w:val="20"/>
                <w:szCs w:val="20"/>
                <w:lang w:eastAsia="hr-HR"/>
              </w:rPr>
            </w:pPr>
            <w:r w:rsidRPr="00CA0804">
              <w:rPr>
                <w:rFonts w:eastAsia="Times New Roman"/>
                <w:sz w:val="20"/>
                <w:szCs w:val="20"/>
                <w:lang w:eastAsia="hr-HR"/>
              </w:rPr>
              <w:t>0,01</w:t>
            </w:r>
          </w:p>
        </w:tc>
      </w:tr>
      <w:tr w:rsidR="00F915DA" w:rsidRPr="00CA0804" w14:paraId="516AC6E4" w14:textId="77777777" w:rsidTr="008F708B">
        <w:trPr>
          <w:trHeight w:val="56"/>
        </w:trPr>
        <w:tc>
          <w:tcPr>
            <w:tcW w:w="4957" w:type="dxa"/>
            <w:tcBorders>
              <w:top w:val="nil"/>
              <w:left w:val="single" w:sz="4" w:space="0" w:color="auto"/>
              <w:bottom w:val="single" w:sz="4" w:space="0" w:color="auto"/>
              <w:right w:val="single" w:sz="4" w:space="0" w:color="auto"/>
            </w:tcBorders>
            <w:shd w:val="clear" w:color="auto" w:fill="auto"/>
            <w:noWrap/>
            <w:hideMark/>
          </w:tcPr>
          <w:p w14:paraId="5F8053A6" w14:textId="5699031E" w:rsidR="00F915DA" w:rsidRPr="00CA0804" w:rsidRDefault="00F915DA" w:rsidP="00F915DA">
            <w:pPr>
              <w:rPr>
                <w:sz w:val="20"/>
                <w:szCs w:val="20"/>
              </w:rPr>
            </w:pPr>
            <w:r w:rsidRPr="00CA0804">
              <w:rPr>
                <w:rFonts w:eastAsia="Times New Roman"/>
                <w:sz w:val="20"/>
                <w:szCs w:val="20"/>
                <w:lang w:eastAsia="hr-HR"/>
              </w:rPr>
              <w:t>A2 - Odgode pri podmirenju duga</w:t>
            </w:r>
          </w:p>
        </w:tc>
        <w:tc>
          <w:tcPr>
            <w:tcW w:w="1417" w:type="dxa"/>
            <w:tcBorders>
              <w:top w:val="nil"/>
              <w:left w:val="nil"/>
              <w:bottom w:val="single" w:sz="4" w:space="0" w:color="auto"/>
              <w:right w:val="single" w:sz="4" w:space="0" w:color="auto"/>
            </w:tcBorders>
            <w:shd w:val="clear" w:color="auto" w:fill="auto"/>
          </w:tcPr>
          <w:p w14:paraId="5915E03E" w14:textId="5183245D" w:rsidR="00F915DA" w:rsidRPr="00CA0804" w:rsidRDefault="00F915DA" w:rsidP="00F915DA">
            <w:pPr>
              <w:jc w:val="right"/>
              <w:rPr>
                <w:sz w:val="20"/>
                <w:szCs w:val="20"/>
              </w:rPr>
            </w:pPr>
            <w:r w:rsidRPr="00CA0804">
              <w:rPr>
                <w:b/>
                <w:sz w:val="20"/>
              </w:rPr>
              <w:t>–</w:t>
            </w:r>
          </w:p>
        </w:tc>
        <w:tc>
          <w:tcPr>
            <w:tcW w:w="1418" w:type="dxa"/>
            <w:tcBorders>
              <w:top w:val="nil"/>
              <w:left w:val="nil"/>
              <w:bottom w:val="single" w:sz="4" w:space="0" w:color="auto"/>
              <w:right w:val="single" w:sz="4" w:space="0" w:color="auto"/>
            </w:tcBorders>
            <w:shd w:val="clear" w:color="auto" w:fill="auto"/>
            <w:vAlign w:val="center"/>
          </w:tcPr>
          <w:p w14:paraId="37489BAA" w14:textId="1989D7DF" w:rsidR="00F915DA" w:rsidRPr="00CA0804" w:rsidRDefault="00F915DA" w:rsidP="00F915DA">
            <w:pPr>
              <w:jc w:val="right"/>
              <w:rPr>
                <w:sz w:val="20"/>
                <w:szCs w:val="20"/>
              </w:rPr>
            </w:pPr>
            <w:r w:rsidRPr="00CA0804">
              <w:rPr>
                <w:rFonts w:eastAsia="Times New Roman"/>
                <w:sz w:val="20"/>
                <w:szCs w:val="20"/>
                <w:lang w:eastAsia="hr-HR"/>
              </w:rPr>
              <w:t>0,1</w:t>
            </w:r>
          </w:p>
        </w:tc>
        <w:tc>
          <w:tcPr>
            <w:tcW w:w="1268" w:type="dxa"/>
            <w:tcBorders>
              <w:top w:val="nil"/>
              <w:left w:val="nil"/>
              <w:bottom w:val="single" w:sz="4" w:space="0" w:color="auto"/>
              <w:right w:val="single" w:sz="4" w:space="0" w:color="auto"/>
            </w:tcBorders>
            <w:shd w:val="clear" w:color="auto" w:fill="auto"/>
            <w:vAlign w:val="center"/>
          </w:tcPr>
          <w:p w14:paraId="7788AD3C" w14:textId="38403943" w:rsidR="00F915DA" w:rsidRPr="00CA0804" w:rsidRDefault="00F915DA" w:rsidP="00F915DA">
            <w:pPr>
              <w:jc w:val="right"/>
              <w:rPr>
                <w:sz w:val="20"/>
                <w:szCs w:val="20"/>
              </w:rPr>
            </w:pPr>
            <w:r w:rsidRPr="00CA0804">
              <w:rPr>
                <w:b/>
                <w:sz w:val="20"/>
              </w:rPr>
              <w:t>–</w:t>
            </w:r>
          </w:p>
        </w:tc>
      </w:tr>
      <w:tr w:rsidR="00F915DA" w:rsidRPr="00CA0804" w14:paraId="0749AEFF"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85CE87B" w14:textId="2223623D" w:rsidR="00F915DA" w:rsidRPr="00CA0804" w:rsidRDefault="00F915DA" w:rsidP="00F915DA">
            <w:pPr>
              <w:rPr>
                <w:sz w:val="20"/>
                <w:szCs w:val="20"/>
              </w:rPr>
            </w:pPr>
            <w:r w:rsidRPr="00CA0804">
              <w:rPr>
                <w:rFonts w:eastAsia="Times New Roman"/>
                <w:sz w:val="20"/>
                <w:szCs w:val="20"/>
                <w:lang w:eastAsia="hr-HR"/>
              </w:rPr>
              <w:t>B1 Kapitalna ulaganja</w:t>
            </w:r>
          </w:p>
        </w:tc>
        <w:tc>
          <w:tcPr>
            <w:tcW w:w="1417" w:type="dxa"/>
            <w:tcBorders>
              <w:top w:val="nil"/>
              <w:left w:val="nil"/>
              <w:bottom w:val="single" w:sz="4" w:space="0" w:color="auto"/>
              <w:right w:val="single" w:sz="4" w:space="0" w:color="auto"/>
            </w:tcBorders>
            <w:shd w:val="clear" w:color="auto" w:fill="auto"/>
            <w:vAlign w:val="center"/>
          </w:tcPr>
          <w:p w14:paraId="6F4F6D61" w14:textId="37C783FA" w:rsidR="00F915DA" w:rsidRPr="00CA0804" w:rsidRDefault="00F915DA" w:rsidP="00F915DA">
            <w:pPr>
              <w:jc w:val="right"/>
              <w:rPr>
                <w:sz w:val="20"/>
                <w:szCs w:val="20"/>
              </w:rPr>
            </w:pPr>
            <w:r w:rsidRPr="00CA0804">
              <w:rPr>
                <w:rFonts w:eastAsia="Times New Roman"/>
                <w:sz w:val="20"/>
                <w:szCs w:val="20"/>
                <w:lang w:eastAsia="hr-HR"/>
              </w:rPr>
              <w:t>2,8</w:t>
            </w:r>
          </w:p>
        </w:tc>
        <w:tc>
          <w:tcPr>
            <w:tcW w:w="1418" w:type="dxa"/>
            <w:tcBorders>
              <w:top w:val="nil"/>
              <w:left w:val="nil"/>
              <w:bottom w:val="single" w:sz="4" w:space="0" w:color="auto"/>
              <w:right w:val="single" w:sz="4" w:space="0" w:color="auto"/>
            </w:tcBorders>
            <w:shd w:val="clear" w:color="auto" w:fill="auto"/>
            <w:vAlign w:val="center"/>
          </w:tcPr>
          <w:p w14:paraId="55241301" w14:textId="4884B1BF" w:rsidR="00F915DA" w:rsidRPr="00CA0804" w:rsidRDefault="00F915DA" w:rsidP="00F915DA">
            <w:pPr>
              <w:jc w:val="right"/>
              <w:rPr>
                <w:sz w:val="20"/>
                <w:szCs w:val="20"/>
              </w:rPr>
            </w:pPr>
            <w:r w:rsidRPr="00CA0804">
              <w:rPr>
                <w:rFonts w:eastAsia="Times New Roman"/>
                <w:sz w:val="20"/>
                <w:szCs w:val="20"/>
                <w:lang w:eastAsia="hr-HR"/>
              </w:rPr>
              <w:t>2,6</w:t>
            </w:r>
          </w:p>
        </w:tc>
        <w:tc>
          <w:tcPr>
            <w:tcW w:w="1268" w:type="dxa"/>
            <w:tcBorders>
              <w:top w:val="nil"/>
              <w:left w:val="nil"/>
              <w:bottom w:val="single" w:sz="4" w:space="0" w:color="auto"/>
              <w:right w:val="single" w:sz="4" w:space="0" w:color="auto"/>
            </w:tcBorders>
            <w:shd w:val="clear" w:color="auto" w:fill="auto"/>
            <w:vAlign w:val="center"/>
          </w:tcPr>
          <w:p w14:paraId="63F9F570" w14:textId="148D5B74" w:rsidR="00F915DA" w:rsidRPr="00CA0804" w:rsidRDefault="00162745" w:rsidP="00F915DA">
            <w:pPr>
              <w:jc w:val="right"/>
              <w:rPr>
                <w:sz w:val="20"/>
                <w:szCs w:val="20"/>
              </w:rPr>
            </w:pPr>
            <w:r w:rsidRPr="00CA0804">
              <w:rPr>
                <w:rFonts w:eastAsia="Times New Roman"/>
                <w:sz w:val="20"/>
                <w:szCs w:val="20"/>
                <w:lang w:eastAsia="hr-HR"/>
              </w:rPr>
              <w:t>1,5</w:t>
            </w:r>
          </w:p>
        </w:tc>
      </w:tr>
      <w:tr w:rsidR="00F915DA" w:rsidRPr="00CA0804" w14:paraId="4200543F"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DB1F1F4" w14:textId="443A094F" w:rsidR="00F915DA" w:rsidRPr="00CA0804" w:rsidRDefault="00F915DA" w:rsidP="00F915DA">
            <w:pPr>
              <w:rPr>
                <w:sz w:val="20"/>
                <w:szCs w:val="20"/>
              </w:rPr>
            </w:pPr>
            <w:r w:rsidRPr="00CA0804">
              <w:rPr>
                <w:rFonts w:eastAsia="Times New Roman"/>
                <w:sz w:val="20"/>
                <w:szCs w:val="20"/>
                <w:lang w:eastAsia="hr-HR"/>
              </w:rPr>
              <w:t>C1 Povoljni zajmovi</w:t>
            </w:r>
          </w:p>
        </w:tc>
        <w:tc>
          <w:tcPr>
            <w:tcW w:w="1417" w:type="dxa"/>
            <w:tcBorders>
              <w:top w:val="nil"/>
              <w:left w:val="nil"/>
              <w:bottom w:val="single" w:sz="4" w:space="0" w:color="auto"/>
              <w:right w:val="single" w:sz="4" w:space="0" w:color="auto"/>
            </w:tcBorders>
            <w:shd w:val="clear" w:color="auto" w:fill="auto"/>
            <w:vAlign w:val="center"/>
          </w:tcPr>
          <w:p w14:paraId="6E9BE9EA" w14:textId="7E7C5F6B" w:rsidR="00F915DA" w:rsidRPr="00CA0804" w:rsidRDefault="00F915DA" w:rsidP="00F915DA">
            <w:pPr>
              <w:jc w:val="right"/>
              <w:rPr>
                <w:sz w:val="20"/>
                <w:szCs w:val="20"/>
              </w:rPr>
            </w:pPr>
            <w:r w:rsidRPr="00CA0804">
              <w:rPr>
                <w:rFonts w:eastAsia="Times New Roman"/>
                <w:sz w:val="20"/>
                <w:szCs w:val="20"/>
                <w:lang w:eastAsia="hr-HR"/>
              </w:rPr>
              <w:t>2,6</w:t>
            </w:r>
          </w:p>
        </w:tc>
        <w:tc>
          <w:tcPr>
            <w:tcW w:w="1418" w:type="dxa"/>
            <w:tcBorders>
              <w:top w:val="nil"/>
              <w:left w:val="nil"/>
              <w:bottom w:val="single" w:sz="4" w:space="0" w:color="auto"/>
              <w:right w:val="single" w:sz="4" w:space="0" w:color="auto"/>
            </w:tcBorders>
            <w:shd w:val="clear" w:color="auto" w:fill="auto"/>
            <w:vAlign w:val="center"/>
          </w:tcPr>
          <w:p w14:paraId="6E69B2C3" w14:textId="45A79310" w:rsidR="00F915DA" w:rsidRPr="00CA0804" w:rsidRDefault="00F915DA" w:rsidP="00F915DA">
            <w:pPr>
              <w:jc w:val="right"/>
              <w:rPr>
                <w:sz w:val="20"/>
                <w:szCs w:val="20"/>
              </w:rPr>
            </w:pPr>
            <w:r w:rsidRPr="00CA0804">
              <w:rPr>
                <w:rFonts w:eastAsia="Times New Roman"/>
                <w:sz w:val="20"/>
                <w:szCs w:val="20"/>
                <w:lang w:eastAsia="hr-HR"/>
              </w:rPr>
              <w:t>13,3</w:t>
            </w:r>
          </w:p>
        </w:tc>
        <w:tc>
          <w:tcPr>
            <w:tcW w:w="1268" w:type="dxa"/>
            <w:tcBorders>
              <w:top w:val="nil"/>
              <w:left w:val="nil"/>
              <w:bottom w:val="single" w:sz="4" w:space="0" w:color="auto"/>
              <w:right w:val="single" w:sz="4" w:space="0" w:color="auto"/>
            </w:tcBorders>
            <w:shd w:val="clear" w:color="auto" w:fill="auto"/>
            <w:vAlign w:val="center"/>
          </w:tcPr>
          <w:p w14:paraId="67FBCD50" w14:textId="4AE92665" w:rsidR="00F915DA" w:rsidRPr="00CA0804" w:rsidRDefault="00F915DA" w:rsidP="00F915DA">
            <w:pPr>
              <w:jc w:val="right"/>
              <w:rPr>
                <w:sz w:val="20"/>
                <w:szCs w:val="20"/>
              </w:rPr>
            </w:pPr>
            <w:r w:rsidRPr="00CA0804">
              <w:rPr>
                <w:rFonts w:eastAsia="Times New Roman"/>
                <w:sz w:val="20"/>
                <w:szCs w:val="20"/>
                <w:lang w:eastAsia="hr-HR"/>
              </w:rPr>
              <w:t>17,3</w:t>
            </w:r>
          </w:p>
        </w:tc>
      </w:tr>
      <w:tr w:rsidR="00F915DA" w:rsidRPr="00CA0804" w14:paraId="24900040"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509E28C" w14:textId="418D03B9" w:rsidR="00F915DA" w:rsidRPr="00CA0804" w:rsidRDefault="00F915DA" w:rsidP="00F915DA">
            <w:pPr>
              <w:rPr>
                <w:sz w:val="20"/>
                <w:szCs w:val="20"/>
              </w:rPr>
            </w:pPr>
            <w:r w:rsidRPr="00CA0804">
              <w:rPr>
                <w:rFonts w:eastAsia="Times New Roman"/>
                <w:sz w:val="20"/>
                <w:szCs w:val="20"/>
                <w:lang w:eastAsia="hr-HR"/>
              </w:rPr>
              <w:t>D Jamstva</w:t>
            </w:r>
          </w:p>
        </w:tc>
        <w:tc>
          <w:tcPr>
            <w:tcW w:w="1417" w:type="dxa"/>
            <w:tcBorders>
              <w:top w:val="nil"/>
              <w:left w:val="nil"/>
              <w:bottom w:val="single" w:sz="4" w:space="0" w:color="auto"/>
              <w:right w:val="single" w:sz="4" w:space="0" w:color="auto"/>
            </w:tcBorders>
            <w:shd w:val="clear" w:color="auto" w:fill="auto"/>
            <w:vAlign w:val="center"/>
          </w:tcPr>
          <w:p w14:paraId="5744D24D" w14:textId="61536369" w:rsidR="00F915DA" w:rsidRPr="00CA0804" w:rsidRDefault="00F915DA" w:rsidP="00F915DA">
            <w:pPr>
              <w:jc w:val="right"/>
              <w:rPr>
                <w:sz w:val="20"/>
                <w:szCs w:val="20"/>
              </w:rPr>
            </w:pPr>
            <w:r w:rsidRPr="00CA0804">
              <w:rPr>
                <w:rFonts w:eastAsia="Times New Roman"/>
                <w:sz w:val="20"/>
                <w:szCs w:val="20"/>
                <w:lang w:eastAsia="hr-HR"/>
              </w:rPr>
              <w:t>2,4</w:t>
            </w:r>
          </w:p>
        </w:tc>
        <w:tc>
          <w:tcPr>
            <w:tcW w:w="1418" w:type="dxa"/>
            <w:tcBorders>
              <w:top w:val="nil"/>
              <w:left w:val="nil"/>
              <w:bottom w:val="single" w:sz="4" w:space="0" w:color="auto"/>
              <w:right w:val="single" w:sz="4" w:space="0" w:color="auto"/>
            </w:tcBorders>
            <w:shd w:val="clear" w:color="auto" w:fill="auto"/>
            <w:vAlign w:val="center"/>
          </w:tcPr>
          <w:p w14:paraId="0644ABB8" w14:textId="0F305873" w:rsidR="00F915DA" w:rsidRPr="00CA0804" w:rsidRDefault="00F915DA" w:rsidP="00F915DA">
            <w:pPr>
              <w:jc w:val="right"/>
              <w:rPr>
                <w:sz w:val="20"/>
                <w:szCs w:val="20"/>
              </w:rPr>
            </w:pPr>
            <w:r w:rsidRPr="00CA0804">
              <w:rPr>
                <w:rFonts w:eastAsia="Times New Roman"/>
                <w:sz w:val="20"/>
                <w:szCs w:val="20"/>
                <w:lang w:eastAsia="hr-HR"/>
              </w:rPr>
              <w:t>4,2</w:t>
            </w:r>
          </w:p>
        </w:tc>
        <w:tc>
          <w:tcPr>
            <w:tcW w:w="1268" w:type="dxa"/>
            <w:tcBorders>
              <w:top w:val="nil"/>
              <w:left w:val="nil"/>
              <w:bottom w:val="single" w:sz="4" w:space="0" w:color="auto"/>
              <w:right w:val="single" w:sz="4" w:space="0" w:color="auto"/>
            </w:tcBorders>
            <w:shd w:val="clear" w:color="auto" w:fill="auto"/>
            <w:vAlign w:val="center"/>
          </w:tcPr>
          <w:p w14:paraId="137C59DC" w14:textId="2B63658A" w:rsidR="00F915DA" w:rsidRPr="00CA0804" w:rsidRDefault="00F915DA" w:rsidP="00F915DA">
            <w:pPr>
              <w:jc w:val="right"/>
              <w:rPr>
                <w:sz w:val="20"/>
                <w:szCs w:val="20"/>
              </w:rPr>
            </w:pPr>
            <w:r w:rsidRPr="00CA0804">
              <w:rPr>
                <w:rFonts w:eastAsia="Times New Roman"/>
                <w:sz w:val="20"/>
                <w:szCs w:val="20"/>
                <w:lang w:eastAsia="hr-HR"/>
              </w:rPr>
              <w:t>1,3</w:t>
            </w:r>
          </w:p>
        </w:tc>
      </w:tr>
      <w:tr w:rsidR="00F915DA" w:rsidRPr="00CA0804" w14:paraId="5895FC00" w14:textId="77777777" w:rsidTr="00746187">
        <w:trPr>
          <w:trHeight w:val="56"/>
        </w:trPr>
        <w:tc>
          <w:tcPr>
            <w:tcW w:w="4957" w:type="dxa"/>
            <w:tcBorders>
              <w:top w:val="nil"/>
              <w:left w:val="single" w:sz="4" w:space="0" w:color="auto"/>
              <w:bottom w:val="single" w:sz="4" w:space="0" w:color="auto"/>
              <w:right w:val="single" w:sz="4" w:space="0" w:color="auto"/>
            </w:tcBorders>
            <w:shd w:val="clear" w:color="auto" w:fill="auto"/>
            <w:vAlign w:val="center"/>
          </w:tcPr>
          <w:p w14:paraId="6B3410CD" w14:textId="48C3397F" w:rsidR="00F915DA" w:rsidRPr="00CA0804" w:rsidRDefault="00F915DA" w:rsidP="00F915DA">
            <w:pPr>
              <w:rPr>
                <w:rFonts w:eastAsia="Times New Roman"/>
                <w:sz w:val="20"/>
                <w:szCs w:val="20"/>
                <w:lang w:eastAsia="hr-HR"/>
              </w:rPr>
            </w:pPr>
            <w:r w:rsidRPr="00CA0804">
              <w:rPr>
                <w:rFonts w:eastAsia="Times New Roman"/>
                <w:sz w:val="20"/>
                <w:szCs w:val="20"/>
                <w:lang w:eastAsia="hr-HR"/>
              </w:rPr>
              <w:t>D Plaćanja za opozvana jamstva</w:t>
            </w:r>
          </w:p>
        </w:tc>
        <w:tc>
          <w:tcPr>
            <w:tcW w:w="1417" w:type="dxa"/>
            <w:tcBorders>
              <w:top w:val="nil"/>
              <w:left w:val="nil"/>
              <w:bottom w:val="single" w:sz="4" w:space="0" w:color="auto"/>
              <w:right w:val="single" w:sz="4" w:space="0" w:color="auto"/>
            </w:tcBorders>
            <w:shd w:val="clear" w:color="auto" w:fill="auto"/>
            <w:vAlign w:val="center"/>
          </w:tcPr>
          <w:p w14:paraId="4775665C" w14:textId="3A31463B" w:rsidR="00F915DA" w:rsidRPr="00CA0804" w:rsidRDefault="00F915DA" w:rsidP="00F915DA">
            <w:pPr>
              <w:jc w:val="right"/>
              <w:rPr>
                <w:rFonts w:eastAsia="Times New Roman"/>
                <w:sz w:val="20"/>
                <w:szCs w:val="20"/>
                <w:lang w:eastAsia="hr-HR"/>
              </w:rPr>
            </w:pPr>
            <w:r w:rsidRPr="00CA0804">
              <w:rPr>
                <w:rFonts w:eastAsia="Times New Roman"/>
                <w:sz w:val="20"/>
                <w:szCs w:val="20"/>
                <w:lang w:eastAsia="hr-HR"/>
              </w:rPr>
              <w:t>0,01</w:t>
            </w:r>
          </w:p>
        </w:tc>
        <w:tc>
          <w:tcPr>
            <w:tcW w:w="1418" w:type="dxa"/>
            <w:tcBorders>
              <w:top w:val="nil"/>
              <w:left w:val="nil"/>
              <w:bottom w:val="single" w:sz="4" w:space="0" w:color="auto"/>
              <w:right w:val="single" w:sz="4" w:space="0" w:color="auto"/>
            </w:tcBorders>
            <w:shd w:val="clear" w:color="auto" w:fill="auto"/>
            <w:vAlign w:val="center"/>
          </w:tcPr>
          <w:p w14:paraId="7DE4A1D2" w14:textId="736C0B51" w:rsidR="00F915DA" w:rsidRPr="00CA0804" w:rsidRDefault="00F915DA" w:rsidP="00F915DA">
            <w:pPr>
              <w:jc w:val="right"/>
              <w:rPr>
                <w:rFonts w:eastAsia="Times New Roman"/>
                <w:sz w:val="20"/>
                <w:szCs w:val="20"/>
                <w:lang w:eastAsia="hr-HR"/>
              </w:rPr>
            </w:pPr>
            <w:r w:rsidRPr="00CA0804">
              <w:rPr>
                <w:rFonts w:eastAsia="Times New Roman"/>
                <w:sz w:val="20"/>
                <w:szCs w:val="20"/>
                <w:lang w:eastAsia="hr-HR"/>
              </w:rPr>
              <w:t>0,002</w:t>
            </w:r>
          </w:p>
        </w:tc>
        <w:tc>
          <w:tcPr>
            <w:tcW w:w="1268" w:type="dxa"/>
            <w:tcBorders>
              <w:top w:val="nil"/>
              <w:left w:val="nil"/>
              <w:bottom w:val="single" w:sz="4" w:space="0" w:color="auto"/>
              <w:right w:val="single" w:sz="4" w:space="0" w:color="auto"/>
            </w:tcBorders>
            <w:shd w:val="clear" w:color="auto" w:fill="auto"/>
            <w:vAlign w:val="center"/>
          </w:tcPr>
          <w:p w14:paraId="472103A7" w14:textId="069FE071" w:rsidR="00F915DA" w:rsidRPr="00CA0804" w:rsidRDefault="000756A2" w:rsidP="00F915DA">
            <w:pPr>
              <w:jc w:val="right"/>
              <w:rPr>
                <w:rFonts w:eastAsia="Times New Roman"/>
                <w:sz w:val="20"/>
                <w:szCs w:val="20"/>
                <w:lang w:eastAsia="hr-HR"/>
              </w:rPr>
            </w:pPr>
            <w:r w:rsidRPr="00CA0804">
              <w:rPr>
                <w:b/>
                <w:sz w:val="20"/>
              </w:rPr>
              <w:t>–</w:t>
            </w:r>
          </w:p>
        </w:tc>
      </w:tr>
      <w:tr w:rsidR="00F915DA" w:rsidRPr="00CA0804" w14:paraId="643D94A9" w14:textId="77777777" w:rsidTr="00746187">
        <w:trPr>
          <w:trHeight w:val="255"/>
        </w:trPr>
        <w:tc>
          <w:tcPr>
            <w:tcW w:w="4957" w:type="dxa"/>
            <w:tcBorders>
              <w:top w:val="nil"/>
              <w:left w:val="single" w:sz="4" w:space="0" w:color="auto"/>
              <w:bottom w:val="single" w:sz="4" w:space="0" w:color="auto"/>
              <w:right w:val="single" w:sz="4" w:space="0" w:color="auto"/>
            </w:tcBorders>
            <w:shd w:val="clear" w:color="000000" w:fill="FFFF99"/>
            <w:noWrap/>
            <w:vAlign w:val="center"/>
            <w:hideMark/>
          </w:tcPr>
          <w:p w14:paraId="450A71E6" w14:textId="77777777" w:rsidR="00F915DA" w:rsidRPr="00CA0804" w:rsidRDefault="00F915DA" w:rsidP="00F915DA">
            <w:pPr>
              <w:rPr>
                <w:sz w:val="20"/>
                <w:szCs w:val="20"/>
              </w:rPr>
            </w:pPr>
            <w:r w:rsidRPr="00CA0804">
              <w:rPr>
                <w:b/>
                <w:sz w:val="20"/>
                <w:szCs w:val="20"/>
              </w:rPr>
              <w:t>UKUPNO</w:t>
            </w:r>
          </w:p>
        </w:tc>
        <w:tc>
          <w:tcPr>
            <w:tcW w:w="1417" w:type="dxa"/>
            <w:tcBorders>
              <w:top w:val="nil"/>
              <w:left w:val="nil"/>
              <w:bottom w:val="single" w:sz="4" w:space="0" w:color="auto"/>
              <w:right w:val="single" w:sz="4" w:space="0" w:color="auto"/>
            </w:tcBorders>
            <w:shd w:val="clear" w:color="000000" w:fill="FFFF99"/>
            <w:noWrap/>
            <w:vAlign w:val="center"/>
          </w:tcPr>
          <w:p w14:paraId="3CC055ED" w14:textId="3C182989" w:rsidR="00F915DA" w:rsidRPr="00CA0804" w:rsidRDefault="00F915DA" w:rsidP="00F915DA">
            <w:pPr>
              <w:jc w:val="right"/>
              <w:rPr>
                <w:b/>
                <w:sz w:val="20"/>
                <w:szCs w:val="20"/>
              </w:rPr>
            </w:pPr>
            <w:r w:rsidRPr="00CA0804">
              <w:rPr>
                <w:rFonts w:eastAsia="Times New Roman"/>
                <w:b/>
                <w:bCs/>
                <w:sz w:val="20"/>
                <w:szCs w:val="20"/>
                <w:lang w:eastAsia="hr-HR"/>
              </w:rPr>
              <w:t>232,8</w:t>
            </w:r>
          </w:p>
        </w:tc>
        <w:tc>
          <w:tcPr>
            <w:tcW w:w="1418" w:type="dxa"/>
            <w:tcBorders>
              <w:top w:val="nil"/>
              <w:left w:val="nil"/>
              <w:bottom w:val="single" w:sz="4" w:space="0" w:color="auto"/>
              <w:right w:val="single" w:sz="4" w:space="0" w:color="auto"/>
            </w:tcBorders>
            <w:shd w:val="clear" w:color="000000" w:fill="FFFF99"/>
            <w:noWrap/>
            <w:vAlign w:val="center"/>
          </w:tcPr>
          <w:p w14:paraId="39AD48FA" w14:textId="07E774D6" w:rsidR="00F915DA" w:rsidRPr="00CA0804" w:rsidRDefault="00F915DA" w:rsidP="00F915DA">
            <w:pPr>
              <w:jc w:val="right"/>
              <w:rPr>
                <w:b/>
                <w:sz w:val="20"/>
                <w:szCs w:val="20"/>
              </w:rPr>
            </w:pPr>
            <w:r w:rsidRPr="00CA0804">
              <w:rPr>
                <w:rFonts w:eastAsia="Times New Roman"/>
                <w:b/>
                <w:bCs/>
                <w:sz w:val="20"/>
                <w:szCs w:val="20"/>
                <w:lang w:eastAsia="hr-HR"/>
              </w:rPr>
              <w:t>252,7</w:t>
            </w:r>
          </w:p>
        </w:tc>
        <w:tc>
          <w:tcPr>
            <w:tcW w:w="1268" w:type="dxa"/>
            <w:tcBorders>
              <w:top w:val="nil"/>
              <w:left w:val="nil"/>
              <w:bottom w:val="single" w:sz="4" w:space="0" w:color="auto"/>
              <w:right w:val="single" w:sz="4" w:space="0" w:color="auto"/>
            </w:tcBorders>
            <w:shd w:val="clear" w:color="000000" w:fill="FFFF99"/>
            <w:noWrap/>
            <w:vAlign w:val="center"/>
          </w:tcPr>
          <w:p w14:paraId="47D57D88" w14:textId="436A5EB1" w:rsidR="00F915DA" w:rsidRPr="00CA0804" w:rsidRDefault="00F915DA" w:rsidP="00F915DA">
            <w:pPr>
              <w:jc w:val="right"/>
              <w:rPr>
                <w:b/>
                <w:sz w:val="20"/>
                <w:szCs w:val="20"/>
              </w:rPr>
            </w:pPr>
            <w:r w:rsidRPr="00CA0804">
              <w:rPr>
                <w:rFonts w:eastAsia="Times New Roman"/>
                <w:b/>
                <w:bCs/>
                <w:sz w:val="20"/>
                <w:szCs w:val="20"/>
                <w:lang w:eastAsia="hr-HR"/>
              </w:rPr>
              <w:t>205,7</w:t>
            </w:r>
          </w:p>
        </w:tc>
      </w:tr>
      <w:tr w:rsidR="00AC79B4" w:rsidRPr="00CA0804" w14:paraId="34178D44" w14:textId="77777777" w:rsidTr="00746187">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8FF3E" w14:textId="0F38C1B3" w:rsidR="00AC79B4" w:rsidRPr="00CA0804" w:rsidRDefault="00746187" w:rsidP="00715BA2">
            <w:pPr>
              <w:rPr>
                <w:b/>
                <w:sz w:val="20"/>
                <w:szCs w:val="20"/>
              </w:rPr>
            </w:pPr>
            <w:r w:rsidRPr="00CA0804">
              <w:rPr>
                <w:sz w:val="20"/>
                <w:szCs w:val="20"/>
              </w:rPr>
              <w:t>udio (%) u BDP-u</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B94C33E" w14:textId="78A6174B" w:rsidR="00AC79B4" w:rsidRPr="00CA0804" w:rsidRDefault="00746187" w:rsidP="00F915DA">
            <w:pPr>
              <w:jc w:val="center"/>
              <w:rPr>
                <w:b/>
                <w:sz w:val="20"/>
                <w:szCs w:val="20"/>
              </w:rPr>
            </w:pPr>
            <w:r w:rsidRPr="00CA0804">
              <w:rPr>
                <w:rFonts w:eastAsia="Times New Roman"/>
                <w:sz w:val="20"/>
                <w:szCs w:val="20"/>
                <w:lang w:eastAsia="hr-HR"/>
              </w:rPr>
              <w:t>0,3</w:t>
            </w:r>
            <w:r w:rsidR="00F915DA" w:rsidRPr="00CA0804">
              <w:rPr>
                <w:rFonts w:eastAsia="Times New Roman"/>
                <w:sz w:val="20"/>
                <w:szCs w:val="20"/>
                <w:lang w:eastAsia="hr-HR"/>
              </w:rPr>
              <w:t>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512F392" w14:textId="4D960BC8" w:rsidR="00AC79B4" w:rsidRPr="00CA0804" w:rsidRDefault="00F915DA" w:rsidP="00746187">
            <w:pPr>
              <w:jc w:val="center"/>
              <w:rPr>
                <w:b/>
                <w:sz w:val="20"/>
                <w:szCs w:val="20"/>
              </w:rPr>
            </w:pPr>
            <w:r w:rsidRPr="00CA0804">
              <w:rPr>
                <w:rFonts w:eastAsia="Times New Roman"/>
                <w:sz w:val="20"/>
                <w:szCs w:val="20"/>
                <w:lang w:eastAsia="hr-HR"/>
              </w:rPr>
              <w:t>0,32</w:t>
            </w:r>
          </w:p>
        </w:tc>
        <w:tc>
          <w:tcPr>
            <w:tcW w:w="1268" w:type="dxa"/>
            <w:tcBorders>
              <w:top w:val="single" w:sz="4" w:space="0" w:color="auto"/>
              <w:left w:val="nil"/>
              <w:bottom w:val="single" w:sz="4" w:space="0" w:color="auto"/>
              <w:right w:val="single" w:sz="4" w:space="0" w:color="auto"/>
            </w:tcBorders>
            <w:shd w:val="clear" w:color="auto" w:fill="auto"/>
            <w:noWrap/>
            <w:vAlign w:val="center"/>
          </w:tcPr>
          <w:p w14:paraId="5316FDE8" w14:textId="62BDF7C4" w:rsidR="00AC79B4" w:rsidRPr="00CA0804" w:rsidRDefault="00F915DA" w:rsidP="00746187">
            <w:pPr>
              <w:jc w:val="center"/>
              <w:rPr>
                <w:b/>
                <w:sz w:val="20"/>
                <w:szCs w:val="20"/>
              </w:rPr>
            </w:pPr>
            <w:r w:rsidRPr="00CA0804">
              <w:rPr>
                <w:rFonts w:eastAsia="Times New Roman"/>
                <w:sz w:val="20"/>
                <w:szCs w:val="20"/>
                <w:lang w:eastAsia="hr-HR"/>
              </w:rPr>
              <w:t>0,24</w:t>
            </w:r>
          </w:p>
        </w:tc>
      </w:tr>
    </w:tbl>
    <w:p w14:paraId="297CF176" w14:textId="77777777" w:rsidR="00F70D95" w:rsidRPr="00CA0804" w:rsidRDefault="00F70D95" w:rsidP="00BE487D">
      <w:pPr>
        <w:contextualSpacing/>
        <w:jc w:val="both"/>
        <w:rPr>
          <w:i/>
          <w:sz w:val="20"/>
        </w:rPr>
      </w:pPr>
      <w:r w:rsidRPr="00CA0804">
        <w:rPr>
          <w:i/>
          <w:sz w:val="20"/>
        </w:rPr>
        <w:t>Izvor: Ministarstvo financija i davatelji potpora; podaci obrađeni u Ministarstvu financija</w:t>
      </w:r>
    </w:p>
    <w:p w14:paraId="53E27D0D" w14:textId="77777777" w:rsidR="00932F03" w:rsidRPr="00CA0804" w:rsidRDefault="00932F03" w:rsidP="00BE487D">
      <w:pPr>
        <w:jc w:val="both"/>
      </w:pPr>
    </w:p>
    <w:p w14:paraId="3BAB38F3" w14:textId="0E607FCD" w:rsidR="00E21F0C" w:rsidRPr="00CA0804" w:rsidRDefault="00E21F0C" w:rsidP="00E21F0C">
      <w:pPr>
        <w:jc w:val="both"/>
      </w:pPr>
      <w:r w:rsidRPr="00CA0804">
        <w:t xml:space="preserve">Udio potpora </w:t>
      </w:r>
      <w:r w:rsidRPr="00CA0804">
        <w:rPr>
          <w:bCs/>
        </w:rPr>
        <w:t>male vrijednosti</w:t>
      </w:r>
      <w:r w:rsidRPr="00CA0804">
        <w:t xml:space="preserve"> u BDP-u u 202</w:t>
      </w:r>
      <w:r w:rsidR="008C1D04" w:rsidRPr="00CA0804">
        <w:t>4</w:t>
      </w:r>
      <w:r w:rsidRPr="00CA0804">
        <w:t>. godini iznosio je 0,</w:t>
      </w:r>
      <w:r w:rsidR="008C1D04" w:rsidRPr="00CA0804">
        <w:t>24</w:t>
      </w:r>
      <w:r w:rsidRPr="00CA0804">
        <w:t xml:space="preserve"> posto, u 202</w:t>
      </w:r>
      <w:r w:rsidR="008C1D04" w:rsidRPr="00CA0804">
        <w:t>3</w:t>
      </w:r>
      <w:r w:rsidRPr="00CA0804">
        <w:t>. godini 0,3</w:t>
      </w:r>
      <w:r w:rsidR="008C1D04" w:rsidRPr="00CA0804">
        <w:t>2</w:t>
      </w:r>
      <w:r w:rsidRPr="00CA0804">
        <w:t xml:space="preserve"> posto dok je u 202</w:t>
      </w:r>
      <w:r w:rsidR="008C1D04" w:rsidRPr="00CA0804">
        <w:t>2</w:t>
      </w:r>
      <w:r w:rsidRPr="00CA0804">
        <w:t>. godini iznosio 0,3</w:t>
      </w:r>
      <w:r w:rsidR="008C1D04" w:rsidRPr="00CA0804">
        <w:t>4</w:t>
      </w:r>
      <w:r w:rsidRPr="00CA0804">
        <w:t xml:space="preserve"> posto. </w:t>
      </w:r>
    </w:p>
    <w:p w14:paraId="4183ED17" w14:textId="1683FE4D" w:rsidR="00746187" w:rsidRPr="00CA0804" w:rsidRDefault="00746187" w:rsidP="00BE487D">
      <w:pPr>
        <w:jc w:val="both"/>
      </w:pPr>
    </w:p>
    <w:p w14:paraId="16684DD6" w14:textId="05A1007C" w:rsidR="00942503" w:rsidRPr="00CA0804" w:rsidRDefault="0016103B" w:rsidP="00942503">
      <w:pPr>
        <w:jc w:val="both"/>
      </w:pPr>
      <w:r w:rsidRPr="00CA0804">
        <w:t xml:space="preserve">Potpore male vrijednosti dodijeljene </w:t>
      </w:r>
      <w:r w:rsidR="00F45087" w:rsidRPr="00CA0804">
        <w:t xml:space="preserve">u 2024. godini </w:t>
      </w:r>
      <w:r w:rsidRPr="00CA0804">
        <w:t xml:space="preserve">u iznosu od </w:t>
      </w:r>
      <w:r w:rsidR="00F45087" w:rsidRPr="00CA0804">
        <w:t>205,7</w:t>
      </w:r>
      <w:r w:rsidRPr="00CA0804">
        <w:t xml:space="preserve"> milijuna eura, najvećim dijelom </w:t>
      </w:r>
      <w:r w:rsidR="00F45087" w:rsidRPr="00CA0804">
        <w:t xml:space="preserve">su dodijeljene </w:t>
      </w:r>
      <w:r w:rsidRPr="00CA0804">
        <w:t xml:space="preserve">putem subvencija u iznosu od </w:t>
      </w:r>
      <w:r w:rsidR="00942503" w:rsidRPr="00CA0804">
        <w:t>165,</w:t>
      </w:r>
      <w:r w:rsidR="00997052" w:rsidRPr="00CA0804">
        <w:t>3</w:t>
      </w:r>
      <w:r w:rsidR="00C75F53" w:rsidRPr="00CA0804">
        <w:t xml:space="preserve"> </w:t>
      </w:r>
      <w:r w:rsidRPr="00CA0804">
        <w:t xml:space="preserve">milijuna eura ili s udjelom od </w:t>
      </w:r>
      <w:r w:rsidR="00942503" w:rsidRPr="00CA0804">
        <w:t>80,4</w:t>
      </w:r>
      <w:r w:rsidRPr="00CA0804">
        <w:t xml:space="preserve"> posto u </w:t>
      </w:r>
      <w:r w:rsidR="00942503" w:rsidRPr="00CA0804">
        <w:t xml:space="preserve">ukupno </w:t>
      </w:r>
      <w:r w:rsidRPr="00CA0804">
        <w:t xml:space="preserve">dodijeljenim potporama male vrijednosti, slijede </w:t>
      </w:r>
      <w:r w:rsidR="00C75F53" w:rsidRPr="00CA0804">
        <w:t xml:space="preserve">povoljni zajmovi </w:t>
      </w:r>
      <w:r w:rsidR="00942503" w:rsidRPr="00CA0804">
        <w:t>sa</w:t>
      </w:r>
      <w:r w:rsidR="00C75F53" w:rsidRPr="00CA0804">
        <w:t xml:space="preserve"> </w:t>
      </w:r>
      <w:r w:rsidR="00942503" w:rsidRPr="00CA0804">
        <w:t>17,3</w:t>
      </w:r>
      <w:r w:rsidR="00C75F53" w:rsidRPr="00CA0804">
        <w:t xml:space="preserve"> milijuna eura ili </w:t>
      </w:r>
      <w:r w:rsidR="00942503" w:rsidRPr="00CA0804">
        <w:t>8,4</w:t>
      </w:r>
      <w:r w:rsidR="00C75F53" w:rsidRPr="00CA0804">
        <w:t xml:space="preserve"> posto, potom sniž</w:t>
      </w:r>
      <w:r w:rsidR="00942503" w:rsidRPr="00CA0804">
        <w:t>avanje</w:t>
      </w:r>
      <w:r w:rsidR="00C75F53" w:rsidRPr="00CA0804">
        <w:t xml:space="preserve">, oslobođenje, olakšice, izuzeće i oprost plaćanja doprinosa u iznosu od </w:t>
      </w:r>
      <w:r w:rsidR="00942503" w:rsidRPr="00CA0804">
        <w:t>14,7</w:t>
      </w:r>
      <w:r w:rsidR="00C75F53" w:rsidRPr="00CA0804">
        <w:t xml:space="preserve"> milijun</w:t>
      </w:r>
      <w:r w:rsidR="00942503" w:rsidRPr="00CA0804">
        <w:t>a</w:t>
      </w:r>
      <w:r w:rsidR="00C75F53" w:rsidRPr="00CA0804">
        <w:t xml:space="preserve"> eura ili </w:t>
      </w:r>
      <w:r w:rsidR="00942503" w:rsidRPr="00CA0804">
        <w:t>7,1</w:t>
      </w:r>
      <w:r w:rsidR="00C75F53" w:rsidRPr="00CA0804">
        <w:t xml:space="preserve"> posto, </w:t>
      </w:r>
      <w:r w:rsidR="00942503" w:rsidRPr="00CA0804">
        <w:t xml:space="preserve">neposredne subvencije kamata s 5,5 </w:t>
      </w:r>
      <w:r w:rsidR="00942503" w:rsidRPr="00CA0804">
        <w:lastRenderedPageBreak/>
        <w:t>milijuna eura ili 2,7 posto, kapitalna ulaganja s 1,</w:t>
      </w:r>
      <w:r w:rsidR="00997052" w:rsidRPr="00CA0804">
        <w:t>5</w:t>
      </w:r>
      <w:r w:rsidR="00942503" w:rsidRPr="00CA0804">
        <w:t xml:space="preserve"> milijuna eura ili 0,</w:t>
      </w:r>
      <w:r w:rsidR="00997052" w:rsidRPr="00CA0804">
        <w:t>7</w:t>
      </w:r>
      <w:r w:rsidR="00942503" w:rsidRPr="00CA0804">
        <w:t xml:space="preserve"> posto, izdana jamstva s 1,3 milijuna eura ili 0,6 posto, oprost poreza, porezna oslobođenja, izuzeća i olakšice u iznosu od 51.071,88 eura ili 0,02 posto, odgode pri plaćanju poreza s 10.197,07 eura ili 0,005 posto te otpis duga u iznosu od 9.049,80 eura ili 0,004 posto, </w:t>
      </w:r>
    </w:p>
    <w:p w14:paraId="65CDDF9C" w14:textId="1C1E0C23" w:rsidR="00942503" w:rsidRPr="00CA0804" w:rsidRDefault="00942503" w:rsidP="00942503">
      <w:pPr>
        <w:jc w:val="both"/>
      </w:pPr>
    </w:p>
    <w:p w14:paraId="3DC6EACA" w14:textId="593D4AB1" w:rsidR="00F70D95" w:rsidRPr="00CA0804" w:rsidRDefault="008C1D04" w:rsidP="00BE487D">
      <w:pPr>
        <w:jc w:val="both"/>
      </w:pPr>
      <w:r w:rsidRPr="00CA0804">
        <w:t>O</w:t>
      </w:r>
      <w:r w:rsidR="008E3256" w:rsidRPr="00CA0804">
        <w:t>d</w:t>
      </w:r>
      <w:r w:rsidRPr="00CA0804">
        <w:t xml:space="preserve"> </w:t>
      </w:r>
      <w:r w:rsidR="008E3256" w:rsidRPr="00CA0804">
        <w:t>ukupno dodijeljenih potpora male vrijednosti</w:t>
      </w:r>
      <w:r w:rsidR="00124E49" w:rsidRPr="00CA0804">
        <w:t xml:space="preserve"> </w:t>
      </w:r>
      <w:r w:rsidRPr="00CA0804">
        <w:t xml:space="preserve">u 2024. godini </w:t>
      </w:r>
      <w:r w:rsidR="00124E49" w:rsidRPr="00CA0804">
        <w:t xml:space="preserve">u iznosu od </w:t>
      </w:r>
      <w:r w:rsidRPr="00CA0804">
        <w:t>205,</w:t>
      </w:r>
      <w:r w:rsidR="00997052" w:rsidRPr="00CA0804">
        <w:t>7</w:t>
      </w:r>
      <w:r w:rsidR="00124E49" w:rsidRPr="00CA0804">
        <w:t xml:space="preserve"> milijuna eura, </w:t>
      </w:r>
      <w:r w:rsidR="00F70D95" w:rsidRPr="00CA0804">
        <w:t xml:space="preserve">davatelji potpora na razini središnje države dodijelili su </w:t>
      </w:r>
      <w:r w:rsidRPr="00CA0804">
        <w:t>172,</w:t>
      </w:r>
      <w:r w:rsidR="00997052" w:rsidRPr="00CA0804">
        <w:t>1</w:t>
      </w:r>
      <w:r w:rsidR="00124E49" w:rsidRPr="00CA0804">
        <w:t xml:space="preserve"> </w:t>
      </w:r>
      <w:r w:rsidR="00F70D95" w:rsidRPr="00CA0804">
        <w:t xml:space="preserve">milijun </w:t>
      </w:r>
      <w:r w:rsidR="00124E49" w:rsidRPr="00CA0804">
        <w:t>eura</w:t>
      </w:r>
      <w:r w:rsidR="00F70D95" w:rsidRPr="00CA0804">
        <w:t xml:space="preserve"> ili </w:t>
      </w:r>
      <w:r w:rsidRPr="00CA0804">
        <w:t>83,7</w:t>
      </w:r>
      <w:r w:rsidR="00F70D95" w:rsidRPr="00CA0804">
        <w:t xml:space="preserve"> posto</w:t>
      </w:r>
      <w:r w:rsidR="002F1754" w:rsidRPr="00CA0804">
        <w:t xml:space="preserve"> udjela u </w:t>
      </w:r>
      <w:r w:rsidR="00124E49" w:rsidRPr="00CA0804">
        <w:t xml:space="preserve">navedenim </w:t>
      </w:r>
      <w:r w:rsidR="002F1754" w:rsidRPr="00CA0804">
        <w:t>potporama</w:t>
      </w:r>
      <w:r w:rsidR="00F70D95" w:rsidRPr="00CA0804">
        <w:t xml:space="preserve">, dok su davatelji na lokalnoj razini dodijelili </w:t>
      </w:r>
      <w:r w:rsidRPr="00CA0804">
        <w:t>33,6</w:t>
      </w:r>
      <w:r w:rsidR="00124E49" w:rsidRPr="00CA0804">
        <w:t xml:space="preserve"> </w:t>
      </w:r>
      <w:r w:rsidR="00F70D95" w:rsidRPr="00CA0804">
        <w:t xml:space="preserve">milijuna </w:t>
      </w:r>
      <w:r w:rsidR="00FA2983" w:rsidRPr="00CA0804">
        <w:t>eura</w:t>
      </w:r>
      <w:r w:rsidR="00F70D95" w:rsidRPr="00CA0804">
        <w:t xml:space="preserve"> ili </w:t>
      </w:r>
      <w:r w:rsidRPr="00CA0804">
        <w:t>16,3</w:t>
      </w:r>
      <w:r w:rsidR="00F70D95" w:rsidRPr="00CA0804">
        <w:t xml:space="preserve"> posto. </w:t>
      </w:r>
    </w:p>
    <w:p w14:paraId="44556D64" w14:textId="77777777" w:rsidR="00D55017" w:rsidRPr="00CA0804" w:rsidRDefault="00D55017" w:rsidP="00BE487D">
      <w:pPr>
        <w:rPr>
          <w:b/>
        </w:rPr>
      </w:pPr>
    </w:p>
    <w:p w14:paraId="5277574F" w14:textId="0AE821EE" w:rsidR="00F70D95" w:rsidRPr="00CA0804" w:rsidRDefault="00CD7FC1" w:rsidP="0030218B">
      <w:pPr>
        <w:jc w:val="both"/>
      </w:pPr>
      <w:r w:rsidRPr="00CA0804">
        <w:t>Na razini središnje države, d</w:t>
      </w:r>
      <w:r w:rsidR="00E32E0E" w:rsidRPr="00CA0804">
        <w:t>a</w:t>
      </w:r>
      <w:r w:rsidR="00F70D95" w:rsidRPr="00CA0804">
        <w:t>vatelji potpora malih vrijednosti</w:t>
      </w:r>
      <w:r w:rsidR="006C2323" w:rsidRPr="00CA0804">
        <w:t>,</w:t>
      </w:r>
      <w:r w:rsidR="00F70D95" w:rsidRPr="00CA0804">
        <w:t xml:space="preserve"> </w:t>
      </w:r>
      <w:r w:rsidR="00E21F0C" w:rsidRPr="00CA0804">
        <w:t>koji su u 202</w:t>
      </w:r>
      <w:r w:rsidRPr="00CA0804">
        <w:t>4</w:t>
      </w:r>
      <w:r w:rsidR="00E21F0C" w:rsidRPr="00CA0804">
        <w:t xml:space="preserve">. godini </w:t>
      </w:r>
      <w:r w:rsidR="0041435D" w:rsidRPr="00CA0804">
        <w:t>dodjeljivali</w:t>
      </w:r>
      <w:r w:rsidR="00E21F0C" w:rsidRPr="00CA0804">
        <w:t xml:space="preserve"> navedene potpore</w:t>
      </w:r>
      <w:r w:rsidR="00411AEE" w:rsidRPr="00CA0804">
        <w:t>, i koje su posljedično tome unesene u Registar</w:t>
      </w:r>
      <w:r w:rsidR="00E21F0C" w:rsidRPr="00CA0804">
        <w:t xml:space="preserve">, </w:t>
      </w:r>
      <w:r w:rsidR="00896E7E" w:rsidRPr="00CA0804">
        <w:t xml:space="preserve">prikazani po visini dodijeljenih potpora </w:t>
      </w:r>
      <w:r w:rsidR="00411AEE" w:rsidRPr="00CA0804">
        <w:t xml:space="preserve">jesu </w:t>
      </w:r>
      <w:r w:rsidR="00F70D95" w:rsidRPr="00CA0804">
        <w:t>sljedeći:</w:t>
      </w:r>
    </w:p>
    <w:p w14:paraId="475D55E1" w14:textId="7707AA38" w:rsidR="00E32E0E" w:rsidRPr="00CA0804" w:rsidRDefault="00CD7FC1" w:rsidP="00E346B9">
      <w:pPr>
        <w:pStyle w:val="ListParagraph"/>
        <w:numPr>
          <w:ilvl w:val="0"/>
          <w:numId w:val="11"/>
        </w:numPr>
        <w:ind w:left="714" w:hanging="357"/>
        <w:jc w:val="both"/>
      </w:pPr>
      <w:r w:rsidRPr="00CA0804">
        <w:t>92,3</w:t>
      </w:r>
      <w:r w:rsidR="006C2323" w:rsidRPr="00CA0804">
        <w:t xml:space="preserve"> </w:t>
      </w:r>
      <w:r w:rsidR="00E32E0E" w:rsidRPr="00CA0804">
        <w:t xml:space="preserve">milijuna </w:t>
      </w:r>
      <w:r w:rsidR="006C2323" w:rsidRPr="00CA0804">
        <w:t>eura</w:t>
      </w:r>
      <w:r w:rsidR="00E32E0E" w:rsidRPr="00CA0804">
        <w:t xml:space="preserve"> – Hrvatski zavod za zapošljavanje</w:t>
      </w:r>
    </w:p>
    <w:p w14:paraId="23E81EDB" w14:textId="23EF8EAE" w:rsidR="00CD7FC1" w:rsidRPr="00CA0804" w:rsidRDefault="00CD7FC1" w:rsidP="00E346B9">
      <w:pPr>
        <w:pStyle w:val="ListParagraph"/>
        <w:numPr>
          <w:ilvl w:val="0"/>
          <w:numId w:val="11"/>
        </w:numPr>
        <w:ind w:left="714" w:hanging="357"/>
        <w:jc w:val="both"/>
      </w:pPr>
      <w:r w:rsidRPr="00CA0804">
        <w:t>18,6 milijuna eura – Ministarstvo poljoprivrede, šumarstva i ribarstva</w:t>
      </w:r>
    </w:p>
    <w:p w14:paraId="3A5D2836" w14:textId="3992BAAC" w:rsidR="00CD7FC1" w:rsidRPr="00CA0804" w:rsidRDefault="00CD7FC1" w:rsidP="00E346B9">
      <w:pPr>
        <w:pStyle w:val="ListParagraph"/>
        <w:numPr>
          <w:ilvl w:val="0"/>
          <w:numId w:val="11"/>
        </w:numPr>
        <w:ind w:left="714" w:hanging="357"/>
        <w:jc w:val="both"/>
      </w:pPr>
      <w:r w:rsidRPr="00CA0804">
        <w:t>15,9 milijuna eura – HBOR</w:t>
      </w:r>
    </w:p>
    <w:p w14:paraId="62B46CF5" w14:textId="6DBED86A" w:rsidR="00E32E0E" w:rsidRPr="00CA0804" w:rsidRDefault="00CD7FC1" w:rsidP="00E346B9">
      <w:pPr>
        <w:pStyle w:val="ListParagraph"/>
        <w:numPr>
          <w:ilvl w:val="0"/>
          <w:numId w:val="11"/>
        </w:numPr>
        <w:ind w:left="714" w:hanging="357"/>
        <w:jc w:val="both"/>
      </w:pPr>
      <w:r w:rsidRPr="00CA0804">
        <w:t xml:space="preserve">9,3 </w:t>
      </w:r>
      <w:r w:rsidR="00E32E0E" w:rsidRPr="00CA0804">
        <w:t xml:space="preserve">milijuna </w:t>
      </w:r>
      <w:r w:rsidR="006C2323" w:rsidRPr="00CA0804">
        <w:t xml:space="preserve">eura </w:t>
      </w:r>
      <w:r w:rsidRPr="00CA0804">
        <w:t>– Ministarstvo gospodarstva</w:t>
      </w:r>
    </w:p>
    <w:p w14:paraId="22D959D9" w14:textId="3FFD7177" w:rsidR="008D4E59" w:rsidRPr="00CA0804" w:rsidRDefault="008D4E59" w:rsidP="00E346B9">
      <w:pPr>
        <w:pStyle w:val="ListParagraph"/>
        <w:numPr>
          <w:ilvl w:val="0"/>
          <w:numId w:val="11"/>
        </w:numPr>
        <w:ind w:left="714" w:hanging="357"/>
        <w:jc w:val="both"/>
      </w:pPr>
      <w:r w:rsidRPr="00CA0804">
        <w:t>7,4 milijuna eura – HAMAG – BICRO</w:t>
      </w:r>
    </w:p>
    <w:p w14:paraId="1B743891" w14:textId="7AEA9895" w:rsidR="008D4E59" w:rsidRPr="00CA0804" w:rsidRDefault="008D4E59" w:rsidP="00E346B9">
      <w:pPr>
        <w:pStyle w:val="ListParagraph"/>
        <w:numPr>
          <w:ilvl w:val="0"/>
          <w:numId w:val="11"/>
        </w:numPr>
        <w:ind w:left="714" w:hanging="357"/>
        <w:jc w:val="both"/>
      </w:pPr>
      <w:r w:rsidRPr="00CA0804">
        <w:t>6 milijuna eura – Fond za obnovu i razvoj grada Vukovara</w:t>
      </w:r>
    </w:p>
    <w:p w14:paraId="70F464F2" w14:textId="70A3B868" w:rsidR="008D4E59" w:rsidRPr="00CA0804" w:rsidRDefault="008D4E59" w:rsidP="00E346B9">
      <w:pPr>
        <w:pStyle w:val="ListParagraph"/>
        <w:numPr>
          <w:ilvl w:val="0"/>
          <w:numId w:val="11"/>
        </w:numPr>
        <w:ind w:left="714" w:hanging="357"/>
        <w:jc w:val="both"/>
      </w:pPr>
      <w:r w:rsidRPr="00CA0804">
        <w:t>4,8 milijuna eura – Ministarstvo regionalnoga razvoja i fondova Europske unije</w:t>
      </w:r>
    </w:p>
    <w:p w14:paraId="04173E8E" w14:textId="63DC22B5" w:rsidR="008D4E59" w:rsidRPr="00CA0804" w:rsidRDefault="008D4E59" w:rsidP="00E346B9">
      <w:pPr>
        <w:pStyle w:val="ListParagraph"/>
        <w:numPr>
          <w:ilvl w:val="0"/>
          <w:numId w:val="11"/>
        </w:numPr>
        <w:ind w:left="714" w:hanging="357"/>
        <w:jc w:val="both"/>
      </w:pPr>
      <w:r w:rsidRPr="00CA0804">
        <w:t>4,2 milijuna eura – Ministarstvo turizma i sporta</w:t>
      </w:r>
    </w:p>
    <w:p w14:paraId="65E77CE4" w14:textId="1181A7F6" w:rsidR="008D4E59" w:rsidRPr="00CA0804" w:rsidRDefault="008D4E59" w:rsidP="00E346B9">
      <w:pPr>
        <w:pStyle w:val="ListParagraph"/>
        <w:numPr>
          <w:ilvl w:val="0"/>
          <w:numId w:val="11"/>
        </w:numPr>
        <w:ind w:left="714" w:hanging="357"/>
        <w:jc w:val="both"/>
      </w:pPr>
      <w:r w:rsidRPr="00CA0804">
        <w:t>4,1 milijuna eura – Ministarstvo prostornoga uređenja, graditeljstva i državne imovine</w:t>
      </w:r>
    </w:p>
    <w:p w14:paraId="6502D64E" w14:textId="66B23B9C" w:rsidR="008D4E59" w:rsidRPr="00CA0804" w:rsidRDefault="008D4E59" w:rsidP="00E346B9">
      <w:pPr>
        <w:pStyle w:val="ListParagraph"/>
        <w:numPr>
          <w:ilvl w:val="0"/>
          <w:numId w:val="11"/>
        </w:numPr>
        <w:ind w:left="714" w:hanging="357"/>
        <w:jc w:val="both"/>
      </w:pPr>
      <w:r w:rsidRPr="00CA0804">
        <w:t>3,6 milijuna eura – Zavod za vještačenje, profesionalnu rehabilitaciju i zapošljavanje osoba s invaliditetom</w:t>
      </w:r>
    </w:p>
    <w:p w14:paraId="4B51F643" w14:textId="45EB22AB" w:rsidR="008D4E59" w:rsidRPr="00CA0804" w:rsidRDefault="008D4E59" w:rsidP="00E346B9">
      <w:pPr>
        <w:pStyle w:val="ListParagraph"/>
        <w:numPr>
          <w:ilvl w:val="0"/>
          <w:numId w:val="11"/>
        </w:numPr>
        <w:ind w:left="714" w:hanging="357"/>
        <w:jc w:val="both"/>
      </w:pPr>
      <w:r w:rsidRPr="00CA0804">
        <w:t>2,9 milijuna eura – Agencija za elektroničke medije</w:t>
      </w:r>
    </w:p>
    <w:p w14:paraId="345454FD" w14:textId="6A712827" w:rsidR="008D4E59" w:rsidRPr="00CA0804" w:rsidRDefault="008D4E59" w:rsidP="00E346B9">
      <w:pPr>
        <w:pStyle w:val="ListParagraph"/>
        <w:numPr>
          <w:ilvl w:val="0"/>
          <w:numId w:val="11"/>
        </w:numPr>
        <w:ind w:left="714" w:hanging="357"/>
        <w:jc w:val="both"/>
      </w:pPr>
      <w:r w:rsidRPr="00CA0804">
        <w:t>1,3 milijuna eura – Ministarstvo hrvatskih branitelja</w:t>
      </w:r>
    </w:p>
    <w:p w14:paraId="2F7354FB" w14:textId="4708C0D6" w:rsidR="008D4E59" w:rsidRPr="00CA0804" w:rsidRDefault="008D4E59" w:rsidP="00E346B9">
      <w:pPr>
        <w:pStyle w:val="ListParagraph"/>
        <w:numPr>
          <w:ilvl w:val="0"/>
          <w:numId w:val="11"/>
        </w:numPr>
        <w:ind w:left="714" w:hanging="357"/>
        <w:jc w:val="both"/>
      </w:pPr>
      <w:r w:rsidRPr="00CA0804">
        <w:t>902.468,56 eura – Fond za zaštitu okoliša i energetsku učinkovitost</w:t>
      </w:r>
    </w:p>
    <w:p w14:paraId="3AB1D31E" w14:textId="7E2C3AC5" w:rsidR="006C2323" w:rsidRPr="00CA0804" w:rsidRDefault="008D4E59" w:rsidP="00E346B9">
      <w:pPr>
        <w:pStyle w:val="ListParagraph"/>
        <w:numPr>
          <w:ilvl w:val="0"/>
          <w:numId w:val="11"/>
        </w:numPr>
        <w:ind w:left="714" w:hanging="357"/>
        <w:jc w:val="both"/>
      </w:pPr>
      <w:r w:rsidRPr="00CA0804">
        <w:t xml:space="preserve">795.204,76 </w:t>
      </w:r>
      <w:r w:rsidR="006C2323" w:rsidRPr="00CA0804">
        <w:t xml:space="preserve">eura – Ministarstvo </w:t>
      </w:r>
      <w:r w:rsidRPr="00CA0804">
        <w:t>znanosti, obrazovanja i mladih</w:t>
      </w:r>
    </w:p>
    <w:p w14:paraId="5A205707" w14:textId="4D6B8DCB" w:rsidR="0030218B" w:rsidRPr="00CA0804" w:rsidRDefault="008D4E59" w:rsidP="00E346B9">
      <w:pPr>
        <w:pStyle w:val="ListParagraph"/>
        <w:numPr>
          <w:ilvl w:val="0"/>
          <w:numId w:val="11"/>
        </w:numPr>
        <w:ind w:left="714" w:hanging="357"/>
        <w:jc w:val="both"/>
      </w:pPr>
      <w:r w:rsidRPr="00CA0804">
        <w:t xml:space="preserve">25.546,09 </w:t>
      </w:r>
      <w:r w:rsidR="006C2323" w:rsidRPr="00CA0804">
        <w:t xml:space="preserve">eura </w:t>
      </w:r>
      <w:r w:rsidR="0030218B" w:rsidRPr="00CA0804">
        <w:t>– Ministarstvo financija – Carinska uprava</w:t>
      </w:r>
      <w:r w:rsidR="00A943A1" w:rsidRPr="00CA0804">
        <w:t>.</w:t>
      </w:r>
    </w:p>
    <w:p w14:paraId="2D773D95" w14:textId="4732C441" w:rsidR="008F708B" w:rsidRPr="00CA0804" w:rsidRDefault="008F708B" w:rsidP="008F708B"/>
    <w:p w14:paraId="394EFA23" w14:textId="6F27DB64" w:rsidR="008F708B" w:rsidRPr="00CA0804" w:rsidRDefault="008F708B" w:rsidP="00E346B9">
      <w:pPr>
        <w:pStyle w:val="ListParagraph"/>
        <w:numPr>
          <w:ilvl w:val="0"/>
          <w:numId w:val="13"/>
        </w:numPr>
        <w:jc w:val="both"/>
      </w:pPr>
      <w:r w:rsidRPr="00CA0804">
        <w:rPr>
          <w:bCs/>
          <w:u w:val="single"/>
        </w:rPr>
        <w:t xml:space="preserve">Hrvatski zavod za </w:t>
      </w:r>
      <w:r w:rsidRPr="00CA0804">
        <w:rPr>
          <w:u w:val="single"/>
          <w:lang w:eastAsia="hr-HR"/>
        </w:rPr>
        <w:t>zapošljavanje</w:t>
      </w:r>
      <w:r w:rsidRPr="00CA0804">
        <w:rPr>
          <w:bCs/>
        </w:rPr>
        <w:t xml:space="preserve"> dodijelio je </w:t>
      </w:r>
      <w:r w:rsidRPr="00CA0804">
        <w:t>9</w:t>
      </w:r>
      <w:r w:rsidR="00CD7FC1" w:rsidRPr="00CA0804">
        <w:t>2,3</w:t>
      </w:r>
      <w:r w:rsidRPr="00CA0804">
        <w:t xml:space="preserve"> </w:t>
      </w:r>
      <w:r w:rsidRPr="00CA0804">
        <w:rPr>
          <w:bCs/>
        </w:rPr>
        <w:t xml:space="preserve">milijuna </w:t>
      </w:r>
      <w:r w:rsidRPr="00CA0804">
        <w:t xml:space="preserve">eura </w:t>
      </w:r>
      <w:r w:rsidRPr="00CA0804">
        <w:rPr>
          <w:bCs/>
        </w:rPr>
        <w:t xml:space="preserve">potpora </w:t>
      </w:r>
      <w:r w:rsidRPr="00CA0804">
        <w:t xml:space="preserve">male vrijednosti </w:t>
      </w:r>
      <w:r w:rsidRPr="00CA0804">
        <w:rPr>
          <w:bCs/>
        </w:rPr>
        <w:t xml:space="preserve">za </w:t>
      </w:r>
      <w:r w:rsidRPr="00CA0804">
        <w:rPr>
          <w:bCs/>
          <w:lang w:eastAsia="hr-HR"/>
        </w:rPr>
        <w:t xml:space="preserve">zapošljavanje putem subvencija, </w:t>
      </w:r>
      <w:r w:rsidRPr="00CA0804">
        <w:rPr>
          <w:bCs/>
        </w:rPr>
        <w:t xml:space="preserve">temeljem </w:t>
      </w:r>
      <w:r w:rsidR="00CD7FC1" w:rsidRPr="00CA0804">
        <w:rPr>
          <w:color w:val="000000"/>
          <w:lang w:eastAsia="hr-HR"/>
        </w:rPr>
        <w:t xml:space="preserve">Programa </w:t>
      </w:r>
      <w:r w:rsidR="00CD7FC1" w:rsidRPr="00CA0804">
        <w:t xml:space="preserve">potpora male vrijednosti u nadležnosti Hrvatskog zavoda za zapošljavanje u 2024. godini iznos od 92,3 milijuna eura i temeljem </w:t>
      </w:r>
      <w:r w:rsidRPr="00CA0804">
        <w:rPr>
          <w:color w:val="000000"/>
          <w:lang w:eastAsia="hr-HR"/>
        </w:rPr>
        <w:t xml:space="preserve">Programa </w:t>
      </w:r>
      <w:r w:rsidRPr="00CA0804">
        <w:t xml:space="preserve">potpora male vrijednosti u nadležnosti Hrvatskog zavoda za zapošljavanje u 2023. godini iznos od </w:t>
      </w:r>
      <w:r w:rsidR="00CD7FC1" w:rsidRPr="00CA0804">
        <w:t xml:space="preserve">23.815,96 </w:t>
      </w:r>
      <w:r w:rsidRPr="00CA0804">
        <w:t>eura.</w:t>
      </w:r>
    </w:p>
    <w:p w14:paraId="615C6816" w14:textId="77777777" w:rsidR="00E645AC" w:rsidRPr="00CA0804" w:rsidRDefault="00E645AC" w:rsidP="00CD7FC1"/>
    <w:p w14:paraId="4653076B" w14:textId="00B5813D" w:rsidR="00CD7FC1" w:rsidRPr="00CA0804" w:rsidRDefault="00CD7FC1" w:rsidP="00E346B9">
      <w:pPr>
        <w:pStyle w:val="ListParagraph"/>
        <w:numPr>
          <w:ilvl w:val="0"/>
          <w:numId w:val="15"/>
        </w:numPr>
        <w:jc w:val="both"/>
        <w:rPr>
          <w:spacing w:val="-2"/>
        </w:rPr>
      </w:pPr>
      <w:r w:rsidRPr="00CA0804">
        <w:rPr>
          <w:bCs/>
          <w:spacing w:val="-2"/>
          <w:u w:val="single"/>
        </w:rPr>
        <w:t xml:space="preserve">Ministarstvo </w:t>
      </w:r>
      <w:r w:rsidRPr="00CA0804">
        <w:rPr>
          <w:spacing w:val="-2"/>
          <w:u w:val="single"/>
        </w:rPr>
        <w:t>poljoprivrede, šumarstva i ribarstva</w:t>
      </w:r>
      <w:r w:rsidRPr="00CA0804">
        <w:rPr>
          <w:bCs/>
          <w:spacing w:val="-2"/>
        </w:rPr>
        <w:t xml:space="preserve"> dodijelilo je </w:t>
      </w:r>
      <w:r w:rsidR="008D4E59" w:rsidRPr="00CA0804">
        <w:rPr>
          <w:bCs/>
          <w:spacing w:val="-2"/>
        </w:rPr>
        <w:t>18,6</w:t>
      </w:r>
      <w:r w:rsidRPr="00CA0804">
        <w:rPr>
          <w:spacing w:val="-2"/>
        </w:rPr>
        <w:t xml:space="preserve"> </w:t>
      </w:r>
      <w:r w:rsidRPr="00CA0804">
        <w:rPr>
          <w:bCs/>
          <w:spacing w:val="-2"/>
        </w:rPr>
        <w:t>milijuna eura potpora male vrijednosti isključivo putem subvencija</w:t>
      </w:r>
      <w:r w:rsidR="00E645AC" w:rsidRPr="00CA0804">
        <w:rPr>
          <w:bCs/>
          <w:spacing w:val="-2"/>
        </w:rPr>
        <w:t xml:space="preserve">, i to za </w:t>
      </w:r>
      <w:r w:rsidRPr="00CA0804">
        <w:rPr>
          <w:bCs/>
          <w:spacing w:val="-2"/>
        </w:rPr>
        <w:t xml:space="preserve">poljoprivredu </w:t>
      </w:r>
      <w:r w:rsidR="00E645AC" w:rsidRPr="00CA0804">
        <w:rPr>
          <w:bCs/>
          <w:spacing w:val="-2"/>
        </w:rPr>
        <w:t>16,4</w:t>
      </w:r>
      <w:r w:rsidRPr="00CA0804">
        <w:rPr>
          <w:spacing w:val="-2"/>
        </w:rPr>
        <w:t xml:space="preserve"> milijuna eura </w:t>
      </w:r>
      <w:r w:rsidR="00E645AC" w:rsidRPr="00CA0804">
        <w:rPr>
          <w:spacing w:val="-2"/>
        </w:rPr>
        <w:t xml:space="preserve">i </w:t>
      </w:r>
      <w:r w:rsidRPr="00CA0804">
        <w:rPr>
          <w:spacing w:val="-2"/>
        </w:rPr>
        <w:t>za ribarstvo i akvakulturu 2,</w:t>
      </w:r>
      <w:r w:rsidR="00E645AC" w:rsidRPr="00CA0804">
        <w:rPr>
          <w:spacing w:val="-2"/>
        </w:rPr>
        <w:t>2</w:t>
      </w:r>
      <w:r w:rsidRPr="00CA0804">
        <w:rPr>
          <w:spacing w:val="-2"/>
        </w:rPr>
        <w:t xml:space="preserve"> milijuna eura. Unutar dodijeljenih potpora malih vrijednosti </w:t>
      </w:r>
      <w:r w:rsidR="00B75C1A" w:rsidRPr="00CA0804">
        <w:rPr>
          <w:spacing w:val="-2"/>
        </w:rPr>
        <w:t xml:space="preserve">u sektoru </w:t>
      </w:r>
      <w:r w:rsidRPr="00CA0804">
        <w:rPr>
          <w:bCs/>
          <w:spacing w:val="-2"/>
        </w:rPr>
        <w:t>poljoprivred</w:t>
      </w:r>
      <w:r w:rsidR="00B75C1A" w:rsidRPr="00CA0804">
        <w:rPr>
          <w:bCs/>
          <w:spacing w:val="-2"/>
        </w:rPr>
        <w:t>e</w:t>
      </w:r>
      <w:r w:rsidRPr="00CA0804">
        <w:rPr>
          <w:bCs/>
          <w:spacing w:val="-2"/>
        </w:rPr>
        <w:t xml:space="preserve"> </w:t>
      </w:r>
      <w:r w:rsidRPr="00CA0804">
        <w:rPr>
          <w:spacing w:val="-2"/>
        </w:rPr>
        <w:t xml:space="preserve">u iznosu od </w:t>
      </w:r>
      <w:r w:rsidR="00B75C1A" w:rsidRPr="00CA0804">
        <w:rPr>
          <w:spacing w:val="-2"/>
        </w:rPr>
        <w:t>16,4</w:t>
      </w:r>
      <w:r w:rsidRPr="00CA0804">
        <w:rPr>
          <w:spacing w:val="-2"/>
        </w:rPr>
        <w:t xml:space="preserve"> milijuna eura, za poljoprivredu, lov i šumarstvo dodijeljeno je </w:t>
      </w:r>
      <w:r w:rsidR="00B75C1A" w:rsidRPr="00CA0804">
        <w:rPr>
          <w:spacing w:val="-2"/>
        </w:rPr>
        <w:t>12,8</w:t>
      </w:r>
      <w:r w:rsidRPr="00CA0804">
        <w:rPr>
          <w:spacing w:val="-2"/>
        </w:rPr>
        <w:t xml:space="preserve"> milijuna eura, za sektorski razvoj </w:t>
      </w:r>
      <w:r w:rsidR="00B75C1A" w:rsidRPr="00CA0804">
        <w:rPr>
          <w:spacing w:val="-2"/>
        </w:rPr>
        <w:t>1,9</w:t>
      </w:r>
      <w:r w:rsidRPr="00CA0804">
        <w:rPr>
          <w:spacing w:val="-2"/>
        </w:rPr>
        <w:t xml:space="preserve"> milijuna eura, </w:t>
      </w:r>
      <w:r w:rsidR="00B75C1A" w:rsidRPr="00CA0804">
        <w:rPr>
          <w:spacing w:val="-2"/>
        </w:rPr>
        <w:t xml:space="preserve">za otklanjanje ozbiljnih poteškoća u gospodarstvu 1,5 milijuna eura </w:t>
      </w:r>
      <w:r w:rsidRPr="00CA0804">
        <w:rPr>
          <w:spacing w:val="-2"/>
        </w:rPr>
        <w:t xml:space="preserve">te za regionalni odnosno ruralni razvoj </w:t>
      </w:r>
      <w:r w:rsidR="00B75C1A" w:rsidRPr="00CA0804">
        <w:rPr>
          <w:spacing w:val="-2"/>
        </w:rPr>
        <w:t xml:space="preserve">217.739,87 </w:t>
      </w:r>
      <w:r w:rsidRPr="00CA0804">
        <w:rPr>
          <w:spacing w:val="-2"/>
        </w:rPr>
        <w:t xml:space="preserve">eura. Potpore male vrijednosti za poljoprivredu, lov i šumarstvo u iznosu od </w:t>
      </w:r>
      <w:r w:rsidR="001A10F4" w:rsidRPr="00CA0804">
        <w:rPr>
          <w:spacing w:val="-2"/>
        </w:rPr>
        <w:t>12,8</w:t>
      </w:r>
      <w:r w:rsidRPr="00CA0804">
        <w:rPr>
          <w:spacing w:val="-2"/>
        </w:rPr>
        <w:t xml:space="preserve"> milijuna eura, dodijeljene su temeljem Uredbe </w:t>
      </w:r>
      <w:r w:rsidR="00E847DE" w:rsidRPr="00CA0804">
        <w:rPr>
          <w:spacing w:val="-2"/>
        </w:rPr>
        <w:t>K</w:t>
      </w:r>
      <w:r w:rsidRPr="00CA0804">
        <w:rPr>
          <w:spacing w:val="-2"/>
        </w:rPr>
        <w:t xml:space="preserve">omisije (EU) br. 1408/2013 оd 18. prosinca 2013. o primjeni članaka 107. i 108. Ugovora o funkcioniranju Europske unije na potpore de minimis u poljoprivrednom sektoru. Potpore male vrijednosti za sektorski razvoj u iznosu od </w:t>
      </w:r>
      <w:r w:rsidR="001A10F4" w:rsidRPr="00CA0804">
        <w:rPr>
          <w:spacing w:val="-2"/>
        </w:rPr>
        <w:t>1,9</w:t>
      </w:r>
      <w:r w:rsidRPr="00CA0804">
        <w:rPr>
          <w:spacing w:val="-2"/>
        </w:rPr>
        <w:t xml:space="preserve"> milijuna eura dodijeljene su temeljem </w:t>
      </w:r>
      <w:r w:rsidR="001A10F4" w:rsidRPr="00CA0804">
        <w:rPr>
          <w:spacing w:val="-2"/>
        </w:rPr>
        <w:t xml:space="preserve">Programa državne potpore sektoru stočarstva zbog narušenog proizvodnog potencijala u iznosu od 1,6 milijuna </w:t>
      </w:r>
      <w:r w:rsidR="00991FCC" w:rsidRPr="00CA0804">
        <w:rPr>
          <w:spacing w:val="-2"/>
        </w:rPr>
        <w:t>eura</w:t>
      </w:r>
      <w:r w:rsidR="001A10F4" w:rsidRPr="00CA0804">
        <w:rPr>
          <w:spacing w:val="-2"/>
        </w:rPr>
        <w:t xml:space="preserve"> te Programa sufinanciranja rada regionalnih organizacija vinara i vinogradara za razdoblje od 2024. do 2026. godine u </w:t>
      </w:r>
      <w:r w:rsidR="001A10F4" w:rsidRPr="00CA0804">
        <w:rPr>
          <w:spacing w:val="-2"/>
        </w:rPr>
        <w:lastRenderedPageBreak/>
        <w:t xml:space="preserve">iznosu od 259.446,00 eura. Potpore male vrijednosti za otklanjanje ozbiljnih poteškoća u gospodarstvu u iznosu od 1,5 milijuna eura dodijeljene su temeljem Programa potpora male vrijednosti za osiguranje likvidnosti poduzetnika u djelatnostima prerade drva i proizvodnje namještaja u Republici Hrvatskoj. </w:t>
      </w:r>
      <w:r w:rsidRPr="00CA0804">
        <w:rPr>
          <w:spacing w:val="-2"/>
        </w:rPr>
        <w:t xml:space="preserve">Potpore male vrijednosti za regionalni odnosno ruralni razvoj u iznosu od </w:t>
      </w:r>
      <w:r w:rsidR="001A10F4" w:rsidRPr="00CA0804">
        <w:rPr>
          <w:spacing w:val="-2"/>
        </w:rPr>
        <w:t xml:space="preserve">217.739,87 eura </w:t>
      </w:r>
      <w:r w:rsidRPr="00CA0804">
        <w:rPr>
          <w:spacing w:val="-2"/>
        </w:rPr>
        <w:t xml:space="preserve">dodijeljene su temeljem </w:t>
      </w:r>
      <w:r w:rsidR="001A10F4" w:rsidRPr="00CA0804">
        <w:rPr>
          <w:spacing w:val="-2"/>
        </w:rPr>
        <w:t xml:space="preserve">Poziva za podnošenje prijedloga aktivnosti u provedbi Višegodišnjeg indikativnog akcijskog plana Nacionalne mreže Zajedničke poljoprivredne politike od 2023. do 2027. godine. </w:t>
      </w:r>
      <w:r w:rsidRPr="00CA0804">
        <w:rPr>
          <w:spacing w:val="-2"/>
        </w:rPr>
        <w:t xml:space="preserve">Potpore male vrijednosti </w:t>
      </w:r>
      <w:r w:rsidR="00B75C1A" w:rsidRPr="00CA0804">
        <w:rPr>
          <w:spacing w:val="-2"/>
        </w:rPr>
        <w:t xml:space="preserve">dodijeljene </w:t>
      </w:r>
      <w:r w:rsidRPr="00CA0804">
        <w:rPr>
          <w:spacing w:val="-2"/>
        </w:rPr>
        <w:t xml:space="preserve">u </w:t>
      </w:r>
      <w:r w:rsidR="00B75C1A" w:rsidRPr="00CA0804">
        <w:rPr>
          <w:spacing w:val="-2"/>
        </w:rPr>
        <w:t xml:space="preserve">sektoru </w:t>
      </w:r>
      <w:r w:rsidRPr="00CA0804">
        <w:rPr>
          <w:spacing w:val="-2"/>
        </w:rPr>
        <w:t>ribarstv</w:t>
      </w:r>
      <w:r w:rsidR="00B75C1A" w:rsidRPr="00CA0804">
        <w:rPr>
          <w:spacing w:val="-2"/>
        </w:rPr>
        <w:t>a i akvakulture</w:t>
      </w:r>
      <w:r w:rsidRPr="00CA0804">
        <w:rPr>
          <w:spacing w:val="-2"/>
        </w:rPr>
        <w:t xml:space="preserve"> u iznosu od 2,</w:t>
      </w:r>
      <w:r w:rsidR="00B75C1A" w:rsidRPr="00CA0804">
        <w:rPr>
          <w:spacing w:val="-2"/>
        </w:rPr>
        <w:t>2</w:t>
      </w:r>
      <w:r w:rsidRPr="00CA0804">
        <w:rPr>
          <w:spacing w:val="-2"/>
        </w:rPr>
        <w:t xml:space="preserve"> milijuna eura </w:t>
      </w:r>
      <w:r w:rsidR="00B75C1A" w:rsidRPr="00CA0804">
        <w:rPr>
          <w:spacing w:val="-2"/>
        </w:rPr>
        <w:t xml:space="preserve">odnose se na program Potpore male vrijednosti dodijeljene temeljem </w:t>
      </w:r>
      <w:r w:rsidRPr="00CA0804">
        <w:rPr>
          <w:spacing w:val="-2"/>
        </w:rPr>
        <w:t xml:space="preserve">Uredbe </w:t>
      </w:r>
      <w:r w:rsidR="00E847DE" w:rsidRPr="00CA0804">
        <w:rPr>
          <w:spacing w:val="-2"/>
        </w:rPr>
        <w:t>K</w:t>
      </w:r>
      <w:r w:rsidRPr="00CA0804">
        <w:rPr>
          <w:spacing w:val="-2"/>
        </w:rPr>
        <w:t>omisije (EU) br. 717/2014 оd 27. lipnja 2014. o primjeni članaka 107. i 108. Ugovora o funkcioniranju Europske unije na de minimis potpore u sektoru ribarstva i akvakulture.</w:t>
      </w:r>
    </w:p>
    <w:p w14:paraId="09D0C6AD" w14:textId="34305299" w:rsidR="00B75C1A" w:rsidRPr="00CA0804" w:rsidRDefault="00B75C1A" w:rsidP="00CD7FC1"/>
    <w:p w14:paraId="522EBC3D" w14:textId="56BB6074" w:rsidR="008F708B" w:rsidRPr="00CA0804" w:rsidRDefault="008F708B" w:rsidP="00E346B9">
      <w:pPr>
        <w:pStyle w:val="ListParagraph"/>
        <w:numPr>
          <w:ilvl w:val="0"/>
          <w:numId w:val="15"/>
        </w:numPr>
        <w:jc w:val="both"/>
      </w:pPr>
      <w:r w:rsidRPr="00CA0804">
        <w:rPr>
          <w:bCs/>
          <w:u w:val="single"/>
        </w:rPr>
        <w:t>HBOR</w:t>
      </w:r>
      <w:r w:rsidRPr="00CA0804">
        <w:rPr>
          <w:bCs/>
        </w:rPr>
        <w:t xml:space="preserve"> je dodijelio </w:t>
      </w:r>
      <w:r w:rsidR="008D4E59" w:rsidRPr="00CA0804">
        <w:rPr>
          <w:bCs/>
        </w:rPr>
        <w:t>15,9</w:t>
      </w:r>
      <w:r w:rsidRPr="00CA0804">
        <w:rPr>
          <w:bCs/>
        </w:rPr>
        <w:t xml:space="preserve"> milijuna eura </w:t>
      </w:r>
      <w:r w:rsidR="008D4E59" w:rsidRPr="00CA0804">
        <w:rPr>
          <w:bCs/>
        </w:rPr>
        <w:t>potpora male vrijednosti za regionalni razvoj t</w:t>
      </w:r>
      <w:r w:rsidRPr="00CA0804">
        <w:rPr>
          <w:bCs/>
        </w:rPr>
        <w:t xml:space="preserve">emeljem </w:t>
      </w:r>
      <w:r w:rsidR="008D4E59" w:rsidRPr="00CA0804">
        <w:t xml:space="preserve">Programa dodjele potpora male vrijednosti </w:t>
      </w:r>
      <w:r w:rsidRPr="00CA0804">
        <w:rPr>
          <w:lang w:eastAsia="hr-HR"/>
        </w:rPr>
        <w:t>HBOR-a</w:t>
      </w:r>
      <w:r w:rsidRPr="00CA0804">
        <w:rPr>
          <w:bCs/>
        </w:rPr>
        <w:t xml:space="preserve">, i to kroz </w:t>
      </w:r>
      <w:r w:rsidRPr="00CA0804">
        <w:t xml:space="preserve">povoljne zajmove </w:t>
      </w:r>
      <w:r w:rsidR="008D4E59" w:rsidRPr="00CA0804">
        <w:t>10,5</w:t>
      </w:r>
      <w:r w:rsidRPr="00CA0804">
        <w:t xml:space="preserve"> milijuna </w:t>
      </w:r>
      <w:r w:rsidRPr="00CA0804">
        <w:rPr>
          <w:bCs/>
        </w:rPr>
        <w:t xml:space="preserve">eura, putem </w:t>
      </w:r>
      <w:r w:rsidR="008D4E59" w:rsidRPr="00CA0804">
        <w:t>neposrednih subvencija kamata</w:t>
      </w:r>
      <w:r w:rsidR="008D4E59" w:rsidRPr="00CA0804">
        <w:rPr>
          <w:bCs/>
        </w:rPr>
        <w:t xml:space="preserve"> 4,8</w:t>
      </w:r>
      <w:r w:rsidRPr="00CA0804">
        <w:t xml:space="preserve"> milijuna </w:t>
      </w:r>
      <w:r w:rsidRPr="00CA0804">
        <w:rPr>
          <w:bCs/>
        </w:rPr>
        <w:t xml:space="preserve">eura, </w:t>
      </w:r>
      <w:r w:rsidR="008D4E59" w:rsidRPr="00CA0804">
        <w:rPr>
          <w:bCs/>
        </w:rPr>
        <w:t>putem jamstava</w:t>
      </w:r>
      <w:r w:rsidRPr="00CA0804">
        <w:t xml:space="preserve"> </w:t>
      </w:r>
      <w:r w:rsidR="008D4E59" w:rsidRPr="00CA0804">
        <w:t xml:space="preserve">663.474,49 </w:t>
      </w:r>
      <w:r w:rsidRPr="00CA0804">
        <w:t xml:space="preserve">eura te putem poreznih olakšica </w:t>
      </w:r>
      <w:r w:rsidR="00500D35" w:rsidRPr="00CA0804">
        <w:t xml:space="preserve">8.228,81 </w:t>
      </w:r>
      <w:r w:rsidRPr="00CA0804">
        <w:rPr>
          <w:bCs/>
        </w:rPr>
        <w:t>eur</w:t>
      </w:r>
      <w:r w:rsidR="00500D35" w:rsidRPr="00CA0804">
        <w:rPr>
          <w:bCs/>
        </w:rPr>
        <w:t>o</w:t>
      </w:r>
      <w:r w:rsidRPr="00CA0804">
        <w:t>.</w:t>
      </w:r>
    </w:p>
    <w:p w14:paraId="38A5A352" w14:textId="77777777" w:rsidR="008F708B" w:rsidRPr="00CA0804" w:rsidRDefault="008F708B" w:rsidP="008F708B">
      <w:pPr>
        <w:jc w:val="both"/>
      </w:pPr>
    </w:p>
    <w:p w14:paraId="5095F49B" w14:textId="1CD53D7A" w:rsidR="00395195" w:rsidRPr="00CA0804" w:rsidRDefault="008F708B" w:rsidP="00E346B9">
      <w:pPr>
        <w:pStyle w:val="ListParagraph"/>
        <w:numPr>
          <w:ilvl w:val="1"/>
          <w:numId w:val="14"/>
        </w:numPr>
        <w:jc w:val="both"/>
        <w:rPr>
          <w:b/>
        </w:rPr>
      </w:pPr>
      <w:r w:rsidRPr="00CA0804">
        <w:rPr>
          <w:bCs/>
          <w:u w:val="single"/>
        </w:rPr>
        <w:t>Ministarstvo gospodarstva</w:t>
      </w:r>
      <w:r w:rsidRPr="00CA0804">
        <w:rPr>
          <w:bCs/>
        </w:rPr>
        <w:t xml:space="preserve"> dodijelilo je </w:t>
      </w:r>
      <w:r w:rsidR="00500D35" w:rsidRPr="00CA0804">
        <w:t xml:space="preserve">9,3 </w:t>
      </w:r>
      <w:r w:rsidRPr="00CA0804">
        <w:t xml:space="preserve">milijuna eura </w:t>
      </w:r>
      <w:r w:rsidRPr="00CA0804">
        <w:rPr>
          <w:bCs/>
        </w:rPr>
        <w:t xml:space="preserve">potpora </w:t>
      </w:r>
      <w:r w:rsidRPr="00CA0804">
        <w:t xml:space="preserve">male vrijednosti </w:t>
      </w:r>
      <w:r w:rsidRPr="00CA0804">
        <w:rPr>
          <w:bCs/>
        </w:rPr>
        <w:t>iskl</w:t>
      </w:r>
      <w:r w:rsidR="001A10F4" w:rsidRPr="00CA0804">
        <w:rPr>
          <w:bCs/>
        </w:rPr>
        <w:t>jučivo u obliku subvencija</w:t>
      </w:r>
      <w:r w:rsidRPr="00CA0804">
        <w:rPr>
          <w:bCs/>
        </w:rPr>
        <w:t xml:space="preserve"> malim i srednjim poduzetnicima</w:t>
      </w:r>
      <w:r w:rsidR="001A10F4" w:rsidRPr="00CA0804">
        <w:rPr>
          <w:bCs/>
        </w:rPr>
        <w:t xml:space="preserve"> </w:t>
      </w:r>
      <w:r w:rsidR="00395195" w:rsidRPr="00CA0804">
        <w:rPr>
          <w:bCs/>
        </w:rPr>
        <w:t xml:space="preserve">putem sljedećih programa: </w:t>
      </w:r>
      <w:r w:rsidR="00395195" w:rsidRPr="00CA0804">
        <w:t>Programa dodjele potpora male vrijednosti za mjeru NPOO.C1.1.2. R3–I2 – Vaučeri za digitalizaciju i Vaučeri za digitalizaciju 2 iznos od 6,9 milijuna eura, Naukovanja za obrtnička zanimanja za 2023. godinu iznos od 1,6 milijuna eura, Programa „Očuvanje i razvoj tradicijskih i umjetničkih obrta“ za 2023. godinu 461.807,24 eura, Programa „Razvoj zadružnog poduzetništva“ za 2024. godinu 331.720,90 eura, Cjeloživotnog obrazovanja za obrtništvo za 2024. godinu 64.336,93 eura te Programa dodjele potpora male vrijednosti mikro, malim i srednjim poduzetnicima za subvencioniranje krajnje cijene plina u svrhu ublažavanja rizika od energetskog siromaštva 651,59 eura.</w:t>
      </w:r>
    </w:p>
    <w:p w14:paraId="76D6BFE9" w14:textId="63920E91" w:rsidR="00395195" w:rsidRPr="00CA0804" w:rsidRDefault="00395195" w:rsidP="00395195">
      <w:pPr>
        <w:jc w:val="both"/>
      </w:pPr>
    </w:p>
    <w:p w14:paraId="71682408" w14:textId="6D102314" w:rsidR="00395195" w:rsidRPr="00CA0804" w:rsidRDefault="008F708B" w:rsidP="00E346B9">
      <w:pPr>
        <w:pStyle w:val="ListParagraph"/>
        <w:numPr>
          <w:ilvl w:val="0"/>
          <w:numId w:val="15"/>
        </w:numPr>
        <w:jc w:val="both"/>
      </w:pPr>
      <w:r w:rsidRPr="00CA0804">
        <w:rPr>
          <w:rStyle w:val="Strong"/>
          <w:b w:val="0"/>
          <w:u w:val="single"/>
        </w:rPr>
        <w:t>HAMAG – BICRO</w:t>
      </w:r>
      <w:r w:rsidRPr="00CA0804">
        <w:rPr>
          <w:bCs/>
        </w:rPr>
        <w:t xml:space="preserve"> je dodijelio </w:t>
      </w:r>
      <w:r w:rsidR="00500D35" w:rsidRPr="00CA0804">
        <w:t xml:space="preserve">7,4 </w:t>
      </w:r>
      <w:r w:rsidRPr="00CA0804">
        <w:t xml:space="preserve">milijuna eura </w:t>
      </w:r>
      <w:r w:rsidRPr="00CA0804">
        <w:rPr>
          <w:bCs/>
          <w:color w:val="000000"/>
          <w:lang w:eastAsia="hr-HR"/>
        </w:rPr>
        <w:t>potpora male vrijednosti malim i srednjim poduzetnicima putem subvencija, povoljnih zajmova i izdanih jamstava</w:t>
      </w:r>
      <w:r w:rsidR="00395195" w:rsidRPr="00CA0804">
        <w:rPr>
          <w:bCs/>
          <w:color w:val="000000"/>
          <w:lang w:eastAsia="hr-HR"/>
        </w:rPr>
        <w:t xml:space="preserve"> </w:t>
      </w:r>
      <w:r w:rsidRPr="00CA0804">
        <w:rPr>
          <w:bCs/>
          <w:color w:val="000000"/>
          <w:lang w:eastAsia="hr-HR"/>
        </w:rPr>
        <w:t>temeljem sljedećih programa:</w:t>
      </w:r>
      <w:r w:rsidRPr="00CA0804">
        <w:rPr>
          <w:lang w:eastAsia="hr-HR"/>
        </w:rPr>
        <w:t xml:space="preserve"> </w:t>
      </w:r>
      <w:r w:rsidR="00395195" w:rsidRPr="00CA0804">
        <w:t>EFRR Mali zajmovi 5,7 milijuna eura, Mali zajam za ruralni razvoj 1,1 milijun eura, ESIF Pojedinačna jamstva 437.113,82 eura, Jamstva 160.401,19 eura, EUROSTARS 23.000,00 eura, ESIF Mikro zajmovi 6.173,08 eura te Pojedinačna jamstva za ruralni razvoj 1.052,88 eura.</w:t>
      </w:r>
    </w:p>
    <w:p w14:paraId="314B377F" w14:textId="77777777" w:rsidR="00395195" w:rsidRPr="00CA0804" w:rsidRDefault="00395195" w:rsidP="00395195">
      <w:pPr>
        <w:jc w:val="both"/>
      </w:pPr>
    </w:p>
    <w:p w14:paraId="5A1F0F15" w14:textId="1CDF64DB" w:rsidR="008F708B" w:rsidRPr="00CA0804" w:rsidRDefault="008F708B" w:rsidP="00E346B9">
      <w:pPr>
        <w:pStyle w:val="ListParagraph"/>
        <w:numPr>
          <w:ilvl w:val="0"/>
          <w:numId w:val="15"/>
        </w:numPr>
        <w:jc w:val="both"/>
      </w:pPr>
      <w:r w:rsidRPr="00CA0804">
        <w:rPr>
          <w:bCs/>
          <w:u w:val="single"/>
        </w:rPr>
        <w:t xml:space="preserve">Fond za </w:t>
      </w:r>
      <w:r w:rsidRPr="00CA0804">
        <w:rPr>
          <w:u w:val="single"/>
          <w:lang w:eastAsia="hr-HR"/>
        </w:rPr>
        <w:t>obnovu i razvoj grada Vukovara</w:t>
      </w:r>
      <w:r w:rsidRPr="00CA0804">
        <w:rPr>
          <w:lang w:eastAsia="hr-HR"/>
        </w:rPr>
        <w:t xml:space="preserve"> </w:t>
      </w:r>
      <w:r w:rsidRPr="00CA0804">
        <w:rPr>
          <w:bCs/>
        </w:rPr>
        <w:t>dodijelio je 6 milijun</w:t>
      </w:r>
      <w:r w:rsidR="00500D35" w:rsidRPr="00CA0804">
        <w:rPr>
          <w:bCs/>
        </w:rPr>
        <w:t>a</w:t>
      </w:r>
      <w:r w:rsidRPr="00CA0804">
        <w:rPr>
          <w:bCs/>
        </w:rPr>
        <w:t xml:space="preserve"> eura </w:t>
      </w:r>
      <w:r w:rsidRPr="00CA0804">
        <w:t xml:space="preserve">za regionalni razvoj putem poreznih olakšica dodijeljenih temeljem programa Povrat 50 posto </w:t>
      </w:r>
      <w:r w:rsidR="007E4EAD" w:rsidRPr="00CA0804">
        <w:t xml:space="preserve">uplaćenih </w:t>
      </w:r>
      <w:r w:rsidRPr="00CA0804">
        <w:t>doprinosa za mirovinsko i zdravstveno osiguranje.</w:t>
      </w:r>
    </w:p>
    <w:p w14:paraId="58C215F9" w14:textId="4E533A74" w:rsidR="008F708B" w:rsidRPr="00CA0804" w:rsidRDefault="008F708B" w:rsidP="008F708B"/>
    <w:p w14:paraId="40176DA3" w14:textId="607EFF4D" w:rsidR="00B252C0" w:rsidRPr="00CA0804" w:rsidRDefault="008F708B" w:rsidP="00E346B9">
      <w:pPr>
        <w:pStyle w:val="ListParagraph"/>
        <w:numPr>
          <w:ilvl w:val="0"/>
          <w:numId w:val="15"/>
        </w:numPr>
        <w:jc w:val="both"/>
      </w:pPr>
      <w:r w:rsidRPr="00CA0804">
        <w:rPr>
          <w:bCs/>
          <w:u w:val="single"/>
        </w:rPr>
        <w:t>Ministarstvo regionalnoga razvoja i fondova Europske unije</w:t>
      </w:r>
      <w:r w:rsidRPr="00CA0804">
        <w:rPr>
          <w:bCs/>
        </w:rPr>
        <w:t xml:space="preserve"> dodijelilo je </w:t>
      </w:r>
      <w:r w:rsidR="00500D35" w:rsidRPr="00CA0804">
        <w:t xml:space="preserve">4,8 </w:t>
      </w:r>
      <w:r w:rsidRPr="00CA0804">
        <w:t xml:space="preserve">milijuna eura </w:t>
      </w:r>
      <w:r w:rsidRPr="00CA0804">
        <w:rPr>
          <w:bCs/>
        </w:rPr>
        <w:t xml:space="preserve">potpora male vrijednosti, </w:t>
      </w:r>
      <w:r w:rsidR="0004515E" w:rsidRPr="00CA0804">
        <w:rPr>
          <w:bCs/>
        </w:rPr>
        <w:t xml:space="preserve">i to </w:t>
      </w:r>
      <w:r w:rsidRPr="00CA0804">
        <w:rPr>
          <w:bCs/>
        </w:rPr>
        <w:t xml:space="preserve">malim i srednjim poduzetnicima </w:t>
      </w:r>
      <w:r w:rsidR="0004515E" w:rsidRPr="00CA0804">
        <w:rPr>
          <w:bCs/>
        </w:rPr>
        <w:t>3,3</w:t>
      </w:r>
      <w:r w:rsidRPr="00CA0804">
        <w:t xml:space="preserve"> milijuna eura</w:t>
      </w:r>
      <w:r w:rsidR="00B252C0" w:rsidRPr="00CA0804">
        <w:t xml:space="preserve"> </w:t>
      </w:r>
      <w:r w:rsidRPr="00CA0804">
        <w:t xml:space="preserve">te </w:t>
      </w:r>
      <w:r w:rsidR="00B252C0" w:rsidRPr="00CA0804">
        <w:t xml:space="preserve">za zapošljavanje 1,5 milijuna eura. </w:t>
      </w:r>
      <w:r w:rsidRPr="00CA0804">
        <w:t xml:space="preserve">Malim i srednjim poduzetnicima dodijeljeno je </w:t>
      </w:r>
      <w:r w:rsidR="00B252C0" w:rsidRPr="00CA0804">
        <w:t>3,3</w:t>
      </w:r>
      <w:r w:rsidRPr="00CA0804">
        <w:t xml:space="preserve"> milijuna eura putem </w:t>
      </w:r>
      <w:r w:rsidR="00B252C0" w:rsidRPr="00CA0804">
        <w:t xml:space="preserve">poreznih olakšica </w:t>
      </w:r>
      <w:r w:rsidRPr="00CA0804">
        <w:t xml:space="preserve">temeljem </w:t>
      </w:r>
      <w:r w:rsidR="00B252C0" w:rsidRPr="00CA0804">
        <w:t>p</w:t>
      </w:r>
      <w:r w:rsidRPr="00CA0804">
        <w:t xml:space="preserve">rograma </w:t>
      </w:r>
      <w:r w:rsidR="00B252C0" w:rsidRPr="00CA0804">
        <w:t xml:space="preserve">Porezne olakšice za obavljanje djelatnosti na području Grada Vukovara i I. skupine prema Indeksu razvijenosti. </w:t>
      </w:r>
      <w:r w:rsidRPr="00CA0804">
        <w:rPr>
          <w:bCs/>
        </w:rPr>
        <w:t xml:space="preserve">Potpore male vrijednosti </w:t>
      </w:r>
      <w:r w:rsidRPr="00CA0804">
        <w:t xml:space="preserve">za zapošljavanje </w:t>
      </w:r>
      <w:r w:rsidRPr="00CA0804">
        <w:rPr>
          <w:bCs/>
        </w:rPr>
        <w:t xml:space="preserve">dodijeljene </w:t>
      </w:r>
      <w:r w:rsidR="00B252C0" w:rsidRPr="00CA0804">
        <w:rPr>
          <w:bCs/>
        </w:rPr>
        <w:t xml:space="preserve">su putem subvencija </w:t>
      </w:r>
      <w:r w:rsidRPr="00CA0804">
        <w:rPr>
          <w:bCs/>
        </w:rPr>
        <w:t xml:space="preserve">u iznosu od </w:t>
      </w:r>
      <w:r w:rsidRPr="00CA0804">
        <w:t>1,</w:t>
      </w:r>
      <w:r w:rsidR="00B252C0" w:rsidRPr="00CA0804">
        <w:t>5</w:t>
      </w:r>
      <w:r w:rsidRPr="00CA0804">
        <w:t xml:space="preserve"> milijuna eura temeljem programa </w:t>
      </w:r>
      <w:r w:rsidR="00B252C0" w:rsidRPr="00CA0804">
        <w:t>Potpora male vrijednosti otočnim poslodavcima za pokretanje gospodarskih aktivnosti i očuvanje radnih mjesta u iznosu od 1,5 milijuna eura te Potpora male vrijednosti otočnim poslodavcima za pokretanje gospodarskih aktivnosti i očuvanje radnih mjesta u 2023. godini u iznosu od 3.479,66 eura.</w:t>
      </w:r>
    </w:p>
    <w:p w14:paraId="228BFE83" w14:textId="77777777" w:rsidR="008F708B" w:rsidRPr="00CA0804" w:rsidRDefault="008F708B" w:rsidP="008F708B"/>
    <w:p w14:paraId="364F6CEB" w14:textId="7593DC17" w:rsidR="00B252C0" w:rsidRPr="00CA0804" w:rsidRDefault="008F708B" w:rsidP="00E346B9">
      <w:pPr>
        <w:pStyle w:val="ListParagraph"/>
        <w:numPr>
          <w:ilvl w:val="0"/>
          <w:numId w:val="15"/>
        </w:numPr>
        <w:jc w:val="both"/>
        <w:rPr>
          <w:spacing w:val="-2"/>
        </w:rPr>
      </w:pPr>
      <w:r w:rsidRPr="00CA0804">
        <w:rPr>
          <w:bCs/>
          <w:spacing w:val="-2"/>
          <w:u w:val="single"/>
        </w:rPr>
        <w:lastRenderedPageBreak/>
        <w:t>Ministarstvo turizma i sporta</w:t>
      </w:r>
      <w:r w:rsidRPr="00CA0804">
        <w:rPr>
          <w:bCs/>
          <w:spacing w:val="-2"/>
        </w:rPr>
        <w:t xml:space="preserve"> dodijelilo je </w:t>
      </w:r>
      <w:r w:rsidR="00500D35" w:rsidRPr="00CA0804">
        <w:rPr>
          <w:spacing w:val="-2"/>
        </w:rPr>
        <w:t xml:space="preserve">4,2 </w:t>
      </w:r>
      <w:r w:rsidRPr="00CA0804">
        <w:rPr>
          <w:spacing w:val="-2"/>
        </w:rPr>
        <w:t>milijuna eura</w:t>
      </w:r>
      <w:r w:rsidRPr="00CA0804">
        <w:rPr>
          <w:bCs/>
          <w:spacing w:val="-2"/>
        </w:rPr>
        <w:t xml:space="preserve"> potpora male vrijednosti </w:t>
      </w:r>
      <w:r w:rsidRPr="00CA0804">
        <w:rPr>
          <w:bCs/>
          <w:color w:val="000000"/>
          <w:spacing w:val="-2"/>
          <w:lang w:eastAsia="hr-HR"/>
        </w:rPr>
        <w:t>putem subvencija i n</w:t>
      </w:r>
      <w:r w:rsidRPr="00CA0804">
        <w:rPr>
          <w:spacing w:val="-2"/>
        </w:rPr>
        <w:t xml:space="preserve">eposrednih subvencija kamata temeljem </w:t>
      </w:r>
      <w:r w:rsidR="00B252C0" w:rsidRPr="00CA0804">
        <w:rPr>
          <w:spacing w:val="-2"/>
        </w:rPr>
        <w:t xml:space="preserve">sljedećih </w:t>
      </w:r>
      <w:r w:rsidRPr="00CA0804">
        <w:rPr>
          <w:spacing w:val="-2"/>
        </w:rPr>
        <w:t>programa</w:t>
      </w:r>
      <w:r w:rsidR="00B252C0" w:rsidRPr="00CA0804">
        <w:rPr>
          <w:spacing w:val="-2"/>
        </w:rPr>
        <w:t>: Konkurentnost turističkog gospodarstva u 2024. godini 3,3 milijuna eura, Program dodjele de minimis potpora (potpora male vrijednosti) za ulaganja u sektoru turizma 890.790,77 eura, Razvoj turizma na selu 21.556,93 eura te Program financiranja privatnih iznajmljivača 5.596,15 eura.</w:t>
      </w:r>
    </w:p>
    <w:p w14:paraId="79F59320" w14:textId="77777777" w:rsidR="00B252C0" w:rsidRPr="00CA0804" w:rsidRDefault="00B252C0" w:rsidP="00B252C0"/>
    <w:p w14:paraId="1F88B648" w14:textId="3CAD489B" w:rsidR="00B252C0" w:rsidRPr="00CA0804" w:rsidRDefault="008F708B" w:rsidP="00E346B9">
      <w:pPr>
        <w:pStyle w:val="ListParagraph"/>
        <w:numPr>
          <w:ilvl w:val="0"/>
          <w:numId w:val="15"/>
        </w:numPr>
        <w:jc w:val="both"/>
        <w:rPr>
          <w:bCs/>
        </w:rPr>
      </w:pPr>
      <w:r w:rsidRPr="00CA0804">
        <w:rPr>
          <w:color w:val="000000"/>
          <w:u w:val="single"/>
          <w:lang w:eastAsia="hr-HR"/>
        </w:rPr>
        <w:t xml:space="preserve">Ministarstvo </w:t>
      </w:r>
      <w:r w:rsidRPr="00CA0804">
        <w:rPr>
          <w:u w:val="single"/>
        </w:rPr>
        <w:t>prostornoga uređenja, graditeljstva i državne imovine</w:t>
      </w:r>
      <w:r w:rsidRPr="00CA0804">
        <w:rPr>
          <w:bCs/>
        </w:rPr>
        <w:t xml:space="preserve"> dodijelilo </w:t>
      </w:r>
      <w:r w:rsidR="00500D35" w:rsidRPr="00CA0804">
        <w:rPr>
          <w:bCs/>
        </w:rPr>
        <w:t xml:space="preserve">je </w:t>
      </w:r>
      <w:r w:rsidR="00500D35" w:rsidRPr="00CA0804">
        <w:t xml:space="preserve">4,1 milijun eura </w:t>
      </w:r>
      <w:r w:rsidRPr="00CA0804">
        <w:rPr>
          <w:bCs/>
        </w:rPr>
        <w:t>putem subvencija energetskom sektoru za zaštitu okoliša</w:t>
      </w:r>
      <w:r w:rsidR="00B252C0" w:rsidRPr="00CA0804">
        <w:rPr>
          <w:bCs/>
        </w:rPr>
        <w:t xml:space="preserve"> </w:t>
      </w:r>
      <w:r w:rsidRPr="00CA0804">
        <w:rPr>
          <w:bCs/>
        </w:rPr>
        <w:t>temeljem</w:t>
      </w:r>
      <w:r w:rsidR="00B252C0" w:rsidRPr="00CA0804">
        <w:rPr>
          <w:bCs/>
        </w:rPr>
        <w:t xml:space="preserve"> sljedećih programa:</w:t>
      </w:r>
      <w:r w:rsidR="00316A80" w:rsidRPr="00CA0804">
        <w:rPr>
          <w:bCs/>
        </w:rPr>
        <w:t xml:space="preserve"> </w:t>
      </w:r>
      <w:r w:rsidR="00B252C0" w:rsidRPr="00CA0804">
        <w:t xml:space="preserve">Izmjena i dopuna Programa dodjele potpora male vrijednosti (de minimis) za energetsku obnovu višestambenih zgrada oštećenih u potresima 3 milijuna eura, </w:t>
      </w:r>
      <w:r w:rsidR="00316A80" w:rsidRPr="00CA0804">
        <w:t xml:space="preserve">Izmjena i dopuna </w:t>
      </w:r>
      <w:r w:rsidR="00B252C0" w:rsidRPr="00CA0804">
        <w:t>Program</w:t>
      </w:r>
      <w:r w:rsidR="00316A80" w:rsidRPr="00CA0804">
        <w:t>a</w:t>
      </w:r>
      <w:r w:rsidR="00B252C0" w:rsidRPr="00CA0804">
        <w:t xml:space="preserve"> dodjele potpora</w:t>
      </w:r>
      <w:r w:rsidR="00316A80" w:rsidRPr="00CA0804">
        <w:t xml:space="preserve"> </w:t>
      </w:r>
      <w:r w:rsidR="00B252C0" w:rsidRPr="00CA0804">
        <w:t>male vrijednosti (de minimis)</w:t>
      </w:r>
      <w:r w:rsidR="00CE5E12" w:rsidRPr="00CA0804">
        <w:t xml:space="preserve"> </w:t>
      </w:r>
      <w:r w:rsidR="00B252C0" w:rsidRPr="00CA0804">
        <w:t xml:space="preserve">za energetsku obnovu višestambenih zgrada 1,1 milijun eura te </w:t>
      </w:r>
      <w:r w:rsidR="00316A80" w:rsidRPr="00CA0804">
        <w:t>Izmjena i dopuna Programa dodjele de minimis potpora za energetsku obnovu zgrada javnog sektora 12.040,36 eura.</w:t>
      </w:r>
    </w:p>
    <w:p w14:paraId="73BE6200" w14:textId="71B23D91" w:rsidR="00B252C0" w:rsidRPr="00CA0804" w:rsidRDefault="00B252C0" w:rsidP="008F708B"/>
    <w:p w14:paraId="1EF358DA" w14:textId="251961DB" w:rsidR="008F708B" w:rsidRPr="00CA0804" w:rsidRDefault="008F708B" w:rsidP="00E346B9">
      <w:pPr>
        <w:pStyle w:val="ListParagraph"/>
        <w:numPr>
          <w:ilvl w:val="0"/>
          <w:numId w:val="15"/>
        </w:numPr>
        <w:jc w:val="both"/>
      </w:pPr>
      <w:r w:rsidRPr="00CA0804">
        <w:rPr>
          <w:u w:val="single"/>
          <w:lang w:eastAsia="hr-HR"/>
        </w:rPr>
        <w:t>Zavod za vještačenje, profesionalnu rehabilitaciju i zapošljavanje osoba s invaliditetom</w:t>
      </w:r>
      <w:r w:rsidRPr="00CA0804">
        <w:rPr>
          <w:bCs/>
        </w:rPr>
        <w:t xml:space="preserve"> dodijelio je za zapošljavanje </w:t>
      </w:r>
      <w:r w:rsidR="00500D35" w:rsidRPr="00CA0804">
        <w:t xml:space="preserve">3,6 </w:t>
      </w:r>
      <w:r w:rsidRPr="00CA0804">
        <w:rPr>
          <w:bCs/>
        </w:rPr>
        <w:t xml:space="preserve">milijuna eura subvencija temeljem </w:t>
      </w:r>
      <w:r w:rsidRPr="00CA0804">
        <w:rPr>
          <w:color w:val="000000"/>
          <w:lang w:eastAsia="hr-HR"/>
        </w:rPr>
        <w:t xml:space="preserve">Programa </w:t>
      </w:r>
      <w:r w:rsidRPr="00CA0804">
        <w:t>potpora male vrijednosti za poticanje zapošljavanja osoba s invaliditetom i za dodjelu posebnih sredstava za razvoj novih tehnologija i poslovnih procesa u cilju zapošljavanja i održavanja zaposlenosti osoba s invaliditetom za razdoblje od 202</w:t>
      </w:r>
      <w:r w:rsidR="00500D35" w:rsidRPr="00CA0804">
        <w:t>4</w:t>
      </w:r>
      <w:r w:rsidRPr="00CA0804">
        <w:t>. do 202</w:t>
      </w:r>
      <w:r w:rsidR="00500D35" w:rsidRPr="00CA0804">
        <w:t>6</w:t>
      </w:r>
      <w:r w:rsidRPr="00CA0804">
        <w:t>. godine</w:t>
      </w:r>
      <w:r w:rsidRPr="00CA0804">
        <w:rPr>
          <w:bCs/>
        </w:rPr>
        <w:t>.</w:t>
      </w:r>
    </w:p>
    <w:p w14:paraId="3590A3FE" w14:textId="6B9E8C3E" w:rsidR="008F708B" w:rsidRPr="00CA0804" w:rsidRDefault="008F708B" w:rsidP="008F708B"/>
    <w:p w14:paraId="35067BAE" w14:textId="4B9DFBBD" w:rsidR="008F708B" w:rsidRPr="00CA0804" w:rsidRDefault="008F708B" w:rsidP="00E346B9">
      <w:pPr>
        <w:pStyle w:val="ListParagraph"/>
        <w:numPr>
          <w:ilvl w:val="0"/>
          <w:numId w:val="15"/>
        </w:numPr>
        <w:jc w:val="both"/>
      </w:pPr>
      <w:r w:rsidRPr="00CA0804">
        <w:rPr>
          <w:u w:val="single"/>
          <w:lang w:eastAsia="hr-HR"/>
        </w:rPr>
        <w:t>Agencija za elektroničke medije</w:t>
      </w:r>
      <w:r w:rsidRPr="00CA0804">
        <w:rPr>
          <w:lang w:eastAsia="hr-HR"/>
        </w:rPr>
        <w:t xml:space="preserve"> </w:t>
      </w:r>
      <w:r w:rsidRPr="00CA0804">
        <w:rPr>
          <w:bCs/>
        </w:rPr>
        <w:t xml:space="preserve">dodijelila je </w:t>
      </w:r>
      <w:r w:rsidRPr="00CA0804">
        <w:rPr>
          <w:bCs/>
          <w:color w:val="000000"/>
          <w:lang w:eastAsia="hr-HR"/>
        </w:rPr>
        <w:t>za audiovizualnu industriju</w:t>
      </w:r>
      <w:r w:rsidRPr="00CA0804">
        <w:rPr>
          <w:bCs/>
        </w:rPr>
        <w:t xml:space="preserve"> </w:t>
      </w:r>
      <w:r w:rsidR="00500D35" w:rsidRPr="00CA0804">
        <w:t xml:space="preserve">2,9 </w:t>
      </w:r>
      <w:r w:rsidRPr="00CA0804">
        <w:rPr>
          <w:bCs/>
        </w:rPr>
        <w:t>milijuna eura putem subvencija, temeljem p</w:t>
      </w:r>
      <w:r w:rsidRPr="00CA0804">
        <w:rPr>
          <w:lang w:eastAsia="hr-HR"/>
        </w:rPr>
        <w:t xml:space="preserve">rograma </w:t>
      </w:r>
      <w:r w:rsidRPr="00CA0804">
        <w:t xml:space="preserve">dodjele sredstava </w:t>
      </w:r>
      <w:r w:rsidRPr="00CA0804">
        <w:rPr>
          <w:iCs/>
          <w:color w:val="000000"/>
          <w:lang w:eastAsia="hr-HR"/>
        </w:rPr>
        <w:t>Fonda za poticanje pluralizma i raznovrsnosti elektroničkih medija.</w:t>
      </w:r>
    </w:p>
    <w:p w14:paraId="4AB57514" w14:textId="30CD3E5B" w:rsidR="008F708B" w:rsidRPr="00CA0804" w:rsidRDefault="008F708B" w:rsidP="008F708B"/>
    <w:p w14:paraId="3DD6BC11" w14:textId="1E9010A3" w:rsidR="008F708B" w:rsidRPr="00CA0804" w:rsidRDefault="008F708B" w:rsidP="00E346B9">
      <w:pPr>
        <w:pStyle w:val="ListParagraph"/>
        <w:numPr>
          <w:ilvl w:val="0"/>
          <w:numId w:val="15"/>
        </w:numPr>
        <w:jc w:val="both"/>
      </w:pPr>
      <w:r w:rsidRPr="00CA0804">
        <w:rPr>
          <w:bCs/>
          <w:u w:val="single"/>
        </w:rPr>
        <w:t>Ministarstvo hrvatskih branitelja</w:t>
      </w:r>
      <w:r w:rsidRPr="00CA0804">
        <w:rPr>
          <w:bCs/>
        </w:rPr>
        <w:t xml:space="preserve"> dodijelilo </w:t>
      </w:r>
      <w:r w:rsidR="00316A80" w:rsidRPr="00CA0804">
        <w:rPr>
          <w:bCs/>
        </w:rPr>
        <w:t xml:space="preserve">je </w:t>
      </w:r>
      <w:r w:rsidRPr="00CA0804">
        <w:rPr>
          <w:bCs/>
        </w:rPr>
        <w:t>putem subvencija 1,</w:t>
      </w:r>
      <w:r w:rsidR="00500D35" w:rsidRPr="00CA0804">
        <w:rPr>
          <w:bCs/>
        </w:rPr>
        <w:t>3</w:t>
      </w:r>
      <w:r w:rsidRPr="00CA0804">
        <w:rPr>
          <w:bCs/>
        </w:rPr>
        <w:t xml:space="preserve"> m</w:t>
      </w:r>
      <w:r w:rsidRPr="00CA0804">
        <w:rPr>
          <w:lang w:eastAsia="hr-HR"/>
        </w:rPr>
        <w:t xml:space="preserve">ilijuna eura, i to za zapošljavanje </w:t>
      </w:r>
      <w:r w:rsidRPr="00CA0804">
        <w:rPr>
          <w:bCs/>
        </w:rPr>
        <w:t xml:space="preserve">temeljem </w:t>
      </w:r>
      <w:r w:rsidRPr="00CA0804">
        <w:t>Programa stručnog osposobljavanja i zapošljavanja hrvatskih branitelja i članova njihovih obitelji za razdoblje od 202</w:t>
      </w:r>
      <w:r w:rsidR="00316A80" w:rsidRPr="00CA0804">
        <w:t>4</w:t>
      </w:r>
      <w:r w:rsidRPr="00CA0804">
        <w:t>. do 202</w:t>
      </w:r>
      <w:r w:rsidR="00316A80" w:rsidRPr="00CA0804">
        <w:t>7</w:t>
      </w:r>
      <w:r w:rsidRPr="00CA0804">
        <w:t xml:space="preserve">. godine </w:t>
      </w:r>
      <w:r w:rsidR="00316A80" w:rsidRPr="00CA0804">
        <w:t xml:space="preserve">1,1 milijun eura </w:t>
      </w:r>
      <w:r w:rsidRPr="00CA0804">
        <w:rPr>
          <w:lang w:eastAsia="hr-HR"/>
        </w:rPr>
        <w:t xml:space="preserve">te </w:t>
      </w:r>
      <w:r w:rsidR="00316A80" w:rsidRPr="00CA0804">
        <w:rPr>
          <w:lang w:eastAsia="hr-HR"/>
        </w:rPr>
        <w:t>kao</w:t>
      </w:r>
      <w:r w:rsidRPr="00CA0804">
        <w:rPr>
          <w:lang w:eastAsia="hr-HR"/>
        </w:rPr>
        <w:t xml:space="preserve"> potpor</w:t>
      </w:r>
      <w:r w:rsidR="00316A80" w:rsidRPr="00CA0804">
        <w:rPr>
          <w:lang w:eastAsia="hr-HR"/>
        </w:rPr>
        <w:t>a</w:t>
      </w:r>
      <w:r w:rsidRPr="00CA0804">
        <w:rPr>
          <w:lang w:eastAsia="hr-HR"/>
        </w:rPr>
        <w:t xml:space="preserve"> </w:t>
      </w:r>
      <w:r w:rsidRPr="00CA0804">
        <w:t xml:space="preserve">kulturi </w:t>
      </w:r>
      <w:r w:rsidRPr="00CA0804">
        <w:rPr>
          <w:lang w:eastAsia="hr-HR"/>
        </w:rPr>
        <w:t>temeljem</w:t>
      </w:r>
      <w:r w:rsidRPr="00CA0804">
        <w:t xml:space="preserve"> Programa sufinanciranja audiovizualnih djela o Domovinskom ratu </w:t>
      </w:r>
      <w:r w:rsidR="00316A80" w:rsidRPr="00CA0804">
        <w:t xml:space="preserve">203.000,00 </w:t>
      </w:r>
      <w:r w:rsidRPr="00CA0804">
        <w:t>eura.</w:t>
      </w:r>
    </w:p>
    <w:p w14:paraId="7945F953" w14:textId="77777777" w:rsidR="008F708B" w:rsidRPr="00CA0804" w:rsidRDefault="008F708B" w:rsidP="008F708B">
      <w:pPr>
        <w:jc w:val="both"/>
        <w:rPr>
          <w:bCs/>
        </w:rPr>
      </w:pPr>
    </w:p>
    <w:p w14:paraId="7C3257A5" w14:textId="4F0BA131" w:rsidR="00316A80" w:rsidRPr="00CA0804" w:rsidRDefault="008F708B" w:rsidP="00E346B9">
      <w:pPr>
        <w:pStyle w:val="ListParagraph"/>
        <w:numPr>
          <w:ilvl w:val="0"/>
          <w:numId w:val="15"/>
        </w:numPr>
        <w:jc w:val="both"/>
        <w:rPr>
          <w:bCs/>
        </w:rPr>
      </w:pPr>
      <w:r w:rsidRPr="00CA0804">
        <w:rPr>
          <w:bCs/>
          <w:u w:val="single"/>
        </w:rPr>
        <w:t xml:space="preserve">Fond za </w:t>
      </w:r>
      <w:r w:rsidRPr="00CA0804">
        <w:rPr>
          <w:u w:val="single"/>
        </w:rPr>
        <w:t>zaštitu okoliša i energetsku učinkovitost</w:t>
      </w:r>
      <w:r w:rsidRPr="00CA0804">
        <w:rPr>
          <w:bCs/>
        </w:rPr>
        <w:t xml:space="preserve"> dodijelio je </w:t>
      </w:r>
      <w:r w:rsidR="00500D35" w:rsidRPr="00CA0804">
        <w:t xml:space="preserve">902.468,56 eura </w:t>
      </w:r>
      <w:r w:rsidRPr="00CA0804">
        <w:rPr>
          <w:bCs/>
        </w:rPr>
        <w:t>potpor</w:t>
      </w:r>
      <w:r w:rsidR="00500D35" w:rsidRPr="00CA0804">
        <w:rPr>
          <w:bCs/>
        </w:rPr>
        <w:t>a</w:t>
      </w:r>
      <w:r w:rsidRPr="00CA0804">
        <w:rPr>
          <w:bCs/>
        </w:rPr>
        <w:t xml:space="preserve"> male vrijednosti za </w:t>
      </w:r>
      <w:r w:rsidRPr="00CA0804">
        <w:t>zaštitu okoliša</w:t>
      </w:r>
      <w:r w:rsidRPr="00CA0804">
        <w:rPr>
          <w:bCs/>
        </w:rPr>
        <w:t xml:space="preserve"> putem subvencije temeljem </w:t>
      </w:r>
      <w:r w:rsidRPr="00CA0804">
        <w:t xml:space="preserve">Programa dodjele de minimis potpora </w:t>
      </w:r>
      <w:r w:rsidR="00316A80" w:rsidRPr="00CA0804">
        <w:t>za klimu, zaštitu okoliša, energetsku učinkovitost i obnovljive izvore energije 796.332,56 eura te Pojedinačne de minimis potpore dodijeljene temeljem Uredbe Komisije (EU) 2023/2831 iznos od 106.136,00 eura.</w:t>
      </w:r>
    </w:p>
    <w:p w14:paraId="7D239F3B" w14:textId="77777777" w:rsidR="00316A80" w:rsidRPr="00CA0804" w:rsidRDefault="00316A80" w:rsidP="00316A80"/>
    <w:p w14:paraId="0DE1B685" w14:textId="4FB681D7" w:rsidR="008F708B" w:rsidRPr="00CA0804" w:rsidRDefault="008F708B" w:rsidP="00E346B9">
      <w:pPr>
        <w:pStyle w:val="ListParagraph"/>
        <w:numPr>
          <w:ilvl w:val="0"/>
          <w:numId w:val="15"/>
        </w:numPr>
        <w:jc w:val="both"/>
      </w:pPr>
      <w:r w:rsidRPr="00CA0804">
        <w:rPr>
          <w:u w:val="single"/>
          <w:lang w:eastAsia="hr-HR"/>
        </w:rPr>
        <w:t xml:space="preserve">Ministarstvo </w:t>
      </w:r>
      <w:r w:rsidR="00CD7FC1" w:rsidRPr="00CA0804">
        <w:rPr>
          <w:u w:val="single"/>
        </w:rPr>
        <w:t>znanosti, obrazovanja i mladih</w:t>
      </w:r>
      <w:r w:rsidR="00CD7FC1" w:rsidRPr="00CA0804">
        <w:rPr>
          <w:bCs/>
        </w:rPr>
        <w:t xml:space="preserve"> d</w:t>
      </w:r>
      <w:r w:rsidRPr="00CA0804">
        <w:rPr>
          <w:bCs/>
        </w:rPr>
        <w:t>odijelilo</w:t>
      </w:r>
      <w:r w:rsidR="007E4EAD" w:rsidRPr="00CA0804">
        <w:rPr>
          <w:bCs/>
        </w:rPr>
        <w:t xml:space="preserve"> je</w:t>
      </w:r>
      <w:r w:rsidR="00CD7FC1" w:rsidRPr="00CA0804">
        <w:rPr>
          <w:bCs/>
        </w:rPr>
        <w:t xml:space="preserve"> </w:t>
      </w:r>
      <w:r w:rsidR="007E4EAD" w:rsidRPr="00CA0804">
        <w:t xml:space="preserve">795.204,76 </w:t>
      </w:r>
      <w:r w:rsidRPr="00CA0804">
        <w:t>eura</w:t>
      </w:r>
      <w:r w:rsidRPr="00CA0804">
        <w:rPr>
          <w:bCs/>
        </w:rPr>
        <w:t xml:space="preserve"> </w:t>
      </w:r>
      <w:r w:rsidR="007E4EAD" w:rsidRPr="00CA0804">
        <w:rPr>
          <w:bCs/>
        </w:rPr>
        <w:t xml:space="preserve">potpora male vrijednosti </w:t>
      </w:r>
      <w:r w:rsidRPr="00CA0804">
        <w:rPr>
          <w:bCs/>
        </w:rPr>
        <w:t xml:space="preserve">putem </w:t>
      </w:r>
      <w:r w:rsidRPr="00CA0804">
        <w:rPr>
          <w:lang w:eastAsia="hr-HR"/>
        </w:rPr>
        <w:t xml:space="preserve">subvencija za </w:t>
      </w:r>
      <w:r w:rsidR="007E4EAD" w:rsidRPr="00CA0804">
        <w:t>istraživanje i razvoj, inovacije,</w:t>
      </w:r>
      <w:r w:rsidR="007E4EAD" w:rsidRPr="00CA0804">
        <w:rPr>
          <w:bCs/>
          <w:color w:val="000000"/>
          <w:lang w:eastAsia="hr-HR"/>
        </w:rPr>
        <w:t xml:space="preserve"> </w:t>
      </w:r>
      <w:r w:rsidRPr="00CA0804">
        <w:rPr>
          <w:bCs/>
          <w:color w:val="000000"/>
          <w:lang w:eastAsia="hr-HR"/>
        </w:rPr>
        <w:t xml:space="preserve">temeljem </w:t>
      </w:r>
      <w:r w:rsidR="007E4EAD" w:rsidRPr="00CA0804">
        <w:rPr>
          <w:bCs/>
          <w:color w:val="000000"/>
          <w:lang w:eastAsia="hr-HR"/>
        </w:rPr>
        <w:t>prve</w:t>
      </w:r>
      <w:r w:rsidR="007E4EAD" w:rsidRPr="00CA0804">
        <w:t xml:space="preserve"> izmjene Programa dodjele potpora male vrijednosti za projekte „Ciljana znanstvena istraživanja“</w:t>
      </w:r>
      <w:r w:rsidRPr="00CA0804">
        <w:t>.</w:t>
      </w:r>
    </w:p>
    <w:p w14:paraId="46C6440D" w14:textId="77777777" w:rsidR="008F708B" w:rsidRPr="00CA0804" w:rsidRDefault="008F708B" w:rsidP="008F708B"/>
    <w:p w14:paraId="73931D2A" w14:textId="6E5EB443" w:rsidR="008F708B" w:rsidRPr="00CA0804" w:rsidRDefault="008F708B" w:rsidP="00E346B9">
      <w:pPr>
        <w:pStyle w:val="ListParagraph"/>
        <w:numPr>
          <w:ilvl w:val="0"/>
          <w:numId w:val="15"/>
        </w:numPr>
        <w:jc w:val="both"/>
      </w:pPr>
      <w:r w:rsidRPr="00CA0804">
        <w:rPr>
          <w:u w:val="single"/>
          <w:lang w:eastAsia="hr-HR"/>
        </w:rPr>
        <w:t>Ministarstvo financija – Carinska uprava</w:t>
      </w:r>
      <w:r w:rsidRPr="00CA0804">
        <w:rPr>
          <w:bCs/>
        </w:rPr>
        <w:t xml:space="preserve"> </w:t>
      </w:r>
      <w:r w:rsidRPr="00CA0804">
        <w:t xml:space="preserve">dodijelila je </w:t>
      </w:r>
      <w:r w:rsidR="00CD7FC1" w:rsidRPr="00CA0804">
        <w:t xml:space="preserve">25.546,09 </w:t>
      </w:r>
      <w:r w:rsidRPr="00CA0804">
        <w:t xml:space="preserve">eura </w:t>
      </w:r>
      <w:r w:rsidRPr="00CA0804">
        <w:rPr>
          <w:lang w:eastAsia="hr-HR"/>
        </w:rPr>
        <w:t xml:space="preserve">potpora male vrijednosti </w:t>
      </w:r>
      <w:r w:rsidRPr="00CA0804">
        <w:rPr>
          <w:bCs/>
        </w:rPr>
        <w:t xml:space="preserve">putem poreznih olakšica </w:t>
      </w:r>
      <w:r w:rsidRPr="00CA0804">
        <w:rPr>
          <w:lang w:eastAsia="hr-HR"/>
        </w:rPr>
        <w:t>temeljem</w:t>
      </w:r>
      <w:r w:rsidRPr="00CA0804">
        <w:rPr>
          <w:color w:val="000000"/>
          <w:lang w:eastAsia="hr-HR"/>
        </w:rPr>
        <w:t xml:space="preserve"> Programa Povrata plaćene trošarine </w:t>
      </w:r>
      <w:r w:rsidRPr="00CA0804">
        <w:t>na dizelsko gorivo za pogon strojeva za pripremu površina u razminiranju</w:t>
      </w:r>
      <w:r w:rsidRPr="00CA0804">
        <w:rPr>
          <w:color w:val="000000"/>
          <w:lang w:eastAsia="hr-HR"/>
        </w:rPr>
        <w:t xml:space="preserve"> s ciljem </w:t>
      </w:r>
      <w:r w:rsidRPr="00CA0804">
        <w:rPr>
          <w:bCs/>
          <w:color w:val="000000"/>
          <w:lang w:eastAsia="hr-HR"/>
        </w:rPr>
        <w:t>ublažavanja ili otklanjanja šteta prouzročenih ratnim okolnostima.</w:t>
      </w:r>
    </w:p>
    <w:p w14:paraId="2948030E" w14:textId="77777777" w:rsidR="002F6449" w:rsidRPr="00CA0804" w:rsidRDefault="002F6449" w:rsidP="00CD7FC1"/>
    <w:p w14:paraId="0BA2440D" w14:textId="740CB139" w:rsidR="00316A80" w:rsidRPr="00CA0804" w:rsidRDefault="005070F5" w:rsidP="00383AC1">
      <w:pPr>
        <w:jc w:val="both"/>
      </w:pPr>
      <w:r w:rsidRPr="00CA0804">
        <w:t>Davatelji potpora malih vrijednosti na lokalnoj razini</w:t>
      </w:r>
      <w:r w:rsidR="00316A80" w:rsidRPr="00CA0804">
        <w:t xml:space="preserve"> su </w:t>
      </w:r>
      <w:r w:rsidR="00F53F57" w:rsidRPr="00CA0804">
        <w:t>županije, općine i gradovi</w:t>
      </w:r>
      <w:r w:rsidRPr="00CA0804">
        <w:t xml:space="preserve">, </w:t>
      </w:r>
      <w:r w:rsidR="00316A80" w:rsidRPr="00CA0804">
        <w:t xml:space="preserve">a isti su </w:t>
      </w:r>
      <w:r w:rsidRPr="00CA0804">
        <w:t>temeljem podataka iz Registra</w:t>
      </w:r>
      <w:r w:rsidR="00316A80" w:rsidRPr="00CA0804">
        <w:t xml:space="preserve"> </w:t>
      </w:r>
      <w:r w:rsidRPr="00CA0804">
        <w:t>dodijelili u 202</w:t>
      </w:r>
      <w:r w:rsidR="00316A80" w:rsidRPr="00CA0804">
        <w:t>4</w:t>
      </w:r>
      <w:r w:rsidRPr="00CA0804">
        <w:t xml:space="preserve">. godini </w:t>
      </w:r>
      <w:r w:rsidR="00316A80" w:rsidRPr="00CA0804">
        <w:t>33,6 milijuna eura.</w:t>
      </w:r>
    </w:p>
    <w:p w14:paraId="51C5788E" w14:textId="77777777" w:rsidR="00285F4C" w:rsidRPr="00CA0804" w:rsidRDefault="00285F4C" w:rsidP="00BE487D"/>
    <w:p w14:paraId="4C761EBB" w14:textId="0C404582" w:rsidR="008C1D04" w:rsidRPr="00CA0804" w:rsidRDefault="00F70D95" w:rsidP="00E346B9">
      <w:pPr>
        <w:pStyle w:val="ListParagraph"/>
        <w:numPr>
          <w:ilvl w:val="0"/>
          <w:numId w:val="16"/>
        </w:numPr>
        <w:jc w:val="both"/>
      </w:pPr>
      <w:r w:rsidRPr="00CA0804">
        <w:rPr>
          <w:u w:val="single"/>
        </w:rPr>
        <w:lastRenderedPageBreak/>
        <w:t>Županije, općine i gradovi</w:t>
      </w:r>
      <w:r w:rsidRPr="00CA0804">
        <w:t xml:space="preserve"> dodijelili su </w:t>
      </w:r>
      <w:r w:rsidR="00316A80" w:rsidRPr="00CA0804">
        <w:t>33,6</w:t>
      </w:r>
      <w:r w:rsidR="005070F5" w:rsidRPr="00CA0804">
        <w:t xml:space="preserve"> milijuna eura </w:t>
      </w:r>
      <w:r w:rsidRPr="00CA0804">
        <w:t>potpora male vrijednosti putem raznih instrumenata</w:t>
      </w:r>
      <w:r w:rsidR="00F53F57" w:rsidRPr="00CA0804">
        <w:t>, a c</w:t>
      </w:r>
      <w:r w:rsidRPr="00CA0804">
        <w:t>iljevi i iznosi za koje su potpore</w:t>
      </w:r>
      <w:r w:rsidR="00F866AD" w:rsidRPr="00CA0804">
        <w:t xml:space="preserve"> </w:t>
      </w:r>
      <w:r w:rsidRPr="00CA0804">
        <w:t>dodijeljene</w:t>
      </w:r>
      <w:r w:rsidR="00316A80" w:rsidRPr="00CA0804">
        <w:t>,</w:t>
      </w:r>
      <w:r w:rsidRPr="00CA0804">
        <w:t xml:space="preserve"> </w:t>
      </w:r>
      <w:r w:rsidR="00E16874" w:rsidRPr="00CA0804">
        <w:t xml:space="preserve">prikazani </w:t>
      </w:r>
      <w:r w:rsidR="00316A80" w:rsidRPr="00CA0804">
        <w:t xml:space="preserve">su </w:t>
      </w:r>
      <w:r w:rsidR="00F53F57" w:rsidRPr="00CA0804">
        <w:t>po visini dodijeljenih sredstava</w:t>
      </w:r>
      <w:r w:rsidRPr="00CA0804">
        <w:t xml:space="preserve">: </w:t>
      </w:r>
      <w:r w:rsidR="005070F5" w:rsidRPr="00CA0804">
        <w:t xml:space="preserve">malim i srednjim poduzetnicima dodijeljeno je </w:t>
      </w:r>
      <w:r w:rsidR="00316A80" w:rsidRPr="00CA0804">
        <w:t>28,4</w:t>
      </w:r>
      <w:r w:rsidR="005070F5" w:rsidRPr="00CA0804">
        <w:t xml:space="preserve"> milijuna eura, za turizam 1,</w:t>
      </w:r>
      <w:r w:rsidR="00316A80" w:rsidRPr="00CA0804">
        <w:t>4</w:t>
      </w:r>
      <w:r w:rsidR="005070F5" w:rsidRPr="00CA0804">
        <w:t xml:space="preserve"> milijuna eura, za regionalni razvoj </w:t>
      </w:r>
      <w:r w:rsidR="00316A80" w:rsidRPr="00CA0804">
        <w:t xml:space="preserve">904.363,57 </w:t>
      </w:r>
      <w:r w:rsidR="005070F5" w:rsidRPr="00CA0804">
        <w:t xml:space="preserve">eura, </w:t>
      </w:r>
      <w:r w:rsidR="00316A80" w:rsidRPr="00CA0804">
        <w:t>za radiotelevizijsko emitiranje 568.734,08 eura,</w:t>
      </w:r>
      <w:r w:rsidR="008C1D04" w:rsidRPr="00CA0804">
        <w:t xml:space="preserve"> za pomorski promet 481.365,45 eura, za zapošljavanje 415.453,45 eura, za kopneni cestovni promet 410.206,09 eura, za kulturu 309.088,28 eura, za sektorski razvoj 191.328,03 eura, za istraživanje i razvoj i inovacije 187.085,64 eura, za audiovizualnu industriju 139.289,00 eura, za zaštitu kulturne baštine 133.781,76 eura, za otklanjanje i ublažavanje šteta prouzročenih prirodnim nepogodama ili izvanrednim okolnostima 50.087,68 eura, za zračni promet 15.000,00 eura, za sanaciju poduzetnika u teškoćama 11.300,00 eura, za usavršavanje 9.300,00 eura, za lokalnu infrastrukturu 5.500,00 eura te za poštanske usluge 1.559,48 eura.</w:t>
      </w:r>
    </w:p>
    <w:p w14:paraId="3BD24954" w14:textId="77777777" w:rsidR="00316A80" w:rsidRPr="00CA0804" w:rsidRDefault="00316A80" w:rsidP="00A06DCA"/>
    <w:p w14:paraId="49DC4B67" w14:textId="77777777" w:rsidR="008F708B" w:rsidRPr="00CA0804" w:rsidRDefault="008F708B" w:rsidP="00A06DCA"/>
    <w:p w14:paraId="6516D816" w14:textId="06BADDD1" w:rsidR="00A5297F" w:rsidRPr="00CA0804" w:rsidRDefault="00A5297F" w:rsidP="008F708B">
      <w:pPr>
        <w:jc w:val="both"/>
      </w:pPr>
      <w:r w:rsidRPr="00CA0804">
        <w:rPr>
          <w:b/>
        </w:rPr>
        <w:br w:type="page"/>
      </w:r>
    </w:p>
    <w:p w14:paraId="386CA746" w14:textId="69B21FDB" w:rsidR="00BE0817" w:rsidRPr="00CA0804" w:rsidRDefault="00BE0817" w:rsidP="00BE487D">
      <w:pPr>
        <w:pStyle w:val="Heading1"/>
        <w:numPr>
          <w:ilvl w:val="0"/>
          <w:numId w:val="1"/>
        </w:numPr>
        <w:spacing w:before="0"/>
        <w:jc w:val="both"/>
        <w:rPr>
          <w:rFonts w:ascii="Times New Roman" w:hAnsi="Times New Roman" w:cs="Times New Roman"/>
          <w:b/>
          <w:color w:val="auto"/>
          <w:sz w:val="24"/>
          <w:szCs w:val="24"/>
        </w:rPr>
      </w:pPr>
      <w:bookmarkStart w:id="33" w:name="_Toc213660054"/>
      <w:r w:rsidRPr="00CA0804">
        <w:rPr>
          <w:rFonts w:ascii="Times New Roman" w:hAnsi="Times New Roman" w:cs="Times New Roman"/>
          <w:b/>
          <w:color w:val="auto"/>
          <w:sz w:val="24"/>
          <w:szCs w:val="24"/>
        </w:rPr>
        <w:lastRenderedPageBreak/>
        <w:t>ZAKLJUČAK</w:t>
      </w:r>
      <w:bookmarkEnd w:id="33"/>
    </w:p>
    <w:p w14:paraId="3B59F5C2" w14:textId="77777777" w:rsidR="00BE0817" w:rsidRPr="00CA0804" w:rsidRDefault="00BE0817" w:rsidP="00BE487D">
      <w:pPr>
        <w:jc w:val="both"/>
        <w:rPr>
          <w:b/>
        </w:rPr>
      </w:pPr>
    </w:p>
    <w:p w14:paraId="0535D857" w14:textId="77777777" w:rsidR="00BE0817" w:rsidRPr="00CA0804" w:rsidRDefault="00BE0817" w:rsidP="00BE487D">
      <w:pPr>
        <w:jc w:val="both"/>
        <w:rPr>
          <w:b/>
          <w:szCs w:val="24"/>
        </w:rPr>
      </w:pPr>
    </w:p>
    <w:p w14:paraId="0B94D878" w14:textId="6D2559E5" w:rsidR="00D11377" w:rsidRPr="00CA0804" w:rsidRDefault="00466640" w:rsidP="00D11377">
      <w:pPr>
        <w:jc w:val="both"/>
        <w:rPr>
          <w:szCs w:val="24"/>
        </w:rPr>
      </w:pPr>
      <w:r w:rsidRPr="00CA0804">
        <w:rPr>
          <w:szCs w:val="24"/>
        </w:rPr>
        <w:t xml:space="preserve">Godišnje izvješće o državnim potporama za 2024. godinu izradilo je </w:t>
      </w:r>
      <w:r w:rsidR="00260B66" w:rsidRPr="00CA0804">
        <w:rPr>
          <w:szCs w:val="24"/>
        </w:rPr>
        <w:t xml:space="preserve">Ministarstvo financija </w:t>
      </w:r>
      <w:r w:rsidR="00D11377" w:rsidRPr="00CA0804">
        <w:rPr>
          <w:szCs w:val="24"/>
        </w:rPr>
        <w:t xml:space="preserve">sukladno Zakonu, a temeljem dostavljenih i preuzetih podataka o dodijeljenim državnim potporama i potporama male vrijednosti iz Registra. Podatke u Registar unose davatelji, koji su sukladno Zakonu i Pravilniku, obvezni iste unositi u Registar bez odgode te su isključivo i odgovorni za istinitost unesenih podataka i njihov pravovremeni unos. </w:t>
      </w:r>
    </w:p>
    <w:p w14:paraId="7A73751A" w14:textId="631C0592" w:rsidR="00260B66" w:rsidRPr="00CA0804" w:rsidRDefault="00260B66" w:rsidP="000D2FCC">
      <w:pPr>
        <w:jc w:val="both"/>
        <w:rPr>
          <w:szCs w:val="24"/>
        </w:rPr>
      </w:pPr>
    </w:p>
    <w:p w14:paraId="1842D5F4" w14:textId="032E1B64" w:rsidR="00491BDC" w:rsidRPr="00CA0804" w:rsidRDefault="00491BDC" w:rsidP="00491BDC">
      <w:pPr>
        <w:jc w:val="both"/>
        <w:rPr>
          <w:szCs w:val="24"/>
        </w:rPr>
      </w:pPr>
      <w:r w:rsidRPr="00CA0804">
        <w:rPr>
          <w:szCs w:val="24"/>
        </w:rPr>
        <w:t>Kako bi se osiguralo poštivanje načela transparentnosti, Ministarstvo financija na svojim mrežnim stranicama javno objavljuje podatke o dodijeljenim državnim potporama i potporama male vrijednosti koje su davatelji potpora unijeli u Registar te podatke o mjerama potpora, odnosno podatke o programima državnih potpora temeljem kojih davatelji dodjeljuju državne potpore kao i podatke o pojedinačnim/jednokratnim tzv. ad hoc državnim potporama, koje se ne dodjeljuju na temelju programa državnih potpora. Isto tako, na mrežnim stranicama Ministarstva financija dostupna su i pravila o potporama EU na temelju kojih su dodijeljene državne potpore i potpore male vrijednosti koje su predmet ovog Izvješća.</w:t>
      </w:r>
    </w:p>
    <w:p w14:paraId="1C6D6228" w14:textId="2A2F3ECB" w:rsidR="00491BDC" w:rsidRPr="00CA0804" w:rsidRDefault="00491BDC" w:rsidP="000D2FCC">
      <w:pPr>
        <w:jc w:val="both"/>
        <w:rPr>
          <w:szCs w:val="24"/>
        </w:rPr>
      </w:pPr>
    </w:p>
    <w:p w14:paraId="6A71A215" w14:textId="22646429" w:rsidR="009D134A" w:rsidRPr="00CA0804" w:rsidRDefault="009D134A" w:rsidP="000D2FCC">
      <w:pPr>
        <w:jc w:val="both"/>
        <w:rPr>
          <w:szCs w:val="24"/>
        </w:rPr>
      </w:pPr>
      <w:r w:rsidRPr="00CA0804">
        <w:rPr>
          <w:szCs w:val="24"/>
        </w:rPr>
        <w:t xml:space="preserve">Potrebno je istaknuti kako Europska komisija isključivo odobrava vrste potpora koje mogu utjecati na narušavanje tržišnog natjecanja, dok Ministarstvo financija daje mišljenja na prijedloge potpora koji su izuzeti od obveze prijave Europskoj komisiji s aspekta njihove usklađenosti s Uredbom o općem skupnom izuzeću. U okviru prijedloga potpora, neovisno o tome odlučuje li o njima Europska komisija ili su obuhvaćeni Uredbom o općem skupnom izuzeću, u najvećoj mjeri zastupljeni su programi potpora, a pojedinačne jednokratne potpore predstavljaju izuzetak, što govori o povećanoj disciplini davatelja potpora. </w:t>
      </w:r>
    </w:p>
    <w:p w14:paraId="0FFADEB8" w14:textId="30127815" w:rsidR="009D134A" w:rsidRPr="00CA0804" w:rsidRDefault="009D134A" w:rsidP="000D2FCC">
      <w:pPr>
        <w:jc w:val="both"/>
        <w:rPr>
          <w:szCs w:val="24"/>
        </w:rPr>
      </w:pPr>
    </w:p>
    <w:p w14:paraId="1016C989" w14:textId="0CFB1598" w:rsidR="006C47D1" w:rsidRPr="00CA0804" w:rsidRDefault="00E95870" w:rsidP="006C47D1">
      <w:pPr>
        <w:jc w:val="both"/>
        <w:rPr>
          <w:rFonts w:eastAsia="MS Mincho"/>
          <w:szCs w:val="24"/>
        </w:rPr>
      </w:pPr>
      <w:r w:rsidRPr="00CA0804">
        <w:rPr>
          <w:rFonts w:eastAsia="MS Mincho"/>
          <w:szCs w:val="24"/>
        </w:rPr>
        <w:t xml:space="preserve">U odnosu na kretanja prikazana u ovom </w:t>
      </w:r>
      <w:r w:rsidR="00D756F9" w:rsidRPr="00CA0804">
        <w:rPr>
          <w:rFonts w:eastAsia="MS Mincho"/>
          <w:szCs w:val="24"/>
        </w:rPr>
        <w:t xml:space="preserve">Izvješću </w:t>
      </w:r>
      <w:r w:rsidRPr="00CA0804">
        <w:rPr>
          <w:rFonts w:eastAsia="MS Mincho"/>
          <w:szCs w:val="24"/>
        </w:rPr>
        <w:t xml:space="preserve">može se istaknuti kako </w:t>
      </w:r>
      <w:r w:rsidR="006C47D1" w:rsidRPr="00CA0804">
        <w:rPr>
          <w:rFonts w:eastAsia="MS Mincho"/>
          <w:szCs w:val="24"/>
        </w:rPr>
        <w:t>2024.</w:t>
      </w:r>
      <w:r w:rsidRPr="00CA0804">
        <w:rPr>
          <w:rFonts w:eastAsia="MS Mincho"/>
          <w:szCs w:val="24"/>
        </w:rPr>
        <w:t xml:space="preserve"> godina</w:t>
      </w:r>
      <w:r w:rsidR="006C47D1" w:rsidRPr="00CA0804">
        <w:rPr>
          <w:rFonts w:eastAsia="MS Mincho"/>
          <w:szCs w:val="24"/>
        </w:rPr>
        <w:t xml:space="preserve"> predstavlja svojevrsnu prijelomnu točku u sustavu državnih potpora Republike Hrvatske. </w:t>
      </w:r>
      <w:r w:rsidRPr="00CA0804">
        <w:rPr>
          <w:rFonts w:eastAsia="MS Mincho"/>
          <w:szCs w:val="24"/>
        </w:rPr>
        <w:t>Naime, n</w:t>
      </w:r>
      <w:r w:rsidR="006C47D1" w:rsidRPr="00CA0804">
        <w:rPr>
          <w:rFonts w:eastAsia="MS Mincho"/>
          <w:szCs w:val="24"/>
        </w:rPr>
        <w:t xml:space="preserve">akon razdoblja obilježenog izvanrednim EU okvirima i privremenim intervencijama vezanim uz pandemiju, energetsku krizu i učinke rata u Ukrajini, sustav potpora u 2024. ulazi u fazu stabilizacije i </w:t>
      </w:r>
      <w:r w:rsidRPr="00CA0804">
        <w:rPr>
          <w:rFonts w:eastAsia="MS Mincho"/>
          <w:szCs w:val="24"/>
        </w:rPr>
        <w:t xml:space="preserve">uz pomak i </w:t>
      </w:r>
      <w:r w:rsidR="006C47D1" w:rsidRPr="00CA0804">
        <w:rPr>
          <w:rFonts w:eastAsia="MS Mincho"/>
          <w:szCs w:val="24"/>
        </w:rPr>
        <w:t>prilagodb</w:t>
      </w:r>
      <w:r w:rsidRPr="00CA0804">
        <w:rPr>
          <w:rFonts w:eastAsia="MS Mincho"/>
          <w:szCs w:val="24"/>
        </w:rPr>
        <w:t>u</w:t>
      </w:r>
      <w:r w:rsidR="006C47D1" w:rsidRPr="00CA0804">
        <w:rPr>
          <w:rFonts w:eastAsia="MS Mincho"/>
          <w:szCs w:val="24"/>
        </w:rPr>
        <w:t xml:space="preserve"> standardnim pravilima Europske unije. </w:t>
      </w:r>
    </w:p>
    <w:p w14:paraId="581D5562" w14:textId="77777777" w:rsidR="006C47D1" w:rsidRPr="00CA0804" w:rsidRDefault="006C47D1" w:rsidP="006C47D1">
      <w:pPr>
        <w:jc w:val="both"/>
        <w:rPr>
          <w:rFonts w:eastAsia="MS Mincho"/>
          <w:szCs w:val="24"/>
        </w:rPr>
      </w:pPr>
    </w:p>
    <w:p w14:paraId="5F53505E" w14:textId="0B989DD4" w:rsidR="006C47D1" w:rsidRPr="00CA0804" w:rsidRDefault="006C47D1" w:rsidP="006C47D1">
      <w:pPr>
        <w:jc w:val="both"/>
        <w:rPr>
          <w:rFonts w:eastAsia="MS Mincho"/>
          <w:szCs w:val="24"/>
        </w:rPr>
      </w:pPr>
      <w:r w:rsidRPr="00CA0804">
        <w:rPr>
          <w:rFonts w:eastAsia="MS Mincho"/>
          <w:szCs w:val="24"/>
        </w:rPr>
        <w:t>U</w:t>
      </w:r>
      <w:r w:rsidR="00E95870" w:rsidRPr="00CA0804">
        <w:rPr>
          <w:rFonts w:eastAsia="MS Mincho"/>
          <w:szCs w:val="24"/>
        </w:rPr>
        <w:t xml:space="preserve">zimajući u obzir prethodno istaknuto vezano uz izmijenjenu metodologiju prikaza državnih potpora može se istaknuti kako su </w:t>
      </w:r>
      <w:r w:rsidRPr="00CA0804">
        <w:rPr>
          <w:rFonts w:eastAsia="MS Mincho"/>
          <w:szCs w:val="24"/>
        </w:rPr>
        <w:t>ukupno dodijeljene potpore</w:t>
      </w:r>
      <w:r w:rsidR="00E95870" w:rsidRPr="00CA0804">
        <w:rPr>
          <w:rFonts w:eastAsia="MS Mincho"/>
          <w:szCs w:val="24"/>
        </w:rPr>
        <w:t xml:space="preserve"> u 2024. godini</w:t>
      </w:r>
      <w:r w:rsidRPr="00CA0804">
        <w:rPr>
          <w:rFonts w:eastAsia="MS Mincho"/>
          <w:szCs w:val="24"/>
        </w:rPr>
        <w:t xml:space="preserve"> iznos</w:t>
      </w:r>
      <w:r w:rsidR="00E95870" w:rsidRPr="00CA0804">
        <w:rPr>
          <w:rFonts w:eastAsia="MS Mincho"/>
          <w:szCs w:val="24"/>
        </w:rPr>
        <w:t>il</w:t>
      </w:r>
      <w:r w:rsidRPr="00CA0804">
        <w:rPr>
          <w:rFonts w:eastAsia="MS Mincho"/>
          <w:szCs w:val="24"/>
        </w:rPr>
        <w:t xml:space="preserve">e </w:t>
      </w:r>
      <w:r w:rsidR="00CA0804" w:rsidRPr="00CA0804">
        <w:t xml:space="preserve">1,4 milijarde </w:t>
      </w:r>
      <w:r w:rsidRPr="00CA0804">
        <w:rPr>
          <w:szCs w:val="24"/>
        </w:rPr>
        <w:t>eura, što predstavlja smanjenje u odnosu na prethodnu godinu za 30,4 posto. Posljedično tome smanjen je i udio potpora u BDP-u za 0,98 postotna boda. Smanjen je također udio potpora u rashodima države za 2,98 postotna boda. Isto tako, u odnosu na prethodnu godinu smanjene su i potpore po zaposlenom za 32,6</w:t>
      </w:r>
      <w:r w:rsidRPr="00CA0804">
        <w:rPr>
          <w:rFonts w:eastAsia="Times New Roman"/>
          <w:szCs w:val="24"/>
        </w:rPr>
        <w:t xml:space="preserve"> </w:t>
      </w:r>
      <w:r w:rsidRPr="00CA0804">
        <w:rPr>
          <w:szCs w:val="24"/>
        </w:rPr>
        <w:t xml:space="preserve">posto te potpore po stanovniku za 30,4 posto. Navedeni podatci </w:t>
      </w:r>
      <w:r w:rsidRPr="00CA0804">
        <w:rPr>
          <w:rFonts w:eastAsia="MS Mincho"/>
          <w:szCs w:val="24"/>
        </w:rPr>
        <w:t xml:space="preserve">predstavljaju očekivano smanjenje u odnosu na prethodne godine obilježene kriznim mjerama. </w:t>
      </w:r>
    </w:p>
    <w:p w14:paraId="0A32BC76" w14:textId="77777777" w:rsidR="006C47D1" w:rsidRPr="00CA0804" w:rsidRDefault="006C47D1" w:rsidP="006C47D1">
      <w:pPr>
        <w:jc w:val="both"/>
        <w:rPr>
          <w:rFonts w:eastAsia="MS Mincho"/>
          <w:szCs w:val="24"/>
        </w:rPr>
      </w:pPr>
    </w:p>
    <w:p w14:paraId="6FF9B979" w14:textId="08808078" w:rsidR="009D134A" w:rsidRPr="00CA0804" w:rsidRDefault="001B0074" w:rsidP="009D134A">
      <w:pPr>
        <w:jc w:val="both"/>
        <w:rPr>
          <w:szCs w:val="24"/>
        </w:rPr>
      </w:pPr>
      <w:r w:rsidRPr="00CA0804">
        <w:rPr>
          <w:szCs w:val="24"/>
        </w:rPr>
        <w:t xml:space="preserve">Od ukupno dodijeljenih potpora u iznosu od </w:t>
      </w:r>
      <w:r w:rsidR="00CA0804" w:rsidRPr="00CA0804">
        <w:t xml:space="preserve">1,4 milijarde </w:t>
      </w:r>
      <w:r w:rsidRPr="00CA0804">
        <w:rPr>
          <w:szCs w:val="24"/>
        </w:rPr>
        <w:t xml:space="preserve">eura u 2024. godini, na potpore u sektoru poljoprivrede i ribarstva odnosi se iznos od 128,2 milijuna eura ili 8,8 posto udjela u ukupno dodijeljenim potporama, dok se na sektor industrije i usluga odnosi iznos od </w:t>
      </w:r>
      <w:r w:rsidR="00CA0804" w:rsidRPr="00CA0804">
        <w:t xml:space="preserve">1,3 milijarde </w:t>
      </w:r>
      <w:r w:rsidRPr="00CA0804">
        <w:rPr>
          <w:szCs w:val="24"/>
        </w:rPr>
        <w:t>eura ili 91,2 posto udjela.</w:t>
      </w:r>
      <w:r w:rsidR="007752DF" w:rsidRPr="00CA0804">
        <w:rPr>
          <w:szCs w:val="24"/>
        </w:rPr>
        <w:t xml:space="preserve"> </w:t>
      </w:r>
      <w:r w:rsidR="009D134A" w:rsidRPr="00CA0804">
        <w:rPr>
          <w:szCs w:val="24"/>
        </w:rPr>
        <w:t xml:space="preserve">U okviru smanjivanja ukupnih potpora znakovito je kako se to ne odnosi na potpore poljoprivredi i ribarstvu koje i dalje bilježe trend rasta. </w:t>
      </w:r>
    </w:p>
    <w:p w14:paraId="0937B23A" w14:textId="1AEE39AA" w:rsidR="009D134A" w:rsidRPr="00CA0804" w:rsidRDefault="009D134A" w:rsidP="001B0074">
      <w:pPr>
        <w:jc w:val="both"/>
        <w:rPr>
          <w:szCs w:val="24"/>
        </w:rPr>
      </w:pPr>
    </w:p>
    <w:p w14:paraId="3D6F7190" w14:textId="4F388375" w:rsidR="00E16A90" w:rsidRPr="00CA0804" w:rsidRDefault="003854CC" w:rsidP="00E16A90">
      <w:pPr>
        <w:jc w:val="both"/>
        <w:rPr>
          <w:szCs w:val="24"/>
        </w:rPr>
      </w:pPr>
      <w:r w:rsidRPr="00CA0804">
        <w:rPr>
          <w:szCs w:val="24"/>
        </w:rPr>
        <w:t xml:space="preserve">Potpore </w:t>
      </w:r>
      <w:r w:rsidR="00823C8C" w:rsidRPr="00CA0804">
        <w:rPr>
          <w:szCs w:val="24"/>
        </w:rPr>
        <w:t xml:space="preserve">u </w:t>
      </w:r>
      <w:r w:rsidRPr="00CA0804">
        <w:rPr>
          <w:szCs w:val="24"/>
        </w:rPr>
        <w:t xml:space="preserve">sektoru poljoprivrede i ribarstva dodijeljene </w:t>
      </w:r>
      <w:r w:rsidR="00983A64" w:rsidRPr="00CA0804">
        <w:rPr>
          <w:szCs w:val="24"/>
        </w:rPr>
        <w:t xml:space="preserve">su </w:t>
      </w:r>
      <w:r w:rsidR="006070B7" w:rsidRPr="00CA0804">
        <w:rPr>
          <w:szCs w:val="24"/>
        </w:rPr>
        <w:t>u 202</w:t>
      </w:r>
      <w:r w:rsidR="006F4E82" w:rsidRPr="00CA0804">
        <w:rPr>
          <w:szCs w:val="24"/>
        </w:rPr>
        <w:t>4</w:t>
      </w:r>
      <w:r w:rsidR="006070B7" w:rsidRPr="00CA0804">
        <w:rPr>
          <w:szCs w:val="24"/>
        </w:rPr>
        <w:t xml:space="preserve">. godini </w:t>
      </w:r>
      <w:r w:rsidR="00C86C46" w:rsidRPr="00CA0804">
        <w:rPr>
          <w:szCs w:val="24"/>
        </w:rPr>
        <w:t xml:space="preserve">u iznosu od </w:t>
      </w:r>
      <w:r w:rsidR="006F4E82" w:rsidRPr="00CA0804">
        <w:rPr>
          <w:szCs w:val="24"/>
        </w:rPr>
        <w:t xml:space="preserve">128,2 </w:t>
      </w:r>
      <w:r w:rsidR="006070B7" w:rsidRPr="00CA0804">
        <w:rPr>
          <w:szCs w:val="24"/>
        </w:rPr>
        <w:t>milijuna eura</w:t>
      </w:r>
      <w:r w:rsidRPr="00CA0804">
        <w:rPr>
          <w:szCs w:val="24"/>
        </w:rPr>
        <w:t xml:space="preserve">, </w:t>
      </w:r>
      <w:r w:rsidR="00823C8C" w:rsidRPr="00CA0804">
        <w:rPr>
          <w:szCs w:val="24"/>
        </w:rPr>
        <w:t xml:space="preserve">što je povećanje za </w:t>
      </w:r>
      <w:r w:rsidR="00983A64" w:rsidRPr="00CA0804">
        <w:rPr>
          <w:szCs w:val="24"/>
        </w:rPr>
        <w:t>12,</w:t>
      </w:r>
      <w:r w:rsidR="00FE0467" w:rsidRPr="00CA0804">
        <w:rPr>
          <w:szCs w:val="24"/>
        </w:rPr>
        <w:t>6</w:t>
      </w:r>
      <w:r w:rsidR="00823C8C" w:rsidRPr="00CA0804">
        <w:rPr>
          <w:rFonts w:eastAsia="Times New Roman"/>
          <w:szCs w:val="24"/>
        </w:rPr>
        <w:t xml:space="preserve"> </w:t>
      </w:r>
      <w:r w:rsidR="00823C8C" w:rsidRPr="00CA0804">
        <w:rPr>
          <w:szCs w:val="24"/>
        </w:rPr>
        <w:t xml:space="preserve">posto u odnosu na </w:t>
      </w:r>
      <w:r w:rsidR="006C47D1" w:rsidRPr="00CA0804">
        <w:rPr>
          <w:szCs w:val="24"/>
        </w:rPr>
        <w:t xml:space="preserve">prethodnu godinu, a </w:t>
      </w:r>
      <w:r w:rsidR="001948C7" w:rsidRPr="00CA0804">
        <w:rPr>
          <w:szCs w:val="24"/>
        </w:rPr>
        <w:t xml:space="preserve">putem </w:t>
      </w:r>
      <w:r w:rsidR="007752DF" w:rsidRPr="00CA0804">
        <w:rPr>
          <w:szCs w:val="24"/>
        </w:rPr>
        <w:t>poticaja i izravni</w:t>
      </w:r>
      <w:r w:rsidR="001948C7" w:rsidRPr="00CA0804">
        <w:rPr>
          <w:szCs w:val="24"/>
        </w:rPr>
        <w:t>h</w:t>
      </w:r>
      <w:r w:rsidR="007752DF" w:rsidRPr="00CA0804">
        <w:rPr>
          <w:szCs w:val="24"/>
        </w:rPr>
        <w:t xml:space="preserve"> plaćanjima</w:t>
      </w:r>
      <w:r w:rsidR="001948C7" w:rsidRPr="00CA0804">
        <w:rPr>
          <w:szCs w:val="24"/>
        </w:rPr>
        <w:t xml:space="preserve">, odnosno putem sredstava koja se i ne smatraju državnom potporom, </w:t>
      </w:r>
      <w:r w:rsidR="007752DF" w:rsidRPr="00CA0804">
        <w:rPr>
          <w:szCs w:val="24"/>
        </w:rPr>
        <w:lastRenderedPageBreak/>
        <w:t>dodijeljen</w:t>
      </w:r>
      <w:r w:rsidR="001948C7" w:rsidRPr="00CA0804">
        <w:rPr>
          <w:szCs w:val="24"/>
        </w:rPr>
        <w:t>o je</w:t>
      </w:r>
      <w:r w:rsidR="00D337CB" w:rsidRPr="00CA0804">
        <w:rPr>
          <w:szCs w:val="24"/>
        </w:rPr>
        <w:t xml:space="preserve"> ukupno 842,1 milijun eura. </w:t>
      </w:r>
      <w:r w:rsidR="00E16A90" w:rsidRPr="00CA0804">
        <w:rPr>
          <w:szCs w:val="24"/>
        </w:rPr>
        <w:t>Ukoliko bi zbrojil</w:t>
      </w:r>
      <w:r w:rsidR="001948C7" w:rsidRPr="00CA0804">
        <w:rPr>
          <w:szCs w:val="24"/>
        </w:rPr>
        <w:t>a i potpore i poticaji i izravna plaćanja, tada</w:t>
      </w:r>
      <w:r w:rsidR="00E16A90" w:rsidRPr="00CA0804">
        <w:rPr>
          <w:szCs w:val="24"/>
        </w:rPr>
        <w:t xml:space="preserve"> iznos </w:t>
      </w:r>
      <w:r w:rsidR="007752DF" w:rsidRPr="00CA0804">
        <w:rPr>
          <w:szCs w:val="24"/>
        </w:rPr>
        <w:t xml:space="preserve">javnih sredstava dodijeljenih u sektoru poljoprivrede i ribarstva </w:t>
      </w:r>
      <w:r w:rsidR="00E16A90" w:rsidRPr="00CA0804">
        <w:rPr>
          <w:szCs w:val="24"/>
        </w:rPr>
        <w:t>iznosi</w:t>
      </w:r>
      <w:r w:rsidR="001948C7" w:rsidRPr="00CA0804">
        <w:rPr>
          <w:szCs w:val="24"/>
        </w:rPr>
        <w:t xml:space="preserve"> </w:t>
      </w:r>
      <w:r w:rsidR="00E16A90" w:rsidRPr="00CA0804">
        <w:rPr>
          <w:szCs w:val="24"/>
        </w:rPr>
        <w:t>970,3 milijuna eura.</w:t>
      </w:r>
    </w:p>
    <w:p w14:paraId="0A9C9127" w14:textId="50369667" w:rsidR="00DE69CB" w:rsidRPr="00CA0804" w:rsidRDefault="00DE69CB" w:rsidP="00DE69CB">
      <w:pPr>
        <w:contextualSpacing/>
        <w:jc w:val="both"/>
        <w:rPr>
          <w:szCs w:val="24"/>
        </w:rPr>
      </w:pPr>
    </w:p>
    <w:p w14:paraId="761DB520" w14:textId="10C4D42B" w:rsidR="001948C7" w:rsidRPr="00CA0804" w:rsidRDefault="00E16A90" w:rsidP="001948C7">
      <w:pPr>
        <w:jc w:val="both"/>
        <w:rPr>
          <w:rFonts w:eastAsia="MS Mincho"/>
          <w:spacing w:val="-2"/>
          <w:szCs w:val="24"/>
        </w:rPr>
      </w:pPr>
      <w:r w:rsidRPr="00CA0804">
        <w:rPr>
          <w:spacing w:val="-2"/>
          <w:szCs w:val="24"/>
        </w:rPr>
        <w:t>P</w:t>
      </w:r>
      <w:r w:rsidRPr="00CA0804">
        <w:rPr>
          <w:bCs/>
          <w:spacing w:val="-2"/>
          <w:szCs w:val="24"/>
        </w:rPr>
        <w:t xml:space="preserve">otpore u sektoru </w:t>
      </w:r>
      <w:r w:rsidRPr="00CA0804">
        <w:rPr>
          <w:spacing w:val="-2"/>
          <w:szCs w:val="24"/>
        </w:rPr>
        <w:t xml:space="preserve">industrije i usluga </w:t>
      </w:r>
      <w:r w:rsidRPr="00CA0804">
        <w:rPr>
          <w:bCs/>
          <w:spacing w:val="-2"/>
          <w:szCs w:val="24"/>
        </w:rPr>
        <w:t xml:space="preserve">dodijeljene su </w:t>
      </w:r>
      <w:r w:rsidR="007752DF" w:rsidRPr="00CA0804">
        <w:rPr>
          <w:bCs/>
          <w:spacing w:val="-2"/>
          <w:szCs w:val="24"/>
        </w:rPr>
        <w:t xml:space="preserve">u </w:t>
      </w:r>
      <w:r w:rsidRPr="00CA0804">
        <w:rPr>
          <w:spacing w:val="-2"/>
          <w:szCs w:val="24"/>
        </w:rPr>
        <w:t xml:space="preserve">2024. godini </w:t>
      </w:r>
      <w:r w:rsidRPr="00CA0804">
        <w:rPr>
          <w:bCs/>
          <w:spacing w:val="-2"/>
          <w:szCs w:val="24"/>
        </w:rPr>
        <w:t xml:space="preserve">u iznosu od </w:t>
      </w:r>
      <w:r w:rsidR="00CA0804" w:rsidRPr="00CA0804">
        <w:t xml:space="preserve">1,3 milijarde </w:t>
      </w:r>
      <w:r w:rsidRPr="00CA0804">
        <w:rPr>
          <w:spacing w:val="-2"/>
          <w:szCs w:val="24"/>
        </w:rPr>
        <w:t>eura</w:t>
      </w:r>
      <w:r w:rsidR="00D337CB" w:rsidRPr="00CA0804">
        <w:rPr>
          <w:spacing w:val="-2"/>
          <w:szCs w:val="24"/>
        </w:rPr>
        <w:t>, što je smanjenje za 32,9 posto u odnosu na prethodno razdoblje</w:t>
      </w:r>
      <w:r w:rsidR="001948C7" w:rsidRPr="00CA0804">
        <w:rPr>
          <w:spacing w:val="-2"/>
          <w:szCs w:val="24"/>
        </w:rPr>
        <w:t>.</w:t>
      </w:r>
      <w:r w:rsidR="00D337CB" w:rsidRPr="00CA0804">
        <w:rPr>
          <w:spacing w:val="-2"/>
          <w:szCs w:val="24"/>
        </w:rPr>
        <w:t xml:space="preserve"> </w:t>
      </w:r>
      <w:r w:rsidR="009D134A" w:rsidRPr="00CA0804">
        <w:rPr>
          <w:spacing w:val="-2"/>
          <w:szCs w:val="24"/>
        </w:rPr>
        <w:t>Osim smanjivanja dodijeljenih potpora, pozitivan trend u okviru ovih vrsta potpora očituje se i u smanjenju sektorskih potpora</w:t>
      </w:r>
      <w:r w:rsidR="00E95870" w:rsidRPr="00CA0804">
        <w:rPr>
          <w:spacing w:val="-2"/>
          <w:szCs w:val="24"/>
        </w:rPr>
        <w:t>. T</w:t>
      </w:r>
      <w:r w:rsidR="009D134A" w:rsidRPr="00CA0804">
        <w:rPr>
          <w:spacing w:val="-2"/>
          <w:szCs w:val="24"/>
        </w:rPr>
        <w:t>akođer</w:t>
      </w:r>
      <w:r w:rsidR="00E95870" w:rsidRPr="00CA0804">
        <w:rPr>
          <w:spacing w:val="-2"/>
          <w:szCs w:val="24"/>
        </w:rPr>
        <w:t>,</w:t>
      </w:r>
      <w:r w:rsidR="009D134A" w:rsidRPr="00CA0804">
        <w:rPr>
          <w:spacing w:val="-2"/>
          <w:szCs w:val="24"/>
        </w:rPr>
        <w:t xml:space="preserve"> u velikoj mjeri smanjeni su iznosi dodijeljenih </w:t>
      </w:r>
      <w:r w:rsidR="009D134A" w:rsidRPr="00CA0804">
        <w:rPr>
          <w:rFonts w:eastAsia="Times New Roman"/>
          <w:bCs/>
          <w:iCs/>
          <w:spacing w:val="-2"/>
          <w:szCs w:val="24"/>
        </w:rPr>
        <w:t>potpora za suzbijanje učinaka COVID-a i ruske agresije na Ukrajinu čiji udio iznosi 0,2 posto</w:t>
      </w:r>
      <w:r w:rsidR="001948C7" w:rsidRPr="00CA0804">
        <w:rPr>
          <w:rFonts w:eastAsia="Times New Roman"/>
          <w:bCs/>
          <w:iCs/>
          <w:spacing w:val="-2"/>
          <w:szCs w:val="24"/>
        </w:rPr>
        <w:t xml:space="preserve">. </w:t>
      </w:r>
      <w:r w:rsidR="001948C7" w:rsidRPr="00CA0804">
        <w:rPr>
          <w:rFonts w:eastAsia="MS Mincho"/>
          <w:spacing w:val="-2"/>
          <w:szCs w:val="24"/>
        </w:rPr>
        <w:t>Istodobno se bilježi nastavak stabilne strukture odnosa između sektorskih i horizontalnih potpora, pri čemu sektorske potpore zadržavaju najveći udio, osobito u području prometa i audiovizualnih djelatnosti što je posljedica karakteristika domaćeg gospodarstva, ali i vanjskih utjecaja koji su prisutni.</w:t>
      </w:r>
    </w:p>
    <w:p w14:paraId="6AC6556C" w14:textId="77777777" w:rsidR="001948C7" w:rsidRPr="00CA0804" w:rsidRDefault="001948C7" w:rsidP="009D134A">
      <w:pPr>
        <w:jc w:val="both"/>
        <w:rPr>
          <w:szCs w:val="24"/>
        </w:rPr>
      </w:pPr>
    </w:p>
    <w:p w14:paraId="14CE4764" w14:textId="4D07A546" w:rsidR="00E16A90" w:rsidRPr="00CA0804" w:rsidRDefault="00E16A90" w:rsidP="00E16A90">
      <w:pPr>
        <w:jc w:val="both"/>
        <w:rPr>
          <w:szCs w:val="24"/>
        </w:rPr>
      </w:pPr>
      <w:r w:rsidRPr="00CA0804">
        <w:rPr>
          <w:szCs w:val="24"/>
        </w:rPr>
        <w:t>Sektorske potpore odnosno potpore posebnim sektorima dodijeljene su u 2024. godini u iznosu od 802,6 milijuna</w:t>
      </w:r>
      <w:r w:rsidR="0000749D" w:rsidRPr="00CA0804">
        <w:rPr>
          <w:szCs w:val="24"/>
        </w:rPr>
        <w:t xml:space="preserve">, što predstavlja smanjenje od 5,5 posto u odnosu na ranije razdoblje, </w:t>
      </w:r>
      <w:r w:rsidR="001948C7" w:rsidRPr="00CA0804">
        <w:rPr>
          <w:szCs w:val="24"/>
        </w:rPr>
        <w:t>a u</w:t>
      </w:r>
      <w:r w:rsidRPr="00CA0804">
        <w:rPr>
          <w:szCs w:val="24"/>
        </w:rPr>
        <w:t xml:space="preserve">nutar </w:t>
      </w:r>
      <w:r w:rsidR="001948C7" w:rsidRPr="00CA0804">
        <w:rPr>
          <w:szCs w:val="24"/>
        </w:rPr>
        <w:t>tih</w:t>
      </w:r>
      <w:r w:rsidRPr="00CA0804">
        <w:rPr>
          <w:szCs w:val="24"/>
        </w:rPr>
        <w:t xml:space="preserve"> potpora, najviše potpora dodijeljeno je u sektoru prometa </w:t>
      </w:r>
      <w:r w:rsidR="0000749D" w:rsidRPr="00CA0804">
        <w:rPr>
          <w:szCs w:val="24"/>
        </w:rPr>
        <w:t xml:space="preserve">s udjelom od </w:t>
      </w:r>
      <w:r w:rsidRPr="00CA0804">
        <w:rPr>
          <w:szCs w:val="24"/>
        </w:rPr>
        <w:t xml:space="preserve">45,6 posto, slijede potpore za zaštitu okoliša i očuvanje energije </w:t>
      </w:r>
      <w:r w:rsidR="0000749D" w:rsidRPr="00CA0804">
        <w:rPr>
          <w:szCs w:val="24"/>
        </w:rPr>
        <w:t xml:space="preserve">od </w:t>
      </w:r>
      <w:r w:rsidRPr="00CA0804">
        <w:rPr>
          <w:szCs w:val="24"/>
        </w:rPr>
        <w:t>21,</w:t>
      </w:r>
      <w:r w:rsidR="00923865" w:rsidRPr="00CA0804">
        <w:rPr>
          <w:szCs w:val="24"/>
        </w:rPr>
        <w:t>5</w:t>
      </w:r>
      <w:r w:rsidRPr="00CA0804">
        <w:rPr>
          <w:szCs w:val="24"/>
        </w:rPr>
        <w:t xml:space="preserve"> posto, usluge za javno radiotelevizijsko emitiranje i audiovizualnu industriju </w:t>
      </w:r>
      <w:r w:rsidR="0000749D" w:rsidRPr="00CA0804">
        <w:rPr>
          <w:szCs w:val="24"/>
        </w:rPr>
        <w:t xml:space="preserve">od </w:t>
      </w:r>
      <w:r w:rsidRPr="00CA0804">
        <w:rPr>
          <w:szCs w:val="24"/>
        </w:rPr>
        <w:t xml:space="preserve">21,2 posto, sektor turizma </w:t>
      </w:r>
      <w:r w:rsidR="0000749D" w:rsidRPr="00CA0804">
        <w:rPr>
          <w:szCs w:val="24"/>
        </w:rPr>
        <w:t xml:space="preserve">od </w:t>
      </w:r>
      <w:r w:rsidRPr="00CA0804">
        <w:rPr>
          <w:szCs w:val="24"/>
        </w:rPr>
        <w:t xml:space="preserve">5,6 posto, poštanske usluge </w:t>
      </w:r>
      <w:r w:rsidR="0000749D" w:rsidRPr="00CA0804">
        <w:rPr>
          <w:szCs w:val="24"/>
        </w:rPr>
        <w:t xml:space="preserve">od </w:t>
      </w:r>
      <w:r w:rsidRPr="00CA0804">
        <w:rPr>
          <w:szCs w:val="24"/>
        </w:rPr>
        <w:t xml:space="preserve">3,1 posto, brodogradnja </w:t>
      </w:r>
      <w:r w:rsidR="0000749D" w:rsidRPr="00CA0804">
        <w:rPr>
          <w:szCs w:val="24"/>
        </w:rPr>
        <w:t xml:space="preserve">od </w:t>
      </w:r>
      <w:r w:rsidRPr="00CA0804">
        <w:rPr>
          <w:szCs w:val="24"/>
        </w:rPr>
        <w:t xml:space="preserve">1,7 posto te razvoj širokopojasnih mreža </w:t>
      </w:r>
      <w:r w:rsidR="0000749D" w:rsidRPr="00CA0804">
        <w:rPr>
          <w:szCs w:val="24"/>
        </w:rPr>
        <w:t>od 1,3 posto.</w:t>
      </w:r>
    </w:p>
    <w:p w14:paraId="58C8ADCE" w14:textId="77777777" w:rsidR="00DE69CB" w:rsidRPr="00CA0804" w:rsidRDefault="00DE69CB" w:rsidP="00DE69CB">
      <w:pPr>
        <w:jc w:val="both"/>
        <w:rPr>
          <w:szCs w:val="24"/>
        </w:rPr>
      </w:pPr>
    </w:p>
    <w:p w14:paraId="62107FBA" w14:textId="313C3B75" w:rsidR="00E16A90" w:rsidRPr="00CA0804" w:rsidRDefault="00E16A90" w:rsidP="00E16A90">
      <w:pPr>
        <w:jc w:val="both"/>
        <w:rPr>
          <w:szCs w:val="24"/>
        </w:rPr>
      </w:pPr>
      <w:r w:rsidRPr="00CA0804">
        <w:rPr>
          <w:szCs w:val="24"/>
        </w:rPr>
        <w:t>Horizontalne potpore, uključujući horizontalne ciljeve, regionalne potpore i potpore na lokalnoj razini, dodijeljene su u 2024. godini u iznosu od 515,</w:t>
      </w:r>
      <w:r w:rsidR="000D4360" w:rsidRPr="00CA0804">
        <w:rPr>
          <w:szCs w:val="24"/>
        </w:rPr>
        <w:t>8</w:t>
      </w:r>
      <w:r w:rsidRPr="00CA0804">
        <w:rPr>
          <w:szCs w:val="24"/>
        </w:rPr>
        <w:t xml:space="preserve"> milijuna eura</w:t>
      </w:r>
      <w:r w:rsidR="001948C7" w:rsidRPr="00CA0804">
        <w:rPr>
          <w:szCs w:val="24"/>
        </w:rPr>
        <w:t>, a u</w:t>
      </w:r>
      <w:r w:rsidRPr="00CA0804">
        <w:rPr>
          <w:szCs w:val="24"/>
        </w:rPr>
        <w:t>nutar horizontalnih potpora, na horizontalne ciljeve odnosno horizontalne potpore u užem smislu</w:t>
      </w:r>
      <w:r w:rsidRPr="00CA0804">
        <w:rPr>
          <w:szCs w:val="24"/>
          <w:vertAlign w:val="superscript"/>
        </w:rPr>
        <w:footnoteReference w:id="43"/>
      </w:r>
      <w:r w:rsidRPr="00CA0804">
        <w:rPr>
          <w:szCs w:val="24"/>
        </w:rPr>
        <w:t xml:space="preserve">, odnosi se </w:t>
      </w:r>
      <w:r w:rsidR="0000749D" w:rsidRPr="00CA0804">
        <w:rPr>
          <w:szCs w:val="24"/>
        </w:rPr>
        <w:t>udio od 41,4 posto,</w:t>
      </w:r>
      <w:r w:rsidRPr="00CA0804">
        <w:rPr>
          <w:szCs w:val="24"/>
        </w:rPr>
        <w:t xml:space="preserve"> na regionalne potpore 26,</w:t>
      </w:r>
      <w:r w:rsidR="000D4360" w:rsidRPr="00CA0804">
        <w:rPr>
          <w:szCs w:val="24"/>
        </w:rPr>
        <w:t>1</w:t>
      </w:r>
      <w:r w:rsidRPr="00CA0804">
        <w:rPr>
          <w:szCs w:val="24"/>
        </w:rPr>
        <w:t xml:space="preserve"> posto i na potpore na lokalnoj razini 32,5 posto.</w:t>
      </w:r>
    </w:p>
    <w:p w14:paraId="2FE0BCD9" w14:textId="77777777" w:rsidR="00DE69CB" w:rsidRPr="00CA0804" w:rsidRDefault="00DE69CB" w:rsidP="00DE69CB">
      <w:pPr>
        <w:jc w:val="both"/>
        <w:rPr>
          <w:szCs w:val="24"/>
        </w:rPr>
      </w:pPr>
    </w:p>
    <w:p w14:paraId="051EC951" w14:textId="55A62AEB" w:rsidR="00E16A90" w:rsidRPr="00CA0804" w:rsidRDefault="00B20E85" w:rsidP="00E16A90">
      <w:pPr>
        <w:jc w:val="both"/>
        <w:rPr>
          <w:szCs w:val="24"/>
        </w:rPr>
      </w:pPr>
      <w:r w:rsidRPr="00CA0804">
        <w:rPr>
          <w:szCs w:val="24"/>
        </w:rPr>
        <w:t>Unutar p</w:t>
      </w:r>
      <w:r w:rsidR="00E16A90" w:rsidRPr="00CA0804">
        <w:rPr>
          <w:szCs w:val="24"/>
        </w:rPr>
        <w:t>otpor</w:t>
      </w:r>
      <w:r w:rsidRPr="00CA0804">
        <w:rPr>
          <w:szCs w:val="24"/>
        </w:rPr>
        <w:t>a</w:t>
      </w:r>
      <w:r w:rsidR="00E16A90" w:rsidRPr="00CA0804">
        <w:rPr>
          <w:szCs w:val="24"/>
        </w:rPr>
        <w:t xml:space="preserve"> za horizontalne ciljeve ili „horizontalne potpore u užem smislu</w:t>
      </w:r>
      <w:r w:rsidR="00E16A90" w:rsidRPr="00CA0804">
        <w:rPr>
          <w:szCs w:val="24"/>
          <w:vertAlign w:val="superscript"/>
        </w:rPr>
        <w:footnoteReference w:id="44"/>
      </w:r>
      <w:r w:rsidR="00E16A90" w:rsidRPr="00CA0804">
        <w:rPr>
          <w:szCs w:val="24"/>
        </w:rPr>
        <w:t>“ dodijeljene u 2024. godini u iznosu od 213,</w:t>
      </w:r>
      <w:r w:rsidR="000D4360" w:rsidRPr="00CA0804">
        <w:rPr>
          <w:szCs w:val="24"/>
        </w:rPr>
        <w:t>5</w:t>
      </w:r>
      <w:r w:rsidR="00E16A90" w:rsidRPr="00CA0804">
        <w:rPr>
          <w:szCs w:val="24"/>
        </w:rPr>
        <w:t xml:space="preserve"> milijuna eura</w:t>
      </w:r>
      <w:r w:rsidRPr="00CA0804">
        <w:rPr>
          <w:szCs w:val="24"/>
        </w:rPr>
        <w:t xml:space="preserve">, </w:t>
      </w:r>
      <w:r w:rsidR="00E16A90" w:rsidRPr="00CA0804">
        <w:rPr>
          <w:szCs w:val="24"/>
        </w:rPr>
        <w:t>najviš</w:t>
      </w:r>
      <w:r w:rsidRPr="00CA0804">
        <w:rPr>
          <w:szCs w:val="24"/>
        </w:rPr>
        <w:t xml:space="preserve">i udio odnosi se na potpore dodijeljene </w:t>
      </w:r>
      <w:r w:rsidR="00E16A90" w:rsidRPr="00CA0804">
        <w:rPr>
          <w:szCs w:val="24"/>
        </w:rPr>
        <w:t xml:space="preserve">za istraživanje i razvoj i inovacije </w:t>
      </w:r>
      <w:r w:rsidRPr="00CA0804">
        <w:rPr>
          <w:szCs w:val="24"/>
        </w:rPr>
        <w:t>od</w:t>
      </w:r>
      <w:r w:rsidR="00E16A90" w:rsidRPr="00CA0804">
        <w:rPr>
          <w:szCs w:val="24"/>
        </w:rPr>
        <w:t xml:space="preserve"> 75,1 posto, slijede potpore za zapošljavanje </w:t>
      </w:r>
      <w:r w:rsidRPr="00CA0804">
        <w:rPr>
          <w:szCs w:val="24"/>
        </w:rPr>
        <w:t>od</w:t>
      </w:r>
      <w:r w:rsidR="00E16A90" w:rsidRPr="00CA0804">
        <w:rPr>
          <w:szCs w:val="24"/>
        </w:rPr>
        <w:t xml:space="preserve"> 18,3 posto, potpore malim i srednjim poduzetnicima </w:t>
      </w:r>
      <w:r w:rsidRPr="00CA0804">
        <w:rPr>
          <w:szCs w:val="24"/>
        </w:rPr>
        <w:t>od</w:t>
      </w:r>
      <w:r w:rsidR="00E16A90" w:rsidRPr="00CA0804">
        <w:rPr>
          <w:szCs w:val="24"/>
        </w:rPr>
        <w:t xml:space="preserve"> 4,8 posto, potpore za kulturu </w:t>
      </w:r>
      <w:r w:rsidRPr="00CA0804">
        <w:rPr>
          <w:szCs w:val="24"/>
        </w:rPr>
        <w:t>od</w:t>
      </w:r>
      <w:r w:rsidR="00E16A90" w:rsidRPr="00CA0804">
        <w:rPr>
          <w:szCs w:val="24"/>
        </w:rPr>
        <w:t xml:space="preserve"> 1,</w:t>
      </w:r>
      <w:r w:rsidR="000D4360" w:rsidRPr="00CA0804">
        <w:rPr>
          <w:szCs w:val="24"/>
        </w:rPr>
        <w:t>4</w:t>
      </w:r>
      <w:r w:rsidR="00E16A90" w:rsidRPr="00CA0804">
        <w:rPr>
          <w:szCs w:val="24"/>
        </w:rPr>
        <w:t xml:space="preserve"> posto te potpore za usavršavanje dodijeljene </w:t>
      </w:r>
      <w:r w:rsidRPr="00CA0804">
        <w:rPr>
          <w:szCs w:val="24"/>
        </w:rPr>
        <w:t>od</w:t>
      </w:r>
      <w:r w:rsidR="00E16A90" w:rsidRPr="00CA0804">
        <w:rPr>
          <w:szCs w:val="24"/>
        </w:rPr>
        <w:t xml:space="preserve"> 0,</w:t>
      </w:r>
      <w:r w:rsidR="000D4360" w:rsidRPr="00CA0804">
        <w:rPr>
          <w:szCs w:val="24"/>
        </w:rPr>
        <w:t>4</w:t>
      </w:r>
      <w:r w:rsidR="00E16A90" w:rsidRPr="00CA0804">
        <w:rPr>
          <w:szCs w:val="24"/>
        </w:rPr>
        <w:t xml:space="preserve"> posto.</w:t>
      </w:r>
    </w:p>
    <w:p w14:paraId="68F27E0F" w14:textId="77777777" w:rsidR="006C47D1" w:rsidRPr="00CA0804" w:rsidRDefault="006C47D1" w:rsidP="0020185B">
      <w:pPr>
        <w:jc w:val="both"/>
        <w:rPr>
          <w:szCs w:val="24"/>
        </w:rPr>
      </w:pPr>
    </w:p>
    <w:p w14:paraId="592D8687" w14:textId="30F55C79" w:rsidR="00E16A90" w:rsidRPr="00CA0804" w:rsidRDefault="00E16A90" w:rsidP="00E16A90">
      <w:pPr>
        <w:jc w:val="both"/>
        <w:rPr>
          <w:szCs w:val="24"/>
        </w:rPr>
      </w:pPr>
      <w:r w:rsidRPr="00CA0804">
        <w:rPr>
          <w:bCs/>
          <w:szCs w:val="24"/>
        </w:rPr>
        <w:t xml:space="preserve">Potpore male vrijednosti </w:t>
      </w:r>
      <w:r w:rsidR="00B20E85" w:rsidRPr="00CA0804">
        <w:rPr>
          <w:bCs/>
          <w:szCs w:val="24"/>
        </w:rPr>
        <w:t>ili</w:t>
      </w:r>
      <w:r w:rsidRPr="00CA0804">
        <w:rPr>
          <w:bCs/>
          <w:szCs w:val="24"/>
        </w:rPr>
        <w:t xml:space="preserve"> de minimis potpore dodijeljene su</w:t>
      </w:r>
      <w:r w:rsidR="00B20E85" w:rsidRPr="00CA0804">
        <w:rPr>
          <w:bCs/>
          <w:szCs w:val="24"/>
        </w:rPr>
        <w:t xml:space="preserve"> u 2024. godini</w:t>
      </w:r>
      <w:r w:rsidRPr="00CA0804">
        <w:rPr>
          <w:bCs/>
          <w:szCs w:val="24"/>
        </w:rPr>
        <w:t xml:space="preserve"> u iznosu od </w:t>
      </w:r>
      <w:r w:rsidRPr="00CA0804">
        <w:rPr>
          <w:szCs w:val="24"/>
        </w:rPr>
        <w:t xml:space="preserve">205,7 </w:t>
      </w:r>
      <w:r w:rsidRPr="00CA0804">
        <w:rPr>
          <w:bCs/>
          <w:szCs w:val="24"/>
        </w:rPr>
        <w:t>milijuna eura</w:t>
      </w:r>
      <w:r w:rsidR="00B20E85" w:rsidRPr="00CA0804">
        <w:rPr>
          <w:bCs/>
          <w:szCs w:val="24"/>
        </w:rPr>
        <w:t>, što je smanjenje za 18,6 posto</w:t>
      </w:r>
      <w:r w:rsidR="001948C7" w:rsidRPr="00CA0804">
        <w:rPr>
          <w:bCs/>
          <w:szCs w:val="24"/>
        </w:rPr>
        <w:t>,</w:t>
      </w:r>
      <w:r w:rsidR="00B20E85" w:rsidRPr="00CA0804">
        <w:rPr>
          <w:bCs/>
          <w:szCs w:val="24"/>
        </w:rPr>
        <w:t xml:space="preserve"> </w:t>
      </w:r>
      <w:r w:rsidR="001948C7" w:rsidRPr="00CA0804">
        <w:rPr>
          <w:bCs/>
          <w:szCs w:val="24"/>
        </w:rPr>
        <w:t xml:space="preserve">a </w:t>
      </w:r>
      <w:r w:rsidRPr="00CA0804">
        <w:rPr>
          <w:szCs w:val="24"/>
        </w:rPr>
        <w:t xml:space="preserve">davatelji potpora na razini središnje države dodijelili su 83,7 posto udjela, dok su davatelji na lokalnoj razini dodijelili 16,3 posto. </w:t>
      </w:r>
    </w:p>
    <w:p w14:paraId="32C914F5" w14:textId="29CE4A28" w:rsidR="00466640" w:rsidRPr="00CA0804" w:rsidRDefault="00466640" w:rsidP="0023348E">
      <w:pPr>
        <w:jc w:val="both"/>
        <w:rPr>
          <w:bCs/>
          <w:szCs w:val="24"/>
        </w:rPr>
      </w:pPr>
    </w:p>
    <w:p w14:paraId="30DA7B58" w14:textId="5EDA8919" w:rsidR="00A93854" w:rsidRPr="00CA0804" w:rsidRDefault="00A93854" w:rsidP="00434F02">
      <w:pPr>
        <w:jc w:val="both"/>
        <w:rPr>
          <w:szCs w:val="24"/>
        </w:rPr>
      </w:pPr>
      <w:r w:rsidRPr="00CA0804">
        <w:rPr>
          <w:szCs w:val="24"/>
        </w:rPr>
        <w:t>U prikazu podataka vezano za strukturu dodijeljenih potpora u razdoblju od 2022. do 2024. godine, vidljivo je kontinuirano smanjenje dodjel</w:t>
      </w:r>
      <w:r w:rsidR="00437436" w:rsidRPr="00CA0804">
        <w:rPr>
          <w:szCs w:val="24"/>
        </w:rPr>
        <w:t>e ukupnih</w:t>
      </w:r>
      <w:r w:rsidRPr="00CA0804">
        <w:rPr>
          <w:szCs w:val="24"/>
        </w:rPr>
        <w:t xml:space="preserve"> potpora za svako sljedeće razdoblje, međutim, u samoj strukturi odnosa između sektorskih i horizontalnih potpora nema promjena, jer </w:t>
      </w:r>
      <w:r w:rsidR="00437436" w:rsidRPr="00CA0804">
        <w:rPr>
          <w:szCs w:val="24"/>
        </w:rPr>
        <w:t>j</w:t>
      </w:r>
      <w:r w:rsidRPr="00CA0804">
        <w:rPr>
          <w:szCs w:val="24"/>
        </w:rPr>
        <w:t xml:space="preserve">e </w:t>
      </w:r>
      <w:r w:rsidR="00437436" w:rsidRPr="00CA0804">
        <w:rPr>
          <w:szCs w:val="24"/>
        </w:rPr>
        <w:t>i dalje udio sektorskih potpora puno viši u odnosu na horizontalne potpore koje se i nadalje smatraju „poželjnim pozitivnim potporama“ koje pozitivno utječu na rast gospodarstva.</w:t>
      </w:r>
    </w:p>
    <w:p w14:paraId="5F6A36F8" w14:textId="77777777" w:rsidR="00A93854" w:rsidRPr="00CA0804" w:rsidRDefault="00A93854" w:rsidP="00434F02">
      <w:pPr>
        <w:jc w:val="both"/>
        <w:rPr>
          <w:szCs w:val="24"/>
        </w:rPr>
      </w:pPr>
    </w:p>
    <w:p w14:paraId="353A96E2" w14:textId="3D914893" w:rsidR="00B17D4B" w:rsidRPr="00CA0804" w:rsidRDefault="009D134A" w:rsidP="001948C7">
      <w:pPr>
        <w:jc w:val="both"/>
        <w:rPr>
          <w:rFonts w:eastAsia="MS Mincho"/>
          <w:szCs w:val="24"/>
        </w:rPr>
      </w:pPr>
      <w:r w:rsidRPr="00CA0804">
        <w:rPr>
          <w:szCs w:val="24"/>
        </w:rPr>
        <w:t xml:space="preserve">Navedene sektorske potpore koje se i nadalje kontinuirano dodjeljuju u najvećem udjelu odnose se na sektor prometa i za usluge za javno radiotelevizijsko emitiranje i audiovizualnu industriju, a što se tiče horizontalnih potpora, i nadalje se najveći udio i dalje odnosi na potpore za zaštitu okoliša i energetskih mjera, što je u skladu s ciljem smanjenja neto emisija stakleničkih plinova za najmanje 55 posto </w:t>
      </w:r>
      <w:r w:rsidR="00B17D4B" w:rsidRPr="00CA0804">
        <w:rPr>
          <w:szCs w:val="24"/>
        </w:rPr>
        <w:t xml:space="preserve">što je usklađeno s Europskim zelenim planom koji teži </w:t>
      </w:r>
      <w:r w:rsidRPr="00CA0804">
        <w:rPr>
          <w:szCs w:val="24"/>
        </w:rPr>
        <w:t>da Europa postane prvi klimatski neutralni kontinent do 2050</w:t>
      </w:r>
      <w:r w:rsidR="00CA0804" w:rsidRPr="00CA0804">
        <w:rPr>
          <w:szCs w:val="24"/>
        </w:rPr>
        <w:t>. godine</w:t>
      </w:r>
      <w:r w:rsidRPr="00CA0804">
        <w:rPr>
          <w:szCs w:val="24"/>
        </w:rPr>
        <w:t xml:space="preserve">. </w:t>
      </w:r>
    </w:p>
    <w:p w14:paraId="148C297C" w14:textId="77777777" w:rsidR="009D134A" w:rsidRPr="00CA0804" w:rsidRDefault="009D134A" w:rsidP="009D134A">
      <w:pPr>
        <w:jc w:val="both"/>
        <w:rPr>
          <w:szCs w:val="24"/>
        </w:rPr>
      </w:pPr>
    </w:p>
    <w:p w14:paraId="0C81B365" w14:textId="13D50866" w:rsidR="009D134A" w:rsidRPr="00CA0804" w:rsidRDefault="00662631" w:rsidP="009D134A">
      <w:pPr>
        <w:jc w:val="both"/>
        <w:rPr>
          <w:szCs w:val="24"/>
        </w:rPr>
      </w:pPr>
      <w:r w:rsidRPr="00CA0804">
        <w:rPr>
          <w:szCs w:val="24"/>
        </w:rPr>
        <w:t>Važno je naglasiti kako st</w:t>
      </w:r>
      <w:r w:rsidR="009D134A" w:rsidRPr="00CA0804">
        <w:rPr>
          <w:szCs w:val="24"/>
        </w:rPr>
        <w:t xml:space="preserve">ruktura </w:t>
      </w:r>
      <w:r w:rsidRPr="00CA0804">
        <w:rPr>
          <w:szCs w:val="24"/>
        </w:rPr>
        <w:t xml:space="preserve">samih </w:t>
      </w:r>
      <w:r w:rsidR="009D134A" w:rsidRPr="00CA0804">
        <w:rPr>
          <w:szCs w:val="24"/>
        </w:rPr>
        <w:t xml:space="preserve">dodijeljenih potpora tijekom </w:t>
      </w:r>
      <w:r w:rsidRPr="00CA0804">
        <w:rPr>
          <w:szCs w:val="24"/>
        </w:rPr>
        <w:t xml:space="preserve">proteklih godina </w:t>
      </w:r>
      <w:r w:rsidR="00D50A70" w:rsidRPr="00CA0804">
        <w:rPr>
          <w:szCs w:val="24"/>
        </w:rPr>
        <w:t xml:space="preserve">predstavlja </w:t>
      </w:r>
      <w:r w:rsidRPr="00CA0804">
        <w:rPr>
          <w:szCs w:val="24"/>
        </w:rPr>
        <w:t xml:space="preserve">pozitivni </w:t>
      </w:r>
      <w:r w:rsidR="009D134A" w:rsidRPr="00CA0804">
        <w:rPr>
          <w:szCs w:val="24"/>
        </w:rPr>
        <w:t xml:space="preserve">odraz poduzetih mjera ekonomske politike </w:t>
      </w:r>
      <w:r w:rsidRPr="00CA0804">
        <w:rPr>
          <w:szCs w:val="24"/>
        </w:rPr>
        <w:t xml:space="preserve">koju </w:t>
      </w:r>
      <w:r w:rsidR="009D134A" w:rsidRPr="00CA0804">
        <w:rPr>
          <w:szCs w:val="24"/>
        </w:rPr>
        <w:t>Vlad</w:t>
      </w:r>
      <w:r w:rsidRPr="00CA0804">
        <w:rPr>
          <w:szCs w:val="24"/>
        </w:rPr>
        <w:t>a</w:t>
      </w:r>
      <w:r w:rsidR="009D134A" w:rsidRPr="00CA0804">
        <w:rPr>
          <w:szCs w:val="24"/>
        </w:rPr>
        <w:t xml:space="preserve"> Republike Hrvatske</w:t>
      </w:r>
      <w:r w:rsidRPr="00CA0804">
        <w:rPr>
          <w:szCs w:val="24"/>
        </w:rPr>
        <w:t xml:space="preserve"> i nadalje provodi</w:t>
      </w:r>
      <w:r w:rsidR="009D134A" w:rsidRPr="00CA0804">
        <w:rPr>
          <w:szCs w:val="24"/>
        </w:rPr>
        <w:t xml:space="preserve">, </w:t>
      </w:r>
      <w:r w:rsidRPr="00CA0804">
        <w:rPr>
          <w:szCs w:val="24"/>
        </w:rPr>
        <w:t xml:space="preserve">a </w:t>
      </w:r>
      <w:r w:rsidR="009D134A" w:rsidRPr="00CA0804">
        <w:rPr>
          <w:szCs w:val="24"/>
        </w:rPr>
        <w:t>koje su financiranje sredstvima iz Nacionalnog plana oporavka i otpornosti i fondovima EU.</w:t>
      </w:r>
      <w:r w:rsidR="003874B6" w:rsidRPr="00CA0804">
        <w:rPr>
          <w:szCs w:val="24"/>
        </w:rPr>
        <w:t xml:space="preserve"> Samim korištenjem sredstava putem mjera Nacionalnog plana oporavka i otpornosti, i struktura dodijeljenih državnih potpora se ciljano usmjerava u područja energetskog sektora kao što su korištenje obnovljivih izvora energije, kružno gospodarstvo, učinkovita kogeneracije, pa potom i one mjere koje su usmjerene u digitalizaciju i jačanju konkurentnosti u poduzetništvu. </w:t>
      </w:r>
      <w:r w:rsidR="009D134A" w:rsidRPr="00CA0804">
        <w:rPr>
          <w:szCs w:val="24"/>
        </w:rPr>
        <w:t>Osim Uredbe o općem skupnom izuzeću, te Smjernica o državnim potporama za klimu, zaštitu okoliša i energiju, Europska komisija je u srpnju 2025.</w:t>
      </w:r>
      <w:r w:rsidR="00CA0804" w:rsidRPr="00CA0804">
        <w:rPr>
          <w:szCs w:val="24"/>
        </w:rPr>
        <w:t xml:space="preserve"> godine</w:t>
      </w:r>
      <w:r w:rsidR="009D134A" w:rsidRPr="00CA0804">
        <w:rPr>
          <w:szCs w:val="24"/>
        </w:rPr>
        <w:t xml:space="preserve"> usvojila </w:t>
      </w:r>
      <w:r w:rsidR="009D134A" w:rsidRPr="00CA0804">
        <w:rPr>
          <w:bCs/>
          <w:szCs w:val="24"/>
          <w:shd w:val="clear" w:color="auto" w:fill="FFFFFF"/>
        </w:rPr>
        <w:t>Okvir za mjere državne potpore kojima se podupire plan za čistu industriju</w:t>
      </w:r>
      <w:r w:rsidR="009D134A" w:rsidRPr="00CA0804">
        <w:rPr>
          <w:rStyle w:val="FootnoteReference"/>
          <w:bCs/>
          <w:szCs w:val="24"/>
          <w:shd w:val="clear" w:color="auto" w:fill="FFFFFF"/>
        </w:rPr>
        <w:footnoteReference w:id="45"/>
      </w:r>
      <w:r w:rsidR="009D134A" w:rsidRPr="00CA0804">
        <w:rPr>
          <w:szCs w:val="24"/>
        </w:rPr>
        <w:t xml:space="preserve"> koji je u primjeni do 31. prosinca 2025., kao dodatnu vrstu pravila koja omogućuju postizanje ciljeva iz područja zaštite okoliša i energetike.</w:t>
      </w:r>
    </w:p>
    <w:p w14:paraId="2ECD5277" w14:textId="77777777" w:rsidR="00B17D4B" w:rsidRPr="00CA0804" w:rsidRDefault="00B17D4B" w:rsidP="009D134A">
      <w:pPr>
        <w:jc w:val="both"/>
        <w:rPr>
          <w:szCs w:val="24"/>
        </w:rPr>
      </w:pPr>
    </w:p>
    <w:p w14:paraId="491D435F" w14:textId="67810677" w:rsidR="00662631" w:rsidRPr="00CA0804" w:rsidRDefault="00662631" w:rsidP="00434F02">
      <w:pPr>
        <w:jc w:val="both"/>
        <w:rPr>
          <w:szCs w:val="24"/>
        </w:rPr>
      </w:pPr>
      <w:r w:rsidRPr="00CA0804">
        <w:rPr>
          <w:szCs w:val="24"/>
        </w:rPr>
        <w:t>N</w:t>
      </w:r>
      <w:r w:rsidR="00437436" w:rsidRPr="00CA0804">
        <w:rPr>
          <w:szCs w:val="24"/>
        </w:rPr>
        <w:t>ajveći</w:t>
      </w:r>
      <w:r w:rsidRPr="00CA0804">
        <w:rPr>
          <w:szCs w:val="24"/>
        </w:rPr>
        <w:t xml:space="preserve"> </w:t>
      </w:r>
      <w:r w:rsidR="00437436" w:rsidRPr="00CA0804">
        <w:rPr>
          <w:szCs w:val="24"/>
        </w:rPr>
        <w:t>pad dodjele potpora odnos</w:t>
      </w:r>
      <w:r w:rsidRPr="00CA0804">
        <w:rPr>
          <w:szCs w:val="24"/>
        </w:rPr>
        <w:t>i se</w:t>
      </w:r>
      <w:r w:rsidR="00437436" w:rsidRPr="00CA0804">
        <w:rPr>
          <w:szCs w:val="24"/>
        </w:rPr>
        <w:t xml:space="preserve"> na potpore </w:t>
      </w:r>
      <w:r w:rsidRPr="00CA0804">
        <w:rPr>
          <w:szCs w:val="24"/>
        </w:rPr>
        <w:t xml:space="preserve">dodijeljene </w:t>
      </w:r>
      <w:r w:rsidR="00437436" w:rsidRPr="00CA0804">
        <w:rPr>
          <w:szCs w:val="24"/>
        </w:rPr>
        <w:t>za podršku gospodarstvu u COVID-19 pandemiji te za suzbijanje učinaka ruske agresije na Ukrajinu sa smanjenjem od 99,</w:t>
      </w:r>
      <w:r w:rsidR="00707D50" w:rsidRPr="00CA0804">
        <w:rPr>
          <w:szCs w:val="24"/>
        </w:rPr>
        <w:t>6</w:t>
      </w:r>
      <w:r w:rsidR="00437436" w:rsidRPr="00CA0804">
        <w:rPr>
          <w:szCs w:val="24"/>
        </w:rPr>
        <w:t xml:space="preserve"> posto u odnosu na 2023. godinu, </w:t>
      </w:r>
      <w:r w:rsidRPr="00CA0804">
        <w:rPr>
          <w:szCs w:val="24"/>
        </w:rPr>
        <w:t>zbog prestanka važenja pravila koja su omogućavala dodjelu ovih vrsta potpora na kojima se temeljila dodjela tih potpora. U razdoblju dodjele, predmetne potpore imale su pozitivan učinak na poslovanja poduzetnika za vrijeme razdoblj</w:t>
      </w:r>
      <w:r w:rsidR="009E6F24" w:rsidRPr="00CA0804">
        <w:rPr>
          <w:szCs w:val="24"/>
        </w:rPr>
        <w:t>a</w:t>
      </w:r>
      <w:r w:rsidRPr="00CA0804">
        <w:rPr>
          <w:szCs w:val="24"/>
        </w:rPr>
        <w:t xml:space="preserve"> trajanja pandemije</w:t>
      </w:r>
      <w:r w:rsidR="00D50A70" w:rsidRPr="00CA0804">
        <w:rPr>
          <w:szCs w:val="24"/>
        </w:rPr>
        <w:t xml:space="preserve"> bolesti COVID-19</w:t>
      </w:r>
      <w:r w:rsidRPr="00CA0804">
        <w:rPr>
          <w:szCs w:val="24"/>
        </w:rPr>
        <w:t xml:space="preserve"> te na negativne posljedice s kojima su se suočavali poduzetnici tijekom trajanja rata u Ukrajini</w:t>
      </w:r>
      <w:r w:rsidR="003874B6" w:rsidRPr="00CA0804">
        <w:rPr>
          <w:szCs w:val="24"/>
        </w:rPr>
        <w:t>.</w:t>
      </w:r>
    </w:p>
    <w:p w14:paraId="4C82792C" w14:textId="6FCCFA53" w:rsidR="00021159" w:rsidRPr="00CA0804" w:rsidRDefault="00021159" w:rsidP="00021159">
      <w:pPr>
        <w:jc w:val="both"/>
        <w:rPr>
          <w:b/>
          <w:szCs w:val="24"/>
        </w:rPr>
      </w:pPr>
    </w:p>
    <w:p w14:paraId="46029C1D" w14:textId="7991CEEA" w:rsidR="00D50A70" w:rsidRPr="00CA0804" w:rsidRDefault="009D134A" w:rsidP="000B209D">
      <w:pPr>
        <w:jc w:val="both"/>
        <w:rPr>
          <w:szCs w:val="24"/>
        </w:rPr>
      </w:pPr>
      <w:r w:rsidRPr="00CA0804">
        <w:rPr>
          <w:szCs w:val="24"/>
        </w:rPr>
        <w:t>Za očekivati je kako će pokazatelji iz ovog Izvješća</w:t>
      </w:r>
      <w:r w:rsidR="00662631" w:rsidRPr="00CA0804">
        <w:rPr>
          <w:szCs w:val="24"/>
        </w:rPr>
        <w:t xml:space="preserve"> </w:t>
      </w:r>
      <w:r w:rsidRPr="00CA0804">
        <w:rPr>
          <w:szCs w:val="24"/>
        </w:rPr>
        <w:t>zasigurno imati i utjecaj</w:t>
      </w:r>
      <w:r w:rsidR="00D50A70" w:rsidRPr="00CA0804">
        <w:rPr>
          <w:szCs w:val="24"/>
        </w:rPr>
        <w:t xml:space="preserve"> u narednim razdobljima</w:t>
      </w:r>
      <w:r w:rsidRPr="00CA0804">
        <w:rPr>
          <w:szCs w:val="24"/>
        </w:rPr>
        <w:t xml:space="preserve"> kako na izvore financiranja, tako i na buduće promjene postojećih smjernica i okvira dodjele potpora kako bi se prilagodili spomenutim ciljevima Europske unije. </w:t>
      </w:r>
      <w:r w:rsidR="009E6F24" w:rsidRPr="00CA0804">
        <w:rPr>
          <w:szCs w:val="24"/>
        </w:rPr>
        <w:t>Isto tako. u</w:t>
      </w:r>
      <w:r w:rsidRPr="00CA0804">
        <w:rPr>
          <w:szCs w:val="24"/>
        </w:rPr>
        <w:t>z</w:t>
      </w:r>
      <w:r w:rsidR="009E6F24" w:rsidRPr="00CA0804">
        <w:rPr>
          <w:szCs w:val="24"/>
        </w:rPr>
        <w:t>imajući</w:t>
      </w:r>
      <w:r w:rsidRPr="00CA0804">
        <w:rPr>
          <w:szCs w:val="24"/>
        </w:rPr>
        <w:t xml:space="preserve"> u obzir postojeća pravila o potporama i njihove</w:t>
      </w:r>
      <w:r w:rsidR="00D50A70" w:rsidRPr="00CA0804">
        <w:rPr>
          <w:szCs w:val="24"/>
        </w:rPr>
        <w:t xml:space="preserve"> očekivane</w:t>
      </w:r>
      <w:r w:rsidRPr="00CA0804">
        <w:rPr>
          <w:szCs w:val="24"/>
        </w:rPr>
        <w:t xml:space="preserve"> buduće izmjene, novi </w:t>
      </w:r>
      <w:r w:rsidRPr="00CA0804">
        <w:rPr>
          <w:bCs/>
          <w:szCs w:val="24"/>
          <w:shd w:val="clear" w:color="auto" w:fill="FFFFFF"/>
        </w:rPr>
        <w:t xml:space="preserve">Okvir za mjere državne potpore kojima se podupire plan za čistu </w:t>
      </w:r>
      <w:r w:rsidR="000B209D" w:rsidRPr="00CA0804">
        <w:rPr>
          <w:bCs/>
          <w:szCs w:val="24"/>
          <w:shd w:val="clear" w:color="auto" w:fill="FFFFFF"/>
        </w:rPr>
        <w:t xml:space="preserve">industriju, </w:t>
      </w:r>
      <w:r w:rsidRPr="00CA0804">
        <w:rPr>
          <w:szCs w:val="24"/>
        </w:rPr>
        <w:t>mijenjat će se i određenja davatelja potpora koje bi u još većoj mjeri trebale biti usmjerene općim ciljevima zaštite okoliša, digitalizacije, energetske učinkovitosti, dekarbonizacije i jačanja istraživanja i razvoja s ciljem još veće inovativnosti i prilagodbe novim tehnologijama uključujući pritom i umjetnu inteligenciju.</w:t>
      </w:r>
      <w:r w:rsidR="000B209D" w:rsidRPr="00CA0804">
        <w:rPr>
          <w:szCs w:val="24"/>
        </w:rPr>
        <w:t xml:space="preserve"> </w:t>
      </w:r>
    </w:p>
    <w:p w14:paraId="5BB03B80" w14:textId="77777777" w:rsidR="00D50A70" w:rsidRPr="00CA0804" w:rsidRDefault="00D50A70" w:rsidP="000B209D">
      <w:pPr>
        <w:jc w:val="both"/>
        <w:rPr>
          <w:szCs w:val="24"/>
        </w:rPr>
      </w:pPr>
    </w:p>
    <w:p w14:paraId="1D1CFF1B" w14:textId="0DF8F809" w:rsidR="000B209D" w:rsidRPr="00CA0804" w:rsidRDefault="000B209D" w:rsidP="000B209D">
      <w:pPr>
        <w:jc w:val="both"/>
        <w:rPr>
          <w:rFonts w:eastAsia="MS Mincho"/>
          <w:spacing w:val="-2"/>
          <w:szCs w:val="24"/>
        </w:rPr>
      </w:pPr>
      <w:r w:rsidRPr="00CA0804">
        <w:rPr>
          <w:spacing w:val="-2"/>
          <w:szCs w:val="24"/>
        </w:rPr>
        <w:t xml:space="preserve">Stoga </w:t>
      </w:r>
      <w:r w:rsidRPr="00CA0804">
        <w:rPr>
          <w:rFonts w:eastAsia="MS Mincho"/>
          <w:spacing w:val="-2"/>
          <w:szCs w:val="24"/>
        </w:rPr>
        <w:t xml:space="preserve">u 2024. godini, ali i u budućim razdobljima </w:t>
      </w:r>
      <w:r w:rsidR="00D50A70" w:rsidRPr="00CA0804">
        <w:rPr>
          <w:rFonts w:eastAsia="MS Mincho"/>
          <w:spacing w:val="-2"/>
          <w:szCs w:val="24"/>
        </w:rPr>
        <w:t>prepoznaje se po</w:t>
      </w:r>
      <w:r w:rsidRPr="00CA0804">
        <w:rPr>
          <w:rFonts w:eastAsia="MS Mincho"/>
          <w:spacing w:val="-2"/>
          <w:szCs w:val="24"/>
        </w:rPr>
        <w:t>treba jača</w:t>
      </w:r>
      <w:r w:rsidR="00D50A70" w:rsidRPr="00CA0804">
        <w:rPr>
          <w:rFonts w:eastAsia="MS Mincho"/>
          <w:spacing w:val="-2"/>
          <w:szCs w:val="24"/>
        </w:rPr>
        <w:t>nja</w:t>
      </w:r>
      <w:r w:rsidRPr="00CA0804">
        <w:rPr>
          <w:rFonts w:eastAsia="MS Mincho"/>
          <w:spacing w:val="-2"/>
          <w:szCs w:val="24"/>
        </w:rPr>
        <w:t xml:space="preserve"> važnost</w:t>
      </w:r>
      <w:r w:rsidR="00D756F9" w:rsidRPr="00CA0804">
        <w:rPr>
          <w:rFonts w:eastAsia="MS Mincho"/>
          <w:spacing w:val="-2"/>
          <w:szCs w:val="24"/>
        </w:rPr>
        <w:t>i</w:t>
      </w:r>
      <w:r w:rsidRPr="00CA0804">
        <w:rPr>
          <w:rFonts w:eastAsia="MS Mincho"/>
          <w:spacing w:val="-2"/>
          <w:szCs w:val="24"/>
        </w:rPr>
        <w:t xml:space="preserve"> kvalitetnog ex ante pristupa analiziranju prijedloga potpora, osobito zbog promjena u europskim pravilima i novog </w:t>
      </w:r>
      <w:r w:rsidRPr="00CA0804">
        <w:rPr>
          <w:bCs/>
          <w:spacing w:val="-2"/>
          <w:szCs w:val="24"/>
          <w:shd w:val="clear" w:color="auto" w:fill="FFFFFF"/>
        </w:rPr>
        <w:t>Okvira za mjere državne potpore kojima se podupire plan za čistu industriju</w:t>
      </w:r>
      <w:r w:rsidRPr="00CA0804">
        <w:rPr>
          <w:rFonts w:eastAsia="MS Mincho"/>
          <w:spacing w:val="-2"/>
          <w:szCs w:val="24"/>
        </w:rPr>
        <w:t xml:space="preserve"> koji potiče ulaganja u energetsku učinkovitost, dekarbonizaciju, digitalizaciju i nove tehnologije. U tom kontekstu</w:t>
      </w:r>
      <w:r w:rsidR="009E6F24" w:rsidRPr="00CA0804">
        <w:rPr>
          <w:rFonts w:eastAsia="MS Mincho"/>
          <w:spacing w:val="-2"/>
          <w:szCs w:val="24"/>
        </w:rPr>
        <w:t xml:space="preserve"> u području državnih potpora, kao i druge države članice</w:t>
      </w:r>
      <w:r w:rsidRPr="00CA0804">
        <w:rPr>
          <w:rFonts w:eastAsia="MS Mincho"/>
          <w:spacing w:val="-2"/>
          <w:szCs w:val="24"/>
        </w:rPr>
        <w:t xml:space="preserve">, Republika Hrvatska </w:t>
      </w:r>
      <w:r w:rsidR="009E6F24" w:rsidRPr="00CA0804">
        <w:rPr>
          <w:rFonts w:eastAsia="MS Mincho"/>
          <w:spacing w:val="-2"/>
          <w:szCs w:val="24"/>
        </w:rPr>
        <w:t xml:space="preserve">se </w:t>
      </w:r>
      <w:r w:rsidRPr="00CA0804">
        <w:rPr>
          <w:rFonts w:eastAsia="MS Mincho"/>
          <w:spacing w:val="-2"/>
          <w:szCs w:val="24"/>
        </w:rPr>
        <w:t>suočava s izazov</w:t>
      </w:r>
      <w:r w:rsidR="009E6F24" w:rsidRPr="00CA0804">
        <w:rPr>
          <w:rFonts w:eastAsia="MS Mincho"/>
          <w:spacing w:val="-2"/>
          <w:szCs w:val="24"/>
        </w:rPr>
        <w:t>ima</w:t>
      </w:r>
      <w:r w:rsidRPr="00CA0804">
        <w:rPr>
          <w:rFonts w:eastAsia="MS Mincho"/>
          <w:spacing w:val="-2"/>
          <w:szCs w:val="24"/>
        </w:rPr>
        <w:t xml:space="preserve"> kao što su održavanje ravnoteže između sektorskih i horizontalnih potpora, jačanje administrativnih kapaciteta davatelja potpora, smanjivanje ovisnosti o jednokratnim intervencijama te osiguravanj</w:t>
      </w:r>
      <w:r w:rsidR="009E6F24" w:rsidRPr="00CA0804">
        <w:rPr>
          <w:rFonts w:eastAsia="MS Mincho"/>
          <w:spacing w:val="-2"/>
          <w:szCs w:val="24"/>
        </w:rPr>
        <w:t>u</w:t>
      </w:r>
      <w:r w:rsidRPr="00CA0804">
        <w:rPr>
          <w:rFonts w:eastAsia="MS Mincho"/>
          <w:spacing w:val="-2"/>
          <w:szCs w:val="24"/>
        </w:rPr>
        <w:t xml:space="preserve"> kontinuiteta ulaganja i nakon završetka provedbe Nacionalnog plana oporavka i otpornosti.</w:t>
      </w:r>
    </w:p>
    <w:p w14:paraId="01219A52" w14:textId="68C81988" w:rsidR="00021159" w:rsidRPr="00CA0804" w:rsidRDefault="00021159" w:rsidP="00021159">
      <w:pPr>
        <w:jc w:val="both"/>
        <w:rPr>
          <w:b/>
          <w:szCs w:val="24"/>
        </w:rPr>
      </w:pPr>
    </w:p>
    <w:p w14:paraId="30CA459F" w14:textId="56001C63" w:rsidR="00662631" w:rsidRPr="00CA0804" w:rsidRDefault="000B209D" w:rsidP="009D134A">
      <w:pPr>
        <w:jc w:val="both"/>
        <w:rPr>
          <w:szCs w:val="24"/>
        </w:rPr>
      </w:pPr>
      <w:r w:rsidRPr="00CA0804">
        <w:rPr>
          <w:szCs w:val="24"/>
        </w:rPr>
        <w:t xml:space="preserve">Sami </w:t>
      </w:r>
      <w:r w:rsidR="009D134A" w:rsidRPr="00CA0804">
        <w:rPr>
          <w:szCs w:val="24"/>
        </w:rPr>
        <w:t xml:space="preserve">ciljevi sektorskih politika i njihova ostvarenja prikazana </w:t>
      </w:r>
      <w:r w:rsidR="00662631" w:rsidRPr="00CA0804">
        <w:rPr>
          <w:szCs w:val="24"/>
        </w:rPr>
        <w:t>putem</w:t>
      </w:r>
      <w:r w:rsidR="009D134A" w:rsidRPr="00CA0804">
        <w:rPr>
          <w:szCs w:val="24"/>
        </w:rPr>
        <w:t xml:space="preserve"> dodijeljen</w:t>
      </w:r>
      <w:r w:rsidR="00662631" w:rsidRPr="00CA0804">
        <w:rPr>
          <w:szCs w:val="24"/>
        </w:rPr>
        <w:t>ih</w:t>
      </w:r>
      <w:r w:rsidR="009D134A" w:rsidRPr="00CA0804">
        <w:rPr>
          <w:szCs w:val="24"/>
        </w:rPr>
        <w:t xml:space="preserve"> državnih potpora ukazuju </w:t>
      </w:r>
      <w:r w:rsidR="00662631" w:rsidRPr="00CA0804">
        <w:rPr>
          <w:szCs w:val="24"/>
        </w:rPr>
        <w:t xml:space="preserve">na uspješnu </w:t>
      </w:r>
      <w:r w:rsidR="009D134A" w:rsidRPr="00CA0804">
        <w:rPr>
          <w:szCs w:val="24"/>
        </w:rPr>
        <w:t>provedb</w:t>
      </w:r>
      <w:r w:rsidR="00662631" w:rsidRPr="00CA0804">
        <w:rPr>
          <w:szCs w:val="24"/>
        </w:rPr>
        <w:t>u</w:t>
      </w:r>
      <w:r w:rsidR="009D134A" w:rsidRPr="00CA0804">
        <w:rPr>
          <w:szCs w:val="24"/>
        </w:rPr>
        <w:t xml:space="preserve"> mjera ekonomske politike</w:t>
      </w:r>
      <w:r w:rsidR="00662631" w:rsidRPr="00CA0804">
        <w:rPr>
          <w:szCs w:val="24"/>
        </w:rPr>
        <w:t xml:space="preserve"> koje su </w:t>
      </w:r>
      <w:r w:rsidR="003874B6" w:rsidRPr="00CA0804">
        <w:rPr>
          <w:szCs w:val="24"/>
        </w:rPr>
        <w:t xml:space="preserve">pozitivno djelovale </w:t>
      </w:r>
      <w:r w:rsidR="00662631" w:rsidRPr="00CA0804">
        <w:rPr>
          <w:szCs w:val="24"/>
        </w:rPr>
        <w:t>na izazove uzrokovan</w:t>
      </w:r>
      <w:r w:rsidR="003874B6" w:rsidRPr="00CA0804">
        <w:rPr>
          <w:szCs w:val="24"/>
        </w:rPr>
        <w:t>e</w:t>
      </w:r>
      <w:r w:rsidR="00662631" w:rsidRPr="00CA0804">
        <w:rPr>
          <w:szCs w:val="24"/>
        </w:rPr>
        <w:t xml:space="preserve"> pandemijom bolesti COVID-19, energetskom krizom i </w:t>
      </w:r>
      <w:r w:rsidR="003874B6" w:rsidRPr="00CA0804">
        <w:rPr>
          <w:szCs w:val="24"/>
        </w:rPr>
        <w:t>ostalim č</w:t>
      </w:r>
      <w:r w:rsidR="00662631" w:rsidRPr="00CA0804">
        <w:rPr>
          <w:szCs w:val="24"/>
        </w:rPr>
        <w:t>imbenicima i rizicima uslijed ratnih zbivanja u Ukrajini</w:t>
      </w:r>
      <w:r w:rsidR="003874B6" w:rsidRPr="00CA0804">
        <w:rPr>
          <w:szCs w:val="24"/>
        </w:rPr>
        <w:t>.</w:t>
      </w:r>
    </w:p>
    <w:p w14:paraId="21257873" w14:textId="77777777" w:rsidR="006C47D1" w:rsidRPr="00CA0804" w:rsidRDefault="006C47D1" w:rsidP="006C47D1">
      <w:pPr>
        <w:jc w:val="both"/>
        <w:rPr>
          <w:rFonts w:eastAsia="MS Mincho"/>
          <w:szCs w:val="24"/>
        </w:rPr>
      </w:pPr>
    </w:p>
    <w:p w14:paraId="358AA167" w14:textId="00C21D5B" w:rsidR="006C47D1" w:rsidRPr="00E943A9" w:rsidRDefault="00D50A70" w:rsidP="006C47D1">
      <w:pPr>
        <w:jc w:val="both"/>
        <w:rPr>
          <w:rFonts w:eastAsia="MS Mincho"/>
          <w:spacing w:val="-2"/>
          <w:szCs w:val="24"/>
        </w:rPr>
      </w:pPr>
      <w:r w:rsidRPr="00E943A9">
        <w:rPr>
          <w:rFonts w:eastAsia="MS Mincho"/>
          <w:spacing w:val="-2"/>
          <w:szCs w:val="24"/>
        </w:rPr>
        <w:lastRenderedPageBreak/>
        <w:t xml:space="preserve">Može se istaknuti kako </w:t>
      </w:r>
      <w:r w:rsidR="001C3B12" w:rsidRPr="00E943A9">
        <w:rPr>
          <w:rFonts w:eastAsia="MS Mincho"/>
          <w:szCs w:val="24"/>
        </w:rPr>
        <w:t>2024. godina potvrđuje da se sustav državnih potpora Republike Hrvatske uspješno kreće iz izvanrednog i reaktivnog okvira prema stabilnijem, ciljanijem i strateški usmjerenom modelu koji je u potpunosti usklađen s razvojnim prioritetima EU. Navedeno proizlazi iz po</w:t>
      </w:r>
      <w:r w:rsidR="006C47D1" w:rsidRPr="00E943A9">
        <w:rPr>
          <w:rFonts w:eastAsia="MS Mincho"/>
          <w:spacing w:val="-2"/>
          <w:szCs w:val="24"/>
        </w:rPr>
        <w:t>da</w:t>
      </w:r>
      <w:r w:rsidR="001C3B12" w:rsidRPr="00E943A9">
        <w:rPr>
          <w:rFonts w:eastAsia="MS Mincho"/>
          <w:spacing w:val="-2"/>
          <w:szCs w:val="24"/>
        </w:rPr>
        <w:t>taka</w:t>
      </w:r>
      <w:r w:rsidR="006C47D1" w:rsidRPr="00E943A9">
        <w:rPr>
          <w:rFonts w:eastAsia="MS Mincho"/>
          <w:spacing w:val="-2"/>
          <w:szCs w:val="24"/>
        </w:rPr>
        <w:t xml:space="preserve"> </w:t>
      </w:r>
      <w:r w:rsidR="001C3B12" w:rsidRPr="00E943A9">
        <w:rPr>
          <w:rFonts w:eastAsia="MS Mincho"/>
          <w:spacing w:val="-2"/>
          <w:szCs w:val="24"/>
        </w:rPr>
        <w:t xml:space="preserve">koji </w:t>
      </w:r>
      <w:r w:rsidR="006C47D1" w:rsidRPr="00E943A9">
        <w:rPr>
          <w:rFonts w:eastAsia="MS Mincho"/>
          <w:spacing w:val="-2"/>
          <w:szCs w:val="24"/>
        </w:rPr>
        <w:t xml:space="preserve">ukazuju na uspješnu tranziciju sustava potpora iz kriznog razdoblja prema stabilnijem i ciljanijem modelu dodjele potpora. Struktura potpora pokazuje usklađenost s prioritetima </w:t>
      </w:r>
      <w:r w:rsidR="001C3B12" w:rsidRPr="00E943A9">
        <w:rPr>
          <w:rFonts w:eastAsia="MS Mincho"/>
          <w:spacing w:val="-2"/>
          <w:szCs w:val="24"/>
        </w:rPr>
        <w:t>EU</w:t>
      </w:r>
      <w:r w:rsidR="006C47D1" w:rsidRPr="00E943A9">
        <w:rPr>
          <w:rFonts w:eastAsia="MS Mincho"/>
          <w:spacing w:val="-2"/>
          <w:szCs w:val="24"/>
        </w:rPr>
        <w:t>, dok identificirani izazovi predstavljaju priliku za daljnje jačanje učinkovitosti sustava potpora i podrške održivom razvoju hrvatskog gospodarstva.</w:t>
      </w:r>
    </w:p>
    <w:p w14:paraId="225ECD27" w14:textId="77777777" w:rsidR="006C47D1" w:rsidRPr="00E943A9" w:rsidRDefault="006C47D1" w:rsidP="006C47D1">
      <w:pPr>
        <w:jc w:val="both"/>
        <w:rPr>
          <w:rFonts w:eastAsia="MS Mincho"/>
          <w:szCs w:val="24"/>
        </w:rPr>
      </w:pPr>
    </w:p>
    <w:p w14:paraId="3CBD7D8B" w14:textId="00BEEF98" w:rsidR="006C47D1" w:rsidRPr="00E943A9" w:rsidRDefault="006C47D1" w:rsidP="006C47D1">
      <w:pPr>
        <w:jc w:val="both"/>
        <w:rPr>
          <w:rFonts w:eastAsia="MS Mincho"/>
          <w:szCs w:val="24"/>
        </w:rPr>
      </w:pPr>
      <w:r w:rsidRPr="00E943A9">
        <w:rPr>
          <w:rFonts w:eastAsia="MS Mincho"/>
          <w:szCs w:val="24"/>
        </w:rPr>
        <w:t xml:space="preserve">U globalnom okruženju obilježenom ubrzanom tehnološkom transformacijom i rastućom konkurencijom velikih ekonomija </w:t>
      </w:r>
      <w:r w:rsidR="001C3B12" w:rsidRPr="00E943A9">
        <w:rPr>
          <w:rFonts w:eastAsia="MS Mincho"/>
          <w:szCs w:val="24"/>
        </w:rPr>
        <w:t xml:space="preserve">kao što su Sjedinjene Američke Države i </w:t>
      </w:r>
      <w:r w:rsidRPr="00E943A9">
        <w:rPr>
          <w:rFonts w:eastAsia="MS Mincho"/>
          <w:szCs w:val="24"/>
        </w:rPr>
        <w:t>Kina, može se reći kako Europska unija prepoznaje stratešku potrebu za jačanjem svoje ekonomske otpornosti i povećanjem produktivnosti. Državne potpore pritom imaju važnu ulogu kao instrument kojim se mogu potaknuti ulaganja u istraživanje i razvoj, napredne tehnologije, digitalnu infrastrukturu te projekte koji doprinose tehnološkoj autonomiji i energetskoj neovisnosti</w:t>
      </w:r>
      <w:r w:rsidR="001C3B12" w:rsidRPr="00E943A9">
        <w:rPr>
          <w:rFonts w:eastAsia="MS Mincho"/>
          <w:szCs w:val="24"/>
        </w:rPr>
        <w:t xml:space="preserve"> i </w:t>
      </w:r>
      <w:r w:rsidRPr="00E943A9">
        <w:rPr>
          <w:rFonts w:eastAsia="MS Mincho"/>
          <w:szCs w:val="24"/>
        </w:rPr>
        <w:t xml:space="preserve">samodostatnosti EU gospodarstva. U tom smislu, prilagodba nacionalnih sustava potpora europskim industrijskim, </w:t>
      </w:r>
      <w:r w:rsidR="001C3B12" w:rsidRPr="00E943A9">
        <w:rPr>
          <w:rFonts w:eastAsia="MS Mincho"/>
          <w:szCs w:val="24"/>
        </w:rPr>
        <w:t>energetskim</w:t>
      </w:r>
      <w:r w:rsidRPr="00E943A9">
        <w:rPr>
          <w:rFonts w:eastAsia="MS Mincho"/>
          <w:szCs w:val="24"/>
        </w:rPr>
        <w:t xml:space="preserve"> i klimatskim ciljevima postaje ključna komponenta dugoročne konkurentnosti cijele </w:t>
      </w:r>
      <w:r w:rsidR="001C3B12" w:rsidRPr="00E943A9">
        <w:rPr>
          <w:rFonts w:eastAsia="MS Mincho"/>
          <w:szCs w:val="24"/>
        </w:rPr>
        <w:t>EU</w:t>
      </w:r>
      <w:r w:rsidRPr="00E943A9">
        <w:rPr>
          <w:rFonts w:eastAsia="MS Mincho"/>
          <w:szCs w:val="24"/>
        </w:rPr>
        <w:t>.</w:t>
      </w:r>
    </w:p>
    <w:p w14:paraId="30A17CDC" w14:textId="77777777" w:rsidR="001C3B12" w:rsidRPr="00E943A9" w:rsidRDefault="001C3B12" w:rsidP="006C47D1">
      <w:pPr>
        <w:jc w:val="both"/>
        <w:rPr>
          <w:rFonts w:eastAsia="MS Mincho"/>
          <w:szCs w:val="24"/>
        </w:rPr>
      </w:pPr>
    </w:p>
    <w:p w14:paraId="4C861E87" w14:textId="24313ABD" w:rsidR="006C47D1" w:rsidRPr="00E943A9" w:rsidRDefault="006C47D1" w:rsidP="006C47D1">
      <w:pPr>
        <w:jc w:val="both"/>
        <w:rPr>
          <w:rFonts w:eastAsia="MS Mincho"/>
          <w:szCs w:val="24"/>
        </w:rPr>
      </w:pPr>
      <w:r w:rsidRPr="00E943A9">
        <w:rPr>
          <w:rFonts w:eastAsia="MS Mincho"/>
          <w:szCs w:val="24"/>
        </w:rPr>
        <w:t>Za Republiku Hrvatsku, ovaj europski strateški pomak otvara prostor za jače pozicioniranje u vrijednosti</w:t>
      </w:r>
      <w:r w:rsidR="001C3B12" w:rsidRPr="00E943A9">
        <w:rPr>
          <w:rFonts w:eastAsia="MS Mincho"/>
          <w:szCs w:val="24"/>
        </w:rPr>
        <w:t>ma</w:t>
      </w:r>
      <w:r w:rsidRPr="00E943A9">
        <w:rPr>
          <w:rFonts w:eastAsia="MS Mincho"/>
          <w:szCs w:val="24"/>
        </w:rPr>
        <w:t xml:space="preserve"> visoke dodane vrijednosti, osobito kroz potpore usmjerene inovacijama, digitalnoj transformaciji, energetici i zelenoj tranziciji. Sustavno preusmjeravanje potpora prema područjima koja povećavaju produktivnost uz očuvanje usklađenosti s pravilima EU predstavlja značajan razvojni izazov, ali i priliku da se nacionalno gospodarstvo učini konkurentnijim, otpornijim i dugoročno održivijim</w:t>
      </w:r>
      <w:r w:rsidR="001C3B12" w:rsidRPr="00E943A9">
        <w:rPr>
          <w:rFonts w:eastAsia="MS Mincho"/>
          <w:szCs w:val="24"/>
        </w:rPr>
        <w:t xml:space="preserve">, a koji će biti </w:t>
      </w:r>
      <w:r w:rsidRPr="00E943A9">
        <w:rPr>
          <w:rFonts w:eastAsia="MS Mincho"/>
          <w:szCs w:val="24"/>
        </w:rPr>
        <w:t>više usmjeren na stvaranje preduvjeta za rast produktivnosti, tehnološki napredak i poduzetničku dinamiku koja može odgovoriti globalnim tržišnim pritiscima.</w:t>
      </w:r>
    </w:p>
    <w:p w14:paraId="504E0380" w14:textId="77777777" w:rsidR="006C47D1" w:rsidRPr="00E943A9" w:rsidRDefault="006C47D1" w:rsidP="006C47D1">
      <w:pPr>
        <w:jc w:val="both"/>
        <w:rPr>
          <w:rFonts w:eastAsia="MS Mincho"/>
          <w:szCs w:val="24"/>
        </w:rPr>
      </w:pPr>
    </w:p>
    <w:p w14:paraId="5BCC2E1A" w14:textId="5D871098" w:rsidR="006C47D1" w:rsidRPr="00E943A9" w:rsidRDefault="001C3B12" w:rsidP="006C47D1">
      <w:pPr>
        <w:jc w:val="both"/>
        <w:rPr>
          <w:rFonts w:eastAsia="MS Mincho"/>
          <w:szCs w:val="24"/>
        </w:rPr>
      </w:pPr>
      <w:r w:rsidRPr="00E943A9">
        <w:rPr>
          <w:rFonts w:eastAsia="MS Mincho"/>
          <w:bCs/>
          <w:szCs w:val="24"/>
        </w:rPr>
        <w:t>Zaključno, p</w:t>
      </w:r>
      <w:r w:rsidR="006C47D1" w:rsidRPr="00E943A9">
        <w:rPr>
          <w:rFonts w:eastAsia="MS Mincho"/>
          <w:szCs w:val="24"/>
        </w:rPr>
        <w:t xml:space="preserve">red </w:t>
      </w:r>
      <w:r w:rsidRPr="00E943A9">
        <w:rPr>
          <w:rFonts w:eastAsia="MS Mincho"/>
          <w:szCs w:val="24"/>
        </w:rPr>
        <w:t xml:space="preserve">Republikom </w:t>
      </w:r>
      <w:r w:rsidR="006C47D1" w:rsidRPr="00E943A9">
        <w:rPr>
          <w:rFonts w:eastAsia="MS Mincho"/>
          <w:szCs w:val="24"/>
        </w:rPr>
        <w:t xml:space="preserve">Hrvatskom, kao i pred </w:t>
      </w:r>
      <w:r w:rsidRPr="00E943A9">
        <w:rPr>
          <w:rFonts w:eastAsia="MS Mincho"/>
          <w:szCs w:val="24"/>
        </w:rPr>
        <w:t>E</w:t>
      </w:r>
      <w:r w:rsidR="006C47D1" w:rsidRPr="00E943A9">
        <w:rPr>
          <w:rFonts w:eastAsia="MS Mincho"/>
          <w:szCs w:val="24"/>
        </w:rPr>
        <w:t xml:space="preserve">U, stoji izazov jačanja produktivnosti, tehnološke autonomije i otpornosti na globalne poremećaje, pri čemu državne potpore postaju jedan od instrumenata za ubrzavanje ulaganja u inovacije, zelenu i digitalnu tranziciju, te projekte koji stvaraju dugoročnu konkurentsku prednost. </w:t>
      </w:r>
      <w:r w:rsidRPr="00E943A9">
        <w:rPr>
          <w:rFonts w:eastAsia="MS Mincho"/>
          <w:szCs w:val="24"/>
        </w:rPr>
        <w:t xml:space="preserve">Samim time se u budućem </w:t>
      </w:r>
      <w:r w:rsidR="006C47D1" w:rsidRPr="00E943A9">
        <w:rPr>
          <w:rFonts w:eastAsia="MS Mincho"/>
          <w:szCs w:val="24"/>
        </w:rPr>
        <w:t xml:space="preserve">razdoblju očekuje daljnje jačanje horizontalnih ciljeva i usklađivanje nacionalnih programa s novim europskim industrijskim smjernicama, uključujući poticanje čiste industrije, naprednih tehnologija, energetske učinkovitosti i istraživačkih kapaciteta. </w:t>
      </w:r>
    </w:p>
    <w:p w14:paraId="4311774F" w14:textId="77777777" w:rsidR="006C47D1" w:rsidRPr="00E943A9" w:rsidRDefault="006C47D1" w:rsidP="006C47D1">
      <w:pPr>
        <w:jc w:val="both"/>
        <w:rPr>
          <w:rFonts w:eastAsia="MS Mincho"/>
          <w:szCs w:val="24"/>
        </w:rPr>
      </w:pPr>
    </w:p>
    <w:p w14:paraId="101ADFB4" w14:textId="1BC87C2F" w:rsidR="006C47D1" w:rsidRPr="00E943A9" w:rsidRDefault="00FF7D46" w:rsidP="006C47D1">
      <w:pPr>
        <w:jc w:val="both"/>
        <w:rPr>
          <w:rFonts w:eastAsia="MS Mincho"/>
          <w:szCs w:val="24"/>
        </w:rPr>
      </w:pPr>
      <w:r w:rsidRPr="00E943A9">
        <w:rPr>
          <w:rFonts w:eastAsia="MS Mincho"/>
          <w:szCs w:val="24"/>
        </w:rPr>
        <w:t>Zbog svega naprijed navedenog, s</w:t>
      </w:r>
      <w:r w:rsidR="006C47D1" w:rsidRPr="00E943A9">
        <w:rPr>
          <w:rFonts w:eastAsia="MS Mincho"/>
          <w:szCs w:val="24"/>
        </w:rPr>
        <w:t xml:space="preserve">ustav potpora mora ostati fleksibilan, analitički utemeljen i pravovremeno prilagođen globalnim kretanjima, kako bi doprinosio modernizaciji gospodarstva, povećanju produktivnosti i stvaranju održivih, konkurentnih i otpornih razvojnih struktura. Ovo </w:t>
      </w:r>
      <w:r w:rsidRPr="00E943A9">
        <w:rPr>
          <w:rFonts w:eastAsia="MS Mincho"/>
          <w:szCs w:val="24"/>
        </w:rPr>
        <w:t xml:space="preserve">Izvješće </w:t>
      </w:r>
      <w:r w:rsidR="006C47D1" w:rsidRPr="00E943A9">
        <w:rPr>
          <w:rFonts w:eastAsia="MS Mincho"/>
          <w:szCs w:val="24"/>
        </w:rPr>
        <w:t>stoga ne odražava samo stanje u 2024. godini, već i afirmira smjer kojim se nacionalne politike trebaju kretati kako bi hrvatsko gospodarstvo i u nadolazećim godinama ostalo usklađeno s europskim ciljevima i globalnim izazovima.</w:t>
      </w:r>
    </w:p>
    <w:p w14:paraId="0F326979" w14:textId="77777777" w:rsidR="00071C3D" w:rsidRPr="00E943A9" w:rsidRDefault="00071C3D" w:rsidP="00BE487D">
      <w:pPr>
        <w:jc w:val="both"/>
        <w:rPr>
          <w:b/>
        </w:rPr>
      </w:pPr>
    </w:p>
    <w:p w14:paraId="74E92CB6" w14:textId="77777777" w:rsidR="00DF33C6" w:rsidRPr="005C47F2" w:rsidRDefault="00DF33C6">
      <w:pPr>
        <w:rPr>
          <w:rFonts w:eastAsiaTheme="majorEastAsia"/>
          <w:b/>
          <w:sz w:val="32"/>
          <w:highlight w:val="green"/>
        </w:rPr>
      </w:pPr>
      <w:r w:rsidRPr="005C47F2">
        <w:rPr>
          <w:b/>
          <w:highlight w:val="green"/>
        </w:rPr>
        <w:br w:type="page"/>
      </w:r>
    </w:p>
    <w:p w14:paraId="3065494A" w14:textId="1665338C" w:rsidR="00BE0817" w:rsidRPr="00E943A9" w:rsidRDefault="00BE0817" w:rsidP="00BE487D">
      <w:pPr>
        <w:pStyle w:val="Heading1"/>
        <w:spacing w:before="0"/>
        <w:jc w:val="both"/>
        <w:rPr>
          <w:rFonts w:ascii="Times New Roman" w:hAnsi="Times New Roman" w:cs="Times New Roman"/>
          <w:b/>
          <w:color w:val="auto"/>
          <w:sz w:val="24"/>
          <w:szCs w:val="24"/>
        </w:rPr>
      </w:pPr>
      <w:bookmarkStart w:id="34" w:name="_Toc213660055"/>
      <w:r w:rsidRPr="00E943A9">
        <w:rPr>
          <w:rFonts w:ascii="Times New Roman" w:hAnsi="Times New Roman" w:cs="Times New Roman"/>
          <w:b/>
          <w:color w:val="auto"/>
          <w:sz w:val="24"/>
          <w:szCs w:val="24"/>
        </w:rPr>
        <w:lastRenderedPageBreak/>
        <w:t>PRILOG 1.</w:t>
      </w:r>
      <w:bookmarkEnd w:id="34"/>
    </w:p>
    <w:p w14:paraId="38B9696F" w14:textId="77777777" w:rsidR="00995EF4" w:rsidRPr="00E943A9" w:rsidRDefault="00995EF4" w:rsidP="00BE487D">
      <w:pPr>
        <w:jc w:val="both"/>
      </w:pPr>
    </w:p>
    <w:p w14:paraId="3C0EA117" w14:textId="578BB071" w:rsidR="00995EF4" w:rsidRPr="00E943A9" w:rsidRDefault="00995EF4" w:rsidP="00BE487D">
      <w:pPr>
        <w:contextualSpacing/>
        <w:jc w:val="both"/>
      </w:pPr>
      <w:r w:rsidRPr="00E943A9">
        <w:rPr>
          <w:b/>
        </w:rPr>
        <w:t>Davatelji potpora na razini središnje države u 20</w:t>
      </w:r>
      <w:r w:rsidR="00863EE5" w:rsidRPr="00E943A9">
        <w:rPr>
          <w:b/>
        </w:rPr>
        <w:t>2</w:t>
      </w:r>
      <w:r w:rsidR="006C1FD5" w:rsidRPr="00E943A9">
        <w:rPr>
          <w:b/>
        </w:rPr>
        <w:t>4</w:t>
      </w:r>
      <w:r w:rsidRPr="00E943A9">
        <w:rPr>
          <w:b/>
        </w:rPr>
        <w:t>. godini</w:t>
      </w:r>
    </w:p>
    <w:p w14:paraId="1846BA10" w14:textId="77777777" w:rsidR="00995EF4" w:rsidRPr="00E943A9" w:rsidRDefault="00995EF4" w:rsidP="00BE487D">
      <w:pPr>
        <w:contextualSpacing/>
        <w:jc w:val="both"/>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95EF4" w:rsidRPr="00E943A9" w14:paraId="3AB0E138" w14:textId="77777777" w:rsidTr="004E7739">
        <w:trPr>
          <w:trHeight w:val="364"/>
          <w:jc w:val="center"/>
        </w:trPr>
        <w:tc>
          <w:tcPr>
            <w:tcW w:w="8642" w:type="dxa"/>
            <w:tcBorders>
              <w:bottom w:val="double" w:sz="4" w:space="0" w:color="auto"/>
            </w:tcBorders>
            <w:shd w:val="clear" w:color="auto" w:fill="FFFF99"/>
            <w:vAlign w:val="center"/>
          </w:tcPr>
          <w:p w14:paraId="6C5CAEF5" w14:textId="5DDFB512" w:rsidR="00995EF4" w:rsidRPr="00E943A9" w:rsidRDefault="00995EF4" w:rsidP="006C1FD5">
            <w:pPr>
              <w:contextualSpacing/>
              <w:jc w:val="both"/>
              <w:rPr>
                <w:b/>
                <w:i/>
                <w:sz w:val="22"/>
              </w:rPr>
            </w:pPr>
            <w:r w:rsidRPr="00E943A9">
              <w:rPr>
                <w:b/>
                <w:i/>
                <w:sz w:val="22"/>
              </w:rPr>
              <w:t>Davatelji potpora na razini središnje države u 20</w:t>
            </w:r>
            <w:r w:rsidR="00863EE5" w:rsidRPr="00E943A9">
              <w:rPr>
                <w:b/>
                <w:i/>
                <w:sz w:val="22"/>
              </w:rPr>
              <w:t>2</w:t>
            </w:r>
            <w:r w:rsidR="006C1FD5" w:rsidRPr="00E943A9">
              <w:rPr>
                <w:b/>
                <w:i/>
                <w:sz w:val="22"/>
              </w:rPr>
              <w:t>4</w:t>
            </w:r>
            <w:r w:rsidRPr="00E943A9">
              <w:rPr>
                <w:b/>
                <w:i/>
                <w:sz w:val="22"/>
              </w:rPr>
              <w:t>. godini</w:t>
            </w:r>
          </w:p>
        </w:tc>
      </w:tr>
      <w:tr w:rsidR="00995EF4" w:rsidRPr="00E943A9" w14:paraId="216A9DDB" w14:textId="77777777" w:rsidTr="004E7739">
        <w:trPr>
          <w:jc w:val="center"/>
        </w:trPr>
        <w:tc>
          <w:tcPr>
            <w:tcW w:w="8642" w:type="dxa"/>
            <w:tcBorders>
              <w:top w:val="double" w:sz="4" w:space="0" w:color="auto"/>
            </w:tcBorders>
            <w:vAlign w:val="center"/>
          </w:tcPr>
          <w:p w14:paraId="2EBCF0B2" w14:textId="77777777" w:rsidR="00995EF4" w:rsidRPr="00E943A9" w:rsidRDefault="00995EF4" w:rsidP="00BE487D">
            <w:pPr>
              <w:contextualSpacing/>
              <w:jc w:val="both"/>
              <w:rPr>
                <w:sz w:val="22"/>
              </w:rPr>
            </w:pPr>
            <w:r w:rsidRPr="00E943A9">
              <w:rPr>
                <w:sz w:val="22"/>
              </w:rPr>
              <w:t>1. Ministarstvo financija</w:t>
            </w:r>
          </w:p>
        </w:tc>
      </w:tr>
      <w:tr w:rsidR="00995EF4" w:rsidRPr="00E943A9" w14:paraId="521BFF21" w14:textId="77777777" w:rsidTr="004E7739">
        <w:trPr>
          <w:jc w:val="center"/>
        </w:trPr>
        <w:tc>
          <w:tcPr>
            <w:tcW w:w="8642" w:type="dxa"/>
            <w:vAlign w:val="center"/>
          </w:tcPr>
          <w:p w14:paraId="12368F16" w14:textId="56DF7342" w:rsidR="006F1A56" w:rsidRPr="00E943A9" w:rsidRDefault="004427F6" w:rsidP="006F1A56">
            <w:pPr>
              <w:jc w:val="both"/>
              <w:rPr>
                <w:sz w:val="22"/>
              </w:rPr>
            </w:pPr>
            <w:r w:rsidRPr="00E943A9">
              <w:rPr>
                <w:sz w:val="22"/>
              </w:rPr>
              <w:t xml:space="preserve">2. </w:t>
            </w:r>
            <w:r w:rsidR="00DE02BD" w:rsidRPr="00E943A9">
              <w:rPr>
                <w:sz w:val="22"/>
              </w:rPr>
              <w:t xml:space="preserve">Ministarstvo gospodarstva </w:t>
            </w:r>
          </w:p>
        </w:tc>
      </w:tr>
      <w:tr w:rsidR="00995EF4" w:rsidRPr="00E943A9" w14:paraId="7BCC6C9C" w14:textId="77777777" w:rsidTr="004E7739">
        <w:trPr>
          <w:jc w:val="center"/>
        </w:trPr>
        <w:tc>
          <w:tcPr>
            <w:tcW w:w="8642" w:type="dxa"/>
            <w:vAlign w:val="center"/>
          </w:tcPr>
          <w:p w14:paraId="1717816A" w14:textId="77777777" w:rsidR="00995EF4" w:rsidRPr="00E943A9" w:rsidRDefault="00995EF4" w:rsidP="00BE487D">
            <w:pPr>
              <w:contextualSpacing/>
              <w:jc w:val="both"/>
              <w:rPr>
                <w:sz w:val="22"/>
              </w:rPr>
            </w:pPr>
            <w:r w:rsidRPr="00E943A9">
              <w:rPr>
                <w:sz w:val="22"/>
              </w:rPr>
              <w:t xml:space="preserve">3. Ministarstvo </w:t>
            </w:r>
            <w:r w:rsidRPr="00E943A9">
              <w:rPr>
                <w:bCs/>
                <w:sz w:val="22"/>
                <w:lang w:eastAsia="hr-HR"/>
              </w:rPr>
              <w:t xml:space="preserve">hrvatskih </w:t>
            </w:r>
            <w:r w:rsidRPr="00E943A9">
              <w:rPr>
                <w:sz w:val="22"/>
              </w:rPr>
              <w:t>branitelja</w:t>
            </w:r>
          </w:p>
        </w:tc>
      </w:tr>
      <w:tr w:rsidR="00995EF4" w:rsidRPr="00E943A9" w14:paraId="12E1B81B" w14:textId="77777777" w:rsidTr="004E7739">
        <w:trPr>
          <w:jc w:val="center"/>
        </w:trPr>
        <w:tc>
          <w:tcPr>
            <w:tcW w:w="8642" w:type="dxa"/>
            <w:vAlign w:val="center"/>
          </w:tcPr>
          <w:p w14:paraId="6C6FAA36" w14:textId="77777777" w:rsidR="004427F6" w:rsidRPr="00E943A9" w:rsidRDefault="00995EF4" w:rsidP="004D348B">
            <w:pPr>
              <w:contextualSpacing/>
              <w:jc w:val="both"/>
              <w:rPr>
                <w:sz w:val="22"/>
              </w:rPr>
            </w:pPr>
            <w:r w:rsidRPr="00E943A9">
              <w:rPr>
                <w:sz w:val="22"/>
              </w:rPr>
              <w:t xml:space="preserve">4. </w:t>
            </w:r>
            <w:r w:rsidR="00DE02BD" w:rsidRPr="00E943A9">
              <w:rPr>
                <w:sz w:val="22"/>
              </w:rPr>
              <w:t>Ministarstvo kulture i medija</w:t>
            </w:r>
          </w:p>
        </w:tc>
      </w:tr>
      <w:tr w:rsidR="00995EF4" w:rsidRPr="00E943A9" w14:paraId="2CE359D5" w14:textId="77777777" w:rsidTr="004E7739">
        <w:trPr>
          <w:jc w:val="center"/>
        </w:trPr>
        <w:tc>
          <w:tcPr>
            <w:tcW w:w="8642" w:type="dxa"/>
            <w:vAlign w:val="center"/>
          </w:tcPr>
          <w:p w14:paraId="7860993B" w14:textId="77777777" w:rsidR="00995EF4" w:rsidRPr="00E943A9" w:rsidRDefault="00995EF4" w:rsidP="00BE487D">
            <w:pPr>
              <w:contextualSpacing/>
              <w:jc w:val="both"/>
              <w:rPr>
                <w:sz w:val="22"/>
              </w:rPr>
            </w:pPr>
            <w:r w:rsidRPr="00E943A9">
              <w:rPr>
                <w:sz w:val="22"/>
              </w:rPr>
              <w:t>5. Ministarstvo mora, prometa i infrastrukture</w:t>
            </w:r>
          </w:p>
        </w:tc>
      </w:tr>
      <w:tr w:rsidR="00995EF4" w:rsidRPr="00E943A9" w14:paraId="192C5D4D" w14:textId="77777777" w:rsidTr="004E7739">
        <w:trPr>
          <w:jc w:val="center"/>
        </w:trPr>
        <w:tc>
          <w:tcPr>
            <w:tcW w:w="8642" w:type="dxa"/>
            <w:vAlign w:val="center"/>
          </w:tcPr>
          <w:p w14:paraId="28F9FB59" w14:textId="26E8C6ED" w:rsidR="00995EF4" w:rsidRPr="00E943A9" w:rsidRDefault="00995EF4" w:rsidP="00BE487D">
            <w:pPr>
              <w:contextualSpacing/>
              <w:jc w:val="both"/>
              <w:rPr>
                <w:sz w:val="22"/>
              </w:rPr>
            </w:pPr>
            <w:r w:rsidRPr="00E943A9">
              <w:rPr>
                <w:sz w:val="22"/>
              </w:rPr>
              <w:t>6. Ministarstvo poljoprivrede</w:t>
            </w:r>
            <w:r w:rsidR="006F1A56" w:rsidRPr="00E943A9">
              <w:rPr>
                <w:sz w:val="22"/>
              </w:rPr>
              <w:t>, šumarstva i ribarstva</w:t>
            </w:r>
          </w:p>
        </w:tc>
      </w:tr>
      <w:tr w:rsidR="00CC4DFA" w:rsidRPr="00E943A9" w14:paraId="74E26B27" w14:textId="77777777" w:rsidTr="004E7739">
        <w:trPr>
          <w:jc w:val="center"/>
        </w:trPr>
        <w:tc>
          <w:tcPr>
            <w:tcW w:w="8642" w:type="dxa"/>
            <w:vAlign w:val="center"/>
          </w:tcPr>
          <w:p w14:paraId="56040FE3" w14:textId="77777777" w:rsidR="00CC4DFA" w:rsidRPr="00E943A9" w:rsidRDefault="004657CD" w:rsidP="004657CD">
            <w:pPr>
              <w:rPr>
                <w:sz w:val="22"/>
              </w:rPr>
            </w:pPr>
            <w:r w:rsidRPr="00E943A9">
              <w:rPr>
                <w:sz w:val="22"/>
              </w:rPr>
              <w:t xml:space="preserve">7. </w:t>
            </w:r>
            <w:r w:rsidR="00CC4DFA" w:rsidRPr="00E943A9">
              <w:rPr>
                <w:sz w:val="22"/>
              </w:rPr>
              <w:t>Ministarstvo prostornoga uređenja, graditeljstva i državne imovine</w:t>
            </w:r>
          </w:p>
        </w:tc>
      </w:tr>
      <w:tr w:rsidR="00995EF4" w:rsidRPr="00E943A9" w14:paraId="1997B9B9" w14:textId="77777777" w:rsidTr="004E7739">
        <w:trPr>
          <w:jc w:val="center"/>
        </w:trPr>
        <w:tc>
          <w:tcPr>
            <w:tcW w:w="8642" w:type="dxa"/>
            <w:vAlign w:val="center"/>
          </w:tcPr>
          <w:p w14:paraId="0B42B7F4" w14:textId="4BD72A7A" w:rsidR="00995EF4" w:rsidRPr="00E943A9" w:rsidRDefault="000A0D14" w:rsidP="00BE487D">
            <w:pPr>
              <w:contextualSpacing/>
              <w:jc w:val="both"/>
              <w:rPr>
                <w:sz w:val="22"/>
              </w:rPr>
            </w:pPr>
            <w:r w:rsidRPr="00E943A9">
              <w:rPr>
                <w:sz w:val="22"/>
              </w:rPr>
              <w:t>8</w:t>
            </w:r>
            <w:r w:rsidR="00995EF4" w:rsidRPr="00E943A9">
              <w:rPr>
                <w:sz w:val="22"/>
              </w:rPr>
              <w:t>. Ministarstvo regionalnoga razvoja i fondova Europske unije</w:t>
            </w:r>
          </w:p>
        </w:tc>
      </w:tr>
      <w:tr w:rsidR="00392E39" w:rsidRPr="00E943A9" w14:paraId="1FA6F94E" w14:textId="77777777" w:rsidTr="004E7739">
        <w:trPr>
          <w:jc w:val="center"/>
        </w:trPr>
        <w:tc>
          <w:tcPr>
            <w:tcW w:w="8642" w:type="dxa"/>
            <w:vAlign w:val="center"/>
          </w:tcPr>
          <w:p w14:paraId="6CBCBCE1" w14:textId="10FF9B2D" w:rsidR="004427F6" w:rsidRPr="00E943A9" w:rsidRDefault="000A0D14" w:rsidP="004D348B">
            <w:pPr>
              <w:contextualSpacing/>
              <w:jc w:val="both"/>
              <w:rPr>
                <w:sz w:val="22"/>
              </w:rPr>
            </w:pPr>
            <w:r w:rsidRPr="00E943A9">
              <w:rPr>
                <w:sz w:val="22"/>
              </w:rPr>
              <w:t>9</w:t>
            </w:r>
            <w:r w:rsidR="00995EF4" w:rsidRPr="00E943A9">
              <w:rPr>
                <w:sz w:val="22"/>
              </w:rPr>
              <w:t xml:space="preserve">. </w:t>
            </w:r>
            <w:r w:rsidR="00DE02BD" w:rsidRPr="00E943A9">
              <w:rPr>
                <w:sz w:val="22"/>
              </w:rPr>
              <w:t>Ministarstvo turizma i sporta</w:t>
            </w:r>
          </w:p>
        </w:tc>
      </w:tr>
      <w:tr w:rsidR="00392E39" w:rsidRPr="00E943A9" w14:paraId="6A02CDFC" w14:textId="77777777" w:rsidTr="004E7739">
        <w:trPr>
          <w:jc w:val="center"/>
        </w:trPr>
        <w:tc>
          <w:tcPr>
            <w:tcW w:w="8642" w:type="dxa"/>
            <w:vAlign w:val="center"/>
          </w:tcPr>
          <w:p w14:paraId="716FD31C" w14:textId="76F44291" w:rsidR="006F1A56" w:rsidRPr="00E943A9" w:rsidRDefault="00392E39" w:rsidP="004D348B">
            <w:pPr>
              <w:contextualSpacing/>
              <w:jc w:val="both"/>
              <w:rPr>
                <w:sz w:val="22"/>
              </w:rPr>
            </w:pPr>
            <w:r w:rsidRPr="00E943A9">
              <w:rPr>
                <w:sz w:val="22"/>
              </w:rPr>
              <w:t xml:space="preserve">10. </w:t>
            </w:r>
            <w:r w:rsidR="006F1A56" w:rsidRPr="00E943A9">
              <w:rPr>
                <w:sz w:val="22"/>
              </w:rPr>
              <w:t>Ministarstvo zaštite okoliša i zelene tranzicije</w:t>
            </w:r>
          </w:p>
        </w:tc>
      </w:tr>
      <w:tr w:rsidR="00392E39" w:rsidRPr="00E943A9" w14:paraId="0676B928" w14:textId="77777777" w:rsidTr="004E7739">
        <w:trPr>
          <w:jc w:val="center"/>
        </w:trPr>
        <w:tc>
          <w:tcPr>
            <w:tcW w:w="8642" w:type="dxa"/>
            <w:vAlign w:val="center"/>
          </w:tcPr>
          <w:p w14:paraId="0387A94E" w14:textId="05F75E52" w:rsidR="006F1A56" w:rsidRPr="00E943A9" w:rsidRDefault="00392E39" w:rsidP="004D348B">
            <w:pPr>
              <w:contextualSpacing/>
              <w:jc w:val="both"/>
              <w:rPr>
                <w:sz w:val="22"/>
              </w:rPr>
            </w:pPr>
            <w:r w:rsidRPr="00E943A9">
              <w:rPr>
                <w:sz w:val="22"/>
              </w:rPr>
              <w:t xml:space="preserve">11. </w:t>
            </w:r>
            <w:r w:rsidR="006F1A56" w:rsidRPr="00E943A9">
              <w:rPr>
                <w:sz w:val="22"/>
              </w:rPr>
              <w:t>Ministarstvo znanosti, obrazovanja i mladih</w:t>
            </w:r>
          </w:p>
        </w:tc>
      </w:tr>
      <w:tr w:rsidR="00995EF4" w:rsidRPr="00E943A9" w14:paraId="0EF95756" w14:textId="77777777" w:rsidTr="004E7739">
        <w:trPr>
          <w:jc w:val="center"/>
        </w:trPr>
        <w:tc>
          <w:tcPr>
            <w:tcW w:w="8642" w:type="dxa"/>
            <w:vAlign w:val="center"/>
          </w:tcPr>
          <w:p w14:paraId="15198468" w14:textId="0F5F972F" w:rsidR="00995EF4" w:rsidRPr="00E943A9" w:rsidRDefault="00995EF4" w:rsidP="00392E39">
            <w:pPr>
              <w:jc w:val="both"/>
              <w:rPr>
                <w:sz w:val="22"/>
              </w:rPr>
            </w:pPr>
            <w:r w:rsidRPr="00E943A9">
              <w:rPr>
                <w:sz w:val="22"/>
              </w:rPr>
              <w:t>1</w:t>
            </w:r>
            <w:r w:rsidR="00392E39" w:rsidRPr="00E943A9">
              <w:rPr>
                <w:sz w:val="22"/>
              </w:rPr>
              <w:t>2</w:t>
            </w:r>
            <w:r w:rsidRPr="00E943A9">
              <w:rPr>
                <w:sz w:val="22"/>
              </w:rPr>
              <w:t xml:space="preserve">. </w:t>
            </w:r>
            <w:r w:rsidR="00484657" w:rsidRPr="00E943A9">
              <w:rPr>
                <w:sz w:val="22"/>
              </w:rPr>
              <w:t>Agencija za elektroničke medije</w:t>
            </w:r>
          </w:p>
        </w:tc>
      </w:tr>
      <w:tr w:rsidR="00392E39" w:rsidRPr="00E943A9" w14:paraId="7FB551A4" w14:textId="77777777" w:rsidTr="004E7739">
        <w:trPr>
          <w:jc w:val="center"/>
        </w:trPr>
        <w:tc>
          <w:tcPr>
            <w:tcW w:w="8642" w:type="dxa"/>
            <w:vAlign w:val="center"/>
          </w:tcPr>
          <w:p w14:paraId="0E9831A5" w14:textId="4439867F" w:rsidR="00995EF4" w:rsidRPr="00E943A9" w:rsidRDefault="004427F6" w:rsidP="00392E39">
            <w:pPr>
              <w:jc w:val="both"/>
              <w:rPr>
                <w:sz w:val="22"/>
              </w:rPr>
            </w:pPr>
            <w:r w:rsidRPr="00E943A9">
              <w:rPr>
                <w:sz w:val="22"/>
              </w:rPr>
              <w:t>1</w:t>
            </w:r>
            <w:r w:rsidR="00392E39" w:rsidRPr="00E943A9">
              <w:rPr>
                <w:sz w:val="22"/>
              </w:rPr>
              <w:t>3</w:t>
            </w:r>
            <w:r w:rsidRPr="00E943A9">
              <w:rPr>
                <w:sz w:val="22"/>
              </w:rPr>
              <w:t xml:space="preserve">. </w:t>
            </w:r>
            <w:r w:rsidR="00484657" w:rsidRPr="00E943A9">
              <w:rPr>
                <w:sz w:val="22"/>
              </w:rPr>
              <w:t>Agencija za obalni linijski pomorski promet</w:t>
            </w:r>
          </w:p>
        </w:tc>
      </w:tr>
      <w:tr w:rsidR="00995EF4" w:rsidRPr="00E943A9" w14:paraId="5F6ED971"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12F5168D" w14:textId="449F6A22" w:rsidR="00995EF4" w:rsidRPr="00E943A9" w:rsidRDefault="004427F6" w:rsidP="00392E39">
            <w:pPr>
              <w:contextualSpacing/>
              <w:jc w:val="both"/>
              <w:rPr>
                <w:sz w:val="22"/>
              </w:rPr>
            </w:pPr>
            <w:r w:rsidRPr="00E943A9">
              <w:rPr>
                <w:sz w:val="22"/>
              </w:rPr>
              <w:t>1</w:t>
            </w:r>
            <w:r w:rsidR="00392E39" w:rsidRPr="00E943A9">
              <w:rPr>
                <w:sz w:val="22"/>
              </w:rPr>
              <w:t>4</w:t>
            </w:r>
            <w:r w:rsidRPr="00E943A9">
              <w:rPr>
                <w:sz w:val="22"/>
              </w:rPr>
              <w:t>.</w:t>
            </w:r>
            <w:r w:rsidR="00995EF4" w:rsidRPr="00E943A9">
              <w:rPr>
                <w:sz w:val="22"/>
              </w:rPr>
              <w:t xml:space="preserve"> </w:t>
            </w:r>
            <w:r w:rsidR="00484657" w:rsidRPr="00E943A9">
              <w:rPr>
                <w:sz w:val="22"/>
              </w:rPr>
              <w:t>Fond za obnovu i razvoj grada Vukovara</w:t>
            </w:r>
          </w:p>
        </w:tc>
      </w:tr>
      <w:tr w:rsidR="004427F6" w:rsidRPr="00E943A9" w14:paraId="0CB45C94"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A98A30F" w14:textId="60752140" w:rsidR="004427F6" w:rsidRPr="00E943A9" w:rsidRDefault="004427F6" w:rsidP="00392E39">
            <w:pPr>
              <w:contextualSpacing/>
              <w:jc w:val="both"/>
              <w:rPr>
                <w:sz w:val="22"/>
              </w:rPr>
            </w:pPr>
            <w:r w:rsidRPr="00E943A9">
              <w:rPr>
                <w:sz w:val="22"/>
              </w:rPr>
              <w:t>1</w:t>
            </w:r>
            <w:r w:rsidR="00392E39" w:rsidRPr="00E943A9">
              <w:rPr>
                <w:sz w:val="22"/>
              </w:rPr>
              <w:t>5</w:t>
            </w:r>
            <w:r w:rsidRPr="00E943A9">
              <w:rPr>
                <w:sz w:val="22"/>
              </w:rPr>
              <w:t xml:space="preserve">. </w:t>
            </w:r>
            <w:r w:rsidR="00484657" w:rsidRPr="00E943A9">
              <w:rPr>
                <w:sz w:val="22"/>
              </w:rPr>
              <w:t>Fond za zaštitu okoliša i energetsku učinkovitost</w:t>
            </w:r>
          </w:p>
        </w:tc>
      </w:tr>
      <w:tr w:rsidR="00995EF4" w:rsidRPr="00E943A9" w14:paraId="6D000F0B"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14:paraId="7E506357" w14:textId="693D33C7" w:rsidR="00995EF4" w:rsidRPr="00E943A9" w:rsidRDefault="00995EF4" w:rsidP="00392E39">
            <w:pPr>
              <w:contextualSpacing/>
              <w:jc w:val="both"/>
              <w:rPr>
                <w:b/>
                <w:sz w:val="22"/>
              </w:rPr>
            </w:pPr>
            <w:r w:rsidRPr="00E943A9">
              <w:rPr>
                <w:sz w:val="22"/>
              </w:rPr>
              <w:t>1</w:t>
            </w:r>
            <w:r w:rsidR="00392E39" w:rsidRPr="00E943A9">
              <w:rPr>
                <w:sz w:val="22"/>
              </w:rPr>
              <w:t>6</w:t>
            </w:r>
            <w:r w:rsidRPr="00E943A9">
              <w:rPr>
                <w:b/>
                <w:sz w:val="22"/>
              </w:rPr>
              <w:t xml:space="preserve">. </w:t>
            </w:r>
            <w:r w:rsidR="00484657" w:rsidRPr="00E943A9">
              <w:rPr>
                <w:rStyle w:val="Strong"/>
                <w:b w:val="0"/>
                <w:sz w:val="22"/>
              </w:rPr>
              <w:t>Hrvatska agencija za malo gospodarstvo, inovacije i investicije</w:t>
            </w:r>
            <w:r w:rsidR="00B772C7" w:rsidRPr="00E943A9">
              <w:rPr>
                <w:rStyle w:val="Strong"/>
                <w:b w:val="0"/>
                <w:sz w:val="22"/>
              </w:rPr>
              <w:t xml:space="preserve"> (HAMAG – BICRO)</w:t>
            </w:r>
          </w:p>
        </w:tc>
      </w:tr>
      <w:tr w:rsidR="00995EF4" w:rsidRPr="00E943A9" w14:paraId="69247992"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64DFE60" w14:textId="0483365C" w:rsidR="00995EF4" w:rsidRPr="00E943A9" w:rsidRDefault="00995EF4" w:rsidP="00392E39">
            <w:pPr>
              <w:contextualSpacing/>
              <w:jc w:val="both"/>
              <w:rPr>
                <w:sz w:val="22"/>
              </w:rPr>
            </w:pPr>
            <w:r w:rsidRPr="00E943A9">
              <w:rPr>
                <w:sz w:val="22"/>
              </w:rPr>
              <w:t>1</w:t>
            </w:r>
            <w:r w:rsidR="00392E39" w:rsidRPr="00E943A9">
              <w:rPr>
                <w:sz w:val="22"/>
              </w:rPr>
              <w:t>7</w:t>
            </w:r>
            <w:r w:rsidRPr="00E943A9">
              <w:rPr>
                <w:sz w:val="22"/>
              </w:rPr>
              <w:t xml:space="preserve">. </w:t>
            </w:r>
            <w:r w:rsidR="00484657" w:rsidRPr="00E943A9">
              <w:rPr>
                <w:sz w:val="22"/>
              </w:rPr>
              <w:t>Hrvatska banka za obnovu i razvitak</w:t>
            </w:r>
          </w:p>
        </w:tc>
      </w:tr>
      <w:tr w:rsidR="00995EF4" w:rsidRPr="00E943A9" w14:paraId="63FAD2E5"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758C7EE" w14:textId="14E97672" w:rsidR="00995EF4" w:rsidRPr="00E943A9" w:rsidRDefault="004427F6" w:rsidP="00392E39">
            <w:pPr>
              <w:contextualSpacing/>
              <w:jc w:val="both"/>
              <w:rPr>
                <w:sz w:val="22"/>
              </w:rPr>
            </w:pPr>
            <w:r w:rsidRPr="00E943A9">
              <w:rPr>
                <w:sz w:val="22"/>
              </w:rPr>
              <w:t>1</w:t>
            </w:r>
            <w:r w:rsidR="00392E39" w:rsidRPr="00E943A9">
              <w:rPr>
                <w:sz w:val="22"/>
              </w:rPr>
              <w:t>8</w:t>
            </w:r>
            <w:r w:rsidR="00995EF4" w:rsidRPr="00E943A9">
              <w:rPr>
                <w:sz w:val="22"/>
              </w:rPr>
              <w:t xml:space="preserve">. </w:t>
            </w:r>
            <w:r w:rsidR="00484657" w:rsidRPr="00E943A9">
              <w:rPr>
                <w:sz w:val="22"/>
              </w:rPr>
              <w:t>Hrvatski audiovizualni centar</w:t>
            </w:r>
          </w:p>
        </w:tc>
      </w:tr>
      <w:tr w:rsidR="00995EF4" w:rsidRPr="00E943A9" w14:paraId="59740415"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8798870" w14:textId="2D8BAAD9" w:rsidR="00995EF4" w:rsidRPr="00E943A9" w:rsidRDefault="00961D82" w:rsidP="00392E39">
            <w:pPr>
              <w:contextualSpacing/>
              <w:jc w:val="both"/>
              <w:rPr>
                <w:sz w:val="22"/>
              </w:rPr>
            </w:pPr>
            <w:r w:rsidRPr="00E943A9">
              <w:rPr>
                <w:sz w:val="22"/>
              </w:rPr>
              <w:t>1</w:t>
            </w:r>
            <w:r w:rsidR="00392E39" w:rsidRPr="00E943A9">
              <w:rPr>
                <w:sz w:val="22"/>
              </w:rPr>
              <w:t>9</w:t>
            </w:r>
            <w:r w:rsidR="00995EF4" w:rsidRPr="00E943A9">
              <w:rPr>
                <w:sz w:val="22"/>
              </w:rPr>
              <w:t xml:space="preserve">. </w:t>
            </w:r>
            <w:r w:rsidR="00484657" w:rsidRPr="00E943A9">
              <w:rPr>
                <w:bCs/>
                <w:sz w:val="22"/>
                <w:lang w:eastAsia="hr-HR"/>
              </w:rPr>
              <w:t>Hrvatski operator tržišta energije d.o.o.</w:t>
            </w:r>
          </w:p>
        </w:tc>
      </w:tr>
      <w:tr w:rsidR="00995EF4" w:rsidRPr="00E943A9" w14:paraId="2FC7E946"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52CD79D6" w14:textId="022F8B2B" w:rsidR="00995EF4" w:rsidRPr="00E943A9" w:rsidRDefault="00392E39" w:rsidP="000A0D14">
            <w:pPr>
              <w:contextualSpacing/>
              <w:jc w:val="both"/>
              <w:rPr>
                <w:sz w:val="22"/>
              </w:rPr>
            </w:pPr>
            <w:r w:rsidRPr="00E943A9">
              <w:rPr>
                <w:sz w:val="22"/>
              </w:rPr>
              <w:t>20</w:t>
            </w:r>
            <w:r w:rsidR="00995EF4" w:rsidRPr="00E943A9">
              <w:rPr>
                <w:sz w:val="22"/>
              </w:rPr>
              <w:t xml:space="preserve">. </w:t>
            </w:r>
            <w:r w:rsidR="00484657" w:rsidRPr="00E943A9">
              <w:rPr>
                <w:sz w:val="22"/>
              </w:rPr>
              <w:t>Hrvatski zavod za zapošljavanje</w:t>
            </w:r>
          </w:p>
        </w:tc>
      </w:tr>
      <w:tr w:rsidR="00995EF4" w:rsidRPr="00E943A9" w14:paraId="5AA4DE2D"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34CF6CD" w14:textId="6AFCA76E" w:rsidR="00995EF4" w:rsidRPr="00E943A9" w:rsidRDefault="00392E39" w:rsidP="00961D82">
            <w:pPr>
              <w:contextualSpacing/>
              <w:jc w:val="both"/>
              <w:rPr>
                <w:sz w:val="22"/>
              </w:rPr>
            </w:pPr>
            <w:r w:rsidRPr="00E943A9">
              <w:rPr>
                <w:sz w:val="22"/>
              </w:rPr>
              <w:t>21</w:t>
            </w:r>
            <w:r w:rsidR="00995EF4" w:rsidRPr="00E943A9">
              <w:rPr>
                <w:sz w:val="22"/>
              </w:rPr>
              <w:t xml:space="preserve">. </w:t>
            </w:r>
            <w:r w:rsidR="00484657" w:rsidRPr="00E943A9">
              <w:rPr>
                <w:sz w:val="22"/>
              </w:rPr>
              <w:t>Zavod za vještačenje, profesionalnu rehabilitaciju i zapošljavanje osoba s invaliditetom</w:t>
            </w:r>
          </w:p>
        </w:tc>
      </w:tr>
    </w:tbl>
    <w:p w14:paraId="01EC5E09" w14:textId="3328F541" w:rsidR="00484657" w:rsidRPr="00E943A9" w:rsidRDefault="00484657" w:rsidP="00BE487D">
      <w:pPr>
        <w:jc w:val="both"/>
        <w:rPr>
          <w:b/>
        </w:rPr>
      </w:pPr>
    </w:p>
    <w:p w14:paraId="4FA634DC" w14:textId="77777777" w:rsidR="006C1FD5" w:rsidRPr="00E943A9" w:rsidRDefault="006C1FD5" w:rsidP="00BE487D">
      <w:pPr>
        <w:jc w:val="both"/>
      </w:pPr>
    </w:p>
    <w:p w14:paraId="63E03225" w14:textId="77777777" w:rsidR="00995EF4" w:rsidRPr="00E943A9" w:rsidRDefault="00995EF4" w:rsidP="00BE487D">
      <w:pPr>
        <w:jc w:val="both"/>
      </w:pPr>
      <w:r w:rsidRPr="00E943A9">
        <w:br w:type="page"/>
      </w:r>
    </w:p>
    <w:p w14:paraId="6BA12FB7" w14:textId="6B28516E" w:rsidR="00BE0817" w:rsidRPr="00E943A9" w:rsidRDefault="00BE0817" w:rsidP="00BE487D">
      <w:pPr>
        <w:pStyle w:val="Heading1"/>
        <w:spacing w:before="0"/>
        <w:jc w:val="both"/>
        <w:rPr>
          <w:rFonts w:ascii="Times New Roman" w:hAnsi="Times New Roman" w:cs="Times New Roman"/>
          <w:b/>
          <w:color w:val="auto"/>
          <w:sz w:val="24"/>
          <w:szCs w:val="24"/>
        </w:rPr>
      </w:pPr>
      <w:bookmarkStart w:id="35" w:name="_Toc213660056"/>
      <w:r w:rsidRPr="00E943A9">
        <w:rPr>
          <w:rFonts w:ascii="Times New Roman" w:hAnsi="Times New Roman" w:cs="Times New Roman"/>
          <w:b/>
          <w:color w:val="auto"/>
          <w:sz w:val="24"/>
          <w:szCs w:val="24"/>
        </w:rPr>
        <w:lastRenderedPageBreak/>
        <w:t>PRILOG 2.</w:t>
      </w:r>
      <w:bookmarkEnd w:id="35"/>
    </w:p>
    <w:p w14:paraId="21B06802" w14:textId="77777777" w:rsidR="00995EF4" w:rsidRPr="00E943A9" w:rsidRDefault="00995EF4" w:rsidP="00BE487D">
      <w:pPr>
        <w:jc w:val="both"/>
      </w:pPr>
    </w:p>
    <w:p w14:paraId="0792D731" w14:textId="77777777" w:rsidR="00995EF4" w:rsidRPr="00E943A9" w:rsidRDefault="00995EF4" w:rsidP="00870E9F">
      <w:pPr>
        <w:pStyle w:val="T-129sred"/>
        <w:spacing w:before="0" w:after="0"/>
        <w:contextualSpacing/>
        <w:rPr>
          <w:rFonts w:ascii="Times New Roman" w:hAnsi="Times New Roman"/>
          <w:b/>
          <w:bCs/>
          <w:caps/>
          <w:sz w:val="24"/>
          <w:szCs w:val="24"/>
          <w:lang w:val="hr-HR"/>
        </w:rPr>
      </w:pPr>
      <w:r w:rsidRPr="00E943A9">
        <w:rPr>
          <w:rFonts w:ascii="Times New Roman" w:hAnsi="Times New Roman"/>
          <w:b/>
          <w:bCs/>
          <w:sz w:val="24"/>
          <w:szCs w:val="24"/>
          <w:lang w:val="hr-HR"/>
        </w:rPr>
        <w:t>Kategorije državnih potpora</w:t>
      </w:r>
    </w:p>
    <w:p w14:paraId="27562AB3" w14:textId="77777777" w:rsidR="00995EF4" w:rsidRPr="00E943A9" w:rsidRDefault="00995EF4" w:rsidP="00BE487D">
      <w:pPr>
        <w:widowControl w:val="0"/>
        <w:autoSpaceDE w:val="0"/>
        <w:autoSpaceDN w:val="0"/>
        <w:adjustRightInd w:val="0"/>
        <w:jc w:val="both"/>
      </w:pPr>
    </w:p>
    <w:tbl>
      <w:tblPr>
        <w:tblW w:w="89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4"/>
        <w:gridCol w:w="273"/>
        <w:gridCol w:w="807"/>
        <w:gridCol w:w="7018"/>
      </w:tblGrid>
      <w:tr w:rsidR="00995EF4" w:rsidRPr="00E943A9" w14:paraId="2EEE6D2C" w14:textId="77777777" w:rsidTr="00AC539A">
        <w:trPr>
          <w:trHeight w:val="64"/>
        </w:trPr>
        <w:tc>
          <w:tcPr>
            <w:tcW w:w="8926" w:type="dxa"/>
            <w:gridSpan w:val="5"/>
            <w:tcBorders>
              <w:top w:val="single" w:sz="4" w:space="0" w:color="auto"/>
              <w:left w:val="single" w:sz="4" w:space="0" w:color="auto"/>
              <w:bottom w:val="single" w:sz="2" w:space="0" w:color="auto"/>
              <w:right w:val="single" w:sz="4" w:space="0" w:color="auto"/>
            </w:tcBorders>
            <w:shd w:val="clear" w:color="auto" w:fill="FF99CC"/>
            <w:vAlign w:val="center"/>
          </w:tcPr>
          <w:p w14:paraId="2FB0DBD6" w14:textId="77777777" w:rsidR="00995EF4" w:rsidRPr="00E943A9" w:rsidRDefault="00995EF4" w:rsidP="00BE487D">
            <w:pPr>
              <w:widowControl w:val="0"/>
              <w:autoSpaceDE w:val="0"/>
              <w:autoSpaceDN w:val="0"/>
              <w:adjustRightInd w:val="0"/>
              <w:jc w:val="both"/>
              <w:rPr>
                <w:b/>
                <w:bCs/>
                <w:sz w:val="18"/>
                <w:szCs w:val="18"/>
              </w:rPr>
            </w:pPr>
            <w:r w:rsidRPr="00E943A9">
              <w:rPr>
                <w:b/>
                <w:bCs/>
                <w:sz w:val="18"/>
                <w:szCs w:val="18"/>
              </w:rPr>
              <w:t>Pravila</w:t>
            </w:r>
          </w:p>
        </w:tc>
      </w:tr>
      <w:tr w:rsidR="00995EF4" w:rsidRPr="00E943A9" w14:paraId="470CF437" w14:textId="77777777" w:rsidTr="00AC539A">
        <w:tc>
          <w:tcPr>
            <w:tcW w:w="828" w:type="dxa"/>
            <w:gridSpan w:val="2"/>
            <w:tcBorders>
              <w:top w:val="single" w:sz="4" w:space="0" w:color="auto"/>
              <w:left w:val="single" w:sz="4" w:space="0" w:color="auto"/>
              <w:bottom w:val="single" w:sz="4" w:space="0" w:color="auto"/>
              <w:right w:val="nil"/>
            </w:tcBorders>
            <w:shd w:val="clear" w:color="auto" w:fill="FF99CC"/>
            <w:vAlign w:val="center"/>
          </w:tcPr>
          <w:p w14:paraId="0BDEEEF4" w14:textId="77777777" w:rsidR="00995EF4" w:rsidRPr="00E943A9" w:rsidRDefault="00995EF4" w:rsidP="00BE487D">
            <w:pPr>
              <w:widowControl w:val="0"/>
              <w:autoSpaceDE w:val="0"/>
              <w:autoSpaceDN w:val="0"/>
              <w:adjustRightInd w:val="0"/>
              <w:jc w:val="both"/>
              <w:rPr>
                <w:b/>
                <w:bCs/>
                <w:sz w:val="18"/>
                <w:szCs w:val="18"/>
              </w:rPr>
            </w:pPr>
          </w:p>
        </w:tc>
        <w:tc>
          <w:tcPr>
            <w:tcW w:w="8098" w:type="dxa"/>
            <w:gridSpan w:val="3"/>
            <w:tcBorders>
              <w:top w:val="single" w:sz="4" w:space="0" w:color="auto"/>
              <w:left w:val="nil"/>
              <w:bottom w:val="single" w:sz="2" w:space="0" w:color="auto"/>
              <w:right w:val="single" w:sz="4" w:space="0" w:color="auto"/>
            </w:tcBorders>
            <w:shd w:val="clear" w:color="auto" w:fill="FF99CC"/>
            <w:vAlign w:val="center"/>
          </w:tcPr>
          <w:p w14:paraId="0281C270" w14:textId="77777777" w:rsidR="00995EF4" w:rsidRPr="00E943A9" w:rsidRDefault="00995EF4" w:rsidP="00BE487D">
            <w:pPr>
              <w:widowControl w:val="0"/>
              <w:autoSpaceDE w:val="0"/>
              <w:autoSpaceDN w:val="0"/>
              <w:adjustRightInd w:val="0"/>
              <w:jc w:val="both"/>
              <w:rPr>
                <w:b/>
                <w:bCs/>
                <w:sz w:val="18"/>
                <w:szCs w:val="18"/>
              </w:rPr>
            </w:pPr>
            <w:r w:rsidRPr="00E943A9">
              <w:rPr>
                <w:b/>
                <w:bCs/>
                <w:sz w:val="18"/>
                <w:szCs w:val="18"/>
              </w:rPr>
              <w:t>Kategorija</w:t>
            </w:r>
          </w:p>
        </w:tc>
      </w:tr>
      <w:tr w:rsidR="00995EF4" w:rsidRPr="00E943A9" w14:paraId="354F49E7" w14:textId="77777777" w:rsidTr="00AC539A">
        <w:trPr>
          <w:trHeight w:val="57"/>
        </w:trPr>
        <w:tc>
          <w:tcPr>
            <w:tcW w:w="828" w:type="dxa"/>
            <w:gridSpan w:val="2"/>
            <w:tcBorders>
              <w:top w:val="single" w:sz="4" w:space="0" w:color="auto"/>
              <w:left w:val="single" w:sz="4" w:space="0" w:color="auto"/>
              <w:bottom w:val="single" w:sz="2" w:space="0" w:color="auto"/>
              <w:right w:val="nil"/>
            </w:tcBorders>
            <w:shd w:val="clear" w:color="auto" w:fill="FF99CC"/>
            <w:vAlign w:val="center"/>
          </w:tcPr>
          <w:p w14:paraId="5701BE4B" w14:textId="77777777" w:rsidR="00995EF4" w:rsidRPr="00E943A9" w:rsidRDefault="00995EF4" w:rsidP="00BE487D">
            <w:pPr>
              <w:widowControl w:val="0"/>
              <w:autoSpaceDE w:val="0"/>
              <w:autoSpaceDN w:val="0"/>
              <w:adjustRightInd w:val="0"/>
              <w:jc w:val="both"/>
              <w:rPr>
                <w:b/>
                <w:bCs/>
                <w:sz w:val="18"/>
                <w:szCs w:val="18"/>
              </w:rPr>
            </w:pPr>
          </w:p>
        </w:tc>
        <w:tc>
          <w:tcPr>
            <w:tcW w:w="1080" w:type="dxa"/>
            <w:gridSpan w:val="2"/>
            <w:tcBorders>
              <w:top w:val="single" w:sz="4" w:space="0" w:color="auto"/>
              <w:left w:val="nil"/>
              <w:bottom w:val="single" w:sz="2" w:space="0" w:color="auto"/>
              <w:right w:val="nil"/>
            </w:tcBorders>
            <w:shd w:val="clear" w:color="auto" w:fill="FF99CC"/>
            <w:vAlign w:val="center"/>
          </w:tcPr>
          <w:p w14:paraId="78EE2BB1" w14:textId="77777777" w:rsidR="00995EF4" w:rsidRPr="00E943A9" w:rsidRDefault="00995EF4" w:rsidP="00BE487D">
            <w:pPr>
              <w:widowControl w:val="0"/>
              <w:autoSpaceDE w:val="0"/>
              <w:autoSpaceDN w:val="0"/>
              <w:adjustRightInd w:val="0"/>
              <w:jc w:val="both"/>
              <w:rPr>
                <w:b/>
                <w:bCs/>
                <w:sz w:val="18"/>
                <w:szCs w:val="18"/>
              </w:rPr>
            </w:pPr>
          </w:p>
        </w:tc>
        <w:tc>
          <w:tcPr>
            <w:tcW w:w="7018" w:type="dxa"/>
            <w:tcBorders>
              <w:top w:val="single" w:sz="4" w:space="0" w:color="auto"/>
              <w:left w:val="nil"/>
              <w:bottom w:val="single" w:sz="2" w:space="0" w:color="auto"/>
              <w:right w:val="single" w:sz="4" w:space="0" w:color="auto"/>
            </w:tcBorders>
            <w:shd w:val="clear" w:color="auto" w:fill="FF99CC"/>
            <w:vAlign w:val="center"/>
          </w:tcPr>
          <w:p w14:paraId="640F2D72" w14:textId="77777777" w:rsidR="00995EF4" w:rsidRPr="00E943A9" w:rsidRDefault="00995EF4" w:rsidP="00BE487D">
            <w:pPr>
              <w:widowControl w:val="0"/>
              <w:autoSpaceDE w:val="0"/>
              <w:autoSpaceDN w:val="0"/>
              <w:adjustRightInd w:val="0"/>
              <w:jc w:val="both"/>
              <w:rPr>
                <w:b/>
                <w:bCs/>
                <w:sz w:val="18"/>
                <w:szCs w:val="18"/>
              </w:rPr>
            </w:pPr>
            <w:r w:rsidRPr="00E943A9">
              <w:rPr>
                <w:b/>
                <w:bCs/>
                <w:sz w:val="18"/>
                <w:szCs w:val="18"/>
              </w:rPr>
              <w:t>Namjena</w:t>
            </w:r>
          </w:p>
        </w:tc>
      </w:tr>
      <w:tr w:rsidR="00995EF4" w:rsidRPr="00E943A9" w14:paraId="60F85E80"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3DD2F471"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 xml:space="preserve">HORIZONTALNA </w:t>
            </w:r>
            <w:r w:rsidRPr="00E943A9">
              <w:rPr>
                <w:b/>
                <w:bCs/>
                <w:sz w:val="18"/>
                <w:szCs w:val="18"/>
              </w:rPr>
              <w:t>PRAVILA</w:t>
            </w:r>
          </w:p>
        </w:tc>
      </w:tr>
      <w:tr w:rsidR="00995EF4" w:rsidRPr="00E943A9" w14:paraId="46C9551F" w14:textId="77777777" w:rsidTr="00AC539A">
        <w:tc>
          <w:tcPr>
            <w:tcW w:w="534" w:type="dxa"/>
            <w:tcBorders>
              <w:top w:val="single" w:sz="2" w:space="0" w:color="auto"/>
              <w:left w:val="single" w:sz="4" w:space="0" w:color="auto"/>
              <w:bottom w:val="nil"/>
              <w:right w:val="single" w:sz="2" w:space="0" w:color="auto"/>
            </w:tcBorders>
            <w:vAlign w:val="center"/>
          </w:tcPr>
          <w:p w14:paraId="334E5155"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5E92F4E1"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Istraživanje i razvoj i inovacije</w:t>
            </w:r>
          </w:p>
        </w:tc>
      </w:tr>
      <w:tr w:rsidR="00995EF4" w:rsidRPr="00E943A9" w14:paraId="2229C6E0" w14:textId="77777777" w:rsidTr="00AC539A">
        <w:tc>
          <w:tcPr>
            <w:tcW w:w="534" w:type="dxa"/>
            <w:tcBorders>
              <w:top w:val="nil"/>
              <w:left w:val="single" w:sz="4" w:space="0" w:color="auto"/>
              <w:bottom w:val="nil"/>
              <w:right w:val="nil"/>
            </w:tcBorders>
            <w:vAlign w:val="center"/>
          </w:tcPr>
          <w:p w14:paraId="34D369FE"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D96060C"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F72CCDA"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Projekti istraživanja i razvoja za temeljna, primijenjena i razvojna istraživanja i studije o tehničkoj izvodivosti za primijenjena i razvojna istraživanja</w:t>
            </w:r>
          </w:p>
        </w:tc>
      </w:tr>
      <w:tr w:rsidR="00995EF4" w:rsidRPr="00E943A9" w14:paraId="55043F63" w14:textId="77777777" w:rsidTr="00AC539A">
        <w:tc>
          <w:tcPr>
            <w:tcW w:w="534" w:type="dxa"/>
            <w:tcBorders>
              <w:top w:val="nil"/>
              <w:left w:val="single" w:sz="4" w:space="0" w:color="auto"/>
              <w:bottom w:val="nil"/>
              <w:right w:val="nil"/>
            </w:tcBorders>
            <w:vAlign w:val="center"/>
          </w:tcPr>
          <w:p w14:paraId="37BF46A2"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00584BA"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EC19F2D"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Pokrivanje troškova zaštite prava industrijskog vlasništva za male i srednje poduzetnike</w:t>
            </w:r>
          </w:p>
        </w:tc>
      </w:tr>
      <w:tr w:rsidR="00995EF4" w:rsidRPr="00E943A9" w14:paraId="2C7AF310" w14:textId="77777777" w:rsidTr="00AC539A">
        <w:tc>
          <w:tcPr>
            <w:tcW w:w="534" w:type="dxa"/>
            <w:tcBorders>
              <w:top w:val="nil"/>
              <w:left w:val="single" w:sz="4" w:space="0" w:color="auto"/>
              <w:bottom w:val="nil"/>
              <w:right w:val="nil"/>
            </w:tcBorders>
            <w:vAlign w:val="center"/>
          </w:tcPr>
          <w:p w14:paraId="1F00A217"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657201F"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7784851"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Novo osnovani mali poduzetnici koji se bave inovacijama</w:t>
            </w:r>
          </w:p>
        </w:tc>
      </w:tr>
      <w:tr w:rsidR="00995EF4" w:rsidRPr="00E943A9" w14:paraId="4E686DFC" w14:textId="77777777" w:rsidTr="00AC539A">
        <w:tc>
          <w:tcPr>
            <w:tcW w:w="534" w:type="dxa"/>
            <w:tcBorders>
              <w:top w:val="nil"/>
              <w:left w:val="single" w:sz="4" w:space="0" w:color="auto"/>
              <w:bottom w:val="nil"/>
              <w:right w:val="nil"/>
            </w:tcBorders>
            <w:vAlign w:val="center"/>
          </w:tcPr>
          <w:p w14:paraId="03CB8A07"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327AE08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F042E1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Inovacije procesa i organizacije poslovanja u sektoru usluga</w:t>
            </w:r>
          </w:p>
        </w:tc>
      </w:tr>
      <w:tr w:rsidR="00995EF4" w:rsidRPr="00E943A9" w14:paraId="3C7127CC" w14:textId="77777777" w:rsidTr="00AC539A">
        <w:tc>
          <w:tcPr>
            <w:tcW w:w="534" w:type="dxa"/>
            <w:tcBorders>
              <w:top w:val="nil"/>
              <w:left w:val="single" w:sz="4" w:space="0" w:color="auto"/>
              <w:bottom w:val="nil"/>
              <w:right w:val="nil"/>
            </w:tcBorders>
            <w:vAlign w:val="center"/>
          </w:tcPr>
          <w:p w14:paraId="175049A5"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E26046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383A582"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Savjetodavne usluge o inovacijama i usluge koje potiču inovacije (mali i srednji poduzetnici)</w:t>
            </w:r>
          </w:p>
        </w:tc>
      </w:tr>
      <w:tr w:rsidR="00995EF4" w:rsidRPr="00E943A9" w14:paraId="78CB7880" w14:textId="77777777" w:rsidTr="00AC539A">
        <w:tc>
          <w:tcPr>
            <w:tcW w:w="534" w:type="dxa"/>
            <w:tcBorders>
              <w:top w:val="nil"/>
              <w:left w:val="single" w:sz="4" w:space="0" w:color="auto"/>
              <w:bottom w:val="nil"/>
              <w:right w:val="nil"/>
            </w:tcBorders>
            <w:vAlign w:val="center"/>
          </w:tcPr>
          <w:p w14:paraId="5C108018"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00F0166"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AB5500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Unajmljivanje visoko stručnog kadra koji se privremeno zapošljava iz istraživačkih organizacija ili velikih poduzetnika u malim i srednjim poduzetnicima</w:t>
            </w:r>
          </w:p>
        </w:tc>
      </w:tr>
      <w:tr w:rsidR="00995EF4" w:rsidRPr="00E943A9" w14:paraId="54F58BB2" w14:textId="77777777" w:rsidTr="00AC539A">
        <w:tc>
          <w:tcPr>
            <w:tcW w:w="534" w:type="dxa"/>
            <w:tcBorders>
              <w:top w:val="nil"/>
              <w:left w:val="single" w:sz="4" w:space="0" w:color="auto"/>
              <w:bottom w:val="single" w:sz="2" w:space="0" w:color="auto"/>
              <w:right w:val="nil"/>
            </w:tcBorders>
            <w:vAlign w:val="center"/>
          </w:tcPr>
          <w:p w14:paraId="30DAC62E"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53F199F8"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6AC8EF7"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Osnivanje, širenje i oživljavanje inovacijskih clustera</w:t>
            </w:r>
          </w:p>
        </w:tc>
      </w:tr>
      <w:tr w:rsidR="00995EF4" w:rsidRPr="00E943A9" w14:paraId="6EDBD8A1" w14:textId="77777777" w:rsidTr="00AC539A">
        <w:trPr>
          <w:trHeight w:val="75"/>
        </w:trPr>
        <w:tc>
          <w:tcPr>
            <w:tcW w:w="534" w:type="dxa"/>
            <w:tcBorders>
              <w:top w:val="single" w:sz="2" w:space="0" w:color="auto"/>
              <w:left w:val="single" w:sz="4" w:space="0" w:color="auto"/>
              <w:bottom w:val="nil"/>
              <w:right w:val="single" w:sz="2" w:space="0" w:color="auto"/>
            </w:tcBorders>
            <w:vAlign w:val="center"/>
          </w:tcPr>
          <w:p w14:paraId="6AFD1024"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961252D"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Mali i srednji poduzetnici</w:t>
            </w:r>
          </w:p>
        </w:tc>
      </w:tr>
      <w:tr w:rsidR="00995EF4" w:rsidRPr="00E943A9" w14:paraId="7D15E2A2" w14:textId="77777777" w:rsidTr="00AC539A">
        <w:trPr>
          <w:trHeight w:val="65"/>
        </w:trPr>
        <w:tc>
          <w:tcPr>
            <w:tcW w:w="534" w:type="dxa"/>
            <w:tcBorders>
              <w:top w:val="nil"/>
              <w:left w:val="single" w:sz="4" w:space="0" w:color="auto"/>
              <w:bottom w:val="nil"/>
              <w:right w:val="nil"/>
            </w:tcBorders>
            <w:vAlign w:val="center"/>
          </w:tcPr>
          <w:p w14:paraId="03129BE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4" w:space="0" w:color="auto"/>
            </w:tcBorders>
            <w:vAlign w:val="center"/>
          </w:tcPr>
          <w:p w14:paraId="7BF42A8F"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4" w:space="0" w:color="auto"/>
              <w:bottom w:val="single" w:sz="4" w:space="0" w:color="auto"/>
              <w:right w:val="single" w:sz="4" w:space="0" w:color="auto"/>
            </w:tcBorders>
            <w:vAlign w:val="center"/>
          </w:tcPr>
          <w:p w14:paraId="6111A5E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 xml:space="preserve">Ulaganje u materijalnu i nematerijalnu imovinu i otvaranje novih radnih mjesta vezanih uz projekt ulaganja </w:t>
            </w:r>
          </w:p>
        </w:tc>
      </w:tr>
      <w:tr w:rsidR="00995EF4" w:rsidRPr="00E943A9" w14:paraId="1463FCBB" w14:textId="77777777" w:rsidTr="00AC539A">
        <w:trPr>
          <w:trHeight w:val="125"/>
        </w:trPr>
        <w:tc>
          <w:tcPr>
            <w:tcW w:w="534" w:type="dxa"/>
            <w:tcBorders>
              <w:top w:val="nil"/>
              <w:left w:val="single" w:sz="4" w:space="0" w:color="auto"/>
              <w:bottom w:val="nil"/>
              <w:right w:val="nil"/>
            </w:tcBorders>
            <w:vAlign w:val="center"/>
          </w:tcPr>
          <w:p w14:paraId="4BA453A4"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A299EE7"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9C20C70"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Pokriće troškova osnivanja i tekućih troškova poslovanja vezanih samo za male ženske poduzetnike</w:t>
            </w:r>
          </w:p>
        </w:tc>
      </w:tr>
      <w:tr w:rsidR="00995EF4" w:rsidRPr="00E943A9" w14:paraId="1EAB3B0F" w14:textId="77777777" w:rsidTr="00AC539A">
        <w:tc>
          <w:tcPr>
            <w:tcW w:w="534" w:type="dxa"/>
            <w:tcBorders>
              <w:top w:val="nil"/>
              <w:left w:val="single" w:sz="4" w:space="0" w:color="auto"/>
              <w:bottom w:val="nil"/>
              <w:right w:val="nil"/>
            </w:tcBorders>
            <w:vAlign w:val="center"/>
          </w:tcPr>
          <w:p w14:paraId="5AE355D1"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E60227E"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918275F"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Prilagodba budućim obvezujućim standardima</w:t>
            </w:r>
          </w:p>
        </w:tc>
      </w:tr>
      <w:tr w:rsidR="00995EF4" w:rsidRPr="00E943A9" w14:paraId="2CE9342E" w14:textId="77777777" w:rsidTr="00AC539A">
        <w:tc>
          <w:tcPr>
            <w:tcW w:w="534" w:type="dxa"/>
            <w:tcBorders>
              <w:top w:val="nil"/>
              <w:left w:val="single" w:sz="4" w:space="0" w:color="auto"/>
              <w:bottom w:val="nil"/>
              <w:right w:val="nil"/>
            </w:tcBorders>
            <w:vAlign w:val="center"/>
          </w:tcPr>
          <w:p w14:paraId="2A05763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E958FB9"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AB78154"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Savjetodavne usluge</w:t>
            </w:r>
          </w:p>
        </w:tc>
      </w:tr>
      <w:tr w:rsidR="00995EF4" w:rsidRPr="00E943A9" w14:paraId="56B16702" w14:textId="77777777" w:rsidTr="00AC539A">
        <w:tc>
          <w:tcPr>
            <w:tcW w:w="534" w:type="dxa"/>
            <w:tcBorders>
              <w:top w:val="nil"/>
              <w:left w:val="single" w:sz="4" w:space="0" w:color="auto"/>
              <w:bottom w:val="nil"/>
              <w:right w:val="nil"/>
            </w:tcBorders>
            <w:vAlign w:val="center"/>
          </w:tcPr>
          <w:p w14:paraId="09839930"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18987D10"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D029240"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Sudjelovanje na sajmovima</w:t>
            </w:r>
          </w:p>
        </w:tc>
      </w:tr>
      <w:tr w:rsidR="00995EF4" w:rsidRPr="00E943A9" w14:paraId="75C17674" w14:textId="77777777" w:rsidTr="00AC539A">
        <w:tc>
          <w:tcPr>
            <w:tcW w:w="534" w:type="dxa"/>
            <w:tcBorders>
              <w:top w:val="nil"/>
              <w:left w:val="single" w:sz="4" w:space="0" w:color="auto"/>
              <w:bottom w:val="nil"/>
              <w:right w:val="nil"/>
            </w:tcBorders>
            <w:vAlign w:val="center"/>
          </w:tcPr>
          <w:p w14:paraId="6EC995AF"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680523C"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3DFA4C8"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Pokrivanje troškova prava industrijskog vlasništva</w:t>
            </w:r>
          </w:p>
        </w:tc>
      </w:tr>
      <w:tr w:rsidR="00995EF4" w:rsidRPr="00E943A9" w14:paraId="7CEFB0DD" w14:textId="77777777" w:rsidTr="00AC539A">
        <w:tc>
          <w:tcPr>
            <w:tcW w:w="534" w:type="dxa"/>
            <w:tcBorders>
              <w:top w:val="nil"/>
              <w:left w:val="single" w:sz="4" w:space="0" w:color="auto"/>
              <w:bottom w:val="nil"/>
              <w:right w:val="nil"/>
            </w:tcBorders>
            <w:vAlign w:val="center"/>
          </w:tcPr>
          <w:p w14:paraId="19EA2C44"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7B0E460"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8360F2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Novi mali poduzetnici koji se bave inovacijama</w:t>
            </w:r>
          </w:p>
        </w:tc>
      </w:tr>
      <w:tr w:rsidR="00995EF4" w:rsidRPr="00E943A9" w14:paraId="6EAE5563" w14:textId="77777777" w:rsidTr="00AC539A">
        <w:tc>
          <w:tcPr>
            <w:tcW w:w="534" w:type="dxa"/>
            <w:tcBorders>
              <w:top w:val="nil"/>
              <w:left w:val="single" w:sz="4" w:space="0" w:color="auto"/>
              <w:bottom w:val="nil"/>
              <w:right w:val="nil"/>
            </w:tcBorders>
            <w:vAlign w:val="center"/>
          </w:tcPr>
          <w:p w14:paraId="126117D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31DCF2EB"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45FEA5B"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Savjetodavne usluge o inovacijama i usluge koje potiču inovacije</w:t>
            </w:r>
          </w:p>
        </w:tc>
      </w:tr>
      <w:tr w:rsidR="00995EF4" w:rsidRPr="00E943A9" w14:paraId="3986600C" w14:textId="77777777" w:rsidTr="00AC539A">
        <w:tc>
          <w:tcPr>
            <w:tcW w:w="534" w:type="dxa"/>
            <w:tcBorders>
              <w:top w:val="nil"/>
              <w:left w:val="single" w:sz="4" w:space="0" w:color="auto"/>
              <w:bottom w:val="single" w:sz="2" w:space="0" w:color="auto"/>
              <w:right w:val="nil"/>
            </w:tcBorders>
            <w:vAlign w:val="center"/>
          </w:tcPr>
          <w:p w14:paraId="310E96E0"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17BED609"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F25D5C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Ulaganja rizičnog kapitala od strane investicijskih fondova</w:t>
            </w:r>
          </w:p>
        </w:tc>
      </w:tr>
      <w:tr w:rsidR="00995EF4" w:rsidRPr="00E943A9" w14:paraId="207D58F3" w14:textId="77777777" w:rsidTr="00AC539A">
        <w:tc>
          <w:tcPr>
            <w:tcW w:w="534" w:type="dxa"/>
            <w:tcBorders>
              <w:top w:val="single" w:sz="2" w:space="0" w:color="auto"/>
              <w:left w:val="single" w:sz="4" w:space="0" w:color="auto"/>
              <w:bottom w:val="nil"/>
              <w:right w:val="single" w:sz="2" w:space="0" w:color="auto"/>
            </w:tcBorders>
            <w:vAlign w:val="center"/>
          </w:tcPr>
          <w:p w14:paraId="731F8DC3"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C8E7724"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Zapošljavanje</w:t>
            </w:r>
          </w:p>
        </w:tc>
      </w:tr>
      <w:tr w:rsidR="00995EF4" w:rsidRPr="00E943A9" w14:paraId="79403A31" w14:textId="77777777" w:rsidTr="00AC539A">
        <w:trPr>
          <w:trHeight w:val="171"/>
        </w:trPr>
        <w:tc>
          <w:tcPr>
            <w:tcW w:w="534" w:type="dxa"/>
            <w:tcBorders>
              <w:top w:val="nil"/>
              <w:left w:val="single" w:sz="4" w:space="0" w:color="auto"/>
              <w:bottom w:val="nil"/>
              <w:right w:val="nil"/>
            </w:tcBorders>
            <w:vAlign w:val="center"/>
          </w:tcPr>
          <w:p w14:paraId="03CA36F3"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FAAC57D"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55675BF9"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Zapošljavanje osoba s invaliditetom ili osoba koje se teže zapošljavaju</w:t>
            </w:r>
          </w:p>
        </w:tc>
      </w:tr>
      <w:tr w:rsidR="00995EF4" w:rsidRPr="00E943A9" w14:paraId="106795F5" w14:textId="77777777" w:rsidTr="00AC539A">
        <w:tc>
          <w:tcPr>
            <w:tcW w:w="534" w:type="dxa"/>
            <w:tcBorders>
              <w:top w:val="nil"/>
              <w:left w:val="single" w:sz="4" w:space="0" w:color="auto"/>
              <w:bottom w:val="single" w:sz="2" w:space="0" w:color="auto"/>
              <w:right w:val="nil"/>
            </w:tcBorders>
            <w:vAlign w:val="center"/>
          </w:tcPr>
          <w:p w14:paraId="300568B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5A8F9C62"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26F3C42"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Pokriće dodatnih troškova zapošljavanja osoba s invaliditetom</w:t>
            </w:r>
          </w:p>
        </w:tc>
      </w:tr>
      <w:tr w:rsidR="00995EF4" w:rsidRPr="00E943A9" w14:paraId="056BF59C" w14:textId="77777777" w:rsidTr="00AC539A">
        <w:tc>
          <w:tcPr>
            <w:tcW w:w="534" w:type="dxa"/>
            <w:tcBorders>
              <w:top w:val="single" w:sz="2" w:space="0" w:color="auto"/>
              <w:left w:val="single" w:sz="4" w:space="0" w:color="auto"/>
              <w:bottom w:val="nil"/>
              <w:right w:val="single" w:sz="2" w:space="0" w:color="auto"/>
            </w:tcBorders>
            <w:vAlign w:val="center"/>
          </w:tcPr>
          <w:p w14:paraId="70F093A5"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585D1142"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 xml:space="preserve">Usavršavanje </w:t>
            </w:r>
          </w:p>
        </w:tc>
      </w:tr>
      <w:tr w:rsidR="00995EF4" w:rsidRPr="00E943A9" w14:paraId="0E023F77" w14:textId="77777777" w:rsidTr="00AC539A">
        <w:tc>
          <w:tcPr>
            <w:tcW w:w="534" w:type="dxa"/>
            <w:tcBorders>
              <w:top w:val="nil"/>
              <w:left w:val="single" w:sz="4" w:space="0" w:color="auto"/>
              <w:bottom w:val="nil"/>
              <w:right w:val="nil"/>
            </w:tcBorders>
            <w:vAlign w:val="center"/>
          </w:tcPr>
          <w:p w14:paraId="19BA12FA"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1276C83B"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EC36E1"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Posebno usavršavanje zaposlenika</w:t>
            </w:r>
          </w:p>
        </w:tc>
      </w:tr>
      <w:tr w:rsidR="00995EF4" w:rsidRPr="00E943A9" w14:paraId="0E405CF6" w14:textId="77777777" w:rsidTr="00AC539A">
        <w:tc>
          <w:tcPr>
            <w:tcW w:w="534" w:type="dxa"/>
            <w:tcBorders>
              <w:top w:val="nil"/>
              <w:left w:val="single" w:sz="4" w:space="0" w:color="auto"/>
              <w:bottom w:val="single" w:sz="2" w:space="0" w:color="auto"/>
              <w:right w:val="nil"/>
            </w:tcBorders>
            <w:vAlign w:val="center"/>
          </w:tcPr>
          <w:p w14:paraId="07497719"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86ABCC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1D89E5F"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Opće usavršavanje zaposlenika</w:t>
            </w:r>
          </w:p>
        </w:tc>
      </w:tr>
      <w:tr w:rsidR="00995EF4" w:rsidRPr="00E943A9" w14:paraId="4EDCB466" w14:textId="77777777" w:rsidTr="00AC539A">
        <w:tc>
          <w:tcPr>
            <w:tcW w:w="534" w:type="dxa"/>
            <w:tcBorders>
              <w:top w:val="single" w:sz="2" w:space="0" w:color="auto"/>
              <w:left w:val="single" w:sz="4" w:space="0" w:color="auto"/>
              <w:bottom w:val="nil"/>
              <w:right w:val="single" w:sz="2" w:space="0" w:color="auto"/>
            </w:tcBorders>
            <w:vAlign w:val="center"/>
          </w:tcPr>
          <w:p w14:paraId="563AF08E"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E2B515A"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Kultura i zaštita baštine</w:t>
            </w:r>
          </w:p>
        </w:tc>
      </w:tr>
      <w:tr w:rsidR="00995EF4" w:rsidRPr="00E943A9" w14:paraId="27F22003" w14:textId="77777777" w:rsidTr="00AC539A">
        <w:tc>
          <w:tcPr>
            <w:tcW w:w="534" w:type="dxa"/>
            <w:tcBorders>
              <w:top w:val="nil"/>
              <w:left w:val="single" w:sz="4" w:space="0" w:color="auto"/>
              <w:bottom w:val="single" w:sz="2" w:space="0" w:color="auto"/>
              <w:right w:val="nil"/>
            </w:tcBorders>
            <w:vAlign w:val="center"/>
          </w:tcPr>
          <w:p w14:paraId="04018A92"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2" w:space="0" w:color="auto"/>
            </w:tcBorders>
            <w:vAlign w:val="center"/>
          </w:tcPr>
          <w:p w14:paraId="4A2DAA87"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4F3CC51"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Poticanje kulture i zaštita baštine</w:t>
            </w:r>
          </w:p>
        </w:tc>
      </w:tr>
      <w:tr w:rsidR="00995EF4" w:rsidRPr="00E943A9" w14:paraId="620ED16C"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0EC2CBBD"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 xml:space="preserve">POSEBNA SEKTORSKA </w:t>
            </w:r>
          </w:p>
        </w:tc>
      </w:tr>
      <w:tr w:rsidR="00995EF4" w:rsidRPr="00E943A9" w14:paraId="0736CE9E" w14:textId="77777777" w:rsidTr="00AC539A">
        <w:tc>
          <w:tcPr>
            <w:tcW w:w="534" w:type="dxa"/>
            <w:tcBorders>
              <w:top w:val="single" w:sz="2" w:space="0" w:color="auto"/>
              <w:left w:val="single" w:sz="4" w:space="0" w:color="auto"/>
              <w:bottom w:val="nil"/>
              <w:right w:val="single" w:sz="2" w:space="0" w:color="auto"/>
            </w:tcBorders>
            <w:vAlign w:val="center"/>
          </w:tcPr>
          <w:p w14:paraId="6D850C2D"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431026D"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Kopneni promet (željeznički, cestovni, unutarnji plovni putevi)</w:t>
            </w:r>
          </w:p>
        </w:tc>
      </w:tr>
      <w:tr w:rsidR="00995EF4" w:rsidRPr="00E943A9" w14:paraId="3D27C509" w14:textId="77777777" w:rsidTr="00AC539A">
        <w:tc>
          <w:tcPr>
            <w:tcW w:w="534" w:type="dxa"/>
            <w:tcBorders>
              <w:top w:val="nil"/>
              <w:left w:val="single" w:sz="4" w:space="0" w:color="auto"/>
              <w:bottom w:val="nil"/>
              <w:right w:val="nil"/>
            </w:tcBorders>
            <w:vAlign w:val="center"/>
          </w:tcPr>
          <w:p w14:paraId="5CA12DA8"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E6170F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B372232" w14:textId="77777777" w:rsidR="00995EF4" w:rsidRPr="00E943A9" w:rsidRDefault="00995EF4" w:rsidP="00BE487D">
            <w:pPr>
              <w:widowControl w:val="0"/>
              <w:autoSpaceDE w:val="0"/>
              <w:autoSpaceDN w:val="0"/>
              <w:adjustRightInd w:val="0"/>
              <w:jc w:val="both"/>
              <w:rPr>
                <w:spacing w:val="-4"/>
                <w:sz w:val="18"/>
                <w:szCs w:val="18"/>
              </w:rPr>
            </w:pPr>
            <w:r w:rsidRPr="00E943A9">
              <w:rPr>
                <w:spacing w:val="-4"/>
                <w:sz w:val="18"/>
                <w:szCs w:val="18"/>
              </w:rPr>
              <w:t>Služba od općeg gospodarskog interesa koja se odnosi na gradski, prigradski, regionalni i nacionalni prijevoz</w:t>
            </w:r>
          </w:p>
        </w:tc>
      </w:tr>
      <w:tr w:rsidR="00995EF4" w:rsidRPr="00E943A9" w14:paraId="75DD0870" w14:textId="77777777" w:rsidTr="00AC539A">
        <w:tc>
          <w:tcPr>
            <w:tcW w:w="534" w:type="dxa"/>
            <w:tcBorders>
              <w:top w:val="nil"/>
              <w:left w:val="single" w:sz="4" w:space="0" w:color="auto"/>
              <w:bottom w:val="nil"/>
              <w:right w:val="nil"/>
            </w:tcBorders>
            <w:vAlign w:val="center"/>
          </w:tcPr>
          <w:p w14:paraId="39BEC143"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608FCC2"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1D57B04"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Investicijska ulaganja u razvoj kombiniranog prijevoza koja se odnose na ulaganja u infrastrukturu te nepomične i pomične objekte koji su neophodni za pretovar</w:t>
            </w:r>
          </w:p>
        </w:tc>
      </w:tr>
      <w:tr w:rsidR="00995EF4" w:rsidRPr="00E943A9" w14:paraId="19383910" w14:textId="77777777" w:rsidTr="00AC539A">
        <w:tc>
          <w:tcPr>
            <w:tcW w:w="534" w:type="dxa"/>
            <w:tcBorders>
              <w:top w:val="nil"/>
              <w:left w:val="single" w:sz="4" w:space="0" w:color="auto"/>
              <w:bottom w:val="single" w:sz="2" w:space="0" w:color="auto"/>
              <w:right w:val="nil"/>
            </w:tcBorders>
            <w:vAlign w:val="center"/>
          </w:tcPr>
          <w:p w14:paraId="3B99B58A"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12D63B7D"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FB4E168"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i regionalnim potporama</w:t>
            </w:r>
          </w:p>
        </w:tc>
      </w:tr>
      <w:tr w:rsidR="00995EF4" w:rsidRPr="00E943A9" w14:paraId="15AB545E" w14:textId="77777777" w:rsidTr="00AC539A">
        <w:tc>
          <w:tcPr>
            <w:tcW w:w="534" w:type="dxa"/>
            <w:tcBorders>
              <w:top w:val="single" w:sz="2" w:space="0" w:color="auto"/>
              <w:left w:val="single" w:sz="4" w:space="0" w:color="auto"/>
              <w:bottom w:val="nil"/>
              <w:right w:val="single" w:sz="2" w:space="0" w:color="auto"/>
            </w:tcBorders>
            <w:vAlign w:val="center"/>
          </w:tcPr>
          <w:p w14:paraId="1CF1CBF8"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32AA291"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Zračni promet</w:t>
            </w:r>
          </w:p>
        </w:tc>
      </w:tr>
      <w:tr w:rsidR="00995EF4" w:rsidRPr="00E943A9" w14:paraId="726C051D" w14:textId="77777777" w:rsidTr="00AC539A">
        <w:trPr>
          <w:trHeight w:val="148"/>
        </w:trPr>
        <w:tc>
          <w:tcPr>
            <w:tcW w:w="534" w:type="dxa"/>
            <w:vMerge w:val="restart"/>
            <w:tcBorders>
              <w:top w:val="nil"/>
              <w:left w:val="single" w:sz="4" w:space="0" w:color="auto"/>
              <w:bottom w:val="single" w:sz="2" w:space="0" w:color="auto"/>
              <w:right w:val="nil"/>
            </w:tcBorders>
            <w:vAlign w:val="center"/>
          </w:tcPr>
          <w:p w14:paraId="68D05CC3"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vMerge w:val="restart"/>
            <w:tcBorders>
              <w:top w:val="single" w:sz="2" w:space="0" w:color="auto"/>
              <w:left w:val="nil"/>
              <w:bottom w:val="nil"/>
              <w:right w:val="single" w:sz="2" w:space="0" w:color="auto"/>
            </w:tcBorders>
            <w:vAlign w:val="center"/>
          </w:tcPr>
          <w:p w14:paraId="1C8381AE"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right w:val="single" w:sz="4" w:space="0" w:color="auto"/>
            </w:tcBorders>
            <w:vAlign w:val="center"/>
          </w:tcPr>
          <w:p w14:paraId="7C12A5B5"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Služba od općeg gospodarskog interesa za zračni prijevoz unutar države između regionalnih zračnih luka</w:t>
            </w:r>
          </w:p>
        </w:tc>
      </w:tr>
      <w:tr w:rsidR="00995EF4" w:rsidRPr="00E943A9" w14:paraId="70CE8782" w14:textId="77777777" w:rsidTr="00AC539A">
        <w:tc>
          <w:tcPr>
            <w:tcW w:w="534" w:type="dxa"/>
            <w:vMerge/>
            <w:tcBorders>
              <w:top w:val="nil"/>
              <w:left w:val="single" w:sz="4" w:space="0" w:color="auto"/>
              <w:bottom w:val="single" w:sz="2" w:space="0" w:color="auto"/>
              <w:right w:val="nil"/>
            </w:tcBorders>
            <w:vAlign w:val="center"/>
          </w:tcPr>
          <w:p w14:paraId="350D2D2F"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vMerge/>
            <w:tcBorders>
              <w:top w:val="single" w:sz="2" w:space="0" w:color="auto"/>
              <w:left w:val="nil"/>
              <w:bottom w:val="nil"/>
              <w:right w:val="single" w:sz="2" w:space="0" w:color="auto"/>
            </w:tcBorders>
            <w:vAlign w:val="center"/>
          </w:tcPr>
          <w:p w14:paraId="558B437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AA7C21C"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potporama</w:t>
            </w:r>
          </w:p>
        </w:tc>
      </w:tr>
      <w:tr w:rsidR="00995EF4" w:rsidRPr="00E943A9" w14:paraId="3D5D3575" w14:textId="77777777" w:rsidTr="00AC539A">
        <w:tc>
          <w:tcPr>
            <w:tcW w:w="534" w:type="dxa"/>
            <w:tcBorders>
              <w:top w:val="single" w:sz="2" w:space="0" w:color="auto"/>
              <w:left w:val="single" w:sz="4" w:space="0" w:color="auto"/>
              <w:bottom w:val="nil"/>
              <w:right w:val="single" w:sz="2" w:space="0" w:color="auto"/>
            </w:tcBorders>
            <w:vAlign w:val="center"/>
          </w:tcPr>
          <w:p w14:paraId="3E31702D"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9A94232"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Pomorski promet</w:t>
            </w:r>
          </w:p>
        </w:tc>
      </w:tr>
      <w:tr w:rsidR="00995EF4" w:rsidRPr="00E943A9" w14:paraId="40C22101" w14:textId="77777777" w:rsidTr="00AC539A">
        <w:tc>
          <w:tcPr>
            <w:tcW w:w="534" w:type="dxa"/>
            <w:tcBorders>
              <w:top w:val="nil"/>
              <w:left w:val="single" w:sz="4" w:space="0" w:color="auto"/>
              <w:bottom w:val="nil"/>
              <w:right w:val="nil"/>
            </w:tcBorders>
            <w:vAlign w:val="center"/>
          </w:tcPr>
          <w:p w14:paraId="3BD8934F"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E981450"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B50405E"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Služba od općeg gospodarskog interesa koja se odnosi na pomorsku kabotažu</w:t>
            </w:r>
          </w:p>
        </w:tc>
      </w:tr>
      <w:tr w:rsidR="00995EF4" w:rsidRPr="00E943A9" w14:paraId="28A6E552" w14:textId="77777777" w:rsidTr="00AC539A">
        <w:tc>
          <w:tcPr>
            <w:tcW w:w="534" w:type="dxa"/>
            <w:tcBorders>
              <w:top w:val="nil"/>
              <w:left w:val="single" w:sz="4" w:space="0" w:color="auto"/>
              <w:bottom w:val="nil"/>
              <w:right w:val="nil"/>
            </w:tcBorders>
            <w:vAlign w:val="center"/>
          </w:tcPr>
          <w:p w14:paraId="7278E872"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37A4963"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55E2B11"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Odobravanje poreznih olakšica u cilju održavanja konkurentnosti brodara</w:t>
            </w:r>
          </w:p>
        </w:tc>
      </w:tr>
      <w:tr w:rsidR="00995EF4" w:rsidRPr="00E943A9" w14:paraId="127025E2" w14:textId="77777777" w:rsidTr="00AC539A">
        <w:tc>
          <w:tcPr>
            <w:tcW w:w="534" w:type="dxa"/>
            <w:tcBorders>
              <w:top w:val="nil"/>
              <w:left w:val="single" w:sz="4" w:space="0" w:color="auto"/>
              <w:bottom w:val="nil"/>
              <w:right w:val="nil"/>
            </w:tcBorders>
            <w:vAlign w:val="center"/>
          </w:tcPr>
          <w:p w14:paraId="25B852D5"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B4E7944"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C8EEEE8"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Pokriće troškova zapošljavanja koji se odnose na smanjenje stope doprinosa za socijalno osiguranje</w:t>
            </w:r>
          </w:p>
        </w:tc>
      </w:tr>
      <w:tr w:rsidR="00995EF4" w:rsidRPr="00E943A9" w14:paraId="643A5733" w14:textId="77777777" w:rsidTr="00AC539A">
        <w:tc>
          <w:tcPr>
            <w:tcW w:w="534" w:type="dxa"/>
            <w:tcBorders>
              <w:top w:val="nil"/>
              <w:left w:val="single" w:sz="4" w:space="0" w:color="auto"/>
              <w:bottom w:val="nil"/>
              <w:right w:val="nil"/>
            </w:tcBorders>
            <w:vAlign w:val="center"/>
          </w:tcPr>
          <w:p w14:paraId="7369FC48"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400444D"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9491869"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Zamjena posade tj. podmirenje dijela troškova povratka pomorca u domovinu</w:t>
            </w:r>
          </w:p>
        </w:tc>
      </w:tr>
      <w:tr w:rsidR="00CF7BFC" w:rsidRPr="00E943A9" w14:paraId="049C2A77" w14:textId="77777777" w:rsidTr="00AC539A">
        <w:trPr>
          <w:trHeight w:val="85"/>
        </w:trPr>
        <w:tc>
          <w:tcPr>
            <w:tcW w:w="1101" w:type="dxa"/>
            <w:gridSpan w:val="3"/>
            <w:tcBorders>
              <w:top w:val="nil"/>
              <w:left w:val="single" w:sz="4" w:space="0" w:color="auto"/>
              <w:right w:val="single" w:sz="2" w:space="0" w:color="auto"/>
            </w:tcBorders>
            <w:vAlign w:val="center"/>
          </w:tcPr>
          <w:p w14:paraId="2D301E50"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2A07B449"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Ulaganje u obnovu flote koja čine dio strukturalne reforme čiji je cilj smanjivanje kapaciteta flote</w:t>
            </w:r>
          </w:p>
        </w:tc>
      </w:tr>
      <w:tr w:rsidR="00995EF4" w:rsidRPr="00E943A9" w14:paraId="7B544C7D" w14:textId="77777777" w:rsidTr="00AC539A">
        <w:tc>
          <w:tcPr>
            <w:tcW w:w="534" w:type="dxa"/>
            <w:tcBorders>
              <w:top w:val="nil"/>
              <w:left w:val="single" w:sz="4" w:space="0" w:color="auto"/>
              <w:bottom w:val="single" w:sz="2" w:space="0" w:color="auto"/>
              <w:right w:val="nil"/>
            </w:tcBorders>
            <w:vAlign w:val="center"/>
          </w:tcPr>
          <w:p w14:paraId="7615D7D1"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3F055CCB"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BC5B8ED"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Usavršavanje pomoraca te ostale namjene predviđene horizontalnim i regionalnim potporama</w:t>
            </w:r>
          </w:p>
        </w:tc>
      </w:tr>
      <w:tr w:rsidR="00995EF4" w:rsidRPr="00E943A9" w14:paraId="1E82F645" w14:textId="77777777" w:rsidTr="00AC539A">
        <w:trPr>
          <w:trHeight w:val="228"/>
        </w:trPr>
        <w:tc>
          <w:tcPr>
            <w:tcW w:w="534" w:type="dxa"/>
            <w:tcBorders>
              <w:top w:val="single" w:sz="2" w:space="0" w:color="auto"/>
              <w:left w:val="single" w:sz="4" w:space="0" w:color="auto"/>
              <w:bottom w:val="nil"/>
              <w:right w:val="single" w:sz="2" w:space="0" w:color="auto"/>
            </w:tcBorders>
            <w:vAlign w:val="center"/>
          </w:tcPr>
          <w:p w14:paraId="6C0742EE"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6D9F9779"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Proizvodnja čelika</w:t>
            </w:r>
          </w:p>
        </w:tc>
      </w:tr>
      <w:tr w:rsidR="00995EF4" w:rsidRPr="00E943A9" w14:paraId="703F666C" w14:textId="77777777" w:rsidTr="00AC539A">
        <w:tc>
          <w:tcPr>
            <w:tcW w:w="534" w:type="dxa"/>
            <w:tcBorders>
              <w:top w:val="nil"/>
              <w:left w:val="single" w:sz="4" w:space="0" w:color="auto"/>
              <w:bottom w:val="nil"/>
              <w:right w:val="nil"/>
            </w:tcBorders>
            <w:vAlign w:val="center"/>
          </w:tcPr>
          <w:p w14:paraId="212E6B8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0CE06900"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828CCA4"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Zatvaranje poslovanja (kapaciteta) poduzetnika</w:t>
            </w:r>
          </w:p>
        </w:tc>
      </w:tr>
      <w:tr w:rsidR="00995EF4" w:rsidRPr="00E943A9" w14:paraId="163B14A0" w14:textId="77777777" w:rsidTr="00AC539A">
        <w:tc>
          <w:tcPr>
            <w:tcW w:w="534" w:type="dxa"/>
            <w:tcBorders>
              <w:top w:val="nil"/>
              <w:left w:val="single" w:sz="4" w:space="0" w:color="auto"/>
              <w:bottom w:val="nil"/>
              <w:right w:val="nil"/>
            </w:tcBorders>
            <w:vAlign w:val="center"/>
          </w:tcPr>
          <w:p w14:paraId="4B493BF0"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38D4605"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DC413DE"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Zbrinjavanje viška radnika i prijevremeno umirovljenje radnika, pod uvjetom da se radi o djelomičnom ili potpunom zatvaranju kapaciteta</w:t>
            </w:r>
          </w:p>
        </w:tc>
      </w:tr>
      <w:tr w:rsidR="00995EF4" w:rsidRPr="00E943A9" w14:paraId="6A0F557C" w14:textId="77777777" w:rsidTr="00AC539A">
        <w:tc>
          <w:tcPr>
            <w:tcW w:w="534" w:type="dxa"/>
            <w:tcBorders>
              <w:top w:val="nil"/>
              <w:left w:val="single" w:sz="4" w:space="0" w:color="auto"/>
              <w:bottom w:val="single" w:sz="2" w:space="0" w:color="auto"/>
              <w:right w:val="nil"/>
            </w:tcBorders>
            <w:vAlign w:val="center"/>
          </w:tcPr>
          <w:p w14:paraId="73930408"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6A0E92CD"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C22B1E4"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 xml:space="preserve">Ostale namjene predviđene horizontalnim potporama osim potpora za sanaciju i restrukturiranje </w:t>
            </w:r>
          </w:p>
        </w:tc>
      </w:tr>
      <w:tr w:rsidR="00995EF4" w:rsidRPr="00E943A9" w14:paraId="5C6C6648" w14:textId="77777777" w:rsidTr="00AC539A">
        <w:tc>
          <w:tcPr>
            <w:tcW w:w="534" w:type="dxa"/>
            <w:tcBorders>
              <w:top w:val="single" w:sz="2" w:space="0" w:color="auto"/>
              <w:left w:val="single" w:sz="4" w:space="0" w:color="auto"/>
              <w:bottom w:val="nil"/>
              <w:right w:val="single" w:sz="2" w:space="0" w:color="auto"/>
            </w:tcBorders>
            <w:vAlign w:val="center"/>
          </w:tcPr>
          <w:p w14:paraId="694F7832"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8C30390" w14:textId="77777777" w:rsidR="00995EF4" w:rsidRPr="00E943A9" w:rsidRDefault="00995EF4" w:rsidP="00BE487D">
            <w:pPr>
              <w:widowControl w:val="0"/>
              <w:autoSpaceDE w:val="0"/>
              <w:autoSpaceDN w:val="0"/>
              <w:adjustRightInd w:val="0"/>
              <w:jc w:val="both"/>
              <w:rPr>
                <w:b/>
                <w:sz w:val="18"/>
                <w:szCs w:val="18"/>
              </w:rPr>
            </w:pPr>
            <w:r w:rsidRPr="00E943A9">
              <w:rPr>
                <w:b/>
                <w:sz w:val="18"/>
                <w:szCs w:val="18"/>
              </w:rPr>
              <w:t>Brodogradnja</w:t>
            </w:r>
          </w:p>
        </w:tc>
      </w:tr>
      <w:tr w:rsidR="00995EF4" w:rsidRPr="00E943A9" w14:paraId="74051882" w14:textId="77777777" w:rsidTr="00AC539A">
        <w:tc>
          <w:tcPr>
            <w:tcW w:w="534" w:type="dxa"/>
            <w:tcBorders>
              <w:top w:val="nil"/>
              <w:left w:val="single" w:sz="4" w:space="0" w:color="auto"/>
              <w:bottom w:val="nil"/>
              <w:right w:val="nil"/>
            </w:tcBorders>
            <w:vAlign w:val="center"/>
          </w:tcPr>
          <w:p w14:paraId="459CB01F"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71D788B"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0A639D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Prilikom djelomičnog ili potpunog zatvaranja kapaciteta mogu se pokriti sljedeći troškovi: zbrinjavanje viška radnika i prijevremeno umirovljenje; savjetodavne usluge radnicima koji su proglašeni viškom odnosno prijevremeno umirovljeni; prekvalifikacija radnika; preuređenje brodogradilišta, zgrada, postrojenja i infrastrukture za svrhe različite od brodogradnje</w:t>
            </w:r>
          </w:p>
        </w:tc>
      </w:tr>
      <w:tr w:rsidR="00995EF4" w:rsidRPr="00E943A9" w14:paraId="493D8005" w14:textId="77777777" w:rsidTr="00AC539A">
        <w:tc>
          <w:tcPr>
            <w:tcW w:w="534" w:type="dxa"/>
            <w:tcBorders>
              <w:top w:val="nil"/>
              <w:left w:val="single" w:sz="4" w:space="0" w:color="auto"/>
              <w:bottom w:val="nil"/>
              <w:right w:val="nil"/>
            </w:tcBorders>
            <w:vAlign w:val="center"/>
          </w:tcPr>
          <w:p w14:paraId="028A30A9"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A797992"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399607" w14:textId="77777777" w:rsidR="00995EF4" w:rsidRPr="00E943A9" w:rsidRDefault="00995EF4" w:rsidP="00BE487D">
            <w:pPr>
              <w:widowControl w:val="0"/>
              <w:autoSpaceDE w:val="0"/>
              <w:autoSpaceDN w:val="0"/>
              <w:adjustRightInd w:val="0"/>
              <w:jc w:val="both"/>
              <w:rPr>
                <w:spacing w:val="-4"/>
                <w:sz w:val="18"/>
                <w:szCs w:val="18"/>
              </w:rPr>
            </w:pPr>
            <w:r w:rsidRPr="00E943A9">
              <w:rPr>
                <w:spacing w:val="-4"/>
                <w:sz w:val="18"/>
                <w:szCs w:val="18"/>
              </w:rPr>
              <w:t>Prilikom potpunog zatvaranja kapaciteta putem zajmova i državnih jamstava okončanje nedovršenih poslova</w:t>
            </w:r>
          </w:p>
        </w:tc>
      </w:tr>
      <w:tr w:rsidR="00995EF4" w:rsidRPr="00E943A9" w14:paraId="4E750746" w14:textId="77777777" w:rsidTr="00AC539A">
        <w:tc>
          <w:tcPr>
            <w:tcW w:w="534" w:type="dxa"/>
            <w:tcBorders>
              <w:top w:val="nil"/>
              <w:left w:val="single" w:sz="4" w:space="0" w:color="auto"/>
              <w:bottom w:val="nil"/>
              <w:right w:val="nil"/>
            </w:tcBorders>
            <w:vAlign w:val="center"/>
          </w:tcPr>
          <w:p w14:paraId="576529B0"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EFD3807"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35B3E62"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 xml:space="preserve">Regionalne potpore za nadogradnju ili modernizaciju postojećih poduzetnika zbog poboljšanja </w:t>
            </w:r>
            <w:r w:rsidRPr="00E943A9">
              <w:rPr>
                <w:sz w:val="18"/>
                <w:szCs w:val="18"/>
              </w:rPr>
              <w:lastRenderedPageBreak/>
              <w:t>iskoristivosti postojeće opreme i uređaja</w:t>
            </w:r>
          </w:p>
        </w:tc>
      </w:tr>
      <w:tr w:rsidR="00995EF4" w:rsidRPr="00E943A9" w14:paraId="3340ADBB" w14:textId="77777777" w:rsidTr="00AC539A">
        <w:tc>
          <w:tcPr>
            <w:tcW w:w="534" w:type="dxa"/>
            <w:tcBorders>
              <w:top w:val="nil"/>
              <w:left w:val="single" w:sz="4" w:space="0" w:color="auto"/>
              <w:bottom w:val="single" w:sz="2" w:space="0" w:color="auto"/>
              <w:right w:val="nil"/>
            </w:tcBorders>
            <w:vAlign w:val="center"/>
          </w:tcPr>
          <w:p w14:paraId="7AA4E1D1"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2780384" w14:textId="77777777" w:rsidR="00995EF4" w:rsidRPr="00E943A9"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2BAAB4"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potporama</w:t>
            </w:r>
          </w:p>
        </w:tc>
      </w:tr>
      <w:tr w:rsidR="00995EF4" w:rsidRPr="00E943A9" w14:paraId="21AE83D7" w14:textId="77777777" w:rsidTr="00AC539A">
        <w:tc>
          <w:tcPr>
            <w:tcW w:w="534" w:type="dxa"/>
            <w:tcBorders>
              <w:top w:val="single" w:sz="2" w:space="0" w:color="auto"/>
              <w:left w:val="single" w:sz="4" w:space="0" w:color="auto"/>
              <w:bottom w:val="nil"/>
              <w:right w:val="single" w:sz="2" w:space="0" w:color="auto"/>
            </w:tcBorders>
            <w:vAlign w:val="center"/>
          </w:tcPr>
          <w:p w14:paraId="5355BFF7"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BB24930"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Javne radiodifuzijske usluge</w:t>
            </w:r>
          </w:p>
        </w:tc>
      </w:tr>
      <w:tr w:rsidR="00995EF4" w:rsidRPr="00E943A9" w14:paraId="63F90268" w14:textId="77777777" w:rsidTr="00AC539A">
        <w:tc>
          <w:tcPr>
            <w:tcW w:w="534" w:type="dxa"/>
            <w:tcBorders>
              <w:top w:val="nil"/>
              <w:left w:val="single" w:sz="4" w:space="0" w:color="auto"/>
              <w:bottom w:val="nil"/>
              <w:right w:val="nil"/>
            </w:tcBorders>
            <w:vAlign w:val="center"/>
          </w:tcPr>
          <w:p w14:paraId="3F049AEF"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EB895C5"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A56835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 xml:space="preserve">Usluge od općeg gospodarskog interesa koje su u izravnoj vezi s demokratskim, socijalnim i kulturnim potrebama društva i potrebom očuvanja medijskog pluralizma </w:t>
            </w:r>
          </w:p>
        </w:tc>
      </w:tr>
      <w:tr w:rsidR="00995EF4" w:rsidRPr="00E943A9" w14:paraId="5F4DB6D7" w14:textId="77777777" w:rsidTr="00AC539A">
        <w:tc>
          <w:tcPr>
            <w:tcW w:w="534" w:type="dxa"/>
            <w:tcBorders>
              <w:top w:val="nil"/>
              <w:left w:val="single" w:sz="4" w:space="0" w:color="auto"/>
              <w:bottom w:val="single" w:sz="2" w:space="0" w:color="auto"/>
              <w:right w:val="nil"/>
            </w:tcBorders>
            <w:vAlign w:val="center"/>
          </w:tcPr>
          <w:p w14:paraId="62DE4857"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048A156A"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06434E3"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i regionalnim potporama</w:t>
            </w:r>
          </w:p>
        </w:tc>
      </w:tr>
      <w:tr w:rsidR="00995EF4" w:rsidRPr="00E943A9" w14:paraId="482D081A" w14:textId="77777777" w:rsidTr="00AC539A">
        <w:tc>
          <w:tcPr>
            <w:tcW w:w="534" w:type="dxa"/>
            <w:tcBorders>
              <w:top w:val="single" w:sz="2" w:space="0" w:color="auto"/>
              <w:left w:val="single" w:sz="4" w:space="0" w:color="auto"/>
              <w:bottom w:val="nil"/>
              <w:right w:val="single" w:sz="2" w:space="0" w:color="auto"/>
            </w:tcBorders>
            <w:vAlign w:val="center"/>
          </w:tcPr>
          <w:p w14:paraId="436C2FCB"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87268D9"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Kinematografija i ostala audiovizualna djelatnost</w:t>
            </w:r>
          </w:p>
        </w:tc>
      </w:tr>
      <w:tr w:rsidR="00995EF4" w:rsidRPr="00E943A9" w14:paraId="72E8ED92" w14:textId="77777777" w:rsidTr="00AC539A">
        <w:tc>
          <w:tcPr>
            <w:tcW w:w="534" w:type="dxa"/>
            <w:tcBorders>
              <w:top w:val="nil"/>
              <w:left w:val="single" w:sz="4" w:space="0" w:color="auto"/>
              <w:bottom w:val="nil"/>
              <w:right w:val="nil"/>
            </w:tcBorders>
            <w:vAlign w:val="center"/>
          </w:tcPr>
          <w:p w14:paraId="029C9AED"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4CF02288"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3698A3C"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Proizvodnja filmova i TV programa koji su od značaja za razvoj kulture sukladno potvrđenim nacionalnim kriterijima</w:t>
            </w:r>
          </w:p>
        </w:tc>
      </w:tr>
      <w:tr w:rsidR="00995EF4" w:rsidRPr="00E943A9" w14:paraId="3DFA8920" w14:textId="77777777" w:rsidTr="00AC539A">
        <w:tc>
          <w:tcPr>
            <w:tcW w:w="534" w:type="dxa"/>
            <w:tcBorders>
              <w:top w:val="nil"/>
              <w:left w:val="single" w:sz="4" w:space="0" w:color="auto"/>
              <w:bottom w:val="single" w:sz="2" w:space="0" w:color="auto"/>
              <w:right w:val="nil"/>
            </w:tcBorders>
            <w:vAlign w:val="center"/>
          </w:tcPr>
          <w:p w14:paraId="6CEEE8B5"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4624C89"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A1EE315"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i regionalnim potporama</w:t>
            </w:r>
          </w:p>
        </w:tc>
      </w:tr>
      <w:tr w:rsidR="00995EF4" w:rsidRPr="00E943A9" w14:paraId="32C14E6F" w14:textId="77777777" w:rsidTr="00AC539A">
        <w:trPr>
          <w:trHeight w:val="99"/>
        </w:trPr>
        <w:tc>
          <w:tcPr>
            <w:tcW w:w="534" w:type="dxa"/>
            <w:tcBorders>
              <w:top w:val="single" w:sz="2" w:space="0" w:color="auto"/>
              <w:left w:val="single" w:sz="4" w:space="0" w:color="auto"/>
              <w:bottom w:val="nil"/>
              <w:right w:val="single" w:sz="2" w:space="0" w:color="auto"/>
            </w:tcBorders>
            <w:vAlign w:val="center"/>
          </w:tcPr>
          <w:p w14:paraId="4F6B6B10"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66F727DE"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Poštanske usluge</w:t>
            </w:r>
          </w:p>
        </w:tc>
      </w:tr>
      <w:tr w:rsidR="00995EF4" w:rsidRPr="00E943A9" w14:paraId="304A1F1B" w14:textId="77777777" w:rsidTr="00AC539A">
        <w:tc>
          <w:tcPr>
            <w:tcW w:w="534" w:type="dxa"/>
            <w:tcBorders>
              <w:top w:val="nil"/>
              <w:left w:val="single" w:sz="4" w:space="0" w:color="auto"/>
              <w:bottom w:val="nil"/>
              <w:right w:val="nil"/>
            </w:tcBorders>
            <w:vAlign w:val="center"/>
          </w:tcPr>
          <w:p w14:paraId="3CEAC98C"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4" w:space="0" w:color="auto"/>
            </w:tcBorders>
            <w:vAlign w:val="center"/>
          </w:tcPr>
          <w:p w14:paraId="1642D5CE"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D11006D"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Služba od općeg gospodarskog interesa koja se odnosi na univerzalne usluge, a ispunjava zahtjeve za kontinuitetom, tajnošću, neutralnošću, jednakosti postupanja i prilagodljivosti</w:t>
            </w:r>
          </w:p>
        </w:tc>
      </w:tr>
      <w:tr w:rsidR="00995EF4" w:rsidRPr="00E943A9" w14:paraId="6703B2B1" w14:textId="77777777" w:rsidTr="00AC539A">
        <w:tc>
          <w:tcPr>
            <w:tcW w:w="534" w:type="dxa"/>
            <w:tcBorders>
              <w:top w:val="nil"/>
              <w:left w:val="single" w:sz="4" w:space="0" w:color="auto"/>
              <w:bottom w:val="single" w:sz="2" w:space="0" w:color="auto"/>
              <w:right w:val="nil"/>
            </w:tcBorders>
            <w:vAlign w:val="center"/>
          </w:tcPr>
          <w:p w14:paraId="2698098E"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4" w:space="0" w:color="auto"/>
            </w:tcBorders>
            <w:vAlign w:val="center"/>
          </w:tcPr>
          <w:p w14:paraId="31B34FA6"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7035C96"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Ostale namjene predviđene horizontalnim i regionalnim potporama</w:t>
            </w:r>
          </w:p>
        </w:tc>
      </w:tr>
      <w:tr w:rsidR="00995EF4" w:rsidRPr="00E943A9" w14:paraId="7150605B" w14:textId="77777777" w:rsidTr="00AC539A">
        <w:tc>
          <w:tcPr>
            <w:tcW w:w="534" w:type="dxa"/>
            <w:tcBorders>
              <w:top w:val="single" w:sz="2" w:space="0" w:color="auto"/>
              <w:left w:val="single" w:sz="4" w:space="0" w:color="auto"/>
              <w:bottom w:val="nil"/>
              <w:right w:val="single" w:sz="2" w:space="0" w:color="auto"/>
            </w:tcBorders>
            <w:vAlign w:val="center"/>
          </w:tcPr>
          <w:p w14:paraId="13EB2617" w14:textId="77777777" w:rsidR="00995EF4" w:rsidRPr="00E943A9"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3F210883"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Turizam</w:t>
            </w:r>
          </w:p>
        </w:tc>
      </w:tr>
      <w:tr w:rsidR="00995EF4" w:rsidRPr="00E943A9" w14:paraId="4E3AA944" w14:textId="77777777" w:rsidTr="00AC539A">
        <w:tc>
          <w:tcPr>
            <w:tcW w:w="534" w:type="dxa"/>
            <w:tcBorders>
              <w:top w:val="nil"/>
              <w:left w:val="single" w:sz="4" w:space="0" w:color="auto"/>
              <w:bottom w:val="single" w:sz="2" w:space="0" w:color="auto"/>
              <w:right w:val="nil"/>
            </w:tcBorders>
            <w:vAlign w:val="center"/>
          </w:tcPr>
          <w:p w14:paraId="338D69F0"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4" w:space="0" w:color="auto"/>
            </w:tcBorders>
            <w:vAlign w:val="center"/>
          </w:tcPr>
          <w:p w14:paraId="5325DECC"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EE1244E"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Sve namjene predviđene horizontalnim i regionalnim potporama</w:t>
            </w:r>
          </w:p>
        </w:tc>
      </w:tr>
      <w:tr w:rsidR="00CF7BFC" w:rsidRPr="00E943A9" w14:paraId="7A614260" w14:textId="77777777" w:rsidTr="00AC539A">
        <w:tc>
          <w:tcPr>
            <w:tcW w:w="534" w:type="dxa"/>
            <w:tcBorders>
              <w:top w:val="single" w:sz="2" w:space="0" w:color="auto"/>
              <w:left w:val="single" w:sz="4" w:space="0" w:color="auto"/>
              <w:bottom w:val="nil"/>
              <w:right w:val="single" w:sz="2" w:space="0" w:color="auto"/>
            </w:tcBorders>
            <w:vAlign w:val="center"/>
          </w:tcPr>
          <w:p w14:paraId="3B7C62F4" w14:textId="77777777" w:rsidR="00CF7BFC" w:rsidRPr="00E943A9" w:rsidRDefault="00CF7BFC"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DED0EE5" w14:textId="77777777" w:rsidR="00CF7BFC" w:rsidRPr="00E943A9" w:rsidRDefault="00CF7BFC" w:rsidP="00BE487D">
            <w:pPr>
              <w:widowControl w:val="0"/>
              <w:autoSpaceDE w:val="0"/>
              <w:autoSpaceDN w:val="0"/>
              <w:adjustRightInd w:val="0"/>
              <w:jc w:val="both"/>
              <w:rPr>
                <w:b/>
                <w:sz w:val="18"/>
                <w:szCs w:val="18"/>
              </w:rPr>
            </w:pPr>
            <w:r w:rsidRPr="00E943A9">
              <w:rPr>
                <w:b/>
                <w:sz w:val="18"/>
                <w:szCs w:val="18"/>
              </w:rPr>
              <w:t>Zaštita okoliša i ušteda energije</w:t>
            </w:r>
          </w:p>
        </w:tc>
      </w:tr>
      <w:tr w:rsidR="00CF7BFC" w:rsidRPr="00E943A9" w14:paraId="0733D143" w14:textId="77777777" w:rsidTr="00AC539A">
        <w:tc>
          <w:tcPr>
            <w:tcW w:w="534" w:type="dxa"/>
            <w:tcBorders>
              <w:top w:val="nil"/>
              <w:left w:val="single" w:sz="4" w:space="0" w:color="auto"/>
              <w:bottom w:val="nil"/>
              <w:right w:val="nil"/>
            </w:tcBorders>
            <w:vAlign w:val="center"/>
          </w:tcPr>
          <w:p w14:paraId="003C5F41"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71EF630"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9D76468" w14:textId="77777777" w:rsidR="00CF7BFC" w:rsidRPr="00E943A9" w:rsidRDefault="00CF7BFC" w:rsidP="00BE487D">
            <w:pPr>
              <w:widowControl w:val="0"/>
              <w:autoSpaceDE w:val="0"/>
              <w:autoSpaceDN w:val="0"/>
              <w:adjustRightInd w:val="0"/>
              <w:jc w:val="both"/>
              <w:rPr>
                <w:spacing w:val="-6"/>
                <w:sz w:val="18"/>
                <w:szCs w:val="18"/>
              </w:rPr>
            </w:pPr>
            <w:r w:rsidRPr="00E943A9">
              <w:rPr>
                <w:spacing w:val="-6"/>
                <w:sz w:val="18"/>
                <w:szCs w:val="18"/>
              </w:rPr>
              <w:t>Postizanje višeg stupnja zaštite okoliša od obvezujućih standarda odnosno ukoliko ne postoje obvezujući standardi</w:t>
            </w:r>
          </w:p>
        </w:tc>
      </w:tr>
      <w:tr w:rsidR="00CF7BFC" w:rsidRPr="00E943A9" w14:paraId="370519AA" w14:textId="77777777" w:rsidTr="00AC539A">
        <w:trPr>
          <w:trHeight w:val="378"/>
        </w:trPr>
        <w:tc>
          <w:tcPr>
            <w:tcW w:w="534" w:type="dxa"/>
            <w:tcBorders>
              <w:top w:val="nil"/>
              <w:left w:val="single" w:sz="4" w:space="0" w:color="auto"/>
              <w:bottom w:val="nil"/>
              <w:right w:val="nil"/>
            </w:tcBorders>
            <w:vAlign w:val="center"/>
          </w:tcPr>
          <w:p w14:paraId="69EFA4E5"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995CFD1"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73524A9B"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 xml:space="preserve">Nabava novih transportnih vozila po standardima višim od obvezujućih odnosno ukoliko ne postoje obvezujući standardi </w:t>
            </w:r>
          </w:p>
        </w:tc>
      </w:tr>
      <w:tr w:rsidR="00CF7BFC" w:rsidRPr="00E943A9" w14:paraId="3B45A2D4" w14:textId="77777777" w:rsidTr="00AC539A">
        <w:trPr>
          <w:trHeight w:val="136"/>
        </w:trPr>
        <w:tc>
          <w:tcPr>
            <w:tcW w:w="534" w:type="dxa"/>
            <w:tcBorders>
              <w:top w:val="nil"/>
              <w:left w:val="single" w:sz="4" w:space="0" w:color="auto"/>
              <w:bottom w:val="nil"/>
              <w:right w:val="nil"/>
            </w:tcBorders>
            <w:vAlign w:val="center"/>
          </w:tcPr>
          <w:p w14:paraId="59B66440"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530CEC1"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7C78A457"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Prilagodba budućim obvezujućim standardima</w:t>
            </w:r>
          </w:p>
        </w:tc>
      </w:tr>
      <w:tr w:rsidR="00CF7BFC" w:rsidRPr="00E943A9" w14:paraId="52BF2B90" w14:textId="77777777" w:rsidTr="00AC539A">
        <w:tc>
          <w:tcPr>
            <w:tcW w:w="534" w:type="dxa"/>
            <w:tcBorders>
              <w:top w:val="nil"/>
              <w:left w:val="single" w:sz="4" w:space="0" w:color="auto"/>
              <w:bottom w:val="nil"/>
              <w:right w:val="nil"/>
            </w:tcBorders>
            <w:vAlign w:val="center"/>
          </w:tcPr>
          <w:p w14:paraId="7984775A"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9E3BDD1"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0F5DA28"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Istraživanja odnosno izrada studija neposredno vezanih za zaštitu okoliša</w:t>
            </w:r>
          </w:p>
        </w:tc>
      </w:tr>
      <w:tr w:rsidR="00CF7BFC" w:rsidRPr="00E943A9" w14:paraId="672CAFB8" w14:textId="77777777" w:rsidTr="00AC539A">
        <w:tc>
          <w:tcPr>
            <w:tcW w:w="534" w:type="dxa"/>
            <w:tcBorders>
              <w:top w:val="nil"/>
              <w:left w:val="single" w:sz="4" w:space="0" w:color="auto"/>
              <w:bottom w:val="nil"/>
              <w:right w:val="nil"/>
            </w:tcBorders>
            <w:vAlign w:val="center"/>
          </w:tcPr>
          <w:p w14:paraId="0AF716E5"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4361207"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95E7147"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Ušteda energije</w:t>
            </w:r>
          </w:p>
        </w:tc>
      </w:tr>
      <w:tr w:rsidR="00CF7BFC" w:rsidRPr="00E943A9" w14:paraId="6DB91A9B" w14:textId="77777777" w:rsidTr="00AC539A">
        <w:tc>
          <w:tcPr>
            <w:tcW w:w="534" w:type="dxa"/>
            <w:tcBorders>
              <w:top w:val="nil"/>
              <w:left w:val="single" w:sz="4" w:space="0" w:color="auto"/>
              <w:bottom w:val="nil"/>
              <w:right w:val="nil"/>
            </w:tcBorders>
            <w:vAlign w:val="center"/>
          </w:tcPr>
          <w:p w14:paraId="385E1A82"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D2BBFF3"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26F9522"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Obnovljivi izvori energije</w:t>
            </w:r>
          </w:p>
        </w:tc>
      </w:tr>
      <w:tr w:rsidR="00CF7BFC" w:rsidRPr="00E943A9" w14:paraId="404243FE" w14:textId="77777777" w:rsidTr="00AC539A">
        <w:tc>
          <w:tcPr>
            <w:tcW w:w="534" w:type="dxa"/>
            <w:tcBorders>
              <w:top w:val="nil"/>
              <w:left w:val="single" w:sz="4" w:space="0" w:color="auto"/>
              <w:bottom w:val="nil"/>
              <w:right w:val="nil"/>
            </w:tcBorders>
            <w:vAlign w:val="center"/>
          </w:tcPr>
          <w:p w14:paraId="713EA3AB"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B19BE9A"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5B1C793"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Kogeneracija i daljinsko grijanje</w:t>
            </w:r>
          </w:p>
        </w:tc>
      </w:tr>
      <w:tr w:rsidR="00CF7BFC" w:rsidRPr="00E943A9" w14:paraId="62120F49" w14:textId="77777777" w:rsidTr="00AC539A">
        <w:tc>
          <w:tcPr>
            <w:tcW w:w="534" w:type="dxa"/>
            <w:tcBorders>
              <w:top w:val="nil"/>
              <w:left w:val="single" w:sz="4" w:space="0" w:color="auto"/>
              <w:bottom w:val="nil"/>
              <w:right w:val="nil"/>
            </w:tcBorders>
            <w:vAlign w:val="center"/>
          </w:tcPr>
          <w:p w14:paraId="49374F33"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9E62EE4"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EA1D917"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Gospodarenje otpadom</w:t>
            </w:r>
          </w:p>
        </w:tc>
      </w:tr>
      <w:tr w:rsidR="00CF7BFC" w:rsidRPr="00E943A9" w14:paraId="3B937555" w14:textId="77777777" w:rsidTr="00AC539A">
        <w:tc>
          <w:tcPr>
            <w:tcW w:w="534" w:type="dxa"/>
            <w:tcBorders>
              <w:top w:val="nil"/>
              <w:left w:val="single" w:sz="4" w:space="0" w:color="auto"/>
              <w:bottom w:val="nil"/>
              <w:right w:val="nil"/>
            </w:tcBorders>
            <w:vAlign w:val="center"/>
          </w:tcPr>
          <w:p w14:paraId="69E14BBE"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323AB44"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A6E111E"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Sanacija onečišćenih područja</w:t>
            </w:r>
          </w:p>
        </w:tc>
      </w:tr>
      <w:tr w:rsidR="00CF7BFC" w:rsidRPr="00E943A9" w14:paraId="3BDB87B4" w14:textId="77777777" w:rsidTr="00AC539A">
        <w:tc>
          <w:tcPr>
            <w:tcW w:w="534" w:type="dxa"/>
            <w:tcBorders>
              <w:top w:val="nil"/>
              <w:left w:val="single" w:sz="4" w:space="0" w:color="auto"/>
              <w:bottom w:val="nil"/>
              <w:right w:val="nil"/>
            </w:tcBorders>
            <w:vAlign w:val="center"/>
          </w:tcPr>
          <w:p w14:paraId="230908A6"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C9D9D80"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5AFFF22"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Premještanje poduzetnika radi zaštite okoliša na postojećoj lokaciji</w:t>
            </w:r>
          </w:p>
        </w:tc>
      </w:tr>
      <w:tr w:rsidR="00CF7BFC" w:rsidRPr="00E943A9" w14:paraId="052B4428" w14:textId="77777777" w:rsidTr="00AC539A">
        <w:tc>
          <w:tcPr>
            <w:tcW w:w="534" w:type="dxa"/>
            <w:tcBorders>
              <w:top w:val="nil"/>
              <w:left w:val="single" w:sz="4" w:space="0" w:color="auto"/>
              <w:bottom w:val="nil"/>
              <w:right w:val="nil"/>
            </w:tcBorders>
            <w:vAlign w:val="center"/>
          </w:tcPr>
          <w:p w14:paraId="6FF1E1C0"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D6E6907"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FC00921"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Sustav trgovanja dozvolama</w:t>
            </w:r>
          </w:p>
        </w:tc>
      </w:tr>
      <w:tr w:rsidR="00CF7BFC" w:rsidRPr="00E943A9" w14:paraId="4D229F9D" w14:textId="77777777" w:rsidTr="00AC539A">
        <w:trPr>
          <w:trHeight w:val="279"/>
        </w:trPr>
        <w:tc>
          <w:tcPr>
            <w:tcW w:w="534" w:type="dxa"/>
            <w:tcBorders>
              <w:top w:val="nil"/>
              <w:left w:val="single" w:sz="4" w:space="0" w:color="auto"/>
              <w:bottom w:val="single" w:sz="2" w:space="0" w:color="auto"/>
              <w:right w:val="nil"/>
            </w:tcBorders>
            <w:vAlign w:val="center"/>
          </w:tcPr>
          <w:p w14:paraId="67E26E19"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74A69E6E" w14:textId="77777777" w:rsidR="00CF7BFC" w:rsidRPr="00E943A9"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718CAA3" w14:textId="77777777" w:rsidR="00CF7BFC" w:rsidRPr="00E943A9" w:rsidRDefault="00CF7BFC" w:rsidP="00BE487D">
            <w:pPr>
              <w:widowControl w:val="0"/>
              <w:autoSpaceDE w:val="0"/>
              <w:autoSpaceDN w:val="0"/>
              <w:adjustRightInd w:val="0"/>
              <w:jc w:val="both"/>
              <w:rPr>
                <w:spacing w:val="-4"/>
                <w:sz w:val="18"/>
                <w:szCs w:val="18"/>
              </w:rPr>
            </w:pPr>
            <w:r w:rsidRPr="00E943A9">
              <w:rPr>
                <w:spacing w:val="-4"/>
                <w:sz w:val="18"/>
                <w:szCs w:val="18"/>
              </w:rPr>
              <w:t>Suzbijanje negativnih vanjskih učinaka zaštite okoliša putem smanjenja ili izuzeća od poreza za zaštitu okoliša za pojedine sektore ili kategorije poduzetnika uz mogućnost uvođenja viših poreza za ostale poduzetnike</w:t>
            </w:r>
          </w:p>
        </w:tc>
      </w:tr>
      <w:tr w:rsidR="00CF7BFC" w:rsidRPr="00E943A9" w14:paraId="4AE7FF53" w14:textId="77777777" w:rsidTr="00AC539A">
        <w:trPr>
          <w:trHeight w:val="280"/>
        </w:trPr>
        <w:tc>
          <w:tcPr>
            <w:tcW w:w="534" w:type="dxa"/>
            <w:tcBorders>
              <w:top w:val="single" w:sz="2" w:space="0" w:color="auto"/>
              <w:left w:val="single" w:sz="4" w:space="0" w:color="auto"/>
              <w:bottom w:val="nil"/>
              <w:right w:val="single" w:sz="2" w:space="0" w:color="auto"/>
            </w:tcBorders>
            <w:vAlign w:val="center"/>
          </w:tcPr>
          <w:p w14:paraId="4452200E" w14:textId="77777777" w:rsidR="00CF7BFC" w:rsidRPr="00E943A9" w:rsidRDefault="00CF7BFC"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DA480A5" w14:textId="77777777" w:rsidR="00CF7BFC" w:rsidRPr="00E943A9" w:rsidRDefault="00CF7BFC" w:rsidP="00BE487D">
            <w:pPr>
              <w:widowControl w:val="0"/>
              <w:autoSpaceDE w:val="0"/>
              <w:autoSpaceDN w:val="0"/>
              <w:adjustRightInd w:val="0"/>
              <w:jc w:val="both"/>
              <w:rPr>
                <w:sz w:val="18"/>
                <w:szCs w:val="18"/>
              </w:rPr>
            </w:pPr>
            <w:r w:rsidRPr="00E943A9">
              <w:rPr>
                <w:b/>
                <w:sz w:val="18"/>
                <w:szCs w:val="18"/>
              </w:rPr>
              <w:t>Sanacija i restrukturiranje</w:t>
            </w:r>
          </w:p>
        </w:tc>
      </w:tr>
      <w:tr w:rsidR="00CF7BFC" w:rsidRPr="00E943A9" w14:paraId="333C413F" w14:textId="77777777" w:rsidTr="00AC539A">
        <w:tc>
          <w:tcPr>
            <w:tcW w:w="534" w:type="dxa"/>
            <w:tcBorders>
              <w:top w:val="nil"/>
              <w:left w:val="single" w:sz="4" w:space="0" w:color="auto"/>
              <w:bottom w:val="single" w:sz="2" w:space="0" w:color="auto"/>
              <w:right w:val="nil"/>
            </w:tcBorders>
            <w:vAlign w:val="center"/>
          </w:tcPr>
          <w:p w14:paraId="413AF4A2" w14:textId="77777777" w:rsidR="00CF7BFC" w:rsidRPr="00E943A9" w:rsidRDefault="00CF7BFC"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2" w:space="0" w:color="auto"/>
            </w:tcBorders>
            <w:vAlign w:val="center"/>
          </w:tcPr>
          <w:p w14:paraId="0DC7D0C2" w14:textId="77777777" w:rsidR="00CF7BFC" w:rsidRPr="00E943A9" w:rsidRDefault="00CF7BFC"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5A05727" w14:textId="77777777" w:rsidR="00CF7BFC" w:rsidRPr="00E943A9" w:rsidRDefault="00CF7BFC" w:rsidP="00BE487D">
            <w:pPr>
              <w:widowControl w:val="0"/>
              <w:autoSpaceDE w:val="0"/>
              <w:autoSpaceDN w:val="0"/>
              <w:adjustRightInd w:val="0"/>
              <w:jc w:val="both"/>
              <w:rPr>
                <w:sz w:val="18"/>
                <w:szCs w:val="18"/>
              </w:rPr>
            </w:pPr>
            <w:r w:rsidRPr="00E943A9">
              <w:rPr>
                <w:sz w:val="18"/>
                <w:szCs w:val="18"/>
              </w:rPr>
              <w:t>Pomoć poduzetnicima u teškoćama kojima se temeljem ostvarivog i prihvaćenog plana restrukturiranja može osigurati dugoročni ostanak na tržištu</w:t>
            </w:r>
          </w:p>
        </w:tc>
      </w:tr>
      <w:tr w:rsidR="00995EF4" w:rsidRPr="00E943A9" w14:paraId="72568C9B"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299FCBB4" w14:textId="77777777" w:rsidR="00995EF4" w:rsidRPr="00E943A9" w:rsidRDefault="00995EF4" w:rsidP="00BE487D">
            <w:pPr>
              <w:widowControl w:val="0"/>
              <w:autoSpaceDE w:val="0"/>
              <w:autoSpaceDN w:val="0"/>
              <w:adjustRightInd w:val="0"/>
              <w:jc w:val="both"/>
              <w:rPr>
                <w:sz w:val="18"/>
                <w:szCs w:val="18"/>
              </w:rPr>
            </w:pPr>
            <w:r w:rsidRPr="00E943A9">
              <w:rPr>
                <w:b/>
                <w:sz w:val="18"/>
                <w:szCs w:val="18"/>
              </w:rPr>
              <w:t xml:space="preserve">REGIONALNA </w:t>
            </w:r>
          </w:p>
        </w:tc>
      </w:tr>
      <w:tr w:rsidR="00995EF4" w:rsidRPr="00E943A9" w14:paraId="37E19F07" w14:textId="77777777" w:rsidTr="00AC539A">
        <w:tc>
          <w:tcPr>
            <w:tcW w:w="534" w:type="dxa"/>
            <w:tcBorders>
              <w:top w:val="single" w:sz="2" w:space="0" w:color="auto"/>
              <w:left w:val="single" w:sz="4" w:space="0" w:color="auto"/>
              <w:bottom w:val="nil"/>
              <w:right w:val="nil"/>
            </w:tcBorders>
            <w:vAlign w:val="center"/>
          </w:tcPr>
          <w:p w14:paraId="7D5D1CCD"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826E678"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7648F7F"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Početna materijalna i nematerijalna ulaganja</w:t>
            </w:r>
          </w:p>
        </w:tc>
      </w:tr>
      <w:tr w:rsidR="00995EF4" w:rsidRPr="00E943A9" w14:paraId="04460B20" w14:textId="77777777" w:rsidTr="00AC539A">
        <w:tc>
          <w:tcPr>
            <w:tcW w:w="534" w:type="dxa"/>
            <w:tcBorders>
              <w:top w:val="nil"/>
              <w:left w:val="single" w:sz="4" w:space="0" w:color="auto"/>
              <w:bottom w:val="nil"/>
              <w:right w:val="nil"/>
            </w:tcBorders>
            <w:vAlign w:val="center"/>
          </w:tcPr>
          <w:p w14:paraId="659EA99B"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12DD85E3"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766227D"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Otvaranje novih radnih mjesta povezanih s projektom ulaganja</w:t>
            </w:r>
          </w:p>
        </w:tc>
      </w:tr>
      <w:tr w:rsidR="00995EF4" w:rsidRPr="00E943A9" w14:paraId="6A685736" w14:textId="77777777" w:rsidTr="00AC539A">
        <w:tc>
          <w:tcPr>
            <w:tcW w:w="534" w:type="dxa"/>
            <w:tcBorders>
              <w:top w:val="nil"/>
              <w:left w:val="single" w:sz="4" w:space="0" w:color="auto"/>
              <w:bottom w:val="nil"/>
              <w:right w:val="nil"/>
            </w:tcBorders>
            <w:vAlign w:val="center"/>
          </w:tcPr>
          <w:p w14:paraId="0E258BD1" w14:textId="77777777" w:rsidR="00995EF4" w:rsidRPr="00E943A9"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1718573" w14:textId="77777777" w:rsidR="00995EF4" w:rsidRPr="00E943A9"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B197348" w14:textId="77777777" w:rsidR="00995EF4" w:rsidRPr="00E943A9" w:rsidRDefault="00995EF4" w:rsidP="00BE487D">
            <w:pPr>
              <w:autoSpaceDE w:val="0"/>
              <w:autoSpaceDN w:val="0"/>
              <w:adjustRightInd w:val="0"/>
              <w:jc w:val="both"/>
              <w:rPr>
                <w:sz w:val="18"/>
                <w:szCs w:val="18"/>
              </w:rPr>
            </w:pPr>
            <w:r w:rsidRPr="00E943A9">
              <w:rPr>
                <w:sz w:val="18"/>
                <w:szCs w:val="18"/>
              </w:rPr>
              <w:t>Naknada dijela troškova tekućeg poslovanja (postojanje dodatnih transportnih troškova, područja s naseljenošću ispod 8 stanovnika po km</w:t>
            </w:r>
            <w:r w:rsidRPr="00E943A9">
              <w:rPr>
                <w:rFonts w:eastAsiaTheme="minorEastAsia"/>
                <w:sz w:val="18"/>
                <w:szCs w:val="18"/>
                <w:lang w:eastAsia="zh-CN"/>
              </w:rPr>
              <w:t>²</w:t>
            </w:r>
            <w:r w:rsidRPr="00E943A9">
              <w:rPr>
                <w:sz w:val="18"/>
                <w:szCs w:val="18"/>
              </w:rPr>
              <w:t>, udaljenost i nedostupnost pojedinih područja te za novoosnovane male poduzetnike)</w:t>
            </w:r>
          </w:p>
        </w:tc>
      </w:tr>
      <w:tr w:rsidR="00995EF4" w:rsidRPr="00E943A9" w14:paraId="74222877" w14:textId="77777777" w:rsidTr="00AC539A">
        <w:tc>
          <w:tcPr>
            <w:tcW w:w="534" w:type="dxa"/>
            <w:tcBorders>
              <w:top w:val="nil"/>
              <w:left w:val="single" w:sz="4" w:space="0" w:color="auto"/>
              <w:bottom w:val="single" w:sz="2" w:space="0" w:color="auto"/>
              <w:right w:val="nil"/>
            </w:tcBorders>
            <w:vAlign w:val="center"/>
          </w:tcPr>
          <w:p w14:paraId="3FE6AC73" w14:textId="77777777" w:rsidR="00995EF4" w:rsidRPr="00E943A9" w:rsidRDefault="00995EF4" w:rsidP="00BE487D">
            <w:pPr>
              <w:widowControl w:val="0"/>
              <w:autoSpaceDE w:val="0"/>
              <w:autoSpaceDN w:val="0"/>
              <w:adjustRightInd w:val="0"/>
              <w:jc w:val="both"/>
              <w:rPr>
                <w:b/>
                <w:i/>
                <w:sz w:val="18"/>
                <w:szCs w:val="18"/>
              </w:rPr>
            </w:pPr>
          </w:p>
        </w:tc>
        <w:tc>
          <w:tcPr>
            <w:tcW w:w="567" w:type="dxa"/>
            <w:gridSpan w:val="2"/>
            <w:tcBorders>
              <w:top w:val="nil"/>
              <w:left w:val="nil"/>
              <w:bottom w:val="single" w:sz="2" w:space="0" w:color="auto"/>
              <w:right w:val="single" w:sz="2" w:space="0" w:color="auto"/>
            </w:tcBorders>
            <w:vAlign w:val="center"/>
          </w:tcPr>
          <w:p w14:paraId="0F729EF5" w14:textId="77777777" w:rsidR="00995EF4" w:rsidRPr="00E943A9" w:rsidRDefault="00995EF4" w:rsidP="00BE487D">
            <w:pPr>
              <w:widowControl w:val="0"/>
              <w:autoSpaceDE w:val="0"/>
              <w:autoSpaceDN w:val="0"/>
              <w:adjustRightInd w:val="0"/>
              <w:jc w:val="both"/>
              <w:rPr>
                <w:b/>
                <w:i/>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B48D50D" w14:textId="77777777" w:rsidR="00995EF4" w:rsidRPr="00E943A9" w:rsidRDefault="00995EF4" w:rsidP="00BE487D">
            <w:pPr>
              <w:widowControl w:val="0"/>
              <w:autoSpaceDE w:val="0"/>
              <w:autoSpaceDN w:val="0"/>
              <w:adjustRightInd w:val="0"/>
              <w:jc w:val="both"/>
              <w:rPr>
                <w:sz w:val="18"/>
                <w:szCs w:val="18"/>
              </w:rPr>
            </w:pPr>
            <w:r w:rsidRPr="00E943A9">
              <w:rPr>
                <w:sz w:val="18"/>
                <w:szCs w:val="18"/>
              </w:rPr>
              <w:t>Veliki projekti ulaganja</w:t>
            </w:r>
          </w:p>
        </w:tc>
      </w:tr>
    </w:tbl>
    <w:p w14:paraId="5D7747C7" w14:textId="77777777" w:rsidR="00CF7BFC" w:rsidRPr="00E943A9" w:rsidRDefault="00CF7BFC" w:rsidP="00BE487D">
      <w:pPr>
        <w:widowControl w:val="0"/>
        <w:autoSpaceDE w:val="0"/>
        <w:autoSpaceDN w:val="0"/>
        <w:adjustRightInd w:val="0"/>
        <w:jc w:val="both"/>
      </w:pPr>
    </w:p>
    <w:p w14:paraId="44098285" w14:textId="77777777" w:rsidR="00995EF4" w:rsidRPr="00E943A9" w:rsidRDefault="00995EF4" w:rsidP="00BE487D">
      <w:pPr>
        <w:widowControl w:val="0"/>
        <w:autoSpaceDE w:val="0"/>
        <w:autoSpaceDN w:val="0"/>
        <w:adjustRightInd w:val="0"/>
        <w:jc w:val="both"/>
      </w:pPr>
      <w:r w:rsidRPr="00E943A9">
        <w:rPr>
          <w:b/>
          <w:bCs/>
        </w:rPr>
        <w:t>Razina državne potpore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8"/>
      </w:tblGrid>
      <w:tr w:rsidR="00995EF4" w:rsidRPr="00E943A9" w14:paraId="44640FF3" w14:textId="77777777" w:rsidTr="004E7739">
        <w:trPr>
          <w:trHeight w:val="179"/>
        </w:trPr>
        <w:tc>
          <w:tcPr>
            <w:tcW w:w="3678" w:type="dxa"/>
            <w:tcBorders>
              <w:top w:val="single" w:sz="4" w:space="0" w:color="auto"/>
              <w:left w:val="single" w:sz="4" w:space="0" w:color="auto"/>
              <w:bottom w:val="single" w:sz="4" w:space="0" w:color="auto"/>
              <w:right w:val="single" w:sz="4" w:space="0" w:color="auto"/>
            </w:tcBorders>
            <w:shd w:val="clear" w:color="auto" w:fill="FFCC99"/>
            <w:vAlign w:val="center"/>
          </w:tcPr>
          <w:p w14:paraId="3BE1115E" w14:textId="77777777" w:rsidR="00995EF4" w:rsidRPr="00E943A9" w:rsidRDefault="00995EF4" w:rsidP="00BE487D">
            <w:pPr>
              <w:widowControl w:val="0"/>
              <w:autoSpaceDE w:val="0"/>
              <w:autoSpaceDN w:val="0"/>
              <w:adjustRightInd w:val="0"/>
              <w:jc w:val="both"/>
              <w:rPr>
                <w:sz w:val="18"/>
              </w:rPr>
            </w:pPr>
            <w:r w:rsidRPr="00E943A9">
              <w:rPr>
                <w:sz w:val="18"/>
              </w:rPr>
              <w:t>Opis razine</w:t>
            </w:r>
          </w:p>
        </w:tc>
      </w:tr>
      <w:tr w:rsidR="00995EF4" w:rsidRPr="00E943A9" w14:paraId="0FBD1F8C" w14:textId="77777777" w:rsidTr="004E7739">
        <w:trPr>
          <w:trHeight w:val="239"/>
        </w:trPr>
        <w:tc>
          <w:tcPr>
            <w:tcW w:w="3678" w:type="dxa"/>
            <w:tcBorders>
              <w:top w:val="single" w:sz="4" w:space="0" w:color="auto"/>
              <w:left w:val="single" w:sz="4" w:space="0" w:color="auto"/>
              <w:bottom w:val="single" w:sz="4" w:space="0" w:color="auto"/>
              <w:right w:val="single" w:sz="4" w:space="0" w:color="auto"/>
            </w:tcBorders>
            <w:vAlign w:val="center"/>
          </w:tcPr>
          <w:p w14:paraId="4DC4BE16" w14:textId="77777777" w:rsidR="00995EF4" w:rsidRPr="00E943A9" w:rsidRDefault="00995EF4" w:rsidP="00E346B9">
            <w:pPr>
              <w:pStyle w:val="ListParagraph"/>
              <w:widowControl w:val="0"/>
              <w:numPr>
                <w:ilvl w:val="0"/>
                <w:numId w:val="7"/>
              </w:numPr>
              <w:autoSpaceDE w:val="0"/>
              <w:autoSpaceDN w:val="0"/>
              <w:adjustRightInd w:val="0"/>
              <w:jc w:val="both"/>
              <w:rPr>
                <w:sz w:val="18"/>
              </w:rPr>
            </w:pPr>
            <w:r w:rsidRPr="00E943A9">
              <w:rPr>
                <w:sz w:val="18"/>
              </w:rPr>
              <w:t>Državna razina</w:t>
            </w:r>
          </w:p>
        </w:tc>
      </w:tr>
      <w:tr w:rsidR="00995EF4" w:rsidRPr="00E943A9" w14:paraId="1287620C" w14:textId="77777777" w:rsidTr="004E7739">
        <w:trPr>
          <w:trHeight w:val="106"/>
        </w:trPr>
        <w:tc>
          <w:tcPr>
            <w:tcW w:w="3678" w:type="dxa"/>
            <w:tcBorders>
              <w:top w:val="single" w:sz="4" w:space="0" w:color="auto"/>
              <w:left w:val="single" w:sz="4" w:space="0" w:color="auto"/>
              <w:bottom w:val="single" w:sz="4" w:space="0" w:color="auto"/>
              <w:right w:val="single" w:sz="4" w:space="0" w:color="auto"/>
            </w:tcBorders>
            <w:vAlign w:val="center"/>
          </w:tcPr>
          <w:p w14:paraId="656FF142" w14:textId="77777777" w:rsidR="00995EF4" w:rsidRPr="00E943A9" w:rsidRDefault="00995EF4" w:rsidP="00E346B9">
            <w:pPr>
              <w:pStyle w:val="ListParagraph"/>
              <w:widowControl w:val="0"/>
              <w:numPr>
                <w:ilvl w:val="0"/>
                <w:numId w:val="7"/>
              </w:numPr>
              <w:autoSpaceDE w:val="0"/>
              <w:autoSpaceDN w:val="0"/>
              <w:adjustRightInd w:val="0"/>
              <w:jc w:val="both"/>
              <w:rPr>
                <w:sz w:val="18"/>
              </w:rPr>
            </w:pPr>
            <w:r w:rsidRPr="00E943A9">
              <w:rPr>
                <w:sz w:val="18"/>
              </w:rPr>
              <w:t>Regionalna razina</w:t>
            </w:r>
          </w:p>
        </w:tc>
      </w:tr>
      <w:tr w:rsidR="00995EF4" w:rsidRPr="00E943A9" w14:paraId="347DD214" w14:textId="77777777" w:rsidTr="004E7739">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6EC91D81" w14:textId="77777777" w:rsidR="00995EF4" w:rsidRPr="00E943A9" w:rsidRDefault="00995EF4" w:rsidP="00E346B9">
            <w:pPr>
              <w:pStyle w:val="ListParagraph"/>
              <w:widowControl w:val="0"/>
              <w:numPr>
                <w:ilvl w:val="0"/>
                <w:numId w:val="7"/>
              </w:numPr>
              <w:autoSpaceDE w:val="0"/>
              <w:autoSpaceDN w:val="0"/>
              <w:adjustRightInd w:val="0"/>
              <w:jc w:val="both"/>
              <w:rPr>
                <w:sz w:val="18"/>
              </w:rPr>
            </w:pPr>
            <w:r w:rsidRPr="00E943A9">
              <w:rPr>
                <w:sz w:val="18"/>
              </w:rPr>
              <w:t>Lokalna razina</w:t>
            </w:r>
          </w:p>
        </w:tc>
      </w:tr>
      <w:tr w:rsidR="00995EF4" w:rsidRPr="00E943A9" w14:paraId="114A2697" w14:textId="77777777" w:rsidTr="004E7739">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59F1189D" w14:textId="77777777" w:rsidR="00995EF4" w:rsidRPr="00E943A9" w:rsidRDefault="00995EF4" w:rsidP="00E346B9">
            <w:pPr>
              <w:pStyle w:val="ListParagraph"/>
              <w:widowControl w:val="0"/>
              <w:numPr>
                <w:ilvl w:val="0"/>
                <w:numId w:val="7"/>
              </w:numPr>
              <w:autoSpaceDE w:val="0"/>
              <w:autoSpaceDN w:val="0"/>
              <w:adjustRightInd w:val="0"/>
              <w:jc w:val="both"/>
              <w:rPr>
                <w:sz w:val="18"/>
              </w:rPr>
            </w:pPr>
            <w:r w:rsidRPr="00E943A9">
              <w:rPr>
                <w:sz w:val="18"/>
              </w:rPr>
              <w:t>Ostalo</w:t>
            </w:r>
          </w:p>
        </w:tc>
      </w:tr>
    </w:tbl>
    <w:p w14:paraId="64B72361" w14:textId="77777777" w:rsidR="00995EF4" w:rsidRPr="00E943A9" w:rsidRDefault="00995EF4" w:rsidP="00BE487D">
      <w:pPr>
        <w:jc w:val="both"/>
      </w:pPr>
    </w:p>
    <w:p w14:paraId="60D526BD" w14:textId="77777777" w:rsidR="00995EF4" w:rsidRPr="00E943A9" w:rsidRDefault="00995EF4" w:rsidP="00BE487D">
      <w:pPr>
        <w:jc w:val="both"/>
      </w:pPr>
    </w:p>
    <w:p w14:paraId="6C3C0D14" w14:textId="77777777" w:rsidR="00995EF4" w:rsidRPr="00E943A9" w:rsidRDefault="00995EF4" w:rsidP="00BE487D">
      <w:pPr>
        <w:jc w:val="both"/>
      </w:pPr>
    </w:p>
    <w:p w14:paraId="56CEB219" w14:textId="77777777" w:rsidR="00995EF4" w:rsidRPr="00E943A9" w:rsidRDefault="00995EF4" w:rsidP="00BE487D">
      <w:pPr>
        <w:jc w:val="both"/>
      </w:pPr>
      <w:r w:rsidRPr="00E943A9">
        <w:br w:type="page"/>
      </w:r>
    </w:p>
    <w:p w14:paraId="78809220" w14:textId="4A67C304" w:rsidR="00BE0817" w:rsidRPr="00E943A9" w:rsidRDefault="00BE0817" w:rsidP="00BE487D">
      <w:pPr>
        <w:pStyle w:val="Heading1"/>
        <w:spacing w:before="0"/>
        <w:jc w:val="both"/>
        <w:rPr>
          <w:rFonts w:ascii="Times New Roman" w:hAnsi="Times New Roman" w:cs="Times New Roman"/>
          <w:b/>
          <w:color w:val="auto"/>
          <w:sz w:val="24"/>
          <w:szCs w:val="24"/>
        </w:rPr>
      </w:pPr>
      <w:bookmarkStart w:id="36" w:name="_Toc213660057"/>
      <w:r w:rsidRPr="00E943A9">
        <w:rPr>
          <w:rFonts w:ascii="Times New Roman" w:hAnsi="Times New Roman" w:cs="Times New Roman"/>
          <w:b/>
          <w:color w:val="auto"/>
          <w:sz w:val="24"/>
          <w:szCs w:val="24"/>
        </w:rPr>
        <w:lastRenderedPageBreak/>
        <w:t>PRILOG 3.</w:t>
      </w:r>
      <w:bookmarkEnd w:id="36"/>
    </w:p>
    <w:p w14:paraId="7772C87D" w14:textId="77777777" w:rsidR="00BE0817" w:rsidRPr="00E943A9" w:rsidRDefault="00BE0817" w:rsidP="00BE487D">
      <w:pPr>
        <w:jc w:val="both"/>
        <w:rPr>
          <w:b/>
        </w:rPr>
      </w:pPr>
    </w:p>
    <w:p w14:paraId="09824EC9" w14:textId="77777777" w:rsidR="00995EF4" w:rsidRPr="00E943A9" w:rsidRDefault="00995EF4" w:rsidP="00870E9F">
      <w:pPr>
        <w:contextualSpacing/>
        <w:jc w:val="center"/>
        <w:rPr>
          <w:b/>
        </w:rPr>
      </w:pPr>
      <w:r w:rsidRPr="00E943A9">
        <w:rPr>
          <w:b/>
        </w:rPr>
        <w:t>Instrumenti državne potpore</w:t>
      </w:r>
      <w:r w:rsidR="00F13FE5" w:rsidRPr="00E943A9">
        <w:rPr>
          <w:b/>
        </w:rPr>
        <w:t xml:space="preserve"> i potpore male vrijednosti</w:t>
      </w:r>
    </w:p>
    <w:p w14:paraId="336E8E69" w14:textId="6ECF788C" w:rsidR="00995EF4" w:rsidRPr="00E943A9" w:rsidRDefault="00995EF4" w:rsidP="00BE487D">
      <w:pPr>
        <w:contextualSpacing/>
        <w:jc w:val="both"/>
      </w:pPr>
    </w:p>
    <w:p w14:paraId="28508F18" w14:textId="77777777" w:rsidR="00870E9F" w:rsidRPr="00E943A9" w:rsidRDefault="00870E9F" w:rsidP="00BE487D">
      <w:pPr>
        <w:contextualSpacing/>
        <w:jc w:val="both"/>
      </w:pPr>
    </w:p>
    <w:p w14:paraId="335A2730" w14:textId="77777777" w:rsidR="00995EF4" w:rsidRPr="00E943A9" w:rsidRDefault="00995EF4" w:rsidP="00BE487D">
      <w:pPr>
        <w:contextualSpacing/>
        <w:jc w:val="both"/>
      </w:pPr>
      <w:r w:rsidRPr="00E943A9">
        <w:rPr>
          <w:b/>
        </w:rPr>
        <w:t>A – Subvencije, porezna izuzeća i oprost duga</w:t>
      </w:r>
    </w:p>
    <w:p w14:paraId="249E3C7F" w14:textId="77777777" w:rsidR="00995EF4" w:rsidRPr="00E943A9" w:rsidRDefault="00995EF4" w:rsidP="00BE487D">
      <w:pPr>
        <w:contextualSpacing/>
        <w:jc w:val="both"/>
      </w:pPr>
    </w:p>
    <w:p w14:paraId="6583A8BB" w14:textId="77777777" w:rsidR="00995EF4" w:rsidRPr="00E943A9" w:rsidRDefault="00995EF4" w:rsidP="00BE487D">
      <w:pPr>
        <w:contextualSpacing/>
        <w:jc w:val="both"/>
      </w:pPr>
      <w:r w:rsidRPr="00E943A9">
        <w:t>Subvencije i porezna izuzeća, čine prvu skupinu u kojoj cjelokupan iznos transferiran korisniku čini potporu. Ta skupina se dijeli na dvije podskupine:</w:t>
      </w:r>
    </w:p>
    <w:p w14:paraId="06ECEA8C" w14:textId="77777777" w:rsidR="00995EF4" w:rsidRPr="00E943A9" w:rsidRDefault="00995EF4" w:rsidP="00BE487D">
      <w:pPr>
        <w:contextualSpacing/>
        <w:jc w:val="both"/>
      </w:pPr>
    </w:p>
    <w:p w14:paraId="49EEC3D1" w14:textId="77777777" w:rsidR="00995EF4" w:rsidRPr="00E943A9" w:rsidRDefault="00995EF4" w:rsidP="00E346B9">
      <w:pPr>
        <w:numPr>
          <w:ilvl w:val="0"/>
          <w:numId w:val="8"/>
        </w:numPr>
        <w:contextualSpacing/>
        <w:jc w:val="both"/>
      </w:pPr>
      <w:r w:rsidRPr="00E943A9">
        <w:rPr>
          <w:b/>
        </w:rPr>
        <w:t>A1</w:t>
      </w:r>
      <w:r w:rsidRPr="00E943A9">
        <w:t xml:space="preserve"> – subvencije (subvencije, neposredne subvencije kamata, oprost duga po osnovi za</w:t>
      </w:r>
      <w:r w:rsidR="009366E2" w:rsidRPr="00E943A9">
        <w:t>jma, prisilna nagodba i stečaj)</w:t>
      </w:r>
    </w:p>
    <w:p w14:paraId="67DB034A" w14:textId="60D2066E" w:rsidR="00995EF4" w:rsidRPr="00E943A9" w:rsidRDefault="00995EF4" w:rsidP="00E346B9">
      <w:pPr>
        <w:numPr>
          <w:ilvl w:val="0"/>
          <w:numId w:val="8"/>
        </w:numPr>
        <w:contextualSpacing/>
        <w:jc w:val="both"/>
      </w:pPr>
      <w:r w:rsidRPr="00E943A9">
        <w:rPr>
          <w:b/>
        </w:rPr>
        <w:t>A2</w:t>
      </w:r>
      <w:r w:rsidRPr="00E943A9">
        <w:t xml:space="preserve"> – oprost poreza, porezna oslobođenja, izuzeća i olakšice (kao različiti oblici umanjenja</w:t>
      </w:r>
      <w:r w:rsidRPr="00E943A9">
        <w:rPr>
          <w:b/>
        </w:rPr>
        <w:t xml:space="preserve"> </w:t>
      </w:r>
      <w:r w:rsidRPr="00E943A9">
        <w:t>poreza na dobit poduzetnicima, i to: olakšice s područja posebne državne skrbi - niža stopa poreza na dobit, olakšice i oslobađanja za porezne obveznike na području Grada Vukovara - niža stopa poreza na dobit, poticaji ulaganja - niža stopa poreza na dobit, poticaji istraživanja i razvoja - umanjenje porezne osnovice za troškove istraživanja i razvoja).</w:t>
      </w:r>
    </w:p>
    <w:p w14:paraId="581A09F8" w14:textId="77777777" w:rsidR="00995EF4" w:rsidRPr="00E943A9" w:rsidRDefault="00995EF4" w:rsidP="00BE487D">
      <w:pPr>
        <w:contextualSpacing/>
        <w:jc w:val="both"/>
      </w:pPr>
    </w:p>
    <w:p w14:paraId="79FD51FF" w14:textId="77777777" w:rsidR="00995EF4" w:rsidRPr="00E943A9" w:rsidRDefault="00995EF4" w:rsidP="00BE487D">
      <w:pPr>
        <w:contextualSpacing/>
        <w:jc w:val="both"/>
      </w:pPr>
      <w:r w:rsidRPr="00E943A9">
        <w:t>Osim subvencija i poreznih izuzeća u skupinu A2</w:t>
      </w:r>
      <w:r w:rsidRPr="00E943A9">
        <w:rPr>
          <w:b/>
        </w:rPr>
        <w:t xml:space="preserve"> </w:t>
      </w:r>
      <w:r w:rsidRPr="00E943A9">
        <w:t>ulaze i snižavanje, oslobođenje, olakšice, izuzeće i oprost plaćanja doprinosa, odgode pri plaćanju poreza, otpis duga i odgode pri podmirenju duga.</w:t>
      </w:r>
    </w:p>
    <w:p w14:paraId="5124505F" w14:textId="77777777" w:rsidR="00995EF4" w:rsidRPr="00E943A9" w:rsidRDefault="00995EF4" w:rsidP="00BE487D">
      <w:pPr>
        <w:contextualSpacing/>
        <w:jc w:val="both"/>
      </w:pPr>
    </w:p>
    <w:p w14:paraId="792C28AC" w14:textId="77777777" w:rsidR="00995EF4" w:rsidRPr="00E943A9" w:rsidRDefault="00995EF4" w:rsidP="00BE487D">
      <w:pPr>
        <w:contextualSpacing/>
        <w:jc w:val="both"/>
        <w:rPr>
          <w:b/>
        </w:rPr>
      </w:pPr>
      <w:r w:rsidRPr="00E943A9">
        <w:rPr>
          <w:b/>
        </w:rPr>
        <w:t xml:space="preserve">B - Udjeli u vlasničkom kapitalu </w:t>
      </w:r>
    </w:p>
    <w:p w14:paraId="2E21385C" w14:textId="77777777" w:rsidR="00995EF4" w:rsidRPr="00E943A9" w:rsidRDefault="00995EF4" w:rsidP="00BE487D">
      <w:pPr>
        <w:contextualSpacing/>
        <w:jc w:val="both"/>
      </w:pPr>
    </w:p>
    <w:p w14:paraId="4B7BEE39" w14:textId="01F749AC" w:rsidR="00995EF4" w:rsidRPr="00E943A9" w:rsidRDefault="00995EF4" w:rsidP="00BE487D">
      <w:pPr>
        <w:contextualSpacing/>
        <w:jc w:val="both"/>
      </w:pPr>
      <w:r w:rsidRPr="00E943A9">
        <w:t>Kako bi država pomogla nekom poduzetniku, svoje potraživanje prema tom poduzetniku može pretvoriti u vlasnički udjel i time postaje suvlasnikom toga poduzetnika. U tu skupinu potpora ubrajaju se: ulaganja u vlasnički kapital poduzetnika kojima nije cilj stvaranje dobiti, kapitalna ulaganja i rizični kapital, pretvaranje duga prema državi u vlasnički udjel, prodaja državne imovine pod povoljnim uvjetima, odricanje od isplate dobiti poduzetnika na koju država ima pravo na temelju udjela u vlasništvu poduzetnika i sl. Ovdje se radi uglavnom o poduzetnicima u teškoćama, kojima država na ovaj način nastoji pomoći.</w:t>
      </w:r>
    </w:p>
    <w:p w14:paraId="74CE5280" w14:textId="77777777" w:rsidR="00995EF4" w:rsidRPr="00E943A9" w:rsidRDefault="00995EF4" w:rsidP="00BE487D">
      <w:pPr>
        <w:contextualSpacing/>
        <w:jc w:val="both"/>
      </w:pPr>
    </w:p>
    <w:p w14:paraId="2A3FF8B4" w14:textId="77777777" w:rsidR="00995EF4" w:rsidRPr="00E943A9" w:rsidRDefault="00995EF4" w:rsidP="00BE487D">
      <w:pPr>
        <w:contextualSpacing/>
        <w:jc w:val="both"/>
        <w:rPr>
          <w:b/>
        </w:rPr>
      </w:pPr>
      <w:r w:rsidRPr="00E943A9">
        <w:rPr>
          <w:b/>
        </w:rPr>
        <w:t>C – Financijski transferi</w:t>
      </w:r>
    </w:p>
    <w:p w14:paraId="7334E322" w14:textId="77777777" w:rsidR="00995EF4" w:rsidRPr="00E943A9" w:rsidRDefault="00995EF4" w:rsidP="00BE487D">
      <w:pPr>
        <w:contextualSpacing/>
        <w:jc w:val="both"/>
        <w:rPr>
          <w:b/>
        </w:rPr>
      </w:pPr>
    </w:p>
    <w:p w14:paraId="4EFA9612" w14:textId="77777777" w:rsidR="00995EF4" w:rsidRPr="00E943A9" w:rsidRDefault="00995EF4" w:rsidP="00E346B9">
      <w:pPr>
        <w:pStyle w:val="ListParagraph"/>
        <w:numPr>
          <w:ilvl w:val="0"/>
          <w:numId w:val="9"/>
        </w:numPr>
        <w:jc w:val="both"/>
      </w:pPr>
      <w:r w:rsidRPr="00E943A9">
        <w:rPr>
          <w:b/>
        </w:rPr>
        <w:t>C1 - Povoljni zajmovi -</w:t>
      </w:r>
      <w:r w:rsidRPr="00E943A9">
        <w:t xml:space="preserve"> krediti koje država izravno ili putem ovlaštenih pravnih osoba ili putem poslovnih banaka, dodjeljuje poduzetnicima uz povoljnije uvjete od tržišnih, tj. niže kamatne stope od tržišnih, uz dulje vrijeme počeka ili otplate te druge povoljne uvjete. Takvi krediti obično su namijenjeni poduzetnicima u teškoćama koji kredit ne bi mogli dobiti pod redovnim tržišnim uvjetima, a uglavnom se dodjeljuju preko Hrvatske banke za obnovu i razvitak. U ovoj skupini nalaze se i zajmovi poduzetnicima u</w:t>
      </w:r>
      <w:r w:rsidRPr="00E943A9">
        <w:rPr>
          <w:b/>
        </w:rPr>
        <w:t xml:space="preserve"> </w:t>
      </w:r>
      <w:r w:rsidRPr="00E943A9">
        <w:t>teškoćama.</w:t>
      </w:r>
    </w:p>
    <w:p w14:paraId="7E5C2127" w14:textId="77777777" w:rsidR="00995EF4" w:rsidRPr="00E943A9" w:rsidRDefault="00995EF4" w:rsidP="00BE487D">
      <w:pPr>
        <w:contextualSpacing/>
        <w:jc w:val="both"/>
      </w:pPr>
    </w:p>
    <w:p w14:paraId="3AAD34E1" w14:textId="77777777" w:rsidR="00995EF4" w:rsidRPr="00E943A9" w:rsidRDefault="00995EF4" w:rsidP="00BE487D">
      <w:pPr>
        <w:contextualSpacing/>
        <w:jc w:val="both"/>
        <w:rPr>
          <w:b/>
        </w:rPr>
      </w:pPr>
      <w:r w:rsidRPr="00E943A9">
        <w:rPr>
          <w:b/>
        </w:rPr>
        <w:t>D – Jamstva, opozvana jamstva</w:t>
      </w:r>
    </w:p>
    <w:p w14:paraId="21D262D9" w14:textId="77777777" w:rsidR="00995EF4" w:rsidRPr="00E943A9" w:rsidRDefault="00995EF4" w:rsidP="00BE487D">
      <w:pPr>
        <w:contextualSpacing/>
        <w:jc w:val="both"/>
      </w:pPr>
    </w:p>
    <w:p w14:paraId="1F26E0C5" w14:textId="77777777" w:rsidR="00995EF4" w:rsidRPr="00E943A9" w:rsidRDefault="00995EF4" w:rsidP="00BE487D">
      <w:pPr>
        <w:contextualSpacing/>
        <w:jc w:val="both"/>
      </w:pPr>
      <w:r w:rsidRPr="00E943A9">
        <w:t xml:space="preserve">Obuhvaćaju državna jamstva za osiguranje od komercijalnih i nekomercijalnih rizika u nominalnom iznosu. Državna jamstva omogućuju korisniku da dobije kredit uz povoljnije uvjete od onih na financijskim tržištima. Državno jamstvo u pravilu ne predstavlja potporu korisniku ako su ispunjeni sljedeći uvjeti: da korisnik zajma nije u financijskim poteškoćama, da korisnik zajma može na financijskom tržištu dobiti zajam po tržišnim uvjetima bez posredovanja države, da je državno jamstvo povezano s određenom financijskom transakcijom, ograničeno po visini i po vremenu trajanja, da državno jamstvo ne pokriva više od 80 posto </w:t>
      </w:r>
      <w:r w:rsidRPr="00E943A9">
        <w:lastRenderedPageBreak/>
        <w:t>određene financijske obveze, da se za državno jamstvo zaračunava tržišna cijena. Samo ako su kumulativno ispunjeni svi navedeni uvjeti, tada jamstvo ne predstavlja potporu.</w:t>
      </w:r>
    </w:p>
    <w:p w14:paraId="3189B96A" w14:textId="77777777" w:rsidR="00995EF4" w:rsidRPr="00E943A9" w:rsidRDefault="00995EF4" w:rsidP="00BE487D">
      <w:pPr>
        <w:contextualSpacing/>
        <w:jc w:val="both"/>
      </w:pPr>
    </w:p>
    <w:p w14:paraId="0B9AD4CD" w14:textId="77777777" w:rsidR="00995EF4" w:rsidRPr="00E943A9" w:rsidRDefault="00995EF4" w:rsidP="00BE487D">
      <w:pPr>
        <w:contextualSpacing/>
        <w:jc w:val="both"/>
      </w:pPr>
      <w:r w:rsidRPr="00E943A9">
        <w:t>Ovoj skupini pripadaju i opozvana jamstva kod kojih je element potpore jednak iznosu opozvanog jamstva.</w:t>
      </w:r>
    </w:p>
    <w:p w14:paraId="4DE28647" w14:textId="77777777" w:rsidR="00995EF4" w:rsidRPr="00E943A9" w:rsidRDefault="00995EF4" w:rsidP="00BE487D">
      <w:pPr>
        <w:contextualSpacing/>
        <w:jc w:val="both"/>
      </w:pPr>
    </w:p>
    <w:p w14:paraId="0646286A" w14:textId="77777777" w:rsidR="00995EF4" w:rsidRPr="00E943A9" w:rsidRDefault="00995EF4" w:rsidP="00BE487D">
      <w:pPr>
        <w:contextualSpacing/>
        <w:jc w:val="both"/>
      </w:pPr>
      <w:r w:rsidRPr="00E943A9">
        <w:t>Navedeni instrumenti dodjele potpore predstavljaju samo najčešće korištene instrumente.</w:t>
      </w:r>
    </w:p>
    <w:p w14:paraId="432D9FC5" w14:textId="77777777" w:rsidR="00EF0F3E" w:rsidRPr="00E943A9" w:rsidRDefault="00EF0F3E" w:rsidP="00BE487D">
      <w:pPr>
        <w:contextualSpacing/>
        <w:jc w:val="both"/>
      </w:pPr>
    </w:p>
    <w:p w14:paraId="48572D0C" w14:textId="77777777" w:rsidR="00995EF4" w:rsidRPr="00E943A9" w:rsidRDefault="00995EF4" w:rsidP="00BE487D">
      <w:pPr>
        <w:rPr>
          <w:b/>
        </w:rPr>
      </w:pPr>
      <w:r w:rsidRPr="00E943A9">
        <w:rPr>
          <w:b/>
        </w:rPr>
        <w:t>Metodologija ocjene elementa državne potpore</w:t>
      </w:r>
    </w:p>
    <w:p w14:paraId="5367EF17" w14:textId="77777777" w:rsidR="00995EF4" w:rsidRPr="00E943A9" w:rsidRDefault="00995EF4" w:rsidP="00BE487D">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B2708F" w:rsidRPr="00E943A9" w14:paraId="62CEA46C" w14:textId="77777777" w:rsidTr="008043FC">
        <w:tc>
          <w:tcPr>
            <w:tcW w:w="9060" w:type="dxa"/>
            <w:gridSpan w:val="2"/>
            <w:shd w:val="clear" w:color="auto" w:fill="FFFFCC"/>
          </w:tcPr>
          <w:p w14:paraId="554C1501" w14:textId="77777777" w:rsidR="00B2708F" w:rsidRPr="00E943A9" w:rsidRDefault="00B2708F" w:rsidP="00BE487D">
            <w:pPr>
              <w:contextualSpacing/>
              <w:jc w:val="both"/>
              <w:rPr>
                <w:sz w:val="20"/>
              </w:rPr>
            </w:pPr>
            <w:r w:rsidRPr="00E943A9">
              <w:rPr>
                <w:b/>
                <w:sz w:val="20"/>
              </w:rPr>
              <w:t>Skupina A1</w:t>
            </w:r>
          </w:p>
        </w:tc>
      </w:tr>
      <w:tr w:rsidR="00B2708F" w:rsidRPr="00E943A9" w14:paraId="0DD47A57" w14:textId="77777777" w:rsidTr="008043FC">
        <w:tc>
          <w:tcPr>
            <w:tcW w:w="2830" w:type="dxa"/>
          </w:tcPr>
          <w:p w14:paraId="2C86B401" w14:textId="77777777" w:rsidR="00B2708F" w:rsidRPr="00E943A9" w:rsidRDefault="00B2708F" w:rsidP="00BE487D">
            <w:pPr>
              <w:contextualSpacing/>
              <w:jc w:val="both"/>
              <w:rPr>
                <w:sz w:val="20"/>
              </w:rPr>
            </w:pPr>
            <w:r w:rsidRPr="00E943A9">
              <w:rPr>
                <w:sz w:val="20"/>
              </w:rPr>
              <w:t>Subvencije</w:t>
            </w:r>
          </w:p>
        </w:tc>
        <w:tc>
          <w:tcPr>
            <w:tcW w:w="6230" w:type="dxa"/>
          </w:tcPr>
          <w:p w14:paraId="46B44C00" w14:textId="77777777" w:rsidR="00B2708F" w:rsidRPr="00E943A9" w:rsidRDefault="00B2708F" w:rsidP="00BE487D">
            <w:pPr>
              <w:contextualSpacing/>
              <w:jc w:val="both"/>
              <w:rPr>
                <w:sz w:val="20"/>
              </w:rPr>
            </w:pPr>
            <w:r w:rsidRPr="00E943A9">
              <w:rPr>
                <w:sz w:val="20"/>
              </w:rPr>
              <w:t>ukupna vrijednost primljene subvencije</w:t>
            </w:r>
          </w:p>
        </w:tc>
      </w:tr>
      <w:tr w:rsidR="00B2708F" w:rsidRPr="00E943A9" w14:paraId="117B4CF8" w14:textId="77777777" w:rsidTr="008043FC">
        <w:tc>
          <w:tcPr>
            <w:tcW w:w="2830" w:type="dxa"/>
          </w:tcPr>
          <w:p w14:paraId="2B660305" w14:textId="77777777" w:rsidR="00B2708F" w:rsidRPr="00E943A9" w:rsidRDefault="00B2708F" w:rsidP="00BE487D">
            <w:pPr>
              <w:contextualSpacing/>
              <w:jc w:val="both"/>
              <w:rPr>
                <w:sz w:val="20"/>
              </w:rPr>
            </w:pPr>
            <w:r w:rsidRPr="00E943A9">
              <w:rPr>
                <w:sz w:val="20"/>
              </w:rPr>
              <w:t>Neposredne subvencije kamata</w:t>
            </w:r>
          </w:p>
        </w:tc>
        <w:tc>
          <w:tcPr>
            <w:tcW w:w="6230" w:type="dxa"/>
          </w:tcPr>
          <w:p w14:paraId="038E9F20" w14:textId="77777777" w:rsidR="00B2708F" w:rsidRPr="00E943A9" w:rsidRDefault="00B2708F" w:rsidP="00BE487D">
            <w:pPr>
              <w:contextualSpacing/>
              <w:jc w:val="both"/>
              <w:rPr>
                <w:sz w:val="20"/>
              </w:rPr>
            </w:pPr>
            <w:r w:rsidRPr="00E943A9">
              <w:rPr>
                <w:sz w:val="20"/>
              </w:rPr>
              <w:t>ukupna vrijednost primljene subvencije (ili neisplata dijela kamata)</w:t>
            </w:r>
          </w:p>
        </w:tc>
      </w:tr>
      <w:tr w:rsidR="00B2708F" w:rsidRPr="00E943A9" w14:paraId="0AE14383" w14:textId="77777777" w:rsidTr="008043FC">
        <w:tc>
          <w:tcPr>
            <w:tcW w:w="2830" w:type="dxa"/>
          </w:tcPr>
          <w:p w14:paraId="42447E5D" w14:textId="77777777" w:rsidR="00B2708F" w:rsidRPr="00E943A9" w:rsidRDefault="00B2708F" w:rsidP="00BE487D">
            <w:pPr>
              <w:contextualSpacing/>
              <w:jc w:val="both"/>
              <w:rPr>
                <w:sz w:val="20"/>
              </w:rPr>
            </w:pPr>
            <w:r w:rsidRPr="00E943A9">
              <w:rPr>
                <w:sz w:val="20"/>
              </w:rPr>
              <w:t xml:space="preserve">Oprost duga po osnovi zajma </w:t>
            </w:r>
          </w:p>
        </w:tc>
        <w:tc>
          <w:tcPr>
            <w:tcW w:w="6230" w:type="dxa"/>
          </w:tcPr>
          <w:p w14:paraId="58B09F6F" w14:textId="77777777" w:rsidR="00B2708F" w:rsidRPr="00E943A9" w:rsidRDefault="00B2708F" w:rsidP="00BE487D">
            <w:pPr>
              <w:contextualSpacing/>
              <w:jc w:val="both"/>
              <w:rPr>
                <w:sz w:val="20"/>
              </w:rPr>
            </w:pPr>
            <w:r w:rsidRPr="00E943A9">
              <w:rPr>
                <w:sz w:val="20"/>
              </w:rPr>
              <w:t>vrijednost otpisanoga duga</w:t>
            </w:r>
          </w:p>
        </w:tc>
      </w:tr>
      <w:tr w:rsidR="00B2708F" w:rsidRPr="00E943A9" w14:paraId="4CD47341" w14:textId="77777777" w:rsidTr="008043FC">
        <w:tc>
          <w:tcPr>
            <w:tcW w:w="2830" w:type="dxa"/>
          </w:tcPr>
          <w:p w14:paraId="7EE7B86D" w14:textId="77777777" w:rsidR="00B2708F" w:rsidRPr="00E943A9" w:rsidRDefault="00B2708F" w:rsidP="00BE487D">
            <w:pPr>
              <w:contextualSpacing/>
              <w:jc w:val="both"/>
              <w:rPr>
                <w:sz w:val="20"/>
              </w:rPr>
            </w:pPr>
            <w:r w:rsidRPr="00E943A9">
              <w:rPr>
                <w:sz w:val="20"/>
              </w:rPr>
              <w:t>Prisilna nagodba i stečaj</w:t>
            </w:r>
          </w:p>
        </w:tc>
        <w:tc>
          <w:tcPr>
            <w:tcW w:w="6230" w:type="dxa"/>
          </w:tcPr>
          <w:p w14:paraId="1A9B2483" w14:textId="77777777" w:rsidR="00B2708F" w:rsidRPr="00E943A9" w:rsidRDefault="00B2708F" w:rsidP="00BE487D">
            <w:pPr>
              <w:contextualSpacing/>
              <w:jc w:val="both"/>
              <w:rPr>
                <w:sz w:val="20"/>
              </w:rPr>
            </w:pPr>
            <w:r w:rsidRPr="00E943A9">
              <w:rPr>
                <w:sz w:val="20"/>
              </w:rPr>
              <w:t>procijenjeni umanjeni iznos nagodbe ili tražbine iz stečajne mase u odnosu prema drugim vjerovnicima zbog svjesno prouzročenog slabijega položaja države kao vjerovnika u postupku nagodbe ili stečaja</w:t>
            </w:r>
          </w:p>
        </w:tc>
      </w:tr>
      <w:tr w:rsidR="00B2708F" w:rsidRPr="00E943A9" w14:paraId="6DF62C82" w14:textId="77777777" w:rsidTr="008043FC">
        <w:tc>
          <w:tcPr>
            <w:tcW w:w="9060" w:type="dxa"/>
            <w:gridSpan w:val="2"/>
            <w:shd w:val="clear" w:color="auto" w:fill="FFFFCC"/>
          </w:tcPr>
          <w:p w14:paraId="4843D95A" w14:textId="77777777" w:rsidR="00B2708F" w:rsidRPr="00E943A9" w:rsidRDefault="00B2708F" w:rsidP="00BE487D">
            <w:pPr>
              <w:contextualSpacing/>
              <w:jc w:val="both"/>
              <w:rPr>
                <w:sz w:val="20"/>
              </w:rPr>
            </w:pPr>
            <w:r w:rsidRPr="00E943A9">
              <w:rPr>
                <w:b/>
                <w:sz w:val="20"/>
              </w:rPr>
              <w:t>Skupina A2</w:t>
            </w:r>
          </w:p>
        </w:tc>
      </w:tr>
      <w:tr w:rsidR="00B2708F" w:rsidRPr="00E943A9" w14:paraId="46CD0FC8" w14:textId="77777777" w:rsidTr="008043FC">
        <w:tc>
          <w:tcPr>
            <w:tcW w:w="2830" w:type="dxa"/>
          </w:tcPr>
          <w:p w14:paraId="181656C3" w14:textId="77777777" w:rsidR="00B2708F" w:rsidRPr="00E943A9" w:rsidRDefault="00B2708F" w:rsidP="00BE487D">
            <w:pPr>
              <w:contextualSpacing/>
              <w:rPr>
                <w:sz w:val="20"/>
              </w:rPr>
            </w:pPr>
            <w:r w:rsidRPr="00E943A9">
              <w:rPr>
                <w:sz w:val="20"/>
              </w:rPr>
              <w:t>Oprost poreza, porezna oslobođenja, izuzeća i olakšice</w:t>
            </w:r>
          </w:p>
        </w:tc>
        <w:tc>
          <w:tcPr>
            <w:tcW w:w="6230" w:type="dxa"/>
          </w:tcPr>
          <w:p w14:paraId="2C0B4118" w14:textId="77777777" w:rsidR="00B2708F" w:rsidRPr="00E943A9" w:rsidRDefault="00B2708F" w:rsidP="00BE487D">
            <w:pPr>
              <w:contextualSpacing/>
              <w:jc w:val="both"/>
              <w:rPr>
                <w:spacing w:val="-4"/>
                <w:sz w:val="20"/>
              </w:rPr>
            </w:pPr>
            <w:r w:rsidRPr="00E943A9">
              <w:rPr>
                <w:spacing w:val="-4"/>
                <w:sz w:val="20"/>
              </w:rPr>
              <w:t>nisu uključene porezne olakšice koje su općeg karaktera, već samo olakšice koje su specifične za određenog poduzetnika ili skupinu poduzetnika odnosno za pojedino područje; potpora je ukupni izračunati iznos izuzeća ili olakšice</w:t>
            </w:r>
          </w:p>
        </w:tc>
      </w:tr>
      <w:tr w:rsidR="00B2708F" w:rsidRPr="00E943A9" w14:paraId="7D1831FF" w14:textId="77777777" w:rsidTr="008043FC">
        <w:tc>
          <w:tcPr>
            <w:tcW w:w="2830" w:type="dxa"/>
          </w:tcPr>
          <w:p w14:paraId="43E3523C" w14:textId="77777777" w:rsidR="00B2708F" w:rsidRPr="00E943A9" w:rsidRDefault="00B2708F" w:rsidP="00BE487D">
            <w:pPr>
              <w:contextualSpacing/>
              <w:rPr>
                <w:sz w:val="20"/>
              </w:rPr>
            </w:pPr>
            <w:r w:rsidRPr="00E943A9">
              <w:rPr>
                <w:sz w:val="20"/>
              </w:rPr>
              <w:t>Snižavanje, oslobođenje, olakšice, izuzeće i oprost plaćanja doprinosa</w:t>
            </w:r>
          </w:p>
        </w:tc>
        <w:tc>
          <w:tcPr>
            <w:tcW w:w="6230" w:type="dxa"/>
          </w:tcPr>
          <w:p w14:paraId="02D694D4" w14:textId="77777777" w:rsidR="00B2708F" w:rsidRPr="00E943A9" w:rsidRDefault="00B2708F" w:rsidP="00BE487D">
            <w:pPr>
              <w:contextualSpacing/>
              <w:jc w:val="both"/>
              <w:rPr>
                <w:sz w:val="20"/>
              </w:rPr>
            </w:pPr>
            <w:r w:rsidRPr="00E943A9">
              <w:rPr>
                <w:sz w:val="20"/>
              </w:rPr>
              <w:t>vrijedi isto načelo kao i kod poreznih izuzeća – u potpore ne ulaze one olakšice koje imaju opći značaj; potporu čini ukupni izračunati iznos</w:t>
            </w:r>
          </w:p>
        </w:tc>
      </w:tr>
      <w:tr w:rsidR="00B2708F" w:rsidRPr="00E943A9" w14:paraId="307C55D8" w14:textId="77777777" w:rsidTr="008043FC">
        <w:tc>
          <w:tcPr>
            <w:tcW w:w="2830" w:type="dxa"/>
          </w:tcPr>
          <w:p w14:paraId="2443118E" w14:textId="77777777" w:rsidR="00B2708F" w:rsidRPr="00E943A9" w:rsidRDefault="00B2708F" w:rsidP="00BE487D">
            <w:pPr>
              <w:contextualSpacing/>
              <w:rPr>
                <w:sz w:val="20"/>
              </w:rPr>
            </w:pPr>
            <w:r w:rsidRPr="00E943A9">
              <w:rPr>
                <w:sz w:val="20"/>
              </w:rPr>
              <w:t>Odgode pri plaćanju poreza</w:t>
            </w:r>
          </w:p>
        </w:tc>
        <w:tc>
          <w:tcPr>
            <w:tcW w:w="6230" w:type="dxa"/>
          </w:tcPr>
          <w:p w14:paraId="3C054030" w14:textId="77777777" w:rsidR="00B2708F" w:rsidRPr="00E943A9" w:rsidRDefault="00B2708F" w:rsidP="00BE487D">
            <w:pPr>
              <w:contextualSpacing/>
              <w:jc w:val="both"/>
              <w:rPr>
                <w:sz w:val="20"/>
              </w:rPr>
            </w:pPr>
            <w:r w:rsidRPr="00E943A9">
              <w:rPr>
                <w:sz w:val="20"/>
              </w:rPr>
              <w:t>iznos kamate izračunate prema referentnoj stopi za razdoblje odgode (dekurzivni jednostavni kamatni račun) i svedene na sadašnju vrijednost</w:t>
            </w:r>
          </w:p>
        </w:tc>
      </w:tr>
      <w:tr w:rsidR="00B2708F" w:rsidRPr="00E943A9" w14:paraId="13F75894" w14:textId="77777777" w:rsidTr="008043FC">
        <w:tc>
          <w:tcPr>
            <w:tcW w:w="2830" w:type="dxa"/>
          </w:tcPr>
          <w:p w14:paraId="2CF6023B" w14:textId="77777777" w:rsidR="00B2708F" w:rsidRPr="00E943A9" w:rsidRDefault="00B2708F" w:rsidP="00BE487D">
            <w:pPr>
              <w:contextualSpacing/>
              <w:rPr>
                <w:sz w:val="20"/>
              </w:rPr>
            </w:pPr>
            <w:r w:rsidRPr="00E943A9">
              <w:rPr>
                <w:sz w:val="20"/>
              </w:rPr>
              <w:t>Otpis duga</w:t>
            </w:r>
          </w:p>
        </w:tc>
        <w:tc>
          <w:tcPr>
            <w:tcW w:w="6230" w:type="dxa"/>
          </w:tcPr>
          <w:p w14:paraId="74C06533" w14:textId="77777777" w:rsidR="00B2708F" w:rsidRPr="00E943A9" w:rsidRDefault="00B2708F" w:rsidP="00BE487D">
            <w:pPr>
              <w:contextualSpacing/>
              <w:jc w:val="both"/>
              <w:rPr>
                <w:sz w:val="20"/>
              </w:rPr>
            </w:pPr>
            <w:r w:rsidRPr="00E943A9">
              <w:rPr>
                <w:sz w:val="20"/>
              </w:rPr>
              <w:t>iznos otpisanog duga</w:t>
            </w:r>
          </w:p>
        </w:tc>
      </w:tr>
      <w:tr w:rsidR="00B2708F" w:rsidRPr="00E943A9" w14:paraId="4DB751D9" w14:textId="77777777" w:rsidTr="008043FC">
        <w:tc>
          <w:tcPr>
            <w:tcW w:w="2830" w:type="dxa"/>
          </w:tcPr>
          <w:p w14:paraId="130DF3C5" w14:textId="77777777" w:rsidR="00B2708F" w:rsidRPr="00E943A9" w:rsidRDefault="00B2708F" w:rsidP="00BE487D">
            <w:pPr>
              <w:contextualSpacing/>
              <w:rPr>
                <w:sz w:val="20"/>
              </w:rPr>
            </w:pPr>
            <w:r w:rsidRPr="00E943A9">
              <w:rPr>
                <w:sz w:val="20"/>
              </w:rPr>
              <w:t>Odgode pri podmirenju duga</w:t>
            </w:r>
          </w:p>
        </w:tc>
        <w:tc>
          <w:tcPr>
            <w:tcW w:w="6230" w:type="dxa"/>
          </w:tcPr>
          <w:p w14:paraId="194D836B" w14:textId="77777777" w:rsidR="00B2708F" w:rsidRPr="00E943A9" w:rsidRDefault="00B2708F" w:rsidP="00BE487D">
            <w:pPr>
              <w:contextualSpacing/>
              <w:jc w:val="both"/>
              <w:rPr>
                <w:sz w:val="20"/>
              </w:rPr>
            </w:pPr>
            <w:r w:rsidRPr="00E943A9">
              <w:rPr>
                <w:sz w:val="20"/>
              </w:rPr>
              <w:t>iznos kamate izračunate prema referentnoj stopi za razdoblje odgode (dekurzivni jednostavni kamatni račun) i svedene na sadašnju vrijednost</w:t>
            </w:r>
          </w:p>
        </w:tc>
      </w:tr>
      <w:tr w:rsidR="00B2708F" w:rsidRPr="00E943A9" w14:paraId="30442049" w14:textId="77777777" w:rsidTr="008043FC">
        <w:tc>
          <w:tcPr>
            <w:tcW w:w="9060" w:type="dxa"/>
            <w:gridSpan w:val="2"/>
            <w:shd w:val="clear" w:color="auto" w:fill="FFFFCC"/>
          </w:tcPr>
          <w:p w14:paraId="02346CF2" w14:textId="77777777" w:rsidR="00B2708F" w:rsidRPr="00E943A9" w:rsidRDefault="00B2708F" w:rsidP="00BE487D">
            <w:pPr>
              <w:contextualSpacing/>
              <w:jc w:val="both"/>
              <w:rPr>
                <w:sz w:val="20"/>
              </w:rPr>
            </w:pPr>
            <w:r w:rsidRPr="00E943A9">
              <w:rPr>
                <w:b/>
                <w:sz w:val="20"/>
              </w:rPr>
              <w:t>Skupina B</w:t>
            </w:r>
          </w:p>
        </w:tc>
      </w:tr>
      <w:tr w:rsidR="00B2708F" w:rsidRPr="00E943A9" w14:paraId="5582F125" w14:textId="77777777" w:rsidTr="008043FC">
        <w:tc>
          <w:tcPr>
            <w:tcW w:w="2830" w:type="dxa"/>
          </w:tcPr>
          <w:p w14:paraId="409755FB" w14:textId="77777777" w:rsidR="00B2708F" w:rsidRPr="00E943A9" w:rsidRDefault="00B2708F" w:rsidP="00BE487D">
            <w:pPr>
              <w:contextualSpacing/>
              <w:rPr>
                <w:sz w:val="20"/>
              </w:rPr>
            </w:pPr>
            <w:r w:rsidRPr="00E943A9">
              <w:rPr>
                <w:sz w:val="20"/>
              </w:rPr>
              <w:t>Ulaganja u vlastiti kapital</w:t>
            </w:r>
          </w:p>
        </w:tc>
        <w:tc>
          <w:tcPr>
            <w:tcW w:w="6230" w:type="dxa"/>
          </w:tcPr>
          <w:p w14:paraId="08CA5747" w14:textId="77777777" w:rsidR="00B2708F" w:rsidRPr="00E943A9" w:rsidRDefault="00B2708F" w:rsidP="00BE487D">
            <w:pPr>
              <w:contextualSpacing/>
              <w:jc w:val="both"/>
              <w:rPr>
                <w:sz w:val="20"/>
              </w:rPr>
            </w:pPr>
            <w:r w:rsidRPr="00E943A9">
              <w:rPr>
                <w:sz w:val="20"/>
              </w:rPr>
              <w:t>potpora je iskazana vrijednost koristi za korisnika potpore</w:t>
            </w:r>
          </w:p>
        </w:tc>
      </w:tr>
      <w:tr w:rsidR="00B2708F" w:rsidRPr="00E943A9" w14:paraId="08682BE9" w14:textId="77777777" w:rsidTr="008043FC">
        <w:tc>
          <w:tcPr>
            <w:tcW w:w="2830" w:type="dxa"/>
          </w:tcPr>
          <w:p w14:paraId="1B69F4AE" w14:textId="77777777" w:rsidR="00B2708F" w:rsidRPr="00E943A9" w:rsidRDefault="00B2708F" w:rsidP="00BE487D">
            <w:pPr>
              <w:contextualSpacing/>
              <w:rPr>
                <w:sz w:val="20"/>
              </w:rPr>
            </w:pPr>
            <w:r w:rsidRPr="00E943A9">
              <w:rPr>
                <w:sz w:val="20"/>
              </w:rPr>
              <w:t>Kapitalna ulaganja i rizični kapital</w:t>
            </w:r>
          </w:p>
        </w:tc>
        <w:tc>
          <w:tcPr>
            <w:tcW w:w="6230" w:type="dxa"/>
          </w:tcPr>
          <w:p w14:paraId="4ADC81B0" w14:textId="77777777" w:rsidR="00B2708F" w:rsidRPr="00E943A9" w:rsidRDefault="00B2708F" w:rsidP="00BE487D">
            <w:pPr>
              <w:contextualSpacing/>
              <w:jc w:val="both"/>
              <w:rPr>
                <w:sz w:val="20"/>
              </w:rPr>
            </w:pPr>
            <w:r w:rsidRPr="00E943A9">
              <w:rPr>
                <w:sz w:val="20"/>
              </w:rPr>
              <w:t>element potpora nazočan je u svim državnim ulaganjima koje kao primarni cilj nemaju stvaranje dobiti; element potpore je iskazana vrijednost koristi za korisnika potpore; ovaj instrument obuhvaća ulaganja u vlasnički kapital, investicijska ulaganja i rizični kapital</w:t>
            </w:r>
          </w:p>
        </w:tc>
      </w:tr>
      <w:tr w:rsidR="00B2708F" w:rsidRPr="00E943A9" w14:paraId="0E167EAC" w14:textId="77777777" w:rsidTr="008043FC">
        <w:tc>
          <w:tcPr>
            <w:tcW w:w="2830" w:type="dxa"/>
          </w:tcPr>
          <w:p w14:paraId="1F693D7F" w14:textId="77777777" w:rsidR="00B2708F" w:rsidRPr="00E943A9" w:rsidRDefault="00B2708F" w:rsidP="00BE487D">
            <w:pPr>
              <w:contextualSpacing/>
              <w:rPr>
                <w:sz w:val="20"/>
              </w:rPr>
            </w:pPr>
            <w:r w:rsidRPr="00E943A9">
              <w:rPr>
                <w:sz w:val="20"/>
              </w:rPr>
              <w:t>Pretvaranje duga u vlasnički udjel</w:t>
            </w:r>
          </w:p>
        </w:tc>
        <w:tc>
          <w:tcPr>
            <w:tcW w:w="6230" w:type="dxa"/>
          </w:tcPr>
          <w:p w14:paraId="2368FF4A" w14:textId="77777777" w:rsidR="00B2708F" w:rsidRPr="00E943A9" w:rsidRDefault="00B2708F" w:rsidP="00BE487D">
            <w:pPr>
              <w:widowControl w:val="0"/>
              <w:autoSpaceDE w:val="0"/>
              <w:autoSpaceDN w:val="0"/>
              <w:adjustRightInd w:val="0"/>
              <w:jc w:val="both"/>
              <w:rPr>
                <w:sz w:val="20"/>
              </w:rPr>
            </w:pPr>
            <w:r w:rsidRPr="00E943A9">
              <w:rPr>
                <w:sz w:val="20"/>
              </w:rPr>
              <w:t>element potpore postoji u slučaju kada je država u slabijem položaju od ostalih vjerovnika; potpora je iskazana vrijednost koristi za korisnika potpore, koja proizlazi zbog slabijeg položaja države</w:t>
            </w:r>
          </w:p>
        </w:tc>
      </w:tr>
      <w:tr w:rsidR="00B2708F" w:rsidRPr="00E943A9" w14:paraId="0EBD9D3D" w14:textId="77777777" w:rsidTr="008043FC">
        <w:tc>
          <w:tcPr>
            <w:tcW w:w="2830" w:type="dxa"/>
          </w:tcPr>
          <w:p w14:paraId="10063639" w14:textId="77777777" w:rsidR="00B2708F" w:rsidRPr="00E943A9" w:rsidRDefault="00B2708F" w:rsidP="00BE487D">
            <w:pPr>
              <w:contextualSpacing/>
              <w:rPr>
                <w:sz w:val="20"/>
              </w:rPr>
            </w:pPr>
            <w:r w:rsidRPr="00E943A9">
              <w:rPr>
                <w:sz w:val="20"/>
              </w:rPr>
              <w:t>Prodaja državne imovine pod povoljnim uvjetima</w:t>
            </w:r>
          </w:p>
        </w:tc>
        <w:tc>
          <w:tcPr>
            <w:tcW w:w="6230" w:type="dxa"/>
          </w:tcPr>
          <w:p w14:paraId="595AE2DA" w14:textId="77777777" w:rsidR="00B2708F" w:rsidRPr="00E943A9" w:rsidRDefault="00B2708F" w:rsidP="00BE487D">
            <w:pPr>
              <w:widowControl w:val="0"/>
              <w:autoSpaceDE w:val="0"/>
              <w:autoSpaceDN w:val="0"/>
              <w:adjustRightInd w:val="0"/>
              <w:jc w:val="both"/>
              <w:rPr>
                <w:sz w:val="20"/>
              </w:rPr>
            </w:pPr>
            <w:r w:rsidRPr="00E943A9">
              <w:rPr>
                <w:sz w:val="20"/>
              </w:rPr>
              <w:t>potpora je razlika između tržišne vrijednosti imovine i cijene po kojoj se prodaje</w:t>
            </w:r>
          </w:p>
        </w:tc>
      </w:tr>
      <w:tr w:rsidR="00B2708F" w:rsidRPr="00E943A9" w14:paraId="7563D9E8" w14:textId="77777777" w:rsidTr="008043FC">
        <w:tc>
          <w:tcPr>
            <w:tcW w:w="2830" w:type="dxa"/>
          </w:tcPr>
          <w:p w14:paraId="1B45F10C" w14:textId="77777777" w:rsidR="00B2708F" w:rsidRPr="00E943A9" w:rsidRDefault="00B2708F" w:rsidP="00BE487D">
            <w:pPr>
              <w:contextualSpacing/>
              <w:rPr>
                <w:sz w:val="20"/>
              </w:rPr>
            </w:pPr>
            <w:r w:rsidRPr="00E943A9">
              <w:rPr>
                <w:sz w:val="20"/>
              </w:rPr>
              <w:t>Odricanje od isplate dobiti poduzetnika</w:t>
            </w:r>
          </w:p>
        </w:tc>
        <w:tc>
          <w:tcPr>
            <w:tcW w:w="6230" w:type="dxa"/>
          </w:tcPr>
          <w:p w14:paraId="653D2290" w14:textId="77777777" w:rsidR="00B2708F" w:rsidRPr="00E943A9" w:rsidRDefault="00B2708F" w:rsidP="00BE487D">
            <w:pPr>
              <w:widowControl w:val="0"/>
              <w:autoSpaceDE w:val="0"/>
              <w:autoSpaceDN w:val="0"/>
              <w:adjustRightInd w:val="0"/>
              <w:jc w:val="both"/>
              <w:rPr>
                <w:sz w:val="20"/>
              </w:rPr>
            </w:pPr>
            <w:r w:rsidRPr="00E943A9">
              <w:rPr>
                <w:sz w:val="20"/>
              </w:rPr>
              <w:t>dio raspodijeljene dobiti, koja potječe iz vlasništva države u poduzetniku i kojega se država odrekne, predstavlja u cijelosti potporu</w:t>
            </w:r>
          </w:p>
        </w:tc>
      </w:tr>
      <w:tr w:rsidR="00B2708F" w:rsidRPr="00E943A9" w14:paraId="6F4CBC49" w14:textId="77777777" w:rsidTr="00620DC1">
        <w:tc>
          <w:tcPr>
            <w:tcW w:w="9060" w:type="dxa"/>
            <w:gridSpan w:val="2"/>
            <w:shd w:val="clear" w:color="auto" w:fill="FFFFCC"/>
          </w:tcPr>
          <w:p w14:paraId="5B3A86A8" w14:textId="77777777" w:rsidR="00B2708F" w:rsidRPr="00E943A9" w:rsidRDefault="00B2708F" w:rsidP="00BE487D">
            <w:pPr>
              <w:contextualSpacing/>
              <w:jc w:val="both"/>
              <w:rPr>
                <w:sz w:val="20"/>
              </w:rPr>
            </w:pPr>
            <w:r w:rsidRPr="00E943A9">
              <w:rPr>
                <w:b/>
                <w:sz w:val="20"/>
              </w:rPr>
              <w:t>Skupina C1</w:t>
            </w:r>
          </w:p>
        </w:tc>
      </w:tr>
      <w:tr w:rsidR="00B2708F" w:rsidRPr="00E943A9" w14:paraId="3E4DDFFA" w14:textId="77777777" w:rsidTr="00620DC1">
        <w:tc>
          <w:tcPr>
            <w:tcW w:w="2830" w:type="dxa"/>
          </w:tcPr>
          <w:p w14:paraId="6DE033E1" w14:textId="77777777" w:rsidR="00B2708F" w:rsidRPr="00E943A9" w:rsidRDefault="00B2708F" w:rsidP="00BE487D">
            <w:pPr>
              <w:contextualSpacing/>
              <w:jc w:val="both"/>
              <w:rPr>
                <w:sz w:val="20"/>
              </w:rPr>
            </w:pPr>
            <w:r w:rsidRPr="00E943A9">
              <w:rPr>
                <w:sz w:val="20"/>
              </w:rPr>
              <w:t>Povoljni zajmovi</w:t>
            </w:r>
          </w:p>
        </w:tc>
        <w:tc>
          <w:tcPr>
            <w:tcW w:w="6230" w:type="dxa"/>
          </w:tcPr>
          <w:p w14:paraId="4D332637" w14:textId="77777777" w:rsidR="00B2708F" w:rsidRPr="00E943A9" w:rsidRDefault="00B2708F" w:rsidP="00BE487D">
            <w:pPr>
              <w:widowControl w:val="0"/>
              <w:autoSpaceDE w:val="0"/>
              <w:autoSpaceDN w:val="0"/>
              <w:adjustRightInd w:val="0"/>
              <w:jc w:val="both"/>
              <w:rPr>
                <w:sz w:val="20"/>
              </w:rPr>
            </w:pPr>
            <w:r w:rsidRPr="00E943A9">
              <w:rPr>
                <w:sz w:val="20"/>
              </w:rPr>
              <w:t xml:space="preserve">razlika između referentne stope i povoljne kamatne stope po kojoj je zajam odobren; tako dobivena razlika se svodi na sadašnju vrijednost </w:t>
            </w:r>
          </w:p>
        </w:tc>
      </w:tr>
      <w:tr w:rsidR="00B2708F" w:rsidRPr="00E943A9" w14:paraId="2C1458E3" w14:textId="77777777" w:rsidTr="00620DC1">
        <w:tc>
          <w:tcPr>
            <w:tcW w:w="2830" w:type="dxa"/>
          </w:tcPr>
          <w:p w14:paraId="4C96450C" w14:textId="77777777" w:rsidR="00B2708F" w:rsidRPr="00E943A9" w:rsidRDefault="00B2708F" w:rsidP="00BE487D">
            <w:pPr>
              <w:contextualSpacing/>
              <w:rPr>
                <w:sz w:val="20"/>
              </w:rPr>
            </w:pPr>
            <w:r w:rsidRPr="00E943A9">
              <w:rPr>
                <w:sz w:val="20"/>
              </w:rPr>
              <w:t>Zajmovi poduzetnicima u teškoćama</w:t>
            </w:r>
          </w:p>
        </w:tc>
        <w:tc>
          <w:tcPr>
            <w:tcW w:w="6230" w:type="dxa"/>
          </w:tcPr>
          <w:p w14:paraId="3BE3C549" w14:textId="77777777" w:rsidR="00B2708F" w:rsidRPr="00E943A9" w:rsidRDefault="00B2708F" w:rsidP="00BE487D">
            <w:pPr>
              <w:jc w:val="both"/>
              <w:rPr>
                <w:sz w:val="20"/>
              </w:rPr>
            </w:pPr>
            <w:r w:rsidRPr="00E943A9">
              <w:rPr>
                <w:sz w:val="20"/>
              </w:rPr>
              <w:t>razlika između referentne stope za poduzetnike u teškoćama i ugovorene povoljne kamatne stope; tako dobivena razlika se svodi na sadašnju vrijednost; potpora sadržana u ovakvim zajmovima može iznositi i do 100 posto vrijednosti zajma</w:t>
            </w:r>
          </w:p>
        </w:tc>
      </w:tr>
      <w:tr w:rsidR="00B2708F" w:rsidRPr="00E943A9" w14:paraId="49F08DB5" w14:textId="77777777" w:rsidTr="008043FC">
        <w:tc>
          <w:tcPr>
            <w:tcW w:w="9060" w:type="dxa"/>
            <w:gridSpan w:val="2"/>
            <w:shd w:val="clear" w:color="auto" w:fill="FFFFCC"/>
          </w:tcPr>
          <w:p w14:paraId="37D38DB8" w14:textId="77777777" w:rsidR="00B2708F" w:rsidRPr="00E943A9" w:rsidRDefault="00B2708F" w:rsidP="00BE487D">
            <w:pPr>
              <w:contextualSpacing/>
              <w:jc w:val="both"/>
              <w:rPr>
                <w:sz w:val="20"/>
              </w:rPr>
            </w:pPr>
            <w:r w:rsidRPr="00E943A9">
              <w:rPr>
                <w:b/>
                <w:sz w:val="20"/>
              </w:rPr>
              <w:t>Skupina D</w:t>
            </w:r>
          </w:p>
        </w:tc>
      </w:tr>
      <w:tr w:rsidR="00B2708F" w:rsidRPr="00E943A9" w14:paraId="6D29EF21" w14:textId="77777777" w:rsidTr="008043FC">
        <w:tc>
          <w:tcPr>
            <w:tcW w:w="2830" w:type="dxa"/>
          </w:tcPr>
          <w:p w14:paraId="2C7925A2" w14:textId="77777777" w:rsidR="00B2708F" w:rsidRPr="00E943A9" w:rsidRDefault="00B2708F" w:rsidP="00BE487D">
            <w:pPr>
              <w:contextualSpacing/>
              <w:jc w:val="both"/>
              <w:rPr>
                <w:sz w:val="20"/>
              </w:rPr>
            </w:pPr>
            <w:r w:rsidRPr="00E943A9">
              <w:rPr>
                <w:sz w:val="20"/>
              </w:rPr>
              <w:t>Jamstva</w:t>
            </w:r>
          </w:p>
        </w:tc>
        <w:tc>
          <w:tcPr>
            <w:tcW w:w="6230" w:type="dxa"/>
          </w:tcPr>
          <w:p w14:paraId="3EA57944" w14:textId="77777777" w:rsidR="00B2708F" w:rsidRPr="00E943A9" w:rsidRDefault="00B2708F" w:rsidP="00BE487D">
            <w:pPr>
              <w:widowControl w:val="0"/>
              <w:autoSpaceDE w:val="0"/>
              <w:autoSpaceDN w:val="0"/>
              <w:adjustRightInd w:val="0"/>
              <w:jc w:val="both"/>
              <w:rPr>
                <w:spacing w:val="-6"/>
                <w:sz w:val="20"/>
              </w:rPr>
            </w:pPr>
            <w:r w:rsidRPr="00E943A9">
              <w:rPr>
                <w:spacing w:val="-6"/>
                <w:sz w:val="20"/>
              </w:rPr>
              <w:t>razlika između tržišne cijene jamstva i cijene državnog jamstva koja je niža; za poduzetnike u teškoćama potpora može iznositi i do 100 posto vrijednosti jamstva</w:t>
            </w:r>
          </w:p>
        </w:tc>
      </w:tr>
      <w:tr w:rsidR="00B2708F" w:rsidRPr="00E943A9" w14:paraId="18EF14DC" w14:textId="77777777" w:rsidTr="008043FC">
        <w:tc>
          <w:tcPr>
            <w:tcW w:w="2830" w:type="dxa"/>
          </w:tcPr>
          <w:p w14:paraId="7CC7C57D" w14:textId="77777777" w:rsidR="00B2708F" w:rsidRPr="00E943A9" w:rsidRDefault="00B2708F" w:rsidP="00BE487D">
            <w:pPr>
              <w:contextualSpacing/>
              <w:jc w:val="both"/>
              <w:rPr>
                <w:sz w:val="20"/>
              </w:rPr>
            </w:pPr>
            <w:r w:rsidRPr="00E943A9">
              <w:rPr>
                <w:sz w:val="20"/>
              </w:rPr>
              <w:t>Opozvana jamstva</w:t>
            </w:r>
          </w:p>
        </w:tc>
        <w:tc>
          <w:tcPr>
            <w:tcW w:w="6230" w:type="dxa"/>
          </w:tcPr>
          <w:p w14:paraId="16F03A08" w14:textId="77777777" w:rsidR="00B2708F" w:rsidRPr="00E943A9" w:rsidRDefault="00B2708F" w:rsidP="00BE487D">
            <w:pPr>
              <w:widowControl w:val="0"/>
              <w:autoSpaceDE w:val="0"/>
              <w:autoSpaceDN w:val="0"/>
              <w:adjustRightInd w:val="0"/>
              <w:jc w:val="both"/>
              <w:rPr>
                <w:sz w:val="20"/>
              </w:rPr>
            </w:pPr>
            <w:r w:rsidRPr="00E943A9">
              <w:rPr>
                <w:sz w:val="20"/>
              </w:rPr>
              <w:t>iznos opozvanog jamstva</w:t>
            </w:r>
          </w:p>
        </w:tc>
      </w:tr>
      <w:tr w:rsidR="00B2708F" w:rsidRPr="00E943A9" w14:paraId="3AF1B291" w14:textId="77777777" w:rsidTr="008043FC">
        <w:tc>
          <w:tcPr>
            <w:tcW w:w="9060" w:type="dxa"/>
            <w:gridSpan w:val="2"/>
            <w:shd w:val="clear" w:color="auto" w:fill="FFFFCC"/>
          </w:tcPr>
          <w:p w14:paraId="42791A45" w14:textId="77777777" w:rsidR="00B2708F" w:rsidRPr="00E943A9" w:rsidRDefault="00B2708F" w:rsidP="00BE487D">
            <w:pPr>
              <w:contextualSpacing/>
              <w:jc w:val="both"/>
              <w:rPr>
                <w:sz w:val="20"/>
              </w:rPr>
            </w:pPr>
            <w:r w:rsidRPr="00E943A9">
              <w:rPr>
                <w:b/>
                <w:sz w:val="20"/>
              </w:rPr>
              <w:t>Skupina E1</w:t>
            </w:r>
          </w:p>
        </w:tc>
      </w:tr>
      <w:tr w:rsidR="00B2708F" w:rsidRPr="008149B5" w14:paraId="1D67302E" w14:textId="77777777" w:rsidTr="008043FC">
        <w:tc>
          <w:tcPr>
            <w:tcW w:w="9060" w:type="dxa"/>
            <w:gridSpan w:val="2"/>
          </w:tcPr>
          <w:p w14:paraId="655C34EC" w14:textId="77777777" w:rsidR="00B2708F" w:rsidRPr="008149B5" w:rsidRDefault="00B2708F" w:rsidP="00BE487D">
            <w:pPr>
              <w:contextualSpacing/>
              <w:jc w:val="both"/>
              <w:rPr>
                <w:sz w:val="20"/>
              </w:rPr>
            </w:pPr>
            <w:r w:rsidRPr="00E943A9">
              <w:rPr>
                <w:sz w:val="20"/>
              </w:rPr>
              <w:t>Ostalo</w:t>
            </w:r>
          </w:p>
        </w:tc>
      </w:tr>
    </w:tbl>
    <w:p w14:paraId="1AB02483" w14:textId="77777777" w:rsidR="00995EF4" w:rsidRPr="008149B5" w:rsidRDefault="00995EF4" w:rsidP="00AF4BDC">
      <w:pPr>
        <w:jc w:val="both"/>
        <w:rPr>
          <w:b/>
        </w:rPr>
      </w:pPr>
    </w:p>
    <w:sectPr w:rsidR="00995EF4" w:rsidRPr="008149B5" w:rsidSect="00AE408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32DF" w14:textId="77777777" w:rsidR="000843D7" w:rsidRDefault="000843D7" w:rsidP="00857D5E">
      <w:r>
        <w:separator/>
      </w:r>
    </w:p>
  </w:endnote>
  <w:endnote w:type="continuationSeparator" w:id="0">
    <w:p w14:paraId="563A4BC2" w14:textId="77777777" w:rsidR="000843D7" w:rsidRDefault="000843D7" w:rsidP="0085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8070000" w:usb2="00000010" w:usb3="00000000" w:csb0="00020003"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2296" w14:textId="77777777" w:rsidR="005C47F2" w:rsidRPr="00366E3B" w:rsidRDefault="005C47F2">
    <w:pPr>
      <w:pStyle w:val="Footer"/>
      <w:jc w:val="right"/>
    </w:pPr>
  </w:p>
  <w:p w14:paraId="22B0C5B6" w14:textId="77777777" w:rsidR="005C47F2" w:rsidRDefault="005C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E5D22" w14:textId="77777777" w:rsidR="000843D7" w:rsidRDefault="000843D7" w:rsidP="00857D5E">
      <w:r>
        <w:separator/>
      </w:r>
    </w:p>
  </w:footnote>
  <w:footnote w:type="continuationSeparator" w:id="0">
    <w:p w14:paraId="36EFA99A" w14:textId="77777777" w:rsidR="000843D7" w:rsidRDefault="000843D7" w:rsidP="00857D5E">
      <w:r>
        <w:continuationSeparator/>
      </w:r>
    </w:p>
  </w:footnote>
  <w:footnote w:id="1">
    <w:p w14:paraId="4B8F7185" w14:textId="478754A0" w:rsidR="005C47F2" w:rsidRPr="00C44B43" w:rsidRDefault="005C47F2" w:rsidP="00724A44">
      <w:pPr>
        <w:pStyle w:val="FootnoteText"/>
        <w:rPr>
          <w:rFonts w:ascii="Times New Roman" w:hAnsi="Times New Roman" w:cs="Times New Roman"/>
          <w:b w:val="0"/>
        </w:rPr>
      </w:pPr>
      <w:r w:rsidRPr="00C44B43">
        <w:rPr>
          <w:rStyle w:val="FootnoteReference"/>
          <w:rFonts w:ascii="Times New Roman" w:hAnsi="Times New Roman" w:cs="Times New Roman"/>
          <w:b w:val="0"/>
          <w:i/>
        </w:rPr>
        <w:footnoteRef/>
      </w:r>
      <w:r w:rsidRPr="00C44B43">
        <w:rPr>
          <w:rFonts w:ascii="Times New Roman" w:hAnsi="Times New Roman" w:cs="Times New Roman"/>
          <w:b w:val="0"/>
        </w:rPr>
        <w:t xml:space="preserve"> </w:t>
      </w:r>
      <w:r w:rsidRPr="00C44B43">
        <w:rPr>
          <w:rFonts w:ascii="Times New Roman" w:hAnsi="Times New Roman" w:cs="Times New Roman"/>
          <w:b w:val="0"/>
          <w:i/>
        </w:rPr>
        <w:t>Ministarstvo financija u Izvješću prikazuje sve podatke o dodijeljenim državnim potporama i potporama male vrijednosti u razdoblju od 2022. do 2024. godine, a koje su davatelji državnih potpora i potpora male vrijednosni unijeli u Registar do 8. listopada 2025. za sva navedena razdoblja, te podatke koje je dostavilo Ministarstvo poljoprivrede, šumarstva i ribarstva do 15. listopada 2025.</w:t>
      </w:r>
    </w:p>
  </w:footnote>
  <w:footnote w:id="2">
    <w:p w14:paraId="79F02983" w14:textId="1B29EF3A" w:rsidR="005C47F2" w:rsidRPr="00C44B43" w:rsidRDefault="005C47F2" w:rsidP="0089317E">
      <w:pPr>
        <w:jc w:val="both"/>
        <w:rPr>
          <w:i/>
          <w:spacing w:val="-2"/>
          <w:sz w:val="20"/>
          <w:szCs w:val="20"/>
        </w:rPr>
      </w:pPr>
      <w:r w:rsidRPr="00C44B43">
        <w:rPr>
          <w:i/>
          <w:spacing w:val="-2"/>
          <w:sz w:val="20"/>
          <w:szCs w:val="20"/>
          <w:vertAlign w:val="superscript"/>
        </w:rPr>
        <w:footnoteRef/>
      </w:r>
      <w:r w:rsidRPr="00C44B43">
        <w:rPr>
          <w:spacing w:val="-2"/>
          <w:sz w:val="20"/>
          <w:szCs w:val="20"/>
        </w:rPr>
        <w:t xml:space="preserve"> </w:t>
      </w:r>
      <w:hyperlink r:id="rId1" w:history="1">
        <w:r w:rsidRPr="00C44B43">
          <w:rPr>
            <w:rStyle w:val="Hyperlink"/>
            <w:i/>
            <w:color w:val="auto"/>
            <w:spacing w:val="-2"/>
            <w:sz w:val="20"/>
            <w:szCs w:val="20"/>
          </w:rPr>
          <w:t>https://mfin.gov.hr/istaknute-teme/koncesije-i-drzavne-potpore/drzavne-potpore/objava-podataka-o-dodijeljenim-drzavnim-potporama-i-potporama-male-vrijednosti/3555</w:t>
        </w:r>
      </w:hyperlink>
      <w:r w:rsidRPr="00C44B43">
        <w:rPr>
          <w:i/>
          <w:spacing w:val="-2"/>
          <w:sz w:val="20"/>
          <w:szCs w:val="20"/>
        </w:rPr>
        <w:t xml:space="preserve"> </w:t>
      </w:r>
    </w:p>
  </w:footnote>
  <w:footnote w:id="3">
    <w:p w14:paraId="07E34041" w14:textId="441E8B66" w:rsidR="005C47F2" w:rsidRPr="00C44B43" w:rsidRDefault="005C47F2">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Vijeće Europske unije je 12. srpnja 2022. donijelo Odluku o prihvaćanju eura u Republici Hrvatskoj od 1. siječnja 2023., dopunu uredbe prema kojoj Republika Hrvatska postaje dvadeseta članica europodručja te uredbu kojom se utvrđuje fiksni tečaj konverzije kune u euro: 1 euro = 7,53450 kuna.</w:t>
      </w:r>
    </w:p>
  </w:footnote>
  <w:footnote w:id="4">
    <w:p w14:paraId="328BE0BF" w14:textId="1A1436D2" w:rsidR="005C47F2" w:rsidRPr="00C44B43" w:rsidRDefault="005C47F2" w:rsidP="00E53E62">
      <w:pPr>
        <w:jc w:val="both"/>
        <w:rPr>
          <w:i/>
          <w:spacing w:val="-4"/>
          <w:sz w:val="20"/>
          <w:szCs w:val="20"/>
        </w:rPr>
      </w:pPr>
      <w:r w:rsidRPr="00C44B43">
        <w:rPr>
          <w:i/>
          <w:spacing w:val="-4"/>
          <w:sz w:val="20"/>
          <w:szCs w:val="20"/>
          <w:vertAlign w:val="superscript"/>
        </w:rPr>
        <w:footnoteRef/>
      </w:r>
      <w:r w:rsidRPr="00C44B43">
        <w:rPr>
          <w:i/>
          <w:spacing w:val="-4"/>
          <w:sz w:val="20"/>
          <w:szCs w:val="20"/>
        </w:rPr>
        <w:t xml:space="preserve"> </w:t>
      </w:r>
      <w:hyperlink r:id="rId2" w:history="1">
        <w:r w:rsidRPr="00C44B43">
          <w:rPr>
            <w:rStyle w:val="Hyperlink"/>
            <w:i/>
            <w:color w:val="auto"/>
            <w:spacing w:val="-4"/>
            <w:sz w:val="20"/>
            <w:szCs w:val="20"/>
          </w:rPr>
          <w:t>https://mfin.gov.hr/istaknute-teme/koncesije-i-drzavne-potpore/drzavne-potpore/pravila-o-drzavnim-potporama/461</w:t>
        </w:r>
      </w:hyperlink>
      <w:r w:rsidRPr="00C44B43">
        <w:rPr>
          <w:i/>
          <w:spacing w:val="-4"/>
          <w:sz w:val="20"/>
          <w:szCs w:val="20"/>
        </w:rPr>
        <w:t xml:space="preserve"> </w:t>
      </w:r>
    </w:p>
  </w:footnote>
  <w:footnote w:id="5">
    <w:p w14:paraId="2726FB4C" w14:textId="4FDA5F7B" w:rsidR="005C47F2" w:rsidRPr="00C44B43" w:rsidRDefault="005C47F2" w:rsidP="00724A44">
      <w:pPr>
        <w:jc w:val="both"/>
        <w:rPr>
          <w:i/>
          <w:sz w:val="20"/>
          <w:szCs w:val="20"/>
        </w:rPr>
      </w:pPr>
      <w:r w:rsidRPr="00C44B43">
        <w:rPr>
          <w:i/>
          <w:sz w:val="20"/>
          <w:szCs w:val="20"/>
          <w:vertAlign w:val="superscript"/>
        </w:rPr>
        <w:footnoteRef/>
      </w:r>
      <w:r w:rsidRPr="00C44B43">
        <w:rPr>
          <w:i/>
          <w:sz w:val="20"/>
          <w:szCs w:val="20"/>
        </w:rPr>
        <w:t xml:space="preserve"> </w:t>
      </w:r>
      <w:hyperlink r:id="rId3" w:history="1">
        <w:r w:rsidRPr="00C44B43">
          <w:rPr>
            <w:rStyle w:val="Hyperlink"/>
            <w:i/>
            <w:color w:val="auto"/>
            <w:sz w:val="20"/>
            <w:szCs w:val="20"/>
          </w:rPr>
          <w:t>https://competition-policy.ec.europa.eu/state-aid/legislation_en</w:t>
        </w:r>
      </w:hyperlink>
    </w:p>
  </w:footnote>
  <w:footnote w:id="6">
    <w:p w14:paraId="3DAECB0B" w14:textId="5C8A540B" w:rsidR="005C47F2" w:rsidRPr="00C44B43" w:rsidRDefault="005C47F2" w:rsidP="00C24628">
      <w:pPr>
        <w:jc w:val="both"/>
        <w:rPr>
          <w:b/>
          <w:i/>
          <w:spacing w:val="-4"/>
          <w:sz w:val="20"/>
          <w:szCs w:val="20"/>
        </w:rPr>
      </w:pPr>
      <w:r w:rsidRPr="00C44B43">
        <w:rPr>
          <w:rStyle w:val="FootnoteReference"/>
          <w:i/>
          <w:spacing w:val="-4"/>
          <w:sz w:val="20"/>
          <w:szCs w:val="20"/>
        </w:rPr>
        <w:footnoteRef/>
      </w:r>
      <w:r w:rsidRPr="00C44B43">
        <w:rPr>
          <w:i/>
          <w:spacing w:val="-4"/>
          <w:sz w:val="20"/>
          <w:szCs w:val="20"/>
        </w:rPr>
        <w:t xml:space="preserve"> Uredbu o općem skupnom izuzeću do 1. srpnja 2023., odnosno do stupanja na snagu njene dopune sadržane u Uredbi Komisije 2023/1315, činila je</w:t>
      </w:r>
      <w:r w:rsidRPr="00C44B43">
        <w:rPr>
          <w:b/>
          <w:i/>
          <w:spacing w:val="-4"/>
          <w:sz w:val="20"/>
          <w:szCs w:val="20"/>
        </w:rPr>
        <w:t xml:space="preserve"> </w:t>
      </w:r>
      <w:r w:rsidRPr="00C44B43">
        <w:rPr>
          <w:i/>
          <w:spacing w:val="-4"/>
          <w:sz w:val="20"/>
          <w:szCs w:val="20"/>
        </w:rPr>
        <w:t>Uredba Komisije (EU) br. 651/2014 od 17. lipnja 2014. o ocjenjivanju određenih kategorija potpora spojivima s unutarnjim tržištem u primjeni članaka 107. i 108. Ugovora (Službeni list Europske unije,</w:t>
      </w:r>
      <w:r w:rsidRPr="00C44B43">
        <w:rPr>
          <w:rFonts w:eastAsiaTheme="minorEastAsia"/>
          <w:i/>
          <w:spacing w:val="-4"/>
          <w:sz w:val="20"/>
          <w:szCs w:val="20"/>
          <w:lang w:eastAsia="zh-CN"/>
        </w:rPr>
        <w:t xml:space="preserve"> L 187, od 26. lipnja 2014.; u daljnjem tekstu: Uredba 651/2014</w:t>
      </w:r>
      <w:r w:rsidRPr="00C44B43">
        <w:rPr>
          <w:i/>
          <w:spacing w:val="-4"/>
          <w:sz w:val="20"/>
          <w:szCs w:val="20"/>
        </w:rPr>
        <w:t>), Uredba Komisije (EU) br. 2017/1084 od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 lipnja 2017.), Uredba Komisije (EU) br. 2020/972 od 2. srpnja 2020. o izmjeni Uredbe (EU) o izmjeni Uredbe (EU) br. 1407/2013 u pogledu njezina produljenja i o izmjeni Uredbe (EU) br. 651/2014 u pogledu njezina produljenja i odgovarajućih prilagodbi (Službeni list Europske unije, L 215, od 7. srpnja 2020.), Uredba Komisije (EU) br. 2021/1237 od 23. srpnja 2021. o izmjeni Uredbe (EU) br. 651/2014 o ocjenjivanju određenih kategorija potpora spojivima s unutarnjim tržištem u primjeni članaka 107. i 108. Ugovora (Službeni list Europske unije, L 270, od 29. srpnja 2021.) te njene posljednje dopune sadržane u Uredbi Komisije (EU) 2023/1315 оd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 (Službeni list Europske unije, L 167, od 30. lipnja 2023.; u daljnjem tekstu: Uredba 2023/1315) koja je stupila na snagu 1. srpnja 2023. Uredba o općem skupnom izuzeću u primjeni je do 31. prosinca 2026.</w:t>
      </w:r>
    </w:p>
  </w:footnote>
  <w:footnote w:id="7">
    <w:p w14:paraId="2CCF1C6E" w14:textId="430CC663" w:rsidR="005C47F2" w:rsidRPr="00C44B43" w:rsidRDefault="005C47F2">
      <w:pPr>
        <w:pStyle w:val="FootnoteText"/>
        <w:rPr>
          <w:rFonts w:ascii="Times New Roman" w:hAnsi="Times New Roman" w:cs="Times New Roman"/>
          <w:b w:val="0"/>
          <w:spacing w:val="-2"/>
        </w:rPr>
      </w:pPr>
      <w:r w:rsidRPr="00C44B43">
        <w:rPr>
          <w:rStyle w:val="FootnoteReference"/>
          <w:rFonts w:ascii="Times New Roman" w:hAnsi="Times New Roman" w:cs="Times New Roman"/>
          <w:b w:val="0"/>
          <w:i/>
          <w:spacing w:val="-2"/>
        </w:rPr>
        <w:footnoteRef/>
      </w:r>
      <w:r w:rsidRPr="00C44B43">
        <w:rPr>
          <w:rFonts w:ascii="Times New Roman" w:hAnsi="Times New Roman" w:cs="Times New Roman"/>
          <w:b w:val="0"/>
          <w:spacing w:val="-2"/>
        </w:rPr>
        <w:t xml:space="preserve"> </w:t>
      </w:r>
      <w:r w:rsidRPr="00C44B43">
        <w:rPr>
          <w:rFonts w:ascii="Times New Roman" w:hAnsi="Times New Roman" w:cs="Times New Roman"/>
          <w:b w:val="0"/>
          <w:i/>
          <w:spacing w:val="-2"/>
        </w:rPr>
        <w:t>Uredba Komisije (EU) 2023/2831 od 13. prosinca 2023. o primjeni članaka 107. i 108. Ugovora o funkcioniranju Europske unije na de minimis potpore (Službeni list Europske unije, L 2023/2831, od 15. prosinca 2023.; u daljnjem tekstu: Uredba 2023/2831) koja je usvojena od strane Europske komisije 13. prosinca 2023., a stupila na snagu 1. siječnja 2024. Navedena Uredba 2023/2831 zamjenjuje Uredbu Komisije (EU) br. 1407/2013 od 18. prosinca 2013. o primjeni članaka 107. i 108. Ugovora u funkcioniranju Europske unije na de minimis potpore (Službeni list Europske unije, L 352/1, od 24. prosinca 2013.; u daljnjem tekstu: Uredba 1407/2013) i Uredbom Komisije (EU) 2020/972 od 2. srpnja 2020. godine o izmjeni Uredbe (EU) br. 1407/2013 u pogledu njezina produljenja i o izmjeni Uredbe (EU) br. 651/2014 u pogledu njezina produljenja i odgovarajućih prilagodbi (Službeni list Europske unije, L 215/3, od 7. srpnja 2020.; u daljnjem tekstu: Uredba 2020/972) koja je važila do 31. prosinca 2023.</w:t>
      </w:r>
    </w:p>
  </w:footnote>
  <w:footnote w:id="8">
    <w:p w14:paraId="5709490D" w14:textId="2383B91D" w:rsidR="005C47F2" w:rsidRPr="00C44B43" w:rsidRDefault="005C47F2">
      <w:pPr>
        <w:pStyle w:val="FootnoteText"/>
        <w:rPr>
          <w:rFonts w:ascii="Times New Roman" w:hAnsi="Times New Roman" w:cs="Times New Roman"/>
          <w:b w:val="0"/>
          <w:spacing w:val="-4"/>
        </w:rPr>
      </w:pPr>
      <w:r w:rsidRPr="00C44B43">
        <w:rPr>
          <w:rStyle w:val="FootnoteReference"/>
          <w:rFonts w:ascii="Times New Roman" w:hAnsi="Times New Roman" w:cs="Times New Roman"/>
          <w:b w:val="0"/>
          <w:spacing w:val="-4"/>
        </w:rPr>
        <w:footnoteRef/>
      </w:r>
      <w:r w:rsidRPr="00C44B43">
        <w:rPr>
          <w:rFonts w:ascii="Times New Roman" w:hAnsi="Times New Roman" w:cs="Times New Roman"/>
          <w:b w:val="0"/>
          <w:spacing w:val="-4"/>
        </w:rPr>
        <w:t xml:space="preserve"> </w:t>
      </w:r>
      <w:r w:rsidRPr="00C44B43">
        <w:rPr>
          <w:rFonts w:ascii="Times New Roman" w:hAnsi="Times New Roman" w:cs="Times New Roman"/>
          <w:b w:val="0"/>
          <w:i/>
          <w:spacing w:val="-4"/>
        </w:rPr>
        <w:t>Uredba Komisije (EU) 2023/2832 оd 13. prosinca 2023. o primjeni članaka 107. i 108. Ugovora o funkcioniranju Europske Unije na de minimis potpore koje se dodjeljuju poduzetnicima koji pružaju usluge od općeg gospodarskog interesa (Službeni list Europske unije, L 2023/2832, od 15. prosinca 2023.), koju je Europska komisija usvojila 13. prosinca 2023., a koja je stupila na snagu 1. siječnja 2024., a koja zamjenjuje Uredbu Komisije (EU) br. 360/2012 od 25. travnja 2012. o primjeni članaka 107. i 108. Ugovora o funkcioniranju Europske unije na potpore de minimis koje se dodjeljuju poduzetnicima koji pružaju usluge od općeg gospodarskog interesa (Službeni list Europske unije, L 114, od 26. travnja 2012.) koja je važila do 31. prosinca 2023.</w:t>
      </w:r>
    </w:p>
  </w:footnote>
  <w:footnote w:id="9">
    <w:p w14:paraId="6F789EF0"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eastAsiaTheme="majorEastAsia" w:hAnsi="Times New Roman" w:cs="Times New Roman"/>
          <w:b w:val="0"/>
          <w:i/>
        </w:rPr>
        <w:footnoteRef/>
      </w:r>
      <w:r w:rsidRPr="00C44B43">
        <w:rPr>
          <w:rFonts w:ascii="Times New Roman" w:hAnsi="Times New Roman" w:cs="Times New Roman"/>
          <w:b w:val="0"/>
          <w:i/>
        </w:rPr>
        <w:t xml:space="preserve"> Poglavlje 3. Obavijesti Komisije o provedbi pravila o državnim potporama od strane nacionalnih sudova (Službeni list Europske unije, C 305, od 30. srpnja 2021.).</w:t>
      </w:r>
    </w:p>
  </w:footnote>
  <w:footnote w:id="10">
    <w:p w14:paraId="01764CE9"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eastAsiaTheme="majorEastAsia" w:hAnsi="Times New Roman" w:cs="Times New Roman"/>
          <w:b w:val="0"/>
          <w:i/>
        </w:rPr>
        <w:footnoteRef/>
      </w:r>
      <w:r w:rsidRPr="00C44B43">
        <w:rPr>
          <w:rFonts w:ascii="Times New Roman" w:hAnsi="Times New Roman" w:cs="Times New Roman"/>
          <w:b w:val="0"/>
          <w:i/>
        </w:rPr>
        <w:t xml:space="preserve"> Točka 17. Obavijesti Komisije o pojmu državne potpore iz članka 107. stavka 1. Ugovora o funkcioniranju Europske unije (Službeni list Europske unije, C 262, od 9. srpnja 2016.).</w:t>
      </w:r>
    </w:p>
  </w:footnote>
  <w:footnote w:id="11">
    <w:p w14:paraId="3BD29451" w14:textId="3602E621" w:rsidR="005C47F2" w:rsidRPr="00C44B43" w:rsidRDefault="005C47F2" w:rsidP="00724A44">
      <w:pPr>
        <w:autoSpaceDE w:val="0"/>
        <w:autoSpaceDN w:val="0"/>
        <w:adjustRightInd w:val="0"/>
        <w:jc w:val="both"/>
        <w:rPr>
          <w:i/>
          <w:sz w:val="20"/>
          <w:szCs w:val="20"/>
        </w:rPr>
      </w:pPr>
      <w:r w:rsidRPr="00C44B43">
        <w:rPr>
          <w:rStyle w:val="FootnoteReference"/>
          <w:i/>
          <w:sz w:val="20"/>
          <w:szCs w:val="20"/>
        </w:rPr>
        <w:footnoteRef/>
      </w:r>
      <w:r w:rsidRPr="00C44B43">
        <w:rPr>
          <w:i/>
          <w:sz w:val="20"/>
          <w:szCs w:val="20"/>
        </w:rPr>
        <w:t xml:space="preserve"> Izvor: mrežna stranica Europske komisije: </w:t>
      </w:r>
      <w:hyperlink r:id="rId4" w:history="1">
        <w:r w:rsidRPr="00C44B43">
          <w:rPr>
            <w:rStyle w:val="Hyperlink"/>
            <w:i/>
            <w:color w:val="auto"/>
            <w:sz w:val="20"/>
            <w:szCs w:val="20"/>
          </w:rPr>
          <w:t>https://competition-policy.ec.europa.eu/state-aid/scoreboard_en</w:t>
        </w:r>
      </w:hyperlink>
    </w:p>
  </w:footnote>
  <w:footnote w:id="12">
    <w:p w14:paraId="1890B757"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 </w:t>
      </w:r>
    </w:p>
  </w:footnote>
  <w:footnote w:id="13">
    <w:p w14:paraId="02D6408D"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eastAsiaTheme="majorEastAsia"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w:t>
      </w:r>
    </w:p>
  </w:footnote>
  <w:footnote w:id="14">
    <w:p w14:paraId="7607D71D" w14:textId="2B3F109F" w:rsidR="005C47F2" w:rsidRPr="00C15FC5" w:rsidRDefault="005C47F2" w:rsidP="00724A44">
      <w:pPr>
        <w:pStyle w:val="FootnoteText"/>
        <w:rPr>
          <w:rFonts w:ascii="Times New Roman" w:hAnsi="Times New Roman" w:cs="Times New Roman"/>
          <w:b w:val="0"/>
          <w:i/>
        </w:rPr>
      </w:pPr>
      <w:r w:rsidRPr="00C15FC5">
        <w:rPr>
          <w:rStyle w:val="FootnoteReference"/>
          <w:rFonts w:ascii="Times New Roman" w:eastAsiaTheme="majorEastAsia" w:hAnsi="Times New Roman" w:cs="Times New Roman"/>
          <w:b w:val="0"/>
          <w:i/>
        </w:rPr>
        <w:footnoteRef/>
      </w:r>
      <w:r w:rsidRPr="00C15FC5">
        <w:rPr>
          <w:rFonts w:ascii="Times New Roman" w:hAnsi="Times New Roman" w:cs="Times New Roman"/>
          <w:b w:val="0"/>
          <w:i/>
        </w:rPr>
        <w:t xml:space="preserve"> </w:t>
      </w:r>
      <w:r w:rsidRPr="00C15FC5">
        <w:rPr>
          <w:rFonts w:ascii="Times New Roman" w:hAnsi="Times New Roman" w:cs="Times New Roman"/>
          <w:b w:val="0"/>
          <w:i/>
          <w:iCs/>
          <w:lang w:eastAsia="hr-HR"/>
        </w:rPr>
        <w:t xml:space="preserve">Fiksni tečaj konverzije kune u euro </w:t>
      </w:r>
      <w:r w:rsidRPr="00C15FC5">
        <w:rPr>
          <w:rFonts w:ascii="Times New Roman" w:hAnsi="Times New Roman" w:cs="Times New Roman"/>
          <w:b w:val="0"/>
          <w:i/>
        </w:rPr>
        <w:t>iznosi 7,53450 kuna, izvor podataka: Hrvatska narodna banka.</w:t>
      </w:r>
    </w:p>
  </w:footnote>
  <w:footnote w:id="15">
    <w:p w14:paraId="7CDAEF2C" w14:textId="77777777" w:rsidR="005C47F2" w:rsidRPr="00C15FC5" w:rsidRDefault="005C47F2" w:rsidP="00724A44">
      <w:pPr>
        <w:pStyle w:val="FootnoteText"/>
        <w:rPr>
          <w:rFonts w:ascii="Times New Roman" w:hAnsi="Times New Roman" w:cs="Times New Roman"/>
          <w:b w:val="0"/>
          <w:i/>
        </w:rPr>
      </w:pPr>
      <w:r w:rsidRPr="00C15FC5">
        <w:rPr>
          <w:rStyle w:val="FootnoteReference"/>
          <w:rFonts w:ascii="Times New Roman" w:eastAsiaTheme="majorEastAsia" w:hAnsi="Times New Roman" w:cs="Times New Roman"/>
          <w:b w:val="0"/>
          <w:i/>
        </w:rPr>
        <w:footnoteRef/>
      </w:r>
      <w:r w:rsidRPr="00C15FC5">
        <w:rPr>
          <w:rFonts w:ascii="Times New Roman" w:hAnsi="Times New Roman" w:cs="Times New Roman"/>
          <w:b w:val="0"/>
          <w:i/>
        </w:rPr>
        <w:t xml:space="preserve"> BDP u tekućim cijenama, izvor podataka o BDP-u: Državni zavod za statistiku, Hrvatska narodna banka i Ministarstvo financija.</w:t>
      </w:r>
    </w:p>
  </w:footnote>
  <w:footnote w:id="16">
    <w:p w14:paraId="6A2B3A00" w14:textId="77777777" w:rsidR="005C47F2" w:rsidRPr="00C15FC5" w:rsidRDefault="005C47F2" w:rsidP="00724A44">
      <w:pPr>
        <w:pStyle w:val="FootnoteText"/>
        <w:rPr>
          <w:rFonts w:ascii="Times New Roman" w:hAnsi="Times New Roman" w:cs="Times New Roman"/>
          <w:b w:val="0"/>
          <w:i/>
        </w:rPr>
      </w:pPr>
      <w:r w:rsidRPr="00C15FC5">
        <w:rPr>
          <w:rStyle w:val="FootnoteReference"/>
          <w:rFonts w:ascii="Times New Roman" w:hAnsi="Times New Roman" w:cs="Times New Roman"/>
          <w:b w:val="0"/>
          <w:i/>
        </w:rPr>
        <w:footnoteRef/>
      </w:r>
      <w:r w:rsidRPr="00C15FC5">
        <w:rPr>
          <w:rFonts w:ascii="Times New Roman" w:hAnsi="Times New Roman" w:cs="Times New Roman"/>
          <w:b w:val="0"/>
          <w:i/>
        </w:rPr>
        <w:t xml:space="preserve"> Broj zaposlenih, izvor podataka o zaposlenima: Državni zavod za statistiku.</w:t>
      </w:r>
    </w:p>
  </w:footnote>
  <w:footnote w:id="17">
    <w:p w14:paraId="0C085F2D" w14:textId="77777777" w:rsidR="005C47F2" w:rsidRPr="00C44B43" w:rsidRDefault="005C47F2" w:rsidP="00724A44">
      <w:pPr>
        <w:pStyle w:val="FootnoteText"/>
        <w:rPr>
          <w:rFonts w:ascii="Times New Roman" w:hAnsi="Times New Roman" w:cs="Times New Roman"/>
          <w:b w:val="0"/>
          <w:i/>
        </w:rPr>
      </w:pPr>
      <w:r w:rsidRPr="00C15FC5">
        <w:rPr>
          <w:rStyle w:val="FootnoteReference"/>
          <w:rFonts w:ascii="Times New Roman" w:eastAsiaTheme="majorEastAsia" w:hAnsi="Times New Roman" w:cs="Times New Roman"/>
          <w:b w:val="0"/>
          <w:i/>
        </w:rPr>
        <w:footnoteRef/>
      </w:r>
      <w:r w:rsidRPr="00C15FC5">
        <w:rPr>
          <w:rFonts w:ascii="Times New Roman" w:hAnsi="Times New Roman" w:cs="Times New Roman"/>
          <w:b w:val="0"/>
          <w:i/>
        </w:rPr>
        <w:t xml:space="preserve"> Broj stanovnika, izvor podataka o broju stanovnika: Državni zavod za statistiku.</w:t>
      </w:r>
    </w:p>
  </w:footnote>
  <w:footnote w:id="18">
    <w:p w14:paraId="63FE3B32" w14:textId="77777777" w:rsidR="005C47F2" w:rsidRPr="00C44B43" w:rsidRDefault="005C47F2" w:rsidP="00724A44">
      <w:pPr>
        <w:contextualSpacing/>
        <w:jc w:val="both"/>
        <w:rPr>
          <w:i/>
          <w:sz w:val="20"/>
          <w:szCs w:val="20"/>
        </w:rPr>
      </w:pPr>
      <w:r w:rsidRPr="00C44B43">
        <w:rPr>
          <w:rStyle w:val="FootnoteReference"/>
          <w:i/>
          <w:sz w:val="20"/>
          <w:szCs w:val="20"/>
        </w:rPr>
        <w:footnoteRef/>
      </w:r>
      <w:r w:rsidRPr="00C44B43">
        <w:rPr>
          <w:i/>
          <w:sz w:val="20"/>
          <w:szCs w:val="20"/>
        </w:rPr>
        <w:t xml:space="preserve"> U Prilogu 3. nalazi se popis instrumenata dodjele potpora, kao i metodologija izračuna elementa potpore kod pojedinog instrumenta.</w:t>
      </w:r>
    </w:p>
  </w:footnote>
  <w:footnote w:id="19">
    <w:p w14:paraId="2B31E234" w14:textId="3425C062" w:rsidR="005C47F2" w:rsidRPr="00C44B43" w:rsidRDefault="005C47F2" w:rsidP="00724A44">
      <w:pPr>
        <w:contextualSpacing/>
        <w:jc w:val="both"/>
        <w:rPr>
          <w:i/>
          <w:sz w:val="20"/>
          <w:szCs w:val="20"/>
        </w:rPr>
      </w:pPr>
      <w:r w:rsidRPr="00C44B43">
        <w:rPr>
          <w:rStyle w:val="FootnoteReference"/>
          <w:i/>
          <w:sz w:val="20"/>
          <w:szCs w:val="20"/>
        </w:rPr>
        <w:footnoteRef/>
      </w:r>
      <w:r w:rsidRPr="00C44B43">
        <w:rPr>
          <w:i/>
          <w:sz w:val="20"/>
          <w:szCs w:val="20"/>
        </w:rPr>
        <w:t xml:space="preserve"> A1 subvencije i neposredne subvencije kamata; A2 porezna oslobođenja, izuzeća, oprost poreza i doprinosa i olakšice; B kapitalna ulaganja; C povoljni zajmovi; D potpore u jamstvima.</w:t>
      </w:r>
    </w:p>
  </w:footnote>
  <w:footnote w:id="20">
    <w:p w14:paraId="33BFB417" w14:textId="3FD86F57" w:rsidR="005C47F2" w:rsidRPr="00C44B43" w:rsidRDefault="005C47F2" w:rsidP="00724A44">
      <w:pPr>
        <w:pStyle w:val="FootnoteText"/>
        <w:rPr>
          <w:rFonts w:ascii="Times New Roman" w:hAnsi="Times New Roman" w:cs="Times New Roman"/>
          <w:b w:val="0"/>
          <w:i/>
          <w:spacing w:val="-2"/>
        </w:rPr>
      </w:pPr>
      <w:r w:rsidRPr="00C44B43">
        <w:rPr>
          <w:rStyle w:val="FootnoteReference"/>
          <w:rFonts w:ascii="Times New Roman" w:hAnsi="Times New Roman" w:cs="Times New Roman"/>
          <w:b w:val="0"/>
          <w:i/>
          <w:spacing w:val="-2"/>
        </w:rPr>
        <w:footnoteRef/>
      </w:r>
      <w:r w:rsidRPr="00C44B43">
        <w:rPr>
          <w:rFonts w:ascii="Times New Roman" w:hAnsi="Times New Roman" w:cs="Times New Roman"/>
          <w:b w:val="0"/>
          <w:i/>
          <w:spacing w:val="-2"/>
        </w:rPr>
        <w:t xml:space="preserve"> Prilikom odlučivanja o jamstvima u kontekstu potpore primjenjuje se Obavijest Komisije o primjeni članaka 87. i 88. Ugovora o Europskoj zajednici u području državnih potpora u obliku jamstava (52008XC0620(02), Službeni list Europske unije, C 155, od 20. lipnja 2008., str. 10.–22.) i Ispravak Obavijesti Komisije o primjeni članaka 87. i 88. Ugovora o Europskoj zajednici u području državnih potpora u obliku jamstava (52008XC0620(02)R(01), Službeni list Europske unije, C 244, od 25. rujna 2008., str. 32.–32.), dok HBOR u dijelu koji se odnosi na jamstva primjenjuje </w:t>
      </w:r>
      <w:r w:rsidRPr="00C44B43">
        <w:rPr>
          <w:rFonts w:ascii="Times New Roman" w:hAnsi="Times New Roman" w:cs="Times New Roman"/>
          <w:b w:val="0"/>
          <w:i/>
          <w:noProof/>
          <w:spacing w:val="-2"/>
          <w:lang w:eastAsia="hr-HR"/>
        </w:rPr>
        <w:t>Metodologiju za izračun naknada za jamstvo subjektima srednje tržišne kapitalizacije i velikim poslovnim subjektima koju je odobrila Europska komisija pod brojem SA.64359 i koja je sastavni dio Izmjena i dopuna Programa.</w:t>
      </w:r>
    </w:p>
  </w:footnote>
  <w:footnote w:id="21">
    <w:p w14:paraId="50A7A039"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w:t>
      </w:r>
    </w:p>
  </w:footnote>
  <w:footnote w:id="22">
    <w:p w14:paraId="6AA46FB2" w14:textId="2960681E"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w:t>
      </w:r>
    </w:p>
  </w:footnote>
  <w:footnote w:id="23">
    <w:p w14:paraId="49BA9076"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 </w:t>
      </w:r>
    </w:p>
  </w:footnote>
  <w:footnote w:id="24">
    <w:p w14:paraId="1544CBF9" w14:textId="34DA5407" w:rsidR="005C47F2" w:rsidRPr="00C44B43" w:rsidRDefault="005C47F2" w:rsidP="00724A44">
      <w:pPr>
        <w:contextualSpacing/>
        <w:jc w:val="both"/>
        <w:rPr>
          <w:i/>
          <w:sz w:val="20"/>
          <w:szCs w:val="20"/>
        </w:rPr>
      </w:pPr>
      <w:r w:rsidRPr="00C44B43">
        <w:rPr>
          <w:rStyle w:val="FootnoteReference"/>
          <w:i/>
          <w:sz w:val="20"/>
          <w:szCs w:val="20"/>
        </w:rPr>
        <w:footnoteRef/>
      </w:r>
      <w:r w:rsidRPr="00C44B43">
        <w:rPr>
          <w:i/>
          <w:sz w:val="20"/>
          <w:szCs w:val="20"/>
        </w:rPr>
        <w:t xml:space="preserve"> A1 subvencije i neposredne subvencije kamata, A2 porezna oslobođenja, izuzeća, oprost poreza i doprinosa i olakšice, B kapitalna ulaganja, C povoljni zajmovi, D jamstva.</w:t>
      </w:r>
    </w:p>
  </w:footnote>
  <w:footnote w:id="25">
    <w:p w14:paraId="0B51BF6A" w14:textId="3E39CC9A" w:rsidR="005C47F2" w:rsidRPr="00C44B43" w:rsidRDefault="005C47F2" w:rsidP="00724A44">
      <w:pPr>
        <w:pStyle w:val="FootnoteText"/>
        <w:rPr>
          <w:rFonts w:ascii="Times New Roman" w:eastAsiaTheme="minorEastAsia" w:hAnsi="Times New Roman" w:cs="Times New Roman"/>
          <w:b w:val="0"/>
          <w:i/>
          <w:kern w:val="0"/>
          <w:lang w:eastAsia="zh-CN"/>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za istraživanje i razvoj i inovacije</w:t>
      </w:r>
      <w:r w:rsidRPr="00C44B43">
        <w:rPr>
          <w:rFonts w:ascii="Times New Roman" w:hAnsi="Times New Roman" w:cs="Times New Roman"/>
          <w:b w:val="0"/>
          <w:i/>
        </w:rPr>
        <w:t xml:space="preserve">, </w:t>
      </w:r>
      <w:r w:rsidRPr="00C44B43">
        <w:rPr>
          <w:rFonts w:ascii="Times New Roman" w:hAnsi="Times New Roman" w:cs="Times New Roman"/>
          <w:b w:val="0"/>
          <w:bCs w:val="0"/>
          <w:i/>
          <w:lang w:eastAsia="hr-HR"/>
        </w:rPr>
        <w:t>dodjeljuju se</w:t>
      </w:r>
      <w:r w:rsidRPr="00C44B43">
        <w:rPr>
          <w:rFonts w:ascii="Times New Roman" w:hAnsi="Times New Roman" w:cs="Times New Roman"/>
          <w:b w:val="0"/>
          <w:i/>
        </w:rPr>
        <w:t xml:space="preserve"> temeljem pravila sadržanih u </w:t>
      </w:r>
      <w:r w:rsidRPr="00C44B43">
        <w:rPr>
          <w:rFonts w:ascii="Times New Roman" w:eastAsiaTheme="minorEastAsia" w:hAnsi="Times New Roman" w:cs="Times New Roman"/>
          <w:b w:val="0"/>
          <w:i/>
          <w:kern w:val="0"/>
          <w:lang w:eastAsia="zh-CN"/>
        </w:rPr>
        <w:t>Uredb</w:t>
      </w:r>
      <w:r w:rsidRPr="00C44B43">
        <w:rPr>
          <w:rFonts w:ascii="Times New Roman" w:eastAsiaTheme="minorEastAsia" w:hAnsi="Times New Roman" w:cs="Times New Roman"/>
          <w:b w:val="0"/>
          <w:i/>
          <w:lang w:eastAsia="zh-CN"/>
        </w:rPr>
        <w:t>i</w:t>
      </w:r>
      <w:r w:rsidRPr="00C44B43">
        <w:rPr>
          <w:rFonts w:ascii="Times New Roman" w:eastAsiaTheme="minorEastAsia" w:hAnsi="Times New Roman" w:cs="Times New Roman"/>
          <w:b w:val="0"/>
          <w:i/>
          <w:kern w:val="0"/>
          <w:lang w:eastAsia="zh-CN"/>
        </w:rPr>
        <w:t xml:space="preserve"> o općem skupnom izuzeću.</w:t>
      </w:r>
    </w:p>
  </w:footnote>
  <w:footnote w:id="26">
    <w:p w14:paraId="5A290293" w14:textId="77C4231F"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za zapošljavanje dodjeljuju se</w:t>
      </w:r>
      <w:r w:rsidRPr="00C44B43">
        <w:rPr>
          <w:rFonts w:ascii="Times New Roman" w:hAnsi="Times New Roman" w:cs="Times New Roman"/>
          <w:b w:val="0"/>
          <w:i/>
        </w:rPr>
        <w:t xml:space="preserve"> temeljem pravila sadržanih u </w:t>
      </w:r>
      <w:r w:rsidRPr="00C44B43">
        <w:rPr>
          <w:rFonts w:ascii="Times New Roman" w:eastAsiaTheme="minorEastAsia" w:hAnsi="Times New Roman" w:cs="Times New Roman"/>
          <w:b w:val="0"/>
          <w:i/>
          <w:kern w:val="0"/>
          <w:lang w:eastAsia="zh-CN"/>
        </w:rPr>
        <w:t>Uredb</w:t>
      </w:r>
      <w:r w:rsidRPr="00C44B43">
        <w:rPr>
          <w:rFonts w:ascii="Times New Roman" w:eastAsiaTheme="minorEastAsia" w:hAnsi="Times New Roman" w:cs="Times New Roman"/>
          <w:b w:val="0"/>
          <w:i/>
          <w:lang w:eastAsia="zh-CN"/>
        </w:rPr>
        <w:t>i</w:t>
      </w:r>
      <w:r w:rsidRPr="00C44B43">
        <w:rPr>
          <w:rFonts w:ascii="Times New Roman" w:eastAsiaTheme="minorEastAsia" w:hAnsi="Times New Roman" w:cs="Times New Roman"/>
          <w:b w:val="0"/>
          <w:i/>
          <w:kern w:val="0"/>
          <w:lang w:eastAsia="zh-CN"/>
        </w:rPr>
        <w:t xml:space="preserve"> o općem skupnom izuzeću.</w:t>
      </w:r>
    </w:p>
  </w:footnote>
  <w:footnote w:id="27">
    <w:p w14:paraId="72549CAA" w14:textId="3611E6E2"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za usavršavanje dodjeljuju se</w:t>
      </w:r>
      <w:r w:rsidRPr="00C44B43">
        <w:rPr>
          <w:rFonts w:ascii="Times New Roman" w:hAnsi="Times New Roman" w:cs="Times New Roman"/>
          <w:b w:val="0"/>
          <w:i/>
        </w:rPr>
        <w:t xml:space="preserve"> temeljem pravila sadržanih u </w:t>
      </w:r>
      <w:r w:rsidRPr="00C44B43">
        <w:rPr>
          <w:rFonts w:ascii="Times New Roman" w:eastAsiaTheme="minorEastAsia" w:hAnsi="Times New Roman" w:cs="Times New Roman"/>
          <w:b w:val="0"/>
          <w:i/>
          <w:kern w:val="0"/>
          <w:lang w:eastAsia="zh-CN"/>
        </w:rPr>
        <w:t>Uredb</w:t>
      </w:r>
      <w:r w:rsidRPr="00C44B43">
        <w:rPr>
          <w:rFonts w:ascii="Times New Roman" w:eastAsiaTheme="minorEastAsia" w:hAnsi="Times New Roman" w:cs="Times New Roman"/>
          <w:b w:val="0"/>
          <w:i/>
          <w:lang w:eastAsia="zh-CN"/>
        </w:rPr>
        <w:t>i</w:t>
      </w:r>
      <w:r w:rsidRPr="00C44B43">
        <w:rPr>
          <w:rFonts w:ascii="Times New Roman" w:eastAsiaTheme="minorEastAsia" w:hAnsi="Times New Roman" w:cs="Times New Roman"/>
          <w:b w:val="0"/>
          <w:i/>
          <w:kern w:val="0"/>
          <w:lang w:eastAsia="zh-CN"/>
        </w:rPr>
        <w:t xml:space="preserve"> o općem skupnom izuzeću.</w:t>
      </w:r>
    </w:p>
  </w:footnote>
  <w:footnote w:id="28">
    <w:p w14:paraId="330B08BD" w14:textId="32DC9512"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malim i srednjim poduzetnicima dodjeljuju se</w:t>
      </w:r>
      <w:r w:rsidRPr="00C44B43">
        <w:rPr>
          <w:rFonts w:ascii="Times New Roman" w:hAnsi="Times New Roman" w:cs="Times New Roman"/>
          <w:b w:val="0"/>
          <w:i/>
        </w:rPr>
        <w:t xml:space="preserve"> temeljem pravila sadržanih u </w:t>
      </w:r>
      <w:r w:rsidRPr="00C44B43">
        <w:rPr>
          <w:rFonts w:ascii="Times New Roman" w:eastAsiaTheme="minorEastAsia" w:hAnsi="Times New Roman" w:cs="Times New Roman"/>
          <w:b w:val="0"/>
          <w:i/>
          <w:kern w:val="0"/>
          <w:lang w:eastAsia="zh-CN"/>
        </w:rPr>
        <w:t>Uredb</w:t>
      </w:r>
      <w:r w:rsidRPr="00C44B43">
        <w:rPr>
          <w:rFonts w:ascii="Times New Roman" w:eastAsiaTheme="minorEastAsia" w:hAnsi="Times New Roman" w:cs="Times New Roman"/>
          <w:b w:val="0"/>
          <w:i/>
          <w:lang w:eastAsia="zh-CN"/>
        </w:rPr>
        <w:t>i</w:t>
      </w:r>
      <w:r w:rsidRPr="00C44B43">
        <w:rPr>
          <w:rFonts w:ascii="Times New Roman" w:eastAsiaTheme="minorEastAsia" w:hAnsi="Times New Roman" w:cs="Times New Roman"/>
          <w:b w:val="0"/>
          <w:i/>
          <w:kern w:val="0"/>
          <w:lang w:eastAsia="zh-CN"/>
        </w:rPr>
        <w:t xml:space="preserve"> o općem skupnom izuzeću.</w:t>
      </w:r>
    </w:p>
  </w:footnote>
  <w:footnote w:id="29">
    <w:p w14:paraId="495B128D" w14:textId="2CB3A26E" w:rsidR="005C47F2" w:rsidRPr="00C44B43" w:rsidRDefault="005C47F2" w:rsidP="00724A44">
      <w:pPr>
        <w:jc w:val="both"/>
        <w:rPr>
          <w:spacing w:val="-2"/>
          <w:sz w:val="20"/>
          <w:szCs w:val="20"/>
        </w:rPr>
      </w:pPr>
      <w:r w:rsidRPr="00C44B43">
        <w:rPr>
          <w:rStyle w:val="FootnoteReference"/>
          <w:i/>
          <w:spacing w:val="-2"/>
          <w:sz w:val="20"/>
          <w:szCs w:val="20"/>
        </w:rPr>
        <w:footnoteRef/>
      </w:r>
      <w:r w:rsidRPr="00C44B43">
        <w:rPr>
          <w:i/>
          <w:spacing w:val="-2"/>
          <w:sz w:val="20"/>
          <w:szCs w:val="20"/>
        </w:rPr>
        <w:t xml:space="preserve"> Regionalne p</w:t>
      </w:r>
      <w:r w:rsidRPr="00C44B43">
        <w:rPr>
          <w:i/>
          <w:iCs/>
          <w:spacing w:val="-2"/>
          <w:sz w:val="20"/>
          <w:szCs w:val="20"/>
        </w:rPr>
        <w:t xml:space="preserve">otpore </w:t>
      </w:r>
      <w:r w:rsidRPr="00C44B43">
        <w:rPr>
          <w:bCs/>
          <w:i/>
          <w:spacing w:val="-2"/>
          <w:sz w:val="20"/>
          <w:szCs w:val="20"/>
          <w:lang w:eastAsia="hr-HR"/>
        </w:rPr>
        <w:t>dodjeljuju se</w:t>
      </w:r>
      <w:r w:rsidRPr="00C44B43">
        <w:rPr>
          <w:i/>
          <w:spacing w:val="-2"/>
          <w:sz w:val="20"/>
          <w:szCs w:val="20"/>
        </w:rPr>
        <w:t xml:space="preserve"> temeljem pravila sadržanih u </w:t>
      </w:r>
      <w:r w:rsidRPr="00C44B43">
        <w:rPr>
          <w:rFonts w:eastAsiaTheme="minorEastAsia"/>
          <w:i/>
          <w:spacing w:val="-2"/>
          <w:sz w:val="20"/>
          <w:szCs w:val="20"/>
          <w:lang w:eastAsia="zh-CN"/>
        </w:rPr>
        <w:t xml:space="preserve">Uredbi o općem skupnom izuzeću. Intenziteti dodjele regionalne potpore propisani su Kartom regionalnih potpora Republike Hrvatske za razdoblje 2022. – 2027., temeljem odluke Europske komisije SA.64581 od 23. studenog 2021. </w:t>
      </w:r>
      <w:r w:rsidRPr="00C44B43">
        <w:rPr>
          <w:bCs/>
          <w:i/>
          <w:spacing w:val="-2"/>
          <w:sz w:val="20"/>
          <w:szCs w:val="20"/>
          <w:lang w:eastAsia="hr-HR"/>
        </w:rPr>
        <w:t xml:space="preserve">Karta regionalnih potpora temelji se na </w:t>
      </w:r>
      <w:r w:rsidRPr="00C44B43">
        <w:rPr>
          <w:i/>
          <w:spacing w:val="-2"/>
          <w:sz w:val="20"/>
          <w:szCs w:val="20"/>
        </w:rPr>
        <w:t>Smjernicama za</w:t>
      </w:r>
      <w:r w:rsidRPr="00C44B43">
        <w:rPr>
          <w:bCs/>
          <w:i/>
          <w:spacing w:val="-2"/>
          <w:sz w:val="20"/>
          <w:szCs w:val="20"/>
          <w:lang w:eastAsia="hr-HR"/>
        </w:rPr>
        <w:t xml:space="preserve"> regionalne državne potpore (</w:t>
      </w:r>
      <w:r w:rsidRPr="00C44B43">
        <w:rPr>
          <w:i/>
          <w:spacing w:val="-2"/>
          <w:sz w:val="20"/>
          <w:szCs w:val="20"/>
          <w:lang w:eastAsia="hr-HR"/>
        </w:rPr>
        <w:t>Službeni list Europske unije, Službeni list Europske unije C 153, od 29. travnja 2021.) te njenim izmjenama iz 2024. godine.</w:t>
      </w:r>
    </w:p>
  </w:footnote>
  <w:footnote w:id="30">
    <w:p w14:paraId="45E38789"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eastAsiaTheme="majorEastAsia" w:hAnsi="Times New Roman" w:cs="Times New Roman"/>
          <w:b w:val="0"/>
          <w:i/>
        </w:rPr>
        <w:footnoteRef/>
      </w:r>
      <w:r w:rsidRPr="00C44B43">
        <w:rPr>
          <w:rFonts w:ascii="Times New Roman" w:hAnsi="Times New Roman" w:cs="Times New Roman"/>
          <w:b w:val="0"/>
          <w:i/>
        </w:rPr>
        <w:t xml:space="preserve"> Službeni list Europske unije, L 7, od 11. siječnja 2012.</w:t>
      </w:r>
    </w:p>
  </w:footnote>
  <w:footnote w:id="31">
    <w:p w14:paraId="44D36437" w14:textId="7777777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Službeni list Europske unije, C 8, od 11. siječnja 2012.</w:t>
      </w:r>
    </w:p>
  </w:footnote>
  <w:footnote w:id="32">
    <w:p w14:paraId="7CB87CD3" w14:textId="42892BB3"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 xml:space="preserve">za </w:t>
      </w:r>
      <w:r w:rsidRPr="00C44B43">
        <w:rPr>
          <w:rFonts w:ascii="Times New Roman" w:hAnsi="Times New Roman" w:cs="Times New Roman"/>
          <w:b w:val="0"/>
          <w:i/>
          <w:lang w:eastAsia="hr-HR"/>
        </w:rPr>
        <w:t xml:space="preserve">zaštitu okoliša i uštedu energije </w:t>
      </w:r>
      <w:r w:rsidRPr="00C44B43">
        <w:rPr>
          <w:rFonts w:ascii="Times New Roman" w:hAnsi="Times New Roman" w:cs="Times New Roman"/>
          <w:b w:val="0"/>
          <w:bCs w:val="0"/>
          <w:i/>
          <w:lang w:eastAsia="hr-HR"/>
        </w:rPr>
        <w:t>dodjeljuju se</w:t>
      </w:r>
      <w:r w:rsidRPr="00C44B43">
        <w:rPr>
          <w:rFonts w:ascii="Times New Roman" w:hAnsi="Times New Roman" w:cs="Times New Roman"/>
          <w:b w:val="0"/>
          <w:i/>
        </w:rPr>
        <w:t xml:space="preserve"> temeljem pravila sadržanih u </w:t>
      </w:r>
      <w:r w:rsidRPr="00C44B43">
        <w:rPr>
          <w:rFonts w:ascii="Times New Roman" w:eastAsiaTheme="minorEastAsia" w:hAnsi="Times New Roman" w:cs="Times New Roman"/>
          <w:b w:val="0"/>
          <w:i/>
          <w:kern w:val="0"/>
          <w:lang w:eastAsia="zh-CN"/>
        </w:rPr>
        <w:t>Uredb</w:t>
      </w:r>
      <w:r w:rsidRPr="00C44B43">
        <w:rPr>
          <w:rFonts w:ascii="Times New Roman" w:eastAsiaTheme="minorEastAsia" w:hAnsi="Times New Roman" w:cs="Times New Roman"/>
          <w:b w:val="0"/>
          <w:i/>
          <w:lang w:eastAsia="zh-CN"/>
        </w:rPr>
        <w:t>i</w:t>
      </w:r>
      <w:r w:rsidRPr="00C44B43">
        <w:rPr>
          <w:rFonts w:ascii="Times New Roman" w:eastAsiaTheme="minorEastAsia" w:hAnsi="Times New Roman" w:cs="Times New Roman"/>
          <w:b w:val="0"/>
          <w:i/>
          <w:kern w:val="0"/>
          <w:lang w:eastAsia="zh-CN"/>
        </w:rPr>
        <w:t xml:space="preserve"> o općem skupnom izuzeću i Smjernicama o državnim potporama za klimu, zaštitu okoliša i energiju (Službeni list Europske unije, C 80, od 18. veljače 2022.).</w:t>
      </w:r>
    </w:p>
  </w:footnote>
  <w:footnote w:id="33">
    <w:p w14:paraId="6E11D133" w14:textId="11C742C2"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i/>
          <w:lang w:eastAsia="hr-HR"/>
        </w:rPr>
        <w:t xml:space="preserve">za </w:t>
      </w:r>
      <w:r w:rsidRPr="00C44B43">
        <w:rPr>
          <w:rFonts w:ascii="Times New Roman" w:hAnsi="Times New Roman" w:cs="Times New Roman"/>
          <w:b w:val="0"/>
          <w:i/>
        </w:rPr>
        <w:t xml:space="preserve">sanaciju i restrukturiranje poduzetnika u teškoćama </w:t>
      </w:r>
      <w:r w:rsidRPr="00C44B43">
        <w:rPr>
          <w:rFonts w:ascii="Times New Roman" w:hAnsi="Times New Roman" w:cs="Times New Roman"/>
          <w:b w:val="0"/>
          <w:i/>
          <w:lang w:eastAsia="hr-HR"/>
        </w:rPr>
        <w:t>mogu se dodijeliti</w:t>
      </w:r>
      <w:r w:rsidRPr="00C44B43">
        <w:rPr>
          <w:rFonts w:ascii="Times New Roman" w:hAnsi="Times New Roman" w:cs="Times New Roman"/>
          <w:b w:val="0"/>
          <w:i/>
        </w:rPr>
        <w:t xml:space="preserve"> prema Smjernicama o državnim potporama za sanaciju i restrukturiranje nefinancijskih poduzetnika u teškoćama (Službeni list Europske unije, C 249, od 31. srpnja 2014.), koje se primjenjuju od 1. kolovoza 2014., a čija je primjena produljena kako slijedi: do 31. prosinca 2023. temeljem Izmjena Smjernica </w:t>
      </w:r>
      <w:r w:rsidRPr="00C44B43">
        <w:rPr>
          <w:rFonts w:ascii="Times New Roman" w:eastAsiaTheme="minorEastAsia" w:hAnsi="Times New Roman" w:cs="Times New Roman"/>
          <w:b w:val="0"/>
          <w:i/>
          <w:kern w:val="0"/>
          <w:lang w:eastAsia="zh-CN"/>
        </w:rPr>
        <w:t>(</w:t>
      </w:r>
      <w:r w:rsidRPr="00C44B43">
        <w:rPr>
          <w:rFonts w:ascii="Times New Roman" w:hAnsi="Times New Roman" w:cs="Times New Roman"/>
          <w:b w:val="0"/>
          <w:i/>
          <w:lang w:eastAsia="hr-HR"/>
        </w:rPr>
        <w:t xml:space="preserve">Službeni list Europske unije, </w:t>
      </w:r>
      <w:r w:rsidRPr="00C44B43">
        <w:rPr>
          <w:rFonts w:ascii="Times New Roman" w:hAnsi="Times New Roman" w:cs="Times New Roman"/>
          <w:b w:val="0"/>
          <w:i/>
        </w:rPr>
        <w:t>C 224, od 8. srpnja 2020.), zatim do 31. prosinca 2025. temeljem Izmjena Smjernica (Službeni list Europske unije, C/2023/1212, od 29. studenoga 2023.), te u konačnici do 31. prosinca 2026. temeljem Izmjena Smjernica (Službeni list Europske unije, C/2025/5428, od 13. listopada 2025.).</w:t>
      </w:r>
    </w:p>
  </w:footnote>
  <w:footnote w:id="34">
    <w:p w14:paraId="3E592403" w14:textId="4515C1A2"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 xml:space="preserve">za </w:t>
      </w:r>
      <w:r w:rsidRPr="00C44B43">
        <w:rPr>
          <w:rFonts w:ascii="Times New Roman" w:hAnsi="Times New Roman" w:cs="Times New Roman"/>
          <w:b w:val="0"/>
          <w:i/>
        </w:rPr>
        <w:t xml:space="preserve">javno radiotelevizijsko emitiranje </w:t>
      </w:r>
      <w:r w:rsidRPr="00C44B43">
        <w:rPr>
          <w:rFonts w:ascii="Times New Roman" w:hAnsi="Times New Roman" w:cs="Times New Roman"/>
          <w:b w:val="0"/>
          <w:bCs w:val="0"/>
          <w:i/>
          <w:lang w:eastAsia="hr-HR"/>
        </w:rPr>
        <w:t>mogu se dodijeliti</w:t>
      </w:r>
      <w:r w:rsidRPr="00C44B43">
        <w:rPr>
          <w:rFonts w:ascii="Times New Roman" w:hAnsi="Times New Roman" w:cs="Times New Roman"/>
          <w:b w:val="0"/>
          <w:i/>
        </w:rPr>
        <w:t xml:space="preserve"> temeljem Priopćenja Komisije o primjeni pravila o državnim potporama za javne radiodifuzijske usluge (Službeni list Europske unije, C 257, od 27. listopada 2009.).</w:t>
      </w:r>
    </w:p>
  </w:footnote>
  <w:footnote w:id="35">
    <w:p w14:paraId="7CC76499" w14:textId="15DC0836"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w:t>
      </w:r>
      <w:r w:rsidRPr="00C44B43">
        <w:rPr>
          <w:rFonts w:ascii="Times New Roman" w:hAnsi="Times New Roman" w:cs="Times New Roman"/>
          <w:b w:val="0"/>
          <w:i/>
          <w:iCs/>
        </w:rPr>
        <w:t xml:space="preserve">otpore </w:t>
      </w:r>
      <w:r w:rsidRPr="00C44B43">
        <w:rPr>
          <w:rFonts w:ascii="Times New Roman" w:hAnsi="Times New Roman" w:cs="Times New Roman"/>
          <w:b w:val="0"/>
          <w:bCs w:val="0"/>
          <w:i/>
          <w:lang w:eastAsia="hr-HR"/>
        </w:rPr>
        <w:t xml:space="preserve">za </w:t>
      </w:r>
      <w:r w:rsidRPr="00C44B43">
        <w:rPr>
          <w:rFonts w:ascii="Times New Roman" w:hAnsi="Times New Roman" w:cs="Times New Roman"/>
          <w:b w:val="0"/>
          <w:i/>
        </w:rPr>
        <w:t xml:space="preserve">razvoj širokopojasnih mreža </w:t>
      </w:r>
      <w:r w:rsidRPr="00C44B43">
        <w:rPr>
          <w:rFonts w:ascii="Times New Roman" w:hAnsi="Times New Roman" w:cs="Times New Roman"/>
          <w:b w:val="0"/>
          <w:bCs w:val="0"/>
          <w:i/>
          <w:lang w:eastAsia="hr-HR"/>
        </w:rPr>
        <w:t>mogle su se dodijeliti</w:t>
      </w:r>
      <w:r w:rsidRPr="00C44B43">
        <w:rPr>
          <w:rFonts w:ascii="Times New Roman" w:hAnsi="Times New Roman" w:cs="Times New Roman"/>
          <w:b w:val="0"/>
          <w:i/>
        </w:rPr>
        <w:t xml:space="preserve"> temeljem pravila sadržanih u Priopćenju Komisije – Smjernica EU o primjeni pravila o državnim potporama u odnosu na brzi razvoj širokopojasnih mreža (Službeni list Europske unije, C 25, od 26. siječnja 2013.) koje su bile u primjeni do 31. siječnja 2023., a od 1. veljače 2023. u primjeni su Smjernice o državnim potporama za širokopojasne mreže (Službeni list Europske unije, C 36, od 31. siječnja 2023.).</w:t>
      </w:r>
    </w:p>
  </w:footnote>
  <w:footnote w:id="36">
    <w:p w14:paraId="18BE476D" w14:textId="77777777" w:rsidR="005C47F2" w:rsidRPr="00C44B43" w:rsidRDefault="005C47F2" w:rsidP="002E432B">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w:t>
      </w:r>
      <w:hyperlink r:id="rId5" w:history="1">
        <w:r w:rsidRPr="00C44B43">
          <w:rPr>
            <w:rStyle w:val="Hyperlink"/>
            <w:rFonts w:ascii="Times New Roman" w:hAnsi="Times New Roman" w:cs="Times New Roman"/>
            <w:b w:val="0"/>
            <w:i/>
            <w:color w:val="auto"/>
          </w:rPr>
          <w:t>https://competition-policy.ec.europa.eu/state-aid/coronavirus_en</w:t>
        </w:r>
      </w:hyperlink>
      <w:r w:rsidRPr="00C44B43">
        <w:rPr>
          <w:rFonts w:ascii="Times New Roman" w:hAnsi="Times New Roman" w:cs="Times New Roman"/>
          <w:b w:val="0"/>
          <w:i/>
        </w:rPr>
        <w:t xml:space="preserve"> </w:t>
      </w:r>
    </w:p>
  </w:footnote>
  <w:footnote w:id="37">
    <w:p w14:paraId="13FBA276" w14:textId="695BAF7F"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w:t>
      </w:r>
      <w:hyperlink r:id="rId6" w:history="1">
        <w:r w:rsidRPr="00C44B43">
          <w:rPr>
            <w:rStyle w:val="Hyperlink"/>
            <w:rFonts w:ascii="Times New Roman" w:hAnsi="Times New Roman" w:cs="Times New Roman"/>
            <w:b w:val="0"/>
            <w:i/>
            <w:color w:val="auto"/>
          </w:rPr>
          <w:t>https://mfin.gov.hr/istaknute-teme/koncesije-i-drzavne-potpore/drzavne-potpore/drzavne-potpore-za-podrsku-gospodarstvu-tijekom-pandemije-covid-a-19/3044</w:t>
        </w:r>
      </w:hyperlink>
      <w:r w:rsidRPr="00C44B43">
        <w:rPr>
          <w:rFonts w:ascii="Times New Roman" w:hAnsi="Times New Roman" w:cs="Times New Roman"/>
          <w:b w:val="0"/>
          <w:i/>
        </w:rPr>
        <w:t xml:space="preserve"> </w:t>
      </w:r>
    </w:p>
  </w:footnote>
  <w:footnote w:id="38">
    <w:p w14:paraId="2C1BC471" w14:textId="7DCB512A"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Službeni list Europske unije, C 131, od 14. ožujka 2023. i 21. srpnja 2022. </w:t>
      </w:r>
    </w:p>
  </w:footnote>
  <w:footnote w:id="39">
    <w:p w14:paraId="2E592CBB" w14:textId="21C0DA47" w:rsidR="005C47F2" w:rsidRPr="00C44B43" w:rsidRDefault="005C47F2" w:rsidP="00724A44">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Službeni list Europske unije, C 101/03, od 17. ožujka 2023.</w:t>
      </w:r>
    </w:p>
  </w:footnote>
  <w:footnote w:id="40">
    <w:p w14:paraId="0AD2E0EC" w14:textId="4168B08E" w:rsidR="005C47F2" w:rsidRPr="00C44B43" w:rsidRDefault="005C47F2" w:rsidP="00724A44">
      <w:pPr>
        <w:contextualSpacing/>
        <w:jc w:val="both"/>
        <w:rPr>
          <w:i/>
          <w:sz w:val="20"/>
          <w:szCs w:val="20"/>
        </w:rPr>
      </w:pPr>
      <w:r w:rsidRPr="00C44B43">
        <w:rPr>
          <w:rStyle w:val="FootnoteReference"/>
          <w:i/>
          <w:sz w:val="20"/>
          <w:szCs w:val="20"/>
        </w:rPr>
        <w:footnoteRef/>
      </w:r>
      <w:r w:rsidRPr="00C44B43">
        <w:rPr>
          <w:i/>
          <w:sz w:val="20"/>
          <w:szCs w:val="20"/>
        </w:rPr>
        <w:t xml:space="preserve"> Priopćenje Europske komisije o usvajanju Privremenog okvira objavljeno je na mrežnim stranicama Europske komisije: </w:t>
      </w:r>
      <w:hyperlink r:id="rId7" w:history="1">
        <w:r w:rsidRPr="00C44B43">
          <w:rPr>
            <w:rStyle w:val="Hyperlink"/>
            <w:i/>
            <w:color w:val="auto"/>
            <w:sz w:val="20"/>
            <w:szCs w:val="20"/>
          </w:rPr>
          <w:t>https://ec.europa.eu/commission/presscorner/detail/en/ip_23_1563</w:t>
        </w:r>
      </w:hyperlink>
      <w:r w:rsidRPr="00C44B43">
        <w:rPr>
          <w:i/>
          <w:sz w:val="20"/>
          <w:szCs w:val="20"/>
        </w:rPr>
        <w:t>.</w:t>
      </w:r>
    </w:p>
  </w:footnote>
  <w:footnote w:id="41">
    <w:p w14:paraId="4F43B926" w14:textId="70E11112" w:rsidR="005C47F2" w:rsidRPr="00C44B43" w:rsidRDefault="005C47F2" w:rsidP="00724A44">
      <w:pPr>
        <w:pStyle w:val="FootnoteText"/>
        <w:rPr>
          <w:rFonts w:ascii="Times New Roman" w:hAnsi="Times New Roman" w:cs="Times New Roman"/>
          <w:b w:val="0"/>
          <w:highlight w:val="red"/>
        </w:rPr>
      </w:pPr>
      <w:r w:rsidRPr="00C44B43">
        <w:rPr>
          <w:rStyle w:val="FootnoteReference"/>
          <w:rFonts w:ascii="Times New Roman" w:hAnsi="Times New Roman" w:cs="Times New Roman"/>
          <w:b w:val="0"/>
        </w:rPr>
        <w:footnoteRef/>
      </w:r>
      <w:r w:rsidRPr="00C44B43">
        <w:rPr>
          <w:rFonts w:ascii="Times New Roman" w:hAnsi="Times New Roman" w:cs="Times New Roman"/>
          <w:b w:val="0"/>
        </w:rPr>
        <w:t xml:space="preserve"> </w:t>
      </w:r>
      <w:hyperlink r:id="rId8" w:history="1">
        <w:r w:rsidRPr="00C44B43">
          <w:rPr>
            <w:rStyle w:val="Hyperlink"/>
            <w:rFonts w:ascii="Times New Roman" w:hAnsi="Times New Roman" w:cs="Times New Roman"/>
            <w:b w:val="0"/>
            <w:i/>
            <w:color w:val="auto"/>
            <w:spacing w:val="-2"/>
          </w:rPr>
          <w:t>https://mfin.gov.hr/istaknute-teme/koncesije-i-drzavne-potpore/drzavne-potpore/drzavne-potpore-gospodarstvu-nakon-ruske-agresije-na-ukrajinu/3268</w:t>
        </w:r>
      </w:hyperlink>
    </w:p>
  </w:footnote>
  <w:footnote w:id="42">
    <w:p w14:paraId="44976F3E" w14:textId="52DCB7FE" w:rsidR="005C47F2" w:rsidRPr="00C44B43" w:rsidRDefault="005C47F2" w:rsidP="00724A44">
      <w:pPr>
        <w:shd w:val="clear" w:color="auto" w:fill="FFFFFF"/>
        <w:jc w:val="both"/>
        <w:rPr>
          <w:rFonts w:eastAsia="Times New Roman"/>
          <w:i/>
          <w:sz w:val="20"/>
          <w:szCs w:val="20"/>
          <w:lang w:eastAsia="hr-HR"/>
        </w:rPr>
      </w:pPr>
      <w:r w:rsidRPr="00C44B43">
        <w:rPr>
          <w:rStyle w:val="FootnoteReference"/>
          <w:i/>
          <w:sz w:val="20"/>
          <w:szCs w:val="20"/>
        </w:rPr>
        <w:footnoteRef/>
      </w:r>
      <w:r w:rsidRPr="00C44B43">
        <w:rPr>
          <w:i/>
          <w:sz w:val="20"/>
          <w:szCs w:val="20"/>
        </w:rPr>
        <w:t xml:space="preserve"> P</w:t>
      </w:r>
      <w:r w:rsidRPr="00C44B43">
        <w:rPr>
          <w:i/>
          <w:iCs/>
          <w:sz w:val="20"/>
          <w:szCs w:val="20"/>
        </w:rPr>
        <w:t xml:space="preserve">otpore </w:t>
      </w:r>
      <w:r w:rsidRPr="00C44B43">
        <w:rPr>
          <w:bCs/>
          <w:i/>
          <w:sz w:val="20"/>
          <w:szCs w:val="20"/>
        </w:rPr>
        <w:t xml:space="preserve">male vrijednosti ili de minimis potpore u revidiranom razdoblju, odnosno tijekom 2022. i 2023. godine, </w:t>
      </w:r>
      <w:r w:rsidRPr="00C44B43">
        <w:rPr>
          <w:bCs/>
          <w:i/>
          <w:sz w:val="20"/>
          <w:szCs w:val="20"/>
          <w:lang w:eastAsia="hr-HR"/>
        </w:rPr>
        <w:t>dodjeljivane su</w:t>
      </w:r>
      <w:r w:rsidRPr="00C44B43">
        <w:rPr>
          <w:i/>
          <w:sz w:val="20"/>
          <w:szCs w:val="20"/>
        </w:rPr>
        <w:t xml:space="preserve"> temeljem pravila </w:t>
      </w:r>
      <w:r w:rsidRPr="00C44B43">
        <w:rPr>
          <w:bCs/>
          <w:i/>
          <w:sz w:val="20"/>
          <w:szCs w:val="20"/>
          <w:lang w:eastAsia="hr-HR"/>
        </w:rPr>
        <w:t xml:space="preserve">propisanih Uredbom 1407/2013 </w:t>
      </w:r>
      <w:r w:rsidRPr="00C44B43">
        <w:rPr>
          <w:i/>
          <w:sz w:val="20"/>
          <w:szCs w:val="20"/>
        </w:rPr>
        <w:t xml:space="preserve">i Uredbom 2020/972. Navedena Uredba 1407/2013 važila je do 31. prosinca 2023., a nakon 1. siječnja 2024. potpore male vrijednosti se dodjeljuju temeljem </w:t>
      </w:r>
      <w:r w:rsidRPr="00C44B43">
        <w:rPr>
          <w:rFonts w:eastAsia="Times New Roman"/>
          <w:i/>
          <w:sz w:val="20"/>
          <w:szCs w:val="20"/>
          <w:lang w:eastAsia="hr-HR"/>
        </w:rPr>
        <w:t>Uredbe 2023/2831.</w:t>
      </w:r>
    </w:p>
  </w:footnote>
  <w:footnote w:id="43">
    <w:p w14:paraId="2E00EB8C" w14:textId="77777777" w:rsidR="005C47F2" w:rsidRPr="00C44B43" w:rsidRDefault="005C47F2" w:rsidP="00E16A90">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 </w:t>
      </w:r>
    </w:p>
  </w:footnote>
  <w:footnote w:id="44">
    <w:p w14:paraId="464799BB" w14:textId="77777777" w:rsidR="005C47F2" w:rsidRPr="00C44B43" w:rsidRDefault="005C47F2" w:rsidP="00E16A90">
      <w:pPr>
        <w:pStyle w:val="FootnoteText"/>
        <w:rPr>
          <w:rFonts w:ascii="Times New Roman" w:hAnsi="Times New Roman" w:cs="Times New Roman"/>
          <w:b w:val="0"/>
          <w:i/>
        </w:rPr>
      </w:pPr>
      <w:r w:rsidRPr="00C44B43">
        <w:rPr>
          <w:rStyle w:val="FootnoteReference"/>
          <w:rFonts w:ascii="Times New Roman" w:eastAsiaTheme="majorEastAsia" w:hAnsi="Times New Roman" w:cs="Times New Roman"/>
          <w:b w:val="0"/>
          <w:i/>
        </w:rPr>
        <w:footnoteRef/>
      </w:r>
      <w:r w:rsidRPr="00C44B43">
        <w:rPr>
          <w:rFonts w:ascii="Times New Roman" w:hAnsi="Times New Roman" w:cs="Times New Roman"/>
          <w:b w:val="0"/>
          <w:i/>
        </w:rPr>
        <w:t xml:space="preserve"> Potpore za: istraživanje i razvoj i inovacije, male i srednje poduzetnike, usavršavanje, zapošljavanje i kulturu.</w:t>
      </w:r>
    </w:p>
  </w:footnote>
  <w:footnote w:id="45">
    <w:p w14:paraId="384C3123" w14:textId="1ABE4B81" w:rsidR="005C47F2" w:rsidRPr="00C44B43" w:rsidRDefault="005C47F2" w:rsidP="009D134A">
      <w:pPr>
        <w:pStyle w:val="FootnoteText"/>
        <w:rPr>
          <w:rFonts w:ascii="Times New Roman" w:hAnsi="Times New Roman" w:cs="Times New Roman"/>
          <w:b w:val="0"/>
          <w:i/>
        </w:rPr>
      </w:pPr>
      <w:r w:rsidRPr="00C44B43">
        <w:rPr>
          <w:rStyle w:val="FootnoteReference"/>
          <w:rFonts w:ascii="Times New Roman" w:hAnsi="Times New Roman" w:cs="Times New Roman"/>
          <w:b w:val="0"/>
          <w:i/>
        </w:rPr>
        <w:footnoteRef/>
      </w:r>
      <w:r w:rsidRPr="00C44B43">
        <w:rPr>
          <w:rFonts w:ascii="Times New Roman" w:hAnsi="Times New Roman" w:cs="Times New Roman"/>
          <w:b w:val="0"/>
          <w:i/>
        </w:rPr>
        <w:t xml:space="preserve"> Službeni list Europske unije, C/2025/3602, od 4. srpnja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8551"/>
      <w:docPartObj>
        <w:docPartGallery w:val="Page Numbers (Top of Page)"/>
        <w:docPartUnique/>
      </w:docPartObj>
    </w:sdtPr>
    <w:sdtEndPr/>
    <w:sdtContent>
      <w:p w14:paraId="1F3521FD" w14:textId="068114AB" w:rsidR="005C47F2" w:rsidRDefault="005C47F2">
        <w:pPr>
          <w:pStyle w:val="Header"/>
          <w:jc w:val="center"/>
        </w:pPr>
        <w:r>
          <w:fldChar w:fldCharType="begin"/>
        </w:r>
        <w:r>
          <w:instrText>PAGE   \* MERGEFORMAT</w:instrText>
        </w:r>
        <w:r>
          <w:fldChar w:fldCharType="separate"/>
        </w:r>
        <w:r w:rsidR="00BF5FD3">
          <w:rPr>
            <w:noProof/>
          </w:rPr>
          <w:t>4</w:t>
        </w:r>
        <w:r>
          <w:fldChar w:fldCharType="end"/>
        </w:r>
      </w:p>
    </w:sdtContent>
  </w:sdt>
  <w:p w14:paraId="546599B6" w14:textId="77777777" w:rsidR="005C47F2" w:rsidRDefault="005C47F2">
    <w:pPr>
      <w:pStyle w:val="Header"/>
    </w:pPr>
  </w:p>
  <w:p w14:paraId="37D88153" w14:textId="77777777" w:rsidR="005C47F2" w:rsidRDefault="005C47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3C80" w14:textId="77777777" w:rsidR="005C47F2" w:rsidRDefault="005C47F2">
    <w:pPr>
      <w:pStyle w:val="Header"/>
      <w:jc w:val="center"/>
    </w:pPr>
  </w:p>
  <w:p w14:paraId="3CE3CA99" w14:textId="77777777" w:rsidR="005C47F2" w:rsidRDefault="005C4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9C9"/>
    <w:multiLevelType w:val="hybridMultilevel"/>
    <w:tmpl w:val="9E384ED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4392C73"/>
    <w:multiLevelType w:val="multilevel"/>
    <w:tmpl w:val="0444EBD4"/>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ED2707"/>
    <w:multiLevelType w:val="hybridMultilevel"/>
    <w:tmpl w:val="A25C0B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1236E7"/>
    <w:multiLevelType w:val="hybridMultilevel"/>
    <w:tmpl w:val="0868BD62"/>
    <w:lvl w:ilvl="0" w:tplc="CD62D31C">
      <w:start w:val="1"/>
      <w:numFmt w:val="bullet"/>
      <w:lvlText w:val="─"/>
      <w:lvlJc w:val="left"/>
      <w:pPr>
        <w:tabs>
          <w:tab w:val="num" w:pos="341"/>
        </w:tabs>
        <w:ind w:left="341" w:hanging="341"/>
      </w:pPr>
      <w:rPr>
        <w:rFonts w:ascii="Arial" w:hAnsi="Arial" w:hint="default"/>
        <w:b/>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9193089"/>
    <w:multiLevelType w:val="hybridMultilevel"/>
    <w:tmpl w:val="0D8E6682"/>
    <w:lvl w:ilvl="0" w:tplc="80C8E0DC">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34E3888"/>
    <w:multiLevelType w:val="hybridMultilevel"/>
    <w:tmpl w:val="07A6CB3E"/>
    <w:lvl w:ilvl="0" w:tplc="908A9E5E">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8166E7"/>
    <w:multiLevelType w:val="hybridMultilevel"/>
    <w:tmpl w:val="F6EA3586"/>
    <w:lvl w:ilvl="0" w:tplc="BAEA579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9D87B03"/>
    <w:multiLevelType w:val="hybridMultilevel"/>
    <w:tmpl w:val="CE02B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1800B6"/>
    <w:multiLevelType w:val="hybridMultilevel"/>
    <w:tmpl w:val="05C0D988"/>
    <w:lvl w:ilvl="0" w:tplc="BAEA579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C73187"/>
    <w:multiLevelType w:val="hybridMultilevel"/>
    <w:tmpl w:val="AFAE46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C216F52"/>
    <w:multiLevelType w:val="hybridMultilevel"/>
    <w:tmpl w:val="933CD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D053139"/>
    <w:multiLevelType w:val="hybridMultilevel"/>
    <w:tmpl w:val="40EA9C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DDB08C8"/>
    <w:multiLevelType w:val="hybridMultilevel"/>
    <w:tmpl w:val="0D200868"/>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E76571A"/>
    <w:multiLevelType w:val="hybridMultilevel"/>
    <w:tmpl w:val="78548B86"/>
    <w:lvl w:ilvl="0" w:tplc="558EC274">
      <w:start w:val="1"/>
      <w:numFmt w:val="bullet"/>
      <w:lvlText w:val="─"/>
      <w:lvlJc w:val="left"/>
      <w:pPr>
        <w:ind w:left="360" w:hanging="360"/>
      </w:pPr>
      <w:rPr>
        <w:rFonts w:ascii="Arial" w:hAnsi="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683D36D3"/>
    <w:multiLevelType w:val="hybridMultilevel"/>
    <w:tmpl w:val="11400D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AA33C8F"/>
    <w:multiLevelType w:val="hybridMultilevel"/>
    <w:tmpl w:val="3EBE7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2F5691C"/>
    <w:multiLevelType w:val="hybridMultilevel"/>
    <w:tmpl w:val="63C05256"/>
    <w:lvl w:ilvl="0" w:tplc="BAEA579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5965D41"/>
    <w:multiLevelType w:val="hybridMultilevel"/>
    <w:tmpl w:val="7FBCCB62"/>
    <w:lvl w:ilvl="0" w:tplc="951017B4">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276A03"/>
    <w:multiLevelType w:val="hybridMultilevel"/>
    <w:tmpl w:val="A23687F8"/>
    <w:lvl w:ilvl="0" w:tplc="A402810C">
      <w:start w:val="1"/>
      <w:numFmt w:val="bullet"/>
      <w:lvlText w:val=""/>
      <w:lvlJc w:val="left"/>
      <w:pPr>
        <w:ind w:left="357" w:hanging="357"/>
      </w:pPr>
      <w:rPr>
        <w:rFonts w:ascii="Symbol" w:hAnsi="Symbol" w:hint="default"/>
      </w:rPr>
    </w:lvl>
    <w:lvl w:ilvl="1" w:tplc="B3AC4344">
      <w:numFmt w:val="bullet"/>
      <w:lvlText w:val="–"/>
      <w:lvlJc w:val="left"/>
      <w:pPr>
        <w:ind w:left="357" w:hanging="357"/>
      </w:pPr>
      <w:rPr>
        <w:rFonts w:ascii="Times New Roman" w:eastAsiaTheme="minorHAnsi"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AC4CF7"/>
    <w:multiLevelType w:val="multilevel"/>
    <w:tmpl w:val="3B8E3DFA"/>
    <w:lvl w:ilvl="0">
      <w:start w:val="1"/>
      <w:numFmt w:val="decimal"/>
      <w:lvlText w:val="%1."/>
      <w:lvlJc w:val="left"/>
      <w:pPr>
        <w:ind w:left="720" w:hanging="360"/>
      </w:pPr>
      <w:rPr>
        <w:rFonts w:hint="default"/>
      </w:rPr>
    </w:lvl>
    <w:lvl w:ilvl="1">
      <w:start w:val="1"/>
      <w:numFmt w:val="decimal"/>
      <w:pStyle w:val="Heading2"/>
      <w:isLgl/>
      <w:lvlText w:val="%1.%2."/>
      <w:lvlJc w:val="left"/>
      <w:pPr>
        <w:ind w:left="2487"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A266A4"/>
    <w:multiLevelType w:val="hybridMultilevel"/>
    <w:tmpl w:val="BA96B03C"/>
    <w:lvl w:ilvl="0" w:tplc="A402810C">
      <w:start w:val="1"/>
      <w:numFmt w:val="bullet"/>
      <w:lvlText w:val=""/>
      <w:lvlJc w:val="left"/>
      <w:pPr>
        <w:ind w:left="357" w:hanging="357"/>
      </w:pPr>
      <w:rPr>
        <w:rFonts w:ascii="Symbol" w:hAnsi="Symbol" w:hint="default"/>
      </w:rPr>
    </w:lvl>
    <w:lvl w:ilvl="1" w:tplc="6DD4DD7C">
      <w:numFmt w:val="bullet"/>
      <w:lvlText w:val="–"/>
      <w:lvlJc w:val="left"/>
      <w:pPr>
        <w:ind w:left="1440" w:hanging="360"/>
      </w:pPr>
      <w:rPr>
        <w:rFonts w:ascii="Times New Roman" w:eastAsiaTheme="minorHAnsi"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B8C0997"/>
    <w:multiLevelType w:val="hybridMultilevel"/>
    <w:tmpl w:val="CC044734"/>
    <w:lvl w:ilvl="0" w:tplc="1F125A48">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1"/>
  </w:num>
  <w:num w:numId="4">
    <w:abstractNumId w:val="6"/>
  </w:num>
  <w:num w:numId="5">
    <w:abstractNumId w:val="1"/>
  </w:num>
  <w:num w:numId="6">
    <w:abstractNumId w:val="12"/>
  </w:num>
  <w:num w:numId="7">
    <w:abstractNumId w:val="2"/>
  </w:num>
  <w:num w:numId="8">
    <w:abstractNumId w:val="3"/>
  </w:num>
  <w:num w:numId="9">
    <w:abstractNumId w:val="13"/>
  </w:num>
  <w:num w:numId="10">
    <w:abstractNumId w:val="8"/>
  </w:num>
  <w:num w:numId="11">
    <w:abstractNumId w:val="16"/>
  </w:num>
  <w:num w:numId="12">
    <w:abstractNumId w:val="17"/>
  </w:num>
  <w:num w:numId="13">
    <w:abstractNumId w:val="20"/>
  </w:num>
  <w:num w:numId="14">
    <w:abstractNumId w:val="18"/>
  </w:num>
  <w:num w:numId="15">
    <w:abstractNumId w:val="4"/>
  </w:num>
  <w:num w:numId="16">
    <w:abstractNumId w:val="5"/>
  </w:num>
  <w:num w:numId="17">
    <w:abstractNumId w:val="21"/>
  </w:num>
  <w:num w:numId="18">
    <w:abstractNumId w:val="10"/>
  </w:num>
  <w:num w:numId="19">
    <w:abstractNumId w:val="7"/>
  </w:num>
  <w:num w:numId="20">
    <w:abstractNumId w:val="15"/>
  </w:num>
  <w:num w:numId="21">
    <w:abstractNumId w:val="9"/>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E6"/>
    <w:rsid w:val="0000032D"/>
    <w:rsid w:val="00000944"/>
    <w:rsid w:val="000026E5"/>
    <w:rsid w:val="00004299"/>
    <w:rsid w:val="0000477C"/>
    <w:rsid w:val="000047A5"/>
    <w:rsid w:val="00005410"/>
    <w:rsid w:val="00005F54"/>
    <w:rsid w:val="00006F34"/>
    <w:rsid w:val="0000749D"/>
    <w:rsid w:val="00007B88"/>
    <w:rsid w:val="000112E4"/>
    <w:rsid w:val="000113D5"/>
    <w:rsid w:val="000131FE"/>
    <w:rsid w:val="000148AC"/>
    <w:rsid w:val="00015717"/>
    <w:rsid w:val="00017EE8"/>
    <w:rsid w:val="000203A2"/>
    <w:rsid w:val="0002071A"/>
    <w:rsid w:val="00021159"/>
    <w:rsid w:val="00023BAC"/>
    <w:rsid w:val="00023CFC"/>
    <w:rsid w:val="00024C59"/>
    <w:rsid w:val="00024D75"/>
    <w:rsid w:val="000250C6"/>
    <w:rsid w:val="0002539A"/>
    <w:rsid w:val="00025431"/>
    <w:rsid w:val="00030B80"/>
    <w:rsid w:val="00030D8D"/>
    <w:rsid w:val="00031B30"/>
    <w:rsid w:val="00031BC3"/>
    <w:rsid w:val="00032790"/>
    <w:rsid w:val="00032C9A"/>
    <w:rsid w:val="00033E0E"/>
    <w:rsid w:val="000340E3"/>
    <w:rsid w:val="000346DD"/>
    <w:rsid w:val="0003495D"/>
    <w:rsid w:val="00034B0E"/>
    <w:rsid w:val="000364DE"/>
    <w:rsid w:val="0003667F"/>
    <w:rsid w:val="00040930"/>
    <w:rsid w:val="00040AF4"/>
    <w:rsid w:val="00041017"/>
    <w:rsid w:val="0004129C"/>
    <w:rsid w:val="00041842"/>
    <w:rsid w:val="00041EDD"/>
    <w:rsid w:val="000426FD"/>
    <w:rsid w:val="00042899"/>
    <w:rsid w:val="00042E8C"/>
    <w:rsid w:val="0004455E"/>
    <w:rsid w:val="000445F2"/>
    <w:rsid w:val="0004500A"/>
    <w:rsid w:val="0004515E"/>
    <w:rsid w:val="000457E9"/>
    <w:rsid w:val="000473DA"/>
    <w:rsid w:val="00050585"/>
    <w:rsid w:val="00051354"/>
    <w:rsid w:val="00051FC8"/>
    <w:rsid w:val="00056C22"/>
    <w:rsid w:val="00060583"/>
    <w:rsid w:val="000607B4"/>
    <w:rsid w:val="00060FF2"/>
    <w:rsid w:val="000612AA"/>
    <w:rsid w:val="0006134A"/>
    <w:rsid w:val="0006181D"/>
    <w:rsid w:val="0006199E"/>
    <w:rsid w:val="00063A51"/>
    <w:rsid w:val="0006406A"/>
    <w:rsid w:val="000662C4"/>
    <w:rsid w:val="0006632B"/>
    <w:rsid w:val="00066A40"/>
    <w:rsid w:val="00066E3E"/>
    <w:rsid w:val="00067369"/>
    <w:rsid w:val="0006755D"/>
    <w:rsid w:val="0006770A"/>
    <w:rsid w:val="000679AA"/>
    <w:rsid w:val="0007029C"/>
    <w:rsid w:val="00070D2E"/>
    <w:rsid w:val="00071039"/>
    <w:rsid w:val="00071C3D"/>
    <w:rsid w:val="00073214"/>
    <w:rsid w:val="00073A9F"/>
    <w:rsid w:val="000740B7"/>
    <w:rsid w:val="000754C6"/>
    <w:rsid w:val="00075630"/>
    <w:rsid w:val="000756A2"/>
    <w:rsid w:val="000763C6"/>
    <w:rsid w:val="00076891"/>
    <w:rsid w:val="00076E4A"/>
    <w:rsid w:val="00077E9C"/>
    <w:rsid w:val="0008126D"/>
    <w:rsid w:val="0008191A"/>
    <w:rsid w:val="00082E7C"/>
    <w:rsid w:val="00083295"/>
    <w:rsid w:val="000843D7"/>
    <w:rsid w:val="00085515"/>
    <w:rsid w:val="000857FF"/>
    <w:rsid w:val="00086470"/>
    <w:rsid w:val="00086784"/>
    <w:rsid w:val="000873FF"/>
    <w:rsid w:val="000914F3"/>
    <w:rsid w:val="000939F4"/>
    <w:rsid w:val="00093A16"/>
    <w:rsid w:val="00094CFC"/>
    <w:rsid w:val="000963E8"/>
    <w:rsid w:val="0009746F"/>
    <w:rsid w:val="000979DE"/>
    <w:rsid w:val="000A0BAD"/>
    <w:rsid w:val="000A0D14"/>
    <w:rsid w:val="000A14AC"/>
    <w:rsid w:val="000A1E58"/>
    <w:rsid w:val="000A2071"/>
    <w:rsid w:val="000A3565"/>
    <w:rsid w:val="000A51B9"/>
    <w:rsid w:val="000A5B27"/>
    <w:rsid w:val="000A5FF3"/>
    <w:rsid w:val="000A6542"/>
    <w:rsid w:val="000A66CC"/>
    <w:rsid w:val="000A6C9E"/>
    <w:rsid w:val="000A7251"/>
    <w:rsid w:val="000A7F4A"/>
    <w:rsid w:val="000B02D4"/>
    <w:rsid w:val="000B090D"/>
    <w:rsid w:val="000B209D"/>
    <w:rsid w:val="000B289E"/>
    <w:rsid w:val="000B2EB1"/>
    <w:rsid w:val="000B32D7"/>
    <w:rsid w:val="000B345D"/>
    <w:rsid w:val="000B6DEC"/>
    <w:rsid w:val="000B778F"/>
    <w:rsid w:val="000B7E7C"/>
    <w:rsid w:val="000C0AC9"/>
    <w:rsid w:val="000C1B2B"/>
    <w:rsid w:val="000C2299"/>
    <w:rsid w:val="000C2D13"/>
    <w:rsid w:val="000C2E57"/>
    <w:rsid w:val="000C31DD"/>
    <w:rsid w:val="000C3B9B"/>
    <w:rsid w:val="000C6B44"/>
    <w:rsid w:val="000D06B7"/>
    <w:rsid w:val="000D0A4E"/>
    <w:rsid w:val="000D2FCC"/>
    <w:rsid w:val="000D3A99"/>
    <w:rsid w:val="000D4360"/>
    <w:rsid w:val="000D4465"/>
    <w:rsid w:val="000D5145"/>
    <w:rsid w:val="000D6853"/>
    <w:rsid w:val="000D6856"/>
    <w:rsid w:val="000D7650"/>
    <w:rsid w:val="000E0180"/>
    <w:rsid w:val="000E0349"/>
    <w:rsid w:val="000E2C7A"/>
    <w:rsid w:val="000E35FA"/>
    <w:rsid w:val="000E3F47"/>
    <w:rsid w:val="000F0844"/>
    <w:rsid w:val="000F126D"/>
    <w:rsid w:val="000F15D0"/>
    <w:rsid w:val="000F2CBA"/>
    <w:rsid w:val="000F45EC"/>
    <w:rsid w:val="000F5679"/>
    <w:rsid w:val="000F637E"/>
    <w:rsid w:val="000F6828"/>
    <w:rsid w:val="00100624"/>
    <w:rsid w:val="00101847"/>
    <w:rsid w:val="00102626"/>
    <w:rsid w:val="001038BF"/>
    <w:rsid w:val="00103D53"/>
    <w:rsid w:val="0010498F"/>
    <w:rsid w:val="001054B3"/>
    <w:rsid w:val="0010577E"/>
    <w:rsid w:val="0010631C"/>
    <w:rsid w:val="001066F3"/>
    <w:rsid w:val="00106D57"/>
    <w:rsid w:val="00106DF8"/>
    <w:rsid w:val="001079A6"/>
    <w:rsid w:val="001100C7"/>
    <w:rsid w:val="00110887"/>
    <w:rsid w:val="001111C0"/>
    <w:rsid w:val="0011122C"/>
    <w:rsid w:val="00111949"/>
    <w:rsid w:val="00111DAF"/>
    <w:rsid w:val="00111F89"/>
    <w:rsid w:val="00112855"/>
    <w:rsid w:val="00112B85"/>
    <w:rsid w:val="00113B63"/>
    <w:rsid w:val="00114078"/>
    <w:rsid w:val="00114892"/>
    <w:rsid w:val="00114F8F"/>
    <w:rsid w:val="001154A0"/>
    <w:rsid w:val="00116360"/>
    <w:rsid w:val="0011751D"/>
    <w:rsid w:val="00117DD1"/>
    <w:rsid w:val="0012037E"/>
    <w:rsid w:val="00121757"/>
    <w:rsid w:val="001241FA"/>
    <w:rsid w:val="00124E49"/>
    <w:rsid w:val="00124E4C"/>
    <w:rsid w:val="00130504"/>
    <w:rsid w:val="0013108C"/>
    <w:rsid w:val="00131557"/>
    <w:rsid w:val="00131CE8"/>
    <w:rsid w:val="00133049"/>
    <w:rsid w:val="00133401"/>
    <w:rsid w:val="0013342D"/>
    <w:rsid w:val="00133AF3"/>
    <w:rsid w:val="00134AE3"/>
    <w:rsid w:val="0013665B"/>
    <w:rsid w:val="001372D2"/>
    <w:rsid w:val="00140086"/>
    <w:rsid w:val="00140E33"/>
    <w:rsid w:val="00141A36"/>
    <w:rsid w:val="00142158"/>
    <w:rsid w:val="0014260D"/>
    <w:rsid w:val="001445B7"/>
    <w:rsid w:val="00144A20"/>
    <w:rsid w:val="00144B55"/>
    <w:rsid w:val="00145D62"/>
    <w:rsid w:val="00145D90"/>
    <w:rsid w:val="00147A8D"/>
    <w:rsid w:val="00147EA1"/>
    <w:rsid w:val="00150184"/>
    <w:rsid w:val="0015086C"/>
    <w:rsid w:val="00150EBA"/>
    <w:rsid w:val="00151CD6"/>
    <w:rsid w:val="00152869"/>
    <w:rsid w:val="0015309E"/>
    <w:rsid w:val="0015346C"/>
    <w:rsid w:val="001539F4"/>
    <w:rsid w:val="0015454B"/>
    <w:rsid w:val="00155083"/>
    <w:rsid w:val="001566DB"/>
    <w:rsid w:val="001567BB"/>
    <w:rsid w:val="001578A4"/>
    <w:rsid w:val="00160F9C"/>
    <w:rsid w:val="0016103B"/>
    <w:rsid w:val="0016253B"/>
    <w:rsid w:val="00162745"/>
    <w:rsid w:val="00163732"/>
    <w:rsid w:val="00163D6C"/>
    <w:rsid w:val="00163D7B"/>
    <w:rsid w:val="001649AA"/>
    <w:rsid w:val="00164DEE"/>
    <w:rsid w:val="001651FB"/>
    <w:rsid w:val="00165D4F"/>
    <w:rsid w:val="00166E76"/>
    <w:rsid w:val="00170305"/>
    <w:rsid w:val="001704C3"/>
    <w:rsid w:val="00170AC6"/>
    <w:rsid w:val="0017262D"/>
    <w:rsid w:val="0017349D"/>
    <w:rsid w:val="001759C5"/>
    <w:rsid w:val="00175E52"/>
    <w:rsid w:val="001776F6"/>
    <w:rsid w:val="00180B8C"/>
    <w:rsid w:val="00181C6E"/>
    <w:rsid w:val="001821D2"/>
    <w:rsid w:val="00182458"/>
    <w:rsid w:val="001828A8"/>
    <w:rsid w:val="00183C79"/>
    <w:rsid w:val="001846CC"/>
    <w:rsid w:val="00184A8C"/>
    <w:rsid w:val="00184E5B"/>
    <w:rsid w:val="001858DE"/>
    <w:rsid w:val="001902EF"/>
    <w:rsid w:val="00192687"/>
    <w:rsid w:val="00193787"/>
    <w:rsid w:val="001943E9"/>
    <w:rsid w:val="001948C7"/>
    <w:rsid w:val="00195445"/>
    <w:rsid w:val="00196B3D"/>
    <w:rsid w:val="0019723B"/>
    <w:rsid w:val="001972F6"/>
    <w:rsid w:val="00197C5E"/>
    <w:rsid w:val="001A065F"/>
    <w:rsid w:val="001A10F4"/>
    <w:rsid w:val="001A16E5"/>
    <w:rsid w:val="001A223C"/>
    <w:rsid w:val="001A4728"/>
    <w:rsid w:val="001A4DC9"/>
    <w:rsid w:val="001A5263"/>
    <w:rsid w:val="001B0074"/>
    <w:rsid w:val="001B17AE"/>
    <w:rsid w:val="001B2AC7"/>
    <w:rsid w:val="001B2C8C"/>
    <w:rsid w:val="001B2DBD"/>
    <w:rsid w:val="001B2F38"/>
    <w:rsid w:val="001B4535"/>
    <w:rsid w:val="001B4919"/>
    <w:rsid w:val="001B49CC"/>
    <w:rsid w:val="001B5011"/>
    <w:rsid w:val="001B5A96"/>
    <w:rsid w:val="001B5AC7"/>
    <w:rsid w:val="001B60C0"/>
    <w:rsid w:val="001C00B4"/>
    <w:rsid w:val="001C0E8B"/>
    <w:rsid w:val="001C1B71"/>
    <w:rsid w:val="001C303E"/>
    <w:rsid w:val="001C312B"/>
    <w:rsid w:val="001C3586"/>
    <w:rsid w:val="001C3B12"/>
    <w:rsid w:val="001C486A"/>
    <w:rsid w:val="001C4DCE"/>
    <w:rsid w:val="001C5E29"/>
    <w:rsid w:val="001C6220"/>
    <w:rsid w:val="001C7CCF"/>
    <w:rsid w:val="001C7F40"/>
    <w:rsid w:val="001D0097"/>
    <w:rsid w:val="001D1859"/>
    <w:rsid w:val="001D1F79"/>
    <w:rsid w:val="001D2029"/>
    <w:rsid w:val="001D2333"/>
    <w:rsid w:val="001D2346"/>
    <w:rsid w:val="001D3B75"/>
    <w:rsid w:val="001D3D9F"/>
    <w:rsid w:val="001D4800"/>
    <w:rsid w:val="001D50DA"/>
    <w:rsid w:val="001D565F"/>
    <w:rsid w:val="001D70B2"/>
    <w:rsid w:val="001D7986"/>
    <w:rsid w:val="001E0936"/>
    <w:rsid w:val="001E1E97"/>
    <w:rsid w:val="001E20FB"/>
    <w:rsid w:val="001E2F86"/>
    <w:rsid w:val="001E38B5"/>
    <w:rsid w:val="001E3CE6"/>
    <w:rsid w:val="001E4382"/>
    <w:rsid w:val="001E4F2E"/>
    <w:rsid w:val="001E4F58"/>
    <w:rsid w:val="001E60A3"/>
    <w:rsid w:val="001E741D"/>
    <w:rsid w:val="001E7609"/>
    <w:rsid w:val="001E7AE2"/>
    <w:rsid w:val="001E7DFA"/>
    <w:rsid w:val="001F0325"/>
    <w:rsid w:val="001F2020"/>
    <w:rsid w:val="001F26A4"/>
    <w:rsid w:val="001F2858"/>
    <w:rsid w:val="001F2AC4"/>
    <w:rsid w:val="001F2D9F"/>
    <w:rsid w:val="001F411B"/>
    <w:rsid w:val="001F4D8C"/>
    <w:rsid w:val="001F6B2A"/>
    <w:rsid w:val="00200C04"/>
    <w:rsid w:val="00200C1E"/>
    <w:rsid w:val="0020185B"/>
    <w:rsid w:val="00201B3E"/>
    <w:rsid w:val="00201D7E"/>
    <w:rsid w:val="00202461"/>
    <w:rsid w:val="00202651"/>
    <w:rsid w:val="00203092"/>
    <w:rsid w:val="002036DB"/>
    <w:rsid w:val="0020396D"/>
    <w:rsid w:val="002048BC"/>
    <w:rsid w:val="0020535F"/>
    <w:rsid w:val="00210FD8"/>
    <w:rsid w:val="0021108A"/>
    <w:rsid w:val="002115EF"/>
    <w:rsid w:val="00212042"/>
    <w:rsid w:val="0021240A"/>
    <w:rsid w:val="0021338C"/>
    <w:rsid w:val="002140C3"/>
    <w:rsid w:val="00214A0F"/>
    <w:rsid w:val="00214BDD"/>
    <w:rsid w:val="00215926"/>
    <w:rsid w:val="00216031"/>
    <w:rsid w:val="0021654A"/>
    <w:rsid w:val="002172A6"/>
    <w:rsid w:val="00217ECC"/>
    <w:rsid w:val="00221664"/>
    <w:rsid w:val="0022217D"/>
    <w:rsid w:val="00222606"/>
    <w:rsid w:val="0022274C"/>
    <w:rsid w:val="00223DFC"/>
    <w:rsid w:val="00223F3D"/>
    <w:rsid w:val="0022608B"/>
    <w:rsid w:val="0022659A"/>
    <w:rsid w:val="002267E8"/>
    <w:rsid w:val="00226A36"/>
    <w:rsid w:val="00227188"/>
    <w:rsid w:val="00227AAB"/>
    <w:rsid w:val="002300F3"/>
    <w:rsid w:val="00231149"/>
    <w:rsid w:val="002314F7"/>
    <w:rsid w:val="00233064"/>
    <w:rsid w:val="0023321A"/>
    <w:rsid w:val="0023348E"/>
    <w:rsid w:val="00234458"/>
    <w:rsid w:val="002344DD"/>
    <w:rsid w:val="0023464C"/>
    <w:rsid w:val="002358AF"/>
    <w:rsid w:val="00235D26"/>
    <w:rsid w:val="00236EB0"/>
    <w:rsid w:val="00237278"/>
    <w:rsid w:val="0023776F"/>
    <w:rsid w:val="002410B3"/>
    <w:rsid w:val="00241AD7"/>
    <w:rsid w:val="002424AE"/>
    <w:rsid w:val="0024274D"/>
    <w:rsid w:val="002429A4"/>
    <w:rsid w:val="00242C23"/>
    <w:rsid w:val="00243641"/>
    <w:rsid w:val="002441F2"/>
    <w:rsid w:val="002444D6"/>
    <w:rsid w:val="00245089"/>
    <w:rsid w:val="00245F1C"/>
    <w:rsid w:val="0024696D"/>
    <w:rsid w:val="00247C43"/>
    <w:rsid w:val="00250242"/>
    <w:rsid w:val="0025054A"/>
    <w:rsid w:val="00252D9C"/>
    <w:rsid w:val="00253715"/>
    <w:rsid w:val="0025390C"/>
    <w:rsid w:val="0025689F"/>
    <w:rsid w:val="00256955"/>
    <w:rsid w:val="00256CA8"/>
    <w:rsid w:val="00260B66"/>
    <w:rsid w:val="00260F61"/>
    <w:rsid w:val="0026105E"/>
    <w:rsid w:val="00261062"/>
    <w:rsid w:val="002611AD"/>
    <w:rsid w:val="00262226"/>
    <w:rsid w:val="00263243"/>
    <w:rsid w:val="00263D4D"/>
    <w:rsid w:val="00264C24"/>
    <w:rsid w:val="00264FB3"/>
    <w:rsid w:val="00265543"/>
    <w:rsid w:val="0026636B"/>
    <w:rsid w:val="002672B5"/>
    <w:rsid w:val="00267D6D"/>
    <w:rsid w:val="00270640"/>
    <w:rsid w:val="00270AC3"/>
    <w:rsid w:val="0027298F"/>
    <w:rsid w:val="00274C38"/>
    <w:rsid w:val="00274C4B"/>
    <w:rsid w:val="00275730"/>
    <w:rsid w:val="00277463"/>
    <w:rsid w:val="00277F62"/>
    <w:rsid w:val="0028092D"/>
    <w:rsid w:val="00280D82"/>
    <w:rsid w:val="0028517A"/>
    <w:rsid w:val="002859CC"/>
    <w:rsid w:val="00285F4C"/>
    <w:rsid w:val="002869D6"/>
    <w:rsid w:val="00287CC3"/>
    <w:rsid w:val="00287CE3"/>
    <w:rsid w:val="00290365"/>
    <w:rsid w:val="00291D06"/>
    <w:rsid w:val="0029219A"/>
    <w:rsid w:val="00293477"/>
    <w:rsid w:val="00294CAD"/>
    <w:rsid w:val="00295948"/>
    <w:rsid w:val="00295D82"/>
    <w:rsid w:val="0029606D"/>
    <w:rsid w:val="0029616F"/>
    <w:rsid w:val="002962AD"/>
    <w:rsid w:val="0029648E"/>
    <w:rsid w:val="002970FE"/>
    <w:rsid w:val="00297838"/>
    <w:rsid w:val="002A0DEA"/>
    <w:rsid w:val="002A10C8"/>
    <w:rsid w:val="002A209A"/>
    <w:rsid w:val="002A2C69"/>
    <w:rsid w:val="002A3597"/>
    <w:rsid w:val="002A4F3E"/>
    <w:rsid w:val="002A6A45"/>
    <w:rsid w:val="002B0C5A"/>
    <w:rsid w:val="002B2A99"/>
    <w:rsid w:val="002B2AAF"/>
    <w:rsid w:val="002B3E74"/>
    <w:rsid w:val="002B451A"/>
    <w:rsid w:val="002B47AD"/>
    <w:rsid w:val="002B6C8A"/>
    <w:rsid w:val="002B782A"/>
    <w:rsid w:val="002C0E05"/>
    <w:rsid w:val="002C1268"/>
    <w:rsid w:val="002C250D"/>
    <w:rsid w:val="002C2979"/>
    <w:rsid w:val="002C300F"/>
    <w:rsid w:val="002C43E7"/>
    <w:rsid w:val="002C5185"/>
    <w:rsid w:val="002C5324"/>
    <w:rsid w:val="002C56BF"/>
    <w:rsid w:val="002C5ADC"/>
    <w:rsid w:val="002C7455"/>
    <w:rsid w:val="002C7F47"/>
    <w:rsid w:val="002D0934"/>
    <w:rsid w:val="002D0AB1"/>
    <w:rsid w:val="002D0BE0"/>
    <w:rsid w:val="002D1E37"/>
    <w:rsid w:val="002D23CA"/>
    <w:rsid w:val="002D2FBF"/>
    <w:rsid w:val="002D5206"/>
    <w:rsid w:val="002D5F4D"/>
    <w:rsid w:val="002D787C"/>
    <w:rsid w:val="002E1CBE"/>
    <w:rsid w:val="002E22BD"/>
    <w:rsid w:val="002E26BD"/>
    <w:rsid w:val="002E432B"/>
    <w:rsid w:val="002E4F84"/>
    <w:rsid w:val="002E6DF8"/>
    <w:rsid w:val="002F05BF"/>
    <w:rsid w:val="002F0721"/>
    <w:rsid w:val="002F12FA"/>
    <w:rsid w:val="002F1754"/>
    <w:rsid w:val="002F183A"/>
    <w:rsid w:val="002F3432"/>
    <w:rsid w:val="002F3DCE"/>
    <w:rsid w:val="002F450B"/>
    <w:rsid w:val="002F4530"/>
    <w:rsid w:val="002F5009"/>
    <w:rsid w:val="002F5134"/>
    <w:rsid w:val="002F5D0F"/>
    <w:rsid w:val="002F612B"/>
    <w:rsid w:val="002F63E1"/>
    <w:rsid w:val="002F6449"/>
    <w:rsid w:val="003000F7"/>
    <w:rsid w:val="003002AB"/>
    <w:rsid w:val="0030056B"/>
    <w:rsid w:val="0030218B"/>
    <w:rsid w:val="0030219C"/>
    <w:rsid w:val="00302FA8"/>
    <w:rsid w:val="00303007"/>
    <w:rsid w:val="00303CF0"/>
    <w:rsid w:val="003040E1"/>
    <w:rsid w:val="003040E7"/>
    <w:rsid w:val="00304434"/>
    <w:rsid w:val="003046AB"/>
    <w:rsid w:val="0030508F"/>
    <w:rsid w:val="00306A8C"/>
    <w:rsid w:val="00307255"/>
    <w:rsid w:val="003075F4"/>
    <w:rsid w:val="00310365"/>
    <w:rsid w:val="003111A6"/>
    <w:rsid w:val="00312675"/>
    <w:rsid w:val="00312A79"/>
    <w:rsid w:val="00312D49"/>
    <w:rsid w:val="003131F9"/>
    <w:rsid w:val="00314B0C"/>
    <w:rsid w:val="0031532C"/>
    <w:rsid w:val="00316051"/>
    <w:rsid w:val="00316791"/>
    <w:rsid w:val="00316A80"/>
    <w:rsid w:val="003178FB"/>
    <w:rsid w:val="00321137"/>
    <w:rsid w:val="00321D42"/>
    <w:rsid w:val="00322566"/>
    <w:rsid w:val="003246C9"/>
    <w:rsid w:val="00324B99"/>
    <w:rsid w:val="00325625"/>
    <w:rsid w:val="003272FB"/>
    <w:rsid w:val="00331020"/>
    <w:rsid w:val="003322AB"/>
    <w:rsid w:val="00332EF0"/>
    <w:rsid w:val="00333214"/>
    <w:rsid w:val="0033481F"/>
    <w:rsid w:val="0033578C"/>
    <w:rsid w:val="00335E92"/>
    <w:rsid w:val="00336EEC"/>
    <w:rsid w:val="00337372"/>
    <w:rsid w:val="00337F85"/>
    <w:rsid w:val="00342A35"/>
    <w:rsid w:val="00342FEF"/>
    <w:rsid w:val="003430E7"/>
    <w:rsid w:val="00343797"/>
    <w:rsid w:val="00343ABC"/>
    <w:rsid w:val="00343D65"/>
    <w:rsid w:val="003452E1"/>
    <w:rsid w:val="00351CC1"/>
    <w:rsid w:val="00351FA2"/>
    <w:rsid w:val="003525BA"/>
    <w:rsid w:val="00353D91"/>
    <w:rsid w:val="00355C5C"/>
    <w:rsid w:val="00356EFF"/>
    <w:rsid w:val="00357669"/>
    <w:rsid w:val="00363484"/>
    <w:rsid w:val="003634C1"/>
    <w:rsid w:val="00366853"/>
    <w:rsid w:val="00370E02"/>
    <w:rsid w:val="00371588"/>
    <w:rsid w:val="00372075"/>
    <w:rsid w:val="00372969"/>
    <w:rsid w:val="00372AC7"/>
    <w:rsid w:val="00372F3F"/>
    <w:rsid w:val="003732C1"/>
    <w:rsid w:val="003739CE"/>
    <w:rsid w:val="00374990"/>
    <w:rsid w:val="003749BB"/>
    <w:rsid w:val="00374A47"/>
    <w:rsid w:val="00374ECB"/>
    <w:rsid w:val="00375488"/>
    <w:rsid w:val="00375DBC"/>
    <w:rsid w:val="0037799D"/>
    <w:rsid w:val="0038012A"/>
    <w:rsid w:val="003807C4"/>
    <w:rsid w:val="00380AD4"/>
    <w:rsid w:val="00381995"/>
    <w:rsid w:val="00382DD2"/>
    <w:rsid w:val="00383AC1"/>
    <w:rsid w:val="00383E30"/>
    <w:rsid w:val="00384B3C"/>
    <w:rsid w:val="00384E0E"/>
    <w:rsid w:val="00384F75"/>
    <w:rsid w:val="003854CC"/>
    <w:rsid w:val="003874B6"/>
    <w:rsid w:val="0038758B"/>
    <w:rsid w:val="00390245"/>
    <w:rsid w:val="003909FB"/>
    <w:rsid w:val="00391313"/>
    <w:rsid w:val="003922CD"/>
    <w:rsid w:val="00392E31"/>
    <w:rsid w:val="00392E39"/>
    <w:rsid w:val="003934FA"/>
    <w:rsid w:val="003940FA"/>
    <w:rsid w:val="00395195"/>
    <w:rsid w:val="00395BB6"/>
    <w:rsid w:val="0039663E"/>
    <w:rsid w:val="00397045"/>
    <w:rsid w:val="003A0725"/>
    <w:rsid w:val="003A13FA"/>
    <w:rsid w:val="003A1C6B"/>
    <w:rsid w:val="003A4332"/>
    <w:rsid w:val="003B05B3"/>
    <w:rsid w:val="003B216D"/>
    <w:rsid w:val="003B3627"/>
    <w:rsid w:val="003B4856"/>
    <w:rsid w:val="003B6070"/>
    <w:rsid w:val="003B6724"/>
    <w:rsid w:val="003C02A3"/>
    <w:rsid w:val="003C09FD"/>
    <w:rsid w:val="003C0BE6"/>
    <w:rsid w:val="003C1135"/>
    <w:rsid w:val="003C155E"/>
    <w:rsid w:val="003C27EE"/>
    <w:rsid w:val="003C4DAB"/>
    <w:rsid w:val="003C5EF8"/>
    <w:rsid w:val="003C6434"/>
    <w:rsid w:val="003C69D8"/>
    <w:rsid w:val="003C7980"/>
    <w:rsid w:val="003C7E0C"/>
    <w:rsid w:val="003C7EDE"/>
    <w:rsid w:val="003D0084"/>
    <w:rsid w:val="003D0335"/>
    <w:rsid w:val="003D0462"/>
    <w:rsid w:val="003D1370"/>
    <w:rsid w:val="003D1DBF"/>
    <w:rsid w:val="003D1F4D"/>
    <w:rsid w:val="003D2B7C"/>
    <w:rsid w:val="003D432C"/>
    <w:rsid w:val="003D473D"/>
    <w:rsid w:val="003D5516"/>
    <w:rsid w:val="003D6C3B"/>
    <w:rsid w:val="003D7D15"/>
    <w:rsid w:val="003D7F03"/>
    <w:rsid w:val="003E032E"/>
    <w:rsid w:val="003E045A"/>
    <w:rsid w:val="003E05C3"/>
    <w:rsid w:val="003E0DD2"/>
    <w:rsid w:val="003E12D4"/>
    <w:rsid w:val="003E16E6"/>
    <w:rsid w:val="003E1B34"/>
    <w:rsid w:val="003E3F81"/>
    <w:rsid w:val="003E41A6"/>
    <w:rsid w:val="003E4407"/>
    <w:rsid w:val="003E452F"/>
    <w:rsid w:val="003E4E58"/>
    <w:rsid w:val="003E642B"/>
    <w:rsid w:val="003E65FC"/>
    <w:rsid w:val="003E7D36"/>
    <w:rsid w:val="003F0350"/>
    <w:rsid w:val="003F0669"/>
    <w:rsid w:val="003F168C"/>
    <w:rsid w:val="003F2634"/>
    <w:rsid w:val="003F30BB"/>
    <w:rsid w:val="003F4996"/>
    <w:rsid w:val="003F55ED"/>
    <w:rsid w:val="003F5FEE"/>
    <w:rsid w:val="004008A5"/>
    <w:rsid w:val="004009E5"/>
    <w:rsid w:val="004013D5"/>
    <w:rsid w:val="00401DF4"/>
    <w:rsid w:val="004022F0"/>
    <w:rsid w:val="004024C3"/>
    <w:rsid w:val="00402DD2"/>
    <w:rsid w:val="0040301A"/>
    <w:rsid w:val="004038ED"/>
    <w:rsid w:val="0040411A"/>
    <w:rsid w:val="004041C6"/>
    <w:rsid w:val="0040621D"/>
    <w:rsid w:val="00406C47"/>
    <w:rsid w:val="00411AEE"/>
    <w:rsid w:val="00411AF1"/>
    <w:rsid w:val="00411CF1"/>
    <w:rsid w:val="00411D06"/>
    <w:rsid w:val="00413107"/>
    <w:rsid w:val="0041435D"/>
    <w:rsid w:val="004150AE"/>
    <w:rsid w:val="00415F10"/>
    <w:rsid w:val="0041723F"/>
    <w:rsid w:val="00417339"/>
    <w:rsid w:val="004208EA"/>
    <w:rsid w:val="0042269A"/>
    <w:rsid w:val="0042331F"/>
    <w:rsid w:val="00424E1F"/>
    <w:rsid w:val="004255DD"/>
    <w:rsid w:val="00425775"/>
    <w:rsid w:val="004266BB"/>
    <w:rsid w:val="00426C8F"/>
    <w:rsid w:val="00426D82"/>
    <w:rsid w:val="00431868"/>
    <w:rsid w:val="0043282E"/>
    <w:rsid w:val="00433444"/>
    <w:rsid w:val="00434F02"/>
    <w:rsid w:val="00435032"/>
    <w:rsid w:val="004351DC"/>
    <w:rsid w:val="00437436"/>
    <w:rsid w:val="00437A41"/>
    <w:rsid w:val="0044201C"/>
    <w:rsid w:val="004427F6"/>
    <w:rsid w:val="0044468B"/>
    <w:rsid w:val="0044515A"/>
    <w:rsid w:val="00445B06"/>
    <w:rsid w:val="004466AA"/>
    <w:rsid w:val="004466E2"/>
    <w:rsid w:val="004466EE"/>
    <w:rsid w:val="00447824"/>
    <w:rsid w:val="00451B90"/>
    <w:rsid w:val="00452278"/>
    <w:rsid w:val="00452559"/>
    <w:rsid w:val="00452A4E"/>
    <w:rsid w:val="00452BF2"/>
    <w:rsid w:val="004533E4"/>
    <w:rsid w:val="00453F68"/>
    <w:rsid w:val="0045499B"/>
    <w:rsid w:val="00456E86"/>
    <w:rsid w:val="004578AB"/>
    <w:rsid w:val="00460925"/>
    <w:rsid w:val="00461550"/>
    <w:rsid w:val="00464AB4"/>
    <w:rsid w:val="004657CD"/>
    <w:rsid w:val="00465D8D"/>
    <w:rsid w:val="00466640"/>
    <w:rsid w:val="0046674E"/>
    <w:rsid w:val="00466857"/>
    <w:rsid w:val="00466B5A"/>
    <w:rsid w:val="00466B7A"/>
    <w:rsid w:val="004671B0"/>
    <w:rsid w:val="004672EA"/>
    <w:rsid w:val="0046744D"/>
    <w:rsid w:val="00467660"/>
    <w:rsid w:val="004701B4"/>
    <w:rsid w:val="0047113C"/>
    <w:rsid w:val="00471A29"/>
    <w:rsid w:val="00472291"/>
    <w:rsid w:val="0047332C"/>
    <w:rsid w:val="004733C0"/>
    <w:rsid w:val="00473541"/>
    <w:rsid w:val="004747DB"/>
    <w:rsid w:val="004750C8"/>
    <w:rsid w:val="00475935"/>
    <w:rsid w:val="00476EB2"/>
    <w:rsid w:val="00477A47"/>
    <w:rsid w:val="00480665"/>
    <w:rsid w:val="00481E2F"/>
    <w:rsid w:val="004824D4"/>
    <w:rsid w:val="00484657"/>
    <w:rsid w:val="00484B2D"/>
    <w:rsid w:val="00485957"/>
    <w:rsid w:val="00490742"/>
    <w:rsid w:val="00490AB9"/>
    <w:rsid w:val="00491A78"/>
    <w:rsid w:val="00491BDC"/>
    <w:rsid w:val="004936F0"/>
    <w:rsid w:val="0049485E"/>
    <w:rsid w:val="004950AD"/>
    <w:rsid w:val="00496BAB"/>
    <w:rsid w:val="00497182"/>
    <w:rsid w:val="004972DA"/>
    <w:rsid w:val="004979EC"/>
    <w:rsid w:val="004A08F5"/>
    <w:rsid w:val="004A2875"/>
    <w:rsid w:val="004A2B3C"/>
    <w:rsid w:val="004A39DF"/>
    <w:rsid w:val="004A4972"/>
    <w:rsid w:val="004A50E4"/>
    <w:rsid w:val="004A5CF2"/>
    <w:rsid w:val="004A64F4"/>
    <w:rsid w:val="004A6A61"/>
    <w:rsid w:val="004A706B"/>
    <w:rsid w:val="004A71E0"/>
    <w:rsid w:val="004A7564"/>
    <w:rsid w:val="004A7FC7"/>
    <w:rsid w:val="004B0417"/>
    <w:rsid w:val="004B0B0B"/>
    <w:rsid w:val="004B0DE4"/>
    <w:rsid w:val="004B18C6"/>
    <w:rsid w:val="004B3800"/>
    <w:rsid w:val="004B49D3"/>
    <w:rsid w:val="004C01E6"/>
    <w:rsid w:val="004C26FE"/>
    <w:rsid w:val="004C2E17"/>
    <w:rsid w:val="004C3637"/>
    <w:rsid w:val="004C39FF"/>
    <w:rsid w:val="004C3AEF"/>
    <w:rsid w:val="004C3C64"/>
    <w:rsid w:val="004C407F"/>
    <w:rsid w:val="004C6B92"/>
    <w:rsid w:val="004C6C3D"/>
    <w:rsid w:val="004C70E1"/>
    <w:rsid w:val="004D038B"/>
    <w:rsid w:val="004D0561"/>
    <w:rsid w:val="004D0E2D"/>
    <w:rsid w:val="004D27E7"/>
    <w:rsid w:val="004D2988"/>
    <w:rsid w:val="004D348B"/>
    <w:rsid w:val="004D3787"/>
    <w:rsid w:val="004D48D0"/>
    <w:rsid w:val="004E06CA"/>
    <w:rsid w:val="004E1347"/>
    <w:rsid w:val="004E27B9"/>
    <w:rsid w:val="004E28A7"/>
    <w:rsid w:val="004E30CD"/>
    <w:rsid w:val="004E3341"/>
    <w:rsid w:val="004E6D9B"/>
    <w:rsid w:val="004E7739"/>
    <w:rsid w:val="004E7F84"/>
    <w:rsid w:val="004F0128"/>
    <w:rsid w:val="004F0BE7"/>
    <w:rsid w:val="004F0E3B"/>
    <w:rsid w:val="004F0F48"/>
    <w:rsid w:val="004F1692"/>
    <w:rsid w:val="004F1734"/>
    <w:rsid w:val="004F3496"/>
    <w:rsid w:val="004F3BC5"/>
    <w:rsid w:val="004F3FDC"/>
    <w:rsid w:val="004F4DDF"/>
    <w:rsid w:val="004F59DA"/>
    <w:rsid w:val="004F5D60"/>
    <w:rsid w:val="004F6476"/>
    <w:rsid w:val="004F657F"/>
    <w:rsid w:val="00500A8E"/>
    <w:rsid w:val="00500D35"/>
    <w:rsid w:val="00502B96"/>
    <w:rsid w:val="00503778"/>
    <w:rsid w:val="00503932"/>
    <w:rsid w:val="00503A8D"/>
    <w:rsid w:val="00503FDB"/>
    <w:rsid w:val="00504777"/>
    <w:rsid w:val="00505DE9"/>
    <w:rsid w:val="00506CF8"/>
    <w:rsid w:val="005070F5"/>
    <w:rsid w:val="00507BA3"/>
    <w:rsid w:val="00507F70"/>
    <w:rsid w:val="005103B4"/>
    <w:rsid w:val="005126F8"/>
    <w:rsid w:val="0051514E"/>
    <w:rsid w:val="00515985"/>
    <w:rsid w:val="00521616"/>
    <w:rsid w:val="0052274E"/>
    <w:rsid w:val="00523627"/>
    <w:rsid w:val="0052366F"/>
    <w:rsid w:val="00524A7C"/>
    <w:rsid w:val="005252A1"/>
    <w:rsid w:val="00525D80"/>
    <w:rsid w:val="00526FF3"/>
    <w:rsid w:val="005278F8"/>
    <w:rsid w:val="00531A96"/>
    <w:rsid w:val="005324DC"/>
    <w:rsid w:val="00533183"/>
    <w:rsid w:val="0053450E"/>
    <w:rsid w:val="005358CC"/>
    <w:rsid w:val="005358DF"/>
    <w:rsid w:val="00535AE0"/>
    <w:rsid w:val="0053621A"/>
    <w:rsid w:val="00536B3F"/>
    <w:rsid w:val="00541170"/>
    <w:rsid w:val="00541990"/>
    <w:rsid w:val="00541CA2"/>
    <w:rsid w:val="00541DA1"/>
    <w:rsid w:val="00543445"/>
    <w:rsid w:val="005437E8"/>
    <w:rsid w:val="00543F17"/>
    <w:rsid w:val="00544F88"/>
    <w:rsid w:val="005455CF"/>
    <w:rsid w:val="005476A0"/>
    <w:rsid w:val="0055017E"/>
    <w:rsid w:val="00550C54"/>
    <w:rsid w:val="00550DA1"/>
    <w:rsid w:val="00551BEF"/>
    <w:rsid w:val="00552B4E"/>
    <w:rsid w:val="00553583"/>
    <w:rsid w:val="00553B1A"/>
    <w:rsid w:val="00554D8D"/>
    <w:rsid w:val="00556E82"/>
    <w:rsid w:val="0055745B"/>
    <w:rsid w:val="00557806"/>
    <w:rsid w:val="0056109B"/>
    <w:rsid w:val="005615F3"/>
    <w:rsid w:val="00563D55"/>
    <w:rsid w:val="00565954"/>
    <w:rsid w:val="005663EC"/>
    <w:rsid w:val="0056719B"/>
    <w:rsid w:val="00567656"/>
    <w:rsid w:val="005709D2"/>
    <w:rsid w:val="00570B3C"/>
    <w:rsid w:val="00570D1E"/>
    <w:rsid w:val="00571081"/>
    <w:rsid w:val="00574475"/>
    <w:rsid w:val="00574FF2"/>
    <w:rsid w:val="00583B1D"/>
    <w:rsid w:val="005864FA"/>
    <w:rsid w:val="00592D98"/>
    <w:rsid w:val="00592EA0"/>
    <w:rsid w:val="00592F1B"/>
    <w:rsid w:val="00597134"/>
    <w:rsid w:val="005A0471"/>
    <w:rsid w:val="005A1256"/>
    <w:rsid w:val="005A215A"/>
    <w:rsid w:val="005A24C2"/>
    <w:rsid w:val="005A4576"/>
    <w:rsid w:val="005A4839"/>
    <w:rsid w:val="005A4F1C"/>
    <w:rsid w:val="005A6002"/>
    <w:rsid w:val="005B0EE6"/>
    <w:rsid w:val="005B1F00"/>
    <w:rsid w:val="005B2180"/>
    <w:rsid w:val="005B21E3"/>
    <w:rsid w:val="005B2B0C"/>
    <w:rsid w:val="005B3CF0"/>
    <w:rsid w:val="005B4A29"/>
    <w:rsid w:val="005B5D48"/>
    <w:rsid w:val="005B5DD9"/>
    <w:rsid w:val="005B5F28"/>
    <w:rsid w:val="005B7944"/>
    <w:rsid w:val="005C0303"/>
    <w:rsid w:val="005C0AFD"/>
    <w:rsid w:val="005C16DA"/>
    <w:rsid w:val="005C31F4"/>
    <w:rsid w:val="005C47F2"/>
    <w:rsid w:val="005C4F86"/>
    <w:rsid w:val="005C59F2"/>
    <w:rsid w:val="005C62D5"/>
    <w:rsid w:val="005C6E69"/>
    <w:rsid w:val="005C73CB"/>
    <w:rsid w:val="005C7400"/>
    <w:rsid w:val="005D102F"/>
    <w:rsid w:val="005D11CE"/>
    <w:rsid w:val="005D15C8"/>
    <w:rsid w:val="005D22DF"/>
    <w:rsid w:val="005D3C50"/>
    <w:rsid w:val="005D6086"/>
    <w:rsid w:val="005D6B00"/>
    <w:rsid w:val="005D7C92"/>
    <w:rsid w:val="005E085A"/>
    <w:rsid w:val="005E0F23"/>
    <w:rsid w:val="005E2883"/>
    <w:rsid w:val="005E2B1B"/>
    <w:rsid w:val="005E3757"/>
    <w:rsid w:val="005E58C4"/>
    <w:rsid w:val="005E5FB2"/>
    <w:rsid w:val="005E6277"/>
    <w:rsid w:val="005E6C31"/>
    <w:rsid w:val="005E6E7A"/>
    <w:rsid w:val="005E76BD"/>
    <w:rsid w:val="005E794B"/>
    <w:rsid w:val="005E7D63"/>
    <w:rsid w:val="005F0B77"/>
    <w:rsid w:val="005F1DB3"/>
    <w:rsid w:val="005F29A4"/>
    <w:rsid w:val="005F2AB8"/>
    <w:rsid w:val="005F5A47"/>
    <w:rsid w:val="005F6FB4"/>
    <w:rsid w:val="00600A62"/>
    <w:rsid w:val="00601494"/>
    <w:rsid w:val="00601B36"/>
    <w:rsid w:val="00601FE8"/>
    <w:rsid w:val="006039A1"/>
    <w:rsid w:val="006042DB"/>
    <w:rsid w:val="00604559"/>
    <w:rsid w:val="00606051"/>
    <w:rsid w:val="0060630B"/>
    <w:rsid w:val="006067FD"/>
    <w:rsid w:val="006070B7"/>
    <w:rsid w:val="006075F4"/>
    <w:rsid w:val="0060794D"/>
    <w:rsid w:val="00610264"/>
    <w:rsid w:val="00610D16"/>
    <w:rsid w:val="00611E2C"/>
    <w:rsid w:val="00611F8C"/>
    <w:rsid w:val="0061256D"/>
    <w:rsid w:val="006129EF"/>
    <w:rsid w:val="0061323B"/>
    <w:rsid w:val="00613E17"/>
    <w:rsid w:val="00615593"/>
    <w:rsid w:val="006175AF"/>
    <w:rsid w:val="006176ED"/>
    <w:rsid w:val="00620C08"/>
    <w:rsid w:val="00620DC1"/>
    <w:rsid w:val="006211E3"/>
    <w:rsid w:val="006227D2"/>
    <w:rsid w:val="00622C88"/>
    <w:rsid w:val="0062417A"/>
    <w:rsid w:val="0062599F"/>
    <w:rsid w:val="006261B9"/>
    <w:rsid w:val="00626879"/>
    <w:rsid w:val="00626894"/>
    <w:rsid w:val="006268BF"/>
    <w:rsid w:val="00626B98"/>
    <w:rsid w:val="00630D24"/>
    <w:rsid w:val="006316E3"/>
    <w:rsid w:val="00631A16"/>
    <w:rsid w:val="0063417E"/>
    <w:rsid w:val="006344ED"/>
    <w:rsid w:val="0063452C"/>
    <w:rsid w:val="00634A20"/>
    <w:rsid w:val="00634A37"/>
    <w:rsid w:val="00636199"/>
    <w:rsid w:val="00636860"/>
    <w:rsid w:val="0063713A"/>
    <w:rsid w:val="00642EC9"/>
    <w:rsid w:val="00643078"/>
    <w:rsid w:val="00643B00"/>
    <w:rsid w:val="00645B98"/>
    <w:rsid w:val="00645D8E"/>
    <w:rsid w:val="006460EF"/>
    <w:rsid w:val="006466D6"/>
    <w:rsid w:val="00647964"/>
    <w:rsid w:val="00650076"/>
    <w:rsid w:val="00650D43"/>
    <w:rsid w:val="0065255A"/>
    <w:rsid w:val="006528AB"/>
    <w:rsid w:val="00653C5E"/>
    <w:rsid w:val="006541E6"/>
    <w:rsid w:val="006545E8"/>
    <w:rsid w:val="00655A9C"/>
    <w:rsid w:val="00656F05"/>
    <w:rsid w:val="006605BA"/>
    <w:rsid w:val="00661092"/>
    <w:rsid w:val="00661909"/>
    <w:rsid w:val="00661E7F"/>
    <w:rsid w:val="006621BE"/>
    <w:rsid w:val="00662631"/>
    <w:rsid w:val="006645F0"/>
    <w:rsid w:val="00666499"/>
    <w:rsid w:val="00666E79"/>
    <w:rsid w:val="0066706B"/>
    <w:rsid w:val="0066724E"/>
    <w:rsid w:val="006712CC"/>
    <w:rsid w:val="006713A8"/>
    <w:rsid w:val="006719BF"/>
    <w:rsid w:val="00671B70"/>
    <w:rsid w:val="0067229A"/>
    <w:rsid w:val="00673554"/>
    <w:rsid w:val="006749ED"/>
    <w:rsid w:val="006751B5"/>
    <w:rsid w:val="00676369"/>
    <w:rsid w:val="00676C76"/>
    <w:rsid w:val="00677E2D"/>
    <w:rsid w:val="00677F96"/>
    <w:rsid w:val="00681D9B"/>
    <w:rsid w:val="00683BF5"/>
    <w:rsid w:val="006842B8"/>
    <w:rsid w:val="006922F6"/>
    <w:rsid w:val="00692E39"/>
    <w:rsid w:val="00693657"/>
    <w:rsid w:val="006949CE"/>
    <w:rsid w:val="0069571D"/>
    <w:rsid w:val="00696114"/>
    <w:rsid w:val="00696E40"/>
    <w:rsid w:val="00696F52"/>
    <w:rsid w:val="006A00EF"/>
    <w:rsid w:val="006A0AB0"/>
    <w:rsid w:val="006A2133"/>
    <w:rsid w:val="006A24A6"/>
    <w:rsid w:val="006A3248"/>
    <w:rsid w:val="006A3A62"/>
    <w:rsid w:val="006A3C97"/>
    <w:rsid w:val="006A460E"/>
    <w:rsid w:val="006A4D4E"/>
    <w:rsid w:val="006A4FA1"/>
    <w:rsid w:val="006A58DD"/>
    <w:rsid w:val="006A6253"/>
    <w:rsid w:val="006A6F4B"/>
    <w:rsid w:val="006B1ADA"/>
    <w:rsid w:val="006B34DA"/>
    <w:rsid w:val="006B51C2"/>
    <w:rsid w:val="006B725D"/>
    <w:rsid w:val="006B792F"/>
    <w:rsid w:val="006C0757"/>
    <w:rsid w:val="006C1FD5"/>
    <w:rsid w:val="006C2323"/>
    <w:rsid w:val="006C2358"/>
    <w:rsid w:val="006C2BFA"/>
    <w:rsid w:val="006C47D1"/>
    <w:rsid w:val="006C560A"/>
    <w:rsid w:val="006C56E6"/>
    <w:rsid w:val="006C6B2E"/>
    <w:rsid w:val="006C7C84"/>
    <w:rsid w:val="006D011F"/>
    <w:rsid w:val="006D126D"/>
    <w:rsid w:val="006D12F2"/>
    <w:rsid w:val="006D4598"/>
    <w:rsid w:val="006D4706"/>
    <w:rsid w:val="006D5245"/>
    <w:rsid w:val="006D5345"/>
    <w:rsid w:val="006D5695"/>
    <w:rsid w:val="006D58C7"/>
    <w:rsid w:val="006D5AC6"/>
    <w:rsid w:val="006D6791"/>
    <w:rsid w:val="006D7BBD"/>
    <w:rsid w:val="006E21B9"/>
    <w:rsid w:val="006E3056"/>
    <w:rsid w:val="006E49A5"/>
    <w:rsid w:val="006E4D90"/>
    <w:rsid w:val="006E4E2E"/>
    <w:rsid w:val="006E5144"/>
    <w:rsid w:val="006E5A01"/>
    <w:rsid w:val="006E5CEB"/>
    <w:rsid w:val="006E619F"/>
    <w:rsid w:val="006E6B56"/>
    <w:rsid w:val="006F00EA"/>
    <w:rsid w:val="006F06AC"/>
    <w:rsid w:val="006F1013"/>
    <w:rsid w:val="006F1A56"/>
    <w:rsid w:val="006F2040"/>
    <w:rsid w:val="006F2071"/>
    <w:rsid w:val="006F2A3C"/>
    <w:rsid w:val="006F4E82"/>
    <w:rsid w:val="006F56CA"/>
    <w:rsid w:val="006F699D"/>
    <w:rsid w:val="006F6F43"/>
    <w:rsid w:val="00700E3A"/>
    <w:rsid w:val="0070139A"/>
    <w:rsid w:val="00702A00"/>
    <w:rsid w:val="00702F08"/>
    <w:rsid w:val="007030D8"/>
    <w:rsid w:val="00703F70"/>
    <w:rsid w:val="007044DF"/>
    <w:rsid w:val="007062EB"/>
    <w:rsid w:val="00706A5C"/>
    <w:rsid w:val="00707D50"/>
    <w:rsid w:val="007102EA"/>
    <w:rsid w:val="00711C06"/>
    <w:rsid w:val="00712138"/>
    <w:rsid w:val="007122B8"/>
    <w:rsid w:val="00712AFF"/>
    <w:rsid w:val="00712C2C"/>
    <w:rsid w:val="00713D7A"/>
    <w:rsid w:val="0071431B"/>
    <w:rsid w:val="00715BA2"/>
    <w:rsid w:val="00715FDA"/>
    <w:rsid w:val="0071691E"/>
    <w:rsid w:val="00716C1A"/>
    <w:rsid w:val="00716E2A"/>
    <w:rsid w:val="007174A7"/>
    <w:rsid w:val="0072138E"/>
    <w:rsid w:val="007214A4"/>
    <w:rsid w:val="00721983"/>
    <w:rsid w:val="00721E8B"/>
    <w:rsid w:val="00722E07"/>
    <w:rsid w:val="0072389B"/>
    <w:rsid w:val="00724A44"/>
    <w:rsid w:val="007255C0"/>
    <w:rsid w:val="00725AFD"/>
    <w:rsid w:val="00725CDC"/>
    <w:rsid w:val="00725FC6"/>
    <w:rsid w:val="00727AB3"/>
    <w:rsid w:val="007306BB"/>
    <w:rsid w:val="007340CF"/>
    <w:rsid w:val="00734792"/>
    <w:rsid w:val="00734B23"/>
    <w:rsid w:val="007352C0"/>
    <w:rsid w:val="00735B62"/>
    <w:rsid w:val="007366DE"/>
    <w:rsid w:val="00737FE1"/>
    <w:rsid w:val="0074083B"/>
    <w:rsid w:val="007410C6"/>
    <w:rsid w:val="007429A5"/>
    <w:rsid w:val="00742C83"/>
    <w:rsid w:val="007430EB"/>
    <w:rsid w:val="007441A8"/>
    <w:rsid w:val="00744665"/>
    <w:rsid w:val="00744922"/>
    <w:rsid w:val="007453F7"/>
    <w:rsid w:val="0074548D"/>
    <w:rsid w:val="00745FFE"/>
    <w:rsid w:val="00746187"/>
    <w:rsid w:val="00746B81"/>
    <w:rsid w:val="00746CB1"/>
    <w:rsid w:val="0074784C"/>
    <w:rsid w:val="007502C8"/>
    <w:rsid w:val="00750794"/>
    <w:rsid w:val="007509FC"/>
    <w:rsid w:val="00751F98"/>
    <w:rsid w:val="00753439"/>
    <w:rsid w:val="007549EC"/>
    <w:rsid w:val="0075559C"/>
    <w:rsid w:val="00755D48"/>
    <w:rsid w:val="00755F7E"/>
    <w:rsid w:val="00756DEC"/>
    <w:rsid w:val="00757498"/>
    <w:rsid w:val="007577B7"/>
    <w:rsid w:val="00757877"/>
    <w:rsid w:val="00757CA2"/>
    <w:rsid w:val="00757DDC"/>
    <w:rsid w:val="00761B90"/>
    <w:rsid w:val="00762092"/>
    <w:rsid w:val="007627C3"/>
    <w:rsid w:val="0076310A"/>
    <w:rsid w:val="00764E04"/>
    <w:rsid w:val="00765CF4"/>
    <w:rsid w:val="007668ED"/>
    <w:rsid w:val="007669AE"/>
    <w:rsid w:val="00770F60"/>
    <w:rsid w:val="00770FAE"/>
    <w:rsid w:val="007727E0"/>
    <w:rsid w:val="00772EDC"/>
    <w:rsid w:val="007752DF"/>
    <w:rsid w:val="007765BA"/>
    <w:rsid w:val="00782277"/>
    <w:rsid w:val="00782B05"/>
    <w:rsid w:val="00782E68"/>
    <w:rsid w:val="0078410C"/>
    <w:rsid w:val="00784684"/>
    <w:rsid w:val="00784B7A"/>
    <w:rsid w:val="00784EA1"/>
    <w:rsid w:val="0078777E"/>
    <w:rsid w:val="0079146A"/>
    <w:rsid w:val="00791EC6"/>
    <w:rsid w:val="00792283"/>
    <w:rsid w:val="007941CA"/>
    <w:rsid w:val="00794D78"/>
    <w:rsid w:val="00794F40"/>
    <w:rsid w:val="007957FD"/>
    <w:rsid w:val="0079588A"/>
    <w:rsid w:val="00795E34"/>
    <w:rsid w:val="00795FD3"/>
    <w:rsid w:val="007976CB"/>
    <w:rsid w:val="007A17B5"/>
    <w:rsid w:val="007A21F3"/>
    <w:rsid w:val="007A2266"/>
    <w:rsid w:val="007A22E1"/>
    <w:rsid w:val="007A2652"/>
    <w:rsid w:val="007A2FC7"/>
    <w:rsid w:val="007A38A7"/>
    <w:rsid w:val="007A4040"/>
    <w:rsid w:val="007A4810"/>
    <w:rsid w:val="007A4FAB"/>
    <w:rsid w:val="007A505B"/>
    <w:rsid w:val="007A507D"/>
    <w:rsid w:val="007A5257"/>
    <w:rsid w:val="007A5E3F"/>
    <w:rsid w:val="007A7C7C"/>
    <w:rsid w:val="007B0182"/>
    <w:rsid w:val="007B1A62"/>
    <w:rsid w:val="007B46DE"/>
    <w:rsid w:val="007B5EF9"/>
    <w:rsid w:val="007B6750"/>
    <w:rsid w:val="007B789D"/>
    <w:rsid w:val="007B7AE5"/>
    <w:rsid w:val="007C0C20"/>
    <w:rsid w:val="007C1855"/>
    <w:rsid w:val="007C2CC8"/>
    <w:rsid w:val="007C318A"/>
    <w:rsid w:val="007C3555"/>
    <w:rsid w:val="007C38D2"/>
    <w:rsid w:val="007C3FD2"/>
    <w:rsid w:val="007C412D"/>
    <w:rsid w:val="007C4C38"/>
    <w:rsid w:val="007C603B"/>
    <w:rsid w:val="007C6368"/>
    <w:rsid w:val="007C6E32"/>
    <w:rsid w:val="007C756F"/>
    <w:rsid w:val="007C7F5E"/>
    <w:rsid w:val="007D08B6"/>
    <w:rsid w:val="007D13DA"/>
    <w:rsid w:val="007D173C"/>
    <w:rsid w:val="007D3063"/>
    <w:rsid w:val="007D46D3"/>
    <w:rsid w:val="007D4C11"/>
    <w:rsid w:val="007D59C5"/>
    <w:rsid w:val="007D617C"/>
    <w:rsid w:val="007D637D"/>
    <w:rsid w:val="007D6C04"/>
    <w:rsid w:val="007D7599"/>
    <w:rsid w:val="007E0295"/>
    <w:rsid w:val="007E0A2C"/>
    <w:rsid w:val="007E1E6F"/>
    <w:rsid w:val="007E3997"/>
    <w:rsid w:val="007E3C55"/>
    <w:rsid w:val="007E4EAD"/>
    <w:rsid w:val="007E6274"/>
    <w:rsid w:val="007E6FCC"/>
    <w:rsid w:val="007E7241"/>
    <w:rsid w:val="007E7BF5"/>
    <w:rsid w:val="007F0325"/>
    <w:rsid w:val="007F0704"/>
    <w:rsid w:val="007F0817"/>
    <w:rsid w:val="007F1123"/>
    <w:rsid w:val="007F2488"/>
    <w:rsid w:val="007F281E"/>
    <w:rsid w:val="007F2D8C"/>
    <w:rsid w:val="007F4BBC"/>
    <w:rsid w:val="007F6CEF"/>
    <w:rsid w:val="007F7517"/>
    <w:rsid w:val="007F794C"/>
    <w:rsid w:val="007F7A32"/>
    <w:rsid w:val="0080077B"/>
    <w:rsid w:val="0080085B"/>
    <w:rsid w:val="00801273"/>
    <w:rsid w:val="00801D22"/>
    <w:rsid w:val="008036B5"/>
    <w:rsid w:val="008037A6"/>
    <w:rsid w:val="00803D06"/>
    <w:rsid w:val="008043FC"/>
    <w:rsid w:val="00805B93"/>
    <w:rsid w:val="00805BAA"/>
    <w:rsid w:val="00806301"/>
    <w:rsid w:val="00806400"/>
    <w:rsid w:val="00806F81"/>
    <w:rsid w:val="00807536"/>
    <w:rsid w:val="00810E00"/>
    <w:rsid w:val="00811099"/>
    <w:rsid w:val="00812D56"/>
    <w:rsid w:val="0081441F"/>
    <w:rsid w:val="0081459E"/>
    <w:rsid w:val="008149B5"/>
    <w:rsid w:val="00815649"/>
    <w:rsid w:val="008157CA"/>
    <w:rsid w:val="008165ED"/>
    <w:rsid w:val="00817713"/>
    <w:rsid w:val="00817746"/>
    <w:rsid w:val="00817824"/>
    <w:rsid w:val="00817C08"/>
    <w:rsid w:val="00820AAB"/>
    <w:rsid w:val="008216D9"/>
    <w:rsid w:val="00822C89"/>
    <w:rsid w:val="00822E54"/>
    <w:rsid w:val="00822F9E"/>
    <w:rsid w:val="00823C8C"/>
    <w:rsid w:val="00824E96"/>
    <w:rsid w:val="0082568B"/>
    <w:rsid w:val="008268EB"/>
    <w:rsid w:val="00826C27"/>
    <w:rsid w:val="0082734E"/>
    <w:rsid w:val="008275CB"/>
    <w:rsid w:val="008275F0"/>
    <w:rsid w:val="008304EB"/>
    <w:rsid w:val="0083083D"/>
    <w:rsid w:val="00831A3A"/>
    <w:rsid w:val="00831D13"/>
    <w:rsid w:val="008320D4"/>
    <w:rsid w:val="00833644"/>
    <w:rsid w:val="008337F3"/>
    <w:rsid w:val="00833D45"/>
    <w:rsid w:val="00840348"/>
    <w:rsid w:val="00841F27"/>
    <w:rsid w:val="008420E1"/>
    <w:rsid w:val="00842357"/>
    <w:rsid w:val="00844B2D"/>
    <w:rsid w:val="00845470"/>
    <w:rsid w:val="00845C1E"/>
    <w:rsid w:val="00846566"/>
    <w:rsid w:val="00846C7C"/>
    <w:rsid w:val="00846E3C"/>
    <w:rsid w:val="00847F54"/>
    <w:rsid w:val="0085174B"/>
    <w:rsid w:val="0085182C"/>
    <w:rsid w:val="0085281F"/>
    <w:rsid w:val="00852994"/>
    <w:rsid w:val="008540FF"/>
    <w:rsid w:val="00854461"/>
    <w:rsid w:val="00855217"/>
    <w:rsid w:val="00855A6E"/>
    <w:rsid w:val="00855DF1"/>
    <w:rsid w:val="00856A81"/>
    <w:rsid w:val="00856A93"/>
    <w:rsid w:val="00857D5E"/>
    <w:rsid w:val="0086041F"/>
    <w:rsid w:val="008606F8"/>
    <w:rsid w:val="00860C21"/>
    <w:rsid w:val="00861CC4"/>
    <w:rsid w:val="00862227"/>
    <w:rsid w:val="0086270D"/>
    <w:rsid w:val="00863E6F"/>
    <w:rsid w:val="00863EE5"/>
    <w:rsid w:val="00864D6D"/>
    <w:rsid w:val="00870E9F"/>
    <w:rsid w:val="0087112A"/>
    <w:rsid w:val="008724AB"/>
    <w:rsid w:val="0087255B"/>
    <w:rsid w:val="00873670"/>
    <w:rsid w:val="00873718"/>
    <w:rsid w:val="00873AD9"/>
    <w:rsid w:val="008753C0"/>
    <w:rsid w:val="008757D6"/>
    <w:rsid w:val="00876B40"/>
    <w:rsid w:val="0087701A"/>
    <w:rsid w:val="00877355"/>
    <w:rsid w:val="0087793D"/>
    <w:rsid w:val="00877CEA"/>
    <w:rsid w:val="00880C8D"/>
    <w:rsid w:val="00883BB6"/>
    <w:rsid w:val="00884F3E"/>
    <w:rsid w:val="0088692A"/>
    <w:rsid w:val="00886D03"/>
    <w:rsid w:val="00887E39"/>
    <w:rsid w:val="008913EA"/>
    <w:rsid w:val="00891D3A"/>
    <w:rsid w:val="00891E8E"/>
    <w:rsid w:val="008921C1"/>
    <w:rsid w:val="008924F0"/>
    <w:rsid w:val="0089317E"/>
    <w:rsid w:val="00893968"/>
    <w:rsid w:val="00893E7E"/>
    <w:rsid w:val="008944D1"/>
    <w:rsid w:val="00896E7E"/>
    <w:rsid w:val="00896EB7"/>
    <w:rsid w:val="008A1A07"/>
    <w:rsid w:val="008A1BD1"/>
    <w:rsid w:val="008A346C"/>
    <w:rsid w:val="008A3EBB"/>
    <w:rsid w:val="008A4BE8"/>
    <w:rsid w:val="008A4EE2"/>
    <w:rsid w:val="008A50FC"/>
    <w:rsid w:val="008A5191"/>
    <w:rsid w:val="008A58C4"/>
    <w:rsid w:val="008A6D85"/>
    <w:rsid w:val="008A7D87"/>
    <w:rsid w:val="008A7E7D"/>
    <w:rsid w:val="008B019C"/>
    <w:rsid w:val="008B01C2"/>
    <w:rsid w:val="008B0346"/>
    <w:rsid w:val="008B0401"/>
    <w:rsid w:val="008B12DD"/>
    <w:rsid w:val="008B24DF"/>
    <w:rsid w:val="008B26D4"/>
    <w:rsid w:val="008B39F0"/>
    <w:rsid w:val="008B4758"/>
    <w:rsid w:val="008B5068"/>
    <w:rsid w:val="008B6EF7"/>
    <w:rsid w:val="008B710E"/>
    <w:rsid w:val="008B7CC4"/>
    <w:rsid w:val="008B7DAD"/>
    <w:rsid w:val="008C045F"/>
    <w:rsid w:val="008C0718"/>
    <w:rsid w:val="008C0A8E"/>
    <w:rsid w:val="008C18E7"/>
    <w:rsid w:val="008C1BD3"/>
    <w:rsid w:val="008C1D04"/>
    <w:rsid w:val="008C2A5F"/>
    <w:rsid w:val="008C2D7C"/>
    <w:rsid w:val="008C3352"/>
    <w:rsid w:val="008C3BF8"/>
    <w:rsid w:val="008C3E3D"/>
    <w:rsid w:val="008C4593"/>
    <w:rsid w:val="008C4724"/>
    <w:rsid w:val="008C4DB4"/>
    <w:rsid w:val="008C5C74"/>
    <w:rsid w:val="008C694A"/>
    <w:rsid w:val="008C6C88"/>
    <w:rsid w:val="008C7636"/>
    <w:rsid w:val="008C7E44"/>
    <w:rsid w:val="008D004E"/>
    <w:rsid w:val="008D00F7"/>
    <w:rsid w:val="008D0960"/>
    <w:rsid w:val="008D2184"/>
    <w:rsid w:val="008D251F"/>
    <w:rsid w:val="008D3035"/>
    <w:rsid w:val="008D3110"/>
    <w:rsid w:val="008D4E59"/>
    <w:rsid w:val="008D515A"/>
    <w:rsid w:val="008D5553"/>
    <w:rsid w:val="008D7C1C"/>
    <w:rsid w:val="008E0396"/>
    <w:rsid w:val="008E0952"/>
    <w:rsid w:val="008E1E03"/>
    <w:rsid w:val="008E1F13"/>
    <w:rsid w:val="008E269C"/>
    <w:rsid w:val="008E3172"/>
    <w:rsid w:val="008E3256"/>
    <w:rsid w:val="008E4069"/>
    <w:rsid w:val="008E5A15"/>
    <w:rsid w:val="008E65B5"/>
    <w:rsid w:val="008E65C2"/>
    <w:rsid w:val="008E7284"/>
    <w:rsid w:val="008F011F"/>
    <w:rsid w:val="008F04D5"/>
    <w:rsid w:val="008F221A"/>
    <w:rsid w:val="008F2DA0"/>
    <w:rsid w:val="008F3C5B"/>
    <w:rsid w:val="008F4C9F"/>
    <w:rsid w:val="008F4FFD"/>
    <w:rsid w:val="008F51A6"/>
    <w:rsid w:val="008F69D7"/>
    <w:rsid w:val="008F708B"/>
    <w:rsid w:val="008F76DE"/>
    <w:rsid w:val="008F789D"/>
    <w:rsid w:val="009004AA"/>
    <w:rsid w:val="00900826"/>
    <w:rsid w:val="009011E3"/>
    <w:rsid w:val="0090216D"/>
    <w:rsid w:val="00903279"/>
    <w:rsid w:val="009040C6"/>
    <w:rsid w:val="009060E7"/>
    <w:rsid w:val="00906B40"/>
    <w:rsid w:val="009073B7"/>
    <w:rsid w:val="00910013"/>
    <w:rsid w:val="0091399E"/>
    <w:rsid w:val="009151FD"/>
    <w:rsid w:val="0091766D"/>
    <w:rsid w:val="00921AE2"/>
    <w:rsid w:val="0092285D"/>
    <w:rsid w:val="00923865"/>
    <w:rsid w:val="00923AED"/>
    <w:rsid w:val="00923DD1"/>
    <w:rsid w:val="00924A3B"/>
    <w:rsid w:val="009251BA"/>
    <w:rsid w:val="00925426"/>
    <w:rsid w:val="009302D5"/>
    <w:rsid w:val="00931317"/>
    <w:rsid w:val="0093284A"/>
    <w:rsid w:val="00932D15"/>
    <w:rsid w:val="00932F03"/>
    <w:rsid w:val="00933154"/>
    <w:rsid w:val="009341E8"/>
    <w:rsid w:val="00934567"/>
    <w:rsid w:val="00935143"/>
    <w:rsid w:val="00936071"/>
    <w:rsid w:val="0093611E"/>
    <w:rsid w:val="009366E2"/>
    <w:rsid w:val="0093783C"/>
    <w:rsid w:val="00937A35"/>
    <w:rsid w:val="0094072A"/>
    <w:rsid w:val="009415AB"/>
    <w:rsid w:val="0094202D"/>
    <w:rsid w:val="00942503"/>
    <w:rsid w:val="00943866"/>
    <w:rsid w:val="00945FD1"/>
    <w:rsid w:val="009510D6"/>
    <w:rsid w:val="009516A9"/>
    <w:rsid w:val="00951AFC"/>
    <w:rsid w:val="00952DB4"/>
    <w:rsid w:val="0095531A"/>
    <w:rsid w:val="00960465"/>
    <w:rsid w:val="00960DCD"/>
    <w:rsid w:val="00961D82"/>
    <w:rsid w:val="00961E9A"/>
    <w:rsid w:val="00961FF7"/>
    <w:rsid w:val="0096290C"/>
    <w:rsid w:val="00962B59"/>
    <w:rsid w:val="00962D55"/>
    <w:rsid w:val="00964A96"/>
    <w:rsid w:val="00965432"/>
    <w:rsid w:val="009666C0"/>
    <w:rsid w:val="00966A8D"/>
    <w:rsid w:val="00967B74"/>
    <w:rsid w:val="00971E64"/>
    <w:rsid w:val="0097248E"/>
    <w:rsid w:val="00973ED4"/>
    <w:rsid w:val="00974C17"/>
    <w:rsid w:val="00976C42"/>
    <w:rsid w:val="00977488"/>
    <w:rsid w:val="009815FE"/>
    <w:rsid w:val="00981801"/>
    <w:rsid w:val="00981E51"/>
    <w:rsid w:val="00983A64"/>
    <w:rsid w:val="00985402"/>
    <w:rsid w:val="00985780"/>
    <w:rsid w:val="009862FA"/>
    <w:rsid w:val="0098667F"/>
    <w:rsid w:val="00986745"/>
    <w:rsid w:val="00987457"/>
    <w:rsid w:val="00990155"/>
    <w:rsid w:val="00991FCC"/>
    <w:rsid w:val="00992396"/>
    <w:rsid w:val="00992461"/>
    <w:rsid w:val="00994032"/>
    <w:rsid w:val="009943ED"/>
    <w:rsid w:val="00995A21"/>
    <w:rsid w:val="00995EF4"/>
    <w:rsid w:val="00996C82"/>
    <w:rsid w:val="00997052"/>
    <w:rsid w:val="00997E97"/>
    <w:rsid w:val="009A1A95"/>
    <w:rsid w:val="009A2122"/>
    <w:rsid w:val="009A2515"/>
    <w:rsid w:val="009A27FC"/>
    <w:rsid w:val="009A3621"/>
    <w:rsid w:val="009A4147"/>
    <w:rsid w:val="009A4399"/>
    <w:rsid w:val="009A6E91"/>
    <w:rsid w:val="009A6F74"/>
    <w:rsid w:val="009A778E"/>
    <w:rsid w:val="009A7BB3"/>
    <w:rsid w:val="009B02E6"/>
    <w:rsid w:val="009B0308"/>
    <w:rsid w:val="009B1026"/>
    <w:rsid w:val="009B35F8"/>
    <w:rsid w:val="009B3BCB"/>
    <w:rsid w:val="009B43B6"/>
    <w:rsid w:val="009B49E8"/>
    <w:rsid w:val="009B4AC1"/>
    <w:rsid w:val="009B5376"/>
    <w:rsid w:val="009B5659"/>
    <w:rsid w:val="009B5AA9"/>
    <w:rsid w:val="009B7A58"/>
    <w:rsid w:val="009C11F7"/>
    <w:rsid w:val="009C23A0"/>
    <w:rsid w:val="009C27C5"/>
    <w:rsid w:val="009C393C"/>
    <w:rsid w:val="009C3BB2"/>
    <w:rsid w:val="009C3C60"/>
    <w:rsid w:val="009C7A38"/>
    <w:rsid w:val="009C7D80"/>
    <w:rsid w:val="009D00A0"/>
    <w:rsid w:val="009D0803"/>
    <w:rsid w:val="009D0AC7"/>
    <w:rsid w:val="009D134A"/>
    <w:rsid w:val="009D1622"/>
    <w:rsid w:val="009D4AF4"/>
    <w:rsid w:val="009D6477"/>
    <w:rsid w:val="009D6F7A"/>
    <w:rsid w:val="009D7298"/>
    <w:rsid w:val="009D7505"/>
    <w:rsid w:val="009D791C"/>
    <w:rsid w:val="009D795D"/>
    <w:rsid w:val="009D7A13"/>
    <w:rsid w:val="009E0344"/>
    <w:rsid w:val="009E2C37"/>
    <w:rsid w:val="009E2C6E"/>
    <w:rsid w:val="009E4819"/>
    <w:rsid w:val="009E49EE"/>
    <w:rsid w:val="009E4ECA"/>
    <w:rsid w:val="009E5A25"/>
    <w:rsid w:val="009E5C8B"/>
    <w:rsid w:val="009E61F0"/>
    <w:rsid w:val="009E652B"/>
    <w:rsid w:val="009E6F24"/>
    <w:rsid w:val="009F11CF"/>
    <w:rsid w:val="009F1616"/>
    <w:rsid w:val="009F24FE"/>
    <w:rsid w:val="009F2F9D"/>
    <w:rsid w:val="009F32AF"/>
    <w:rsid w:val="009F405B"/>
    <w:rsid w:val="009F56CA"/>
    <w:rsid w:val="009F5ADF"/>
    <w:rsid w:val="009F74DA"/>
    <w:rsid w:val="00A00853"/>
    <w:rsid w:val="00A0249A"/>
    <w:rsid w:val="00A02921"/>
    <w:rsid w:val="00A029D3"/>
    <w:rsid w:val="00A0394A"/>
    <w:rsid w:val="00A03AFF"/>
    <w:rsid w:val="00A04C49"/>
    <w:rsid w:val="00A06A90"/>
    <w:rsid w:val="00A06CD1"/>
    <w:rsid w:val="00A06DCA"/>
    <w:rsid w:val="00A10C5C"/>
    <w:rsid w:val="00A10F81"/>
    <w:rsid w:val="00A113FF"/>
    <w:rsid w:val="00A1201A"/>
    <w:rsid w:val="00A124FA"/>
    <w:rsid w:val="00A12560"/>
    <w:rsid w:val="00A1319A"/>
    <w:rsid w:val="00A1324F"/>
    <w:rsid w:val="00A15A07"/>
    <w:rsid w:val="00A16075"/>
    <w:rsid w:val="00A16DBC"/>
    <w:rsid w:val="00A17C88"/>
    <w:rsid w:val="00A17F52"/>
    <w:rsid w:val="00A2034F"/>
    <w:rsid w:val="00A205BA"/>
    <w:rsid w:val="00A20831"/>
    <w:rsid w:val="00A2112D"/>
    <w:rsid w:val="00A2320E"/>
    <w:rsid w:val="00A260DF"/>
    <w:rsid w:val="00A27154"/>
    <w:rsid w:val="00A277F9"/>
    <w:rsid w:val="00A27A80"/>
    <w:rsid w:val="00A27F01"/>
    <w:rsid w:val="00A316FE"/>
    <w:rsid w:val="00A31EA7"/>
    <w:rsid w:val="00A31F50"/>
    <w:rsid w:val="00A3381D"/>
    <w:rsid w:val="00A348C1"/>
    <w:rsid w:val="00A362DF"/>
    <w:rsid w:val="00A368AA"/>
    <w:rsid w:val="00A401D2"/>
    <w:rsid w:val="00A414BD"/>
    <w:rsid w:val="00A43040"/>
    <w:rsid w:val="00A43E36"/>
    <w:rsid w:val="00A43EAC"/>
    <w:rsid w:val="00A43FCD"/>
    <w:rsid w:val="00A4403A"/>
    <w:rsid w:val="00A44240"/>
    <w:rsid w:val="00A44661"/>
    <w:rsid w:val="00A44C81"/>
    <w:rsid w:val="00A457CD"/>
    <w:rsid w:val="00A46B32"/>
    <w:rsid w:val="00A500C6"/>
    <w:rsid w:val="00A50449"/>
    <w:rsid w:val="00A51F20"/>
    <w:rsid w:val="00A5297F"/>
    <w:rsid w:val="00A53D39"/>
    <w:rsid w:val="00A551C2"/>
    <w:rsid w:val="00A55D7F"/>
    <w:rsid w:val="00A56245"/>
    <w:rsid w:val="00A56E1F"/>
    <w:rsid w:val="00A56E67"/>
    <w:rsid w:val="00A5752E"/>
    <w:rsid w:val="00A600CE"/>
    <w:rsid w:val="00A61D1D"/>
    <w:rsid w:val="00A6392E"/>
    <w:rsid w:val="00A64E3B"/>
    <w:rsid w:val="00A64EBE"/>
    <w:rsid w:val="00A6538F"/>
    <w:rsid w:val="00A67699"/>
    <w:rsid w:val="00A67720"/>
    <w:rsid w:val="00A70952"/>
    <w:rsid w:val="00A710DF"/>
    <w:rsid w:val="00A718EB"/>
    <w:rsid w:val="00A72386"/>
    <w:rsid w:val="00A733CB"/>
    <w:rsid w:val="00A73DC2"/>
    <w:rsid w:val="00A74681"/>
    <w:rsid w:val="00A748BE"/>
    <w:rsid w:val="00A74F22"/>
    <w:rsid w:val="00A74F3C"/>
    <w:rsid w:val="00A75551"/>
    <w:rsid w:val="00A7765F"/>
    <w:rsid w:val="00A806C6"/>
    <w:rsid w:val="00A8153D"/>
    <w:rsid w:val="00A816EA"/>
    <w:rsid w:val="00A822EC"/>
    <w:rsid w:val="00A82E29"/>
    <w:rsid w:val="00A84276"/>
    <w:rsid w:val="00A84D70"/>
    <w:rsid w:val="00A84FE8"/>
    <w:rsid w:val="00A8612C"/>
    <w:rsid w:val="00A91BC5"/>
    <w:rsid w:val="00A92C03"/>
    <w:rsid w:val="00A93199"/>
    <w:rsid w:val="00A93854"/>
    <w:rsid w:val="00A93951"/>
    <w:rsid w:val="00A93A08"/>
    <w:rsid w:val="00A93ABD"/>
    <w:rsid w:val="00A943A1"/>
    <w:rsid w:val="00A953EB"/>
    <w:rsid w:val="00A95B40"/>
    <w:rsid w:val="00A96F01"/>
    <w:rsid w:val="00A9760D"/>
    <w:rsid w:val="00A97F44"/>
    <w:rsid w:val="00AA0803"/>
    <w:rsid w:val="00AA2694"/>
    <w:rsid w:val="00AA2FB0"/>
    <w:rsid w:val="00AA32FE"/>
    <w:rsid w:val="00AA3685"/>
    <w:rsid w:val="00AA478F"/>
    <w:rsid w:val="00AA5C34"/>
    <w:rsid w:val="00AA6830"/>
    <w:rsid w:val="00AA7025"/>
    <w:rsid w:val="00AA73BC"/>
    <w:rsid w:val="00AB080D"/>
    <w:rsid w:val="00AB1015"/>
    <w:rsid w:val="00AB2060"/>
    <w:rsid w:val="00AB2953"/>
    <w:rsid w:val="00AB4C5B"/>
    <w:rsid w:val="00AB4DD6"/>
    <w:rsid w:val="00AB5346"/>
    <w:rsid w:val="00AB6D5C"/>
    <w:rsid w:val="00AB7B86"/>
    <w:rsid w:val="00AC1ECC"/>
    <w:rsid w:val="00AC20BC"/>
    <w:rsid w:val="00AC2DCC"/>
    <w:rsid w:val="00AC352A"/>
    <w:rsid w:val="00AC3972"/>
    <w:rsid w:val="00AC3DB8"/>
    <w:rsid w:val="00AC4139"/>
    <w:rsid w:val="00AC539A"/>
    <w:rsid w:val="00AC6471"/>
    <w:rsid w:val="00AC7524"/>
    <w:rsid w:val="00AC79B4"/>
    <w:rsid w:val="00AD10CD"/>
    <w:rsid w:val="00AD1D98"/>
    <w:rsid w:val="00AD2B55"/>
    <w:rsid w:val="00AD3090"/>
    <w:rsid w:val="00AD3F4E"/>
    <w:rsid w:val="00AD4B3C"/>
    <w:rsid w:val="00AD548E"/>
    <w:rsid w:val="00AD5DA1"/>
    <w:rsid w:val="00AD6FF6"/>
    <w:rsid w:val="00AE0163"/>
    <w:rsid w:val="00AE112B"/>
    <w:rsid w:val="00AE15F0"/>
    <w:rsid w:val="00AE1CF1"/>
    <w:rsid w:val="00AE23D9"/>
    <w:rsid w:val="00AE2A49"/>
    <w:rsid w:val="00AE2EB5"/>
    <w:rsid w:val="00AE408F"/>
    <w:rsid w:val="00AE482B"/>
    <w:rsid w:val="00AE4AD8"/>
    <w:rsid w:val="00AE50F8"/>
    <w:rsid w:val="00AE60DC"/>
    <w:rsid w:val="00AE6847"/>
    <w:rsid w:val="00AE6A90"/>
    <w:rsid w:val="00AE7DE8"/>
    <w:rsid w:val="00AF291E"/>
    <w:rsid w:val="00AF356C"/>
    <w:rsid w:val="00AF4688"/>
    <w:rsid w:val="00AF4BDC"/>
    <w:rsid w:val="00AF5287"/>
    <w:rsid w:val="00AF6B8D"/>
    <w:rsid w:val="00B00A1A"/>
    <w:rsid w:val="00B0128D"/>
    <w:rsid w:val="00B019FA"/>
    <w:rsid w:val="00B05053"/>
    <w:rsid w:val="00B06DD7"/>
    <w:rsid w:val="00B101F6"/>
    <w:rsid w:val="00B12766"/>
    <w:rsid w:val="00B152B3"/>
    <w:rsid w:val="00B161D2"/>
    <w:rsid w:val="00B17D4B"/>
    <w:rsid w:val="00B20C9B"/>
    <w:rsid w:val="00B20E85"/>
    <w:rsid w:val="00B222F9"/>
    <w:rsid w:val="00B22A18"/>
    <w:rsid w:val="00B22E63"/>
    <w:rsid w:val="00B2364F"/>
    <w:rsid w:val="00B24ED4"/>
    <w:rsid w:val="00B252C0"/>
    <w:rsid w:val="00B25832"/>
    <w:rsid w:val="00B26CC6"/>
    <w:rsid w:val="00B2708F"/>
    <w:rsid w:val="00B311AD"/>
    <w:rsid w:val="00B317E0"/>
    <w:rsid w:val="00B31E4B"/>
    <w:rsid w:val="00B31F39"/>
    <w:rsid w:val="00B3287A"/>
    <w:rsid w:val="00B34315"/>
    <w:rsid w:val="00B3563C"/>
    <w:rsid w:val="00B35DB4"/>
    <w:rsid w:val="00B37536"/>
    <w:rsid w:val="00B37687"/>
    <w:rsid w:val="00B37728"/>
    <w:rsid w:val="00B4089E"/>
    <w:rsid w:val="00B40C67"/>
    <w:rsid w:val="00B41911"/>
    <w:rsid w:val="00B4380B"/>
    <w:rsid w:val="00B43F61"/>
    <w:rsid w:val="00B45071"/>
    <w:rsid w:val="00B45293"/>
    <w:rsid w:val="00B45C77"/>
    <w:rsid w:val="00B45D33"/>
    <w:rsid w:val="00B5045D"/>
    <w:rsid w:val="00B51824"/>
    <w:rsid w:val="00B5221A"/>
    <w:rsid w:val="00B52ED5"/>
    <w:rsid w:val="00B53058"/>
    <w:rsid w:val="00B53624"/>
    <w:rsid w:val="00B53AD9"/>
    <w:rsid w:val="00B53B7A"/>
    <w:rsid w:val="00B56210"/>
    <w:rsid w:val="00B57912"/>
    <w:rsid w:val="00B57CE0"/>
    <w:rsid w:val="00B606C9"/>
    <w:rsid w:val="00B60D14"/>
    <w:rsid w:val="00B62857"/>
    <w:rsid w:val="00B635B4"/>
    <w:rsid w:val="00B636FE"/>
    <w:rsid w:val="00B638EB"/>
    <w:rsid w:val="00B65D1B"/>
    <w:rsid w:val="00B6647A"/>
    <w:rsid w:val="00B67E98"/>
    <w:rsid w:val="00B70CEF"/>
    <w:rsid w:val="00B71D98"/>
    <w:rsid w:val="00B73231"/>
    <w:rsid w:val="00B74636"/>
    <w:rsid w:val="00B7483D"/>
    <w:rsid w:val="00B74DAD"/>
    <w:rsid w:val="00B74E20"/>
    <w:rsid w:val="00B758DA"/>
    <w:rsid w:val="00B75A66"/>
    <w:rsid w:val="00B75A7A"/>
    <w:rsid w:val="00B75C1A"/>
    <w:rsid w:val="00B76937"/>
    <w:rsid w:val="00B76D8B"/>
    <w:rsid w:val="00B770FA"/>
    <w:rsid w:val="00B772C7"/>
    <w:rsid w:val="00B80499"/>
    <w:rsid w:val="00B827F5"/>
    <w:rsid w:val="00B83238"/>
    <w:rsid w:val="00B8500E"/>
    <w:rsid w:val="00B8613D"/>
    <w:rsid w:val="00B87C45"/>
    <w:rsid w:val="00B91450"/>
    <w:rsid w:val="00B915B2"/>
    <w:rsid w:val="00B92C11"/>
    <w:rsid w:val="00B93B4D"/>
    <w:rsid w:val="00B95896"/>
    <w:rsid w:val="00B9612E"/>
    <w:rsid w:val="00B96626"/>
    <w:rsid w:val="00B96CFE"/>
    <w:rsid w:val="00B973A0"/>
    <w:rsid w:val="00B9741D"/>
    <w:rsid w:val="00B97518"/>
    <w:rsid w:val="00BA2C87"/>
    <w:rsid w:val="00BA2F3C"/>
    <w:rsid w:val="00BA34D5"/>
    <w:rsid w:val="00BA405D"/>
    <w:rsid w:val="00BA6A91"/>
    <w:rsid w:val="00BA6F95"/>
    <w:rsid w:val="00BA7066"/>
    <w:rsid w:val="00BB0CB3"/>
    <w:rsid w:val="00BB1325"/>
    <w:rsid w:val="00BB1765"/>
    <w:rsid w:val="00BB3857"/>
    <w:rsid w:val="00BB390F"/>
    <w:rsid w:val="00BB5E2F"/>
    <w:rsid w:val="00BB6350"/>
    <w:rsid w:val="00BB6808"/>
    <w:rsid w:val="00BB6905"/>
    <w:rsid w:val="00BB6B58"/>
    <w:rsid w:val="00BB7A45"/>
    <w:rsid w:val="00BC161B"/>
    <w:rsid w:val="00BC2E92"/>
    <w:rsid w:val="00BC3981"/>
    <w:rsid w:val="00BC417F"/>
    <w:rsid w:val="00BC4E7E"/>
    <w:rsid w:val="00BC573D"/>
    <w:rsid w:val="00BC58FD"/>
    <w:rsid w:val="00BC5B83"/>
    <w:rsid w:val="00BC66CE"/>
    <w:rsid w:val="00BC67AA"/>
    <w:rsid w:val="00BD0465"/>
    <w:rsid w:val="00BD1011"/>
    <w:rsid w:val="00BD1054"/>
    <w:rsid w:val="00BD177B"/>
    <w:rsid w:val="00BD2AC5"/>
    <w:rsid w:val="00BD3FA8"/>
    <w:rsid w:val="00BD47D0"/>
    <w:rsid w:val="00BD4EEB"/>
    <w:rsid w:val="00BD4F7D"/>
    <w:rsid w:val="00BD5661"/>
    <w:rsid w:val="00BD5995"/>
    <w:rsid w:val="00BD6053"/>
    <w:rsid w:val="00BD607D"/>
    <w:rsid w:val="00BD6332"/>
    <w:rsid w:val="00BD63D8"/>
    <w:rsid w:val="00BD6881"/>
    <w:rsid w:val="00BD6D8B"/>
    <w:rsid w:val="00BD76AB"/>
    <w:rsid w:val="00BD772D"/>
    <w:rsid w:val="00BD786C"/>
    <w:rsid w:val="00BE069D"/>
    <w:rsid w:val="00BE0817"/>
    <w:rsid w:val="00BE17E2"/>
    <w:rsid w:val="00BE1A0A"/>
    <w:rsid w:val="00BE22C8"/>
    <w:rsid w:val="00BE34C9"/>
    <w:rsid w:val="00BE3A5A"/>
    <w:rsid w:val="00BE3F31"/>
    <w:rsid w:val="00BE42CE"/>
    <w:rsid w:val="00BE4737"/>
    <w:rsid w:val="00BE4816"/>
    <w:rsid w:val="00BE487D"/>
    <w:rsid w:val="00BE54E8"/>
    <w:rsid w:val="00BF0483"/>
    <w:rsid w:val="00BF051C"/>
    <w:rsid w:val="00BF0AD1"/>
    <w:rsid w:val="00BF14EF"/>
    <w:rsid w:val="00BF1772"/>
    <w:rsid w:val="00BF242B"/>
    <w:rsid w:val="00BF264A"/>
    <w:rsid w:val="00BF2A09"/>
    <w:rsid w:val="00BF2AD6"/>
    <w:rsid w:val="00BF5291"/>
    <w:rsid w:val="00BF5FD3"/>
    <w:rsid w:val="00BF6170"/>
    <w:rsid w:val="00BF6BFB"/>
    <w:rsid w:val="00BF7C61"/>
    <w:rsid w:val="00C008DE"/>
    <w:rsid w:val="00C00C7E"/>
    <w:rsid w:val="00C01831"/>
    <w:rsid w:val="00C018D1"/>
    <w:rsid w:val="00C01B6B"/>
    <w:rsid w:val="00C01BC3"/>
    <w:rsid w:val="00C029D4"/>
    <w:rsid w:val="00C03442"/>
    <w:rsid w:val="00C038AF"/>
    <w:rsid w:val="00C04D37"/>
    <w:rsid w:val="00C05303"/>
    <w:rsid w:val="00C06264"/>
    <w:rsid w:val="00C068C5"/>
    <w:rsid w:val="00C06B88"/>
    <w:rsid w:val="00C06C59"/>
    <w:rsid w:val="00C07042"/>
    <w:rsid w:val="00C11094"/>
    <w:rsid w:val="00C1162C"/>
    <w:rsid w:val="00C11D10"/>
    <w:rsid w:val="00C12460"/>
    <w:rsid w:val="00C12681"/>
    <w:rsid w:val="00C126E5"/>
    <w:rsid w:val="00C12EEB"/>
    <w:rsid w:val="00C13236"/>
    <w:rsid w:val="00C13BE0"/>
    <w:rsid w:val="00C15FC5"/>
    <w:rsid w:val="00C169B5"/>
    <w:rsid w:val="00C21067"/>
    <w:rsid w:val="00C21411"/>
    <w:rsid w:val="00C21C11"/>
    <w:rsid w:val="00C21CB4"/>
    <w:rsid w:val="00C23BD1"/>
    <w:rsid w:val="00C24628"/>
    <w:rsid w:val="00C246E2"/>
    <w:rsid w:val="00C247D0"/>
    <w:rsid w:val="00C2497C"/>
    <w:rsid w:val="00C24D54"/>
    <w:rsid w:val="00C26447"/>
    <w:rsid w:val="00C31392"/>
    <w:rsid w:val="00C329D8"/>
    <w:rsid w:val="00C332D6"/>
    <w:rsid w:val="00C3399F"/>
    <w:rsid w:val="00C33BEF"/>
    <w:rsid w:val="00C33F5F"/>
    <w:rsid w:val="00C3418E"/>
    <w:rsid w:val="00C351A5"/>
    <w:rsid w:val="00C35612"/>
    <w:rsid w:val="00C3768A"/>
    <w:rsid w:val="00C400D9"/>
    <w:rsid w:val="00C40306"/>
    <w:rsid w:val="00C40C49"/>
    <w:rsid w:val="00C42A2B"/>
    <w:rsid w:val="00C435FF"/>
    <w:rsid w:val="00C44AD1"/>
    <w:rsid w:val="00C44B43"/>
    <w:rsid w:val="00C45035"/>
    <w:rsid w:val="00C4512D"/>
    <w:rsid w:val="00C45715"/>
    <w:rsid w:val="00C45D8A"/>
    <w:rsid w:val="00C4615C"/>
    <w:rsid w:val="00C46BE9"/>
    <w:rsid w:val="00C51DF3"/>
    <w:rsid w:val="00C51F59"/>
    <w:rsid w:val="00C527C6"/>
    <w:rsid w:val="00C52856"/>
    <w:rsid w:val="00C52E8C"/>
    <w:rsid w:val="00C53039"/>
    <w:rsid w:val="00C5336B"/>
    <w:rsid w:val="00C53C8B"/>
    <w:rsid w:val="00C53E97"/>
    <w:rsid w:val="00C54FE6"/>
    <w:rsid w:val="00C57814"/>
    <w:rsid w:val="00C62E75"/>
    <w:rsid w:val="00C63FE5"/>
    <w:rsid w:val="00C64928"/>
    <w:rsid w:val="00C64DEF"/>
    <w:rsid w:val="00C64E06"/>
    <w:rsid w:val="00C6503A"/>
    <w:rsid w:val="00C66040"/>
    <w:rsid w:val="00C668E0"/>
    <w:rsid w:val="00C66932"/>
    <w:rsid w:val="00C66A10"/>
    <w:rsid w:val="00C67167"/>
    <w:rsid w:val="00C713EC"/>
    <w:rsid w:val="00C71DA7"/>
    <w:rsid w:val="00C732B5"/>
    <w:rsid w:val="00C73F0D"/>
    <w:rsid w:val="00C749A6"/>
    <w:rsid w:val="00C75F53"/>
    <w:rsid w:val="00C76CE4"/>
    <w:rsid w:val="00C770A3"/>
    <w:rsid w:val="00C775FB"/>
    <w:rsid w:val="00C80EA0"/>
    <w:rsid w:val="00C8200A"/>
    <w:rsid w:val="00C8232E"/>
    <w:rsid w:val="00C82B2A"/>
    <w:rsid w:val="00C8333C"/>
    <w:rsid w:val="00C83591"/>
    <w:rsid w:val="00C83DFD"/>
    <w:rsid w:val="00C83E8C"/>
    <w:rsid w:val="00C850D3"/>
    <w:rsid w:val="00C86A01"/>
    <w:rsid w:val="00C86A48"/>
    <w:rsid w:val="00C86BE8"/>
    <w:rsid w:val="00C86C46"/>
    <w:rsid w:val="00C87303"/>
    <w:rsid w:val="00C87A8B"/>
    <w:rsid w:val="00C90872"/>
    <w:rsid w:val="00C908E5"/>
    <w:rsid w:val="00C92009"/>
    <w:rsid w:val="00C92572"/>
    <w:rsid w:val="00C93ADE"/>
    <w:rsid w:val="00C950CE"/>
    <w:rsid w:val="00C95CA6"/>
    <w:rsid w:val="00C96F86"/>
    <w:rsid w:val="00CA0077"/>
    <w:rsid w:val="00CA0804"/>
    <w:rsid w:val="00CA0870"/>
    <w:rsid w:val="00CA1CBB"/>
    <w:rsid w:val="00CA2BFF"/>
    <w:rsid w:val="00CA31A6"/>
    <w:rsid w:val="00CA329E"/>
    <w:rsid w:val="00CA354E"/>
    <w:rsid w:val="00CA3ECB"/>
    <w:rsid w:val="00CA42A1"/>
    <w:rsid w:val="00CA4FDD"/>
    <w:rsid w:val="00CA58E7"/>
    <w:rsid w:val="00CA6CF8"/>
    <w:rsid w:val="00CA72DE"/>
    <w:rsid w:val="00CA7EAC"/>
    <w:rsid w:val="00CB0052"/>
    <w:rsid w:val="00CB00FC"/>
    <w:rsid w:val="00CB0DC6"/>
    <w:rsid w:val="00CB0E99"/>
    <w:rsid w:val="00CB20E5"/>
    <w:rsid w:val="00CB3556"/>
    <w:rsid w:val="00CB36A6"/>
    <w:rsid w:val="00CB3EEA"/>
    <w:rsid w:val="00CB466E"/>
    <w:rsid w:val="00CB60DB"/>
    <w:rsid w:val="00CB76E6"/>
    <w:rsid w:val="00CC1887"/>
    <w:rsid w:val="00CC2841"/>
    <w:rsid w:val="00CC2BA6"/>
    <w:rsid w:val="00CC3633"/>
    <w:rsid w:val="00CC384D"/>
    <w:rsid w:val="00CC3A15"/>
    <w:rsid w:val="00CC416E"/>
    <w:rsid w:val="00CC4B31"/>
    <w:rsid w:val="00CC4DFA"/>
    <w:rsid w:val="00CC5893"/>
    <w:rsid w:val="00CC5E5C"/>
    <w:rsid w:val="00CC71A4"/>
    <w:rsid w:val="00CC7EAC"/>
    <w:rsid w:val="00CD1928"/>
    <w:rsid w:val="00CD2702"/>
    <w:rsid w:val="00CD2DD2"/>
    <w:rsid w:val="00CD4843"/>
    <w:rsid w:val="00CD4D0E"/>
    <w:rsid w:val="00CD5750"/>
    <w:rsid w:val="00CD7FC1"/>
    <w:rsid w:val="00CE087A"/>
    <w:rsid w:val="00CE0DC4"/>
    <w:rsid w:val="00CE25C1"/>
    <w:rsid w:val="00CE3FA7"/>
    <w:rsid w:val="00CE40C1"/>
    <w:rsid w:val="00CE4133"/>
    <w:rsid w:val="00CE41AA"/>
    <w:rsid w:val="00CE5303"/>
    <w:rsid w:val="00CE5537"/>
    <w:rsid w:val="00CE56CC"/>
    <w:rsid w:val="00CE5E12"/>
    <w:rsid w:val="00CE6589"/>
    <w:rsid w:val="00CE6D70"/>
    <w:rsid w:val="00CF0529"/>
    <w:rsid w:val="00CF1D98"/>
    <w:rsid w:val="00CF222B"/>
    <w:rsid w:val="00CF288B"/>
    <w:rsid w:val="00CF3E3C"/>
    <w:rsid w:val="00CF4FD0"/>
    <w:rsid w:val="00CF5370"/>
    <w:rsid w:val="00CF5902"/>
    <w:rsid w:val="00CF64B3"/>
    <w:rsid w:val="00CF7BFC"/>
    <w:rsid w:val="00D00528"/>
    <w:rsid w:val="00D01280"/>
    <w:rsid w:val="00D01679"/>
    <w:rsid w:val="00D02227"/>
    <w:rsid w:val="00D05152"/>
    <w:rsid w:val="00D059F5"/>
    <w:rsid w:val="00D05C63"/>
    <w:rsid w:val="00D06629"/>
    <w:rsid w:val="00D078E5"/>
    <w:rsid w:val="00D07CD4"/>
    <w:rsid w:val="00D105B1"/>
    <w:rsid w:val="00D11377"/>
    <w:rsid w:val="00D11A70"/>
    <w:rsid w:val="00D11C54"/>
    <w:rsid w:val="00D1256C"/>
    <w:rsid w:val="00D12BEC"/>
    <w:rsid w:val="00D12C7B"/>
    <w:rsid w:val="00D13522"/>
    <w:rsid w:val="00D148B9"/>
    <w:rsid w:val="00D14BF4"/>
    <w:rsid w:val="00D16664"/>
    <w:rsid w:val="00D16731"/>
    <w:rsid w:val="00D204A7"/>
    <w:rsid w:val="00D219F5"/>
    <w:rsid w:val="00D21C0D"/>
    <w:rsid w:val="00D22CA0"/>
    <w:rsid w:val="00D22F44"/>
    <w:rsid w:val="00D242A4"/>
    <w:rsid w:val="00D2675A"/>
    <w:rsid w:val="00D26803"/>
    <w:rsid w:val="00D268B5"/>
    <w:rsid w:val="00D279EE"/>
    <w:rsid w:val="00D27C89"/>
    <w:rsid w:val="00D305BF"/>
    <w:rsid w:val="00D3093D"/>
    <w:rsid w:val="00D328C6"/>
    <w:rsid w:val="00D3355F"/>
    <w:rsid w:val="00D337CB"/>
    <w:rsid w:val="00D33878"/>
    <w:rsid w:val="00D33979"/>
    <w:rsid w:val="00D3445F"/>
    <w:rsid w:val="00D34461"/>
    <w:rsid w:val="00D34C1D"/>
    <w:rsid w:val="00D35146"/>
    <w:rsid w:val="00D3532E"/>
    <w:rsid w:val="00D37857"/>
    <w:rsid w:val="00D37CC5"/>
    <w:rsid w:val="00D37E72"/>
    <w:rsid w:val="00D4001D"/>
    <w:rsid w:val="00D40A86"/>
    <w:rsid w:val="00D424F2"/>
    <w:rsid w:val="00D42B13"/>
    <w:rsid w:val="00D42E01"/>
    <w:rsid w:val="00D43B49"/>
    <w:rsid w:val="00D4454E"/>
    <w:rsid w:val="00D469C1"/>
    <w:rsid w:val="00D4720F"/>
    <w:rsid w:val="00D50A70"/>
    <w:rsid w:val="00D50EB6"/>
    <w:rsid w:val="00D5302D"/>
    <w:rsid w:val="00D53F3A"/>
    <w:rsid w:val="00D54074"/>
    <w:rsid w:val="00D5421F"/>
    <w:rsid w:val="00D54ACB"/>
    <w:rsid w:val="00D54EF4"/>
    <w:rsid w:val="00D55017"/>
    <w:rsid w:val="00D55195"/>
    <w:rsid w:val="00D551DE"/>
    <w:rsid w:val="00D6022E"/>
    <w:rsid w:val="00D60437"/>
    <w:rsid w:val="00D60D46"/>
    <w:rsid w:val="00D6125A"/>
    <w:rsid w:val="00D6183D"/>
    <w:rsid w:val="00D61D73"/>
    <w:rsid w:val="00D61E48"/>
    <w:rsid w:val="00D621C3"/>
    <w:rsid w:val="00D6247D"/>
    <w:rsid w:val="00D625B8"/>
    <w:rsid w:val="00D6279C"/>
    <w:rsid w:val="00D62EB6"/>
    <w:rsid w:val="00D63CC6"/>
    <w:rsid w:val="00D63D92"/>
    <w:rsid w:val="00D64718"/>
    <w:rsid w:val="00D64923"/>
    <w:rsid w:val="00D65C02"/>
    <w:rsid w:val="00D6688E"/>
    <w:rsid w:val="00D66C10"/>
    <w:rsid w:val="00D66D28"/>
    <w:rsid w:val="00D74A6D"/>
    <w:rsid w:val="00D756F9"/>
    <w:rsid w:val="00D759C9"/>
    <w:rsid w:val="00D7620A"/>
    <w:rsid w:val="00D76344"/>
    <w:rsid w:val="00D76CF2"/>
    <w:rsid w:val="00D77BA2"/>
    <w:rsid w:val="00D8040E"/>
    <w:rsid w:val="00D8046B"/>
    <w:rsid w:val="00D80B7D"/>
    <w:rsid w:val="00D80CD6"/>
    <w:rsid w:val="00D80E3F"/>
    <w:rsid w:val="00D80E96"/>
    <w:rsid w:val="00D818D2"/>
    <w:rsid w:val="00D82A6B"/>
    <w:rsid w:val="00D83051"/>
    <w:rsid w:val="00D839E2"/>
    <w:rsid w:val="00D83CDA"/>
    <w:rsid w:val="00D84321"/>
    <w:rsid w:val="00D84D7B"/>
    <w:rsid w:val="00D85402"/>
    <w:rsid w:val="00D869A3"/>
    <w:rsid w:val="00D86F35"/>
    <w:rsid w:val="00D90001"/>
    <w:rsid w:val="00D90D82"/>
    <w:rsid w:val="00D90E8D"/>
    <w:rsid w:val="00D91753"/>
    <w:rsid w:val="00D9268B"/>
    <w:rsid w:val="00D93481"/>
    <w:rsid w:val="00D93E0D"/>
    <w:rsid w:val="00DA0216"/>
    <w:rsid w:val="00DA0C65"/>
    <w:rsid w:val="00DA18B5"/>
    <w:rsid w:val="00DA1A18"/>
    <w:rsid w:val="00DA33C1"/>
    <w:rsid w:val="00DA4EAA"/>
    <w:rsid w:val="00DA5408"/>
    <w:rsid w:val="00DA57BD"/>
    <w:rsid w:val="00DA69C1"/>
    <w:rsid w:val="00DA6C07"/>
    <w:rsid w:val="00DB0C30"/>
    <w:rsid w:val="00DB1579"/>
    <w:rsid w:val="00DB1ECE"/>
    <w:rsid w:val="00DB31A6"/>
    <w:rsid w:val="00DB495E"/>
    <w:rsid w:val="00DB5DD7"/>
    <w:rsid w:val="00DB6EF9"/>
    <w:rsid w:val="00DB6FFB"/>
    <w:rsid w:val="00DB77E9"/>
    <w:rsid w:val="00DB7D60"/>
    <w:rsid w:val="00DC1EC0"/>
    <w:rsid w:val="00DC2D12"/>
    <w:rsid w:val="00DC2DAB"/>
    <w:rsid w:val="00DC4EEF"/>
    <w:rsid w:val="00DC5CCB"/>
    <w:rsid w:val="00DC6C76"/>
    <w:rsid w:val="00DC70C7"/>
    <w:rsid w:val="00DC79E7"/>
    <w:rsid w:val="00DD1437"/>
    <w:rsid w:val="00DD4D94"/>
    <w:rsid w:val="00DD505E"/>
    <w:rsid w:val="00DD5728"/>
    <w:rsid w:val="00DD7E77"/>
    <w:rsid w:val="00DE02BD"/>
    <w:rsid w:val="00DE152A"/>
    <w:rsid w:val="00DE1AE2"/>
    <w:rsid w:val="00DE1E32"/>
    <w:rsid w:val="00DE1F73"/>
    <w:rsid w:val="00DE1FFA"/>
    <w:rsid w:val="00DE2B6E"/>
    <w:rsid w:val="00DE2CC0"/>
    <w:rsid w:val="00DE3A18"/>
    <w:rsid w:val="00DE3F6A"/>
    <w:rsid w:val="00DE3FBF"/>
    <w:rsid w:val="00DE4B92"/>
    <w:rsid w:val="00DE5997"/>
    <w:rsid w:val="00DE69CB"/>
    <w:rsid w:val="00DE6B22"/>
    <w:rsid w:val="00DE7C2A"/>
    <w:rsid w:val="00DF0232"/>
    <w:rsid w:val="00DF067C"/>
    <w:rsid w:val="00DF0D14"/>
    <w:rsid w:val="00DF1CF8"/>
    <w:rsid w:val="00DF2393"/>
    <w:rsid w:val="00DF2FF9"/>
    <w:rsid w:val="00DF33C6"/>
    <w:rsid w:val="00DF38A5"/>
    <w:rsid w:val="00DF3A81"/>
    <w:rsid w:val="00DF3F03"/>
    <w:rsid w:val="00DF44C6"/>
    <w:rsid w:val="00DF47EB"/>
    <w:rsid w:val="00DF4E45"/>
    <w:rsid w:val="00DF63A2"/>
    <w:rsid w:val="00E011E8"/>
    <w:rsid w:val="00E0194C"/>
    <w:rsid w:val="00E01FC1"/>
    <w:rsid w:val="00E0203A"/>
    <w:rsid w:val="00E0223D"/>
    <w:rsid w:val="00E0274E"/>
    <w:rsid w:val="00E02752"/>
    <w:rsid w:val="00E032A9"/>
    <w:rsid w:val="00E03447"/>
    <w:rsid w:val="00E044C1"/>
    <w:rsid w:val="00E04D4F"/>
    <w:rsid w:val="00E05176"/>
    <w:rsid w:val="00E054BE"/>
    <w:rsid w:val="00E0672B"/>
    <w:rsid w:val="00E07735"/>
    <w:rsid w:val="00E10B22"/>
    <w:rsid w:val="00E10DA2"/>
    <w:rsid w:val="00E14743"/>
    <w:rsid w:val="00E14D50"/>
    <w:rsid w:val="00E157F7"/>
    <w:rsid w:val="00E16105"/>
    <w:rsid w:val="00E16206"/>
    <w:rsid w:val="00E16874"/>
    <w:rsid w:val="00E16A90"/>
    <w:rsid w:val="00E17276"/>
    <w:rsid w:val="00E201FE"/>
    <w:rsid w:val="00E2118E"/>
    <w:rsid w:val="00E21B45"/>
    <w:rsid w:val="00E21F0C"/>
    <w:rsid w:val="00E224D1"/>
    <w:rsid w:val="00E2427D"/>
    <w:rsid w:val="00E251CB"/>
    <w:rsid w:val="00E2567A"/>
    <w:rsid w:val="00E263EB"/>
    <w:rsid w:val="00E266A5"/>
    <w:rsid w:val="00E26F07"/>
    <w:rsid w:val="00E32E0E"/>
    <w:rsid w:val="00E32F59"/>
    <w:rsid w:val="00E3336C"/>
    <w:rsid w:val="00E337DC"/>
    <w:rsid w:val="00E338E7"/>
    <w:rsid w:val="00E346B9"/>
    <w:rsid w:val="00E369FC"/>
    <w:rsid w:val="00E374CA"/>
    <w:rsid w:val="00E3783F"/>
    <w:rsid w:val="00E378C7"/>
    <w:rsid w:val="00E403C3"/>
    <w:rsid w:val="00E40715"/>
    <w:rsid w:val="00E40E9E"/>
    <w:rsid w:val="00E40EC0"/>
    <w:rsid w:val="00E4105D"/>
    <w:rsid w:val="00E41541"/>
    <w:rsid w:val="00E45043"/>
    <w:rsid w:val="00E46916"/>
    <w:rsid w:val="00E47E25"/>
    <w:rsid w:val="00E50653"/>
    <w:rsid w:val="00E50983"/>
    <w:rsid w:val="00E51AD8"/>
    <w:rsid w:val="00E5271E"/>
    <w:rsid w:val="00E530A0"/>
    <w:rsid w:val="00E53E62"/>
    <w:rsid w:val="00E54C1A"/>
    <w:rsid w:val="00E54C8B"/>
    <w:rsid w:val="00E5607A"/>
    <w:rsid w:val="00E56F1F"/>
    <w:rsid w:val="00E60AEF"/>
    <w:rsid w:val="00E627B3"/>
    <w:rsid w:val="00E63A28"/>
    <w:rsid w:val="00E63E3A"/>
    <w:rsid w:val="00E63ED3"/>
    <w:rsid w:val="00E642FF"/>
    <w:rsid w:val="00E645AC"/>
    <w:rsid w:val="00E652F4"/>
    <w:rsid w:val="00E65398"/>
    <w:rsid w:val="00E668F9"/>
    <w:rsid w:val="00E66D53"/>
    <w:rsid w:val="00E70CCE"/>
    <w:rsid w:val="00E71A91"/>
    <w:rsid w:val="00E7362F"/>
    <w:rsid w:val="00E73CF8"/>
    <w:rsid w:val="00E73D74"/>
    <w:rsid w:val="00E73EC3"/>
    <w:rsid w:val="00E7447C"/>
    <w:rsid w:val="00E74783"/>
    <w:rsid w:val="00E74DCC"/>
    <w:rsid w:val="00E75468"/>
    <w:rsid w:val="00E75EDA"/>
    <w:rsid w:val="00E76A8A"/>
    <w:rsid w:val="00E8179A"/>
    <w:rsid w:val="00E82B65"/>
    <w:rsid w:val="00E8421B"/>
    <w:rsid w:val="00E847DE"/>
    <w:rsid w:val="00E85E8F"/>
    <w:rsid w:val="00E86E01"/>
    <w:rsid w:val="00E873D4"/>
    <w:rsid w:val="00E904E7"/>
    <w:rsid w:val="00E909D2"/>
    <w:rsid w:val="00E91513"/>
    <w:rsid w:val="00E92809"/>
    <w:rsid w:val="00E92A05"/>
    <w:rsid w:val="00E92BF1"/>
    <w:rsid w:val="00E92D2D"/>
    <w:rsid w:val="00E943A9"/>
    <w:rsid w:val="00E94CEF"/>
    <w:rsid w:val="00E95870"/>
    <w:rsid w:val="00E95F84"/>
    <w:rsid w:val="00E96C93"/>
    <w:rsid w:val="00E973D2"/>
    <w:rsid w:val="00EA1E91"/>
    <w:rsid w:val="00EA26CD"/>
    <w:rsid w:val="00EA2809"/>
    <w:rsid w:val="00EA2E18"/>
    <w:rsid w:val="00EA52A3"/>
    <w:rsid w:val="00EA6CC8"/>
    <w:rsid w:val="00EA70F3"/>
    <w:rsid w:val="00EA7678"/>
    <w:rsid w:val="00EA76AF"/>
    <w:rsid w:val="00EA777F"/>
    <w:rsid w:val="00EA7969"/>
    <w:rsid w:val="00EB0789"/>
    <w:rsid w:val="00EB0832"/>
    <w:rsid w:val="00EB0C26"/>
    <w:rsid w:val="00EB2AE6"/>
    <w:rsid w:val="00EB4238"/>
    <w:rsid w:val="00EB4F85"/>
    <w:rsid w:val="00EB5312"/>
    <w:rsid w:val="00EB57D5"/>
    <w:rsid w:val="00EB5847"/>
    <w:rsid w:val="00EB644C"/>
    <w:rsid w:val="00EB66F6"/>
    <w:rsid w:val="00EB762F"/>
    <w:rsid w:val="00EC0000"/>
    <w:rsid w:val="00EC0BCD"/>
    <w:rsid w:val="00EC283D"/>
    <w:rsid w:val="00EC56EF"/>
    <w:rsid w:val="00EC5AF0"/>
    <w:rsid w:val="00EC6C3E"/>
    <w:rsid w:val="00ED05FB"/>
    <w:rsid w:val="00ED082F"/>
    <w:rsid w:val="00ED1900"/>
    <w:rsid w:val="00ED269E"/>
    <w:rsid w:val="00ED2D3D"/>
    <w:rsid w:val="00ED3709"/>
    <w:rsid w:val="00ED3785"/>
    <w:rsid w:val="00ED39A3"/>
    <w:rsid w:val="00ED3BD6"/>
    <w:rsid w:val="00ED4642"/>
    <w:rsid w:val="00ED4D67"/>
    <w:rsid w:val="00ED5A36"/>
    <w:rsid w:val="00ED5F0C"/>
    <w:rsid w:val="00ED678C"/>
    <w:rsid w:val="00ED74F6"/>
    <w:rsid w:val="00EE0D95"/>
    <w:rsid w:val="00EE0E2C"/>
    <w:rsid w:val="00EE0FD6"/>
    <w:rsid w:val="00EE33DF"/>
    <w:rsid w:val="00EE4304"/>
    <w:rsid w:val="00EE5842"/>
    <w:rsid w:val="00EE5B51"/>
    <w:rsid w:val="00EE68DF"/>
    <w:rsid w:val="00EE7159"/>
    <w:rsid w:val="00EE76FE"/>
    <w:rsid w:val="00EE774D"/>
    <w:rsid w:val="00EE7B14"/>
    <w:rsid w:val="00EF04B4"/>
    <w:rsid w:val="00EF0F3E"/>
    <w:rsid w:val="00EF23F8"/>
    <w:rsid w:val="00EF3A1B"/>
    <w:rsid w:val="00EF48B1"/>
    <w:rsid w:val="00EF4F98"/>
    <w:rsid w:val="00EF7045"/>
    <w:rsid w:val="00EF71E1"/>
    <w:rsid w:val="00F001EE"/>
    <w:rsid w:val="00F00501"/>
    <w:rsid w:val="00F013D8"/>
    <w:rsid w:val="00F0148E"/>
    <w:rsid w:val="00F0680E"/>
    <w:rsid w:val="00F07135"/>
    <w:rsid w:val="00F07158"/>
    <w:rsid w:val="00F0765C"/>
    <w:rsid w:val="00F07739"/>
    <w:rsid w:val="00F10333"/>
    <w:rsid w:val="00F10A10"/>
    <w:rsid w:val="00F11A17"/>
    <w:rsid w:val="00F11E8F"/>
    <w:rsid w:val="00F1328A"/>
    <w:rsid w:val="00F13FE5"/>
    <w:rsid w:val="00F142A4"/>
    <w:rsid w:val="00F14527"/>
    <w:rsid w:val="00F1588A"/>
    <w:rsid w:val="00F1674A"/>
    <w:rsid w:val="00F167CF"/>
    <w:rsid w:val="00F215EB"/>
    <w:rsid w:val="00F249F4"/>
    <w:rsid w:val="00F30F6E"/>
    <w:rsid w:val="00F31304"/>
    <w:rsid w:val="00F31595"/>
    <w:rsid w:val="00F31C2E"/>
    <w:rsid w:val="00F31E30"/>
    <w:rsid w:val="00F33933"/>
    <w:rsid w:val="00F33E19"/>
    <w:rsid w:val="00F348FB"/>
    <w:rsid w:val="00F353DF"/>
    <w:rsid w:val="00F355D6"/>
    <w:rsid w:val="00F361B2"/>
    <w:rsid w:val="00F40008"/>
    <w:rsid w:val="00F417A9"/>
    <w:rsid w:val="00F41DC6"/>
    <w:rsid w:val="00F42021"/>
    <w:rsid w:val="00F42549"/>
    <w:rsid w:val="00F427DA"/>
    <w:rsid w:val="00F42FF6"/>
    <w:rsid w:val="00F4354C"/>
    <w:rsid w:val="00F43A0B"/>
    <w:rsid w:val="00F43C1E"/>
    <w:rsid w:val="00F4498F"/>
    <w:rsid w:val="00F45087"/>
    <w:rsid w:val="00F4656D"/>
    <w:rsid w:val="00F46FA6"/>
    <w:rsid w:val="00F47470"/>
    <w:rsid w:val="00F47762"/>
    <w:rsid w:val="00F50440"/>
    <w:rsid w:val="00F510AE"/>
    <w:rsid w:val="00F5167E"/>
    <w:rsid w:val="00F53098"/>
    <w:rsid w:val="00F53A51"/>
    <w:rsid w:val="00F53F57"/>
    <w:rsid w:val="00F557BE"/>
    <w:rsid w:val="00F5662D"/>
    <w:rsid w:val="00F573F3"/>
    <w:rsid w:val="00F603E5"/>
    <w:rsid w:val="00F604F3"/>
    <w:rsid w:val="00F6058A"/>
    <w:rsid w:val="00F61427"/>
    <w:rsid w:val="00F6171F"/>
    <w:rsid w:val="00F621BC"/>
    <w:rsid w:val="00F64306"/>
    <w:rsid w:val="00F64327"/>
    <w:rsid w:val="00F6456E"/>
    <w:rsid w:val="00F66065"/>
    <w:rsid w:val="00F6654C"/>
    <w:rsid w:val="00F66D81"/>
    <w:rsid w:val="00F6727B"/>
    <w:rsid w:val="00F67846"/>
    <w:rsid w:val="00F70418"/>
    <w:rsid w:val="00F70D95"/>
    <w:rsid w:val="00F70E77"/>
    <w:rsid w:val="00F71912"/>
    <w:rsid w:val="00F72249"/>
    <w:rsid w:val="00F72898"/>
    <w:rsid w:val="00F7403C"/>
    <w:rsid w:val="00F7652E"/>
    <w:rsid w:val="00F77B9F"/>
    <w:rsid w:val="00F80C16"/>
    <w:rsid w:val="00F80E83"/>
    <w:rsid w:val="00F80F9A"/>
    <w:rsid w:val="00F83D0E"/>
    <w:rsid w:val="00F84329"/>
    <w:rsid w:val="00F8458D"/>
    <w:rsid w:val="00F84B75"/>
    <w:rsid w:val="00F84D31"/>
    <w:rsid w:val="00F85166"/>
    <w:rsid w:val="00F85229"/>
    <w:rsid w:val="00F8524F"/>
    <w:rsid w:val="00F854AD"/>
    <w:rsid w:val="00F866AD"/>
    <w:rsid w:val="00F872C6"/>
    <w:rsid w:val="00F8780E"/>
    <w:rsid w:val="00F91245"/>
    <w:rsid w:val="00F915DA"/>
    <w:rsid w:val="00F9186A"/>
    <w:rsid w:val="00F9187E"/>
    <w:rsid w:val="00F92FA1"/>
    <w:rsid w:val="00F948E5"/>
    <w:rsid w:val="00F94EEE"/>
    <w:rsid w:val="00F9565B"/>
    <w:rsid w:val="00FA2983"/>
    <w:rsid w:val="00FA2A4C"/>
    <w:rsid w:val="00FA30F6"/>
    <w:rsid w:val="00FA32FA"/>
    <w:rsid w:val="00FA3752"/>
    <w:rsid w:val="00FA3CC6"/>
    <w:rsid w:val="00FA53A8"/>
    <w:rsid w:val="00FA5483"/>
    <w:rsid w:val="00FA6080"/>
    <w:rsid w:val="00FA7B97"/>
    <w:rsid w:val="00FA7EA1"/>
    <w:rsid w:val="00FB0B5B"/>
    <w:rsid w:val="00FB1A17"/>
    <w:rsid w:val="00FB1A84"/>
    <w:rsid w:val="00FB2546"/>
    <w:rsid w:val="00FB447F"/>
    <w:rsid w:val="00FB4B31"/>
    <w:rsid w:val="00FB4D68"/>
    <w:rsid w:val="00FB6521"/>
    <w:rsid w:val="00FB6D64"/>
    <w:rsid w:val="00FB73D8"/>
    <w:rsid w:val="00FB7E5B"/>
    <w:rsid w:val="00FC0040"/>
    <w:rsid w:val="00FC044B"/>
    <w:rsid w:val="00FC1617"/>
    <w:rsid w:val="00FC2063"/>
    <w:rsid w:val="00FC298A"/>
    <w:rsid w:val="00FC3DEC"/>
    <w:rsid w:val="00FC4C20"/>
    <w:rsid w:val="00FC6CCC"/>
    <w:rsid w:val="00FC755A"/>
    <w:rsid w:val="00FC78EE"/>
    <w:rsid w:val="00FD245B"/>
    <w:rsid w:val="00FD574B"/>
    <w:rsid w:val="00FE0467"/>
    <w:rsid w:val="00FE0491"/>
    <w:rsid w:val="00FE104F"/>
    <w:rsid w:val="00FE2D9A"/>
    <w:rsid w:val="00FE461D"/>
    <w:rsid w:val="00FE6DC4"/>
    <w:rsid w:val="00FF0554"/>
    <w:rsid w:val="00FF05E2"/>
    <w:rsid w:val="00FF1904"/>
    <w:rsid w:val="00FF2559"/>
    <w:rsid w:val="00FF311E"/>
    <w:rsid w:val="00FF55E0"/>
    <w:rsid w:val="00FF5626"/>
    <w:rsid w:val="00FF5938"/>
    <w:rsid w:val="00FF6815"/>
    <w:rsid w:val="00FF7D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D688"/>
  <w15:docId w15:val="{288168ED-E981-4E23-8876-AA234996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08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512D"/>
    <w:pPr>
      <w:keepNext/>
      <w:keepLines/>
      <w:numPr>
        <w:ilvl w:val="1"/>
        <w:numId w:val="1"/>
      </w:numPr>
      <w:jc w:val="both"/>
      <w:outlineLvl w:val="1"/>
    </w:pPr>
    <w:rPr>
      <w:rFonts w:eastAsiaTheme="majorEastAsia"/>
      <w:b/>
    </w:rPr>
  </w:style>
  <w:style w:type="paragraph" w:styleId="Heading3">
    <w:name w:val="heading 3"/>
    <w:basedOn w:val="Normal"/>
    <w:next w:val="Normal"/>
    <w:link w:val="Heading3Char"/>
    <w:uiPriority w:val="9"/>
    <w:unhideWhenUsed/>
    <w:qFormat/>
    <w:rsid w:val="007E3C5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57D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0C3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512D"/>
    <w:rPr>
      <w:rFonts w:eastAsiaTheme="majorEastAsia"/>
      <w:b/>
    </w:rPr>
  </w:style>
  <w:style w:type="character" w:customStyle="1" w:styleId="Heading3Char">
    <w:name w:val="Heading 3 Char"/>
    <w:basedOn w:val="DefaultParagraphFont"/>
    <w:link w:val="Heading3"/>
    <w:uiPriority w:val="9"/>
    <w:rsid w:val="007E3C5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857D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0C3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BE0817"/>
    <w:pPr>
      <w:ind w:left="720"/>
      <w:contextualSpacing/>
    </w:pPr>
  </w:style>
  <w:style w:type="paragraph" w:styleId="TOCHeading">
    <w:name w:val="TOC Heading"/>
    <w:basedOn w:val="Heading1"/>
    <w:next w:val="Normal"/>
    <w:uiPriority w:val="39"/>
    <w:unhideWhenUsed/>
    <w:qFormat/>
    <w:rsid w:val="00BE0817"/>
    <w:pPr>
      <w:spacing w:line="259" w:lineRule="auto"/>
      <w:outlineLvl w:val="9"/>
    </w:pPr>
    <w:rPr>
      <w:lang w:eastAsia="hr-HR"/>
    </w:rPr>
  </w:style>
  <w:style w:type="paragraph" w:styleId="TOC2">
    <w:name w:val="toc 2"/>
    <w:basedOn w:val="Normal"/>
    <w:next w:val="Normal"/>
    <w:autoRedefine/>
    <w:uiPriority w:val="39"/>
    <w:unhideWhenUsed/>
    <w:rsid w:val="00761B90"/>
    <w:pPr>
      <w:tabs>
        <w:tab w:val="left" w:pos="880"/>
        <w:tab w:val="right" w:leader="dot" w:pos="9060"/>
      </w:tabs>
      <w:ind w:left="901" w:hanging="680"/>
    </w:pPr>
    <w:rPr>
      <w:rFonts w:asciiTheme="minorHAnsi" w:eastAsiaTheme="minorEastAsia" w:hAnsiTheme="minorHAnsi"/>
      <w:sz w:val="22"/>
      <w:lang w:eastAsia="hr-HR"/>
    </w:rPr>
  </w:style>
  <w:style w:type="paragraph" w:styleId="TOC1">
    <w:name w:val="toc 1"/>
    <w:basedOn w:val="Normal"/>
    <w:next w:val="Normal"/>
    <w:autoRedefine/>
    <w:uiPriority w:val="39"/>
    <w:unhideWhenUsed/>
    <w:rsid w:val="00BE0817"/>
    <w:pPr>
      <w:spacing w:after="100" w:line="259" w:lineRule="auto"/>
    </w:pPr>
    <w:rPr>
      <w:rFonts w:asciiTheme="minorHAnsi" w:eastAsiaTheme="minorEastAsia" w:hAnsiTheme="minorHAnsi"/>
      <w:sz w:val="22"/>
      <w:lang w:eastAsia="hr-HR"/>
    </w:rPr>
  </w:style>
  <w:style w:type="paragraph" w:styleId="TOC3">
    <w:name w:val="toc 3"/>
    <w:basedOn w:val="Normal"/>
    <w:next w:val="Normal"/>
    <w:autoRedefine/>
    <w:uiPriority w:val="39"/>
    <w:unhideWhenUsed/>
    <w:rsid w:val="00BE0817"/>
    <w:pPr>
      <w:spacing w:after="100" w:line="259" w:lineRule="auto"/>
      <w:ind w:left="440"/>
    </w:pPr>
    <w:rPr>
      <w:rFonts w:asciiTheme="minorHAnsi" w:eastAsiaTheme="minorEastAsia" w:hAnsiTheme="minorHAnsi"/>
      <w:sz w:val="22"/>
      <w:lang w:eastAsia="hr-HR"/>
    </w:rPr>
  </w:style>
  <w:style w:type="character" w:styleId="Hyperlink">
    <w:name w:val="Hyperlink"/>
    <w:basedOn w:val="DefaultParagraphFont"/>
    <w:uiPriority w:val="99"/>
    <w:unhideWhenUsed/>
    <w:rsid w:val="007E3C55"/>
    <w:rPr>
      <w:color w:val="0563C1" w:themeColor="hyperlink"/>
      <w:u w:val="single"/>
    </w:rPr>
  </w:style>
  <w:style w:type="paragraph" w:styleId="Footer">
    <w:name w:val="footer"/>
    <w:basedOn w:val="Normal"/>
    <w:link w:val="FooterChar"/>
    <w:uiPriority w:val="99"/>
    <w:rsid w:val="002314F7"/>
    <w:pPr>
      <w:tabs>
        <w:tab w:val="center" w:pos="4536"/>
        <w:tab w:val="right" w:pos="9072"/>
      </w:tabs>
      <w:jc w:val="both"/>
    </w:pPr>
    <w:rPr>
      <w:rFonts w:eastAsia="Times New Roman"/>
      <w:color w:val="000000"/>
      <w:lang w:eastAsia="hr-HR"/>
    </w:rPr>
  </w:style>
  <w:style w:type="character" w:customStyle="1" w:styleId="FooterChar">
    <w:name w:val="Footer Char"/>
    <w:basedOn w:val="DefaultParagraphFont"/>
    <w:link w:val="Footer"/>
    <w:uiPriority w:val="99"/>
    <w:rsid w:val="002314F7"/>
    <w:rPr>
      <w:rFonts w:eastAsia="Times New Roman"/>
      <w:color w:val="000000"/>
      <w:lang w:eastAsia="hr-HR"/>
    </w:rPr>
  </w:style>
  <w:style w:type="paragraph" w:styleId="Header">
    <w:name w:val="header"/>
    <w:basedOn w:val="Normal"/>
    <w:link w:val="HeaderChar"/>
    <w:uiPriority w:val="99"/>
    <w:rsid w:val="002314F7"/>
    <w:pPr>
      <w:tabs>
        <w:tab w:val="center" w:pos="4703"/>
        <w:tab w:val="right" w:pos="9406"/>
      </w:tabs>
      <w:jc w:val="both"/>
    </w:pPr>
    <w:rPr>
      <w:rFonts w:eastAsia="Times New Roman"/>
    </w:rPr>
  </w:style>
  <w:style w:type="character" w:customStyle="1" w:styleId="HeaderChar">
    <w:name w:val="Header Char"/>
    <w:basedOn w:val="DefaultParagraphFont"/>
    <w:link w:val="Header"/>
    <w:uiPriority w:val="99"/>
    <w:rsid w:val="002314F7"/>
    <w:rPr>
      <w:rFonts w:eastAsia="Times New Roman"/>
    </w:rPr>
  </w:style>
  <w:style w:type="paragraph" w:customStyle="1" w:styleId="t-10-9-kurz-s">
    <w:name w:val="t-10-9-kurz-s"/>
    <w:basedOn w:val="Normal"/>
    <w:rsid w:val="00857D5E"/>
    <w:pPr>
      <w:spacing w:before="100" w:beforeAutospacing="1" w:after="100" w:afterAutospacing="1"/>
      <w:jc w:val="center"/>
    </w:pPr>
    <w:rPr>
      <w:rFonts w:eastAsia="Times New Roman"/>
      <w:i/>
      <w:iCs/>
      <w:sz w:val="26"/>
      <w:szCs w:val="26"/>
      <w:lang w:eastAsia="hr-HR"/>
    </w:rPr>
  </w:style>
  <w:style w:type="paragraph" w:styleId="FootnoteText">
    <w:name w:val="footnote text"/>
    <w:basedOn w:val="Normal"/>
    <w:link w:val="FootnoteTextChar"/>
    <w:uiPriority w:val="99"/>
    <w:rsid w:val="00857D5E"/>
    <w:pPr>
      <w:jc w:val="both"/>
    </w:pPr>
    <w:rPr>
      <w:rFonts w:ascii="Arial" w:eastAsia="Times New Roman" w:hAnsi="Arial" w:cs="Arial"/>
      <w:b/>
      <w:bCs/>
      <w:kern w:val="32"/>
      <w:sz w:val="20"/>
      <w:szCs w:val="20"/>
    </w:rPr>
  </w:style>
  <w:style w:type="character" w:customStyle="1" w:styleId="FootnoteTextChar">
    <w:name w:val="Footnote Text Char"/>
    <w:basedOn w:val="DefaultParagraphFont"/>
    <w:link w:val="FootnoteText"/>
    <w:uiPriority w:val="99"/>
    <w:rsid w:val="00857D5E"/>
    <w:rPr>
      <w:rFonts w:ascii="Arial" w:eastAsia="Times New Roman" w:hAnsi="Arial" w:cs="Arial"/>
      <w:b/>
      <w:bCs/>
      <w:kern w:val="32"/>
      <w:sz w:val="20"/>
      <w:szCs w:val="20"/>
    </w:rPr>
  </w:style>
  <w:style w:type="character" w:styleId="FootnoteReference">
    <w:name w:val="footnote reference"/>
    <w:uiPriority w:val="99"/>
    <w:semiHidden/>
    <w:rsid w:val="00857D5E"/>
    <w:rPr>
      <w:vertAlign w:val="superscript"/>
    </w:rPr>
  </w:style>
  <w:style w:type="paragraph" w:customStyle="1" w:styleId="t-9-8">
    <w:name w:val="t-9-8"/>
    <w:basedOn w:val="Normal"/>
    <w:rsid w:val="00857D5E"/>
    <w:pPr>
      <w:spacing w:before="100" w:beforeAutospacing="1" w:after="100" w:afterAutospacing="1"/>
      <w:jc w:val="both"/>
    </w:pPr>
    <w:rPr>
      <w:rFonts w:eastAsia="Times New Roman"/>
      <w:lang w:val="en-US"/>
    </w:rPr>
  </w:style>
  <w:style w:type="character" w:customStyle="1" w:styleId="kurziv">
    <w:name w:val="kurziv"/>
    <w:basedOn w:val="DefaultParagraphFont"/>
    <w:rsid w:val="00857D5E"/>
    <w:rPr>
      <w:rFonts w:cs="Times New Roman"/>
    </w:rPr>
  </w:style>
  <w:style w:type="paragraph" w:styleId="BodyText3">
    <w:name w:val="Body Text 3"/>
    <w:basedOn w:val="Normal"/>
    <w:link w:val="BodyText3Char"/>
    <w:rsid w:val="00CC2841"/>
    <w:pPr>
      <w:spacing w:after="120"/>
      <w:jc w:val="both"/>
    </w:pPr>
    <w:rPr>
      <w:rFonts w:eastAsia="Times New Roman"/>
      <w:sz w:val="16"/>
      <w:szCs w:val="16"/>
    </w:rPr>
  </w:style>
  <w:style w:type="character" w:customStyle="1" w:styleId="BodyText3Char">
    <w:name w:val="Body Text 3 Char"/>
    <w:basedOn w:val="DefaultParagraphFont"/>
    <w:link w:val="BodyText3"/>
    <w:rsid w:val="00CC2841"/>
    <w:rPr>
      <w:rFonts w:eastAsia="Times New Roman"/>
      <w:sz w:val="16"/>
      <w:szCs w:val="16"/>
    </w:rPr>
  </w:style>
  <w:style w:type="paragraph" w:customStyle="1" w:styleId="Default">
    <w:name w:val="Default"/>
    <w:basedOn w:val="Normal"/>
    <w:rsid w:val="00CC2841"/>
    <w:pPr>
      <w:autoSpaceDE w:val="0"/>
      <w:autoSpaceDN w:val="0"/>
      <w:jc w:val="both"/>
    </w:pPr>
    <w:rPr>
      <w:rFonts w:eastAsia="Times New Roman"/>
      <w:color w:val="000000"/>
      <w:lang w:val="en-US"/>
    </w:rPr>
  </w:style>
  <w:style w:type="paragraph" w:styleId="Title">
    <w:name w:val="Title"/>
    <w:basedOn w:val="Normal"/>
    <w:next w:val="Normal"/>
    <w:link w:val="TitleChar"/>
    <w:qFormat/>
    <w:rsid w:val="00CC2841"/>
    <w:pPr>
      <w:pBdr>
        <w:bottom w:val="single" w:sz="8" w:space="4" w:color="5B9BD5"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C2841"/>
    <w:rPr>
      <w:rFonts w:asciiTheme="majorHAnsi" w:eastAsiaTheme="majorEastAsia" w:hAnsiTheme="majorHAnsi" w:cstheme="majorBidi"/>
      <w:color w:val="323E4F" w:themeColor="text2" w:themeShade="BF"/>
      <w:spacing w:val="5"/>
      <w:kern w:val="28"/>
      <w:sz w:val="52"/>
      <w:szCs w:val="52"/>
    </w:rPr>
  </w:style>
  <w:style w:type="paragraph" w:customStyle="1" w:styleId="T-98-2">
    <w:name w:val="T-9/8-2"/>
    <w:rsid w:val="00BC66CE"/>
    <w:pPr>
      <w:widowControl w:val="0"/>
      <w:tabs>
        <w:tab w:val="left" w:pos="2153"/>
      </w:tabs>
      <w:adjustRightInd w:val="0"/>
      <w:spacing w:after="43"/>
      <w:ind w:firstLine="342"/>
      <w:jc w:val="both"/>
    </w:pPr>
    <w:rPr>
      <w:rFonts w:ascii="Times-NewRoman" w:eastAsia="Times New Roman" w:hAnsi="Times-NewRoman"/>
      <w:sz w:val="19"/>
      <w:szCs w:val="19"/>
      <w:lang w:val="en-US"/>
    </w:rPr>
  </w:style>
  <w:style w:type="paragraph" w:customStyle="1" w:styleId="T-109sred">
    <w:name w:val="T-10/9 sred"/>
    <w:rsid w:val="00BC66CE"/>
    <w:pPr>
      <w:widowControl w:val="0"/>
      <w:autoSpaceDE w:val="0"/>
      <w:autoSpaceDN w:val="0"/>
      <w:adjustRightInd w:val="0"/>
      <w:spacing w:before="85" w:after="43"/>
      <w:jc w:val="center"/>
    </w:pPr>
    <w:rPr>
      <w:rFonts w:ascii="Times-NewRoman" w:eastAsia="Times New Roman" w:hAnsi="Times-NewRoman"/>
      <w:sz w:val="21"/>
      <w:szCs w:val="21"/>
      <w:lang w:val="en-GB"/>
    </w:rPr>
  </w:style>
  <w:style w:type="character" w:styleId="Strong">
    <w:name w:val="Strong"/>
    <w:uiPriority w:val="22"/>
    <w:qFormat/>
    <w:rsid w:val="00995EF4"/>
    <w:rPr>
      <w:b/>
      <w:bCs/>
    </w:rPr>
  </w:style>
  <w:style w:type="paragraph" w:customStyle="1" w:styleId="T-129sred">
    <w:name w:val="T-12/9 sred"/>
    <w:rsid w:val="00995EF4"/>
    <w:pPr>
      <w:widowControl w:val="0"/>
      <w:autoSpaceDE w:val="0"/>
      <w:autoSpaceDN w:val="0"/>
      <w:adjustRightInd w:val="0"/>
      <w:spacing w:before="128" w:after="43"/>
      <w:jc w:val="center"/>
    </w:pPr>
    <w:rPr>
      <w:rFonts w:ascii="Times-NewRoman" w:eastAsia="Times New Roman" w:hAnsi="Times-NewRoman"/>
      <w:sz w:val="25"/>
      <w:szCs w:val="25"/>
      <w:lang w:val="en-US"/>
    </w:rPr>
  </w:style>
  <w:style w:type="paragraph" w:styleId="BalloonText">
    <w:name w:val="Balloon Text"/>
    <w:basedOn w:val="Normal"/>
    <w:link w:val="BalloonTextChar"/>
    <w:uiPriority w:val="99"/>
    <w:semiHidden/>
    <w:unhideWhenUsed/>
    <w:rsid w:val="00EF0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3E"/>
    <w:rPr>
      <w:rFonts w:ascii="Segoe UI" w:hAnsi="Segoe UI" w:cs="Segoe UI"/>
      <w:sz w:val="18"/>
      <w:szCs w:val="18"/>
    </w:rPr>
  </w:style>
  <w:style w:type="table" w:styleId="TableGrid">
    <w:name w:val="Table Grid"/>
    <w:basedOn w:val="TableNormal"/>
    <w:uiPriority w:val="39"/>
    <w:rsid w:val="00B2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20BC"/>
    <w:rPr>
      <w:color w:val="954F72" w:themeColor="followedHyperlink"/>
      <w:u w:val="single"/>
    </w:rPr>
  </w:style>
  <w:style w:type="paragraph" w:customStyle="1" w:styleId="CM4">
    <w:name w:val="CM4"/>
    <w:basedOn w:val="Normal"/>
    <w:next w:val="Normal"/>
    <w:uiPriority w:val="99"/>
    <w:rsid w:val="008A1BD1"/>
    <w:pPr>
      <w:autoSpaceDE w:val="0"/>
      <w:autoSpaceDN w:val="0"/>
      <w:adjustRightInd w:val="0"/>
    </w:pPr>
    <w:rPr>
      <w:rFonts w:ascii="EUAlbertina" w:eastAsia="Times New Roman" w:hAnsi="EUAlbertina"/>
      <w:lang w:eastAsia="hr-HR"/>
    </w:rPr>
  </w:style>
  <w:style w:type="character" w:styleId="CommentReference">
    <w:name w:val="annotation reference"/>
    <w:basedOn w:val="DefaultParagraphFont"/>
    <w:uiPriority w:val="99"/>
    <w:semiHidden/>
    <w:unhideWhenUsed/>
    <w:rsid w:val="003B05B3"/>
    <w:rPr>
      <w:sz w:val="16"/>
      <w:szCs w:val="16"/>
    </w:rPr>
  </w:style>
  <w:style w:type="paragraph" w:styleId="CommentText">
    <w:name w:val="annotation text"/>
    <w:basedOn w:val="Normal"/>
    <w:link w:val="CommentTextChar"/>
    <w:uiPriority w:val="99"/>
    <w:semiHidden/>
    <w:unhideWhenUsed/>
    <w:rsid w:val="003B05B3"/>
    <w:rPr>
      <w:sz w:val="20"/>
      <w:szCs w:val="20"/>
    </w:rPr>
  </w:style>
  <w:style w:type="character" w:customStyle="1" w:styleId="CommentTextChar">
    <w:name w:val="Comment Text Char"/>
    <w:basedOn w:val="DefaultParagraphFont"/>
    <w:link w:val="CommentText"/>
    <w:uiPriority w:val="99"/>
    <w:semiHidden/>
    <w:rsid w:val="003B05B3"/>
    <w:rPr>
      <w:sz w:val="20"/>
      <w:szCs w:val="20"/>
    </w:rPr>
  </w:style>
  <w:style w:type="paragraph" w:styleId="CommentSubject">
    <w:name w:val="annotation subject"/>
    <w:basedOn w:val="CommentText"/>
    <w:next w:val="CommentText"/>
    <w:link w:val="CommentSubjectChar"/>
    <w:uiPriority w:val="99"/>
    <w:semiHidden/>
    <w:unhideWhenUsed/>
    <w:rsid w:val="003B05B3"/>
    <w:rPr>
      <w:b/>
      <w:bCs/>
    </w:rPr>
  </w:style>
  <w:style w:type="character" w:customStyle="1" w:styleId="CommentSubjectChar">
    <w:name w:val="Comment Subject Char"/>
    <w:basedOn w:val="CommentTextChar"/>
    <w:link w:val="CommentSubject"/>
    <w:uiPriority w:val="99"/>
    <w:semiHidden/>
    <w:rsid w:val="003B05B3"/>
    <w:rPr>
      <w:b/>
      <w:bCs/>
      <w:sz w:val="20"/>
      <w:szCs w:val="20"/>
    </w:rPr>
  </w:style>
  <w:style w:type="paragraph" w:styleId="Revision">
    <w:name w:val="Revision"/>
    <w:hidden/>
    <w:uiPriority w:val="99"/>
    <w:semiHidden/>
    <w:rsid w:val="007765BA"/>
  </w:style>
  <w:style w:type="character" w:customStyle="1" w:styleId="wtoffscreen">
    <w:name w:val="wtoffscreen"/>
    <w:basedOn w:val="DefaultParagraphFont"/>
    <w:rsid w:val="00F9186A"/>
  </w:style>
  <w:style w:type="character" w:customStyle="1" w:styleId="allowtextselection">
    <w:name w:val="allowtextselection"/>
    <w:basedOn w:val="DefaultParagraphFont"/>
    <w:rsid w:val="007D59C5"/>
  </w:style>
  <w:style w:type="character" w:customStyle="1" w:styleId="pel">
    <w:name w:val="_pe_l"/>
    <w:basedOn w:val="DefaultParagraphFont"/>
    <w:rsid w:val="007D59C5"/>
  </w:style>
  <w:style w:type="character" w:customStyle="1" w:styleId="dbq">
    <w:name w:val="_db_q"/>
    <w:basedOn w:val="DefaultParagraphFont"/>
    <w:rsid w:val="007D59C5"/>
  </w:style>
  <w:style w:type="character" w:customStyle="1" w:styleId="summary-info-middle">
    <w:name w:val="summary-info-middle"/>
    <w:basedOn w:val="DefaultParagraphFont"/>
    <w:rsid w:val="00DE1E32"/>
  </w:style>
  <w:style w:type="paragraph" w:customStyle="1" w:styleId="NumPar2">
    <w:name w:val="NumPar 2"/>
    <w:basedOn w:val="Normal"/>
    <w:next w:val="Normal"/>
    <w:rsid w:val="008165ED"/>
    <w:pPr>
      <w:tabs>
        <w:tab w:val="num" w:pos="360"/>
      </w:tabs>
      <w:spacing w:before="120" w:after="120"/>
      <w:ind w:left="360" w:hanging="360"/>
      <w:jc w:val="both"/>
    </w:pPr>
    <w:rPr>
      <w:rFonts w:eastAsia="Times New Roman"/>
      <w:lang w:val="en-GB" w:eastAsia="en-GB"/>
    </w:rPr>
  </w:style>
  <w:style w:type="paragraph" w:styleId="NormalWeb">
    <w:name w:val="Normal (Web)"/>
    <w:basedOn w:val="Normal"/>
    <w:uiPriority w:val="99"/>
    <w:semiHidden/>
    <w:unhideWhenUsed/>
    <w:rsid w:val="0023464C"/>
    <w:pPr>
      <w:spacing w:before="100" w:beforeAutospacing="1" w:after="100" w:afterAutospacing="1"/>
    </w:pPr>
    <w:rPr>
      <w:rFonts w:eastAsia="Times New Roman"/>
      <w:lang w:eastAsia="hr-HR"/>
    </w:rPr>
  </w:style>
  <w:style w:type="character" w:customStyle="1" w:styleId="oj-italic">
    <w:name w:val="oj-italic"/>
    <w:basedOn w:val="DefaultParagraphFont"/>
    <w:rsid w:val="005709D2"/>
  </w:style>
  <w:style w:type="paragraph" w:customStyle="1" w:styleId="oj-ti-sect-2">
    <w:name w:val="oj-ti-sect-2"/>
    <w:basedOn w:val="Normal"/>
    <w:rsid w:val="00784EA1"/>
    <w:pPr>
      <w:spacing w:before="100" w:beforeAutospacing="1" w:after="100" w:afterAutospacing="1"/>
    </w:pPr>
    <w:rPr>
      <w:rFonts w:eastAsia="Times New Roman"/>
      <w:szCs w:val="24"/>
      <w:lang w:eastAsia="hr-HR"/>
    </w:rPr>
  </w:style>
  <w:style w:type="paragraph" w:customStyle="1" w:styleId="oj-normal">
    <w:name w:val="oj-normal"/>
    <w:basedOn w:val="Normal"/>
    <w:rsid w:val="00784EA1"/>
    <w:pPr>
      <w:spacing w:before="100" w:beforeAutospacing="1" w:after="100" w:afterAutospacing="1"/>
    </w:pPr>
    <w:rPr>
      <w:rFonts w:eastAsia="Times New Roman"/>
      <w:szCs w:val="24"/>
      <w:lang w:eastAsia="hr-HR"/>
    </w:rPr>
  </w:style>
  <w:style w:type="paragraph" w:customStyle="1" w:styleId="oj-ti-doc-dur-star">
    <w:name w:val="oj-ti-doc-dur-star"/>
    <w:basedOn w:val="Normal"/>
    <w:rsid w:val="00784EA1"/>
    <w:pPr>
      <w:spacing w:before="100" w:beforeAutospacing="1" w:after="100" w:afterAutospacing="1"/>
    </w:pPr>
    <w:rPr>
      <w:rFonts w:eastAsia="Times New Roman"/>
      <w:szCs w:val="24"/>
      <w:lang w:eastAsia="hr-HR"/>
    </w:rPr>
  </w:style>
  <w:style w:type="paragraph" w:customStyle="1" w:styleId="oj-ti-doc-dur">
    <w:name w:val="oj-ti-doc-dur"/>
    <w:basedOn w:val="Normal"/>
    <w:rsid w:val="00784EA1"/>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462">
      <w:bodyDiv w:val="1"/>
      <w:marLeft w:val="0"/>
      <w:marRight w:val="0"/>
      <w:marTop w:val="0"/>
      <w:marBottom w:val="0"/>
      <w:divBdr>
        <w:top w:val="none" w:sz="0" w:space="0" w:color="auto"/>
        <w:left w:val="none" w:sz="0" w:space="0" w:color="auto"/>
        <w:bottom w:val="none" w:sz="0" w:space="0" w:color="auto"/>
        <w:right w:val="none" w:sz="0" w:space="0" w:color="auto"/>
      </w:divBdr>
    </w:div>
    <w:div w:id="4985103">
      <w:bodyDiv w:val="1"/>
      <w:marLeft w:val="0"/>
      <w:marRight w:val="0"/>
      <w:marTop w:val="0"/>
      <w:marBottom w:val="0"/>
      <w:divBdr>
        <w:top w:val="none" w:sz="0" w:space="0" w:color="auto"/>
        <w:left w:val="none" w:sz="0" w:space="0" w:color="auto"/>
        <w:bottom w:val="none" w:sz="0" w:space="0" w:color="auto"/>
        <w:right w:val="none" w:sz="0" w:space="0" w:color="auto"/>
      </w:divBdr>
    </w:div>
    <w:div w:id="8918368">
      <w:bodyDiv w:val="1"/>
      <w:marLeft w:val="0"/>
      <w:marRight w:val="0"/>
      <w:marTop w:val="0"/>
      <w:marBottom w:val="0"/>
      <w:divBdr>
        <w:top w:val="none" w:sz="0" w:space="0" w:color="auto"/>
        <w:left w:val="none" w:sz="0" w:space="0" w:color="auto"/>
        <w:bottom w:val="none" w:sz="0" w:space="0" w:color="auto"/>
        <w:right w:val="none" w:sz="0" w:space="0" w:color="auto"/>
      </w:divBdr>
    </w:div>
    <w:div w:id="9455853">
      <w:bodyDiv w:val="1"/>
      <w:marLeft w:val="0"/>
      <w:marRight w:val="0"/>
      <w:marTop w:val="0"/>
      <w:marBottom w:val="0"/>
      <w:divBdr>
        <w:top w:val="none" w:sz="0" w:space="0" w:color="auto"/>
        <w:left w:val="none" w:sz="0" w:space="0" w:color="auto"/>
        <w:bottom w:val="none" w:sz="0" w:space="0" w:color="auto"/>
        <w:right w:val="none" w:sz="0" w:space="0" w:color="auto"/>
      </w:divBdr>
    </w:div>
    <w:div w:id="15664260">
      <w:bodyDiv w:val="1"/>
      <w:marLeft w:val="0"/>
      <w:marRight w:val="0"/>
      <w:marTop w:val="0"/>
      <w:marBottom w:val="0"/>
      <w:divBdr>
        <w:top w:val="none" w:sz="0" w:space="0" w:color="auto"/>
        <w:left w:val="none" w:sz="0" w:space="0" w:color="auto"/>
        <w:bottom w:val="none" w:sz="0" w:space="0" w:color="auto"/>
        <w:right w:val="none" w:sz="0" w:space="0" w:color="auto"/>
      </w:divBdr>
    </w:div>
    <w:div w:id="17005644">
      <w:bodyDiv w:val="1"/>
      <w:marLeft w:val="0"/>
      <w:marRight w:val="0"/>
      <w:marTop w:val="0"/>
      <w:marBottom w:val="0"/>
      <w:divBdr>
        <w:top w:val="none" w:sz="0" w:space="0" w:color="auto"/>
        <w:left w:val="none" w:sz="0" w:space="0" w:color="auto"/>
        <w:bottom w:val="none" w:sz="0" w:space="0" w:color="auto"/>
        <w:right w:val="none" w:sz="0" w:space="0" w:color="auto"/>
      </w:divBdr>
    </w:div>
    <w:div w:id="17121494">
      <w:bodyDiv w:val="1"/>
      <w:marLeft w:val="0"/>
      <w:marRight w:val="0"/>
      <w:marTop w:val="0"/>
      <w:marBottom w:val="0"/>
      <w:divBdr>
        <w:top w:val="none" w:sz="0" w:space="0" w:color="auto"/>
        <w:left w:val="none" w:sz="0" w:space="0" w:color="auto"/>
        <w:bottom w:val="none" w:sz="0" w:space="0" w:color="auto"/>
        <w:right w:val="none" w:sz="0" w:space="0" w:color="auto"/>
      </w:divBdr>
    </w:div>
    <w:div w:id="19362249">
      <w:bodyDiv w:val="1"/>
      <w:marLeft w:val="0"/>
      <w:marRight w:val="0"/>
      <w:marTop w:val="0"/>
      <w:marBottom w:val="0"/>
      <w:divBdr>
        <w:top w:val="none" w:sz="0" w:space="0" w:color="auto"/>
        <w:left w:val="none" w:sz="0" w:space="0" w:color="auto"/>
        <w:bottom w:val="none" w:sz="0" w:space="0" w:color="auto"/>
        <w:right w:val="none" w:sz="0" w:space="0" w:color="auto"/>
      </w:divBdr>
    </w:div>
    <w:div w:id="20324388">
      <w:bodyDiv w:val="1"/>
      <w:marLeft w:val="0"/>
      <w:marRight w:val="0"/>
      <w:marTop w:val="0"/>
      <w:marBottom w:val="0"/>
      <w:divBdr>
        <w:top w:val="none" w:sz="0" w:space="0" w:color="auto"/>
        <w:left w:val="none" w:sz="0" w:space="0" w:color="auto"/>
        <w:bottom w:val="none" w:sz="0" w:space="0" w:color="auto"/>
        <w:right w:val="none" w:sz="0" w:space="0" w:color="auto"/>
      </w:divBdr>
    </w:div>
    <w:div w:id="21983300">
      <w:bodyDiv w:val="1"/>
      <w:marLeft w:val="0"/>
      <w:marRight w:val="0"/>
      <w:marTop w:val="0"/>
      <w:marBottom w:val="0"/>
      <w:divBdr>
        <w:top w:val="none" w:sz="0" w:space="0" w:color="auto"/>
        <w:left w:val="none" w:sz="0" w:space="0" w:color="auto"/>
        <w:bottom w:val="none" w:sz="0" w:space="0" w:color="auto"/>
        <w:right w:val="none" w:sz="0" w:space="0" w:color="auto"/>
      </w:divBdr>
    </w:div>
    <w:div w:id="24405716">
      <w:bodyDiv w:val="1"/>
      <w:marLeft w:val="0"/>
      <w:marRight w:val="0"/>
      <w:marTop w:val="0"/>
      <w:marBottom w:val="0"/>
      <w:divBdr>
        <w:top w:val="none" w:sz="0" w:space="0" w:color="auto"/>
        <w:left w:val="none" w:sz="0" w:space="0" w:color="auto"/>
        <w:bottom w:val="none" w:sz="0" w:space="0" w:color="auto"/>
        <w:right w:val="none" w:sz="0" w:space="0" w:color="auto"/>
      </w:divBdr>
    </w:div>
    <w:div w:id="27730555">
      <w:bodyDiv w:val="1"/>
      <w:marLeft w:val="0"/>
      <w:marRight w:val="0"/>
      <w:marTop w:val="0"/>
      <w:marBottom w:val="0"/>
      <w:divBdr>
        <w:top w:val="none" w:sz="0" w:space="0" w:color="auto"/>
        <w:left w:val="none" w:sz="0" w:space="0" w:color="auto"/>
        <w:bottom w:val="none" w:sz="0" w:space="0" w:color="auto"/>
        <w:right w:val="none" w:sz="0" w:space="0" w:color="auto"/>
      </w:divBdr>
    </w:div>
    <w:div w:id="28454890">
      <w:bodyDiv w:val="1"/>
      <w:marLeft w:val="0"/>
      <w:marRight w:val="0"/>
      <w:marTop w:val="0"/>
      <w:marBottom w:val="0"/>
      <w:divBdr>
        <w:top w:val="none" w:sz="0" w:space="0" w:color="auto"/>
        <w:left w:val="none" w:sz="0" w:space="0" w:color="auto"/>
        <w:bottom w:val="none" w:sz="0" w:space="0" w:color="auto"/>
        <w:right w:val="none" w:sz="0" w:space="0" w:color="auto"/>
      </w:divBdr>
    </w:div>
    <w:div w:id="29500412">
      <w:bodyDiv w:val="1"/>
      <w:marLeft w:val="0"/>
      <w:marRight w:val="0"/>
      <w:marTop w:val="0"/>
      <w:marBottom w:val="0"/>
      <w:divBdr>
        <w:top w:val="none" w:sz="0" w:space="0" w:color="auto"/>
        <w:left w:val="none" w:sz="0" w:space="0" w:color="auto"/>
        <w:bottom w:val="none" w:sz="0" w:space="0" w:color="auto"/>
        <w:right w:val="none" w:sz="0" w:space="0" w:color="auto"/>
      </w:divBdr>
    </w:div>
    <w:div w:id="30152678">
      <w:bodyDiv w:val="1"/>
      <w:marLeft w:val="0"/>
      <w:marRight w:val="0"/>
      <w:marTop w:val="0"/>
      <w:marBottom w:val="0"/>
      <w:divBdr>
        <w:top w:val="none" w:sz="0" w:space="0" w:color="auto"/>
        <w:left w:val="none" w:sz="0" w:space="0" w:color="auto"/>
        <w:bottom w:val="none" w:sz="0" w:space="0" w:color="auto"/>
        <w:right w:val="none" w:sz="0" w:space="0" w:color="auto"/>
      </w:divBdr>
    </w:div>
    <w:div w:id="33386249">
      <w:bodyDiv w:val="1"/>
      <w:marLeft w:val="0"/>
      <w:marRight w:val="0"/>
      <w:marTop w:val="0"/>
      <w:marBottom w:val="0"/>
      <w:divBdr>
        <w:top w:val="none" w:sz="0" w:space="0" w:color="auto"/>
        <w:left w:val="none" w:sz="0" w:space="0" w:color="auto"/>
        <w:bottom w:val="none" w:sz="0" w:space="0" w:color="auto"/>
        <w:right w:val="none" w:sz="0" w:space="0" w:color="auto"/>
      </w:divBdr>
    </w:div>
    <w:div w:id="34669075">
      <w:bodyDiv w:val="1"/>
      <w:marLeft w:val="0"/>
      <w:marRight w:val="0"/>
      <w:marTop w:val="0"/>
      <w:marBottom w:val="0"/>
      <w:divBdr>
        <w:top w:val="none" w:sz="0" w:space="0" w:color="auto"/>
        <w:left w:val="none" w:sz="0" w:space="0" w:color="auto"/>
        <w:bottom w:val="none" w:sz="0" w:space="0" w:color="auto"/>
        <w:right w:val="none" w:sz="0" w:space="0" w:color="auto"/>
      </w:divBdr>
    </w:div>
    <w:div w:id="34893159">
      <w:bodyDiv w:val="1"/>
      <w:marLeft w:val="0"/>
      <w:marRight w:val="0"/>
      <w:marTop w:val="0"/>
      <w:marBottom w:val="0"/>
      <w:divBdr>
        <w:top w:val="none" w:sz="0" w:space="0" w:color="auto"/>
        <w:left w:val="none" w:sz="0" w:space="0" w:color="auto"/>
        <w:bottom w:val="none" w:sz="0" w:space="0" w:color="auto"/>
        <w:right w:val="none" w:sz="0" w:space="0" w:color="auto"/>
      </w:divBdr>
    </w:div>
    <w:div w:id="35014295">
      <w:bodyDiv w:val="1"/>
      <w:marLeft w:val="0"/>
      <w:marRight w:val="0"/>
      <w:marTop w:val="0"/>
      <w:marBottom w:val="0"/>
      <w:divBdr>
        <w:top w:val="none" w:sz="0" w:space="0" w:color="auto"/>
        <w:left w:val="none" w:sz="0" w:space="0" w:color="auto"/>
        <w:bottom w:val="none" w:sz="0" w:space="0" w:color="auto"/>
        <w:right w:val="none" w:sz="0" w:space="0" w:color="auto"/>
      </w:divBdr>
    </w:div>
    <w:div w:id="36896893">
      <w:bodyDiv w:val="1"/>
      <w:marLeft w:val="0"/>
      <w:marRight w:val="0"/>
      <w:marTop w:val="0"/>
      <w:marBottom w:val="0"/>
      <w:divBdr>
        <w:top w:val="none" w:sz="0" w:space="0" w:color="auto"/>
        <w:left w:val="none" w:sz="0" w:space="0" w:color="auto"/>
        <w:bottom w:val="none" w:sz="0" w:space="0" w:color="auto"/>
        <w:right w:val="none" w:sz="0" w:space="0" w:color="auto"/>
      </w:divBdr>
    </w:div>
    <w:div w:id="38019903">
      <w:bodyDiv w:val="1"/>
      <w:marLeft w:val="0"/>
      <w:marRight w:val="0"/>
      <w:marTop w:val="0"/>
      <w:marBottom w:val="0"/>
      <w:divBdr>
        <w:top w:val="none" w:sz="0" w:space="0" w:color="auto"/>
        <w:left w:val="none" w:sz="0" w:space="0" w:color="auto"/>
        <w:bottom w:val="none" w:sz="0" w:space="0" w:color="auto"/>
        <w:right w:val="none" w:sz="0" w:space="0" w:color="auto"/>
      </w:divBdr>
    </w:div>
    <w:div w:id="39518657">
      <w:bodyDiv w:val="1"/>
      <w:marLeft w:val="0"/>
      <w:marRight w:val="0"/>
      <w:marTop w:val="0"/>
      <w:marBottom w:val="0"/>
      <w:divBdr>
        <w:top w:val="none" w:sz="0" w:space="0" w:color="auto"/>
        <w:left w:val="none" w:sz="0" w:space="0" w:color="auto"/>
        <w:bottom w:val="none" w:sz="0" w:space="0" w:color="auto"/>
        <w:right w:val="none" w:sz="0" w:space="0" w:color="auto"/>
      </w:divBdr>
    </w:div>
    <w:div w:id="39522351">
      <w:bodyDiv w:val="1"/>
      <w:marLeft w:val="0"/>
      <w:marRight w:val="0"/>
      <w:marTop w:val="0"/>
      <w:marBottom w:val="0"/>
      <w:divBdr>
        <w:top w:val="none" w:sz="0" w:space="0" w:color="auto"/>
        <w:left w:val="none" w:sz="0" w:space="0" w:color="auto"/>
        <w:bottom w:val="none" w:sz="0" w:space="0" w:color="auto"/>
        <w:right w:val="none" w:sz="0" w:space="0" w:color="auto"/>
      </w:divBdr>
    </w:div>
    <w:div w:id="41905197">
      <w:bodyDiv w:val="1"/>
      <w:marLeft w:val="0"/>
      <w:marRight w:val="0"/>
      <w:marTop w:val="0"/>
      <w:marBottom w:val="0"/>
      <w:divBdr>
        <w:top w:val="none" w:sz="0" w:space="0" w:color="auto"/>
        <w:left w:val="none" w:sz="0" w:space="0" w:color="auto"/>
        <w:bottom w:val="none" w:sz="0" w:space="0" w:color="auto"/>
        <w:right w:val="none" w:sz="0" w:space="0" w:color="auto"/>
      </w:divBdr>
    </w:div>
    <w:div w:id="42216181">
      <w:bodyDiv w:val="1"/>
      <w:marLeft w:val="0"/>
      <w:marRight w:val="0"/>
      <w:marTop w:val="0"/>
      <w:marBottom w:val="0"/>
      <w:divBdr>
        <w:top w:val="none" w:sz="0" w:space="0" w:color="auto"/>
        <w:left w:val="none" w:sz="0" w:space="0" w:color="auto"/>
        <w:bottom w:val="none" w:sz="0" w:space="0" w:color="auto"/>
        <w:right w:val="none" w:sz="0" w:space="0" w:color="auto"/>
      </w:divBdr>
    </w:div>
    <w:div w:id="43675049">
      <w:bodyDiv w:val="1"/>
      <w:marLeft w:val="0"/>
      <w:marRight w:val="0"/>
      <w:marTop w:val="0"/>
      <w:marBottom w:val="0"/>
      <w:divBdr>
        <w:top w:val="none" w:sz="0" w:space="0" w:color="auto"/>
        <w:left w:val="none" w:sz="0" w:space="0" w:color="auto"/>
        <w:bottom w:val="none" w:sz="0" w:space="0" w:color="auto"/>
        <w:right w:val="none" w:sz="0" w:space="0" w:color="auto"/>
      </w:divBdr>
    </w:div>
    <w:div w:id="46075329">
      <w:bodyDiv w:val="1"/>
      <w:marLeft w:val="0"/>
      <w:marRight w:val="0"/>
      <w:marTop w:val="0"/>
      <w:marBottom w:val="0"/>
      <w:divBdr>
        <w:top w:val="none" w:sz="0" w:space="0" w:color="auto"/>
        <w:left w:val="none" w:sz="0" w:space="0" w:color="auto"/>
        <w:bottom w:val="none" w:sz="0" w:space="0" w:color="auto"/>
        <w:right w:val="none" w:sz="0" w:space="0" w:color="auto"/>
      </w:divBdr>
    </w:div>
    <w:div w:id="48654247">
      <w:bodyDiv w:val="1"/>
      <w:marLeft w:val="0"/>
      <w:marRight w:val="0"/>
      <w:marTop w:val="0"/>
      <w:marBottom w:val="0"/>
      <w:divBdr>
        <w:top w:val="none" w:sz="0" w:space="0" w:color="auto"/>
        <w:left w:val="none" w:sz="0" w:space="0" w:color="auto"/>
        <w:bottom w:val="none" w:sz="0" w:space="0" w:color="auto"/>
        <w:right w:val="none" w:sz="0" w:space="0" w:color="auto"/>
      </w:divBdr>
    </w:div>
    <w:div w:id="49500750">
      <w:bodyDiv w:val="1"/>
      <w:marLeft w:val="0"/>
      <w:marRight w:val="0"/>
      <w:marTop w:val="0"/>
      <w:marBottom w:val="0"/>
      <w:divBdr>
        <w:top w:val="none" w:sz="0" w:space="0" w:color="auto"/>
        <w:left w:val="none" w:sz="0" w:space="0" w:color="auto"/>
        <w:bottom w:val="none" w:sz="0" w:space="0" w:color="auto"/>
        <w:right w:val="none" w:sz="0" w:space="0" w:color="auto"/>
      </w:divBdr>
    </w:div>
    <w:div w:id="49622998">
      <w:bodyDiv w:val="1"/>
      <w:marLeft w:val="0"/>
      <w:marRight w:val="0"/>
      <w:marTop w:val="0"/>
      <w:marBottom w:val="0"/>
      <w:divBdr>
        <w:top w:val="none" w:sz="0" w:space="0" w:color="auto"/>
        <w:left w:val="none" w:sz="0" w:space="0" w:color="auto"/>
        <w:bottom w:val="none" w:sz="0" w:space="0" w:color="auto"/>
        <w:right w:val="none" w:sz="0" w:space="0" w:color="auto"/>
      </w:divBdr>
    </w:div>
    <w:div w:id="50004234">
      <w:bodyDiv w:val="1"/>
      <w:marLeft w:val="0"/>
      <w:marRight w:val="0"/>
      <w:marTop w:val="0"/>
      <w:marBottom w:val="0"/>
      <w:divBdr>
        <w:top w:val="none" w:sz="0" w:space="0" w:color="auto"/>
        <w:left w:val="none" w:sz="0" w:space="0" w:color="auto"/>
        <w:bottom w:val="none" w:sz="0" w:space="0" w:color="auto"/>
        <w:right w:val="none" w:sz="0" w:space="0" w:color="auto"/>
      </w:divBdr>
    </w:div>
    <w:div w:id="51658880">
      <w:bodyDiv w:val="1"/>
      <w:marLeft w:val="0"/>
      <w:marRight w:val="0"/>
      <w:marTop w:val="0"/>
      <w:marBottom w:val="0"/>
      <w:divBdr>
        <w:top w:val="none" w:sz="0" w:space="0" w:color="auto"/>
        <w:left w:val="none" w:sz="0" w:space="0" w:color="auto"/>
        <w:bottom w:val="none" w:sz="0" w:space="0" w:color="auto"/>
        <w:right w:val="none" w:sz="0" w:space="0" w:color="auto"/>
      </w:divBdr>
    </w:div>
    <w:div w:id="51733794">
      <w:bodyDiv w:val="1"/>
      <w:marLeft w:val="0"/>
      <w:marRight w:val="0"/>
      <w:marTop w:val="0"/>
      <w:marBottom w:val="0"/>
      <w:divBdr>
        <w:top w:val="none" w:sz="0" w:space="0" w:color="auto"/>
        <w:left w:val="none" w:sz="0" w:space="0" w:color="auto"/>
        <w:bottom w:val="none" w:sz="0" w:space="0" w:color="auto"/>
        <w:right w:val="none" w:sz="0" w:space="0" w:color="auto"/>
      </w:divBdr>
    </w:div>
    <w:div w:id="52774612">
      <w:bodyDiv w:val="1"/>
      <w:marLeft w:val="0"/>
      <w:marRight w:val="0"/>
      <w:marTop w:val="0"/>
      <w:marBottom w:val="0"/>
      <w:divBdr>
        <w:top w:val="none" w:sz="0" w:space="0" w:color="auto"/>
        <w:left w:val="none" w:sz="0" w:space="0" w:color="auto"/>
        <w:bottom w:val="none" w:sz="0" w:space="0" w:color="auto"/>
        <w:right w:val="none" w:sz="0" w:space="0" w:color="auto"/>
      </w:divBdr>
    </w:div>
    <w:div w:id="53165760">
      <w:bodyDiv w:val="1"/>
      <w:marLeft w:val="0"/>
      <w:marRight w:val="0"/>
      <w:marTop w:val="0"/>
      <w:marBottom w:val="0"/>
      <w:divBdr>
        <w:top w:val="none" w:sz="0" w:space="0" w:color="auto"/>
        <w:left w:val="none" w:sz="0" w:space="0" w:color="auto"/>
        <w:bottom w:val="none" w:sz="0" w:space="0" w:color="auto"/>
        <w:right w:val="none" w:sz="0" w:space="0" w:color="auto"/>
      </w:divBdr>
    </w:div>
    <w:div w:id="57095887">
      <w:bodyDiv w:val="1"/>
      <w:marLeft w:val="0"/>
      <w:marRight w:val="0"/>
      <w:marTop w:val="0"/>
      <w:marBottom w:val="0"/>
      <w:divBdr>
        <w:top w:val="none" w:sz="0" w:space="0" w:color="auto"/>
        <w:left w:val="none" w:sz="0" w:space="0" w:color="auto"/>
        <w:bottom w:val="none" w:sz="0" w:space="0" w:color="auto"/>
        <w:right w:val="none" w:sz="0" w:space="0" w:color="auto"/>
      </w:divBdr>
    </w:div>
    <w:div w:id="57828829">
      <w:bodyDiv w:val="1"/>
      <w:marLeft w:val="0"/>
      <w:marRight w:val="0"/>
      <w:marTop w:val="0"/>
      <w:marBottom w:val="0"/>
      <w:divBdr>
        <w:top w:val="none" w:sz="0" w:space="0" w:color="auto"/>
        <w:left w:val="none" w:sz="0" w:space="0" w:color="auto"/>
        <w:bottom w:val="none" w:sz="0" w:space="0" w:color="auto"/>
        <w:right w:val="none" w:sz="0" w:space="0" w:color="auto"/>
      </w:divBdr>
    </w:div>
    <w:div w:id="62340626">
      <w:bodyDiv w:val="1"/>
      <w:marLeft w:val="0"/>
      <w:marRight w:val="0"/>
      <w:marTop w:val="0"/>
      <w:marBottom w:val="0"/>
      <w:divBdr>
        <w:top w:val="none" w:sz="0" w:space="0" w:color="auto"/>
        <w:left w:val="none" w:sz="0" w:space="0" w:color="auto"/>
        <w:bottom w:val="none" w:sz="0" w:space="0" w:color="auto"/>
        <w:right w:val="none" w:sz="0" w:space="0" w:color="auto"/>
      </w:divBdr>
    </w:div>
    <w:div w:id="63993675">
      <w:bodyDiv w:val="1"/>
      <w:marLeft w:val="0"/>
      <w:marRight w:val="0"/>
      <w:marTop w:val="0"/>
      <w:marBottom w:val="0"/>
      <w:divBdr>
        <w:top w:val="none" w:sz="0" w:space="0" w:color="auto"/>
        <w:left w:val="none" w:sz="0" w:space="0" w:color="auto"/>
        <w:bottom w:val="none" w:sz="0" w:space="0" w:color="auto"/>
        <w:right w:val="none" w:sz="0" w:space="0" w:color="auto"/>
      </w:divBdr>
    </w:div>
    <w:div w:id="66653443">
      <w:bodyDiv w:val="1"/>
      <w:marLeft w:val="0"/>
      <w:marRight w:val="0"/>
      <w:marTop w:val="0"/>
      <w:marBottom w:val="0"/>
      <w:divBdr>
        <w:top w:val="none" w:sz="0" w:space="0" w:color="auto"/>
        <w:left w:val="none" w:sz="0" w:space="0" w:color="auto"/>
        <w:bottom w:val="none" w:sz="0" w:space="0" w:color="auto"/>
        <w:right w:val="none" w:sz="0" w:space="0" w:color="auto"/>
      </w:divBdr>
    </w:div>
    <w:div w:id="68503400">
      <w:bodyDiv w:val="1"/>
      <w:marLeft w:val="0"/>
      <w:marRight w:val="0"/>
      <w:marTop w:val="0"/>
      <w:marBottom w:val="0"/>
      <w:divBdr>
        <w:top w:val="none" w:sz="0" w:space="0" w:color="auto"/>
        <w:left w:val="none" w:sz="0" w:space="0" w:color="auto"/>
        <w:bottom w:val="none" w:sz="0" w:space="0" w:color="auto"/>
        <w:right w:val="none" w:sz="0" w:space="0" w:color="auto"/>
      </w:divBdr>
    </w:div>
    <w:div w:id="70277919">
      <w:bodyDiv w:val="1"/>
      <w:marLeft w:val="0"/>
      <w:marRight w:val="0"/>
      <w:marTop w:val="0"/>
      <w:marBottom w:val="0"/>
      <w:divBdr>
        <w:top w:val="none" w:sz="0" w:space="0" w:color="auto"/>
        <w:left w:val="none" w:sz="0" w:space="0" w:color="auto"/>
        <w:bottom w:val="none" w:sz="0" w:space="0" w:color="auto"/>
        <w:right w:val="none" w:sz="0" w:space="0" w:color="auto"/>
      </w:divBdr>
    </w:div>
    <w:div w:id="70470149">
      <w:bodyDiv w:val="1"/>
      <w:marLeft w:val="0"/>
      <w:marRight w:val="0"/>
      <w:marTop w:val="0"/>
      <w:marBottom w:val="0"/>
      <w:divBdr>
        <w:top w:val="none" w:sz="0" w:space="0" w:color="auto"/>
        <w:left w:val="none" w:sz="0" w:space="0" w:color="auto"/>
        <w:bottom w:val="none" w:sz="0" w:space="0" w:color="auto"/>
        <w:right w:val="none" w:sz="0" w:space="0" w:color="auto"/>
      </w:divBdr>
    </w:div>
    <w:div w:id="72749899">
      <w:bodyDiv w:val="1"/>
      <w:marLeft w:val="0"/>
      <w:marRight w:val="0"/>
      <w:marTop w:val="0"/>
      <w:marBottom w:val="0"/>
      <w:divBdr>
        <w:top w:val="none" w:sz="0" w:space="0" w:color="auto"/>
        <w:left w:val="none" w:sz="0" w:space="0" w:color="auto"/>
        <w:bottom w:val="none" w:sz="0" w:space="0" w:color="auto"/>
        <w:right w:val="none" w:sz="0" w:space="0" w:color="auto"/>
      </w:divBdr>
    </w:div>
    <w:div w:id="74329728">
      <w:bodyDiv w:val="1"/>
      <w:marLeft w:val="0"/>
      <w:marRight w:val="0"/>
      <w:marTop w:val="0"/>
      <w:marBottom w:val="0"/>
      <w:divBdr>
        <w:top w:val="none" w:sz="0" w:space="0" w:color="auto"/>
        <w:left w:val="none" w:sz="0" w:space="0" w:color="auto"/>
        <w:bottom w:val="none" w:sz="0" w:space="0" w:color="auto"/>
        <w:right w:val="none" w:sz="0" w:space="0" w:color="auto"/>
      </w:divBdr>
    </w:div>
    <w:div w:id="75324347">
      <w:bodyDiv w:val="1"/>
      <w:marLeft w:val="0"/>
      <w:marRight w:val="0"/>
      <w:marTop w:val="0"/>
      <w:marBottom w:val="0"/>
      <w:divBdr>
        <w:top w:val="none" w:sz="0" w:space="0" w:color="auto"/>
        <w:left w:val="none" w:sz="0" w:space="0" w:color="auto"/>
        <w:bottom w:val="none" w:sz="0" w:space="0" w:color="auto"/>
        <w:right w:val="none" w:sz="0" w:space="0" w:color="auto"/>
      </w:divBdr>
    </w:div>
    <w:div w:id="78068702">
      <w:bodyDiv w:val="1"/>
      <w:marLeft w:val="0"/>
      <w:marRight w:val="0"/>
      <w:marTop w:val="0"/>
      <w:marBottom w:val="0"/>
      <w:divBdr>
        <w:top w:val="none" w:sz="0" w:space="0" w:color="auto"/>
        <w:left w:val="none" w:sz="0" w:space="0" w:color="auto"/>
        <w:bottom w:val="none" w:sz="0" w:space="0" w:color="auto"/>
        <w:right w:val="none" w:sz="0" w:space="0" w:color="auto"/>
      </w:divBdr>
    </w:div>
    <w:div w:id="81072375">
      <w:bodyDiv w:val="1"/>
      <w:marLeft w:val="0"/>
      <w:marRight w:val="0"/>
      <w:marTop w:val="0"/>
      <w:marBottom w:val="0"/>
      <w:divBdr>
        <w:top w:val="none" w:sz="0" w:space="0" w:color="auto"/>
        <w:left w:val="none" w:sz="0" w:space="0" w:color="auto"/>
        <w:bottom w:val="none" w:sz="0" w:space="0" w:color="auto"/>
        <w:right w:val="none" w:sz="0" w:space="0" w:color="auto"/>
      </w:divBdr>
    </w:div>
    <w:div w:id="82068105">
      <w:bodyDiv w:val="1"/>
      <w:marLeft w:val="0"/>
      <w:marRight w:val="0"/>
      <w:marTop w:val="0"/>
      <w:marBottom w:val="0"/>
      <w:divBdr>
        <w:top w:val="none" w:sz="0" w:space="0" w:color="auto"/>
        <w:left w:val="none" w:sz="0" w:space="0" w:color="auto"/>
        <w:bottom w:val="none" w:sz="0" w:space="0" w:color="auto"/>
        <w:right w:val="none" w:sz="0" w:space="0" w:color="auto"/>
      </w:divBdr>
    </w:div>
    <w:div w:id="82843345">
      <w:bodyDiv w:val="1"/>
      <w:marLeft w:val="0"/>
      <w:marRight w:val="0"/>
      <w:marTop w:val="0"/>
      <w:marBottom w:val="0"/>
      <w:divBdr>
        <w:top w:val="none" w:sz="0" w:space="0" w:color="auto"/>
        <w:left w:val="none" w:sz="0" w:space="0" w:color="auto"/>
        <w:bottom w:val="none" w:sz="0" w:space="0" w:color="auto"/>
        <w:right w:val="none" w:sz="0" w:space="0" w:color="auto"/>
      </w:divBdr>
    </w:div>
    <w:div w:id="83649971">
      <w:bodyDiv w:val="1"/>
      <w:marLeft w:val="0"/>
      <w:marRight w:val="0"/>
      <w:marTop w:val="0"/>
      <w:marBottom w:val="0"/>
      <w:divBdr>
        <w:top w:val="none" w:sz="0" w:space="0" w:color="auto"/>
        <w:left w:val="none" w:sz="0" w:space="0" w:color="auto"/>
        <w:bottom w:val="none" w:sz="0" w:space="0" w:color="auto"/>
        <w:right w:val="none" w:sz="0" w:space="0" w:color="auto"/>
      </w:divBdr>
    </w:div>
    <w:div w:id="84229078">
      <w:bodyDiv w:val="1"/>
      <w:marLeft w:val="0"/>
      <w:marRight w:val="0"/>
      <w:marTop w:val="0"/>
      <w:marBottom w:val="0"/>
      <w:divBdr>
        <w:top w:val="none" w:sz="0" w:space="0" w:color="auto"/>
        <w:left w:val="none" w:sz="0" w:space="0" w:color="auto"/>
        <w:bottom w:val="none" w:sz="0" w:space="0" w:color="auto"/>
        <w:right w:val="none" w:sz="0" w:space="0" w:color="auto"/>
      </w:divBdr>
    </w:div>
    <w:div w:id="84545744">
      <w:bodyDiv w:val="1"/>
      <w:marLeft w:val="0"/>
      <w:marRight w:val="0"/>
      <w:marTop w:val="0"/>
      <w:marBottom w:val="0"/>
      <w:divBdr>
        <w:top w:val="none" w:sz="0" w:space="0" w:color="auto"/>
        <w:left w:val="none" w:sz="0" w:space="0" w:color="auto"/>
        <w:bottom w:val="none" w:sz="0" w:space="0" w:color="auto"/>
        <w:right w:val="none" w:sz="0" w:space="0" w:color="auto"/>
      </w:divBdr>
    </w:div>
    <w:div w:id="85537720">
      <w:bodyDiv w:val="1"/>
      <w:marLeft w:val="0"/>
      <w:marRight w:val="0"/>
      <w:marTop w:val="0"/>
      <w:marBottom w:val="0"/>
      <w:divBdr>
        <w:top w:val="none" w:sz="0" w:space="0" w:color="auto"/>
        <w:left w:val="none" w:sz="0" w:space="0" w:color="auto"/>
        <w:bottom w:val="none" w:sz="0" w:space="0" w:color="auto"/>
        <w:right w:val="none" w:sz="0" w:space="0" w:color="auto"/>
      </w:divBdr>
    </w:div>
    <w:div w:id="85805657">
      <w:bodyDiv w:val="1"/>
      <w:marLeft w:val="0"/>
      <w:marRight w:val="0"/>
      <w:marTop w:val="0"/>
      <w:marBottom w:val="0"/>
      <w:divBdr>
        <w:top w:val="none" w:sz="0" w:space="0" w:color="auto"/>
        <w:left w:val="none" w:sz="0" w:space="0" w:color="auto"/>
        <w:bottom w:val="none" w:sz="0" w:space="0" w:color="auto"/>
        <w:right w:val="none" w:sz="0" w:space="0" w:color="auto"/>
      </w:divBdr>
    </w:div>
    <w:div w:id="89277435">
      <w:bodyDiv w:val="1"/>
      <w:marLeft w:val="0"/>
      <w:marRight w:val="0"/>
      <w:marTop w:val="0"/>
      <w:marBottom w:val="0"/>
      <w:divBdr>
        <w:top w:val="none" w:sz="0" w:space="0" w:color="auto"/>
        <w:left w:val="none" w:sz="0" w:space="0" w:color="auto"/>
        <w:bottom w:val="none" w:sz="0" w:space="0" w:color="auto"/>
        <w:right w:val="none" w:sz="0" w:space="0" w:color="auto"/>
      </w:divBdr>
    </w:div>
    <w:div w:id="92096212">
      <w:bodyDiv w:val="1"/>
      <w:marLeft w:val="0"/>
      <w:marRight w:val="0"/>
      <w:marTop w:val="0"/>
      <w:marBottom w:val="0"/>
      <w:divBdr>
        <w:top w:val="none" w:sz="0" w:space="0" w:color="auto"/>
        <w:left w:val="none" w:sz="0" w:space="0" w:color="auto"/>
        <w:bottom w:val="none" w:sz="0" w:space="0" w:color="auto"/>
        <w:right w:val="none" w:sz="0" w:space="0" w:color="auto"/>
      </w:divBdr>
    </w:div>
    <w:div w:id="92438318">
      <w:bodyDiv w:val="1"/>
      <w:marLeft w:val="0"/>
      <w:marRight w:val="0"/>
      <w:marTop w:val="0"/>
      <w:marBottom w:val="0"/>
      <w:divBdr>
        <w:top w:val="none" w:sz="0" w:space="0" w:color="auto"/>
        <w:left w:val="none" w:sz="0" w:space="0" w:color="auto"/>
        <w:bottom w:val="none" w:sz="0" w:space="0" w:color="auto"/>
        <w:right w:val="none" w:sz="0" w:space="0" w:color="auto"/>
      </w:divBdr>
    </w:div>
    <w:div w:id="92869639">
      <w:bodyDiv w:val="1"/>
      <w:marLeft w:val="0"/>
      <w:marRight w:val="0"/>
      <w:marTop w:val="0"/>
      <w:marBottom w:val="0"/>
      <w:divBdr>
        <w:top w:val="none" w:sz="0" w:space="0" w:color="auto"/>
        <w:left w:val="none" w:sz="0" w:space="0" w:color="auto"/>
        <w:bottom w:val="none" w:sz="0" w:space="0" w:color="auto"/>
        <w:right w:val="none" w:sz="0" w:space="0" w:color="auto"/>
      </w:divBdr>
    </w:div>
    <w:div w:id="92870855">
      <w:bodyDiv w:val="1"/>
      <w:marLeft w:val="0"/>
      <w:marRight w:val="0"/>
      <w:marTop w:val="0"/>
      <w:marBottom w:val="0"/>
      <w:divBdr>
        <w:top w:val="none" w:sz="0" w:space="0" w:color="auto"/>
        <w:left w:val="none" w:sz="0" w:space="0" w:color="auto"/>
        <w:bottom w:val="none" w:sz="0" w:space="0" w:color="auto"/>
        <w:right w:val="none" w:sz="0" w:space="0" w:color="auto"/>
      </w:divBdr>
    </w:div>
    <w:div w:id="93988162">
      <w:bodyDiv w:val="1"/>
      <w:marLeft w:val="0"/>
      <w:marRight w:val="0"/>
      <w:marTop w:val="0"/>
      <w:marBottom w:val="0"/>
      <w:divBdr>
        <w:top w:val="none" w:sz="0" w:space="0" w:color="auto"/>
        <w:left w:val="none" w:sz="0" w:space="0" w:color="auto"/>
        <w:bottom w:val="none" w:sz="0" w:space="0" w:color="auto"/>
        <w:right w:val="none" w:sz="0" w:space="0" w:color="auto"/>
      </w:divBdr>
    </w:div>
    <w:div w:id="94130371">
      <w:bodyDiv w:val="1"/>
      <w:marLeft w:val="0"/>
      <w:marRight w:val="0"/>
      <w:marTop w:val="0"/>
      <w:marBottom w:val="0"/>
      <w:divBdr>
        <w:top w:val="none" w:sz="0" w:space="0" w:color="auto"/>
        <w:left w:val="none" w:sz="0" w:space="0" w:color="auto"/>
        <w:bottom w:val="none" w:sz="0" w:space="0" w:color="auto"/>
        <w:right w:val="none" w:sz="0" w:space="0" w:color="auto"/>
      </w:divBdr>
    </w:div>
    <w:div w:id="9432952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100541186">
      <w:bodyDiv w:val="1"/>
      <w:marLeft w:val="0"/>
      <w:marRight w:val="0"/>
      <w:marTop w:val="0"/>
      <w:marBottom w:val="0"/>
      <w:divBdr>
        <w:top w:val="none" w:sz="0" w:space="0" w:color="auto"/>
        <w:left w:val="none" w:sz="0" w:space="0" w:color="auto"/>
        <w:bottom w:val="none" w:sz="0" w:space="0" w:color="auto"/>
        <w:right w:val="none" w:sz="0" w:space="0" w:color="auto"/>
      </w:divBdr>
    </w:div>
    <w:div w:id="101806731">
      <w:bodyDiv w:val="1"/>
      <w:marLeft w:val="0"/>
      <w:marRight w:val="0"/>
      <w:marTop w:val="0"/>
      <w:marBottom w:val="0"/>
      <w:divBdr>
        <w:top w:val="none" w:sz="0" w:space="0" w:color="auto"/>
        <w:left w:val="none" w:sz="0" w:space="0" w:color="auto"/>
        <w:bottom w:val="none" w:sz="0" w:space="0" w:color="auto"/>
        <w:right w:val="none" w:sz="0" w:space="0" w:color="auto"/>
      </w:divBdr>
    </w:div>
    <w:div w:id="108009900">
      <w:bodyDiv w:val="1"/>
      <w:marLeft w:val="0"/>
      <w:marRight w:val="0"/>
      <w:marTop w:val="0"/>
      <w:marBottom w:val="0"/>
      <w:divBdr>
        <w:top w:val="none" w:sz="0" w:space="0" w:color="auto"/>
        <w:left w:val="none" w:sz="0" w:space="0" w:color="auto"/>
        <w:bottom w:val="none" w:sz="0" w:space="0" w:color="auto"/>
        <w:right w:val="none" w:sz="0" w:space="0" w:color="auto"/>
      </w:divBdr>
    </w:div>
    <w:div w:id="109394933">
      <w:bodyDiv w:val="1"/>
      <w:marLeft w:val="0"/>
      <w:marRight w:val="0"/>
      <w:marTop w:val="0"/>
      <w:marBottom w:val="0"/>
      <w:divBdr>
        <w:top w:val="none" w:sz="0" w:space="0" w:color="auto"/>
        <w:left w:val="none" w:sz="0" w:space="0" w:color="auto"/>
        <w:bottom w:val="none" w:sz="0" w:space="0" w:color="auto"/>
        <w:right w:val="none" w:sz="0" w:space="0" w:color="auto"/>
      </w:divBdr>
    </w:div>
    <w:div w:id="110519283">
      <w:bodyDiv w:val="1"/>
      <w:marLeft w:val="0"/>
      <w:marRight w:val="0"/>
      <w:marTop w:val="0"/>
      <w:marBottom w:val="0"/>
      <w:divBdr>
        <w:top w:val="none" w:sz="0" w:space="0" w:color="auto"/>
        <w:left w:val="none" w:sz="0" w:space="0" w:color="auto"/>
        <w:bottom w:val="none" w:sz="0" w:space="0" w:color="auto"/>
        <w:right w:val="none" w:sz="0" w:space="0" w:color="auto"/>
      </w:divBdr>
    </w:div>
    <w:div w:id="110784870">
      <w:bodyDiv w:val="1"/>
      <w:marLeft w:val="0"/>
      <w:marRight w:val="0"/>
      <w:marTop w:val="0"/>
      <w:marBottom w:val="0"/>
      <w:divBdr>
        <w:top w:val="none" w:sz="0" w:space="0" w:color="auto"/>
        <w:left w:val="none" w:sz="0" w:space="0" w:color="auto"/>
        <w:bottom w:val="none" w:sz="0" w:space="0" w:color="auto"/>
        <w:right w:val="none" w:sz="0" w:space="0" w:color="auto"/>
      </w:divBdr>
    </w:div>
    <w:div w:id="112797603">
      <w:bodyDiv w:val="1"/>
      <w:marLeft w:val="0"/>
      <w:marRight w:val="0"/>
      <w:marTop w:val="0"/>
      <w:marBottom w:val="0"/>
      <w:divBdr>
        <w:top w:val="none" w:sz="0" w:space="0" w:color="auto"/>
        <w:left w:val="none" w:sz="0" w:space="0" w:color="auto"/>
        <w:bottom w:val="none" w:sz="0" w:space="0" w:color="auto"/>
        <w:right w:val="none" w:sz="0" w:space="0" w:color="auto"/>
      </w:divBdr>
    </w:div>
    <w:div w:id="114981317">
      <w:bodyDiv w:val="1"/>
      <w:marLeft w:val="0"/>
      <w:marRight w:val="0"/>
      <w:marTop w:val="0"/>
      <w:marBottom w:val="0"/>
      <w:divBdr>
        <w:top w:val="none" w:sz="0" w:space="0" w:color="auto"/>
        <w:left w:val="none" w:sz="0" w:space="0" w:color="auto"/>
        <w:bottom w:val="none" w:sz="0" w:space="0" w:color="auto"/>
        <w:right w:val="none" w:sz="0" w:space="0" w:color="auto"/>
      </w:divBdr>
    </w:div>
    <w:div w:id="119307026">
      <w:bodyDiv w:val="1"/>
      <w:marLeft w:val="0"/>
      <w:marRight w:val="0"/>
      <w:marTop w:val="0"/>
      <w:marBottom w:val="0"/>
      <w:divBdr>
        <w:top w:val="none" w:sz="0" w:space="0" w:color="auto"/>
        <w:left w:val="none" w:sz="0" w:space="0" w:color="auto"/>
        <w:bottom w:val="none" w:sz="0" w:space="0" w:color="auto"/>
        <w:right w:val="none" w:sz="0" w:space="0" w:color="auto"/>
      </w:divBdr>
    </w:div>
    <w:div w:id="121653159">
      <w:bodyDiv w:val="1"/>
      <w:marLeft w:val="0"/>
      <w:marRight w:val="0"/>
      <w:marTop w:val="0"/>
      <w:marBottom w:val="0"/>
      <w:divBdr>
        <w:top w:val="none" w:sz="0" w:space="0" w:color="auto"/>
        <w:left w:val="none" w:sz="0" w:space="0" w:color="auto"/>
        <w:bottom w:val="none" w:sz="0" w:space="0" w:color="auto"/>
        <w:right w:val="none" w:sz="0" w:space="0" w:color="auto"/>
      </w:divBdr>
    </w:div>
    <w:div w:id="121775567">
      <w:bodyDiv w:val="1"/>
      <w:marLeft w:val="0"/>
      <w:marRight w:val="0"/>
      <w:marTop w:val="0"/>
      <w:marBottom w:val="0"/>
      <w:divBdr>
        <w:top w:val="none" w:sz="0" w:space="0" w:color="auto"/>
        <w:left w:val="none" w:sz="0" w:space="0" w:color="auto"/>
        <w:bottom w:val="none" w:sz="0" w:space="0" w:color="auto"/>
        <w:right w:val="none" w:sz="0" w:space="0" w:color="auto"/>
      </w:divBdr>
    </w:div>
    <w:div w:id="123890903">
      <w:bodyDiv w:val="1"/>
      <w:marLeft w:val="0"/>
      <w:marRight w:val="0"/>
      <w:marTop w:val="0"/>
      <w:marBottom w:val="0"/>
      <w:divBdr>
        <w:top w:val="none" w:sz="0" w:space="0" w:color="auto"/>
        <w:left w:val="none" w:sz="0" w:space="0" w:color="auto"/>
        <w:bottom w:val="none" w:sz="0" w:space="0" w:color="auto"/>
        <w:right w:val="none" w:sz="0" w:space="0" w:color="auto"/>
      </w:divBdr>
    </w:div>
    <w:div w:id="124009725">
      <w:bodyDiv w:val="1"/>
      <w:marLeft w:val="0"/>
      <w:marRight w:val="0"/>
      <w:marTop w:val="0"/>
      <w:marBottom w:val="0"/>
      <w:divBdr>
        <w:top w:val="none" w:sz="0" w:space="0" w:color="auto"/>
        <w:left w:val="none" w:sz="0" w:space="0" w:color="auto"/>
        <w:bottom w:val="none" w:sz="0" w:space="0" w:color="auto"/>
        <w:right w:val="none" w:sz="0" w:space="0" w:color="auto"/>
      </w:divBdr>
    </w:div>
    <w:div w:id="125205660">
      <w:bodyDiv w:val="1"/>
      <w:marLeft w:val="0"/>
      <w:marRight w:val="0"/>
      <w:marTop w:val="0"/>
      <w:marBottom w:val="0"/>
      <w:divBdr>
        <w:top w:val="none" w:sz="0" w:space="0" w:color="auto"/>
        <w:left w:val="none" w:sz="0" w:space="0" w:color="auto"/>
        <w:bottom w:val="none" w:sz="0" w:space="0" w:color="auto"/>
        <w:right w:val="none" w:sz="0" w:space="0" w:color="auto"/>
      </w:divBdr>
    </w:div>
    <w:div w:id="127666568">
      <w:bodyDiv w:val="1"/>
      <w:marLeft w:val="0"/>
      <w:marRight w:val="0"/>
      <w:marTop w:val="0"/>
      <w:marBottom w:val="0"/>
      <w:divBdr>
        <w:top w:val="none" w:sz="0" w:space="0" w:color="auto"/>
        <w:left w:val="none" w:sz="0" w:space="0" w:color="auto"/>
        <w:bottom w:val="none" w:sz="0" w:space="0" w:color="auto"/>
        <w:right w:val="none" w:sz="0" w:space="0" w:color="auto"/>
      </w:divBdr>
    </w:div>
    <w:div w:id="128980982">
      <w:bodyDiv w:val="1"/>
      <w:marLeft w:val="0"/>
      <w:marRight w:val="0"/>
      <w:marTop w:val="0"/>
      <w:marBottom w:val="0"/>
      <w:divBdr>
        <w:top w:val="none" w:sz="0" w:space="0" w:color="auto"/>
        <w:left w:val="none" w:sz="0" w:space="0" w:color="auto"/>
        <w:bottom w:val="none" w:sz="0" w:space="0" w:color="auto"/>
        <w:right w:val="none" w:sz="0" w:space="0" w:color="auto"/>
      </w:divBdr>
    </w:div>
    <w:div w:id="129321089">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136187361">
      <w:bodyDiv w:val="1"/>
      <w:marLeft w:val="0"/>
      <w:marRight w:val="0"/>
      <w:marTop w:val="0"/>
      <w:marBottom w:val="0"/>
      <w:divBdr>
        <w:top w:val="none" w:sz="0" w:space="0" w:color="auto"/>
        <w:left w:val="none" w:sz="0" w:space="0" w:color="auto"/>
        <w:bottom w:val="none" w:sz="0" w:space="0" w:color="auto"/>
        <w:right w:val="none" w:sz="0" w:space="0" w:color="auto"/>
      </w:divBdr>
    </w:div>
    <w:div w:id="137384307">
      <w:bodyDiv w:val="1"/>
      <w:marLeft w:val="0"/>
      <w:marRight w:val="0"/>
      <w:marTop w:val="0"/>
      <w:marBottom w:val="0"/>
      <w:divBdr>
        <w:top w:val="none" w:sz="0" w:space="0" w:color="auto"/>
        <w:left w:val="none" w:sz="0" w:space="0" w:color="auto"/>
        <w:bottom w:val="none" w:sz="0" w:space="0" w:color="auto"/>
        <w:right w:val="none" w:sz="0" w:space="0" w:color="auto"/>
      </w:divBdr>
    </w:div>
    <w:div w:id="143350355">
      <w:bodyDiv w:val="1"/>
      <w:marLeft w:val="0"/>
      <w:marRight w:val="0"/>
      <w:marTop w:val="0"/>
      <w:marBottom w:val="0"/>
      <w:divBdr>
        <w:top w:val="none" w:sz="0" w:space="0" w:color="auto"/>
        <w:left w:val="none" w:sz="0" w:space="0" w:color="auto"/>
        <w:bottom w:val="none" w:sz="0" w:space="0" w:color="auto"/>
        <w:right w:val="none" w:sz="0" w:space="0" w:color="auto"/>
      </w:divBdr>
    </w:div>
    <w:div w:id="145168843">
      <w:bodyDiv w:val="1"/>
      <w:marLeft w:val="0"/>
      <w:marRight w:val="0"/>
      <w:marTop w:val="0"/>
      <w:marBottom w:val="0"/>
      <w:divBdr>
        <w:top w:val="none" w:sz="0" w:space="0" w:color="auto"/>
        <w:left w:val="none" w:sz="0" w:space="0" w:color="auto"/>
        <w:bottom w:val="none" w:sz="0" w:space="0" w:color="auto"/>
        <w:right w:val="none" w:sz="0" w:space="0" w:color="auto"/>
      </w:divBdr>
    </w:div>
    <w:div w:id="145828217">
      <w:bodyDiv w:val="1"/>
      <w:marLeft w:val="0"/>
      <w:marRight w:val="0"/>
      <w:marTop w:val="0"/>
      <w:marBottom w:val="0"/>
      <w:divBdr>
        <w:top w:val="none" w:sz="0" w:space="0" w:color="auto"/>
        <w:left w:val="none" w:sz="0" w:space="0" w:color="auto"/>
        <w:bottom w:val="none" w:sz="0" w:space="0" w:color="auto"/>
        <w:right w:val="none" w:sz="0" w:space="0" w:color="auto"/>
      </w:divBdr>
    </w:div>
    <w:div w:id="147133785">
      <w:bodyDiv w:val="1"/>
      <w:marLeft w:val="0"/>
      <w:marRight w:val="0"/>
      <w:marTop w:val="0"/>
      <w:marBottom w:val="0"/>
      <w:divBdr>
        <w:top w:val="none" w:sz="0" w:space="0" w:color="auto"/>
        <w:left w:val="none" w:sz="0" w:space="0" w:color="auto"/>
        <w:bottom w:val="none" w:sz="0" w:space="0" w:color="auto"/>
        <w:right w:val="none" w:sz="0" w:space="0" w:color="auto"/>
      </w:divBdr>
    </w:div>
    <w:div w:id="147675760">
      <w:bodyDiv w:val="1"/>
      <w:marLeft w:val="0"/>
      <w:marRight w:val="0"/>
      <w:marTop w:val="0"/>
      <w:marBottom w:val="0"/>
      <w:divBdr>
        <w:top w:val="none" w:sz="0" w:space="0" w:color="auto"/>
        <w:left w:val="none" w:sz="0" w:space="0" w:color="auto"/>
        <w:bottom w:val="none" w:sz="0" w:space="0" w:color="auto"/>
        <w:right w:val="none" w:sz="0" w:space="0" w:color="auto"/>
      </w:divBdr>
    </w:div>
    <w:div w:id="148257404">
      <w:bodyDiv w:val="1"/>
      <w:marLeft w:val="0"/>
      <w:marRight w:val="0"/>
      <w:marTop w:val="0"/>
      <w:marBottom w:val="0"/>
      <w:divBdr>
        <w:top w:val="none" w:sz="0" w:space="0" w:color="auto"/>
        <w:left w:val="none" w:sz="0" w:space="0" w:color="auto"/>
        <w:bottom w:val="none" w:sz="0" w:space="0" w:color="auto"/>
        <w:right w:val="none" w:sz="0" w:space="0" w:color="auto"/>
      </w:divBdr>
    </w:div>
    <w:div w:id="148908546">
      <w:bodyDiv w:val="1"/>
      <w:marLeft w:val="0"/>
      <w:marRight w:val="0"/>
      <w:marTop w:val="0"/>
      <w:marBottom w:val="0"/>
      <w:divBdr>
        <w:top w:val="none" w:sz="0" w:space="0" w:color="auto"/>
        <w:left w:val="none" w:sz="0" w:space="0" w:color="auto"/>
        <w:bottom w:val="none" w:sz="0" w:space="0" w:color="auto"/>
        <w:right w:val="none" w:sz="0" w:space="0" w:color="auto"/>
      </w:divBdr>
    </w:div>
    <w:div w:id="150802989">
      <w:bodyDiv w:val="1"/>
      <w:marLeft w:val="0"/>
      <w:marRight w:val="0"/>
      <w:marTop w:val="0"/>
      <w:marBottom w:val="0"/>
      <w:divBdr>
        <w:top w:val="none" w:sz="0" w:space="0" w:color="auto"/>
        <w:left w:val="none" w:sz="0" w:space="0" w:color="auto"/>
        <w:bottom w:val="none" w:sz="0" w:space="0" w:color="auto"/>
        <w:right w:val="none" w:sz="0" w:space="0" w:color="auto"/>
      </w:divBdr>
    </w:div>
    <w:div w:id="153223367">
      <w:bodyDiv w:val="1"/>
      <w:marLeft w:val="0"/>
      <w:marRight w:val="0"/>
      <w:marTop w:val="0"/>
      <w:marBottom w:val="0"/>
      <w:divBdr>
        <w:top w:val="none" w:sz="0" w:space="0" w:color="auto"/>
        <w:left w:val="none" w:sz="0" w:space="0" w:color="auto"/>
        <w:bottom w:val="none" w:sz="0" w:space="0" w:color="auto"/>
        <w:right w:val="none" w:sz="0" w:space="0" w:color="auto"/>
      </w:divBdr>
    </w:div>
    <w:div w:id="154538797">
      <w:bodyDiv w:val="1"/>
      <w:marLeft w:val="0"/>
      <w:marRight w:val="0"/>
      <w:marTop w:val="0"/>
      <w:marBottom w:val="0"/>
      <w:divBdr>
        <w:top w:val="none" w:sz="0" w:space="0" w:color="auto"/>
        <w:left w:val="none" w:sz="0" w:space="0" w:color="auto"/>
        <w:bottom w:val="none" w:sz="0" w:space="0" w:color="auto"/>
        <w:right w:val="none" w:sz="0" w:space="0" w:color="auto"/>
      </w:divBdr>
    </w:div>
    <w:div w:id="154802625">
      <w:bodyDiv w:val="1"/>
      <w:marLeft w:val="0"/>
      <w:marRight w:val="0"/>
      <w:marTop w:val="0"/>
      <w:marBottom w:val="0"/>
      <w:divBdr>
        <w:top w:val="none" w:sz="0" w:space="0" w:color="auto"/>
        <w:left w:val="none" w:sz="0" w:space="0" w:color="auto"/>
        <w:bottom w:val="none" w:sz="0" w:space="0" w:color="auto"/>
        <w:right w:val="none" w:sz="0" w:space="0" w:color="auto"/>
      </w:divBdr>
    </w:div>
    <w:div w:id="155344327">
      <w:bodyDiv w:val="1"/>
      <w:marLeft w:val="0"/>
      <w:marRight w:val="0"/>
      <w:marTop w:val="0"/>
      <w:marBottom w:val="0"/>
      <w:divBdr>
        <w:top w:val="none" w:sz="0" w:space="0" w:color="auto"/>
        <w:left w:val="none" w:sz="0" w:space="0" w:color="auto"/>
        <w:bottom w:val="none" w:sz="0" w:space="0" w:color="auto"/>
        <w:right w:val="none" w:sz="0" w:space="0" w:color="auto"/>
      </w:divBdr>
    </w:div>
    <w:div w:id="161626374">
      <w:bodyDiv w:val="1"/>
      <w:marLeft w:val="0"/>
      <w:marRight w:val="0"/>
      <w:marTop w:val="0"/>
      <w:marBottom w:val="0"/>
      <w:divBdr>
        <w:top w:val="none" w:sz="0" w:space="0" w:color="auto"/>
        <w:left w:val="none" w:sz="0" w:space="0" w:color="auto"/>
        <w:bottom w:val="none" w:sz="0" w:space="0" w:color="auto"/>
        <w:right w:val="none" w:sz="0" w:space="0" w:color="auto"/>
      </w:divBdr>
    </w:div>
    <w:div w:id="162287099">
      <w:bodyDiv w:val="1"/>
      <w:marLeft w:val="0"/>
      <w:marRight w:val="0"/>
      <w:marTop w:val="0"/>
      <w:marBottom w:val="0"/>
      <w:divBdr>
        <w:top w:val="none" w:sz="0" w:space="0" w:color="auto"/>
        <w:left w:val="none" w:sz="0" w:space="0" w:color="auto"/>
        <w:bottom w:val="none" w:sz="0" w:space="0" w:color="auto"/>
        <w:right w:val="none" w:sz="0" w:space="0" w:color="auto"/>
      </w:divBdr>
    </w:div>
    <w:div w:id="164132092">
      <w:bodyDiv w:val="1"/>
      <w:marLeft w:val="0"/>
      <w:marRight w:val="0"/>
      <w:marTop w:val="0"/>
      <w:marBottom w:val="0"/>
      <w:divBdr>
        <w:top w:val="none" w:sz="0" w:space="0" w:color="auto"/>
        <w:left w:val="none" w:sz="0" w:space="0" w:color="auto"/>
        <w:bottom w:val="none" w:sz="0" w:space="0" w:color="auto"/>
        <w:right w:val="none" w:sz="0" w:space="0" w:color="auto"/>
      </w:divBdr>
    </w:div>
    <w:div w:id="170608225">
      <w:bodyDiv w:val="1"/>
      <w:marLeft w:val="0"/>
      <w:marRight w:val="0"/>
      <w:marTop w:val="0"/>
      <w:marBottom w:val="0"/>
      <w:divBdr>
        <w:top w:val="none" w:sz="0" w:space="0" w:color="auto"/>
        <w:left w:val="none" w:sz="0" w:space="0" w:color="auto"/>
        <w:bottom w:val="none" w:sz="0" w:space="0" w:color="auto"/>
        <w:right w:val="none" w:sz="0" w:space="0" w:color="auto"/>
      </w:divBdr>
    </w:div>
    <w:div w:id="171721052">
      <w:bodyDiv w:val="1"/>
      <w:marLeft w:val="0"/>
      <w:marRight w:val="0"/>
      <w:marTop w:val="0"/>
      <w:marBottom w:val="0"/>
      <w:divBdr>
        <w:top w:val="none" w:sz="0" w:space="0" w:color="auto"/>
        <w:left w:val="none" w:sz="0" w:space="0" w:color="auto"/>
        <w:bottom w:val="none" w:sz="0" w:space="0" w:color="auto"/>
        <w:right w:val="none" w:sz="0" w:space="0" w:color="auto"/>
      </w:divBdr>
    </w:div>
    <w:div w:id="174537219">
      <w:bodyDiv w:val="1"/>
      <w:marLeft w:val="0"/>
      <w:marRight w:val="0"/>
      <w:marTop w:val="0"/>
      <w:marBottom w:val="0"/>
      <w:divBdr>
        <w:top w:val="none" w:sz="0" w:space="0" w:color="auto"/>
        <w:left w:val="none" w:sz="0" w:space="0" w:color="auto"/>
        <w:bottom w:val="none" w:sz="0" w:space="0" w:color="auto"/>
        <w:right w:val="none" w:sz="0" w:space="0" w:color="auto"/>
      </w:divBdr>
    </w:div>
    <w:div w:id="174686169">
      <w:bodyDiv w:val="1"/>
      <w:marLeft w:val="0"/>
      <w:marRight w:val="0"/>
      <w:marTop w:val="0"/>
      <w:marBottom w:val="0"/>
      <w:divBdr>
        <w:top w:val="none" w:sz="0" w:space="0" w:color="auto"/>
        <w:left w:val="none" w:sz="0" w:space="0" w:color="auto"/>
        <w:bottom w:val="none" w:sz="0" w:space="0" w:color="auto"/>
        <w:right w:val="none" w:sz="0" w:space="0" w:color="auto"/>
      </w:divBdr>
    </w:div>
    <w:div w:id="176581550">
      <w:bodyDiv w:val="1"/>
      <w:marLeft w:val="0"/>
      <w:marRight w:val="0"/>
      <w:marTop w:val="0"/>
      <w:marBottom w:val="0"/>
      <w:divBdr>
        <w:top w:val="none" w:sz="0" w:space="0" w:color="auto"/>
        <w:left w:val="none" w:sz="0" w:space="0" w:color="auto"/>
        <w:bottom w:val="none" w:sz="0" w:space="0" w:color="auto"/>
        <w:right w:val="none" w:sz="0" w:space="0" w:color="auto"/>
      </w:divBdr>
    </w:div>
    <w:div w:id="177620904">
      <w:bodyDiv w:val="1"/>
      <w:marLeft w:val="0"/>
      <w:marRight w:val="0"/>
      <w:marTop w:val="0"/>
      <w:marBottom w:val="0"/>
      <w:divBdr>
        <w:top w:val="none" w:sz="0" w:space="0" w:color="auto"/>
        <w:left w:val="none" w:sz="0" w:space="0" w:color="auto"/>
        <w:bottom w:val="none" w:sz="0" w:space="0" w:color="auto"/>
        <w:right w:val="none" w:sz="0" w:space="0" w:color="auto"/>
      </w:divBdr>
    </w:div>
    <w:div w:id="180164243">
      <w:bodyDiv w:val="1"/>
      <w:marLeft w:val="0"/>
      <w:marRight w:val="0"/>
      <w:marTop w:val="0"/>
      <w:marBottom w:val="0"/>
      <w:divBdr>
        <w:top w:val="none" w:sz="0" w:space="0" w:color="auto"/>
        <w:left w:val="none" w:sz="0" w:space="0" w:color="auto"/>
        <w:bottom w:val="none" w:sz="0" w:space="0" w:color="auto"/>
        <w:right w:val="none" w:sz="0" w:space="0" w:color="auto"/>
      </w:divBdr>
    </w:div>
    <w:div w:id="181435743">
      <w:bodyDiv w:val="1"/>
      <w:marLeft w:val="0"/>
      <w:marRight w:val="0"/>
      <w:marTop w:val="0"/>
      <w:marBottom w:val="0"/>
      <w:divBdr>
        <w:top w:val="none" w:sz="0" w:space="0" w:color="auto"/>
        <w:left w:val="none" w:sz="0" w:space="0" w:color="auto"/>
        <w:bottom w:val="none" w:sz="0" w:space="0" w:color="auto"/>
        <w:right w:val="none" w:sz="0" w:space="0" w:color="auto"/>
      </w:divBdr>
    </w:div>
    <w:div w:id="181864001">
      <w:bodyDiv w:val="1"/>
      <w:marLeft w:val="0"/>
      <w:marRight w:val="0"/>
      <w:marTop w:val="0"/>
      <w:marBottom w:val="0"/>
      <w:divBdr>
        <w:top w:val="none" w:sz="0" w:space="0" w:color="auto"/>
        <w:left w:val="none" w:sz="0" w:space="0" w:color="auto"/>
        <w:bottom w:val="none" w:sz="0" w:space="0" w:color="auto"/>
        <w:right w:val="none" w:sz="0" w:space="0" w:color="auto"/>
      </w:divBdr>
    </w:div>
    <w:div w:id="184558164">
      <w:bodyDiv w:val="1"/>
      <w:marLeft w:val="0"/>
      <w:marRight w:val="0"/>
      <w:marTop w:val="0"/>
      <w:marBottom w:val="0"/>
      <w:divBdr>
        <w:top w:val="none" w:sz="0" w:space="0" w:color="auto"/>
        <w:left w:val="none" w:sz="0" w:space="0" w:color="auto"/>
        <w:bottom w:val="none" w:sz="0" w:space="0" w:color="auto"/>
        <w:right w:val="none" w:sz="0" w:space="0" w:color="auto"/>
      </w:divBdr>
    </w:div>
    <w:div w:id="185408987">
      <w:bodyDiv w:val="1"/>
      <w:marLeft w:val="0"/>
      <w:marRight w:val="0"/>
      <w:marTop w:val="0"/>
      <w:marBottom w:val="0"/>
      <w:divBdr>
        <w:top w:val="none" w:sz="0" w:space="0" w:color="auto"/>
        <w:left w:val="none" w:sz="0" w:space="0" w:color="auto"/>
        <w:bottom w:val="none" w:sz="0" w:space="0" w:color="auto"/>
        <w:right w:val="none" w:sz="0" w:space="0" w:color="auto"/>
      </w:divBdr>
    </w:div>
    <w:div w:id="187498518">
      <w:bodyDiv w:val="1"/>
      <w:marLeft w:val="0"/>
      <w:marRight w:val="0"/>
      <w:marTop w:val="0"/>
      <w:marBottom w:val="0"/>
      <w:divBdr>
        <w:top w:val="none" w:sz="0" w:space="0" w:color="auto"/>
        <w:left w:val="none" w:sz="0" w:space="0" w:color="auto"/>
        <w:bottom w:val="none" w:sz="0" w:space="0" w:color="auto"/>
        <w:right w:val="none" w:sz="0" w:space="0" w:color="auto"/>
      </w:divBdr>
    </w:div>
    <w:div w:id="189953889">
      <w:bodyDiv w:val="1"/>
      <w:marLeft w:val="0"/>
      <w:marRight w:val="0"/>
      <w:marTop w:val="0"/>
      <w:marBottom w:val="0"/>
      <w:divBdr>
        <w:top w:val="none" w:sz="0" w:space="0" w:color="auto"/>
        <w:left w:val="none" w:sz="0" w:space="0" w:color="auto"/>
        <w:bottom w:val="none" w:sz="0" w:space="0" w:color="auto"/>
        <w:right w:val="none" w:sz="0" w:space="0" w:color="auto"/>
      </w:divBdr>
    </w:div>
    <w:div w:id="190414342">
      <w:bodyDiv w:val="1"/>
      <w:marLeft w:val="0"/>
      <w:marRight w:val="0"/>
      <w:marTop w:val="0"/>
      <w:marBottom w:val="0"/>
      <w:divBdr>
        <w:top w:val="none" w:sz="0" w:space="0" w:color="auto"/>
        <w:left w:val="none" w:sz="0" w:space="0" w:color="auto"/>
        <w:bottom w:val="none" w:sz="0" w:space="0" w:color="auto"/>
        <w:right w:val="none" w:sz="0" w:space="0" w:color="auto"/>
      </w:divBdr>
    </w:div>
    <w:div w:id="191236089">
      <w:bodyDiv w:val="1"/>
      <w:marLeft w:val="0"/>
      <w:marRight w:val="0"/>
      <w:marTop w:val="0"/>
      <w:marBottom w:val="0"/>
      <w:divBdr>
        <w:top w:val="none" w:sz="0" w:space="0" w:color="auto"/>
        <w:left w:val="none" w:sz="0" w:space="0" w:color="auto"/>
        <w:bottom w:val="none" w:sz="0" w:space="0" w:color="auto"/>
        <w:right w:val="none" w:sz="0" w:space="0" w:color="auto"/>
      </w:divBdr>
    </w:div>
    <w:div w:id="192694810">
      <w:bodyDiv w:val="1"/>
      <w:marLeft w:val="0"/>
      <w:marRight w:val="0"/>
      <w:marTop w:val="0"/>
      <w:marBottom w:val="0"/>
      <w:divBdr>
        <w:top w:val="none" w:sz="0" w:space="0" w:color="auto"/>
        <w:left w:val="none" w:sz="0" w:space="0" w:color="auto"/>
        <w:bottom w:val="none" w:sz="0" w:space="0" w:color="auto"/>
        <w:right w:val="none" w:sz="0" w:space="0" w:color="auto"/>
      </w:divBdr>
    </w:div>
    <w:div w:id="193034857">
      <w:bodyDiv w:val="1"/>
      <w:marLeft w:val="0"/>
      <w:marRight w:val="0"/>
      <w:marTop w:val="0"/>
      <w:marBottom w:val="0"/>
      <w:divBdr>
        <w:top w:val="none" w:sz="0" w:space="0" w:color="auto"/>
        <w:left w:val="none" w:sz="0" w:space="0" w:color="auto"/>
        <w:bottom w:val="none" w:sz="0" w:space="0" w:color="auto"/>
        <w:right w:val="none" w:sz="0" w:space="0" w:color="auto"/>
      </w:divBdr>
    </w:div>
    <w:div w:id="197354877">
      <w:bodyDiv w:val="1"/>
      <w:marLeft w:val="0"/>
      <w:marRight w:val="0"/>
      <w:marTop w:val="0"/>
      <w:marBottom w:val="0"/>
      <w:divBdr>
        <w:top w:val="none" w:sz="0" w:space="0" w:color="auto"/>
        <w:left w:val="none" w:sz="0" w:space="0" w:color="auto"/>
        <w:bottom w:val="none" w:sz="0" w:space="0" w:color="auto"/>
        <w:right w:val="none" w:sz="0" w:space="0" w:color="auto"/>
      </w:divBdr>
    </w:div>
    <w:div w:id="197744606">
      <w:bodyDiv w:val="1"/>
      <w:marLeft w:val="0"/>
      <w:marRight w:val="0"/>
      <w:marTop w:val="0"/>
      <w:marBottom w:val="0"/>
      <w:divBdr>
        <w:top w:val="none" w:sz="0" w:space="0" w:color="auto"/>
        <w:left w:val="none" w:sz="0" w:space="0" w:color="auto"/>
        <w:bottom w:val="none" w:sz="0" w:space="0" w:color="auto"/>
        <w:right w:val="none" w:sz="0" w:space="0" w:color="auto"/>
      </w:divBdr>
    </w:div>
    <w:div w:id="200289782">
      <w:bodyDiv w:val="1"/>
      <w:marLeft w:val="0"/>
      <w:marRight w:val="0"/>
      <w:marTop w:val="0"/>
      <w:marBottom w:val="0"/>
      <w:divBdr>
        <w:top w:val="none" w:sz="0" w:space="0" w:color="auto"/>
        <w:left w:val="none" w:sz="0" w:space="0" w:color="auto"/>
        <w:bottom w:val="none" w:sz="0" w:space="0" w:color="auto"/>
        <w:right w:val="none" w:sz="0" w:space="0" w:color="auto"/>
      </w:divBdr>
    </w:div>
    <w:div w:id="203520488">
      <w:bodyDiv w:val="1"/>
      <w:marLeft w:val="0"/>
      <w:marRight w:val="0"/>
      <w:marTop w:val="0"/>
      <w:marBottom w:val="0"/>
      <w:divBdr>
        <w:top w:val="none" w:sz="0" w:space="0" w:color="auto"/>
        <w:left w:val="none" w:sz="0" w:space="0" w:color="auto"/>
        <w:bottom w:val="none" w:sz="0" w:space="0" w:color="auto"/>
        <w:right w:val="none" w:sz="0" w:space="0" w:color="auto"/>
      </w:divBdr>
    </w:div>
    <w:div w:id="204294263">
      <w:bodyDiv w:val="1"/>
      <w:marLeft w:val="0"/>
      <w:marRight w:val="0"/>
      <w:marTop w:val="0"/>
      <w:marBottom w:val="0"/>
      <w:divBdr>
        <w:top w:val="none" w:sz="0" w:space="0" w:color="auto"/>
        <w:left w:val="none" w:sz="0" w:space="0" w:color="auto"/>
        <w:bottom w:val="none" w:sz="0" w:space="0" w:color="auto"/>
        <w:right w:val="none" w:sz="0" w:space="0" w:color="auto"/>
      </w:divBdr>
    </w:div>
    <w:div w:id="207642921">
      <w:bodyDiv w:val="1"/>
      <w:marLeft w:val="0"/>
      <w:marRight w:val="0"/>
      <w:marTop w:val="0"/>
      <w:marBottom w:val="0"/>
      <w:divBdr>
        <w:top w:val="none" w:sz="0" w:space="0" w:color="auto"/>
        <w:left w:val="none" w:sz="0" w:space="0" w:color="auto"/>
        <w:bottom w:val="none" w:sz="0" w:space="0" w:color="auto"/>
        <w:right w:val="none" w:sz="0" w:space="0" w:color="auto"/>
      </w:divBdr>
    </w:div>
    <w:div w:id="209072474">
      <w:bodyDiv w:val="1"/>
      <w:marLeft w:val="0"/>
      <w:marRight w:val="0"/>
      <w:marTop w:val="0"/>
      <w:marBottom w:val="0"/>
      <w:divBdr>
        <w:top w:val="none" w:sz="0" w:space="0" w:color="auto"/>
        <w:left w:val="none" w:sz="0" w:space="0" w:color="auto"/>
        <w:bottom w:val="none" w:sz="0" w:space="0" w:color="auto"/>
        <w:right w:val="none" w:sz="0" w:space="0" w:color="auto"/>
      </w:divBdr>
    </w:div>
    <w:div w:id="210267705">
      <w:bodyDiv w:val="1"/>
      <w:marLeft w:val="0"/>
      <w:marRight w:val="0"/>
      <w:marTop w:val="0"/>
      <w:marBottom w:val="0"/>
      <w:divBdr>
        <w:top w:val="none" w:sz="0" w:space="0" w:color="auto"/>
        <w:left w:val="none" w:sz="0" w:space="0" w:color="auto"/>
        <w:bottom w:val="none" w:sz="0" w:space="0" w:color="auto"/>
        <w:right w:val="none" w:sz="0" w:space="0" w:color="auto"/>
      </w:divBdr>
    </w:div>
    <w:div w:id="210656483">
      <w:bodyDiv w:val="1"/>
      <w:marLeft w:val="0"/>
      <w:marRight w:val="0"/>
      <w:marTop w:val="0"/>
      <w:marBottom w:val="0"/>
      <w:divBdr>
        <w:top w:val="none" w:sz="0" w:space="0" w:color="auto"/>
        <w:left w:val="none" w:sz="0" w:space="0" w:color="auto"/>
        <w:bottom w:val="none" w:sz="0" w:space="0" w:color="auto"/>
        <w:right w:val="none" w:sz="0" w:space="0" w:color="auto"/>
      </w:divBdr>
    </w:div>
    <w:div w:id="211618243">
      <w:bodyDiv w:val="1"/>
      <w:marLeft w:val="0"/>
      <w:marRight w:val="0"/>
      <w:marTop w:val="0"/>
      <w:marBottom w:val="0"/>
      <w:divBdr>
        <w:top w:val="none" w:sz="0" w:space="0" w:color="auto"/>
        <w:left w:val="none" w:sz="0" w:space="0" w:color="auto"/>
        <w:bottom w:val="none" w:sz="0" w:space="0" w:color="auto"/>
        <w:right w:val="none" w:sz="0" w:space="0" w:color="auto"/>
      </w:divBdr>
    </w:div>
    <w:div w:id="212549925">
      <w:bodyDiv w:val="1"/>
      <w:marLeft w:val="0"/>
      <w:marRight w:val="0"/>
      <w:marTop w:val="0"/>
      <w:marBottom w:val="0"/>
      <w:divBdr>
        <w:top w:val="none" w:sz="0" w:space="0" w:color="auto"/>
        <w:left w:val="none" w:sz="0" w:space="0" w:color="auto"/>
        <w:bottom w:val="none" w:sz="0" w:space="0" w:color="auto"/>
        <w:right w:val="none" w:sz="0" w:space="0" w:color="auto"/>
      </w:divBdr>
    </w:div>
    <w:div w:id="213660695">
      <w:bodyDiv w:val="1"/>
      <w:marLeft w:val="0"/>
      <w:marRight w:val="0"/>
      <w:marTop w:val="0"/>
      <w:marBottom w:val="0"/>
      <w:divBdr>
        <w:top w:val="none" w:sz="0" w:space="0" w:color="auto"/>
        <w:left w:val="none" w:sz="0" w:space="0" w:color="auto"/>
        <w:bottom w:val="none" w:sz="0" w:space="0" w:color="auto"/>
        <w:right w:val="none" w:sz="0" w:space="0" w:color="auto"/>
      </w:divBdr>
    </w:div>
    <w:div w:id="217594044">
      <w:bodyDiv w:val="1"/>
      <w:marLeft w:val="0"/>
      <w:marRight w:val="0"/>
      <w:marTop w:val="0"/>
      <w:marBottom w:val="0"/>
      <w:divBdr>
        <w:top w:val="none" w:sz="0" w:space="0" w:color="auto"/>
        <w:left w:val="none" w:sz="0" w:space="0" w:color="auto"/>
        <w:bottom w:val="none" w:sz="0" w:space="0" w:color="auto"/>
        <w:right w:val="none" w:sz="0" w:space="0" w:color="auto"/>
      </w:divBdr>
    </w:div>
    <w:div w:id="218437712">
      <w:bodyDiv w:val="1"/>
      <w:marLeft w:val="0"/>
      <w:marRight w:val="0"/>
      <w:marTop w:val="0"/>
      <w:marBottom w:val="0"/>
      <w:divBdr>
        <w:top w:val="none" w:sz="0" w:space="0" w:color="auto"/>
        <w:left w:val="none" w:sz="0" w:space="0" w:color="auto"/>
        <w:bottom w:val="none" w:sz="0" w:space="0" w:color="auto"/>
        <w:right w:val="none" w:sz="0" w:space="0" w:color="auto"/>
      </w:divBdr>
    </w:div>
    <w:div w:id="220873221">
      <w:bodyDiv w:val="1"/>
      <w:marLeft w:val="0"/>
      <w:marRight w:val="0"/>
      <w:marTop w:val="0"/>
      <w:marBottom w:val="0"/>
      <w:divBdr>
        <w:top w:val="none" w:sz="0" w:space="0" w:color="auto"/>
        <w:left w:val="none" w:sz="0" w:space="0" w:color="auto"/>
        <w:bottom w:val="none" w:sz="0" w:space="0" w:color="auto"/>
        <w:right w:val="none" w:sz="0" w:space="0" w:color="auto"/>
      </w:divBdr>
    </w:div>
    <w:div w:id="221990419">
      <w:bodyDiv w:val="1"/>
      <w:marLeft w:val="0"/>
      <w:marRight w:val="0"/>
      <w:marTop w:val="0"/>
      <w:marBottom w:val="0"/>
      <w:divBdr>
        <w:top w:val="none" w:sz="0" w:space="0" w:color="auto"/>
        <w:left w:val="none" w:sz="0" w:space="0" w:color="auto"/>
        <w:bottom w:val="none" w:sz="0" w:space="0" w:color="auto"/>
        <w:right w:val="none" w:sz="0" w:space="0" w:color="auto"/>
      </w:divBdr>
    </w:div>
    <w:div w:id="223295953">
      <w:bodyDiv w:val="1"/>
      <w:marLeft w:val="0"/>
      <w:marRight w:val="0"/>
      <w:marTop w:val="0"/>
      <w:marBottom w:val="0"/>
      <w:divBdr>
        <w:top w:val="none" w:sz="0" w:space="0" w:color="auto"/>
        <w:left w:val="none" w:sz="0" w:space="0" w:color="auto"/>
        <w:bottom w:val="none" w:sz="0" w:space="0" w:color="auto"/>
        <w:right w:val="none" w:sz="0" w:space="0" w:color="auto"/>
      </w:divBdr>
    </w:div>
    <w:div w:id="223681260">
      <w:bodyDiv w:val="1"/>
      <w:marLeft w:val="0"/>
      <w:marRight w:val="0"/>
      <w:marTop w:val="0"/>
      <w:marBottom w:val="0"/>
      <w:divBdr>
        <w:top w:val="none" w:sz="0" w:space="0" w:color="auto"/>
        <w:left w:val="none" w:sz="0" w:space="0" w:color="auto"/>
        <w:bottom w:val="none" w:sz="0" w:space="0" w:color="auto"/>
        <w:right w:val="none" w:sz="0" w:space="0" w:color="auto"/>
      </w:divBdr>
    </w:div>
    <w:div w:id="223681583">
      <w:bodyDiv w:val="1"/>
      <w:marLeft w:val="0"/>
      <w:marRight w:val="0"/>
      <w:marTop w:val="0"/>
      <w:marBottom w:val="0"/>
      <w:divBdr>
        <w:top w:val="none" w:sz="0" w:space="0" w:color="auto"/>
        <w:left w:val="none" w:sz="0" w:space="0" w:color="auto"/>
        <w:bottom w:val="none" w:sz="0" w:space="0" w:color="auto"/>
        <w:right w:val="none" w:sz="0" w:space="0" w:color="auto"/>
      </w:divBdr>
    </w:div>
    <w:div w:id="225185163">
      <w:bodyDiv w:val="1"/>
      <w:marLeft w:val="0"/>
      <w:marRight w:val="0"/>
      <w:marTop w:val="0"/>
      <w:marBottom w:val="0"/>
      <w:divBdr>
        <w:top w:val="none" w:sz="0" w:space="0" w:color="auto"/>
        <w:left w:val="none" w:sz="0" w:space="0" w:color="auto"/>
        <w:bottom w:val="none" w:sz="0" w:space="0" w:color="auto"/>
        <w:right w:val="none" w:sz="0" w:space="0" w:color="auto"/>
      </w:divBdr>
    </w:div>
    <w:div w:id="226455045">
      <w:bodyDiv w:val="1"/>
      <w:marLeft w:val="0"/>
      <w:marRight w:val="0"/>
      <w:marTop w:val="0"/>
      <w:marBottom w:val="0"/>
      <w:divBdr>
        <w:top w:val="none" w:sz="0" w:space="0" w:color="auto"/>
        <w:left w:val="none" w:sz="0" w:space="0" w:color="auto"/>
        <w:bottom w:val="none" w:sz="0" w:space="0" w:color="auto"/>
        <w:right w:val="none" w:sz="0" w:space="0" w:color="auto"/>
      </w:divBdr>
    </w:div>
    <w:div w:id="227887428">
      <w:bodyDiv w:val="1"/>
      <w:marLeft w:val="0"/>
      <w:marRight w:val="0"/>
      <w:marTop w:val="0"/>
      <w:marBottom w:val="0"/>
      <w:divBdr>
        <w:top w:val="none" w:sz="0" w:space="0" w:color="auto"/>
        <w:left w:val="none" w:sz="0" w:space="0" w:color="auto"/>
        <w:bottom w:val="none" w:sz="0" w:space="0" w:color="auto"/>
        <w:right w:val="none" w:sz="0" w:space="0" w:color="auto"/>
      </w:divBdr>
    </w:div>
    <w:div w:id="228613549">
      <w:bodyDiv w:val="1"/>
      <w:marLeft w:val="0"/>
      <w:marRight w:val="0"/>
      <w:marTop w:val="0"/>
      <w:marBottom w:val="0"/>
      <w:divBdr>
        <w:top w:val="none" w:sz="0" w:space="0" w:color="auto"/>
        <w:left w:val="none" w:sz="0" w:space="0" w:color="auto"/>
        <w:bottom w:val="none" w:sz="0" w:space="0" w:color="auto"/>
        <w:right w:val="none" w:sz="0" w:space="0" w:color="auto"/>
      </w:divBdr>
    </w:div>
    <w:div w:id="230888949">
      <w:bodyDiv w:val="1"/>
      <w:marLeft w:val="0"/>
      <w:marRight w:val="0"/>
      <w:marTop w:val="0"/>
      <w:marBottom w:val="0"/>
      <w:divBdr>
        <w:top w:val="none" w:sz="0" w:space="0" w:color="auto"/>
        <w:left w:val="none" w:sz="0" w:space="0" w:color="auto"/>
        <w:bottom w:val="none" w:sz="0" w:space="0" w:color="auto"/>
        <w:right w:val="none" w:sz="0" w:space="0" w:color="auto"/>
      </w:divBdr>
    </w:div>
    <w:div w:id="232205921">
      <w:bodyDiv w:val="1"/>
      <w:marLeft w:val="0"/>
      <w:marRight w:val="0"/>
      <w:marTop w:val="0"/>
      <w:marBottom w:val="0"/>
      <w:divBdr>
        <w:top w:val="none" w:sz="0" w:space="0" w:color="auto"/>
        <w:left w:val="none" w:sz="0" w:space="0" w:color="auto"/>
        <w:bottom w:val="none" w:sz="0" w:space="0" w:color="auto"/>
        <w:right w:val="none" w:sz="0" w:space="0" w:color="auto"/>
      </w:divBdr>
    </w:div>
    <w:div w:id="234246078">
      <w:bodyDiv w:val="1"/>
      <w:marLeft w:val="0"/>
      <w:marRight w:val="0"/>
      <w:marTop w:val="0"/>
      <w:marBottom w:val="0"/>
      <w:divBdr>
        <w:top w:val="none" w:sz="0" w:space="0" w:color="auto"/>
        <w:left w:val="none" w:sz="0" w:space="0" w:color="auto"/>
        <w:bottom w:val="none" w:sz="0" w:space="0" w:color="auto"/>
        <w:right w:val="none" w:sz="0" w:space="0" w:color="auto"/>
      </w:divBdr>
    </w:div>
    <w:div w:id="234359340">
      <w:bodyDiv w:val="1"/>
      <w:marLeft w:val="0"/>
      <w:marRight w:val="0"/>
      <w:marTop w:val="0"/>
      <w:marBottom w:val="0"/>
      <w:divBdr>
        <w:top w:val="none" w:sz="0" w:space="0" w:color="auto"/>
        <w:left w:val="none" w:sz="0" w:space="0" w:color="auto"/>
        <w:bottom w:val="none" w:sz="0" w:space="0" w:color="auto"/>
        <w:right w:val="none" w:sz="0" w:space="0" w:color="auto"/>
      </w:divBdr>
    </w:div>
    <w:div w:id="234704108">
      <w:bodyDiv w:val="1"/>
      <w:marLeft w:val="0"/>
      <w:marRight w:val="0"/>
      <w:marTop w:val="0"/>
      <w:marBottom w:val="0"/>
      <w:divBdr>
        <w:top w:val="none" w:sz="0" w:space="0" w:color="auto"/>
        <w:left w:val="none" w:sz="0" w:space="0" w:color="auto"/>
        <w:bottom w:val="none" w:sz="0" w:space="0" w:color="auto"/>
        <w:right w:val="none" w:sz="0" w:space="0" w:color="auto"/>
      </w:divBdr>
    </w:div>
    <w:div w:id="236016248">
      <w:bodyDiv w:val="1"/>
      <w:marLeft w:val="0"/>
      <w:marRight w:val="0"/>
      <w:marTop w:val="0"/>
      <w:marBottom w:val="0"/>
      <w:divBdr>
        <w:top w:val="none" w:sz="0" w:space="0" w:color="auto"/>
        <w:left w:val="none" w:sz="0" w:space="0" w:color="auto"/>
        <w:bottom w:val="none" w:sz="0" w:space="0" w:color="auto"/>
        <w:right w:val="none" w:sz="0" w:space="0" w:color="auto"/>
      </w:divBdr>
    </w:div>
    <w:div w:id="237256487">
      <w:bodyDiv w:val="1"/>
      <w:marLeft w:val="0"/>
      <w:marRight w:val="0"/>
      <w:marTop w:val="0"/>
      <w:marBottom w:val="0"/>
      <w:divBdr>
        <w:top w:val="none" w:sz="0" w:space="0" w:color="auto"/>
        <w:left w:val="none" w:sz="0" w:space="0" w:color="auto"/>
        <w:bottom w:val="none" w:sz="0" w:space="0" w:color="auto"/>
        <w:right w:val="none" w:sz="0" w:space="0" w:color="auto"/>
      </w:divBdr>
    </w:div>
    <w:div w:id="237517694">
      <w:bodyDiv w:val="1"/>
      <w:marLeft w:val="0"/>
      <w:marRight w:val="0"/>
      <w:marTop w:val="0"/>
      <w:marBottom w:val="0"/>
      <w:divBdr>
        <w:top w:val="none" w:sz="0" w:space="0" w:color="auto"/>
        <w:left w:val="none" w:sz="0" w:space="0" w:color="auto"/>
        <w:bottom w:val="none" w:sz="0" w:space="0" w:color="auto"/>
        <w:right w:val="none" w:sz="0" w:space="0" w:color="auto"/>
      </w:divBdr>
    </w:div>
    <w:div w:id="239758033">
      <w:bodyDiv w:val="1"/>
      <w:marLeft w:val="0"/>
      <w:marRight w:val="0"/>
      <w:marTop w:val="0"/>
      <w:marBottom w:val="0"/>
      <w:divBdr>
        <w:top w:val="none" w:sz="0" w:space="0" w:color="auto"/>
        <w:left w:val="none" w:sz="0" w:space="0" w:color="auto"/>
        <w:bottom w:val="none" w:sz="0" w:space="0" w:color="auto"/>
        <w:right w:val="none" w:sz="0" w:space="0" w:color="auto"/>
      </w:divBdr>
    </w:div>
    <w:div w:id="240213772">
      <w:bodyDiv w:val="1"/>
      <w:marLeft w:val="0"/>
      <w:marRight w:val="0"/>
      <w:marTop w:val="0"/>
      <w:marBottom w:val="0"/>
      <w:divBdr>
        <w:top w:val="none" w:sz="0" w:space="0" w:color="auto"/>
        <w:left w:val="none" w:sz="0" w:space="0" w:color="auto"/>
        <w:bottom w:val="none" w:sz="0" w:space="0" w:color="auto"/>
        <w:right w:val="none" w:sz="0" w:space="0" w:color="auto"/>
      </w:divBdr>
    </w:div>
    <w:div w:id="241376450">
      <w:bodyDiv w:val="1"/>
      <w:marLeft w:val="0"/>
      <w:marRight w:val="0"/>
      <w:marTop w:val="0"/>
      <w:marBottom w:val="0"/>
      <w:divBdr>
        <w:top w:val="none" w:sz="0" w:space="0" w:color="auto"/>
        <w:left w:val="none" w:sz="0" w:space="0" w:color="auto"/>
        <w:bottom w:val="none" w:sz="0" w:space="0" w:color="auto"/>
        <w:right w:val="none" w:sz="0" w:space="0" w:color="auto"/>
      </w:divBdr>
    </w:div>
    <w:div w:id="242571649">
      <w:bodyDiv w:val="1"/>
      <w:marLeft w:val="0"/>
      <w:marRight w:val="0"/>
      <w:marTop w:val="0"/>
      <w:marBottom w:val="0"/>
      <w:divBdr>
        <w:top w:val="none" w:sz="0" w:space="0" w:color="auto"/>
        <w:left w:val="none" w:sz="0" w:space="0" w:color="auto"/>
        <w:bottom w:val="none" w:sz="0" w:space="0" w:color="auto"/>
        <w:right w:val="none" w:sz="0" w:space="0" w:color="auto"/>
      </w:divBdr>
    </w:div>
    <w:div w:id="248926776">
      <w:bodyDiv w:val="1"/>
      <w:marLeft w:val="0"/>
      <w:marRight w:val="0"/>
      <w:marTop w:val="0"/>
      <w:marBottom w:val="0"/>
      <w:divBdr>
        <w:top w:val="none" w:sz="0" w:space="0" w:color="auto"/>
        <w:left w:val="none" w:sz="0" w:space="0" w:color="auto"/>
        <w:bottom w:val="none" w:sz="0" w:space="0" w:color="auto"/>
        <w:right w:val="none" w:sz="0" w:space="0" w:color="auto"/>
      </w:divBdr>
    </w:div>
    <w:div w:id="249200238">
      <w:bodyDiv w:val="1"/>
      <w:marLeft w:val="0"/>
      <w:marRight w:val="0"/>
      <w:marTop w:val="0"/>
      <w:marBottom w:val="0"/>
      <w:divBdr>
        <w:top w:val="none" w:sz="0" w:space="0" w:color="auto"/>
        <w:left w:val="none" w:sz="0" w:space="0" w:color="auto"/>
        <w:bottom w:val="none" w:sz="0" w:space="0" w:color="auto"/>
        <w:right w:val="none" w:sz="0" w:space="0" w:color="auto"/>
      </w:divBdr>
    </w:div>
    <w:div w:id="249431653">
      <w:bodyDiv w:val="1"/>
      <w:marLeft w:val="0"/>
      <w:marRight w:val="0"/>
      <w:marTop w:val="0"/>
      <w:marBottom w:val="0"/>
      <w:divBdr>
        <w:top w:val="none" w:sz="0" w:space="0" w:color="auto"/>
        <w:left w:val="none" w:sz="0" w:space="0" w:color="auto"/>
        <w:bottom w:val="none" w:sz="0" w:space="0" w:color="auto"/>
        <w:right w:val="none" w:sz="0" w:space="0" w:color="auto"/>
      </w:divBdr>
    </w:div>
    <w:div w:id="250627286">
      <w:bodyDiv w:val="1"/>
      <w:marLeft w:val="0"/>
      <w:marRight w:val="0"/>
      <w:marTop w:val="0"/>
      <w:marBottom w:val="0"/>
      <w:divBdr>
        <w:top w:val="none" w:sz="0" w:space="0" w:color="auto"/>
        <w:left w:val="none" w:sz="0" w:space="0" w:color="auto"/>
        <w:bottom w:val="none" w:sz="0" w:space="0" w:color="auto"/>
        <w:right w:val="none" w:sz="0" w:space="0" w:color="auto"/>
      </w:divBdr>
    </w:div>
    <w:div w:id="250816624">
      <w:bodyDiv w:val="1"/>
      <w:marLeft w:val="0"/>
      <w:marRight w:val="0"/>
      <w:marTop w:val="0"/>
      <w:marBottom w:val="0"/>
      <w:divBdr>
        <w:top w:val="none" w:sz="0" w:space="0" w:color="auto"/>
        <w:left w:val="none" w:sz="0" w:space="0" w:color="auto"/>
        <w:bottom w:val="none" w:sz="0" w:space="0" w:color="auto"/>
        <w:right w:val="none" w:sz="0" w:space="0" w:color="auto"/>
      </w:divBdr>
    </w:div>
    <w:div w:id="251285825">
      <w:bodyDiv w:val="1"/>
      <w:marLeft w:val="0"/>
      <w:marRight w:val="0"/>
      <w:marTop w:val="0"/>
      <w:marBottom w:val="0"/>
      <w:divBdr>
        <w:top w:val="none" w:sz="0" w:space="0" w:color="auto"/>
        <w:left w:val="none" w:sz="0" w:space="0" w:color="auto"/>
        <w:bottom w:val="none" w:sz="0" w:space="0" w:color="auto"/>
        <w:right w:val="none" w:sz="0" w:space="0" w:color="auto"/>
      </w:divBdr>
    </w:div>
    <w:div w:id="253829611">
      <w:bodyDiv w:val="1"/>
      <w:marLeft w:val="0"/>
      <w:marRight w:val="0"/>
      <w:marTop w:val="0"/>
      <w:marBottom w:val="0"/>
      <w:divBdr>
        <w:top w:val="none" w:sz="0" w:space="0" w:color="auto"/>
        <w:left w:val="none" w:sz="0" w:space="0" w:color="auto"/>
        <w:bottom w:val="none" w:sz="0" w:space="0" w:color="auto"/>
        <w:right w:val="none" w:sz="0" w:space="0" w:color="auto"/>
      </w:divBdr>
    </w:div>
    <w:div w:id="253976670">
      <w:bodyDiv w:val="1"/>
      <w:marLeft w:val="0"/>
      <w:marRight w:val="0"/>
      <w:marTop w:val="0"/>
      <w:marBottom w:val="0"/>
      <w:divBdr>
        <w:top w:val="none" w:sz="0" w:space="0" w:color="auto"/>
        <w:left w:val="none" w:sz="0" w:space="0" w:color="auto"/>
        <w:bottom w:val="none" w:sz="0" w:space="0" w:color="auto"/>
        <w:right w:val="none" w:sz="0" w:space="0" w:color="auto"/>
      </w:divBdr>
    </w:div>
    <w:div w:id="256134502">
      <w:bodyDiv w:val="1"/>
      <w:marLeft w:val="0"/>
      <w:marRight w:val="0"/>
      <w:marTop w:val="0"/>
      <w:marBottom w:val="0"/>
      <w:divBdr>
        <w:top w:val="none" w:sz="0" w:space="0" w:color="auto"/>
        <w:left w:val="none" w:sz="0" w:space="0" w:color="auto"/>
        <w:bottom w:val="none" w:sz="0" w:space="0" w:color="auto"/>
        <w:right w:val="none" w:sz="0" w:space="0" w:color="auto"/>
      </w:divBdr>
    </w:div>
    <w:div w:id="256325960">
      <w:bodyDiv w:val="1"/>
      <w:marLeft w:val="0"/>
      <w:marRight w:val="0"/>
      <w:marTop w:val="0"/>
      <w:marBottom w:val="0"/>
      <w:divBdr>
        <w:top w:val="none" w:sz="0" w:space="0" w:color="auto"/>
        <w:left w:val="none" w:sz="0" w:space="0" w:color="auto"/>
        <w:bottom w:val="none" w:sz="0" w:space="0" w:color="auto"/>
        <w:right w:val="none" w:sz="0" w:space="0" w:color="auto"/>
      </w:divBdr>
    </w:div>
    <w:div w:id="257911981">
      <w:bodyDiv w:val="1"/>
      <w:marLeft w:val="0"/>
      <w:marRight w:val="0"/>
      <w:marTop w:val="0"/>
      <w:marBottom w:val="0"/>
      <w:divBdr>
        <w:top w:val="none" w:sz="0" w:space="0" w:color="auto"/>
        <w:left w:val="none" w:sz="0" w:space="0" w:color="auto"/>
        <w:bottom w:val="none" w:sz="0" w:space="0" w:color="auto"/>
        <w:right w:val="none" w:sz="0" w:space="0" w:color="auto"/>
      </w:divBdr>
    </w:div>
    <w:div w:id="260532324">
      <w:bodyDiv w:val="1"/>
      <w:marLeft w:val="0"/>
      <w:marRight w:val="0"/>
      <w:marTop w:val="0"/>
      <w:marBottom w:val="0"/>
      <w:divBdr>
        <w:top w:val="none" w:sz="0" w:space="0" w:color="auto"/>
        <w:left w:val="none" w:sz="0" w:space="0" w:color="auto"/>
        <w:bottom w:val="none" w:sz="0" w:space="0" w:color="auto"/>
        <w:right w:val="none" w:sz="0" w:space="0" w:color="auto"/>
      </w:divBdr>
    </w:div>
    <w:div w:id="264504321">
      <w:bodyDiv w:val="1"/>
      <w:marLeft w:val="0"/>
      <w:marRight w:val="0"/>
      <w:marTop w:val="0"/>
      <w:marBottom w:val="0"/>
      <w:divBdr>
        <w:top w:val="none" w:sz="0" w:space="0" w:color="auto"/>
        <w:left w:val="none" w:sz="0" w:space="0" w:color="auto"/>
        <w:bottom w:val="none" w:sz="0" w:space="0" w:color="auto"/>
        <w:right w:val="none" w:sz="0" w:space="0" w:color="auto"/>
      </w:divBdr>
    </w:div>
    <w:div w:id="265429752">
      <w:bodyDiv w:val="1"/>
      <w:marLeft w:val="0"/>
      <w:marRight w:val="0"/>
      <w:marTop w:val="0"/>
      <w:marBottom w:val="0"/>
      <w:divBdr>
        <w:top w:val="none" w:sz="0" w:space="0" w:color="auto"/>
        <w:left w:val="none" w:sz="0" w:space="0" w:color="auto"/>
        <w:bottom w:val="none" w:sz="0" w:space="0" w:color="auto"/>
        <w:right w:val="none" w:sz="0" w:space="0" w:color="auto"/>
      </w:divBdr>
    </w:div>
    <w:div w:id="266036730">
      <w:bodyDiv w:val="1"/>
      <w:marLeft w:val="0"/>
      <w:marRight w:val="0"/>
      <w:marTop w:val="0"/>
      <w:marBottom w:val="0"/>
      <w:divBdr>
        <w:top w:val="none" w:sz="0" w:space="0" w:color="auto"/>
        <w:left w:val="none" w:sz="0" w:space="0" w:color="auto"/>
        <w:bottom w:val="none" w:sz="0" w:space="0" w:color="auto"/>
        <w:right w:val="none" w:sz="0" w:space="0" w:color="auto"/>
      </w:divBdr>
    </w:div>
    <w:div w:id="266237326">
      <w:bodyDiv w:val="1"/>
      <w:marLeft w:val="0"/>
      <w:marRight w:val="0"/>
      <w:marTop w:val="0"/>
      <w:marBottom w:val="0"/>
      <w:divBdr>
        <w:top w:val="none" w:sz="0" w:space="0" w:color="auto"/>
        <w:left w:val="none" w:sz="0" w:space="0" w:color="auto"/>
        <w:bottom w:val="none" w:sz="0" w:space="0" w:color="auto"/>
        <w:right w:val="none" w:sz="0" w:space="0" w:color="auto"/>
      </w:divBdr>
    </w:div>
    <w:div w:id="268053985">
      <w:bodyDiv w:val="1"/>
      <w:marLeft w:val="0"/>
      <w:marRight w:val="0"/>
      <w:marTop w:val="0"/>
      <w:marBottom w:val="0"/>
      <w:divBdr>
        <w:top w:val="none" w:sz="0" w:space="0" w:color="auto"/>
        <w:left w:val="none" w:sz="0" w:space="0" w:color="auto"/>
        <w:bottom w:val="none" w:sz="0" w:space="0" w:color="auto"/>
        <w:right w:val="none" w:sz="0" w:space="0" w:color="auto"/>
      </w:divBdr>
    </w:div>
    <w:div w:id="269287890">
      <w:bodyDiv w:val="1"/>
      <w:marLeft w:val="0"/>
      <w:marRight w:val="0"/>
      <w:marTop w:val="0"/>
      <w:marBottom w:val="0"/>
      <w:divBdr>
        <w:top w:val="none" w:sz="0" w:space="0" w:color="auto"/>
        <w:left w:val="none" w:sz="0" w:space="0" w:color="auto"/>
        <w:bottom w:val="none" w:sz="0" w:space="0" w:color="auto"/>
        <w:right w:val="none" w:sz="0" w:space="0" w:color="auto"/>
      </w:divBdr>
    </w:div>
    <w:div w:id="271517256">
      <w:bodyDiv w:val="1"/>
      <w:marLeft w:val="0"/>
      <w:marRight w:val="0"/>
      <w:marTop w:val="0"/>
      <w:marBottom w:val="0"/>
      <w:divBdr>
        <w:top w:val="none" w:sz="0" w:space="0" w:color="auto"/>
        <w:left w:val="none" w:sz="0" w:space="0" w:color="auto"/>
        <w:bottom w:val="none" w:sz="0" w:space="0" w:color="auto"/>
        <w:right w:val="none" w:sz="0" w:space="0" w:color="auto"/>
      </w:divBdr>
    </w:div>
    <w:div w:id="272984488">
      <w:bodyDiv w:val="1"/>
      <w:marLeft w:val="0"/>
      <w:marRight w:val="0"/>
      <w:marTop w:val="0"/>
      <w:marBottom w:val="0"/>
      <w:divBdr>
        <w:top w:val="none" w:sz="0" w:space="0" w:color="auto"/>
        <w:left w:val="none" w:sz="0" w:space="0" w:color="auto"/>
        <w:bottom w:val="none" w:sz="0" w:space="0" w:color="auto"/>
        <w:right w:val="none" w:sz="0" w:space="0" w:color="auto"/>
      </w:divBdr>
    </w:div>
    <w:div w:id="276916667">
      <w:bodyDiv w:val="1"/>
      <w:marLeft w:val="0"/>
      <w:marRight w:val="0"/>
      <w:marTop w:val="0"/>
      <w:marBottom w:val="0"/>
      <w:divBdr>
        <w:top w:val="none" w:sz="0" w:space="0" w:color="auto"/>
        <w:left w:val="none" w:sz="0" w:space="0" w:color="auto"/>
        <w:bottom w:val="none" w:sz="0" w:space="0" w:color="auto"/>
        <w:right w:val="none" w:sz="0" w:space="0" w:color="auto"/>
      </w:divBdr>
    </w:div>
    <w:div w:id="277303445">
      <w:bodyDiv w:val="1"/>
      <w:marLeft w:val="0"/>
      <w:marRight w:val="0"/>
      <w:marTop w:val="0"/>
      <w:marBottom w:val="0"/>
      <w:divBdr>
        <w:top w:val="none" w:sz="0" w:space="0" w:color="auto"/>
        <w:left w:val="none" w:sz="0" w:space="0" w:color="auto"/>
        <w:bottom w:val="none" w:sz="0" w:space="0" w:color="auto"/>
        <w:right w:val="none" w:sz="0" w:space="0" w:color="auto"/>
      </w:divBdr>
    </w:div>
    <w:div w:id="278149172">
      <w:bodyDiv w:val="1"/>
      <w:marLeft w:val="0"/>
      <w:marRight w:val="0"/>
      <w:marTop w:val="0"/>
      <w:marBottom w:val="0"/>
      <w:divBdr>
        <w:top w:val="none" w:sz="0" w:space="0" w:color="auto"/>
        <w:left w:val="none" w:sz="0" w:space="0" w:color="auto"/>
        <w:bottom w:val="none" w:sz="0" w:space="0" w:color="auto"/>
        <w:right w:val="none" w:sz="0" w:space="0" w:color="auto"/>
      </w:divBdr>
    </w:div>
    <w:div w:id="279803665">
      <w:bodyDiv w:val="1"/>
      <w:marLeft w:val="0"/>
      <w:marRight w:val="0"/>
      <w:marTop w:val="0"/>
      <w:marBottom w:val="0"/>
      <w:divBdr>
        <w:top w:val="none" w:sz="0" w:space="0" w:color="auto"/>
        <w:left w:val="none" w:sz="0" w:space="0" w:color="auto"/>
        <w:bottom w:val="none" w:sz="0" w:space="0" w:color="auto"/>
        <w:right w:val="none" w:sz="0" w:space="0" w:color="auto"/>
      </w:divBdr>
    </w:div>
    <w:div w:id="281958052">
      <w:bodyDiv w:val="1"/>
      <w:marLeft w:val="0"/>
      <w:marRight w:val="0"/>
      <w:marTop w:val="0"/>
      <w:marBottom w:val="0"/>
      <w:divBdr>
        <w:top w:val="none" w:sz="0" w:space="0" w:color="auto"/>
        <w:left w:val="none" w:sz="0" w:space="0" w:color="auto"/>
        <w:bottom w:val="none" w:sz="0" w:space="0" w:color="auto"/>
        <w:right w:val="none" w:sz="0" w:space="0" w:color="auto"/>
      </w:divBdr>
    </w:div>
    <w:div w:id="283192607">
      <w:bodyDiv w:val="1"/>
      <w:marLeft w:val="0"/>
      <w:marRight w:val="0"/>
      <w:marTop w:val="0"/>
      <w:marBottom w:val="0"/>
      <w:divBdr>
        <w:top w:val="none" w:sz="0" w:space="0" w:color="auto"/>
        <w:left w:val="none" w:sz="0" w:space="0" w:color="auto"/>
        <w:bottom w:val="none" w:sz="0" w:space="0" w:color="auto"/>
        <w:right w:val="none" w:sz="0" w:space="0" w:color="auto"/>
      </w:divBdr>
    </w:div>
    <w:div w:id="283273083">
      <w:bodyDiv w:val="1"/>
      <w:marLeft w:val="0"/>
      <w:marRight w:val="0"/>
      <w:marTop w:val="0"/>
      <w:marBottom w:val="0"/>
      <w:divBdr>
        <w:top w:val="none" w:sz="0" w:space="0" w:color="auto"/>
        <w:left w:val="none" w:sz="0" w:space="0" w:color="auto"/>
        <w:bottom w:val="none" w:sz="0" w:space="0" w:color="auto"/>
        <w:right w:val="none" w:sz="0" w:space="0" w:color="auto"/>
      </w:divBdr>
    </w:div>
    <w:div w:id="286006332">
      <w:bodyDiv w:val="1"/>
      <w:marLeft w:val="0"/>
      <w:marRight w:val="0"/>
      <w:marTop w:val="0"/>
      <w:marBottom w:val="0"/>
      <w:divBdr>
        <w:top w:val="none" w:sz="0" w:space="0" w:color="auto"/>
        <w:left w:val="none" w:sz="0" w:space="0" w:color="auto"/>
        <w:bottom w:val="none" w:sz="0" w:space="0" w:color="auto"/>
        <w:right w:val="none" w:sz="0" w:space="0" w:color="auto"/>
      </w:divBdr>
    </w:div>
    <w:div w:id="290550474">
      <w:bodyDiv w:val="1"/>
      <w:marLeft w:val="0"/>
      <w:marRight w:val="0"/>
      <w:marTop w:val="0"/>
      <w:marBottom w:val="0"/>
      <w:divBdr>
        <w:top w:val="none" w:sz="0" w:space="0" w:color="auto"/>
        <w:left w:val="none" w:sz="0" w:space="0" w:color="auto"/>
        <w:bottom w:val="none" w:sz="0" w:space="0" w:color="auto"/>
        <w:right w:val="none" w:sz="0" w:space="0" w:color="auto"/>
      </w:divBdr>
    </w:div>
    <w:div w:id="292059535">
      <w:bodyDiv w:val="1"/>
      <w:marLeft w:val="0"/>
      <w:marRight w:val="0"/>
      <w:marTop w:val="0"/>
      <w:marBottom w:val="0"/>
      <w:divBdr>
        <w:top w:val="none" w:sz="0" w:space="0" w:color="auto"/>
        <w:left w:val="none" w:sz="0" w:space="0" w:color="auto"/>
        <w:bottom w:val="none" w:sz="0" w:space="0" w:color="auto"/>
        <w:right w:val="none" w:sz="0" w:space="0" w:color="auto"/>
      </w:divBdr>
    </w:div>
    <w:div w:id="292105917">
      <w:bodyDiv w:val="1"/>
      <w:marLeft w:val="0"/>
      <w:marRight w:val="0"/>
      <w:marTop w:val="0"/>
      <w:marBottom w:val="0"/>
      <w:divBdr>
        <w:top w:val="none" w:sz="0" w:space="0" w:color="auto"/>
        <w:left w:val="none" w:sz="0" w:space="0" w:color="auto"/>
        <w:bottom w:val="none" w:sz="0" w:space="0" w:color="auto"/>
        <w:right w:val="none" w:sz="0" w:space="0" w:color="auto"/>
      </w:divBdr>
    </w:div>
    <w:div w:id="293101240">
      <w:bodyDiv w:val="1"/>
      <w:marLeft w:val="0"/>
      <w:marRight w:val="0"/>
      <w:marTop w:val="0"/>
      <w:marBottom w:val="0"/>
      <w:divBdr>
        <w:top w:val="none" w:sz="0" w:space="0" w:color="auto"/>
        <w:left w:val="none" w:sz="0" w:space="0" w:color="auto"/>
        <w:bottom w:val="none" w:sz="0" w:space="0" w:color="auto"/>
        <w:right w:val="none" w:sz="0" w:space="0" w:color="auto"/>
      </w:divBdr>
    </w:div>
    <w:div w:id="293564461">
      <w:bodyDiv w:val="1"/>
      <w:marLeft w:val="0"/>
      <w:marRight w:val="0"/>
      <w:marTop w:val="0"/>
      <w:marBottom w:val="0"/>
      <w:divBdr>
        <w:top w:val="none" w:sz="0" w:space="0" w:color="auto"/>
        <w:left w:val="none" w:sz="0" w:space="0" w:color="auto"/>
        <w:bottom w:val="none" w:sz="0" w:space="0" w:color="auto"/>
        <w:right w:val="none" w:sz="0" w:space="0" w:color="auto"/>
      </w:divBdr>
    </w:div>
    <w:div w:id="294917196">
      <w:bodyDiv w:val="1"/>
      <w:marLeft w:val="0"/>
      <w:marRight w:val="0"/>
      <w:marTop w:val="0"/>
      <w:marBottom w:val="0"/>
      <w:divBdr>
        <w:top w:val="none" w:sz="0" w:space="0" w:color="auto"/>
        <w:left w:val="none" w:sz="0" w:space="0" w:color="auto"/>
        <w:bottom w:val="none" w:sz="0" w:space="0" w:color="auto"/>
        <w:right w:val="none" w:sz="0" w:space="0" w:color="auto"/>
      </w:divBdr>
    </w:div>
    <w:div w:id="297032650">
      <w:bodyDiv w:val="1"/>
      <w:marLeft w:val="0"/>
      <w:marRight w:val="0"/>
      <w:marTop w:val="0"/>
      <w:marBottom w:val="0"/>
      <w:divBdr>
        <w:top w:val="none" w:sz="0" w:space="0" w:color="auto"/>
        <w:left w:val="none" w:sz="0" w:space="0" w:color="auto"/>
        <w:bottom w:val="none" w:sz="0" w:space="0" w:color="auto"/>
        <w:right w:val="none" w:sz="0" w:space="0" w:color="auto"/>
      </w:divBdr>
    </w:div>
    <w:div w:id="297104497">
      <w:bodyDiv w:val="1"/>
      <w:marLeft w:val="0"/>
      <w:marRight w:val="0"/>
      <w:marTop w:val="0"/>
      <w:marBottom w:val="0"/>
      <w:divBdr>
        <w:top w:val="none" w:sz="0" w:space="0" w:color="auto"/>
        <w:left w:val="none" w:sz="0" w:space="0" w:color="auto"/>
        <w:bottom w:val="none" w:sz="0" w:space="0" w:color="auto"/>
        <w:right w:val="none" w:sz="0" w:space="0" w:color="auto"/>
      </w:divBdr>
    </w:div>
    <w:div w:id="297684955">
      <w:bodyDiv w:val="1"/>
      <w:marLeft w:val="0"/>
      <w:marRight w:val="0"/>
      <w:marTop w:val="0"/>
      <w:marBottom w:val="0"/>
      <w:divBdr>
        <w:top w:val="none" w:sz="0" w:space="0" w:color="auto"/>
        <w:left w:val="none" w:sz="0" w:space="0" w:color="auto"/>
        <w:bottom w:val="none" w:sz="0" w:space="0" w:color="auto"/>
        <w:right w:val="none" w:sz="0" w:space="0" w:color="auto"/>
      </w:divBdr>
    </w:div>
    <w:div w:id="298069771">
      <w:bodyDiv w:val="1"/>
      <w:marLeft w:val="0"/>
      <w:marRight w:val="0"/>
      <w:marTop w:val="0"/>
      <w:marBottom w:val="0"/>
      <w:divBdr>
        <w:top w:val="none" w:sz="0" w:space="0" w:color="auto"/>
        <w:left w:val="none" w:sz="0" w:space="0" w:color="auto"/>
        <w:bottom w:val="none" w:sz="0" w:space="0" w:color="auto"/>
        <w:right w:val="none" w:sz="0" w:space="0" w:color="auto"/>
      </w:divBdr>
    </w:div>
    <w:div w:id="298806343">
      <w:bodyDiv w:val="1"/>
      <w:marLeft w:val="0"/>
      <w:marRight w:val="0"/>
      <w:marTop w:val="0"/>
      <w:marBottom w:val="0"/>
      <w:divBdr>
        <w:top w:val="none" w:sz="0" w:space="0" w:color="auto"/>
        <w:left w:val="none" w:sz="0" w:space="0" w:color="auto"/>
        <w:bottom w:val="none" w:sz="0" w:space="0" w:color="auto"/>
        <w:right w:val="none" w:sz="0" w:space="0" w:color="auto"/>
      </w:divBdr>
    </w:div>
    <w:div w:id="300620420">
      <w:bodyDiv w:val="1"/>
      <w:marLeft w:val="0"/>
      <w:marRight w:val="0"/>
      <w:marTop w:val="0"/>
      <w:marBottom w:val="0"/>
      <w:divBdr>
        <w:top w:val="none" w:sz="0" w:space="0" w:color="auto"/>
        <w:left w:val="none" w:sz="0" w:space="0" w:color="auto"/>
        <w:bottom w:val="none" w:sz="0" w:space="0" w:color="auto"/>
        <w:right w:val="none" w:sz="0" w:space="0" w:color="auto"/>
      </w:divBdr>
    </w:div>
    <w:div w:id="303317099">
      <w:bodyDiv w:val="1"/>
      <w:marLeft w:val="0"/>
      <w:marRight w:val="0"/>
      <w:marTop w:val="0"/>
      <w:marBottom w:val="0"/>
      <w:divBdr>
        <w:top w:val="none" w:sz="0" w:space="0" w:color="auto"/>
        <w:left w:val="none" w:sz="0" w:space="0" w:color="auto"/>
        <w:bottom w:val="none" w:sz="0" w:space="0" w:color="auto"/>
        <w:right w:val="none" w:sz="0" w:space="0" w:color="auto"/>
      </w:divBdr>
    </w:div>
    <w:div w:id="303506378">
      <w:bodyDiv w:val="1"/>
      <w:marLeft w:val="0"/>
      <w:marRight w:val="0"/>
      <w:marTop w:val="0"/>
      <w:marBottom w:val="0"/>
      <w:divBdr>
        <w:top w:val="none" w:sz="0" w:space="0" w:color="auto"/>
        <w:left w:val="none" w:sz="0" w:space="0" w:color="auto"/>
        <w:bottom w:val="none" w:sz="0" w:space="0" w:color="auto"/>
        <w:right w:val="none" w:sz="0" w:space="0" w:color="auto"/>
      </w:divBdr>
    </w:div>
    <w:div w:id="303512951">
      <w:bodyDiv w:val="1"/>
      <w:marLeft w:val="0"/>
      <w:marRight w:val="0"/>
      <w:marTop w:val="0"/>
      <w:marBottom w:val="0"/>
      <w:divBdr>
        <w:top w:val="none" w:sz="0" w:space="0" w:color="auto"/>
        <w:left w:val="none" w:sz="0" w:space="0" w:color="auto"/>
        <w:bottom w:val="none" w:sz="0" w:space="0" w:color="auto"/>
        <w:right w:val="none" w:sz="0" w:space="0" w:color="auto"/>
      </w:divBdr>
    </w:div>
    <w:div w:id="306402923">
      <w:bodyDiv w:val="1"/>
      <w:marLeft w:val="0"/>
      <w:marRight w:val="0"/>
      <w:marTop w:val="0"/>
      <w:marBottom w:val="0"/>
      <w:divBdr>
        <w:top w:val="none" w:sz="0" w:space="0" w:color="auto"/>
        <w:left w:val="none" w:sz="0" w:space="0" w:color="auto"/>
        <w:bottom w:val="none" w:sz="0" w:space="0" w:color="auto"/>
        <w:right w:val="none" w:sz="0" w:space="0" w:color="auto"/>
      </w:divBdr>
    </w:div>
    <w:div w:id="307638339">
      <w:bodyDiv w:val="1"/>
      <w:marLeft w:val="0"/>
      <w:marRight w:val="0"/>
      <w:marTop w:val="0"/>
      <w:marBottom w:val="0"/>
      <w:divBdr>
        <w:top w:val="none" w:sz="0" w:space="0" w:color="auto"/>
        <w:left w:val="none" w:sz="0" w:space="0" w:color="auto"/>
        <w:bottom w:val="none" w:sz="0" w:space="0" w:color="auto"/>
        <w:right w:val="none" w:sz="0" w:space="0" w:color="auto"/>
      </w:divBdr>
    </w:div>
    <w:div w:id="308019977">
      <w:bodyDiv w:val="1"/>
      <w:marLeft w:val="0"/>
      <w:marRight w:val="0"/>
      <w:marTop w:val="0"/>
      <w:marBottom w:val="0"/>
      <w:divBdr>
        <w:top w:val="none" w:sz="0" w:space="0" w:color="auto"/>
        <w:left w:val="none" w:sz="0" w:space="0" w:color="auto"/>
        <w:bottom w:val="none" w:sz="0" w:space="0" w:color="auto"/>
        <w:right w:val="none" w:sz="0" w:space="0" w:color="auto"/>
      </w:divBdr>
    </w:div>
    <w:div w:id="309214480">
      <w:bodyDiv w:val="1"/>
      <w:marLeft w:val="0"/>
      <w:marRight w:val="0"/>
      <w:marTop w:val="0"/>
      <w:marBottom w:val="0"/>
      <w:divBdr>
        <w:top w:val="none" w:sz="0" w:space="0" w:color="auto"/>
        <w:left w:val="none" w:sz="0" w:space="0" w:color="auto"/>
        <w:bottom w:val="none" w:sz="0" w:space="0" w:color="auto"/>
        <w:right w:val="none" w:sz="0" w:space="0" w:color="auto"/>
      </w:divBdr>
    </w:div>
    <w:div w:id="310213914">
      <w:bodyDiv w:val="1"/>
      <w:marLeft w:val="0"/>
      <w:marRight w:val="0"/>
      <w:marTop w:val="0"/>
      <w:marBottom w:val="0"/>
      <w:divBdr>
        <w:top w:val="none" w:sz="0" w:space="0" w:color="auto"/>
        <w:left w:val="none" w:sz="0" w:space="0" w:color="auto"/>
        <w:bottom w:val="none" w:sz="0" w:space="0" w:color="auto"/>
        <w:right w:val="none" w:sz="0" w:space="0" w:color="auto"/>
      </w:divBdr>
    </w:div>
    <w:div w:id="310524417">
      <w:bodyDiv w:val="1"/>
      <w:marLeft w:val="0"/>
      <w:marRight w:val="0"/>
      <w:marTop w:val="0"/>
      <w:marBottom w:val="0"/>
      <w:divBdr>
        <w:top w:val="none" w:sz="0" w:space="0" w:color="auto"/>
        <w:left w:val="none" w:sz="0" w:space="0" w:color="auto"/>
        <w:bottom w:val="none" w:sz="0" w:space="0" w:color="auto"/>
        <w:right w:val="none" w:sz="0" w:space="0" w:color="auto"/>
      </w:divBdr>
    </w:div>
    <w:div w:id="311104126">
      <w:bodyDiv w:val="1"/>
      <w:marLeft w:val="0"/>
      <w:marRight w:val="0"/>
      <w:marTop w:val="0"/>
      <w:marBottom w:val="0"/>
      <w:divBdr>
        <w:top w:val="none" w:sz="0" w:space="0" w:color="auto"/>
        <w:left w:val="none" w:sz="0" w:space="0" w:color="auto"/>
        <w:bottom w:val="none" w:sz="0" w:space="0" w:color="auto"/>
        <w:right w:val="none" w:sz="0" w:space="0" w:color="auto"/>
      </w:divBdr>
    </w:div>
    <w:div w:id="318387396">
      <w:bodyDiv w:val="1"/>
      <w:marLeft w:val="0"/>
      <w:marRight w:val="0"/>
      <w:marTop w:val="0"/>
      <w:marBottom w:val="0"/>
      <w:divBdr>
        <w:top w:val="none" w:sz="0" w:space="0" w:color="auto"/>
        <w:left w:val="none" w:sz="0" w:space="0" w:color="auto"/>
        <w:bottom w:val="none" w:sz="0" w:space="0" w:color="auto"/>
        <w:right w:val="none" w:sz="0" w:space="0" w:color="auto"/>
      </w:divBdr>
    </w:div>
    <w:div w:id="320618311">
      <w:bodyDiv w:val="1"/>
      <w:marLeft w:val="0"/>
      <w:marRight w:val="0"/>
      <w:marTop w:val="0"/>
      <w:marBottom w:val="0"/>
      <w:divBdr>
        <w:top w:val="none" w:sz="0" w:space="0" w:color="auto"/>
        <w:left w:val="none" w:sz="0" w:space="0" w:color="auto"/>
        <w:bottom w:val="none" w:sz="0" w:space="0" w:color="auto"/>
        <w:right w:val="none" w:sz="0" w:space="0" w:color="auto"/>
      </w:divBdr>
    </w:div>
    <w:div w:id="322125835">
      <w:bodyDiv w:val="1"/>
      <w:marLeft w:val="0"/>
      <w:marRight w:val="0"/>
      <w:marTop w:val="0"/>
      <w:marBottom w:val="0"/>
      <w:divBdr>
        <w:top w:val="none" w:sz="0" w:space="0" w:color="auto"/>
        <w:left w:val="none" w:sz="0" w:space="0" w:color="auto"/>
        <w:bottom w:val="none" w:sz="0" w:space="0" w:color="auto"/>
        <w:right w:val="none" w:sz="0" w:space="0" w:color="auto"/>
      </w:divBdr>
    </w:div>
    <w:div w:id="324096113">
      <w:bodyDiv w:val="1"/>
      <w:marLeft w:val="0"/>
      <w:marRight w:val="0"/>
      <w:marTop w:val="0"/>
      <w:marBottom w:val="0"/>
      <w:divBdr>
        <w:top w:val="none" w:sz="0" w:space="0" w:color="auto"/>
        <w:left w:val="none" w:sz="0" w:space="0" w:color="auto"/>
        <w:bottom w:val="none" w:sz="0" w:space="0" w:color="auto"/>
        <w:right w:val="none" w:sz="0" w:space="0" w:color="auto"/>
      </w:divBdr>
    </w:div>
    <w:div w:id="326590739">
      <w:bodyDiv w:val="1"/>
      <w:marLeft w:val="0"/>
      <w:marRight w:val="0"/>
      <w:marTop w:val="0"/>
      <w:marBottom w:val="0"/>
      <w:divBdr>
        <w:top w:val="none" w:sz="0" w:space="0" w:color="auto"/>
        <w:left w:val="none" w:sz="0" w:space="0" w:color="auto"/>
        <w:bottom w:val="none" w:sz="0" w:space="0" w:color="auto"/>
        <w:right w:val="none" w:sz="0" w:space="0" w:color="auto"/>
      </w:divBdr>
    </w:div>
    <w:div w:id="327514645">
      <w:bodyDiv w:val="1"/>
      <w:marLeft w:val="0"/>
      <w:marRight w:val="0"/>
      <w:marTop w:val="0"/>
      <w:marBottom w:val="0"/>
      <w:divBdr>
        <w:top w:val="none" w:sz="0" w:space="0" w:color="auto"/>
        <w:left w:val="none" w:sz="0" w:space="0" w:color="auto"/>
        <w:bottom w:val="none" w:sz="0" w:space="0" w:color="auto"/>
        <w:right w:val="none" w:sz="0" w:space="0" w:color="auto"/>
      </w:divBdr>
    </w:div>
    <w:div w:id="329480829">
      <w:bodyDiv w:val="1"/>
      <w:marLeft w:val="0"/>
      <w:marRight w:val="0"/>
      <w:marTop w:val="0"/>
      <w:marBottom w:val="0"/>
      <w:divBdr>
        <w:top w:val="none" w:sz="0" w:space="0" w:color="auto"/>
        <w:left w:val="none" w:sz="0" w:space="0" w:color="auto"/>
        <w:bottom w:val="none" w:sz="0" w:space="0" w:color="auto"/>
        <w:right w:val="none" w:sz="0" w:space="0" w:color="auto"/>
      </w:divBdr>
    </w:div>
    <w:div w:id="330647275">
      <w:bodyDiv w:val="1"/>
      <w:marLeft w:val="0"/>
      <w:marRight w:val="0"/>
      <w:marTop w:val="0"/>
      <w:marBottom w:val="0"/>
      <w:divBdr>
        <w:top w:val="none" w:sz="0" w:space="0" w:color="auto"/>
        <w:left w:val="none" w:sz="0" w:space="0" w:color="auto"/>
        <w:bottom w:val="none" w:sz="0" w:space="0" w:color="auto"/>
        <w:right w:val="none" w:sz="0" w:space="0" w:color="auto"/>
      </w:divBdr>
    </w:div>
    <w:div w:id="330715436">
      <w:bodyDiv w:val="1"/>
      <w:marLeft w:val="0"/>
      <w:marRight w:val="0"/>
      <w:marTop w:val="0"/>
      <w:marBottom w:val="0"/>
      <w:divBdr>
        <w:top w:val="none" w:sz="0" w:space="0" w:color="auto"/>
        <w:left w:val="none" w:sz="0" w:space="0" w:color="auto"/>
        <w:bottom w:val="none" w:sz="0" w:space="0" w:color="auto"/>
        <w:right w:val="none" w:sz="0" w:space="0" w:color="auto"/>
      </w:divBdr>
    </w:div>
    <w:div w:id="331177770">
      <w:bodyDiv w:val="1"/>
      <w:marLeft w:val="0"/>
      <w:marRight w:val="0"/>
      <w:marTop w:val="0"/>
      <w:marBottom w:val="0"/>
      <w:divBdr>
        <w:top w:val="none" w:sz="0" w:space="0" w:color="auto"/>
        <w:left w:val="none" w:sz="0" w:space="0" w:color="auto"/>
        <w:bottom w:val="none" w:sz="0" w:space="0" w:color="auto"/>
        <w:right w:val="none" w:sz="0" w:space="0" w:color="auto"/>
      </w:divBdr>
    </w:div>
    <w:div w:id="335545065">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37969408">
      <w:bodyDiv w:val="1"/>
      <w:marLeft w:val="0"/>
      <w:marRight w:val="0"/>
      <w:marTop w:val="0"/>
      <w:marBottom w:val="0"/>
      <w:divBdr>
        <w:top w:val="none" w:sz="0" w:space="0" w:color="auto"/>
        <w:left w:val="none" w:sz="0" w:space="0" w:color="auto"/>
        <w:bottom w:val="none" w:sz="0" w:space="0" w:color="auto"/>
        <w:right w:val="none" w:sz="0" w:space="0" w:color="auto"/>
      </w:divBdr>
    </w:div>
    <w:div w:id="338310035">
      <w:bodyDiv w:val="1"/>
      <w:marLeft w:val="0"/>
      <w:marRight w:val="0"/>
      <w:marTop w:val="0"/>
      <w:marBottom w:val="0"/>
      <w:divBdr>
        <w:top w:val="none" w:sz="0" w:space="0" w:color="auto"/>
        <w:left w:val="none" w:sz="0" w:space="0" w:color="auto"/>
        <w:bottom w:val="none" w:sz="0" w:space="0" w:color="auto"/>
        <w:right w:val="none" w:sz="0" w:space="0" w:color="auto"/>
      </w:divBdr>
      <w:divsChild>
        <w:div w:id="643505458">
          <w:marLeft w:val="0"/>
          <w:marRight w:val="0"/>
          <w:marTop w:val="0"/>
          <w:marBottom w:val="0"/>
          <w:divBdr>
            <w:top w:val="none" w:sz="0" w:space="0" w:color="auto"/>
            <w:left w:val="none" w:sz="0" w:space="0" w:color="auto"/>
            <w:bottom w:val="none" w:sz="0" w:space="0" w:color="auto"/>
            <w:right w:val="none" w:sz="0" w:space="0" w:color="auto"/>
          </w:divBdr>
          <w:divsChild>
            <w:div w:id="1585266149">
              <w:marLeft w:val="0"/>
              <w:marRight w:val="0"/>
              <w:marTop w:val="0"/>
              <w:marBottom w:val="0"/>
              <w:divBdr>
                <w:top w:val="none" w:sz="0" w:space="0" w:color="auto"/>
                <w:left w:val="none" w:sz="0" w:space="0" w:color="auto"/>
                <w:bottom w:val="none" w:sz="0" w:space="0" w:color="auto"/>
                <w:right w:val="none" w:sz="0" w:space="0" w:color="auto"/>
              </w:divBdr>
              <w:divsChild>
                <w:div w:id="298539383">
                  <w:marLeft w:val="675"/>
                  <w:marRight w:val="0"/>
                  <w:marTop w:val="0"/>
                  <w:marBottom w:val="240"/>
                  <w:divBdr>
                    <w:top w:val="single" w:sz="6" w:space="0" w:color="E4E4E6"/>
                    <w:left w:val="single" w:sz="6" w:space="0" w:color="E4E4E6"/>
                    <w:bottom w:val="single" w:sz="6" w:space="18" w:color="E4E4E6"/>
                    <w:right w:val="single" w:sz="6" w:space="0" w:color="E4E4E6"/>
                  </w:divBdr>
                </w:div>
              </w:divsChild>
            </w:div>
          </w:divsChild>
        </w:div>
        <w:div w:id="671684116">
          <w:marLeft w:val="0"/>
          <w:marRight w:val="0"/>
          <w:marTop w:val="0"/>
          <w:marBottom w:val="0"/>
          <w:divBdr>
            <w:top w:val="single" w:sz="6" w:space="0" w:color="E4E4E6"/>
            <w:left w:val="none" w:sz="0" w:space="0" w:color="auto"/>
            <w:bottom w:val="none" w:sz="0" w:space="0" w:color="auto"/>
            <w:right w:val="none" w:sz="0" w:space="0" w:color="auto"/>
          </w:divBdr>
          <w:divsChild>
            <w:div w:id="426078514">
              <w:marLeft w:val="0"/>
              <w:marRight w:val="0"/>
              <w:marTop w:val="0"/>
              <w:marBottom w:val="0"/>
              <w:divBdr>
                <w:top w:val="none" w:sz="0" w:space="0" w:color="auto"/>
                <w:left w:val="none" w:sz="0" w:space="0" w:color="auto"/>
                <w:bottom w:val="none" w:sz="0" w:space="0" w:color="auto"/>
                <w:right w:val="none" w:sz="0" w:space="0" w:color="auto"/>
              </w:divBdr>
              <w:divsChild>
                <w:div w:id="861239308">
                  <w:marLeft w:val="0"/>
                  <w:marRight w:val="1500"/>
                  <w:marTop w:val="100"/>
                  <w:marBottom w:val="100"/>
                  <w:divBdr>
                    <w:top w:val="none" w:sz="0" w:space="0" w:color="auto"/>
                    <w:left w:val="none" w:sz="0" w:space="0" w:color="auto"/>
                    <w:bottom w:val="none" w:sz="0" w:space="0" w:color="auto"/>
                    <w:right w:val="none" w:sz="0" w:space="0" w:color="auto"/>
                  </w:divBdr>
                  <w:divsChild>
                    <w:div w:id="1388870679">
                      <w:marLeft w:val="0"/>
                      <w:marRight w:val="0"/>
                      <w:marTop w:val="300"/>
                      <w:marBottom w:val="450"/>
                      <w:divBdr>
                        <w:top w:val="none" w:sz="0" w:space="0" w:color="auto"/>
                        <w:left w:val="none" w:sz="0" w:space="0" w:color="auto"/>
                        <w:bottom w:val="none" w:sz="0" w:space="0" w:color="auto"/>
                        <w:right w:val="none" w:sz="0" w:space="0" w:color="auto"/>
                      </w:divBdr>
                      <w:divsChild>
                        <w:div w:id="1188985386">
                          <w:marLeft w:val="0"/>
                          <w:marRight w:val="0"/>
                          <w:marTop w:val="0"/>
                          <w:marBottom w:val="0"/>
                          <w:divBdr>
                            <w:top w:val="none" w:sz="0" w:space="0" w:color="auto"/>
                            <w:left w:val="none" w:sz="0" w:space="0" w:color="auto"/>
                            <w:bottom w:val="none" w:sz="0" w:space="0" w:color="auto"/>
                            <w:right w:val="none" w:sz="0" w:space="0" w:color="auto"/>
                          </w:divBdr>
                          <w:divsChild>
                            <w:div w:id="1033265160">
                              <w:marLeft w:val="0"/>
                              <w:marRight w:val="0"/>
                              <w:marTop w:val="0"/>
                              <w:marBottom w:val="0"/>
                              <w:divBdr>
                                <w:top w:val="none" w:sz="0" w:space="0" w:color="auto"/>
                                <w:left w:val="none" w:sz="0" w:space="0" w:color="auto"/>
                                <w:bottom w:val="none" w:sz="0" w:space="0" w:color="auto"/>
                                <w:right w:val="none" w:sz="0" w:space="0" w:color="auto"/>
                              </w:divBdr>
                              <w:divsChild>
                                <w:div w:id="1822303836">
                                  <w:marLeft w:val="0"/>
                                  <w:marRight w:val="0"/>
                                  <w:marTop w:val="0"/>
                                  <w:marBottom w:val="0"/>
                                  <w:divBdr>
                                    <w:top w:val="none" w:sz="0" w:space="0" w:color="auto"/>
                                    <w:left w:val="none" w:sz="0" w:space="0" w:color="auto"/>
                                    <w:bottom w:val="none" w:sz="0" w:space="0" w:color="auto"/>
                                    <w:right w:val="none" w:sz="0" w:space="0" w:color="auto"/>
                                  </w:divBdr>
                                  <w:divsChild>
                                    <w:div w:id="5534664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013660">
      <w:bodyDiv w:val="1"/>
      <w:marLeft w:val="0"/>
      <w:marRight w:val="0"/>
      <w:marTop w:val="0"/>
      <w:marBottom w:val="0"/>
      <w:divBdr>
        <w:top w:val="none" w:sz="0" w:space="0" w:color="auto"/>
        <w:left w:val="none" w:sz="0" w:space="0" w:color="auto"/>
        <w:bottom w:val="none" w:sz="0" w:space="0" w:color="auto"/>
        <w:right w:val="none" w:sz="0" w:space="0" w:color="auto"/>
      </w:divBdr>
    </w:div>
    <w:div w:id="343094860">
      <w:bodyDiv w:val="1"/>
      <w:marLeft w:val="0"/>
      <w:marRight w:val="0"/>
      <w:marTop w:val="0"/>
      <w:marBottom w:val="0"/>
      <w:divBdr>
        <w:top w:val="none" w:sz="0" w:space="0" w:color="auto"/>
        <w:left w:val="none" w:sz="0" w:space="0" w:color="auto"/>
        <w:bottom w:val="none" w:sz="0" w:space="0" w:color="auto"/>
        <w:right w:val="none" w:sz="0" w:space="0" w:color="auto"/>
      </w:divBdr>
    </w:div>
    <w:div w:id="345668890">
      <w:bodyDiv w:val="1"/>
      <w:marLeft w:val="0"/>
      <w:marRight w:val="0"/>
      <w:marTop w:val="0"/>
      <w:marBottom w:val="0"/>
      <w:divBdr>
        <w:top w:val="none" w:sz="0" w:space="0" w:color="auto"/>
        <w:left w:val="none" w:sz="0" w:space="0" w:color="auto"/>
        <w:bottom w:val="none" w:sz="0" w:space="0" w:color="auto"/>
        <w:right w:val="none" w:sz="0" w:space="0" w:color="auto"/>
      </w:divBdr>
    </w:div>
    <w:div w:id="346368168">
      <w:bodyDiv w:val="1"/>
      <w:marLeft w:val="0"/>
      <w:marRight w:val="0"/>
      <w:marTop w:val="0"/>
      <w:marBottom w:val="0"/>
      <w:divBdr>
        <w:top w:val="none" w:sz="0" w:space="0" w:color="auto"/>
        <w:left w:val="none" w:sz="0" w:space="0" w:color="auto"/>
        <w:bottom w:val="none" w:sz="0" w:space="0" w:color="auto"/>
        <w:right w:val="none" w:sz="0" w:space="0" w:color="auto"/>
      </w:divBdr>
    </w:div>
    <w:div w:id="348289641">
      <w:bodyDiv w:val="1"/>
      <w:marLeft w:val="0"/>
      <w:marRight w:val="0"/>
      <w:marTop w:val="0"/>
      <w:marBottom w:val="0"/>
      <w:divBdr>
        <w:top w:val="none" w:sz="0" w:space="0" w:color="auto"/>
        <w:left w:val="none" w:sz="0" w:space="0" w:color="auto"/>
        <w:bottom w:val="none" w:sz="0" w:space="0" w:color="auto"/>
        <w:right w:val="none" w:sz="0" w:space="0" w:color="auto"/>
      </w:divBdr>
    </w:div>
    <w:div w:id="350301460">
      <w:bodyDiv w:val="1"/>
      <w:marLeft w:val="0"/>
      <w:marRight w:val="0"/>
      <w:marTop w:val="0"/>
      <w:marBottom w:val="0"/>
      <w:divBdr>
        <w:top w:val="none" w:sz="0" w:space="0" w:color="auto"/>
        <w:left w:val="none" w:sz="0" w:space="0" w:color="auto"/>
        <w:bottom w:val="none" w:sz="0" w:space="0" w:color="auto"/>
        <w:right w:val="none" w:sz="0" w:space="0" w:color="auto"/>
      </w:divBdr>
    </w:div>
    <w:div w:id="353464336">
      <w:bodyDiv w:val="1"/>
      <w:marLeft w:val="0"/>
      <w:marRight w:val="0"/>
      <w:marTop w:val="0"/>
      <w:marBottom w:val="0"/>
      <w:divBdr>
        <w:top w:val="none" w:sz="0" w:space="0" w:color="auto"/>
        <w:left w:val="none" w:sz="0" w:space="0" w:color="auto"/>
        <w:bottom w:val="none" w:sz="0" w:space="0" w:color="auto"/>
        <w:right w:val="none" w:sz="0" w:space="0" w:color="auto"/>
      </w:divBdr>
    </w:div>
    <w:div w:id="356734986">
      <w:bodyDiv w:val="1"/>
      <w:marLeft w:val="0"/>
      <w:marRight w:val="0"/>
      <w:marTop w:val="0"/>
      <w:marBottom w:val="0"/>
      <w:divBdr>
        <w:top w:val="none" w:sz="0" w:space="0" w:color="auto"/>
        <w:left w:val="none" w:sz="0" w:space="0" w:color="auto"/>
        <w:bottom w:val="none" w:sz="0" w:space="0" w:color="auto"/>
        <w:right w:val="none" w:sz="0" w:space="0" w:color="auto"/>
      </w:divBdr>
    </w:div>
    <w:div w:id="358747777">
      <w:bodyDiv w:val="1"/>
      <w:marLeft w:val="0"/>
      <w:marRight w:val="0"/>
      <w:marTop w:val="0"/>
      <w:marBottom w:val="0"/>
      <w:divBdr>
        <w:top w:val="none" w:sz="0" w:space="0" w:color="auto"/>
        <w:left w:val="none" w:sz="0" w:space="0" w:color="auto"/>
        <w:bottom w:val="none" w:sz="0" w:space="0" w:color="auto"/>
        <w:right w:val="none" w:sz="0" w:space="0" w:color="auto"/>
      </w:divBdr>
    </w:div>
    <w:div w:id="360058499">
      <w:bodyDiv w:val="1"/>
      <w:marLeft w:val="0"/>
      <w:marRight w:val="0"/>
      <w:marTop w:val="0"/>
      <w:marBottom w:val="0"/>
      <w:divBdr>
        <w:top w:val="none" w:sz="0" w:space="0" w:color="auto"/>
        <w:left w:val="none" w:sz="0" w:space="0" w:color="auto"/>
        <w:bottom w:val="none" w:sz="0" w:space="0" w:color="auto"/>
        <w:right w:val="none" w:sz="0" w:space="0" w:color="auto"/>
      </w:divBdr>
    </w:div>
    <w:div w:id="361246054">
      <w:bodyDiv w:val="1"/>
      <w:marLeft w:val="0"/>
      <w:marRight w:val="0"/>
      <w:marTop w:val="0"/>
      <w:marBottom w:val="0"/>
      <w:divBdr>
        <w:top w:val="none" w:sz="0" w:space="0" w:color="auto"/>
        <w:left w:val="none" w:sz="0" w:space="0" w:color="auto"/>
        <w:bottom w:val="none" w:sz="0" w:space="0" w:color="auto"/>
        <w:right w:val="none" w:sz="0" w:space="0" w:color="auto"/>
      </w:divBdr>
    </w:div>
    <w:div w:id="362904156">
      <w:bodyDiv w:val="1"/>
      <w:marLeft w:val="0"/>
      <w:marRight w:val="0"/>
      <w:marTop w:val="0"/>
      <w:marBottom w:val="0"/>
      <w:divBdr>
        <w:top w:val="none" w:sz="0" w:space="0" w:color="auto"/>
        <w:left w:val="none" w:sz="0" w:space="0" w:color="auto"/>
        <w:bottom w:val="none" w:sz="0" w:space="0" w:color="auto"/>
        <w:right w:val="none" w:sz="0" w:space="0" w:color="auto"/>
      </w:divBdr>
    </w:div>
    <w:div w:id="364403367">
      <w:bodyDiv w:val="1"/>
      <w:marLeft w:val="0"/>
      <w:marRight w:val="0"/>
      <w:marTop w:val="0"/>
      <w:marBottom w:val="0"/>
      <w:divBdr>
        <w:top w:val="none" w:sz="0" w:space="0" w:color="auto"/>
        <w:left w:val="none" w:sz="0" w:space="0" w:color="auto"/>
        <w:bottom w:val="none" w:sz="0" w:space="0" w:color="auto"/>
        <w:right w:val="none" w:sz="0" w:space="0" w:color="auto"/>
      </w:divBdr>
    </w:div>
    <w:div w:id="364674089">
      <w:bodyDiv w:val="1"/>
      <w:marLeft w:val="0"/>
      <w:marRight w:val="0"/>
      <w:marTop w:val="0"/>
      <w:marBottom w:val="0"/>
      <w:divBdr>
        <w:top w:val="none" w:sz="0" w:space="0" w:color="auto"/>
        <w:left w:val="none" w:sz="0" w:space="0" w:color="auto"/>
        <w:bottom w:val="none" w:sz="0" w:space="0" w:color="auto"/>
        <w:right w:val="none" w:sz="0" w:space="0" w:color="auto"/>
      </w:divBdr>
    </w:div>
    <w:div w:id="366175515">
      <w:bodyDiv w:val="1"/>
      <w:marLeft w:val="0"/>
      <w:marRight w:val="0"/>
      <w:marTop w:val="0"/>
      <w:marBottom w:val="0"/>
      <w:divBdr>
        <w:top w:val="none" w:sz="0" w:space="0" w:color="auto"/>
        <w:left w:val="none" w:sz="0" w:space="0" w:color="auto"/>
        <w:bottom w:val="none" w:sz="0" w:space="0" w:color="auto"/>
        <w:right w:val="none" w:sz="0" w:space="0" w:color="auto"/>
      </w:divBdr>
    </w:div>
    <w:div w:id="367415690">
      <w:bodyDiv w:val="1"/>
      <w:marLeft w:val="0"/>
      <w:marRight w:val="0"/>
      <w:marTop w:val="0"/>
      <w:marBottom w:val="0"/>
      <w:divBdr>
        <w:top w:val="none" w:sz="0" w:space="0" w:color="auto"/>
        <w:left w:val="none" w:sz="0" w:space="0" w:color="auto"/>
        <w:bottom w:val="none" w:sz="0" w:space="0" w:color="auto"/>
        <w:right w:val="none" w:sz="0" w:space="0" w:color="auto"/>
      </w:divBdr>
    </w:div>
    <w:div w:id="371805343">
      <w:bodyDiv w:val="1"/>
      <w:marLeft w:val="0"/>
      <w:marRight w:val="0"/>
      <w:marTop w:val="0"/>
      <w:marBottom w:val="0"/>
      <w:divBdr>
        <w:top w:val="none" w:sz="0" w:space="0" w:color="auto"/>
        <w:left w:val="none" w:sz="0" w:space="0" w:color="auto"/>
        <w:bottom w:val="none" w:sz="0" w:space="0" w:color="auto"/>
        <w:right w:val="none" w:sz="0" w:space="0" w:color="auto"/>
      </w:divBdr>
    </w:div>
    <w:div w:id="374547982">
      <w:bodyDiv w:val="1"/>
      <w:marLeft w:val="0"/>
      <w:marRight w:val="0"/>
      <w:marTop w:val="0"/>
      <w:marBottom w:val="0"/>
      <w:divBdr>
        <w:top w:val="none" w:sz="0" w:space="0" w:color="auto"/>
        <w:left w:val="none" w:sz="0" w:space="0" w:color="auto"/>
        <w:bottom w:val="none" w:sz="0" w:space="0" w:color="auto"/>
        <w:right w:val="none" w:sz="0" w:space="0" w:color="auto"/>
      </w:divBdr>
    </w:div>
    <w:div w:id="377895602">
      <w:bodyDiv w:val="1"/>
      <w:marLeft w:val="0"/>
      <w:marRight w:val="0"/>
      <w:marTop w:val="0"/>
      <w:marBottom w:val="0"/>
      <w:divBdr>
        <w:top w:val="none" w:sz="0" w:space="0" w:color="auto"/>
        <w:left w:val="none" w:sz="0" w:space="0" w:color="auto"/>
        <w:bottom w:val="none" w:sz="0" w:space="0" w:color="auto"/>
        <w:right w:val="none" w:sz="0" w:space="0" w:color="auto"/>
      </w:divBdr>
    </w:div>
    <w:div w:id="379935366">
      <w:bodyDiv w:val="1"/>
      <w:marLeft w:val="0"/>
      <w:marRight w:val="0"/>
      <w:marTop w:val="0"/>
      <w:marBottom w:val="0"/>
      <w:divBdr>
        <w:top w:val="none" w:sz="0" w:space="0" w:color="auto"/>
        <w:left w:val="none" w:sz="0" w:space="0" w:color="auto"/>
        <w:bottom w:val="none" w:sz="0" w:space="0" w:color="auto"/>
        <w:right w:val="none" w:sz="0" w:space="0" w:color="auto"/>
      </w:divBdr>
    </w:div>
    <w:div w:id="381638364">
      <w:bodyDiv w:val="1"/>
      <w:marLeft w:val="0"/>
      <w:marRight w:val="0"/>
      <w:marTop w:val="0"/>
      <w:marBottom w:val="0"/>
      <w:divBdr>
        <w:top w:val="none" w:sz="0" w:space="0" w:color="auto"/>
        <w:left w:val="none" w:sz="0" w:space="0" w:color="auto"/>
        <w:bottom w:val="none" w:sz="0" w:space="0" w:color="auto"/>
        <w:right w:val="none" w:sz="0" w:space="0" w:color="auto"/>
      </w:divBdr>
    </w:div>
    <w:div w:id="388070323">
      <w:bodyDiv w:val="1"/>
      <w:marLeft w:val="0"/>
      <w:marRight w:val="0"/>
      <w:marTop w:val="0"/>
      <w:marBottom w:val="0"/>
      <w:divBdr>
        <w:top w:val="none" w:sz="0" w:space="0" w:color="auto"/>
        <w:left w:val="none" w:sz="0" w:space="0" w:color="auto"/>
        <w:bottom w:val="none" w:sz="0" w:space="0" w:color="auto"/>
        <w:right w:val="none" w:sz="0" w:space="0" w:color="auto"/>
      </w:divBdr>
    </w:div>
    <w:div w:id="388920504">
      <w:bodyDiv w:val="1"/>
      <w:marLeft w:val="0"/>
      <w:marRight w:val="0"/>
      <w:marTop w:val="0"/>
      <w:marBottom w:val="0"/>
      <w:divBdr>
        <w:top w:val="none" w:sz="0" w:space="0" w:color="auto"/>
        <w:left w:val="none" w:sz="0" w:space="0" w:color="auto"/>
        <w:bottom w:val="none" w:sz="0" w:space="0" w:color="auto"/>
        <w:right w:val="none" w:sz="0" w:space="0" w:color="auto"/>
      </w:divBdr>
    </w:div>
    <w:div w:id="391001475">
      <w:bodyDiv w:val="1"/>
      <w:marLeft w:val="0"/>
      <w:marRight w:val="0"/>
      <w:marTop w:val="0"/>
      <w:marBottom w:val="0"/>
      <w:divBdr>
        <w:top w:val="none" w:sz="0" w:space="0" w:color="auto"/>
        <w:left w:val="none" w:sz="0" w:space="0" w:color="auto"/>
        <w:bottom w:val="none" w:sz="0" w:space="0" w:color="auto"/>
        <w:right w:val="none" w:sz="0" w:space="0" w:color="auto"/>
      </w:divBdr>
      <w:divsChild>
        <w:div w:id="463238212">
          <w:marLeft w:val="0"/>
          <w:marRight w:val="0"/>
          <w:marTop w:val="0"/>
          <w:marBottom w:val="60"/>
          <w:divBdr>
            <w:top w:val="none" w:sz="0" w:space="0" w:color="auto"/>
            <w:left w:val="none" w:sz="0" w:space="0" w:color="auto"/>
            <w:bottom w:val="none" w:sz="0" w:space="0" w:color="auto"/>
            <w:right w:val="none" w:sz="0" w:space="0" w:color="auto"/>
          </w:divBdr>
          <w:divsChild>
            <w:div w:id="31152488">
              <w:marLeft w:val="0"/>
              <w:marRight w:val="0"/>
              <w:marTop w:val="0"/>
              <w:marBottom w:val="0"/>
              <w:divBdr>
                <w:top w:val="none" w:sz="0" w:space="0" w:color="auto"/>
                <w:left w:val="none" w:sz="0" w:space="0" w:color="auto"/>
                <w:bottom w:val="none" w:sz="0" w:space="0" w:color="auto"/>
                <w:right w:val="none" w:sz="0" w:space="0" w:color="auto"/>
              </w:divBdr>
              <w:divsChild>
                <w:div w:id="1088843152">
                  <w:marLeft w:val="0"/>
                  <w:marRight w:val="0"/>
                  <w:marTop w:val="0"/>
                  <w:marBottom w:val="0"/>
                  <w:divBdr>
                    <w:top w:val="none" w:sz="0" w:space="0" w:color="auto"/>
                    <w:left w:val="none" w:sz="0" w:space="0" w:color="auto"/>
                    <w:bottom w:val="none" w:sz="0" w:space="0" w:color="auto"/>
                    <w:right w:val="none" w:sz="0" w:space="0" w:color="auto"/>
                  </w:divBdr>
                  <w:divsChild>
                    <w:div w:id="1535919330">
                      <w:marLeft w:val="0"/>
                      <w:marRight w:val="0"/>
                      <w:marTop w:val="0"/>
                      <w:marBottom w:val="30"/>
                      <w:divBdr>
                        <w:top w:val="none" w:sz="0" w:space="0" w:color="auto"/>
                        <w:left w:val="none" w:sz="0" w:space="0" w:color="auto"/>
                        <w:bottom w:val="none" w:sz="0" w:space="0" w:color="auto"/>
                        <w:right w:val="none" w:sz="0" w:space="0" w:color="auto"/>
                      </w:divBdr>
                      <w:divsChild>
                        <w:div w:id="1101604662">
                          <w:marLeft w:val="0"/>
                          <w:marRight w:val="0"/>
                          <w:marTop w:val="0"/>
                          <w:marBottom w:val="0"/>
                          <w:divBdr>
                            <w:top w:val="none" w:sz="0" w:space="0" w:color="auto"/>
                            <w:left w:val="none" w:sz="0" w:space="0" w:color="auto"/>
                            <w:bottom w:val="none" w:sz="0" w:space="0" w:color="auto"/>
                            <w:right w:val="none" w:sz="0" w:space="0" w:color="auto"/>
                          </w:divBdr>
                          <w:divsChild>
                            <w:div w:id="1017346455">
                              <w:marLeft w:val="0"/>
                              <w:marRight w:val="0"/>
                              <w:marTop w:val="0"/>
                              <w:marBottom w:val="0"/>
                              <w:divBdr>
                                <w:top w:val="none" w:sz="0" w:space="0" w:color="auto"/>
                                <w:left w:val="none" w:sz="0" w:space="0" w:color="auto"/>
                                <w:bottom w:val="none" w:sz="0" w:space="0" w:color="auto"/>
                                <w:right w:val="none" w:sz="0" w:space="0" w:color="auto"/>
                              </w:divBdr>
                              <w:divsChild>
                                <w:div w:id="822812619">
                                  <w:marLeft w:val="0"/>
                                  <w:marRight w:val="0"/>
                                  <w:marTop w:val="0"/>
                                  <w:marBottom w:val="0"/>
                                  <w:divBdr>
                                    <w:top w:val="none" w:sz="0" w:space="0" w:color="auto"/>
                                    <w:left w:val="none" w:sz="0" w:space="0" w:color="auto"/>
                                    <w:bottom w:val="none" w:sz="0" w:space="0" w:color="auto"/>
                                    <w:right w:val="none" w:sz="0" w:space="0" w:color="auto"/>
                                  </w:divBdr>
                                  <w:divsChild>
                                    <w:div w:id="511377973">
                                      <w:marLeft w:val="0"/>
                                      <w:marRight w:val="0"/>
                                      <w:marTop w:val="0"/>
                                      <w:marBottom w:val="0"/>
                                      <w:divBdr>
                                        <w:top w:val="none" w:sz="0" w:space="0" w:color="auto"/>
                                        <w:left w:val="none" w:sz="0" w:space="0" w:color="auto"/>
                                        <w:bottom w:val="none" w:sz="0" w:space="0" w:color="auto"/>
                                        <w:right w:val="none" w:sz="0" w:space="0" w:color="auto"/>
                                      </w:divBdr>
                                      <w:divsChild>
                                        <w:div w:id="484051792">
                                          <w:marLeft w:val="0"/>
                                          <w:marRight w:val="0"/>
                                          <w:marTop w:val="0"/>
                                          <w:marBottom w:val="0"/>
                                          <w:divBdr>
                                            <w:top w:val="none" w:sz="0" w:space="0" w:color="auto"/>
                                            <w:left w:val="none" w:sz="0" w:space="0" w:color="auto"/>
                                            <w:bottom w:val="none" w:sz="0" w:space="0" w:color="auto"/>
                                            <w:right w:val="none" w:sz="0" w:space="0" w:color="auto"/>
                                          </w:divBdr>
                                          <w:divsChild>
                                            <w:div w:id="1138961548">
                                              <w:marLeft w:val="0"/>
                                              <w:marRight w:val="0"/>
                                              <w:marTop w:val="0"/>
                                              <w:marBottom w:val="0"/>
                                              <w:divBdr>
                                                <w:top w:val="none" w:sz="0" w:space="0" w:color="auto"/>
                                                <w:left w:val="none" w:sz="0" w:space="0" w:color="auto"/>
                                                <w:bottom w:val="none" w:sz="0" w:space="0" w:color="auto"/>
                                                <w:right w:val="none" w:sz="0" w:space="0" w:color="auto"/>
                                              </w:divBdr>
                                            </w:div>
                                          </w:divsChild>
                                        </w:div>
                                        <w:div w:id="645862339">
                                          <w:marLeft w:val="0"/>
                                          <w:marRight w:val="0"/>
                                          <w:marTop w:val="0"/>
                                          <w:marBottom w:val="0"/>
                                          <w:divBdr>
                                            <w:top w:val="none" w:sz="0" w:space="0" w:color="auto"/>
                                            <w:left w:val="none" w:sz="0" w:space="0" w:color="auto"/>
                                            <w:bottom w:val="none" w:sz="0" w:space="0" w:color="auto"/>
                                            <w:right w:val="none" w:sz="0" w:space="0" w:color="auto"/>
                                          </w:divBdr>
                                          <w:divsChild>
                                            <w:div w:id="533151993">
                                              <w:marLeft w:val="0"/>
                                              <w:marRight w:val="0"/>
                                              <w:marTop w:val="0"/>
                                              <w:marBottom w:val="0"/>
                                              <w:divBdr>
                                                <w:top w:val="none" w:sz="0" w:space="0" w:color="auto"/>
                                                <w:left w:val="none" w:sz="0" w:space="0" w:color="auto"/>
                                                <w:bottom w:val="none" w:sz="0" w:space="0" w:color="auto"/>
                                                <w:right w:val="none" w:sz="0" w:space="0" w:color="auto"/>
                                              </w:divBdr>
                                              <w:divsChild>
                                                <w:div w:id="2030056542">
                                                  <w:marLeft w:val="0"/>
                                                  <w:marRight w:val="0"/>
                                                  <w:marTop w:val="0"/>
                                                  <w:marBottom w:val="0"/>
                                                  <w:divBdr>
                                                    <w:top w:val="none" w:sz="0" w:space="0" w:color="auto"/>
                                                    <w:left w:val="none" w:sz="0" w:space="0" w:color="auto"/>
                                                    <w:bottom w:val="none" w:sz="0" w:space="0" w:color="auto"/>
                                                    <w:right w:val="none" w:sz="0" w:space="0" w:color="auto"/>
                                                  </w:divBdr>
                                                  <w:divsChild>
                                                    <w:div w:id="766656776">
                                                      <w:marLeft w:val="0"/>
                                                      <w:marRight w:val="0"/>
                                                      <w:marTop w:val="0"/>
                                                      <w:marBottom w:val="0"/>
                                                      <w:divBdr>
                                                        <w:top w:val="none" w:sz="0" w:space="0" w:color="auto"/>
                                                        <w:left w:val="none" w:sz="0" w:space="0" w:color="auto"/>
                                                        <w:bottom w:val="none" w:sz="0" w:space="0" w:color="auto"/>
                                                        <w:right w:val="none" w:sz="0" w:space="0" w:color="auto"/>
                                                      </w:divBdr>
                                                      <w:divsChild>
                                                        <w:div w:id="1749955949">
                                                          <w:marLeft w:val="0"/>
                                                          <w:marRight w:val="0"/>
                                                          <w:marTop w:val="0"/>
                                                          <w:marBottom w:val="0"/>
                                                          <w:divBdr>
                                                            <w:top w:val="none" w:sz="0" w:space="0" w:color="auto"/>
                                                            <w:left w:val="none" w:sz="0" w:space="0" w:color="auto"/>
                                                            <w:bottom w:val="none" w:sz="0" w:space="0" w:color="auto"/>
                                                            <w:right w:val="none" w:sz="0" w:space="0" w:color="auto"/>
                                                          </w:divBdr>
                                                          <w:divsChild>
                                                            <w:div w:id="1930694176">
                                                              <w:marLeft w:val="0"/>
                                                              <w:marRight w:val="0"/>
                                                              <w:marTop w:val="0"/>
                                                              <w:marBottom w:val="0"/>
                                                              <w:divBdr>
                                                                <w:top w:val="none" w:sz="0" w:space="0" w:color="auto"/>
                                                                <w:left w:val="none" w:sz="0" w:space="0" w:color="auto"/>
                                                                <w:bottom w:val="none" w:sz="0" w:space="0" w:color="auto"/>
                                                                <w:right w:val="none" w:sz="0" w:space="0" w:color="auto"/>
                                                              </w:divBdr>
                                                              <w:divsChild>
                                                                <w:div w:id="619915079">
                                                                  <w:marLeft w:val="0"/>
                                                                  <w:marRight w:val="0"/>
                                                                  <w:marTop w:val="0"/>
                                                                  <w:marBottom w:val="0"/>
                                                                  <w:divBdr>
                                                                    <w:top w:val="none" w:sz="0" w:space="0" w:color="auto"/>
                                                                    <w:left w:val="none" w:sz="0" w:space="0" w:color="auto"/>
                                                                    <w:bottom w:val="none" w:sz="0" w:space="0" w:color="auto"/>
                                                                    <w:right w:val="none" w:sz="0" w:space="0" w:color="auto"/>
                                                                  </w:divBdr>
                                                                  <w:divsChild>
                                                                    <w:div w:id="219828279">
                                                                      <w:marLeft w:val="0"/>
                                                                      <w:marRight w:val="0"/>
                                                                      <w:marTop w:val="0"/>
                                                                      <w:marBottom w:val="0"/>
                                                                      <w:divBdr>
                                                                        <w:top w:val="none" w:sz="0" w:space="0" w:color="auto"/>
                                                                        <w:left w:val="none" w:sz="0" w:space="0" w:color="auto"/>
                                                                        <w:bottom w:val="none" w:sz="0" w:space="0" w:color="auto"/>
                                                                        <w:right w:val="none" w:sz="0" w:space="0" w:color="auto"/>
                                                                      </w:divBdr>
                                                                    </w:div>
                                                                    <w:div w:id="1784494462">
                                                                      <w:marLeft w:val="0"/>
                                                                      <w:marRight w:val="0"/>
                                                                      <w:marTop w:val="0"/>
                                                                      <w:marBottom w:val="0"/>
                                                                      <w:divBdr>
                                                                        <w:top w:val="none" w:sz="0" w:space="0" w:color="auto"/>
                                                                        <w:left w:val="none" w:sz="0" w:space="0" w:color="auto"/>
                                                                        <w:bottom w:val="none" w:sz="0" w:space="0" w:color="auto"/>
                                                                        <w:right w:val="none" w:sz="0" w:space="0" w:color="auto"/>
                                                                      </w:divBdr>
                                                                    </w:div>
                                                                    <w:div w:id="19542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758920">
                  <w:marLeft w:val="0"/>
                  <w:marRight w:val="0"/>
                  <w:marTop w:val="0"/>
                  <w:marBottom w:val="0"/>
                  <w:divBdr>
                    <w:top w:val="none" w:sz="0" w:space="0" w:color="auto"/>
                    <w:left w:val="none" w:sz="0" w:space="0" w:color="auto"/>
                    <w:bottom w:val="none" w:sz="0" w:space="0" w:color="auto"/>
                    <w:right w:val="none" w:sz="0" w:space="0" w:color="auto"/>
                  </w:divBdr>
                  <w:divsChild>
                    <w:div w:id="1903637570">
                      <w:marLeft w:val="0"/>
                      <w:marRight w:val="0"/>
                      <w:marTop w:val="0"/>
                      <w:marBottom w:val="0"/>
                      <w:divBdr>
                        <w:top w:val="none" w:sz="0" w:space="0" w:color="auto"/>
                        <w:left w:val="none" w:sz="0" w:space="0" w:color="auto"/>
                        <w:bottom w:val="none" w:sz="0" w:space="0" w:color="auto"/>
                        <w:right w:val="none" w:sz="0" w:space="0" w:color="auto"/>
                      </w:divBdr>
                      <w:divsChild>
                        <w:div w:id="1411852781">
                          <w:marLeft w:val="0"/>
                          <w:marRight w:val="0"/>
                          <w:marTop w:val="105"/>
                          <w:marBottom w:val="0"/>
                          <w:divBdr>
                            <w:top w:val="none" w:sz="0" w:space="0" w:color="auto"/>
                            <w:left w:val="none" w:sz="0" w:space="0" w:color="auto"/>
                            <w:bottom w:val="none" w:sz="0" w:space="0" w:color="auto"/>
                            <w:right w:val="none" w:sz="0" w:space="0" w:color="auto"/>
                          </w:divBdr>
                          <w:divsChild>
                            <w:div w:id="31079710">
                              <w:marLeft w:val="0"/>
                              <w:marRight w:val="0"/>
                              <w:marTop w:val="0"/>
                              <w:marBottom w:val="0"/>
                              <w:divBdr>
                                <w:top w:val="none" w:sz="0" w:space="0" w:color="auto"/>
                                <w:left w:val="none" w:sz="0" w:space="0" w:color="auto"/>
                                <w:bottom w:val="none" w:sz="0" w:space="0" w:color="auto"/>
                                <w:right w:val="none" w:sz="0" w:space="0" w:color="auto"/>
                              </w:divBdr>
                              <w:divsChild>
                                <w:div w:id="126825078">
                                  <w:marLeft w:val="0"/>
                                  <w:marRight w:val="0"/>
                                  <w:marTop w:val="0"/>
                                  <w:marBottom w:val="0"/>
                                  <w:divBdr>
                                    <w:top w:val="none" w:sz="0" w:space="0" w:color="auto"/>
                                    <w:left w:val="none" w:sz="0" w:space="0" w:color="auto"/>
                                    <w:bottom w:val="none" w:sz="0" w:space="0" w:color="auto"/>
                                    <w:right w:val="none" w:sz="0" w:space="0" w:color="auto"/>
                                  </w:divBdr>
                                  <w:divsChild>
                                    <w:div w:id="1106997373">
                                      <w:marLeft w:val="0"/>
                                      <w:marRight w:val="0"/>
                                      <w:marTop w:val="0"/>
                                      <w:marBottom w:val="0"/>
                                      <w:divBdr>
                                        <w:top w:val="none" w:sz="0" w:space="0" w:color="auto"/>
                                        <w:left w:val="none" w:sz="0" w:space="0" w:color="auto"/>
                                        <w:bottom w:val="none" w:sz="0" w:space="0" w:color="auto"/>
                                        <w:right w:val="none" w:sz="0" w:space="0" w:color="auto"/>
                                      </w:divBdr>
                                      <w:divsChild>
                                        <w:div w:id="1195387318">
                                          <w:marLeft w:val="0"/>
                                          <w:marRight w:val="0"/>
                                          <w:marTop w:val="150"/>
                                          <w:marBottom w:val="150"/>
                                          <w:divBdr>
                                            <w:top w:val="none" w:sz="0" w:space="0" w:color="auto"/>
                                            <w:left w:val="none" w:sz="0" w:space="0" w:color="auto"/>
                                            <w:bottom w:val="none" w:sz="0" w:space="0" w:color="auto"/>
                                            <w:right w:val="none" w:sz="0" w:space="0" w:color="auto"/>
                                          </w:divBdr>
                                          <w:divsChild>
                                            <w:div w:id="756749045">
                                              <w:marLeft w:val="0"/>
                                              <w:marRight w:val="0"/>
                                              <w:marTop w:val="0"/>
                                              <w:marBottom w:val="0"/>
                                              <w:divBdr>
                                                <w:top w:val="none" w:sz="0" w:space="0" w:color="auto"/>
                                                <w:left w:val="none" w:sz="0" w:space="0" w:color="auto"/>
                                                <w:bottom w:val="none" w:sz="0" w:space="0" w:color="auto"/>
                                                <w:right w:val="none" w:sz="0" w:space="0" w:color="auto"/>
                                              </w:divBdr>
                                              <w:divsChild>
                                                <w:div w:id="1579830445">
                                                  <w:marLeft w:val="300"/>
                                                  <w:marRight w:val="0"/>
                                                  <w:marTop w:val="0"/>
                                                  <w:marBottom w:val="0"/>
                                                  <w:divBdr>
                                                    <w:top w:val="none" w:sz="0" w:space="0" w:color="auto"/>
                                                    <w:left w:val="none" w:sz="0" w:space="0" w:color="auto"/>
                                                    <w:bottom w:val="none" w:sz="0" w:space="0" w:color="auto"/>
                                                    <w:right w:val="none" w:sz="0" w:space="0" w:color="auto"/>
                                                  </w:divBdr>
                                                  <w:divsChild>
                                                    <w:div w:id="14513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045424">
      <w:bodyDiv w:val="1"/>
      <w:marLeft w:val="0"/>
      <w:marRight w:val="0"/>
      <w:marTop w:val="0"/>
      <w:marBottom w:val="0"/>
      <w:divBdr>
        <w:top w:val="none" w:sz="0" w:space="0" w:color="auto"/>
        <w:left w:val="none" w:sz="0" w:space="0" w:color="auto"/>
        <w:bottom w:val="none" w:sz="0" w:space="0" w:color="auto"/>
        <w:right w:val="none" w:sz="0" w:space="0" w:color="auto"/>
      </w:divBdr>
    </w:div>
    <w:div w:id="393428104">
      <w:bodyDiv w:val="1"/>
      <w:marLeft w:val="0"/>
      <w:marRight w:val="0"/>
      <w:marTop w:val="0"/>
      <w:marBottom w:val="0"/>
      <w:divBdr>
        <w:top w:val="none" w:sz="0" w:space="0" w:color="auto"/>
        <w:left w:val="none" w:sz="0" w:space="0" w:color="auto"/>
        <w:bottom w:val="none" w:sz="0" w:space="0" w:color="auto"/>
        <w:right w:val="none" w:sz="0" w:space="0" w:color="auto"/>
      </w:divBdr>
    </w:div>
    <w:div w:id="396979382">
      <w:bodyDiv w:val="1"/>
      <w:marLeft w:val="0"/>
      <w:marRight w:val="0"/>
      <w:marTop w:val="0"/>
      <w:marBottom w:val="0"/>
      <w:divBdr>
        <w:top w:val="none" w:sz="0" w:space="0" w:color="auto"/>
        <w:left w:val="none" w:sz="0" w:space="0" w:color="auto"/>
        <w:bottom w:val="none" w:sz="0" w:space="0" w:color="auto"/>
        <w:right w:val="none" w:sz="0" w:space="0" w:color="auto"/>
      </w:divBdr>
    </w:div>
    <w:div w:id="399180328">
      <w:bodyDiv w:val="1"/>
      <w:marLeft w:val="0"/>
      <w:marRight w:val="0"/>
      <w:marTop w:val="0"/>
      <w:marBottom w:val="0"/>
      <w:divBdr>
        <w:top w:val="none" w:sz="0" w:space="0" w:color="auto"/>
        <w:left w:val="none" w:sz="0" w:space="0" w:color="auto"/>
        <w:bottom w:val="none" w:sz="0" w:space="0" w:color="auto"/>
        <w:right w:val="none" w:sz="0" w:space="0" w:color="auto"/>
      </w:divBdr>
    </w:div>
    <w:div w:id="400642262">
      <w:bodyDiv w:val="1"/>
      <w:marLeft w:val="0"/>
      <w:marRight w:val="0"/>
      <w:marTop w:val="0"/>
      <w:marBottom w:val="0"/>
      <w:divBdr>
        <w:top w:val="none" w:sz="0" w:space="0" w:color="auto"/>
        <w:left w:val="none" w:sz="0" w:space="0" w:color="auto"/>
        <w:bottom w:val="none" w:sz="0" w:space="0" w:color="auto"/>
        <w:right w:val="none" w:sz="0" w:space="0" w:color="auto"/>
      </w:divBdr>
    </w:div>
    <w:div w:id="401490742">
      <w:bodyDiv w:val="1"/>
      <w:marLeft w:val="0"/>
      <w:marRight w:val="0"/>
      <w:marTop w:val="0"/>
      <w:marBottom w:val="0"/>
      <w:divBdr>
        <w:top w:val="none" w:sz="0" w:space="0" w:color="auto"/>
        <w:left w:val="none" w:sz="0" w:space="0" w:color="auto"/>
        <w:bottom w:val="none" w:sz="0" w:space="0" w:color="auto"/>
        <w:right w:val="none" w:sz="0" w:space="0" w:color="auto"/>
      </w:divBdr>
    </w:div>
    <w:div w:id="403571567">
      <w:bodyDiv w:val="1"/>
      <w:marLeft w:val="0"/>
      <w:marRight w:val="0"/>
      <w:marTop w:val="0"/>
      <w:marBottom w:val="0"/>
      <w:divBdr>
        <w:top w:val="none" w:sz="0" w:space="0" w:color="auto"/>
        <w:left w:val="none" w:sz="0" w:space="0" w:color="auto"/>
        <w:bottom w:val="none" w:sz="0" w:space="0" w:color="auto"/>
        <w:right w:val="none" w:sz="0" w:space="0" w:color="auto"/>
      </w:divBdr>
    </w:div>
    <w:div w:id="404688893">
      <w:bodyDiv w:val="1"/>
      <w:marLeft w:val="0"/>
      <w:marRight w:val="0"/>
      <w:marTop w:val="0"/>
      <w:marBottom w:val="0"/>
      <w:divBdr>
        <w:top w:val="none" w:sz="0" w:space="0" w:color="auto"/>
        <w:left w:val="none" w:sz="0" w:space="0" w:color="auto"/>
        <w:bottom w:val="none" w:sz="0" w:space="0" w:color="auto"/>
        <w:right w:val="none" w:sz="0" w:space="0" w:color="auto"/>
      </w:divBdr>
    </w:div>
    <w:div w:id="405299642">
      <w:bodyDiv w:val="1"/>
      <w:marLeft w:val="0"/>
      <w:marRight w:val="0"/>
      <w:marTop w:val="0"/>
      <w:marBottom w:val="0"/>
      <w:divBdr>
        <w:top w:val="none" w:sz="0" w:space="0" w:color="auto"/>
        <w:left w:val="none" w:sz="0" w:space="0" w:color="auto"/>
        <w:bottom w:val="none" w:sz="0" w:space="0" w:color="auto"/>
        <w:right w:val="none" w:sz="0" w:space="0" w:color="auto"/>
      </w:divBdr>
    </w:div>
    <w:div w:id="407002374">
      <w:bodyDiv w:val="1"/>
      <w:marLeft w:val="0"/>
      <w:marRight w:val="0"/>
      <w:marTop w:val="0"/>
      <w:marBottom w:val="0"/>
      <w:divBdr>
        <w:top w:val="none" w:sz="0" w:space="0" w:color="auto"/>
        <w:left w:val="none" w:sz="0" w:space="0" w:color="auto"/>
        <w:bottom w:val="none" w:sz="0" w:space="0" w:color="auto"/>
        <w:right w:val="none" w:sz="0" w:space="0" w:color="auto"/>
      </w:divBdr>
    </w:div>
    <w:div w:id="407121568">
      <w:bodyDiv w:val="1"/>
      <w:marLeft w:val="0"/>
      <w:marRight w:val="0"/>
      <w:marTop w:val="0"/>
      <w:marBottom w:val="0"/>
      <w:divBdr>
        <w:top w:val="none" w:sz="0" w:space="0" w:color="auto"/>
        <w:left w:val="none" w:sz="0" w:space="0" w:color="auto"/>
        <w:bottom w:val="none" w:sz="0" w:space="0" w:color="auto"/>
        <w:right w:val="none" w:sz="0" w:space="0" w:color="auto"/>
      </w:divBdr>
    </w:div>
    <w:div w:id="407271517">
      <w:bodyDiv w:val="1"/>
      <w:marLeft w:val="0"/>
      <w:marRight w:val="0"/>
      <w:marTop w:val="0"/>
      <w:marBottom w:val="0"/>
      <w:divBdr>
        <w:top w:val="none" w:sz="0" w:space="0" w:color="auto"/>
        <w:left w:val="none" w:sz="0" w:space="0" w:color="auto"/>
        <w:bottom w:val="none" w:sz="0" w:space="0" w:color="auto"/>
        <w:right w:val="none" w:sz="0" w:space="0" w:color="auto"/>
      </w:divBdr>
    </w:div>
    <w:div w:id="410811256">
      <w:bodyDiv w:val="1"/>
      <w:marLeft w:val="0"/>
      <w:marRight w:val="0"/>
      <w:marTop w:val="0"/>
      <w:marBottom w:val="0"/>
      <w:divBdr>
        <w:top w:val="none" w:sz="0" w:space="0" w:color="auto"/>
        <w:left w:val="none" w:sz="0" w:space="0" w:color="auto"/>
        <w:bottom w:val="none" w:sz="0" w:space="0" w:color="auto"/>
        <w:right w:val="none" w:sz="0" w:space="0" w:color="auto"/>
      </w:divBdr>
    </w:div>
    <w:div w:id="411049755">
      <w:bodyDiv w:val="1"/>
      <w:marLeft w:val="0"/>
      <w:marRight w:val="0"/>
      <w:marTop w:val="0"/>
      <w:marBottom w:val="0"/>
      <w:divBdr>
        <w:top w:val="none" w:sz="0" w:space="0" w:color="auto"/>
        <w:left w:val="none" w:sz="0" w:space="0" w:color="auto"/>
        <w:bottom w:val="none" w:sz="0" w:space="0" w:color="auto"/>
        <w:right w:val="none" w:sz="0" w:space="0" w:color="auto"/>
      </w:divBdr>
    </w:div>
    <w:div w:id="411783686">
      <w:bodyDiv w:val="1"/>
      <w:marLeft w:val="0"/>
      <w:marRight w:val="0"/>
      <w:marTop w:val="0"/>
      <w:marBottom w:val="0"/>
      <w:divBdr>
        <w:top w:val="none" w:sz="0" w:space="0" w:color="auto"/>
        <w:left w:val="none" w:sz="0" w:space="0" w:color="auto"/>
        <w:bottom w:val="none" w:sz="0" w:space="0" w:color="auto"/>
        <w:right w:val="none" w:sz="0" w:space="0" w:color="auto"/>
      </w:divBdr>
    </w:div>
    <w:div w:id="415828396">
      <w:bodyDiv w:val="1"/>
      <w:marLeft w:val="0"/>
      <w:marRight w:val="0"/>
      <w:marTop w:val="0"/>
      <w:marBottom w:val="0"/>
      <w:divBdr>
        <w:top w:val="none" w:sz="0" w:space="0" w:color="auto"/>
        <w:left w:val="none" w:sz="0" w:space="0" w:color="auto"/>
        <w:bottom w:val="none" w:sz="0" w:space="0" w:color="auto"/>
        <w:right w:val="none" w:sz="0" w:space="0" w:color="auto"/>
      </w:divBdr>
    </w:div>
    <w:div w:id="415907141">
      <w:bodyDiv w:val="1"/>
      <w:marLeft w:val="0"/>
      <w:marRight w:val="0"/>
      <w:marTop w:val="0"/>
      <w:marBottom w:val="0"/>
      <w:divBdr>
        <w:top w:val="none" w:sz="0" w:space="0" w:color="auto"/>
        <w:left w:val="none" w:sz="0" w:space="0" w:color="auto"/>
        <w:bottom w:val="none" w:sz="0" w:space="0" w:color="auto"/>
        <w:right w:val="none" w:sz="0" w:space="0" w:color="auto"/>
      </w:divBdr>
    </w:div>
    <w:div w:id="416169532">
      <w:bodyDiv w:val="1"/>
      <w:marLeft w:val="0"/>
      <w:marRight w:val="0"/>
      <w:marTop w:val="0"/>
      <w:marBottom w:val="0"/>
      <w:divBdr>
        <w:top w:val="none" w:sz="0" w:space="0" w:color="auto"/>
        <w:left w:val="none" w:sz="0" w:space="0" w:color="auto"/>
        <w:bottom w:val="none" w:sz="0" w:space="0" w:color="auto"/>
        <w:right w:val="none" w:sz="0" w:space="0" w:color="auto"/>
      </w:divBdr>
    </w:div>
    <w:div w:id="416558220">
      <w:bodyDiv w:val="1"/>
      <w:marLeft w:val="0"/>
      <w:marRight w:val="0"/>
      <w:marTop w:val="0"/>
      <w:marBottom w:val="0"/>
      <w:divBdr>
        <w:top w:val="none" w:sz="0" w:space="0" w:color="auto"/>
        <w:left w:val="none" w:sz="0" w:space="0" w:color="auto"/>
        <w:bottom w:val="none" w:sz="0" w:space="0" w:color="auto"/>
        <w:right w:val="none" w:sz="0" w:space="0" w:color="auto"/>
      </w:divBdr>
    </w:div>
    <w:div w:id="417018403">
      <w:bodyDiv w:val="1"/>
      <w:marLeft w:val="0"/>
      <w:marRight w:val="0"/>
      <w:marTop w:val="0"/>
      <w:marBottom w:val="0"/>
      <w:divBdr>
        <w:top w:val="none" w:sz="0" w:space="0" w:color="auto"/>
        <w:left w:val="none" w:sz="0" w:space="0" w:color="auto"/>
        <w:bottom w:val="none" w:sz="0" w:space="0" w:color="auto"/>
        <w:right w:val="none" w:sz="0" w:space="0" w:color="auto"/>
      </w:divBdr>
    </w:div>
    <w:div w:id="417287471">
      <w:bodyDiv w:val="1"/>
      <w:marLeft w:val="0"/>
      <w:marRight w:val="0"/>
      <w:marTop w:val="0"/>
      <w:marBottom w:val="0"/>
      <w:divBdr>
        <w:top w:val="none" w:sz="0" w:space="0" w:color="auto"/>
        <w:left w:val="none" w:sz="0" w:space="0" w:color="auto"/>
        <w:bottom w:val="none" w:sz="0" w:space="0" w:color="auto"/>
        <w:right w:val="none" w:sz="0" w:space="0" w:color="auto"/>
      </w:divBdr>
    </w:div>
    <w:div w:id="417675021">
      <w:bodyDiv w:val="1"/>
      <w:marLeft w:val="0"/>
      <w:marRight w:val="0"/>
      <w:marTop w:val="0"/>
      <w:marBottom w:val="0"/>
      <w:divBdr>
        <w:top w:val="none" w:sz="0" w:space="0" w:color="auto"/>
        <w:left w:val="none" w:sz="0" w:space="0" w:color="auto"/>
        <w:bottom w:val="none" w:sz="0" w:space="0" w:color="auto"/>
        <w:right w:val="none" w:sz="0" w:space="0" w:color="auto"/>
      </w:divBdr>
    </w:div>
    <w:div w:id="424889533">
      <w:bodyDiv w:val="1"/>
      <w:marLeft w:val="0"/>
      <w:marRight w:val="0"/>
      <w:marTop w:val="0"/>
      <w:marBottom w:val="0"/>
      <w:divBdr>
        <w:top w:val="none" w:sz="0" w:space="0" w:color="auto"/>
        <w:left w:val="none" w:sz="0" w:space="0" w:color="auto"/>
        <w:bottom w:val="none" w:sz="0" w:space="0" w:color="auto"/>
        <w:right w:val="none" w:sz="0" w:space="0" w:color="auto"/>
      </w:divBdr>
    </w:div>
    <w:div w:id="425155016">
      <w:bodyDiv w:val="1"/>
      <w:marLeft w:val="0"/>
      <w:marRight w:val="0"/>
      <w:marTop w:val="0"/>
      <w:marBottom w:val="0"/>
      <w:divBdr>
        <w:top w:val="none" w:sz="0" w:space="0" w:color="auto"/>
        <w:left w:val="none" w:sz="0" w:space="0" w:color="auto"/>
        <w:bottom w:val="none" w:sz="0" w:space="0" w:color="auto"/>
        <w:right w:val="none" w:sz="0" w:space="0" w:color="auto"/>
      </w:divBdr>
    </w:div>
    <w:div w:id="426536748">
      <w:bodyDiv w:val="1"/>
      <w:marLeft w:val="0"/>
      <w:marRight w:val="0"/>
      <w:marTop w:val="0"/>
      <w:marBottom w:val="0"/>
      <w:divBdr>
        <w:top w:val="none" w:sz="0" w:space="0" w:color="auto"/>
        <w:left w:val="none" w:sz="0" w:space="0" w:color="auto"/>
        <w:bottom w:val="none" w:sz="0" w:space="0" w:color="auto"/>
        <w:right w:val="none" w:sz="0" w:space="0" w:color="auto"/>
      </w:divBdr>
    </w:div>
    <w:div w:id="427191329">
      <w:bodyDiv w:val="1"/>
      <w:marLeft w:val="0"/>
      <w:marRight w:val="0"/>
      <w:marTop w:val="0"/>
      <w:marBottom w:val="0"/>
      <w:divBdr>
        <w:top w:val="none" w:sz="0" w:space="0" w:color="auto"/>
        <w:left w:val="none" w:sz="0" w:space="0" w:color="auto"/>
        <w:bottom w:val="none" w:sz="0" w:space="0" w:color="auto"/>
        <w:right w:val="none" w:sz="0" w:space="0" w:color="auto"/>
      </w:divBdr>
    </w:div>
    <w:div w:id="427624351">
      <w:bodyDiv w:val="1"/>
      <w:marLeft w:val="0"/>
      <w:marRight w:val="0"/>
      <w:marTop w:val="0"/>
      <w:marBottom w:val="0"/>
      <w:divBdr>
        <w:top w:val="none" w:sz="0" w:space="0" w:color="auto"/>
        <w:left w:val="none" w:sz="0" w:space="0" w:color="auto"/>
        <w:bottom w:val="none" w:sz="0" w:space="0" w:color="auto"/>
        <w:right w:val="none" w:sz="0" w:space="0" w:color="auto"/>
      </w:divBdr>
    </w:div>
    <w:div w:id="428351435">
      <w:bodyDiv w:val="1"/>
      <w:marLeft w:val="0"/>
      <w:marRight w:val="0"/>
      <w:marTop w:val="0"/>
      <w:marBottom w:val="0"/>
      <w:divBdr>
        <w:top w:val="none" w:sz="0" w:space="0" w:color="auto"/>
        <w:left w:val="none" w:sz="0" w:space="0" w:color="auto"/>
        <w:bottom w:val="none" w:sz="0" w:space="0" w:color="auto"/>
        <w:right w:val="none" w:sz="0" w:space="0" w:color="auto"/>
      </w:divBdr>
    </w:div>
    <w:div w:id="431365975">
      <w:bodyDiv w:val="1"/>
      <w:marLeft w:val="0"/>
      <w:marRight w:val="0"/>
      <w:marTop w:val="0"/>
      <w:marBottom w:val="0"/>
      <w:divBdr>
        <w:top w:val="none" w:sz="0" w:space="0" w:color="auto"/>
        <w:left w:val="none" w:sz="0" w:space="0" w:color="auto"/>
        <w:bottom w:val="none" w:sz="0" w:space="0" w:color="auto"/>
        <w:right w:val="none" w:sz="0" w:space="0" w:color="auto"/>
      </w:divBdr>
    </w:div>
    <w:div w:id="432241295">
      <w:bodyDiv w:val="1"/>
      <w:marLeft w:val="0"/>
      <w:marRight w:val="0"/>
      <w:marTop w:val="0"/>
      <w:marBottom w:val="0"/>
      <w:divBdr>
        <w:top w:val="none" w:sz="0" w:space="0" w:color="auto"/>
        <w:left w:val="none" w:sz="0" w:space="0" w:color="auto"/>
        <w:bottom w:val="none" w:sz="0" w:space="0" w:color="auto"/>
        <w:right w:val="none" w:sz="0" w:space="0" w:color="auto"/>
      </w:divBdr>
    </w:div>
    <w:div w:id="433017993">
      <w:bodyDiv w:val="1"/>
      <w:marLeft w:val="0"/>
      <w:marRight w:val="0"/>
      <w:marTop w:val="0"/>
      <w:marBottom w:val="0"/>
      <w:divBdr>
        <w:top w:val="none" w:sz="0" w:space="0" w:color="auto"/>
        <w:left w:val="none" w:sz="0" w:space="0" w:color="auto"/>
        <w:bottom w:val="none" w:sz="0" w:space="0" w:color="auto"/>
        <w:right w:val="none" w:sz="0" w:space="0" w:color="auto"/>
      </w:divBdr>
    </w:div>
    <w:div w:id="435102292">
      <w:bodyDiv w:val="1"/>
      <w:marLeft w:val="0"/>
      <w:marRight w:val="0"/>
      <w:marTop w:val="0"/>
      <w:marBottom w:val="0"/>
      <w:divBdr>
        <w:top w:val="none" w:sz="0" w:space="0" w:color="auto"/>
        <w:left w:val="none" w:sz="0" w:space="0" w:color="auto"/>
        <w:bottom w:val="none" w:sz="0" w:space="0" w:color="auto"/>
        <w:right w:val="none" w:sz="0" w:space="0" w:color="auto"/>
      </w:divBdr>
    </w:div>
    <w:div w:id="435298652">
      <w:bodyDiv w:val="1"/>
      <w:marLeft w:val="0"/>
      <w:marRight w:val="0"/>
      <w:marTop w:val="0"/>
      <w:marBottom w:val="0"/>
      <w:divBdr>
        <w:top w:val="none" w:sz="0" w:space="0" w:color="auto"/>
        <w:left w:val="none" w:sz="0" w:space="0" w:color="auto"/>
        <w:bottom w:val="none" w:sz="0" w:space="0" w:color="auto"/>
        <w:right w:val="none" w:sz="0" w:space="0" w:color="auto"/>
      </w:divBdr>
    </w:div>
    <w:div w:id="437413404">
      <w:bodyDiv w:val="1"/>
      <w:marLeft w:val="0"/>
      <w:marRight w:val="0"/>
      <w:marTop w:val="0"/>
      <w:marBottom w:val="0"/>
      <w:divBdr>
        <w:top w:val="none" w:sz="0" w:space="0" w:color="auto"/>
        <w:left w:val="none" w:sz="0" w:space="0" w:color="auto"/>
        <w:bottom w:val="none" w:sz="0" w:space="0" w:color="auto"/>
        <w:right w:val="none" w:sz="0" w:space="0" w:color="auto"/>
      </w:divBdr>
    </w:div>
    <w:div w:id="438910704">
      <w:bodyDiv w:val="1"/>
      <w:marLeft w:val="0"/>
      <w:marRight w:val="0"/>
      <w:marTop w:val="0"/>
      <w:marBottom w:val="0"/>
      <w:divBdr>
        <w:top w:val="none" w:sz="0" w:space="0" w:color="auto"/>
        <w:left w:val="none" w:sz="0" w:space="0" w:color="auto"/>
        <w:bottom w:val="none" w:sz="0" w:space="0" w:color="auto"/>
        <w:right w:val="none" w:sz="0" w:space="0" w:color="auto"/>
      </w:divBdr>
    </w:div>
    <w:div w:id="438991565">
      <w:bodyDiv w:val="1"/>
      <w:marLeft w:val="0"/>
      <w:marRight w:val="0"/>
      <w:marTop w:val="0"/>
      <w:marBottom w:val="0"/>
      <w:divBdr>
        <w:top w:val="none" w:sz="0" w:space="0" w:color="auto"/>
        <w:left w:val="none" w:sz="0" w:space="0" w:color="auto"/>
        <w:bottom w:val="none" w:sz="0" w:space="0" w:color="auto"/>
        <w:right w:val="none" w:sz="0" w:space="0" w:color="auto"/>
      </w:divBdr>
    </w:div>
    <w:div w:id="439035104">
      <w:bodyDiv w:val="1"/>
      <w:marLeft w:val="0"/>
      <w:marRight w:val="0"/>
      <w:marTop w:val="0"/>
      <w:marBottom w:val="0"/>
      <w:divBdr>
        <w:top w:val="none" w:sz="0" w:space="0" w:color="auto"/>
        <w:left w:val="none" w:sz="0" w:space="0" w:color="auto"/>
        <w:bottom w:val="none" w:sz="0" w:space="0" w:color="auto"/>
        <w:right w:val="none" w:sz="0" w:space="0" w:color="auto"/>
      </w:divBdr>
    </w:div>
    <w:div w:id="442042828">
      <w:bodyDiv w:val="1"/>
      <w:marLeft w:val="0"/>
      <w:marRight w:val="0"/>
      <w:marTop w:val="0"/>
      <w:marBottom w:val="0"/>
      <w:divBdr>
        <w:top w:val="none" w:sz="0" w:space="0" w:color="auto"/>
        <w:left w:val="none" w:sz="0" w:space="0" w:color="auto"/>
        <w:bottom w:val="none" w:sz="0" w:space="0" w:color="auto"/>
        <w:right w:val="none" w:sz="0" w:space="0" w:color="auto"/>
      </w:divBdr>
    </w:div>
    <w:div w:id="442118737">
      <w:bodyDiv w:val="1"/>
      <w:marLeft w:val="0"/>
      <w:marRight w:val="0"/>
      <w:marTop w:val="0"/>
      <w:marBottom w:val="0"/>
      <w:divBdr>
        <w:top w:val="none" w:sz="0" w:space="0" w:color="auto"/>
        <w:left w:val="none" w:sz="0" w:space="0" w:color="auto"/>
        <w:bottom w:val="none" w:sz="0" w:space="0" w:color="auto"/>
        <w:right w:val="none" w:sz="0" w:space="0" w:color="auto"/>
      </w:divBdr>
    </w:div>
    <w:div w:id="448821746">
      <w:bodyDiv w:val="1"/>
      <w:marLeft w:val="0"/>
      <w:marRight w:val="0"/>
      <w:marTop w:val="0"/>
      <w:marBottom w:val="0"/>
      <w:divBdr>
        <w:top w:val="none" w:sz="0" w:space="0" w:color="auto"/>
        <w:left w:val="none" w:sz="0" w:space="0" w:color="auto"/>
        <w:bottom w:val="none" w:sz="0" w:space="0" w:color="auto"/>
        <w:right w:val="none" w:sz="0" w:space="0" w:color="auto"/>
      </w:divBdr>
    </w:div>
    <w:div w:id="450514975">
      <w:bodyDiv w:val="1"/>
      <w:marLeft w:val="0"/>
      <w:marRight w:val="0"/>
      <w:marTop w:val="0"/>
      <w:marBottom w:val="0"/>
      <w:divBdr>
        <w:top w:val="none" w:sz="0" w:space="0" w:color="auto"/>
        <w:left w:val="none" w:sz="0" w:space="0" w:color="auto"/>
        <w:bottom w:val="none" w:sz="0" w:space="0" w:color="auto"/>
        <w:right w:val="none" w:sz="0" w:space="0" w:color="auto"/>
      </w:divBdr>
    </w:div>
    <w:div w:id="452289639">
      <w:bodyDiv w:val="1"/>
      <w:marLeft w:val="0"/>
      <w:marRight w:val="0"/>
      <w:marTop w:val="0"/>
      <w:marBottom w:val="0"/>
      <w:divBdr>
        <w:top w:val="none" w:sz="0" w:space="0" w:color="auto"/>
        <w:left w:val="none" w:sz="0" w:space="0" w:color="auto"/>
        <w:bottom w:val="none" w:sz="0" w:space="0" w:color="auto"/>
        <w:right w:val="none" w:sz="0" w:space="0" w:color="auto"/>
      </w:divBdr>
    </w:div>
    <w:div w:id="454449644">
      <w:bodyDiv w:val="1"/>
      <w:marLeft w:val="0"/>
      <w:marRight w:val="0"/>
      <w:marTop w:val="0"/>
      <w:marBottom w:val="0"/>
      <w:divBdr>
        <w:top w:val="none" w:sz="0" w:space="0" w:color="auto"/>
        <w:left w:val="none" w:sz="0" w:space="0" w:color="auto"/>
        <w:bottom w:val="none" w:sz="0" w:space="0" w:color="auto"/>
        <w:right w:val="none" w:sz="0" w:space="0" w:color="auto"/>
      </w:divBdr>
    </w:div>
    <w:div w:id="457185016">
      <w:bodyDiv w:val="1"/>
      <w:marLeft w:val="0"/>
      <w:marRight w:val="0"/>
      <w:marTop w:val="0"/>
      <w:marBottom w:val="0"/>
      <w:divBdr>
        <w:top w:val="none" w:sz="0" w:space="0" w:color="auto"/>
        <w:left w:val="none" w:sz="0" w:space="0" w:color="auto"/>
        <w:bottom w:val="none" w:sz="0" w:space="0" w:color="auto"/>
        <w:right w:val="none" w:sz="0" w:space="0" w:color="auto"/>
      </w:divBdr>
    </w:div>
    <w:div w:id="461844606">
      <w:bodyDiv w:val="1"/>
      <w:marLeft w:val="0"/>
      <w:marRight w:val="0"/>
      <w:marTop w:val="0"/>
      <w:marBottom w:val="0"/>
      <w:divBdr>
        <w:top w:val="none" w:sz="0" w:space="0" w:color="auto"/>
        <w:left w:val="none" w:sz="0" w:space="0" w:color="auto"/>
        <w:bottom w:val="none" w:sz="0" w:space="0" w:color="auto"/>
        <w:right w:val="none" w:sz="0" w:space="0" w:color="auto"/>
      </w:divBdr>
    </w:div>
    <w:div w:id="463044314">
      <w:bodyDiv w:val="1"/>
      <w:marLeft w:val="0"/>
      <w:marRight w:val="0"/>
      <w:marTop w:val="0"/>
      <w:marBottom w:val="0"/>
      <w:divBdr>
        <w:top w:val="none" w:sz="0" w:space="0" w:color="auto"/>
        <w:left w:val="none" w:sz="0" w:space="0" w:color="auto"/>
        <w:bottom w:val="none" w:sz="0" w:space="0" w:color="auto"/>
        <w:right w:val="none" w:sz="0" w:space="0" w:color="auto"/>
      </w:divBdr>
    </w:div>
    <w:div w:id="463543966">
      <w:bodyDiv w:val="1"/>
      <w:marLeft w:val="0"/>
      <w:marRight w:val="0"/>
      <w:marTop w:val="0"/>
      <w:marBottom w:val="0"/>
      <w:divBdr>
        <w:top w:val="none" w:sz="0" w:space="0" w:color="auto"/>
        <w:left w:val="none" w:sz="0" w:space="0" w:color="auto"/>
        <w:bottom w:val="none" w:sz="0" w:space="0" w:color="auto"/>
        <w:right w:val="none" w:sz="0" w:space="0" w:color="auto"/>
      </w:divBdr>
    </w:div>
    <w:div w:id="463891477">
      <w:bodyDiv w:val="1"/>
      <w:marLeft w:val="0"/>
      <w:marRight w:val="0"/>
      <w:marTop w:val="0"/>
      <w:marBottom w:val="0"/>
      <w:divBdr>
        <w:top w:val="none" w:sz="0" w:space="0" w:color="auto"/>
        <w:left w:val="none" w:sz="0" w:space="0" w:color="auto"/>
        <w:bottom w:val="none" w:sz="0" w:space="0" w:color="auto"/>
        <w:right w:val="none" w:sz="0" w:space="0" w:color="auto"/>
      </w:divBdr>
    </w:div>
    <w:div w:id="468014295">
      <w:bodyDiv w:val="1"/>
      <w:marLeft w:val="0"/>
      <w:marRight w:val="0"/>
      <w:marTop w:val="0"/>
      <w:marBottom w:val="0"/>
      <w:divBdr>
        <w:top w:val="none" w:sz="0" w:space="0" w:color="auto"/>
        <w:left w:val="none" w:sz="0" w:space="0" w:color="auto"/>
        <w:bottom w:val="none" w:sz="0" w:space="0" w:color="auto"/>
        <w:right w:val="none" w:sz="0" w:space="0" w:color="auto"/>
      </w:divBdr>
    </w:div>
    <w:div w:id="469372594">
      <w:bodyDiv w:val="1"/>
      <w:marLeft w:val="0"/>
      <w:marRight w:val="0"/>
      <w:marTop w:val="0"/>
      <w:marBottom w:val="0"/>
      <w:divBdr>
        <w:top w:val="none" w:sz="0" w:space="0" w:color="auto"/>
        <w:left w:val="none" w:sz="0" w:space="0" w:color="auto"/>
        <w:bottom w:val="none" w:sz="0" w:space="0" w:color="auto"/>
        <w:right w:val="none" w:sz="0" w:space="0" w:color="auto"/>
      </w:divBdr>
    </w:div>
    <w:div w:id="469978803">
      <w:bodyDiv w:val="1"/>
      <w:marLeft w:val="0"/>
      <w:marRight w:val="0"/>
      <w:marTop w:val="0"/>
      <w:marBottom w:val="0"/>
      <w:divBdr>
        <w:top w:val="none" w:sz="0" w:space="0" w:color="auto"/>
        <w:left w:val="none" w:sz="0" w:space="0" w:color="auto"/>
        <w:bottom w:val="none" w:sz="0" w:space="0" w:color="auto"/>
        <w:right w:val="none" w:sz="0" w:space="0" w:color="auto"/>
      </w:divBdr>
    </w:div>
    <w:div w:id="470947097">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484069">
      <w:bodyDiv w:val="1"/>
      <w:marLeft w:val="0"/>
      <w:marRight w:val="0"/>
      <w:marTop w:val="0"/>
      <w:marBottom w:val="0"/>
      <w:divBdr>
        <w:top w:val="none" w:sz="0" w:space="0" w:color="auto"/>
        <w:left w:val="none" w:sz="0" w:space="0" w:color="auto"/>
        <w:bottom w:val="none" w:sz="0" w:space="0" w:color="auto"/>
        <w:right w:val="none" w:sz="0" w:space="0" w:color="auto"/>
      </w:divBdr>
    </w:div>
    <w:div w:id="471679937">
      <w:bodyDiv w:val="1"/>
      <w:marLeft w:val="0"/>
      <w:marRight w:val="0"/>
      <w:marTop w:val="0"/>
      <w:marBottom w:val="0"/>
      <w:divBdr>
        <w:top w:val="none" w:sz="0" w:space="0" w:color="auto"/>
        <w:left w:val="none" w:sz="0" w:space="0" w:color="auto"/>
        <w:bottom w:val="none" w:sz="0" w:space="0" w:color="auto"/>
        <w:right w:val="none" w:sz="0" w:space="0" w:color="auto"/>
      </w:divBdr>
    </w:div>
    <w:div w:id="471799418">
      <w:bodyDiv w:val="1"/>
      <w:marLeft w:val="0"/>
      <w:marRight w:val="0"/>
      <w:marTop w:val="0"/>
      <w:marBottom w:val="0"/>
      <w:divBdr>
        <w:top w:val="none" w:sz="0" w:space="0" w:color="auto"/>
        <w:left w:val="none" w:sz="0" w:space="0" w:color="auto"/>
        <w:bottom w:val="none" w:sz="0" w:space="0" w:color="auto"/>
        <w:right w:val="none" w:sz="0" w:space="0" w:color="auto"/>
      </w:divBdr>
    </w:div>
    <w:div w:id="474572295">
      <w:bodyDiv w:val="1"/>
      <w:marLeft w:val="0"/>
      <w:marRight w:val="0"/>
      <w:marTop w:val="0"/>
      <w:marBottom w:val="0"/>
      <w:divBdr>
        <w:top w:val="none" w:sz="0" w:space="0" w:color="auto"/>
        <w:left w:val="none" w:sz="0" w:space="0" w:color="auto"/>
        <w:bottom w:val="none" w:sz="0" w:space="0" w:color="auto"/>
        <w:right w:val="none" w:sz="0" w:space="0" w:color="auto"/>
      </w:divBdr>
    </w:div>
    <w:div w:id="477037485">
      <w:bodyDiv w:val="1"/>
      <w:marLeft w:val="0"/>
      <w:marRight w:val="0"/>
      <w:marTop w:val="0"/>
      <w:marBottom w:val="0"/>
      <w:divBdr>
        <w:top w:val="none" w:sz="0" w:space="0" w:color="auto"/>
        <w:left w:val="none" w:sz="0" w:space="0" w:color="auto"/>
        <w:bottom w:val="none" w:sz="0" w:space="0" w:color="auto"/>
        <w:right w:val="none" w:sz="0" w:space="0" w:color="auto"/>
      </w:divBdr>
    </w:div>
    <w:div w:id="479152028">
      <w:bodyDiv w:val="1"/>
      <w:marLeft w:val="0"/>
      <w:marRight w:val="0"/>
      <w:marTop w:val="0"/>
      <w:marBottom w:val="0"/>
      <w:divBdr>
        <w:top w:val="none" w:sz="0" w:space="0" w:color="auto"/>
        <w:left w:val="none" w:sz="0" w:space="0" w:color="auto"/>
        <w:bottom w:val="none" w:sz="0" w:space="0" w:color="auto"/>
        <w:right w:val="none" w:sz="0" w:space="0" w:color="auto"/>
      </w:divBdr>
    </w:div>
    <w:div w:id="479345286">
      <w:bodyDiv w:val="1"/>
      <w:marLeft w:val="0"/>
      <w:marRight w:val="0"/>
      <w:marTop w:val="0"/>
      <w:marBottom w:val="0"/>
      <w:divBdr>
        <w:top w:val="none" w:sz="0" w:space="0" w:color="auto"/>
        <w:left w:val="none" w:sz="0" w:space="0" w:color="auto"/>
        <w:bottom w:val="none" w:sz="0" w:space="0" w:color="auto"/>
        <w:right w:val="none" w:sz="0" w:space="0" w:color="auto"/>
      </w:divBdr>
    </w:div>
    <w:div w:id="479466077">
      <w:bodyDiv w:val="1"/>
      <w:marLeft w:val="0"/>
      <w:marRight w:val="0"/>
      <w:marTop w:val="0"/>
      <w:marBottom w:val="0"/>
      <w:divBdr>
        <w:top w:val="none" w:sz="0" w:space="0" w:color="auto"/>
        <w:left w:val="none" w:sz="0" w:space="0" w:color="auto"/>
        <w:bottom w:val="none" w:sz="0" w:space="0" w:color="auto"/>
        <w:right w:val="none" w:sz="0" w:space="0" w:color="auto"/>
      </w:divBdr>
    </w:div>
    <w:div w:id="482355320">
      <w:bodyDiv w:val="1"/>
      <w:marLeft w:val="0"/>
      <w:marRight w:val="0"/>
      <w:marTop w:val="0"/>
      <w:marBottom w:val="0"/>
      <w:divBdr>
        <w:top w:val="none" w:sz="0" w:space="0" w:color="auto"/>
        <w:left w:val="none" w:sz="0" w:space="0" w:color="auto"/>
        <w:bottom w:val="none" w:sz="0" w:space="0" w:color="auto"/>
        <w:right w:val="none" w:sz="0" w:space="0" w:color="auto"/>
      </w:divBdr>
    </w:div>
    <w:div w:id="485125208">
      <w:bodyDiv w:val="1"/>
      <w:marLeft w:val="0"/>
      <w:marRight w:val="0"/>
      <w:marTop w:val="0"/>
      <w:marBottom w:val="0"/>
      <w:divBdr>
        <w:top w:val="none" w:sz="0" w:space="0" w:color="auto"/>
        <w:left w:val="none" w:sz="0" w:space="0" w:color="auto"/>
        <w:bottom w:val="none" w:sz="0" w:space="0" w:color="auto"/>
        <w:right w:val="none" w:sz="0" w:space="0" w:color="auto"/>
      </w:divBdr>
    </w:div>
    <w:div w:id="485778928">
      <w:bodyDiv w:val="1"/>
      <w:marLeft w:val="0"/>
      <w:marRight w:val="0"/>
      <w:marTop w:val="0"/>
      <w:marBottom w:val="0"/>
      <w:divBdr>
        <w:top w:val="none" w:sz="0" w:space="0" w:color="auto"/>
        <w:left w:val="none" w:sz="0" w:space="0" w:color="auto"/>
        <w:bottom w:val="none" w:sz="0" w:space="0" w:color="auto"/>
        <w:right w:val="none" w:sz="0" w:space="0" w:color="auto"/>
      </w:divBdr>
    </w:div>
    <w:div w:id="490565142">
      <w:bodyDiv w:val="1"/>
      <w:marLeft w:val="0"/>
      <w:marRight w:val="0"/>
      <w:marTop w:val="0"/>
      <w:marBottom w:val="0"/>
      <w:divBdr>
        <w:top w:val="none" w:sz="0" w:space="0" w:color="auto"/>
        <w:left w:val="none" w:sz="0" w:space="0" w:color="auto"/>
        <w:bottom w:val="none" w:sz="0" w:space="0" w:color="auto"/>
        <w:right w:val="none" w:sz="0" w:space="0" w:color="auto"/>
      </w:divBdr>
    </w:div>
    <w:div w:id="492111236">
      <w:bodyDiv w:val="1"/>
      <w:marLeft w:val="0"/>
      <w:marRight w:val="0"/>
      <w:marTop w:val="0"/>
      <w:marBottom w:val="0"/>
      <w:divBdr>
        <w:top w:val="none" w:sz="0" w:space="0" w:color="auto"/>
        <w:left w:val="none" w:sz="0" w:space="0" w:color="auto"/>
        <w:bottom w:val="none" w:sz="0" w:space="0" w:color="auto"/>
        <w:right w:val="none" w:sz="0" w:space="0" w:color="auto"/>
      </w:divBdr>
    </w:div>
    <w:div w:id="493952864">
      <w:bodyDiv w:val="1"/>
      <w:marLeft w:val="0"/>
      <w:marRight w:val="0"/>
      <w:marTop w:val="0"/>
      <w:marBottom w:val="0"/>
      <w:divBdr>
        <w:top w:val="none" w:sz="0" w:space="0" w:color="auto"/>
        <w:left w:val="none" w:sz="0" w:space="0" w:color="auto"/>
        <w:bottom w:val="none" w:sz="0" w:space="0" w:color="auto"/>
        <w:right w:val="none" w:sz="0" w:space="0" w:color="auto"/>
      </w:divBdr>
    </w:div>
    <w:div w:id="496380716">
      <w:bodyDiv w:val="1"/>
      <w:marLeft w:val="0"/>
      <w:marRight w:val="0"/>
      <w:marTop w:val="0"/>
      <w:marBottom w:val="0"/>
      <w:divBdr>
        <w:top w:val="none" w:sz="0" w:space="0" w:color="auto"/>
        <w:left w:val="none" w:sz="0" w:space="0" w:color="auto"/>
        <w:bottom w:val="none" w:sz="0" w:space="0" w:color="auto"/>
        <w:right w:val="none" w:sz="0" w:space="0" w:color="auto"/>
      </w:divBdr>
    </w:div>
    <w:div w:id="498236908">
      <w:bodyDiv w:val="1"/>
      <w:marLeft w:val="0"/>
      <w:marRight w:val="0"/>
      <w:marTop w:val="0"/>
      <w:marBottom w:val="0"/>
      <w:divBdr>
        <w:top w:val="none" w:sz="0" w:space="0" w:color="auto"/>
        <w:left w:val="none" w:sz="0" w:space="0" w:color="auto"/>
        <w:bottom w:val="none" w:sz="0" w:space="0" w:color="auto"/>
        <w:right w:val="none" w:sz="0" w:space="0" w:color="auto"/>
      </w:divBdr>
    </w:div>
    <w:div w:id="499152164">
      <w:bodyDiv w:val="1"/>
      <w:marLeft w:val="0"/>
      <w:marRight w:val="0"/>
      <w:marTop w:val="0"/>
      <w:marBottom w:val="0"/>
      <w:divBdr>
        <w:top w:val="none" w:sz="0" w:space="0" w:color="auto"/>
        <w:left w:val="none" w:sz="0" w:space="0" w:color="auto"/>
        <w:bottom w:val="none" w:sz="0" w:space="0" w:color="auto"/>
        <w:right w:val="none" w:sz="0" w:space="0" w:color="auto"/>
      </w:divBdr>
    </w:div>
    <w:div w:id="501360886">
      <w:bodyDiv w:val="1"/>
      <w:marLeft w:val="0"/>
      <w:marRight w:val="0"/>
      <w:marTop w:val="0"/>
      <w:marBottom w:val="0"/>
      <w:divBdr>
        <w:top w:val="none" w:sz="0" w:space="0" w:color="auto"/>
        <w:left w:val="none" w:sz="0" w:space="0" w:color="auto"/>
        <w:bottom w:val="none" w:sz="0" w:space="0" w:color="auto"/>
        <w:right w:val="none" w:sz="0" w:space="0" w:color="auto"/>
      </w:divBdr>
    </w:div>
    <w:div w:id="503134152">
      <w:bodyDiv w:val="1"/>
      <w:marLeft w:val="0"/>
      <w:marRight w:val="0"/>
      <w:marTop w:val="0"/>
      <w:marBottom w:val="0"/>
      <w:divBdr>
        <w:top w:val="none" w:sz="0" w:space="0" w:color="auto"/>
        <w:left w:val="none" w:sz="0" w:space="0" w:color="auto"/>
        <w:bottom w:val="none" w:sz="0" w:space="0" w:color="auto"/>
        <w:right w:val="none" w:sz="0" w:space="0" w:color="auto"/>
      </w:divBdr>
    </w:div>
    <w:div w:id="504050053">
      <w:bodyDiv w:val="1"/>
      <w:marLeft w:val="0"/>
      <w:marRight w:val="0"/>
      <w:marTop w:val="0"/>
      <w:marBottom w:val="0"/>
      <w:divBdr>
        <w:top w:val="none" w:sz="0" w:space="0" w:color="auto"/>
        <w:left w:val="none" w:sz="0" w:space="0" w:color="auto"/>
        <w:bottom w:val="none" w:sz="0" w:space="0" w:color="auto"/>
        <w:right w:val="none" w:sz="0" w:space="0" w:color="auto"/>
      </w:divBdr>
    </w:div>
    <w:div w:id="504519617">
      <w:bodyDiv w:val="1"/>
      <w:marLeft w:val="0"/>
      <w:marRight w:val="0"/>
      <w:marTop w:val="0"/>
      <w:marBottom w:val="0"/>
      <w:divBdr>
        <w:top w:val="none" w:sz="0" w:space="0" w:color="auto"/>
        <w:left w:val="none" w:sz="0" w:space="0" w:color="auto"/>
        <w:bottom w:val="none" w:sz="0" w:space="0" w:color="auto"/>
        <w:right w:val="none" w:sz="0" w:space="0" w:color="auto"/>
      </w:divBdr>
    </w:div>
    <w:div w:id="504902489">
      <w:bodyDiv w:val="1"/>
      <w:marLeft w:val="0"/>
      <w:marRight w:val="0"/>
      <w:marTop w:val="0"/>
      <w:marBottom w:val="0"/>
      <w:divBdr>
        <w:top w:val="none" w:sz="0" w:space="0" w:color="auto"/>
        <w:left w:val="none" w:sz="0" w:space="0" w:color="auto"/>
        <w:bottom w:val="none" w:sz="0" w:space="0" w:color="auto"/>
        <w:right w:val="none" w:sz="0" w:space="0" w:color="auto"/>
      </w:divBdr>
    </w:div>
    <w:div w:id="508760142">
      <w:bodyDiv w:val="1"/>
      <w:marLeft w:val="0"/>
      <w:marRight w:val="0"/>
      <w:marTop w:val="0"/>
      <w:marBottom w:val="0"/>
      <w:divBdr>
        <w:top w:val="none" w:sz="0" w:space="0" w:color="auto"/>
        <w:left w:val="none" w:sz="0" w:space="0" w:color="auto"/>
        <w:bottom w:val="none" w:sz="0" w:space="0" w:color="auto"/>
        <w:right w:val="none" w:sz="0" w:space="0" w:color="auto"/>
      </w:divBdr>
    </w:div>
    <w:div w:id="508955069">
      <w:bodyDiv w:val="1"/>
      <w:marLeft w:val="0"/>
      <w:marRight w:val="0"/>
      <w:marTop w:val="0"/>
      <w:marBottom w:val="0"/>
      <w:divBdr>
        <w:top w:val="none" w:sz="0" w:space="0" w:color="auto"/>
        <w:left w:val="none" w:sz="0" w:space="0" w:color="auto"/>
        <w:bottom w:val="none" w:sz="0" w:space="0" w:color="auto"/>
        <w:right w:val="none" w:sz="0" w:space="0" w:color="auto"/>
      </w:divBdr>
    </w:div>
    <w:div w:id="510027646">
      <w:bodyDiv w:val="1"/>
      <w:marLeft w:val="0"/>
      <w:marRight w:val="0"/>
      <w:marTop w:val="0"/>
      <w:marBottom w:val="0"/>
      <w:divBdr>
        <w:top w:val="none" w:sz="0" w:space="0" w:color="auto"/>
        <w:left w:val="none" w:sz="0" w:space="0" w:color="auto"/>
        <w:bottom w:val="none" w:sz="0" w:space="0" w:color="auto"/>
        <w:right w:val="none" w:sz="0" w:space="0" w:color="auto"/>
      </w:divBdr>
    </w:div>
    <w:div w:id="510069800">
      <w:bodyDiv w:val="1"/>
      <w:marLeft w:val="0"/>
      <w:marRight w:val="0"/>
      <w:marTop w:val="0"/>
      <w:marBottom w:val="0"/>
      <w:divBdr>
        <w:top w:val="none" w:sz="0" w:space="0" w:color="auto"/>
        <w:left w:val="none" w:sz="0" w:space="0" w:color="auto"/>
        <w:bottom w:val="none" w:sz="0" w:space="0" w:color="auto"/>
        <w:right w:val="none" w:sz="0" w:space="0" w:color="auto"/>
      </w:divBdr>
    </w:div>
    <w:div w:id="511652231">
      <w:bodyDiv w:val="1"/>
      <w:marLeft w:val="0"/>
      <w:marRight w:val="0"/>
      <w:marTop w:val="0"/>
      <w:marBottom w:val="0"/>
      <w:divBdr>
        <w:top w:val="none" w:sz="0" w:space="0" w:color="auto"/>
        <w:left w:val="none" w:sz="0" w:space="0" w:color="auto"/>
        <w:bottom w:val="none" w:sz="0" w:space="0" w:color="auto"/>
        <w:right w:val="none" w:sz="0" w:space="0" w:color="auto"/>
      </w:divBdr>
    </w:div>
    <w:div w:id="515851212">
      <w:bodyDiv w:val="1"/>
      <w:marLeft w:val="0"/>
      <w:marRight w:val="0"/>
      <w:marTop w:val="0"/>
      <w:marBottom w:val="0"/>
      <w:divBdr>
        <w:top w:val="none" w:sz="0" w:space="0" w:color="auto"/>
        <w:left w:val="none" w:sz="0" w:space="0" w:color="auto"/>
        <w:bottom w:val="none" w:sz="0" w:space="0" w:color="auto"/>
        <w:right w:val="none" w:sz="0" w:space="0" w:color="auto"/>
      </w:divBdr>
    </w:div>
    <w:div w:id="516041514">
      <w:bodyDiv w:val="1"/>
      <w:marLeft w:val="0"/>
      <w:marRight w:val="0"/>
      <w:marTop w:val="0"/>
      <w:marBottom w:val="0"/>
      <w:divBdr>
        <w:top w:val="none" w:sz="0" w:space="0" w:color="auto"/>
        <w:left w:val="none" w:sz="0" w:space="0" w:color="auto"/>
        <w:bottom w:val="none" w:sz="0" w:space="0" w:color="auto"/>
        <w:right w:val="none" w:sz="0" w:space="0" w:color="auto"/>
      </w:divBdr>
    </w:div>
    <w:div w:id="516434052">
      <w:bodyDiv w:val="1"/>
      <w:marLeft w:val="0"/>
      <w:marRight w:val="0"/>
      <w:marTop w:val="0"/>
      <w:marBottom w:val="0"/>
      <w:divBdr>
        <w:top w:val="none" w:sz="0" w:space="0" w:color="auto"/>
        <w:left w:val="none" w:sz="0" w:space="0" w:color="auto"/>
        <w:bottom w:val="none" w:sz="0" w:space="0" w:color="auto"/>
        <w:right w:val="none" w:sz="0" w:space="0" w:color="auto"/>
      </w:divBdr>
    </w:div>
    <w:div w:id="517277087">
      <w:bodyDiv w:val="1"/>
      <w:marLeft w:val="0"/>
      <w:marRight w:val="0"/>
      <w:marTop w:val="0"/>
      <w:marBottom w:val="0"/>
      <w:divBdr>
        <w:top w:val="none" w:sz="0" w:space="0" w:color="auto"/>
        <w:left w:val="none" w:sz="0" w:space="0" w:color="auto"/>
        <w:bottom w:val="none" w:sz="0" w:space="0" w:color="auto"/>
        <w:right w:val="none" w:sz="0" w:space="0" w:color="auto"/>
      </w:divBdr>
    </w:div>
    <w:div w:id="518546017">
      <w:bodyDiv w:val="1"/>
      <w:marLeft w:val="0"/>
      <w:marRight w:val="0"/>
      <w:marTop w:val="0"/>
      <w:marBottom w:val="0"/>
      <w:divBdr>
        <w:top w:val="none" w:sz="0" w:space="0" w:color="auto"/>
        <w:left w:val="none" w:sz="0" w:space="0" w:color="auto"/>
        <w:bottom w:val="none" w:sz="0" w:space="0" w:color="auto"/>
        <w:right w:val="none" w:sz="0" w:space="0" w:color="auto"/>
      </w:divBdr>
    </w:div>
    <w:div w:id="518927958">
      <w:bodyDiv w:val="1"/>
      <w:marLeft w:val="0"/>
      <w:marRight w:val="0"/>
      <w:marTop w:val="0"/>
      <w:marBottom w:val="0"/>
      <w:divBdr>
        <w:top w:val="none" w:sz="0" w:space="0" w:color="auto"/>
        <w:left w:val="none" w:sz="0" w:space="0" w:color="auto"/>
        <w:bottom w:val="none" w:sz="0" w:space="0" w:color="auto"/>
        <w:right w:val="none" w:sz="0" w:space="0" w:color="auto"/>
      </w:divBdr>
    </w:div>
    <w:div w:id="519245897">
      <w:bodyDiv w:val="1"/>
      <w:marLeft w:val="0"/>
      <w:marRight w:val="0"/>
      <w:marTop w:val="0"/>
      <w:marBottom w:val="0"/>
      <w:divBdr>
        <w:top w:val="none" w:sz="0" w:space="0" w:color="auto"/>
        <w:left w:val="none" w:sz="0" w:space="0" w:color="auto"/>
        <w:bottom w:val="none" w:sz="0" w:space="0" w:color="auto"/>
        <w:right w:val="none" w:sz="0" w:space="0" w:color="auto"/>
      </w:divBdr>
    </w:div>
    <w:div w:id="519395713">
      <w:bodyDiv w:val="1"/>
      <w:marLeft w:val="0"/>
      <w:marRight w:val="0"/>
      <w:marTop w:val="0"/>
      <w:marBottom w:val="0"/>
      <w:divBdr>
        <w:top w:val="none" w:sz="0" w:space="0" w:color="auto"/>
        <w:left w:val="none" w:sz="0" w:space="0" w:color="auto"/>
        <w:bottom w:val="none" w:sz="0" w:space="0" w:color="auto"/>
        <w:right w:val="none" w:sz="0" w:space="0" w:color="auto"/>
      </w:divBdr>
    </w:div>
    <w:div w:id="519396696">
      <w:bodyDiv w:val="1"/>
      <w:marLeft w:val="0"/>
      <w:marRight w:val="0"/>
      <w:marTop w:val="0"/>
      <w:marBottom w:val="0"/>
      <w:divBdr>
        <w:top w:val="none" w:sz="0" w:space="0" w:color="auto"/>
        <w:left w:val="none" w:sz="0" w:space="0" w:color="auto"/>
        <w:bottom w:val="none" w:sz="0" w:space="0" w:color="auto"/>
        <w:right w:val="none" w:sz="0" w:space="0" w:color="auto"/>
      </w:divBdr>
    </w:div>
    <w:div w:id="519510831">
      <w:bodyDiv w:val="1"/>
      <w:marLeft w:val="0"/>
      <w:marRight w:val="0"/>
      <w:marTop w:val="0"/>
      <w:marBottom w:val="0"/>
      <w:divBdr>
        <w:top w:val="none" w:sz="0" w:space="0" w:color="auto"/>
        <w:left w:val="none" w:sz="0" w:space="0" w:color="auto"/>
        <w:bottom w:val="none" w:sz="0" w:space="0" w:color="auto"/>
        <w:right w:val="none" w:sz="0" w:space="0" w:color="auto"/>
      </w:divBdr>
    </w:div>
    <w:div w:id="521013201">
      <w:bodyDiv w:val="1"/>
      <w:marLeft w:val="0"/>
      <w:marRight w:val="0"/>
      <w:marTop w:val="0"/>
      <w:marBottom w:val="0"/>
      <w:divBdr>
        <w:top w:val="none" w:sz="0" w:space="0" w:color="auto"/>
        <w:left w:val="none" w:sz="0" w:space="0" w:color="auto"/>
        <w:bottom w:val="none" w:sz="0" w:space="0" w:color="auto"/>
        <w:right w:val="none" w:sz="0" w:space="0" w:color="auto"/>
      </w:divBdr>
    </w:div>
    <w:div w:id="521168203">
      <w:bodyDiv w:val="1"/>
      <w:marLeft w:val="0"/>
      <w:marRight w:val="0"/>
      <w:marTop w:val="0"/>
      <w:marBottom w:val="0"/>
      <w:divBdr>
        <w:top w:val="none" w:sz="0" w:space="0" w:color="auto"/>
        <w:left w:val="none" w:sz="0" w:space="0" w:color="auto"/>
        <w:bottom w:val="none" w:sz="0" w:space="0" w:color="auto"/>
        <w:right w:val="none" w:sz="0" w:space="0" w:color="auto"/>
      </w:divBdr>
    </w:div>
    <w:div w:id="521430873">
      <w:bodyDiv w:val="1"/>
      <w:marLeft w:val="0"/>
      <w:marRight w:val="0"/>
      <w:marTop w:val="0"/>
      <w:marBottom w:val="0"/>
      <w:divBdr>
        <w:top w:val="none" w:sz="0" w:space="0" w:color="auto"/>
        <w:left w:val="none" w:sz="0" w:space="0" w:color="auto"/>
        <w:bottom w:val="none" w:sz="0" w:space="0" w:color="auto"/>
        <w:right w:val="none" w:sz="0" w:space="0" w:color="auto"/>
      </w:divBdr>
    </w:div>
    <w:div w:id="522550430">
      <w:bodyDiv w:val="1"/>
      <w:marLeft w:val="0"/>
      <w:marRight w:val="0"/>
      <w:marTop w:val="0"/>
      <w:marBottom w:val="0"/>
      <w:divBdr>
        <w:top w:val="none" w:sz="0" w:space="0" w:color="auto"/>
        <w:left w:val="none" w:sz="0" w:space="0" w:color="auto"/>
        <w:bottom w:val="none" w:sz="0" w:space="0" w:color="auto"/>
        <w:right w:val="none" w:sz="0" w:space="0" w:color="auto"/>
      </w:divBdr>
    </w:div>
    <w:div w:id="524294363">
      <w:bodyDiv w:val="1"/>
      <w:marLeft w:val="0"/>
      <w:marRight w:val="0"/>
      <w:marTop w:val="0"/>
      <w:marBottom w:val="0"/>
      <w:divBdr>
        <w:top w:val="none" w:sz="0" w:space="0" w:color="auto"/>
        <w:left w:val="none" w:sz="0" w:space="0" w:color="auto"/>
        <w:bottom w:val="none" w:sz="0" w:space="0" w:color="auto"/>
        <w:right w:val="none" w:sz="0" w:space="0" w:color="auto"/>
      </w:divBdr>
    </w:div>
    <w:div w:id="524439922">
      <w:bodyDiv w:val="1"/>
      <w:marLeft w:val="0"/>
      <w:marRight w:val="0"/>
      <w:marTop w:val="0"/>
      <w:marBottom w:val="0"/>
      <w:divBdr>
        <w:top w:val="none" w:sz="0" w:space="0" w:color="auto"/>
        <w:left w:val="none" w:sz="0" w:space="0" w:color="auto"/>
        <w:bottom w:val="none" w:sz="0" w:space="0" w:color="auto"/>
        <w:right w:val="none" w:sz="0" w:space="0" w:color="auto"/>
      </w:divBdr>
    </w:div>
    <w:div w:id="526604524">
      <w:bodyDiv w:val="1"/>
      <w:marLeft w:val="0"/>
      <w:marRight w:val="0"/>
      <w:marTop w:val="0"/>
      <w:marBottom w:val="0"/>
      <w:divBdr>
        <w:top w:val="none" w:sz="0" w:space="0" w:color="auto"/>
        <w:left w:val="none" w:sz="0" w:space="0" w:color="auto"/>
        <w:bottom w:val="none" w:sz="0" w:space="0" w:color="auto"/>
        <w:right w:val="none" w:sz="0" w:space="0" w:color="auto"/>
      </w:divBdr>
    </w:div>
    <w:div w:id="529074346">
      <w:bodyDiv w:val="1"/>
      <w:marLeft w:val="0"/>
      <w:marRight w:val="0"/>
      <w:marTop w:val="0"/>
      <w:marBottom w:val="0"/>
      <w:divBdr>
        <w:top w:val="none" w:sz="0" w:space="0" w:color="auto"/>
        <w:left w:val="none" w:sz="0" w:space="0" w:color="auto"/>
        <w:bottom w:val="none" w:sz="0" w:space="0" w:color="auto"/>
        <w:right w:val="none" w:sz="0" w:space="0" w:color="auto"/>
      </w:divBdr>
    </w:div>
    <w:div w:id="531577859">
      <w:bodyDiv w:val="1"/>
      <w:marLeft w:val="0"/>
      <w:marRight w:val="0"/>
      <w:marTop w:val="0"/>
      <w:marBottom w:val="0"/>
      <w:divBdr>
        <w:top w:val="none" w:sz="0" w:space="0" w:color="auto"/>
        <w:left w:val="none" w:sz="0" w:space="0" w:color="auto"/>
        <w:bottom w:val="none" w:sz="0" w:space="0" w:color="auto"/>
        <w:right w:val="none" w:sz="0" w:space="0" w:color="auto"/>
      </w:divBdr>
    </w:div>
    <w:div w:id="533613440">
      <w:bodyDiv w:val="1"/>
      <w:marLeft w:val="0"/>
      <w:marRight w:val="0"/>
      <w:marTop w:val="0"/>
      <w:marBottom w:val="0"/>
      <w:divBdr>
        <w:top w:val="none" w:sz="0" w:space="0" w:color="auto"/>
        <w:left w:val="none" w:sz="0" w:space="0" w:color="auto"/>
        <w:bottom w:val="none" w:sz="0" w:space="0" w:color="auto"/>
        <w:right w:val="none" w:sz="0" w:space="0" w:color="auto"/>
      </w:divBdr>
    </w:div>
    <w:div w:id="534775886">
      <w:bodyDiv w:val="1"/>
      <w:marLeft w:val="0"/>
      <w:marRight w:val="0"/>
      <w:marTop w:val="0"/>
      <w:marBottom w:val="0"/>
      <w:divBdr>
        <w:top w:val="none" w:sz="0" w:space="0" w:color="auto"/>
        <w:left w:val="none" w:sz="0" w:space="0" w:color="auto"/>
        <w:bottom w:val="none" w:sz="0" w:space="0" w:color="auto"/>
        <w:right w:val="none" w:sz="0" w:space="0" w:color="auto"/>
      </w:divBdr>
    </w:div>
    <w:div w:id="536627959">
      <w:bodyDiv w:val="1"/>
      <w:marLeft w:val="0"/>
      <w:marRight w:val="0"/>
      <w:marTop w:val="0"/>
      <w:marBottom w:val="0"/>
      <w:divBdr>
        <w:top w:val="none" w:sz="0" w:space="0" w:color="auto"/>
        <w:left w:val="none" w:sz="0" w:space="0" w:color="auto"/>
        <w:bottom w:val="none" w:sz="0" w:space="0" w:color="auto"/>
        <w:right w:val="none" w:sz="0" w:space="0" w:color="auto"/>
      </w:divBdr>
    </w:div>
    <w:div w:id="537157819">
      <w:bodyDiv w:val="1"/>
      <w:marLeft w:val="0"/>
      <w:marRight w:val="0"/>
      <w:marTop w:val="0"/>
      <w:marBottom w:val="0"/>
      <w:divBdr>
        <w:top w:val="none" w:sz="0" w:space="0" w:color="auto"/>
        <w:left w:val="none" w:sz="0" w:space="0" w:color="auto"/>
        <w:bottom w:val="none" w:sz="0" w:space="0" w:color="auto"/>
        <w:right w:val="none" w:sz="0" w:space="0" w:color="auto"/>
      </w:divBdr>
    </w:div>
    <w:div w:id="538736390">
      <w:bodyDiv w:val="1"/>
      <w:marLeft w:val="0"/>
      <w:marRight w:val="0"/>
      <w:marTop w:val="0"/>
      <w:marBottom w:val="0"/>
      <w:divBdr>
        <w:top w:val="none" w:sz="0" w:space="0" w:color="auto"/>
        <w:left w:val="none" w:sz="0" w:space="0" w:color="auto"/>
        <w:bottom w:val="none" w:sz="0" w:space="0" w:color="auto"/>
        <w:right w:val="none" w:sz="0" w:space="0" w:color="auto"/>
      </w:divBdr>
    </w:div>
    <w:div w:id="539778326">
      <w:bodyDiv w:val="1"/>
      <w:marLeft w:val="0"/>
      <w:marRight w:val="0"/>
      <w:marTop w:val="0"/>
      <w:marBottom w:val="0"/>
      <w:divBdr>
        <w:top w:val="none" w:sz="0" w:space="0" w:color="auto"/>
        <w:left w:val="none" w:sz="0" w:space="0" w:color="auto"/>
        <w:bottom w:val="none" w:sz="0" w:space="0" w:color="auto"/>
        <w:right w:val="none" w:sz="0" w:space="0" w:color="auto"/>
      </w:divBdr>
    </w:div>
    <w:div w:id="540634935">
      <w:bodyDiv w:val="1"/>
      <w:marLeft w:val="0"/>
      <w:marRight w:val="0"/>
      <w:marTop w:val="0"/>
      <w:marBottom w:val="0"/>
      <w:divBdr>
        <w:top w:val="none" w:sz="0" w:space="0" w:color="auto"/>
        <w:left w:val="none" w:sz="0" w:space="0" w:color="auto"/>
        <w:bottom w:val="none" w:sz="0" w:space="0" w:color="auto"/>
        <w:right w:val="none" w:sz="0" w:space="0" w:color="auto"/>
      </w:divBdr>
    </w:div>
    <w:div w:id="542984128">
      <w:bodyDiv w:val="1"/>
      <w:marLeft w:val="0"/>
      <w:marRight w:val="0"/>
      <w:marTop w:val="0"/>
      <w:marBottom w:val="0"/>
      <w:divBdr>
        <w:top w:val="none" w:sz="0" w:space="0" w:color="auto"/>
        <w:left w:val="none" w:sz="0" w:space="0" w:color="auto"/>
        <w:bottom w:val="none" w:sz="0" w:space="0" w:color="auto"/>
        <w:right w:val="none" w:sz="0" w:space="0" w:color="auto"/>
      </w:divBdr>
    </w:div>
    <w:div w:id="543323499">
      <w:bodyDiv w:val="1"/>
      <w:marLeft w:val="0"/>
      <w:marRight w:val="0"/>
      <w:marTop w:val="0"/>
      <w:marBottom w:val="0"/>
      <w:divBdr>
        <w:top w:val="none" w:sz="0" w:space="0" w:color="auto"/>
        <w:left w:val="none" w:sz="0" w:space="0" w:color="auto"/>
        <w:bottom w:val="none" w:sz="0" w:space="0" w:color="auto"/>
        <w:right w:val="none" w:sz="0" w:space="0" w:color="auto"/>
      </w:divBdr>
    </w:div>
    <w:div w:id="545260798">
      <w:bodyDiv w:val="1"/>
      <w:marLeft w:val="0"/>
      <w:marRight w:val="0"/>
      <w:marTop w:val="0"/>
      <w:marBottom w:val="0"/>
      <w:divBdr>
        <w:top w:val="none" w:sz="0" w:space="0" w:color="auto"/>
        <w:left w:val="none" w:sz="0" w:space="0" w:color="auto"/>
        <w:bottom w:val="none" w:sz="0" w:space="0" w:color="auto"/>
        <w:right w:val="none" w:sz="0" w:space="0" w:color="auto"/>
      </w:divBdr>
    </w:div>
    <w:div w:id="548416201">
      <w:bodyDiv w:val="1"/>
      <w:marLeft w:val="0"/>
      <w:marRight w:val="0"/>
      <w:marTop w:val="0"/>
      <w:marBottom w:val="0"/>
      <w:divBdr>
        <w:top w:val="none" w:sz="0" w:space="0" w:color="auto"/>
        <w:left w:val="none" w:sz="0" w:space="0" w:color="auto"/>
        <w:bottom w:val="none" w:sz="0" w:space="0" w:color="auto"/>
        <w:right w:val="none" w:sz="0" w:space="0" w:color="auto"/>
      </w:divBdr>
    </w:div>
    <w:div w:id="548614312">
      <w:bodyDiv w:val="1"/>
      <w:marLeft w:val="0"/>
      <w:marRight w:val="0"/>
      <w:marTop w:val="0"/>
      <w:marBottom w:val="0"/>
      <w:divBdr>
        <w:top w:val="none" w:sz="0" w:space="0" w:color="auto"/>
        <w:left w:val="none" w:sz="0" w:space="0" w:color="auto"/>
        <w:bottom w:val="none" w:sz="0" w:space="0" w:color="auto"/>
        <w:right w:val="none" w:sz="0" w:space="0" w:color="auto"/>
      </w:divBdr>
    </w:div>
    <w:div w:id="549418816">
      <w:bodyDiv w:val="1"/>
      <w:marLeft w:val="0"/>
      <w:marRight w:val="0"/>
      <w:marTop w:val="0"/>
      <w:marBottom w:val="0"/>
      <w:divBdr>
        <w:top w:val="none" w:sz="0" w:space="0" w:color="auto"/>
        <w:left w:val="none" w:sz="0" w:space="0" w:color="auto"/>
        <w:bottom w:val="none" w:sz="0" w:space="0" w:color="auto"/>
        <w:right w:val="none" w:sz="0" w:space="0" w:color="auto"/>
      </w:divBdr>
    </w:div>
    <w:div w:id="549655816">
      <w:bodyDiv w:val="1"/>
      <w:marLeft w:val="0"/>
      <w:marRight w:val="0"/>
      <w:marTop w:val="0"/>
      <w:marBottom w:val="0"/>
      <w:divBdr>
        <w:top w:val="none" w:sz="0" w:space="0" w:color="auto"/>
        <w:left w:val="none" w:sz="0" w:space="0" w:color="auto"/>
        <w:bottom w:val="none" w:sz="0" w:space="0" w:color="auto"/>
        <w:right w:val="none" w:sz="0" w:space="0" w:color="auto"/>
      </w:divBdr>
    </w:div>
    <w:div w:id="550072200">
      <w:bodyDiv w:val="1"/>
      <w:marLeft w:val="0"/>
      <w:marRight w:val="0"/>
      <w:marTop w:val="0"/>
      <w:marBottom w:val="0"/>
      <w:divBdr>
        <w:top w:val="none" w:sz="0" w:space="0" w:color="auto"/>
        <w:left w:val="none" w:sz="0" w:space="0" w:color="auto"/>
        <w:bottom w:val="none" w:sz="0" w:space="0" w:color="auto"/>
        <w:right w:val="none" w:sz="0" w:space="0" w:color="auto"/>
      </w:divBdr>
    </w:div>
    <w:div w:id="550191696">
      <w:bodyDiv w:val="1"/>
      <w:marLeft w:val="0"/>
      <w:marRight w:val="0"/>
      <w:marTop w:val="0"/>
      <w:marBottom w:val="0"/>
      <w:divBdr>
        <w:top w:val="none" w:sz="0" w:space="0" w:color="auto"/>
        <w:left w:val="none" w:sz="0" w:space="0" w:color="auto"/>
        <w:bottom w:val="none" w:sz="0" w:space="0" w:color="auto"/>
        <w:right w:val="none" w:sz="0" w:space="0" w:color="auto"/>
      </w:divBdr>
    </w:div>
    <w:div w:id="553348226">
      <w:bodyDiv w:val="1"/>
      <w:marLeft w:val="0"/>
      <w:marRight w:val="0"/>
      <w:marTop w:val="0"/>
      <w:marBottom w:val="0"/>
      <w:divBdr>
        <w:top w:val="none" w:sz="0" w:space="0" w:color="auto"/>
        <w:left w:val="none" w:sz="0" w:space="0" w:color="auto"/>
        <w:bottom w:val="none" w:sz="0" w:space="0" w:color="auto"/>
        <w:right w:val="none" w:sz="0" w:space="0" w:color="auto"/>
      </w:divBdr>
    </w:div>
    <w:div w:id="554202055">
      <w:bodyDiv w:val="1"/>
      <w:marLeft w:val="0"/>
      <w:marRight w:val="0"/>
      <w:marTop w:val="0"/>
      <w:marBottom w:val="0"/>
      <w:divBdr>
        <w:top w:val="none" w:sz="0" w:space="0" w:color="auto"/>
        <w:left w:val="none" w:sz="0" w:space="0" w:color="auto"/>
        <w:bottom w:val="none" w:sz="0" w:space="0" w:color="auto"/>
        <w:right w:val="none" w:sz="0" w:space="0" w:color="auto"/>
      </w:divBdr>
    </w:div>
    <w:div w:id="555361099">
      <w:bodyDiv w:val="1"/>
      <w:marLeft w:val="0"/>
      <w:marRight w:val="0"/>
      <w:marTop w:val="0"/>
      <w:marBottom w:val="0"/>
      <w:divBdr>
        <w:top w:val="none" w:sz="0" w:space="0" w:color="auto"/>
        <w:left w:val="none" w:sz="0" w:space="0" w:color="auto"/>
        <w:bottom w:val="none" w:sz="0" w:space="0" w:color="auto"/>
        <w:right w:val="none" w:sz="0" w:space="0" w:color="auto"/>
      </w:divBdr>
    </w:div>
    <w:div w:id="558053430">
      <w:bodyDiv w:val="1"/>
      <w:marLeft w:val="0"/>
      <w:marRight w:val="0"/>
      <w:marTop w:val="0"/>
      <w:marBottom w:val="0"/>
      <w:divBdr>
        <w:top w:val="none" w:sz="0" w:space="0" w:color="auto"/>
        <w:left w:val="none" w:sz="0" w:space="0" w:color="auto"/>
        <w:bottom w:val="none" w:sz="0" w:space="0" w:color="auto"/>
        <w:right w:val="none" w:sz="0" w:space="0" w:color="auto"/>
      </w:divBdr>
    </w:div>
    <w:div w:id="558905030">
      <w:bodyDiv w:val="1"/>
      <w:marLeft w:val="0"/>
      <w:marRight w:val="0"/>
      <w:marTop w:val="0"/>
      <w:marBottom w:val="0"/>
      <w:divBdr>
        <w:top w:val="none" w:sz="0" w:space="0" w:color="auto"/>
        <w:left w:val="none" w:sz="0" w:space="0" w:color="auto"/>
        <w:bottom w:val="none" w:sz="0" w:space="0" w:color="auto"/>
        <w:right w:val="none" w:sz="0" w:space="0" w:color="auto"/>
      </w:divBdr>
    </w:div>
    <w:div w:id="565796371">
      <w:bodyDiv w:val="1"/>
      <w:marLeft w:val="0"/>
      <w:marRight w:val="0"/>
      <w:marTop w:val="0"/>
      <w:marBottom w:val="0"/>
      <w:divBdr>
        <w:top w:val="none" w:sz="0" w:space="0" w:color="auto"/>
        <w:left w:val="none" w:sz="0" w:space="0" w:color="auto"/>
        <w:bottom w:val="none" w:sz="0" w:space="0" w:color="auto"/>
        <w:right w:val="none" w:sz="0" w:space="0" w:color="auto"/>
      </w:divBdr>
    </w:div>
    <w:div w:id="567769174">
      <w:bodyDiv w:val="1"/>
      <w:marLeft w:val="0"/>
      <w:marRight w:val="0"/>
      <w:marTop w:val="0"/>
      <w:marBottom w:val="0"/>
      <w:divBdr>
        <w:top w:val="none" w:sz="0" w:space="0" w:color="auto"/>
        <w:left w:val="none" w:sz="0" w:space="0" w:color="auto"/>
        <w:bottom w:val="none" w:sz="0" w:space="0" w:color="auto"/>
        <w:right w:val="none" w:sz="0" w:space="0" w:color="auto"/>
      </w:divBdr>
    </w:div>
    <w:div w:id="567961623">
      <w:bodyDiv w:val="1"/>
      <w:marLeft w:val="0"/>
      <w:marRight w:val="0"/>
      <w:marTop w:val="0"/>
      <w:marBottom w:val="0"/>
      <w:divBdr>
        <w:top w:val="none" w:sz="0" w:space="0" w:color="auto"/>
        <w:left w:val="none" w:sz="0" w:space="0" w:color="auto"/>
        <w:bottom w:val="none" w:sz="0" w:space="0" w:color="auto"/>
        <w:right w:val="none" w:sz="0" w:space="0" w:color="auto"/>
      </w:divBdr>
    </w:div>
    <w:div w:id="570891292">
      <w:bodyDiv w:val="1"/>
      <w:marLeft w:val="0"/>
      <w:marRight w:val="0"/>
      <w:marTop w:val="0"/>
      <w:marBottom w:val="0"/>
      <w:divBdr>
        <w:top w:val="none" w:sz="0" w:space="0" w:color="auto"/>
        <w:left w:val="none" w:sz="0" w:space="0" w:color="auto"/>
        <w:bottom w:val="none" w:sz="0" w:space="0" w:color="auto"/>
        <w:right w:val="none" w:sz="0" w:space="0" w:color="auto"/>
      </w:divBdr>
    </w:div>
    <w:div w:id="572281676">
      <w:bodyDiv w:val="1"/>
      <w:marLeft w:val="0"/>
      <w:marRight w:val="0"/>
      <w:marTop w:val="0"/>
      <w:marBottom w:val="0"/>
      <w:divBdr>
        <w:top w:val="none" w:sz="0" w:space="0" w:color="auto"/>
        <w:left w:val="none" w:sz="0" w:space="0" w:color="auto"/>
        <w:bottom w:val="none" w:sz="0" w:space="0" w:color="auto"/>
        <w:right w:val="none" w:sz="0" w:space="0" w:color="auto"/>
      </w:divBdr>
    </w:div>
    <w:div w:id="573785336">
      <w:bodyDiv w:val="1"/>
      <w:marLeft w:val="0"/>
      <w:marRight w:val="0"/>
      <w:marTop w:val="0"/>
      <w:marBottom w:val="0"/>
      <w:divBdr>
        <w:top w:val="none" w:sz="0" w:space="0" w:color="auto"/>
        <w:left w:val="none" w:sz="0" w:space="0" w:color="auto"/>
        <w:bottom w:val="none" w:sz="0" w:space="0" w:color="auto"/>
        <w:right w:val="none" w:sz="0" w:space="0" w:color="auto"/>
      </w:divBdr>
    </w:div>
    <w:div w:id="573858387">
      <w:bodyDiv w:val="1"/>
      <w:marLeft w:val="0"/>
      <w:marRight w:val="0"/>
      <w:marTop w:val="0"/>
      <w:marBottom w:val="0"/>
      <w:divBdr>
        <w:top w:val="none" w:sz="0" w:space="0" w:color="auto"/>
        <w:left w:val="none" w:sz="0" w:space="0" w:color="auto"/>
        <w:bottom w:val="none" w:sz="0" w:space="0" w:color="auto"/>
        <w:right w:val="none" w:sz="0" w:space="0" w:color="auto"/>
      </w:divBdr>
    </w:div>
    <w:div w:id="575282785">
      <w:bodyDiv w:val="1"/>
      <w:marLeft w:val="0"/>
      <w:marRight w:val="0"/>
      <w:marTop w:val="0"/>
      <w:marBottom w:val="0"/>
      <w:divBdr>
        <w:top w:val="none" w:sz="0" w:space="0" w:color="auto"/>
        <w:left w:val="none" w:sz="0" w:space="0" w:color="auto"/>
        <w:bottom w:val="none" w:sz="0" w:space="0" w:color="auto"/>
        <w:right w:val="none" w:sz="0" w:space="0" w:color="auto"/>
      </w:divBdr>
    </w:div>
    <w:div w:id="575744765">
      <w:bodyDiv w:val="1"/>
      <w:marLeft w:val="0"/>
      <w:marRight w:val="0"/>
      <w:marTop w:val="0"/>
      <w:marBottom w:val="0"/>
      <w:divBdr>
        <w:top w:val="none" w:sz="0" w:space="0" w:color="auto"/>
        <w:left w:val="none" w:sz="0" w:space="0" w:color="auto"/>
        <w:bottom w:val="none" w:sz="0" w:space="0" w:color="auto"/>
        <w:right w:val="none" w:sz="0" w:space="0" w:color="auto"/>
      </w:divBdr>
    </w:div>
    <w:div w:id="577598043">
      <w:bodyDiv w:val="1"/>
      <w:marLeft w:val="0"/>
      <w:marRight w:val="0"/>
      <w:marTop w:val="0"/>
      <w:marBottom w:val="0"/>
      <w:divBdr>
        <w:top w:val="none" w:sz="0" w:space="0" w:color="auto"/>
        <w:left w:val="none" w:sz="0" w:space="0" w:color="auto"/>
        <w:bottom w:val="none" w:sz="0" w:space="0" w:color="auto"/>
        <w:right w:val="none" w:sz="0" w:space="0" w:color="auto"/>
      </w:divBdr>
    </w:div>
    <w:div w:id="578295338">
      <w:bodyDiv w:val="1"/>
      <w:marLeft w:val="0"/>
      <w:marRight w:val="0"/>
      <w:marTop w:val="0"/>
      <w:marBottom w:val="0"/>
      <w:divBdr>
        <w:top w:val="none" w:sz="0" w:space="0" w:color="auto"/>
        <w:left w:val="none" w:sz="0" w:space="0" w:color="auto"/>
        <w:bottom w:val="none" w:sz="0" w:space="0" w:color="auto"/>
        <w:right w:val="none" w:sz="0" w:space="0" w:color="auto"/>
      </w:divBdr>
    </w:div>
    <w:div w:id="578758294">
      <w:bodyDiv w:val="1"/>
      <w:marLeft w:val="0"/>
      <w:marRight w:val="0"/>
      <w:marTop w:val="0"/>
      <w:marBottom w:val="0"/>
      <w:divBdr>
        <w:top w:val="none" w:sz="0" w:space="0" w:color="auto"/>
        <w:left w:val="none" w:sz="0" w:space="0" w:color="auto"/>
        <w:bottom w:val="none" w:sz="0" w:space="0" w:color="auto"/>
        <w:right w:val="none" w:sz="0" w:space="0" w:color="auto"/>
      </w:divBdr>
    </w:div>
    <w:div w:id="579683808">
      <w:bodyDiv w:val="1"/>
      <w:marLeft w:val="0"/>
      <w:marRight w:val="0"/>
      <w:marTop w:val="0"/>
      <w:marBottom w:val="0"/>
      <w:divBdr>
        <w:top w:val="none" w:sz="0" w:space="0" w:color="auto"/>
        <w:left w:val="none" w:sz="0" w:space="0" w:color="auto"/>
        <w:bottom w:val="none" w:sz="0" w:space="0" w:color="auto"/>
        <w:right w:val="none" w:sz="0" w:space="0" w:color="auto"/>
      </w:divBdr>
    </w:div>
    <w:div w:id="581377283">
      <w:bodyDiv w:val="1"/>
      <w:marLeft w:val="0"/>
      <w:marRight w:val="0"/>
      <w:marTop w:val="0"/>
      <w:marBottom w:val="0"/>
      <w:divBdr>
        <w:top w:val="none" w:sz="0" w:space="0" w:color="auto"/>
        <w:left w:val="none" w:sz="0" w:space="0" w:color="auto"/>
        <w:bottom w:val="none" w:sz="0" w:space="0" w:color="auto"/>
        <w:right w:val="none" w:sz="0" w:space="0" w:color="auto"/>
      </w:divBdr>
    </w:div>
    <w:div w:id="584649687">
      <w:bodyDiv w:val="1"/>
      <w:marLeft w:val="0"/>
      <w:marRight w:val="0"/>
      <w:marTop w:val="0"/>
      <w:marBottom w:val="0"/>
      <w:divBdr>
        <w:top w:val="none" w:sz="0" w:space="0" w:color="auto"/>
        <w:left w:val="none" w:sz="0" w:space="0" w:color="auto"/>
        <w:bottom w:val="none" w:sz="0" w:space="0" w:color="auto"/>
        <w:right w:val="none" w:sz="0" w:space="0" w:color="auto"/>
      </w:divBdr>
    </w:div>
    <w:div w:id="585001448">
      <w:bodyDiv w:val="1"/>
      <w:marLeft w:val="0"/>
      <w:marRight w:val="0"/>
      <w:marTop w:val="0"/>
      <w:marBottom w:val="0"/>
      <w:divBdr>
        <w:top w:val="none" w:sz="0" w:space="0" w:color="auto"/>
        <w:left w:val="none" w:sz="0" w:space="0" w:color="auto"/>
        <w:bottom w:val="none" w:sz="0" w:space="0" w:color="auto"/>
        <w:right w:val="none" w:sz="0" w:space="0" w:color="auto"/>
      </w:divBdr>
    </w:div>
    <w:div w:id="587929728">
      <w:bodyDiv w:val="1"/>
      <w:marLeft w:val="0"/>
      <w:marRight w:val="0"/>
      <w:marTop w:val="0"/>
      <w:marBottom w:val="0"/>
      <w:divBdr>
        <w:top w:val="none" w:sz="0" w:space="0" w:color="auto"/>
        <w:left w:val="none" w:sz="0" w:space="0" w:color="auto"/>
        <w:bottom w:val="none" w:sz="0" w:space="0" w:color="auto"/>
        <w:right w:val="none" w:sz="0" w:space="0" w:color="auto"/>
      </w:divBdr>
    </w:div>
    <w:div w:id="587999553">
      <w:bodyDiv w:val="1"/>
      <w:marLeft w:val="0"/>
      <w:marRight w:val="0"/>
      <w:marTop w:val="0"/>
      <w:marBottom w:val="0"/>
      <w:divBdr>
        <w:top w:val="none" w:sz="0" w:space="0" w:color="auto"/>
        <w:left w:val="none" w:sz="0" w:space="0" w:color="auto"/>
        <w:bottom w:val="none" w:sz="0" w:space="0" w:color="auto"/>
        <w:right w:val="none" w:sz="0" w:space="0" w:color="auto"/>
      </w:divBdr>
    </w:div>
    <w:div w:id="594024192">
      <w:bodyDiv w:val="1"/>
      <w:marLeft w:val="0"/>
      <w:marRight w:val="0"/>
      <w:marTop w:val="0"/>
      <w:marBottom w:val="0"/>
      <w:divBdr>
        <w:top w:val="none" w:sz="0" w:space="0" w:color="auto"/>
        <w:left w:val="none" w:sz="0" w:space="0" w:color="auto"/>
        <w:bottom w:val="none" w:sz="0" w:space="0" w:color="auto"/>
        <w:right w:val="none" w:sz="0" w:space="0" w:color="auto"/>
      </w:divBdr>
    </w:div>
    <w:div w:id="596251097">
      <w:bodyDiv w:val="1"/>
      <w:marLeft w:val="0"/>
      <w:marRight w:val="0"/>
      <w:marTop w:val="0"/>
      <w:marBottom w:val="0"/>
      <w:divBdr>
        <w:top w:val="none" w:sz="0" w:space="0" w:color="auto"/>
        <w:left w:val="none" w:sz="0" w:space="0" w:color="auto"/>
        <w:bottom w:val="none" w:sz="0" w:space="0" w:color="auto"/>
        <w:right w:val="none" w:sz="0" w:space="0" w:color="auto"/>
      </w:divBdr>
    </w:div>
    <w:div w:id="597643884">
      <w:bodyDiv w:val="1"/>
      <w:marLeft w:val="0"/>
      <w:marRight w:val="0"/>
      <w:marTop w:val="0"/>
      <w:marBottom w:val="0"/>
      <w:divBdr>
        <w:top w:val="none" w:sz="0" w:space="0" w:color="auto"/>
        <w:left w:val="none" w:sz="0" w:space="0" w:color="auto"/>
        <w:bottom w:val="none" w:sz="0" w:space="0" w:color="auto"/>
        <w:right w:val="none" w:sz="0" w:space="0" w:color="auto"/>
      </w:divBdr>
    </w:div>
    <w:div w:id="598175464">
      <w:bodyDiv w:val="1"/>
      <w:marLeft w:val="0"/>
      <w:marRight w:val="0"/>
      <w:marTop w:val="0"/>
      <w:marBottom w:val="0"/>
      <w:divBdr>
        <w:top w:val="none" w:sz="0" w:space="0" w:color="auto"/>
        <w:left w:val="none" w:sz="0" w:space="0" w:color="auto"/>
        <w:bottom w:val="none" w:sz="0" w:space="0" w:color="auto"/>
        <w:right w:val="none" w:sz="0" w:space="0" w:color="auto"/>
      </w:divBdr>
    </w:div>
    <w:div w:id="599918117">
      <w:bodyDiv w:val="1"/>
      <w:marLeft w:val="0"/>
      <w:marRight w:val="0"/>
      <w:marTop w:val="0"/>
      <w:marBottom w:val="0"/>
      <w:divBdr>
        <w:top w:val="none" w:sz="0" w:space="0" w:color="auto"/>
        <w:left w:val="none" w:sz="0" w:space="0" w:color="auto"/>
        <w:bottom w:val="none" w:sz="0" w:space="0" w:color="auto"/>
        <w:right w:val="none" w:sz="0" w:space="0" w:color="auto"/>
      </w:divBdr>
    </w:div>
    <w:div w:id="599991786">
      <w:bodyDiv w:val="1"/>
      <w:marLeft w:val="0"/>
      <w:marRight w:val="0"/>
      <w:marTop w:val="0"/>
      <w:marBottom w:val="0"/>
      <w:divBdr>
        <w:top w:val="none" w:sz="0" w:space="0" w:color="auto"/>
        <w:left w:val="none" w:sz="0" w:space="0" w:color="auto"/>
        <w:bottom w:val="none" w:sz="0" w:space="0" w:color="auto"/>
        <w:right w:val="none" w:sz="0" w:space="0" w:color="auto"/>
      </w:divBdr>
    </w:div>
    <w:div w:id="600335719">
      <w:bodyDiv w:val="1"/>
      <w:marLeft w:val="0"/>
      <w:marRight w:val="0"/>
      <w:marTop w:val="0"/>
      <w:marBottom w:val="0"/>
      <w:divBdr>
        <w:top w:val="none" w:sz="0" w:space="0" w:color="auto"/>
        <w:left w:val="none" w:sz="0" w:space="0" w:color="auto"/>
        <w:bottom w:val="none" w:sz="0" w:space="0" w:color="auto"/>
        <w:right w:val="none" w:sz="0" w:space="0" w:color="auto"/>
      </w:divBdr>
    </w:div>
    <w:div w:id="600452777">
      <w:bodyDiv w:val="1"/>
      <w:marLeft w:val="0"/>
      <w:marRight w:val="0"/>
      <w:marTop w:val="0"/>
      <w:marBottom w:val="0"/>
      <w:divBdr>
        <w:top w:val="none" w:sz="0" w:space="0" w:color="auto"/>
        <w:left w:val="none" w:sz="0" w:space="0" w:color="auto"/>
        <w:bottom w:val="none" w:sz="0" w:space="0" w:color="auto"/>
        <w:right w:val="none" w:sz="0" w:space="0" w:color="auto"/>
      </w:divBdr>
    </w:div>
    <w:div w:id="600602088">
      <w:bodyDiv w:val="1"/>
      <w:marLeft w:val="0"/>
      <w:marRight w:val="0"/>
      <w:marTop w:val="0"/>
      <w:marBottom w:val="0"/>
      <w:divBdr>
        <w:top w:val="none" w:sz="0" w:space="0" w:color="auto"/>
        <w:left w:val="none" w:sz="0" w:space="0" w:color="auto"/>
        <w:bottom w:val="none" w:sz="0" w:space="0" w:color="auto"/>
        <w:right w:val="none" w:sz="0" w:space="0" w:color="auto"/>
      </w:divBdr>
    </w:div>
    <w:div w:id="602956615">
      <w:bodyDiv w:val="1"/>
      <w:marLeft w:val="0"/>
      <w:marRight w:val="0"/>
      <w:marTop w:val="0"/>
      <w:marBottom w:val="0"/>
      <w:divBdr>
        <w:top w:val="none" w:sz="0" w:space="0" w:color="auto"/>
        <w:left w:val="none" w:sz="0" w:space="0" w:color="auto"/>
        <w:bottom w:val="none" w:sz="0" w:space="0" w:color="auto"/>
        <w:right w:val="none" w:sz="0" w:space="0" w:color="auto"/>
      </w:divBdr>
    </w:div>
    <w:div w:id="604069983">
      <w:bodyDiv w:val="1"/>
      <w:marLeft w:val="0"/>
      <w:marRight w:val="0"/>
      <w:marTop w:val="0"/>
      <w:marBottom w:val="0"/>
      <w:divBdr>
        <w:top w:val="none" w:sz="0" w:space="0" w:color="auto"/>
        <w:left w:val="none" w:sz="0" w:space="0" w:color="auto"/>
        <w:bottom w:val="none" w:sz="0" w:space="0" w:color="auto"/>
        <w:right w:val="none" w:sz="0" w:space="0" w:color="auto"/>
      </w:divBdr>
    </w:div>
    <w:div w:id="605967832">
      <w:bodyDiv w:val="1"/>
      <w:marLeft w:val="0"/>
      <w:marRight w:val="0"/>
      <w:marTop w:val="0"/>
      <w:marBottom w:val="0"/>
      <w:divBdr>
        <w:top w:val="none" w:sz="0" w:space="0" w:color="auto"/>
        <w:left w:val="none" w:sz="0" w:space="0" w:color="auto"/>
        <w:bottom w:val="none" w:sz="0" w:space="0" w:color="auto"/>
        <w:right w:val="none" w:sz="0" w:space="0" w:color="auto"/>
      </w:divBdr>
    </w:div>
    <w:div w:id="606087393">
      <w:bodyDiv w:val="1"/>
      <w:marLeft w:val="0"/>
      <w:marRight w:val="0"/>
      <w:marTop w:val="0"/>
      <w:marBottom w:val="0"/>
      <w:divBdr>
        <w:top w:val="none" w:sz="0" w:space="0" w:color="auto"/>
        <w:left w:val="none" w:sz="0" w:space="0" w:color="auto"/>
        <w:bottom w:val="none" w:sz="0" w:space="0" w:color="auto"/>
        <w:right w:val="none" w:sz="0" w:space="0" w:color="auto"/>
      </w:divBdr>
    </w:div>
    <w:div w:id="607811787">
      <w:bodyDiv w:val="1"/>
      <w:marLeft w:val="0"/>
      <w:marRight w:val="0"/>
      <w:marTop w:val="0"/>
      <w:marBottom w:val="0"/>
      <w:divBdr>
        <w:top w:val="none" w:sz="0" w:space="0" w:color="auto"/>
        <w:left w:val="none" w:sz="0" w:space="0" w:color="auto"/>
        <w:bottom w:val="none" w:sz="0" w:space="0" w:color="auto"/>
        <w:right w:val="none" w:sz="0" w:space="0" w:color="auto"/>
      </w:divBdr>
    </w:div>
    <w:div w:id="608270714">
      <w:bodyDiv w:val="1"/>
      <w:marLeft w:val="0"/>
      <w:marRight w:val="0"/>
      <w:marTop w:val="0"/>
      <w:marBottom w:val="0"/>
      <w:divBdr>
        <w:top w:val="none" w:sz="0" w:space="0" w:color="auto"/>
        <w:left w:val="none" w:sz="0" w:space="0" w:color="auto"/>
        <w:bottom w:val="none" w:sz="0" w:space="0" w:color="auto"/>
        <w:right w:val="none" w:sz="0" w:space="0" w:color="auto"/>
      </w:divBdr>
    </w:div>
    <w:div w:id="610472376">
      <w:bodyDiv w:val="1"/>
      <w:marLeft w:val="0"/>
      <w:marRight w:val="0"/>
      <w:marTop w:val="0"/>
      <w:marBottom w:val="0"/>
      <w:divBdr>
        <w:top w:val="none" w:sz="0" w:space="0" w:color="auto"/>
        <w:left w:val="none" w:sz="0" w:space="0" w:color="auto"/>
        <w:bottom w:val="none" w:sz="0" w:space="0" w:color="auto"/>
        <w:right w:val="none" w:sz="0" w:space="0" w:color="auto"/>
      </w:divBdr>
    </w:div>
    <w:div w:id="611285206">
      <w:bodyDiv w:val="1"/>
      <w:marLeft w:val="0"/>
      <w:marRight w:val="0"/>
      <w:marTop w:val="0"/>
      <w:marBottom w:val="0"/>
      <w:divBdr>
        <w:top w:val="none" w:sz="0" w:space="0" w:color="auto"/>
        <w:left w:val="none" w:sz="0" w:space="0" w:color="auto"/>
        <w:bottom w:val="none" w:sz="0" w:space="0" w:color="auto"/>
        <w:right w:val="none" w:sz="0" w:space="0" w:color="auto"/>
      </w:divBdr>
    </w:div>
    <w:div w:id="614138441">
      <w:bodyDiv w:val="1"/>
      <w:marLeft w:val="0"/>
      <w:marRight w:val="0"/>
      <w:marTop w:val="0"/>
      <w:marBottom w:val="0"/>
      <w:divBdr>
        <w:top w:val="none" w:sz="0" w:space="0" w:color="auto"/>
        <w:left w:val="none" w:sz="0" w:space="0" w:color="auto"/>
        <w:bottom w:val="none" w:sz="0" w:space="0" w:color="auto"/>
        <w:right w:val="none" w:sz="0" w:space="0" w:color="auto"/>
      </w:divBdr>
    </w:div>
    <w:div w:id="615528964">
      <w:bodyDiv w:val="1"/>
      <w:marLeft w:val="0"/>
      <w:marRight w:val="0"/>
      <w:marTop w:val="0"/>
      <w:marBottom w:val="0"/>
      <w:divBdr>
        <w:top w:val="none" w:sz="0" w:space="0" w:color="auto"/>
        <w:left w:val="none" w:sz="0" w:space="0" w:color="auto"/>
        <w:bottom w:val="none" w:sz="0" w:space="0" w:color="auto"/>
        <w:right w:val="none" w:sz="0" w:space="0" w:color="auto"/>
      </w:divBdr>
    </w:div>
    <w:div w:id="616529738">
      <w:bodyDiv w:val="1"/>
      <w:marLeft w:val="0"/>
      <w:marRight w:val="0"/>
      <w:marTop w:val="0"/>
      <w:marBottom w:val="0"/>
      <w:divBdr>
        <w:top w:val="none" w:sz="0" w:space="0" w:color="auto"/>
        <w:left w:val="none" w:sz="0" w:space="0" w:color="auto"/>
        <w:bottom w:val="none" w:sz="0" w:space="0" w:color="auto"/>
        <w:right w:val="none" w:sz="0" w:space="0" w:color="auto"/>
      </w:divBdr>
    </w:div>
    <w:div w:id="617640919">
      <w:bodyDiv w:val="1"/>
      <w:marLeft w:val="0"/>
      <w:marRight w:val="0"/>
      <w:marTop w:val="0"/>
      <w:marBottom w:val="0"/>
      <w:divBdr>
        <w:top w:val="none" w:sz="0" w:space="0" w:color="auto"/>
        <w:left w:val="none" w:sz="0" w:space="0" w:color="auto"/>
        <w:bottom w:val="none" w:sz="0" w:space="0" w:color="auto"/>
        <w:right w:val="none" w:sz="0" w:space="0" w:color="auto"/>
      </w:divBdr>
    </w:div>
    <w:div w:id="619530523">
      <w:bodyDiv w:val="1"/>
      <w:marLeft w:val="0"/>
      <w:marRight w:val="0"/>
      <w:marTop w:val="0"/>
      <w:marBottom w:val="0"/>
      <w:divBdr>
        <w:top w:val="none" w:sz="0" w:space="0" w:color="auto"/>
        <w:left w:val="none" w:sz="0" w:space="0" w:color="auto"/>
        <w:bottom w:val="none" w:sz="0" w:space="0" w:color="auto"/>
        <w:right w:val="none" w:sz="0" w:space="0" w:color="auto"/>
      </w:divBdr>
    </w:div>
    <w:div w:id="620695216">
      <w:bodyDiv w:val="1"/>
      <w:marLeft w:val="0"/>
      <w:marRight w:val="0"/>
      <w:marTop w:val="0"/>
      <w:marBottom w:val="0"/>
      <w:divBdr>
        <w:top w:val="none" w:sz="0" w:space="0" w:color="auto"/>
        <w:left w:val="none" w:sz="0" w:space="0" w:color="auto"/>
        <w:bottom w:val="none" w:sz="0" w:space="0" w:color="auto"/>
        <w:right w:val="none" w:sz="0" w:space="0" w:color="auto"/>
      </w:divBdr>
    </w:div>
    <w:div w:id="623269661">
      <w:bodyDiv w:val="1"/>
      <w:marLeft w:val="0"/>
      <w:marRight w:val="0"/>
      <w:marTop w:val="0"/>
      <w:marBottom w:val="0"/>
      <w:divBdr>
        <w:top w:val="none" w:sz="0" w:space="0" w:color="auto"/>
        <w:left w:val="none" w:sz="0" w:space="0" w:color="auto"/>
        <w:bottom w:val="none" w:sz="0" w:space="0" w:color="auto"/>
        <w:right w:val="none" w:sz="0" w:space="0" w:color="auto"/>
      </w:divBdr>
    </w:div>
    <w:div w:id="623460856">
      <w:bodyDiv w:val="1"/>
      <w:marLeft w:val="0"/>
      <w:marRight w:val="0"/>
      <w:marTop w:val="0"/>
      <w:marBottom w:val="0"/>
      <w:divBdr>
        <w:top w:val="none" w:sz="0" w:space="0" w:color="auto"/>
        <w:left w:val="none" w:sz="0" w:space="0" w:color="auto"/>
        <w:bottom w:val="none" w:sz="0" w:space="0" w:color="auto"/>
        <w:right w:val="none" w:sz="0" w:space="0" w:color="auto"/>
      </w:divBdr>
    </w:div>
    <w:div w:id="623580653">
      <w:bodyDiv w:val="1"/>
      <w:marLeft w:val="0"/>
      <w:marRight w:val="0"/>
      <w:marTop w:val="0"/>
      <w:marBottom w:val="0"/>
      <w:divBdr>
        <w:top w:val="none" w:sz="0" w:space="0" w:color="auto"/>
        <w:left w:val="none" w:sz="0" w:space="0" w:color="auto"/>
        <w:bottom w:val="none" w:sz="0" w:space="0" w:color="auto"/>
        <w:right w:val="none" w:sz="0" w:space="0" w:color="auto"/>
      </w:divBdr>
    </w:div>
    <w:div w:id="624193570">
      <w:bodyDiv w:val="1"/>
      <w:marLeft w:val="0"/>
      <w:marRight w:val="0"/>
      <w:marTop w:val="0"/>
      <w:marBottom w:val="0"/>
      <w:divBdr>
        <w:top w:val="none" w:sz="0" w:space="0" w:color="auto"/>
        <w:left w:val="none" w:sz="0" w:space="0" w:color="auto"/>
        <w:bottom w:val="none" w:sz="0" w:space="0" w:color="auto"/>
        <w:right w:val="none" w:sz="0" w:space="0" w:color="auto"/>
      </w:divBdr>
    </w:div>
    <w:div w:id="624582214">
      <w:bodyDiv w:val="1"/>
      <w:marLeft w:val="0"/>
      <w:marRight w:val="0"/>
      <w:marTop w:val="0"/>
      <w:marBottom w:val="0"/>
      <w:divBdr>
        <w:top w:val="none" w:sz="0" w:space="0" w:color="auto"/>
        <w:left w:val="none" w:sz="0" w:space="0" w:color="auto"/>
        <w:bottom w:val="none" w:sz="0" w:space="0" w:color="auto"/>
        <w:right w:val="none" w:sz="0" w:space="0" w:color="auto"/>
      </w:divBdr>
    </w:div>
    <w:div w:id="626014545">
      <w:bodyDiv w:val="1"/>
      <w:marLeft w:val="0"/>
      <w:marRight w:val="0"/>
      <w:marTop w:val="0"/>
      <w:marBottom w:val="0"/>
      <w:divBdr>
        <w:top w:val="none" w:sz="0" w:space="0" w:color="auto"/>
        <w:left w:val="none" w:sz="0" w:space="0" w:color="auto"/>
        <w:bottom w:val="none" w:sz="0" w:space="0" w:color="auto"/>
        <w:right w:val="none" w:sz="0" w:space="0" w:color="auto"/>
      </w:divBdr>
    </w:div>
    <w:div w:id="627931309">
      <w:bodyDiv w:val="1"/>
      <w:marLeft w:val="0"/>
      <w:marRight w:val="0"/>
      <w:marTop w:val="0"/>
      <w:marBottom w:val="0"/>
      <w:divBdr>
        <w:top w:val="none" w:sz="0" w:space="0" w:color="auto"/>
        <w:left w:val="none" w:sz="0" w:space="0" w:color="auto"/>
        <w:bottom w:val="none" w:sz="0" w:space="0" w:color="auto"/>
        <w:right w:val="none" w:sz="0" w:space="0" w:color="auto"/>
      </w:divBdr>
    </w:div>
    <w:div w:id="628320823">
      <w:bodyDiv w:val="1"/>
      <w:marLeft w:val="0"/>
      <w:marRight w:val="0"/>
      <w:marTop w:val="0"/>
      <w:marBottom w:val="0"/>
      <w:divBdr>
        <w:top w:val="none" w:sz="0" w:space="0" w:color="auto"/>
        <w:left w:val="none" w:sz="0" w:space="0" w:color="auto"/>
        <w:bottom w:val="none" w:sz="0" w:space="0" w:color="auto"/>
        <w:right w:val="none" w:sz="0" w:space="0" w:color="auto"/>
      </w:divBdr>
    </w:div>
    <w:div w:id="630743422">
      <w:bodyDiv w:val="1"/>
      <w:marLeft w:val="0"/>
      <w:marRight w:val="0"/>
      <w:marTop w:val="0"/>
      <w:marBottom w:val="0"/>
      <w:divBdr>
        <w:top w:val="none" w:sz="0" w:space="0" w:color="auto"/>
        <w:left w:val="none" w:sz="0" w:space="0" w:color="auto"/>
        <w:bottom w:val="none" w:sz="0" w:space="0" w:color="auto"/>
        <w:right w:val="none" w:sz="0" w:space="0" w:color="auto"/>
      </w:divBdr>
    </w:div>
    <w:div w:id="630986008">
      <w:bodyDiv w:val="1"/>
      <w:marLeft w:val="0"/>
      <w:marRight w:val="0"/>
      <w:marTop w:val="0"/>
      <w:marBottom w:val="0"/>
      <w:divBdr>
        <w:top w:val="none" w:sz="0" w:space="0" w:color="auto"/>
        <w:left w:val="none" w:sz="0" w:space="0" w:color="auto"/>
        <w:bottom w:val="none" w:sz="0" w:space="0" w:color="auto"/>
        <w:right w:val="none" w:sz="0" w:space="0" w:color="auto"/>
      </w:divBdr>
    </w:div>
    <w:div w:id="631715279">
      <w:bodyDiv w:val="1"/>
      <w:marLeft w:val="0"/>
      <w:marRight w:val="0"/>
      <w:marTop w:val="0"/>
      <w:marBottom w:val="0"/>
      <w:divBdr>
        <w:top w:val="none" w:sz="0" w:space="0" w:color="auto"/>
        <w:left w:val="none" w:sz="0" w:space="0" w:color="auto"/>
        <w:bottom w:val="none" w:sz="0" w:space="0" w:color="auto"/>
        <w:right w:val="none" w:sz="0" w:space="0" w:color="auto"/>
      </w:divBdr>
    </w:div>
    <w:div w:id="637342191">
      <w:bodyDiv w:val="1"/>
      <w:marLeft w:val="0"/>
      <w:marRight w:val="0"/>
      <w:marTop w:val="0"/>
      <w:marBottom w:val="0"/>
      <w:divBdr>
        <w:top w:val="none" w:sz="0" w:space="0" w:color="auto"/>
        <w:left w:val="none" w:sz="0" w:space="0" w:color="auto"/>
        <w:bottom w:val="none" w:sz="0" w:space="0" w:color="auto"/>
        <w:right w:val="none" w:sz="0" w:space="0" w:color="auto"/>
      </w:divBdr>
    </w:div>
    <w:div w:id="637414934">
      <w:bodyDiv w:val="1"/>
      <w:marLeft w:val="0"/>
      <w:marRight w:val="0"/>
      <w:marTop w:val="0"/>
      <w:marBottom w:val="0"/>
      <w:divBdr>
        <w:top w:val="none" w:sz="0" w:space="0" w:color="auto"/>
        <w:left w:val="none" w:sz="0" w:space="0" w:color="auto"/>
        <w:bottom w:val="none" w:sz="0" w:space="0" w:color="auto"/>
        <w:right w:val="none" w:sz="0" w:space="0" w:color="auto"/>
      </w:divBdr>
    </w:div>
    <w:div w:id="641039183">
      <w:bodyDiv w:val="1"/>
      <w:marLeft w:val="0"/>
      <w:marRight w:val="0"/>
      <w:marTop w:val="0"/>
      <w:marBottom w:val="0"/>
      <w:divBdr>
        <w:top w:val="none" w:sz="0" w:space="0" w:color="auto"/>
        <w:left w:val="none" w:sz="0" w:space="0" w:color="auto"/>
        <w:bottom w:val="none" w:sz="0" w:space="0" w:color="auto"/>
        <w:right w:val="none" w:sz="0" w:space="0" w:color="auto"/>
      </w:divBdr>
    </w:div>
    <w:div w:id="641738197">
      <w:bodyDiv w:val="1"/>
      <w:marLeft w:val="0"/>
      <w:marRight w:val="0"/>
      <w:marTop w:val="0"/>
      <w:marBottom w:val="0"/>
      <w:divBdr>
        <w:top w:val="none" w:sz="0" w:space="0" w:color="auto"/>
        <w:left w:val="none" w:sz="0" w:space="0" w:color="auto"/>
        <w:bottom w:val="none" w:sz="0" w:space="0" w:color="auto"/>
        <w:right w:val="none" w:sz="0" w:space="0" w:color="auto"/>
      </w:divBdr>
    </w:div>
    <w:div w:id="641814197">
      <w:bodyDiv w:val="1"/>
      <w:marLeft w:val="0"/>
      <w:marRight w:val="0"/>
      <w:marTop w:val="0"/>
      <w:marBottom w:val="0"/>
      <w:divBdr>
        <w:top w:val="none" w:sz="0" w:space="0" w:color="auto"/>
        <w:left w:val="none" w:sz="0" w:space="0" w:color="auto"/>
        <w:bottom w:val="none" w:sz="0" w:space="0" w:color="auto"/>
        <w:right w:val="none" w:sz="0" w:space="0" w:color="auto"/>
      </w:divBdr>
    </w:div>
    <w:div w:id="642005373">
      <w:bodyDiv w:val="1"/>
      <w:marLeft w:val="0"/>
      <w:marRight w:val="0"/>
      <w:marTop w:val="0"/>
      <w:marBottom w:val="0"/>
      <w:divBdr>
        <w:top w:val="none" w:sz="0" w:space="0" w:color="auto"/>
        <w:left w:val="none" w:sz="0" w:space="0" w:color="auto"/>
        <w:bottom w:val="none" w:sz="0" w:space="0" w:color="auto"/>
        <w:right w:val="none" w:sz="0" w:space="0" w:color="auto"/>
      </w:divBdr>
    </w:div>
    <w:div w:id="644549524">
      <w:bodyDiv w:val="1"/>
      <w:marLeft w:val="0"/>
      <w:marRight w:val="0"/>
      <w:marTop w:val="0"/>
      <w:marBottom w:val="0"/>
      <w:divBdr>
        <w:top w:val="none" w:sz="0" w:space="0" w:color="auto"/>
        <w:left w:val="none" w:sz="0" w:space="0" w:color="auto"/>
        <w:bottom w:val="none" w:sz="0" w:space="0" w:color="auto"/>
        <w:right w:val="none" w:sz="0" w:space="0" w:color="auto"/>
      </w:divBdr>
    </w:div>
    <w:div w:id="645205661">
      <w:bodyDiv w:val="1"/>
      <w:marLeft w:val="0"/>
      <w:marRight w:val="0"/>
      <w:marTop w:val="0"/>
      <w:marBottom w:val="0"/>
      <w:divBdr>
        <w:top w:val="none" w:sz="0" w:space="0" w:color="auto"/>
        <w:left w:val="none" w:sz="0" w:space="0" w:color="auto"/>
        <w:bottom w:val="none" w:sz="0" w:space="0" w:color="auto"/>
        <w:right w:val="none" w:sz="0" w:space="0" w:color="auto"/>
      </w:divBdr>
    </w:div>
    <w:div w:id="647317714">
      <w:bodyDiv w:val="1"/>
      <w:marLeft w:val="0"/>
      <w:marRight w:val="0"/>
      <w:marTop w:val="0"/>
      <w:marBottom w:val="0"/>
      <w:divBdr>
        <w:top w:val="none" w:sz="0" w:space="0" w:color="auto"/>
        <w:left w:val="none" w:sz="0" w:space="0" w:color="auto"/>
        <w:bottom w:val="none" w:sz="0" w:space="0" w:color="auto"/>
        <w:right w:val="none" w:sz="0" w:space="0" w:color="auto"/>
      </w:divBdr>
    </w:div>
    <w:div w:id="650673675">
      <w:bodyDiv w:val="1"/>
      <w:marLeft w:val="0"/>
      <w:marRight w:val="0"/>
      <w:marTop w:val="0"/>
      <w:marBottom w:val="0"/>
      <w:divBdr>
        <w:top w:val="none" w:sz="0" w:space="0" w:color="auto"/>
        <w:left w:val="none" w:sz="0" w:space="0" w:color="auto"/>
        <w:bottom w:val="none" w:sz="0" w:space="0" w:color="auto"/>
        <w:right w:val="none" w:sz="0" w:space="0" w:color="auto"/>
      </w:divBdr>
    </w:div>
    <w:div w:id="651788182">
      <w:bodyDiv w:val="1"/>
      <w:marLeft w:val="0"/>
      <w:marRight w:val="0"/>
      <w:marTop w:val="0"/>
      <w:marBottom w:val="0"/>
      <w:divBdr>
        <w:top w:val="none" w:sz="0" w:space="0" w:color="auto"/>
        <w:left w:val="none" w:sz="0" w:space="0" w:color="auto"/>
        <w:bottom w:val="none" w:sz="0" w:space="0" w:color="auto"/>
        <w:right w:val="none" w:sz="0" w:space="0" w:color="auto"/>
      </w:divBdr>
    </w:div>
    <w:div w:id="652366643">
      <w:bodyDiv w:val="1"/>
      <w:marLeft w:val="0"/>
      <w:marRight w:val="0"/>
      <w:marTop w:val="0"/>
      <w:marBottom w:val="0"/>
      <w:divBdr>
        <w:top w:val="none" w:sz="0" w:space="0" w:color="auto"/>
        <w:left w:val="none" w:sz="0" w:space="0" w:color="auto"/>
        <w:bottom w:val="none" w:sz="0" w:space="0" w:color="auto"/>
        <w:right w:val="none" w:sz="0" w:space="0" w:color="auto"/>
      </w:divBdr>
    </w:div>
    <w:div w:id="652832312">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4454096">
      <w:bodyDiv w:val="1"/>
      <w:marLeft w:val="0"/>
      <w:marRight w:val="0"/>
      <w:marTop w:val="0"/>
      <w:marBottom w:val="0"/>
      <w:divBdr>
        <w:top w:val="none" w:sz="0" w:space="0" w:color="auto"/>
        <w:left w:val="none" w:sz="0" w:space="0" w:color="auto"/>
        <w:bottom w:val="none" w:sz="0" w:space="0" w:color="auto"/>
        <w:right w:val="none" w:sz="0" w:space="0" w:color="auto"/>
      </w:divBdr>
    </w:div>
    <w:div w:id="658575579">
      <w:bodyDiv w:val="1"/>
      <w:marLeft w:val="0"/>
      <w:marRight w:val="0"/>
      <w:marTop w:val="0"/>
      <w:marBottom w:val="0"/>
      <w:divBdr>
        <w:top w:val="none" w:sz="0" w:space="0" w:color="auto"/>
        <w:left w:val="none" w:sz="0" w:space="0" w:color="auto"/>
        <w:bottom w:val="none" w:sz="0" w:space="0" w:color="auto"/>
        <w:right w:val="none" w:sz="0" w:space="0" w:color="auto"/>
      </w:divBdr>
    </w:div>
    <w:div w:id="659115157">
      <w:bodyDiv w:val="1"/>
      <w:marLeft w:val="0"/>
      <w:marRight w:val="0"/>
      <w:marTop w:val="0"/>
      <w:marBottom w:val="0"/>
      <w:divBdr>
        <w:top w:val="none" w:sz="0" w:space="0" w:color="auto"/>
        <w:left w:val="none" w:sz="0" w:space="0" w:color="auto"/>
        <w:bottom w:val="none" w:sz="0" w:space="0" w:color="auto"/>
        <w:right w:val="none" w:sz="0" w:space="0" w:color="auto"/>
      </w:divBdr>
    </w:div>
    <w:div w:id="659230566">
      <w:bodyDiv w:val="1"/>
      <w:marLeft w:val="0"/>
      <w:marRight w:val="0"/>
      <w:marTop w:val="0"/>
      <w:marBottom w:val="0"/>
      <w:divBdr>
        <w:top w:val="none" w:sz="0" w:space="0" w:color="auto"/>
        <w:left w:val="none" w:sz="0" w:space="0" w:color="auto"/>
        <w:bottom w:val="none" w:sz="0" w:space="0" w:color="auto"/>
        <w:right w:val="none" w:sz="0" w:space="0" w:color="auto"/>
      </w:divBdr>
    </w:div>
    <w:div w:id="662125572">
      <w:bodyDiv w:val="1"/>
      <w:marLeft w:val="0"/>
      <w:marRight w:val="0"/>
      <w:marTop w:val="0"/>
      <w:marBottom w:val="0"/>
      <w:divBdr>
        <w:top w:val="none" w:sz="0" w:space="0" w:color="auto"/>
        <w:left w:val="none" w:sz="0" w:space="0" w:color="auto"/>
        <w:bottom w:val="none" w:sz="0" w:space="0" w:color="auto"/>
        <w:right w:val="none" w:sz="0" w:space="0" w:color="auto"/>
      </w:divBdr>
    </w:div>
    <w:div w:id="667026029">
      <w:bodyDiv w:val="1"/>
      <w:marLeft w:val="0"/>
      <w:marRight w:val="0"/>
      <w:marTop w:val="0"/>
      <w:marBottom w:val="0"/>
      <w:divBdr>
        <w:top w:val="none" w:sz="0" w:space="0" w:color="auto"/>
        <w:left w:val="none" w:sz="0" w:space="0" w:color="auto"/>
        <w:bottom w:val="none" w:sz="0" w:space="0" w:color="auto"/>
        <w:right w:val="none" w:sz="0" w:space="0" w:color="auto"/>
      </w:divBdr>
    </w:div>
    <w:div w:id="667103163">
      <w:bodyDiv w:val="1"/>
      <w:marLeft w:val="0"/>
      <w:marRight w:val="0"/>
      <w:marTop w:val="0"/>
      <w:marBottom w:val="0"/>
      <w:divBdr>
        <w:top w:val="none" w:sz="0" w:space="0" w:color="auto"/>
        <w:left w:val="none" w:sz="0" w:space="0" w:color="auto"/>
        <w:bottom w:val="none" w:sz="0" w:space="0" w:color="auto"/>
        <w:right w:val="none" w:sz="0" w:space="0" w:color="auto"/>
      </w:divBdr>
    </w:div>
    <w:div w:id="669137929">
      <w:bodyDiv w:val="1"/>
      <w:marLeft w:val="0"/>
      <w:marRight w:val="0"/>
      <w:marTop w:val="0"/>
      <w:marBottom w:val="0"/>
      <w:divBdr>
        <w:top w:val="none" w:sz="0" w:space="0" w:color="auto"/>
        <w:left w:val="none" w:sz="0" w:space="0" w:color="auto"/>
        <w:bottom w:val="none" w:sz="0" w:space="0" w:color="auto"/>
        <w:right w:val="none" w:sz="0" w:space="0" w:color="auto"/>
      </w:divBdr>
    </w:div>
    <w:div w:id="669408183">
      <w:bodyDiv w:val="1"/>
      <w:marLeft w:val="0"/>
      <w:marRight w:val="0"/>
      <w:marTop w:val="0"/>
      <w:marBottom w:val="0"/>
      <w:divBdr>
        <w:top w:val="none" w:sz="0" w:space="0" w:color="auto"/>
        <w:left w:val="none" w:sz="0" w:space="0" w:color="auto"/>
        <w:bottom w:val="none" w:sz="0" w:space="0" w:color="auto"/>
        <w:right w:val="none" w:sz="0" w:space="0" w:color="auto"/>
      </w:divBdr>
    </w:div>
    <w:div w:id="670761515">
      <w:bodyDiv w:val="1"/>
      <w:marLeft w:val="0"/>
      <w:marRight w:val="0"/>
      <w:marTop w:val="0"/>
      <w:marBottom w:val="0"/>
      <w:divBdr>
        <w:top w:val="none" w:sz="0" w:space="0" w:color="auto"/>
        <w:left w:val="none" w:sz="0" w:space="0" w:color="auto"/>
        <w:bottom w:val="none" w:sz="0" w:space="0" w:color="auto"/>
        <w:right w:val="none" w:sz="0" w:space="0" w:color="auto"/>
      </w:divBdr>
    </w:div>
    <w:div w:id="672026716">
      <w:bodyDiv w:val="1"/>
      <w:marLeft w:val="0"/>
      <w:marRight w:val="0"/>
      <w:marTop w:val="0"/>
      <w:marBottom w:val="0"/>
      <w:divBdr>
        <w:top w:val="none" w:sz="0" w:space="0" w:color="auto"/>
        <w:left w:val="none" w:sz="0" w:space="0" w:color="auto"/>
        <w:bottom w:val="none" w:sz="0" w:space="0" w:color="auto"/>
        <w:right w:val="none" w:sz="0" w:space="0" w:color="auto"/>
      </w:divBdr>
    </w:div>
    <w:div w:id="672415643">
      <w:bodyDiv w:val="1"/>
      <w:marLeft w:val="0"/>
      <w:marRight w:val="0"/>
      <w:marTop w:val="0"/>
      <w:marBottom w:val="0"/>
      <w:divBdr>
        <w:top w:val="none" w:sz="0" w:space="0" w:color="auto"/>
        <w:left w:val="none" w:sz="0" w:space="0" w:color="auto"/>
        <w:bottom w:val="none" w:sz="0" w:space="0" w:color="auto"/>
        <w:right w:val="none" w:sz="0" w:space="0" w:color="auto"/>
      </w:divBdr>
    </w:div>
    <w:div w:id="672880370">
      <w:bodyDiv w:val="1"/>
      <w:marLeft w:val="0"/>
      <w:marRight w:val="0"/>
      <w:marTop w:val="0"/>
      <w:marBottom w:val="0"/>
      <w:divBdr>
        <w:top w:val="none" w:sz="0" w:space="0" w:color="auto"/>
        <w:left w:val="none" w:sz="0" w:space="0" w:color="auto"/>
        <w:bottom w:val="none" w:sz="0" w:space="0" w:color="auto"/>
        <w:right w:val="none" w:sz="0" w:space="0" w:color="auto"/>
      </w:divBdr>
    </w:div>
    <w:div w:id="676882978">
      <w:bodyDiv w:val="1"/>
      <w:marLeft w:val="0"/>
      <w:marRight w:val="0"/>
      <w:marTop w:val="0"/>
      <w:marBottom w:val="0"/>
      <w:divBdr>
        <w:top w:val="none" w:sz="0" w:space="0" w:color="auto"/>
        <w:left w:val="none" w:sz="0" w:space="0" w:color="auto"/>
        <w:bottom w:val="none" w:sz="0" w:space="0" w:color="auto"/>
        <w:right w:val="none" w:sz="0" w:space="0" w:color="auto"/>
      </w:divBdr>
    </w:div>
    <w:div w:id="677855388">
      <w:bodyDiv w:val="1"/>
      <w:marLeft w:val="0"/>
      <w:marRight w:val="0"/>
      <w:marTop w:val="0"/>
      <w:marBottom w:val="0"/>
      <w:divBdr>
        <w:top w:val="none" w:sz="0" w:space="0" w:color="auto"/>
        <w:left w:val="none" w:sz="0" w:space="0" w:color="auto"/>
        <w:bottom w:val="none" w:sz="0" w:space="0" w:color="auto"/>
        <w:right w:val="none" w:sz="0" w:space="0" w:color="auto"/>
      </w:divBdr>
    </w:div>
    <w:div w:id="679551496">
      <w:bodyDiv w:val="1"/>
      <w:marLeft w:val="0"/>
      <w:marRight w:val="0"/>
      <w:marTop w:val="0"/>
      <w:marBottom w:val="0"/>
      <w:divBdr>
        <w:top w:val="none" w:sz="0" w:space="0" w:color="auto"/>
        <w:left w:val="none" w:sz="0" w:space="0" w:color="auto"/>
        <w:bottom w:val="none" w:sz="0" w:space="0" w:color="auto"/>
        <w:right w:val="none" w:sz="0" w:space="0" w:color="auto"/>
      </w:divBdr>
    </w:div>
    <w:div w:id="680398322">
      <w:bodyDiv w:val="1"/>
      <w:marLeft w:val="0"/>
      <w:marRight w:val="0"/>
      <w:marTop w:val="0"/>
      <w:marBottom w:val="0"/>
      <w:divBdr>
        <w:top w:val="none" w:sz="0" w:space="0" w:color="auto"/>
        <w:left w:val="none" w:sz="0" w:space="0" w:color="auto"/>
        <w:bottom w:val="none" w:sz="0" w:space="0" w:color="auto"/>
        <w:right w:val="none" w:sz="0" w:space="0" w:color="auto"/>
      </w:divBdr>
    </w:div>
    <w:div w:id="681053704">
      <w:bodyDiv w:val="1"/>
      <w:marLeft w:val="0"/>
      <w:marRight w:val="0"/>
      <w:marTop w:val="0"/>
      <w:marBottom w:val="0"/>
      <w:divBdr>
        <w:top w:val="none" w:sz="0" w:space="0" w:color="auto"/>
        <w:left w:val="none" w:sz="0" w:space="0" w:color="auto"/>
        <w:bottom w:val="none" w:sz="0" w:space="0" w:color="auto"/>
        <w:right w:val="none" w:sz="0" w:space="0" w:color="auto"/>
      </w:divBdr>
    </w:div>
    <w:div w:id="682900766">
      <w:bodyDiv w:val="1"/>
      <w:marLeft w:val="0"/>
      <w:marRight w:val="0"/>
      <w:marTop w:val="0"/>
      <w:marBottom w:val="0"/>
      <w:divBdr>
        <w:top w:val="none" w:sz="0" w:space="0" w:color="auto"/>
        <w:left w:val="none" w:sz="0" w:space="0" w:color="auto"/>
        <w:bottom w:val="none" w:sz="0" w:space="0" w:color="auto"/>
        <w:right w:val="none" w:sz="0" w:space="0" w:color="auto"/>
      </w:divBdr>
    </w:div>
    <w:div w:id="683937765">
      <w:bodyDiv w:val="1"/>
      <w:marLeft w:val="0"/>
      <w:marRight w:val="0"/>
      <w:marTop w:val="0"/>
      <w:marBottom w:val="0"/>
      <w:divBdr>
        <w:top w:val="none" w:sz="0" w:space="0" w:color="auto"/>
        <w:left w:val="none" w:sz="0" w:space="0" w:color="auto"/>
        <w:bottom w:val="none" w:sz="0" w:space="0" w:color="auto"/>
        <w:right w:val="none" w:sz="0" w:space="0" w:color="auto"/>
      </w:divBdr>
    </w:div>
    <w:div w:id="683942514">
      <w:bodyDiv w:val="1"/>
      <w:marLeft w:val="0"/>
      <w:marRight w:val="0"/>
      <w:marTop w:val="0"/>
      <w:marBottom w:val="0"/>
      <w:divBdr>
        <w:top w:val="none" w:sz="0" w:space="0" w:color="auto"/>
        <w:left w:val="none" w:sz="0" w:space="0" w:color="auto"/>
        <w:bottom w:val="none" w:sz="0" w:space="0" w:color="auto"/>
        <w:right w:val="none" w:sz="0" w:space="0" w:color="auto"/>
      </w:divBdr>
    </w:div>
    <w:div w:id="685446832">
      <w:bodyDiv w:val="1"/>
      <w:marLeft w:val="0"/>
      <w:marRight w:val="0"/>
      <w:marTop w:val="0"/>
      <w:marBottom w:val="0"/>
      <w:divBdr>
        <w:top w:val="none" w:sz="0" w:space="0" w:color="auto"/>
        <w:left w:val="none" w:sz="0" w:space="0" w:color="auto"/>
        <w:bottom w:val="none" w:sz="0" w:space="0" w:color="auto"/>
        <w:right w:val="none" w:sz="0" w:space="0" w:color="auto"/>
      </w:divBdr>
    </w:div>
    <w:div w:id="688946015">
      <w:bodyDiv w:val="1"/>
      <w:marLeft w:val="0"/>
      <w:marRight w:val="0"/>
      <w:marTop w:val="0"/>
      <w:marBottom w:val="0"/>
      <w:divBdr>
        <w:top w:val="none" w:sz="0" w:space="0" w:color="auto"/>
        <w:left w:val="none" w:sz="0" w:space="0" w:color="auto"/>
        <w:bottom w:val="none" w:sz="0" w:space="0" w:color="auto"/>
        <w:right w:val="none" w:sz="0" w:space="0" w:color="auto"/>
      </w:divBdr>
    </w:div>
    <w:div w:id="689835175">
      <w:bodyDiv w:val="1"/>
      <w:marLeft w:val="0"/>
      <w:marRight w:val="0"/>
      <w:marTop w:val="0"/>
      <w:marBottom w:val="0"/>
      <w:divBdr>
        <w:top w:val="none" w:sz="0" w:space="0" w:color="auto"/>
        <w:left w:val="none" w:sz="0" w:space="0" w:color="auto"/>
        <w:bottom w:val="none" w:sz="0" w:space="0" w:color="auto"/>
        <w:right w:val="none" w:sz="0" w:space="0" w:color="auto"/>
      </w:divBdr>
    </w:div>
    <w:div w:id="690839338">
      <w:bodyDiv w:val="1"/>
      <w:marLeft w:val="0"/>
      <w:marRight w:val="0"/>
      <w:marTop w:val="0"/>
      <w:marBottom w:val="0"/>
      <w:divBdr>
        <w:top w:val="none" w:sz="0" w:space="0" w:color="auto"/>
        <w:left w:val="none" w:sz="0" w:space="0" w:color="auto"/>
        <w:bottom w:val="none" w:sz="0" w:space="0" w:color="auto"/>
        <w:right w:val="none" w:sz="0" w:space="0" w:color="auto"/>
      </w:divBdr>
    </w:div>
    <w:div w:id="691027695">
      <w:bodyDiv w:val="1"/>
      <w:marLeft w:val="0"/>
      <w:marRight w:val="0"/>
      <w:marTop w:val="0"/>
      <w:marBottom w:val="0"/>
      <w:divBdr>
        <w:top w:val="none" w:sz="0" w:space="0" w:color="auto"/>
        <w:left w:val="none" w:sz="0" w:space="0" w:color="auto"/>
        <w:bottom w:val="none" w:sz="0" w:space="0" w:color="auto"/>
        <w:right w:val="none" w:sz="0" w:space="0" w:color="auto"/>
      </w:divBdr>
    </w:div>
    <w:div w:id="691415862">
      <w:bodyDiv w:val="1"/>
      <w:marLeft w:val="0"/>
      <w:marRight w:val="0"/>
      <w:marTop w:val="0"/>
      <w:marBottom w:val="0"/>
      <w:divBdr>
        <w:top w:val="none" w:sz="0" w:space="0" w:color="auto"/>
        <w:left w:val="none" w:sz="0" w:space="0" w:color="auto"/>
        <w:bottom w:val="none" w:sz="0" w:space="0" w:color="auto"/>
        <w:right w:val="none" w:sz="0" w:space="0" w:color="auto"/>
      </w:divBdr>
    </w:div>
    <w:div w:id="693533280">
      <w:bodyDiv w:val="1"/>
      <w:marLeft w:val="0"/>
      <w:marRight w:val="0"/>
      <w:marTop w:val="0"/>
      <w:marBottom w:val="0"/>
      <w:divBdr>
        <w:top w:val="none" w:sz="0" w:space="0" w:color="auto"/>
        <w:left w:val="none" w:sz="0" w:space="0" w:color="auto"/>
        <w:bottom w:val="none" w:sz="0" w:space="0" w:color="auto"/>
        <w:right w:val="none" w:sz="0" w:space="0" w:color="auto"/>
      </w:divBdr>
    </w:div>
    <w:div w:id="696007732">
      <w:bodyDiv w:val="1"/>
      <w:marLeft w:val="0"/>
      <w:marRight w:val="0"/>
      <w:marTop w:val="0"/>
      <w:marBottom w:val="0"/>
      <w:divBdr>
        <w:top w:val="none" w:sz="0" w:space="0" w:color="auto"/>
        <w:left w:val="none" w:sz="0" w:space="0" w:color="auto"/>
        <w:bottom w:val="none" w:sz="0" w:space="0" w:color="auto"/>
        <w:right w:val="none" w:sz="0" w:space="0" w:color="auto"/>
      </w:divBdr>
    </w:div>
    <w:div w:id="698554323">
      <w:bodyDiv w:val="1"/>
      <w:marLeft w:val="0"/>
      <w:marRight w:val="0"/>
      <w:marTop w:val="0"/>
      <w:marBottom w:val="0"/>
      <w:divBdr>
        <w:top w:val="none" w:sz="0" w:space="0" w:color="auto"/>
        <w:left w:val="none" w:sz="0" w:space="0" w:color="auto"/>
        <w:bottom w:val="none" w:sz="0" w:space="0" w:color="auto"/>
        <w:right w:val="none" w:sz="0" w:space="0" w:color="auto"/>
      </w:divBdr>
    </w:div>
    <w:div w:id="699429123">
      <w:bodyDiv w:val="1"/>
      <w:marLeft w:val="0"/>
      <w:marRight w:val="0"/>
      <w:marTop w:val="0"/>
      <w:marBottom w:val="0"/>
      <w:divBdr>
        <w:top w:val="none" w:sz="0" w:space="0" w:color="auto"/>
        <w:left w:val="none" w:sz="0" w:space="0" w:color="auto"/>
        <w:bottom w:val="none" w:sz="0" w:space="0" w:color="auto"/>
        <w:right w:val="none" w:sz="0" w:space="0" w:color="auto"/>
      </w:divBdr>
    </w:div>
    <w:div w:id="699862287">
      <w:bodyDiv w:val="1"/>
      <w:marLeft w:val="0"/>
      <w:marRight w:val="0"/>
      <w:marTop w:val="0"/>
      <w:marBottom w:val="0"/>
      <w:divBdr>
        <w:top w:val="none" w:sz="0" w:space="0" w:color="auto"/>
        <w:left w:val="none" w:sz="0" w:space="0" w:color="auto"/>
        <w:bottom w:val="none" w:sz="0" w:space="0" w:color="auto"/>
        <w:right w:val="none" w:sz="0" w:space="0" w:color="auto"/>
      </w:divBdr>
    </w:div>
    <w:div w:id="701056102">
      <w:bodyDiv w:val="1"/>
      <w:marLeft w:val="0"/>
      <w:marRight w:val="0"/>
      <w:marTop w:val="0"/>
      <w:marBottom w:val="0"/>
      <w:divBdr>
        <w:top w:val="none" w:sz="0" w:space="0" w:color="auto"/>
        <w:left w:val="none" w:sz="0" w:space="0" w:color="auto"/>
        <w:bottom w:val="none" w:sz="0" w:space="0" w:color="auto"/>
        <w:right w:val="none" w:sz="0" w:space="0" w:color="auto"/>
      </w:divBdr>
    </w:div>
    <w:div w:id="703404709">
      <w:bodyDiv w:val="1"/>
      <w:marLeft w:val="0"/>
      <w:marRight w:val="0"/>
      <w:marTop w:val="0"/>
      <w:marBottom w:val="0"/>
      <w:divBdr>
        <w:top w:val="none" w:sz="0" w:space="0" w:color="auto"/>
        <w:left w:val="none" w:sz="0" w:space="0" w:color="auto"/>
        <w:bottom w:val="none" w:sz="0" w:space="0" w:color="auto"/>
        <w:right w:val="none" w:sz="0" w:space="0" w:color="auto"/>
      </w:divBdr>
    </w:div>
    <w:div w:id="704985000">
      <w:bodyDiv w:val="1"/>
      <w:marLeft w:val="0"/>
      <w:marRight w:val="0"/>
      <w:marTop w:val="0"/>
      <w:marBottom w:val="0"/>
      <w:divBdr>
        <w:top w:val="none" w:sz="0" w:space="0" w:color="auto"/>
        <w:left w:val="none" w:sz="0" w:space="0" w:color="auto"/>
        <w:bottom w:val="none" w:sz="0" w:space="0" w:color="auto"/>
        <w:right w:val="none" w:sz="0" w:space="0" w:color="auto"/>
      </w:divBdr>
    </w:div>
    <w:div w:id="705251793">
      <w:bodyDiv w:val="1"/>
      <w:marLeft w:val="0"/>
      <w:marRight w:val="0"/>
      <w:marTop w:val="0"/>
      <w:marBottom w:val="0"/>
      <w:divBdr>
        <w:top w:val="none" w:sz="0" w:space="0" w:color="auto"/>
        <w:left w:val="none" w:sz="0" w:space="0" w:color="auto"/>
        <w:bottom w:val="none" w:sz="0" w:space="0" w:color="auto"/>
        <w:right w:val="none" w:sz="0" w:space="0" w:color="auto"/>
      </w:divBdr>
    </w:div>
    <w:div w:id="706612338">
      <w:bodyDiv w:val="1"/>
      <w:marLeft w:val="0"/>
      <w:marRight w:val="0"/>
      <w:marTop w:val="0"/>
      <w:marBottom w:val="0"/>
      <w:divBdr>
        <w:top w:val="none" w:sz="0" w:space="0" w:color="auto"/>
        <w:left w:val="none" w:sz="0" w:space="0" w:color="auto"/>
        <w:bottom w:val="none" w:sz="0" w:space="0" w:color="auto"/>
        <w:right w:val="none" w:sz="0" w:space="0" w:color="auto"/>
      </w:divBdr>
    </w:div>
    <w:div w:id="709230779">
      <w:bodyDiv w:val="1"/>
      <w:marLeft w:val="0"/>
      <w:marRight w:val="0"/>
      <w:marTop w:val="0"/>
      <w:marBottom w:val="0"/>
      <w:divBdr>
        <w:top w:val="none" w:sz="0" w:space="0" w:color="auto"/>
        <w:left w:val="none" w:sz="0" w:space="0" w:color="auto"/>
        <w:bottom w:val="none" w:sz="0" w:space="0" w:color="auto"/>
        <w:right w:val="none" w:sz="0" w:space="0" w:color="auto"/>
      </w:divBdr>
    </w:div>
    <w:div w:id="710229880">
      <w:bodyDiv w:val="1"/>
      <w:marLeft w:val="0"/>
      <w:marRight w:val="0"/>
      <w:marTop w:val="0"/>
      <w:marBottom w:val="0"/>
      <w:divBdr>
        <w:top w:val="none" w:sz="0" w:space="0" w:color="auto"/>
        <w:left w:val="none" w:sz="0" w:space="0" w:color="auto"/>
        <w:bottom w:val="none" w:sz="0" w:space="0" w:color="auto"/>
        <w:right w:val="none" w:sz="0" w:space="0" w:color="auto"/>
      </w:divBdr>
    </w:div>
    <w:div w:id="712729680">
      <w:bodyDiv w:val="1"/>
      <w:marLeft w:val="0"/>
      <w:marRight w:val="0"/>
      <w:marTop w:val="0"/>
      <w:marBottom w:val="0"/>
      <w:divBdr>
        <w:top w:val="none" w:sz="0" w:space="0" w:color="auto"/>
        <w:left w:val="none" w:sz="0" w:space="0" w:color="auto"/>
        <w:bottom w:val="none" w:sz="0" w:space="0" w:color="auto"/>
        <w:right w:val="none" w:sz="0" w:space="0" w:color="auto"/>
      </w:divBdr>
    </w:div>
    <w:div w:id="714738390">
      <w:bodyDiv w:val="1"/>
      <w:marLeft w:val="0"/>
      <w:marRight w:val="0"/>
      <w:marTop w:val="0"/>
      <w:marBottom w:val="0"/>
      <w:divBdr>
        <w:top w:val="none" w:sz="0" w:space="0" w:color="auto"/>
        <w:left w:val="none" w:sz="0" w:space="0" w:color="auto"/>
        <w:bottom w:val="none" w:sz="0" w:space="0" w:color="auto"/>
        <w:right w:val="none" w:sz="0" w:space="0" w:color="auto"/>
      </w:divBdr>
    </w:div>
    <w:div w:id="714933261">
      <w:bodyDiv w:val="1"/>
      <w:marLeft w:val="0"/>
      <w:marRight w:val="0"/>
      <w:marTop w:val="0"/>
      <w:marBottom w:val="0"/>
      <w:divBdr>
        <w:top w:val="none" w:sz="0" w:space="0" w:color="auto"/>
        <w:left w:val="none" w:sz="0" w:space="0" w:color="auto"/>
        <w:bottom w:val="none" w:sz="0" w:space="0" w:color="auto"/>
        <w:right w:val="none" w:sz="0" w:space="0" w:color="auto"/>
      </w:divBdr>
    </w:div>
    <w:div w:id="715813765">
      <w:bodyDiv w:val="1"/>
      <w:marLeft w:val="0"/>
      <w:marRight w:val="0"/>
      <w:marTop w:val="0"/>
      <w:marBottom w:val="0"/>
      <w:divBdr>
        <w:top w:val="none" w:sz="0" w:space="0" w:color="auto"/>
        <w:left w:val="none" w:sz="0" w:space="0" w:color="auto"/>
        <w:bottom w:val="none" w:sz="0" w:space="0" w:color="auto"/>
        <w:right w:val="none" w:sz="0" w:space="0" w:color="auto"/>
      </w:divBdr>
    </w:div>
    <w:div w:id="725490556">
      <w:bodyDiv w:val="1"/>
      <w:marLeft w:val="0"/>
      <w:marRight w:val="0"/>
      <w:marTop w:val="0"/>
      <w:marBottom w:val="0"/>
      <w:divBdr>
        <w:top w:val="none" w:sz="0" w:space="0" w:color="auto"/>
        <w:left w:val="none" w:sz="0" w:space="0" w:color="auto"/>
        <w:bottom w:val="none" w:sz="0" w:space="0" w:color="auto"/>
        <w:right w:val="none" w:sz="0" w:space="0" w:color="auto"/>
      </w:divBdr>
    </w:div>
    <w:div w:id="726219581">
      <w:bodyDiv w:val="1"/>
      <w:marLeft w:val="0"/>
      <w:marRight w:val="0"/>
      <w:marTop w:val="0"/>
      <w:marBottom w:val="0"/>
      <w:divBdr>
        <w:top w:val="none" w:sz="0" w:space="0" w:color="auto"/>
        <w:left w:val="none" w:sz="0" w:space="0" w:color="auto"/>
        <w:bottom w:val="none" w:sz="0" w:space="0" w:color="auto"/>
        <w:right w:val="none" w:sz="0" w:space="0" w:color="auto"/>
      </w:divBdr>
    </w:div>
    <w:div w:id="729694434">
      <w:bodyDiv w:val="1"/>
      <w:marLeft w:val="0"/>
      <w:marRight w:val="0"/>
      <w:marTop w:val="0"/>
      <w:marBottom w:val="0"/>
      <w:divBdr>
        <w:top w:val="none" w:sz="0" w:space="0" w:color="auto"/>
        <w:left w:val="none" w:sz="0" w:space="0" w:color="auto"/>
        <w:bottom w:val="none" w:sz="0" w:space="0" w:color="auto"/>
        <w:right w:val="none" w:sz="0" w:space="0" w:color="auto"/>
      </w:divBdr>
    </w:div>
    <w:div w:id="730344261">
      <w:bodyDiv w:val="1"/>
      <w:marLeft w:val="0"/>
      <w:marRight w:val="0"/>
      <w:marTop w:val="0"/>
      <w:marBottom w:val="0"/>
      <w:divBdr>
        <w:top w:val="none" w:sz="0" w:space="0" w:color="auto"/>
        <w:left w:val="none" w:sz="0" w:space="0" w:color="auto"/>
        <w:bottom w:val="none" w:sz="0" w:space="0" w:color="auto"/>
        <w:right w:val="none" w:sz="0" w:space="0" w:color="auto"/>
      </w:divBdr>
    </w:div>
    <w:div w:id="730619350">
      <w:bodyDiv w:val="1"/>
      <w:marLeft w:val="0"/>
      <w:marRight w:val="0"/>
      <w:marTop w:val="0"/>
      <w:marBottom w:val="0"/>
      <w:divBdr>
        <w:top w:val="none" w:sz="0" w:space="0" w:color="auto"/>
        <w:left w:val="none" w:sz="0" w:space="0" w:color="auto"/>
        <w:bottom w:val="none" w:sz="0" w:space="0" w:color="auto"/>
        <w:right w:val="none" w:sz="0" w:space="0" w:color="auto"/>
      </w:divBdr>
    </w:div>
    <w:div w:id="730810621">
      <w:bodyDiv w:val="1"/>
      <w:marLeft w:val="0"/>
      <w:marRight w:val="0"/>
      <w:marTop w:val="0"/>
      <w:marBottom w:val="0"/>
      <w:divBdr>
        <w:top w:val="none" w:sz="0" w:space="0" w:color="auto"/>
        <w:left w:val="none" w:sz="0" w:space="0" w:color="auto"/>
        <w:bottom w:val="none" w:sz="0" w:space="0" w:color="auto"/>
        <w:right w:val="none" w:sz="0" w:space="0" w:color="auto"/>
      </w:divBdr>
    </w:div>
    <w:div w:id="733621035">
      <w:bodyDiv w:val="1"/>
      <w:marLeft w:val="0"/>
      <w:marRight w:val="0"/>
      <w:marTop w:val="0"/>
      <w:marBottom w:val="0"/>
      <w:divBdr>
        <w:top w:val="none" w:sz="0" w:space="0" w:color="auto"/>
        <w:left w:val="none" w:sz="0" w:space="0" w:color="auto"/>
        <w:bottom w:val="none" w:sz="0" w:space="0" w:color="auto"/>
        <w:right w:val="none" w:sz="0" w:space="0" w:color="auto"/>
      </w:divBdr>
    </w:div>
    <w:div w:id="735467905">
      <w:bodyDiv w:val="1"/>
      <w:marLeft w:val="0"/>
      <w:marRight w:val="0"/>
      <w:marTop w:val="0"/>
      <w:marBottom w:val="0"/>
      <w:divBdr>
        <w:top w:val="none" w:sz="0" w:space="0" w:color="auto"/>
        <w:left w:val="none" w:sz="0" w:space="0" w:color="auto"/>
        <w:bottom w:val="none" w:sz="0" w:space="0" w:color="auto"/>
        <w:right w:val="none" w:sz="0" w:space="0" w:color="auto"/>
      </w:divBdr>
    </w:div>
    <w:div w:id="735980697">
      <w:bodyDiv w:val="1"/>
      <w:marLeft w:val="0"/>
      <w:marRight w:val="0"/>
      <w:marTop w:val="0"/>
      <w:marBottom w:val="0"/>
      <w:divBdr>
        <w:top w:val="none" w:sz="0" w:space="0" w:color="auto"/>
        <w:left w:val="none" w:sz="0" w:space="0" w:color="auto"/>
        <w:bottom w:val="none" w:sz="0" w:space="0" w:color="auto"/>
        <w:right w:val="none" w:sz="0" w:space="0" w:color="auto"/>
      </w:divBdr>
    </w:div>
    <w:div w:id="737171154">
      <w:bodyDiv w:val="1"/>
      <w:marLeft w:val="0"/>
      <w:marRight w:val="0"/>
      <w:marTop w:val="0"/>
      <w:marBottom w:val="0"/>
      <w:divBdr>
        <w:top w:val="none" w:sz="0" w:space="0" w:color="auto"/>
        <w:left w:val="none" w:sz="0" w:space="0" w:color="auto"/>
        <w:bottom w:val="none" w:sz="0" w:space="0" w:color="auto"/>
        <w:right w:val="none" w:sz="0" w:space="0" w:color="auto"/>
      </w:divBdr>
    </w:div>
    <w:div w:id="737674724">
      <w:bodyDiv w:val="1"/>
      <w:marLeft w:val="0"/>
      <w:marRight w:val="0"/>
      <w:marTop w:val="0"/>
      <w:marBottom w:val="0"/>
      <w:divBdr>
        <w:top w:val="none" w:sz="0" w:space="0" w:color="auto"/>
        <w:left w:val="none" w:sz="0" w:space="0" w:color="auto"/>
        <w:bottom w:val="none" w:sz="0" w:space="0" w:color="auto"/>
        <w:right w:val="none" w:sz="0" w:space="0" w:color="auto"/>
      </w:divBdr>
    </w:div>
    <w:div w:id="738985333">
      <w:bodyDiv w:val="1"/>
      <w:marLeft w:val="0"/>
      <w:marRight w:val="0"/>
      <w:marTop w:val="0"/>
      <w:marBottom w:val="0"/>
      <w:divBdr>
        <w:top w:val="none" w:sz="0" w:space="0" w:color="auto"/>
        <w:left w:val="none" w:sz="0" w:space="0" w:color="auto"/>
        <w:bottom w:val="none" w:sz="0" w:space="0" w:color="auto"/>
        <w:right w:val="none" w:sz="0" w:space="0" w:color="auto"/>
      </w:divBdr>
    </w:div>
    <w:div w:id="739523910">
      <w:bodyDiv w:val="1"/>
      <w:marLeft w:val="0"/>
      <w:marRight w:val="0"/>
      <w:marTop w:val="0"/>
      <w:marBottom w:val="0"/>
      <w:divBdr>
        <w:top w:val="none" w:sz="0" w:space="0" w:color="auto"/>
        <w:left w:val="none" w:sz="0" w:space="0" w:color="auto"/>
        <w:bottom w:val="none" w:sz="0" w:space="0" w:color="auto"/>
        <w:right w:val="none" w:sz="0" w:space="0" w:color="auto"/>
      </w:divBdr>
    </w:div>
    <w:div w:id="741173297">
      <w:bodyDiv w:val="1"/>
      <w:marLeft w:val="0"/>
      <w:marRight w:val="0"/>
      <w:marTop w:val="0"/>
      <w:marBottom w:val="0"/>
      <w:divBdr>
        <w:top w:val="none" w:sz="0" w:space="0" w:color="auto"/>
        <w:left w:val="none" w:sz="0" w:space="0" w:color="auto"/>
        <w:bottom w:val="none" w:sz="0" w:space="0" w:color="auto"/>
        <w:right w:val="none" w:sz="0" w:space="0" w:color="auto"/>
      </w:divBdr>
    </w:div>
    <w:div w:id="743795495">
      <w:bodyDiv w:val="1"/>
      <w:marLeft w:val="0"/>
      <w:marRight w:val="0"/>
      <w:marTop w:val="0"/>
      <w:marBottom w:val="0"/>
      <w:divBdr>
        <w:top w:val="none" w:sz="0" w:space="0" w:color="auto"/>
        <w:left w:val="none" w:sz="0" w:space="0" w:color="auto"/>
        <w:bottom w:val="none" w:sz="0" w:space="0" w:color="auto"/>
        <w:right w:val="none" w:sz="0" w:space="0" w:color="auto"/>
      </w:divBdr>
    </w:div>
    <w:div w:id="746027736">
      <w:bodyDiv w:val="1"/>
      <w:marLeft w:val="0"/>
      <w:marRight w:val="0"/>
      <w:marTop w:val="0"/>
      <w:marBottom w:val="0"/>
      <w:divBdr>
        <w:top w:val="none" w:sz="0" w:space="0" w:color="auto"/>
        <w:left w:val="none" w:sz="0" w:space="0" w:color="auto"/>
        <w:bottom w:val="none" w:sz="0" w:space="0" w:color="auto"/>
        <w:right w:val="none" w:sz="0" w:space="0" w:color="auto"/>
      </w:divBdr>
    </w:div>
    <w:div w:id="747649852">
      <w:bodyDiv w:val="1"/>
      <w:marLeft w:val="0"/>
      <w:marRight w:val="0"/>
      <w:marTop w:val="0"/>
      <w:marBottom w:val="0"/>
      <w:divBdr>
        <w:top w:val="none" w:sz="0" w:space="0" w:color="auto"/>
        <w:left w:val="none" w:sz="0" w:space="0" w:color="auto"/>
        <w:bottom w:val="none" w:sz="0" w:space="0" w:color="auto"/>
        <w:right w:val="none" w:sz="0" w:space="0" w:color="auto"/>
      </w:divBdr>
    </w:div>
    <w:div w:id="747847920">
      <w:bodyDiv w:val="1"/>
      <w:marLeft w:val="0"/>
      <w:marRight w:val="0"/>
      <w:marTop w:val="0"/>
      <w:marBottom w:val="0"/>
      <w:divBdr>
        <w:top w:val="none" w:sz="0" w:space="0" w:color="auto"/>
        <w:left w:val="none" w:sz="0" w:space="0" w:color="auto"/>
        <w:bottom w:val="none" w:sz="0" w:space="0" w:color="auto"/>
        <w:right w:val="none" w:sz="0" w:space="0" w:color="auto"/>
      </w:divBdr>
    </w:div>
    <w:div w:id="749228863">
      <w:bodyDiv w:val="1"/>
      <w:marLeft w:val="0"/>
      <w:marRight w:val="0"/>
      <w:marTop w:val="0"/>
      <w:marBottom w:val="0"/>
      <w:divBdr>
        <w:top w:val="none" w:sz="0" w:space="0" w:color="auto"/>
        <w:left w:val="none" w:sz="0" w:space="0" w:color="auto"/>
        <w:bottom w:val="none" w:sz="0" w:space="0" w:color="auto"/>
        <w:right w:val="none" w:sz="0" w:space="0" w:color="auto"/>
      </w:divBdr>
    </w:div>
    <w:div w:id="751663137">
      <w:bodyDiv w:val="1"/>
      <w:marLeft w:val="0"/>
      <w:marRight w:val="0"/>
      <w:marTop w:val="0"/>
      <w:marBottom w:val="0"/>
      <w:divBdr>
        <w:top w:val="none" w:sz="0" w:space="0" w:color="auto"/>
        <w:left w:val="none" w:sz="0" w:space="0" w:color="auto"/>
        <w:bottom w:val="none" w:sz="0" w:space="0" w:color="auto"/>
        <w:right w:val="none" w:sz="0" w:space="0" w:color="auto"/>
      </w:divBdr>
    </w:div>
    <w:div w:id="753630733">
      <w:bodyDiv w:val="1"/>
      <w:marLeft w:val="0"/>
      <w:marRight w:val="0"/>
      <w:marTop w:val="0"/>
      <w:marBottom w:val="0"/>
      <w:divBdr>
        <w:top w:val="none" w:sz="0" w:space="0" w:color="auto"/>
        <w:left w:val="none" w:sz="0" w:space="0" w:color="auto"/>
        <w:bottom w:val="none" w:sz="0" w:space="0" w:color="auto"/>
        <w:right w:val="none" w:sz="0" w:space="0" w:color="auto"/>
      </w:divBdr>
    </w:div>
    <w:div w:id="756905574">
      <w:bodyDiv w:val="1"/>
      <w:marLeft w:val="0"/>
      <w:marRight w:val="0"/>
      <w:marTop w:val="0"/>
      <w:marBottom w:val="0"/>
      <w:divBdr>
        <w:top w:val="none" w:sz="0" w:space="0" w:color="auto"/>
        <w:left w:val="none" w:sz="0" w:space="0" w:color="auto"/>
        <w:bottom w:val="none" w:sz="0" w:space="0" w:color="auto"/>
        <w:right w:val="none" w:sz="0" w:space="0" w:color="auto"/>
      </w:divBdr>
    </w:div>
    <w:div w:id="758597905">
      <w:bodyDiv w:val="1"/>
      <w:marLeft w:val="0"/>
      <w:marRight w:val="0"/>
      <w:marTop w:val="0"/>
      <w:marBottom w:val="0"/>
      <w:divBdr>
        <w:top w:val="none" w:sz="0" w:space="0" w:color="auto"/>
        <w:left w:val="none" w:sz="0" w:space="0" w:color="auto"/>
        <w:bottom w:val="none" w:sz="0" w:space="0" w:color="auto"/>
        <w:right w:val="none" w:sz="0" w:space="0" w:color="auto"/>
      </w:divBdr>
    </w:div>
    <w:div w:id="759528941">
      <w:bodyDiv w:val="1"/>
      <w:marLeft w:val="0"/>
      <w:marRight w:val="0"/>
      <w:marTop w:val="0"/>
      <w:marBottom w:val="0"/>
      <w:divBdr>
        <w:top w:val="none" w:sz="0" w:space="0" w:color="auto"/>
        <w:left w:val="none" w:sz="0" w:space="0" w:color="auto"/>
        <w:bottom w:val="none" w:sz="0" w:space="0" w:color="auto"/>
        <w:right w:val="none" w:sz="0" w:space="0" w:color="auto"/>
      </w:divBdr>
    </w:div>
    <w:div w:id="761030472">
      <w:bodyDiv w:val="1"/>
      <w:marLeft w:val="0"/>
      <w:marRight w:val="0"/>
      <w:marTop w:val="0"/>
      <w:marBottom w:val="0"/>
      <w:divBdr>
        <w:top w:val="none" w:sz="0" w:space="0" w:color="auto"/>
        <w:left w:val="none" w:sz="0" w:space="0" w:color="auto"/>
        <w:bottom w:val="none" w:sz="0" w:space="0" w:color="auto"/>
        <w:right w:val="none" w:sz="0" w:space="0" w:color="auto"/>
      </w:divBdr>
    </w:div>
    <w:div w:id="762998621">
      <w:bodyDiv w:val="1"/>
      <w:marLeft w:val="0"/>
      <w:marRight w:val="0"/>
      <w:marTop w:val="0"/>
      <w:marBottom w:val="0"/>
      <w:divBdr>
        <w:top w:val="none" w:sz="0" w:space="0" w:color="auto"/>
        <w:left w:val="none" w:sz="0" w:space="0" w:color="auto"/>
        <w:bottom w:val="none" w:sz="0" w:space="0" w:color="auto"/>
        <w:right w:val="none" w:sz="0" w:space="0" w:color="auto"/>
      </w:divBdr>
    </w:div>
    <w:div w:id="764768946">
      <w:bodyDiv w:val="1"/>
      <w:marLeft w:val="0"/>
      <w:marRight w:val="0"/>
      <w:marTop w:val="0"/>
      <w:marBottom w:val="0"/>
      <w:divBdr>
        <w:top w:val="none" w:sz="0" w:space="0" w:color="auto"/>
        <w:left w:val="none" w:sz="0" w:space="0" w:color="auto"/>
        <w:bottom w:val="none" w:sz="0" w:space="0" w:color="auto"/>
        <w:right w:val="none" w:sz="0" w:space="0" w:color="auto"/>
      </w:divBdr>
    </w:div>
    <w:div w:id="765224765">
      <w:bodyDiv w:val="1"/>
      <w:marLeft w:val="0"/>
      <w:marRight w:val="0"/>
      <w:marTop w:val="0"/>
      <w:marBottom w:val="0"/>
      <w:divBdr>
        <w:top w:val="none" w:sz="0" w:space="0" w:color="auto"/>
        <w:left w:val="none" w:sz="0" w:space="0" w:color="auto"/>
        <w:bottom w:val="none" w:sz="0" w:space="0" w:color="auto"/>
        <w:right w:val="none" w:sz="0" w:space="0" w:color="auto"/>
      </w:divBdr>
    </w:div>
    <w:div w:id="766737116">
      <w:bodyDiv w:val="1"/>
      <w:marLeft w:val="0"/>
      <w:marRight w:val="0"/>
      <w:marTop w:val="0"/>
      <w:marBottom w:val="0"/>
      <w:divBdr>
        <w:top w:val="none" w:sz="0" w:space="0" w:color="auto"/>
        <w:left w:val="none" w:sz="0" w:space="0" w:color="auto"/>
        <w:bottom w:val="none" w:sz="0" w:space="0" w:color="auto"/>
        <w:right w:val="none" w:sz="0" w:space="0" w:color="auto"/>
      </w:divBdr>
    </w:div>
    <w:div w:id="766771397">
      <w:bodyDiv w:val="1"/>
      <w:marLeft w:val="0"/>
      <w:marRight w:val="0"/>
      <w:marTop w:val="0"/>
      <w:marBottom w:val="0"/>
      <w:divBdr>
        <w:top w:val="none" w:sz="0" w:space="0" w:color="auto"/>
        <w:left w:val="none" w:sz="0" w:space="0" w:color="auto"/>
        <w:bottom w:val="none" w:sz="0" w:space="0" w:color="auto"/>
        <w:right w:val="none" w:sz="0" w:space="0" w:color="auto"/>
      </w:divBdr>
    </w:div>
    <w:div w:id="769857489">
      <w:bodyDiv w:val="1"/>
      <w:marLeft w:val="0"/>
      <w:marRight w:val="0"/>
      <w:marTop w:val="0"/>
      <w:marBottom w:val="0"/>
      <w:divBdr>
        <w:top w:val="none" w:sz="0" w:space="0" w:color="auto"/>
        <w:left w:val="none" w:sz="0" w:space="0" w:color="auto"/>
        <w:bottom w:val="none" w:sz="0" w:space="0" w:color="auto"/>
        <w:right w:val="none" w:sz="0" w:space="0" w:color="auto"/>
      </w:divBdr>
    </w:div>
    <w:div w:id="770976069">
      <w:bodyDiv w:val="1"/>
      <w:marLeft w:val="0"/>
      <w:marRight w:val="0"/>
      <w:marTop w:val="0"/>
      <w:marBottom w:val="0"/>
      <w:divBdr>
        <w:top w:val="none" w:sz="0" w:space="0" w:color="auto"/>
        <w:left w:val="none" w:sz="0" w:space="0" w:color="auto"/>
        <w:bottom w:val="none" w:sz="0" w:space="0" w:color="auto"/>
        <w:right w:val="none" w:sz="0" w:space="0" w:color="auto"/>
      </w:divBdr>
    </w:div>
    <w:div w:id="772633865">
      <w:bodyDiv w:val="1"/>
      <w:marLeft w:val="0"/>
      <w:marRight w:val="0"/>
      <w:marTop w:val="0"/>
      <w:marBottom w:val="0"/>
      <w:divBdr>
        <w:top w:val="none" w:sz="0" w:space="0" w:color="auto"/>
        <w:left w:val="none" w:sz="0" w:space="0" w:color="auto"/>
        <w:bottom w:val="none" w:sz="0" w:space="0" w:color="auto"/>
        <w:right w:val="none" w:sz="0" w:space="0" w:color="auto"/>
      </w:divBdr>
    </w:div>
    <w:div w:id="774012411">
      <w:bodyDiv w:val="1"/>
      <w:marLeft w:val="0"/>
      <w:marRight w:val="0"/>
      <w:marTop w:val="0"/>
      <w:marBottom w:val="0"/>
      <w:divBdr>
        <w:top w:val="none" w:sz="0" w:space="0" w:color="auto"/>
        <w:left w:val="none" w:sz="0" w:space="0" w:color="auto"/>
        <w:bottom w:val="none" w:sz="0" w:space="0" w:color="auto"/>
        <w:right w:val="none" w:sz="0" w:space="0" w:color="auto"/>
      </w:divBdr>
    </w:div>
    <w:div w:id="775174390">
      <w:bodyDiv w:val="1"/>
      <w:marLeft w:val="0"/>
      <w:marRight w:val="0"/>
      <w:marTop w:val="0"/>
      <w:marBottom w:val="0"/>
      <w:divBdr>
        <w:top w:val="none" w:sz="0" w:space="0" w:color="auto"/>
        <w:left w:val="none" w:sz="0" w:space="0" w:color="auto"/>
        <w:bottom w:val="none" w:sz="0" w:space="0" w:color="auto"/>
        <w:right w:val="none" w:sz="0" w:space="0" w:color="auto"/>
      </w:divBdr>
    </w:div>
    <w:div w:id="776363804">
      <w:bodyDiv w:val="1"/>
      <w:marLeft w:val="0"/>
      <w:marRight w:val="0"/>
      <w:marTop w:val="0"/>
      <w:marBottom w:val="0"/>
      <w:divBdr>
        <w:top w:val="none" w:sz="0" w:space="0" w:color="auto"/>
        <w:left w:val="none" w:sz="0" w:space="0" w:color="auto"/>
        <w:bottom w:val="none" w:sz="0" w:space="0" w:color="auto"/>
        <w:right w:val="none" w:sz="0" w:space="0" w:color="auto"/>
      </w:divBdr>
    </w:div>
    <w:div w:id="776487637">
      <w:bodyDiv w:val="1"/>
      <w:marLeft w:val="0"/>
      <w:marRight w:val="0"/>
      <w:marTop w:val="0"/>
      <w:marBottom w:val="0"/>
      <w:divBdr>
        <w:top w:val="none" w:sz="0" w:space="0" w:color="auto"/>
        <w:left w:val="none" w:sz="0" w:space="0" w:color="auto"/>
        <w:bottom w:val="none" w:sz="0" w:space="0" w:color="auto"/>
        <w:right w:val="none" w:sz="0" w:space="0" w:color="auto"/>
      </w:divBdr>
    </w:div>
    <w:div w:id="778136649">
      <w:bodyDiv w:val="1"/>
      <w:marLeft w:val="0"/>
      <w:marRight w:val="0"/>
      <w:marTop w:val="0"/>
      <w:marBottom w:val="0"/>
      <w:divBdr>
        <w:top w:val="none" w:sz="0" w:space="0" w:color="auto"/>
        <w:left w:val="none" w:sz="0" w:space="0" w:color="auto"/>
        <w:bottom w:val="none" w:sz="0" w:space="0" w:color="auto"/>
        <w:right w:val="none" w:sz="0" w:space="0" w:color="auto"/>
      </w:divBdr>
    </w:div>
    <w:div w:id="778140675">
      <w:bodyDiv w:val="1"/>
      <w:marLeft w:val="0"/>
      <w:marRight w:val="0"/>
      <w:marTop w:val="0"/>
      <w:marBottom w:val="0"/>
      <w:divBdr>
        <w:top w:val="none" w:sz="0" w:space="0" w:color="auto"/>
        <w:left w:val="none" w:sz="0" w:space="0" w:color="auto"/>
        <w:bottom w:val="none" w:sz="0" w:space="0" w:color="auto"/>
        <w:right w:val="none" w:sz="0" w:space="0" w:color="auto"/>
      </w:divBdr>
    </w:div>
    <w:div w:id="779027356">
      <w:bodyDiv w:val="1"/>
      <w:marLeft w:val="0"/>
      <w:marRight w:val="0"/>
      <w:marTop w:val="0"/>
      <w:marBottom w:val="0"/>
      <w:divBdr>
        <w:top w:val="none" w:sz="0" w:space="0" w:color="auto"/>
        <w:left w:val="none" w:sz="0" w:space="0" w:color="auto"/>
        <w:bottom w:val="none" w:sz="0" w:space="0" w:color="auto"/>
        <w:right w:val="none" w:sz="0" w:space="0" w:color="auto"/>
      </w:divBdr>
    </w:div>
    <w:div w:id="783692727">
      <w:bodyDiv w:val="1"/>
      <w:marLeft w:val="0"/>
      <w:marRight w:val="0"/>
      <w:marTop w:val="0"/>
      <w:marBottom w:val="0"/>
      <w:divBdr>
        <w:top w:val="none" w:sz="0" w:space="0" w:color="auto"/>
        <w:left w:val="none" w:sz="0" w:space="0" w:color="auto"/>
        <w:bottom w:val="none" w:sz="0" w:space="0" w:color="auto"/>
        <w:right w:val="none" w:sz="0" w:space="0" w:color="auto"/>
      </w:divBdr>
    </w:div>
    <w:div w:id="792558131">
      <w:bodyDiv w:val="1"/>
      <w:marLeft w:val="0"/>
      <w:marRight w:val="0"/>
      <w:marTop w:val="0"/>
      <w:marBottom w:val="0"/>
      <w:divBdr>
        <w:top w:val="none" w:sz="0" w:space="0" w:color="auto"/>
        <w:left w:val="none" w:sz="0" w:space="0" w:color="auto"/>
        <w:bottom w:val="none" w:sz="0" w:space="0" w:color="auto"/>
        <w:right w:val="none" w:sz="0" w:space="0" w:color="auto"/>
      </w:divBdr>
    </w:div>
    <w:div w:id="793135438">
      <w:bodyDiv w:val="1"/>
      <w:marLeft w:val="0"/>
      <w:marRight w:val="0"/>
      <w:marTop w:val="0"/>
      <w:marBottom w:val="0"/>
      <w:divBdr>
        <w:top w:val="none" w:sz="0" w:space="0" w:color="auto"/>
        <w:left w:val="none" w:sz="0" w:space="0" w:color="auto"/>
        <w:bottom w:val="none" w:sz="0" w:space="0" w:color="auto"/>
        <w:right w:val="none" w:sz="0" w:space="0" w:color="auto"/>
      </w:divBdr>
    </w:div>
    <w:div w:id="794494341">
      <w:bodyDiv w:val="1"/>
      <w:marLeft w:val="0"/>
      <w:marRight w:val="0"/>
      <w:marTop w:val="0"/>
      <w:marBottom w:val="0"/>
      <w:divBdr>
        <w:top w:val="none" w:sz="0" w:space="0" w:color="auto"/>
        <w:left w:val="none" w:sz="0" w:space="0" w:color="auto"/>
        <w:bottom w:val="none" w:sz="0" w:space="0" w:color="auto"/>
        <w:right w:val="none" w:sz="0" w:space="0" w:color="auto"/>
      </w:divBdr>
    </w:div>
    <w:div w:id="800344713">
      <w:bodyDiv w:val="1"/>
      <w:marLeft w:val="0"/>
      <w:marRight w:val="0"/>
      <w:marTop w:val="0"/>
      <w:marBottom w:val="0"/>
      <w:divBdr>
        <w:top w:val="none" w:sz="0" w:space="0" w:color="auto"/>
        <w:left w:val="none" w:sz="0" w:space="0" w:color="auto"/>
        <w:bottom w:val="none" w:sz="0" w:space="0" w:color="auto"/>
        <w:right w:val="none" w:sz="0" w:space="0" w:color="auto"/>
      </w:divBdr>
    </w:div>
    <w:div w:id="802306021">
      <w:bodyDiv w:val="1"/>
      <w:marLeft w:val="0"/>
      <w:marRight w:val="0"/>
      <w:marTop w:val="0"/>
      <w:marBottom w:val="0"/>
      <w:divBdr>
        <w:top w:val="none" w:sz="0" w:space="0" w:color="auto"/>
        <w:left w:val="none" w:sz="0" w:space="0" w:color="auto"/>
        <w:bottom w:val="none" w:sz="0" w:space="0" w:color="auto"/>
        <w:right w:val="none" w:sz="0" w:space="0" w:color="auto"/>
      </w:divBdr>
      <w:divsChild>
        <w:div w:id="171914749">
          <w:marLeft w:val="0"/>
          <w:marRight w:val="0"/>
          <w:marTop w:val="0"/>
          <w:marBottom w:val="0"/>
          <w:divBdr>
            <w:top w:val="none" w:sz="0" w:space="0" w:color="auto"/>
            <w:left w:val="none" w:sz="0" w:space="0" w:color="auto"/>
            <w:bottom w:val="none" w:sz="0" w:space="0" w:color="auto"/>
            <w:right w:val="none" w:sz="0" w:space="0" w:color="auto"/>
          </w:divBdr>
        </w:div>
      </w:divsChild>
    </w:div>
    <w:div w:id="802426875">
      <w:bodyDiv w:val="1"/>
      <w:marLeft w:val="0"/>
      <w:marRight w:val="0"/>
      <w:marTop w:val="0"/>
      <w:marBottom w:val="0"/>
      <w:divBdr>
        <w:top w:val="none" w:sz="0" w:space="0" w:color="auto"/>
        <w:left w:val="none" w:sz="0" w:space="0" w:color="auto"/>
        <w:bottom w:val="none" w:sz="0" w:space="0" w:color="auto"/>
        <w:right w:val="none" w:sz="0" w:space="0" w:color="auto"/>
      </w:divBdr>
    </w:div>
    <w:div w:id="804662500">
      <w:bodyDiv w:val="1"/>
      <w:marLeft w:val="0"/>
      <w:marRight w:val="0"/>
      <w:marTop w:val="0"/>
      <w:marBottom w:val="0"/>
      <w:divBdr>
        <w:top w:val="none" w:sz="0" w:space="0" w:color="auto"/>
        <w:left w:val="none" w:sz="0" w:space="0" w:color="auto"/>
        <w:bottom w:val="none" w:sz="0" w:space="0" w:color="auto"/>
        <w:right w:val="none" w:sz="0" w:space="0" w:color="auto"/>
      </w:divBdr>
    </w:div>
    <w:div w:id="807478967">
      <w:bodyDiv w:val="1"/>
      <w:marLeft w:val="0"/>
      <w:marRight w:val="0"/>
      <w:marTop w:val="0"/>
      <w:marBottom w:val="0"/>
      <w:divBdr>
        <w:top w:val="none" w:sz="0" w:space="0" w:color="auto"/>
        <w:left w:val="none" w:sz="0" w:space="0" w:color="auto"/>
        <w:bottom w:val="none" w:sz="0" w:space="0" w:color="auto"/>
        <w:right w:val="none" w:sz="0" w:space="0" w:color="auto"/>
      </w:divBdr>
    </w:div>
    <w:div w:id="807935044">
      <w:bodyDiv w:val="1"/>
      <w:marLeft w:val="0"/>
      <w:marRight w:val="0"/>
      <w:marTop w:val="0"/>
      <w:marBottom w:val="0"/>
      <w:divBdr>
        <w:top w:val="none" w:sz="0" w:space="0" w:color="auto"/>
        <w:left w:val="none" w:sz="0" w:space="0" w:color="auto"/>
        <w:bottom w:val="none" w:sz="0" w:space="0" w:color="auto"/>
        <w:right w:val="none" w:sz="0" w:space="0" w:color="auto"/>
      </w:divBdr>
    </w:div>
    <w:div w:id="807937563">
      <w:bodyDiv w:val="1"/>
      <w:marLeft w:val="0"/>
      <w:marRight w:val="0"/>
      <w:marTop w:val="0"/>
      <w:marBottom w:val="0"/>
      <w:divBdr>
        <w:top w:val="none" w:sz="0" w:space="0" w:color="auto"/>
        <w:left w:val="none" w:sz="0" w:space="0" w:color="auto"/>
        <w:bottom w:val="none" w:sz="0" w:space="0" w:color="auto"/>
        <w:right w:val="none" w:sz="0" w:space="0" w:color="auto"/>
      </w:divBdr>
      <w:divsChild>
        <w:div w:id="1157260323">
          <w:marLeft w:val="0"/>
          <w:marRight w:val="0"/>
          <w:marTop w:val="0"/>
          <w:marBottom w:val="0"/>
          <w:divBdr>
            <w:top w:val="none" w:sz="0" w:space="0" w:color="auto"/>
            <w:left w:val="none" w:sz="0" w:space="0" w:color="auto"/>
            <w:bottom w:val="none" w:sz="0" w:space="0" w:color="auto"/>
            <w:right w:val="none" w:sz="0" w:space="0" w:color="auto"/>
          </w:divBdr>
        </w:div>
      </w:divsChild>
    </w:div>
    <w:div w:id="816336263">
      <w:bodyDiv w:val="1"/>
      <w:marLeft w:val="0"/>
      <w:marRight w:val="0"/>
      <w:marTop w:val="0"/>
      <w:marBottom w:val="0"/>
      <w:divBdr>
        <w:top w:val="none" w:sz="0" w:space="0" w:color="auto"/>
        <w:left w:val="none" w:sz="0" w:space="0" w:color="auto"/>
        <w:bottom w:val="none" w:sz="0" w:space="0" w:color="auto"/>
        <w:right w:val="none" w:sz="0" w:space="0" w:color="auto"/>
      </w:divBdr>
    </w:div>
    <w:div w:id="818771098">
      <w:bodyDiv w:val="1"/>
      <w:marLeft w:val="0"/>
      <w:marRight w:val="0"/>
      <w:marTop w:val="0"/>
      <w:marBottom w:val="0"/>
      <w:divBdr>
        <w:top w:val="none" w:sz="0" w:space="0" w:color="auto"/>
        <w:left w:val="none" w:sz="0" w:space="0" w:color="auto"/>
        <w:bottom w:val="none" w:sz="0" w:space="0" w:color="auto"/>
        <w:right w:val="none" w:sz="0" w:space="0" w:color="auto"/>
      </w:divBdr>
    </w:div>
    <w:div w:id="819346914">
      <w:bodyDiv w:val="1"/>
      <w:marLeft w:val="0"/>
      <w:marRight w:val="0"/>
      <w:marTop w:val="0"/>
      <w:marBottom w:val="0"/>
      <w:divBdr>
        <w:top w:val="none" w:sz="0" w:space="0" w:color="auto"/>
        <w:left w:val="none" w:sz="0" w:space="0" w:color="auto"/>
        <w:bottom w:val="none" w:sz="0" w:space="0" w:color="auto"/>
        <w:right w:val="none" w:sz="0" w:space="0" w:color="auto"/>
      </w:divBdr>
    </w:div>
    <w:div w:id="821510651">
      <w:bodyDiv w:val="1"/>
      <w:marLeft w:val="0"/>
      <w:marRight w:val="0"/>
      <w:marTop w:val="0"/>
      <w:marBottom w:val="0"/>
      <w:divBdr>
        <w:top w:val="none" w:sz="0" w:space="0" w:color="auto"/>
        <w:left w:val="none" w:sz="0" w:space="0" w:color="auto"/>
        <w:bottom w:val="none" w:sz="0" w:space="0" w:color="auto"/>
        <w:right w:val="none" w:sz="0" w:space="0" w:color="auto"/>
      </w:divBdr>
    </w:div>
    <w:div w:id="821696339">
      <w:bodyDiv w:val="1"/>
      <w:marLeft w:val="0"/>
      <w:marRight w:val="0"/>
      <w:marTop w:val="0"/>
      <w:marBottom w:val="0"/>
      <w:divBdr>
        <w:top w:val="none" w:sz="0" w:space="0" w:color="auto"/>
        <w:left w:val="none" w:sz="0" w:space="0" w:color="auto"/>
        <w:bottom w:val="none" w:sz="0" w:space="0" w:color="auto"/>
        <w:right w:val="none" w:sz="0" w:space="0" w:color="auto"/>
      </w:divBdr>
    </w:div>
    <w:div w:id="822241185">
      <w:bodyDiv w:val="1"/>
      <w:marLeft w:val="0"/>
      <w:marRight w:val="0"/>
      <w:marTop w:val="0"/>
      <w:marBottom w:val="0"/>
      <w:divBdr>
        <w:top w:val="none" w:sz="0" w:space="0" w:color="auto"/>
        <w:left w:val="none" w:sz="0" w:space="0" w:color="auto"/>
        <w:bottom w:val="none" w:sz="0" w:space="0" w:color="auto"/>
        <w:right w:val="none" w:sz="0" w:space="0" w:color="auto"/>
      </w:divBdr>
    </w:div>
    <w:div w:id="829831270">
      <w:bodyDiv w:val="1"/>
      <w:marLeft w:val="0"/>
      <w:marRight w:val="0"/>
      <w:marTop w:val="0"/>
      <w:marBottom w:val="0"/>
      <w:divBdr>
        <w:top w:val="none" w:sz="0" w:space="0" w:color="auto"/>
        <w:left w:val="none" w:sz="0" w:space="0" w:color="auto"/>
        <w:bottom w:val="none" w:sz="0" w:space="0" w:color="auto"/>
        <w:right w:val="none" w:sz="0" w:space="0" w:color="auto"/>
      </w:divBdr>
    </w:div>
    <w:div w:id="829832441">
      <w:bodyDiv w:val="1"/>
      <w:marLeft w:val="0"/>
      <w:marRight w:val="0"/>
      <w:marTop w:val="0"/>
      <w:marBottom w:val="0"/>
      <w:divBdr>
        <w:top w:val="none" w:sz="0" w:space="0" w:color="auto"/>
        <w:left w:val="none" w:sz="0" w:space="0" w:color="auto"/>
        <w:bottom w:val="none" w:sz="0" w:space="0" w:color="auto"/>
        <w:right w:val="none" w:sz="0" w:space="0" w:color="auto"/>
      </w:divBdr>
    </w:div>
    <w:div w:id="831220575">
      <w:bodyDiv w:val="1"/>
      <w:marLeft w:val="0"/>
      <w:marRight w:val="0"/>
      <w:marTop w:val="0"/>
      <w:marBottom w:val="0"/>
      <w:divBdr>
        <w:top w:val="none" w:sz="0" w:space="0" w:color="auto"/>
        <w:left w:val="none" w:sz="0" w:space="0" w:color="auto"/>
        <w:bottom w:val="none" w:sz="0" w:space="0" w:color="auto"/>
        <w:right w:val="none" w:sz="0" w:space="0" w:color="auto"/>
      </w:divBdr>
    </w:div>
    <w:div w:id="831915387">
      <w:bodyDiv w:val="1"/>
      <w:marLeft w:val="0"/>
      <w:marRight w:val="0"/>
      <w:marTop w:val="0"/>
      <w:marBottom w:val="0"/>
      <w:divBdr>
        <w:top w:val="none" w:sz="0" w:space="0" w:color="auto"/>
        <w:left w:val="none" w:sz="0" w:space="0" w:color="auto"/>
        <w:bottom w:val="none" w:sz="0" w:space="0" w:color="auto"/>
        <w:right w:val="none" w:sz="0" w:space="0" w:color="auto"/>
      </w:divBdr>
    </w:div>
    <w:div w:id="831992949">
      <w:bodyDiv w:val="1"/>
      <w:marLeft w:val="0"/>
      <w:marRight w:val="0"/>
      <w:marTop w:val="0"/>
      <w:marBottom w:val="0"/>
      <w:divBdr>
        <w:top w:val="none" w:sz="0" w:space="0" w:color="auto"/>
        <w:left w:val="none" w:sz="0" w:space="0" w:color="auto"/>
        <w:bottom w:val="none" w:sz="0" w:space="0" w:color="auto"/>
        <w:right w:val="none" w:sz="0" w:space="0" w:color="auto"/>
      </w:divBdr>
    </w:div>
    <w:div w:id="832332159">
      <w:bodyDiv w:val="1"/>
      <w:marLeft w:val="0"/>
      <w:marRight w:val="0"/>
      <w:marTop w:val="0"/>
      <w:marBottom w:val="0"/>
      <w:divBdr>
        <w:top w:val="none" w:sz="0" w:space="0" w:color="auto"/>
        <w:left w:val="none" w:sz="0" w:space="0" w:color="auto"/>
        <w:bottom w:val="none" w:sz="0" w:space="0" w:color="auto"/>
        <w:right w:val="none" w:sz="0" w:space="0" w:color="auto"/>
      </w:divBdr>
    </w:div>
    <w:div w:id="833760905">
      <w:bodyDiv w:val="1"/>
      <w:marLeft w:val="0"/>
      <w:marRight w:val="0"/>
      <w:marTop w:val="0"/>
      <w:marBottom w:val="0"/>
      <w:divBdr>
        <w:top w:val="none" w:sz="0" w:space="0" w:color="auto"/>
        <w:left w:val="none" w:sz="0" w:space="0" w:color="auto"/>
        <w:bottom w:val="none" w:sz="0" w:space="0" w:color="auto"/>
        <w:right w:val="none" w:sz="0" w:space="0" w:color="auto"/>
      </w:divBdr>
    </w:div>
    <w:div w:id="834687686">
      <w:bodyDiv w:val="1"/>
      <w:marLeft w:val="0"/>
      <w:marRight w:val="0"/>
      <w:marTop w:val="0"/>
      <w:marBottom w:val="0"/>
      <w:divBdr>
        <w:top w:val="none" w:sz="0" w:space="0" w:color="auto"/>
        <w:left w:val="none" w:sz="0" w:space="0" w:color="auto"/>
        <w:bottom w:val="none" w:sz="0" w:space="0" w:color="auto"/>
        <w:right w:val="none" w:sz="0" w:space="0" w:color="auto"/>
      </w:divBdr>
    </w:div>
    <w:div w:id="834879684">
      <w:bodyDiv w:val="1"/>
      <w:marLeft w:val="0"/>
      <w:marRight w:val="0"/>
      <w:marTop w:val="0"/>
      <w:marBottom w:val="0"/>
      <w:divBdr>
        <w:top w:val="none" w:sz="0" w:space="0" w:color="auto"/>
        <w:left w:val="none" w:sz="0" w:space="0" w:color="auto"/>
        <w:bottom w:val="none" w:sz="0" w:space="0" w:color="auto"/>
        <w:right w:val="none" w:sz="0" w:space="0" w:color="auto"/>
      </w:divBdr>
    </w:div>
    <w:div w:id="835725734">
      <w:bodyDiv w:val="1"/>
      <w:marLeft w:val="0"/>
      <w:marRight w:val="0"/>
      <w:marTop w:val="0"/>
      <w:marBottom w:val="0"/>
      <w:divBdr>
        <w:top w:val="none" w:sz="0" w:space="0" w:color="auto"/>
        <w:left w:val="none" w:sz="0" w:space="0" w:color="auto"/>
        <w:bottom w:val="none" w:sz="0" w:space="0" w:color="auto"/>
        <w:right w:val="none" w:sz="0" w:space="0" w:color="auto"/>
      </w:divBdr>
    </w:div>
    <w:div w:id="837159529">
      <w:bodyDiv w:val="1"/>
      <w:marLeft w:val="0"/>
      <w:marRight w:val="0"/>
      <w:marTop w:val="0"/>
      <w:marBottom w:val="0"/>
      <w:divBdr>
        <w:top w:val="none" w:sz="0" w:space="0" w:color="auto"/>
        <w:left w:val="none" w:sz="0" w:space="0" w:color="auto"/>
        <w:bottom w:val="none" w:sz="0" w:space="0" w:color="auto"/>
        <w:right w:val="none" w:sz="0" w:space="0" w:color="auto"/>
      </w:divBdr>
    </w:div>
    <w:div w:id="837500164">
      <w:bodyDiv w:val="1"/>
      <w:marLeft w:val="0"/>
      <w:marRight w:val="0"/>
      <w:marTop w:val="0"/>
      <w:marBottom w:val="0"/>
      <w:divBdr>
        <w:top w:val="none" w:sz="0" w:space="0" w:color="auto"/>
        <w:left w:val="none" w:sz="0" w:space="0" w:color="auto"/>
        <w:bottom w:val="none" w:sz="0" w:space="0" w:color="auto"/>
        <w:right w:val="none" w:sz="0" w:space="0" w:color="auto"/>
      </w:divBdr>
    </w:div>
    <w:div w:id="839270331">
      <w:bodyDiv w:val="1"/>
      <w:marLeft w:val="0"/>
      <w:marRight w:val="0"/>
      <w:marTop w:val="0"/>
      <w:marBottom w:val="0"/>
      <w:divBdr>
        <w:top w:val="none" w:sz="0" w:space="0" w:color="auto"/>
        <w:left w:val="none" w:sz="0" w:space="0" w:color="auto"/>
        <w:bottom w:val="none" w:sz="0" w:space="0" w:color="auto"/>
        <w:right w:val="none" w:sz="0" w:space="0" w:color="auto"/>
      </w:divBdr>
    </w:div>
    <w:div w:id="839348464">
      <w:bodyDiv w:val="1"/>
      <w:marLeft w:val="0"/>
      <w:marRight w:val="0"/>
      <w:marTop w:val="0"/>
      <w:marBottom w:val="0"/>
      <w:divBdr>
        <w:top w:val="none" w:sz="0" w:space="0" w:color="auto"/>
        <w:left w:val="none" w:sz="0" w:space="0" w:color="auto"/>
        <w:bottom w:val="none" w:sz="0" w:space="0" w:color="auto"/>
        <w:right w:val="none" w:sz="0" w:space="0" w:color="auto"/>
      </w:divBdr>
    </w:div>
    <w:div w:id="839463805">
      <w:bodyDiv w:val="1"/>
      <w:marLeft w:val="0"/>
      <w:marRight w:val="0"/>
      <w:marTop w:val="0"/>
      <w:marBottom w:val="0"/>
      <w:divBdr>
        <w:top w:val="none" w:sz="0" w:space="0" w:color="auto"/>
        <w:left w:val="none" w:sz="0" w:space="0" w:color="auto"/>
        <w:bottom w:val="none" w:sz="0" w:space="0" w:color="auto"/>
        <w:right w:val="none" w:sz="0" w:space="0" w:color="auto"/>
      </w:divBdr>
    </w:div>
    <w:div w:id="840631569">
      <w:bodyDiv w:val="1"/>
      <w:marLeft w:val="0"/>
      <w:marRight w:val="0"/>
      <w:marTop w:val="0"/>
      <w:marBottom w:val="0"/>
      <w:divBdr>
        <w:top w:val="none" w:sz="0" w:space="0" w:color="auto"/>
        <w:left w:val="none" w:sz="0" w:space="0" w:color="auto"/>
        <w:bottom w:val="none" w:sz="0" w:space="0" w:color="auto"/>
        <w:right w:val="none" w:sz="0" w:space="0" w:color="auto"/>
      </w:divBdr>
    </w:div>
    <w:div w:id="843545578">
      <w:bodyDiv w:val="1"/>
      <w:marLeft w:val="0"/>
      <w:marRight w:val="0"/>
      <w:marTop w:val="0"/>
      <w:marBottom w:val="0"/>
      <w:divBdr>
        <w:top w:val="none" w:sz="0" w:space="0" w:color="auto"/>
        <w:left w:val="none" w:sz="0" w:space="0" w:color="auto"/>
        <w:bottom w:val="none" w:sz="0" w:space="0" w:color="auto"/>
        <w:right w:val="none" w:sz="0" w:space="0" w:color="auto"/>
      </w:divBdr>
    </w:div>
    <w:div w:id="843932325">
      <w:bodyDiv w:val="1"/>
      <w:marLeft w:val="0"/>
      <w:marRight w:val="0"/>
      <w:marTop w:val="0"/>
      <w:marBottom w:val="0"/>
      <w:divBdr>
        <w:top w:val="none" w:sz="0" w:space="0" w:color="auto"/>
        <w:left w:val="none" w:sz="0" w:space="0" w:color="auto"/>
        <w:bottom w:val="none" w:sz="0" w:space="0" w:color="auto"/>
        <w:right w:val="none" w:sz="0" w:space="0" w:color="auto"/>
      </w:divBdr>
    </w:div>
    <w:div w:id="844631907">
      <w:bodyDiv w:val="1"/>
      <w:marLeft w:val="0"/>
      <w:marRight w:val="0"/>
      <w:marTop w:val="0"/>
      <w:marBottom w:val="0"/>
      <w:divBdr>
        <w:top w:val="none" w:sz="0" w:space="0" w:color="auto"/>
        <w:left w:val="none" w:sz="0" w:space="0" w:color="auto"/>
        <w:bottom w:val="none" w:sz="0" w:space="0" w:color="auto"/>
        <w:right w:val="none" w:sz="0" w:space="0" w:color="auto"/>
      </w:divBdr>
    </w:div>
    <w:div w:id="845022055">
      <w:bodyDiv w:val="1"/>
      <w:marLeft w:val="0"/>
      <w:marRight w:val="0"/>
      <w:marTop w:val="0"/>
      <w:marBottom w:val="0"/>
      <w:divBdr>
        <w:top w:val="none" w:sz="0" w:space="0" w:color="auto"/>
        <w:left w:val="none" w:sz="0" w:space="0" w:color="auto"/>
        <w:bottom w:val="none" w:sz="0" w:space="0" w:color="auto"/>
        <w:right w:val="none" w:sz="0" w:space="0" w:color="auto"/>
      </w:divBdr>
    </w:div>
    <w:div w:id="846599786">
      <w:bodyDiv w:val="1"/>
      <w:marLeft w:val="0"/>
      <w:marRight w:val="0"/>
      <w:marTop w:val="0"/>
      <w:marBottom w:val="0"/>
      <w:divBdr>
        <w:top w:val="none" w:sz="0" w:space="0" w:color="auto"/>
        <w:left w:val="none" w:sz="0" w:space="0" w:color="auto"/>
        <w:bottom w:val="none" w:sz="0" w:space="0" w:color="auto"/>
        <w:right w:val="none" w:sz="0" w:space="0" w:color="auto"/>
      </w:divBdr>
    </w:div>
    <w:div w:id="846745905">
      <w:bodyDiv w:val="1"/>
      <w:marLeft w:val="0"/>
      <w:marRight w:val="0"/>
      <w:marTop w:val="0"/>
      <w:marBottom w:val="0"/>
      <w:divBdr>
        <w:top w:val="none" w:sz="0" w:space="0" w:color="auto"/>
        <w:left w:val="none" w:sz="0" w:space="0" w:color="auto"/>
        <w:bottom w:val="none" w:sz="0" w:space="0" w:color="auto"/>
        <w:right w:val="none" w:sz="0" w:space="0" w:color="auto"/>
      </w:divBdr>
    </w:div>
    <w:div w:id="850681411">
      <w:bodyDiv w:val="1"/>
      <w:marLeft w:val="0"/>
      <w:marRight w:val="0"/>
      <w:marTop w:val="0"/>
      <w:marBottom w:val="0"/>
      <w:divBdr>
        <w:top w:val="none" w:sz="0" w:space="0" w:color="auto"/>
        <w:left w:val="none" w:sz="0" w:space="0" w:color="auto"/>
        <w:bottom w:val="none" w:sz="0" w:space="0" w:color="auto"/>
        <w:right w:val="none" w:sz="0" w:space="0" w:color="auto"/>
      </w:divBdr>
    </w:div>
    <w:div w:id="851994858">
      <w:bodyDiv w:val="1"/>
      <w:marLeft w:val="0"/>
      <w:marRight w:val="0"/>
      <w:marTop w:val="0"/>
      <w:marBottom w:val="0"/>
      <w:divBdr>
        <w:top w:val="none" w:sz="0" w:space="0" w:color="auto"/>
        <w:left w:val="none" w:sz="0" w:space="0" w:color="auto"/>
        <w:bottom w:val="none" w:sz="0" w:space="0" w:color="auto"/>
        <w:right w:val="none" w:sz="0" w:space="0" w:color="auto"/>
      </w:divBdr>
    </w:div>
    <w:div w:id="853034222">
      <w:bodyDiv w:val="1"/>
      <w:marLeft w:val="0"/>
      <w:marRight w:val="0"/>
      <w:marTop w:val="0"/>
      <w:marBottom w:val="0"/>
      <w:divBdr>
        <w:top w:val="none" w:sz="0" w:space="0" w:color="auto"/>
        <w:left w:val="none" w:sz="0" w:space="0" w:color="auto"/>
        <w:bottom w:val="none" w:sz="0" w:space="0" w:color="auto"/>
        <w:right w:val="none" w:sz="0" w:space="0" w:color="auto"/>
      </w:divBdr>
    </w:div>
    <w:div w:id="856696693">
      <w:bodyDiv w:val="1"/>
      <w:marLeft w:val="0"/>
      <w:marRight w:val="0"/>
      <w:marTop w:val="0"/>
      <w:marBottom w:val="0"/>
      <w:divBdr>
        <w:top w:val="none" w:sz="0" w:space="0" w:color="auto"/>
        <w:left w:val="none" w:sz="0" w:space="0" w:color="auto"/>
        <w:bottom w:val="none" w:sz="0" w:space="0" w:color="auto"/>
        <w:right w:val="none" w:sz="0" w:space="0" w:color="auto"/>
      </w:divBdr>
    </w:div>
    <w:div w:id="859006282">
      <w:bodyDiv w:val="1"/>
      <w:marLeft w:val="0"/>
      <w:marRight w:val="0"/>
      <w:marTop w:val="0"/>
      <w:marBottom w:val="0"/>
      <w:divBdr>
        <w:top w:val="none" w:sz="0" w:space="0" w:color="auto"/>
        <w:left w:val="none" w:sz="0" w:space="0" w:color="auto"/>
        <w:bottom w:val="none" w:sz="0" w:space="0" w:color="auto"/>
        <w:right w:val="none" w:sz="0" w:space="0" w:color="auto"/>
      </w:divBdr>
    </w:div>
    <w:div w:id="859512113">
      <w:bodyDiv w:val="1"/>
      <w:marLeft w:val="0"/>
      <w:marRight w:val="0"/>
      <w:marTop w:val="0"/>
      <w:marBottom w:val="0"/>
      <w:divBdr>
        <w:top w:val="none" w:sz="0" w:space="0" w:color="auto"/>
        <w:left w:val="none" w:sz="0" w:space="0" w:color="auto"/>
        <w:bottom w:val="none" w:sz="0" w:space="0" w:color="auto"/>
        <w:right w:val="none" w:sz="0" w:space="0" w:color="auto"/>
      </w:divBdr>
    </w:div>
    <w:div w:id="860822396">
      <w:bodyDiv w:val="1"/>
      <w:marLeft w:val="0"/>
      <w:marRight w:val="0"/>
      <w:marTop w:val="0"/>
      <w:marBottom w:val="0"/>
      <w:divBdr>
        <w:top w:val="none" w:sz="0" w:space="0" w:color="auto"/>
        <w:left w:val="none" w:sz="0" w:space="0" w:color="auto"/>
        <w:bottom w:val="none" w:sz="0" w:space="0" w:color="auto"/>
        <w:right w:val="none" w:sz="0" w:space="0" w:color="auto"/>
      </w:divBdr>
    </w:div>
    <w:div w:id="861552375">
      <w:bodyDiv w:val="1"/>
      <w:marLeft w:val="0"/>
      <w:marRight w:val="0"/>
      <w:marTop w:val="0"/>
      <w:marBottom w:val="0"/>
      <w:divBdr>
        <w:top w:val="none" w:sz="0" w:space="0" w:color="auto"/>
        <w:left w:val="none" w:sz="0" w:space="0" w:color="auto"/>
        <w:bottom w:val="none" w:sz="0" w:space="0" w:color="auto"/>
        <w:right w:val="none" w:sz="0" w:space="0" w:color="auto"/>
      </w:divBdr>
    </w:div>
    <w:div w:id="866604482">
      <w:bodyDiv w:val="1"/>
      <w:marLeft w:val="0"/>
      <w:marRight w:val="0"/>
      <w:marTop w:val="0"/>
      <w:marBottom w:val="0"/>
      <w:divBdr>
        <w:top w:val="none" w:sz="0" w:space="0" w:color="auto"/>
        <w:left w:val="none" w:sz="0" w:space="0" w:color="auto"/>
        <w:bottom w:val="none" w:sz="0" w:space="0" w:color="auto"/>
        <w:right w:val="none" w:sz="0" w:space="0" w:color="auto"/>
      </w:divBdr>
    </w:div>
    <w:div w:id="867180458">
      <w:bodyDiv w:val="1"/>
      <w:marLeft w:val="0"/>
      <w:marRight w:val="0"/>
      <w:marTop w:val="0"/>
      <w:marBottom w:val="0"/>
      <w:divBdr>
        <w:top w:val="none" w:sz="0" w:space="0" w:color="auto"/>
        <w:left w:val="none" w:sz="0" w:space="0" w:color="auto"/>
        <w:bottom w:val="none" w:sz="0" w:space="0" w:color="auto"/>
        <w:right w:val="none" w:sz="0" w:space="0" w:color="auto"/>
      </w:divBdr>
    </w:div>
    <w:div w:id="867373410">
      <w:bodyDiv w:val="1"/>
      <w:marLeft w:val="0"/>
      <w:marRight w:val="0"/>
      <w:marTop w:val="0"/>
      <w:marBottom w:val="0"/>
      <w:divBdr>
        <w:top w:val="none" w:sz="0" w:space="0" w:color="auto"/>
        <w:left w:val="none" w:sz="0" w:space="0" w:color="auto"/>
        <w:bottom w:val="none" w:sz="0" w:space="0" w:color="auto"/>
        <w:right w:val="none" w:sz="0" w:space="0" w:color="auto"/>
      </w:divBdr>
    </w:div>
    <w:div w:id="869948743">
      <w:bodyDiv w:val="1"/>
      <w:marLeft w:val="0"/>
      <w:marRight w:val="0"/>
      <w:marTop w:val="0"/>
      <w:marBottom w:val="0"/>
      <w:divBdr>
        <w:top w:val="none" w:sz="0" w:space="0" w:color="auto"/>
        <w:left w:val="none" w:sz="0" w:space="0" w:color="auto"/>
        <w:bottom w:val="none" w:sz="0" w:space="0" w:color="auto"/>
        <w:right w:val="none" w:sz="0" w:space="0" w:color="auto"/>
      </w:divBdr>
    </w:div>
    <w:div w:id="869999624">
      <w:bodyDiv w:val="1"/>
      <w:marLeft w:val="0"/>
      <w:marRight w:val="0"/>
      <w:marTop w:val="0"/>
      <w:marBottom w:val="0"/>
      <w:divBdr>
        <w:top w:val="none" w:sz="0" w:space="0" w:color="auto"/>
        <w:left w:val="none" w:sz="0" w:space="0" w:color="auto"/>
        <w:bottom w:val="none" w:sz="0" w:space="0" w:color="auto"/>
        <w:right w:val="none" w:sz="0" w:space="0" w:color="auto"/>
      </w:divBdr>
    </w:div>
    <w:div w:id="870535275">
      <w:bodyDiv w:val="1"/>
      <w:marLeft w:val="0"/>
      <w:marRight w:val="0"/>
      <w:marTop w:val="0"/>
      <w:marBottom w:val="0"/>
      <w:divBdr>
        <w:top w:val="none" w:sz="0" w:space="0" w:color="auto"/>
        <w:left w:val="none" w:sz="0" w:space="0" w:color="auto"/>
        <w:bottom w:val="none" w:sz="0" w:space="0" w:color="auto"/>
        <w:right w:val="none" w:sz="0" w:space="0" w:color="auto"/>
      </w:divBdr>
    </w:div>
    <w:div w:id="871452925">
      <w:bodyDiv w:val="1"/>
      <w:marLeft w:val="0"/>
      <w:marRight w:val="0"/>
      <w:marTop w:val="0"/>
      <w:marBottom w:val="0"/>
      <w:divBdr>
        <w:top w:val="none" w:sz="0" w:space="0" w:color="auto"/>
        <w:left w:val="none" w:sz="0" w:space="0" w:color="auto"/>
        <w:bottom w:val="none" w:sz="0" w:space="0" w:color="auto"/>
        <w:right w:val="none" w:sz="0" w:space="0" w:color="auto"/>
      </w:divBdr>
    </w:div>
    <w:div w:id="875970800">
      <w:bodyDiv w:val="1"/>
      <w:marLeft w:val="0"/>
      <w:marRight w:val="0"/>
      <w:marTop w:val="0"/>
      <w:marBottom w:val="0"/>
      <w:divBdr>
        <w:top w:val="none" w:sz="0" w:space="0" w:color="auto"/>
        <w:left w:val="none" w:sz="0" w:space="0" w:color="auto"/>
        <w:bottom w:val="none" w:sz="0" w:space="0" w:color="auto"/>
        <w:right w:val="none" w:sz="0" w:space="0" w:color="auto"/>
      </w:divBdr>
    </w:div>
    <w:div w:id="876817221">
      <w:bodyDiv w:val="1"/>
      <w:marLeft w:val="0"/>
      <w:marRight w:val="0"/>
      <w:marTop w:val="0"/>
      <w:marBottom w:val="0"/>
      <w:divBdr>
        <w:top w:val="none" w:sz="0" w:space="0" w:color="auto"/>
        <w:left w:val="none" w:sz="0" w:space="0" w:color="auto"/>
        <w:bottom w:val="none" w:sz="0" w:space="0" w:color="auto"/>
        <w:right w:val="none" w:sz="0" w:space="0" w:color="auto"/>
      </w:divBdr>
    </w:div>
    <w:div w:id="877353313">
      <w:bodyDiv w:val="1"/>
      <w:marLeft w:val="0"/>
      <w:marRight w:val="0"/>
      <w:marTop w:val="0"/>
      <w:marBottom w:val="0"/>
      <w:divBdr>
        <w:top w:val="none" w:sz="0" w:space="0" w:color="auto"/>
        <w:left w:val="none" w:sz="0" w:space="0" w:color="auto"/>
        <w:bottom w:val="none" w:sz="0" w:space="0" w:color="auto"/>
        <w:right w:val="none" w:sz="0" w:space="0" w:color="auto"/>
      </w:divBdr>
    </w:div>
    <w:div w:id="877854979">
      <w:bodyDiv w:val="1"/>
      <w:marLeft w:val="0"/>
      <w:marRight w:val="0"/>
      <w:marTop w:val="0"/>
      <w:marBottom w:val="0"/>
      <w:divBdr>
        <w:top w:val="none" w:sz="0" w:space="0" w:color="auto"/>
        <w:left w:val="none" w:sz="0" w:space="0" w:color="auto"/>
        <w:bottom w:val="none" w:sz="0" w:space="0" w:color="auto"/>
        <w:right w:val="none" w:sz="0" w:space="0" w:color="auto"/>
      </w:divBdr>
    </w:div>
    <w:div w:id="878082325">
      <w:bodyDiv w:val="1"/>
      <w:marLeft w:val="0"/>
      <w:marRight w:val="0"/>
      <w:marTop w:val="0"/>
      <w:marBottom w:val="0"/>
      <w:divBdr>
        <w:top w:val="none" w:sz="0" w:space="0" w:color="auto"/>
        <w:left w:val="none" w:sz="0" w:space="0" w:color="auto"/>
        <w:bottom w:val="none" w:sz="0" w:space="0" w:color="auto"/>
        <w:right w:val="none" w:sz="0" w:space="0" w:color="auto"/>
      </w:divBdr>
    </w:div>
    <w:div w:id="879703918">
      <w:bodyDiv w:val="1"/>
      <w:marLeft w:val="0"/>
      <w:marRight w:val="0"/>
      <w:marTop w:val="0"/>
      <w:marBottom w:val="0"/>
      <w:divBdr>
        <w:top w:val="none" w:sz="0" w:space="0" w:color="auto"/>
        <w:left w:val="none" w:sz="0" w:space="0" w:color="auto"/>
        <w:bottom w:val="none" w:sz="0" w:space="0" w:color="auto"/>
        <w:right w:val="none" w:sz="0" w:space="0" w:color="auto"/>
      </w:divBdr>
    </w:div>
    <w:div w:id="879781642">
      <w:bodyDiv w:val="1"/>
      <w:marLeft w:val="0"/>
      <w:marRight w:val="0"/>
      <w:marTop w:val="0"/>
      <w:marBottom w:val="0"/>
      <w:divBdr>
        <w:top w:val="none" w:sz="0" w:space="0" w:color="auto"/>
        <w:left w:val="none" w:sz="0" w:space="0" w:color="auto"/>
        <w:bottom w:val="none" w:sz="0" w:space="0" w:color="auto"/>
        <w:right w:val="none" w:sz="0" w:space="0" w:color="auto"/>
      </w:divBdr>
    </w:div>
    <w:div w:id="883102980">
      <w:bodyDiv w:val="1"/>
      <w:marLeft w:val="0"/>
      <w:marRight w:val="0"/>
      <w:marTop w:val="0"/>
      <w:marBottom w:val="0"/>
      <w:divBdr>
        <w:top w:val="none" w:sz="0" w:space="0" w:color="auto"/>
        <w:left w:val="none" w:sz="0" w:space="0" w:color="auto"/>
        <w:bottom w:val="none" w:sz="0" w:space="0" w:color="auto"/>
        <w:right w:val="none" w:sz="0" w:space="0" w:color="auto"/>
      </w:divBdr>
      <w:divsChild>
        <w:div w:id="447048946">
          <w:marLeft w:val="0"/>
          <w:marRight w:val="0"/>
          <w:marTop w:val="0"/>
          <w:marBottom w:val="0"/>
          <w:divBdr>
            <w:top w:val="none" w:sz="0" w:space="0" w:color="auto"/>
            <w:left w:val="none" w:sz="0" w:space="0" w:color="auto"/>
            <w:bottom w:val="none" w:sz="0" w:space="0" w:color="auto"/>
            <w:right w:val="none" w:sz="0" w:space="0" w:color="auto"/>
          </w:divBdr>
        </w:div>
      </w:divsChild>
    </w:div>
    <w:div w:id="883175294">
      <w:bodyDiv w:val="1"/>
      <w:marLeft w:val="0"/>
      <w:marRight w:val="0"/>
      <w:marTop w:val="0"/>
      <w:marBottom w:val="0"/>
      <w:divBdr>
        <w:top w:val="none" w:sz="0" w:space="0" w:color="auto"/>
        <w:left w:val="none" w:sz="0" w:space="0" w:color="auto"/>
        <w:bottom w:val="none" w:sz="0" w:space="0" w:color="auto"/>
        <w:right w:val="none" w:sz="0" w:space="0" w:color="auto"/>
      </w:divBdr>
    </w:div>
    <w:div w:id="884148285">
      <w:bodyDiv w:val="1"/>
      <w:marLeft w:val="0"/>
      <w:marRight w:val="0"/>
      <w:marTop w:val="0"/>
      <w:marBottom w:val="0"/>
      <w:divBdr>
        <w:top w:val="none" w:sz="0" w:space="0" w:color="auto"/>
        <w:left w:val="none" w:sz="0" w:space="0" w:color="auto"/>
        <w:bottom w:val="none" w:sz="0" w:space="0" w:color="auto"/>
        <w:right w:val="none" w:sz="0" w:space="0" w:color="auto"/>
      </w:divBdr>
    </w:div>
    <w:div w:id="884606865">
      <w:bodyDiv w:val="1"/>
      <w:marLeft w:val="0"/>
      <w:marRight w:val="0"/>
      <w:marTop w:val="0"/>
      <w:marBottom w:val="0"/>
      <w:divBdr>
        <w:top w:val="none" w:sz="0" w:space="0" w:color="auto"/>
        <w:left w:val="none" w:sz="0" w:space="0" w:color="auto"/>
        <w:bottom w:val="none" w:sz="0" w:space="0" w:color="auto"/>
        <w:right w:val="none" w:sz="0" w:space="0" w:color="auto"/>
      </w:divBdr>
    </w:div>
    <w:div w:id="887567361">
      <w:bodyDiv w:val="1"/>
      <w:marLeft w:val="0"/>
      <w:marRight w:val="0"/>
      <w:marTop w:val="0"/>
      <w:marBottom w:val="0"/>
      <w:divBdr>
        <w:top w:val="none" w:sz="0" w:space="0" w:color="auto"/>
        <w:left w:val="none" w:sz="0" w:space="0" w:color="auto"/>
        <w:bottom w:val="none" w:sz="0" w:space="0" w:color="auto"/>
        <w:right w:val="none" w:sz="0" w:space="0" w:color="auto"/>
      </w:divBdr>
    </w:div>
    <w:div w:id="888885380">
      <w:bodyDiv w:val="1"/>
      <w:marLeft w:val="0"/>
      <w:marRight w:val="0"/>
      <w:marTop w:val="0"/>
      <w:marBottom w:val="0"/>
      <w:divBdr>
        <w:top w:val="none" w:sz="0" w:space="0" w:color="auto"/>
        <w:left w:val="none" w:sz="0" w:space="0" w:color="auto"/>
        <w:bottom w:val="none" w:sz="0" w:space="0" w:color="auto"/>
        <w:right w:val="none" w:sz="0" w:space="0" w:color="auto"/>
      </w:divBdr>
    </w:div>
    <w:div w:id="891691410">
      <w:bodyDiv w:val="1"/>
      <w:marLeft w:val="0"/>
      <w:marRight w:val="0"/>
      <w:marTop w:val="0"/>
      <w:marBottom w:val="0"/>
      <w:divBdr>
        <w:top w:val="none" w:sz="0" w:space="0" w:color="auto"/>
        <w:left w:val="none" w:sz="0" w:space="0" w:color="auto"/>
        <w:bottom w:val="none" w:sz="0" w:space="0" w:color="auto"/>
        <w:right w:val="none" w:sz="0" w:space="0" w:color="auto"/>
      </w:divBdr>
    </w:div>
    <w:div w:id="897128843">
      <w:bodyDiv w:val="1"/>
      <w:marLeft w:val="0"/>
      <w:marRight w:val="0"/>
      <w:marTop w:val="0"/>
      <w:marBottom w:val="0"/>
      <w:divBdr>
        <w:top w:val="none" w:sz="0" w:space="0" w:color="auto"/>
        <w:left w:val="none" w:sz="0" w:space="0" w:color="auto"/>
        <w:bottom w:val="none" w:sz="0" w:space="0" w:color="auto"/>
        <w:right w:val="none" w:sz="0" w:space="0" w:color="auto"/>
      </w:divBdr>
    </w:div>
    <w:div w:id="904489420">
      <w:bodyDiv w:val="1"/>
      <w:marLeft w:val="0"/>
      <w:marRight w:val="0"/>
      <w:marTop w:val="0"/>
      <w:marBottom w:val="0"/>
      <w:divBdr>
        <w:top w:val="none" w:sz="0" w:space="0" w:color="auto"/>
        <w:left w:val="none" w:sz="0" w:space="0" w:color="auto"/>
        <w:bottom w:val="none" w:sz="0" w:space="0" w:color="auto"/>
        <w:right w:val="none" w:sz="0" w:space="0" w:color="auto"/>
      </w:divBdr>
    </w:div>
    <w:div w:id="905410712">
      <w:bodyDiv w:val="1"/>
      <w:marLeft w:val="0"/>
      <w:marRight w:val="0"/>
      <w:marTop w:val="0"/>
      <w:marBottom w:val="0"/>
      <w:divBdr>
        <w:top w:val="none" w:sz="0" w:space="0" w:color="auto"/>
        <w:left w:val="none" w:sz="0" w:space="0" w:color="auto"/>
        <w:bottom w:val="none" w:sz="0" w:space="0" w:color="auto"/>
        <w:right w:val="none" w:sz="0" w:space="0" w:color="auto"/>
      </w:divBdr>
    </w:div>
    <w:div w:id="912280045">
      <w:bodyDiv w:val="1"/>
      <w:marLeft w:val="0"/>
      <w:marRight w:val="0"/>
      <w:marTop w:val="0"/>
      <w:marBottom w:val="0"/>
      <w:divBdr>
        <w:top w:val="none" w:sz="0" w:space="0" w:color="auto"/>
        <w:left w:val="none" w:sz="0" w:space="0" w:color="auto"/>
        <w:bottom w:val="none" w:sz="0" w:space="0" w:color="auto"/>
        <w:right w:val="none" w:sz="0" w:space="0" w:color="auto"/>
      </w:divBdr>
    </w:div>
    <w:div w:id="912616562">
      <w:bodyDiv w:val="1"/>
      <w:marLeft w:val="0"/>
      <w:marRight w:val="0"/>
      <w:marTop w:val="0"/>
      <w:marBottom w:val="0"/>
      <w:divBdr>
        <w:top w:val="none" w:sz="0" w:space="0" w:color="auto"/>
        <w:left w:val="none" w:sz="0" w:space="0" w:color="auto"/>
        <w:bottom w:val="none" w:sz="0" w:space="0" w:color="auto"/>
        <w:right w:val="none" w:sz="0" w:space="0" w:color="auto"/>
      </w:divBdr>
    </w:div>
    <w:div w:id="913708804">
      <w:bodyDiv w:val="1"/>
      <w:marLeft w:val="0"/>
      <w:marRight w:val="0"/>
      <w:marTop w:val="0"/>
      <w:marBottom w:val="0"/>
      <w:divBdr>
        <w:top w:val="none" w:sz="0" w:space="0" w:color="auto"/>
        <w:left w:val="none" w:sz="0" w:space="0" w:color="auto"/>
        <w:bottom w:val="none" w:sz="0" w:space="0" w:color="auto"/>
        <w:right w:val="none" w:sz="0" w:space="0" w:color="auto"/>
      </w:divBdr>
    </w:div>
    <w:div w:id="918055041">
      <w:bodyDiv w:val="1"/>
      <w:marLeft w:val="0"/>
      <w:marRight w:val="0"/>
      <w:marTop w:val="0"/>
      <w:marBottom w:val="0"/>
      <w:divBdr>
        <w:top w:val="none" w:sz="0" w:space="0" w:color="auto"/>
        <w:left w:val="none" w:sz="0" w:space="0" w:color="auto"/>
        <w:bottom w:val="none" w:sz="0" w:space="0" w:color="auto"/>
        <w:right w:val="none" w:sz="0" w:space="0" w:color="auto"/>
      </w:divBdr>
    </w:div>
    <w:div w:id="918179206">
      <w:bodyDiv w:val="1"/>
      <w:marLeft w:val="0"/>
      <w:marRight w:val="0"/>
      <w:marTop w:val="0"/>
      <w:marBottom w:val="0"/>
      <w:divBdr>
        <w:top w:val="none" w:sz="0" w:space="0" w:color="auto"/>
        <w:left w:val="none" w:sz="0" w:space="0" w:color="auto"/>
        <w:bottom w:val="none" w:sz="0" w:space="0" w:color="auto"/>
        <w:right w:val="none" w:sz="0" w:space="0" w:color="auto"/>
      </w:divBdr>
    </w:div>
    <w:div w:id="919480915">
      <w:bodyDiv w:val="1"/>
      <w:marLeft w:val="0"/>
      <w:marRight w:val="0"/>
      <w:marTop w:val="0"/>
      <w:marBottom w:val="0"/>
      <w:divBdr>
        <w:top w:val="none" w:sz="0" w:space="0" w:color="auto"/>
        <w:left w:val="none" w:sz="0" w:space="0" w:color="auto"/>
        <w:bottom w:val="none" w:sz="0" w:space="0" w:color="auto"/>
        <w:right w:val="none" w:sz="0" w:space="0" w:color="auto"/>
      </w:divBdr>
    </w:div>
    <w:div w:id="920484641">
      <w:bodyDiv w:val="1"/>
      <w:marLeft w:val="0"/>
      <w:marRight w:val="0"/>
      <w:marTop w:val="0"/>
      <w:marBottom w:val="0"/>
      <w:divBdr>
        <w:top w:val="none" w:sz="0" w:space="0" w:color="auto"/>
        <w:left w:val="none" w:sz="0" w:space="0" w:color="auto"/>
        <w:bottom w:val="none" w:sz="0" w:space="0" w:color="auto"/>
        <w:right w:val="none" w:sz="0" w:space="0" w:color="auto"/>
      </w:divBdr>
    </w:div>
    <w:div w:id="923881155">
      <w:bodyDiv w:val="1"/>
      <w:marLeft w:val="0"/>
      <w:marRight w:val="0"/>
      <w:marTop w:val="0"/>
      <w:marBottom w:val="0"/>
      <w:divBdr>
        <w:top w:val="none" w:sz="0" w:space="0" w:color="auto"/>
        <w:left w:val="none" w:sz="0" w:space="0" w:color="auto"/>
        <w:bottom w:val="none" w:sz="0" w:space="0" w:color="auto"/>
        <w:right w:val="none" w:sz="0" w:space="0" w:color="auto"/>
      </w:divBdr>
    </w:div>
    <w:div w:id="925384389">
      <w:bodyDiv w:val="1"/>
      <w:marLeft w:val="0"/>
      <w:marRight w:val="0"/>
      <w:marTop w:val="0"/>
      <w:marBottom w:val="0"/>
      <w:divBdr>
        <w:top w:val="none" w:sz="0" w:space="0" w:color="auto"/>
        <w:left w:val="none" w:sz="0" w:space="0" w:color="auto"/>
        <w:bottom w:val="none" w:sz="0" w:space="0" w:color="auto"/>
        <w:right w:val="none" w:sz="0" w:space="0" w:color="auto"/>
      </w:divBdr>
    </w:div>
    <w:div w:id="927928647">
      <w:bodyDiv w:val="1"/>
      <w:marLeft w:val="0"/>
      <w:marRight w:val="0"/>
      <w:marTop w:val="0"/>
      <w:marBottom w:val="0"/>
      <w:divBdr>
        <w:top w:val="none" w:sz="0" w:space="0" w:color="auto"/>
        <w:left w:val="none" w:sz="0" w:space="0" w:color="auto"/>
        <w:bottom w:val="none" w:sz="0" w:space="0" w:color="auto"/>
        <w:right w:val="none" w:sz="0" w:space="0" w:color="auto"/>
      </w:divBdr>
    </w:div>
    <w:div w:id="929004113">
      <w:bodyDiv w:val="1"/>
      <w:marLeft w:val="0"/>
      <w:marRight w:val="0"/>
      <w:marTop w:val="0"/>
      <w:marBottom w:val="0"/>
      <w:divBdr>
        <w:top w:val="none" w:sz="0" w:space="0" w:color="auto"/>
        <w:left w:val="none" w:sz="0" w:space="0" w:color="auto"/>
        <w:bottom w:val="none" w:sz="0" w:space="0" w:color="auto"/>
        <w:right w:val="none" w:sz="0" w:space="0" w:color="auto"/>
      </w:divBdr>
    </w:div>
    <w:div w:id="930552377">
      <w:bodyDiv w:val="1"/>
      <w:marLeft w:val="0"/>
      <w:marRight w:val="0"/>
      <w:marTop w:val="0"/>
      <w:marBottom w:val="0"/>
      <w:divBdr>
        <w:top w:val="none" w:sz="0" w:space="0" w:color="auto"/>
        <w:left w:val="none" w:sz="0" w:space="0" w:color="auto"/>
        <w:bottom w:val="none" w:sz="0" w:space="0" w:color="auto"/>
        <w:right w:val="none" w:sz="0" w:space="0" w:color="auto"/>
      </w:divBdr>
    </w:div>
    <w:div w:id="931161805">
      <w:bodyDiv w:val="1"/>
      <w:marLeft w:val="0"/>
      <w:marRight w:val="0"/>
      <w:marTop w:val="0"/>
      <w:marBottom w:val="0"/>
      <w:divBdr>
        <w:top w:val="none" w:sz="0" w:space="0" w:color="auto"/>
        <w:left w:val="none" w:sz="0" w:space="0" w:color="auto"/>
        <w:bottom w:val="none" w:sz="0" w:space="0" w:color="auto"/>
        <w:right w:val="none" w:sz="0" w:space="0" w:color="auto"/>
      </w:divBdr>
    </w:div>
    <w:div w:id="931668654">
      <w:bodyDiv w:val="1"/>
      <w:marLeft w:val="0"/>
      <w:marRight w:val="0"/>
      <w:marTop w:val="0"/>
      <w:marBottom w:val="0"/>
      <w:divBdr>
        <w:top w:val="none" w:sz="0" w:space="0" w:color="auto"/>
        <w:left w:val="none" w:sz="0" w:space="0" w:color="auto"/>
        <w:bottom w:val="none" w:sz="0" w:space="0" w:color="auto"/>
        <w:right w:val="none" w:sz="0" w:space="0" w:color="auto"/>
      </w:divBdr>
    </w:div>
    <w:div w:id="933903980">
      <w:bodyDiv w:val="1"/>
      <w:marLeft w:val="0"/>
      <w:marRight w:val="0"/>
      <w:marTop w:val="0"/>
      <w:marBottom w:val="0"/>
      <w:divBdr>
        <w:top w:val="none" w:sz="0" w:space="0" w:color="auto"/>
        <w:left w:val="none" w:sz="0" w:space="0" w:color="auto"/>
        <w:bottom w:val="none" w:sz="0" w:space="0" w:color="auto"/>
        <w:right w:val="none" w:sz="0" w:space="0" w:color="auto"/>
      </w:divBdr>
    </w:div>
    <w:div w:id="934095863">
      <w:bodyDiv w:val="1"/>
      <w:marLeft w:val="0"/>
      <w:marRight w:val="0"/>
      <w:marTop w:val="0"/>
      <w:marBottom w:val="0"/>
      <w:divBdr>
        <w:top w:val="none" w:sz="0" w:space="0" w:color="auto"/>
        <w:left w:val="none" w:sz="0" w:space="0" w:color="auto"/>
        <w:bottom w:val="none" w:sz="0" w:space="0" w:color="auto"/>
        <w:right w:val="none" w:sz="0" w:space="0" w:color="auto"/>
      </w:divBdr>
    </w:div>
    <w:div w:id="936712346">
      <w:bodyDiv w:val="1"/>
      <w:marLeft w:val="0"/>
      <w:marRight w:val="0"/>
      <w:marTop w:val="0"/>
      <w:marBottom w:val="0"/>
      <w:divBdr>
        <w:top w:val="none" w:sz="0" w:space="0" w:color="auto"/>
        <w:left w:val="none" w:sz="0" w:space="0" w:color="auto"/>
        <w:bottom w:val="none" w:sz="0" w:space="0" w:color="auto"/>
        <w:right w:val="none" w:sz="0" w:space="0" w:color="auto"/>
      </w:divBdr>
    </w:div>
    <w:div w:id="938759634">
      <w:bodyDiv w:val="1"/>
      <w:marLeft w:val="0"/>
      <w:marRight w:val="0"/>
      <w:marTop w:val="0"/>
      <w:marBottom w:val="0"/>
      <w:divBdr>
        <w:top w:val="none" w:sz="0" w:space="0" w:color="auto"/>
        <w:left w:val="none" w:sz="0" w:space="0" w:color="auto"/>
        <w:bottom w:val="none" w:sz="0" w:space="0" w:color="auto"/>
        <w:right w:val="none" w:sz="0" w:space="0" w:color="auto"/>
      </w:divBdr>
    </w:div>
    <w:div w:id="939604150">
      <w:bodyDiv w:val="1"/>
      <w:marLeft w:val="0"/>
      <w:marRight w:val="0"/>
      <w:marTop w:val="0"/>
      <w:marBottom w:val="0"/>
      <w:divBdr>
        <w:top w:val="none" w:sz="0" w:space="0" w:color="auto"/>
        <w:left w:val="none" w:sz="0" w:space="0" w:color="auto"/>
        <w:bottom w:val="none" w:sz="0" w:space="0" w:color="auto"/>
        <w:right w:val="none" w:sz="0" w:space="0" w:color="auto"/>
      </w:divBdr>
    </w:div>
    <w:div w:id="939684600">
      <w:bodyDiv w:val="1"/>
      <w:marLeft w:val="0"/>
      <w:marRight w:val="0"/>
      <w:marTop w:val="0"/>
      <w:marBottom w:val="0"/>
      <w:divBdr>
        <w:top w:val="none" w:sz="0" w:space="0" w:color="auto"/>
        <w:left w:val="none" w:sz="0" w:space="0" w:color="auto"/>
        <w:bottom w:val="none" w:sz="0" w:space="0" w:color="auto"/>
        <w:right w:val="none" w:sz="0" w:space="0" w:color="auto"/>
      </w:divBdr>
    </w:div>
    <w:div w:id="942761602">
      <w:bodyDiv w:val="1"/>
      <w:marLeft w:val="0"/>
      <w:marRight w:val="0"/>
      <w:marTop w:val="0"/>
      <w:marBottom w:val="0"/>
      <w:divBdr>
        <w:top w:val="none" w:sz="0" w:space="0" w:color="auto"/>
        <w:left w:val="none" w:sz="0" w:space="0" w:color="auto"/>
        <w:bottom w:val="none" w:sz="0" w:space="0" w:color="auto"/>
        <w:right w:val="none" w:sz="0" w:space="0" w:color="auto"/>
      </w:divBdr>
    </w:div>
    <w:div w:id="942955578">
      <w:bodyDiv w:val="1"/>
      <w:marLeft w:val="0"/>
      <w:marRight w:val="0"/>
      <w:marTop w:val="0"/>
      <w:marBottom w:val="0"/>
      <w:divBdr>
        <w:top w:val="none" w:sz="0" w:space="0" w:color="auto"/>
        <w:left w:val="none" w:sz="0" w:space="0" w:color="auto"/>
        <w:bottom w:val="none" w:sz="0" w:space="0" w:color="auto"/>
        <w:right w:val="none" w:sz="0" w:space="0" w:color="auto"/>
      </w:divBdr>
    </w:div>
    <w:div w:id="944652424">
      <w:bodyDiv w:val="1"/>
      <w:marLeft w:val="0"/>
      <w:marRight w:val="0"/>
      <w:marTop w:val="0"/>
      <w:marBottom w:val="0"/>
      <w:divBdr>
        <w:top w:val="none" w:sz="0" w:space="0" w:color="auto"/>
        <w:left w:val="none" w:sz="0" w:space="0" w:color="auto"/>
        <w:bottom w:val="none" w:sz="0" w:space="0" w:color="auto"/>
        <w:right w:val="none" w:sz="0" w:space="0" w:color="auto"/>
      </w:divBdr>
    </w:div>
    <w:div w:id="946156359">
      <w:bodyDiv w:val="1"/>
      <w:marLeft w:val="0"/>
      <w:marRight w:val="0"/>
      <w:marTop w:val="0"/>
      <w:marBottom w:val="0"/>
      <w:divBdr>
        <w:top w:val="none" w:sz="0" w:space="0" w:color="auto"/>
        <w:left w:val="none" w:sz="0" w:space="0" w:color="auto"/>
        <w:bottom w:val="none" w:sz="0" w:space="0" w:color="auto"/>
        <w:right w:val="none" w:sz="0" w:space="0" w:color="auto"/>
      </w:divBdr>
    </w:div>
    <w:div w:id="947541841">
      <w:bodyDiv w:val="1"/>
      <w:marLeft w:val="0"/>
      <w:marRight w:val="0"/>
      <w:marTop w:val="0"/>
      <w:marBottom w:val="0"/>
      <w:divBdr>
        <w:top w:val="none" w:sz="0" w:space="0" w:color="auto"/>
        <w:left w:val="none" w:sz="0" w:space="0" w:color="auto"/>
        <w:bottom w:val="none" w:sz="0" w:space="0" w:color="auto"/>
        <w:right w:val="none" w:sz="0" w:space="0" w:color="auto"/>
      </w:divBdr>
    </w:div>
    <w:div w:id="947926128">
      <w:bodyDiv w:val="1"/>
      <w:marLeft w:val="0"/>
      <w:marRight w:val="0"/>
      <w:marTop w:val="0"/>
      <w:marBottom w:val="0"/>
      <w:divBdr>
        <w:top w:val="none" w:sz="0" w:space="0" w:color="auto"/>
        <w:left w:val="none" w:sz="0" w:space="0" w:color="auto"/>
        <w:bottom w:val="none" w:sz="0" w:space="0" w:color="auto"/>
        <w:right w:val="none" w:sz="0" w:space="0" w:color="auto"/>
      </w:divBdr>
    </w:div>
    <w:div w:id="948707370">
      <w:bodyDiv w:val="1"/>
      <w:marLeft w:val="0"/>
      <w:marRight w:val="0"/>
      <w:marTop w:val="0"/>
      <w:marBottom w:val="0"/>
      <w:divBdr>
        <w:top w:val="none" w:sz="0" w:space="0" w:color="auto"/>
        <w:left w:val="none" w:sz="0" w:space="0" w:color="auto"/>
        <w:bottom w:val="none" w:sz="0" w:space="0" w:color="auto"/>
        <w:right w:val="none" w:sz="0" w:space="0" w:color="auto"/>
      </w:divBdr>
    </w:div>
    <w:div w:id="952126415">
      <w:bodyDiv w:val="1"/>
      <w:marLeft w:val="0"/>
      <w:marRight w:val="0"/>
      <w:marTop w:val="0"/>
      <w:marBottom w:val="0"/>
      <w:divBdr>
        <w:top w:val="none" w:sz="0" w:space="0" w:color="auto"/>
        <w:left w:val="none" w:sz="0" w:space="0" w:color="auto"/>
        <w:bottom w:val="none" w:sz="0" w:space="0" w:color="auto"/>
        <w:right w:val="none" w:sz="0" w:space="0" w:color="auto"/>
      </w:divBdr>
    </w:div>
    <w:div w:id="953559096">
      <w:bodyDiv w:val="1"/>
      <w:marLeft w:val="0"/>
      <w:marRight w:val="0"/>
      <w:marTop w:val="0"/>
      <w:marBottom w:val="0"/>
      <w:divBdr>
        <w:top w:val="none" w:sz="0" w:space="0" w:color="auto"/>
        <w:left w:val="none" w:sz="0" w:space="0" w:color="auto"/>
        <w:bottom w:val="none" w:sz="0" w:space="0" w:color="auto"/>
        <w:right w:val="none" w:sz="0" w:space="0" w:color="auto"/>
      </w:divBdr>
    </w:div>
    <w:div w:id="953831889">
      <w:bodyDiv w:val="1"/>
      <w:marLeft w:val="0"/>
      <w:marRight w:val="0"/>
      <w:marTop w:val="0"/>
      <w:marBottom w:val="0"/>
      <w:divBdr>
        <w:top w:val="none" w:sz="0" w:space="0" w:color="auto"/>
        <w:left w:val="none" w:sz="0" w:space="0" w:color="auto"/>
        <w:bottom w:val="none" w:sz="0" w:space="0" w:color="auto"/>
        <w:right w:val="none" w:sz="0" w:space="0" w:color="auto"/>
      </w:divBdr>
    </w:div>
    <w:div w:id="955285417">
      <w:bodyDiv w:val="1"/>
      <w:marLeft w:val="0"/>
      <w:marRight w:val="0"/>
      <w:marTop w:val="0"/>
      <w:marBottom w:val="0"/>
      <w:divBdr>
        <w:top w:val="none" w:sz="0" w:space="0" w:color="auto"/>
        <w:left w:val="none" w:sz="0" w:space="0" w:color="auto"/>
        <w:bottom w:val="none" w:sz="0" w:space="0" w:color="auto"/>
        <w:right w:val="none" w:sz="0" w:space="0" w:color="auto"/>
      </w:divBdr>
    </w:div>
    <w:div w:id="956180798">
      <w:bodyDiv w:val="1"/>
      <w:marLeft w:val="0"/>
      <w:marRight w:val="0"/>
      <w:marTop w:val="0"/>
      <w:marBottom w:val="0"/>
      <w:divBdr>
        <w:top w:val="none" w:sz="0" w:space="0" w:color="auto"/>
        <w:left w:val="none" w:sz="0" w:space="0" w:color="auto"/>
        <w:bottom w:val="none" w:sz="0" w:space="0" w:color="auto"/>
        <w:right w:val="none" w:sz="0" w:space="0" w:color="auto"/>
      </w:divBdr>
    </w:div>
    <w:div w:id="959335479">
      <w:bodyDiv w:val="1"/>
      <w:marLeft w:val="0"/>
      <w:marRight w:val="0"/>
      <w:marTop w:val="0"/>
      <w:marBottom w:val="0"/>
      <w:divBdr>
        <w:top w:val="none" w:sz="0" w:space="0" w:color="auto"/>
        <w:left w:val="none" w:sz="0" w:space="0" w:color="auto"/>
        <w:bottom w:val="none" w:sz="0" w:space="0" w:color="auto"/>
        <w:right w:val="none" w:sz="0" w:space="0" w:color="auto"/>
      </w:divBdr>
    </w:div>
    <w:div w:id="960452975">
      <w:bodyDiv w:val="1"/>
      <w:marLeft w:val="0"/>
      <w:marRight w:val="0"/>
      <w:marTop w:val="0"/>
      <w:marBottom w:val="0"/>
      <w:divBdr>
        <w:top w:val="none" w:sz="0" w:space="0" w:color="auto"/>
        <w:left w:val="none" w:sz="0" w:space="0" w:color="auto"/>
        <w:bottom w:val="none" w:sz="0" w:space="0" w:color="auto"/>
        <w:right w:val="none" w:sz="0" w:space="0" w:color="auto"/>
      </w:divBdr>
    </w:div>
    <w:div w:id="960527023">
      <w:bodyDiv w:val="1"/>
      <w:marLeft w:val="0"/>
      <w:marRight w:val="0"/>
      <w:marTop w:val="0"/>
      <w:marBottom w:val="0"/>
      <w:divBdr>
        <w:top w:val="none" w:sz="0" w:space="0" w:color="auto"/>
        <w:left w:val="none" w:sz="0" w:space="0" w:color="auto"/>
        <w:bottom w:val="none" w:sz="0" w:space="0" w:color="auto"/>
        <w:right w:val="none" w:sz="0" w:space="0" w:color="auto"/>
      </w:divBdr>
    </w:div>
    <w:div w:id="960692451">
      <w:bodyDiv w:val="1"/>
      <w:marLeft w:val="0"/>
      <w:marRight w:val="0"/>
      <w:marTop w:val="0"/>
      <w:marBottom w:val="0"/>
      <w:divBdr>
        <w:top w:val="none" w:sz="0" w:space="0" w:color="auto"/>
        <w:left w:val="none" w:sz="0" w:space="0" w:color="auto"/>
        <w:bottom w:val="none" w:sz="0" w:space="0" w:color="auto"/>
        <w:right w:val="none" w:sz="0" w:space="0" w:color="auto"/>
      </w:divBdr>
    </w:div>
    <w:div w:id="961427029">
      <w:bodyDiv w:val="1"/>
      <w:marLeft w:val="0"/>
      <w:marRight w:val="0"/>
      <w:marTop w:val="0"/>
      <w:marBottom w:val="0"/>
      <w:divBdr>
        <w:top w:val="none" w:sz="0" w:space="0" w:color="auto"/>
        <w:left w:val="none" w:sz="0" w:space="0" w:color="auto"/>
        <w:bottom w:val="none" w:sz="0" w:space="0" w:color="auto"/>
        <w:right w:val="none" w:sz="0" w:space="0" w:color="auto"/>
      </w:divBdr>
    </w:div>
    <w:div w:id="961493747">
      <w:bodyDiv w:val="1"/>
      <w:marLeft w:val="0"/>
      <w:marRight w:val="0"/>
      <w:marTop w:val="0"/>
      <w:marBottom w:val="0"/>
      <w:divBdr>
        <w:top w:val="none" w:sz="0" w:space="0" w:color="auto"/>
        <w:left w:val="none" w:sz="0" w:space="0" w:color="auto"/>
        <w:bottom w:val="none" w:sz="0" w:space="0" w:color="auto"/>
        <w:right w:val="none" w:sz="0" w:space="0" w:color="auto"/>
      </w:divBdr>
    </w:div>
    <w:div w:id="961888153">
      <w:bodyDiv w:val="1"/>
      <w:marLeft w:val="0"/>
      <w:marRight w:val="0"/>
      <w:marTop w:val="0"/>
      <w:marBottom w:val="0"/>
      <w:divBdr>
        <w:top w:val="none" w:sz="0" w:space="0" w:color="auto"/>
        <w:left w:val="none" w:sz="0" w:space="0" w:color="auto"/>
        <w:bottom w:val="none" w:sz="0" w:space="0" w:color="auto"/>
        <w:right w:val="none" w:sz="0" w:space="0" w:color="auto"/>
      </w:divBdr>
    </w:div>
    <w:div w:id="966548004">
      <w:bodyDiv w:val="1"/>
      <w:marLeft w:val="0"/>
      <w:marRight w:val="0"/>
      <w:marTop w:val="0"/>
      <w:marBottom w:val="0"/>
      <w:divBdr>
        <w:top w:val="none" w:sz="0" w:space="0" w:color="auto"/>
        <w:left w:val="none" w:sz="0" w:space="0" w:color="auto"/>
        <w:bottom w:val="none" w:sz="0" w:space="0" w:color="auto"/>
        <w:right w:val="none" w:sz="0" w:space="0" w:color="auto"/>
      </w:divBdr>
    </w:div>
    <w:div w:id="967784494">
      <w:bodyDiv w:val="1"/>
      <w:marLeft w:val="0"/>
      <w:marRight w:val="0"/>
      <w:marTop w:val="0"/>
      <w:marBottom w:val="0"/>
      <w:divBdr>
        <w:top w:val="none" w:sz="0" w:space="0" w:color="auto"/>
        <w:left w:val="none" w:sz="0" w:space="0" w:color="auto"/>
        <w:bottom w:val="none" w:sz="0" w:space="0" w:color="auto"/>
        <w:right w:val="none" w:sz="0" w:space="0" w:color="auto"/>
      </w:divBdr>
    </w:div>
    <w:div w:id="968632509">
      <w:bodyDiv w:val="1"/>
      <w:marLeft w:val="0"/>
      <w:marRight w:val="0"/>
      <w:marTop w:val="0"/>
      <w:marBottom w:val="0"/>
      <w:divBdr>
        <w:top w:val="none" w:sz="0" w:space="0" w:color="auto"/>
        <w:left w:val="none" w:sz="0" w:space="0" w:color="auto"/>
        <w:bottom w:val="none" w:sz="0" w:space="0" w:color="auto"/>
        <w:right w:val="none" w:sz="0" w:space="0" w:color="auto"/>
      </w:divBdr>
    </w:div>
    <w:div w:id="970013718">
      <w:bodyDiv w:val="1"/>
      <w:marLeft w:val="0"/>
      <w:marRight w:val="0"/>
      <w:marTop w:val="0"/>
      <w:marBottom w:val="0"/>
      <w:divBdr>
        <w:top w:val="none" w:sz="0" w:space="0" w:color="auto"/>
        <w:left w:val="none" w:sz="0" w:space="0" w:color="auto"/>
        <w:bottom w:val="none" w:sz="0" w:space="0" w:color="auto"/>
        <w:right w:val="none" w:sz="0" w:space="0" w:color="auto"/>
      </w:divBdr>
    </w:div>
    <w:div w:id="970205047">
      <w:bodyDiv w:val="1"/>
      <w:marLeft w:val="0"/>
      <w:marRight w:val="0"/>
      <w:marTop w:val="0"/>
      <w:marBottom w:val="0"/>
      <w:divBdr>
        <w:top w:val="none" w:sz="0" w:space="0" w:color="auto"/>
        <w:left w:val="none" w:sz="0" w:space="0" w:color="auto"/>
        <w:bottom w:val="none" w:sz="0" w:space="0" w:color="auto"/>
        <w:right w:val="none" w:sz="0" w:space="0" w:color="auto"/>
      </w:divBdr>
    </w:div>
    <w:div w:id="971252211">
      <w:bodyDiv w:val="1"/>
      <w:marLeft w:val="0"/>
      <w:marRight w:val="0"/>
      <w:marTop w:val="0"/>
      <w:marBottom w:val="0"/>
      <w:divBdr>
        <w:top w:val="none" w:sz="0" w:space="0" w:color="auto"/>
        <w:left w:val="none" w:sz="0" w:space="0" w:color="auto"/>
        <w:bottom w:val="none" w:sz="0" w:space="0" w:color="auto"/>
        <w:right w:val="none" w:sz="0" w:space="0" w:color="auto"/>
      </w:divBdr>
    </w:div>
    <w:div w:id="971326865">
      <w:bodyDiv w:val="1"/>
      <w:marLeft w:val="0"/>
      <w:marRight w:val="0"/>
      <w:marTop w:val="0"/>
      <w:marBottom w:val="0"/>
      <w:divBdr>
        <w:top w:val="none" w:sz="0" w:space="0" w:color="auto"/>
        <w:left w:val="none" w:sz="0" w:space="0" w:color="auto"/>
        <w:bottom w:val="none" w:sz="0" w:space="0" w:color="auto"/>
        <w:right w:val="none" w:sz="0" w:space="0" w:color="auto"/>
      </w:divBdr>
    </w:div>
    <w:div w:id="971515893">
      <w:bodyDiv w:val="1"/>
      <w:marLeft w:val="0"/>
      <w:marRight w:val="0"/>
      <w:marTop w:val="0"/>
      <w:marBottom w:val="0"/>
      <w:divBdr>
        <w:top w:val="none" w:sz="0" w:space="0" w:color="auto"/>
        <w:left w:val="none" w:sz="0" w:space="0" w:color="auto"/>
        <w:bottom w:val="none" w:sz="0" w:space="0" w:color="auto"/>
        <w:right w:val="none" w:sz="0" w:space="0" w:color="auto"/>
      </w:divBdr>
    </w:div>
    <w:div w:id="972367269">
      <w:bodyDiv w:val="1"/>
      <w:marLeft w:val="0"/>
      <w:marRight w:val="0"/>
      <w:marTop w:val="0"/>
      <w:marBottom w:val="0"/>
      <w:divBdr>
        <w:top w:val="none" w:sz="0" w:space="0" w:color="auto"/>
        <w:left w:val="none" w:sz="0" w:space="0" w:color="auto"/>
        <w:bottom w:val="none" w:sz="0" w:space="0" w:color="auto"/>
        <w:right w:val="none" w:sz="0" w:space="0" w:color="auto"/>
      </w:divBdr>
    </w:div>
    <w:div w:id="973603056">
      <w:bodyDiv w:val="1"/>
      <w:marLeft w:val="0"/>
      <w:marRight w:val="0"/>
      <w:marTop w:val="0"/>
      <w:marBottom w:val="0"/>
      <w:divBdr>
        <w:top w:val="none" w:sz="0" w:space="0" w:color="auto"/>
        <w:left w:val="none" w:sz="0" w:space="0" w:color="auto"/>
        <w:bottom w:val="none" w:sz="0" w:space="0" w:color="auto"/>
        <w:right w:val="none" w:sz="0" w:space="0" w:color="auto"/>
      </w:divBdr>
    </w:div>
    <w:div w:id="976715728">
      <w:bodyDiv w:val="1"/>
      <w:marLeft w:val="0"/>
      <w:marRight w:val="0"/>
      <w:marTop w:val="0"/>
      <w:marBottom w:val="0"/>
      <w:divBdr>
        <w:top w:val="none" w:sz="0" w:space="0" w:color="auto"/>
        <w:left w:val="none" w:sz="0" w:space="0" w:color="auto"/>
        <w:bottom w:val="none" w:sz="0" w:space="0" w:color="auto"/>
        <w:right w:val="none" w:sz="0" w:space="0" w:color="auto"/>
      </w:divBdr>
    </w:div>
    <w:div w:id="977420251">
      <w:bodyDiv w:val="1"/>
      <w:marLeft w:val="0"/>
      <w:marRight w:val="0"/>
      <w:marTop w:val="0"/>
      <w:marBottom w:val="0"/>
      <w:divBdr>
        <w:top w:val="none" w:sz="0" w:space="0" w:color="auto"/>
        <w:left w:val="none" w:sz="0" w:space="0" w:color="auto"/>
        <w:bottom w:val="none" w:sz="0" w:space="0" w:color="auto"/>
        <w:right w:val="none" w:sz="0" w:space="0" w:color="auto"/>
      </w:divBdr>
    </w:div>
    <w:div w:id="977491927">
      <w:bodyDiv w:val="1"/>
      <w:marLeft w:val="0"/>
      <w:marRight w:val="0"/>
      <w:marTop w:val="0"/>
      <w:marBottom w:val="0"/>
      <w:divBdr>
        <w:top w:val="none" w:sz="0" w:space="0" w:color="auto"/>
        <w:left w:val="none" w:sz="0" w:space="0" w:color="auto"/>
        <w:bottom w:val="none" w:sz="0" w:space="0" w:color="auto"/>
        <w:right w:val="none" w:sz="0" w:space="0" w:color="auto"/>
      </w:divBdr>
    </w:div>
    <w:div w:id="979461795">
      <w:bodyDiv w:val="1"/>
      <w:marLeft w:val="0"/>
      <w:marRight w:val="0"/>
      <w:marTop w:val="0"/>
      <w:marBottom w:val="0"/>
      <w:divBdr>
        <w:top w:val="none" w:sz="0" w:space="0" w:color="auto"/>
        <w:left w:val="none" w:sz="0" w:space="0" w:color="auto"/>
        <w:bottom w:val="none" w:sz="0" w:space="0" w:color="auto"/>
        <w:right w:val="none" w:sz="0" w:space="0" w:color="auto"/>
      </w:divBdr>
    </w:div>
    <w:div w:id="979571918">
      <w:bodyDiv w:val="1"/>
      <w:marLeft w:val="0"/>
      <w:marRight w:val="0"/>
      <w:marTop w:val="0"/>
      <w:marBottom w:val="0"/>
      <w:divBdr>
        <w:top w:val="none" w:sz="0" w:space="0" w:color="auto"/>
        <w:left w:val="none" w:sz="0" w:space="0" w:color="auto"/>
        <w:bottom w:val="none" w:sz="0" w:space="0" w:color="auto"/>
        <w:right w:val="none" w:sz="0" w:space="0" w:color="auto"/>
      </w:divBdr>
    </w:div>
    <w:div w:id="981271049">
      <w:bodyDiv w:val="1"/>
      <w:marLeft w:val="0"/>
      <w:marRight w:val="0"/>
      <w:marTop w:val="0"/>
      <w:marBottom w:val="0"/>
      <w:divBdr>
        <w:top w:val="none" w:sz="0" w:space="0" w:color="auto"/>
        <w:left w:val="none" w:sz="0" w:space="0" w:color="auto"/>
        <w:bottom w:val="none" w:sz="0" w:space="0" w:color="auto"/>
        <w:right w:val="none" w:sz="0" w:space="0" w:color="auto"/>
      </w:divBdr>
    </w:div>
    <w:div w:id="982386674">
      <w:bodyDiv w:val="1"/>
      <w:marLeft w:val="0"/>
      <w:marRight w:val="0"/>
      <w:marTop w:val="0"/>
      <w:marBottom w:val="0"/>
      <w:divBdr>
        <w:top w:val="none" w:sz="0" w:space="0" w:color="auto"/>
        <w:left w:val="none" w:sz="0" w:space="0" w:color="auto"/>
        <w:bottom w:val="none" w:sz="0" w:space="0" w:color="auto"/>
        <w:right w:val="none" w:sz="0" w:space="0" w:color="auto"/>
      </w:divBdr>
    </w:div>
    <w:div w:id="987394855">
      <w:bodyDiv w:val="1"/>
      <w:marLeft w:val="0"/>
      <w:marRight w:val="0"/>
      <w:marTop w:val="0"/>
      <w:marBottom w:val="0"/>
      <w:divBdr>
        <w:top w:val="none" w:sz="0" w:space="0" w:color="auto"/>
        <w:left w:val="none" w:sz="0" w:space="0" w:color="auto"/>
        <w:bottom w:val="none" w:sz="0" w:space="0" w:color="auto"/>
        <w:right w:val="none" w:sz="0" w:space="0" w:color="auto"/>
      </w:divBdr>
    </w:div>
    <w:div w:id="988289026">
      <w:bodyDiv w:val="1"/>
      <w:marLeft w:val="0"/>
      <w:marRight w:val="0"/>
      <w:marTop w:val="0"/>
      <w:marBottom w:val="0"/>
      <w:divBdr>
        <w:top w:val="none" w:sz="0" w:space="0" w:color="auto"/>
        <w:left w:val="none" w:sz="0" w:space="0" w:color="auto"/>
        <w:bottom w:val="none" w:sz="0" w:space="0" w:color="auto"/>
        <w:right w:val="none" w:sz="0" w:space="0" w:color="auto"/>
      </w:divBdr>
    </w:div>
    <w:div w:id="989360757">
      <w:bodyDiv w:val="1"/>
      <w:marLeft w:val="0"/>
      <w:marRight w:val="0"/>
      <w:marTop w:val="0"/>
      <w:marBottom w:val="0"/>
      <w:divBdr>
        <w:top w:val="none" w:sz="0" w:space="0" w:color="auto"/>
        <w:left w:val="none" w:sz="0" w:space="0" w:color="auto"/>
        <w:bottom w:val="none" w:sz="0" w:space="0" w:color="auto"/>
        <w:right w:val="none" w:sz="0" w:space="0" w:color="auto"/>
      </w:divBdr>
    </w:div>
    <w:div w:id="991255567">
      <w:bodyDiv w:val="1"/>
      <w:marLeft w:val="0"/>
      <w:marRight w:val="0"/>
      <w:marTop w:val="0"/>
      <w:marBottom w:val="0"/>
      <w:divBdr>
        <w:top w:val="none" w:sz="0" w:space="0" w:color="auto"/>
        <w:left w:val="none" w:sz="0" w:space="0" w:color="auto"/>
        <w:bottom w:val="none" w:sz="0" w:space="0" w:color="auto"/>
        <w:right w:val="none" w:sz="0" w:space="0" w:color="auto"/>
      </w:divBdr>
    </w:div>
    <w:div w:id="994338853">
      <w:bodyDiv w:val="1"/>
      <w:marLeft w:val="0"/>
      <w:marRight w:val="0"/>
      <w:marTop w:val="0"/>
      <w:marBottom w:val="0"/>
      <w:divBdr>
        <w:top w:val="none" w:sz="0" w:space="0" w:color="auto"/>
        <w:left w:val="none" w:sz="0" w:space="0" w:color="auto"/>
        <w:bottom w:val="none" w:sz="0" w:space="0" w:color="auto"/>
        <w:right w:val="none" w:sz="0" w:space="0" w:color="auto"/>
      </w:divBdr>
    </w:div>
    <w:div w:id="994339991">
      <w:bodyDiv w:val="1"/>
      <w:marLeft w:val="0"/>
      <w:marRight w:val="0"/>
      <w:marTop w:val="0"/>
      <w:marBottom w:val="0"/>
      <w:divBdr>
        <w:top w:val="none" w:sz="0" w:space="0" w:color="auto"/>
        <w:left w:val="none" w:sz="0" w:space="0" w:color="auto"/>
        <w:bottom w:val="none" w:sz="0" w:space="0" w:color="auto"/>
        <w:right w:val="none" w:sz="0" w:space="0" w:color="auto"/>
      </w:divBdr>
    </w:div>
    <w:div w:id="997734183">
      <w:bodyDiv w:val="1"/>
      <w:marLeft w:val="0"/>
      <w:marRight w:val="0"/>
      <w:marTop w:val="0"/>
      <w:marBottom w:val="0"/>
      <w:divBdr>
        <w:top w:val="none" w:sz="0" w:space="0" w:color="auto"/>
        <w:left w:val="none" w:sz="0" w:space="0" w:color="auto"/>
        <w:bottom w:val="none" w:sz="0" w:space="0" w:color="auto"/>
        <w:right w:val="none" w:sz="0" w:space="0" w:color="auto"/>
      </w:divBdr>
    </w:div>
    <w:div w:id="999115798">
      <w:bodyDiv w:val="1"/>
      <w:marLeft w:val="0"/>
      <w:marRight w:val="0"/>
      <w:marTop w:val="0"/>
      <w:marBottom w:val="0"/>
      <w:divBdr>
        <w:top w:val="none" w:sz="0" w:space="0" w:color="auto"/>
        <w:left w:val="none" w:sz="0" w:space="0" w:color="auto"/>
        <w:bottom w:val="none" w:sz="0" w:space="0" w:color="auto"/>
        <w:right w:val="none" w:sz="0" w:space="0" w:color="auto"/>
      </w:divBdr>
    </w:div>
    <w:div w:id="999650514">
      <w:bodyDiv w:val="1"/>
      <w:marLeft w:val="0"/>
      <w:marRight w:val="0"/>
      <w:marTop w:val="0"/>
      <w:marBottom w:val="0"/>
      <w:divBdr>
        <w:top w:val="none" w:sz="0" w:space="0" w:color="auto"/>
        <w:left w:val="none" w:sz="0" w:space="0" w:color="auto"/>
        <w:bottom w:val="none" w:sz="0" w:space="0" w:color="auto"/>
        <w:right w:val="none" w:sz="0" w:space="0" w:color="auto"/>
      </w:divBdr>
    </w:div>
    <w:div w:id="999892510">
      <w:bodyDiv w:val="1"/>
      <w:marLeft w:val="0"/>
      <w:marRight w:val="0"/>
      <w:marTop w:val="0"/>
      <w:marBottom w:val="0"/>
      <w:divBdr>
        <w:top w:val="none" w:sz="0" w:space="0" w:color="auto"/>
        <w:left w:val="none" w:sz="0" w:space="0" w:color="auto"/>
        <w:bottom w:val="none" w:sz="0" w:space="0" w:color="auto"/>
        <w:right w:val="none" w:sz="0" w:space="0" w:color="auto"/>
      </w:divBdr>
    </w:div>
    <w:div w:id="1000305167">
      <w:bodyDiv w:val="1"/>
      <w:marLeft w:val="0"/>
      <w:marRight w:val="0"/>
      <w:marTop w:val="0"/>
      <w:marBottom w:val="0"/>
      <w:divBdr>
        <w:top w:val="none" w:sz="0" w:space="0" w:color="auto"/>
        <w:left w:val="none" w:sz="0" w:space="0" w:color="auto"/>
        <w:bottom w:val="none" w:sz="0" w:space="0" w:color="auto"/>
        <w:right w:val="none" w:sz="0" w:space="0" w:color="auto"/>
      </w:divBdr>
    </w:div>
    <w:div w:id="1003514207">
      <w:bodyDiv w:val="1"/>
      <w:marLeft w:val="0"/>
      <w:marRight w:val="0"/>
      <w:marTop w:val="0"/>
      <w:marBottom w:val="0"/>
      <w:divBdr>
        <w:top w:val="none" w:sz="0" w:space="0" w:color="auto"/>
        <w:left w:val="none" w:sz="0" w:space="0" w:color="auto"/>
        <w:bottom w:val="none" w:sz="0" w:space="0" w:color="auto"/>
        <w:right w:val="none" w:sz="0" w:space="0" w:color="auto"/>
      </w:divBdr>
    </w:div>
    <w:div w:id="1003583227">
      <w:bodyDiv w:val="1"/>
      <w:marLeft w:val="0"/>
      <w:marRight w:val="0"/>
      <w:marTop w:val="0"/>
      <w:marBottom w:val="0"/>
      <w:divBdr>
        <w:top w:val="none" w:sz="0" w:space="0" w:color="auto"/>
        <w:left w:val="none" w:sz="0" w:space="0" w:color="auto"/>
        <w:bottom w:val="none" w:sz="0" w:space="0" w:color="auto"/>
        <w:right w:val="none" w:sz="0" w:space="0" w:color="auto"/>
      </w:divBdr>
    </w:div>
    <w:div w:id="1004939996">
      <w:bodyDiv w:val="1"/>
      <w:marLeft w:val="0"/>
      <w:marRight w:val="0"/>
      <w:marTop w:val="0"/>
      <w:marBottom w:val="0"/>
      <w:divBdr>
        <w:top w:val="none" w:sz="0" w:space="0" w:color="auto"/>
        <w:left w:val="none" w:sz="0" w:space="0" w:color="auto"/>
        <w:bottom w:val="none" w:sz="0" w:space="0" w:color="auto"/>
        <w:right w:val="none" w:sz="0" w:space="0" w:color="auto"/>
      </w:divBdr>
    </w:div>
    <w:div w:id="1005933369">
      <w:bodyDiv w:val="1"/>
      <w:marLeft w:val="0"/>
      <w:marRight w:val="0"/>
      <w:marTop w:val="0"/>
      <w:marBottom w:val="0"/>
      <w:divBdr>
        <w:top w:val="none" w:sz="0" w:space="0" w:color="auto"/>
        <w:left w:val="none" w:sz="0" w:space="0" w:color="auto"/>
        <w:bottom w:val="none" w:sz="0" w:space="0" w:color="auto"/>
        <w:right w:val="none" w:sz="0" w:space="0" w:color="auto"/>
      </w:divBdr>
    </w:div>
    <w:div w:id="1006327136">
      <w:bodyDiv w:val="1"/>
      <w:marLeft w:val="0"/>
      <w:marRight w:val="0"/>
      <w:marTop w:val="0"/>
      <w:marBottom w:val="0"/>
      <w:divBdr>
        <w:top w:val="none" w:sz="0" w:space="0" w:color="auto"/>
        <w:left w:val="none" w:sz="0" w:space="0" w:color="auto"/>
        <w:bottom w:val="none" w:sz="0" w:space="0" w:color="auto"/>
        <w:right w:val="none" w:sz="0" w:space="0" w:color="auto"/>
      </w:divBdr>
    </w:div>
    <w:div w:id="1006444112">
      <w:bodyDiv w:val="1"/>
      <w:marLeft w:val="0"/>
      <w:marRight w:val="0"/>
      <w:marTop w:val="0"/>
      <w:marBottom w:val="0"/>
      <w:divBdr>
        <w:top w:val="none" w:sz="0" w:space="0" w:color="auto"/>
        <w:left w:val="none" w:sz="0" w:space="0" w:color="auto"/>
        <w:bottom w:val="none" w:sz="0" w:space="0" w:color="auto"/>
        <w:right w:val="none" w:sz="0" w:space="0" w:color="auto"/>
      </w:divBdr>
    </w:div>
    <w:div w:id="1008947650">
      <w:bodyDiv w:val="1"/>
      <w:marLeft w:val="0"/>
      <w:marRight w:val="0"/>
      <w:marTop w:val="0"/>
      <w:marBottom w:val="0"/>
      <w:divBdr>
        <w:top w:val="none" w:sz="0" w:space="0" w:color="auto"/>
        <w:left w:val="none" w:sz="0" w:space="0" w:color="auto"/>
        <w:bottom w:val="none" w:sz="0" w:space="0" w:color="auto"/>
        <w:right w:val="none" w:sz="0" w:space="0" w:color="auto"/>
      </w:divBdr>
    </w:div>
    <w:div w:id="1010058932">
      <w:bodyDiv w:val="1"/>
      <w:marLeft w:val="0"/>
      <w:marRight w:val="0"/>
      <w:marTop w:val="0"/>
      <w:marBottom w:val="0"/>
      <w:divBdr>
        <w:top w:val="none" w:sz="0" w:space="0" w:color="auto"/>
        <w:left w:val="none" w:sz="0" w:space="0" w:color="auto"/>
        <w:bottom w:val="none" w:sz="0" w:space="0" w:color="auto"/>
        <w:right w:val="none" w:sz="0" w:space="0" w:color="auto"/>
      </w:divBdr>
    </w:div>
    <w:div w:id="1011106475">
      <w:bodyDiv w:val="1"/>
      <w:marLeft w:val="0"/>
      <w:marRight w:val="0"/>
      <w:marTop w:val="0"/>
      <w:marBottom w:val="0"/>
      <w:divBdr>
        <w:top w:val="none" w:sz="0" w:space="0" w:color="auto"/>
        <w:left w:val="none" w:sz="0" w:space="0" w:color="auto"/>
        <w:bottom w:val="none" w:sz="0" w:space="0" w:color="auto"/>
        <w:right w:val="none" w:sz="0" w:space="0" w:color="auto"/>
      </w:divBdr>
    </w:div>
    <w:div w:id="1012219840">
      <w:bodyDiv w:val="1"/>
      <w:marLeft w:val="0"/>
      <w:marRight w:val="0"/>
      <w:marTop w:val="0"/>
      <w:marBottom w:val="0"/>
      <w:divBdr>
        <w:top w:val="none" w:sz="0" w:space="0" w:color="auto"/>
        <w:left w:val="none" w:sz="0" w:space="0" w:color="auto"/>
        <w:bottom w:val="none" w:sz="0" w:space="0" w:color="auto"/>
        <w:right w:val="none" w:sz="0" w:space="0" w:color="auto"/>
      </w:divBdr>
    </w:div>
    <w:div w:id="1014724555">
      <w:bodyDiv w:val="1"/>
      <w:marLeft w:val="0"/>
      <w:marRight w:val="0"/>
      <w:marTop w:val="0"/>
      <w:marBottom w:val="0"/>
      <w:divBdr>
        <w:top w:val="none" w:sz="0" w:space="0" w:color="auto"/>
        <w:left w:val="none" w:sz="0" w:space="0" w:color="auto"/>
        <w:bottom w:val="none" w:sz="0" w:space="0" w:color="auto"/>
        <w:right w:val="none" w:sz="0" w:space="0" w:color="auto"/>
      </w:divBdr>
    </w:div>
    <w:div w:id="1017073747">
      <w:bodyDiv w:val="1"/>
      <w:marLeft w:val="0"/>
      <w:marRight w:val="0"/>
      <w:marTop w:val="0"/>
      <w:marBottom w:val="0"/>
      <w:divBdr>
        <w:top w:val="none" w:sz="0" w:space="0" w:color="auto"/>
        <w:left w:val="none" w:sz="0" w:space="0" w:color="auto"/>
        <w:bottom w:val="none" w:sz="0" w:space="0" w:color="auto"/>
        <w:right w:val="none" w:sz="0" w:space="0" w:color="auto"/>
      </w:divBdr>
    </w:div>
    <w:div w:id="1017118855">
      <w:bodyDiv w:val="1"/>
      <w:marLeft w:val="0"/>
      <w:marRight w:val="0"/>
      <w:marTop w:val="0"/>
      <w:marBottom w:val="0"/>
      <w:divBdr>
        <w:top w:val="none" w:sz="0" w:space="0" w:color="auto"/>
        <w:left w:val="none" w:sz="0" w:space="0" w:color="auto"/>
        <w:bottom w:val="none" w:sz="0" w:space="0" w:color="auto"/>
        <w:right w:val="none" w:sz="0" w:space="0" w:color="auto"/>
      </w:divBdr>
    </w:div>
    <w:div w:id="1018700036">
      <w:bodyDiv w:val="1"/>
      <w:marLeft w:val="0"/>
      <w:marRight w:val="0"/>
      <w:marTop w:val="0"/>
      <w:marBottom w:val="0"/>
      <w:divBdr>
        <w:top w:val="none" w:sz="0" w:space="0" w:color="auto"/>
        <w:left w:val="none" w:sz="0" w:space="0" w:color="auto"/>
        <w:bottom w:val="none" w:sz="0" w:space="0" w:color="auto"/>
        <w:right w:val="none" w:sz="0" w:space="0" w:color="auto"/>
      </w:divBdr>
    </w:div>
    <w:div w:id="1019505979">
      <w:bodyDiv w:val="1"/>
      <w:marLeft w:val="0"/>
      <w:marRight w:val="0"/>
      <w:marTop w:val="0"/>
      <w:marBottom w:val="0"/>
      <w:divBdr>
        <w:top w:val="none" w:sz="0" w:space="0" w:color="auto"/>
        <w:left w:val="none" w:sz="0" w:space="0" w:color="auto"/>
        <w:bottom w:val="none" w:sz="0" w:space="0" w:color="auto"/>
        <w:right w:val="none" w:sz="0" w:space="0" w:color="auto"/>
      </w:divBdr>
    </w:div>
    <w:div w:id="1022899768">
      <w:bodyDiv w:val="1"/>
      <w:marLeft w:val="0"/>
      <w:marRight w:val="0"/>
      <w:marTop w:val="0"/>
      <w:marBottom w:val="0"/>
      <w:divBdr>
        <w:top w:val="none" w:sz="0" w:space="0" w:color="auto"/>
        <w:left w:val="none" w:sz="0" w:space="0" w:color="auto"/>
        <w:bottom w:val="none" w:sz="0" w:space="0" w:color="auto"/>
        <w:right w:val="none" w:sz="0" w:space="0" w:color="auto"/>
      </w:divBdr>
    </w:div>
    <w:div w:id="1028337271">
      <w:bodyDiv w:val="1"/>
      <w:marLeft w:val="0"/>
      <w:marRight w:val="0"/>
      <w:marTop w:val="0"/>
      <w:marBottom w:val="0"/>
      <w:divBdr>
        <w:top w:val="none" w:sz="0" w:space="0" w:color="auto"/>
        <w:left w:val="none" w:sz="0" w:space="0" w:color="auto"/>
        <w:bottom w:val="none" w:sz="0" w:space="0" w:color="auto"/>
        <w:right w:val="none" w:sz="0" w:space="0" w:color="auto"/>
      </w:divBdr>
    </w:div>
    <w:div w:id="1029260274">
      <w:bodyDiv w:val="1"/>
      <w:marLeft w:val="0"/>
      <w:marRight w:val="0"/>
      <w:marTop w:val="0"/>
      <w:marBottom w:val="0"/>
      <w:divBdr>
        <w:top w:val="none" w:sz="0" w:space="0" w:color="auto"/>
        <w:left w:val="none" w:sz="0" w:space="0" w:color="auto"/>
        <w:bottom w:val="none" w:sz="0" w:space="0" w:color="auto"/>
        <w:right w:val="none" w:sz="0" w:space="0" w:color="auto"/>
      </w:divBdr>
    </w:div>
    <w:div w:id="1029338513">
      <w:bodyDiv w:val="1"/>
      <w:marLeft w:val="0"/>
      <w:marRight w:val="0"/>
      <w:marTop w:val="0"/>
      <w:marBottom w:val="0"/>
      <w:divBdr>
        <w:top w:val="none" w:sz="0" w:space="0" w:color="auto"/>
        <w:left w:val="none" w:sz="0" w:space="0" w:color="auto"/>
        <w:bottom w:val="none" w:sz="0" w:space="0" w:color="auto"/>
        <w:right w:val="none" w:sz="0" w:space="0" w:color="auto"/>
      </w:divBdr>
    </w:div>
    <w:div w:id="1030451577">
      <w:bodyDiv w:val="1"/>
      <w:marLeft w:val="0"/>
      <w:marRight w:val="0"/>
      <w:marTop w:val="0"/>
      <w:marBottom w:val="0"/>
      <w:divBdr>
        <w:top w:val="none" w:sz="0" w:space="0" w:color="auto"/>
        <w:left w:val="none" w:sz="0" w:space="0" w:color="auto"/>
        <w:bottom w:val="none" w:sz="0" w:space="0" w:color="auto"/>
        <w:right w:val="none" w:sz="0" w:space="0" w:color="auto"/>
      </w:divBdr>
    </w:div>
    <w:div w:id="1030839767">
      <w:bodyDiv w:val="1"/>
      <w:marLeft w:val="0"/>
      <w:marRight w:val="0"/>
      <w:marTop w:val="0"/>
      <w:marBottom w:val="0"/>
      <w:divBdr>
        <w:top w:val="none" w:sz="0" w:space="0" w:color="auto"/>
        <w:left w:val="none" w:sz="0" w:space="0" w:color="auto"/>
        <w:bottom w:val="none" w:sz="0" w:space="0" w:color="auto"/>
        <w:right w:val="none" w:sz="0" w:space="0" w:color="auto"/>
      </w:divBdr>
    </w:div>
    <w:div w:id="1031033172">
      <w:bodyDiv w:val="1"/>
      <w:marLeft w:val="0"/>
      <w:marRight w:val="0"/>
      <w:marTop w:val="0"/>
      <w:marBottom w:val="0"/>
      <w:divBdr>
        <w:top w:val="none" w:sz="0" w:space="0" w:color="auto"/>
        <w:left w:val="none" w:sz="0" w:space="0" w:color="auto"/>
        <w:bottom w:val="none" w:sz="0" w:space="0" w:color="auto"/>
        <w:right w:val="none" w:sz="0" w:space="0" w:color="auto"/>
      </w:divBdr>
    </w:div>
    <w:div w:id="1032150342">
      <w:bodyDiv w:val="1"/>
      <w:marLeft w:val="0"/>
      <w:marRight w:val="0"/>
      <w:marTop w:val="0"/>
      <w:marBottom w:val="0"/>
      <w:divBdr>
        <w:top w:val="none" w:sz="0" w:space="0" w:color="auto"/>
        <w:left w:val="none" w:sz="0" w:space="0" w:color="auto"/>
        <w:bottom w:val="none" w:sz="0" w:space="0" w:color="auto"/>
        <w:right w:val="none" w:sz="0" w:space="0" w:color="auto"/>
      </w:divBdr>
    </w:div>
    <w:div w:id="1034616909">
      <w:bodyDiv w:val="1"/>
      <w:marLeft w:val="0"/>
      <w:marRight w:val="0"/>
      <w:marTop w:val="0"/>
      <w:marBottom w:val="0"/>
      <w:divBdr>
        <w:top w:val="none" w:sz="0" w:space="0" w:color="auto"/>
        <w:left w:val="none" w:sz="0" w:space="0" w:color="auto"/>
        <w:bottom w:val="none" w:sz="0" w:space="0" w:color="auto"/>
        <w:right w:val="none" w:sz="0" w:space="0" w:color="auto"/>
      </w:divBdr>
    </w:div>
    <w:div w:id="1034696505">
      <w:bodyDiv w:val="1"/>
      <w:marLeft w:val="0"/>
      <w:marRight w:val="0"/>
      <w:marTop w:val="0"/>
      <w:marBottom w:val="0"/>
      <w:divBdr>
        <w:top w:val="none" w:sz="0" w:space="0" w:color="auto"/>
        <w:left w:val="none" w:sz="0" w:space="0" w:color="auto"/>
        <w:bottom w:val="none" w:sz="0" w:space="0" w:color="auto"/>
        <w:right w:val="none" w:sz="0" w:space="0" w:color="auto"/>
      </w:divBdr>
    </w:div>
    <w:div w:id="1037387214">
      <w:bodyDiv w:val="1"/>
      <w:marLeft w:val="0"/>
      <w:marRight w:val="0"/>
      <w:marTop w:val="0"/>
      <w:marBottom w:val="0"/>
      <w:divBdr>
        <w:top w:val="none" w:sz="0" w:space="0" w:color="auto"/>
        <w:left w:val="none" w:sz="0" w:space="0" w:color="auto"/>
        <w:bottom w:val="none" w:sz="0" w:space="0" w:color="auto"/>
        <w:right w:val="none" w:sz="0" w:space="0" w:color="auto"/>
      </w:divBdr>
    </w:div>
    <w:div w:id="1043562032">
      <w:bodyDiv w:val="1"/>
      <w:marLeft w:val="0"/>
      <w:marRight w:val="0"/>
      <w:marTop w:val="0"/>
      <w:marBottom w:val="0"/>
      <w:divBdr>
        <w:top w:val="none" w:sz="0" w:space="0" w:color="auto"/>
        <w:left w:val="none" w:sz="0" w:space="0" w:color="auto"/>
        <w:bottom w:val="none" w:sz="0" w:space="0" w:color="auto"/>
        <w:right w:val="none" w:sz="0" w:space="0" w:color="auto"/>
      </w:divBdr>
    </w:div>
    <w:div w:id="1047685429">
      <w:bodyDiv w:val="1"/>
      <w:marLeft w:val="0"/>
      <w:marRight w:val="0"/>
      <w:marTop w:val="0"/>
      <w:marBottom w:val="0"/>
      <w:divBdr>
        <w:top w:val="none" w:sz="0" w:space="0" w:color="auto"/>
        <w:left w:val="none" w:sz="0" w:space="0" w:color="auto"/>
        <w:bottom w:val="none" w:sz="0" w:space="0" w:color="auto"/>
        <w:right w:val="none" w:sz="0" w:space="0" w:color="auto"/>
      </w:divBdr>
    </w:div>
    <w:div w:id="1048184439">
      <w:bodyDiv w:val="1"/>
      <w:marLeft w:val="0"/>
      <w:marRight w:val="0"/>
      <w:marTop w:val="0"/>
      <w:marBottom w:val="0"/>
      <w:divBdr>
        <w:top w:val="none" w:sz="0" w:space="0" w:color="auto"/>
        <w:left w:val="none" w:sz="0" w:space="0" w:color="auto"/>
        <w:bottom w:val="none" w:sz="0" w:space="0" w:color="auto"/>
        <w:right w:val="none" w:sz="0" w:space="0" w:color="auto"/>
      </w:divBdr>
    </w:div>
    <w:div w:id="1050109684">
      <w:bodyDiv w:val="1"/>
      <w:marLeft w:val="0"/>
      <w:marRight w:val="0"/>
      <w:marTop w:val="0"/>
      <w:marBottom w:val="0"/>
      <w:divBdr>
        <w:top w:val="none" w:sz="0" w:space="0" w:color="auto"/>
        <w:left w:val="none" w:sz="0" w:space="0" w:color="auto"/>
        <w:bottom w:val="none" w:sz="0" w:space="0" w:color="auto"/>
        <w:right w:val="none" w:sz="0" w:space="0" w:color="auto"/>
      </w:divBdr>
    </w:div>
    <w:div w:id="1052967550">
      <w:bodyDiv w:val="1"/>
      <w:marLeft w:val="0"/>
      <w:marRight w:val="0"/>
      <w:marTop w:val="0"/>
      <w:marBottom w:val="0"/>
      <w:divBdr>
        <w:top w:val="none" w:sz="0" w:space="0" w:color="auto"/>
        <w:left w:val="none" w:sz="0" w:space="0" w:color="auto"/>
        <w:bottom w:val="none" w:sz="0" w:space="0" w:color="auto"/>
        <w:right w:val="none" w:sz="0" w:space="0" w:color="auto"/>
      </w:divBdr>
    </w:div>
    <w:div w:id="1053314813">
      <w:bodyDiv w:val="1"/>
      <w:marLeft w:val="0"/>
      <w:marRight w:val="0"/>
      <w:marTop w:val="0"/>
      <w:marBottom w:val="0"/>
      <w:divBdr>
        <w:top w:val="none" w:sz="0" w:space="0" w:color="auto"/>
        <w:left w:val="none" w:sz="0" w:space="0" w:color="auto"/>
        <w:bottom w:val="none" w:sz="0" w:space="0" w:color="auto"/>
        <w:right w:val="none" w:sz="0" w:space="0" w:color="auto"/>
      </w:divBdr>
    </w:div>
    <w:div w:id="1054040535">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
    <w:div w:id="1055852755">
      <w:bodyDiv w:val="1"/>
      <w:marLeft w:val="0"/>
      <w:marRight w:val="0"/>
      <w:marTop w:val="0"/>
      <w:marBottom w:val="0"/>
      <w:divBdr>
        <w:top w:val="none" w:sz="0" w:space="0" w:color="auto"/>
        <w:left w:val="none" w:sz="0" w:space="0" w:color="auto"/>
        <w:bottom w:val="none" w:sz="0" w:space="0" w:color="auto"/>
        <w:right w:val="none" w:sz="0" w:space="0" w:color="auto"/>
      </w:divBdr>
    </w:div>
    <w:div w:id="1057781220">
      <w:bodyDiv w:val="1"/>
      <w:marLeft w:val="0"/>
      <w:marRight w:val="0"/>
      <w:marTop w:val="0"/>
      <w:marBottom w:val="0"/>
      <w:divBdr>
        <w:top w:val="none" w:sz="0" w:space="0" w:color="auto"/>
        <w:left w:val="none" w:sz="0" w:space="0" w:color="auto"/>
        <w:bottom w:val="none" w:sz="0" w:space="0" w:color="auto"/>
        <w:right w:val="none" w:sz="0" w:space="0" w:color="auto"/>
      </w:divBdr>
    </w:div>
    <w:div w:id="1059088153">
      <w:bodyDiv w:val="1"/>
      <w:marLeft w:val="0"/>
      <w:marRight w:val="0"/>
      <w:marTop w:val="0"/>
      <w:marBottom w:val="0"/>
      <w:divBdr>
        <w:top w:val="none" w:sz="0" w:space="0" w:color="auto"/>
        <w:left w:val="none" w:sz="0" w:space="0" w:color="auto"/>
        <w:bottom w:val="none" w:sz="0" w:space="0" w:color="auto"/>
        <w:right w:val="none" w:sz="0" w:space="0" w:color="auto"/>
      </w:divBdr>
    </w:div>
    <w:div w:id="1059790923">
      <w:bodyDiv w:val="1"/>
      <w:marLeft w:val="0"/>
      <w:marRight w:val="0"/>
      <w:marTop w:val="0"/>
      <w:marBottom w:val="0"/>
      <w:divBdr>
        <w:top w:val="none" w:sz="0" w:space="0" w:color="auto"/>
        <w:left w:val="none" w:sz="0" w:space="0" w:color="auto"/>
        <w:bottom w:val="none" w:sz="0" w:space="0" w:color="auto"/>
        <w:right w:val="none" w:sz="0" w:space="0" w:color="auto"/>
      </w:divBdr>
    </w:div>
    <w:div w:id="1061516132">
      <w:bodyDiv w:val="1"/>
      <w:marLeft w:val="0"/>
      <w:marRight w:val="0"/>
      <w:marTop w:val="0"/>
      <w:marBottom w:val="0"/>
      <w:divBdr>
        <w:top w:val="none" w:sz="0" w:space="0" w:color="auto"/>
        <w:left w:val="none" w:sz="0" w:space="0" w:color="auto"/>
        <w:bottom w:val="none" w:sz="0" w:space="0" w:color="auto"/>
        <w:right w:val="none" w:sz="0" w:space="0" w:color="auto"/>
      </w:divBdr>
    </w:div>
    <w:div w:id="1063715328">
      <w:bodyDiv w:val="1"/>
      <w:marLeft w:val="0"/>
      <w:marRight w:val="0"/>
      <w:marTop w:val="0"/>
      <w:marBottom w:val="0"/>
      <w:divBdr>
        <w:top w:val="none" w:sz="0" w:space="0" w:color="auto"/>
        <w:left w:val="none" w:sz="0" w:space="0" w:color="auto"/>
        <w:bottom w:val="none" w:sz="0" w:space="0" w:color="auto"/>
        <w:right w:val="none" w:sz="0" w:space="0" w:color="auto"/>
      </w:divBdr>
    </w:div>
    <w:div w:id="1064257004">
      <w:bodyDiv w:val="1"/>
      <w:marLeft w:val="0"/>
      <w:marRight w:val="0"/>
      <w:marTop w:val="0"/>
      <w:marBottom w:val="0"/>
      <w:divBdr>
        <w:top w:val="none" w:sz="0" w:space="0" w:color="auto"/>
        <w:left w:val="none" w:sz="0" w:space="0" w:color="auto"/>
        <w:bottom w:val="none" w:sz="0" w:space="0" w:color="auto"/>
        <w:right w:val="none" w:sz="0" w:space="0" w:color="auto"/>
      </w:divBdr>
    </w:div>
    <w:div w:id="1065177014">
      <w:bodyDiv w:val="1"/>
      <w:marLeft w:val="0"/>
      <w:marRight w:val="0"/>
      <w:marTop w:val="0"/>
      <w:marBottom w:val="0"/>
      <w:divBdr>
        <w:top w:val="none" w:sz="0" w:space="0" w:color="auto"/>
        <w:left w:val="none" w:sz="0" w:space="0" w:color="auto"/>
        <w:bottom w:val="none" w:sz="0" w:space="0" w:color="auto"/>
        <w:right w:val="none" w:sz="0" w:space="0" w:color="auto"/>
      </w:divBdr>
    </w:div>
    <w:div w:id="1065447528">
      <w:bodyDiv w:val="1"/>
      <w:marLeft w:val="0"/>
      <w:marRight w:val="0"/>
      <w:marTop w:val="0"/>
      <w:marBottom w:val="0"/>
      <w:divBdr>
        <w:top w:val="none" w:sz="0" w:space="0" w:color="auto"/>
        <w:left w:val="none" w:sz="0" w:space="0" w:color="auto"/>
        <w:bottom w:val="none" w:sz="0" w:space="0" w:color="auto"/>
        <w:right w:val="none" w:sz="0" w:space="0" w:color="auto"/>
      </w:divBdr>
    </w:div>
    <w:div w:id="1066102633">
      <w:bodyDiv w:val="1"/>
      <w:marLeft w:val="0"/>
      <w:marRight w:val="0"/>
      <w:marTop w:val="0"/>
      <w:marBottom w:val="0"/>
      <w:divBdr>
        <w:top w:val="none" w:sz="0" w:space="0" w:color="auto"/>
        <w:left w:val="none" w:sz="0" w:space="0" w:color="auto"/>
        <w:bottom w:val="none" w:sz="0" w:space="0" w:color="auto"/>
        <w:right w:val="none" w:sz="0" w:space="0" w:color="auto"/>
      </w:divBdr>
    </w:div>
    <w:div w:id="1072116592">
      <w:bodyDiv w:val="1"/>
      <w:marLeft w:val="0"/>
      <w:marRight w:val="0"/>
      <w:marTop w:val="0"/>
      <w:marBottom w:val="0"/>
      <w:divBdr>
        <w:top w:val="none" w:sz="0" w:space="0" w:color="auto"/>
        <w:left w:val="none" w:sz="0" w:space="0" w:color="auto"/>
        <w:bottom w:val="none" w:sz="0" w:space="0" w:color="auto"/>
        <w:right w:val="none" w:sz="0" w:space="0" w:color="auto"/>
      </w:divBdr>
    </w:div>
    <w:div w:id="1072967350">
      <w:bodyDiv w:val="1"/>
      <w:marLeft w:val="0"/>
      <w:marRight w:val="0"/>
      <w:marTop w:val="0"/>
      <w:marBottom w:val="0"/>
      <w:divBdr>
        <w:top w:val="none" w:sz="0" w:space="0" w:color="auto"/>
        <w:left w:val="none" w:sz="0" w:space="0" w:color="auto"/>
        <w:bottom w:val="none" w:sz="0" w:space="0" w:color="auto"/>
        <w:right w:val="none" w:sz="0" w:space="0" w:color="auto"/>
      </w:divBdr>
    </w:div>
    <w:div w:id="1077897539">
      <w:bodyDiv w:val="1"/>
      <w:marLeft w:val="0"/>
      <w:marRight w:val="0"/>
      <w:marTop w:val="0"/>
      <w:marBottom w:val="0"/>
      <w:divBdr>
        <w:top w:val="none" w:sz="0" w:space="0" w:color="auto"/>
        <w:left w:val="none" w:sz="0" w:space="0" w:color="auto"/>
        <w:bottom w:val="none" w:sz="0" w:space="0" w:color="auto"/>
        <w:right w:val="none" w:sz="0" w:space="0" w:color="auto"/>
      </w:divBdr>
    </w:div>
    <w:div w:id="1079064447">
      <w:bodyDiv w:val="1"/>
      <w:marLeft w:val="0"/>
      <w:marRight w:val="0"/>
      <w:marTop w:val="0"/>
      <w:marBottom w:val="0"/>
      <w:divBdr>
        <w:top w:val="none" w:sz="0" w:space="0" w:color="auto"/>
        <w:left w:val="none" w:sz="0" w:space="0" w:color="auto"/>
        <w:bottom w:val="none" w:sz="0" w:space="0" w:color="auto"/>
        <w:right w:val="none" w:sz="0" w:space="0" w:color="auto"/>
      </w:divBdr>
    </w:div>
    <w:div w:id="1085809425">
      <w:bodyDiv w:val="1"/>
      <w:marLeft w:val="0"/>
      <w:marRight w:val="0"/>
      <w:marTop w:val="0"/>
      <w:marBottom w:val="0"/>
      <w:divBdr>
        <w:top w:val="none" w:sz="0" w:space="0" w:color="auto"/>
        <w:left w:val="none" w:sz="0" w:space="0" w:color="auto"/>
        <w:bottom w:val="none" w:sz="0" w:space="0" w:color="auto"/>
        <w:right w:val="none" w:sz="0" w:space="0" w:color="auto"/>
      </w:divBdr>
    </w:div>
    <w:div w:id="1089892326">
      <w:bodyDiv w:val="1"/>
      <w:marLeft w:val="0"/>
      <w:marRight w:val="0"/>
      <w:marTop w:val="0"/>
      <w:marBottom w:val="0"/>
      <w:divBdr>
        <w:top w:val="none" w:sz="0" w:space="0" w:color="auto"/>
        <w:left w:val="none" w:sz="0" w:space="0" w:color="auto"/>
        <w:bottom w:val="none" w:sz="0" w:space="0" w:color="auto"/>
        <w:right w:val="none" w:sz="0" w:space="0" w:color="auto"/>
      </w:divBdr>
    </w:div>
    <w:div w:id="1090584790">
      <w:bodyDiv w:val="1"/>
      <w:marLeft w:val="0"/>
      <w:marRight w:val="0"/>
      <w:marTop w:val="0"/>
      <w:marBottom w:val="0"/>
      <w:divBdr>
        <w:top w:val="none" w:sz="0" w:space="0" w:color="auto"/>
        <w:left w:val="none" w:sz="0" w:space="0" w:color="auto"/>
        <w:bottom w:val="none" w:sz="0" w:space="0" w:color="auto"/>
        <w:right w:val="none" w:sz="0" w:space="0" w:color="auto"/>
      </w:divBdr>
    </w:div>
    <w:div w:id="1091583101">
      <w:bodyDiv w:val="1"/>
      <w:marLeft w:val="0"/>
      <w:marRight w:val="0"/>
      <w:marTop w:val="0"/>
      <w:marBottom w:val="0"/>
      <w:divBdr>
        <w:top w:val="none" w:sz="0" w:space="0" w:color="auto"/>
        <w:left w:val="none" w:sz="0" w:space="0" w:color="auto"/>
        <w:bottom w:val="none" w:sz="0" w:space="0" w:color="auto"/>
        <w:right w:val="none" w:sz="0" w:space="0" w:color="auto"/>
      </w:divBdr>
    </w:div>
    <w:div w:id="1092626535">
      <w:bodyDiv w:val="1"/>
      <w:marLeft w:val="0"/>
      <w:marRight w:val="0"/>
      <w:marTop w:val="0"/>
      <w:marBottom w:val="0"/>
      <w:divBdr>
        <w:top w:val="none" w:sz="0" w:space="0" w:color="auto"/>
        <w:left w:val="none" w:sz="0" w:space="0" w:color="auto"/>
        <w:bottom w:val="none" w:sz="0" w:space="0" w:color="auto"/>
        <w:right w:val="none" w:sz="0" w:space="0" w:color="auto"/>
      </w:divBdr>
    </w:div>
    <w:div w:id="1100174624">
      <w:bodyDiv w:val="1"/>
      <w:marLeft w:val="0"/>
      <w:marRight w:val="0"/>
      <w:marTop w:val="0"/>
      <w:marBottom w:val="0"/>
      <w:divBdr>
        <w:top w:val="none" w:sz="0" w:space="0" w:color="auto"/>
        <w:left w:val="none" w:sz="0" w:space="0" w:color="auto"/>
        <w:bottom w:val="none" w:sz="0" w:space="0" w:color="auto"/>
        <w:right w:val="none" w:sz="0" w:space="0" w:color="auto"/>
      </w:divBdr>
    </w:div>
    <w:div w:id="1101994748">
      <w:bodyDiv w:val="1"/>
      <w:marLeft w:val="0"/>
      <w:marRight w:val="0"/>
      <w:marTop w:val="0"/>
      <w:marBottom w:val="0"/>
      <w:divBdr>
        <w:top w:val="none" w:sz="0" w:space="0" w:color="auto"/>
        <w:left w:val="none" w:sz="0" w:space="0" w:color="auto"/>
        <w:bottom w:val="none" w:sz="0" w:space="0" w:color="auto"/>
        <w:right w:val="none" w:sz="0" w:space="0" w:color="auto"/>
      </w:divBdr>
    </w:div>
    <w:div w:id="1104037044">
      <w:bodyDiv w:val="1"/>
      <w:marLeft w:val="0"/>
      <w:marRight w:val="0"/>
      <w:marTop w:val="0"/>
      <w:marBottom w:val="0"/>
      <w:divBdr>
        <w:top w:val="none" w:sz="0" w:space="0" w:color="auto"/>
        <w:left w:val="none" w:sz="0" w:space="0" w:color="auto"/>
        <w:bottom w:val="none" w:sz="0" w:space="0" w:color="auto"/>
        <w:right w:val="none" w:sz="0" w:space="0" w:color="auto"/>
      </w:divBdr>
    </w:div>
    <w:div w:id="1107240278">
      <w:bodyDiv w:val="1"/>
      <w:marLeft w:val="0"/>
      <w:marRight w:val="0"/>
      <w:marTop w:val="0"/>
      <w:marBottom w:val="0"/>
      <w:divBdr>
        <w:top w:val="none" w:sz="0" w:space="0" w:color="auto"/>
        <w:left w:val="none" w:sz="0" w:space="0" w:color="auto"/>
        <w:bottom w:val="none" w:sz="0" w:space="0" w:color="auto"/>
        <w:right w:val="none" w:sz="0" w:space="0" w:color="auto"/>
      </w:divBdr>
    </w:div>
    <w:div w:id="1107626942">
      <w:bodyDiv w:val="1"/>
      <w:marLeft w:val="0"/>
      <w:marRight w:val="0"/>
      <w:marTop w:val="0"/>
      <w:marBottom w:val="0"/>
      <w:divBdr>
        <w:top w:val="none" w:sz="0" w:space="0" w:color="auto"/>
        <w:left w:val="none" w:sz="0" w:space="0" w:color="auto"/>
        <w:bottom w:val="none" w:sz="0" w:space="0" w:color="auto"/>
        <w:right w:val="none" w:sz="0" w:space="0" w:color="auto"/>
      </w:divBdr>
    </w:div>
    <w:div w:id="1107699037">
      <w:bodyDiv w:val="1"/>
      <w:marLeft w:val="0"/>
      <w:marRight w:val="0"/>
      <w:marTop w:val="0"/>
      <w:marBottom w:val="0"/>
      <w:divBdr>
        <w:top w:val="none" w:sz="0" w:space="0" w:color="auto"/>
        <w:left w:val="none" w:sz="0" w:space="0" w:color="auto"/>
        <w:bottom w:val="none" w:sz="0" w:space="0" w:color="auto"/>
        <w:right w:val="none" w:sz="0" w:space="0" w:color="auto"/>
      </w:divBdr>
    </w:div>
    <w:div w:id="1109811331">
      <w:bodyDiv w:val="1"/>
      <w:marLeft w:val="0"/>
      <w:marRight w:val="0"/>
      <w:marTop w:val="0"/>
      <w:marBottom w:val="0"/>
      <w:divBdr>
        <w:top w:val="none" w:sz="0" w:space="0" w:color="auto"/>
        <w:left w:val="none" w:sz="0" w:space="0" w:color="auto"/>
        <w:bottom w:val="none" w:sz="0" w:space="0" w:color="auto"/>
        <w:right w:val="none" w:sz="0" w:space="0" w:color="auto"/>
      </w:divBdr>
    </w:div>
    <w:div w:id="1111556158">
      <w:bodyDiv w:val="1"/>
      <w:marLeft w:val="0"/>
      <w:marRight w:val="0"/>
      <w:marTop w:val="0"/>
      <w:marBottom w:val="0"/>
      <w:divBdr>
        <w:top w:val="none" w:sz="0" w:space="0" w:color="auto"/>
        <w:left w:val="none" w:sz="0" w:space="0" w:color="auto"/>
        <w:bottom w:val="none" w:sz="0" w:space="0" w:color="auto"/>
        <w:right w:val="none" w:sz="0" w:space="0" w:color="auto"/>
      </w:divBdr>
    </w:div>
    <w:div w:id="1111822306">
      <w:bodyDiv w:val="1"/>
      <w:marLeft w:val="0"/>
      <w:marRight w:val="0"/>
      <w:marTop w:val="0"/>
      <w:marBottom w:val="0"/>
      <w:divBdr>
        <w:top w:val="none" w:sz="0" w:space="0" w:color="auto"/>
        <w:left w:val="none" w:sz="0" w:space="0" w:color="auto"/>
        <w:bottom w:val="none" w:sz="0" w:space="0" w:color="auto"/>
        <w:right w:val="none" w:sz="0" w:space="0" w:color="auto"/>
      </w:divBdr>
    </w:div>
    <w:div w:id="1112163362">
      <w:bodyDiv w:val="1"/>
      <w:marLeft w:val="0"/>
      <w:marRight w:val="0"/>
      <w:marTop w:val="0"/>
      <w:marBottom w:val="0"/>
      <w:divBdr>
        <w:top w:val="none" w:sz="0" w:space="0" w:color="auto"/>
        <w:left w:val="none" w:sz="0" w:space="0" w:color="auto"/>
        <w:bottom w:val="none" w:sz="0" w:space="0" w:color="auto"/>
        <w:right w:val="none" w:sz="0" w:space="0" w:color="auto"/>
      </w:divBdr>
    </w:div>
    <w:div w:id="1113938522">
      <w:bodyDiv w:val="1"/>
      <w:marLeft w:val="0"/>
      <w:marRight w:val="0"/>
      <w:marTop w:val="0"/>
      <w:marBottom w:val="0"/>
      <w:divBdr>
        <w:top w:val="none" w:sz="0" w:space="0" w:color="auto"/>
        <w:left w:val="none" w:sz="0" w:space="0" w:color="auto"/>
        <w:bottom w:val="none" w:sz="0" w:space="0" w:color="auto"/>
        <w:right w:val="none" w:sz="0" w:space="0" w:color="auto"/>
      </w:divBdr>
    </w:div>
    <w:div w:id="1114977759">
      <w:bodyDiv w:val="1"/>
      <w:marLeft w:val="0"/>
      <w:marRight w:val="0"/>
      <w:marTop w:val="0"/>
      <w:marBottom w:val="0"/>
      <w:divBdr>
        <w:top w:val="none" w:sz="0" w:space="0" w:color="auto"/>
        <w:left w:val="none" w:sz="0" w:space="0" w:color="auto"/>
        <w:bottom w:val="none" w:sz="0" w:space="0" w:color="auto"/>
        <w:right w:val="none" w:sz="0" w:space="0" w:color="auto"/>
      </w:divBdr>
    </w:div>
    <w:div w:id="1114980436">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119761955">
      <w:bodyDiv w:val="1"/>
      <w:marLeft w:val="0"/>
      <w:marRight w:val="0"/>
      <w:marTop w:val="0"/>
      <w:marBottom w:val="0"/>
      <w:divBdr>
        <w:top w:val="none" w:sz="0" w:space="0" w:color="auto"/>
        <w:left w:val="none" w:sz="0" w:space="0" w:color="auto"/>
        <w:bottom w:val="none" w:sz="0" w:space="0" w:color="auto"/>
        <w:right w:val="none" w:sz="0" w:space="0" w:color="auto"/>
      </w:divBdr>
    </w:div>
    <w:div w:id="1121025411">
      <w:bodyDiv w:val="1"/>
      <w:marLeft w:val="0"/>
      <w:marRight w:val="0"/>
      <w:marTop w:val="0"/>
      <w:marBottom w:val="0"/>
      <w:divBdr>
        <w:top w:val="none" w:sz="0" w:space="0" w:color="auto"/>
        <w:left w:val="none" w:sz="0" w:space="0" w:color="auto"/>
        <w:bottom w:val="none" w:sz="0" w:space="0" w:color="auto"/>
        <w:right w:val="none" w:sz="0" w:space="0" w:color="auto"/>
      </w:divBdr>
    </w:div>
    <w:div w:id="1122723001">
      <w:bodyDiv w:val="1"/>
      <w:marLeft w:val="0"/>
      <w:marRight w:val="0"/>
      <w:marTop w:val="0"/>
      <w:marBottom w:val="0"/>
      <w:divBdr>
        <w:top w:val="none" w:sz="0" w:space="0" w:color="auto"/>
        <w:left w:val="none" w:sz="0" w:space="0" w:color="auto"/>
        <w:bottom w:val="none" w:sz="0" w:space="0" w:color="auto"/>
        <w:right w:val="none" w:sz="0" w:space="0" w:color="auto"/>
      </w:divBdr>
    </w:div>
    <w:div w:id="1124926501">
      <w:bodyDiv w:val="1"/>
      <w:marLeft w:val="0"/>
      <w:marRight w:val="0"/>
      <w:marTop w:val="0"/>
      <w:marBottom w:val="0"/>
      <w:divBdr>
        <w:top w:val="none" w:sz="0" w:space="0" w:color="auto"/>
        <w:left w:val="none" w:sz="0" w:space="0" w:color="auto"/>
        <w:bottom w:val="none" w:sz="0" w:space="0" w:color="auto"/>
        <w:right w:val="none" w:sz="0" w:space="0" w:color="auto"/>
      </w:divBdr>
    </w:div>
    <w:div w:id="1130126965">
      <w:bodyDiv w:val="1"/>
      <w:marLeft w:val="0"/>
      <w:marRight w:val="0"/>
      <w:marTop w:val="0"/>
      <w:marBottom w:val="0"/>
      <w:divBdr>
        <w:top w:val="none" w:sz="0" w:space="0" w:color="auto"/>
        <w:left w:val="none" w:sz="0" w:space="0" w:color="auto"/>
        <w:bottom w:val="none" w:sz="0" w:space="0" w:color="auto"/>
        <w:right w:val="none" w:sz="0" w:space="0" w:color="auto"/>
      </w:divBdr>
    </w:div>
    <w:div w:id="1130200044">
      <w:bodyDiv w:val="1"/>
      <w:marLeft w:val="0"/>
      <w:marRight w:val="0"/>
      <w:marTop w:val="0"/>
      <w:marBottom w:val="0"/>
      <w:divBdr>
        <w:top w:val="none" w:sz="0" w:space="0" w:color="auto"/>
        <w:left w:val="none" w:sz="0" w:space="0" w:color="auto"/>
        <w:bottom w:val="none" w:sz="0" w:space="0" w:color="auto"/>
        <w:right w:val="none" w:sz="0" w:space="0" w:color="auto"/>
      </w:divBdr>
    </w:div>
    <w:div w:id="1131093095">
      <w:bodyDiv w:val="1"/>
      <w:marLeft w:val="0"/>
      <w:marRight w:val="0"/>
      <w:marTop w:val="0"/>
      <w:marBottom w:val="0"/>
      <w:divBdr>
        <w:top w:val="none" w:sz="0" w:space="0" w:color="auto"/>
        <w:left w:val="none" w:sz="0" w:space="0" w:color="auto"/>
        <w:bottom w:val="none" w:sz="0" w:space="0" w:color="auto"/>
        <w:right w:val="none" w:sz="0" w:space="0" w:color="auto"/>
      </w:divBdr>
    </w:div>
    <w:div w:id="1131440476">
      <w:bodyDiv w:val="1"/>
      <w:marLeft w:val="0"/>
      <w:marRight w:val="0"/>
      <w:marTop w:val="0"/>
      <w:marBottom w:val="0"/>
      <w:divBdr>
        <w:top w:val="none" w:sz="0" w:space="0" w:color="auto"/>
        <w:left w:val="none" w:sz="0" w:space="0" w:color="auto"/>
        <w:bottom w:val="none" w:sz="0" w:space="0" w:color="auto"/>
        <w:right w:val="none" w:sz="0" w:space="0" w:color="auto"/>
      </w:divBdr>
    </w:div>
    <w:div w:id="1134567426">
      <w:bodyDiv w:val="1"/>
      <w:marLeft w:val="0"/>
      <w:marRight w:val="0"/>
      <w:marTop w:val="0"/>
      <w:marBottom w:val="0"/>
      <w:divBdr>
        <w:top w:val="none" w:sz="0" w:space="0" w:color="auto"/>
        <w:left w:val="none" w:sz="0" w:space="0" w:color="auto"/>
        <w:bottom w:val="none" w:sz="0" w:space="0" w:color="auto"/>
        <w:right w:val="none" w:sz="0" w:space="0" w:color="auto"/>
      </w:divBdr>
    </w:div>
    <w:div w:id="1135365873">
      <w:bodyDiv w:val="1"/>
      <w:marLeft w:val="0"/>
      <w:marRight w:val="0"/>
      <w:marTop w:val="0"/>
      <w:marBottom w:val="0"/>
      <w:divBdr>
        <w:top w:val="none" w:sz="0" w:space="0" w:color="auto"/>
        <w:left w:val="none" w:sz="0" w:space="0" w:color="auto"/>
        <w:bottom w:val="none" w:sz="0" w:space="0" w:color="auto"/>
        <w:right w:val="none" w:sz="0" w:space="0" w:color="auto"/>
      </w:divBdr>
    </w:div>
    <w:div w:id="1135374412">
      <w:bodyDiv w:val="1"/>
      <w:marLeft w:val="0"/>
      <w:marRight w:val="0"/>
      <w:marTop w:val="0"/>
      <w:marBottom w:val="0"/>
      <w:divBdr>
        <w:top w:val="none" w:sz="0" w:space="0" w:color="auto"/>
        <w:left w:val="none" w:sz="0" w:space="0" w:color="auto"/>
        <w:bottom w:val="none" w:sz="0" w:space="0" w:color="auto"/>
        <w:right w:val="none" w:sz="0" w:space="0" w:color="auto"/>
      </w:divBdr>
    </w:div>
    <w:div w:id="1137064524">
      <w:bodyDiv w:val="1"/>
      <w:marLeft w:val="0"/>
      <w:marRight w:val="0"/>
      <w:marTop w:val="0"/>
      <w:marBottom w:val="0"/>
      <w:divBdr>
        <w:top w:val="none" w:sz="0" w:space="0" w:color="auto"/>
        <w:left w:val="none" w:sz="0" w:space="0" w:color="auto"/>
        <w:bottom w:val="none" w:sz="0" w:space="0" w:color="auto"/>
        <w:right w:val="none" w:sz="0" w:space="0" w:color="auto"/>
      </w:divBdr>
    </w:div>
    <w:div w:id="1137068170">
      <w:bodyDiv w:val="1"/>
      <w:marLeft w:val="0"/>
      <w:marRight w:val="0"/>
      <w:marTop w:val="0"/>
      <w:marBottom w:val="0"/>
      <w:divBdr>
        <w:top w:val="none" w:sz="0" w:space="0" w:color="auto"/>
        <w:left w:val="none" w:sz="0" w:space="0" w:color="auto"/>
        <w:bottom w:val="none" w:sz="0" w:space="0" w:color="auto"/>
        <w:right w:val="none" w:sz="0" w:space="0" w:color="auto"/>
      </w:divBdr>
    </w:div>
    <w:div w:id="1137800624">
      <w:bodyDiv w:val="1"/>
      <w:marLeft w:val="0"/>
      <w:marRight w:val="0"/>
      <w:marTop w:val="0"/>
      <w:marBottom w:val="0"/>
      <w:divBdr>
        <w:top w:val="none" w:sz="0" w:space="0" w:color="auto"/>
        <w:left w:val="none" w:sz="0" w:space="0" w:color="auto"/>
        <w:bottom w:val="none" w:sz="0" w:space="0" w:color="auto"/>
        <w:right w:val="none" w:sz="0" w:space="0" w:color="auto"/>
      </w:divBdr>
    </w:div>
    <w:div w:id="1137995692">
      <w:bodyDiv w:val="1"/>
      <w:marLeft w:val="0"/>
      <w:marRight w:val="0"/>
      <w:marTop w:val="0"/>
      <w:marBottom w:val="0"/>
      <w:divBdr>
        <w:top w:val="none" w:sz="0" w:space="0" w:color="auto"/>
        <w:left w:val="none" w:sz="0" w:space="0" w:color="auto"/>
        <w:bottom w:val="none" w:sz="0" w:space="0" w:color="auto"/>
        <w:right w:val="none" w:sz="0" w:space="0" w:color="auto"/>
      </w:divBdr>
    </w:div>
    <w:div w:id="1141460782">
      <w:bodyDiv w:val="1"/>
      <w:marLeft w:val="0"/>
      <w:marRight w:val="0"/>
      <w:marTop w:val="0"/>
      <w:marBottom w:val="0"/>
      <w:divBdr>
        <w:top w:val="none" w:sz="0" w:space="0" w:color="auto"/>
        <w:left w:val="none" w:sz="0" w:space="0" w:color="auto"/>
        <w:bottom w:val="none" w:sz="0" w:space="0" w:color="auto"/>
        <w:right w:val="none" w:sz="0" w:space="0" w:color="auto"/>
      </w:divBdr>
    </w:div>
    <w:div w:id="1141577873">
      <w:bodyDiv w:val="1"/>
      <w:marLeft w:val="0"/>
      <w:marRight w:val="0"/>
      <w:marTop w:val="0"/>
      <w:marBottom w:val="0"/>
      <w:divBdr>
        <w:top w:val="none" w:sz="0" w:space="0" w:color="auto"/>
        <w:left w:val="none" w:sz="0" w:space="0" w:color="auto"/>
        <w:bottom w:val="none" w:sz="0" w:space="0" w:color="auto"/>
        <w:right w:val="none" w:sz="0" w:space="0" w:color="auto"/>
      </w:divBdr>
    </w:div>
    <w:div w:id="1142115254">
      <w:bodyDiv w:val="1"/>
      <w:marLeft w:val="0"/>
      <w:marRight w:val="0"/>
      <w:marTop w:val="0"/>
      <w:marBottom w:val="0"/>
      <w:divBdr>
        <w:top w:val="none" w:sz="0" w:space="0" w:color="auto"/>
        <w:left w:val="none" w:sz="0" w:space="0" w:color="auto"/>
        <w:bottom w:val="none" w:sz="0" w:space="0" w:color="auto"/>
        <w:right w:val="none" w:sz="0" w:space="0" w:color="auto"/>
      </w:divBdr>
    </w:div>
    <w:div w:id="1144737351">
      <w:bodyDiv w:val="1"/>
      <w:marLeft w:val="0"/>
      <w:marRight w:val="0"/>
      <w:marTop w:val="0"/>
      <w:marBottom w:val="0"/>
      <w:divBdr>
        <w:top w:val="none" w:sz="0" w:space="0" w:color="auto"/>
        <w:left w:val="none" w:sz="0" w:space="0" w:color="auto"/>
        <w:bottom w:val="none" w:sz="0" w:space="0" w:color="auto"/>
        <w:right w:val="none" w:sz="0" w:space="0" w:color="auto"/>
      </w:divBdr>
    </w:div>
    <w:div w:id="1145779818">
      <w:bodyDiv w:val="1"/>
      <w:marLeft w:val="0"/>
      <w:marRight w:val="0"/>
      <w:marTop w:val="0"/>
      <w:marBottom w:val="0"/>
      <w:divBdr>
        <w:top w:val="none" w:sz="0" w:space="0" w:color="auto"/>
        <w:left w:val="none" w:sz="0" w:space="0" w:color="auto"/>
        <w:bottom w:val="none" w:sz="0" w:space="0" w:color="auto"/>
        <w:right w:val="none" w:sz="0" w:space="0" w:color="auto"/>
      </w:divBdr>
    </w:div>
    <w:div w:id="1146238917">
      <w:bodyDiv w:val="1"/>
      <w:marLeft w:val="0"/>
      <w:marRight w:val="0"/>
      <w:marTop w:val="0"/>
      <w:marBottom w:val="0"/>
      <w:divBdr>
        <w:top w:val="none" w:sz="0" w:space="0" w:color="auto"/>
        <w:left w:val="none" w:sz="0" w:space="0" w:color="auto"/>
        <w:bottom w:val="none" w:sz="0" w:space="0" w:color="auto"/>
        <w:right w:val="none" w:sz="0" w:space="0" w:color="auto"/>
      </w:divBdr>
    </w:div>
    <w:div w:id="1146626380">
      <w:bodyDiv w:val="1"/>
      <w:marLeft w:val="0"/>
      <w:marRight w:val="0"/>
      <w:marTop w:val="0"/>
      <w:marBottom w:val="0"/>
      <w:divBdr>
        <w:top w:val="none" w:sz="0" w:space="0" w:color="auto"/>
        <w:left w:val="none" w:sz="0" w:space="0" w:color="auto"/>
        <w:bottom w:val="none" w:sz="0" w:space="0" w:color="auto"/>
        <w:right w:val="none" w:sz="0" w:space="0" w:color="auto"/>
      </w:divBdr>
    </w:div>
    <w:div w:id="1148588825">
      <w:bodyDiv w:val="1"/>
      <w:marLeft w:val="0"/>
      <w:marRight w:val="0"/>
      <w:marTop w:val="0"/>
      <w:marBottom w:val="0"/>
      <w:divBdr>
        <w:top w:val="none" w:sz="0" w:space="0" w:color="auto"/>
        <w:left w:val="none" w:sz="0" w:space="0" w:color="auto"/>
        <w:bottom w:val="none" w:sz="0" w:space="0" w:color="auto"/>
        <w:right w:val="none" w:sz="0" w:space="0" w:color="auto"/>
      </w:divBdr>
    </w:div>
    <w:div w:id="1150367097">
      <w:bodyDiv w:val="1"/>
      <w:marLeft w:val="0"/>
      <w:marRight w:val="0"/>
      <w:marTop w:val="0"/>
      <w:marBottom w:val="0"/>
      <w:divBdr>
        <w:top w:val="none" w:sz="0" w:space="0" w:color="auto"/>
        <w:left w:val="none" w:sz="0" w:space="0" w:color="auto"/>
        <w:bottom w:val="none" w:sz="0" w:space="0" w:color="auto"/>
        <w:right w:val="none" w:sz="0" w:space="0" w:color="auto"/>
      </w:divBdr>
    </w:div>
    <w:div w:id="1151217450">
      <w:bodyDiv w:val="1"/>
      <w:marLeft w:val="0"/>
      <w:marRight w:val="0"/>
      <w:marTop w:val="0"/>
      <w:marBottom w:val="0"/>
      <w:divBdr>
        <w:top w:val="none" w:sz="0" w:space="0" w:color="auto"/>
        <w:left w:val="none" w:sz="0" w:space="0" w:color="auto"/>
        <w:bottom w:val="none" w:sz="0" w:space="0" w:color="auto"/>
        <w:right w:val="none" w:sz="0" w:space="0" w:color="auto"/>
      </w:divBdr>
    </w:div>
    <w:div w:id="1152599982">
      <w:bodyDiv w:val="1"/>
      <w:marLeft w:val="0"/>
      <w:marRight w:val="0"/>
      <w:marTop w:val="0"/>
      <w:marBottom w:val="0"/>
      <w:divBdr>
        <w:top w:val="none" w:sz="0" w:space="0" w:color="auto"/>
        <w:left w:val="none" w:sz="0" w:space="0" w:color="auto"/>
        <w:bottom w:val="none" w:sz="0" w:space="0" w:color="auto"/>
        <w:right w:val="none" w:sz="0" w:space="0" w:color="auto"/>
      </w:divBdr>
    </w:div>
    <w:div w:id="1152797175">
      <w:bodyDiv w:val="1"/>
      <w:marLeft w:val="0"/>
      <w:marRight w:val="0"/>
      <w:marTop w:val="0"/>
      <w:marBottom w:val="0"/>
      <w:divBdr>
        <w:top w:val="none" w:sz="0" w:space="0" w:color="auto"/>
        <w:left w:val="none" w:sz="0" w:space="0" w:color="auto"/>
        <w:bottom w:val="none" w:sz="0" w:space="0" w:color="auto"/>
        <w:right w:val="none" w:sz="0" w:space="0" w:color="auto"/>
      </w:divBdr>
    </w:div>
    <w:div w:id="1154571206">
      <w:bodyDiv w:val="1"/>
      <w:marLeft w:val="0"/>
      <w:marRight w:val="0"/>
      <w:marTop w:val="0"/>
      <w:marBottom w:val="0"/>
      <w:divBdr>
        <w:top w:val="none" w:sz="0" w:space="0" w:color="auto"/>
        <w:left w:val="none" w:sz="0" w:space="0" w:color="auto"/>
        <w:bottom w:val="none" w:sz="0" w:space="0" w:color="auto"/>
        <w:right w:val="none" w:sz="0" w:space="0" w:color="auto"/>
      </w:divBdr>
    </w:div>
    <w:div w:id="1156727738">
      <w:bodyDiv w:val="1"/>
      <w:marLeft w:val="0"/>
      <w:marRight w:val="0"/>
      <w:marTop w:val="0"/>
      <w:marBottom w:val="0"/>
      <w:divBdr>
        <w:top w:val="none" w:sz="0" w:space="0" w:color="auto"/>
        <w:left w:val="none" w:sz="0" w:space="0" w:color="auto"/>
        <w:bottom w:val="none" w:sz="0" w:space="0" w:color="auto"/>
        <w:right w:val="none" w:sz="0" w:space="0" w:color="auto"/>
      </w:divBdr>
    </w:div>
    <w:div w:id="1157456665">
      <w:bodyDiv w:val="1"/>
      <w:marLeft w:val="0"/>
      <w:marRight w:val="0"/>
      <w:marTop w:val="0"/>
      <w:marBottom w:val="0"/>
      <w:divBdr>
        <w:top w:val="none" w:sz="0" w:space="0" w:color="auto"/>
        <w:left w:val="none" w:sz="0" w:space="0" w:color="auto"/>
        <w:bottom w:val="none" w:sz="0" w:space="0" w:color="auto"/>
        <w:right w:val="none" w:sz="0" w:space="0" w:color="auto"/>
      </w:divBdr>
    </w:div>
    <w:div w:id="1157501701">
      <w:bodyDiv w:val="1"/>
      <w:marLeft w:val="0"/>
      <w:marRight w:val="0"/>
      <w:marTop w:val="0"/>
      <w:marBottom w:val="0"/>
      <w:divBdr>
        <w:top w:val="none" w:sz="0" w:space="0" w:color="auto"/>
        <w:left w:val="none" w:sz="0" w:space="0" w:color="auto"/>
        <w:bottom w:val="none" w:sz="0" w:space="0" w:color="auto"/>
        <w:right w:val="none" w:sz="0" w:space="0" w:color="auto"/>
      </w:divBdr>
    </w:div>
    <w:div w:id="1157650207">
      <w:bodyDiv w:val="1"/>
      <w:marLeft w:val="0"/>
      <w:marRight w:val="0"/>
      <w:marTop w:val="0"/>
      <w:marBottom w:val="0"/>
      <w:divBdr>
        <w:top w:val="none" w:sz="0" w:space="0" w:color="auto"/>
        <w:left w:val="none" w:sz="0" w:space="0" w:color="auto"/>
        <w:bottom w:val="none" w:sz="0" w:space="0" w:color="auto"/>
        <w:right w:val="none" w:sz="0" w:space="0" w:color="auto"/>
      </w:divBdr>
    </w:div>
    <w:div w:id="1158693170">
      <w:bodyDiv w:val="1"/>
      <w:marLeft w:val="0"/>
      <w:marRight w:val="0"/>
      <w:marTop w:val="0"/>
      <w:marBottom w:val="0"/>
      <w:divBdr>
        <w:top w:val="none" w:sz="0" w:space="0" w:color="auto"/>
        <w:left w:val="none" w:sz="0" w:space="0" w:color="auto"/>
        <w:bottom w:val="none" w:sz="0" w:space="0" w:color="auto"/>
        <w:right w:val="none" w:sz="0" w:space="0" w:color="auto"/>
      </w:divBdr>
    </w:div>
    <w:div w:id="1160656743">
      <w:bodyDiv w:val="1"/>
      <w:marLeft w:val="0"/>
      <w:marRight w:val="0"/>
      <w:marTop w:val="0"/>
      <w:marBottom w:val="0"/>
      <w:divBdr>
        <w:top w:val="none" w:sz="0" w:space="0" w:color="auto"/>
        <w:left w:val="none" w:sz="0" w:space="0" w:color="auto"/>
        <w:bottom w:val="none" w:sz="0" w:space="0" w:color="auto"/>
        <w:right w:val="none" w:sz="0" w:space="0" w:color="auto"/>
      </w:divBdr>
    </w:div>
    <w:div w:id="1161195490">
      <w:bodyDiv w:val="1"/>
      <w:marLeft w:val="0"/>
      <w:marRight w:val="0"/>
      <w:marTop w:val="0"/>
      <w:marBottom w:val="0"/>
      <w:divBdr>
        <w:top w:val="none" w:sz="0" w:space="0" w:color="auto"/>
        <w:left w:val="none" w:sz="0" w:space="0" w:color="auto"/>
        <w:bottom w:val="none" w:sz="0" w:space="0" w:color="auto"/>
        <w:right w:val="none" w:sz="0" w:space="0" w:color="auto"/>
      </w:divBdr>
    </w:div>
    <w:div w:id="1161850788">
      <w:bodyDiv w:val="1"/>
      <w:marLeft w:val="0"/>
      <w:marRight w:val="0"/>
      <w:marTop w:val="0"/>
      <w:marBottom w:val="0"/>
      <w:divBdr>
        <w:top w:val="none" w:sz="0" w:space="0" w:color="auto"/>
        <w:left w:val="none" w:sz="0" w:space="0" w:color="auto"/>
        <w:bottom w:val="none" w:sz="0" w:space="0" w:color="auto"/>
        <w:right w:val="none" w:sz="0" w:space="0" w:color="auto"/>
      </w:divBdr>
    </w:div>
    <w:div w:id="1164276724">
      <w:bodyDiv w:val="1"/>
      <w:marLeft w:val="0"/>
      <w:marRight w:val="0"/>
      <w:marTop w:val="0"/>
      <w:marBottom w:val="0"/>
      <w:divBdr>
        <w:top w:val="none" w:sz="0" w:space="0" w:color="auto"/>
        <w:left w:val="none" w:sz="0" w:space="0" w:color="auto"/>
        <w:bottom w:val="none" w:sz="0" w:space="0" w:color="auto"/>
        <w:right w:val="none" w:sz="0" w:space="0" w:color="auto"/>
      </w:divBdr>
    </w:div>
    <w:div w:id="1164469370">
      <w:bodyDiv w:val="1"/>
      <w:marLeft w:val="0"/>
      <w:marRight w:val="0"/>
      <w:marTop w:val="0"/>
      <w:marBottom w:val="0"/>
      <w:divBdr>
        <w:top w:val="none" w:sz="0" w:space="0" w:color="auto"/>
        <w:left w:val="none" w:sz="0" w:space="0" w:color="auto"/>
        <w:bottom w:val="none" w:sz="0" w:space="0" w:color="auto"/>
        <w:right w:val="none" w:sz="0" w:space="0" w:color="auto"/>
      </w:divBdr>
    </w:div>
    <w:div w:id="1166673455">
      <w:bodyDiv w:val="1"/>
      <w:marLeft w:val="0"/>
      <w:marRight w:val="0"/>
      <w:marTop w:val="0"/>
      <w:marBottom w:val="0"/>
      <w:divBdr>
        <w:top w:val="none" w:sz="0" w:space="0" w:color="auto"/>
        <w:left w:val="none" w:sz="0" w:space="0" w:color="auto"/>
        <w:bottom w:val="none" w:sz="0" w:space="0" w:color="auto"/>
        <w:right w:val="none" w:sz="0" w:space="0" w:color="auto"/>
      </w:divBdr>
    </w:div>
    <w:div w:id="1167748292">
      <w:bodyDiv w:val="1"/>
      <w:marLeft w:val="0"/>
      <w:marRight w:val="0"/>
      <w:marTop w:val="0"/>
      <w:marBottom w:val="0"/>
      <w:divBdr>
        <w:top w:val="none" w:sz="0" w:space="0" w:color="auto"/>
        <w:left w:val="none" w:sz="0" w:space="0" w:color="auto"/>
        <w:bottom w:val="none" w:sz="0" w:space="0" w:color="auto"/>
        <w:right w:val="none" w:sz="0" w:space="0" w:color="auto"/>
      </w:divBdr>
    </w:div>
    <w:div w:id="1169516100">
      <w:bodyDiv w:val="1"/>
      <w:marLeft w:val="0"/>
      <w:marRight w:val="0"/>
      <w:marTop w:val="0"/>
      <w:marBottom w:val="0"/>
      <w:divBdr>
        <w:top w:val="none" w:sz="0" w:space="0" w:color="auto"/>
        <w:left w:val="none" w:sz="0" w:space="0" w:color="auto"/>
        <w:bottom w:val="none" w:sz="0" w:space="0" w:color="auto"/>
        <w:right w:val="none" w:sz="0" w:space="0" w:color="auto"/>
      </w:divBdr>
    </w:div>
    <w:div w:id="1171683294">
      <w:bodyDiv w:val="1"/>
      <w:marLeft w:val="0"/>
      <w:marRight w:val="0"/>
      <w:marTop w:val="0"/>
      <w:marBottom w:val="0"/>
      <w:divBdr>
        <w:top w:val="none" w:sz="0" w:space="0" w:color="auto"/>
        <w:left w:val="none" w:sz="0" w:space="0" w:color="auto"/>
        <w:bottom w:val="none" w:sz="0" w:space="0" w:color="auto"/>
        <w:right w:val="none" w:sz="0" w:space="0" w:color="auto"/>
      </w:divBdr>
    </w:div>
    <w:div w:id="1175613255">
      <w:bodyDiv w:val="1"/>
      <w:marLeft w:val="0"/>
      <w:marRight w:val="0"/>
      <w:marTop w:val="0"/>
      <w:marBottom w:val="0"/>
      <w:divBdr>
        <w:top w:val="none" w:sz="0" w:space="0" w:color="auto"/>
        <w:left w:val="none" w:sz="0" w:space="0" w:color="auto"/>
        <w:bottom w:val="none" w:sz="0" w:space="0" w:color="auto"/>
        <w:right w:val="none" w:sz="0" w:space="0" w:color="auto"/>
      </w:divBdr>
    </w:div>
    <w:div w:id="1176307448">
      <w:bodyDiv w:val="1"/>
      <w:marLeft w:val="0"/>
      <w:marRight w:val="0"/>
      <w:marTop w:val="0"/>
      <w:marBottom w:val="0"/>
      <w:divBdr>
        <w:top w:val="none" w:sz="0" w:space="0" w:color="auto"/>
        <w:left w:val="none" w:sz="0" w:space="0" w:color="auto"/>
        <w:bottom w:val="none" w:sz="0" w:space="0" w:color="auto"/>
        <w:right w:val="none" w:sz="0" w:space="0" w:color="auto"/>
      </w:divBdr>
    </w:div>
    <w:div w:id="1177691308">
      <w:bodyDiv w:val="1"/>
      <w:marLeft w:val="0"/>
      <w:marRight w:val="0"/>
      <w:marTop w:val="0"/>
      <w:marBottom w:val="0"/>
      <w:divBdr>
        <w:top w:val="none" w:sz="0" w:space="0" w:color="auto"/>
        <w:left w:val="none" w:sz="0" w:space="0" w:color="auto"/>
        <w:bottom w:val="none" w:sz="0" w:space="0" w:color="auto"/>
        <w:right w:val="none" w:sz="0" w:space="0" w:color="auto"/>
      </w:divBdr>
    </w:div>
    <w:div w:id="1178234308">
      <w:bodyDiv w:val="1"/>
      <w:marLeft w:val="0"/>
      <w:marRight w:val="0"/>
      <w:marTop w:val="0"/>
      <w:marBottom w:val="0"/>
      <w:divBdr>
        <w:top w:val="none" w:sz="0" w:space="0" w:color="auto"/>
        <w:left w:val="none" w:sz="0" w:space="0" w:color="auto"/>
        <w:bottom w:val="none" w:sz="0" w:space="0" w:color="auto"/>
        <w:right w:val="none" w:sz="0" w:space="0" w:color="auto"/>
      </w:divBdr>
    </w:div>
    <w:div w:id="1180319348">
      <w:bodyDiv w:val="1"/>
      <w:marLeft w:val="0"/>
      <w:marRight w:val="0"/>
      <w:marTop w:val="0"/>
      <w:marBottom w:val="0"/>
      <w:divBdr>
        <w:top w:val="none" w:sz="0" w:space="0" w:color="auto"/>
        <w:left w:val="none" w:sz="0" w:space="0" w:color="auto"/>
        <w:bottom w:val="none" w:sz="0" w:space="0" w:color="auto"/>
        <w:right w:val="none" w:sz="0" w:space="0" w:color="auto"/>
      </w:divBdr>
    </w:div>
    <w:div w:id="1182207352">
      <w:bodyDiv w:val="1"/>
      <w:marLeft w:val="0"/>
      <w:marRight w:val="0"/>
      <w:marTop w:val="0"/>
      <w:marBottom w:val="0"/>
      <w:divBdr>
        <w:top w:val="none" w:sz="0" w:space="0" w:color="auto"/>
        <w:left w:val="none" w:sz="0" w:space="0" w:color="auto"/>
        <w:bottom w:val="none" w:sz="0" w:space="0" w:color="auto"/>
        <w:right w:val="none" w:sz="0" w:space="0" w:color="auto"/>
      </w:divBdr>
    </w:div>
    <w:div w:id="1186670670">
      <w:bodyDiv w:val="1"/>
      <w:marLeft w:val="0"/>
      <w:marRight w:val="0"/>
      <w:marTop w:val="0"/>
      <w:marBottom w:val="0"/>
      <w:divBdr>
        <w:top w:val="none" w:sz="0" w:space="0" w:color="auto"/>
        <w:left w:val="none" w:sz="0" w:space="0" w:color="auto"/>
        <w:bottom w:val="none" w:sz="0" w:space="0" w:color="auto"/>
        <w:right w:val="none" w:sz="0" w:space="0" w:color="auto"/>
      </w:divBdr>
    </w:div>
    <w:div w:id="1187909015">
      <w:bodyDiv w:val="1"/>
      <w:marLeft w:val="0"/>
      <w:marRight w:val="0"/>
      <w:marTop w:val="0"/>
      <w:marBottom w:val="0"/>
      <w:divBdr>
        <w:top w:val="none" w:sz="0" w:space="0" w:color="auto"/>
        <w:left w:val="none" w:sz="0" w:space="0" w:color="auto"/>
        <w:bottom w:val="none" w:sz="0" w:space="0" w:color="auto"/>
        <w:right w:val="none" w:sz="0" w:space="0" w:color="auto"/>
      </w:divBdr>
    </w:div>
    <w:div w:id="1190336673">
      <w:bodyDiv w:val="1"/>
      <w:marLeft w:val="0"/>
      <w:marRight w:val="0"/>
      <w:marTop w:val="0"/>
      <w:marBottom w:val="0"/>
      <w:divBdr>
        <w:top w:val="none" w:sz="0" w:space="0" w:color="auto"/>
        <w:left w:val="none" w:sz="0" w:space="0" w:color="auto"/>
        <w:bottom w:val="none" w:sz="0" w:space="0" w:color="auto"/>
        <w:right w:val="none" w:sz="0" w:space="0" w:color="auto"/>
      </w:divBdr>
    </w:div>
    <w:div w:id="1190801714">
      <w:bodyDiv w:val="1"/>
      <w:marLeft w:val="0"/>
      <w:marRight w:val="0"/>
      <w:marTop w:val="0"/>
      <w:marBottom w:val="0"/>
      <w:divBdr>
        <w:top w:val="none" w:sz="0" w:space="0" w:color="auto"/>
        <w:left w:val="none" w:sz="0" w:space="0" w:color="auto"/>
        <w:bottom w:val="none" w:sz="0" w:space="0" w:color="auto"/>
        <w:right w:val="none" w:sz="0" w:space="0" w:color="auto"/>
      </w:divBdr>
    </w:div>
    <w:div w:id="1191379052">
      <w:bodyDiv w:val="1"/>
      <w:marLeft w:val="0"/>
      <w:marRight w:val="0"/>
      <w:marTop w:val="0"/>
      <w:marBottom w:val="0"/>
      <w:divBdr>
        <w:top w:val="none" w:sz="0" w:space="0" w:color="auto"/>
        <w:left w:val="none" w:sz="0" w:space="0" w:color="auto"/>
        <w:bottom w:val="none" w:sz="0" w:space="0" w:color="auto"/>
        <w:right w:val="none" w:sz="0" w:space="0" w:color="auto"/>
      </w:divBdr>
    </w:div>
    <w:div w:id="1195844227">
      <w:bodyDiv w:val="1"/>
      <w:marLeft w:val="0"/>
      <w:marRight w:val="0"/>
      <w:marTop w:val="0"/>
      <w:marBottom w:val="0"/>
      <w:divBdr>
        <w:top w:val="none" w:sz="0" w:space="0" w:color="auto"/>
        <w:left w:val="none" w:sz="0" w:space="0" w:color="auto"/>
        <w:bottom w:val="none" w:sz="0" w:space="0" w:color="auto"/>
        <w:right w:val="none" w:sz="0" w:space="0" w:color="auto"/>
      </w:divBdr>
    </w:div>
    <w:div w:id="1196582363">
      <w:bodyDiv w:val="1"/>
      <w:marLeft w:val="0"/>
      <w:marRight w:val="0"/>
      <w:marTop w:val="0"/>
      <w:marBottom w:val="0"/>
      <w:divBdr>
        <w:top w:val="none" w:sz="0" w:space="0" w:color="auto"/>
        <w:left w:val="none" w:sz="0" w:space="0" w:color="auto"/>
        <w:bottom w:val="none" w:sz="0" w:space="0" w:color="auto"/>
        <w:right w:val="none" w:sz="0" w:space="0" w:color="auto"/>
      </w:divBdr>
    </w:div>
    <w:div w:id="1196889352">
      <w:bodyDiv w:val="1"/>
      <w:marLeft w:val="0"/>
      <w:marRight w:val="0"/>
      <w:marTop w:val="0"/>
      <w:marBottom w:val="0"/>
      <w:divBdr>
        <w:top w:val="none" w:sz="0" w:space="0" w:color="auto"/>
        <w:left w:val="none" w:sz="0" w:space="0" w:color="auto"/>
        <w:bottom w:val="none" w:sz="0" w:space="0" w:color="auto"/>
        <w:right w:val="none" w:sz="0" w:space="0" w:color="auto"/>
      </w:divBdr>
    </w:div>
    <w:div w:id="1198078677">
      <w:bodyDiv w:val="1"/>
      <w:marLeft w:val="0"/>
      <w:marRight w:val="0"/>
      <w:marTop w:val="0"/>
      <w:marBottom w:val="0"/>
      <w:divBdr>
        <w:top w:val="none" w:sz="0" w:space="0" w:color="auto"/>
        <w:left w:val="none" w:sz="0" w:space="0" w:color="auto"/>
        <w:bottom w:val="none" w:sz="0" w:space="0" w:color="auto"/>
        <w:right w:val="none" w:sz="0" w:space="0" w:color="auto"/>
      </w:divBdr>
    </w:div>
    <w:div w:id="1200388133">
      <w:bodyDiv w:val="1"/>
      <w:marLeft w:val="0"/>
      <w:marRight w:val="0"/>
      <w:marTop w:val="0"/>
      <w:marBottom w:val="0"/>
      <w:divBdr>
        <w:top w:val="none" w:sz="0" w:space="0" w:color="auto"/>
        <w:left w:val="none" w:sz="0" w:space="0" w:color="auto"/>
        <w:bottom w:val="none" w:sz="0" w:space="0" w:color="auto"/>
        <w:right w:val="none" w:sz="0" w:space="0" w:color="auto"/>
      </w:divBdr>
    </w:div>
    <w:div w:id="1200434349">
      <w:bodyDiv w:val="1"/>
      <w:marLeft w:val="0"/>
      <w:marRight w:val="0"/>
      <w:marTop w:val="0"/>
      <w:marBottom w:val="0"/>
      <w:divBdr>
        <w:top w:val="none" w:sz="0" w:space="0" w:color="auto"/>
        <w:left w:val="none" w:sz="0" w:space="0" w:color="auto"/>
        <w:bottom w:val="none" w:sz="0" w:space="0" w:color="auto"/>
        <w:right w:val="none" w:sz="0" w:space="0" w:color="auto"/>
      </w:divBdr>
    </w:div>
    <w:div w:id="1202324240">
      <w:bodyDiv w:val="1"/>
      <w:marLeft w:val="0"/>
      <w:marRight w:val="0"/>
      <w:marTop w:val="0"/>
      <w:marBottom w:val="0"/>
      <w:divBdr>
        <w:top w:val="none" w:sz="0" w:space="0" w:color="auto"/>
        <w:left w:val="none" w:sz="0" w:space="0" w:color="auto"/>
        <w:bottom w:val="none" w:sz="0" w:space="0" w:color="auto"/>
        <w:right w:val="none" w:sz="0" w:space="0" w:color="auto"/>
      </w:divBdr>
    </w:div>
    <w:div w:id="1203129548">
      <w:bodyDiv w:val="1"/>
      <w:marLeft w:val="0"/>
      <w:marRight w:val="0"/>
      <w:marTop w:val="0"/>
      <w:marBottom w:val="0"/>
      <w:divBdr>
        <w:top w:val="none" w:sz="0" w:space="0" w:color="auto"/>
        <w:left w:val="none" w:sz="0" w:space="0" w:color="auto"/>
        <w:bottom w:val="none" w:sz="0" w:space="0" w:color="auto"/>
        <w:right w:val="none" w:sz="0" w:space="0" w:color="auto"/>
      </w:divBdr>
    </w:div>
    <w:div w:id="1204291478">
      <w:bodyDiv w:val="1"/>
      <w:marLeft w:val="0"/>
      <w:marRight w:val="0"/>
      <w:marTop w:val="0"/>
      <w:marBottom w:val="0"/>
      <w:divBdr>
        <w:top w:val="none" w:sz="0" w:space="0" w:color="auto"/>
        <w:left w:val="none" w:sz="0" w:space="0" w:color="auto"/>
        <w:bottom w:val="none" w:sz="0" w:space="0" w:color="auto"/>
        <w:right w:val="none" w:sz="0" w:space="0" w:color="auto"/>
      </w:divBdr>
    </w:div>
    <w:div w:id="1204440143">
      <w:bodyDiv w:val="1"/>
      <w:marLeft w:val="0"/>
      <w:marRight w:val="0"/>
      <w:marTop w:val="0"/>
      <w:marBottom w:val="0"/>
      <w:divBdr>
        <w:top w:val="none" w:sz="0" w:space="0" w:color="auto"/>
        <w:left w:val="none" w:sz="0" w:space="0" w:color="auto"/>
        <w:bottom w:val="none" w:sz="0" w:space="0" w:color="auto"/>
        <w:right w:val="none" w:sz="0" w:space="0" w:color="auto"/>
      </w:divBdr>
    </w:div>
    <w:div w:id="1206604373">
      <w:bodyDiv w:val="1"/>
      <w:marLeft w:val="0"/>
      <w:marRight w:val="0"/>
      <w:marTop w:val="0"/>
      <w:marBottom w:val="0"/>
      <w:divBdr>
        <w:top w:val="none" w:sz="0" w:space="0" w:color="auto"/>
        <w:left w:val="none" w:sz="0" w:space="0" w:color="auto"/>
        <w:bottom w:val="none" w:sz="0" w:space="0" w:color="auto"/>
        <w:right w:val="none" w:sz="0" w:space="0" w:color="auto"/>
      </w:divBdr>
    </w:div>
    <w:div w:id="1207138042">
      <w:bodyDiv w:val="1"/>
      <w:marLeft w:val="0"/>
      <w:marRight w:val="0"/>
      <w:marTop w:val="0"/>
      <w:marBottom w:val="0"/>
      <w:divBdr>
        <w:top w:val="none" w:sz="0" w:space="0" w:color="auto"/>
        <w:left w:val="none" w:sz="0" w:space="0" w:color="auto"/>
        <w:bottom w:val="none" w:sz="0" w:space="0" w:color="auto"/>
        <w:right w:val="none" w:sz="0" w:space="0" w:color="auto"/>
      </w:divBdr>
    </w:div>
    <w:div w:id="1208762403">
      <w:bodyDiv w:val="1"/>
      <w:marLeft w:val="0"/>
      <w:marRight w:val="0"/>
      <w:marTop w:val="0"/>
      <w:marBottom w:val="0"/>
      <w:divBdr>
        <w:top w:val="none" w:sz="0" w:space="0" w:color="auto"/>
        <w:left w:val="none" w:sz="0" w:space="0" w:color="auto"/>
        <w:bottom w:val="none" w:sz="0" w:space="0" w:color="auto"/>
        <w:right w:val="none" w:sz="0" w:space="0" w:color="auto"/>
      </w:divBdr>
    </w:div>
    <w:div w:id="1213611933">
      <w:bodyDiv w:val="1"/>
      <w:marLeft w:val="0"/>
      <w:marRight w:val="0"/>
      <w:marTop w:val="0"/>
      <w:marBottom w:val="0"/>
      <w:divBdr>
        <w:top w:val="none" w:sz="0" w:space="0" w:color="auto"/>
        <w:left w:val="none" w:sz="0" w:space="0" w:color="auto"/>
        <w:bottom w:val="none" w:sz="0" w:space="0" w:color="auto"/>
        <w:right w:val="none" w:sz="0" w:space="0" w:color="auto"/>
      </w:divBdr>
    </w:div>
    <w:div w:id="1214780283">
      <w:bodyDiv w:val="1"/>
      <w:marLeft w:val="0"/>
      <w:marRight w:val="0"/>
      <w:marTop w:val="0"/>
      <w:marBottom w:val="0"/>
      <w:divBdr>
        <w:top w:val="none" w:sz="0" w:space="0" w:color="auto"/>
        <w:left w:val="none" w:sz="0" w:space="0" w:color="auto"/>
        <w:bottom w:val="none" w:sz="0" w:space="0" w:color="auto"/>
        <w:right w:val="none" w:sz="0" w:space="0" w:color="auto"/>
      </w:divBdr>
    </w:div>
    <w:div w:id="1215431060">
      <w:bodyDiv w:val="1"/>
      <w:marLeft w:val="0"/>
      <w:marRight w:val="0"/>
      <w:marTop w:val="0"/>
      <w:marBottom w:val="0"/>
      <w:divBdr>
        <w:top w:val="none" w:sz="0" w:space="0" w:color="auto"/>
        <w:left w:val="none" w:sz="0" w:space="0" w:color="auto"/>
        <w:bottom w:val="none" w:sz="0" w:space="0" w:color="auto"/>
        <w:right w:val="none" w:sz="0" w:space="0" w:color="auto"/>
      </w:divBdr>
    </w:div>
    <w:div w:id="1217160175">
      <w:bodyDiv w:val="1"/>
      <w:marLeft w:val="0"/>
      <w:marRight w:val="0"/>
      <w:marTop w:val="0"/>
      <w:marBottom w:val="0"/>
      <w:divBdr>
        <w:top w:val="none" w:sz="0" w:space="0" w:color="auto"/>
        <w:left w:val="none" w:sz="0" w:space="0" w:color="auto"/>
        <w:bottom w:val="none" w:sz="0" w:space="0" w:color="auto"/>
        <w:right w:val="none" w:sz="0" w:space="0" w:color="auto"/>
      </w:divBdr>
    </w:div>
    <w:div w:id="1219627494">
      <w:bodyDiv w:val="1"/>
      <w:marLeft w:val="0"/>
      <w:marRight w:val="0"/>
      <w:marTop w:val="0"/>
      <w:marBottom w:val="0"/>
      <w:divBdr>
        <w:top w:val="none" w:sz="0" w:space="0" w:color="auto"/>
        <w:left w:val="none" w:sz="0" w:space="0" w:color="auto"/>
        <w:bottom w:val="none" w:sz="0" w:space="0" w:color="auto"/>
        <w:right w:val="none" w:sz="0" w:space="0" w:color="auto"/>
      </w:divBdr>
    </w:div>
    <w:div w:id="1220432681">
      <w:bodyDiv w:val="1"/>
      <w:marLeft w:val="0"/>
      <w:marRight w:val="0"/>
      <w:marTop w:val="0"/>
      <w:marBottom w:val="0"/>
      <w:divBdr>
        <w:top w:val="none" w:sz="0" w:space="0" w:color="auto"/>
        <w:left w:val="none" w:sz="0" w:space="0" w:color="auto"/>
        <w:bottom w:val="none" w:sz="0" w:space="0" w:color="auto"/>
        <w:right w:val="none" w:sz="0" w:space="0" w:color="auto"/>
      </w:divBdr>
    </w:div>
    <w:div w:id="1221676173">
      <w:bodyDiv w:val="1"/>
      <w:marLeft w:val="0"/>
      <w:marRight w:val="0"/>
      <w:marTop w:val="0"/>
      <w:marBottom w:val="0"/>
      <w:divBdr>
        <w:top w:val="none" w:sz="0" w:space="0" w:color="auto"/>
        <w:left w:val="none" w:sz="0" w:space="0" w:color="auto"/>
        <w:bottom w:val="none" w:sz="0" w:space="0" w:color="auto"/>
        <w:right w:val="none" w:sz="0" w:space="0" w:color="auto"/>
      </w:divBdr>
    </w:div>
    <w:div w:id="1222837018">
      <w:bodyDiv w:val="1"/>
      <w:marLeft w:val="0"/>
      <w:marRight w:val="0"/>
      <w:marTop w:val="0"/>
      <w:marBottom w:val="0"/>
      <w:divBdr>
        <w:top w:val="none" w:sz="0" w:space="0" w:color="auto"/>
        <w:left w:val="none" w:sz="0" w:space="0" w:color="auto"/>
        <w:bottom w:val="none" w:sz="0" w:space="0" w:color="auto"/>
        <w:right w:val="none" w:sz="0" w:space="0" w:color="auto"/>
      </w:divBdr>
    </w:div>
    <w:div w:id="1225869425">
      <w:bodyDiv w:val="1"/>
      <w:marLeft w:val="0"/>
      <w:marRight w:val="0"/>
      <w:marTop w:val="0"/>
      <w:marBottom w:val="0"/>
      <w:divBdr>
        <w:top w:val="none" w:sz="0" w:space="0" w:color="auto"/>
        <w:left w:val="none" w:sz="0" w:space="0" w:color="auto"/>
        <w:bottom w:val="none" w:sz="0" w:space="0" w:color="auto"/>
        <w:right w:val="none" w:sz="0" w:space="0" w:color="auto"/>
      </w:divBdr>
    </w:div>
    <w:div w:id="1226643047">
      <w:bodyDiv w:val="1"/>
      <w:marLeft w:val="0"/>
      <w:marRight w:val="0"/>
      <w:marTop w:val="0"/>
      <w:marBottom w:val="0"/>
      <w:divBdr>
        <w:top w:val="none" w:sz="0" w:space="0" w:color="auto"/>
        <w:left w:val="none" w:sz="0" w:space="0" w:color="auto"/>
        <w:bottom w:val="none" w:sz="0" w:space="0" w:color="auto"/>
        <w:right w:val="none" w:sz="0" w:space="0" w:color="auto"/>
      </w:divBdr>
    </w:div>
    <w:div w:id="1226989144">
      <w:bodyDiv w:val="1"/>
      <w:marLeft w:val="0"/>
      <w:marRight w:val="0"/>
      <w:marTop w:val="0"/>
      <w:marBottom w:val="0"/>
      <w:divBdr>
        <w:top w:val="none" w:sz="0" w:space="0" w:color="auto"/>
        <w:left w:val="none" w:sz="0" w:space="0" w:color="auto"/>
        <w:bottom w:val="none" w:sz="0" w:space="0" w:color="auto"/>
        <w:right w:val="none" w:sz="0" w:space="0" w:color="auto"/>
      </w:divBdr>
    </w:div>
    <w:div w:id="1227060427">
      <w:bodyDiv w:val="1"/>
      <w:marLeft w:val="0"/>
      <w:marRight w:val="0"/>
      <w:marTop w:val="0"/>
      <w:marBottom w:val="0"/>
      <w:divBdr>
        <w:top w:val="none" w:sz="0" w:space="0" w:color="auto"/>
        <w:left w:val="none" w:sz="0" w:space="0" w:color="auto"/>
        <w:bottom w:val="none" w:sz="0" w:space="0" w:color="auto"/>
        <w:right w:val="none" w:sz="0" w:space="0" w:color="auto"/>
      </w:divBdr>
    </w:div>
    <w:div w:id="1227104635">
      <w:bodyDiv w:val="1"/>
      <w:marLeft w:val="0"/>
      <w:marRight w:val="0"/>
      <w:marTop w:val="0"/>
      <w:marBottom w:val="0"/>
      <w:divBdr>
        <w:top w:val="none" w:sz="0" w:space="0" w:color="auto"/>
        <w:left w:val="none" w:sz="0" w:space="0" w:color="auto"/>
        <w:bottom w:val="none" w:sz="0" w:space="0" w:color="auto"/>
        <w:right w:val="none" w:sz="0" w:space="0" w:color="auto"/>
      </w:divBdr>
    </w:div>
    <w:div w:id="1227689627">
      <w:bodyDiv w:val="1"/>
      <w:marLeft w:val="0"/>
      <w:marRight w:val="0"/>
      <w:marTop w:val="0"/>
      <w:marBottom w:val="0"/>
      <w:divBdr>
        <w:top w:val="none" w:sz="0" w:space="0" w:color="auto"/>
        <w:left w:val="none" w:sz="0" w:space="0" w:color="auto"/>
        <w:bottom w:val="none" w:sz="0" w:space="0" w:color="auto"/>
        <w:right w:val="none" w:sz="0" w:space="0" w:color="auto"/>
      </w:divBdr>
    </w:div>
    <w:div w:id="1228538846">
      <w:bodyDiv w:val="1"/>
      <w:marLeft w:val="0"/>
      <w:marRight w:val="0"/>
      <w:marTop w:val="0"/>
      <w:marBottom w:val="0"/>
      <w:divBdr>
        <w:top w:val="none" w:sz="0" w:space="0" w:color="auto"/>
        <w:left w:val="none" w:sz="0" w:space="0" w:color="auto"/>
        <w:bottom w:val="none" w:sz="0" w:space="0" w:color="auto"/>
        <w:right w:val="none" w:sz="0" w:space="0" w:color="auto"/>
      </w:divBdr>
    </w:div>
    <w:div w:id="1228565486">
      <w:bodyDiv w:val="1"/>
      <w:marLeft w:val="0"/>
      <w:marRight w:val="0"/>
      <w:marTop w:val="0"/>
      <w:marBottom w:val="0"/>
      <w:divBdr>
        <w:top w:val="none" w:sz="0" w:space="0" w:color="auto"/>
        <w:left w:val="none" w:sz="0" w:space="0" w:color="auto"/>
        <w:bottom w:val="none" w:sz="0" w:space="0" w:color="auto"/>
        <w:right w:val="none" w:sz="0" w:space="0" w:color="auto"/>
      </w:divBdr>
    </w:div>
    <w:div w:id="1230186101">
      <w:bodyDiv w:val="1"/>
      <w:marLeft w:val="0"/>
      <w:marRight w:val="0"/>
      <w:marTop w:val="0"/>
      <w:marBottom w:val="0"/>
      <w:divBdr>
        <w:top w:val="none" w:sz="0" w:space="0" w:color="auto"/>
        <w:left w:val="none" w:sz="0" w:space="0" w:color="auto"/>
        <w:bottom w:val="none" w:sz="0" w:space="0" w:color="auto"/>
        <w:right w:val="none" w:sz="0" w:space="0" w:color="auto"/>
      </w:divBdr>
    </w:div>
    <w:div w:id="1231817043">
      <w:bodyDiv w:val="1"/>
      <w:marLeft w:val="0"/>
      <w:marRight w:val="0"/>
      <w:marTop w:val="0"/>
      <w:marBottom w:val="0"/>
      <w:divBdr>
        <w:top w:val="none" w:sz="0" w:space="0" w:color="auto"/>
        <w:left w:val="none" w:sz="0" w:space="0" w:color="auto"/>
        <w:bottom w:val="none" w:sz="0" w:space="0" w:color="auto"/>
        <w:right w:val="none" w:sz="0" w:space="0" w:color="auto"/>
      </w:divBdr>
    </w:div>
    <w:div w:id="1232496656">
      <w:bodyDiv w:val="1"/>
      <w:marLeft w:val="0"/>
      <w:marRight w:val="0"/>
      <w:marTop w:val="0"/>
      <w:marBottom w:val="0"/>
      <w:divBdr>
        <w:top w:val="none" w:sz="0" w:space="0" w:color="auto"/>
        <w:left w:val="none" w:sz="0" w:space="0" w:color="auto"/>
        <w:bottom w:val="none" w:sz="0" w:space="0" w:color="auto"/>
        <w:right w:val="none" w:sz="0" w:space="0" w:color="auto"/>
      </w:divBdr>
    </w:div>
    <w:div w:id="1234782733">
      <w:bodyDiv w:val="1"/>
      <w:marLeft w:val="0"/>
      <w:marRight w:val="0"/>
      <w:marTop w:val="0"/>
      <w:marBottom w:val="0"/>
      <w:divBdr>
        <w:top w:val="none" w:sz="0" w:space="0" w:color="auto"/>
        <w:left w:val="none" w:sz="0" w:space="0" w:color="auto"/>
        <w:bottom w:val="none" w:sz="0" w:space="0" w:color="auto"/>
        <w:right w:val="none" w:sz="0" w:space="0" w:color="auto"/>
      </w:divBdr>
    </w:div>
    <w:div w:id="1236358635">
      <w:bodyDiv w:val="1"/>
      <w:marLeft w:val="0"/>
      <w:marRight w:val="0"/>
      <w:marTop w:val="0"/>
      <w:marBottom w:val="0"/>
      <w:divBdr>
        <w:top w:val="none" w:sz="0" w:space="0" w:color="auto"/>
        <w:left w:val="none" w:sz="0" w:space="0" w:color="auto"/>
        <w:bottom w:val="none" w:sz="0" w:space="0" w:color="auto"/>
        <w:right w:val="none" w:sz="0" w:space="0" w:color="auto"/>
      </w:divBdr>
    </w:div>
    <w:div w:id="1236743038">
      <w:bodyDiv w:val="1"/>
      <w:marLeft w:val="0"/>
      <w:marRight w:val="0"/>
      <w:marTop w:val="0"/>
      <w:marBottom w:val="0"/>
      <w:divBdr>
        <w:top w:val="none" w:sz="0" w:space="0" w:color="auto"/>
        <w:left w:val="none" w:sz="0" w:space="0" w:color="auto"/>
        <w:bottom w:val="none" w:sz="0" w:space="0" w:color="auto"/>
        <w:right w:val="none" w:sz="0" w:space="0" w:color="auto"/>
      </w:divBdr>
    </w:div>
    <w:div w:id="1237016803">
      <w:bodyDiv w:val="1"/>
      <w:marLeft w:val="0"/>
      <w:marRight w:val="0"/>
      <w:marTop w:val="0"/>
      <w:marBottom w:val="0"/>
      <w:divBdr>
        <w:top w:val="none" w:sz="0" w:space="0" w:color="auto"/>
        <w:left w:val="none" w:sz="0" w:space="0" w:color="auto"/>
        <w:bottom w:val="none" w:sz="0" w:space="0" w:color="auto"/>
        <w:right w:val="none" w:sz="0" w:space="0" w:color="auto"/>
      </w:divBdr>
    </w:div>
    <w:div w:id="1238827835">
      <w:bodyDiv w:val="1"/>
      <w:marLeft w:val="0"/>
      <w:marRight w:val="0"/>
      <w:marTop w:val="0"/>
      <w:marBottom w:val="0"/>
      <w:divBdr>
        <w:top w:val="none" w:sz="0" w:space="0" w:color="auto"/>
        <w:left w:val="none" w:sz="0" w:space="0" w:color="auto"/>
        <w:bottom w:val="none" w:sz="0" w:space="0" w:color="auto"/>
        <w:right w:val="none" w:sz="0" w:space="0" w:color="auto"/>
      </w:divBdr>
    </w:div>
    <w:div w:id="1239092953">
      <w:bodyDiv w:val="1"/>
      <w:marLeft w:val="0"/>
      <w:marRight w:val="0"/>
      <w:marTop w:val="0"/>
      <w:marBottom w:val="0"/>
      <w:divBdr>
        <w:top w:val="none" w:sz="0" w:space="0" w:color="auto"/>
        <w:left w:val="none" w:sz="0" w:space="0" w:color="auto"/>
        <w:bottom w:val="none" w:sz="0" w:space="0" w:color="auto"/>
        <w:right w:val="none" w:sz="0" w:space="0" w:color="auto"/>
      </w:divBdr>
    </w:div>
    <w:div w:id="1239560776">
      <w:bodyDiv w:val="1"/>
      <w:marLeft w:val="0"/>
      <w:marRight w:val="0"/>
      <w:marTop w:val="0"/>
      <w:marBottom w:val="0"/>
      <w:divBdr>
        <w:top w:val="none" w:sz="0" w:space="0" w:color="auto"/>
        <w:left w:val="none" w:sz="0" w:space="0" w:color="auto"/>
        <w:bottom w:val="none" w:sz="0" w:space="0" w:color="auto"/>
        <w:right w:val="none" w:sz="0" w:space="0" w:color="auto"/>
      </w:divBdr>
    </w:div>
    <w:div w:id="1241214254">
      <w:bodyDiv w:val="1"/>
      <w:marLeft w:val="0"/>
      <w:marRight w:val="0"/>
      <w:marTop w:val="0"/>
      <w:marBottom w:val="0"/>
      <w:divBdr>
        <w:top w:val="none" w:sz="0" w:space="0" w:color="auto"/>
        <w:left w:val="none" w:sz="0" w:space="0" w:color="auto"/>
        <w:bottom w:val="none" w:sz="0" w:space="0" w:color="auto"/>
        <w:right w:val="none" w:sz="0" w:space="0" w:color="auto"/>
      </w:divBdr>
    </w:div>
    <w:div w:id="1242566843">
      <w:bodyDiv w:val="1"/>
      <w:marLeft w:val="0"/>
      <w:marRight w:val="0"/>
      <w:marTop w:val="0"/>
      <w:marBottom w:val="0"/>
      <w:divBdr>
        <w:top w:val="none" w:sz="0" w:space="0" w:color="auto"/>
        <w:left w:val="none" w:sz="0" w:space="0" w:color="auto"/>
        <w:bottom w:val="none" w:sz="0" w:space="0" w:color="auto"/>
        <w:right w:val="none" w:sz="0" w:space="0" w:color="auto"/>
      </w:divBdr>
    </w:div>
    <w:div w:id="1244030973">
      <w:bodyDiv w:val="1"/>
      <w:marLeft w:val="0"/>
      <w:marRight w:val="0"/>
      <w:marTop w:val="0"/>
      <w:marBottom w:val="0"/>
      <w:divBdr>
        <w:top w:val="none" w:sz="0" w:space="0" w:color="auto"/>
        <w:left w:val="none" w:sz="0" w:space="0" w:color="auto"/>
        <w:bottom w:val="none" w:sz="0" w:space="0" w:color="auto"/>
        <w:right w:val="none" w:sz="0" w:space="0" w:color="auto"/>
      </w:divBdr>
    </w:div>
    <w:div w:id="1244530516">
      <w:bodyDiv w:val="1"/>
      <w:marLeft w:val="0"/>
      <w:marRight w:val="0"/>
      <w:marTop w:val="0"/>
      <w:marBottom w:val="0"/>
      <w:divBdr>
        <w:top w:val="none" w:sz="0" w:space="0" w:color="auto"/>
        <w:left w:val="none" w:sz="0" w:space="0" w:color="auto"/>
        <w:bottom w:val="none" w:sz="0" w:space="0" w:color="auto"/>
        <w:right w:val="none" w:sz="0" w:space="0" w:color="auto"/>
      </w:divBdr>
    </w:div>
    <w:div w:id="1245266981">
      <w:bodyDiv w:val="1"/>
      <w:marLeft w:val="0"/>
      <w:marRight w:val="0"/>
      <w:marTop w:val="0"/>
      <w:marBottom w:val="0"/>
      <w:divBdr>
        <w:top w:val="none" w:sz="0" w:space="0" w:color="auto"/>
        <w:left w:val="none" w:sz="0" w:space="0" w:color="auto"/>
        <w:bottom w:val="none" w:sz="0" w:space="0" w:color="auto"/>
        <w:right w:val="none" w:sz="0" w:space="0" w:color="auto"/>
      </w:divBdr>
    </w:div>
    <w:div w:id="1246068616">
      <w:bodyDiv w:val="1"/>
      <w:marLeft w:val="0"/>
      <w:marRight w:val="0"/>
      <w:marTop w:val="0"/>
      <w:marBottom w:val="0"/>
      <w:divBdr>
        <w:top w:val="none" w:sz="0" w:space="0" w:color="auto"/>
        <w:left w:val="none" w:sz="0" w:space="0" w:color="auto"/>
        <w:bottom w:val="none" w:sz="0" w:space="0" w:color="auto"/>
        <w:right w:val="none" w:sz="0" w:space="0" w:color="auto"/>
      </w:divBdr>
    </w:div>
    <w:div w:id="1247692586">
      <w:bodyDiv w:val="1"/>
      <w:marLeft w:val="0"/>
      <w:marRight w:val="0"/>
      <w:marTop w:val="0"/>
      <w:marBottom w:val="0"/>
      <w:divBdr>
        <w:top w:val="none" w:sz="0" w:space="0" w:color="auto"/>
        <w:left w:val="none" w:sz="0" w:space="0" w:color="auto"/>
        <w:bottom w:val="none" w:sz="0" w:space="0" w:color="auto"/>
        <w:right w:val="none" w:sz="0" w:space="0" w:color="auto"/>
      </w:divBdr>
    </w:div>
    <w:div w:id="1249192376">
      <w:bodyDiv w:val="1"/>
      <w:marLeft w:val="0"/>
      <w:marRight w:val="0"/>
      <w:marTop w:val="0"/>
      <w:marBottom w:val="0"/>
      <w:divBdr>
        <w:top w:val="none" w:sz="0" w:space="0" w:color="auto"/>
        <w:left w:val="none" w:sz="0" w:space="0" w:color="auto"/>
        <w:bottom w:val="none" w:sz="0" w:space="0" w:color="auto"/>
        <w:right w:val="none" w:sz="0" w:space="0" w:color="auto"/>
      </w:divBdr>
    </w:div>
    <w:div w:id="1254823752">
      <w:bodyDiv w:val="1"/>
      <w:marLeft w:val="0"/>
      <w:marRight w:val="0"/>
      <w:marTop w:val="0"/>
      <w:marBottom w:val="0"/>
      <w:divBdr>
        <w:top w:val="none" w:sz="0" w:space="0" w:color="auto"/>
        <w:left w:val="none" w:sz="0" w:space="0" w:color="auto"/>
        <w:bottom w:val="none" w:sz="0" w:space="0" w:color="auto"/>
        <w:right w:val="none" w:sz="0" w:space="0" w:color="auto"/>
      </w:divBdr>
    </w:div>
    <w:div w:id="1256403562">
      <w:bodyDiv w:val="1"/>
      <w:marLeft w:val="0"/>
      <w:marRight w:val="0"/>
      <w:marTop w:val="0"/>
      <w:marBottom w:val="0"/>
      <w:divBdr>
        <w:top w:val="none" w:sz="0" w:space="0" w:color="auto"/>
        <w:left w:val="none" w:sz="0" w:space="0" w:color="auto"/>
        <w:bottom w:val="none" w:sz="0" w:space="0" w:color="auto"/>
        <w:right w:val="none" w:sz="0" w:space="0" w:color="auto"/>
      </w:divBdr>
    </w:div>
    <w:div w:id="1256595348">
      <w:bodyDiv w:val="1"/>
      <w:marLeft w:val="0"/>
      <w:marRight w:val="0"/>
      <w:marTop w:val="0"/>
      <w:marBottom w:val="0"/>
      <w:divBdr>
        <w:top w:val="none" w:sz="0" w:space="0" w:color="auto"/>
        <w:left w:val="none" w:sz="0" w:space="0" w:color="auto"/>
        <w:bottom w:val="none" w:sz="0" w:space="0" w:color="auto"/>
        <w:right w:val="none" w:sz="0" w:space="0" w:color="auto"/>
      </w:divBdr>
    </w:div>
    <w:div w:id="1258902893">
      <w:bodyDiv w:val="1"/>
      <w:marLeft w:val="0"/>
      <w:marRight w:val="0"/>
      <w:marTop w:val="0"/>
      <w:marBottom w:val="0"/>
      <w:divBdr>
        <w:top w:val="none" w:sz="0" w:space="0" w:color="auto"/>
        <w:left w:val="none" w:sz="0" w:space="0" w:color="auto"/>
        <w:bottom w:val="none" w:sz="0" w:space="0" w:color="auto"/>
        <w:right w:val="none" w:sz="0" w:space="0" w:color="auto"/>
      </w:divBdr>
    </w:div>
    <w:div w:id="1261063668">
      <w:bodyDiv w:val="1"/>
      <w:marLeft w:val="0"/>
      <w:marRight w:val="0"/>
      <w:marTop w:val="0"/>
      <w:marBottom w:val="0"/>
      <w:divBdr>
        <w:top w:val="none" w:sz="0" w:space="0" w:color="auto"/>
        <w:left w:val="none" w:sz="0" w:space="0" w:color="auto"/>
        <w:bottom w:val="none" w:sz="0" w:space="0" w:color="auto"/>
        <w:right w:val="none" w:sz="0" w:space="0" w:color="auto"/>
      </w:divBdr>
    </w:div>
    <w:div w:id="1265768393">
      <w:bodyDiv w:val="1"/>
      <w:marLeft w:val="0"/>
      <w:marRight w:val="0"/>
      <w:marTop w:val="0"/>
      <w:marBottom w:val="0"/>
      <w:divBdr>
        <w:top w:val="none" w:sz="0" w:space="0" w:color="auto"/>
        <w:left w:val="none" w:sz="0" w:space="0" w:color="auto"/>
        <w:bottom w:val="none" w:sz="0" w:space="0" w:color="auto"/>
        <w:right w:val="none" w:sz="0" w:space="0" w:color="auto"/>
      </w:divBdr>
    </w:div>
    <w:div w:id="1266382813">
      <w:bodyDiv w:val="1"/>
      <w:marLeft w:val="0"/>
      <w:marRight w:val="0"/>
      <w:marTop w:val="0"/>
      <w:marBottom w:val="0"/>
      <w:divBdr>
        <w:top w:val="none" w:sz="0" w:space="0" w:color="auto"/>
        <w:left w:val="none" w:sz="0" w:space="0" w:color="auto"/>
        <w:bottom w:val="none" w:sz="0" w:space="0" w:color="auto"/>
        <w:right w:val="none" w:sz="0" w:space="0" w:color="auto"/>
      </w:divBdr>
    </w:div>
    <w:div w:id="1266769751">
      <w:bodyDiv w:val="1"/>
      <w:marLeft w:val="0"/>
      <w:marRight w:val="0"/>
      <w:marTop w:val="0"/>
      <w:marBottom w:val="0"/>
      <w:divBdr>
        <w:top w:val="none" w:sz="0" w:space="0" w:color="auto"/>
        <w:left w:val="none" w:sz="0" w:space="0" w:color="auto"/>
        <w:bottom w:val="none" w:sz="0" w:space="0" w:color="auto"/>
        <w:right w:val="none" w:sz="0" w:space="0" w:color="auto"/>
      </w:divBdr>
    </w:div>
    <w:div w:id="1267813720">
      <w:bodyDiv w:val="1"/>
      <w:marLeft w:val="0"/>
      <w:marRight w:val="0"/>
      <w:marTop w:val="0"/>
      <w:marBottom w:val="0"/>
      <w:divBdr>
        <w:top w:val="none" w:sz="0" w:space="0" w:color="auto"/>
        <w:left w:val="none" w:sz="0" w:space="0" w:color="auto"/>
        <w:bottom w:val="none" w:sz="0" w:space="0" w:color="auto"/>
        <w:right w:val="none" w:sz="0" w:space="0" w:color="auto"/>
      </w:divBdr>
    </w:div>
    <w:div w:id="1267957224">
      <w:bodyDiv w:val="1"/>
      <w:marLeft w:val="0"/>
      <w:marRight w:val="0"/>
      <w:marTop w:val="0"/>
      <w:marBottom w:val="0"/>
      <w:divBdr>
        <w:top w:val="none" w:sz="0" w:space="0" w:color="auto"/>
        <w:left w:val="none" w:sz="0" w:space="0" w:color="auto"/>
        <w:bottom w:val="none" w:sz="0" w:space="0" w:color="auto"/>
        <w:right w:val="none" w:sz="0" w:space="0" w:color="auto"/>
      </w:divBdr>
    </w:div>
    <w:div w:id="1271819831">
      <w:bodyDiv w:val="1"/>
      <w:marLeft w:val="0"/>
      <w:marRight w:val="0"/>
      <w:marTop w:val="0"/>
      <w:marBottom w:val="0"/>
      <w:divBdr>
        <w:top w:val="none" w:sz="0" w:space="0" w:color="auto"/>
        <w:left w:val="none" w:sz="0" w:space="0" w:color="auto"/>
        <w:bottom w:val="none" w:sz="0" w:space="0" w:color="auto"/>
        <w:right w:val="none" w:sz="0" w:space="0" w:color="auto"/>
      </w:divBdr>
    </w:div>
    <w:div w:id="1272737090">
      <w:bodyDiv w:val="1"/>
      <w:marLeft w:val="0"/>
      <w:marRight w:val="0"/>
      <w:marTop w:val="0"/>
      <w:marBottom w:val="0"/>
      <w:divBdr>
        <w:top w:val="none" w:sz="0" w:space="0" w:color="auto"/>
        <w:left w:val="none" w:sz="0" w:space="0" w:color="auto"/>
        <w:bottom w:val="none" w:sz="0" w:space="0" w:color="auto"/>
        <w:right w:val="none" w:sz="0" w:space="0" w:color="auto"/>
      </w:divBdr>
    </w:div>
    <w:div w:id="1272741097">
      <w:bodyDiv w:val="1"/>
      <w:marLeft w:val="0"/>
      <w:marRight w:val="0"/>
      <w:marTop w:val="0"/>
      <w:marBottom w:val="0"/>
      <w:divBdr>
        <w:top w:val="none" w:sz="0" w:space="0" w:color="auto"/>
        <w:left w:val="none" w:sz="0" w:space="0" w:color="auto"/>
        <w:bottom w:val="none" w:sz="0" w:space="0" w:color="auto"/>
        <w:right w:val="none" w:sz="0" w:space="0" w:color="auto"/>
      </w:divBdr>
    </w:div>
    <w:div w:id="1274436378">
      <w:bodyDiv w:val="1"/>
      <w:marLeft w:val="0"/>
      <w:marRight w:val="0"/>
      <w:marTop w:val="0"/>
      <w:marBottom w:val="0"/>
      <w:divBdr>
        <w:top w:val="none" w:sz="0" w:space="0" w:color="auto"/>
        <w:left w:val="none" w:sz="0" w:space="0" w:color="auto"/>
        <w:bottom w:val="none" w:sz="0" w:space="0" w:color="auto"/>
        <w:right w:val="none" w:sz="0" w:space="0" w:color="auto"/>
      </w:divBdr>
    </w:div>
    <w:div w:id="1276518630">
      <w:bodyDiv w:val="1"/>
      <w:marLeft w:val="0"/>
      <w:marRight w:val="0"/>
      <w:marTop w:val="0"/>
      <w:marBottom w:val="0"/>
      <w:divBdr>
        <w:top w:val="none" w:sz="0" w:space="0" w:color="auto"/>
        <w:left w:val="none" w:sz="0" w:space="0" w:color="auto"/>
        <w:bottom w:val="none" w:sz="0" w:space="0" w:color="auto"/>
        <w:right w:val="none" w:sz="0" w:space="0" w:color="auto"/>
      </w:divBdr>
    </w:div>
    <w:div w:id="1276795112">
      <w:bodyDiv w:val="1"/>
      <w:marLeft w:val="0"/>
      <w:marRight w:val="0"/>
      <w:marTop w:val="0"/>
      <w:marBottom w:val="0"/>
      <w:divBdr>
        <w:top w:val="none" w:sz="0" w:space="0" w:color="auto"/>
        <w:left w:val="none" w:sz="0" w:space="0" w:color="auto"/>
        <w:bottom w:val="none" w:sz="0" w:space="0" w:color="auto"/>
        <w:right w:val="none" w:sz="0" w:space="0" w:color="auto"/>
      </w:divBdr>
    </w:div>
    <w:div w:id="1277641132">
      <w:bodyDiv w:val="1"/>
      <w:marLeft w:val="0"/>
      <w:marRight w:val="0"/>
      <w:marTop w:val="0"/>
      <w:marBottom w:val="0"/>
      <w:divBdr>
        <w:top w:val="none" w:sz="0" w:space="0" w:color="auto"/>
        <w:left w:val="none" w:sz="0" w:space="0" w:color="auto"/>
        <w:bottom w:val="none" w:sz="0" w:space="0" w:color="auto"/>
        <w:right w:val="none" w:sz="0" w:space="0" w:color="auto"/>
      </w:divBdr>
    </w:div>
    <w:div w:id="1283852111">
      <w:bodyDiv w:val="1"/>
      <w:marLeft w:val="0"/>
      <w:marRight w:val="0"/>
      <w:marTop w:val="0"/>
      <w:marBottom w:val="0"/>
      <w:divBdr>
        <w:top w:val="none" w:sz="0" w:space="0" w:color="auto"/>
        <w:left w:val="none" w:sz="0" w:space="0" w:color="auto"/>
        <w:bottom w:val="none" w:sz="0" w:space="0" w:color="auto"/>
        <w:right w:val="none" w:sz="0" w:space="0" w:color="auto"/>
      </w:divBdr>
    </w:div>
    <w:div w:id="1285037985">
      <w:bodyDiv w:val="1"/>
      <w:marLeft w:val="0"/>
      <w:marRight w:val="0"/>
      <w:marTop w:val="0"/>
      <w:marBottom w:val="0"/>
      <w:divBdr>
        <w:top w:val="none" w:sz="0" w:space="0" w:color="auto"/>
        <w:left w:val="none" w:sz="0" w:space="0" w:color="auto"/>
        <w:bottom w:val="none" w:sz="0" w:space="0" w:color="auto"/>
        <w:right w:val="none" w:sz="0" w:space="0" w:color="auto"/>
      </w:divBdr>
    </w:div>
    <w:div w:id="1288045708">
      <w:bodyDiv w:val="1"/>
      <w:marLeft w:val="0"/>
      <w:marRight w:val="0"/>
      <w:marTop w:val="0"/>
      <w:marBottom w:val="0"/>
      <w:divBdr>
        <w:top w:val="none" w:sz="0" w:space="0" w:color="auto"/>
        <w:left w:val="none" w:sz="0" w:space="0" w:color="auto"/>
        <w:bottom w:val="none" w:sz="0" w:space="0" w:color="auto"/>
        <w:right w:val="none" w:sz="0" w:space="0" w:color="auto"/>
      </w:divBdr>
    </w:div>
    <w:div w:id="1289166967">
      <w:bodyDiv w:val="1"/>
      <w:marLeft w:val="0"/>
      <w:marRight w:val="0"/>
      <w:marTop w:val="0"/>
      <w:marBottom w:val="0"/>
      <w:divBdr>
        <w:top w:val="none" w:sz="0" w:space="0" w:color="auto"/>
        <w:left w:val="none" w:sz="0" w:space="0" w:color="auto"/>
        <w:bottom w:val="none" w:sz="0" w:space="0" w:color="auto"/>
        <w:right w:val="none" w:sz="0" w:space="0" w:color="auto"/>
      </w:divBdr>
    </w:div>
    <w:div w:id="1289774267">
      <w:bodyDiv w:val="1"/>
      <w:marLeft w:val="0"/>
      <w:marRight w:val="0"/>
      <w:marTop w:val="0"/>
      <w:marBottom w:val="0"/>
      <w:divBdr>
        <w:top w:val="none" w:sz="0" w:space="0" w:color="auto"/>
        <w:left w:val="none" w:sz="0" w:space="0" w:color="auto"/>
        <w:bottom w:val="none" w:sz="0" w:space="0" w:color="auto"/>
        <w:right w:val="none" w:sz="0" w:space="0" w:color="auto"/>
      </w:divBdr>
    </w:div>
    <w:div w:id="1290628555">
      <w:bodyDiv w:val="1"/>
      <w:marLeft w:val="0"/>
      <w:marRight w:val="0"/>
      <w:marTop w:val="0"/>
      <w:marBottom w:val="0"/>
      <w:divBdr>
        <w:top w:val="none" w:sz="0" w:space="0" w:color="auto"/>
        <w:left w:val="none" w:sz="0" w:space="0" w:color="auto"/>
        <w:bottom w:val="none" w:sz="0" w:space="0" w:color="auto"/>
        <w:right w:val="none" w:sz="0" w:space="0" w:color="auto"/>
      </w:divBdr>
    </w:div>
    <w:div w:id="1291012121">
      <w:bodyDiv w:val="1"/>
      <w:marLeft w:val="0"/>
      <w:marRight w:val="0"/>
      <w:marTop w:val="0"/>
      <w:marBottom w:val="0"/>
      <w:divBdr>
        <w:top w:val="none" w:sz="0" w:space="0" w:color="auto"/>
        <w:left w:val="none" w:sz="0" w:space="0" w:color="auto"/>
        <w:bottom w:val="none" w:sz="0" w:space="0" w:color="auto"/>
        <w:right w:val="none" w:sz="0" w:space="0" w:color="auto"/>
      </w:divBdr>
    </w:div>
    <w:div w:id="1291204769">
      <w:bodyDiv w:val="1"/>
      <w:marLeft w:val="0"/>
      <w:marRight w:val="0"/>
      <w:marTop w:val="0"/>
      <w:marBottom w:val="0"/>
      <w:divBdr>
        <w:top w:val="none" w:sz="0" w:space="0" w:color="auto"/>
        <w:left w:val="none" w:sz="0" w:space="0" w:color="auto"/>
        <w:bottom w:val="none" w:sz="0" w:space="0" w:color="auto"/>
        <w:right w:val="none" w:sz="0" w:space="0" w:color="auto"/>
      </w:divBdr>
    </w:div>
    <w:div w:id="1291980288">
      <w:bodyDiv w:val="1"/>
      <w:marLeft w:val="0"/>
      <w:marRight w:val="0"/>
      <w:marTop w:val="0"/>
      <w:marBottom w:val="0"/>
      <w:divBdr>
        <w:top w:val="none" w:sz="0" w:space="0" w:color="auto"/>
        <w:left w:val="none" w:sz="0" w:space="0" w:color="auto"/>
        <w:bottom w:val="none" w:sz="0" w:space="0" w:color="auto"/>
        <w:right w:val="none" w:sz="0" w:space="0" w:color="auto"/>
      </w:divBdr>
    </w:div>
    <w:div w:id="1294024076">
      <w:bodyDiv w:val="1"/>
      <w:marLeft w:val="0"/>
      <w:marRight w:val="0"/>
      <w:marTop w:val="0"/>
      <w:marBottom w:val="0"/>
      <w:divBdr>
        <w:top w:val="none" w:sz="0" w:space="0" w:color="auto"/>
        <w:left w:val="none" w:sz="0" w:space="0" w:color="auto"/>
        <w:bottom w:val="none" w:sz="0" w:space="0" w:color="auto"/>
        <w:right w:val="none" w:sz="0" w:space="0" w:color="auto"/>
      </w:divBdr>
    </w:div>
    <w:div w:id="1294168997">
      <w:bodyDiv w:val="1"/>
      <w:marLeft w:val="0"/>
      <w:marRight w:val="0"/>
      <w:marTop w:val="0"/>
      <w:marBottom w:val="0"/>
      <w:divBdr>
        <w:top w:val="none" w:sz="0" w:space="0" w:color="auto"/>
        <w:left w:val="none" w:sz="0" w:space="0" w:color="auto"/>
        <w:bottom w:val="none" w:sz="0" w:space="0" w:color="auto"/>
        <w:right w:val="none" w:sz="0" w:space="0" w:color="auto"/>
      </w:divBdr>
    </w:div>
    <w:div w:id="1295142173">
      <w:bodyDiv w:val="1"/>
      <w:marLeft w:val="0"/>
      <w:marRight w:val="0"/>
      <w:marTop w:val="0"/>
      <w:marBottom w:val="0"/>
      <w:divBdr>
        <w:top w:val="none" w:sz="0" w:space="0" w:color="auto"/>
        <w:left w:val="none" w:sz="0" w:space="0" w:color="auto"/>
        <w:bottom w:val="none" w:sz="0" w:space="0" w:color="auto"/>
        <w:right w:val="none" w:sz="0" w:space="0" w:color="auto"/>
      </w:divBdr>
    </w:div>
    <w:div w:id="1295866860">
      <w:bodyDiv w:val="1"/>
      <w:marLeft w:val="0"/>
      <w:marRight w:val="0"/>
      <w:marTop w:val="0"/>
      <w:marBottom w:val="0"/>
      <w:divBdr>
        <w:top w:val="none" w:sz="0" w:space="0" w:color="auto"/>
        <w:left w:val="none" w:sz="0" w:space="0" w:color="auto"/>
        <w:bottom w:val="none" w:sz="0" w:space="0" w:color="auto"/>
        <w:right w:val="none" w:sz="0" w:space="0" w:color="auto"/>
      </w:divBdr>
    </w:div>
    <w:div w:id="1296374845">
      <w:bodyDiv w:val="1"/>
      <w:marLeft w:val="0"/>
      <w:marRight w:val="0"/>
      <w:marTop w:val="0"/>
      <w:marBottom w:val="0"/>
      <w:divBdr>
        <w:top w:val="none" w:sz="0" w:space="0" w:color="auto"/>
        <w:left w:val="none" w:sz="0" w:space="0" w:color="auto"/>
        <w:bottom w:val="none" w:sz="0" w:space="0" w:color="auto"/>
        <w:right w:val="none" w:sz="0" w:space="0" w:color="auto"/>
      </w:divBdr>
    </w:div>
    <w:div w:id="1297416691">
      <w:bodyDiv w:val="1"/>
      <w:marLeft w:val="0"/>
      <w:marRight w:val="0"/>
      <w:marTop w:val="0"/>
      <w:marBottom w:val="0"/>
      <w:divBdr>
        <w:top w:val="none" w:sz="0" w:space="0" w:color="auto"/>
        <w:left w:val="none" w:sz="0" w:space="0" w:color="auto"/>
        <w:bottom w:val="none" w:sz="0" w:space="0" w:color="auto"/>
        <w:right w:val="none" w:sz="0" w:space="0" w:color="auto"/>
      </w:divBdr>
    </w:div>
    <w:div w:id="1297569691">
      <w:bodyDiv w:val="1"/>
      <w:marLeft w:val="0"/>
      <w:marRight w:val="0"/>
      <w:marTop w:val="0"/>
      <w:marBottom w:val="0"/>
      <w:divBdr>
        <w:top w:val="none" w:sz="0" w:space="0" w:color="auto"/>
        <w:left w:val="none" w:sz="0" w:space="0" w:color="auto"/>
        <w:bottom w:val="none" w:sz="0" w:space="0" w:color="auto"/>
        <w:right w:val="none" w:sz="0" w:space="0" w:color="auto"/>
      </w:divBdr>
    </w:div>
    <w:div w:id="1297951906">
      <w:bodyDiv w:val="1"/>
      <w:marLeft w:val="0"/>
      <w:marRight w:val="0"/>
      <w:marTop w:val="0"/>
      <w:marBottom w:val="0"/>
      <w:divBdr>
        <w:top w:val="none" w:sz="0" w:space="0" w:color="auto"/>
        <w:left w:val="none" w:sz="0" w:space="0" w:color="auto"/>
        <w:bottom w:val="none" w:sz="0" w:space="0" w:color="auto"/>
        <w:right w:val="none" w:sz="0" w:space="0" w:color="auto"/>
      </w:divBdr>
    </w:div>
    <w:div w:id="1298029551">
      <w:bodyDiv w:val="1"/>
      <w:marLeft w:val="0"/>
      <w:marRight w:val="0"/>
      <w:marTop w:val="0"/>
      <w:marBottom w:val="0"/>
      <w:divBdr>
        <w:top w:val="none" w:sz="0" w:space="0" w:color="auto"/>
        <w:left w:val="none" w:sz="0" w:space="0" w:color="auto"/>
        <w:bottom w:val="none" w:sz="0" w:space="0" w:color="auto"/>
        <w:right w:val="none" w:sz="0" w:space="0" w:color="auto"/>
      </w:divBdr>
    </w:div>
    <w:div w:id="1301034929">
      <w:bodyDiv w:val="1"/>
      <w:marLeft w:val="0"/>
      <w:marRight w:val="0"/>
      <w:marTop w:val="0"/>
      <w:marBottom w:val="0"/>
      <w:divBdr>
        <w:top w:val="none" w:sz="0" w:space="0" w:color="auto"/>
        <w:left w:val="none" w:sz="0" w:space="0" w:color="auto"/>
        <w:bottom w:val="none" w:sz="0" w:space="0" w:color="auto"/>
        <w:right w:val="none" w:sz="0" w:space="0" w:color="auto"/>
      </w:divBdr>
    </w:div>
    <w:div w:id="1302082073">
      <w:bodyDiv w:val="1"/>
      <w:marLeft w:val="0"/>
      <w:marRight w:val="0"/>
      <w:marTop w:val="0"/>
      <w:marBottom w:val="0"/>
      <w:divBdr>
        <w:top w:val="none" w:sz="0" w:space="0" w:color="auto"/>
        <w:left w:val="none" w:sz="0" w:space="0" w:color="auto"/>
        <w:bottom w:val="none" w:sz="0" w:space="0" w:color="auto"/>
        <w:right w:val="none" w:sz="0" w:space="0" w:color="auto"/>
      </w:divBdr>
    </w:div>
    <w:div w:id="1302154064">
      <w:bodyDiv w:val="1"/>
      <w:marLeft w:val="0"/>
      <w:marRight w:val="0"/>
      <w:marTop w:val="0"/>
      <w:marBottom w:val="0"/>
      <w:divBdr>
        <w:top w:val="none" w:sz="0" w:space="0" w:color="auto"/>
        <w:left w:val="none" w:sz="0" w:space="0" w:color="auto"/>
        <w:bottom w:val="none" w:sz="0" w:space="0" w:color="auto"/>
        <w:right w:val="none" w:sz="0" w:space="0" w:color="auto"/>
      </w:divBdr>
    </w:div>
    <w:div w:id="1303849340">
      <w:bodyDiv w:val="1"/>
      <w:marLeft w:val="0"/>
      <w:marRight w:val="0"/>
      <w:marTop w:val="0"/>
      <w:marBottom w:val="0"/>
      <w:divBdr>
        <w:top w:val="none" w:sz="0" w:space="0" w:color="auto"/>
        <w:left w:val="none" w:sz="0" w:space="0" w:color="auto"/>
        <w:bottom w:val="none" w:sz="0" w:space="0" w:color="auto"/>
        <w:right w:val="none" w:sz="0" w:space="0" w:color="auto"/>
      </w:divBdr>
    </w:div>
    <w:div w:id="1305891836">
      <w:bodyDiv w:val="1"/>
      <w:marLeft w:val="0"/>
      <w:marRight w:val="0"/>
      <w:marTop w:val="0"/>
      <w:marBottom w:val="0"/>
      <w:divBdr>
        <w:top w:val="none" w:sz="0" w:space="0" w:color="auto"/>
        <w:left w:val="none" w:sz="0" w:space="0" w:color="auto"/>
        <w:bottom w:val="none" w:sz="0" w:space="0" w:color="auto"/>
        <w:right w:val="none" w:sz="0" w:space="0" w:color="auto"/>
      </w:divBdr>
    </w:div>
    <w:div w:id="1308316843">
      <w:bodyDiv w:val="1"/>
      <w:marLeft w:val="0"/>
      <w:marRight w:val="0"/>
      <w:marTop w:val="0"/>
      <w:marBottom w:val="0"/>
      <w:divBdr>
        <w:top w:val="none" w:sz="0" w:space="0" w:color="auto"/>
        <w:left w:val="none" w:sz="0" w:space="0" w:color="auto"/>
        <w:bottom w:val="none" w:sz="0" w:space="0" w:color="auto"/>
        <w:right w:val="none" w:sz="0" w:space="0" w:color="auto"/>
      </w:divBdr>
    </w:div>
    <w:div w:id="1308583537">
      <w:bodyDiv w:val="1"/>
      <w:marLeft w:val="0"/>
      <w:marRight w:val="0"/>
      <w:marTop w:val="0"/>
      <w:marBottom w:val="0"/>
      <w:divBdr>
        <w:top w:val="none" w:sz="0" w:space="0" w:color="auto"/>
        <w:left w:val="none" w:sz="0" w:space="0" w:color="auto"/>
        <w:bottom w:val="none" w:sz="0" w:space="0" w:color="auto"/>
        <w:right w:val="none" w:sz="0" w:space="0" w:color="auto"/>
      </w:divBdr>
    </w:div>
    <w:div w:id="1309674595">
      <w:bodyDiv w:val="1"/>
      <w:marLeft w:val="0"/>
      <w:marRight w:val="0"/>
      <w:marTop w:val="0"/>
      <w:marBottom w:val="0"/>
      <w:divBdr>
        <w:top w:val="none" w:sz="0" w:space="0" w:color="auto"/>
        <w:left w:val="none" w:sz="0" w:space="0" w:color="auto"/>
        <w:bottom w:val="none" w:sz="0" w:space="0" w:color="auto"/>
        <w:right w:val="none" w:sz="0" w:space="0" w:color="auto"/>
      </w:divBdr>
    </w:div>
    <w:div w:id="1313605266">
      <w:bodyDiv w:val="1"/>
      <w:marLeft w:val="0"/>
      <w:marRight w:val="0"/>
      <w:marTop w:val="0"/>
      <w:marBottom w:val="0"/>
      <w:divBdr>
        <w:top w:val="none" w:sz="0" w:space="0" w:color="auto"/>
        <w:left w:val="none" w:sz="0" w:space="0" w:color="auto"/>
        <w:bottom w:val="none" w:sz="0" w:space="0" w:color="auto"/>
        <w:right w:val="none" w:sz="0" w:space="0" w:color="auto"/>
      </w:divBdr>
    </w:div>
    <w:div w:id="1315179725">
      <w:bodyDiv w:val="1"/>
      <w:marLeft w:val="0"/>
      <w:marRight w:val="0"/>
      <w:marTop w:val="0"/>
      <w:marBottom w:val="0"/>
      <w:divBdr>
        <w:top w:val="none" w:sz="0" w:space="0" w:color="auto"/>
        <w:left w:val="none" w:sz="0" w:space="0" w:color="auto"/>
        <w:bottom w:val="none" w:sz="0" w:space="0" w:color="auto"/>
        <w:right w:val="none" w:sz="0" w:space="0" w:color="auto"/>
      </w:divBdr>
    </w:div>
    <w:div w:id="1315336552">
      <w:bodyDiv w:val="1"/>
      <w:marLeft w:val="0"/>
      <w:marRight w:val="0"/>
      <w:marTop w:val="0"/>
      <w:marBottom w:val="0"/>
      <w:divBdr>
        <w:top w:val="none" w:sz="0" w:space="0" w:color="auto"/>
        <w:left w:val="none" w:sz="0" w:space="0" w:color="auto"/>
        <w:bottom w:val="none" w:sz="0" w:space="0" w:color="auto"/>
        <w:right w:val="none" w:sz="0" w:space="0" w:color="auto"/>
      </w:divBdr>
    </w:div>
    <w:div w:id="1315572321">
      <w:bodyDiv w:val="1"/>
      <w:marLeft w:val="0"/>
      <w:marRight w:val="0"/>
      <w:marTop w:val="0"/>
      <w:marBottom w:val="0"/>
      <w:divBdr>
        <w:top w:val="none" w:sz="0" w:space="0" w:color="auto"/>
        <w:left w:val="none" w:sz="0" w:space="0" w:color="auto"/>
        <w:bottom w:val="none" w:sz="0" w:space="0" w:color="auto"/>
        <w:right w:val="none" w:sz="0" w:space="0" w:color="auto"/>
      </w:divBdr>
    </w:div>
    <w:div w:id="1316372562">
      <w:bodyDiv w:val="1"/>
      <w:marLeft w:val="0"/>
      <w:marRight w:val="0"/>
      <w:marTop w:val="0"/>
      <w:marBottom w:val="0"/>
      <w:divBdr>
        <w:top w:val="none" w:sz="0" w:space="0" w:color="auto"/>
        <w:left w:val="none" w:sz="0" w:space="0" w:color="auto"/>
        <w:bottom w:val="none" w:sz="0" w:space="0" w:color="auto"/>
        <w:right w:val="none" w:sz="0" w:space="0" w:color="auto"/>
      </w:divBdr>
    </w:div>
    <w:div w:id="1316565009">
      <w:bodyDiv w:val="1"/>
      <w:marLeft w:val="0"/>
      <w:marRight w:val="0"/>
      <w:marTop w:val="0"/>
      <w:marBottom w:val="0"/>
      <w:divBdr>
        <w:top w:val="none" w:sz="0" w:space="0" w:color="auto"/>
        <w:left w:val="none" w:sz="0" w:space="0" w:color="auto"/>
        <w:bottom w:val="none" w:sz="0" w:space="0" w:color="auto"/>
        <w:right w:val="none" w:sz="0" w:space="0" w:color="auto"/>
      </w:divBdr>
    </w:div>
    <w:div w:id="1317077387">
      <w:bodyDiv w:val="1"/>
      <w:marLeft w:val="0"/>
      <w:marRight w:val="0"/>
      <w:marTop w:val="0"/>
      <w:marBottom w:val="0"/>
      <w:divBdr>
        <w:top w:val="none" w:sz="0" w:space="0" w:color="auto"/>
        <w:left w:val="none" w:sz="0" w:space="0" w:color="auto"/>
        <w:bottom w:val="none" w:sz="0" w:space="0" w:color="auto"/>
        <w:right w:val="none" w:sz="0" w:space="0" w:color="auto"/>
      </w:divBdr>
    </w:div>
    <w:div w:id="1322926932">
      <w:bodyDiv w:val="1"/>
      <w:marLeft w:val="0"/>
      <w:marRight w:val="0"/>
      <w:marTop w:val="0"/>
      <w:marBottom w:val="0"/>
      <w:divBdr>
        <w:top w:val="none" w:sz="0" w:space="0" w:color="auto"/>
        <w:left w:val="none" w:sz="0" w:space="0" w:color="auto"/>
        <w:bottom w:val="none" w:sz="0" w:space="0" w:color="auto"/>
        <w:right w:val="none" w:sz="0" w:space="0" w:color="auto"/>
      </w:divBdr>
    </w:div>
    <w:div w:id="1324318116">
      <w:bodyDiv w:val="1"/>
      <w:marLeft w:val="0"/>
      <w:marRight w:val="0"/>
      <w:marTop w:val="0"/>
      <w:marBottom w:val="0"/>
      <w:divBdr>
        <w:top w:val="none" w:sz="0" w:space="0" w:color="auto"/>
        <w:left w:val="none" w:sz="0" w:space="0" w:color="auto"/>
        <w:bottom w:val="none" w:sz="0" w:space="0" w:color="auto"/>
        <w:right w:val="none" w:sz="0" w:space="0" w:color="auto"/>
      </w:divBdr>
    </w:div>
    <w:div w:id="1325157741">
      <w:bodyDiv w:val="1"/>
      <w:marLeft w:val="0"/>
      <w:marRight w:val="0"/>
      <w:marTop w:val="0"/>
      <w:marBottom w:val="0"/>
      <w:divBdr>
        <w:top w:val="none" w:sz="0" w:space="0" w:color="auto"/>
        <w:left w:val="none" w:sz="0" w:space="0" w:color="auto"/>
        <w:bottom w:val="none" w:sz="0" w:space="0" w:color="auto"/>
        <w:right w:val="none" w:sz="0" w:space="0" w:color="auto"/>
      </w:divBdr>
    </w:div>
    <w:div w:id="1326279040">
      <w:bodyDiv w:val="1"/>
      <w:marLeft w:val="0"/>
      <w:marRight w:val="0"/>
      <w:marTop w:val="0"/>
      <w:marBottom w:val="0"/>
      <w:divBdr>
        <w:top w:val="none" w:sz="0" w:space="0" w:color="auto"/>
        <w:left w:val="none" w:sz="0" w:space="0" w:color="auto"/>
        <w:bottom w:val="none" w:sz="0" w:space="0" w:color="auto"/>
        <w:right w:val="none" w:sz="0" w:space="0" w:color="auto"/>
      </w:divBdr>
    </w:div>
    <w:div w:id="1327395000">
      <w:bodyDiv w:val="1"/>
      <w:marLeft w:val="0"/>
      <w:marRight w:val="0"/>
      <w:marTop w:val="0"/>
      <w:marBottom w:val="0"/>
      <w:divBdr>
        <w:top w:val="none" w:sz="0" w:space="0" w:color="auto"/>
        <w:left w:val="none" w:sz="0" w:space="0" w:color="auto"/>
        <w:bottom w:val="none" w:sz="0" w:space="0" w:color="auto"/>
        <w:right w:val="none" w:sz="0" w:space="0" w:color="auto"/>
      </w:divBdr>
    </w:div>
    <w:div w:id="1327784483">
      <w:bodyDiv w:val="1"/>
      <w:marLeft w:val="0"/>
      <w:marRight w:val="0"/>
      <w:marTop w:val="0"/>
      <w:marBottom w:val="0"/>
      <w:divBdr>
        <w:top w:val="none" w:sz="0" w:space="0" w:color="auto"/>
        <w:left w:val="none" w:sz="0" w:space="0" w:color="auto"/>
        <w:bottom w:val="none" w:sz="0" w:space="0" w:color="auto"/>
        <w:right w:val="none" w:sz="0" w:space="0" w:color="auto"/>
      </w:divBdr>
    </w:div>
    <w:div w:id="1330210373">
      <w:bodyDiv w:val="1"/>
      <w:marLeft w:val="0"/>
      <w:marRight w:val="0"/>
      <w:marTop w:val="0"/>
      <w:marBottom w:val="0"/>
      <w:divBdr>
        <w:top w:val="none" w:sz="0" w:space="0" w:color="auto"/>
        <w:left w:val="none" w:sz="0" w:space="0" w:color="auto"/>
        <w:bottom w:val="none" w:sz="0" w:space="0" w:color="auto"/>
        <w:right w:val="none" w:sz="0" w:space="0" w:color="auto"/>
      </w:divBdr>
    </w:div>
    <w:div w:id="1330450691">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1837767">
      <w:bodyDiv w:val="1"/>
      <w:marLeft w:val="0"/>
      <w:marRight w:val="0"/>
      <w:marTop w:val="0"/>
      <w:marBottom w:val="0"/>
      <w:divBdr>
        <w:top w:val="none" w:sz="0" w:space="0" w:color="auto"/>
        <w:left w:val="none" w:sz="0" w:space="0" w:color="auto"/>
        <w:bottom w:val="none" w:sz="0" w:space="0" w:color="auto"/>
        <w:right w:val="none" w:sz="0" w:space="0" w:color="auto"/>
      </w:divBdr>
    </w:div>
    <w:div w:id="1332222442">
      <w:bodyDiv w:val="1"/>
      <w:marLeft w:val="0"/>
      <w:marRight w:val="0"/>
      <w:marTop w:val="0"/>
      <w:marBottom w:val="0"/>
      <w:divBdr>
        <w:top w:val="none" w:sz="0" w:space="0" w:color="auto"/>
        <w:left w:val="none" w:sz="0" w:space="0" w:color="auto"/>
        <w:bottom w:val="none" w:sz="0" w:space="0" w:color="auto"/>
        <w:right w:val="none" w:sz="0" w:space="0" w:color="auto"/>
      </w:divBdr>
    </w:div>
    <w:div w:id="1332413515">
      <w:bodyDiv w:val="1"/>
      <w:marLeft w:val="0"/>
      <w:marRight w:val="0"/>
      <w:marTop w:val="0"/>
      <w:marBottom w:val="0"/>
      <w:divBdr>
        <w:top w:val="none" w:sz="0" w:space="0" w:color="auto"/>
        <w:left w:val="none" w:sz="0" w:space="0" w:color="auto"/>
        <w:bottom w:val="none" w:sz="0" w:space="0" w:color="auto"/>
        <w:right w:val="none" w:sz="0" w:space="0" w:color="auto"/>
      </w:divBdr>
    </w:div>
    <w:div w:id="1333069306">
      <w:bodyDiv w:val="1"/>
      <w:marLeft w:val="0"/>
      <w:marRight w:val="0"/>
      <w:marTop w:val="0"/>
      <w:marBottom w:val="0"/>
      <w:divBdr>
        <w:top w:val="none" w:sz="0" w:space="0" w:color="auto"/>
        <w:left w:val="none" w:sz="0" w:space="0" w:color="auto"/>
        <w:bottom w:val="none" w:sz="0" w:space="0" w:color="auto"/>
        <w:right w:val="none" w:sz="0" w:space="0" w:color="auto"/>
      </w:divBdr>
    </w:div>
    <w:div w:id="1336029223">
      <w:bodyDiv w:val="1"/>
      <w:marLeft w:val="0"/>
      <w:marRight w:val="0"/>
      <w:marTop w:val="0"/>
      <w:marBottom w:val="0"/>
      <w:divBdr>
        <w:top w:val="none" w:sz="0" w:space="0" w:color="auto"/>
        <w:left w:val="none" w:sz="0" w:space="0" w:color="auto"/>
        <w:bottom w:val="none" w:sz="0" w:space="0" w:color="auto"/>
        <w:right w:val="none" w:sz="0" w:space="0" w:color="auto"/>
      </w:divBdr>
    </w:div>
    <w:div w:id="1336500109">
      <w:bodyDiv w:val="1"/>
      <w:marLeft w:val="0"/>
      <w:marRight w:val="0"/>
      <w:marTop w:val="0"/>
      <w:marBottom w:val="0"/>
      <w:divBdr>
        <w:top w:val="none" w:sz="0" w:space="0" w:color="auto"/>
        <w:left w:val="none" w:sz="0" w:space="0" w:color="auto"/>
        <w:bottom w:val="none" w:sz="0" w:space="0" w:color="auto"/>
        <w:right w:val="none" w:sz="0" w:space="0" w:color="auto"/>
      </w:divBdr>
    </w:div>
    <w:div w:id="1337340847">
      <w:bodyDiv w:val="1"/>
      <w:marLeft w:val="0"/>
      <w:marRight w:val="0"/>
      <w:marTop w:val="0"/>
      <w:marBottom w:val="0"/>
      <w:divBdr>
        <w:top w:val="none" w:sz="0" w:space="0" w:color="auto"/>
        <w:left w:val="none" w:sz="0" w:space="0" w:color="auto"/>
        <w:bottom w:val="none" w:sz="0" w:space="0" w:color="auto"/>
        <w:right w:val="none" w:sz="0" w:space="0" w:color="auto"/>
      </w:divBdr>
    </w:div>
    <w:div w:id="1337541369">
      <w:bodyDiv w:val="1"/>
      <w:marLeft w:val="0"/>
      <w:marRight w:val="0"/>
      <w:marTop w:val="0"/>
      <w:marBottom w:val="0"/>
      <w:divBdr>
        <w:top w:val="none" w:sz="0" w:space="0" w:color="auto"/>
        <w:left w:val="none" w:sz="0" w:space="0" w:color="auto"/>
        <w:bottom w:val="none" w:sz="0" w:space="0" w:color="auto"/>
        <w:right w:val="none" w:sz="0" w:space="0" w:color="auto"/>
      </w:divBdr>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
    <w:div w:id="1341199156">
      <w:bodyDiv w:val="1"/>
      <w:marLeft w:val="0"/>
      <w:marRight w:val="0"/>
      <w:marTop w:val="0"/>
      <w:marBottom w:val="0"/>
      <w:divBdr>
        <w:top w:val="none" w:sz="0" w:space="0" w:color="auto"/>
        <w:left w:val="none" w:sz="0" w:space="0" w:color="auto"/>
        <w:bottom w:val="none" w:sz="0" w:space="0" w:color="auto"/>
        <w:right w:val="none" w:sz="0" w:space="0" w:color="auto"/>
      </w:divBdr>
    </w:div>
    <w:div w:id="1342582655">
      <w:bodyDiv w:val="1"/>
      <w:marLeft w:val="0"/>
      <w:marRight w:val="0"/>
      <w:marTop w:val="0"/>
      <w:marBottom w:val="0"/>
      <w:divBdr>
        <w:top w:val="none" w:sz="0" w:space="0" w:color="auto"/>
        <w:left w:val="none" w:sz="0" w:space="0" w:color="auto"/>
        <w:bottom w:val="none" w:sz="0" w:space="0" w:color="auto"/>
        <w:right w:val="none" w:sz="0" w:space="0" w:color="auto"/>
      </w:divBdr>
    </w:div>
    <w:div w:id="1345085236">
      <w:bodyDiv w:val="1"/>
      <w:marLeft w:val="0"/>
      <w:marRight w:val="0"/>
      <w:marTop w:val="0"/>
      <w:marBottom w:val="0"/>
      <w:divBdr>
        <w:top w:val="none" w:sz="0" w:space="0" w:color="auto"/>
        <w:left w:val="none" w:sz="0" w:space="0" w:color="auto"/>
        <w:bottom w:val="none" w:sz="0" w:space="0" w:color="auto"/>
        <w:right w:val="none" w:sz="0" w:space="0" w:color="auto"/>
      </w:divBdr>
    </w:div>
    <w:div w:id="1350637941">
      <w:bodyDiv w:val="1"/>
      <w:marLeft w:val="0"/>
      <w:marRight w:val="0"/>
      <w:marTop w:val="0"/>
      <w:marBottom w:val="0"/>
      <w:divBdr>
        <w:top w:val="none" w:sz="0" w:space="0" w:color="auto"/>
        <w:left w:val="none" w:sz="0" w:space="0" w:color="auto"/>
        <w:bottom w:val="none" w:sz="0" w:space="0" w:color="auto"/>
        <w:right w:val="none" w:sz="0" w:space="0" w:color="auto"/>
      </w:divBdr>
    </w:div>
    <w:div w:id="1353722888">
      <w:bodyDiv w:val="1"/>
      <w:marLeft w:val="0"/>
      <w:marRight w:val="0"/>
      <w:marTop w:val="0"/>
      <w:marBottom w:val="0"/>
      <w:divBdr>
        <w:top w:val="none" w:sz="0" w:space="0" w:color="auto"/>
        <w:left w:val="none" w:sz="0" w:space="0" w:color="auto"/>
        <w:bottom w:val="none" w:sz="0" w:space="0" w:color="auto"/>
        <w:right w:val="none" w:sz="0" w:space="0" w:color="auto"/>
      </w:divBdr>
    </w:div>
    <w:div w:id="1356035547">
      <w:bodyDiv w:val="1"/>
      <w:marLeft w:val="0"/>
      <w:marRight w:val="0"/>
      <w:marTop w:val="0"/>
      <w:marBottom w:val="0"/>
      <w:divBdr>
        <w:top w:val="none" w:sz="0" w:space="0" w:color="auto"/>
        <w:left w:val="none" w:sz="0" w:space="0" w:color="auto"/>
        <w:bottom w:val="none" w:sz="0" w:space="0" w:color="auto"/>
        <w:right w:val="none" w:sz="0" w:space="0" w:color="auto"/>
      </w:divBdr>
    </w:div>
    <w:div w:id="1356542339">
      <w:bodyDiv w:val="1"/>
      <w:marLeft w:val="0"/>
      <w:marRight w:val="0"/>
      <w:marTop w:val="0"/>
      <w:marBottom w:val="0"/>
      <w:divBdr>
        <w:top w:val="none" w:sz="0" w:space="0" w:color="auto"/>
        <w:left w:val="none" w:sz="0" w:space="0" w:color="auto"/>
        <w:bottom w:val="none" w:sz="0" w:space="0" w:color="auto"/>
        <w:right w:val="none" w:sz="0" w:space="0" w:color="auto"/>
      </w:divBdr>
    </w:div>
    <w:div w:id="1360155928">
      <w:bodyDiv w:val="1"/>
      <w:marLeft w:val="0"/>
      <w:marRight w:val="0"/>
      <w:marTop w:val="0"/>
      <w:marBottom w:val="0"/>
      <w:divBdr>
        <w:top w:val="none" w:sz="0" w:space="0" w:color="auto"/>
        <w:left w:val="none" w:sz="0" w:space="0" w:color="auto"/>
        <w:bottom w:val="none" w:sz="0" w:space="0" w:color="auto"/>
        <w:right w:val="none" w:sz="0" w:space="0" w:color="auto"/>
      </w:divBdr>
    </w:div>
    <w:div w:id="1361584743">
      <w:bodyDiv w:val="1"/>
      <w:marLeft w:val="0"/>
      <w:marRight w:val="0"/>
      <w:marTop w:val="0"/>
      <w:marBottom w:val="0"/>
      <w:divBdr>
        <w:top w:val="none" w:sz="0" w:space="0" w:color="auto"/>
        <w:left w:val="none" w:sz="0" w:space="0" w:color="auto"/>
        <w:bottom w:val="none" w:sz="0" w:space="0" w:color="auto"/>
        <w:right w:val="none" w:sz="0" w:space="0" w:color="auto"/>
      </w:divBdr>
    </w:div>
    <w:div w:id="1362128085">
      <w:bodyDiv w:val="1"/>
      <w:marLeft w:val="0"/>
      <w:marRight w:val="0"/>
      <w:marTop w:val="0"/>
      <w:marBottom w:val="0"/>
      <w:divBdr>
        <w:top w:val="none" w:sz="0" w:space="0" w:color="auto"/>
        <w:left w:val="none" w:sz="0" w:space="0" w:color="auto"/>
        <w:bottom w:val="none" w:sz="0" w:space="0" w:color="auto"/>
        <w:right w:val="none" w:sz="0" w:space="0" w:color="auto"/>
      </w:divBdr>
    </w:div>
    <w:div w:id="1364210622">
      <w:bodyDiv w:val="1"/>
      <w:marLeft w:val="0"/>
      <w:marRight w:val="0"/>
      <w:marTop w:val="0"/>
      <w:marBottom w:val="0"/>
      <w:divBdr>
        <w:top w:val="none" w:sz="0" w:space="0" w:color="auto"/>
        <w:left w:val="none" w:sz="0" w:space="0" w:color="auto"/>
        <w:bottom w:val="none" w:sz="0" w:space="0" w:color="auto"/>
        <w:right w:val="none" w:sz="0" w:space="0" w:color="auto"/>
      </w:divBdr>
    </w:div>
    <w:div w:id="1367559895">
      <w:bodyDiv w:val="1"/>
      <w:marLeft w:val="0"/>
      <w:marRight w:val="0"/>
      <w:marTop w:val="0"/>
      <w:marBottom w:val="0"/>
      <w:divBdr>
        <w:top w:val="none" w:sz="0" w:space="0" w:color="auto"/>
        <w:left w:val="none" w:sz="0" w:space="0" w:color="auto"/>
        <w:bottom w:val="none" w:sz="0" w:space="0" w:color="auto"/>
        <w:right w:val="none" w:sz="0" w:space="0" w:color="auto"/>
      </w:divBdr>
    </w:div>
    <w:div w:id="1367871535">
      <w:bodyDiv w:val="1"/>
      <w:marLeft w:val="0"/>
      <w:marRight w:val="0"/>
      <w:marTop w:val="0"/>
      <w:marBottom w:val="0"/>
      <w:divBdr>
        <w:top w:val="none" w:sz="0" w:space="0" w:color="auto"/>
        <w:left w:val="none" w:sz="0" w:space="0" w:color="auto"/>
        <w:bottom w:val="none" w:sz="0" w:space="0" w:color="auto"/>
        <w:right w:val="none" w:sz="0" w:space="0" w:color="auto"/>
      </w:divBdr>
    </w:div>
    <w:div w:id="1368212954">
      <w:bodyDiv w:val="1"/>
      <w:marLeft w:val="0"/>
      <w:marRight w:val="0"/>
      <w:marTop w:val="0"/>
      <w:marBottom w:val="0"/>
      <w:divBdr>
        <w:top w:val="none" w:sz="0" w:space="0" w:color="auto"/>
        <w:left w:val="none" w:sz="0" w:space="0" w:color="auto"/>
        <w:bottom w:val="none" w:sz="0" w:space="0" w:color="auto"/>
        <w:right w:val="none" w:sz="0" w:space="0" w:color="auto"/>
      </w:divBdr>
    </w:div>
    <w:div w:id="1369454383">
      <w:bodyDiv w:val="1"/>
      <w:marLeft w:val="0"/>
      <w:marRight w:val="0"/>
      <w:marTop w:val="0"/>
      <w:marBottom w:val="0"/>
      <w:divBdr>
        <w:top w:val="none" w:sz="0" w:space="0" w:color="auto"/>
        <w:left w:val="none" w:sz="0" w:space="0" w:color="auto"/>
        <w:bottom w:val="none" w:sz="0" w:space="0" w:color="auto"/>
        <w:right w:val="none" w:sz="0" w:space="0" w:color="auto"/>
      </w:divBdr>
    </w:div>
    <w:div w:id="1370107655">
      <w:bodyDiv w:val="1"/>
      <w:marLeft w:val="0"/>
      <w:marRight w:val="0"/>
      <w:marTop w:val="0"/>
      <w:marBottom w:val="0"/>
      <w:divBdr>
        <w:top w:val="none" w:sz="0" w:space="0" w:color="auto"/>
        <w:left w:val="none" w:sz="0" w:space="0" w:color="auto"/>
        <w:bottom w:val="none" w:sz="0" w:space="0" w:color="auto"/>
        <w:right w:val="none" w:sz="0" w:space="0" w:color="auto"/>
      </w:divBdr>
    </w:div>
    <w:div w:id="1370187052">
      <w:bodyDiv w:val="1"/>
      <w:marLeft w:val="0"/>
      <w:marRight w:val="0"/>
      <w:marTop w:val="0"/>
      <w:marBottom w:val="0"/>
      <w:divBdr>
        <w:top w:val="none" w:sz="0" w:space="0" w:color="auto"/>
        <w:left w:val="none" w:sz="0" w:space="0" w:color="auto"/>
        <w:bottom w:val="none" w:sz="0" w:space="0" w:color="auto"/>
        <w:right w:val="none" w:sz="0" w:space="0" w:color="auto"/>
      </w:divBdr>
    </w:div>
    <w:div w:id="1372464231">
      <w:bodyDiv w:val="1"/>
      <w:marLeft w:val="0"/>
      <w:marRight w:val="0"/>
      <w:marTop w:val="0"/>
      <w:marBottom w:val="0"/>
      <w:divBdr>
        <w:top w:val="none" w:sz="0" w:space="0" w:color="auto"/>
        <w:left w:val="none" w:sz="0" w:space="0" w:color="auto"/>
        <w:bottom w:val="none" w:sz="0" w:space="0" w:color="auto"/>
        <w:right w:val="none" w:sz="0" w:space="0" w:color="auto"/>
      </w:divBdr>
    </w:div>
    <w:div w:id="1372655402">
      <w:bodyDiv w:val="1"/>
      <w:marLeft w:val="0"/>
      <w:marRight w:val="0"/>
      <w:marTop w:val="0"/>
      <w:marBottom w:val="0"/>
      <w:divBdr>
        <w:top w:val="none" w:sz="0" w:space="0" w:color="auto"/>
        <w:left w:val="none" w:sz="0" w:space="0" w:color="auto"/>
        <w:bottom w:val="none" w:sz="0" w:space="0" w:color="auto"/>
        <w:right w:val="none" w:sz="0" w:space="0" w:color="auto"/>
      </w:divBdr>
    </w:div>
    <w:div w:id="1373001552">
      <w:bodyDiv w:val="1"/>
      <w:marLeft w:val="0"/>
      <w:marRight w:val="0"/>
      <w:marTop w:val="0"/>
      <w:marBottom w:val="0"/>
      <w:divBdr>
        <w:top w:val="none" w:sz="0" w:space="0" w:color="auto"/>
        <w:left w:val="none" w:sz="0" w:space="0" w:color="auto"/>
        <w:bottom w:val="none" w:sz="0" w:space="0" w:color="auto"/>
        <w:right w:val="none" w:sz="0" w:space="0" w:color="auto"/>
      </w:divBdr>
    </w:div>
    <w:div w:id="1373580670">
      <w:bodyDiv w:val="1"/>
      <w:marLeft w:val="0"/>
      <w:marRight w:val="0"/>
      <w:marTop w:val="0"/>
      <w:marBottom w:val="0"/>
      <w:divBdr>
        <w:top w:val="none" w:sz="0" w:space="0" w:color="auto"/>
        <w:left w:val="none" w:sz="0" w:space="0" w:color="auto"/>
        <w:bottom w:val="none" w:sz="0" w:space="0" w:color="auto"/>
        <w:right w:val="none" w:sz="0" w:space="0" w:color="auto"/>
      </w:divBdr>
    </w:div>
    <w:div w:id="1375736302">
      <w:bodyDiv w:val="1"/>
      <w:marLeft w:val="0"/>
      <w:marRight w:val="0"/>
      <w:marTop w:val="0"/>
      <w:marBottom w:val="0"/>
      <w:divBdr>
        <w:top w:val="none" w:sz="0" w:space="0" w:color="auto"/>
        <w:left w:val="none" w:sz="0" w:space="0" w:color="auto"/>
        <w:bottom w:val="none" w:sz="0" w:space="0" w:color="auto"/>
        <w:right w:val="none" w:sz="0" w:space="0" w:color="auto"/>
      </w:divBdr>
    </w:div>
    <w:div w:id="1375890179">
      <w:bodyDiv w:val="1"/>
      <w:marLeft w:val="0"/>
      <w:marRight w:val="0"/>
      <w:marTop w:val="0"/>
      <w:marBottom w:val="0"/>
      <w:divBdr>
        <w:top w:val="none" w:sz="0" w:space="0" w:color="auto"/>
        <w:left w:val="none" w:sz="0" w:space="0" w:color="auto"/>
        <w:bottom w:val="none" w:sz="0" w:space="0" w:color="auto"/>
        <w:right w:val="none" w:sz="0" w:space="0" w:color="auto"/>
      </w:divBdr>
    </w:div>
    <w:div w:id="1376927815">
      <w:bodyDiv w:val="1"/>
      <w:marLeft w:val="0"/>
      <w:marRight w:val="0"/>
      <w:marTop w:val="0"/>
      <w:marBottom w:val="0"/>
      <w:divBdr>
        <w:top w:val="none" w:sz="0" w:space="0" w:color="auto"/>
        <w:left w:val="none" w:sz="0" w:space="0" w:color="auto"/>
        <w:bottom w:val="none" w:sz="0" w:space="0" w:color="auto"/>
        <w:right w:val="none" w:sz="0" w:space="0" w:color="auto"/>
      </w:divBdr>
    </w:div>
    <w:div w:id="1377394251">
      <w:bodyDiv w:val="1"/>
      <w:marLeft w:val="0"/>
      <w:marRight w:val="0"/>
      <w:marTop w:val="0"/>
      <w:marBottom w:val="0"/>
      <w:divBdr>
        <w:top w:val="none" w:sz="0" w:space="0" w:color="auto"/>
        <w:left w:val="none" w:sz="0" w:space="0" w:color="auto"/>
        <w:bottom w:val="none" w:sz="0" w:space="0" w:color="auto"/>
        <w:right w:val="none" w:sz="0" w:space="0" w:color="auto"/>
      </w:divBdr>
    </w:div>
    <w:div w:id="1377966566">
      <w:bodyDiv w:val="1"/>
      <w:marLeft w:val="0"/>
      <w:marRight w:val="0"/>
      <w:marTop w:val="0"/>
      <w:marBottom w:val="0"/>
      <w:divBdr>
        <w:top w:val="none" w:sz="0" w:space="0" w:color="auto"/>
        <w:left w:val="none" w:sz="0" w:space="0" w:color="auto"/>
        <w:bottom w:val="none" w:sz="0" w:space="0" w:color="auto"/>
        <w:right w:val="none" w:sz="0" w:space="0" w:color="auto"/>
      </w:divBdr>
    </w:div>
    <w:div w:id="1380744639">
      <w:bodyDiv w:val="1"/>
      <w:marLeft w:val="0"/>
      <w:marRight w:val="0"/>
      <w:marTop w:val="0"/>
      <w:marBottom w:val="0"/>
      <w:divBdr>
        <w:top w:val="none" w:sz="0" w:space="0" w:color="auto"/>
        <w:left w:val="none" w:sz="0" w:space="0" w:color="auto"/>
        <w:bottom w:val="none" w:sz="0" w:space="0" w:color="auto"/>
        <w:right w:val="none" w:sz="0" w:space="0" w:color="auto"/>
      </w:divBdr>
    </w:div>
    <w:div w:id="1382288974">
      <w:bodyDiv w:val="1"/>
      <w:marLeft w:val="0"/>
      <w:marRight w:val="0"/>
      <w:marTop w:val="0"/>
      <w:marBottom w:val="0"/>
      <w:divBdr>
        <w:top w:val="none" w:sz="0" w:space="0" w:color="auto"/>
        <w:left w:val="none" w:sz="0" w:space="0" w:color="auto"/>
        <w:bottom w:val="none" w:sz="0" w:space="0" w:color="auto"/>
        <w:right w:val="none" w:sz="0" w:space="0" w:color="auto"/>
      </w:divBdr>
    </w:div>
    <w:div w:id="1384019848">
      <w:bodyDiv w:val="1"/>
      <w:marLeft w:val="0"/>
      <w:marRight w:val="0"/>
      <w:marTop w:val="0"/>
      <w:marBottom w:val="0"/>
      <w:divBdr>
        <w:top w:val="none" w:sz="0" w:space="0" w:color="auto"/>
        <w:left w:val="none" w:sz="0" w:space="0" w:color="auto"/>
        <w:bottom w:val="none" w:sz="0" w:space="0" w:color="auto"/>
        <w:right w:val="none" w:sz="0" w:space="0" w:color="auto"/>
      </w:divBdr>
    </w:div>
    <w:div w:id="1387754016">
      <w:bodyDiv w:val="1"/>
      <w:marLeft w:val="0"/>
      <w:marRight w:val="0"/>
      <w:marTop w:val="0"/>
      <w:marBottom w:val="0"/>
      <w:divBdr>
        <w:top w:val="none" w:sz="0" w:space="0" w:color="auto"/>
        <w:left w:val="none" w:sz="0" w:space="0" w:color="auto"/>
        <w:bottom w:val="none" w:sz="0" w:space="0" w:color="auto"/>
        <w:right w:val="none" w:sz="0" w:space="0" w:color="auto"/>
      </w:divBdr>
    </w:div>
    <w:div w:id="1393193241">
      <w:bodyDiv w:val="1"/>
      <w:marLeft w:val="0"/>
      <w:marRight w:val="0"/>
      <w:marTop w:val="0"/>
      <w:marBottom w:val="0"/>
      <w:divBdr>
        <w:top w:val="none" w:sz="0" w:space="0" w:color="auto"/>
        <w:left w:val="none" w:sz="0" w:space="0" w:color="auto"/>
        <w:bottom w:val="none" w:sz="0" w:space="0" w:color="auto"/>
        <w:right w:val="none" w:sz="0" w:space="0" w:color="auto"/>
      </w:divBdr>
    </w:div>
    <w:div w:id="1395273728">
      <w:bodyDiv w:val="1"/>
      <w:marLeft w:val="0"/>
      <w:marRight w:val="0"/>
      <w:marTop w:val="0"/>
      <w:marBottom w:val="0"/>
      <w:divBdr>
        <w:top w:val="none" w:sz="0" w:space="0" w:color="auto"/>
        <w:left w:val="none" w:sz="0" w:space="0" w:color="auto"/>
        <w:bottom w:val="none" w:sz="0" w:space="0" w:color="auto"/>
        <w:right w:val="none" w:sz="0" w:space="0" w:color="auto"/>
      </w:divBdr>
    </w:div>
    <w:div w:id="1396588949">
      <w:bodyDiv w:val="1"/>
      <w:marLeft w:val="0"/>
      <w:marRight w:val="0"/>
      <w:marTop w:val="0"/>
      <w:marBottom w:val="0"/>
      <w:divBdr>
        <w:top w:val="none" w:sz="0" w:space="0" w:color="auto"/>
        <w:left w:val="none" w:sz="0" w:space="0" w:color="auto"/>
        <w:bottom w:val="none" w:sz="0" w:space="0" w:color="auto"/>
        <w:right w:val="none" w:sz="0" w:space="0" w:color="auto"/>
      </w:divBdr>
    </w:div>
    <w:div w:id="1397555729">
      <w:bodyDiv w:val="1"/>
      <w:marLeft w:val="0"/>
      <w:marRight w:val="0"/>
      <w:marTop w:val="0"/>
      <w:marBottom w:val="0"/>
      <w:divBdr>
        <w:top w:val="none" w:sz="0" w:space="0" w:color="auto"/>
        <w:left w:val="none" w:sz="0" w:space="0" w:color="auto"/>
        <w:bottom w:val="none" w:sz="0" w:space="0" w:color="auto"/>
        <w:right w:val="none" w:sz="0" w:space="0" w:color="auto"/>
      </w:divBdr>
    </w:div>
    <w:div w:id="1398434674">
      <w:bodyDiv w:val="1"/>
      <w:marLeft w:val="0"/>
      <w:marRight w:val="0"/>
      <w:marTop w:val="0"/>
      <w:marBottom w:val="0"/>
      <w:divBdr>
        <w:top w:val="none" w:sz="0" w:space="0" w:color="auto"/>
        <w:left w:val="none" w:sz="0" w:space="0" w:color="auto"/>
        <w:bottom w:val="none" w:sz="0" w:space="0" w:color="auto"/>
        <w:right w:val="none" w:sz="0" w:space="0" w:color="auto"/>
      </w:divBdr>
    </w:div>
    <w:div w:id="1399786102">
      <w:bodyDiv w:val="1"/>
      <w:marLeft w:val="0"/>
      <w:marRight w:val="0"/>
      <w:marTop w:val="0"/>
      <w:marBottom w:val="0"/>
      <w:divBdr>
        <w:top w:val="none" w:sz="0" w:space="0" w:color="auto"/>
        <w:left w:val="none" w:sz="0" w:space="0" w:color="auto"/>
        <w:bottom w:val="none" w:sz="0" w:space="0" w:color="auto"/>
        <w:right w:val="none" w:sz="0" w:space="0" w:color="auto"/>
      </w:divBdr>
    </w:div>
    <w:div w:id="1400130128">
      <w:bodyDiv w:val="1"/>
      <w:marLeft w:val="0"/>
      <w:marRight w:val="0"/>
      <w:marTop w:val="0"/>
      <w:marBottom w:val="0"/>
      <w:divBdr>
        <w:top w:val="none" w:sz="0" w:space="0" w:color="auto"/>
        <w:left w:val="none" w:sz="0" w:space="0" w:color="auto"/>
        <w:bottom w:val="none" w:sz="0" w:space="0" w:color="auto"/>
        <w:right w:val="none" w:sz="0" w:space="0" w:color="auto"/>
      </w:divBdr>
    </w:div>
    <w:div w:id="1400324299">
      <w:bodyDiv w:val="1"/>
      <w:marLeft w:val="0"/>
      <w:marRight w:val="0"/>
      <w:marTop w:val="0"/>
      <w:marBottom w:val="0"/>
      <w:divBdr>
        <w:top w:val="none" w:sz="0" w:space="0" w:color="auto"/>
        <w:left w:val="none" w:sz="0" w:space="0" w:color="auto"/>
        <w:bottom w:val="none" w:sz="0" w:space="0" w:color="auto"/>
        <w:right w:val="none" w:sz="0" w:space="0" w:color="auto"/>
      </w:divBdr>
    </w:div>
    <w:div w:id="1403332575">
      <w:bodyDiv w:val="1"/>
      <w:marLeft w:val="0"/>
      <w:marRight w:val="0"/>
      <w:marTop w:val="0"/>
      <w:marBottom w:val="0"/>
      <w:divBdr>
        <w:top w:val="none" w:sz="0" w:space="0" w:color="auto"/>
        <w:left w:val="none" w:sz="0" w:space="0" w:color="auto"/>
        <w:bottom w:val="none" w:sz="0" w:space="0" w:color="auto"/>
        <w:right w:val="none" w:sz="0" w:space="0" w:color="auto"/>
      </w:divBdr>
    </w:div>
    <w:div w:id="1405685190">
      <w:bodyDiv w:val="1"/>
      <w:marLeft w:val="0"/>
      <w:marRight w:val="0"/>
      <w:marTop w:val="0"/>
      <w:marBottom w:val="0"/>
      <w:divBdr>
        <w:top w:val="none" w:sz="0" w:space="0" w:color="auto"/>
        <w:left w:val="none" w:sz="0" w:space="0" w:color="auto"/>
        <w:bottom w:val="none" w:sz="0" w:space="0" w:color="auto"/>
        <w:right w:val="none" w:sz="0" w:space="0" w:color="auto"/>
      </w:divBdr>
    </w:div>
    <w:div w:id="1406293108">
      <w:bodyDiv w:val="1"/>
      <w:marLeft w:val="0"/>
      <w:marRight w:val="0"/>
      <w:marTop w:val="0"/>
      <w:marBottom w:val="0"/>
      <w:divBdr>
        <w:top w:val="none" w:sz="0" w:space="0" w:color="auto"/>
        <w:left w:val="none" w:sz="0" w:space="0" w:color="auto"/>
        <w:bottom w:val="none" w:sz="0" w:space="0" w:color="auto"/>
        <w:right w:val="none" w:sz="0" w:space="0" w:color="auto"/>
      </w:divBdr>
    </w:div>
    <w:div w:id="1407914796">
      <w:bodyDiv w:val="1"/>
      <w:marLeft w:val="0"/>
      <w:marRight w:val="0"/>
      <w:marTop w:val="0"/>
      <w:marBottom w:val="0"/>
      <w:divBdr>
        <w:top w:val="none" w:sz="0" w:space="0" w:color="auto"/>
        <w:left w:val="none" w:sz="0" w:space="0" w:color="auto"/>
        <w:bottom w:val="none" w:sz="0" w:space="0" w:color="auto"/>
        <w:right w:val="none" w:sz="0" w:space="0" w:color="auto"/>
      </w:divBdr>
    </w:div>
    <w:div w:id="1409502400">
      <w:bodyDiv w:val="1"/>
      <w:marLeft w:val="0"/>
      <w:marRight w:val="0"/>
      <w:marTop w:val="0"/>
      <w:marBottom w:val="0"/>
      <w:divBdr>
        <w:top w:val="none" w:sz="0" w:space="0" w:color="auto"/>
        <w:left w:val="none" w:sz="0" w:space="0" w:color="auto"/>
        <w:bottom w:val="none" w:sz="0" w:space="0" w:color="auto"/>
        <w:right w:val="none" w:sz="0" w:space="0" w:color="auto"/>
      </w:divBdr>
    </w:div>
    <w:div w:id="1409690021">
      <w:bodyDiv w:val="1"/>
      <w:marLeft w:val="0"/>
      <w:marRight w:val="0"/>
      <w:marTop w:val="0"/>
      <w:marBottom w:val="0"/>
      <w:divBdr>
        <w:top w:val="none" w:sz="0" w:space="0" w:color="auto"/>
        <w:left w:val="none" w:sz="0" w:space="0" w:color="auto"/>
        <w:bottom w:val="none" w:sz="0" w:space="0" w:color="auto"/>
        <w:right w:val="none" w:sz="0" w:space="0" w:color="auto"/>
      </w:divBdr>
    </w:div>
    <w:div w:id="1413887486">
      <w:bodyDiv w:val="1"/>
      <w:marLeft w:val="0"/>
      <w:marRight w:val="0"/>
      <w:marTop w:val="0"/>
      <w:marBottom w:val="0"/>
      <w:divBdr>
        <w:top w:val="none" w:sz="0" w:space="0" w:color="auto"/>
        <w:left w:val="none" w:sz="0" w:space="0" w:color="auto"/>
        <w:bottom w:val="none" w:sz="0" w:space="0" w:color="auto"/>
        <w:right w:val="none" w:sz="0" w:space="0" w:color="auto"/>
      </w:divBdr>
    </w:div>
    <w:div w:id="1414081285">
      <w:bodyDiv w:val="1"/>
      <w:marLeft w:val="0"/>
      <w:marRight w:val="0"/>
      <w:marTop w:val="0"/>
      <w:marBottom w:val="0"/>
      <w:divBdr>
        <w:top w:val="none" w:sz="0" w:space="0" w:color="auto"/>
        <w:left w:val="none" w:sz="0" w:space="0" w:color="auto"/>
        <w:bottom w:val="none" w:sz="0" w:space="0" w:color="auto"/>
        <w:right w:val="none" w:sz="0" w:space="0" w:color="auto"/>
      </w:divBdr>
    </w:div>
    <w:div w:id="1417434546">
      <w:bodyDiv w:val="1"/>
      <w:marLeft w:val="0"/>
      <w:marRight w:val="0"/>
      <w:marTop w:val="0"/>
      <w:marBottom w:val="0"/>
      <w:divBdr>
        <w:top w:val="none" w:sz="0" w:space="0" w:color="auto"/>
        <w:left w:val="none" w:sz="0" w:space="0" w:color="auto"/>
        <w:bottom w:val="none" w:sz="0" w:space="0" w:color="auto"/>
        <w:right w:val="none" w:sz="0" w:space="0" w:color="auto"/>
      </w:divBdr>
    </w:div>
    <w:div w:id="1417704711">
      <w:bodyDiv w:val="1"/>
      <w:marLeft w:val="0"/>
      <w:marRight w:val="0"/>
      <w:marTop w:val="0"/>
      <w:marBottom w:val="0"/>
      <w:divBdr>
        <w:top w:val="none" w:sz="0" w:space="0" w:color="auto"/>
        <w:left w:val="none" w:sz="0" w:space="0" w:color="auto"/>
        <w:bottom w:val="none" w:sz="0" w:space="0" w:color="auto"/>
        <w:right w:val="none" w:sz="0" w:space="0" w:color="auto"/>
      </w:divBdr>
    </w:div>
    <w:div w:id="1418818392">
      <w:bodyDiv w:val="1"/>
      <w:marLeft w:val="0"/>
      <w:marRight w:val="0"/>
      <w:marTop w:val="0"/>
      <w:marBottom w:val="0"/>
      <w:divBdr>
        <w:top w:val="none" w:sz="0" w:space="0" w:color="auto"/>
        <w:left w:val="none" w:sz="0" w:space="0" w:color="auto"/>
        <w:bottom w:val="none" w:sz="0" w:space="0" w:color="auto"/>
        <w:right w:val="none" w:sz="0" w:space="0" w:color="auto"/>
      </w:divBdr>
    </w:div>
    <w:div w:id="1419987392">
      <w:bodyDiv w:val="1"/>
      <w:marLeft w:val="0"/>
      <w:marRight w:val="0"/>
      <w:marTop w:val="0"/>
      <w:marBottom w:val="0"/>
      <w:divBdr>
        <w:top w:val="none" w:sz="0" w:space="0" w:color="auto"/>
        <w:left w:val="none" w:sz="0" w:space="0" w:color="auto"/>
        <w:bottom w:val="none" w:sz="0" w:space="0" w:color="auto"/>
        <w:right w:val="none" w:sz="0" w:space="0" w:color="auto"/>
      </w:divBdr>
    </w:div>
    <w:div w:id="1420174529">
      <w:bodyDiv w:val="1"/>
      <w:marLeft w:val="0"/>
      <w:marRight w:val="0"/>
      <w:marTop w:val="0"/>
      <w:marBottom w:val="0"/>
      <w:divBdr>
        <w:top w:val="none" w:sz="0" w:space="0" w:color="auto"/>
        <w:left w:val="none" w:sz="0" w:space="0" w:color="auto"/>
        <w:bottom w:val="none" w:sz="0" w:space="0" w:color="auto"/>
        <w:right w:val="none" w:sz="0" w:space="0" w:color="auto"/>
      </w:divBdr>
    </w:div>
    <w:div w:id="1420252308">
      <w:bodyDiv w:val="1"/>
      <w:marLeft w:val="0"/>
      <w:marRight w:val="0"/>
      <w:marTop w:val="0"/>
      <w:marBottom w:val="0"/>
      <w:divBdr>
        <w:top w:val="none" w:sz="0" w:space="0" w:color="auto"/>
        <w:left w:val="none" w:sz="0" w:space="0" w:color="auto"/>
        <w:bottom w:val="none" w:sz="0" w:space="0" w:color="auto"/>
        <w:right w:val="none" w:sz="0" w:space="0" w:color="auto"/>
      </w:divBdr>
    </w:div>
    <w:div w:id="1421173369">
      <w:bodyDiv w:val="1"/>
      <w:marLeft w:val="0"/>
      <w:marRight w:val="0"/>
      <w:marTop w:val="0"/>
      <w:marBottom w:val="0"/>
      <w:divBdr>
        <w:top w:val="none" w:sz="0" w:space="0" w:color="auto"/>
        <w:left w:val="none" w:sz="0" w:space="0" w:color="auto"/>
        <w:bottom w:val="none" w:sz="0" w:space="0" w:color="auto"/>
        <w:right w:val="none" w:sz="0" w:space="0" w:color="auto"/>
      </w:divBdr>
    </w:div>
    <w:div w:id="1424180283">
      <w:bodyDiv w:val="1"/>
      <w:marLeft w:val="0"/>
      <w:marRight w:val="0"/>
      <w:marTop w:val="0"/>
      <w:marBottom w:val="0"/>
      <w:divBdr>
        <w:top w:val="none" w:sz="0" w:space="0" w:color="auto"/>
        <w:left w:val="none" w:sz="0" w:space="0" w:color="auto"/>
        <w:bottom w:val="none" w:sz="0" w:space="0" w:color="auto"/>
        <w:right w:val="none" w:sz="0" w:space="0" w:color="auto"/>
      </w:divBdr>
    </w:div>
    <w:div w:id="1425297954">
      <w:bodyDiv w:val="1"/>
      <w:marLeft w:val="0"/>
      <w:marRight w:val="0"/>
      <w:marTop w:val="0"/>
      <w:marBottom w:val="0"/>
      <w:divBdr>
        <w:top w:val="none" w:sz="0" w:space="0" w:color="auto"/>
        <w:left w:val="none" w:sz="0" w:space="0" w:color="auto"/>
        <w:bottom w:val="none" w:sz="0" w:space="0" w:color="auto"/>
        <w:right w:val="none" w:sz="0" w:space="0" w:color="auto"/>
      </w:divBdr>
    </w:div>
    <w:div w:id="1426421963">
      <w:bodyDiv w:val="1"/>
      <w:marLeft w:val="0"/>
      <w:marRight w:val="0"/>
      <w:marTop w:val="0"/>
      <w:marBottom w:val="0"/>
      <w:divBdr>
        <w:top w:val="none" w:sz="0" w:space="0" w:color="auto"/>
        <w:left w:val="none" w:sz="0" w:space="0" w:color="auto"/>
        <w:bottom w:val="none" w:sz="0" w:space="0" w:color="auto"/>
        <w:right w:val="none" w:sz="0" w:space="0" w:color="auto"/>
      </w:divBdr>
    </w:div>
    <w:div w:id="1427577930">
      <w:bodyDiv w:val="1"/>
      <w:marLeft w:val="0"/>
      <w:marRight w:val="0"/>
      <w:marTop w:val="0"/>
      <w:marBottom w:val="0"/>
      <w:divBdr>
        <w:top w:val="none" w:sz="0" w:space="0" w:color="auto"/>
        <w:left w:val="none" w:sz="0" w:space="0" w:color="auto"/>
        <w:bottom w:val="none" w:sz="0" w:space="0" w:color="auto"/>
        <w:right w:val="none" w:sz="0" w:space="0" w:color="auto"/>
      </w:divBdr>
    </w:div>
    <w:div w:id="1429036119">
      <w:bodyDiv w:val="1"/>
      <w:marLeft w:val="0"/>
      <w:marRight w:val="0"/>
      <w:marTop w:val="0"/>
      <w:marBottom w:val="0"/>
      <w:divBdr>
        <w:top w:val="none" w:sz="0" w:space="0" w:color="auto"/>
        <w:left w:val="none" w:sz="0" w:space="0" w:color="auto"/>
        <w:bottom w:val="none" w:sz="0" w:space="0" w:color="auto"/>
        <w:right w:val="none" w:sz="0" w:space="0" w:color="auto"/>
      </w:divBdr>
    </w:div>
    <w:div w:id="1432117832">
      <w:bodyDiv w:val="1"/>
      <w:marLeft w:val="0"/>
      <w:marRight w:val="0"/>
      <w:marTop w:val="0"/>
      <w:marBottom w:val="0"/>
      <w:divBdr>
        <w:top w:val="none" w:sz="0" w:space="0" w:color="auto"/>
        <w:left w:val="none" w:sz="0" w:space="0" w:color="auto"/>
        <w:bottom w:val="none" w:sz="0" w:space="0" w:color="auto"/>
        <w:right w:val="none" w:sz="0" w:space="0" w:color="auto"/>
      </w:divBdr>
    </w:div>
    <w:div w:id="1432236597">
      <w:bodyDiv w:val="1"/>
      <w:marLeft w:val="0"/>
      <w:marRight w:val="0"/>
      <w:marTop w:val="0"/>
      <w:marBottom w:val="0"/>
      <w:divBdr>
        <w:top w:val="none" w:sz="0" w:space="0" w:color="auto"/>
        <w:left w:val="none" w:sz="0" w:space="0" w:color="auto"/>
        <w:bottom w:val="none" w:sz="0" w:space="0" w:color="auto"/>
        <w:right w:val="none" w:sz="0" w:space="0" w:color="auto"/>
      </w:divBdr>
    </w:div>
    <w:div w:id="1436903577">
      <w:bodyDiv w:val="1"/>
      <w:marLeft w:val="0"/>
      <w:marRight w:val="0"/>
      <w:marTop w:val="0"/>
      <w:marBottom w:val="0"/>
      <w:divBdr>
        <w:top w:val="none" w:sz="0" w:space="0" w:color="auto"/>
        <w:left w:val="none" w:sz="0" w:space="0" w:color="auto"/>
        <w:bottom w:val="none" w:sz="0" w:space="0" w:color="auto"/>
        <w:right w:val="none" w:sz="0" w:space="0" w:color="auto"/>
      </w:divBdr>
    </w:div>
    <w:div w:id="1437363766">
      <w:bodyDiv w:val="1"/>
      <w:marLeft w:val="0"/>
      <w:marRight w:val="0"/>
      <w:marTop w:val="0"/>
      <w:marBottom w:val="0"/>
      <w:divBdr>
        <w:top w:val="none" w:sz="0" w:space="0" w:color="auto"/>
        <w:left w:val="none" w:sz="0" w:space="0" w:color="auto"/>
        <w:bottom w:val="none" w:sz="0" w:space="0" w:color="auto"/>
        <w:right w:val="none" w:sz="0" w:space="0" w:color="auto"/>
      </w:divBdr>
    </w:div>
    <w:div w:id="1438870609">
      <w:bodyDiv w:val="1"/>
      <w:marLeft w:val="0"/>
      <w:marRight w:val="0"/>
      <w:marTop w:val="0"/>
      <w:marBottom w:val="0"/>
      <w:divBdr>
        <w:top w:val="none" w:sz="0" w:space="0" w:color="auto"/>
        <w:left w:val="none" w:sz="0" w:space="0" w:color="auto"/>
        <w:bottom w:val="none" w:sz="0" w:space="0" w:color="auto"/>
        <w:right w:val="none" w:sz="0" w:space="0" w:color="auto"/>
      </w:divBdr>
    </w:div>
    <w:div w:id="1442409328">
      <w:bodyDiv w:val="1"/>
      <w:marLeft w:val="0"/>
      <w:marRight w:val="0"/>
      <w:marTop w:val="0"/>
      <w:marBottom w:val="0"/>
      <w:divBdr>
        <w:top w:val="none" w:sz="0" w:space="0" w:color="auto"/>
        <w:left w:val="none" w:sz="0" w:space="0" w:color="auto"/>
        <w:bottom w:val="none" w:sz="0" w:space="0" w:color="auto"/>
        <w:right w:val="none" w:sz="0" w:space="0" w:color="auto"/>
      </w:divBdr>
    </w:div>
    <w:div w:id="1442991511">
      <w:bodyDiv w:val="1"/>
      <w:marLeft w:val="0"/>
      <w:marRight w:val="0"/>
      <w:marTop w:val="0"/>
      <w:marBottom w:val="0"/>
      <w:divBdr>
        <w:top w:val="none" w:sz="0" w:space="0" w:color="auto"/>
        <w:left w:val="none" w:sz="0" w:space="0" w:color="auto"/>
        <w:bottom w:val="none" w:sz="0" w:space="0" w:color="auto"/>
        <w:right w:val="none" w:sz="0" w:space="0" w:color="auto"/>
      </w:divBdr>
    </w:div>
    <w:div w:id="1447043995">
      <w:bodyDiv w:val="1"/>
      <w:marLeft w:val="0"/>
      <w:marRight w:val="0"/>
      <w:marTop w:val="0"/>
      <w:marBottom w:val="0"/>
      <w:divBdr>
        <w:top w:val="none" w:sz="0" w:space="0" w:color="auto"/>
        <w:left w:val="none" w:sz="0" w:space="0" w:color="auto"/>
        <w:bottom w:val="none" w:sz="0" w:space="0" w:color="auto"/>
        <w:right w:val="none" w:sz="0" w:space="0" w:color="auto"/>
      </w:divBdr>
    </w:div>
    <w:div w:id="1448696040">
      <w:bodyDiv w:val="1"/>
      <w:marLeft w:val="0"/>
      <w:marRight w:val="0"/>
      <w:marTop w:val="0"/>
      <w:marBottom w:val="0"/>
      <w:divBdr>
        <w:top w:val="none" w:sz="0" w:space="0" w:color="auto"/>
        <w:left w:val="none" w:sz="0" w:space="0" w:color="auto"/>
        <w:bottom w:val="none" w:sz="0" w:space="0" w:color="auto"/>
        <w:right w:val="none" w:sz="0" w:space="0" w:color="auto"/>
      </w:divBdr>
    </w:div>
    <w:div w:id="1449079179">
      <w:bodyDiv w:val="1"/>
      <w:marLeft w:val="0"/>
      <w:marRight w:val="0"/>
      <w:marTop w:val="0"/>
      <w:marBottom w:val="0"/>
      <w:divBdr>
        <w:top w:val="none" w:sz="0" w:space="0" w:color="auto"/>
        <w:left w:val="none" w:sz="0" w:space="0" w:color="auto"/>
        <w:bottom w:val="none" w:sz="0" w:space="0" w:color="auto"/>
        <w:right w:val="none" w:sz="0" w:space="0" w:color="auto"/>
      </w:divBdr>
    </w:div>
    <w:div w:id="1449667416">
      <w:bodyDiv w:val="1"/>
      <w:marLeft w:val="0"/>
      <w:marRight w:val="0"/>
      <w:marTop w:val="0"/>
      <w:marBottom w:val="0"/>
      <w:divBdr>
        <w:top w:val="none" w:sz="0" w:space="0" w:color="auto"/>
        <w:left w:val="none" w:sz="0" w:space="0" w:color="auto"/>
        <w:bottom w:val="none" w:sz="0" w:space="0" w:color="auto"/>
        <w:right w:val="none" w:sz="0" w:space="0" w:color="auto"/>
      </w:divBdr>
    </w:div>
    <w:div w:id="1450205395">
      <w:bodyDiv w:val="1"/>
      <w:marLeft w:val="0"/>
      <w:marRight w:val="0"/>
      <w:marTop w:val="0"/>
      <w:marBottom w:val="0"/>
      <w:divBdr>
        <w:top w:val="none" w:sz="0" w:space="0" w:color="auto"/>
        <w:left w:val="none" w:sz="0" w:space="0" w:color="auto"/>
        <w:bottom w:val="none" w:sz="0" w:space="0" w:color="auto"/>
        <w:right w:val="none" w:sz="0" w:space="0" w:color="auto"/>
      </w:divBdr>
    </w:div>
    <w:div w:id="1450320974">
      <w:bodyDiv w:val="1"/>
      <w:marLeft w:val="0"/>
      <w:marRight w:val="0"/>
      <w:marTop w:val="0"/>
      <w:marBottom w:val="0"/>
      <w:divBdr>
        <w:top w:val="none" w:sz="0" w:space="0" w:color="auto"/>
        <w:left w:val="none" w:sz="0" w:space="0" w:color="auto"/>
        <w:bottom w:val="none" w:sz="0" w:space="0" w:color="auto"/>
        <w:right w:val="none" w:sz="0" w:space="0" w:color="auto"/>
      </w:divBdr>
    </w:div>
    <w:div w:id="1451322425">
      <w:bodyDiv w:val="1"/>
      <w:marLeft w:val="0"/>
      <w:marRight w:val="0"/>
      <w:marTop w:val="0"/>
      <w:marBottom w:val="0"/>
      <w:divBdr>
        <w:top w:val="none" w:sz="0" w:space="0" w:color="auto"/>
        <w:left w:val="none" w:sz="0" w:space="0" w:color="auto"/>
        <w:bottom w:val="none" w:sz="0" w:space="0" w:color="auto"/>
        <w:right w:val="none" w:sz="0" w:space="0" w:color="auto"/>
      </w:divBdr>
    </w:div>
    <w:div w:id="1452356774">
      <w:bodyDiv w:val="1"/>
      <w:marLeft w:val="0"/>
      <w:marRight w:val="0"/>
      <w:marTop w:val="0"/>
      <w:marBottom w:val="0"/>
      <w:divBdr>
        <w:top w:val="none" w:sz="0" w:space="0" w:color="auto"/>
        <w:left w:val="none" w:sz="0" w:space="0" w:color="auto"/>
        <w:bottom w:val="none" w:sz="0" w:space="0" w:color="auto"/>
        <w:right w:val="none" w:sz="0" w:space="0" w:color="auto"/>
      </w:divBdr>
    </w:div>
    <w:div w:id="1452480124">
      <w:bodyDiv w:val="1"/>
      <w:marLeft w:val="0"/>
      <w:marRight w:val="0"/>
      <w:marTop w:val="0"/>
      <w:marBottom w:val="0"/>
      <w:divBdr>
        <w:top w:val="none" w:sz="0" w:space="0" w:color="auto"/>
        <w:left w:val="none" w:sz="0" w:space="0" w:color="auto"/>
        <w:bottom w:val="none" w:sz="0" w:space="0" w:color="auto"/>
        <w:right w:val="none" w:sz="0" w:space="0" w:color="auto"/>
      </w:divBdr>
    </w:div>
    <w:div w:id="1454901515">
      <w:bodyDiv w:val="1"/>
      <w:marLeft w:val="0"/>
      <w:marRight w:val="0"/>
      <w:marTop w:val="0"/>
      <w:marBottom w:val="0"/>
      <w:divBdr>
        <w:top w:val="none" w:sz="0" w:space="0" w:color="auto"/>
        <w:left w:val="none" w:sz="0" w:space="0" w:color="auto"/>
        <w:bottom w:val="none" w:sz="0" w:space="0" w:color="auto"/>
        <w:right w:val="none" w:sz="0" w:space="0" w:color="auto"/>
      </w:divBdr>
    </w:div>
    <w:div w:id="1454907567">
      <w:bodyDiv w:val="1"/>
      <w:marLeft w:val="0"/>
      <w:marRight w:val="0"/>
      <w:marTop w:val="0"/>
      <w:marBottom w:val="0"/>
      <w:divBdr>
        <w:top w:val="none" w:sz="0" w:space="0" w:color="auto"/>
        <w:left w:val="none" w:sz="0" w:space="0" w:color="auto"/>
        <w:bottom w:val="none" w:sz="0" w:space="0" w:color="auto"/>
        <w:right w:val="none" w:sz="0" w:space="0" w:color="auto"/>
      </w:divBdr>
    </w:div>
    <w:div w:id="1455245543">
      <w:bodyDiv w:val="1"/>
      <w:marLeft w:val="0"/>
      <w:marRight w:val="0"/>
      <w:marTop w:val="0"/>
      <w:marBottom w:val="0"/>
      <w:divBdr>
        <w:top w:val="none" w:sz="0" w:space="0" w:color="auto"/>
        <w:left w:val="none" w:sz="0" w:space="0" w:color="auto"/>
        <w:bottom w:val="none" w:sz="0" w:space="0" w:color="auto"/>
        <w:right w:val="none" w:sz="0" w:space="0" w:color="auto"/>
      </w:divBdr>
    </w:div>
    <w:div w:id="1455825260">
      <w:bodyDiv w:val="1"/>
      <w:marLeft w:val="0"/>
      <w:marRight w:val="0"/>
      <w:marTop w:val="0"/>
      <w:marBottom w:val="0"/>
      <w:divBdr>
        <w:top w:val="none" w:sz="0" w:space="0" w:color="auto"/>
        <w:left w:val="none" w:sz="0" w:space="0" w:color="auto"/>
        <w:bottom w:val="none" w:sz="0" w:space="0" w:color="auto"/>
        <w:right w:val="none" w:sz="0" w:space="0" w:color="auto"/>
      </w:divBdr>
    </w:div>
    <w:div w:id="1455830721">
      <w:bodyDiv w:val="1"/>
      <w:marLeft w:val="0"/>
      <w:marRight w:val="0"/>
      <w:marTop w:val="0"/>
      <w:marBottom w:val="0"/>
      <w:divBdr>
        <w:top w:val="none" w:sz="0" w:space="0" w:color="auto"/>
        <w:left w:val="none" w:sz="0" w:space="0" w:color="auto"/>
        <w:bottom w:val="none" w:sz="0" w:space="0" w:color="auto"/>
        <w:right w:val="none" w:sz="0" w:space="0" w:color="auto"/>
      </w:divBdr>
    </w:div>
    <w:div w:id="1461338410">
      <w:bodyDiv w:val="1"/>
      <w:marLeft w:val="0"/>
      <w:marRight w:val="0"/>
      <w:marTop w:val="0"/>
      <w:marBottom w:val="0"/>
      <w:divBdr>
        <w:top w:val="none" w:sz="0" w:space="0" w:color="auto"/>
        <w:left w:val="none" w:sz="0" w:space="0" w:color="auto"/>
        <w:bottom w:val="none" w:sz="0" w:space="0" w:color="auto"/>
        <w:right w:val="none" w:sz="0" w:space="0" w:color="auto"/>
      </w:divBdr>
      <w:divsChild>
        <w:div w:id="2000228859">
          <w:marLeft w:val="0"/>
          <w:marRight w:val="0"/>
          <w:marTop w:val="0"/>
          <w:marBottom w:val="0"/>
          <w:divBdr>
            <w:top w:val="none" w:sz="0" w:space="0" w:color="auto"/>
            <w:left w:val="none" w:sz="0" w:space="0" w:color="auto"/>
            <w:bottom w:val="none" w:sz="0" w:space="0" w:color="auto"/>
            <w:right w:val="none" w:sz="0" w:space="0" w:color="auto"/>
          </w:divBdr>
        </w:div>
      </w:divsChild>
    </w:div>
    <w:div w:id="1462071572">
      <w:bodyDiv w:val="1"/>
      <w:marLeft w:val="0"/>
      <w:marRight w:val="0"/>
      <w:marTop w:val="0"/>
      <w:marBottom w:val="0"/>
      <w:divBdr>
        <w:top w:val="none" w:sz="0" w:space="0" w:color="auto"/>
        <w:left w:val="none" w:sz="0" w:space="0" w:color="auto"/>
        <w:bottom w:val="none" w:sz="0" w:space="0" w:color="auto"/>
        <w:right w:val="none" w:sz="0" w:space="0" w:color="auto"/>
      </w:divBdr>
    </w:div>
    <w:div w:id="1463692686">
      <w:bodyDiv w:val="1"/>
      <w:marLeft w:val="0"/>
      <w:marRight w:val="0"/>
      <w:marTop w:val="0"/>
      <w:marBottom w:val="0"/>
      <w:divBdr>
        <w:top w:val="none" w:sz="0" w:space="0" w:color="auto"/>
        <w:left w:val="none" w:sz="0" w:space="0" w:color="auto"/>
        <w:bottom w:val="none" w:sz="0" w:space="0" w:color="auto"/>
        <w:right w:val="none" w:sz="0" w:space="0" w:color="auto"/>
      </w:divBdr>
    </w:div>
    <w:div w:id="1463813858">
      <w:bodyDiv w:val="1"/>
      <w:marLeft w:val="0"/>
      <w:marRight w:val="0"/>
      <w:marTop w:val="0"/>
      <w:marBottom w:val="0"/>
      <w:divBdr>
        <w:top w:val="none" w:sz="0" w:space="0" w:color="auto"/>
        <w:left w:val="none" w:sz="0" w:space="0" w:color="auto"/>
        <w:bottom w:val="none" w:sz="0" w:space="0" w:color="auto"/>
        <w:right w:val="none" w:sz="0" w:space="0" w:color="auto"/>
      </w:divBdr>
    </w:div>
    <w:div w:id="1463885337">
      <w:bodyDiv w:val="1"/>
      <w:marLeft w:val="0"/>
      <w:marRight w:val="0"/>
      <w:marTop w:val="0"/>
      <w:marBottom w:val="0"/>
      <w:divBdr>
        <w:top w:val="none" w:sz="0" w:space="0" w:color="auto"/>
        <w:left w:val="none" w:sz="0" w:space="0" w:color="auto"/>
        <w:bottom w:val="none" w:sz="0" w:space="0" w:color="auto"/>
        <w:right w:val="none" w:sz="0" w:space="0" w:color="auto"/>
      </w:divBdr>
    </w:div>
    <w:div w:id="1465659288">
      <w:bodyDiv w:val="1"/>
      <w:marLeft w:val="0"/>
      <w:marRight w:val="0"/>
      <w:marTop w:val="0"/>
      <w:marBottom w:val="0"/>
      <w:divBdr>
        <w:top w:val="none" w:sz="0" w:space="0" w:color="auto"/>
        <w:left w:val="none" w:sz="0" w:space="0" w:color="auto"/>
        <w:bottom w:val="none" w:sz="0" w:space="0" w:color="auto"/>
        <w:right w:val="none" w:sz="0" w:space="0" w:color="auto"/>
      </w:divBdr>
    </w:div>
    <w:div w:id="1466390437">
      <w:bodyDiv w:val="1"/>
      <w:marLeft w:val="0"/>
      <w:marRight w:val="0"/>
      <w:marTop w:val="0"/>
      <w:marBottom w:val="0"/>
      <w:divBdr>
        <w:top w:val="none" w:sz="0" w:space="0" w:color="auto"/>
        <w:left w:val="none" w:sz="0" w:space="0" w:color="auto"/>
        <w:bottom w:val="none" w:sz="0" w:space="0" w:color="auto"/>
        <w:right w:val="none" w:sz="0" w:space="0" w:color="auto"/>
      </w:divBdr>
    </w:div>
    <w:div w:id="1468081726">
      <w:bodyDiv w:val="1"/>
      <w:marLeft w:val="0"/>
      <w:marRight w:val="0"/>
      <w:marTop w:val="0"/>
      <w:marBottom w:val="0"/>
      <w:divBdr>
        <w:top w:val="none" w:sz="0" w:space="0" w:color="auto"/>
        <w:left w:val="none" w:sz="0" w:space="0" w:color="auto"/>
        <w:bottom w:val="none" w:sz="0" w:space="0" w:color="auto"/>
        <w:right w:val="none" w:sz="0" w:space="0" w:color="auto"/>
      </w:divBdr>
    </w:div>
    <w:div w:id="1470778810">
      <w:bodyDiv w:val="1"/>
      <w:marLeft w:val="0"/>
      <w:marRight w:val="0"/>
      <w:marTop w:val="0"/>
      <w:marBottom w:val="0"/>
      <w:divBdr>
        <w:top w:val="none" w:sz="0" w:space="0" w:color="auto"/>
        <w:left w:val="none" w:sz="0" w:space="0" w:color="auto"/>
        <w:bottom w:val="none" w:sz="0" w:space="0" w:color="auto"/>
        <w:right w:val="none" w:sz="0" w:space="0" w:color="auto"/>
      </w:divBdr>
    </w:div>
    <w:div w:id="1471090551">
      <w:bodyDiv w:val="1"/>
      <w:marLeft w:val="0"/>
      <w:marRight w:val="0"/>
      <w:marTop w:val="0"/>
      <w:marBottom w:val="0"/>
      <w:divBdr>
        <w:top w:val="none" w:sz="0" w:space="0" w:color="auto"/>
        <w:left w:val="none" w:sz="0" w:space="0" w:color="auto"/>
        <w:bottom w:val="none" w:sz="0" w:space="0" w:color="auto"/>
        <w:right w:val="none" w:sz="0" w:space="0" w:color="auto"/>
      </w:divBdr>
    </w:div>
    <w:div w:id="1472409033">
      <w:bodyDiv w:val="1"/>
      <w:marLeft w:val="0"/>
      <w:marRight w:val="0"/>
      <w:marTop w:val="0"/>
      <w:marBottom w:val="0"/>
      <w:divBdr>
        <w:top w:val="none" w:sz="0" w:space="0" w:color="auto"/>
        <w:left w:val="none" w:sz="0" w:space="0" w:color="auto"/>
        <w:bottom w:val="none" w:sz="0" w:space="0" w:color="auto"/>
        <w:right w:val="none" w:sz="0" w:space="0" w:color="auto"/>
      </w:divBdr>
    </w:div>
    <w:div w:id="1472598218">
      <w:bodyDiv w:val="1"/>
      <w:marLeft w:val="0"/>
      <w:marRight w:val="0"/>
      <w:marTop w:val="0"/>
      <w:marBottom w:val="0"/>
      <w:divBdr>
        <w:top w:val="none" w:sz="0" w:space="0" w:color="auto"/>
        <w:left w:val="none" w:sz="0" w:space="0" w:color="auto"/>
        <w:bottom w:val="none" w:sz="0" w:space="0" w:color="auto"/>
        <w:right w:val="none" w:sz="0" w:space="0" w:color="auto"/>
      </w:divBdr>
    </w:div>
    <w:div w:id="1473403898">
      <w:bodyDiv w:val="1"/>
      <w:marLeft w:val="0"/>
      <w:marRight w:val="0"/>
      <w:marTop w:val="0"/>
      <w:marBottom w:val="0"/>
      <w:divBdr>
        <w:top w:val="none" w:sz="0" w:space="0" w:color="auto"/>
        <w:left w:val="none" w:sz="0" w:space="0" w:color="auto"/>
        <w:bottom w:val="none" w:sz="0" w:space="0" w:color="auto"/>
        <w:right w:val="none" w:sz="0" w:space="0" w:color="auto"/>
      </w:divBdr>
    </w:div>
    <w:div w:id="1474568102">
      <w:bodyDiv w:val="1"/>
      <w:marLeft w:val="0"/>
      <w:marRight w:val="0"/>
      <w:marTop w:val="0"/>
      <w:marBottom w:val="0"/>
      <w:divBdr>
        <w:top w:val="none" w:sz="0" w:space="0" w:color="auto"/>
        <w:left w:val="none" w:sz="0" w:space="0" w:color="auto"/>
        <w:bottom w:val="none" w:sz="0" w:space="0" w:color="auto"/>
        <w:right w:val="none" w:sz="0" w:space="0" w:color="auto"/>
      </w:divBdr>
    </w:div>
    <w:div w:id="1475833857">
      <w:bodyDiv w:val="1"/>
      <w:marLeft w:val="0"/>
      <w:marRight w:val="0"/>
      <w:marTop w:val="0"/>
      <w:marBottom w:val="0"/>
      <w:divBdr>
        <w:top w:val="none" w:sz="0" w:space="0" w:color="auto"/>
        <w:left w:val="none" w:sz="0" w:space="0" w:color="auto"/>
        <w:bottom w:val="none" w:sz="0" w:space="0" w:color="auto"/>
        <w:right w:val="none" w:sz="0" w:space="0" w:color="auto"/>
      </w:divBdr>
    </w:div>
    <w:div w:id="1477650797">
      <w:bodyDiv w:val="1"/>
      <w:marLeft w:val="0"/>
      <w:marRight w:val="0"/>
      <w:marTop w:val="0"/>
      <w:marBottom w:val="0"/>
      <w:divBdr>
        <w:top w:val="none" w:sz="0" w:space="0" w:color="auto"/>
        <w:left w:val="none" w:sz="0" w:space="0" w:color="auto"/>
        <w:bottom w:val="none" w:sz="0" w:space="0" w:color="auto"/>
        <w:right w:val="none" w:sz="0" w:space="0" w:color="auto"/>
      </w:divBdr>
    </w:div>
    <w:div w:id="1478112735">
      <w:bodyDiv w:val="1"/>
      <w:marLeft w:val="0"/>
      <w:marRight w:val="0"/>
      <w:marTop w:val="0"/>
      <w:marBottom w:val="0"/>
      <w:divBdr>
        <w:top w:val="none" w:sz="0" w:space="0" w:color="auto"/>
        <w:left w:val="none" w:sz="0" w:space="0" w:color="auto"/>
        <w:bottom w:val="none" w:sz="0" w:space="0" w:color="auto"/>
        <w:right w:val="none" w:sz="0" w:space="0" w:color="auto"/>
      </w:divBdr>
    </w:div>
    <w:div w:id="1481265000">
      <w:bodyDiv w:val="1"/>
      <w:marLeft w:val="0"/>
      <w:marRight w:val="0"/>
      <w:marTop w:val="0"/>
      <w:marBottom w:val="0"/>
      <w:divBdr>
        <w:top w:val="none" w:sz="0" w:space="0" w:color="auto"/>
        <w:left w:val="none" w:sz="0" w:space="0" w:color="auto"/>
        <w:bottom w:val="none" w:sz="0" w:space="0" w:color="auto"/>
        <w:right w:val="none" w:sz="0" w:space="0" w:color="auto"/>
      </w:divBdr>
    </w:div>
    <w:div w:id="1483501330">
      <w:bodyDiv w:val="1"/>
      <w:marLeft w:val="0"/>
      <w:marRight w:val="0"/>
      <w:marTop w:val="0"/>
      <w:marBottom w:val="0"/>
      <w:divBdr>
        <w:top w:val="none" w:sz="0" w:space="0" w:color="auto"/>
        <w:left w:val="none" w:sz="0" w:space="0" w:color="auto"/>
        <w:bottom w:val="none" w:sz="0" w:space="0" w:color="auto"/>
        <w:right w:val="none" w:sz="0" w:space="0" w:color="auto"/>
      </w:divBdr>
    </w:div>
    <w:div w:id="1484077034">
      <w:bodyDiv w:val="1"/>
      <w:marLeft w:val="0"/>
      <w:marRight w:val="0"/>
      <w:marTop w:val="0"/>
      <w:marBottom w:val="0"/>
      <w:divBdr>
        <w:top w:val="none" w:sz="0" w:space="0" w:color="auto"/>
        <w:left w:val="none" w:sz="0" w:space="0" w:color="auto"/>
        <w:bottom w:val="none" w:sz="0" w:space="0" w:color="auto"/>
        <w:right w:val="none" w:sz="0" w:space="0" w:color="auto"/>
      </w:divBdr>
    </w:div>
    <w:div w:id="1486778012">
      <w:bodyDiv w:val="1"/>
      <w:marLeft w:val="0"/>
      <w:marRight w:val="0"/>
      <w:marTop w:val="0"/>
      <w:marBottom w:val="0"/>
      <w:divBdr>
        <w:top w:val="none" w:sz="0" w:space="0" w:color="auto"/>
        <w:left w:val="none" w:sz="0" w:space="0" w:color="auto"/>
        <w:bottom w:val="none" w:sz="0" w:space="0" w:color="auto"/>
        <w:right w:val="none" w:sz="0" w:space="0" w:color="auto"/>
      </w:divBdr>
    </w:div>
    <w:div w:id="1488860541">
      <w:bodyDiv w:val="1"/>
      <w:marLeft w:val="0"/>
      <w:marRight w:val="0"/>
      <w:marTop w:val="0"/>
      <w:marBottom w:val="0"/>
      <w:divBdr>
        <w:top w:val="none" w:sz="0" w:space="0" w:color="auto"/>
        <w:left w:val="none" w:sz="0" w:space="0" w:color="auto"/>
        <w:bottom w:val="none" w:sz="0" w:space="0" w:color="auto"/>
        <w:right w:val="none" w:sz="0" w:space="0" w:color="auto"/>
      </w:divBdr>
    </w:div>
    <w:div w:id="1489249475">
      <w:bodyDiv w:val="1"/>
      <w:marLeft w:val="0"/>
      <w:marRight w:val="0"/>
      <w:marTop w:val="0"/>
      <w:marBottom w:val="0"/>
      <w:divBdr>
        <w:top w:val="none" w:sz="0" w:space="0" w:color="auto"/>
        <w:left w:val="none" w:sz="0" w:space="0" w:color="auto"/>
        <w:bottom w:val="none" w:sz="0" w:space="0" w:color="auto"/>
        <w:right w:val="none" w:sz="0" w:space="0" w:color="auto"/>
      </w:divBdr>
    </w:div>
    <w:div w:id="1489401513">
      <w:bodyDiv w:val="1"/>
      <w:marLeft w:val="0"/>
      <w:marRight w:val="0"/>
      <w:marTop w:val="0"/>
      <w:marBottom w:val="0"/>
      <w:divBdr>
        <w:top w:val="none" w:sz="0" w:space="0" w:color="auto"/>
        <w:left w:val="none" w:sz="0" w:space="0" w:color="auto"/>
        <w:bottom w:val="none" w:sz="0" w:space="0" w:color="auto"/>
        <w:right w:val="none" w:sz="0" w:space="0" w:color="auto"/>
      </w:divBdr>
    </w:div>
    <w:div w:id="1493137537">
      <w:bodyDiv w:val="1"/>
      <w:marLeft w:val="0"/>
      <w:marRight w:val="0"/>
      <w:marTop w:val="0"/>
      <w:marBottom w:val="0"/>
      <w:divBdr>
        <w:top w:val="none" w:sz="0" w:space="0" w:color="auto"/>
        <w:left w:val="none" w:sz="0" w:space="0" w:color="auto"/>
        <w:bottom w:val="none" w:sz="0" w:space="0" w:color="auto"/>
        <w:right w:val="none" w:sz="0" w:space="0" w:color="auto"/>
      </w:divBdr>
    </w:div>
    <w:div w:id="1497571903">
      <w:bodyDiv w:val="1"/>
      <w:marLeft w:val="0"/>
      <w:marRight w:val="0"/>
      <w:marTop w:val="0"/>
      <w:marBottom w:val="0"/>
      <w:divBdr>
        <w:top w:val="none" w:sz="0" w:space="0" w:color="auto"/>
        <w:left w:val="none" w:sz="0" w:space="0" w:color="auto"/>
        <w:bottom w:val="none" w:sz="0" w:space="0" w:color="auto"/>
        <w:right w:val="none" w:sz="0" w:space="0" w:color="auto"/>
      </w:divBdr>
    </w:div>
    <w:div w:id="1498351196">
      <w:bodyDiv w:val="1"/>
      <w:marLeft w:val="0"/>
      <w:marRight w:val="0"/>
      <w:marTop w:val="0"/>
      <w:marBottom w:val="0"/>
      <w:divBdr>
        <w:top w:val="none" w:sz="0" w:space="0" w:color="auto"/>
        <w:left w:val="none" w:sz="0" w:space="0" w:color="auto"/>
        <w:bottom w:val="none" w:sz="0" w:space="0" w:color="auto"/>
        <w:right w:val="none" w:sz="0" w:space="0" w:color="auto"/>
      </w:divBdr>
    </w:div>
    <w:div w:id="1500922731">
      <w:bodyDiv w:val="1"/>
      <w:marLeft w:val="0"/>
      <w:marRight w:val="0"/>
      <w:marTop w:val="0"/>
      <w:marBottom w:val="0"/>
      <w:divBdr>
        <w:top w:val="none" w:sz="0" w:space="0" w:color="auto"/>
        <w:left w:val="none" w:sz="0" w:space="0" w:color="auto"/>
        <w:bottom w:val="none" w:sz="0" w:space="0" w:color="auto"/>
        <w:right w:val="none" w:sz="0" w:space="0" w:color="auto"/>
      </w:divBdr>
    </w:div>
    <w:div w:id="1501694968">
      <w:bodyDiv w:val="1"/>
      <w:marLeft w:val="0"/>
      <w:marRight w:val="0"/>
      <w:marTop w:val="0"/>
      <w:marBottom w:val="0"/>
      <w:divBdr>
        <w:top w:val="none" w:sz="0" w:space="0" w:color="auto"/>
        <w:left w:val="none" w:sz="0" w:space="0" w:color="auto"/>
        <w:bottom w:val="none" w:sz="0" w:space="0" w:color="auto"/>
        <w:right w:val="none" w:sz="0" w:space="0" w:color="auto"/>
      </w:divBdr>
    </w:div>
    <w:div w:id="1502037937">
      <w:bodyDiv w:val="1"/>
      <w:marLeft w:val="0"/>
      <w:marRight w:val="0"/>
      <w:marTop w:val="0"/>
      <w:marBottom w:val="0"/>
      <w:divBdr>
        <w:top w:val="none" w:sz="0" w:space="0" w:color="auto"/>
        <w:left w:val="none" w:sz="0" w:space="0" w:color="auto"/>
        <w:bottom w:val="none" w:sz="0" w:space="0" w:color="auto"/>
        <w:right w:val="none" w:sz="0" w:space="0" w:color="auto"/>
      </w:divBdr>
    </w:div>
    <w:div w:id="1503859199">
      <w:bodyDiv w:val="1"/>
      <w:marLeft w:val="0"/>
      <w:marRight w:val="0"/>
      <w:marTop w:val="0"/>
      <w:marBottom w:val="0"/>
      <w:divBdr>
        <w:top w:val="none" w:sz="0" w:space="0" w:color="auto"/>
        <w:left w:val="none" w:sz="0" w:space="0" w:color="auto"/>
        <w:bottom w:val="none" w:sz="0" w:space="0" w:color="auto"/>
        <w:right w:val="none" w:sz="0" w:space="0" w:color="auto"/>
      </w:divBdr>
    </w:div>
    <w:div w:id="1506824694">
      <w:bodyDiv w:val="1"/>
      <w:marLeft w:val="0"/>
      <w:marRight w:val="0"/>
      <w:marTop w:val="0"/>
      <w:marBottom w:val="0"/>
      <w:divBdr>
        <w:top w:val="none" w:sz="0" w:space="0" w:color="auto"/>
        <w:left w:val="none" w:sz="0" w:space="0" w:color="auto"/>
        <w:bottom w:val="none" w:sz="0" w:space="0" w:color="auto"/>
        <w:right w:val="none" w:sz="0" w:space="0" w:color="auto"/>
      </w:divBdr>
    </w:div>
    <w:div w:id="1508180454">
      <w:bodyDiv w:val="1"/>
      <w:marLeft w:val="0"/>
      <w:marRight w:val="0"/>
      <w:marTop w:val="0"/>
      <w:marBottom w:val="0"/>
      <w:divBdr>
        <w:top w:val="none" w:sz="0" w:space="0" w:color="auto"/>
        <w:left w:val="none" w:sz="0" w:space="0" w:color="auto"/>
        <w:bottom w:val="none" w:sz="0" w:space="0" w:color="auto"/>
        <w:right w:val="none" w:sz="0" w:space="0" w:color="auto"/>
      </w:divBdr>
    </w:div>
    <w:div w:id="1511607579">
      <w:bodyDiv w:val="1"/>
      <w:marLeft w:val="0"/>
      <w:marRight w:val="0"/>
      <w:marTop w:val="0"/>
      <w:marBottom w:val="0"/>
      <w:divBdr>
        <w:top w:val="none" w:sz="0" w:space="0" w:color="auto"/>
        <w:left w:val="none" w:sz="0" w:space="0" w:color="auto"/>
        <w:bottom w:val="none" w:sz="0" w:space="0" w:color="auto"/>
        <w:right w:val="none" w:sz="0" w:space="0" w:color="auto"/>
      </w:divBdr>
    </w:div>
    <w:div w:id="1512258222">
      <w:bodyDiv w:val="1"/>
      <w:marLeft w:val="0"/>
      <w:marRight w:val="0"/>
      <w:marTop w:val="0"/>
      <w:marBottom w:val="0"/>
      <w:divBdr>
        <w:top w:val="none" w:sz="0" w:space="0" w:color="auto"/>
        <w:left w:val="none" w:sz="0" w:space="0" w:color="auto"/>
        <w:bottom w:val="none" w:sz="0" w:space="0" w:color="auto"/>
        <w:right w:val="none" w:sz="0" w:space="0" w:color="auto"/>
      </w:divBdr>
    </w:div>
    <w:div w:id="1515536723">
      <w:bodyDiv w:val="1"/>
      <w:marLeft w:val="0"/>
      <w:marRight w:val="0"/>
      <w:marTop w:val="0"/>
      <w:marBottom w:val="0"/>
      <w:divBdr>
        <w:top w:val="none" w:sz="0" w:space="0" w:color="auto"/>
        <w:left w:val="none" w:sz="0" w:space="0" w:color="auto"/>
        <w:bottom w:val="none" w:sz="0" w:space="0" w:color="auto"/>
        <w:right w:val="none" w:sz="0" w:space="0" w:color="auto"/>
      </w:divBdr>
    </w:div>
    <w:div w:id="1516111321">
      <w:bodyDiv w:val="1"/>
      <w:marLeft w:val="0"/>
      <w:marRight w:val="0"/>
      <w:marTop w:val="0"/>
      <w:marBottom w:val="0"/>
      <w:divBdr>
        <w:top w:val="none" w:sz="0" w:space="0" w:color="auto"/>
        <w:left w:val="none" w:sz="0" w:space="0" w:color="auto"/>
        <w:bottom w:val="none" w:sz="0" w:space="0" w:color="auto"/>
        <w:right w:val="none" w:sz="0" w:space="0" w:color="auto"/>
      </w:divBdr>
    </w:div>
    <w:div w:id="1522813753">
      <w:bodyDiv w:val="1"/>
      <w:marLeft w:val="0"/>
      <w:marRight w:val="0"/>
      <w:marTop w:val="0"/>
      <w:marBottom w:val="0"/>
      <w:divBdr>
        <w:top w:val="none" w:sz="0" w:space="0" w:color="auto"/>
        <w:left w:val="none" w:sz="0" w:space="0" w:color="auto"/>
        <w:bottom w:val="none" w:sz="0" w:space="0" w:color="auto"/>
        <w:right w:val="none" w:sz="0" w:space="0" w:color="auto"/>
      </w:divBdr>
    </w:div>
    <w:div w:id="1524635863">
      <w:bodyDiv w:val="1"/>
      <w:marLeft w:val="0"/>
      <w:marRight w:val="0"/>
      <w:marTop w:val="0"/>
      <w:marBottom w:val="0"/>
      <w:divBdr>
        <w:top w:val="none" w:sz="0" w:space="0" w:color="auto"/>
        <w:left w:val="none" w:sz="0" w:space="0" w:color="auto"/>
        <w:bottom w:val="none" w:sz="0" w:space="0" w:color="auto"/>
        <w:right w:val="none" w:sz="0" w:space="0" w:color="auto"/>
      </w:divBdr>
    </w:div>
    <w:div w:id="1524977508">
      <w:bodyDiv w:val="1"/>
      <w:marLeft w:val="0"/>
      <w:marRight w:val="0"/>
      <w:marTop w:val="0"/>
      <w:marBottom w:val="0"/>
      <w:divBdr>
        <w:top w:val="none" w:sz="0" w:space="0" w:color="auto"/>
        <w:left w:val="none" w:sz="0" w:space="0" w:color="auto"/>
        <w:bottom w:val="none" w:sz="0" w:space="0" w:color="auto"/>
        <w:right w:val="none" w:sz="0" w:space="0" w:color="auto"/>
      </w:divBdr>
    </w:div>
    <w:div w:id="1526287794">
      <w:bodyDiv w:val="1"/>
      <w:marLeft w:val="0"/>
      <w:marRight w:val="0"/>
      <w:marTop w:val="0"/>
      <w:marBottom w:val="0"/>
      <w:divBdr>
        <w:top w:val="none" w:sz="0" w:space="0" w:color="auto"/>
        <w:left w:val="none" w:sz="0" w:space="0" w:color="auto"/>
        <w:bottom w:val="none" w:sz="0" w:space="0" w:color="auto"/>
        <w:right w:val="none" w:sz="0" w:space="0" w:color="auto"/>
      </w:divBdr>
    </w:div>
    <w:div w:id="1526555815">
      <w:bodyDiv w:val="1"/>
      <w:marLeft w:val="0"/>
      <w:marRight w:val="0"/>
      <w:marTop w:val="0"/>
      <w:marBottom w:val="0"/>
      <w:divBdr>
        <w:top w:val="none" w:sz="0" w:space="0" w:color="auto"/>
        <w:left w:val="none" w:sz="0" w:space="0" w:color="auto"/>
        <w:bottom w:val="none" w:sz="0" w:space="0" w:color="auto"/>
        <w:right w:val="none" w:sz="0" w:space="0" w:color="auto"/>
      </w:divBdr>
    </w:div>
    <w:div w:id="1526863281">
      <w:bodyDiv w:val="1"/>
      <w:marLeft w:val="0"/>
      <w:marRight w:val="0"/>
      <w:marTop w:val="0"/>
      <w:marBottom w:val="0"/>
      <w:divBdr>
        <w:top w:val="none" w:sz="0" w:space="0" w:color="auto"/>
        <w:left w:val="none" w:sz="0" w:space="0" w:color="auto"/>
        <w:bottom w:val="none" w:sz="0" w:space="0" w:color="auto"/>
        <w:right w:val="none" w:sz="0" w:space="0" w:color="auto"/>
      </w:divBdr>
    </w:div>
    <w:div w:id="1527404895">
      <w:bodyDiv w:val="1"/>
      <w:marLeft w:val="0"/>
      <w:marRight w:val="0"/>
      <w:marTop w:val="0"/>
      <w:marBottom w:val="0"/>
      <w:divBdr>
        <w:top w:val="none" w:sz="0" w:space="0" w:color="auto"/>
        <w:left w:val="none" w:sz="0" w:space="0" w:color="auto"/>
        <w:bottom w:val="none" w:sz="0" w:space="0" w:color="auto"/>
        <w:right w:val="none" w:sz="0" w:space="0" w:color="auto"/>
      </w:divBdr>
    </w:div>
    <w:div w:id="1528329912">
      <w:bodyDiv w:val="1"/>
      <w:marLeft w:val="0"/>
      <w:marRight w:val="0"/>
      <w:marTop w:val="0"/>
      <w:marBottom w:val="0"/>
      <w:divBdr>
        <w:top w:val="none" w:sz="0" w:space="0" w:color="auto"/>
        <w:left w:val="none" w:sz="0" w:space="0" w:color="auto"/>
        <w:bottom w:val="none" w:sz="0" w:space="0" w:color="auto"/>
        <w:right w:val="none" w:sz="0" w:space="0" w:color="auto"/>
      </w:divBdr>
    </w:div>
    <w:div w:id="1532035234">
      <w:bodyDiv w:val="1"/>
      <w:marLeft w:val="0"/>
      <w:marRight w:val="0"/>
      <w:marTop w:val="0"/>
      <w:marBottom w:val="0"/>
      <w:divBdr>
        <w:top w:val="none" w:sz="0" w:space="0" w:color="auto"/>
        <w:left w:val="none" w:sz="0" w:space="0" w:color="auto"/>
        <w:bottom w:val="none" w:sz="0" w:space="0" w:color="auto"/>
        <w:right w:val="none" w:sz="0" w:space="0" w:color="auto"/>
      </w:divBdr>
    </w:div>
    <w:div w:id="1532261933">
      <w:bodyDiv w:val="1"/>
      <w:marLeft w:val="0"/>
      <w:marRight w:val="0"/>
      <w:marTop w:val="0"/>
      <w:marBottom w:val="0"/>
      <w:divBdr>
        <w:top w:val="none" w:sz="0" w:space="0" w:color="auto"/>
        <w:left w:val="none" w:sz="0" w:space="0" w:color="auto"/>
        <w:bottom w:val="none" w:sz="0" w:space="0" w:color="auto"/>
        <w:right w:val="none" w:sz="0" w:space="0" w:color="auto"/>
      </w:divBdr>
    </w:div>
    <w:div w:id="1534226182">
      <w:bodyDiv w:val="1"/>
      <w:marLeft w:val="0"/>
      <w:marRight w:val="0"/>
      <w:marTop w:val="0"/>
      <w:marBottom w:val="0"/>
      <w:divBdr>
        <w:top w:val="none" w:sz="0" w:space="0" w:color="auto"/>
        <w:left w:val="none" w:sz="0" w:space="0" w:color="auto"/>
        <w:bottom w:val="none" w:sz="0" w:space="0" w:color="auto"/>
        <w:right w:val="none" w:sz="0" w:space="0" w:color="auto"/>
      </w:divBdr>
    </w:div>
    <w:div w:id="1534341026">
      <w:bodyDiv w:val="1"/>
      <w:marLeft w:val="0"/>
      <w:marRight w:val="0"/>
      <w:marTop w:val="0"/>
      <w:marBottom w:val="0"/>
      <w:divBdr>
        <w:top w:val="none" w:sz="0" w:space="0" w:color="auto"/>
        <w:left w:val="none" w:sz="0" w:space="0" w:color="auto"/>
        <w:bottom w:val="none" w:sz="0" w:space="0" w:color="auto"/>
        <w:right w:val="none" w:sz="0" w:space="0" w:color="auto"/>
      </w:divBdr>
    </w:div>
    <w:div w:id="1537623002">
      <w:bodyDiv w:val="1"/>
      <w:marLeft w:val="0"/>
      <w:marRight w:val="0"/>
      <w:marTop w:val="0"/>
      <w:marBottom w:val="0"/>
      <w:divBdr>
        <w:top w:val="none" w:sz="0" w:space="0" w:color="auto"/>
        <w:left w:val="none" w:sz="0" w:space="0" w:color="auto"/>
        <w:bottom w:val="none" w:sz="0" w:space="0" w:color="auto"/>
        <w:right w:val="none" w:sz="0" w:space="0" w:color="auto"/>
      </w:divBdr>
    </w:div>
    <w:div w:id="1539732414">
      <w:bodyDiv w:val="1"/>
      <w:marLeft w:val="0"/>
      <w:marRight w:val="0"/>
      <w:marTop w:val="0"/>
      <w:marBottom w:val="0"/>
      <w:divBdr>
        <w:top w:val="none" w:sz="0" w:space="0" w:color="auto"/>
        <w:left w:val="none" w:sz="0" w:space="0" w:color="auto"/>
        <w:bottom w:val="none" w:sz="0" w:space="0" w:color="auto"/>
        <w:right w:val="none" w:sz="0" w:space="0" w:color="auto"/>
      </w:divBdr>
    </w:div>
    <w:div w:id="1541434389">
      <w:bodyDiv w:val="1"/>
      <w:marLeft w:val="0"/>
      <w:marRight w:val="0"/>
      <w:marTop w:val="0"/>
      <w:marBottom w:val="0"/>
      <w:divBdr>
        <w:top w:val="none" w:sz="0" w:space="0" w:color="auto"/>
        <w:left w:val="none" w:sz="0" w:space="0" w:color="auto"/>
        <w:bottom w:val="none" w:sz="0" w:space="0" w:color="auto"/>
        <w:right w:val="none" w:sz="0" w:space="0" w:color="auto"/>
      </w:divBdr>
    </w:div>
    <w:div w:id="1541555796">
      <w:bodyDiv w:val="1"/>
      <w:marLeft w:val="0"/>
      <w:marRight w:val="0"/>
      <w:marTop w:val="0"/>
      <w:marBottom w:val="0"/>
      <w:divBdr>
        <w:top w:val="none" w:sz="0" w:space="0" w:color="auto"/>
        <w:left w:val="none" w:sz="0" w:space="0" w:color="auto"/>
        <w:bottom w:val="none" w:sz="0" w:space="0" w:color="auto"/>
        <w:right w:val="none" w:sz="0" w:space="0" w:color="auto"/>
      </w:divBdr>
    </w:div>
    <w:div w:id="1542353139">
      <w:bodyDiv w:val="1"/>
      <w:marLeft w:val="0"/>
      <w:marRight w:val="0"/>
      <w:marTop w:val="0"/>
      <w:marBottom w:val="0"/>
      <w:divBdr>
        <w:top w:val="none" w:sz="0" w:space="0" w:color="auto"/>
        <w:left w:val="none" w:sz="0" w:space="0" w:color="auto"/>
        <w:bottom w:val="none" w:sz="0" w:space="0" w:color="auto"/>
        <w:right w:val="none" w:sz="0" w:space="0" w:color="auto"/>
      </w:divBdr>
    </w:div>
    <w:div w:id="1542982430">
      <w:bodyDiv w:val="1"/>
      <w:marLeft w:val="0"/>
      <w:marRight w:val="0"/>
      <w:marTop w:val="0"/>
      <w:marBottom w:val="0"/>
      <w:divBdr>
        <w:top w:val="none" w:sz="0" w:space="0" w:color="auto"/>
        <w:left w:val="none" w:sz="0" w:space="0" w:color="auto"/>
        <w:bottom w:val="none" w:sz="0" w:space="0" w:color="auto"/>
        <w:right w:val="none" w:sz="0" w:space="0" w:color="auto"/>
      </w:divBdr>
    </w:div>
    <w:div w:id="1543665014">
      <w:bodyDiv w:val="1"/>
      <w:marLeft w:val="0"/>
      <w:marRight w:val="0"/>
      <w:marTop w:val="0"/>
      <w:marBottom w:val="0"/>
      <w:divBdr>
        <w:top w:val="none" w:sz="0" w:space="0" w:color="auto"/>
        <w:left w:val="none" w:sz="0" w:space="0" w:color="auto"/>
        <w:bottom w:val="none" w:sz="0" w:space="0" w:color="auto"/>
        <w:right w:val="none" w:sz="0" w:space="0" w:color="auto"/>
      </w:divBdr>
    </w:div>
    <w:div w:id="1546136235">
      <w:bodyDiv w:val="1"/>
      <w:marLeft w:val="0"/>
      <w:marRight w:val="0"/>
      <w:marTop w:val="0"/>
      <w:marBottom w:val="0"/>
      <w:divBdr>
        <w:top w:val="none" w:sz="0" w:space="0" w:color="auto"/>
        <w:left w:val="none" w:sz="0" w:space="0" w:color="auto"/>
        <w:bottom w:val="none" w:sz="0" w:space="0" w:color="auto"/>
        <w:right w:val="none" w:sz="0" w:space="0" w:color="auto"/>
      </w:divBdr>
    </w:div>
    <w:div w:id="1547990566">
      <w:bodyDiv w:val="1"/>
      <w:marLeft w:val="0"/>
      <w:marRight w:val="0"/>
      <w:marTop w:val="0"/>
      <w:marBottom w:val="0"/>
      <w:divBdr>
        <w:top w:val="none" w:sz="0" w:space="0" w:color="auto"/>
        <w:left w:val="none" w:sz="0" w:space="0" w:color="auto"/>
        <w:bottom w:val="none" w:sz="0" w:space="0" w:color="auto"/>
        <w:right w:val="none" w:sz="0" w:space="0" w:color="auto"/>
      </w:divBdr>
    </w:div>
    <w:div w:id="1548176489">
      <w:bodyDiv w:val="1"/>
      <w:marLeft w:val="0"/>
      <w:marRight w:val="0"/>
      <w:marTop w:val="0"/>
      <w:marBottom w:val="0"/>
      <w:divBdr>
        <w:top w:val="none" w:sz="0" w:space="0" w:color="auto"/>
        <w:left w:val="none" w:sz="0" w:space="0" w:color="auto"/>
        <w:bottom w:val="none" w:sz="0" w:space="0" w:color="auto"/>
        <w:right w:val="none" w:sz="0" w:space="0" w:color="auto"/>
      </w:divBdr>
    </w:div>
    <w:div w:id="1548250707">
      <w:bodyDiv w:val="1"/>
      <w:marLeft w:val="0"/>
      <w:marRight w:val="0"/>
      <w:marTop w:val="0"/>
      <w:marBottom w:val="0"/>
      <w:divBdr>
        <w:top w:val="none" w:sz="0" w:space="0" w:color="auto"/>
        <w:left w:val="none" w:sz="0" w:space="0" w:color="auto"/>
        <w:bottom w:val="none" w:sz="0" w:space="0" w:color="auto"/>
        <w:right w:val="none" w:sz="0" w:space="0" w:color="auto"/>
      </w:divBdr>
    </w:div>
    <w:div w:id="1548644472">
      <w:bodyDiv w:val="1"/>
      <w:marLeft w:val="0"/>
      <w:marRight w:val="0"/>
      <w:marTop w:val="0"/>
      <w:marBottom w:val="0"/>
      <w:divBdr>
        <w:top w:val="none" w:sz="0" w:space="0" w:color="auto"/>
        <w:left w:val="none" w:sz="0" w:space="0" w:color="auto"/>
        <w:bottom w:val="none" w:sz="0" w:space="0" w:color="auto"/>
        <w:right w:val="none" w:sz="0" w:space="0" w:color="auto"/>
      </w:divBdr>
    </w:div>
    <w:div w:id="1549563542">
      <w:bodyDiv w:val="1"/>
      <w:marLeft w:val="0"/>
      <w:marRight w:val="0"/>
      <w:marTop w:val="0"/>
      <w:marBottom w:val="0"/>
      <w:divBdr>
        <w:top w:val="none" w:sz="0" w:space="0" w:color="auto"/>
        <w:left w:val="none" w:sz="0" w:space="0" w:color="auto"/>
        <w:bottom w:val="none" w:sz="0" w:space="0" w:color="auto"/>
        <w:right w:val="none" w:sz="0" w:space="0" w:color="auto"/>
      </w:divBdr>
    </w:div>
    <w:div w:id="1550803233">
      <w:bodyDiv w:val="1"/>
      <w:marLeft w:val="0"/>
      <w:marRight w:val="0"/>
      <w:marTop w:val="0"/>
      <w:marBottom w:val="0"/>
      <w:divBdr>
        <w:top w:val="none" w:sz="0" w:space="0" w:color="auto"/>
        <w:left w:val="none" w:sz="0" w:space="0" w:color="auto"/>
        <w:bottom w:val="none" w:sz="0" w:space="0" w:color="auto"/>
        <w:right w:val="none" w:sz="0" w:space="0" w:color="auto"/>
      </w:divBdr>
    </w:div>
    <w:div w:id="1552185206">
      <w:bodyDiv w:val="1"/>
      <w:marLeft w:val="0"/>
      <w:marRight w:val="0"/>
      <w:marTop w:val="0"/>
      <w:marBottom w:val="0"/>
      <w:divBdr>
        <w:top w:val="none" w:sz="0" w:space="0" w:color="auto"/>
        <w:left w:val="none" w:sz="0" w:space="0" w:color="auto"/>
        <w:bottom w:val="none" w:sz="0" w:space="0" w:color="auto"/>
        <w:right w:val="none" w:sz="0" w:space="0" w:color="auto"/>
      </w:divBdr>
    </w:div>
    <w:div w:id="1553929738">
      <w:bodyDiv w:val="1"/>
      <w:marLeft w:val="0"/>
      <w:marRight w:val="0"/>
      <w:marTop w:val="0"/>
      <w:marBottom w:val="0"/>
      <w:divBdr>
        <w:top w:val="none" w:sz="0" w:space="0" w:color="auto"/>
        <w:left w:val="none" w:sz="0" w:space="0" w:color="auto"/>
        <w:bottom w:val="none" w:sz="0" w:space="0" w:color="auto"/>
        <w:right w:val="none" w:sz="0" w:space="0" w:color="auto"/>
      </w:divBdr>
    </w:div>
    <w:div w:id="1553998190">
      <w:bodyDiv w:val="1"/>
      <w:marLeft w:val="0"/>
      <w:marRight w:val="0"/>
      <w:marTop w:val="0"/>
      <w:marBottom w:val="0"/>
      <w:divBdr>
        <w:top w:val="none" w:sz="0" w:space="0" w:color="auto"/>
        <w:left w:val="none" w:sz="0" w:space="0" w:color="auto"/>
        <w:bottom w:val="none" w:sz="0" w:space="0" w:color="auto"/>
        <w:right w:val="none" w:sz="0" w:space="0" w:color="auto"/>
      </w:divBdr>
    </w:div>
    <w:div w:id="1553998653">
      <w:bodyDiv w:val="1"/>
      <w:marLeft w:val="0"/>
      <w:marRight w:val="0"/>
      <w:marTop w:val="0"/>
      <w:marBottom w:val="0"/>
      <w:divBdr>
        <w:top w:val="none" w:sz="0" w:space="0" w:color="auto"/>
        <w:left w:val="none" w:sz="0" w:space="0" w:color="auto"/>
        <w:bottom w:val="none" w:sz="0" w:space="0" w:color="auto"/>
        <w:right w:val="none" w:sz="0" w:space="0" w:color="auto"/>
      </w:divBdr>
    </w:div>
    <w:div w:id="1554999159">
      <w:bodyDiv w:val="1"/>
      <w:marLeft w:val="0"/>
      <w:marRight w:val="0"/>
      <w:marTop w:val="0"/>
      <w:marBottom w:val="0"/>
      <w:divBdr>
        <w:top w:val="none" w:sz="0" w:space="0" w:color="auto"/>
        <w:left w:val="none" w:sz="0" w:space="0" w:color="auto"/>
        <w:bottom w:val="none" w:sz="0" w:space="0" w:color="auto"/>
        <w:right w:val="none" w:sz="0" w:space="0" w:color="auto"/>
      </w:divBdr>
    </w:div>
    <w:div w:id="1557083631">
      <w:bodyDiv w:val="1"/>
      <w:marLeft w:val="0"/>
      <w:marRight w:val="0"/>
      <w:marTop w:val="0"/>
      <w:marBottom w:val="0"/>
      <w:divBdr>
        <w:top w:val="none" w:sz="0" w:space="0" w:color="auto"/>
        <w:left w:val="none" w:sz="0" w:space="0" w:color="auto"/>
        <w:bottom w:val="none" w:sz="0" w:space="0" w:color="auto"/>
        <w:right w:val="none" w:sz="0" w:space="0" w:color="auto"/>
      </w:divBdr>
    </w:div>
    <w:div w:id="1557476301">
      <w:bodyDiv w:val="1"/>
      <w:marLeft w:val="0"/>
      <w:marRight w:val="0"/>
      <w:marTop w:val="0"/>
      <w:marBottom w:val="0"/>
      <w:divBdr>
        <w:top w:val="none" w:sz="0" w:space="0" w:color="auto"/>
        <w:left w:val="none" w:sz="0" w:space="0" w:color="auto"/>
        <w:bottom w:val="none" w:sz="0" w:space="0" w:color="auto"/>
        <w:right w:val="none" w:sz="0" w:space="0" w:color="auto"/>
      </w:divBdr>
    </w:div>
    <w:div w:id="1558584940">
      <w:bodyDiv w:val="1"/>
      <w:marLeft w:val="0"/>
      <w:marRight w:val="0"/>
      <w:marTop w:val="0"/>
      <w:marBottom w:val="0"/>
      <w:divBdr>
        <w:top w:val="none" w:sz="0" w:space="0" w:color="auto"/>
        <w:left w:val="none" w:sz="0" w:space="0" w:color="auto"/>
        <w:bottom w:val="none" w:sz="0" w:space="0" w:color="auto"/>
        <w:right w:val="none" w:sz="0" w:space="0" w:color="auto"/>
      </w:divBdr>
    </w:div>
    <w:div w:id="1562669412">
      <w:bodyDiv w:val="1"/>
      <w:marLeft w:val="0"/>
      <w:marRight w:val="0"/>
      <w:marTop w:val="0"/>
      <w:marBottom w:val="0"/>
      <w:divBdr>
        <w:top w:val="none" w:sz="0" w:space="0" w:color="auto"/>
        <w:left w:val="none" w:sz="0" w:space="0" w:color="auto"/>
        <w:bottom w:val="none" w:sz="0" w:space="0" w:color="auto"/>
        <w:right w:val="none" w:sz="0" w:space="0" w:color="auto"/>
      </w:divBdr>
    </w:div>
    <w:div w:id="1563254009">
      <w:bodyDiv w:val="1"/>
      <w:marLeft w:val="0"/>
      <w:marRight w:val="0"/>
      <w:marTop w:val="0"/>
      <w:marBottom w:val="0"/>
      <w:divBdr>
        <w:top w:val="none" w:sz="0" w:space="0" w:color="auto"/>
        <w:left w:val="none" w:sz="0" w:space="0" w:color="auto"/>
        <w:bottom w:val="none" w:sz="0" w:space="0" w:color="auto"/>
        <w:right w:val="none" w:sz="0" w:space="0" w:color="auto"/>
      </w:divBdr>
    </w:div>
    <w:div w:id="1565485279">
      <w:bodyDiv w:val="1"/>
      <w:marLeft w:val="0"/>
      <w:marRight w:val="0"/>
      <w:marTop w:val="0"/>
      <w:marBottom w:val="0"/>
      <w:divBdr>
        <w:top w:val="none" w:sz="0" w:space="0" w:color="auto"/>
        <w:left w:val="none" w:sz="0" w:space="0" w:color="auto"/>
        <w:bottom w:val="none" w:sz="0" w:space="0" w:color="auto"/>
        <w:right w:val="none" w:sz="0" w:space="0" w:color="auto"/>
      </w:divBdr>
    </w:div>
    <w:div w:id="1565486106">
      <w:bodyDiv w:val="1"/>
      <w:marLeft w:val="0"/>
      <w:marRight w:val="0"/>
      <w:marTop w:val="0"/>
      <w:marBottom w:val="0"/>
      <w:divBdr>
        <w:top w:val="none" w:sz="0" w:space="0" w:color="auto"/>
        <w:left w:val="none" w:sz="0" w:space="0" w:color="auto"/>
        <w:bottom w:val="none" w:sz="0" w:space="0" w:color="auto"/>
        <w:right w:val="none" w:sz="0" w:space="0" w:color="auto"/>
      </w:divBdr>
    </w:div>
    <w:div w:id="1565752983">
      <w:bodyDiv w:val="1"/>
      <w:marLeft w:val="0"/>
      <w:marRight w:val="0"/>
      <w:marTop w:val="0"/>
      <w:marBottom w:val="0"/>
      <w:divBdr>
        <w:top w:val="none" w:sz="0" w:space="0" w:color="auto"/>
        <w:left w:val="none" w:sz="0" w:space="0" w:color="auto"/>
        <w:bottom w:val="none" w:sz="0" w:space="0" w:color="auto"/>
        <w:right w:val="none" w:sz="0" w:space="0" w:color="auto"/>
      </w:divBdr>
    </w:div>
    <w:div w:id="1573345127">
      <w:bodyDiv w:val="1"/>
      <w:marLeft w:val="0"/>
      <w:marRight w:val="0"/>
      <w:marTop w:val="0"/>
      <w:marBottom w:val="0"/>
      <w:divBdr>
        <w:top w:val="none" w:sz="0" w:space="0" w:color="auto"/>
        <w:left w:val="none" w:sz="0" w:space="0" w:color="auto"/>
        <w:bottom w:val="none" w:sz="0" w:space="0" w:color="auto"/>
        <w:right w:val="none" w:sz="0" w:space="0" w:color="auto"/>
      </w:divBdr>
    </w:div>
    <w:div w:id="1573546950">
      <w:bodyDiv w:val="1"/>
      <w:marLeft w:val="0"/>
      <w:marRight w:val="0"/>
      <w:marTop w:val="0"/>
      <w:marBottom w:val="0"/>
      <w:divBdr>
        <w:top w:val="none" w:sz="0" w:space="0" w:color="auto"/>
        <w:left w:val="none" w:sz="0" w:space="0" w:color="auto"/>
        <w:bottom w:val="none" w:sz="0" w:space="0" w:color="auto"/>
        <w:right w:val="none" w:sz="0" w:space="0" w:color="auto"/>
      </w:divBdr>
    </w:div>
    <w:div w:id="1574001291">
      <w:bodyDiv w:val="1"/>
      <w:marLeft w:val="0"/>
      <w:marRight w:val="0"/>
      <w:marTop w:val="0"/>
      <w:marBottom w:val="0"/>
      <w:divBdr>
        <w:top w:val="none" w:sz="0" w:space="0" w:color="auto"/>
        <w:left w:val="none" w:sz="0" w:space="0" w:color="auto"/>
        <w:bottom w:val="none" w:sz="0" w:space="0" w:color="auto"/>
        <w:right w:val="none" w:sz="0" w:space="0" w:color="auto"/>
      </w:divBdr>
    </w:div>
    <w:div w:id="1575047787">
      <w:bodyDiv w:val="1"/>
      <w:marLeft w:val="0"/>
      <w:marRight w:val="0"/>
      <w:marTop w:val="0"/>
      <w:marBottom w:val="0"/>
      <w:divBdr>
        <w:top w:val="none" w:sz="0" w:space="0" w:color="auto"/>
        <w:left w:val="none" w:sz="0" w:space="0" w:color="auto"/>
        <w:bottom w:val="none" w:sz="0" w:space="0" w:color="auto"/>
        <w:right w:val="none" w:sz="0" w:space="0" w:color="auto"/>
      </w:divBdr>
    </w:div>
    <w:div w:id="1576932273">
      <w:bodyDiv w:val="1"/>
      <w:marLeft w:val="0"/>
      <w:marRight w:val="0"/>
      <w:marTop w:val="0"/>
      <w:marBottom w:val="0"/>
      <w:divBdr>
        <w:top w:val="none" w:sz="0" w:space="0" w:color="auto"/>
        <w:left w:val="none" w:sz="0" w:space="0" w:color="auto"/>
        <w:bottom w:val="none" w:sz="0" w:space="0" w:color="auto"/>
        <w:right w:val="none" w:sz="0" w:space="0" w:color="auto"/>
      </w:divBdr>
    </w:div>
    <w:div w:id="1577394634">
      <w:bodyDiv w:val="1"/>
      <w:marLeft w:val="0"/>
      <w:marRight w:val="0"/>
      <w:marTop w:val="0"/>
      <w:marBottom w:val="0"/>
      <w:divBdr>
        <w:top w:val="none" w:sz="0" w:space="0" w:color="auto"/>
        <w:left w:val="none" w:sz="0" w:space="0" w:color="auto"/>
        <w:bottom w:val="none" w:sz="0" w:space="0" w:color="auto"/>
        <w:right w:val="none" w:sz="0" w:space="0" w:color="auto"/>
      </w:divBdr>
    </w:div>
    <w:div w:id="1580022189">
      <w:bodyDiv w:val="1"/>
      <w:marLeft w:val="0"/>
      <w:marRight w:val="0"/>
      <w:marTop w:val="0"/>
      <w:marBottom w:val="0"/>
      <w:divBdr>
        <w:top w:val="none" w:sz="0" w:space="0" w:color="auto"/>
        <w:left w:val="none" w:sz="0" w:space="0" w:color="auto"/>
        <w:bottom w:val="none" w:sz="0" w:space="0" w:color="auto"/>
        <w:right w:val="none" w:sz="0" w:space="0" w:color="auto"/>
      </w:divBdr>
    </w:div>
    <w:div w:id="1580746357">
      <w:bodyDiv w:val="1"/>
      <w:marLeft w:val="0"/>
      <w:marRight w:val="0"/>
      <w:marTop w:val="0"/>
      <w:marBottom w:val="0"/>
      <w:divBdr>
        <w:top w:val="none" w:sz="0" w:space="0" w:color="auto"/>
        <w:left w:val="none" w:sz="0" w:space="0" w:color="auto"/>
        <w:bottom w:val="none" w:sz="0" w:space="0" w:color="auto"/>
        <w:right w:val="none" w:sz="0" w:space="0" w:color="auto"/>
      </w:divBdr>
    </w:div>
    <w:div w:id="1581520589">
      <w:bodyDiv w:val="1"/>
      <w:marLeft w:val="0"/>
      <w:marRight w:val="0"/>
      <w:marTop w:val="0"/>
      <w:marBottom w:val="0"/>
      <w:divBdr>
        <w:top w:val="none" w:sz="0" w:space="0" w:color="auto"/>
        <w:left w:val="none" w:sz="0" w:space="0" w:color="auto"/>
        <w:bottom w:val="none" w:sz="0" w:space="0" w:color="auto"/>
        <w:right w:val="none" w:sz="0" w:space="0" w:color="auto"/>
      </w:divBdr>
    </w:div>
    <w:div w:id="1581671678">
      <w:bodyDiv w:val="1"/>
      <w:marLeft w:val="0"/>
      <w:marRight w:val="0"/>
      <w:marTop w:val="0"/>
      <w:marBottom w:val="0"/>
      <w:divBdr>
        <w:top w:val="none" w:sz="0" w:space="0" w:color="auto"/>
        <w:left w:val="none" w:sz="0" w:space="0" w:color="auto"/>
        <w:bottom w:val="none" w:sz="0" w:space="0" w:color="auto"/>
        <w:right w:val="none" w:sz="0" w:space="0" w:color="auto"/>
      </w:divBdr>
    </w:div>
    <w:div w:id="1582446385">
      <w:bodyDiv w:val="1"/>
      <w:marLeft w:val="0"/>
      <w:marRight w:val="0"/>
      <w:marTop w:val="0"/>
      <w:marBottom w:val="0"/>
      <w:divBdr>
        <w:top w:val="none" w:sz="0" w:space="0" w:color="auto"/>
        <w:left w:val="none" w:sz="0" w:space="0" w:color="auto"/>
        <w:bottom w:val="none" w:sz="0" w:space="0" w:color="auto"/>
        <w:right w:val="none" w:sz="0" w:space="0" w:color="auto"/>
      </w:divBdr>
    </w:div>
    <w:div w:id="1582524390">
      <w:bodyDiv w:val="1"/>
      <w:marLeft w:val="0"/>
      <w:marRight w:val="0"/>
      <w:marTop w:val="0"/>
      <w:marBottom w:val="0"/>
      <w:divBdr>
        <w:top w:val="none" w:sz="0" w:space="0" w:color="auto"/>
        <w:left w:val="none" w:sz="0" w:space="0" w:color="auto"/>
        <w:bottom w:val="none" w:sz="0" w:space="0" w:color="auto"/>
        <w:right w:val="none" w:sz="0" w:space="0" w:color="auto"/>
      </w:divBdr>
    </w:div>
    <w:div w:id="1582832708">
      <w:bodyDiv w:val="1"/>
      <w:marLeft w:val="0"/>
      <w:marRight w:val="0"/>
      <w:marTop w:val="0"/>
      <w:marBottom w:val="0"/>
      <w:divBdr>
        <w:top w:val="none" w:sz="0" w:space="0" w:color="auto"/>
        <w:left w:val="none" w:sz="0" w:space="0" w:color="auto"/>
        <w:bottom w:val="none" w:sz="0" w:space="0" w:color="auto"/>
        <w:right w:val="none" w:sz="0" w:space="0" w:color="auto"/>
      </w:divBdr>
    </w:div>
    <w:div w:id="1583677714">
      <w:bodyDiv w:val="1"/>
      <w:marLeft w:val="0"/>
      <w:marRight w:val="0"/>
      <w:marTop w:val="0"/>
      <w:marBottom w:val="0"/>
      <w:divBdr>
        <w:top w:val="none" w:sz="0" w:space="0" w:color="auto"/>
        <w:left w:val="none" w:sz="0" w:space="0" w:color="auto"/>
        <w:bottom w:val="none" w:sz="0" w:space="0" w:color="auto"/>
        <w:right w:val="none" w:sz="0" w:space="0" w:color="auto"/>
      </w:divBdr>
    </w:div>
    <w:div w:id="1586919167">
      <w:bodyDiv w:val="1"/>
      <w:marLeft w:val="0"/>
      <w:marRight w:val="0"/>
      <w:marTop w:val="0"/>
      <w:marBottom w:val="0"/>
      <w:divBdr>
        <w:top w:val="none" w:sz="0" w:space="0" w:color="auto"/>
        <w:left w:val="none" w:sz="0" w:space="0" w:color="auto"/>
        <w:bottom w:val="none" w:sz="0" w:space="0" w:color="auto"/>
        <w:right w:val="none" w:sz="0" w:space="0" w:color="auto"/>
      </w:divBdr>
    </w:div>
    <w:div w:id="1587423247">
      <w:bodyDiv w:val="1"/>
      <w:marLeft w:val="0"/>
      <w:marRight w:val="0"/>
      <w:marTop w:val="0"/>
      <w:marBottom w:val="0"/>
      <w:divBdr>
        <w:top w:val="none" w:sz="0" w:space="0" w:color="auto"/>
        <w:left w:val="none" w:sz="0" w:space="0" w:color="auto"/>
        <w:bottom w:val="none" w:sz="0" w:space="0" w:color="auto"/>
        <w:right w:val="none" w:sz="0" w:space="0" w:color="auto"/>
      </w:divBdr>
    </w:div>
    <w:div w:id="1591695748">
      <w:bodyDiv w:val="1"/>
      <w:marLeft w:val="0"/>
      <w:marRight w:val="0"/>
      <w:marTop w:val="0"/>
      <w:marBottom w:val="0"/>
      <w:divBdr>
        <w:top w:val="none" w:sz="0" w:space="0" w:color="auto"/>
        <w:left w:val="none" w:sz="0" w:space="0" w:color="auto"/>
        <w:bottom w:val="none" w:sz="0" w:space="0" w:color="auto"/>
        <w:right w:val="none" w:sz="0" w:space="0" w:color="auto"/>
      </w:divBdr>
    </w:div>
    <w:div w:id="1593976046">
      <w:bodyDiv w:val="1"/>
      <w:marLeft w:val="0"/>
      <w:marRight w:val="0"/>
      <w:marTop w:val="0"/>
      <w:marBottom w:val="0"/>
      <w:divBdr>
        <w:top w:val="none" w:sz="0" w:space="0" w:color="auto"/>
        <w:left w:val="none" w:sz="0" w:space="0" w:color="auto"/>
        <w:bottom w:val="none" w:sz="0" w:space="0" w:color="auto"/>
        <w:right w:val="none" w:sz="0" w:space="0" w:color="auto"/>
      </w:divBdr>
    </w:div>
    <w:div w:id="1595016495">
      <w:bodyDiv w:val="1"/>
      <w:marLeft w:val="0"/>
      <w:marRight w:val="0"/>
      <w:marTop w:val="0"/>
      <w:marBottom w:val="0"/>
      <w:divBdr>
        <w:top w:val="none" w:sz="0" w:space="0" w:color="auto"/>
        <w:left w:val="none" w:sz="0" w:space="0" w:color="auto"/>
        <w:bottom w:val="none" w:sz="0" w:space="0" w:color="auto"/>
        <w:right w:val="none" w:sz="0" w:space="0" w:color="auto"/>
      </w:divBdr>
    </w:div>
    <w:div w:id="1597177997">
      <w:bodyDiv w:val="1"/>
      <w:marLeft w:val="0"/>
      <w:marRight w:val="0"/>
      <w:marTop w:val="0"/>
      <w:marBottom w:val="0"/>
      <w:divBdr>
        <w:top w:val="none" w:sz="0" w:space="0" w:color="auto"/>
        <w:left w:val="none" w:sz="0" w:space="0" w:color="auto"/>
        <w:bottom w:val="none" w:sz="0" w:space="0" w:color="auto"/>
        <w:right w:val="none" w:sz="0" w:space="0" w:color="auto"/>
      </w:divBdr>
      <w:divsChild>
        <w:div w:id="1404838927">
          <w:marLeft w:val="0"/>
          <w:marRight w:val="0"/>
          <w:marTop w:val="0"/>
          <w:marBottom w:val="0"/>
          <w:divBdr>
            <w:top w:val="none" w:sz="0" w:space="0" w:color="auto"/>
            <w:left w:val="none" w:sz="0" w:space="0" w:color="auto"/>
            <w:bottom w:val="none" w:sz="0" w:space="0" w:color="auto"/>
            <w:right w:val="none" w:sz="0" w:space="0" w:color="auto"/>
          </w:divBdr>
        </w:div>
      </w:divsChild>
    </w:div>
    <w:div w:id="1598563061">
      <w:bodyDiv w:val="1"/>
      <w:marLeft w:val="0"/>
      <w:marRight w:val="0"/>
      <w:marTop w:val="0"/>
      <w:marBottom w:val="0"/>
      <w:divBdr>
        <w:top w:val="none" w:sz="0" w:space="0" w:color="auto"/>
        <w:left w:val="none" w:sz="0" w:space="0" w:color="auto"/>
        <w:bottom w:val="none" w:sz="0" w:space="0" w:color="auto"/>
        <w:right w:val="none" w:sz="0" w:space="0" w:color="auto"/>
      </w:divBdr>
    </w:div>
    <w:div w:id="1598753858">
      <w:bodyDiv w:val="1"/>
      <w:marLeft w:val="0"/>
      <w:marRight w:val="0"/>
      <w:marTop w:val="0"/>
      <w:marBottom w:val="0"/>
      <w:divBdr>
        <w:top w:val="none" w:sz="0" w:space="0" w:color="auto"/>
        <w:left w:val="none" w:sz="0" w:space="0" w:color="auto"/>
        <w:bottom w:val="none" w:sz="0" w:space="0" w:color="auto"/>
        <w:right w:val="none" w:sz="0" w:space="0" w:color="auto"/>
      </w:divBdr>
    </w:div>
    <w:div w:id="1598826085">
      <w:bodyDiv w:val="1"/>
      <w:marLeft w:val="0"/>
      <w:marRight w:val="0"/>
      <w:marTop w:val="0"/>
      <w:marBottom w:val="0"/>
      <w:divBdr>
        <w:top w:val="none" w:sz="0" w:space="0" w:color="auto"/>
        <w:left w:val="none" w:sz="0" w:space="0" w:color="auto"/>
        <w:bottom w:val="none" w:sz="0" w:space="0" w:color="auto"/>
        <w:right w:val="none" w:sz="0" w:space="0" w:color="auto"/>
      </w:divBdr>
    </w:div>
    <w:div w:id="1599949862">
      <w:bodyDiv w:val="1"/>
      <w:marLeft w:val="0"/>
      <w:marRight w:val="0"/>
      <w:marTop w:val="0"/>
      <w:marBottom w:val="0"/>
      <w:divBdr>
        <w:top w:val="none" w:sz="0" w:space="0" w:color="auto"/>
        <w:left w:val="none" w:sz="0" w:space="0" w:color="auto"/>
        <w:bottom w:val="none" w:sz="0" w:space="0" w:color="auto"/>
        <w:right w:val="none" w:sz="0" w:space="0" w:color="auto"/>
      </w:divBdr>
    </w:div>
    <w:div w:id="1602031335">
      <w:bodyDiv w:val="1"/>
      <w:marLeft w:val="0"/>
      <w:marRight w:val="0"/>
      <w:marTop w:val="0"/>
      <w:marBottom w:val="0"/>
      <w:divBdr>
        <w:top w:val="none" w:sz="0" w:space="0" w:color="auto"/>
        <w:left w:val="none" w:sz="0" w:space="0" w:color="auto"/>
        <w:bottom w:val="none" w:sz="0" w:space="0" w:color="auto"/>
        <w:right w:val="none" w:sz="0" w:space="0" w:color="auto"/>
      </w:divBdr>
    </w:div>
    <w:div w:id="1602715592">
      <w:bodyDiv w:val="1"/>
      <w:marLeft w:val="0"/>
      <w:marRight w:val="0"/>
      <w:marTop w:val="0"/>
      <w:marBottom w:val="0"/>
      <w:divBdr>
        <w:top w:val="none" w:sz="0" w:space="0" w:color="auto"/>
        <w:left w:val="none" w:sz="0" w:space="0" w:color="auto"/>
        <w:bottom w:val="none" w:sz="0" w:space="0" w:color="auto"/>
        <w:right w:val="none" w:sz="0" w:space="0" w:color="auto"/>
      </w:divBdr>
    </w:div>
    <w:div w:id="1604024331">
      <w:bodyDiv w:val="1"/>
      <w:marLeft w:val="0"/>
      <w:marRight w:val="0"/>
      <w:marTop w:val="0"/>
      <w:marBottom w:val="0"/>
      <w:divBdr>
        <w:top w:val="none" w:sz="0" w:space="0" w:color="auto"/>
        <w:left w:val="none" w:sz="0" w:space="0" w:color="auto"/>
        <w:bottom w:val="none" w:sz="0" w:space="0" w:color="auto"/>
        <w:right w:val="none" w:sz="0" w:space="0" w:color="auto"/>
      </w:divBdr>
    </w:div>
    <w:div w:id="1609892456">
      <w:bodyDiv w:val="1"/>
      <w:marLeft w:val="0"/>
      <w:marRight w:val="0"/>
      <w:marTop w:val="0"/>
      <w:marBottom w:val="0"/>
      <w:divBdr>
        <w:top w:val="none" w:sz="0" w:space="0" w:color="auto"/>
        <w:left w:val="none" w:sz="0" w:space="0" w:color="auto"/>
        <w:bottom w:val="none" w:sz="0" w:space="0" w:color="auto"/>
        <w:right w:val="none" w:sz="0" w:space="0" w:color="auto"/>
      </w:divBdr>
    </w:div>
    <w:div w:id="1611618486">
      <w:bodyDiv w:val="1"/>
      <w:marLeft w:val="0"/>
      <w:marRight w:val="0"/>
      <w:marTop w:val="0"/>
      <w:marBottom w:val="0"/>
      <w:divBdr>
        <w:top w:val="none" w:sz="0" w:space="0" w:color="auto"/>
        <w:left w:val="none" w:sz="0" w:space="0" w:color="auto"/>
        <w:bottom w:val="none" w:sz="0" w:space="0" w:color="auto"/>
        <w:right w:val="none" w:sz="0" w:space="0" w:color="auto"/>
      </w:divBdr>
    </w:div>
    <w:div w:id="1615672114">
      <w:bodyDiv w:val="1"/>
      <w:marLeft w:val="0"/>
      <w:marRight w:val="0"/>
      <w:marTop w:val="0"/>
      <w:marBottom w:val="0"/>
      <w:divBdr>
        <w:top w:val="none" w:sz="0" w:space="0" w:color="auto"/>
        <w:left w:val="none" w:sz="0" w:space="0" w:color="auto"/>
        <w:bottom w:val="none" w:sz="0" w:space="0" w:color="auto"/>
        <w:right w:val="none" w:sz="0" w:space="0" w:color="auto"/>
      </w:divBdr>
    </w:div>
    <w:div w:id="1616715930">
      <w:bodyDiv w:val="1"/>
      <w:marLeft w:val="0"/>
      <w:marRight w:val="0"/>
      <w:marTop w:val="0"/>
      <w:marBottom w:val="0"/>
      <w:divBdr>
        <w:top w:val="none" w:sz="0" w:space="0" w:color="auto"/>
        <w:left w:val="none" w:sz="0" w:space="0" w:color="auto"/>
        <w:bottom w:val="none" w:sz="0" w:space="0" w:color="auto"/>
        <w:right w:val="none" w:sz="0" w:space="0" w:color="auto"/>
      </w:divBdr>
    </w:div>
    <w:div w:id="1619332970">
      <w:bodyDiv w:val="1"/>
      <w:marLeft w:val="0"/>
      <w:marRight w:val="0"/>
      <w:marTop w:val="0"/>
      <w:marBottom w:val="0"/>
      <w:divBdr>
        <w:top w:val="none" w:sz="0" w:space="0" w:color="auto"/>
        <w:left w:val="none" w:sz="0" w:space="0" w:color="auto"/>
        <w:bottom w:val="none" w:sz="0" w:space="0" w:color="auto"/>
        <w:right w:val="none" w:sz="0" w:space="0" w:color="auto"/>
      </w:divBdr>
    </w:div>
    <w:div w:id="1619603288">
      <w:bodyDiv w:val="1"/>
      <w:marLeft w:val="0"/>
      <w:marRight w:val="0"/>
      <w:marTop w:val="0"/>
      <w:marBottom w:val="0"/>
      <w:divBdr>
        <w:top w:val="none" w:sz="0" w:space="0" w:color="auto"/>
        <w:left w:val="none" w:sz="0" w:space="0" w:color="auto"/>
        <w:bottom w:val="none" w:sz="0" w:space="0" w:color="auto"/>
        <w:right w:val="none" w:sz="0" w:space="0" w:color="auto"/>
      </w:divBdr>
    </w:div>
    <w:div w:id="1619987322">
      <w:bodyDiv w:val="1"/>
      <w:marLeft w:val="0"/>
      <w:marRight w:val="0"/>
      <w:marTop w:val="0"/>
      <w:marBottom w:val="0"/>
      <w:divBdr>
        <w:top w:val="none" w:sz="0" w:space="0" w:color="auto"/>
        <w:left w:val="none" w:sz="0" w:space="0" w:color="auto"/>
        <w:bottom w:val="none" w:sz="0" w:space="0" w:color="auto"/>
        <w:right w:val="none" w:sz="0" w:space="0" w:color="auto"/>
      </w:divBdr>
    </w:div>
    <w:div w:id="1621108630">
      <w:bodyDiv w:val="1"/>
      <w:marLeft w:val="0"/>
      <w:marRight w:val="0"/>
      <w:marTop w:val="0"/>
      <w:marBottom w:val="0"/>
      <w:divBdr>
        <w:top w:val="none" w:sz="0" w:space="0" w:color="auto"/>
        <w:left w:val="none" w:sz="0" w:space="0" w:color="auto"/>
        <w:bottom w:val="none" w:sz="0" w:space="0" w:color="auto"/>
        <w:right w:val="none" w:sz="0" w:space="0" w:color="auto"/>
      </w:divBdr>
    </w:div>
    <w:div w:id="1622375916">
      <w:bodyDiv w:val="1"/>
      <w:marLeft w:val="0"/>
      <w:marRight w:val="0"/>
      <w:marTop w:val="0"/>
      <w:marBottom w:val="0"/>
      <w:divBdr>
        <w:top w:val="none" w:sz="0" w:space="0" w:color="auto"/>
        <w:left w:val="none" w:sz="0" w:space="0" w:color="auto"/>
        <w:bottom w:val="none" w:sz="0" w:space="0" w:color="auto"/>
        <w:right w:val="none" w:sz="0" w:space="0" w:color="auto"/>
      </w:divBdr>
    </w:div>
    <w:div w:id="1623731385">
      <w:bodyDiv w:val="1"/>
      <w:marLeft w:val="0"/>
      <w:marRight w:val="0"/>
      <w:marTop w:val="0"/>
      <w:marBottom w:val="0"/>
      <w:divBdr>
        <w:top w:val="none" w:sz="0" w:space="0" w:color="auto"/>
        <w:left w:val="none" w:sz="0" w:space="0" w:color="auto"/>
        <w:bottom w:val="none" w:sz="0" w:space="0" w:color="auto"/>
        <w:right w:val="none" w:sz="0" w:space="0" w:color="auto"/>
      </w:divBdr>
    </w:div>
    <w:div w:id="1628923838">
      <w:bodyDiv w:val="1"/>
      <w:marLeft w:val="0"/>
      <w:marRight w:val="0"/>
      <w:marTop w:val="0"/>
      <w:marBottom w:val="0"/>
      <w:divBdr>
        <w:top w:val="none" w:sz="0" w:space="0" w:color="auto"/>
        <w:left w:val="none" w:sz="0" w:space="0" w:color="auto"/>
        <w:bottom w:val="none" w:sz="0" w:space="0" w:color="auto"/>
        <w:right w:val="none" w:sz="0" w:space="0" w:color="auto"/>
      </w:divBdr>
    </w:div>
    <w:div w:id="1629627356">
      <w:bodyDiv w:val="1"/>
      <w:marLeft w:val="0"/>
      <w:marRight w:val="0"/>
      <w:marTop w:val="0"/>
      <w:marBottom w:val="0"/>
      <w:divBdr>
        <w:top w:val="none" w:sz="0" w:space="0" w:color="auto"/>
        <w:left w:val="none" w:sz="0" w:space="0" w:color="auto"/>
        <w:bottom w:val="none" w:sz="0" w:space="0" w:color="auto"/>
        <w:right w:val="none" w:sz="0" w:space="0" w:color="auto"/>
      </w:divBdr>
    </w:div>
    <w:div w:id="1630476647">
      <w:bodyDiv w:val="1"/>
      <w:marLeft w:val="0"/>
      <w:marRight w:val="0"/>
      <w:marTop w:val="0"/>
      <w:marBottom w:val="0"/>
      <w:divBdr>
        <w:top w:val="none" w:sz="0" w:space="0" w:color="auto"/>
        <w:left w:val="none" w:sz="0" w:space="0" w:color="auto"/>
        <w:bottom w:val="none" w:sz="0" w:space="0" w:color="auto"/>
        <w:right w:val="none" w:sz="0" w:space="0" w:color="auto"/>
      </w:divBdr>
      <w:divsChild>
        <w:div w:id="478426533">
          <w:marLeft w:val="0"/>
          <w:marRight w:val="0"/>
          <w:marTop w:val="0"/>
          <w:marBottom w:val="0"/>
          <w:divBdr>
            <w:top w:val="none" w:sz="0" w:space="0" w:color="auto"/>
            <w:left w:val="none" w:sz="0" w:space="0" w:color="auto"/>
            <w:bottom w:val="none" w:sz="0" w:space="0" w:color="auto"/>
            <w:right w:val="none" w:sz="0" w:space="0" w:color="auto"/>
          </w:divBdr>
        </w:div>
        <w:div w:id="7801249">
          <w:marLeft w:val="0"/>
          <w:marRight w:val="0"/>
          <w:marTop w:val="0"/>
          <w:marBottom w:val="0"/>
          <w:divBdr>
            <w:top w:val="none" w:sz="0" w:space="0" w:color="auto"/>
            <w:left w:val="none" w:sz="0" w:space="0" w:color="auto"/>
            <w:bottom w:val="none" w:sz="0" w:space="0" w:color="auto"/>
            <w:right w:val="none" w:sz="0" w:space="0" w:color="auto"/>
          </w:divBdr>
        </w:div>
      </w:divsChild>
    </w:div>
    <w:div w:id="1632058937">
      <w:bodyDiv w:val="1"/>
      <w:marLeft w:val="0"/>
      <w:marRight w:val="0"/>
      <w:marTop w:val="0"/>
      <w:marBottom w:val="0"/>
      <w:divBdr>
        <w:top w:val="none" w:sz="0" w:space="0" w:color="auto"/>
        <w:left w:val="none" w:sz="0" w:space="0" w:color="auto"/>
        <w:bottom w:val="none" w:sz="0" w:space="0" w:color="auto"/>
        <w:right w:val="none" w:sz="0" w:space="0" w:color="auto"/>
      </w:divBdr>
    </w:div>
    <w:div w:id="1634559914">
      <w:bodyDiv w:val="1"/>
      <w:marLeft w:val="0"/>
      <w:marRight w:val="0"/>
      <w:marTop w:val="0"/>
      <w:marBottom w:val="0"/>
      <w:divBdr>
        <w:top w:val="none" w:sz="0" w:space="0" w:color="auto"/>
        <w:left w:val="none" w:sz="0" w:space="0" w:color="auto"/>
        <w:bottom w:val="none" w:sz="0" w:space="0" w:color="auto"/>
        <w:right w:val="none" w:sz="0" w:space="0" w:color="auto"/>
      </w:divBdr>
    </w:div>
    <w:div w:id="1634871707">
      <w:bodyDiv w:val="1"/>
      <w:marLeft w:val="0"/>
      <w:marRight w:val="0"/>
      <w:marTop w:val="0"/>
      <w:marBottom w:val="0"/>
      <w:divBdr>
        <w:top w:val="none" w:sz="0" w:space="0" w:color="auto"/>
        <w:left w:val="none" w:sz="0" w:space="0" w:color="auto"/>
        <w:bottom w:val="none" w:sz="0" w:space="0" w:color="auto"/>
        <w:right w:val="none" w:sz="0" w:space="0" w:color="auto"/>
      </w:divBdr>
    </w:div>
    <w:div w:id="1635913554">
      <w:bodyDiv w:val="1"/>
      <w:marLeft w:val="0"/>
      <w:marRight w:val="0"/>
      <w:marTop w:val="0"/>
      <w:marBottom w:val="0"/>
      <w:divBdr>
        <w:top w:val="none" w:sz="0" w:space="0" w:color="auto"/>
        <w:left w:val="none" w:sz="0" w:space="0" w:color="auto"/>
        <w:bottom w:val="none" w:sz="0" w:space="0" w:color="auto"/>
        <w:right w:val="none" w:sz="0" w:space="0" w:color="auto"/>
      </w:divBdr>
    </w:div>
    <w:div w:id="1636376008">
      <w:bodyDiv w:val="1"/>
      <w:marLeft w:val="0"/>
      <w:marRight w:val="0"/>
      <w:marTop w:val="0"/>
      <w:marBottom w:val="0"/>
      <w:divBdr>
        <w:top w:val="none" w:sz="0" w:space="0" w:color="auto"/>
        <w:left w:val="none" w:sz="0" w:space="0" w:color="auto"/>
        <w:bottom w:val="none" w:sz="0" w:space="0" w:color="auto"/>
        <w:right w:val="none" w:sz="0" w:space="0" w:color="auto"/>
      </w:divBdr>
    </w:div>
    <w:div w:id="1637028461">
      <w:bodyDiv w:val="1"/>
      <w:marLeft w:val="0"/>
      <w:marRight w:val="0"/>
      <w:marTop w:val="0"/>
      <w:marBottom w:val="0"/>
      <w:divBdr>
        <w:top w:val="none" w:sz="0" w:space="0" w:color="auto"/>
        <w:left w:val="none" w:sz="0" w:space="0" w:color="auto"/>
        <w:bottom w:val="none" w:sz="0" w:space="0" w:color="auto"/>
        <w:right w:val="none" w:sz="0" w:space="0" w:color="auto"/>
      </w:divBdr>
    </w:div>
    <w:div w:id="1638031369">
      <w:bodyDiv w:val="1"/>
      <w:marLeft w:val="0"/>
      <w:marRight w:val="0"/>
      <w:marTop w:val="0"/>
      <w:marBottom w:val="0"/>
      <w:divBdr>
        <w:top w:val="none" w:sz="0" w:space="0" w:color="auto"/>
        <w:left w:val="none" w:sz="0" w:space="0" w:color="auto"/>
        <w:bottom w:val="none" w:sz="0" w:space="0" w:color="auto"/>
        <w:right w:val="none" w:sz="0" w:space="0" w:color="auto"/>
      </w:divBdr>
    </w:div>
    <w:div w:id="1639802056">
      <w:bodyDiv w:val="1"/>
      <w:marLeft w:val="0"/>
      <w:marRight w:val="0"/>
      <w:marTop w:val="0"/>
      <w:marBottom w:val="0"/>
      <w:divBdr>
        <w:top w:val="none" w:sz="0" w:space="0" w:color="auto"/>
        <w:left w:val="none" w:sz="0" w:space="0" w:color="auto"/>
        <w:bottom w:val="none" w:sz="0" w:space="0" w:color="auto"/>
        <w:right w:val="none" w:sz="0" w:space="0" w:color="auto"/>
      </w:divBdr>
    </w:div>
    <w:div w:id="1639996188">
      <w:bodyDiv w:val="1"/>
      <w:marLeft w:val="0"/>
      <w:marRight w:val="0"/>
      <w:marTop w:val="0"/>
      <w:marBottom w:val="0"/>
      <w:divBdr>
        <w:top w:val="none" w:sz="0" w:space="0" w:color="auto"/>
        <w:left w:val="none" w:sz="0" w:space="0" w:color="auto"/>
        <w:bottom w:val="none" w:sz="0" w:space="0" w:color="auto"/>
        <w:right w:val="none" w:sz="0" w:space="0" w:color="auto"/>
      </w:divBdr>
    </w:div>
    <w:div w:id="1644920491">
      <w:bodyDiv w:val="1"/>
      <w:marLeft w:val="0"/>
      <w:marRight w:val="0"/>
      <w:marTop w:val="0"/>
      <w:marBottom w:val="0"/>
      <w:divBdr>
        <w:top w:val="none" w:sz="0" w:space="0" w:color="auto"/>
        <w:left w:val="none" w:sz="0" w:space="0" w:color="auto"/>
        <w:bottom w:val="none" w:sz="0" w:space="0" w:color="auto"/>
        <w:right w:val="none" w:sz="0" w:space="0" w:color="auto"/>
      </w:divBdr>
    </w:div>
    <w:div w:id="1647472064">
      <w:bodyDiv w:val="1"/>
      <w:marLeft w:val="0"/>
      <w:marRight w:val="0"/>
      <w:marTop w:val="0"/>
      <w:marBottom w:val="0"/>
      <w:divBdr>
        <w:top w:val="none" w:sz="0" w:space="0" w:color="auto"/>
        <w:left w:val="none" w:sz="0" w:space="0" w:color="auto"/>
        <w:bottom w:val="none" w:sz="0" w:space="0" w:color="auto"/>
        <w:right w:val="none" w:sz="0" w:space="0" w:color="auto"/>
      </w:divBdr>
    </w:div>
    <w:div w:id="1649044754">
      <w:bodyDiv w:val="1"/>
      <w:marLeft w:val="0"/>
      <w:marRight w:val="0"/>
      <w:marTop w:val="0"/>
      <w:marBottom w:val="0"/>
      <w:divBdr>
        <w:top w:val="none" w:sz="0" w:space="0" w:color="auto"/>
        <w:left w:val="none" w:sz="0" w:space="0" w:color="auto"/>
        <w:bottom w:val="none" w:sz="0" w:space="0" w:color="auto"/>
        <w:right w:val="none" w:sz="0" w:space="0" w:color="auto"/>
      </w:divBdr>
    </w:div>
    <w:div w:id="1649551008">
      <w:bodyDiv w:val="1"/>
      <w:marLeft w:val="0"/>
      <w:marRight w:val="0"/>
      <w:marTop w:val="0"/>
      <w:marBottom w:val="0"/>
      <w:divBdr>
        <w:top w:val="none" w:sz="0" w:space="0" w:color="auto"/>
        <w:left w:val="none" w:sz="0" w:space="0" w:color="auto"/>
        <w:bottom w:val="none" w:sz="0" w:space="0" w:color="auto"/>
        <w:right w:val="none" w:sz="0" w:space="0" w:color="auto"/>
      </w:divBdr>
    </w:div>
    <w:div w:id="1649817135">
      <w:bodyDiv w:val="1"/>
      <w:marLeft w:val="0"/>
      <w:marRight w:val="0"/>
      <w:marTop w:val="0"/>
      <w:marBottom w:val="0"/>
      <w:divBdr>
        <w:top w:val="none" w:sz="0" w:space="0" w:color="auto"/>
        <w:left w:val="none" w:sz="0" w:space="0" w:color="auto"/>
        <w:bottom w:val="none" w:sz="0" w:space="0" w:color="auto"/>
        <w:right w:val="none" w:sz="0" w:space="0" w:color="auto"/>
      </w:divBdr>
    </w:div>
    <w:div w:id="1652977165">
      <w:bodyDiv w:val="1"/>
      <w:marLeft w:val="0"/>
      <w:marRight w:val="0"/>
      <w:marTop w:val="0"/>
      <w:marBottom w:val="0"/>
      <w:divBdr>
        <w:top w:val="none" w:sz="0" w:space="0" w:color="auto"/>
        <w:left w:val="none" w:sz="0" w:space="0" w:color="auto"/>
        <w:bottom w:val="none" w:sz="0" w:space="0" w:color="auto"/>
        <w:right w:val="none" w:sz="0" w:space="0" w:color="auto"/>
      </w:divBdr>
    </w:div>
    <w:div w:id="1654748251">
      <w:bodyDiv w:val="1"/>
      <w:marLeft w:val="0"/>
      <w:marRight w:val="0"/>
      <w:marTop w:val="0"/>
      <w:marBottom w:val="0"/>
      <w:divBdr>
        <w:top w:val="none" w:sz="0" w:space="0" w:color="auto"/>
        <w:left w:val="none" w:sz="0" w:space="0" w:color="auto"/>
        <w:bottom w:val="none" w:sz="0" w:space="0" w:color="auto"/>
        <w:right w:val="none" w:sz="0" w:space="0" w:color="auto"/>
      </w:divBdr>
    </w:div>
    <w:div w:id="1655714508">
      <w:bodyDiv w:val="1"/>
      <w:marLeft w:val="0"/>
      <w:marRight w:val="0"/>
      <w:marTop w:val="0"/>
      <w:marBottom w:val="0"/>
      <w:divBdr>
        <w:top w:val="none" w:sz="0" w:space="0" w:color="auto"/>
        <w:left w:val="none" w:sz="0" w:space="0" w:color="auto"/>
        <w:bottom w:val="none" w:sz="0" w:space="0" w:color="auto"/>
        <w:right w:val="none" w:sz="0" w:space="0" w:color="auto"/>
      </w:divBdr>
    </w:div>
    <w:div w:id="1655724149">
      <w:bodyDiv w:val="1"/>
      <w:marLeft w:val="0"/>
      <w:marRight w:val="0"/>
      <w:marTop w:val="0"/>
      <w:marBottom w:val="0"/>
      <w:divBdr>
        <w:top w:val="none" w:sz="0" w:space="0" w:color="auto"/>
        <w:left w:val="none" w:sz="0" w:space="0" w:color="auto"/>
        <w:bottom w:val="none" w:sz="0" w:space="0" w:color="auto"/>
        <w:right w:val="none" w:sz="0" w:space="0" w:color="auto"/>
      </w:divBdr>
    </w:div>
    <w:div w:id="1655836239">
      <w:bodyDiv w:val="1"/>
      <w:marLeft w:val="0"/>
      <w:marRight w:val="0"/>
      <w:marTop w:val="0"/>
      <w:marBottom w:val="0"/>
      <w:divBdr>
        <w:top w:val="none" w:sz="0" w:space="0" w:color="auto"/>
        <w:left w:val="none" w:sz="0" w:space="0" w:color="auto"/>
        <w:bottom w:val="none" w:sz="0" w:space="0" w:color="auto"/>
        <w:right w:val="none" w:sz="0" w:space="0" w:color="auto"/>
      </w:divBdr>
    </w:div>
    <w:div w:id="1660305544">
      <w:bodyDiv w:val="1"/>
      <w:marLeft w:val="0"/>
      <w:marRight w:val="0"/>
      <w:marTop w:val="0"/>
      <w:marBottom w:val="0"/>
      <w:divBdr>
        <w:top w:val="none" w:sz="0" w:space="0" w:color="auto"/>
        <w:left w:val="none" w:sz="0" w:space="0" w:color="auto"/>
        <w:bottom w:val="none" w:sz="0" w:space="0" w:color="auto"/>
        <w:right w:val="none" w:sz="0" w:space="0" w:color="auto"/>
      </w:divBdr>
    </w:div>
    <w:div w:id="1663049462">
      <w:bodyDiv w:val="1"/>
      <w:marLeft w:val="0"/>
      <w:marRight w:val="0"/>
      <w:marTop w:val="0"/>
      <w:marBottom w:val="0"/>
      <w:divBdr>
        <w:top w:val="none" w:sz="0" w:space="0" w:color="auto"/>
        <w:left w:val="none" w:sz="0" w:space="0" w:color="auto"/>
        <w:bottom w:val="none" w:sz="0" w:space="0" w:color="auto"/>
        <w:right w:val="none" w:sz="0" w:space="0" w:color="auto"/>
      </w:divBdr>
    </w:div>
    <w:div w:id="1665013495">
      <w:bodyDiv w:val="1"/>
      <w:marLeft w:val="0"/>
      <w:marRight w:val="0"/>
      <w:marTop w:val="0"/>
      <w:marBottom w:val="0"/>
      <w:divBdr>
        <w:top w:val="none" w:sz="0" w:space="0" w:color="auto"/>
        <w:left w:val="none" w:sz="0" w:space="0" w:color="auto"/>
        <w:bottom w:val="none" w:sz="0" w:space="0" w:color="auto"/>
        <w:right w:val="none" w:sz="0" w:space="0" w:color="auto"/>
      </w:divBdr>
    </w:div>
    <w:div w:id="1666855259">
      <w:bodyDiv w:val="1"/>
      <w:marLeft w:val="0"/>
      <w:marRight w:val="0"/>
      <w:marTop w:val="0"/>
      <w:marBottom w:val="0"/>
      <w:divBdr>
        <w:top w:val="none" w:sz="0" w:space="0" w:color="auto"/>
        <w:left w:val="none" w:sz="0" w:space="0" w:color="auto"/>
        <w:bottom w:val="none" w:sz="0" w:space="0" w:color="auto"/>
        <w:right w:val="none" w:sz="0" w:space="0" w:color="auto"/>
      </w:divBdr>
    </w:div>
    <w:div w:id="1668245660">
      <w:bodyDiv w:val="1"/>
      <w:marLeft w:val="0"/>
      <w:marRight w:val="0"/>
      <w:marTop w:val="0"/>
      <w:marBottom w:val="0"/>
      <w:divBdr>
        <w:top w:val="none" w:sz="0" w:space="0" w:color="auto"/>
        <w:left w:val="none" w:sz="0" w:space="0" w:color="auto"/>
        <w:bottom w:val="none" w:sz="0" w:space="0" w:color="auto"/>
        <w:right w:val="none" w:sz="0" w:space="0" w:color="auto"/>
      </w:divBdr>
    </w:div>
    <w:div w:id="1668632932">
      <w:bodyDiv w:val="1"/>
      <w:marLeft w:val="0"/>
      <w:marRight w:val="0"/>
      <w:marTop w:val="0"/>
      <w:marBottom w:val="0"/>
      <w:divBdr>
        <w:top w:val="none" w:sz="0" w:space="0" w:color="auto"/>
        <w:left w:val="none" w:sz="0" w:space="0" w:color="auto"/>
        <w:bottom w:val="none" w:sz="0" w:space="0" w:color="auto"/>
        <w:right w:val="none" w:sz="0" w:space="0" w:color="auto"/>
      </w:divBdr>
    </w:div>
    <w:div w:id="1669090045">
      <w:bodyDiv w:val="1"/>
      <w:marLeft w:val="0"/>
      <w:marRight w:val="0"/>
      <w:marTop w:val="0"/>
      <w:marBottom w:val="0"/>
      <w:divBdr>
        <w:top w:val="none" w:sz="0" w:space="0" w:color="auto"/>
        <w:left w:val="none" w:sz="0" w:space="0" w:color="auto"/>
        <w:bottom w:val="none" w:sz="0" w:space="0" w:color="auto"/>
        <w:right w:val="none" w:sz="0" w:space="0" w:color="auto"/>
      </w:divBdr>
    </w:div>
    <w:div w:id="1669743975">
      <w:bodyDiv w:val="1"/>
      <w:marLeft w:val="0"/>
      <w:marRight w:val="0"/>
      <w:marTop w:val="0"/>
      <w:marBottom w:val="0"/>
      <w:divBdr>
        <w:top w:val="none" w:sz="0" w:space="0" w:color="auto"/>
        <w:left w:val="none" w:sz="0" w:space="0" w:color="auto"/>
        <w:bottom w:val="none" w:sz="0" w:space="0" w:color="auto"/>
        <w:right w:val="none" w:sz="0" w:space="0" w:color="auto"/>
      </w:divBdr>
    </w:div>
    <w:div w:id="1671759752">
      <w:bodyDiv w:val="1"/>
      <w:marLeft w:val="0"/>
      <w:marRight w:val="0"/>
      <w:marTop w:val="0"/>
      <w:marBottom w:val="0"/>
      <w:divBdr>
        <w:top w:val="none" w:sz="0" w:space="0" w:color="auto"/>
        <w:left w:val="none" w:sz="0" w:space="0" w:color="auto"/>
        <w:bottom w:val="none" w:sz="0" w:space="0" w:color="auto"/>
        <w:right w:val="none" w:sz="0" w:space="0" w:color="auto"/>
      </w:divBdr>
    </w:div>
    <w:div w:id="1674800594">
      <w:bodyDiv w:val="1"/>
      <w:marLeft w:val="0"/>
      <w:marRight w:val="0"/>
      <w:marTop w:val="0"/>
      <w:marBottom w:val="0"/>
      <w:divBdr>
        <w:top w:val="none" w:sz="0" w:space="0" w:color="auto"/>
        <w:left w:val="none" w:sz="0" w:space="0" w:color="auto"/>
        <w:bottom w:val="none" w:sz="0" w:space="0" w:color="auto"/>
        <w:right w:val="none" w:sz="0" w:space="0" w:color="auto"/>
      </w:divBdr>
    </w:div>
    <w:div w:id="1675179660">
      <w:bodyDiv w:val="1"/>
      <w:marLeft w:val="0"/>
      <w:marRight w:val="0"/>
      <w:marTop w:val="0"/>
      <w:marBottom w:val="0"/>
      <w:divBdr>
        <w:top w:val="none" w:sz="0" w:space="0" w:color="auto"/>
        <w:left w:val="none" w:sz="0" w:space="0" w:color="auto"/>
        <w:bottom w:val="none" w:sz="0" w:space="0" w:color="auto"/>
        <w:right w:val="none" w:sz="0" w:space="0" w:color="auto"/>
      </w:divBdr>
    </w:div>
    <w:div w:id="1675952570">
      <w:bodyDiv w:val="1"/>
      <w:marLeft w:val="0"/>
      <w:marRight w:val="0"/>
      <w:marTop w:val="0"/>
      <w:marBottom w:val="0"/>
      <w:divBdr>
        <w:top w:val="none" w:sz="0" w:space="0" w:color="auto"/>
        <w:left w:val="none" w:sz="0" w:space="0" w:color="auto"/>
        <w:bottom w:val="none" w:sz="0" w:space="0" w:color="auto"/>
        <w:right w:val="none" w:sz="0" w:space="0" w:color="auto"/>
      </w:divBdr>
    </w:div>
    <w:div w:id="1678730772">
      <w:bodyDiv w:val="1"/>
      <w:marLeft w:val="0"/>
      <w:marRight w:val="0"/>
      <w:marTop w:val="0"/>
      <w:marBottom w:val="0"/>
      <w:divBdr>
        <w:top w:val="none" w:sz="0" w:space="0" w:color="auto"/>
        <w:left w:val="none" w:sz="0" w:space="0" w:color="auto"/>
        <w:bottom w:val="none" w:sz="0" w:space="0" w:color="auto"/>
        <w:right w:val="none" w:sz="0" w:space="0" w:color="auto"/>
      </w:divBdr>
    </w:div>
    <w:div w:id="1680544874">
      <w:bodyDiv w:val="1"/>
      <w:marLeft w:val="0"/>
      <w:marRight w:val="0"/>
      <w:marTop w:val="0"/>
      <w:marBottom w:val="0"/>
      <w:divBdr>
        <w:top w:val="none" w:sz="0" w:space="0" w:color="auto"/>
        <w:left w:val="none" w:sz="0" w:space="0" w:color="auto"/>
        <w:bottom w:val="none" w:sz="0" w:space="0" w:color="auto"/>
        <w:right w:val="none" w:sz="0" w:space="0" w:color="auto"/>
      </w:divBdr>
    </w:div>
    <w:div w:id="1682314759">
      <w:bodyDiv w:val="1"/>
      <w:marLeft w:val="0"/>
      <w:marRight w:val="0"/>
      <w:marTop w:val="0"/>
      <w:marBottom w:val="0"/>
      <w:divBdr>
        <w:top w:val="none" w:sz="0" w:space="0" w:color="auto"/>
        <w:left w:val="none" w:sz="0" w:space="0" w:color="auto"/>
        <w:bottom w:val="none" w:sz="0" w:space="0" w:color="auto"/>
        <w:right w:val="none" w:sz="0" w:space="0" w:color="auto"/>
      </w:divBdr>
    </w:div>
    <w:div w:id="1682513437">
      <w:bodyDiv w:val="1"/>
      <w:marLeft w:val="0"/>
      <w:marRight w:val="0"/>
      <w:marTop w:val="0"/>
      <w:marBottom w:val="0"/>
      <w:divBdr>
        <w:top w:val="none" w:sz="0" w:space="0" w:color="auto"/>
        <w:left w:val="none" w:sz="0" w:space="0" w:color="auto"/>
        <w:bottom w:val="none" w:sz="0" w:space="0" w:color="auto"/>
        <w:right w:val="none" w:sz="0" w:space="0" w:color="auto"/>
      </w:divBdr>
    </w:div>
    <w:div w:id="1682656226">
      <w:bodyDiv w:val="1"/>
      <w:marLeft w:val="0"/>
      <w:marRight w:val="0"/>
      <w:marTop w:val="0"/>
      <w:marBottom w:val="0"/>
      <w:divBdr>
        <w:top w:val="none" w:sz="0" w:space="0" w:color="auto"/>
        <w:left w:val="none" w:sz="0" w:space="0" w:color="auto"/>
        <w:bottom w:val="none" w:sz="0" w:space="0" w:color="auto"/>
        <w:right w:val="none" w:sz="0" w:space="0" w:color="auto"/>
      </w:divBdr>
    </w:div>
    <w:div w:id="1684742926">
      <w:bodyDiv w:val="1"/>
      <w:marLeft w:val="0"/>
      <w:marRight w:val="0"/>
      <w:marTop w:val="0"/>
      <w:marBottom w:val="0"/>
      <w:divBdr>
        <w:top w:val="none" w:sz="0" w:space="0" w:color="auto"/>
        <w:left w:val="none" w:sz="0" w:space="0" w:color="auto"/>
        <w:bottom w:val="none" w:sz="0" w:space="0" w:color="auto"/>
        <w:right w:val="none" w:sz="0" w:space="0" w:color="auto"/>
      </w:divBdr>
    </w:div>
    <w:div w:id="1686442299">
      <w:bodyDiv w:val="1"/>
      <w:marLeft w:val="0"/>
      <w:marRight w:val="0"/>
      <w:marTop w:val="0"/>
      <w:marBottom w:val="0"/>
      <w:divBdr>
        <w:top w:val="none" w:sz="0" w:space="0" w:color="auto"/>
        <w:left w:val="none" w:sz="0" w:space="0" w:color="auto"/>
        <w:bottom w:val="none" w:sz="0" w:space="0" w:color="auto"/>
        <w:right w:val="none" w:sz="0" w:space="0" w:color="auto"/>
      </w:divBdr>
    </w:div>
    <w:div w:id="1688092784">
      <w:bodyDiv w:val="1"/>
      <w:marLeft w:val="0"/>
      <w:marRight w:val="0"/>
      <w:marTop w:val="0"/>
      <w:marBottom w:val="0"/>
      <w:divBdr>
        <w:top w:val="none" w:sz="0" w:space="0" w:color="auto"/>
        <w:left w:val="none" w:sz="0" w:space="0" w:color="auto"/>
        <w:bottom w:val="none" w:sz="0" w:space="0" w:color="auto"/>
        <w:right w:val="none" w:sz="0" w:space="0" w:color="auto"/>
      </w:divBdr>
    </w:div>
    <w:div w:id="1688287090">
      <w:bodyDiv w:val="1"/>
      <w:marLeft w:val="0"/>
      <w:marRight w:val="0"/>
      <w:marTop w:val="0"/>
      <w:marBottom w:val="0"/>
      <w:divBdr>
        <w:top w:val="none" w:sz="0" w:space="0" w:color="auto"/>
        <w:left w:val="none" w:sz="0" w:space="0" w:color="auto"/>
        <w:bottom w:val="none" w:sz="0" w:space="0" w:color="auto"/>
        <w:right w:val="none" w:sz="0" w:space="0" w:color="auto"/>
      </w:divBdr>
    </w:div>
    <w:div w:id="1688675640">
      <w:bodyDiv w:val="1"/>
      <w:marLeft w:val="0"/>
      <w:marRight w:val="0"/>
      <w:marTop w:val="0"/>
      <w:marBottom w:val="0"/>
      <w:divBdr>
        <w:top w:val="none" w:sz="0" w:space="0" w:color="auto"/>
        <w:left w:val="none" w:sz="0" w:space="0" w:color="auto"/>
        <w:bottom w:val="none" w:sz="0" w:space="0" w:color="auto"/>
        <w:right w:val="none" w:sz="0" w:space="0" w:color="auto"/>
      </w:divBdr>
    </w:div>
    <w:div w:id="1696541559">
      <w:bodyDiv w:val="1"/>
      <w:marLeft w:val="0"/>
      <w:marRight w:val="0"/>
      <w:marTop w:val="0"/>
      <w:marBottom w:val="0"/>
      <w:divBdr>
        <w:top w:val="none" w:sz="0" w:space="0" w:color="auto"/>
        <w:left w:val="none" w:sz="0" w:space="0" w:color="auto"/>
        <w:bottom w:val="none" w:sz="0" w:space="0" w:color="auto"/>
        <w:right w:val="none" w:sz="0" w:space="0" w:color="auto"/>
      </w:divBdr>
    </w:div>
    <w:div w:id="1696999920">
      <w:bodyDiv w:val="1"/>
      <w:marLeft w:val="0"/>
      <w:marRight w:val="0"/>
      <w:marTop w:val="0"/>
      <w:marBottom w:val="0"/>
      <w:divBdr>
        <w:top w:val="none" w:sz="0" w:space="0" w:color="auto"/>
        <w:left w:val="none" w:sz="0" w:space="0" w:color="auto"/>
        <w:bottom w:val="none" w:sz="0" w:space="0" w:color="auto"/>
        <w:right w:val="none" w:sz="0" w:space="0" w:color="auto"/>
      </w:divBdr>
    </w:div>
    <w:div w:id="1698307081">
      <w:bodyDiv w:val="1"/>
      <w:marLeft w:val="0"/>
      <w:marRight w:val="0"/>
      <w:marTop w:val="0"/>
      <w:marBottom w:val="0"/>
      <w:divBdr>
        <w:top w:val="none" w:sz="0" w:space="0" w:color="auto"/>
        <w:left w:val="none" w:sz="0" w:space="0" w:color="auto"/>
        <w:bottom w:val="none" w:sz="0" w:space="0" w:color="auto"/>
        <w:right w:val="none" w:sz="0" w:space="0" w:color="auto"/>
      </w:divBdr>
    </w:div>
    <w:div w:id="1698695667">
      <w:bodyDiv w:val="1"/>
      <w:marLeft w:val="0"/>
      <w:marRight w:val="0"/>
      <w:marTop w:val="0"/>
      <w:marBottom w:val="0"/>
      <w:divBdr>
        <w:top w:val="none" w:sz="0" w:space="0" w:color="auto"/>
        <w:left w:val="none" w:sz="0" w:space="0" w:color="auto"/>
        <w:bottom w:val="none" w:sz="0" w:space="0" w:color="auto"/>
        <w:right w:val="none" w:sz="0" w:space="0" w:color="auto"/>
      </w:divBdr>
    </w:div>
    <w:div w:id="1701397416">
      <w:bodyDiv w:val="1"/>
      <w:marLeft w:val="0"/>
      <w:marRight w:val="0"/>
      <w:marTop w:val="0"/>
      <w:marBottom w:val="0"/>
      <w:divBdr>
        <w:top w:val="none" w:sz="0" w:space="0" w:color="auto"/>
        <w:left w:val="none" w:sz="0" w:space="0" w:color="auto"/>
        <w:bottom w:val="none" w:sz="0" w:space="0" w:color="auto"/>
        <w:right w:val="none" w:sz="0" w:space="0" w:color="auto"/>
      </w:divBdr>
    </w:div>
    <w:div w:id="1702241090">
      <w:bodyDiv w:val="1"/>
      <w:marLeft w:val="0"/>
      <w:marRight w:val="0"/>
      <w:marTop w:val="0"/>
      <w:marBottom w:val="0"/>
      <w:divBdr>
        <w:top w:val="none" w:sz="0" w:space="0" w:color="auto"/>
        <w:left w:val="none" w:sz="0" w:space="0" w:color="auto"/>
        <w:bottom w:val="none" w:sz="0" w:space="0" w:color="auto"/>
        <w:right w:val="none" w:sz="0" w:space="0" w:color="auto"/>
      </w:divBdr>
    </w:div>
    <w:div w:id="1703703404">
      <w:bodyDiv w:val="1"/>
      <w:marLeft w:val="0"/>
      <w:marRight w:val="0"/>
      <w:marTop w:val="0"/>
      <w:marBottom w:val="0"/>
      <w:divBdr>
        <w:top w:val="none" w:sz="0" w:space="0" w:color="auto"/>
        <w:left w:val="none" w:sz="0" w:space="0" w:color="auto"/>
        <w:bottom w:val="none" w:sz="0" w:space="0" w:color="auto"/>
        <w:right w:val="none" w:sz="0" w:space="0" w:color="auto"/>
      </w:divBdr>
    </w:div>
    <w:div w:id="1704938135">
      <w:bodyDiv w:val="1"/>
      <w:marLeft w:val="0"/>
      <w:marRight w:val="0"/>
      <w:marTop w:val="0"/>
      <w:marBottom w:val="0"/>
      <w:divBdr>
        <w:top w:val="none" w:sz="0" w:space="0" w:color="auto"/>
        <w:left w:val="none" w:sz="0" w:space="0" w:color="auto"/>
        <w:bottom w:val="none" w:sz="0" w:space="0" w:color="auto"/>
        <w:right w:val="none" w:sz="0" w:space="0" w:color="auto"/>
      </w:divBdr>
    </w:div>
    <w:div w:id="1706758065">
      <w:bodyDiv w:val="1"/>
      <w:marLeft w:val="0"/>
      <w:marRight w:val="0"/>
      <w:marTop w:val="0"/>
      <w:marBottom w:val="0"/>
      <w:divBdr>
        <w:top w:val="none" w:sz="0" w:space="0" w:color="auto"/>
        <w:left w:val="none" w:sz="0" w:space="0" w:color="auto"/>
        <w:bottom w:val="none" w:sz="0" w:space="0" w:color="auto"/>
        <w:right w:val="none" w:sz="0" w:space="0" w:color="auto"/>
      </w:divBdr>
    </w:div>
    <w:div w:id="1706827876">
      <w:bodyDiv w:val="1"/>
      <w:marLeft w:val="0"/>
      <w:marRight w:val="0"/>
      <w:marTop w:val="0"/>
      <w:marBottom w:val="0"/>
      <w:divBdr>
        <w:top w:val="none" w:sz="0" w:space="0" w:color="auto"/>
        <w:left w:val="none" w:sz="0" w:space="0" w:color="auto"/>
        <w:bottom w:val="none" w:sz="0" w:space="0" w:color="auto"/>
        <w:right w:val="none" w:sz="0" w:space="0" w:color="auto"/>
      </w:divBdr>
    </w:div>
    <w:div w:id="1707102400">
      <w:bodyDiv w:val="1"/>
      <w:marLeft w:val="0"/>
      <w:marRight w:val="0"/>
      <w:marTop w:val="0"/>
      <w:marBottom w:val="0"/>
      <w:divBdr>
        <w:top w:val="none" w:sz="0" w:space="0" w:color="auto"/>
        <w:left w:val="none" w:sz="0" w:space="0" w:color="auto"/>
        <w:bottom w:val="none" w:sz="0" w:space="0" w:color="auto"/>
        <w:right w:val="none" w:sz="0" w:space="0" w:color="auto"/>
      </w:divBdr>
    </w:div>
    <w:div w:id="1708793016">
      <w:bodyDiv w:val="1"/>
      <w:marLeft w:val="0"/>
      <w:marRight w:val="0"/>
      <w:marTop w:val="0"/>
      <w:marBottom w:val="0"/>
      <w:divBdr>
        <w:top w:val="none" w:sz="0" w:space="0" w:color="auto"/>
        <w:left w:val="none" w:sz="0" w:space="0" w:color="auto"/>
        <w:bottom w:val="none" w:sz="0" w:space="0" w:color="auto"/>
        <w:right w:val="none" w:sz="0" w:space="0" w:color="auto"/>
      </w:divBdr>
    </w:div>
    <w:div w:id="1711104044">
      <w:bodyDiv w:val="1"/>
      <w:marLeft w:val="0"/>
      <w:marRight w:val="0"/>
      <w:marTop w:val="0"/>
      <w:marBottom w:val="0"/>
      <w:divBdr>
        <w:top w:val="none" w:sz="0" w:space="0" w:color="auto"/>
        <w:left w:val="none" w:sz="0" w:space="0" w:color="auto"/>
        <w:bottom w:val="none" w:sz="0" w:space="0" w:color="auto"/>
        <w:right w:val="none" w:sz="0" w:space="0" w:color="auto"/>
      </w:divBdr>
    </w:div>
    <w:div w:id="1713534906">
      <w:bodyDiv w:val="1"/>
      <w:marLeft w:val="0"/>
      <w:marRight w:val="0"/>
      <w:marTop w:val="0"/>
      <w:marBottom w:val="0"/>
      <w:divBdr>
        <w:top w:val="none" w:sz="0" w:space="0" w:color="auto"/>
        <w:left w:val="none" w:sz="0" w:space="0" w:color="auto"/>
        <w:bottom w:val="none" w:sz="0" w:space="0" w:color="auto"/>
        <w:right w:val="none" w:sz="0" w:space="0" w:color="auto"/>
      </w:divBdr>
    </w:div>
    <w:div w:id="1714382957">
      <w:bodyDiv w:val="1"/>
      <w:marLeft w:val="0"/>
      <w:marRight w:val="0"/>
      <w:marTop w:val="0"/>
      <w:marBottom w:val="0"/>
      <w:divBdr>
        <w:top w:val="none" w:sz="0" w:space="0" w:color="auto"/>
        <w:left w:val="none" w:sz="0" w:space="0" w:color="auto"/>
        <w:bottom w:val="none" w:sz="0" w:space="0" w:color="auto"/>
        <w:right w:val="none" w:sz="0" w:space="0" w:color="auto"/>
      </w:divBdr>
    </w:div>
    <w:div w:id="1716003781">
      <w:bodyDiv w:val="1"/>
      <w:marLeft w:val="0"/>
      <w:marRight w:val="0"/>
      <w:marTop w:val="0"/>
      <w:marBottom w:val="0"/>
      <w:divBdr>
        <w:top w:val="none" w:sz="0" w:space="0" w:color="auto"/>
        <w:left w:val="none" w:sz="0" w:space="0" w:color="auto"/>
        <w:bottom w:val="none" w:sz="0" w:space="0" w:color="auto"/>
        <w:right w:val="none" w:sz="0" w:space="0" w:color="auto"/>
      </w:divBdr>
    </w:div>
    <w:div w:id="1716081048">
      <w:bodyDiv w:val="1"/>
      <w:marLeft w:val="0"/>
      <w:marRight w:val="0"/>
      <w:marTop w:val="0"/>
      <w:marBottom w:val="0"/>
      <w:divBdr>
        <w:top w:val="none" w:sz="0" w:space="0" w:color="auto"/>
        <w:left w:val="none" w:sz="0" w:space="0" w:color="auto"/>
        <w:bottom w:val="none" w:sz="0" w:space="0" w:color="auto"/>
        <w:right w:val="none" w:sz="0" w:space="0" w:color="auto"/>
      </w:divBdr>
    </w:div>
    <w:div w:id="1716152779">
      <w:bodyDiv w:val="1"/>
      <w:marLeft w:val="0"/>
      <w:marRight w:val="0"/>
      <w:marTop w:val="0"/>
      <w:marBottom w:val="0"/>
      <w:divBdr>
        <w:top w:val="none" w:sz="0" w:space="0" w:color="auto"/>
        <w:left w:val="none" w:sz="0" w:space="0" w:color="auto"/>
        <w:bottom w:val="none" w:sz="0" w:space="0" w:color="auto"/>
        <w:right w:val="none" w:sz="0" w:space="0" w:color="auto"/>
      </w:divBdr>
    </w:div>
    <w:div w:id="1716538267">
      <w:bodyDiv w:val="1"/>
      <w:marLeft w:val="0"/>
      <w:marRight w:val="0"/>
      <w:marTop w:val="0"/>
      <w:marBottom w:val="0"/>
      <w:divBdr>
        <w:top w:val="none" w:sz="0" w:space="0" w:color="auto"/>
        <w:left w:val="none" w:sz="0" w:space="0" w:color="auto"/>
        <w:bottom w:val="none" w:sz="0" w:space="0" w:color="auto"/>
        <w:right w:val="none" w:sz="0" w:space="0" w:color="auto"/>
      </w:divBdr>
    </w:div>
    <w:div w:id="1716543710">
      <w:bodyDiv w:val="1"/>
      <w:marLeft w:val="0"/>
      <w:marRight w:val="0"/>
      <w:marTop w:val="0"/>
      <w:marBottom w:val="0"/>
      <w:divBdr>
        <w:top w:val="none" w:sz="0" w:space="0" w:color="auto"/>
        <w:left w:val="none" w:sz="0" w:space="0" w:color="auto"/>
        <w:bottom w:val="none" w:sz="0" w:space="0" w:color="auto"/>
        <w:right w:val="none" w:sz="0" w:space="0" w:color="auto"/>
      </w:divBdr>
    </w:div>
    <w:div w:id="1717316893">
      <w:bodyDiv w:val="1"/>
      <w:marLeft w:val="0"/>
      <w:marRight w:val="0"/>
      <w:marTop w:val="0"/>
      <w:marBottom w:val="0"/>
      <w:divBdr>
        <w:top w:val="none" w:sz="0" w:space="0" w:color="auto"/>
        <w:left w:val="none" w:sz="0" w:space="0" w:color="auto"/>
        <w:bottom w:val="none" w:sz="0" w:space="0" w:color="auto"/>
        <w:right w:val="none" w:sz="0" w:space="0" w:color="auto"/>
      </w:divBdr>
    </w:div>
    <w:div w:id="1717855935">
      <w:bodyDiv w:val="1"/>
      <w:marLeft w:val="0"/>
      <w:marRight w:val="0"/>
      <w:marTop w:val="0"/>
      <w:marBottom w:val="0"/>
      <w:divBdr>
        <w:top w:val="none" w:sz="0" w:space="0" w:color="auto"/>
        <w:left w:val="none" w:sz="0" w:space="0" w:color="auto"/>
        <w:bottom w:val="none" w:sz="0" w:space="0" w:color="auto"/>
        <w:right w:val="none" w:sz="0" w:space="0" w:color="auto"/>
      </w:divBdr>
    </w:div>
    <w:div w:id="1718889928">
      <w:bodyDiv w:val="1"/>
      <w:marLeft w:val="0"/>
      <w:marRight w:val="0"/>
      <w:marTop w:val="0"/>
      <w:marBottom w:val="0"/>
      <w:divBdr>
        <w:top w:val="none" w:sz="0" w:space="0" w:color="auto"/>
        <w:left w:val="none" w:sz="0" w:space="0" w:color="auto"/>
        <w:bottom w:val="none" w:sz="0" w:space="0" w:color="auto"/>
        <w:right w:val="none" w:sz="0" w:space="0" w:color="auto"/>
      </w:divBdr>
    </w:div>
    <w:div w:id="1721057283">
      <w:bodyDiv w:val="1"/>
      <w:marLeft w:val="0"/>
      <w:marRight w:val="0"/>
      <w:marTop w:val="0"/>
      <w:marBottom w:val="0"/>
      <w:divBdr>
        <w:top w:val="none" w:sz="0" w:space="0" w:color="auto"/>
        <w:left w:val="none" w:sz="0" w:space="0" w:color="auto"/>
        <w:bottom w:val="none" w:sz="0" w:space="0" w:color="auto"/>
        <w:right w:val="none" w:sz="0" w:space="0" w:color="auto"/>
      </w:divBdr>
    </w:div>
    <w:div w:id="1721977543">
      <w:bodyDiv w:val="1"/>
      <w:marLeft w:val="0"/>
      <w:marRight w:val="0"/>
      <w:marTop w:val="0"/>
      <w:marBottom w:val="0"/>
      <w:divBdr>
        <w:top w:val="none" w:sz="0" w:space="0" w:color="auto"/>
        <w:left w:val="none" w:sz="0" w:space="0" w:color="auto"/>
        <w:bottom w:val="none" w:sz="0" w:space="0" w:color="auto"/>
        <w:right w:val="none" w:sz="0" w:space="0" w:color="auto"/>
      </w:divBdr>
    </w:div>
    <w:div w:id="1722096887">
      <w:bodyDiv w:val="1"/>
      <w:marLeft w:val="0"/>
      <w:marRight w:val="0"/>
      <w:marTop w:val="0"/>
      <w:marBottom w:val="0"/>
      <w:divBdr>
        <w:top w:val="none" w:sz="0" w:space="0" w:color="auto"/>
        <w:left w:val="none" w:sz="0" w:space="0" w:color="auto"/>
        <w:bottom w:val="none" w:sz="0" w:space="0" w:color="auto"/>
        <w:right w:val="none" w:sz="0" w:space="0" w:color="auto"/>
      </w:divBdr>
    </w:div>
    <w:div w:id="1724210256">
      <w:bodyDiv w:val="1"/>
      <w:marLeft w:val="0"/>
      <w:marRight w:val="0"/>
      <w:marTop w:val="0"/>
      <w:marBottom w:val="0"/>
      <w:divBdr>
        <w:top w:val="none" w:sz="0" w:space="0" w:color="auto"/>
        <w:left w:val="none" w:sz="0" w:space="0" w:color="auto"/>
        <w:bottom w:val="none" w:sz="0" w:space="0" w:color="auto"/>
        <w:right w:val="none" w:sz="0" w:space="0" w:color="auto"/>
      </w:divBdr>
    </w:div>
    <w:div w:id="1724449548">
      <w:bodyDiv w:val="1"/>
      <w:marLeft w:val="0"/>
      <w:marRight w:val="0"/>
      <w:marTop w:val="0"/>
      <w:marBottom w:val="0"/>
      <w:divBdr>
        <w:top w:val="none" w:sz="0" w:space="0" w:color="auto"/>
        <w:left w:val="none" w:sz="0" w:space="0" w:color="auto"/>
        <w:bottom w:val="none" w:sz="0" w:space="0" w:color="auto"/>
        <w:right w:val="none" w:sz="0" w:space="0" w:color="auto"/>
      </w:divBdr>
    </w:div>
    <w:div w:id="1727755694">
      <w:bodyDiv w:val="1"/>
      <w:marLeft w:val="0"/>
      <w:marRight w:val="0"/>
      <w:marTop w:val="0"/>
      <w:marBottom w:val="0"/>
      <w:divBdr>
        <w:top w:val="none" w:sz="0" w:space="0" w:color="auto"/>
        <w:left w:val="none" w:sz="0" w:space="0" w:color="auto"/>
        <w:bottom w:val="none" w:sz="0" w:space="0" w:color="auto"/>
        <w:right w:val="none" w:sz="0" w:space="0" w:color="auto"/>
      </w:divBdr>
    </w:div>
    <w:div w:id="1728648956">
      <w:bodyDiv w:val="1"/>
      <w:marLeft w:val="0"/>
      <w:marRight w:val="0"/>
      <w:marTop w:val="0"/>
      <w:marBottom w:val="0"/>
      <w:divBdr>
        <w:top w:val="none" w:sz="0" w:space="0" w:color="auto"/>
        <w:left w:val="none" w:sz="0" w:space="0" w:color="auto"/>
        <w:bottom w:val="none" w:sz="0" w:space="0" w:color="auto"/>
        <w:right w:val="none" w:sz="0" w:space="0" w:color="auto"/>
      </w:divBdr>
    </w:div>
    <w:div w:id="1729104669">
      <w:bodyDiv w:val="1"/>
      <w:marLeft w:val="0"/>
      <w:marRight w:val="0"/>
      <w:marTop w:val="0"/>
      <w:marBottom w:val="0"/>
      <w:divBdr>
        <w:top w:val="none" w:sz="0" w:space="0" w:color="auto"/>
        <w:left w:val="none" w:sz="0" w:space="0" w:color="auto"/>
        <w:bottom w:val="none" w:sz="0" w:space="0" w:color="auto"/>
        <w:right w:val="none" w:sz="0" w:space="0" w:color="auto"/>
      </w:divBdr>
    </w:div>
    <w:div w:id="1733766910">
      <w:bodyDiv w:val="1"/>
      <w:marLeft w:val="0"/>
      <w:marRight w:val="0"/>
      <w:marTop w:val="0"/>
      <w:marBottom w:val="0"/>
      <w:divBdr>
        <w:top w:val="none" w:sz="0" w:space="0" w:color="auto"/>
        <w:left w:val="none" w:sz="0" w:space="0" w:color="auto"/>
        <w:bottom w:val="none" w:sz="0" w:space="0" w:color="auto"/>
        <w:right w:val="none" w:sz="0" w:space="0" w:color="auto"/>
      </w:divBdr>
    </w:div>
    <w:div w:id="1736393100">
      <w:bodyDiv w:val="1"/>
      <w:marLeft w:val="0"/>
      <w:marRight w:val="0"/>
      <w:marTop w:val="0"/>
      <w:marBottom w:val="0"/>
      <w:divBdr>
        <w:top w:val="none" w:sz="0" w:space="0" w:color="auto"/>
        <w:left w:val="none" w:sz="0" w:space="0" w:color="auto"/>
        <w:bottom w:val="none" w:sz="0" w:space="0" w:color="auto"/>
        <w:right w:val="none" w:sz="0" w:space="0" w:color="auto"/>
      </w:divBdr>
    </w:div>
    <w:div w:id="1736732963">
      <w:bodyDiv w:val="1"/>
      <w:marLeft w:val="0"/>
      <w:marRight w:val="0"/>
      <w:marTop w:val="0"/>
      <w:marBottom w:val="0"/>
      <w:divBdr>
        <w:top w:val="none" w:sz="0" w:space="0" w:color="auto"/>
        <w:left w:val="none" w:sz="0" w:space="0" w:color="auto"/>
        <w:bottom w:val="none" w:sz="0" w:space="0" w:color="auto"/>
        <w:right w:val="none" w:sz="0" w:space="0" w:color="auto"/>
      </w:divBdr>
    </w:div>
    <w:div w:id="1737245662">
      <w:bodyDiv w:val="1"/>
      <w:marLeft w:val="0"/>
      <w:marRight w:val="0"/>
      <w:marTop w:val="0"/>
      <w:marBottom w:val="0"/>
      <w:divBdr>
        <w:top w:val="none" w:sz="0" w:space="0" w:color="auto"/>
        <w:left w:val="none" w:sz="0" w:space="0" w:color="auto"/>
        <w:bottom w:val="none" w:sz="0" w:space="0" w:color="auto"/>
        <w:right w:val="none" w:sz="0" w:space="0" w:color="auto"/>
      </w:divBdr>
    </w:div>
    <w:div w:id="1737896409">
      <w:bodyDiv w:val="1"/>
      <w:marLeft w:val="0"/>
      <w:marRight w:val="0"/>
      <w:marTop w:val="0"/>
      <w:marBottom w:val="0"/>
      <w:divBdr>
        <w:top w:val="none" w:sz="0" w:space="0" w:color="auto"/>
        <w:left w:val="none" w:sz="0" w:space="0" w:color="auto"/>
        <w:bottom w:val="none" w:sz="0" w:space="0" w:color="auto"/>
        <w:right w:val="none" w:sz="0" w:space="0" w:color="auto"/>
      </w:divBdr>
    </w:div>
    <w:div w:id="1738702194">
      <w:bodyDiv w:val="1"/>
      <w:marLeft w:val="0"/>
      <w:marRight w:val="0"/>
      <w:marTop w:val="0"/>
      <w:marBottom w:val="0"/>
      <w:divBdr>
        <w:top w:val="none" w:sz="0" w:space="0" w:color="auto"/>
        <w:left w:val="none" w:sz="0" w:space="0" w:color="auto"/>
        <w:bottom w:val="none" w:sz="0" w:space="0" w:color="auto"/>
        <w:right w:val="none" w:sz="0" w:space="0" w:color="auto"/>
      </w:divBdr>
    </w:div>
    <w:div w:id="1741051270">
      <w:bodyDiv w:val="1"/>
      <w:marLeft w:val="0"/>
      <w:marRight w:val="0"/>
      <w:marTop w:val="0"/>
      <w:marBottom w:val="0"/>
      <w:divBdr>
        <w:top w:val="none" w:sz="0" w:space="0" w:color="auto"/>
        <w:left w:val="none" w:sz="0" w:space="0" w:color="auto"/>
        <w:bottom w:val="none" w:sz="0" w:space="0" w:color="auto"/>
        <w:right w:val="none" w:sz="0" w:space="0" w:color="auto"/>
      </w:divBdr>
    </w:div>
    <w:div w:id="1741564079">
      <w:bodyDiv w:val="1"/>
      <w:marLeft w:val="0"/>
      <w:marRight w:val="0"/>
      <w:marTop w:val="0"/>
      <w:marBottom w:val="0"/>
      <w:divBdr>
        <w:top w:val="none" w:sz="0" w:space="0" w:color="auto"/>
        <w:left w:val="none" w:sz="0" w:space="0" w:color="auto"/>
        <w:bottom w:val="none" w:sz="0" w:space="0" w:color="auto"/>
        <w:right w:val="none" w:sz="0" w:space="0" w:color="auto"/>
      </w:divBdr>
    </w:div>
    <w:div w:id="1745832991">
      <w:bodyDiv w:val="1"/>
      <w:marLeft w:val="0"/>
      <w:marRight w:val="0"/>
      <w:marTop w:val="0"/>
      <w:marBottom w:val="0"/>
      <w:divBdr>
        <w:top w:val="none" w:sz="0" w:space="0" w:color="auto"/>
        <w:left w:val="none" w:sz="0" w:space="0" w:color="auto"/>
        <w:bottom w:val="none" w:sz="0" w:space="0" w:color="auto"/>
        <w:right w:val="none" w:sz="0" w:space="0" w:color="auto"/>
      </w:divBdr>
    </w:div>
    <w:div w:id="1749690682">
      <w:bodyDiv w:val="1"/>
      <w:marLeft w:val="0"/>
      <w:marRight w:val="0"/>
      <w:marTop w:val="0"/>
      <w:marBottom w:val="0"/>
      <w:divBdr>
        <w:top w:val="none" w:sz="0" w:space="0" w:color="auto"/>
        <w:left w:val="none" w:sz="0" w:space="0" w:color="auto"/>
        <w:bottom w:val="none" w:sz="0" w:space="0" w:color="auto"/>
        <w:right w:val="none" w:sz="0" w:space="0" w:color="auto"/>
      </w:divBdr>
    </w:div>
    <w:div w:id="1752966680">
      <w:bodyDiv w:val="1"/>
      <w:marLeft w:val="0"/>
      <w:marRight w:val="0"/>
      <w:marTop w:val="0"/>
      <w:marBottom w:val="0"/>
      <w:divBdr>
        <w:top w:val="none" w:sz="0" w:space="0" w:color="auto"/>
        <w:left w:val="none" w:sz="0" w:space="0" w:color="auto"/>
        <w:bottom w:val="none" w:sz="0" w:space="0" w:color="auto"/>
        <w:right w:val="none" w:sz="0" w:space="0" w:color="auto"/>
      </w:divBdr>
    </w:div>
    <w:div w:id="1753430815">
      <w:bodyDiv w:val="1"/>
      <w:marLeft w:val="0"/>
      <w:marRight w:val="0"/>
      <w:marTop w:val="0"/>
      <w:marBottom w:val="0"/>
      <w:divBdr>
        <w:top w:val="none" w:sz="0" w:space="0" w:color="auto"/>
        <w:left w:val="none" w:sz="0" w:space="0" w:color="auto"/>
        <w:bottom w:val="none" w:sz="0" w:space="0" w:color="auto"/>
        <w:right w:val="none" w:sz="0" w:space="0" w:color="auto"/>
      </w:divBdr>
    </w:div>
    <w:div w:id="1753578670">
      <w:bodyDiv w:val="1"/>
      <w:marLeft w:val="0"/>
      <w:marRight w:val="0"/>
      <w:marTop w:val="0"/>
      <w:marBottom w:val="0"/>
      <w:divBdr>
        <w:top w:val="none" w:sz="0" w:space="0" w:color="auto"/>
        <w:left w:val="none" w:sz="0" w:space="0" w:color="auto"/>
        <w:bottom w:val="none" w:sz="0" w:space="0" w:color="auto"/>
        <w:right w:val="none" w:sz="0" w:space="0" w:color="auto"/>
      </w:divBdr>
    </w:div>
    <w:div w:id="1756974306">
      <w:bodyDiv w:val="1"/>
      <w:marLeft w:val="0"/>
      <w:marRight w:val="0"/>
      <w:marTop w:val="0"/>
      <w:marBottom w:val="0"/>
      <w:divBdr>
        <w:top w:val="none" w:sz="0" w:space="0" w:color="auto"/>
        <w:left w:val="none" w:sz="0" w:space="0" w:color="auto"/>
        <w:bottom w:val="none" w:sz="0" w:space="0" w:color="auto"/>
        <w:right w:val="none" w:sz="0" w:space="0" w:color="auto"/>
      </w:divBdr>
    </w:div>
    <w:div w:id="1758483128">
      <w:bodyDiv w:val="1"/>
      <w:marLeft w:val="0"/>
      <w:marRight w:val="0"/>
      <w:marTop w:val="0"/>
      <w:marBottom w:val="0"/>
      <w:divBdr>
        <w:top w:val="none" w:sz="0" w:space="0" w:color="auto"/>
        <w:left w:val="none" w:sz="0" w:space="0" w:color="auto"/>
        <w:bottom w:val="none" w:sz="0" w:space="0" w:color="auto"/>
        <w:right w:val="none" w:sz="0" w:space="0" w:color="auto"/>
      </w:divBdr>
    </w:div>
    <w:div w:id="1758745341">
      <w:bodyDiv w:val="1"/>
      <w:marLeft w:val="0"/>
      <w:marRight w:val="0"/>
      <w:marTop w:val="0"/>
      <w:marBottom w:val="0"/>
      <w:divBdr>
        <w:top w:val="none" w:sz="0" w:space="0" w:color="auto"/>
        <w:left w:val="none" w:sz="0" w:space="0" w:color="auto"/>
        <w:bottom w:val="none" w:sz="0" w:space="0" w:color="auto"/>
        <w:right w:val="none" w:sz="0" w:space="0" w:color="auto"/>
      </w:divBdr>
    </w:div>
    <w:div w:id="1759403085">
      <w:bodyDiv w:val="1"/>
      <w:marLeft w:val="0"/>
      <w:marRight w:val="0"/>
      <w:marTop w:val="0"/>
      <w:marBottom w:val="0"/>
      <w:divBdr>
        <w:top w:val="none" w:sz="0" w:space="0" w:color="auto"/>
        <w:left w:val="none" w:sz="0" w:space="0" w:color="auto"/>
        <w:bottom w:val="none" w:sz="0" w:space="0" w:color="auto"/>
        <w:right w:val="none" w:sz="0" w:space="0" w:color="auto"/>
      </w:divBdr>
    </w:div>
    <w:div w:id="1759596163">
      <w:bodyDiv w:val="1"/>
      <w:marLeft w:val="0"/>
      <w:marRight w:val="0"/>
      <w:marTop w:val="0"/>
      <w:marBottom w:val="0"/>
      <w:divBdr>
        <w:top w:val="none" w:sz="0" w:space="0" w:color="auto"/>
        <w:left w:val="none" w:sz="0" w:space="0" w:color="auto"/>
        <w:bottom w:val="none" w:sz="0" w:space="0" w:color="auto"/>
        <w:right w:val="none" w:sz="0" w:space="0" w:color="auto"/>
      </w:divBdr>
    </w:div>
    <w:div w:id="1759598098">
      <w:bodyDiv w:val="1"/>
      <w:marLeft w:val="0"/>
      <w:marRight w:val="0"/>
      <w:marTop w:val="0"/>
      <w:marBottom w:val="0"/>
      <w:divBdr>
        <w:top w:val="none" w:sz="0" w:space="0" w:color="auto"/>
        <w:left w:val="none" w:sz="0" w:space="0" w:color="auto"/>
        <w:bottom w:val="none" w:sz="0" w:space="0" w:color="auto"/>
        <w:right w:val="none" w:sz="0" w:space="0" w:color="auto"/>
      </w:divBdr>
    </w:div>
    <w:div w:id="1759864740">
      <w:bodyDiv w:val="1"/>
      <w:marLeft w:val="0"/>
      <w:marRight w:val="0"/>
      <w:marTop w:val="0"/>
      <w:marBottom w:val="0"/>
      <w:divBdr>
        <w:top w:val="none" w:sz="0" w:space="0" w:color="auto"/>
        <w:left w:val="none" w:sz="0" w:space="0" w:color="auto"/>
        <w:bottom w:val="none" w:sz="0" w:space="0" w:color="auto"/>
        <w:right w:val="none" w:sz="0" w:space="0" w:color="auto"/>
      </w:divBdr>
    </w:div>
    <w:div w:id="1761680754">
      <w:bodyDiv w:val="1"/>
      <w:marLeft w:val="0"/>
      <w:marRight w:val="0"/>
      <w:marTop w:val="0"/>
      <w:marBottom w:val="0"/>
      <w:divBdr>
        <w:top w:val="none" w:sz="0" w:space="0" w:color="auto"/>
        <w:left w:val="none" w:sz="0" w:space="0" w:color="auto"/>
        <w:bottom w:val="none" w:sz="0" w:space="0" w:color="auto"/>
        <w:right w:val="none" w:sz="0" w:space="0" w:color="auto"/>
      </w:divBdr>
    </w:div>
    <w:div w:id="1762212189">
      <w:bodyDiv w:val="1"/>
      <w:marLeft w:val="0"/>
      <w:marRight w:val="0"/>
      <w:marTop w:val="0"/>
      <w:marBottom w:val="0"/>
      <w:divBdr>
        <w:top w:val="none" w:sz="0" w:space="0" w:color="auto"/>
        <w:left w:val="none" w:sz="0" w:space="0" w:color="auto"/>
        <w:bottom w:val="none" w:sz="0" w:space="0" w:color="auto"/>
        <w:right w:val="none" w:sz="0" w:space="0" w:color="auto"/>
      </w:divBdr>
    </w:div>
    <w:div w:id="1764033576">
      <w:bodyDiv w:val="1"/>
      <w:marLeft w:val="0"/>
      <w:marRight w:val="0"/>
      <w:marTop w:val="0"/>
      <w:marBottom w:val="0"/>
      <w:divBdr>
        <w:top w:val="none" w:sz="0" w:space="0" w:color="auto"/>
        <w:left w:val="none" w:sz="0" w:space="0" w:color="auto"/>
        <w:bottom w:val="none" w:sz="0" w:space="0" w:color="auto"/>
        <w:right w:val="none" w:sz="0" w:space="0" w:color="auto"/>
      </w:divBdr>
    </w:div>
    <w:div w:id="1764374026">
      <w:bodyDiv w:val="1"/>
      <w:marLeft w:val="0"/>
      <w:marRight w:val="0"/>
      <w:marTop w:val="0"/>
      <w:marBottom w:val="0"/>
      <w:divBdr>
        <w:top w:val="none" w:sz="0" w:space="0" w:color="auto"/>
        <w:left w:val="none" w:sz="0" w:space="0" w:color="auto"/>
        <w:bottom w:val="none" w:sz="0" w:space="0" w:color="auto"/>
        <w:right w:val="none" w:sz="0" w:space="0" w:color="auto"/>
      </w:divBdr>
    </w:div>
    <w:div w:id="1766536644">
      <w:bodyDiv w:val="1"/>
      <w:marLeft w:val="0"/>
      <w:marRight w:val="0"/>
      <w:marTop w:val="0"/>
      <w:marBottom w:val="0"/>
      <w:divBdr>
        <w:top w:val="none" w:sz="0" w:space="0" w:color="auto"/>
        <w:left w:val="none" w:sz="0" w:space="0" w:color="auto"/>
        <w:bottom w:val="none" w:sz="0" w:space="0" w:color="auto"/>
        <w:right w:val="none" w:sz="0" w:space="0" w:color="auto"/>
      </w:divBdr>
    </w:div>
    <w:div w:id="1767268348">
      <w:bodyDiv w:val="1"/>
      <w:marLeft w:val="0"/>
      <w:marRight w:val="0"/>
      <w:marTop w:val="0"/>
      <w:marBottom w:val="0"/>
      <w:divBdr>
        <w:top w:val="none" w:sz="0" w:space="0" w:color="auto"/>
        <w:left w:val="none" w:sz="0" w:space="0" w:color="auto"/>
        <w:bottom w:val="none" w:sz="0" w:space="0" w:color="auto"/>
        <w:right w:val="none" w:sz="0" w:space="0" w:color="auto"/>
      </w:divBdr>
    </w:div>
    <w:div w:id="1767729193">
      <w:bodyDiv w:val="1"/>
      <w:marLeft w:val="0"/>
      <w:marRight w:val="0"/>
      <w:marTop w:val="0"/>
      <w:marBottom w:val="0"/>
      <w:divBdr>
        <w:top w:val="none" w:sz="0" w:space="0" w:color="auto"/>
        <w:left w:val="none" w:sz="0" w:space="0" w:color="auto"/>
        <w:bottom w:val="none" w:sz="0" w:space="0" w:color="auto"/>
        <w:right w:val="none" w:sz="0" w:space="0" w:color="auto"/>
      </w:divBdr>
    </w:div>
    <w:div w:id="1768693843">
      <w:bodyDiv w:val="1"/>
      <w:marLeft w:val="0"/>
      <w:marRight w:val="0"/>
      <w:marTop w:val="0"/>
      <w:marBottom w:val="0"/>
      <w:divBdr>
        <w:top w:val="none" w:sz="0" w:space="0" w:color="auto"/>
        <w:left w:val="none" w:sz="0" w:space="0" w:color="auto"/>
        <w:bottom w:val="none" w:sz="0" w:space="0" w:color="auto"/>
        <w:right w:val="none" w:sz="0" w:space="0" w:color="auto"/>
      </w:divBdr>
    </w:div>
    <w:div w:id="1770079293">
      <w:bodyDiv w:val="1"/>
      <w:marLeft w:val="0"/>
      <w:marRight w:val="0"/>
      <w:marTop w:val="0"/>
      <w:marBottom w:val="0"/>
      <w:divBdr>
        <w:top w:val="none" w:sz="0" w:space="0" w:color="auto"/>
        <w:left w:val="none" w:sz="0" w:space="0" w:color="auto"/>
        <w:bottom w:val="none" w:sz="0" w:space="0" w:color="auto"/>
        <w:right w:val="none" w:sz="0" w:space="0" w:color="auto"/>
      </w:divBdr>
    </w:div>
    <w:div w:id="1771395367">
      <w:bodyDiv w:val="1"/>
      <w:marLeft w:val="0"/>
      <w:marRight w:val="0"/>
      <w:marTop w:val="0"/>
      <w:marBottom w:val="0"/>
      <w:divBdr>
        <w:top w:val="none" w:sz="0" w:space="0" w:color="auto"/>
        <w:left w:val="none" w:sz="0" w:space="0" w:color="auto"/>
        <w:bottom w:val="none" w:sz="0" w:space="0" w:color="auto"/>
        <w:right w:val="none" w:sz="0" w:space="0" w:color="auto"/>
      </w:divBdr>
    </w:div>
    <w:div w:id="1776171139">
      <w:bodyDiv w:val="1"/>
      <w:marLeft w:val="0"/>
      <w:marRight w:val="0"/>
      <w:marTop w:val="0"/>
      <w:marBottom w:val="0"/>
      <w:divBdr>
        <w:top w:val="none" w:sz="0" w:space="0" w:color="auto"/>
        <w:left w:val="none" w:sz="0" w:space="0" w:color="auto"/>
        <w:bottom w:val="none" w:sz="0" w:space="0" w:color="auto"/>
        <w:right w:val="none" w:sz="0" w:space="0" w:color="auto"/>
      </w:divBdr>
    </w:div>
    <w:div w:id="1778254572">
      <w:bodyDiv w:val="1"/>
      <w:marLeft w:val="0"/>
      <w:marRight w:val="0"/>
      <w:marTop w:val="0"/>
      <w:marBottom w:val="0"/>
      <w:divBdr>
        <w:top w:val="none" w:sz="0" w:space="0" w:color="auto"/>
        <w:left w:val="none" w:sz="0" w:space="0" w:color="auto"/>
        <w:bottom w:val="none" w:sz="0" w:space="0" w:color="auto"/>
        <w:right w:val="none" w:sz="0" w:space="0" w:color="auto"/>
      </w:divBdr>
    </w:div>
    <w:div w:id="1779443810">
      <w:bodyDiv w:val="1"/>
      <w:marLeft w:val="0"/>
      <w:marRight w:val="0"/>
      <w:marTop w:val="0"/>
      <w:marBottom w:val="0"/>
      <w:divBdr>
        <w:top w:val="none" w:sz="0" w:space="0" w:color="auto"/>
        <w:left w:val="none" w:sz="0" w:space="0" w:color="auto"/>
        <w:bottom w:val="none" w:sz="0" w:space="0" w:color="auto"/>
        <w:right w:val="none" w:sz="0" w:space="0" w:color="auto"/>
      </w:divBdr>
    </w:div>
    <w:div w:id="1782796824">
      <w:bodyDiv w:val="1"/>
      <w:marLeft w:val="0"/>
      <w:marRight w:val="0"/>
      <w:marTop w:val="0"/>
      <w:marBottom w:val="0"/>
      <w:divBdr>
        <w:top w:val="none" w:sz="0" w:space="0" w:color="auto"/>
        <w:left w:val="none" w:sz="0" w:space="0" w:color="auto"/>
        <w:bottom w:val="none" w:sz="0" w:space="0" w:color="auto"/>
        <w:right w:val="none" w:sz="0" w:space="0" w:color="auto"/>
      </w:divBdr>
    </w:div>
    <w:div w:id="1783063390">
      <w:bodyDiv w:val="1"/>
      <w:marLeft w:val="0"/>
      <w:marRight w:val="0"/>
      <w:marTop w:val="0"/>
      <w:marBottom w:val="0"/>
      <w:divBdr>
        <w:top w:val="none" w:sz="0" w:space="0" w:color="auto"/>
        <w:left w:val="none" w:sz="0" w:space="0" w:color="auto"/>
        <w:bottom w:val="none" w:sz="0" w:space="0" w:color="auto"/>
        <w:right w:val="none" w:sz="0" w:space="0" w:color="auto"/>
      </w:divBdr>
    </w:div>
    <w:div w:id="1784181745">
      <w:bodyDiv w:val="1"/>
      <w:marLeft w:val="0"/>
      <w:marRight w:val="0"/>
      <w:marTop w:val="0"/>
      <w:marBottom w:val="0"/>
      <w:divBdr>
        <w:top w:val="none" w:sz="0" w:space="0" w:color="auto"/>
        <w:left w:val="none" w:sz="0" w:space="0" w:color="auto"/>
        <w:bottom w:val="none" w:sz="0" w:space="0" w:color="auto"/>
        <w:right w:val="none" w:sz="0" w:space="0" w:color="auto"/>
      </w:divBdr>
    </w:div>
    <w:div w:id="1785616549">
      <w:bodyDiv w:val="1"/>
      <w:marLeft w:val="0"/>
      <w:marRight w:val="0"/>
      <w:marTop w:val="0"/>
      <w:marBottom w:val="0"/>
      <w:divBdr>
        <w:top w:val="none" w:sz="0" w:space="0" w:color="auto"/>
        <w:left w:val="none" w:sz="0" w:space="0" w:color="auto"/>
        <w:bottom w:val="none" w:sz="0" w:space="0" w:color="auto"/>
        <w:right w:val="none" w:sz="0" w:space="0" w:color="auto"/>
      </w:divBdr>
    </w:div>
    <w:div w:id="1787774452">
      <w:bodyDiv w:val="1"/>
      <w:marLeft w:val="0"/>
      <w:marRight w:val="0"/>
      <w:marTop w:val="0"/>
      <w:marBottom w:val="0"/>
      <w:divBdr>
        <w:top w:val="none" w:sz="0" w:space="0" w:color="auto"/>
        <w:left w:val="none" w:sz="0" w:space="0" w:color="auto"/>
        <w:bottom w:val="none" w:sz="0" w:space="0" w:color="auto"/>
        <w:right w:val="none" w:sz="0" w:space="0" w:color="auto"/>
      </w:divBdr>
    </w:div>
    <w:div w:id="1788698893">
      <w:bodyDiv w:val="1"/>
      <w:marLeft w:val="0"/>
      <w:marRight w:val="0"/>
      <w:marTop w:val="0"/>
      <w:marBottom w:val="0"/>
      <w:divBdr>
        <w:top w:val="none" w:sz="0" w:space="0" w:color="auto"/>
        <w:left w:val="none" w:sz="0" w:space="0" w:color="auto"/>
        <w:bottom w:val="none" w:sz="0" w:space="0" w:color="auto"/>
        <w:right w:val="none" w:sz="0" w:space="0" w:color="auto"/>
      </w:divBdr>
    </w:div>
    <w:div w:id="1790587901">
      <w:bodyDiv w:val="1"/>
      <w:marLeft w:val="0"/>
      <w:marRight w:val="0"/>
      <w:marTop w:val="0"/>
      <w:marBottom w:val="0"/>
      <w:divBdr>
        <w:top w:val="none" w:sz="0" w:space="0" w:color="auto"/>
        <w:left w:val="none" w:sz="0" w:space="0" w:color="auto"/>
        <w:bottom w:val="none" w:sz="0" w:space="0" w:color="auto"/>
        <w:right w:val="none" w:sz="0" w:space="0" w:color="auto"/>
      </w:divBdr>
    </w:div>
    <w:div w:id="1791391252">
      <w:bodyDiv w:val="1"/>
      <w:marLeft w:val="0"/>
      <w:marRight w:val="0"/>
      <w:marTop w:val="0"/>
      <w:marBottom w:val="0"/>
      <w:divBdr>
        <w:top w:val="none" w:sz="0" w:space="0" w:color="auto"/>
        <w:left w:val="none" w:sz="0" w:space="0" w:color="auto"/>
        <w:bottom w:val="none" w:sz="0" w:space="0" w:color="auto"/>
        <w:right w:val="none" w:sz="0" w:space="0" w:color="auto"/>
      </w:divBdr>
    </w:div>
    <w:div w:id="1791436815">
      <w:bodyDiv w:val="1"/>
      <w:marLeft w:val="0"/>
      <w:marRight w:val="0"/>
      <w:marTop w:val="0"/>
      <w:marBottom w:val="0"/>
      <w:divBdr>
        <w:top w:val="none" w:sz="0" w:space="0" w:color="auto"/>
        <w:left w:val="none" w:sz="0" w:space="0" w:color="auto"/>
        <w:bottom w:val="none" w:sz="0" w:space="0" w:color="auto"/>
        <w:right w:val="none" w:sz="0" w:space="0" w:color="auto"/>
      </w:divBdr>
    </w:div>
    <w:div w:id="1794521037">
      <w:bodyDiv w:val="1"/>
      <w:marLeft w:val="0"/>
      <w:marRight w:val="0"/>
      <w:marTop w:val="0"/>
      <w:marBottom w:val="0"/>
      <w:divBdr>
        <w:top w:val="none" w:sz="0" w:space="0" w:color="auto"/>
        <w:left w:val="none" w:sz="0" w:space="0" w:color="auto"/>
        <w:bottom w:val="none" w:sz="0" w:space="0" w:color="auto"/>
        <w:right w:val="none" w:sz="0" w:space="0" w:color="auto"/>
      </w:divBdr>
    </w:div>
    <w:div w:id="1797068941">
      <w:bodyDiv w:val="1"/>
      <w:marLeft w:val="0"/>
      <w:marRight w:val="0"/>
      <w:marTop w:val="0"/>
      <w:marBottom w:val="0"/>
      <w:divBdr>
        <w:top w:val="none" w:sz="0" w:space="0" w:color="auto"/>
        <w:left w:val="none" w:sz="0" w:space="0" w:color="auto"/>
        <w:bottom w:val="none" w:sz="0" w:space="0" w:color="auto"/>
        <w:right w:val="none" w:sz="0" w:space="0" w:color="auto"/>
      </w:divBdr>
    </w:div>
    <w:div w:id="1798721926">
      <w:bodyDiv w:val="1"/>
      <w:marLeft w:val="0"/>
      <w:marRight w:val="0"/>
      <w:marTop w:val="0"/>
      <w:marBottom w:val="0"/>
      <w:divBdr>
        <w:top w:val="none" w:sz="0" w:space="0" w:color="auto"/>
        <w:left w:val="none" w:sz="0" w:space="0" w:color="auto"/>
        <w:bottom w:val="none" w:sz="0" w:space="0" w:color="auto"/>
        <w:right w:val="none" w:sz="0" w:space="0" w:color="auto"/>
      </w:divBdr>
    </w:div>
    <w:div w:id="1800951069">
      <w:bodyDiv w:val="1"/>
      <w:marLeft w:val="0"/>
      <w:marRight w:val="0"/>
      <w:marTop w:val="0"/>
      <w:marBottom w:val="0"/>
      <w:divBdr>
        <w:top w:val="none" w:sz="0" w:space="0" w:color="auto"/>
        <w:left w:val="none" w:sz="0" w:space="0" w:color="auto"/>
        <w:bottom w:val="none" w:sz="0" w:space="0" w:color="auto"/>
        <w:right w:val="none" w:sz="0" w:space="0" w:color="auto"/>
      </w:divBdr>
    </w:div>
    <w:div w:id="1802378087">
      <w:bodyDiv w:val="1"/>
      <w:marLeft w:val="0"/>
      <w:marRight w:val="0"/>
      <w:marTop w:val="0"/>
      <w:marBottom w:val="0"/>
      <w:divBdr>
        <w:top w:val="none" w:sz="0" w:space="0" w:color="auto"/>
        <w:left w:val="none" w:sz="0" w:space="0" w:color="auto"/>
        <w:bottom w:val="none" w:sz="0" w:space="0" w:color="auto"/>
        <w:right w:val="none" w:sz="0" w:space="0" w:color="auto"/>
      </w:divBdr>
    </w:div>
    <w:div w:id="1803503359">
      <w:bodyDiv w:val="1"/>
      <w:marLeft w:val="0"/>
      <w:marRight w:val="0"/>
      <w:marTop w:val="0"/>
      <w:marBottom w:val="0"/>
      <w:divBdr>
        <w:top w:val="none" w:sz="0" w:space="0" w:color="auto"/>
        <w:left w:val="none" w:sz="0" w:space="0" w:color="auto"/>
        <w:bottom w:val="none" w:sz="0" w:space="0" w:color="auto"/>
        <w:right w:val="none" w:sz="0" w:space="0" w:color="auto"/>
      </w:divBdr>
    </w:div>
    <w:div w:id="1807309653">
      <w:bodyDiv w:val="1"/>
      <w:marLeft w:val="0"/>
      <w:marRight w:val="0"/>
      <w:marTop w:val="0"/>
      <w:marBottom w:val="0"/>
      <w:divBdr>
        <w:top w:val="none" w:sz="0" w:space="0" w:color="auto"/>
        <w:left w:val="none" w:sz="0" w:space="0" w:color="auto"/>
        <w:bottom w:val="none" w:sz="0" w:space="0" w:color="auto"/>
        <w:right w:val="none" w:sz="0" w:space="0" w:color="auto"/>
      </w:divBdr>
    </w:div>
    <w:div w:id="1811702215">
      <w:bodyDiv w:val="1"/>
      <w:marLeft w:val="0"/>
      <w:marRight w:val="0"/>
      <w:marTop w:val="0"/>
      <w:marBottom w:val="0"/>
      <w:divBdr>
        <w:top w:val="none" w:sz="0" w:space="0" w:color="auto"/>
        <w:left w:val="none" w:sz="0" w:space="0" w:color="auto"/>
        <w:bottom w:val="none" w:sz="0" w:space="0" w:color="auto"/>
        <w:right w:val="none" w:sz="0" w:space="0" w:color="auto"/>
      </w:divBdr>
    </w:div>
    <w:div w:id="1812668492">
      <w:bodyDiv w:val="1"/>
      <w:marLeft w:val="0"/>
      <w:marRight w:val="0"/>
      <w:marTop w:val="0"/>
      <w:marBottom w:val="0"/>
      <w:divBdr>
        <w:top w:val="none" w:sz="0" w:space="0" w:color="auto"/>
        <w:left w:val="none" w:sz="0" w:space="0" w:color="auto"/>
        <w:bottom w:val="none" w:sz="0" w:space="0" w:color="auto"/>
        <w:right w:val="none" w:sz="0" w:space="0" w:color="auto"/>
      </w:divBdr>
    </w:div>
    <w:div w:id="1812936818">
      <w:bodyDiv w:val="1"/>
      <w:marLeft w:val="0"/>
      <w:marRight w:val="0"/>
      <w:marTop w:val="0"/>
      <w:marBottom w:val="0"/>
      <w:divBdr>
        <w:top w:val="none" w:sz="0" w:space="0" w:color="auto"/>
        <w:left w:val="none" w:sz="0" w:space="0" w:color="auto"/>
        <w:bottom w:val="none" w:sz="0" w:space="0" w:color="auto"/>
        <w:right w:val="none" w:sz="0" w:space="0" w:color="auto"/>
      </w:divBdr>
    </w:div>
    <w:div w:id="1813868094">
      <w:bodyDiv w:val="1"/>
      <w:marLeft w:val="0"/>
      <w:marRight w:val="0"/>
      <w:marTop w:val="0"/>
      <w:marBottom w:val="0"/>
      <w:divBdr>
        <w:top w:val="none" w:sz="0" w:space="0" w:color="auto"/>
        <w:left w:val="none" w:sz="0" w:space="0" w:color="auto"/>
        <w:bottom w:val="none" w:sz="0" w:space="0" w:color="auto"/>
        <w:right w:val="none" w:sz="0" w:space="0" w:color="auto"/>
      </w:divBdr>
    </w:div>
    <w:div w:id="1814365911">
      <w:bodyDiv w:val="1"/>
      <w:marLeft w:val="0"/>
      <w:marRight w:val="0"/>
      <w:marTop w:val="0"/>
      <w:marBottom w:val="0"/>
      <w:divBdr>
        <w:top w:val="none" w:sz="0" w:space="0" w:color="auto"/>
        <w:left w:val="none" w:sz="0" w:space="0" w:color="auto"/>
        <w:bottom w:val="none" w:sz="0" w:space="0" w:color="auto"/>
        <w:right w:val="none" w:sz="0" w:space="0" w:color="auto"/>
      </w:divBdr>
    </w:div>
    <w:div w:id="1816412310">
      <w:bodyDiv w:val="1"/>
      <w:marLeft w:val="0"/>
      <w:marRight w:val="0"/>
      <w:marTop w:val="0"/>
      <w:marBottom w:val="0"/>
      <w:divBdr>
        <w:top w:val="none" w:sz="0" w:space="0" w:color="auto"/>
        <w:left w:val="none" w:sz="0" w:space="0" w:color="auto"/>
        <w:bottom w:val="none" w:sz="0" w:space="0" w:color="auto"/>
        <w:right w:val="none" w:sz="0" w:space="0" w:color="auto"/>
      </w:divBdr>
    </w:div>
    <w:div w:id="1818717101">
      <w:bodyDiv w:val="1"/>
      <w:marLeft w:val="0"/>
      <w:marRight w:val="0"/>
      <w:marTop w:val="0"/>
      <w:marBottom w:val="0"/>
      <w:divBdr>
        <w:top w:val="none" w:sz="0" w:space="0" w:color="auto"/>
        <w:left w:val="none" w:sz="0" w:space="0" w:color="auto"/>
        <w:bottom w:val="none" w:sz="0" w:space="0" w:color="auto"/>
        <w:right w:val="none" w:sz="0" w:space="0" w:color="auto"/>
      </w:divBdr>
    </w:div>
    <w:div w:id="1818956859">
      <w:bodyDiv w:val="1"/>
      <w:marLeft w:val="0"/>
      <w:marRight w:val="0"/>
      <w:marTop w:val="0"/>
      <w:marBottom w:val="0"/>
      <w:divBdr>
        <w:top w:val="none" w:sz="0" w:space="0" w:color="auto"/>
        <w:left w:val="none" w:sz="0" w:space="0" w:color="auto"/>
        <w:bottom w:val="none" w:sz="0" w:space="0" w:color="auto"/>
        <w:right w:val="none" w:sz="0" w:space="0" w:color="auto"/>
      </w:divBdr>
    </w:div>
    <w:div w:id="1819574228">
      <w:bodyDiv w:val="1"/>
      <w:marLeft w:val="0"/>
      <w:marRight w:val="0"/>
      <w:marTop w:val="0"/>
      <w:marBottom w:val="0"/>
      <w:divBdr>
        <w:top w:val="none" w:sz="0" w:space="0" w:color="auto"/>
        <w:left w:val="none" w:sz="0" w:space="0" w:color="auto"/>
        <w:bottom w:val="none" w:sz="0" w:space="0" w:color="auto"/>
        <w:right w:val="none" w:sz="0" w:space="0" w:color="auto"/>
      </w:divBdr>
    </w:div>
    <w:div w:id="1820265828">
      <w:bodyDiv w:val="1"/>
      <w:marLeft w:val="0"/>
      <w:marRight w:val="0"/>
      <w:marTop w:val="0"/>
      <w:marBottom w:val="0"/>
      <w:divBdr>
        <w:top w:val="none" w:sz="0" w:space="0" w:color="auto"/>
        <w:left w:val="none" w:sz="0" w:space="0" w:color="auto"/>
        <w:bottom w:val="none" w:sz="0" w:space="0" w:color="auto"/>
        <w:right w:val="none" w:sz="0" w:space="0" w:color="auto"/>
      </w:divBdr>
    </w:div>
    <w:div w:id="1824740269">
      <w:bodyDiv w:val="1"/>
      <w:marLeft w:val="0"/>
      <w:marRight w:val="0"/>
      <w:marTop w:val="0"/>
      <w:marBottom w:val="0"/>
      <w:divBdr>
        <w:top w:val="none" w:sz="0" w:space="0" w:color="auto"/>
        <w:left w:val="none" w:sz="0" w:space="0" w:color="auto"/>
        <w:bottom w:val="none" w:sz="0" w:space="0" w:color="auto"/>
        <w:right w:val="none" w:sz="0" w:space="0" w:color="auto"/>
      </w:divBdr>
    </w:div>
    <w:div w:id="1825124322">
      <w:bodyDiv w:val="1"/>
      <w:marLeft w:val="0"/>
      <w:marRight w:val="0"/>
      <w:marTop w:val="0"/>
      <w:marBottom w:val="0"/>
      <w:divBdr>
        <w:top w:val="none" w:sz="0" w:space="0" w:color="auto"/>
        <w:left w:val="none" w:sz="0" w:space="0" w:color="auto"/>
        <w:bottom w:val="none" w:sz="0" w:space="0" w:color="auto"/>
        <w:right w:val="none" w:sz="0" w:space="0" w:color="auto"/>
      </w:divBdr>
    </w:div>
    <w:div w:id="1826621938">
      <w:bodyDiv w:val="1"/>
      <w:marLeft w:val="0"/>
      <w:marRight w:val="0"/>
      <w:marTop w:val="0"/>
      <w:marBottom w:val="0"/>
      <w:divBdr>
        <w:top w:val="none" w:sz="0" w:space="0" w:color="auto"/>
        <w:left w:val="none" w:sz="0" w:space="0" w:color="auto"/>
        <w:bottom w:val="none" w:sz="0" w:space="0" w:color="auto"/>
        <w:right w:val="none" w:sz="0" w:space="0" w:color="auto"/>
      </w:divBdr>
    </w:div>
    <w:div w:id="1828012761">
      <w:bodyDiv w:val="1"/>
      <w:marLeft w:val="0"/>
      <w:marRight w:val="0"/>
      <w:marTop w:val="0"/>
      <w:marBottom w:val="0"/>
      <w:divBdr>
        <w:top w:val="none" w:sz="0" w:space="0" w:color="auto"/>
        <w:left w:val="none" w:sz="0" w:space="0" w:color="auto"/>
        <w:bottom w:val="none" w:sz="0" w:space="0" w:color="auto"/>
        <w:right w:val="none" w:sz="0" w:space="0" w:color="auto"/>
      </w:divBdr>
    </w:div>
    <w:div w:id="1829132355">
      <w:bodyDiv w:val="1"/>
      <w:marLeft w:val="0"/>
      <w:marRight w:val="0"/>
      <w:marTop w:val="0"/>
      <w:marBottom w:val="0"/>
      <w:divBdr>
        <w:top w:val="none" w:sz="0" w:space="0" w:color="auto"/>
        <w:left w:val="none" w:sz="0" w:space="0" w:color="auto"/>
        <w:bottom w:val="none" w:sz="0" w:space="0" w:color="auto"/>
        <w:right w:val="none" w:sz="0" w:space="0" w:color="auto"/>
      </w:divBdr>
    </w:div>
    <w:div w:id="1829324892">
      <w:bodyDiv w:val="1"/>
      <w:marLeft w:val="0"/>
      <w:marRight w:val="0"/>
      <w:marTop w:val="0"/>
      <w:marBottom w:val="0"/>
      <w:divBdr>
        <w:top w:val="none" w:sz="0" w:space="0" w:color="auto"/>
        <w:left w:val="none" w:sz="0" w:space="0" w:color="auto"/>
        <w:bottom w:val="none" w:sz="0" w:space="0" w:color="auto"/>
        <w:right w:val="none" w:sz="0" w:space="0" w:color="auto"/>
      </w:divBdr>
    </w:div>
    <w:div w:id="1830174786">
      <w:bodyDiv w:val="1"/>
      <w:marLeft w:val="0"/>
      <w:marRight w:val="0"/>
      <w:marTop w:val="0"/>
      <w:marBottom w:val="0"/>
      <w:divBdr>
        <w:top w:val="none" w:sz="0" w:space="0" w:color="auto"/>
        <w:left w:val="none" w:sz="0" w:space="0" w:color="auto"/>
        <w:bottom w:val="none" w:sz="0" w:space="0" w:color="auto"/>
        <w:right w:val="none" w:sz="0" w:space="0" w:color="auto"/>
      </w:divBdr>
    </w:div>
    <w:div w:id="1830363141">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528574">
      <w:bodyDiv w:val="1"/>
      <w:marLeft w:val="0"/>
      <w:marRight w:val="0"/>
      <w:marTop w:val="0"/>
      <w:marBottom w:val="0"/>
      <w:divBdr>
        <w:top w:val="none" w:sz="0" w:space="0" w:color="auto"/>
        <w:left w:val="none" w:sz="0" w:space="0" w:color="auto"/>
        <w:bottom w:val="none" w:sz="0" w:space="0" w:color="auto"/>
        <w:right w:val="none" w:sz="0" w:space="0" w:color="auto"/>
      </w:divBdr>
    </w:div>
    <w:div w:id="1832675236">
      <w:bodyDiv w:val="1"/>
      <w:marLeft w:val="0"/>
      <w:marRight w:val="0"/>
      <w:marTop w:val="0"/>
      <w:marBottom w:val="0"/>
      <w:divBdr>
        <w:top w:val="none" w:sz="0" w:space="0" w:color="auto"/>
        <w:left w:val="none" w:sz="0" w:space="0" w:color="auto"/>
        <w:bottom w:val="none" w:sz="0" w:space="0" w:color="auto"/>
        <w:right w:val="none" w:sz="0" w:space="0" w:color="auto"/>
      </w:divBdr>
    </w:div>
    <w:div w:id="1833064754">
      <w:bodyDiv w:val="1"/>
      <w:marLeft w:val="0"/>
      <w:marRight w:val="0"/>
      <w:marTop w:val="0"/>
      <w:marBottom w:val="0"/>
      <w:divBdr>
        <w:top w:val="none" w:sz="0" w:space="0" w:color="auto"/>
        <w:left w:val="none" w:sz="0" w:space="0" w:color="auto"/>
        <w:bottom w:val="none" w:sz="0" w:space="0" w:color="auto"/>
        <w:right w:val="none" w:sz="0" w:space="0" w:color="auto"/>
      </w:divBdr>
    </w:div>
    <w:div w:id="1834418213">
      <w:bodyDiv w:val="1"/>
      <w:marLeft w:val="0"/>
      <w:marRight w:val="0"/>
      <w:marTop w:val="0"/>
      <w:marBottom w:val="0"/>
      <w:divBdr>
        <w:top w:val="none" w:sz="0" w:space="0" w:color="auto"/>
        <w:left w:val="none" w:sz="0" w:space="0" w:color="auto"/>
        <w:bottom w:val="none" w:sz="0" w:space="0" w:color="auto"/>
        <w:right w:val="none" w:sz="0" w:space="0" w:color="auto"/>
      </w:divBdr>
    </w:div>
    <w:div w:id="1834570026">
      <w:bodyDiv w:val="1"/>
      <w:marLeft w:val="0"/>
      <w:marRight w:val="0"/>
      <w:marTop w:val="0"/>
      <w:marBottom w:val="0"/>
      <w:divBdr>
        <w:top w:val="none" w:sz="0" w:space="0" w:color="auto"/>
        <w:left w:val="none" w:sz="0" w:space="0" w:color="auto"/>
        <w:bottom w:val="none" w:sz="0" w:space="0" w:color="auto"/>
        <w:right w:val="none" w:sz="0" w:space="0" w:color="auto"/>
      </w:divBdr>
    </w:div>
    <w:div w:id="1837189125">
      <w:bodyDiv w:val="1"/>
      <w:marLeft w:val="0"/>
      <w:marRight w:val="0"/>
      <w:marTop w:val="0"/>
      <w:marBottom w:val="0"/>
      <w:divBdr>
        <w:top w:val="none" w:sz="0" w:space="0" w:color="auto"/>
        <w:left w:val="none" w:sz="0" w:space="0" w:color="auto"/>
        <w:bottom w:val="none" w:sz="0" w:space="0" w:color="auto"/>
        <w:right w:val="none" w:sz="0" w:space="0" w:color="auto"/>
      </w:divBdr>
    </w:div>
    <w:div w:id="1838837137">
      <w:bodyDiv w:val="1"/>
      <w:marLeft w:val="0"/>
      <w:marRight w:val="0"/>
      <w:marTop w:val="0"/>
      <w:marBottom w:val="0"/>
      <w:divBdr>
        <w:top w:val="none" w:sz="0" w:space="0" w:color="auto"/>
        <w:left w:val="none" w:sz="0" w:space="0" w:color="auto"/>
        <w:bottom w:val="none" w:sz="0" w:space="0" w:color="auto"/>
        <w:right w:val="none" w:sz="0" w:space="0" w:color="auto"/>
      </w:divBdr>
    </w:div>
    <w:div w:id="1841390527">
      <w:bodyDiv w:val="1"/>
      <w:marLeft w:val="0"/>
      <w:marRight w:val="0"/>
      <w:marTop w:val="0"/>
      <w:marBottom w:val="0"/>
      <w:divBdr>
        <w:top w:val="none" w:sz="0" w:space="0" w:color="auto"/>
        <w:left w:val="none" w:sz="0" w:space="0" w:color="auto"/>
        <w:bottom w:val="none" w:sz="0" w:space="0" w:color="auto"/>
        <w:right w:val="none" w:sz="0" w:space="0" w:color="auto"/>
      </w:divBdr>
    </w:div>
    <w:div w:id="1841656962">
      <w:bodyDiv w:val="1"/>
      <w:marLeft w:val="0"/>
      <w:marRight w:val="0"/>
      <w:marTop w:val="0"/>
      <w:marBottom w:val="0"/>
      <w:divBdr>
        <w:top w:val="none" w:sz="0" w:space="0" w:color="auto"/>
        <w:left w:val="none" w:sz="0" w:space="0" w:color="auto"/>
        <w:bottom w:val="none" w:sz="0" w:space="0" w:color="auto"/>
        <w:right w:val="none" w:sz="0" w:space="0" w:color="auto"/>
      </w:divBdr>
    </w:div>
    <w:div w:id="1843353652">
      <w:bodyDiv w:val="1"/>
      <w:marLeft w:val="0"/>
      <w:marRight w:val="0"/>
      <w:marTop w:val="0"/>
      <w:marBottom w:val="0"/>
      <w:divBdr>
        <w:top w:val="none" w:sz="0" w:space="0" w:color="auto"/>
        <w:left w:val="none" w:sz="0" w:space="0" w:color="auto"/>
        <w:bottom w:val="none" w:sz="0" w:space="0" w:color="auto"/>
        <w:right w:val="none" w:sz="0" w:space="0" w:color="auto"/>
      </w:divBdr>
    </w:div>
    <w:div w:id="1844078157">
      <w:bodyDiv w:val="1"/>
      <w:marLeft w:val="0"/>
      <w:marRight w:val="0"/>
      <w:marTop w:val="0"/>
      <w:marBottom w:val="0"/>
      <w:divBdr>
        <w:top w:val="none" w:sz="0" w:space="0" w:color="auto"/>
        <w:left w:val="none" w:sz="0" w:space="0" w:color="auto"/>
        <w:bottom w:val="none" w:sz="0" w:space="0" w:color="auto"/>
        <w:right w:val="none" w:sz="0" w:space="0" w:color="auto"/>
      </w:divBdr>
    </w:div>
    <w:div w:id="1844314556">
      <w:bodyDiv w:val="1"/>
      <w:marLeft w:val="0"/>
      <w:marRight w:val="0"/>
      <w:marTop w:val="0"/>
      <w:marBottom w:val="0"/>
      <w:divBdr>
        <w:top w:val="none" w:sz="0" w:space="0" w:color="auto"/>
        <w:left w:val="none" w:sz="0" w:space="0" w:color="auto"/>
        <w:bottom w:val="none" w:sz="0" w:space="0" w:color="auto"/>
        <w:right w:val="none" w:sz="0" w:space="0" w:color="auto"/>
      </w:divBdr>
    </w:div>
    <w:div w:id="1845898455">
      <w:bodyDiv w:val="1"/>
      <w:marLeft w:val="0"/>
      <w:marRight w:val="0"/>
      <w:marTop w:val="0"/>
      <w:marBottom w:val="0"/>
      <w:divBdr>
        <w:top w:val="none" w:sz="0" w:space="0" w:color="auto"/>
        <w:left w:val="none" w:sz="0" w:space="0" w:color="auto"/>
        <w:bottom w:val="none" w:sz="0" w:space="0" w:color="auto"/>
        <w:right w:val="none" w:sz="0" w:space="0" w:color="auto"/>
      </w:divBdr>
    </w:div>
    <w:div w:id="1846047872">
      <w:bodyDiv w:val="1"/>
      <w:marLeft w:val="0"/>
      <w:marRight w:val="0"/>
      <w:marTop w:val="0"/>
      <w:marBottom w:val="0"/>
      <w:divBdr>
        <w:top w:val="none" w:sz="0" w:space="0" w:color="auto"/>
        <w:left w:val="none" w:sz="0" w:space="0" w:color="auto"/>
        <w:bottom w:val="none" w:sz="0" w:space="0" w:color="auto"/>
        <w:right w:val="none" w:sz="0" w:space="0" w:color="auto"/>
      </w:divBdr>
    </w:div>
    <w:div w:id="1847132526">
      <w:bodyDiv w:val="1"/>
      <w:marLeft w:val="0"/>
      <w:marRight w:val="0"/>
      <w:marTop w:val="0"/>
      <w:marBottom w:val="0"/>
      <w:divBdr>
        <w:top w:val="none" w:sz="0" w:space="0" w:color="auto"/>
        <w:left w:val="none" w:sz="0" w:space="0" w:color="auto"/>
        <w:bottom w:val="none" w:sz="0" w:space="0" w:color="auto"/>
        <w:right w:val="none" w:sz="0" w:space="0" w:color="auto"/>
      </w:divBdr>
    </w:div>
    <w:div w:id="1849522320">
      <w:bodyDiv w:val="1"/>
      <w:marLeft w:val="0"/>
      <w:marRight w:val="0"/>
      <w:marTop w:val="0"/>
      <w:marBottom w:val="0"/>
      <w:divBdr>
        <w:top w:val="none" w:sz="0" w:space="0" w:color="auto"/>
        <w:left w:val="none" w:sz="0" w:space="0" w:color="auto"/>
        <w:bottom w:val="none" w:sz="0" w:space="0" w:color="auto"/>
        <w:right w:val="none" w:sz="0" w:space="0" w:color="auto"/>
      </w:divBdr>
    </w:div>
    <w:div w:id="1849825768">
      <w:bodyDiv w:val="1"/>
      <w:marLeft w:val="0"/>
      <w:marRight w:val="0"/>
      <w:marTop w:val="0"/>
      <w:marBottom w:val="0"/>
      <w:divBdr>
        <w:top w:val="none" w:sz="0" w:space="0" w:color="auto"/>
        <w:left w:val="none" w:sz="0" w:space="0" w:color="auto"/>
        <w:bottom w:val="none" w:sz="0" w:space="0" w:color="auto"/>
        <w:right w:val="none" w:sz="0" w:space="0" w:color="auto"/>
      </w:divBdr>
    </w:div>
    <w:div w:id="1853568550">
      <w:bodyDiv w:val="1"/>
      <w:marLeft w:val="0"/>
      <w:marRight w:val="0"/>
      <w:marTop w:val="0"/>
      <w:marBottom w:val="0"/>
      <w:divBdr>
        <w:top w:val="none" w:sz="0" w:space="0" w:color="auto"/>
        <w:left w:val="none" w:sz="0" w:space="0" w:color="auto"/>
        <w:bottom w:val="none" w:sz="0" w:space="0" w:color="auto"/>
        <w:right w:val="none" w:sz="0" w:space="0" w:color="auto"/>
      </w:divBdr>
    </w:div>
    <w:div w:id="1854293916">
      <w:bodyDiv w:val="1"/>
      <w:marLeft w:val="0"/>
      <w:marRight w:val="0"/>
      <w:marTop w:val="0"/>
      <w:marBottom w:val="0"/>
      <w:divBdr>
        <w:top w:val="none" w:sz="0" w:space="0" w:color="auto"/>
        <w:left w:val="none" w:sz="0" w:space="0" w:color="auto"/>
        <w:bottom w:val="none" w:sz="0" w:space="0" w:color="auto"/>
        <w:right w:val="none" w:sz="0" w:space="0" w:color="auto"/>
      </w:divBdr>
    </w:div>
    <w:div w:id="1855074111">
      <w:bodyDiv w:val="1"/>
      <w:marLeft w:val="0"/>
      <w:marRight w:val="0"/>
      <w:marTop w:val="0"/>
      <w:marBottom w:val="0"/>
      <w:divBdr>
        <w:top w:val="none" w:sz="0" w:space="0" w:color="auto"/>
        <w:left w:val="none" w:sz="0" w:space="0" w:color="auto"/>
        <w:bottom w:val="none" w:sz="0" w:space="0" w:color="auto"/>
        <w:right w:val="none" w:sz="0" w:space="0" w:color="auto"/>
      </w:divBdr>
    </w:div>
    <w:div w:id="1858543975">
      <w:bodyDiv w:val="1"/>
      <w:marLeft w:val="0"/>
      <w:marRight w:val="0"/>
      <w:marTop w:val="0"/>
      <w:marBottom w:val="0"/>
      <w:divBdr>
        <w:top w:val="none" w:sz="0" w:space="0" w:color="auto"/>
        <w:left w:val="none" w:sz="0" w:space="0" w:color="auto"/>
        <w:bottom w:val="none" w:sz="0" w:space="0" w:color="auto"/>
        <w:right w:val="none" w:sz="0" w:space="0" w:color="auto"/>
      </w:divBdr>
    </w:div>
    <w:div w:id="1859351375">
      <w:bodyDiv w:val="1"/>
      <w:marLeft w:val="0"/>
      <w:marRight w:val="0"/>
      <w:marTop w:val="0"/>
      <w:marBottom w:val="0"/>
      <w:divBdr>
        <w:top w:val="none" w:sz="0" w:space="0" w:color="auto"/>
        <w:left w:val="none" w:sz="0" w:space="0" w:color="auto"/>
        <w:bottom w:val="none" w:sz="0" w:space="0" w:color="auto"/>
        <w:right w:val="none" w:sz="0" w:space="0" w:color="auto"/>
      </w:divBdr>
    </w:div>
    <w:div w:id="1859466490">
      <w:bodyDiv w:val="1"/>
      <w:marLeft w:val="0"/>
      <w:marRight w:val="0"/>
      <w:marTop w:val="0"/>
      <w:marBottom w:val="0"/>
      <w:divBdr>
        <w:top w:val="none" w:sz="0" w:space="0" w:color="auto"/>
        <w:left w:val="none" w:sz="0" w:space="0" w:color="auto"/>
        <w:bottom w:val="none" w:sz="0" w:space="0" w:color="auto"/>
        <w:right w:val="none" w:sz="0" w:space="0" w:color="auto"/>
      </w:divBdr>
    </w:div>
    <w:div w:id="1861969884">
      <w:bodyDiv w:val="1"/>
      <w:marLeft w:val="0"/>
      <w:marRight w:val="0"/>
      <w:marTop w:val="0"/>
      <w:marBottom w:val="0"/>
      <w:divBdr>
        <w:top w:val="none" w:sz="0" w:space="0" w:color="auto"/>
        <w:left w:val="none" w:sz="0" w:space="0" w:color="auto"/>
        <w:bottom w:val="none" w:sz="0" w:space="0" w:color="auto"/>
        <w:right w:val="none" w:sz="0" w:space="0" w:color="auto"/>
      </w:divBdr>
    </w:div>
    <w:div w:id="1862889333">
      <w:bodyDiv w:val="1"/>
      <w:marLeft w:val="0"/>
      <w:marRight w:val="0"/>
      <w:marTop w:val="0"/>
      <w:marBottom w:val="0"/>
      <w:divBdr>
        <w:top w:val="none" w:sz="0" w:space="0" w:color="auto"/>
        <w:left w:val="none" w:sz="0" w:space="0" w:color="auto"/>
        <w:bottom w:val="none" w:sz="0" w:space="0" w:color="auto"/>
        <w:right w:val="none" w:sz="0" w:space="0" w:color="auto"/>
      </w:divBdr>
    </w:div>
    <w:div w:id="1863281278">
      <w:bodyDiv w:val="1"/>
      <w:marLeft w:val="0"/>
      <w:marRight w:val="0"/>
      <w:marTop w:val="0"/>
      <w:marBottom w:val="0"/>
      <w:divBdr>
        <w:top w:val="none" w:sz="0" w:space="0" w:color="auto"/>
        <w:left w:val="none" w:sz="0" w:space="0" w:color="auto"/>
        <w:bottom w:val="none" w:sz="0" w:space="0" w:color="auto"/>
        <w:right w:val="none" w:sz="0" w:space="0" w:color="auto"/>
      </w:divBdr>
    </w:div>
    <w:div w:id="1863590039">
      <w:bodyDiv w:val="1"/>
      <w:marLeft w:val="0"/>
      <w:marRight w:val="0"/>
      <w:marTop w:val="0"/>
      <w:marBottom w:val="0"/>
      <w:divBdr>
        <w:top w:val="none" w:sz="0" w:space="0" w:color="auto"/>
        <w:left w:val="none" w:sz="0" w:space="0" w:color="auto"/>
        <w:bottom w:val="none" w:sz="0" w:space="0" w:color="auto"/>
        <w:right w:val="none" w:sz="0" w:space="0" w:color="auto"/>
      </w:divBdr>
    </w:div>
    <w:div w:id="1865704720">
      <w:bodyDiv w:val="1"/>
      <w:marLeft w:val="0"/>
      <w:marRight w:val="0"/>
      <w:marTop w:val="0"/>
      <w:marBottom w:val="0"/>
      <w:divBdr>
        <w:top w:val="none" w:sz="0" w:space="0" w:color="auto"/>
        <w:left w:val="none" w:sz="0" w:space="0" w:color="auto"/>
        <w:bottom w:val="none" w:sz="0" w:space="0" w:color="auto"/>
        <w:right w:val="none" w:sz="0" w:space="0" w:color="auto"/>
      </w:divBdr>
    </w:div>
    <w:div w:id="1865750247">
      <w:bodyDiv w:val="1"/>
      <w:marLeft w:val="0"/>
      <w:marRight w:val="0"/>
      <w:marTop w:val="0"/>
      <w:marBottom w:val="0"/>
      <w:divBdr>
        <w:top w:val="none" w:sz="0" w:space="0" w:color="auto"/>
        <w:left w:val="none" w:sz="0" w:space="0" w:color="auto"/>
        <w:bottom w:val="none" w:sz="0" w:space="0" w:color="auto"/>
        <w:right w:val="none" w:sz="0" w:space="0" w:color="auto"/>
      </w:divBdr>
    </w:div>
    <w:div w:id="1866601739">
      <w:bodyDiv w:val="1"/>
      <w:marLeft w:val="0"/>
      <w:marRight w:val="0"/>
      <w:marTop w:val="0"/>
      <w:marBottom w:val="0"/>
      <w:divBdr>
        <w:top w:val="none" w:sz="0" w:space="0" w:color="auto"/>
        <w:left w:val="none" w:sz="0" w:space="0" w:color="auto"/>
        <w:bottom w:val="none" w:sz="0" w:space="0" w:color="auto"/>
        <w:right w:val="none" w:sz="0" w:space="0" w:color="auto"/>
      </w:divBdr>
    </w:div>
    <w:div w:id="1866862955">
      <w:bodyDiv w:val="1"/>
      <w:marLeft w:val="0"/>
      <w:marRight w:val="0"/>
      <w:marTop w:val="0"/>
      <w:marBottom w:val="0"/>
      <w:divBdr>
        <w:top w:val="none" w:sz="0" w:space="0" w:color="auto"/>
        <w:left w:val="none" w:sz="0" w:space="0" w:color="auto"/>
        <w:bottom w:val="none" w:sz="0" w:space="0" w:color="auto"/>
        <w:right w:val="none" w:sz="0" w:space="0" w:color="auto"/>
      </w:divBdr>
    </w:div>
    <w:div w:id="1868055164">
      <w:bodyDiv w:val="1"/>
      <w:marLeft w:val="0"/>
      <w:marRight w:val="0"/>
      <w:marTop w:val="0"/>
      <w:marBottom w:val="0"/>
      <w:divBdr>
        <w:top w:val="none" w:sz="0" w:space="0" w:color="auto"/>
        <w:left w:val="none" w:sz="0" w:space="0" w:color="auto"/>
        <w:bottom w:val="none" w:sz="0" w:space="0" w:color="auto"/>
        <w:right w:val="none" w:sz="0" w:space="0" w:color="auto"/>
      </w:divBdr>
    </w:div>
    <w:div w:id="1868180361">
      <w:bodyDiv w:val="1"/>
      <w:marLeft w:val="0"/>
      <w:marRight w:val="0"/>
      <w:marTop w:val="0"/>
      <w:marBottom w:val="0"/>
      <w:divBdr>
        <w:top w:val="none" w:sz="0" w:space="0" w:color="auto"/>
        <w:left w:val="none" w:sz="0" w:space="0" w:color="auto"/>
        <w:bottom w:val="none" w:sz="0" w:space="0" w:color="auto"/>
        <w:right w:val="none" w:sz="0" w:space="0" w:color="auto"/>
      </w:divBdr>
    </w:div>
    <w:div w:id="1868519822">
      <w:bodyDiv w:val="1"/>
      <w:marLeft w:val="0"/>
      <w:marRight w:val="0"/>
      <w:marTop w:val="0"/>
      <w:marBottom w:val="0"/>
      <w:divBdr>
        <w:top w:val="none" w:sz="0" w:space="0" w:color="auto"/>
        <w:left w:val="none" w:sz="0" w:space="0" w:color="auto"/>
        <w:bottom w:val="none" w:sz="0" w:space="0" w:color="auto"/>
        <w:right w:val="none" w:sz="0" w:space="0" w:color="auto"/>
      </w:divBdr>
    </w:div>
    <w:div w:id="1873304293">
      <w:bodyDiv w:val="1"/>
      <w:marLeft w:val="0"/>
      <w:marRight w:val="0"/>
      <w:marTop w:val="0"/>
      <w:marBottom w:val="0"/>
      <w:divBdr>
        <w:top w:val="none" w:sz="0" w:space="0" w:color="auto"/>
        <w:left w:val="none" w:sz="0" w:space="0" w:color="auto"/>
        <w:bottom w:val="none" w:sz="0" w:space="0" w:color="auto"/>
        <w:right w:val="none" w:sz="0" w:space="0" w:color="auto"/>
      </w:divBdr>
    </w:div>
    <w:div w:id="1874224182">
      <w:bodyDiv w:val="1"/>
      <w:marLeft w:val="0"/>
      <w:marRight w:val="0"/>
      <w:marTop w:val="0"/>
      <w:marBottom w:val="0"/>
      <w:divBdr>
        <w:top w:val="none" w:sz="0" w:space="0" w:color="auto"/>
        <w:left w:val="none" w:sz="0" w:space="0" w:color="auto"/>
        <w:bottom w:val="none" w:sz="0" w:space="0" w:color="auto"/>
        <w:right w:val="none" w:sz="0" w:space="0" w:color="auto"/>
      </w:divBdr>
    </w:div>
    <w:div w:id="1875262926">
      <w:bodyDiv w:val="1"/>
      <w:marLeft w:val="0"/>
      <w:marRight w:val="0"/>
      <w:marTop w:val="0"/>
      <w:marBottom w:val="0"/>
      <w:divBdr>
        <w:top w:val="none" w:sz="0" w:space="0" w:color="auto"/>
        <w:left w:val="none" w:sz="0" w:space="0" w:color="auto"/>
        <w:bottom w:val="none" w:sz="0" w:space="0" w:color="auto"/>
        <w:right w:val="none" w:sz="0" w:space="0" w:color="auto"/>
      </w:divBdr>
    </w:div>
    <w:div w:id="1876773568">
      <w:bodyDiv w:val="1"/>
      <w:marLeft w:val="0"/>
      <w:marRight w:val="0"/>
      <w:marTop w:val="0"/>
      <w:marBottom w:val="0"/>
      <w:divBdr>
        <w:top w:val="none" w:sz="0" w:space="0" w:color="auto"/>
        <w:left w:val="none" w:sz="0" w:space="0" w:color="auto"/>
        <w:bottom w:val="none" w:sz="0" w:space="0" w:color="auto"/>
        <w:right w:val="none" w:sz="0" w:space="0" w:color="auto"/>
      </w:divBdr>
    </w:div>
    <w:div w:id="1878152653">
      <w:bodyDiv w:val="1"/>
      <w:marLeft w:val="0"/>
      <w:marRight w:val="0"/>
      <w:marTop w:val="0"/>
      <w:marBottom w:val="0"/>
      <w:divBdr>
        <w:top w:val="none" w:sz="0" w:space="0" w:color="auto"/>
        <w:left w:val="none" w:sz="0" w:space="0" w:color="auto"/>
        <w:bottom w:val="none" w:sz="0" w:space="0" w:color="auto"/>
        <w:right w:val="none" w:sz="0" w:space="0" w:color="auto"/>
      </w:divBdr>
    </w:div>
    <w:div w:id="1878808722">
      <w:bodyDiv w:val="1"/>
      <w:marLeft w:val="0"/>
      <w:marRight w:val="0"/>
      <w:marTop w:val="0"/>
      <w:marBottom w:val="0"/>
      <w:divBdr>
        <w:top w:val="none" w:sz="0" w:space="0" w:color="auto"/>
        <w:left w:val="none" w:sz="0" w:space="0" w:color="auto"/>
        <w:bottom w:val="none" w:sz="0" w:space="0" w:color="auto"/>
        <w:right w:val="none" w:sz="0" w:space="0" w:color="auto"/>
      </w:divBdr>
    </w:div>
    <w:div w:id="1880582173">
      <w:bodyDiv w:val="1"/>
      <w:marLeft w:val="0"/>
      <w:marRight w:val="0"/>
      <w:marTop w:val="0"/>
      <w:marBottom w:val="0"/>
      <w:divBdr>
        <w:top w:val="none" w:sz="0" w:space="0" w:color="auto"/>
        <w:left w:val="none" w:sz="0" w:space="0" w:color="auto"/>
        <w:bottom w:val="none" w:sz="0" w:space="0" w:color="auto"/>
        <w:right w:val="none" w:sz="0" w:space="0" w:color="auto"/>
      </w:divBdr>
    </w:div>
    <w:div w:id="1881816815">
      <w:bodyDiv w:val="1"/>
      <w:marLeft w:val="0"/>
      <w:marRight w:val="0"/>
      <w:marTop w:val="0"/>
      <w:marBottom w:val="0"/>
      <w:divBdr>
        <w:top w:val="none" w:sz="0" w:space="0" w:color="auto"/>
        <w:left w:val="none" w:sz="0" w:space="0" w:color="auto"/>
        <w:bottom w:val="none" w:sz="0" w:space="0" w:color="auto"/>
        <w:right w:val="none" w:sz="0" w:space="0" w:color="auto"/>
      </w:divBdr>
    </w:div>
    <w:div w:id="1883859445">
      <w:bodyDiv w:val="1"/>
      <w:marLeft w:val="0"/>
      <w:marRight w:val="0"/>
      <w:marTop w:val="0"/>
      <w:marBottom w:val="0"/>
      <w:divBdr>
        <w:top w:val="none" w:sz="0" w:space="0" w:color="auto"/>
        <w:left w:val="none" w:sz="0" w:space="0" w:color="auto"/>
        <w:bottom w:val="none" w:sz="0" w:space="0" w:color="auto"/>
        <w:right w:val="none" w:sz="0" w:space="0" w:color="auto"/>
      </w:divBdr>
    </w:div>
    <w:div w:id="1884098439">
      <w:bodyDiv w:val="1"/>
      <w:marLeft w:val="0"/>
      <w:marRight w:val="0"/>
      <w:marTop w:val="0"/>
      <w:marBottom w:val="0"/>
      <w:divBdr>
        <w:top w:val="none" w:sz="0" w:space="0" w:color="auto"/>
        <w:left w:val="none" w:sz="0" w:space="0" w:color="auto"/>
        <w:bottom w:val="none" w:sz="0" w:space="0" w:color="auto"/>
        <w:right w:val="none" w:sz="0" w:space="0" w:color="auto"/>
      </w:divBdr>
    </w:div>
    <w:div w:id="1884362176">
      <w:bodyDiv w:val="1"/>
      <w:marLeft w:val="0"/>
      <w:marRight w:val="0"/>
      <w:marTop w:val="0"/>
      <w:marBottom w:val="0"/>
      <w:divBdr>
        <w:top w:val="none" w:sz="0" w:space="0" w:color="auto"/>
        <w:left w:val="none" w:sz="0" w:space="0" w:color="auto"/>
        <w:bottom w:val="none" w:sz="0" w:space="0" w:color="auto"/>
        <w:right w:val="none" w:sz="0" w:space="0" w:color="auto"/>
      </w:divBdr>
    </w:div>
    <w:div w:id="1885483932">
      <w:bodyDiv w:val="1"/>
      <w:marLeft w:val="0"/>
      <w:marRight w:val="0"/>
      <w:marTop w:val="0"/>
      <w:marBottom w:val="0"/>
      <w:divBdr>
        <w:top w:val="none" w:sz="0" w:space="0" w:color="auto"/>
        <w:left w:val="none" w:sz="0" w:space="0" w:color="auto"/>
        <w:bottom w:val="none" w:sz="0" w:space="0" w:color="auto"/>
        <w:right w:val="none" w:sz="0" w:space="0" w:color="auto"/>
      </w:divBdr>
    </w:div>
    <w:div w:id="1888106479">
      <w:bodyDiv w:val="1"/>
      <w:marLeft w:val="0"/>
      <w:marRight w:val="0"/>
      <w:marTop w:val="0"/>
      <w:marBottom w:val="0"/>
      <w:divBdr>
        <w:top w:val="none" w:sz="0" w:space="0" w:color="auto"/>
        <w:left w:val="none" w:sz="0" w:space="0" w:color="auto"/>
        <w:bottom w:val="none" w:sz="0" w:space="0" w:color="auto"/>
        <w:right w:val="none" w:sz="0" w:space="0" w:color="auto"/>
      </w:divBdr>
    </w:div>
    <w:div w:id="1891727072">
      <w:bodyDiv w:val="1"/>
      <w:marLeft w:val="0"/>
      <w:marRight w:val="0"/>
      <w:marTop w:val="0"/>
      <w:marBottom w:val="0"/>
      <w:divBdr>
        <w:top w:val="none" w:sz="0" w:space="0" w:color="auto"/>
        <w:left w:val="none" w:sz="0" w:space="0" w:color="auto"/>
        <w:bottom w:val="none" w:sz="0" w:space="0" w:color="auto"/>
        <w:right w:val="none" w:sz="0" w:space="0" w:color="auto"/>
      </w:divBdr>
    </w:div>
    <w:div w:id="1893468101">
      <w:bodyDiv w:val="1"/>
      <w:marLeft w:val="0"/>
      <w:marRight w:val="0"/>
      <w:marTop w:val="0"/>
      <w:marBottom w:val="0"/>
      <w:divBdr>
        <w:top w:val="none" w:sz="0" w:space="0" w:color="auto"/>
        <w:left w:val="none" w:sz="0" w:space="0" w:color="auto"/>
        <w:bottom w:val="none" w:sz="0" w:space="0" w:color="auto"/>
        <w:right w:val="none" w:sz="0" w:space="0" w:color="auto"/>
      </w:divBdr>
    </w:div>
    <w:div w:id="1897352667">
      <w:bodyDiv w:val="1"/>
      <w:marLeft w:val="0"/>
      <w:marRight w:val="0"/>
      <w:marTop w:val="0"/>
      <w:marBottom w:val="0"/>
      <w:divBdr>
        <w:top w:val="none" w:sz="0" w:space="0" w:color="auto"/>
        <w:left w:val="none" w:sz="0" w:space="0" w:color="auto"/>
        <w:bottom w:val="none" w:sz="0" w:space="0" w:color="auto"/>
        <w:right w:val="none" w:sz="0" w:space="0" w:color="auto"/>
      </w:divBdr>
    </w:div>
    <w:div w:id="1899903197">
      <w:bodyDiv w:val="1"/>
      <w:marLeft w:val="0"/>
      <w:marRight w:val="0"/>
      <w:marTop w:val="0"/>
      <w:marBottom w:val="0"/>
      <w:divBdr>
        <w:top w:val="none" w:sz="0" w:space="0" w:color="auto"/>
        <w:left w:val="none" w:sz="0" w:space="0" w:color="auto"/>
        <w:bottom w:val="none" w:sz="0" w:space="0" w:color="auto"/>
        <w:right w:val="none" w:sz="0" w:space="0" w:color="auto"/>
      </w:divBdr>
    </w:div>
    <w:div w:id="1901091405">
      <w:bodyDiv w:val="1"/>
      <w:marLeft w:val="0"/>
      <w:marRight w:val="0"/>
      <w:marTop w:val="0"/>
      <w:marBottom w:val="0"/>
      <w:divBdr>
        <w:top w:val="none" w:sz="0" w:space="0" w:color="auto"/>
        <w:left w:val="none" w:sz="0" w:space="0" w:color="auto"/>
        <w:bottom w:val="none" w:sz="0" w:space="0" w:color="auto"/>
        <w:right w:val="none" w:sz="0" w:space="0" w:color="auto"/>
      </w:divBdr>
    </w:div>
    <w:div w:id="1907035525">
      <w:bodyDiv w:val="1"/>
      <w:marLeft w:val="0"/>
      <w:marRight w:val="0"/>
      <w:marTop w:val="0"/>
      <w:marBottom w:val="0"/>
      <w:divBdr>
        <w:top w:val="none" w:sz="0" w:space="0" w:color="auto"/>
        <w:left w:val="none" w:sz="0" w:space="0" w:color="auto"/>
        <w:bottom w:val="none" w:sz="0" w:space="0" w:color="auto"/>
        <w:right w:val="none" w:sz="0" w:space="0" w:color="auto"/>
      </w:divBdr>
    </w:div>
    <w:div w:id="1907718652">
      <w:bodyDiv w:val="1"/>
      <w:marLeft w:val="0"/>
      <w:marRight w:val="0"/>
      <w:marTop w:val="0"/>
      <w:marBottom w:val="0"/>
      <w:divBdr>
        <w:top w:val="none" w:sz="0" w:space="0" w:color="auto"/>
        <w:left w:val="none" w:sz="0" w:space="0" w:color="auto"/>
        <w:bottom w:val="none" w:sz="0" w:space="0" w:color="auto"/>
        <w:right w:val="none" w:sz="0" w:space="0" w:color="auto"/>
      </w:divBdr>
    </w:div>
    <w:div w:id="1908759927">
      <w:bodyDiv w:val="1"/>
      <w:marLeft w:val="0"/>
      <w:marRight w:val="0"/>
      <w:marTop w:val="0"/>
      <w:marBottom w:val="0"/>
      <w:divBdr>
        <w:top w:val="none" w:sz="0" w:space="0" w:color="auto"/>
        <w:left w:val="none" w:sz="0" w:space="0" w:color="auto"/>
        <w:bottom w:val="none" w:sz="0" w:space="0" w:color="auto"/>
        <w:right w:val="none" w:sz="0" w:space="0" w:color="auto"/>
      </w:divBdr>
    </w:div>
    <w:div w:id="1910114639">
      <w:bodyDiv w:val="1"/>
      <w:marLeft w:val="0"/>
      <w:marRight w:val="0"/>
      <w:marTop w:val="0"/>
      <w:marBottom w:val="0"/>
      <w:divBdr>
        <w:top w:val="none" w:sz="0" w:space="0" w:color="auto"/>
        <w:left w:val="none" w:sz="0" w:space="0" w:color="auto"/>
        <w:bottom w:val="none" w:sz="0" w:space="0" w:color="auto"/>
        <w:right w:val="none" w:sz="0" w:space="0" w:color="auto"/>
      </w:divBdr>
    </w:div>
    <w:div w:id="1913077752">
      <w:bodyDiv w:val="1"/>
      <w:marLeft w:val="0"/>
      <w:marRight w:val="0"/>
      <w:marTop w:val="0"/>
      <w:marBottom w:val="0"/>
      <w:divBdr>
        <w:top w:val="none" w:sz="0" w:space="0" w:color="auto"/>
        <w:left w:val="none" w:sz="0" w:space="0" w:color="auto"/>
        <w:bottom w:val="none" w:sz="0" w:space="0" w:color="auto"/>
        <w:right w:val="none" w:sz="0" w:space="0" w:color="auto"/>
      </w:divBdr>
    </w:div>
    <w:div w:id="1913656211">
      <w:bodyDiv w:val="1"/>
      <w:marLeft w:val="0"/>
      <w:marRight w:val="0"/>
      <w:marTop w:val="0"/>
      <w:marBottom w:val="0"/>
      <w:divBdr>
        <w:top w:val="none" w:sz="0" w:space="0" w:color="auto"/>
        <w:left w:val="none" w:sz="0" w:space="0" w:color="auto"/>
        <w:bottom w:val="none" w:sz="0" w:space="0" w:color="auto"/>
        <w:right w:val="none" w:sz="0" w:space="0" w:color="auto"/>
      </w:divBdr>
    </w:div>
    <w:div w:id="1915355179">
      <w:bodyDiv w:val="1"/>
      <w:marLeft w:val="0"/>
      <w:marRight w:val="0"/>
      <w:marTop w:val="0"/>
      <w:marBottom w:val="0"/>
      <w:divBdr>
        <w:top w:val="none" w:sz="0" w:space="0" w:color="auto"/>
        <w:left w:val="none" w:sz="0" w:space="0" w:color="auto"/>
        <w:bottom w:val="none" w:sz="0" w:space="0" w:color="auto"/>
        <w:right w:val="none" w:sz="0" w:space="0" w:color="auto"/>
      </w:divBdr>
    </w:div>
    <w:div w:id="1915431661">
      <w:bodyDiv w:val="1"/>
      <w:marLeft w:val="0"/>
      <w:marRight w:val="0"/>
      <w:marTop w:val="0"/>
      <w:marBottom w:val="0"/>
      <w:divBdr>
        <w:top w:val="none" w:sz="0" w:space="0" w:color="auto"/>
        <w:left w:val="none" w:sz="0" w:space="0" w:color="auto"/>
        <w:bottom w:val="none" w:sz="0" w:space="0" w:color="auto"/>
        <w:right w:val="none" w:sz="0" w:space="0" w:color="auto"/>
      </w:divBdr>
    </w:div>
    <w:div w:id="1917981666">
      <w:bodyDiv w:val="1"/>
      <w:marLeft w:val="0"/>
      <w:marRight w:val="0"/>
      <w:marTop w:val="0"/>
      <w:marBottom w:val="0"/>
      <w:divBdr>
        <w:top w:val="none" w:sz="0" w:space="0" w:color="auto"/>
        <w:left w:val="none" w:sz="0" w:space="0" w:color="auto"/>
        <w:bottom w:val="none" w:sz="0" w:space="0" w:color="auto"/>
        <w:right w:val="none" w:sz="0" w:space="0" w:color="auto"/>
      </w:divBdr>
    </w:div>
    <w:div w:id="1919245766">
      <w:bodyDiv w:val="1"/>
      <w:marLeft w:val="0"/>
      <w:marRight w:val="0"/>
      <w:marTop w:val="0"/>
      <w:marBottom w:val="0"/>
      <w:divBdr>
        <w:top w:val="none" w:sz="0" w:space="0" w:color="auto"/>
        <w:left w:val="none" w:sz="0" w:space="0" w:color="auto"/>
        <w:bottom w:val="none" w:sz="0" w:space="0" w:color="auto"/>
        <w:right w:val="none" w:sz="0" w:space="0" w:color="auto"/>
      </w:divBdr>
    </w:div>
    <w:div w:id="1922715343">
      <w:bodyDiv w:val="1"/>
      <w:marLeft w:val="0"/>
      <w:marRight w:val="0"/>
      <w:marTop w:val="0"/>
      <w:marBottom w:val="0"/>
      <w:divBdr>
        <w:top w:val="none" w:sz="0" w:space="0" w:color="auto"/>
        <w:left w:val="none" w:sz="0" w:space="0" w:color="auto"/>
        <w:bottom w:val="none" w:sz="0" w:space="0" w:color="auto"/>
        <w:right w:val="none" w:sz="0" w:space="0" w:color="auto"/>
      </w:divBdr>
    </w:div>
    <w:div w:id="1929345927">
      <w:bodyDiv w:val="1"/>
      <w:marLeft w:val="0"/>
      <w:marRight w:val="0"/>
      <w:marTop w:val="0"/>
      <w:marBottom w:val="0"/>
      <w:divBdr>
        <w:top w:val="none" w:sz="0" w:space="0" w:color="auto"/>
        <w:left w:val="none" w:sz="0" w:space="0" w:color="auto"/>
        <w:bottom w:val="none" w:sz="0" w:space="0" w:color="auto"/>
        <w:right w:val="none" w:sz="0" w:space="0" w:color="auto"/>
      </w:divBdr>
    </w:div>
    <w:div w:id="1929578263">
      <w:bodyDiv w:val="1"/>
      <w:marLeft w:val="0"/>
      <w:marRight w:val="0"/>
      <w:marTop w:val="0"/>
      <w:marBottom w:val="0"/>
      <w:divBdr>
        <w:top w:val="none" w:sz="0" w:space="0" w:color="auto"/>
        <w:left w:val="none" w:sz="0" w:space="0" w:color="auto"/>
        <w:bottom w:val="none" w:sz="0" w:space="0" w:color="auto"/>
        <w:right w:val="none" w:sz="0" w:space="0" w:color="auto"/>
      </w:divBdr>
    </w:div>
    <w:div w:id="1929608471">
      <w:bodyDiv w:val="1"/>
      <w:marLeft w:val="0"/>
      <w:marRight w:val="0"/>
      <w:marTop w:val="0"/>
      <w:marBottom w:val="0"/>
      <w:divBdr>
        <w:top w:val="none" w:sz="0" w:space="0" w:color="auto"/>
        <w:left w:val="none" w:sz="0" w:space="0" w:color="auto"/>
        <w:bottom w:val="none" w:sz="0" w:space="0" w:color="auto"/>
        <w:right w:val="none" w:sz="0" w:space="0" w:color="auto"/>
      </w:divBdr>
    </w:div>
    <w:div w:id="1930312882">
      <w:bodyDiv w:val="1"/>
      <w:marLeft w:val="0"/>
      <w:marRight w:val="0"/>
      <w:marTop w:val="0"/>
      <w:marBottom w:val="0"/>
      <w:divBdr>
        <w:top w:val="none" w:sz="0" w:space="0" w:color="auto"/>
        <w:left w:val="none" w:sz="0" w:space="0" w:color="auto"/>
        <w:bottom w:val="none" w:sz="0" w:space="0" w:color="auto"/>
        <w:right w:val="none" w:sz="0" w:space="0" w:color="auto"/>
      </w:divBdr>
    </w:div>
    <w:div w:id="1932472874">
      <w:bodyDiv w:val="1"/>
      <w:marLeft w:val="0"/>
      <w:marRight w:val="0"/>
      <w:marTop w:val="0"/>
      <w:marBottom w:val="0"/>
      <w:divBdr>
        <w:top w:val="none" w:sz="0" w:space="0" w:color="auto"/>
        <w:left w:val="none" w:sz="0" w:space="0" w:color="auto"/>
        <w:bottom w:val="none" w:sz="0" w:space="0" w:color="auto"/>
        <w:right w:val="none" w:sz="0" w:space="0" w:color="auto"/>
      </w:divBdr>
    </w:div>
    <w:div w:id="1936329379">
      <w:bodyDiv w:val="1"/>
      <w:marLeft w:val="0"/>
      <w:marRight w:val="0"/>
      <w:marTop w:val="0"/>
      <w:marBottom w:val="0"/>
      <w:divBdr>
        <w:top w:val="none" w:sz="0" w:space="0" w:color="auto"/>
        <w:left w:val="none" w:sz="0" w:space="0" w:color="auto"/>
        <w:bottom w:val="none" w:sz="0" w:space="0" w:color="auto"/>
        <w:right w:val="none" w:sz="0" w:space="0" w:color="auto"/>
      </w:divBdr>
    </w:div>
    <w:div w:id="1936397996">
      <w:bodyDiv w:val="1"/>
      <w:marLeft w:val="0"/>
      <w:marRight w:val="0"/>
      <w:marTop w:val="0"/>
      <w:marBottom w:val="0"/>
      <w:divBdr>
        <w:top w:val="none" w:sz="0" w:space="0" w:color="auto"/>
        <w:left w:val="none" w:sz="0" w:space="0" w:color="auto"/>
        <w:bottom w:val="none" w:sz="0" w:space="0" w:color="auto"/>
        <w:right w:val="none" w:sz="0" w:space="0" w:color="auto"/>
      </w:divBdr>
    </w:div>
    <w:div w:id="1939361246">
      <w:bodyDiv w:val="1"/>
      <w:marLeft w:val="0"/>
      <w:marRight w:val="0"/>
      <w:marTop w:val="0"/>
      <w:marBottom w:val="0"/>
      <w:divBdr>
        <w:top w:val="none" w:sz="0" w:space="0" w:color="auto"/>
        <w:left w:val="none" w:sz="0" w:space="0" w:color="auto"/>
        <w:bottom w:val="none" w:sz="0" w:space="0" w:color="auto"/>
        <w:right w:val="none" w:sz="0" w:space="0" w:color="auto"/>
      </w:divBdr>
    </w:div>
    <w:div w:id="1939947873">
      <w:bodyDiv w:val="1"/>
      <w:marLeft w:val="0"/>
      <w:marRight w:val="0"/>
      <w:marTop w:val="0"/>
      <w:marBottom w:val="0"/>
      <w:divBdr>
        <w:top w:val="none" w:sz="0" w:space="0" w:color="auto"/>
        <w:left w:val="none" w:sz="0" w:space="0" w:color="auto"/>
        <w:bottom w:val="none" w:sz="0" w:space="0" w:color="auto"/>
        <w:right w:val="none" w:sz="0" w:space="0" w:color="auto"/>
      </w:divBdr>
    </w:div>
    <w:div w:id="1940677666">
      <w:bodyDiv w:val="1"/>
      <w:marLeft w:val="0"/>
      <w:marRight w:val="0"/>
      <w:marTop w:val="0"/>
      <w:marBottom w:val="0"/>
      <w:divBdr>
        <w:top w:val="none" w:sz="0" w:space="0" w:color="auto"/>
        <w:left w:val="none" w:sz="0" w:space="0" w:color="auto"/>
        <w:bottom w:val="none" w:sz="0" w:space="0" w:color="auto"/>
        <w:right w:val="none" w:sz="0" w:space="0" w:color="auto"/>
      </w:divBdr>
    </w:div>
    <w:div w:id="1941208876">
      <w:bodyDiv w:val="1"/>
      <w:marLeft w:val="0"/>
      <w:marRight w:val="0"/>
      <w:marTop w:val="0"/>
      <w:marBottom w:val="0"/>
      <w:divBdr>
        <w:top w:val="none" w:sz="0" w:space="0" w:color="auto"/>
        <w:left w:val="none" w:sz="0" w:space="0" w:color="auto"/>
        <w:bottom w:val="none" w:sz="0" w:space="0" w:color="auto"/>
        <w:right w:val="none" w:sz="0" w:space="0" w:color="auto"/>
      </w:divBdr>
    </w:div>
    <w:div w:id="1942444645">
      <w:bodyDiv w:val="1"/>
      <w:marLeft w:val="0"/>
      <w:marRight w:val="0"/>
      <w:marTop w:val="0"/>
      <w:marBottom w:val="0"/>
      <w:divBdr>
        <w:top w:val="none" w:sz="0" w:space="0" w:color="auto"/>
        <w:left w:val="none" w:sz="0" w:space="0" w:color="auto"/>
        <w:bottom w:val="none" w:sz="0" w:space="0" w:color="auto"/>
        <w:right w:val="none" w:sz="0" w:space="0" w:color="auto"/>
      </w:divBdr>
    </w:div>
    <w:div w:id="1943413877">
      <w:bodyDiv w:val="1"/>
      <w:marLeft w:val="0"/>
      <w:marRight w:val="0"/>
      <w:marTop w:val="0"/>
      <w:marBottom w:val="0"/>
      <w:divBdr>
        <w:top w:val="none" w:sz="0" w:space="0" w:color="auto"/>
        <w:left w:val="none" w:sz="0" w:space="0" w:color="auto"/>
        <w:bottom w:val="none" w:sz="0" w:space="0" w:color="auto"/>
        <w:right w:val="none" w:sz="0" w:space="0" w:color="auto"/>
      </w:divBdr>
    </w:div>
    <w:div w:id="1944339567">
      <w:bodyDiv w:val="1"/>
      <w:marLeft w:val="0"/>
      <w:marRight w:val="0"/>
      <w:marTop w:val="0"/>
      <w:marBottom w:val="0"/>
      <w:divBdr>
        <w:top w:val="none" w:sz="0" w:space="0" w:color="auto"/>
        <w:left w:val="none" w:sz="0" w:space="0" w:color="auto"/>
        <w:bottom w:val="none" w:sz="0" w:space="0" w:color="auto"/>
        <w:right w:val="none" w:sz="0" w:space="0" w:color="auto"/>
      </w:divBdr>
    </w:div>
    <w:div w:id="1946112413">
      <w:bodyDiv w:val="1"/>
      <w:marLeft w:val="0"/>
      <w:marRight w:val="0"/>
      <w:marTop w:val="0"/>
      <w:marBottom w:val="0"/>
      <w:divBdr>
        <w:top w:val="none" w:sz="0" w:space="0" w:color="auto"/>
        <w:left w:val="none" w:sz="0" w:space="0" w:color="auto"/>
        <w:bottom w:val="none" w:sz="0" w:space="0" w:color="auto"/>
        <w:right w:val="none" w:sz="0" w:space="0" w:color="auto"/>
      </w:divBdr>
    </w:div>
    <w:div w:id="1946306809">
      <w:bodyDiv w:val="1"/>
      <w:marLeft w:val="0"/>
      <w:marRight w:val="0"/>
      <w:marTop w:val="0"/>
      <w:marBottom w:val="0"/>
      <w:divBdr>
        <w:top w:val="none" w:sz="0" w:space="0" w:color="auto"/>
        <w:left w:val="none" w:sz="0" w:space="0" w:color="auto"/>
        <w:bottom w:val="none" w:sz="0" w:space="0" w:color="auto"/>
        <w:right w:val="none" w:sz="0" w:space="0" w:color="auto"/>
      </w:divBdr>
    </w:div>
    <w:div w:id="1948997860">
      <w:bodyDiv w:val="1"/>
      <w:marLeft w:val="0"/>
      <w:marRight w:val="0"/>
      <w:marTop w:val="0"/>
      <w:marBottom w:val="0"/>
      <w:divBdr>
        <w:top w:val="none" w:sz="0" w:space="0" w:color="auto"/>
        <w:left w:val="none" w:sz="0" w:space="0" w:color="auto"/>
        <w:bottom w:val="none" w:sz="0" w:space="0" w:color="auto"/>
        <w:right w:val="none" w:sz="0" w:space="0" w:color="auto"/>
      </w:divBdr>
    </w:div>
    <w:div w:id="1950892644">
      <w:bodyDiv w:val="1"/>
      <w:marLeft w:val="0"/>
      <w:marRight w:val="0"/>
      <w:marTop w:val="0"/>
      <w:marBottom w:val="0"/>
      <w:divBdr>
        <w:top w:val="none" w:sz="0" w:space="0" w:color="auto"/>
        <w:left w:val="none" w:sz="0" w:space="0" w:color="auto"/>
        <w:bottom w:val="none" w:sz="0" w:space="0" w:color="auto"/>
        <w:right w:val="none" w:sz="0" w:space="0" w:color="auto"/>
      </w:divBdr>
    </w:div>
    <w:div w:id="1951089567">
      <w:bodyDiv w:val="1"/>
      <w:marLeft w:val="0"/>
      <w:marRight w:val="0"/>
      <w:marTop w:val="0"/>
      <w:marBottom w:val="0"/>
      <w:divBdr>
        <w:top w:val="none" w:sz="0" w:space="0" w:color="auto"/>
        <w:left w:val="none" w:sz="0" w:space="0" w:color="auto"/>
        <w:bottom w:val="none" w:sz="0" w:space="0" w:color="auto"/>
        <w:right w:val="none" w:sz="0" w:space="0" w:color="auto"/>
      </w:divBdr>
    </w:div>
    <w:div w:id="1951819471">
      <w:bodyDiv w:val="1"/>
      <w:marLeft w:val="0"/>
      <w:marRight w:val="0"/>
      <w:marTop w:val="0"/>
      <w:marBottom w:val="0"/>
      <w:divBdr>
        <w:top w:val="none" w:sz="0" w:space="0" w:color="auto"/>
        <w:left w:val="none" w:sz="0" w:space="0" w:color="auto"/>
        <w:bottom w:val="none" w:sz="0" w:space="0" w:color="auto"/>
        <w:right w:val="none" w:sz="0" w:space="0" w:color="auto"/>
      </w:divBdr>
    </w:div>
    <w:div w:id="1957562964">
      <w:bodyDiv w:val="1"/>
      <w:marLeft w:val="0"/>
      <w:marRight w:val="0"/>
      <w:marTop w:val="0"/>
      <w:marBottom w:val="0"/>
      <w:divBdr>
        <w:top w:val="none" w:sz="0" w:space="0" w:color="auto"/>
        <w:left w:val="none" w:sz="0" w:space="0" w:color="auto"/>
        <w:bottom w:val="none" w:sz="0" w:space="0" w:color="auto"/>
        <w:right w:val="none" w:sz="0" w:space="0" w:color="auto"/>
      </w:divBdr>
    </w:div>
    <w:div w:id="1961107381">
      <w:bodyDiv w:val="1"/>
      <w:marLeft w:val="0"/>
      <w:marRight w:val="0"/>
      <w:marTop w:val="0"/>
      <w:marBottom w:val="0"/>
      <w:divBdr>
        <w:top w:val="none" w:sz="0" w:space="0" w:color="auto"/>
        <w:left w:val="none" w:sz="0" w:space="0" w:color="auto"/>
        <w:bottom w:val="none" w:sz="0" w:space="0" w:color="auto"/>
        <w:right w:val="none" w:sz="0" w:space="0" w:color="auto"/>
      </w:divBdr>
    </w:div>
    <w:div w:id="1964001411">
      <w:bodyDiv w:val="1"/>
      <w:marLeft w:val="0"/>
      <w:marRight w:val="0"/>
      <w:marTop w:val="0"/>
      <w:marBottom w:val="0"/>
      <w:divBdr>
        <w:top w:val="none" w:sz="0" w:space="0" w:color="auto"/>
        <w:left w:val="none" w:sz="0" w:space="0" w:color="auto"/>
        <w:bottom w:val="none" w:sz="0" w:space="0" w:color="auto"/>
        <w:right w:val="none" w:sz="0" w:space="0" w:color="auto"/>
      </w:divBdr>
    </w:div>
    <w:div w:id="1965233807">
      <w:bodyDiv w:val="1"/>
      <w:marLeft w:val="0"/>
      <w:marRight w:val="0"/>
      <w:marTop w:val="0"/>
      <w:marBottom w:val="0"/>
      <w:divBdr>
        <w:top w:val="none" w:sz="0" w:space="0" w:color="auto"/>
        <w:left w:val="none" w:sz="0" w:space="0" w:color="auto"/>
        <w:bottom w:val="none" w:sz="0" w:space="0" w:color="auto"/>
        <w:right w:val="none" w:sz="0" w:space="0" w:color="auto"/>
      </w:divBdr>
    </w:div>
    <w:div w:id="1966497076">
      <w:bodyDiv w:val="1"/>
      <w:marLeft w:val="0"/>
      <w:marRight w:val="0"/>
      <w:marTop w:val="0"/>
      <w:marBottom w:val="0"/>
      <w:divBdr>
        <w:top w:val="none" w:sz="0" w:space="0" w:color="auto"/>
        <w:left w:val="none" w:sz="0" w:space="0" w:color="auto"/>
        <w:bottom w:val="none" w:sz="0" w:space="0" w:color="auto"/>
        <w:right w:val="none" w:sz="0" w:space="0" w:color="auto"/>
      </w:divBdr>
    </w:div>
    <w:div w:id="1970430526">
      <w:bodyDiv w:val="1"/>
      <w:marLeft w:val="0"/>
      <w:marRight w:val="0"/>
      <w:marTop w:val="0"/>
      <w:marBottom w:val="0"/>
      <w:divBdr>
        <w:top w:val="none" w:sz="0" w:space="0" w:color="auto"/>
        <w:left w:val="none" w:sz="0" w:space="0" w:color="auto"/>
        <w:bottom w:val="none" w:sz="0" w:space="0" w:color="auto"/>
        <w:right w:val="none" w:sz="0" w:space="0" w:color="auto"/>
      </w:divBdr>
    </w:div>
    <w:div w:id="1970814313">
      <w:bodyDiv w:val="1"/>
      <w:marLeft w:val="0"/>
      <w:marRight w:val="0"/>
      <w:marTop w:val="0"/>
      <w:marBottom w:val="0"/>
      <w:divBdr>
        <w:top w:val="none" w:sz="0" w:space="0" w:color="auto"/>
        <w:left w:val="none" w:sz="0" w:space="0" w:color="auto"/>
        <w:bottom w:val="none" w:sz="0" w:space="0" w:color="auto"/>
        <w:right w:val="none" w:sz="0" w:space="0" w:color="auto"/>
      </w:divBdr>
    </w:div>
    <w:div w:id="1972979636">
      <w:bodyDiv w:val="1"/>
      <w:marLeft w:val="0"/>
      <w:marRight w:val="0"/>
      <w:marTop w:val="0"/>
      <w:marBottom w:val="0"/>
      <w:divBdr>
        <w:top w:val="none" w:sz="0" w:space="0" w:color="auto"/>
        <w:left w:val="none" w:sz="0" w:space="0" w:color="auto"/>
        <w:bottom w:val="none" w:sz="0" w:space="0" w:color="auto"/>
        <w:right w:val="none" w:sz="0" w:space="0" w:color="auto"/>
      </w:divBdr>
    </w:div>
    <w:div w:id="1974284459">
      <w:bodyDiv w:val="1"/>
      <w:marLeft w:val="0"/>
      <w:marRight w:val="0"/>
      <w:marTop w:val="0"/>
      <w:marBottom w:val="0"/>
      <w:divBdr>
        <w:top w:val="none" w:sz="0" w:space="0" w:color="auto"/>
        <w:left w:val="none" w:sz="0" w:space="0" w:color="auto"/>
        <w:bottom w:val="none" w:sz="0" w:space="0" w:color="auto"/>
        <w:right w:val="none" w:sz="0" w:space="0" w:color="auto"/>
      </w:divBdr>
    </w:div>
    <w:div w:id="1974753882">
      <w:bodyDiv w:val="1"/>
      <w:marLeft w:val="0"/>
      <w:marRight w:val="0"/>
      <w:marTop w:val="0"/>
      <w:marBottom w:val="0"/>
      <w:divBdr>
        <w:top w:val="none" w:sz="0" w:space="0" w:color="auto"/>
        <w:left w:val="none" w:sz="0" w:space="0" w:color="auto"/>
        <w:bottom w:val="none" w:sz="0" w:space="0" w:color="auto"/>
        <w:right w:val="none" w:sz="0" w:space="0" w:color="auto"/>
      </w:divBdr>
    </w:div>
    <w:div w:id="1974869055">
      <w:bodyDiv w:val="1"/>
      <w:marLeft w:val="0"/>
      <w:marRight w:val="0"/>
      <w:marTop w:val="0"/>
      <w:marBottom w:val="0"/>
      <w:divBdr>
        <w:top w:val="none" w:sz="0" w:space="0" w:color="auto"/>
        <w:left w:val="none" w:sz="0" w:space="0" w:color="auto"/>
        <w:bottom w:val="none" w:sz="0" w:space="0" w:color="auto"/>
        <w:right w:val="none" w:sz="0" w:space="0" w:color="auto"/>
      </w:divBdr>
    </w:div>
    <w:div w:id="1975595073">
      <w:bodyDiv w:val="1"/>
      <w:marLeft w:val="0"/>
      <w:marRight w:val="0"/>
      <w:marTop w:val="0"/>
      <w:marBottom w:val="0"/>
      <w:divBdr>
        <w:top w:val="none" w:sz="0" w:space="0" w:color="auto"/>
        <w:left w:val="none" w:sz="0" w:space="0" w:color="auto"/>
        <w:bottom w:val="none" w:sz="0" w:space="0" w:color="auto"/>
        <w:right w:val="none" w:sz="0" w:space="0" w:color="auto"/>
      </w:divBdr>
    </w:div>
    <w:div w:id="1976372069">
      <w:bodyDiv w:val="1"/>
      <w:marLeft w:val="0"/>
      <w:marRight w:val="0"/>
      <w:marTop w:val="0"/>
      <w:marBottom w:val="0"/>
      <w:divBdr>
        <w:top w:val="none" w:sz="0" w:space="0" w:color="auto"/>
        <w:left w:val="none" w:sz="0" w:space="0" w:color="auto"/>
        <w:bottom w:val="none" w:sz="0" w:space="0" w:color="auto"/>
        <w:right w:val="none" w:sz="0" w:space="0" w:color="auto"/>
      </w:divBdr>
    </w:div>
    <w:div w:id="1976596491">
      <w:bodyDiv w:val="1"/>
      <w:marLeft w:val="0"/>
      <w:marRight w:val="0"/>
      <w:marTop w:val="0"/>
      <w:marBottom w:val="0"/>
      <w:divBdr>
        <w:top w:val="none" w:sz="0" w:space="0" w:color="auto"/>
        <w:left w:val="none" w:sz="0" w:space="0" w:color="auto"/>
        <w:bottom w:val="none" w:sz="0" w:space="0" w:color="auto"/>
        <w:right w:val="none" w:sz="0" w:space="0" w:color="auto"/>
      </w:divBdr>
    </w:div>
    <w:div w:id="1979921791">
      <w:bodyDiv w:val="1"/>
      <w:marLeft w:val="0"/>
      <w:marRight w:val="0"/>
      <w:marTop w:val="0"/>
      <w:marBottom w:val="0"/>
      <w:divBdr>
        <w:top w:val="none" w:sz="0" w:space="0" w:color="auto"/>
        <w:left w:val="none" w:sz="0" w:space="0" w:color="auto"/>
        <w:bottom w:val="none" w:sz="0" w:space="0" w:color="auto"/>
        <w:right w:val="none" w:sz="0" w:space="0" w:color="auto"/>
      </w:divBdr>
    </w:div>
    <w:div w:id="1981112878">
      <w:bodyDiv w:val="1"/>
      <w:marLeft w:val="0"/>
      <w:marRight w:val="0"/>
      <w:marTop w:val="0"/>
      <w:marBottom w:val="0"/>
      <w:divBdr>
        <w:top w:val="none" w:sz="0" w:space="0" w:color="auto"/>
        <w:left w:val="none" w:sz="0" w:space="0" w:color="auto"/>
        <w:bottom w:val="none" w:sz="0" w:space="0" w:color="auto"/>
        <w:right w:val="none" w:sz="0" w:space="0" w:color="auto"/>
      </w:divBdr>
    </w:div>
    <w:div w:id="1986885532">
      <w:bodyDiv w:val="1"/>
      <w:marLeft w:val="0"/>
      <w:marRight w:val="0"/>
      <w:marTop w:val="0"/>
      <w:marBottom w:val="0"/>
      <w:divBdr>
        <w:top w:val="none" w:sz="0" w:space="0" w:color="auto"/>
        <w:left w:val="none" w:sz="0" w:space="0" w:color="auto"/>
        <w:bottom w:val="none" w:sz="0" w:space="0" w:color="auto"/>
        <w:right w:val="none" w:sz="0" w:space="0" w:color="auto"/>
      </w:divBdr>
    </w:div>
    <w:div w:id="1987929092">
      <w:bodyDiv w:val="1"/>
      <w:marLeft w:val="0"/>
      <w:marRight w:val="0"/>
      <w:marTop w:val="0"/>
      <w:marBottom w:val="0"/>
      <w:divBdr>
        <w:top w:val="none" w:sz="0" w:space="0" w:color="auto"/>
        <w:left w:val="none" w:sz="0" w:space="0" w:color="auto"/>
        <w:bottom w:val="none" w:sz="0" w:space="0" w:color="auto"/>
        <w:right w:val="none" w:sz="0" w:space="0" w:color="auto"/>
      </w:divBdr>
    </w:div>
    <w:div w:id="1989898669">
      <w:bodyDiv w:val="1"/>
      <w:marLeft w:val="0"/>
      <w:marRight w:val="0"/>
      <w:marTop w:val="0"/>
      <w:marBottom w:val="0"/>
      <w:divBdr>
        <w:top w:val="none" w:sz="0" w:space="0" w:color="auto"/>
        <w:left w:val="none" w:sz="0" w:space="0" w:color="auto"/>
        <w:bottom w:val="none" w:sz="0" w:space="0" w:color="auto"/>
        <w:right w:val="none" w:sz="0" w:space="0" w:color="auto"/>
      </w:divBdr>
    </w:div>
    <w:div w:id="1992059095">
      <w:bodyDiv w:val="1"/>
      <w:marLeft w:val="0"/>
      <w:marRight w:val="0"/>
      <w:marTop w:val="0"/>
      <w:marBottom w:val="0"/>
      <w:divBdr>
        <w:top w:val="none" w:sz="0" w:space="0" w:color="auto"/>
        <w:left w:val="none" w:sz="0" w:space="0" w:color="auto"/>
        <w:bottom w:val="none" w:sz="0" w:space="0" w:color="auto"/>
        <w:right w:val="none" w:sz="0" w:space="0" w:color="auto"/>
      </w:divBdr>
    </w:div>
    <w:div w:id="1992754884">
      <w:bodyDiv w:val="1"/>
      <w:marLeft w:val="0"/>
      <w:marRight w:val="0"/>
      <w:marTop w:val="0"/>
      <w:marBottom w:val="0"/>
      <w:divBdr>
        <w:top w:val="none" w:sz="0" w:space="0" w:color="auto"/>
        <w:left w:val="none" w:sz="0" w:space="0" w:color="auto"/>
        <w:bottom w:val="none" w:sz="0" w:space="0" w:color="auto"/>
        <w:right w:val="none" w:sz="0" w:space="0" w:color="auto"/>
      </w:divBdr>
    </w:div>
    <w:div w:id="1996032287">
      <w:bodyDiv w:val="1"/>
      <w:marLeft w:val="0"/>
      <w:marRight w:val="0"/>
      <w:marTop w:val="0"/>
      <w:marBottom w:val="0"/>
      <w:divBdr>
        <w:top w:val="none" w:sz="0" w:space="0" w:color="auto"/>
        <w:left w:val="none" w:sz="0" w:space="0" w:color="auto"/>
        <w:bottom w:val="none" w:sz="0" w:space="0" w:color="auto"/>
        <w:right w:val="none" w:sz="0" w:space="0" w:color="auto"/>
      </w:divBdr>
    </w:div>
    <w:div w:id="1996301112">
      <w:bodyDiv w:val="1"/>
      <w:marLeft w:val="0"/>
      <w:marRight w:val="0"/>
      <w:marTop w:val="0"/>
      <w:marBottom w:val="0"/>
      <w:divBdr>
        <w:top w:val="none" w:sz="0" w:space="0" w:color="auto"/>
        <w:left w:val="none" w:sz="0" w:space="0" w:color="auto"/>
        <w:bottom w:val="none" w:sz="0" w:space="0" w:color="auto"/>
        <w:right w:val="none" w:sz="0" w:space="0" w:color="auto"/>
      </w:divBdr>
    </w:div>
    <w:div w:id="1996957541">
      <w:bodyDiv w:val="1"/>
      <w:marLeft w:val="0"/>
      <w:marRight w:val="0"/>
      <w:marTop w:val="0"/>
      <w:marBottom w:val="0"/>
      <w:divBdr>
        <w:top w:val="none" w:sz="0" w:space="0" w:color="auto"/>
        <w:left w:val="none" w:sz="0" w:space="0" w:color="auto"/>
        <w:bottom w:val="none" w:sz="0" w:space="0" w:color="auto"/>
        <w:right w:val="none" w:sz="0" w:space="0" w:color="auto"/>
      </w:divBdr>
    </w:div>
    <w:div w:id="1997565320">
      <w:bodyDiv w:val="1"/>
      <w:marLeft w:val="0"/>
      <w:marRight w:val="0"/>
      <w:marTop w:val="0"/>
      <w:marBottom w:val="0"/>
      <w:divBdr>
        <w:top w:val="none" w:sz="0" w:space="0" w:color="auto"/>
        <w:left w:val="none" w:sz="0" w:space="0" w:color="auto"/>
        <w:bottom w:val="none" w:sz="0" w:space="0" w:color="auto"/>
        <w:right w:val="none" w:sz="0" w:space="0" w:color="auto"/>
      </w:divBdr>
    </w:div>
    <w:div w:id="2001497130">
      <w:bodyDiv w:val="1"/>
      <w:marLeft w:val="0"/>
      <w:marRight w:val="0"/>
      <w:marTop w:val="0"/>
      <w:marBottom w:val="0"/>
      <w:divBdr>
        <w:top w:val="none" w:sz="0" w:space="0" w:color="auto"/>
        <w:left w:val="none" w:sz="0" w:space="0" w:color="auto"/>
        <w:bottom w:val="none" w:sz="0" w:space="0" w:color="auto"/>
        <w:right w:val="none" w:sz="0" w:space="0" w:color="auto"/>
      </w:divBdr>
    </w:div>
    <w:div w:id="2001928265">
      <w:bodyDiv w:val="1"/>
      <w:marLeft w:val="0"/>
      <w:marRight w:val="0"/>
      <w:marTop w:val="0"/>
      <w:marBottom w:val="0"/>
      <w:divBdr>
        <w:top w:val="none" w:sz="0" w:space="0" w:color="auto"/>
        <w:left w:val="none" w:sz="0" w:space="0" w:color="auto"/>
        <w:bottom w:val="none" w:sz="0" w:space="0" w:color="auto"/>
        <w:right w:val="none" w:sz="0" w:space="0" w:color="auto"/>
      </w:divBdr>
    </w:div>
    <w:div w:id="2001999224">
      <w:bodyDiv w:val="1"/>
      <w:marLeft w:val="0"/>
      <w:marRight w:val="0"/>
      <w:marTop w:val="0"/>
      <w:marBottom w:val="0"/>
      <w:divBdr>
        <w:top w:val="none" w:sz="0" w:space="0" w:color="auto"/>
        <w:left w:val="none" w:sz="0" w:space="0" w:color="auto"/>
        <w:bottom w:val="none" w:sz="0" w:space="0" w:color="auto"/>
        <w:right w:val="none" w:sz="0" w:space="0" w:color="auto"/>
      </w:divBdr>
    </w:div>
    <w:div w:id="2003192072">
      <w:bodyDiv w:val="1"/>
      <w:marLeft w:val="0"/>
      <w:marRight w:val="0"/>
      <w:marTop w:val="0"/>
      <w:marBottom w:val="0"/>
      <w:divBdr>
        <w:top w:val="none" w:sz="0" w:space="0" w:color="auto"/>
        <w:left w:val="none" w:sz="0" w:space="0" w:color="auto"/>
        <w:bottom w:val="none" w:sz="0" w:space="0" w:color="auto"/>
        <w:right w:val="none" w:sz="0" w:space="0" w:color="auto"/>
      </w:divBdr>
    </w:div>
    <w:div w:id="2003393402">
      <w:bodyDiv w:val="1"/>
      <w:marLeft w:val="0"/>
      <w:marRight w:val="0"/>
      <w:marTop w:val="0"/>
      <w:marBottom w:val="0"/>
      <w:divBdr>
        <w:top w:val="none" w:sz="0" w:space="0" w:color="auto"/>
        <w:left w:val="none" w:sz="0" w:space="0" w:color="auto"/>
        <w:bottom w:val="none" w:sz="0" w:space="0" w:color="auto"/>
        <w:right w:val="none" w:sz="0" w:space="0" w:color="auto"/>
      </w:divBdr>
    </w:div>
    <w:div w:id="2004234191">
      <w:bodyDiv w:val="1"/>
      <w:marLeft w:val="0"/>
      <w:marRight w:val="0"/>
      <w:marTop w:val="0"/>
      <w:marBottom w:val="0"/>
      <w:divBdr>
        <w:top w:val="none" w:sz="0" w:space="0" w:color="auto"/>
        <w:left w:val="none" w:sz="0" w:space="0" w:color="auto"/>
        <w:bottom w:val="none" w:sz="0" w:space="0" w:color="auto"/>
        <w:right w:val="none" w:sz="0" w:space="0" w:color="auto"/>
      </w:divBdr>
    </w:div>
    <w:div w:id="2005234211">
      <w:bodyDiv w:val="1"/>
      <w:marLeft w:val="0"/>
      <w:marRight w:val="0"/>
      <w:marTop w:val="0"/>
      <w:marBottom w:val="0"/>
      <w:divBdr>
        <w:top w:val="none" w:sz="0" w:space="0" w:color="auto"/>
        <w:left w:val="none" w:sz="0" w:space="0" w:color="auto"/>
        <w:bottom w:val="none" w:sz="0" w:space="0" w:color="auto"/>
        <w:right w:val="none" w:sz="0" w:space="0" w:color="auto"/>
      </w:divBdr>
    </w:div>
    <w:div w:id="2008747886">
      <w:bodyDiv w:val="1"/>
      <w:marLeft w:val="0"/>
      <w:marRight w:val="0"/>
      <w:marTop w:val="0"/>
      <w:marBottom w:val="0"/>
      <w:divBdr>
        <w:top w:val="none" w:sz="0" w:space="0" w:color="auto"/>
        <w:left w:val="none" w:sz="0" w:space="0" w:color="auto"/>
        <w:bottom w:val="none" w:sz="0" w:space="0" w:color="auto"/>
        <w:right w:val="none" w:sz="0" w:space="0" w:color="auto"/>
      </w:divBdr>
    </w:div>
    <w:div w:id="2010524968">
      <w:bodyDiv w:val="1"/>
      <w:marLeft w:val="0"/>
      <w:marRight w:val="0"/>
      <w:marTop w:val="0"/>
      <w:marBottom w:val="0"/>
      <w:divBdr>
        <w:top w:val="none" w:sz="0" w:space="0" w:color="auto"/>
        <w:left w:val="none" w:sz="0" w:space="0" w:color="auto"/>
        <w:bottom w:val="none" w:sz="0" w:space="0" w:color="auto"/>
        <w:right w:val="none" w:sz="0" w:space="0" w:color="auto"/>
      </w:divBdr>
    </w:div>
    <w:div w:id="2011910404">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 w:id="2013335090">
      <w:bodyDiv w:val="1"/>
      <w:marLeft w:val="0"/>
      <w:marRight w:val="0"/>
      <w:marTop w:val="0"/>
      <w:marBottom w:val="0"/>
      <w:divBdr>
        <w:top w:val="none" w:sz="0" w:space="0" w:color="auto"/>
        <w:left w:val="none" w:sz="0" w:space="0" w:color="auto"/>
        <w:bottom w:val="none" w:sz="0" w:space="0" w:color="auto"/>
        <w:right w:val="none" w:sz="0" w:space="0" w:color="auto"/>
      </w:divBdr>
    </w:div>
    <w:div w:id="2014842623">
      <w:bodyDiv w:val="1"/>
      <w:marLeft w:val="0"/>
      <w:marRight w:val="0"/>
      <w:marTop w:val="0"/>
      <w:marBottom w:val="0"/>
      <w:divBdr>
        <w:top w:val="none" w:sz="0" w:space="0" w:color="auto"/>
        <w:left w:val="none" w:sz="0" w:space="0" w:color="auto"/>
        <w:bottom w:val="none" w:sz="0" w:space="0" w:color="auto"/>
        <w:right w:val="none" w:sz="0" w:space="0" w:color="auto"/>
      </w:divBdr>
    </w:div>
    <w:div w:id="2015764794">
      <w:bodyDiv w:val="1"/>
      <w:marLeft w:val="0"/>
      <w:marRight w:val="0"/>
      <w:marTop w:val="0"/>
      <w:marBottom w:val="0"/>
      <w:divBdr>
        <w:top w:val="none" w:sz="0" w:space="0" w:color="auto"/>
        <w:left w:val="none" w:sz="0" w:space="0" w:color="auto"/>
        <w:bottom w:val="none" w:sz="0" w:space="0" w:color="auto"/>
        <w:right w:val="none" w:sz="0" w:space="0" w:color="auto"/>
      </w:divBdr>
    </w:div>
    <w:div w:id="2016683884">
      <w:bodyDiv w:val="1"/>
      <w:marLeft w:val="0"/>
      <w:marRight w:val="0"/>
      <w:marTop w:val="0"/>
      <w:marBottom w:val="0"/>
      <w:divBdr>
        <w:top w:val="none" w:sz="0" w:space="0" w:color="auto"/>
        <w:left w:val="none" w:sz="0" w:space="0" w:color="auto"/>
        <w:bottom w:val="none" w:sz="0" w:space="0" w:color="auto"/>
        <w:right w:val="none" w:sz="0" w:space="0" w:color="auto"/>
      </w:divBdr>
    </w:div>
    <w:div w:id="2017724452">
      <w:bodyDiv w:val="1"/>
      <w:marLeft w:val="0"/>
      <w:marRight w:val="0"/>
      <w:marTop w:val="0"/>
      <w:marBottom w:val="0"/>
      <w:divBdr>
        <w:top w:val="none" w:sz="0" w:space="0" w:color="auto"/>
        <w:left w:val="none" w:sz="0" w:space="0" w:color="auto"/>
        <w:bottom w:val="none" w:sz="0" w:space="0" w:color="auto"/>
        <w:right w:val="none" w:sz="0" w:space="0" w:color="auto"/>
      </w:divBdr>
    </w:div>
    <w:div w:id="2017996002">
      <w:bodyDiv w:val="1"/>
      <w:marLeft w:val="0"/>
      <w:marRight w:val="0"/>
      <w:marTop w:val="0"/>
      <w:marBottom w:val="0"/>
      <w:divBdr>
        <w:top w:val="none" w:sz="0" w:space="0" w:color="auto"/>
        <w:left w:val="none" w:sz="0" w:space="0" w:color="auto"/>
        <w:bottom w:val="none" w:sz="0" w:space="0" w:color="auto"/>
        <w:right w:val="none" w:sz="0" w:space="0" w:color="auto"/>
      </w:divBdr>
    </w:div>
    <w:div w:id="2019574614">
      <w:bodyDiv w:val="1"/>
      <w:marLeft w:val="0"/>
      <w:marRight w:val="0"/>
      <w:marTop w:val="0"/>
      <w:marBottom w:val="0"/>
      <w:divBdr>
        <w:top w:val="none" w:sz="0" w:space="0" w:color="auto"/>
        <w:left w:val="none" w:sz="0" w:space="0" w:color="auto"/>
        <w:bottom w:val="none" w:sz="0" w:space="0" w:color="auto"/>
        <w:right w:val="none" w:sz="0" w:space="0" w:color="auto"/>
      </w:divBdr>
    </w:div>
    <w:div w:id="2020161262">
      <w:bodyDiv w:val="1"/>
      <w:marLeft w:val="0"/>
      <w:marRight w:val="0"/>
      <w:marTop w:val="0"/>
      <w:marBottom w:val="0"/>
      <w:divBdr>
        <w:top w:val="none" w:sz="0" w:space="0" w:color="auto"/>
        <w:left w:val="none" w:sz="0" w:space="0" w:color="auto"/>
        <w:bottom w:val="none" w:sz="0" w:space="0" w:color="auto"/>
        <w:right w:val="none" w:sz="0" w:space="0" w:color="auto"/>
      </w:divBdr>
    </w:div>
    <w:div w:id="2020497584">
      <w:bodyDiv w:val="1"/>
      <w:marLeft w:val="0"/>
      <w:marRight w:val="0"/>
      <w:marTop w:val="0"/>
      <w:marBottom w:val="0"/>
      <w:divBdr>
        <w:top w:val="none" w:sz="0" w:space="0" w:color="auto"/>
        <w:left w:val="none" w:sz="0" w:space="0" w:color="auto"/>
        <w:bottom w:val="none" w:sz="0" w:space="0" w:color="auto"/>
        <w:right w:val="none" w:sz="0" w:space="0" w:color="auto"/>
      </w:divBdr>
    </w:div>
    <w:div w:id="2022007379">
      <w:bodyDiv w:val="1"/>
      <w:marLeft w:val="0"/>
      <w:marRight w:val="0"/>
      <w:marTop w:val="0"/>
      <w:marBottom w:val="0"/>
      <w:divBdr>
        <w:top w:val="none" w:sz="0" w:space="0" w:color="auto"/>
        <w:left w:val="none" w:sz="0" w:space="0" w:color="auto"/>
        <w:bottom w:val="none" w:sz="0" w:space="0" w:color="auto"/>
        <w:right w:val="none" w:sz="0" w:space="0" w:color="auto"/>
      </w:divBdr>
    </w:div>
    <w:div w:id="2022778332">
      <w:bodyDiv w:val="1"/>
      <w:marLeft w:val="0"/>
      <w:marRight w:val="0"/>
      <w:marTop w:val="0"/>
      <w:marBottom w:val="0"/>
      <w:divBdr>
        <w:top w:val="none" w:sz="0" w:space="0" w:color="auto"/>
        <w:left w:val="none" w:sz="0" w:space="0" w:color="auto"/>
        <w:bottom w:val="none" w:sz="0" w:space="0" w:color="auto"/>
        <w:right w:val="none" w:sz="0" w:space="0" w:color="auto"/>
      </w:divBdr>
    </w:div>
    <w:div w:id="2023120463">
      <w:bodyDiv w:val="1"/>
      <w:marLeft w:val="0"/>
      <w:marRight w:val="0"/>
      <w:marTop w:val="0"/>
      <w:marBottom w:val="0"/>
      <w:divBdr>
        <w:top w:val="none" w:sz="0" w:space="0" w:color="auto"/>
        <w:left w:val="none" w:sz="0" w:space="0" w:color="auto"/>
        <w:bottom w:val="none" w:sz="0" w:space="0" w:color="auto"/>
        <w:right w:val="none" w:sz="0" w:space="0" w:color="auto"/>
      </w:divBdr>
    </w:div>
    <w:div w:id="2030570266">
      <w:bodyDiv w:val="1"/>
      <w:marLeft w:val="0"/>
      <w:marRight w:val="0"/>
      <w:marTop w:val="0"/>
      <w:marBottom w:val="0"/>
      <w:divBdr>
        <w:top w:val="none" w:sz="0" w:space="0" w:color="auto"/>
        <w:left w:val="none" w:sz="0" w:space="0" w:color="auto"/>
        <w:bottom w:val="none" w:sz="0" w:space="0" w:color="auto"/>
        <w:right w:val="none" w:sz="0" w:space="0" w:color="auto"/>
      </w:divBdr>
    </w:div>
    <w:div w:id="2032219170">
      <w:bodyDiv w:val="1"/>
      <w:marLeft w:val="0"/>
      <w:marRight w:val="0"/>
      <w:marTop w:val="0"/>
      <w:marBottom w:val="0"/>
      <w:divBdr>
        <w:top w:val="none" w:sz="0" w:space="0" w:color="auto"/>
        <w:left w:val="none" w:sz="0" w:space="0" w:color="auto"/>
        <w:bottom w:val="none" w:sz="0" w:space="0" w:color="auto"/>
        <w:right w:val="none" w:sz="0" w:space="0" w:color="auto"/>
      </w:divBdr>
    </w:div>
    <w:div w:id="2034643522">
      <w:bodyDiv w:val="1"/>
      <w:marLeft w:val="0"/>
      <w:marRight w:val="0"/>
      <w:marTop w:val="0"/>
      <w:marBottom w:val="0"/>
      <w:divBdr>
        <w:top w:val="none" w:sz="0" w:space="0" w:color="auto"/>
        <w:left w:val="none" w:sz="0" w:space="0" w:color="auto"/>
        <w:bottom w:val="none" w:sz="0" w:space="0" w:color="auto"/>
        <w:right w:val="none" w:sz="0" w:space="0" w:color="auto"/>
      </w:divBdr>
    </w:div>
    <w:div w:id="2036349805">
      <w:bodyDiv w:val="1"/>
      <w:marLeft w:val="0"/>
      <w:marRight w:val="0"/>
      <w:marTop w:val="0"/>
      <w:marBottom w:val="0"/>
      <w:divBdr>
        <w:top w:val="none" w:sz="0" w:space="0" w:color="auto"/>
        <w:left w:val="none" w:sz="0" w:space="0" w:color="auto"/>
        <w:bottom w:val="none" w:sz="0" w:space="0" w:color="auto"/>
        <w:right w:val="none" w:sz="0" w:space="0" w:color="auto"/>
      </w:divBdr>
      <w:divsChild>
        <w:div w:id="182672305">
          <w:marLeft w:val="360"/>
          <w:marRight w:val="0"/>
          <w:marTop w:val="0"/>
          <w:marBottom w:val="0"/>
          <w:divBdr>
            <w:top w:val="none" w:sz="0" w:space="0" w:color="auto"/>
            <w:left w:val="none" w:sz="0" w:space="0" w:color="auto"/>
            <w:bottom w:val="none" w:sz="0" w:space="0" w:color="auto"/>
            <w:right w:val="none" w:sz="0" w:space="0" w:color="auto"/>
          </w:divBdr>
        </w:div>
        <w:div w:id="392969485">
          <w:marLeft w:val="360"/>
          <w:marRight w:val="0"/>
          <w:marTop w:val="0"/>
          <w:marBottom w:val="0"/>
          <w:divBdr>
            <w:top w:val="none" w:sz="0" w:space="0" w:color="auto"/>
            <w:left w:val="none" w:sz="0" w:space="0" w:color="auto"/>
            <w:bottom w:val="none" w:sz="0" w:space="0" w:color="auto"/>
            <w:right w:val="none" w:sz="0" w:space="0" w:color="auto"/>
          </w:divBdr>
        </w:div>
        <w:div w:id="594554615">
          <w:marLeft w:val="360"/>
          <w:marRight w:val="0"/>
          <w:marTop w:val="0"/>
          <w:marBottom w:val="0"/>
          <w:divBdr>
            <w:top w:val="none" w:sz="0" w:space="0" w:color="auto"/>
            <w:left w:val="none" w:sz="0" w:space="0" w:color="auto"/>
            <w:bottom w:val="none" w:sz="0" w:space="0" w:color="auto"/>
            <w:right w:val="none" w:sz="0" w:space="0" w:color="auto"/>
          </w:divBdr>
        </w:div>
        <w:div w:id="1207450745">
          <w:marLeft w:val="360"/>
          <w:marRight w:val="0"/>
          <w:marTop w:val="0"/>
          <w:marBottom w:val="0"/>
          <w:divBdr>
            <w:top w:val="none" w:sz="0" w:space="0" w:color="auto"/>
            <w:left w:val="none" w:sz="0" w:space="0" w:color="auto"/>
            <w:bottom w:val="none" w:sz="0" w:space="0" w:color="auto"/>
            <w:right w:val="none" w:sz="0" w:space="0" w:color="auto"/>
          </w:divBdr>
        </w:div>
        <w:div w:id="1425343031">
          <w:marLeft w:val="360"/>
          <w:marRight w:val="0"/>
          <w:marTop w:val="0"/>
          <w:marBottom w:val="0"/>
          <w:divBdr>
            <w:top w:val="none" w:sz="0" w:space="0" w:color="auto"/>
            <w:left w:val="none" w:sz="0" w:space="0" w:color="auto"/>
            <w:bottom w:val="none" w:sz="0" w:space="0" w:color="auto"/>
            <w:right w:val="none" w:sz="0" w:space="0" w:color="auto"/>
          </w:divBdr>
        </w:div>
      </w:divsChild>
    </w:div>
    <w:div w:id="2036803090">
      <w:bodyDiv w:val="1"/>
      <w:marLeft w:val="0"/>
      <w:marRight w:val="0"/>
      <w:marTop w:val="0"/>
      <w:marBottom w:val="0"/>
      <w:divBdr>
        <w:top w:val="none" w:sz="0" w:space="0" w:color="auto"/>
        <w:left w:val="none" w:sz="0" w:space="0" w:color="auto"/>
        <w:bottom w:val="none" w:sz="0" w:space="0" w:color="auto"/>
        <w:right w:val="none" w:sz="0" w:space="0" w:color="auto"/>
      </w:divBdr>
    </w:div>
    <w:div w:id="2036880348">
      <w:bodyDiv w:val="1"/>
      <w:marLeft w:val="0"/>
      <w:marRight w:val="0"/>
      <w:marTop w:val="0"/>
      <w:marBottom w:val="0"/>
      <w:divBdr>
        <w:top w:val="none" w:sz="0" w:space="0" w:color="auto"/>
        <w:left w:val="none" w:sz="0" w:space="0" w:color="auto"/>
        <w:bottom w:val="none" w:sz="0" w:space="0" w:color="auto"/>
        <w:right w:val="none" w:sz="0" w:space="0" w:color="auto"/>
      </w:divBdr>
    </w:div>
    <w:div w:id="2037123509">
      <w:bodyDiv w:val="1"/>
      <w:marLeft w:val="0"/>
      <w:marRight w:val="0"/>
      <w:marTop w:val="0"/>
      <w:marBottom w:val="0"/>
      <w:divBdr>
        <w:top w:val="none" w:sz="0" w:space="0" w:color="auto"/>
        <w:left w:val="none" w:sz="0" w:space="0" w:color="auto"/>
        <w:bottom w:val="none" w:sz="0" w:space="0" w:color="auto"/>
        <w:right w:val="none" w:sz="0" w:space="0" w:color="auto"/>
      </w:divBdr>
    </w:div>
    <w:div w:id="2037189727">
      <w:bodyDiv w:val="1"/>
      <w:marLeft w:val="0"/>
      <w:marRight w:val="0"/>
      <w:marTop w:val="0"/>
      <w:marBottom w:val="0"/>
      <w:divBdr>
        <w:top w:val="none" w:sz="0" w:space="0" w:color="auto"/>
        <w:left w:val="none" w:sz="0" w:space="0" w:color="auto"/>
        <w:bottom w:val="none" w:sz="0" w:space="0" w:color="auto"/>
        <w:right w:val="none" w:sz="0" w:space="0" w:color="auto"/>
      </w:divBdr>
    </w:div>
    <w:div w:id="2037582573">
      <w:bodyDiv w:val="1"/>
      <w:marLeft w:val="0"/>
      <w:marRight w:val="0"/>
      <w:marTop w:val="0"/>
      <w:marBottom w:val="0"/>
      <w:divBdr>
        <w:top w:val="none" w:sz="0" w:space="0" w:color="auto"/>
        <w:left w:val="none" w:sz="0" w:space="0" w:color="auto"/>
        <w:bottom w:val="none" w:sz="0" w:space="0" w:color="auto"/>
        <w:right w:val="none" w:sz="0" w:space="0" w:color="auto"/>
      </w:divBdr>
    </w:div>
    <w:div w:id="2038848507">
      <w:bodyDiv w:val="1"/>
      <w:marLeft w:val="0"/>
      <w:marRight w:val="0"/>
      <w:marTop w:val="0"/>
      <w:marBottom w:val="0"/>
      <w:divBdr>
        <w:top w:val="none" w:sz="0" w:space="0" w:color="auto"/>
        <w:left w:val="none" w:sz="0" w:space="0" w:color="auto"/>
        <w:bottom w:val="none" w:sz="0" w:space="0" w:color="auto"/>
        <w:right w:val="none" w:sz="0" w:space="0" w:color="auto"/>
      </w:divBdr>
    </w:div>
    <w:div w:id="2040471339">
      <w:bodyDiv w:val="1"/>
      <w:marLeft w:val="0"/>
      <w:marRight w:val="0"/>
      <w:marTop w:val="0"/>
      <w:marBottom w:val="0"/>
      <w:divBdr>
        <w:top w:val="none" w:sz="0" w:space="0" w:color="auto"/>
        <w:left w:val="none" w:sz="0" w:space="0" w:color="auto"/>
        <w:bottom w:val="none" w:sz="0" w:space="0" w:color="auto"/>
        <w:right w:val="none" w:sz="0" w:space="0" w:color="auto"/>
      </w:divBdr>
    </w:div>
    <w:div w:id="2041197970">
      <w:bodyDiv w:val="1"/>
      <w:marLeft w:val="0"/>
      <w:marRight w:val="0"/>
      <w:marTop w:val="0"/>
      <w:marBottom w:val="0"/>
      <w:divBdr>
        <w:top w:val="none" w:sz="0" w:space="0" w:color="auto"/>
        <w:left w:val="none" w:sz="0" w:space="0" w:color="auto"/>
        <w:bottom w:val="none" w:sz="0" w:space="0" w:color="auto"/>
        <w:right w:val="none" w:sz="0" w:space="0" w:color="auto"/>
      </w:divBdr>
    </w:div>
    <w:div w:id="2046245363">
      <w:bodyDiv w:val="1"/>
      <w:marLeft w:val="0"/>
      <w:marRight w:val="0"/>
      <w:marTop w:val="0"/>
      <w:marBottom w:val="0"/>
      <w:divBdr>
        <w:top w:val="none" w:sz="0" w:space="0" w:color="auto"/>
        <w:left w:val="none" w:sz="0" w:space="0" w:color="auto"/>
        <w:bottom w:val="none" w:sz="0" w:space="0" w:color="auto"/>
        <w:right w:val="none" w:sz="0" w:space="0" w:color="auto"/>
      </w:divBdr>
    </w:div>
    <w:div w:id="2047026253">
      <w:bodyDiv w:val="1"/>
      <w:marLeft w:val="0"/>
      <w:marRight w:val="0"/>
      <w:marTop w:val="0"/>
      <w:marBottom w:val="0"/>
      <w:divBdr>
        <w:top w:val="none" w:sz="0" w:space="0" w:color="auto"/>
        <w:left w:val="none" w:sz="0" w:space="0" w:color="auto"/>
        <w:bottom w:val="none" w:sz="0" w:space="0" w:color="auto"/>
        <w:right w:val="none" w:sz="0" w:space="0" w:color="auto"/>
      </w:divBdr>
    </w:div>
    <w:div w:id="2047565108">
      <w:bodyDiv w:val="1"/>
      <w:marLeft w:val="0"/>
      <w:marRight w:val="0"/>
      <w:marTop w:val="0"/>
      <w:marBottom w:val="0"/>
      <w:divBdr>
        <w:top w:val="none" w:sz="0" w:space="0" w:color="auto"/>
        <w:left w:val="none" w:sz="0" w:space="0" w:color="auto"/>
        <w:bottom w:val="none" w:sz="0" w:space="0" w:color="auto"/>
        <w:right w:val="none" w:sz="0" w:space="0" w:color="auto"/>
      </w:divBdr>
    </w:div>
    <w:div w:id="2049142265">
      <w:bodyDiv w:val="1"/>
      <w:marLeft w:val="0"/>
      <w:marRight w:val="0"/>
      <w:marTop w:val="0"/>
      <w:marBottom w:val="0"/>
      <w:divBdr>
        <w:top w:val="none" w:sz="0" w:space="0" w:color="auto"/>
        <w:left w:val="none" w:sz="0" w:space="0" w:color="auto"/>
        <w:bottom w:val="none" w:sz="0" w:space="0" w:color="auto"/>
        <w:right w:val="none" w:sz="0" w:space="0" w:color="auto"/>
      </w:divBdr>
    </w:div>
    <w:div w:id="2050757347">
      <w:bodyDiv w:val="1"/>
      <w:marLeft w:val="0"/>
      <w:marRight w:val="0"/>
      <w:marTop w:val="0"/>
      <w:marBottom w:val="0"/>
      <w:divBdr>
        <w:top w:val="none" w:sz="0" w:space="0" w:color="auto"/>
        <w:left w:val="none" w:sz="0" w:space="0" w:color="auto"/>
        <w:bottom w:val="none" w:sz="0" w:space="0" w:color="auto"/>
        <w:right w:val="none" w:sz="0" w:space="0" w:color="auto"/>
      </w:divBdr>
    </w:div>
    <w:div w:id="2051765452">
      <w:bodyDiv w:val="1"/>
      <w:marLeft w:val="0"/>
      <w:marRight w:val="0"/>
      <w:marTop w:val="0"/>
      <w:marBottom w:val="0"/>
      <w:divBdr>
        <w:top w:val="none" w:sz="0" w:space="0" w:color="auto"/>
        <w:left w:val="none" w:sz="0" w:space="0" w:color="auto"/>
        <w:bottom w:val="none" w:sz="0" w:space="0" w:color="auto"/>
        <w:right w:val="none" w:sz="0" w:space="0" w:color="auto"/>
      </w:divBdr>
    </w:div>
    <w:div w:id="2051952188">
      <w:bodyDiv w:val="1"/>
      <w:marLeft w:val="0"/>
      <w:marRight w:val="0"/>
      <w:marTop w:val="0"/>
      <w:marBottom w:val="0"/>
      <w:divBdr>
        <w:top w:val="none" w:sz="0" w:space="0" w:color="auto"/>
        <w:left w:val="none" w:sz="0" w:space="0" w:color="auto"/>
        <w:bottom w:val="none" w:sz="0" w:space="0" w:color="auto"/>
        <w:right w:val="none" w:sz="0" w:space="0" w:color="auto"/>
      </w:divBdr>
    </w:div>
    <w:div w:id="2052147229">
      <w:bodyDiv w:val="1"/>
      <w:marLeft w:val="0"/>
      <w:marRight w:val="0"/>
      <w:marTop w:val="0"/>
      <w:marBottom w:val="0"/>
      <w:divBdr>
        <w:top w:val="none" w:sz="0" w:space="0" w:color="auto"/>
        <w:left w:val="none" w:sz="0" w:space="0" w:color="auto"/>
        <w:bottom w:val="none" w:sz="0" w:space="0" w:color="auto"/>
        <w:right w:val="none" w:sz="0" w:space="0" w:color="auto"/>
      </w:divBdr>
    </w:div>
    <w:div w:id="2053073451">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6737157">
      <w:bodyDiv w:val="1"/>
      <w:marLeft w:val="0"/>
      <w:marRight w:val="0"/>
      <w:marTop w:val="0"/>
      <w:marBottom w:val="0"/>
      <w:divBdr>
        <w:top w:val="none" w:sz="0" w:space="0" w:color="auto"/>
        <w:left w:val="none" w:sz="0" w:space="0" w:color="auto"/>
        <w:bottom w:val="none" w:sz="0" w:space="0" w:color="auto"/>
        <w:right w:val="none" w:sz="0" w:space="0" w:color="auto"/>
      </w:divBdr>
    </w:div>
    <w:div w:id="2056806380">
      <w:bodyDiv w:val="1"/>
      <w:marLeft w:val="0"/>
      <w:marRight w:val="0"/>
      <w:marTop w:val="0"/>
      <w:marBottom w:val="0"/>
      <w:divBdr>
        <w:top w:val="none" w:sz="0" w:space="0" w:color="auto"/>
        <w:left w:val="none" w:sz="0" w:space="0" w:color="auto"/>
        <w:bottom w:val="none" w:sz="0" w:space="0" w:color="auto"/>
        <w:right w:val="none" w:sz="0" w:space="0" w:color="auto"/>
      </w:divBdr>
    </w:div>
    <w:div w:id="2062627983">
      <w:bodyDiv w:val="1"/>
      <w:marLeft w:val="0"/>
      <w:marRight w:val="0"/>
      <w:marTop w:val="0"/>
      <w:marBottom w:val="0"/>
      <w:divBdr>
        <w:top w:val="none" w:sz="0" w:space="0" w:color="auto"/>
        <w:left w:val="none" w:sz="0" w:space="0" w:color="auto"/>
        <w:bottom w:val="none" w:sz="0" w:space="0" w:color="auto"/>
        <w:right w:val="none" w:sz="0" w:space="0" w:color="auto"/>
      </w:divBdr>
    </w:div>
    <w:div w:id="2064795286">
      <w:bodyDiv w:val="1"/>
      <w:marLeft w:val="0"/>
      <w:marRight w:val="0"/>
      <w:marTop w:val="0"/>
      <w:marBottom w:val="0"/>
      <w:divBdr>
        <w:top w:val="none" w:sz="0" w:space="0" w:color="auto"/>
        <w:left w:val="none" w:sz="0" w:space="0" w:color="auto"/>
        <w:bottom w:val="none" w:sz="0" w:space="0" w:color="auto"/>
        <w:right w:val="none" w:sz="0" w:space="0" w:color="auto"/>
      </w:divBdr>
    </w:div>
    <w:div w:id="2067726757">
      <w:bodyDiv w:val="1"/>
      <w:marLeft w:val="0"/>
      <w:marRight w:val="0"/>
      <w:marTop w:val="0"/>
      <w:marBottom w:val="0"/>
      <w:divBdr>
        <w:top w:val="none" w:sz="0" w:space="0" w:color="auto"/>
        <w:left w:val="none" w:sz="0" w:space="0" w:color="auto"/>
        <w:bottom w:val="none" w:sz="0" w:space="0" w:color="auto"/>
        <w:right w:val="none" w:sz="0" w:space="0" w:color="auto"/>
      </w:divBdr>
    </w:div>
    <w:div w:id="2068185431">
      <w:bodyDiv w:val="1"/>
      <w:marLeft w:val="0"/>
      <w:marRight w:val="0"/>
      <w:marTop w:val="0"/>
      <w:marBottom w:val="0"/>
      <w:divBdr>
        <w:top w:val="none" w:sz="0" w:space="0" w:color="auto"/>
        <w:left w:val="none" w:sz="0" w:space="0" w:color="auto"/>
        <w:bottom w:val="none" w:sz="0" w:space="0" w:color="auto"/>
        <w:right w:val="none" w:sz="0" w:space="0" w:color="auto"/>
      </w:divBdr>
    </w:div>
    <w:div w:id="2074236095">
      <w:bodyDiv w:val="1"/>
      <w:marLeft w:val="0"/>
      <w:marRight w:val="0"/>
      <w:marTop w:val="0"/>
      <w:marBottom w:val="0"/>
      <w:divBdr>
        <w:top w:val="none" w:sz="0" w:space="0" w:color="auto"/>
        <w:left w:val="none" w:sz="0" w:space="0" w:color="auto"/>
        <w:bottom w:val="none" w:sz="0" w:space="0" w:color="auto"/>
        <w:right w:val="none" w:sz="0" w:space="0" w:color="auto"/>
      </w:divBdr>
    </w:div>
    <w:div w:id="2074423706">
      <w:bodyDiv w:val="1"/>
      <w:marLeft w:val="0"/>
      <w:marRight w:val="0"/>
      <w:marTop w:val="0"/>
      <w:marBottom w:val="0"/>
      <w:divBdr>
        <w:top w:val="none" w:sz="0" w:space="0" w:color="auto"/>
        <w:left w:val="none" w:sz="0" w:space="0" w:color="auto"/>
        <w:bottom w:val="none" w:sz="0" w:space="0" w:color="auto"/>
        <w:right w:val="none" w:sz="0" w:space="0" w:color="auto"/>
      </w:divBdr>
    </w:div>
    <w:div w:id="2077313292">
      <w:bodyDiv w:val="1"/>
      <w:marLeft w:val="0"/>
      <w:marRight w:val="0"/>
      <w:marTop w:val="0"/>
      <w:marBottom w:val="0"/>
      <w:divBdr>
        <w:top w:val="none" w:sz="0" w:space="0" w:color="auto"/>
        <w:left w:val="none" w:sz="0" w:space="0" w:color="auto"/>
        <w:bottom w:val="none" w:sz="0" w:space="0" w:color="auto"/>
        <w:right w:val="none" w:sz="0" w:space="0" w:color="auto"/>
      </w:divBdr>
    </w:div>
    <w:div w:id="2077774036">
      <w:bodyDiv w:val="1"/>
      <w:marLeft w:val="0"/>
      <w:marRight w:val="0"/>
      <w:marTop w:val="0"/>
      <w:marBottom w:val="0"/>
      <w:divBdr>
        <w:top w:val="none" w:sz="0" w:space="0" w:color="auto"/>
        <w:left w:val="none" w:sz="0" w:space="0" w:color="auto"/>
        <w:bottom w:val="none" w:sz="0" w:space="0" w:color="auto"/>
        <w:right w:val="none" w:sz="0" w:space="0" w:color="auto"/>
      </w:divBdr>
    </w:div>
    <w:div w:id="2078549786">
      <w:bodyDiv w:val="1"/>
      <w:marLeft w:val="0"/>
      <w:marRight w:val="0"/>
      <w:marTop w:val="0"/>
      <w:marBottom w:val="0"/>
      <w:divBdr>
        <w:top w:val="none" w:sz="0" w:space="0" w:color="auto"/>
        <w:left w:val="none" w:sz="0" w:space="0" w:color="auto"/>
        <w:bottom w:val="none" w:sz="0" w:space="0" w:color="auto"/>
        <w:right w:val="none" w:sz="0" w:space="0" w:color="auto"/>
      </w:divBdr>
    </w:div>
    <w:div w:id="2079744275">
      <w:bodyDiv w:val="1"/>
      <w:marLeft w:val="0"/>
      <w:marRight w:val="0"/>
      <w:marTop w:val="0"/>
      <w:marBottom w:val="0"/>
      <w:divBdr>
        <w:top w:val="none" w:sz="0" w:space="0" w:color="auto"/>
        <w:left w:val="none" w:sz="0" w:space="0" w:color="auto"/>
        <w:bottom w:val="none" w:sz="0" w:space="0" w:color="auto"/>
        <w:right w:val="none" w:sz="0" w:space="0" w:color="auto"/>
      </w:divBdr>
    </w:div>
    <w:div w:id="2080126976">
      <w:bodyDiv w:val="1"/>
      <w:marLeft w:val="0"/>
      <w:marRight w:val="0"/>
      <w:marTop w:val="0"/>
      <w:marBottom w:val="0"/>
      <w:divBdr>
        <w:top w:val="none" w:sz="0" w:space="0" w:color="auto"/>
        <w:left w:val="none" w:sz="0" w:space="0" w:color="auto"/>
        <w:bottom w:val="none" w:sz="0" w:space="0" w:color="auto"/>
        <w:right w:val="none" w:sz="0" w:space="0" w:color="auto"/>
      </w:divBdr>
    </w:div>
    <w:div w:id="2081319883">
      <w:bodyDiv w:val="1"/>
      <w:marLeft w:val="0"/>
      <w:marRight w:val="0"/>
      <w:marTop w:val="0"/>
      <w:marBottom w:val="0"/>
      <w:divBdr>
        <w:top w:val="none" w:sz="0" w:space="0" w:color="auto"/>
        <w:left w:val="none" w:sz="0" w:space="0" w:color="auto"/>
        <w:bottom w:val="none" w:sz="0" w:space="0" w:color="auto"/>
        <w:right w:val="none" w:sz="0" w:space="0" w:color="auto"/>
      </w:divBdr>
    </w:div>
    <w:div w:id="2085368655">
      <w:bodyDiv w:val="1"/>
      <w:marLeft w:val="0"/>
      <w:marRight w:val="0"/>
      <w:marTop w:val="0"/>
      <w:marBottom w:val="0"/>
      <w:divBdr>
        <w:top w:val="none" w:sz="0" w:space="0" w:color="auto"/>
        <w:left w:val="none" w:sz="0" w:space="0" w:color="auto"/>
        <w:bottom w:val="none" w:sz="0" w:space="0" w:color="auto"/>
        <w:right w:val="none" w:sz="0" w:space="0" w:color="auto"/>
      </w:divBdr>
    </w:div>
    <w:div w:id="2087532369">
      <w:bodyDiv w:val="1"/>
      <w:marLeft w:val="0"/>
      <w:marRight w:val="0"/>
      <w:marTop w:val="0"/>
      <w:marBottom w:val="0"/>
      <w:divBdr>
        <w:top w:val="none" w:sz="0" w:space="0" w:color="auto"/>
        <w:left w:val="none" w:sz="0" w:space="0" w:color="auto"/>
        <w:bottom w:val="none" w:sz="0" w:space="0" w:color="auto"/>
        <w:right w:val="none" w:sz="0" w:space="0" w:color="auto"/>
      </w:divBdr>
    </w:div>
    <w:div w:id="2090807191">
      <w:bodyDiv w:val="1"/>
      <w:marLeft w:val="0"/>
      <w:marRight w:val="0"/>
      <w:marTop w:val="0"/>
      <w:marBottom w:val="0"/>
      <w:divBdr>
        <w:top w:val="none" w:sz="0" w:space="0" w:color="auto"/>
        <w:left w:val="none" w:sz="0" w:space="0" w:color="auto"/>
        <w:bottom w:val="none" w:sz="0" w:space="0" w:color="auto"/>
        <w:right w:val="none" w:sz="0" w:space="0" w:color="auto"/>
      </w:divBdr>
    </w:div>
    <w:div w:id="2091077778">
      <w:bodyDiv w:val="1"/>
      <w:marLeft w:val="0"/>
      <w:marRight w:val="0"/>
      <w:marTop w:val="0"/>
      <w:marBottom w:val="0"/>
      <w:divBdr>
        <w:top w:val="none" w:sz="0" w:space="0" w:color="auto"/>
        <w:left w:val="none" w:sz="0" w:space="0" w:color="auto"/>
        <w:bottom w:val="none" w:sz="0" w:space="0" w:color="auto"/>
        <w:right w:val="none" w:sz="0" w:space="0" w:color="auto"/>
      </w:divBdr>
    </w:div>
    <w:div w:id="2091153972">
      <w:bodyDiv w:val="1"/>
      <w:marLeft w:val="0"/>
      <w:marRight w:val="0"/>
      <w:marTop w:val="0"/>
      <w:marBottom w:val="0"/>
      <w:divBdr>
        <w:top w:val="none" w:sz="0" w:space="0" w:color="auto"/>
        <w:left w:val="none" w:sz="0" w:space="0" w:color="auto"/>
        <w:bottom w:val="none" w:sz="0" w:space="0" w:color="auto"/>
        <w:right w:val="none" w:sz="0" w:space="0" w:color="auto"/>
      </w:divBdr>
    </w:div>
    <w:div w:id="2091539083">
      <w:bodyDiv w:val="1"/>
      <w:marLeft w:val="0"/>
      <w:marRight w:val="0"/>
      <w:marTop w:val="0"/>
      <w:marBottom w:val="0"/>
      <w:divBdr>
        <w:top w:val="none" w:sz="0" w:space="0" w:color="auto"/>
        <w:left w:val="none" w:sz="0" w:space="0" w:color="auto"/>
        <w:bottom w:val="none" w:sz="0" w:space="0" w:color="auto"/>
        <w:right w:val="none" w:sz="0" w:space="0" w:color="auto"/>
      </w:divBdr>
    </w:div>
    <w:div w:id="2096896977">
      <w:bodyDiv w:val="1"/>
      <w:marLeft w:val="0"/>
      <w:marRight w:val="0"/>
      <w:marTop w:val="0"/>
      <w:marBottom w:val="0"/>
      <w:divBdr>
        <w:top w:val="none" w:sz="0" w:space="0" w:color="auto"/>
        <w:left w:val="none" w:sz="0" w:space="0" w:color="auto"/>
        <w:bottom w:val="none" w:sz="0" w:space="0" w:color="auto"/>
        <w:right w:val="none" w:sz="0" w:space="0" w:color="auto"/>
      </w:divBdr>
    </w:div>
    <w:div w:id="2099714671">
      <w:bodyDiv w:val="1"/>
      <w:marLeft w:val="0"/>
      <w:marRight w:val="0"/>
      <w:marTop w:val="0"/>
      <w:marBottom w:val="0"/>
      <w:divBdr>
        <w:top w:val="none" w:sz="0" w:space="0" w:color="auto"/>
        <w:left w:val="none" w:sz="0" w:space="0" w:color="auto"/>
        <w:bottom w:val="none" w:sz="0" w:space="0" w:color="auto"/>
        <w:right w:val="none" w:sz="0" w:space="0" w:color="auto"/>
      </w:divBdr>
    </w:div>
    <w:div w:id="2100102765">
      <w:bodyDiv w:val="1"/>
      <w:marLeft w:val="0"/>
      <w:marRight w:val="0"/>
      <w:marTop w:val="0"/>
      <w:marBottom w:val="0"/>
      <w:divBdr>
        <w:top w:val="none" w:sz="0" w:space="0" w:color="auto"/>
        <w:left w:val="none" w:sz="0" w:space="0" w:color="auto"/>
        <w:bottom w:val="none" w:sz="0" w:space="0" w:color="auto"/>
        <w:right w:val="none" w:sz="0" w:space="0" w:color="auto"/>
      </w:divBdr>
    </w:div>
    <w:div w:id="2102484504">
      <w:bodyDiv w:val="1"/>
      <w:marLeft w:val="0"/>
      <w:marRight w:val="0"/>
      <w:marTop w:val="0"/>
      <w:marBottom w:val="0"/>
      <w:divBdr>
        <w:top w:val="none" w:sz="0" w:space="0" w:color="auto"/>
        <w:left w:val="none" w:sz="0" w:space="0" w:color="auto"/>
        <w:bottom w:val="none" w:sz="0" w:space="0" w:color="auto"/>
        <w:right w:val="none" w:sz="0" w:space="0" w:color="auto"/>
      </w:divBdr>
    </w:div>
    <w:div w:id="2103721810">
      <w:bodyDiv w:val="1"/>
      <w:marLeft w:val="0"/>
      <w:marRight w:val="0"/>
      <w:marTop w:val="0"/>
      <w:marBottom w:val="0"/>
      <w:divBdr>
        <w:top w:val="none" w:sz="0" w:space="0" w:color="auto"/>
        <w:left w:val="none" w:sz="0" w:space="0" w:color="auto"/>
        <w:bottom w:val="none" w:sz="0" w:space="0" w:color="auto"/>
        <w:right w:val="none" w:sz="0" w:space="0" w:color="auto"/>
      </w:divBdr>
    </w:div>
    <w:div w:id="2104449267">
      <w:bodyDiv w:val="1"/>
      <w:marLeft w:val="0"/>
      <w:marRight w:val="0"/>
      <w:marTop w:val="0"/>
      <w:marBottom w:val="0"/>
      <w:divBdr>
        <w:top w:val="none" w:sz="0" w:space="0" w:color="auto"/>
        <w:left w:val="none" w:sz="0" w:space="0" w:color="auto"/>
        <w:bottom w:val="none" w:sz="0" w:space="0" w:color="auto"/>
        <w:right w:val="none" w:sz="0" w:space="0" w:color="auto"/>
      </w:divBdr>
    </w:div>
    <w:div w:id="2105219730">
      <w:bodyDiv w:val="1"/>
      <w:marLeft w:val="0"/>
      <w:marRight w:val="0"/>
      <w:marTop w:val="0"/>
      <w:marBottom w:val="0"/>
      <w:divBdr>
        <w:top w:val="none" w:sz="0" w:space="0" w:color="auto"/>
        <w:left w:val="none" w:sz="0" w:space="0" w:color="auto"/>
        <w:bottom w:val="none" w:sz="0" w:space="0" w:color="auto"/>
        <w:right w:val="none" w:sz="0" w:space="0" w:color="auto"/>
      </w:divBdr>
    </w:div>
    <w:div w:id="2106807256">
      <w:bodyDiv w:val="1"/>
      <w:marLeft w:val="0"/>
      <w:marRight w:val="0"/>
      <w:marTop w:val="0"/>
      <w:marBottom w:val="0"/>
      <w:divBdr>
        <w:top w:val="none" w:sz="0" w:space="0" w:color="auto"/>
        <w:left w:val="none" w:sz="0" w:space="0" w:color="auto"/>
        <w:bottom w:val="none" w:sz="0" w:space="0" w:color="auto"/>
        <w:right w:val="none" w:sz="0" w:space="0" w:color="auto"/>
      </w:divBdr>
    </w:div>
    <w:div w:id="2108690538">
      <w:bodyDiv w:val="1"/>
      <w:marLeft w:val="0"/>
      <w:marRight w:val="0"/>
      <w:marTop w:val="0"/>
      <w:marBottom w:val="0"/>
      <w:divBdr>
        <w:top w:val="none" w:sz="0" w:space="0" w:color="auto"/>
        <w:left w:val="none" w:sz="0" w:space="0" w:color="auto"/>
        <w:bottom w:val="none" w:sz="0" w:space="0" w:color="auto"/>
        <w:right w:val="none" w:sz="0" w:space="0" w:color="auto"/>
      </w:divBdr>
    </w:div>
    <w:div w:id="2114469686">
      <w:bodyDiv w:val="1"/>
      <w:marLeft w:val="0"/>
      <w:marRight w:val="0"/>
      <w:marTop w:val="0"/>
      <w:marBottom w:val="0"/>
      <w:divBdr>
        <w:top w:val="none" w:sz="0" w:space="0" w:color="auto"/>
        <w:left w:val="none" w:sz="0" w:space="0" w:color="auto"/>
        <w:bottom w:val="none" w:sz="0" w:space="0" w:color="auto"/>
        <w:right w:val="none" w:sz="0" w:space="0" w:color="auto"/>
      </w:divBdr>
    </w:div>
    <w:div w:id="2117796233">
      <w:bodyDiv w:val="1"/>
      <w:marLeft w:val="0"/>
      <w:marRight w:val="0"/>
      <w:marTop w:val="0"/>
      <w:marBottom w:val="0"/>
      <w:divBdr>
        <w:top w:val="none" w:sz="0" w:space="0" w:color="auto"/>
        <w:left w:val="none" w:sz="0" w:space="0" w:color="auto"/>
        <w:bottom w:val="none" w:sz="0" w:space="0" w:color="auto"/>
        <w:right w:val="none" w:sz="0" w:space="0" w:color="auto"/>
      </w:divBdr>
    </w:div>
    <w:div w:id="2118407102">
      <w:bodyDiv w:val="1"/>
      <w:marLeft w:val="0"/>
      <w:marRight w:val="0"/>
      <w:marTop w:val="0"/>
      <w:marBottom w:val="0"/>
      <w:divBdr>
        <w:top w:val="none" w:sz="0" w:space="0" w:color="auto"/>
        <w:left w:val="none" w:sz="0" w:space="0" w:color="auto"/>
        <w:bottom w:val="none" w:sz="0" w:space="0" w:color="auto"/>
        <w:right w:val="none" w:sz="0" w:space="0" w:color="auto"/>
      </w:divBdr>
    </w:div>
    <w:div w:id="2118670628">
      <w:bodyDiv w:val="1"/>
      <w:marLeft w:val="0"/>
      <w:marRight w:val="0"/>
      <w:marTop w:val="0"/>
      <w:marBottom w:val="0"/>
      <w:divBdr>
        <w:top w:val="none" w:sz="0" w:space="0" w:color="auto"/>
        <w:left w:val="none" w:sz="0" w:space="0" w:color="auto"/>
        <w:bottom w:val="none" w:sz="0" w:space="0" w:color="auto"/>
        <w:right w:val="none" w:sz="0" w:space="0" w:color="auto"/>
      </w:divBdr>
    </w:div>
    <w:div w:id="2118793441">
      <w:bodyDiv w:val="1"/>
      <w:marLeft w:val="0"/>
      <w:marRight w:val="0"/>
      <w:marTop w:val="0"/>
      <w:marBottom w:val="0"/>
      <w:divBdr>
        <w:top w:val="none" w:sz="0" w:space="0" w:color="auto"/>
        <w:left w:val="none" w:sz="0" w:space="0" w:color="auto"/>
        <w:bottom w:val="none" w:sz="0" w:space="0" w:color="auto"/>
        <w:right w:val="none" w:sz="0" w:space="0" w:color="auto"/>
      </w:divBdr>
    </w:div>
    <w:div w:id="2119449705">
      <w:bodyDiv w:val="1"/>
      <w:marLeft w:val="0"/>
      <w:marRight w:val="0"/>
      <w:marTop w:val="0"/>
      <w:marBottom w:val="0"/>
      <w:divBdr>
        <w:top w:val="none" w:sz="0" w:space="0" w:color="auto"/>
        <w:left w:val="none" w:sz="0" w:space="0" w:color="auto"/>
        <w:bottom w:val="none" w:sz="0" w:space="0" w:color="auto"/>
        <w:right w:val="none" w:sz="0" w:space="0" w:color="auto"/>
      </w:divBdr>
    </w:div>
    <w:div w:id="2121143439">
      <w:bodyDiv w:val="1"/>
      <w:marLeft w:val="0"/>
      <w:marRight w:val="0"/>
      <w:marTop w:val="0"/>
      <w:marBottom w:val="0"/>
      <w:divBdr>
        <w:top w:val="none" w:sz="0" w:space="0" w:color="auto"/>
        <w:left w:val="none" w:sz="0" w:space="0" w:color="auto"/>
        <w:bottom w:val="none" w:sz="0" w:space="0" w:color="auto"/>
        <w:right w:val="none" w:sz="0" w:space="0" w:color="auto"/>
      </w:divBdr>
    </w:div>
    <w:div w:id="2121223268">
      <w:bodyDiv w:val="1"/>
      <w:marLeft w:val="0"/>
      <w:marRight w:val="0"/>
      <w:marTop w:val="0"/>
      <w:marBottom w:val="0"/>
      <w:divBdr>
        <w:top w:val="none" w:sz="0" w:space="0" w:color="auto"/>
        <w:left w:val="none" w:sz="0" w:space="0" w:color="auto"/>
        <w:bottom w:val="none" w:sz="0" w:space="0" w:color="auto"/>
        <w:right w:val="none" w:sz="0" w:space="0" w:color="auto"/>
      </w:divBdr>
    </w:div>
    <w:div w:id="2123723828">
      <w:bodyDiv w:val="1"/>
      <w:marLeft w:val="0"/>
      <w:marRight w:val="0"/>
      <w:marTop w:val="0"/>
      <w:marBottom w:val="0"/>
      <w:divBdr>
        <w:top w:val="none" w:sz="0" w:space="0" w:color="auto"/>
        <w:left w:val="none" w:sz="0" w:space="0" w:color="auto"/>
        <w:bottom w:val="none" w:sz="0" w:space="0" w:color="auto"/>
        <w:right w:val="none" w:sz="0" w:space="0" w:color="auto"/>
      </w:divBdr>
    </w:div>
    <w:div w:id="2126725174">
      <w:bodyDiv w:val="1"/>
      <w:marLeft w:val="0"/>
      <w:marRight w:val="0"/>
      <w:marTop w:val="0"/>
      <w:marBottom w:val="0"/>
      <w:divBdr>
        <w:top w:val="none" w:sz="0" w:space="0" w:color="auto"/>
        <w:left w:val="none" w:sz="0" w:space="0" w:color="auto"/>
        <w:bottom w:val="none" w:sz="0" w:space="0" w:color="auto"/>
        <w:right w:val="none" w:sz="0" w:space="0" w:color="auto"/>
      </w:divBdr>
    </w:div>
    <w:div w:id="2126927199">
      <w:bodyDiv w:val="1"/>
      <w:marLeft w:val="0"/>
      <w:marRight w:val="0"/>
      <w:marTop w:val="0"/>
      <w:marBottom w:val="0"/>
      <w:divBdr>
        <w:top w:val="none" w:sz="0" w:space="0" w:color="auto"/>
        <w:left w:val="none" w:sz="0" w:space="0" w:color="auto"/>
        <w:bottom w:val="none" w:sz="0" w:space="0" w:color="auto"/>
        <w:right w:val="none" w:sz="0" w:space="0" w:color="auto"/>
      </w:divBdr>
    </w:div>
    <w:div w:id="2128888916">
      <w:bodyDiv w:val="1"/>
      <w:marLeft w:val="0"/>
      <w:marRight w:val="0"/>
      <w:marTop w:val="0"/>
      <w:marBottom w:val="0"/>
      <w:divBdr>
        <w:top w:val="none" w:sz="0" w:space="0" w:color="auto"/>
        <w:left w:val="none" w:sz="0" w:space="0" w:color="auto"/>
        <w:bottom w:val="none" w:sz="0" w:space="0" w:color="auto"/>
        <w:right w:val="none" w:sz="0" w:space="0" w:color="auto"/>
      </w:divBdr>
    </w:div>
    <w:div w:id="2131628804">
      <w:bodyDiv w:val="1"/>
      <w:marLeft w:val="0"/>
      <w:marRight w:val="0"/>
      <w:marTop w:val="0"/>
      <w:marBottom w:val="0"/>
      <w:divBdr>
        <w:top w:val="none" w:sz="0" w:space="0" w:color="auto"/>
        <w:left w:val="none" w:sz="0" w:space="0" w:color="auto"/>
        <w:bottom w:val="none" w:sz="0" w:space="0" w:color="auto"/>
        <w:right w:val="none" w:sz="0" w:space="0" w:color="auto"/>
      </w:divBdr>
    </w:div>
    <w:div w:id="2133012057">
      <w:bodyDiv w:val="1"/>
      <w:marLeft w:val="0"/>
      <w:marRight w:val="0"/>
      <w:marTop w:val="0"/>
      <w:marBottom w:val="0"/>
      <w:divBdr>
        <w:top w:val="none" w:sz="0" w:space="0" w:color="auto"/>
        <w:left w:val="none" w:sz="0" w:space="0" w:color="auto"/>
        <w:bottom w:val="none" w:sz="0" w:space="0" w:color="auto"/>
        <w:right w:val="none" w:sz="0" w:space="0" w:color="auto"/>
      </w:divBdr>
    </w:div>
    <w:div w:id="2134205846">
      <w:bodyDiv w:val="1"/>
      <w:marLeft w:val="0"/>
      <w:marRight w:val="0"/>
      <w:marTop w:val="0"/>
      <w:marBottom w:val="0"/>
      <w:divBdr>
        <w:top w:val="none" w:sz="0" w:space="0" w:color="auto"/>
        <w:left w:val="none" w:sz="0" w:space="0" w:color="auto"/>
        <w:bottom w:val="none" w:sz="0" w:space="0" w:color="auto"/>
        <w:right w:val="none" w:sz="0" w:space="0" w:color="auto"/>
      </w:divBdr>
    </w:div>
    <w:div w:id="2134903087">
      <w:bodyDiv w:val="1"/>
      <w:marLeft w:val="0"/>
      <w:marRight w:val="0"/>
      <w:marTop w:val="0"/>
      <w:marBottom w:val="0"/>
      <w:divBdr>
        <w:top w:val="none" w:sz="0" w:space="0" w:color="auto"/>
        <w:left w:val="none" w:sz="0" w:space="0" w:color="auto"/>
        <w:bottom w:val="none" w:sz="0" w:space="0" w:color="auto"/>
        <w:right w:val="none" w:sz="0" w:space="0" w:color="auto"/>
      </w:divBdr>
    </w:div>
    <w:div w:id="2135172680">
      <w:bodyDiv w:val="1"/>
      <w:marLeft w:val="0"/>
      <w:marRight w:val="0"/>
      <w:marTop w:val="0"/>
      <w:marBottom w:val="0"/>
      <w:divBdr>
        <w:top w:val="none" w:sz="0" w:space="0" w:color="auto"/>
        <w:left w:val="none" w:sz="0" w:space="0" w:color="auto"/>
        <w:bottom w:val="none" w:sz="0" w:space="0" w:color="auto"/>
        <w:right w:val="none" w:sz="0" w:space="0" w:color="auto"/>
      </w:divBdr>
    </w:div>
    <w:div w:id="2135951173">
      <w:bodyDiv w:val="1"/>
      <w:marLeft w:val="0"/>
      <w:marRight w:val="0"/>
      <w:marTop w:val="0"/>
      <w:marBottom w:val="0"/>
      <w:divBdr>
        <w:top w:val="none" w:sz="0" w:space="0" w:color="auto"/>
        <w:left w:val="none" w:sz="0" w:space="0" w:color="auto"/>
        <w:bottom w:val="none" w:sz="0" w:space="0" w:color="auto"/>
        <w:right w:val="none" w:sz="0" w:space="0" w:color="auto"/>
      </w:divBdr>
    </w:div>
    <w:div w:id="2136215090">
      <w:bodyDiv w:val="1"/>
      <w:marLeft w:val="0"/>
      <w:marRight w:val="0"/>
      <w:marTop w:val="0"/>
      <w:marBottom w:val="0"/>
      <w:divBdr>
        <w:top w:val="none" w:sz="0" w:space="0" w:color="auto"/>
        <w:left w:val="none" w:sz="0" w:space="0" w:color="auto"/>
        <w:bottom w:val="none" w:sz="0" w:space="0" w:color="auto"/>
        <w:right w:val="none" w:sz="0" w:space="0" w:color="auto"/>
      </w:divBdr>
    </w:div>
    <w:div w:id="2136823278">
      <w:bodyDiv w:val="1"/>
      <w:marLeft w:val="0"/>
      <w:marRight w:val="0"/>
      <w:marTop w:val="0"/>
      <w:marBottom w:val="0"/>
      <w:divBdr>
        <w:top w:val="none" w:sz="0" w:space="0" w:color="auto"/>
        <w:left w:val="none" w:sz="0" w:space="0" w:color="auto"/>
        <w:bottom w:val="none" w:sz="0" w:space="0" w:color="auto"/>
        <w:right w:val="none" w:sz="0" w:space="0" w:color="auto"/>
      </w:divBdr>
    </w:div>
    <w:div w:id="2138062542">
      <w:bodyDiv w:val="1"/>
      <w:marLeft w:val="0"/>
      <w:marRight w:val="0"/>
      <w:marTop w:val="0"/>
      <w:marBottom w:val="0"/>
      <w:divBdr>
        <w:top w:val="none" w:sz="0" w:space="0" w:color="auto"/>
        <w:left w:val="none" w:sz="0" w:space="0" w:color="auto"/>
        <w:bottom w:val="none" w:sz="0" w:space="0" w:color="auto"/>
        <w:right w:val="none" w:sz="0" w:space="0" w:color="auto"/>
      </w:divBdr>
    </w:div>
    <w:div w:id="2138446781">
      <w:bodyDiv w:val="1"/>
      <w:marLeft w:val="0"/>
      <w:marRight w:val="0"/>
      <w:marTop w:val="0"/>
      <w:marBottom w:val="0"/>
      <w:divBdr>
        <w:top w:val="none" w:sz="0" w:space="0" w:color="auto"/>
        <w:left w:val="none" w:sz="0" w:space="0" w:color="auto"/>
        <w:bottom w:val="none" w:sz="0" w:space="0" w:color="auto"/>
        <w:right w:val="none" w:sz="0" w:space="0" w:color="auto"/>
      </w:divBdr>
    </w:div>
    <w:div w:id="2139643138">
      <w:bodyDiv w:val="1"/>
      <w:marLeft w:val="0"/>
      <w:marRight w:val="0"/>
      <w:marTop w:val="0"/>
      <w:marBottom w:val="0"/>
      <w:divBdr>
        <w:top w:val="none" w:sz="0" w:space="0" w:color="auto"/>
        <w:left w:val="none" w:sz="0" w:space="0" w:color="auto"/>
        <w:bottom w:val="none" w:sz="0" w:space="0" w:color="auto"/>
        <w:right w:val="none" w:sz="0" w:space="0" w:color="auto"/>
      </w:divBdr>
    </w:div>
    <w:div w:id="2140874112">
      <w:bodyDiv w:val="1"/>
      <w:marLeft w:val="0"/>
      <w:marRight w:val="0"/>
      <w:marTop w:val="0"/>
      <w:marBottom w:val="0"/>
      <w:divBdr>
        <w:top w:val="none" w:sz="0" w:space="0" w:color="auto"/>
        <w:left w:val="none" w:sz="0" w:space="0" w:color="auto"/>
        <w:bottom w:val="none" w:sz="0" w:space="0" w:color="auto"/>
        <w:right w:val="none" w:sz="0" w:space="0" w:color="auto"/>
      </w:divBdr>
    </w:div>
    <w:div w:id="2141458700">
      <w:bodyDiv w:val="1"/>
      <w:marLeft w:val="0"/>
      <w:marRight w:val="0"/>
      <w:marTop w:val="0"/>
      <w:marBottom w:val="0"/>
      <w:divBdr>
        <w:top w:val="none" w:sz="0" w:space="0" w:color="auto"/>
        <w:left w:val="none" w:sz="0" w:space="0" w:color="auto"/>
        <w:bottom w:val="none" w:sz="0" w:space="0" w:color="auto"/>
        <w:right w:val="none" w:sz="0" w:space="0" w:color="auto"/>
      </w:divBdr>
    </w:div>
    <w:div w:id="2142571695">
      <w:bodyDiv w:val="1"/>
      <w:marLeft w:val="0"/>
      <w:marRight w:val="0"/>
      <w:marTop w:val="0"/>
      <w:marBottom w:val="0"/>
      <w:divBdr>
        <w:top w:val="none" w:sz="0" w:space="0" w:color="auto"/>
        <w:left w:val="none" w:sz="0" w:space="0" w:color="auto"/>
        <w:bottom w:val="none" w:sz="0" w:space="0" w:color="auto"/>
        <w:right w:val="none" w:sz="0" w:space="0" w:color="auto"/>
      </w:divBdr>
    </w:div>
    <w:div w:id="21431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mfin.gov.hr/istaknute-teme/koncesije-i-drzavne-potpore/drzavne-potpore/drzavne-potpore-gospodarstvu-nakon-ruske-agresije-na-ukrajinu/3268" TargetMode="External"/><Relationship Id="rId3" Type="http://schemas.openxmlformats.org/officeDocument/2006/relationships/hyperlink" Target="https://competition-policy.ec.europa.eu/state-aid/legislation_en" TargetMode="External"/><Relationship Id="rId7" Type="http://schemas.openxmlformats.org/officeDocument/2006/relationships/hyperlink" Target="https://ec.europa.eu/commission/presscorner/detail/en/ip_23_1563" TargetMode="External"/><Relationship Id="rId2" Type="http://schemas.openxmlformats.org/officeDocument/2006/relationships/hyperlink" Target="https://mfin.gov.hr/istaknute-teme/koncesije-i-drzavne-potpore/drzavne-potpore/pravila-o-drzavnim-potporama/461" TargetMode="External"/><Relationship Id="rId1" Type="http://schemas.openxmlformats.org/officeDocument/2006/relationships/hyperlink" Target="https://mfin.gov.hr/istaknute-teme/koncesije-i-drzavne-potpore/drzavne-potpore/objava-podataka-o-dodijeljenim-drzavnim-potporama-i-potporama-male-vrijednosti/3555" TargetMode="External"/><Relationship Id="rId6" Type="http://schemas.openxmlformats.org/officeDocument/2006/relationships/hyperlink" Target="https://mfin.gov.hr/istaknute-teme/koncesije-i-drzavne-potpore/drzavne-potpore/drzavne-potpore-za-podrsku-gospodarstvu-tijekom-pandemije-covid-a-19/3044" TargetMode="External"/><Relationship Id="rId5" Type="http://schemas.openxmlformats.org/officeDocument/2006/relationships/hyperlink" Target="https://competition-policy.ec.europa.eu/state-aid/coronavirus_en" TargetMode="External"/><Relationship Id="rId4" Type="http://schemas.openxmlformats.org/officeDocument/2006/relationships/hyperlink" Target="https://competition-policy.ec.europa.eu/state-aid/scoreboard_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202025-11-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x%201%20POSAO%202025\2025-11-06\2024%20Gl%20grafovi%20i%20slik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202025-11-0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202025-11-0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mf21\Home\rsneler\My%20Documents\ROMANA%202025-10-15\01%20GODI&#352;NJA%20IZVJE&#352;&#262;A%202025-10-02\2024%20MF%20GI%20o%20DP%202024%20421-01-24-01-1\2024%20Gl%20grafovi%20i%20slik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1"/>
    </c:view3D>
    <c:floor>
      <c:thickness val="0"/>
    </c:floor>
    <c:sideWall>
      <c:thickness val="0"/>
    </c:sideWall>
    <c:backWall>
      <c:thickness val="0"/>
    </c:backWall>
    <c:plotArea>
      <c:layout>
        <c:manualLayout>
          <c:layoutTarget val="inner"/>
          <c:xMode val="edge"/>
          <c:yMode val="edge"/>
          <c:x val="5.9630410224417882E-2"/>
          <c:y val="6.5338023223287564E-2"/>
          <c:w val="0.90305435390766797"/>
          <c:h val="0.61802274715660555"/>
        </c:manualLayout>
      </c:layout>
      <c:bar3DChart>
        <c:barDir val="col"/>
        <c:grouping val="percentStacked"/>
        <c:varyColors val="0"/>
        <c:ser>
          <c:idx val="0"/>
          <c:order val="0"/>
          <c:tx>
            <c:strRef>
              <c:f>'[2024 Gl grafovi i slike 2025-11-07.xlsx]sl poljop - indust i usluge'!$C$15</c:f>
              <c:strCache>
                <c:ptCount val="1"/>
                <c:pt idx="0">
                  <c:v>Poljoprivreda i ribarstvo</c:v>
                </c:pt>
              </c:strCache>
            </c:strRef>
          </c:tx>
          <c:spPr>
            <a:solidFill>
              <a:schemeClr val="accent1">
                <a:lumMod val="60000"/>
                <a:lumOff val="40000"/>
              </a:schemeClr>
            </a:solidFill>
            <a:ln>
              <a:solidFill>
                <a:srgbClr val="4F81BD"/>
              </a:solidFill>
            </a:ln>
          </c:spPr>
          <c:invertIfNegative val="0"/>
          <c:dLbls>
            <c:dLbl>
              <c:idx val="0"/>
              <c:layout>
                <c:manualLayout>
                  <c:x val="0.11683320522674866"/>
                  <c:y val="-3.6231884057971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6D-40BD-B573-B032410B0695}"/>
                </c:ext>
              </c:extLst>
            </c:dLbl>
            <c:dLbl>
              <c:idx val="1"/>
              <c:layout>
                <c:manualLayout>
                  <c:x val="0.11683320522674866"/>
                  <c:y val="-2.8985507246376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6D-40BD-B573-B032410B0695}"/>
                </c:ext>
              </c:extLst>
            </c:dLbl>
            <c:dLbl>
              <c:idx val="2"/>
              <c:layout>
                <c:manualLayout>
                  <c:x val="0.11990776325903163"/>
                  <c:y val="-2.1739130434782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6D-40BD-B573-B032410B0695}"/>
                </c:ext>
              </c:extLst>
            </c:dLbl>
            <c:spPr>
              <a:noFill/>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 Gl grafovi i slike 2025-11-07.xlsx]sl poljop - indust i usluge'!$W$14:$Y$14</c:f>
              <c:strCache>
                <c:ptCount val="3"/>
                <c:pt idx="0">
                  <c:v>2022.</c:v>
                </c:pt>
                <c:pt idx="1">
                  <c:v>2023.</c:v>
                </c:pt>
                <c:pt idx="2">
                  <c:v>2024.</c:v>
                </c:pt>
              </c:strCache>
            </c:strRef>
          </c:cat>
          <c:val>
            <c:numRef>
              <c:f>'[2024 Gl grafovi i slike 2025-11-07.xlsx]sl poljop - indust i usluge'!$W$21:$Y$21</c:f>
              <c:numCache>
                <c:formatCode>#,##0.00</c:formatCode>
                <c:ptCount val="3"/>
                <c:pt idx="0">
                  <c:v>4.3950229457107826</c:v>
                </c:pt>
                <c:pt idx="1">
                  <c:v>5.468524747717443</c:v>
                </c:pt>
                <c:pt idx="2">
                  <c:v>8.8451612039280256</c:v>
                </c:pt>
              </c:numCache>
            </c:numRef>
          </c:val>
          <c:extLst>
            <c:ext xmlns:c16="http://schemas.microsoft.com/office/drawing/2014/chart" uri="{C3380CC4-5D6E-409C-BE32-E72D297353CC}">
              <c16:uniqueId val="{00000000-FA6D-40BD-B573-B032410B0695}"/>
            </c:ext>
          </c:extLst>
        </c:ser>
        <c:ser>
          <c:idx val="1"/>
          <c:order val="1"/>
          <c:tx>
            <c:strRef>
              <c:f>'[2024 Gl grafovi i slike 2025-11-07.xlsx]sl poljop - indust i usluge'!$C$16</c:f>
              <c:strCache>
                <c:ptCount val="1"/>
                <c:pt idx="0">
                  <c:v>Industrija i usluge</c:v>
                </c:pt>
              </c:strCache>
            </c:strRef>
          </c:tx>
          <c:spPr>
            <a:solidFill>
              <a:srgbClr val="FFFF99"/>
            </a:solidFill>
            <a:ln>
              <a:solidFill>
                <a:srgbClr val="4F81BD"/>
              </a:solidFill>
            </a:ln>
          </c:spPr>
          <c:invertIfNegative val="0"/>
          <c:dLbls>
            <c:dLbl>
              <c:idx val="1"/>
              <c:layout>
                <c:manualLayout>
                  <c:x val="0"/>
                  <c:y val="2.5455008272877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6D-40BD-B573-B032410B0695}"/>
                </c:ext>
              </c:extLst>
            </c:dLbl>
            <c:spPr>
              <a:noFill/>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 Gl grafovi i slike 2025-11-07.xlsx]sl poljop - indust i usluge'!$W$14:$Y$14</c:f>
              <c:strCache>
                <c:ptCount val="3"/>
                <c:pt idx="0">
                  <c:v>2022.</c:v>
                </c:pt>
                <c:pt idx="1">
                  <c:v>2023.</c:v>
                </c:pt>
                <c:pt idx="2">
                  <c:v>2024.</c:v>
                </c:pt>
              </c:strCache>
            </c:strRef>
          </c:cat>
          <c:val>
            <c:numRef>
              <c:f>'[2024 Gl grafovi i slike 2025-11-07.xlsx]sl poljop - indust i usluge'!$W$22:$Y$22</c:f>
              <c:numCache>
                <c:formatCode>#,##0.00</c:formatCode>
                <c:ptCount val="3"/>
                <c:pt idx="0">
                  <c:v>95.604977054289222</c:v>
                </c:pt>
                <c:pt idx="1">
                  <c:v>94.531475252282561</c:v>
                </c:pt>
                <c:pt idx="2">
                  <c:v>91.154838796071971</c:v>
                </c:pt>
              </c:numCache>
            </c:numRef>
          </c:val>
          <c:extLst>
            <c:ext xmlns:c16="http://schemas.microsoft.com/office/drawing/2014/chart" uri="{C3380CC4-5D6E-409C-BE32-E72D297353CC}">
              <c16:uniqueId val="{00000002-FA6D-40BD-B573-B032410B0695}"/>
            </c:ext>
          </c:extLst>
        </c:ser>
        <c:dLbls>
          <c:showLegendKey val="0"/>
          <c:showVal val="0"/>
          <c:showCatName val="0"/>
          <c:showSerName val="0"/>
          <c:showPercent val="0"/>
          <c:showBubbleSize val="0"/>
        </c:dLbls>
        <c:gapWidth val="76"/>
        <c:gapDepth val="80"/>
        <c:shape val="box"/>
        <c:axId val="109322240"/>
        <c:axId val="109323776"/>
        <c:axId val="0"/>
      </c:bar3DChart>
      <c:catAx>
        <c:axId val="109322240"/>
        <c:scaling>
          <c:orientation val="minMax"/>
        </c:scaling>
        <c:delete val="0"/>
        <c:axPos val="b"/>
        <c:numFmt formatCode="General" sourceLinked="1"/>
        <c:majorTickMark val="in"/>
        <c:minorTickMark val="in"/>
        <c:tickLblPos val="nextTo"/>
        <c:txPr>
          <a:bodyPr rot="0" vert="horz"/>
          <a:lstStyle/>
          <a:p>
            <a:pPr>
              <a:defRPr/>
            </a:pPr>
            <a:endParaRPr lang="sr-Latn-RS"/>
          </a:p>
        </c:txPr>
        <c:crossAx val="109323776"/>
        <c:crosses val="autoZero"/>
        <c:auto val="0"/>
        <c:lblAlgn val="ctr"/>
        <c:lblOffset val="100"/>
        <c:noMultiLvlLbl val="0"/>
      </c:catAx>
      <c:valAx>
        <c:axId val="109323776"/>
        <c:scaling>
          <c:orientation val="minMax"/>
          <c:max val="1"/>
          <c:min val="0"/>
        </c:scaling>
        <c:delete val="0"/>
        <c:axPos val="l"/>
        <c:majorGridlines/>
        <c:numFmt formatCode="0%" sourceLinked="1"/>
        <c:majorTickMark val="out"/>
        <c:minorTickMark val="none"/>
        <c:tickLblPos val="nextTo"/>
        <c:txPr>
          <a:bodyPr rot="0" vert="horz"/>
          <a:lstStyle/>
          <a:p>
            <a:pPr>
              <a:defRPr/>
            </a:pPr>
            <a:endParaRPr lang="sr-Latn-RS"/>
          </a:p>
        </c:txPr>
        <c:crossAx val="109322240"/>
        <c:crosses val="autoZero"/>
        <c:crossBetween val="between"/>
        <c:majorUnit val="0.2"/>
        <c:minorUnit val="2.0000000000000004E-2"/>
      </c:valAx>
      <c:spPr>
        <a:noFill/>
        <a:ln w="25400">
          <a:noFill/>
        </a:ln>
      </c:spPr>
    </c:plotArea>
    <c:legend>
      <c:legendPos val="r"/>
      <c:layout>
        <c:manualLayout>
          <c:xMode val="edge"/>
          <c:yMode val="edge"/>
          <c:x val="0.1511595204774992"/>
          <c:y val="0.87220073681266019"/>
          <c:w val="0.70104166315399019"/>
          <c:h val="9.4556275703632342E-2"/>
        </c:manualLayout>
      </c:layout>
      <c:overlay val="0"/>
      <c:spPr>
        <a:noFill/>
        <a:ln w="0" cmpd="sng">
          <a:solidFill>
            <a:schemeClr val="tx1"/>
          </a:solidFill>
        </a:ln>
      </c:spPr>
      <c:txPr>
        <a:bodyPr/>
        <a:lstStyle/>
        <a:p>
          <a:pPr>
            <a:defRPr i="1"/>
          </a:pPr>
          <a:endParaRPr lang="sr-Latn-RS"/>
        </a:p>
      </c:txPr>
    </c:legend>
    <c:plotVisOnly val="1"/>
    <c:dispBlanksAs val="gap"/>
    <c:showDLblsOverMax val="0"/>
  </c:chart>
  <c:spPr>
    <a:ln>
      <a:solidFill>
        <a:schemeClr val="accent1">
          <a:lumMod val="50000"/>
        </a:schemeClr>
      </a:solidFill>
    </a:ln>
  </c:spPr>
  <c:txPr>
    <a:bodyPr/>
    <a:lstStyle/>
    <a:p>
      <a:pPr>
        <a:defRPr sz="900" b="0" i="0" u="none" strike="noStrike" baseline="0">
          <a:ln>
            <a:noFill/>
          </a:ln>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5"/>
      <c:rotY val="20"/>
      <c:depthPercent val="14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8.1534094253081058E-2"/>
          <c:y val="2.4326075630288786E-2"/>
          <c:w val="0.94000000000000017"/>
          <c:h val="0.89123998542529947"/>
        </c:manualLayout>
      </c:layout>
      <c:bar3DChart>
        <c:barDir val="col"/>
        <c:grouping val="clustered"/>
        <c:varyColors val="0"/>
        <c:ser>
          <c:idx val="0"/>
          <c:order val="0"/>
          <c:spPr>
            <a:gradFill rotWithShape="0">
              <a:gsLst>
                <a:gs pos="0">
                  <a:srgbClr val="9999FF">
                    <a:gamma/>
                    <a:shade val="46275"/>
                    <a:invGamma/>
                  </a:srgbClr>
                </a:gs>
                <a:gs pos="50000">
                  <a:srgbClr val="9999FF"/>
                </a:gs>
                <a:gs pos="100000">
                  <a:srgbClr val="9999FF">
                    <a:gamma/>
                    <a:shade val="46275"/>
                    <a:invGamma/>
                  </a:srgbClr>
                </a:gs>
              </a:gsLst>
              <a:lin ang="5400000" scaled="1"/>
            </a:gradFill>
            <a:ln w="12700">
              <a:solidFill>
                <a:srgbClr val="000000"/>
              </a:solidFill>
              <a:prstDash val="solid"/>
            </a:ln>
          </c:spPr>
          <c:invertIfNegative val="0"/>
          <c:dLbls>
            <c:dLbl>
              <c:idx val="0"/>
              <c:layout>
                <c:manualLayout>
                  <c:x val="5.2273078884104089E-2"/>
                  <c:y val="-3.180071241094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F2-460D-8FC9-134C59E19380}"/>
                </c:ext>
              </c:extLst>
            </c:dLbl>
            <c:dLbl>
              <c:idx val="1"/>
              <c:layout>
                <c:manualLayout>
                  <c:x val="1.1812987954208268E-2"/>
                  <c:y val="-6.5689261502913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F2-460D-8FC9-134C59E19380}"/>
                </c:ext>
              </c:extLst>
            </c:dLbl>
            <c:dLbl>
              <c:idx val="2"/>
              <c:layout>
                <c:manualLayout>
                  <c:x val="2.3523286095780419E-2"/>
                  <c:y val="-6.7508769834815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F2-460D-8FC9-134C59E19380}"/>
                </c:ext>
              </c:extLst>
            </c:dLbl>
            <c:dLbl>
              <c:idx val="3"/>
              <c:layout>
                <c:manualLayout>
                  <c:x val="2.3275577225367862E-2"/>
                  <c:y val="-7.3797380311135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F2-460D-8FC9-134C59E19380}"/>
                </c:ext>
              </c:extLst>
            </c:dLbl>
            <c:dLbl>
              <c:idx val="4"/>
              <c:layout>
                <c:manualLayout>
                  <c:x val="2.3027711423899012E-2"/>
                  <c:y val="-5.9378418790267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F2-460D-8FC9-134C59E19380}"/>
                </c:ext>
              </c:extLst>
            </c:dLbl>
            <c:spPr>
              <a:solidFill>
                <a:srgbClr val="FFFFFF"/>
              </a:solidFill>
              <a:ln w="3175">
                <a:solidFill>
                  <a:srgbClr val="000000"/>
                </a:solidFill>
                <a:prstDash val="solid"/>
              </a:ln>
              <a:effectLst>
                <a:outerShdw dist="35921" dir="2700000" algn="br">
                  <a:srgbClr val="000000"/>
                </a:outerShdw>
              </a:effectLst>
            </c:spPr>
            <c:txPr>
              <a:bodyPr/>
              <a:lstStyle/>
              <a:p>
                <a:pPr>
                  <a:defRPr sz="9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udio'!$B$5:$F$5</c:f>
              <c:strCache>
                <c:ptCount val="5"/>
                <c:pt idx="0">
                  <c:v>A1</c:v>
                </c:pt>
                <c:pt idx="1">
                  <c:v>A2</c:v>
                </c:pt>
                <c:pt idx="2">
                  <c:v>B</c:v>
                </c:pt>
                <c:pt idx="3">
                  <c:v>C</c:v>
                </c:pt>
                <c:pt idx="4">
                  <c:v>D</c:v>
                </c:pt>
              </c:strCache>
            </c:strRef>
          </c:cat>
          <c:val>
            <c:numRef>
              <c:f>'tab instrumenti udio'!$B$6:$F$6</c:f>
              <c:numCache>
                <c:formatCode>0.0%</c:formatCode>
                <c:ptCount val="5"/>
                <c:pt idx="0">
                  <c:v>0.82809950634013474</c:v>
                </c:pt>
                <c:pt idx="1">
                  <c:v>0.1399674554980479</c:v>
                </c:pt>
                <c:pt idx="2">
                  <c:v>1.1704582963071989E-3</c:v>
                </c:pt>
                <c:pt idx="3">
                  <c:v>1.7225534585578454E-2</c:v>
                </c:pt>
                <c:pt idx="4">
                  <c:v>1.353704527993161E-2</c:v>
                </c:pt>
              </c:numCache>
            </c:numRef>
          </c:val>
          <c:extLst>
            <c:ext xmlns:c16="http://schemas.microsoft.com/office/drawing/2014/chart" uri="{C3380CC4-5D6E-409C-BE32-E72D297353CC}">
              <c16:uniqueId val="{00000005-C0F2-460D-8FC9-134C59E19380}"/>
            </c:ext>
          </c:extLst>
        </c:ser>
        <c:dLbls>
          <c:showLegendKey val="0"/>
          <c:showVal val="0"/>
          <c:showCatName val="0"/>
          <c:showSerName val="0"/>
          <c:showPercent val="0"/>
          <c:showBubbleSize val="0"/>
        </c:dLbls>
        <c:gapWidth val="200"/>
        <c:gapDepth val="0"/>
        <c:shape val="box"/>
        <c:axId val="108318080"/>
        <c:axId val="108328064"/>
        <c:axId val="0"/>
      </c:bar3DChart>
      <c:catAx>
        <c:axId val="1083180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08328064"/>
        <c:crosses val="autoZero"/>
        <c:auto val="1"/>
        <c:lblAlgn val="ctr"/>
        <c:lblOffset val="100"/>
        <c:tickLblSkip val="1"/>
        <c:tickMarkSkip val="1"/>
        <c:noMultiLvlLbl val="0"/>
      </c:catAx>
      <c:valAx>
        <c:axId val="108328064"/>
        <c:scaling>
          <c:orientation val="minMax"/>
          <c:max val="0.9"/>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08318080"/>
        <c:crosses val="autoZero"/>
        <c:crossBetween val="between"/>
        <c:majorUnit val="0.1"/>
      </c:valAx>
      <c:spPr>
        <a:noFill/>
        <a:ln w="25400">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w="3175">
      <a:solidFill>
        <a:srgbClr val="000000"/>
      </a:solidFill>
      <a:prstDash val="solid"/>
    </a:ln>
  </c:spPr>
  <c:txPr>
    <a:bodyPr/>
    <a:lstStyle/>
    <a:p>
      <a:pPr>
        <a:defRPr sz="9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0"/>
      <c:hPercent val="52"/>
      <c:rotY val="100"/>
      <c:depthPercent val="100"/>
      <c:rAngAx val="1"/>
    </c:view3D>
    <c:floor>
      <c:thickness val="0"/>
      <c:spPr>
        <a:ln w="3175">
          <a:solidFill>
            <a:srgbClr val="000000"/>
          </a:solidFill>
          <a:prstDash val="solid"/>
        </a:ln>
      </c:spPr>
    </c:floor>
    <c:sideWall>
      <c:thickness val="0"/>
      <c:spPr>
        <a:ln w="25400">
          <a:noFill/>
        </a:ln>
      </c:spPr>
    </c:sideWall>
    <c:backWall>
      <c:thickness val="0"/>
      <c:spPr>
        <a:ln w="25400">
          <a:noFill/>
        </a:ln>
      </c:spPr>
    </c:backWall>
    <c:plotArea>
      <c:layout>
        <c:manualLayout>
          <c:layoutTarget val="inner"/>
          <c:xMode val="edge"/>
          <c:yMode val="edge"/>
          <c:x val="2.3853018372703378E-4"/>
          <c:y val="3.5212868922785627E-2"/>
          <c:w val="0.93926203654356211"/>
          <c:h val="0.85538776564846497"/>
        </c:manualLayout>
      </c:layout>
      <c:bar3DChart>
        <c:barDir val="col"/>
        <c:grouping val="clustered"/>
        <c:varyColors val="0"/>
        <c:ser>
          <c:idx val="1"/>
          <c:order val="0"/>
          <c:tx>
            <c:strRef>
              <c:f>'[2024 Gl grafovi i slike.xlsx]tab instrumenti 2'!$A$22</c:f>
              <c:strCache>
                <c:ptCount val="1"/>
                <c:pt idx="0">
                  <c:v>2022. udio (%)</c:v>
                </c:pt>
              </c:strCache>
            </c:strRef>
          </c:tx>
          <c:spPr>
            <a:solidFill>
              <a:schemeClr val="accent1">
                <a:lumMod val="75000"/>
              </a:schemeClr>
            </a:solidFill>
            <a:ln w="12700">
              <a:solidFill>
                <a:schemeClr val="tx1"/>
              </a:solidFill>
              <a:prstDash val="solid"/>
            </a:ln>
          </c:spPr>
          <c:invertIfNegative val="0"/>
          <c:dLbls>
            <c:dLbl>
              <c:idx val="0"/>
              <c:layout>
                <c:manualLayout>
                  <c:x val="3.3593054439710023E-3"/>
                  <c:y val="-7.0195000792686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F5-4E5A-814A-A55028BC2528}"/>
                </c:ext>
              </c:extLst>
            </c:dLbl>
            <c:dLbl>
              <c:idx val="1"/>
              <c:layout>
                <c:manualLayout>
                  <c:x val="9.3933481834747989E-3"/>
                  <c:y val="-6.7813507371981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F5-4E5A-814A-A55028BC2528}"/>
                </c:ext>
              </c:extLst>
            </c:dLbl>
            <c:dLbl>
              <c:idx val="2"/>
              <c:layout>
                <c:manualLayout>
                  <c:x val="1.6913678813404137E-2"/>
                  <c:y val="-8.3744316493670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F5-4E5A-814A-A55028BC2528}"/>
                </c:ext>
              </c:extLst>
            </c:dLbl>
            <c:dLbl>
              <c:idx val="3"/>
              <c:layout>
                <c:manualLayout>
                  <c:x val="3.2901085654957272E-2"/>
                  <c:y val="-8.792184114569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F5-4E5A-814A-A55028BC2528}"/>
                </c:ext>
              </c:extLst>
            </c:dLbl>
            <c:dLbl>
              <c:idx val="4"/>
              <c:layout>
                <c:manualLayout>
                  <c:x val="1.2657350680115739E-2"/>
                  <c:y val="-6.2815885430428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F5-4E5A-814A-A55028BC2528}"/>
                </c:ext>
              </c:extLst>
            </c:dLbl>
            <c:numFmt formatCode="0.0%" sourceLinked="0"/>
            <c:spPr>
              <a:solidFill>
                <a:schemeClr val="bg1"/>
              </a:solidFill>
              <a:ln w="0">
                <a:solidFill>
                  <a:schemeClr val="tx1"/>
                </a:solidFill>
              </a:ln>
            </c:spPr>
            <c:txPr>
              <a:bodyPr/>
              <a:lstStyle/>
              <a:p>
                <a:pPr>
                  <a:defRPr sz="7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 Gl grafovi i slike.xlsx]tab instrumenti 2'!$B$21:$F$21</c:f>
              <c:strCache>
                <c:ptCount val="5"/>
                <c:pt idx="0">
                  <c:v>A1</c:v>
                </c:pt>
                <c:pt idx="1">
                  <c:v>A2</c:v>
                </c:pt>
                <c:pt idx="2">
                  <c:v>B</c:v>
                </c:pt>
                <c:pt idx="3">
                  <c:v>C</c:v>
                </c:pt>
                <c:pt idx="4">
                  <c:v>D</c:v>
                </c:pt>
              </c:strCache>
            </c:strRef>
          </c:cat>
          <c:val>
            <c:numRef>
              <c:f>'[2024 Gl grafovi i slike.xlsx]tab instrumenti 2'!$B$22:$F$22</c:f>
              <c:numCache>
                <c:formatCode>0.0%</c:formatCode>
                <c:ptCount val="5"/>
                <c:pt idx="0">
                  <c:v>0.71762912058563266</c:v>
                </c:pt>
                <c:pt idx="1">
                  <c:v>9.0093680464821385E-2</c:v>
                </c:pt>
                <c:pt idx="2">
                  <c:v>2.536176694569264E-2</c:v>
                </c:pt>
                <c:pt idx="3">
                  <c:v>4.1048386063264462E-2</c:v>
                </c:pt>
                <c:pt idx="4">
                  <c:v>0.12586704594058884</c:v>
                </c:pt>
              </c:numCache>
            </c:numRef>
          </c:val>
          <c:extLst>
            <c:ext xmlns:c16="http://schemas.microsoft.com/office/drawing/2014/chart" uri="{C3380CC4-5D6E-409C-BE32-E72D297353CC}">
              <c16:uniqueId val="{00000005-EFF5-4E5A-814A-A55028BC2528}"/>
            </c:ext>
          </c:extLst>
        </c:ser>
        <c:ser>
          <c:idx val="2"/>
          <c:order val="1"/>
          <c:tx>
            <c:strRef>
              <c:f>'[2024 Gl grafovi i slike.xlsx]tab instrumenti 2'!$A$23</c:f>
              <c:strCache>
                <c:ptCount val="1"/>
                <c:pt idx="0">
                  <c:v>2023. udio (%)</c:v>
                </c:pt>
              </c:strCache>
            </c:strRef>
          </c:tx>
          <c:spPr>
            <a:solidFill>
              <a:schemeClr val="accent4">
                <a:lumMod val="40000"/>
                <a:lumOff val="60000"/>
              </a:schemeClr>
            </a:solidFill>
            <a:ln w="12700">
              <a:solidFill>
                <a:srgbClr val="000000"/>
              </a:solidFill>
              <a:prstDash val="solid"/>
            </a:ln>
          </c:spPr>
          <c:invertIfNegative val="0"/>
          <c:dLbls>
            <c:dLbl>
              <c:idx val="0"/>
              <c:layout>
                <c:manualLayout>
                  <c:x val="7.0819859503250824E-3"/>
                  <c:y val="0.125529645581867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F5-4E5A-814A-A55028BC2528}"/>
                </c:ext>
              </c:extLst>
            </c:dLbl>
            <c:dLbl>
              <c:idx val="1"/>
              <c:layout>
                <c:manualLayout>
                  <c:x val="3.7935042817767946E-2"/>
                  <c:y val="-7.3425989536542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F5-4E5A-814A-A55028BC2528}"/>
                </c:ext>
              </c:extLst>
            </c:dLbl>
            <c:dLbl>
              <c:idx val="2"/>
              <c:layout>
                <c:manualLayout>
                  <c:x val="3.6368526456773034E-2"/>
                  <c:y val="-7.8998837393647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F5-4E5A-814A-A55028BC2528}"/>
                </c:ext>
              </c:extLst>
            </c:dLbl>
            <c:dLbl>
              <c:idx val="3"/>
              <c:layout>
                <c:manualLayout>
                  <c:x val="4.8793463040809247E-2"/>
                  <c:y val="-6.1242931881836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F5-4E5A-814A-A55028BC2528}"/>
                </c:ext>
              </c:extLst>
            </c:dLbl>
            <c:dLbl>
              <c:idx val="4"/>
              <c:layout>
                <c:manualLayout>
                  <c:x val="4.1368556907628397E-2"/>
                  <c:y val="-8.3007187021085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F5-4E5A-814A-A55028BC2528}"/>
                </c:ext>
              </c:extLst>
            </c:dLbl>
            <c:spPr>
              <a:solidFill>
                <a:schemeClr val="bg1"/>
              </a:solidFill>
              <a:ln w="0">
                <a:solidFill>
                  <a:sysClr val="windowText" lastClr="000000"/>
                </a:solidFill>
              </a:ln>
            </c:spPr>
            <c:txPr>
              <a:bodyPr/>
              <a:lstStyle/>
              <a:p>
                <a:pPr>
                  <a:defRPr sz="7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'[2024 Gl grafovi i slike.xlsx]tab instrumenti 2'!$B$21:$F$21</c:f>
              <c:strCache>
                <c:ptCount val="5"/>
                <c:pt idx="0">
                  <c:v>A1</c:v>
                </c:pt>
                <c:pt idx="1">
                  <c:v>A2</c:v>
                </c:pt>
                <c:pt idx="2">
                  <c:v>B</c:v>
                </c:pt>
                <c:pt idx="3">
                  <c:v>C</c:v>
                </c:pt>
                <c:pt idx="4">
                  <c:v>D</c:v>
                </c:pt>
              </c:strCache>
            </c:strRef>
          </c:cat>
          <c:val>
            <c:numRef>
              <c:f>'[2024 Gl grafovi i slike.xlsx]tab instrumenti 2'!$B$23:$F$23</c:f>
              <c:numCache>
                <c:formatCode>0.0%</c:formatCode>
                <c:ptCount val="5"/>
                <c:pt idx="0">
                  <c:v>0.60014816340204147</c:v>
                </c:pt>
                <c:pt idx="1">
                  <c:v>0.11247874943261049</c:v>
                </c:pt>
                <c:pt idx="2">
                  <c:v>4.1303086612377759E-5</c:v>
                </c:pt>
                <c:pt idx="3">
                  <c:v>7.9213011000374201E-2</c:v>
                </c:pt>
                <c:pt idx="4">
                  <c:v>0.20811877307836146</c:v>
                </c:pt>
              </c:numCache>
            </c:numRef>
          </c:val>
          <c:extLst>
            <c:ext xmlns:c16="http://schemas.microsoft.com/office/drawing/2014/chart" uri="{C3380CC4-5D6E-409C-BE32-E72D297353CC}">
              <c16:uniqueId val="{0000000B-EFF5-4E5A-814A-A55028BC2528}"/>
            </c:ext>
          </c:extLst>
        </c:ser>
        <c:ser>
          <c:idx val="3"/>
          <c:order val="2"/>
          <c:tx>
            <c:strRef>
              <c:f>'[2024 Gl grafovi i slike.xlsx]tab instrumenti 2'!$A$24</c:f>
              <c:strCache>
                <c:ptCount val="1"/>
                <c:pt idx="0">
                  <c:v>2024. udio (%)</c:v>
                </c:pt>
              </c:strCache>
            </c:strRef>
          </c:tx>
          <c:spPr>
            <a:solidFill>
              <a:srgbClr val="FF66CC"/>
            </a:solidFill>
            <a:ln w="12700">
              <a:solidFill>
                <a:srgbClr val="000000"/>
              </a:solidFill>
              <a:prstDash val="solid"/>
            </a:ln>
          </c:spPr>
          <c:invertIfNegative val="0"/>
          <c:dLbls>
            <c:dLbl>
              <c:idx val="0"/>
              <c:layout>
                <c:manualLayout>
                  <c:x val="9.1415004422157151E-2"/>
                  <c:y val="-5.7762960092929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FF5-4E5A-814A-A55028BC2528}"/>
                </c:ext>
              </c:extLst>
            </c:dLbl>
            <c:dLbl>
              <c:idx val="1"/>
              <c:layout>
                <c:manualLayout>
                  <c:x val="6.6085104708969652E-2"/>
                  <c:y val="-8.7100882523912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FF5-4E5A-814A-A55028BC2528}"/>
                </c:ext>
              </c:extLst>
            </c:dLbl>
            <c:dLbl>
              <c:idx val="2"/>
              <c:layout>
                <c:manualLayout>
                  <c:x val="5.2510149261239487E-2"/>
                  <c:y val="-7.039634307456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FF5-4E5A-814A-A55028BC2528}"/>
                </c:ext>
              </c:extLst>
            </c:dLbl>
            <c:dLbl>
              <c:idx val="3"/>
              <c:layout>
                <c:manualLayout>
                  <c:x val="4.3012490165026236E-2"/>
                  <c:y val="-6.0370951040446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FF5-4E5A-814A-A55028BC2528}"/>
                </c:ext>
              </c:extLst>
            </c:dLbl>
            <c:dLbl>
              <c:idx val="4"/>
              <c:layout>
                <c:manualLayout>
                  <c:x val="5.3089338787928694E-2"/>
                  <c:y val="-7.8119250637711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FF5-4E5A-814A-A55028BC2528}"/>
                </c:ext>
              </c:extLst>
            </c:dLbl>
            <c:spPr>
              <a:solidFill>
                <a:sysClr val="window" lastClr="FFFFFF"/>
              </a:solidFill>
              <a:ln w="3175">
                <a:solidFill>
                  <a:sysClr val="windowText" lastClr="000000">
                    <a:lumMod val="65000"/>
                    <a:lumOff val="35000"/>
                  </a:sysClr>
                </a:solidFill>
              </a:ln>
              <a:effectLst/>
            </c:spPr>
            <c:txPr>
              <a:bodyPr/>
              <a:lstStyle/>
              <a:p>
                <a:pPr>
                  <a:defRPr sz="700"/>
                </a:pPr>
                <a:endParaRPr lang="sr-Latn-R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'[2024 Gl grafovi i slike.xlsx]tab instrumenti 2'!$B$21:$F$21</c:f>
              <c:strCache>
                <c:ptCount val="5"/>
                <c:pt idx="0">
                  <c:v>A1</c:v>
                </c:pt>
                <c:pt idx="1">
                  <c:v>A2</c:v>
                </c:pt>
                <c:pt idx="2">
                  <c:v>B</c:v>
                </c:pt>
                <c:pt idx="3">
                  <c:v>C</c:v>
                </c:pt>
                <c:pt idx="4">
                  <c:v>D</c:v>
                </c:pt>
              </c:strCache>
            </c:strRef>
          </c:cat>
          <c:val>
            <c:numRef>
              <c:f>'[2024 Gl grafovi i slike.xlsx]tab instrumenti 2'!$B$24:$F$24</c:f>
              <c:numCache>
                <c:formatCode>0.0%</c:formatCode>
                <c:ptCount val="5"/>
                <c:pt idx="0">
                  <c:v>0.82809950634013474</c:v>
                </c:pt>
                <c:pt idx="1">
                  <c:v>0.1399674554980479</c:v>
                </c:pt>
                <c:pt idx="2">
                  <c:v>1.1704582963071989E-3</c:v>
                </c:pt>
                <c:pt idx="3">
                  <c:v>1.7225534585578454E-2</c:v>
                </c:pt>
                <c:pt idx="4">
                  <c:v>1.353704527993161E-2</c:v>
                </c:pt>
              </c:numCache>
            </c:numRef>
          </c:val>
          <c:extLst>
            <c:ext xmlns:c16="http://schemas.microsoft.com/office/drawing/2014/chart" uri="{C3380CC4-5D6E-409C-BE32-E72D297353CC}">
              <c16:uniqueId val="{00000011-EFF5-4E5A-814A-A55028BC2528}"/>
            </c:ext>
          </c:extLst>
        </c:ser>
        <c:dLbls>
          <c:showLegendKey val="0"/>
          <c:showVal val="0"/>
          <c:showCatName val="0"/>
          <c:showSerName val="0"/>
          <c:showPercent val="0"/>
          <c:showBubbleSize val="0"/>
        </c:dLbls>
        <c:gapWidth val="120"/>
        <c:gapDepth val="70"/>
        <c:shape val="box"/>
        <c:axId val="108667648"/>
        <c:axId val="108669184"/>
        <c:axId val="0"/>
      </c:bar3DChart>
      <c:catAx>
        <c:axId val="108667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08669184"/>
        <c:crosses val="autoZero"/>
        <c:auto val="1"/>
        <c:lblAlgn val="ctr"/>
        <c:lblOffset val="100"/>
        <c:tickLblSkip val="1"/>
        <c:tickMarkSkip val="1"/>
        <c:noMultiLvlLbl val="0"/>
      </c:catAx>
      <c:valAx>
        <c:axId val="108669184"/>
        <c:scaling>
          <c:orientation val="minMax"/>
          <c:max val="0.9"/>
        </c:scaling>
        <c:delete val="0"/>
        <c:axPos val="r"/>
        <c:majorGridlines>
          <c:spPr>
            <a:ln w="3175">
              <a:solidFill>
                <a:srgbClr val="000000"/>
              </a:solidFill>
              <a:prstDash val="sysDash"/>
            </a:ln>
            <a:effectLst/>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08667648"/>
        <c:crosses val="max"/>
        <c:crossBetween val="between"/>
      </c:valAx>
      <c:spPr>
        <a:noFill/>
        <a:ln w="25400">
          <a:noFill/>
        </a:ln>
      </c:spPr>
    </c:plotArea>
    <c:legend>
      <c:legendPos val="r"/>
      <c:layout>
        <c:manualLayout>
          <c:xMode val="edge"/>
          <c:yMode val="edge"/>
          <c:x val="0.5641921951352985"/>
          <c:y val="2.1433941360345033E-2"/>
          <c:w val="0.2222509660625071"/>
          <c:h val="0.20902692596842481"/>
        </c:manualLayout>
      </c:layout>
      <c:overlay val="0"/>
      <c:spPr>
        <a:solidFill>
          <a:srgbClr val="FFFFFF"/>
        </a:solidFill>
        <a:ln w="3175">
          <a:solidFill>
            <a:srgbClr val="000000"/>
          </a:solidFill>
          <a:prstDash val="solid"/>
        </a:ln>
      </c:spPr>
      <c:txPr>
        <a:bodyPr/>
        <a:lstStyle/>
        <a:p>
          <a:pPr>
            <a:defRPr i="1"/>
          </a:pPr>
          <a:endParaRPr lang="sr-Latn-RS"/>
        </a:p>
      </c:txPr>
    </c:legend>
    <c:plotVisOnly val="1"/>
    <c:dispBlanksAs val="gap"/>
    <c:showDLblsOverMax val="0"/>
  </c:chart>
  <c:spPr>
    <a:solidFill>
      <a:srgbClr val="FFFFFF"/>
    </a:solidFill>
    <a:ln w="9525">
      <a:solidFill>
        <a:schemeClr val="tx1"/>
      </a:solidFill>
    </a:ln>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525131087899552E-2"/>
          <c:y val="8.9487880442181325E-2"/>
          <c:w val="0.88280615749477598"/>
          <c:h val="0.81845291166707856"/>
        </c:manualLayout>
      </c:layout>
      <c:lineChart>
        <c:grouping val="standard"/>
        <c:varyColors val="0"/>
        <c:ser>
          <c:idx val="0"/>
          <c:order val="0"/>
          <c:tx>
            <c:strRef>
              <c:f>'[2024 Gl grafovi i slike.xlsx]sl. industr i usluge'!$A$19</c:f>
              <c:strCache>
                <c:ptCount val="1"/>
                <c:pt idx="0">
                  <c:v>Horizontalni ciljevi</c:v>
                </c:pt>
              </c:strCache>
            </c:strRef>
          </c:tx>
          <c:spPr>
            <a:ln w="34925" cmpd="sng">
              <a:solidFill>
                <a:srgbClr val="000080"/>
              </a:solidFill>
              <a:prstDash val="solid"/>
            </a:ln>
          </c:spPr>
          <c:marker>
            <c:symbol val="diamond"/>
            <c:size val="7"/>
            <c:spPr>
              <a:solidFill>
                <a:srgbClr val="FF00FF"/>
              </a:solidFill>
              <a:ln>
                <a:solidFill>
                  <a:srgbClr val="000080"/>
                </a:solidFill>
                <a:prstDash val="solid"/>
              </a:ln>
            </c:spPr>
          </c:marker>
          <c:cat>
            <c:strRef>
              <c:f>'[2024 Gl grafovi i slike.xlsx]sl. industr i usluge'!$M$12:$W$12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'[2024 Gl grafovi i slike.xlsx]sl. industr i usluge'!$M$19:$W$19</c:f>
              <c:numCache>
                <c:formatCode>#,##0.0</c:formatCode>
                <c:ptCount val="11"/>
                <c:pt idx="0">
                  <c:v>188.91764549737871</c:v>
                </c:pt>
                <c:pt idx="1">
                  <c:v>138.23080496383304</c:v>
                </c:pt>
                <c:pt idx="2">
                  <c:v>216.98851947707215</c:v>
                </c:pt>
                <c:pt idx="3">
                  <c:v>593.54967151104916</c:v>
                </c:pt>
                <c:pt idx="4">
                  <c:v>308.59380184484701</c:v>
                </c:pt>
                <c:pt idx="5">
                  <c:v>329.23219855332138</c:v>
                </c:pt>
                <c:pt idx="6">
                  <c:v>586.87371424779349</c:v>
                </c:pt>
                <c:pt idx="7">
                  <c:v>495.5</c:v>
                </c:pt>
                <c:pt idx="8">
                  <c:v>335.17061877364119</c:v>
                </c:pt>
                <c:pt idx="9">
                  <c:v>561.28278334000004</c:v>
                </c:pt>
                <c:pt idx="10">
                  <c:v>515.85113722999995</c:v>
                </c:pt>
              </c:numCache>
            </c:numRef>
          </c:val>
          <c:smooth val="0"/>
          <c:extLst>
            <c:ext xmlns:c16="http://schemas.microsoft.com/office/drawing/2014/chart" uri="{C3380CC4-5D6E-409C-BE32-E72D297353CC}">
              <c16:uniqueId val="{0000000B-6C69-4D76-B218-B12DE81578A9}"/>
            </c:ext>
          </c:extLst>
        </c:ser>
        <c:ser>
          <c:idx val="1"/>
          <c:order val="1"/>
          <c:tx>
            <c:strRef>
              <c:f>'[2024 Gl grafovi i slike.xlsx]sl. industr i usluge'!$A$20</c:f>
              <c:strCache>
                <c:ptCount val="1"/>
                <c:pt idx="0">
                  <c:v>Posebni sektori</c:v>
                </c:pt>
              </c:strCache>
            </c:strRef>
          </c:tx>
          <c:spPr>
            <a:ln w="28575" cmpd="sng">
              <a:solidFill>
                <a:srgbClr val="FF00FF"/>
              </a:solidFill>
              <a:prstDash val="solid"/>
            </a:ln>
          </c:spPr>
          <c:marker>
            <c:symbol val="diamond"/>
            <c:size val="5"/>
            <c:spPr>
              <a:solidFill>
                <a:srgbClr val="FF00FF"/>
              </a:solidFill>
              <a:ln>
                <a:solidFill>
                  <a:srgbClr val="FF00FF"/>
                </a:solidFill>
                <a:prstDash val="solid"/>
              </a:ln>
            </c:spPr>
          </c:marker>
          <c:dPt>
            <c:idx val="5"/>
            <c:marker>
              <c:spPr>
                <a:solidFill>
                  <a:srgbClr val="FF00FF">
                    <a:alpha val="75000"/>
                  </a:srgbClr>
                </a:solidFill>
                <a:ln>
                  <a:solidFill>
                    <a:srgbClr val="FF00FF"/>
                  </a:solidFill>
                  <a:prstDash val="solid"/>
                </a:ln>
              </c:spPr>
            </c:marker>
            <c:bubble3D val="0"/>
            <c:extLst>
              <c:ext xmlns:c16="http://schemas.microsoft.com/office/drawing/2014/chart" uri="{C3380CC4-5D6E-409C-BE32-E72D297353CC}">
                <c16:uniqueId val="{0000000C-6C69-4D76-B218-B12DE81578A9}"/>
              </c:ext>
            </c:extLst>
          </c:dPt>
          <c:cat>
            <c:strRef>
              <c:f>'[2024 Gl grafovi i slike.xlsx]sl. industr i usluge'!$M$12:$W$12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'[2024 Gl grafovi i slike.xlsx]sl. industr i usluge'!$M$20:$W$20</c:f>
              <c:numCache>
                <c:formatCode>#,##0.0</c:formatCode>
                <c:ptCount val="11"/>
                <c:pt idx="0">
                  <c:v>577.59638993961107</c:v>
                </c:pt>
                <c:pt idx="1">
                  <c:v>525.14433605415081</c:v>
                </c:pt>
                <c:pt idx="2">
                  <c:v>641.87404605481447</c:v>
                </c:pt>
                <c:pt idx="3">
                  <c:v>363.42159400092902</c:v>
                </c:pt>
                <c:pt idx="4">
                  <c:v>761.41747959386817</c:v>
                </c:pt>
                <c:pt idx="5">
                  <c:v>786.5684517884398</c:v>
                </c:pt>
                <c:pt idx="6">
                  <c:v>966.39458490941661</c:v>
                </c:pt>
                <c:pt idx="7">
                  <c:v>584.29999999999995</c:v>
                </c:pt>
                <c:pt idx="8">
                  <c:v>603.99016014334052</c:v>
                </c:pt>
                <c:pt idx="9">
                  <c:v>849.32124133999991</c:v>
                </c:pt>
                <c:pt idx="10">
                  <c:v>802.59450521999997</c:v>
                </c:pt>
              </c:numCache>
            </c:numRef>
          </c:val>
          <c:smooth val="0"/>
          <c:extLst>
            <c:ext xmlns:c16="http://schemas.microsoft.com/office/drawing/2014/chart" uri="{C3380CC4-5D6E-409C-BE32-E72D297353CC}">
              <c16:uniqueId val="{00000016-6C69-4D76-B218-B12DE81578A9}"/>
            </c:ext>
          </c:extLst>
        </c:ser>
        <c:ser>
          <c:idx val="2"/>
          <c:order val="2"/>
          <c:tx>
            <c:strRef>
              <c:f>'[2024 Gl grafovi i slike.xlsx]sl. industr i usluge'!$A$21</c:f>
              <c:strCache>
                <c:ptCount val="1"/>
                <c:pt idx="0">
                  <c:v>COVID-19</c:v>
                </c:pt>
              </c:strCache>
            </c:strRef>
          </c:tx>
          <c:spPr>
            <a:ln>
              <a:solidFill>
                <a:srgbClr val="FF0000"/>
              </a:solidFill>
            </a:ln>
          </c:spPr>
          <c:cat>
            <c:strRef>
              <c:f>'[2024 Gl grafovi i slike.xlsx]sl. industr i usluge'!$M$12:$W$12</c:f>
              <c:strCache>
                <c:ptCount val="11"/>
                <c:pt idx="0">
                  <c:v>2014.</c:v>
                </c:pt>
                <c:pt idx="1">
                  <c:v>2015.</c:v>
                </c:pt>
                <c:pt idx="2">
                  <c:v>2016.</c:v>
                </c:pt>
                <c:pt idx="3">
                  <c:v>2017.</c:v>
                </c:pt>
                <c:pt idx="4">
                  <c:v>2018.</c:v>
                </c:pt>
                <c:pt idx="5">
                  <c:v>2019.</c:v>
                </c:pt>
                <c:pt idx="6">
                  <c:v>2020.</c:v>
                </c:pt>
                <c:pt idx="7">
                  <c:v>2021.</c:v>
                </c:pt>
                <c:pt idx="8">
                  <c:v>2022.</c:v>
                </c:pt>
                <c:pt idx="9">
                  <c:v>2023.</c:v>
                </c:pt>
                <c:pt idx="10">
                  <c:v>2024.</c:v>
                </c:pt>
              </c:strCache>
            </c:strRef>
          </c:cat>
          <c:val>
            <c:numRef>
              <c:f>'[2024 Gl grafovi i slike.xlsx]sl. industr i usluge'!$M$21:$W$21</c:f>
              <c:numCache>
                <c:formatCode>General</c:formatCode>
                <c:ptCount val="11"/>
                <c:pt idx="6" formatCode="#,##0.0">
                  <c:v>510.50501028601764</c:v>
                </c:pt>
                <c:pt idx="7" formatCode="#,##0.0">
                  <c:v>854.5</c:v>
                </c:pt>
                <c:pt idx="8" formatCode="#,##0.0">
                  <c:v>1110.2051093994291</c:v>
                </c:pt>
                <c:pt idx="9" formatCode="#,##0.0">
                  <c:v>556.61783547999994</c:v>
                </c:pt>
                <c:pt idx="10" formatCode="#,##0.0">
                  <c:v>2.5063090199999998</c:v>
                </c:pt>
              </c:numCache>
            </c:numRef>
          </c:val>
          <c:smooth val="0"/>
          <c:extLst>
            <c:ext xmlns:c16="http://schemas.microsoft.com/office/drawing/2014/chart" uri="{C3380CC4-5D6E-409C-BE32-E72D297353CC}">
              <c16:uniqueId val="{00000018-6C69-4D76-B218-B12DE81578A9}"/>
            </c:ext>
          </c:extLst>
        </c:ser>
        <c:dLbls>
          <c:showLegendKey val="0"/>
          <c:showVal val="0"/>
          <c:showCatName val="0"/>
          <c:showSerName val="0"/>
          <c:showPercent val="0"/>
          <c:showBubbleSize val="0"/>
        </c:dLbls>
        <c:marker val="1"/>
        <c:smooth val="0"/>
        <c:axId val="108742912"/>
        <c:axId val="108769280"/>
      </c:lineChart>
      <c:catAx>
        <c:axId val="108742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769280"/>
        <c:crosses val="autoZero"/>
        <c:auto val="1"/>
        <c:lblAlgn val="ctr"/>
        <c:lblOffset val="100"/>
        <c:tickLblSkip val="1"/>
        <c:tickMarkSkip val="1"/>
        <c:noMultiLvlLbl val="0"/>
      </c:catAx>
      <c:valAx>
        <c:axId val="108769280"/>
        <c:scaling>
          <c:orientation val="minMax"/>
          <c:max val="1200"/>
        </c:scaling>
        <c:delete val="0"/>
        <c:axPos val="l"/>
        <c:majorGridlines>
          <c:spPr>
            <a:ln w="3175">
              <a:solidFill>
                <a:srgbClr val="000000"/>
              </a:solidFill>
              <a:prstDash val="solid"/>
            </a:ln>
          </c:spPr>
        </c:majorGridlines>
        <c:numFmt formatCode="#,##0.0" sourceLinked="1"/>
        <c:majorTickMark val="out"/>
        <c:minorTickMark val="none"/>
        <c:tickLblPos val="nextTo"/>
        <c:spPr>
          <a:ln w="3175">
            <a:solidFill>
              <a:srgbClr val="000000"/>
            </a:solidFill>
            <a:prstDash val="solid"/>
          </a:ln>
        </c:spPr>
        <c:txPr>
          <a:bodyPr rot="0" vert="horz"/>
          <a:lstStyle/>
          <a:p>
            <a:pPr>
              <a:defRPr/>
            </a:pPr>
            <a:endParaRPr lang="sr-Latn-RS"/>
          </a:p>
        </c:txPr>
        <c:crossAx val="108742912"/>
        <c:crosses val="autoZero"/>
        <c:crossBetween val="between"/>
      </c:valAx>
      <c:spPr>
        <a:gradFill>
          <a:gsLst>
            <a:gs pos="0">
              <a:srgbClr val="FFFFFF"/>
            </a:gs>
            <a:gs pos="100000">
              <a:srgbClr val="C0C0C0"/>
            </a:gs>
          </a:gsLst>
          <a:lin ang="5400000" scaled="1"/>
        </a:gradFill>
        <a:ln w="12700">
          <a:solidFill>
            <a:srgbClr val="C0C0C0"/>
          </a:solidFill>
          <a:prstDash val="solid"/>
        </a:ln>
      </c:spPr>
    </c:plotArea>
    <c:legend>
      <c:legendPos val="r"/>
      <c:layout>
        <c:manualLayout>
          <c:xMode val="edge"/>
          <c:yMode val="edge"/>
          <c:x val="0.12660535033833353"/>
          <c:y val="8.1864254351888655E-2"/>
          <c:w val="0.25554072251031712"/>
          <c:h val="0.24164687649973254"/>
        </c:manualLayout>
      </c:layout>
      <c:overlay val="0"/>
      <c:spPr>
        <a:solidFill>
          <a:srgbClr val="FFFFFF"/>
        </a:solidFill>
        <a:ln w="3175">
          <a:solidFill>
            <a:srgbClr val="000000"/>
          </a:solidFill>
          <a:prstDash val="solid"/>
        </a:ln>
      </c:spPr>
      <c:txPr>
        <a:bodyPr/>
        <a:lstStyle/>
        <a:p>
          <a:pPr>
            <a:defRPr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depthPercent val="100"/>
      <c:rAngAx val="1"/>
    </c:view3D>
    <c:floor>
      <c:thickness val="0"/>
    </c:floor>
    <c:sideWall>
      <c:thickness val="0"/>
    </c:sideWall>
    <c:backWall>
      <c:thickness val="0"/>
    </c:backWall>
    <c:plotArea>
      <c:layout>
        <c:manualLayout>
          <c:layoutTarget val="inner"/>
          <c:xMode val="edge"/>
          <c:yMode val="edge"/>
          <c:x val="8.539154183970428E-2"/>
          <c:y val="3.0662020905923345E-2"/>
          <c:w val="0.68087998969453967"/>
          <c:h val="0.8813983374029466"/>
        </c:manualLayout>
      </c:layout>
      <c:bar3DChart>
        <c:barDir val="col"/>
        <c:grouping val="stacked"/>
        <c:varyColors val="0"/>
        <c:ser>
          <c:idx val="0"/>
          <c:order val="0"/>
          <c:tx>
            <c:strRef>
              <c:f>'[2024 Gl grafovi i slike.xlsx]tab horizontalne'!$A$48</c:f>
              <c:strCache>
                <c:ptCount val="1"/>
                <c:pt idx="0">
                  <c:v>Istraživanje i razvoj i inovacije</c:v>
                </c:pt>
              </c:strCache>
            </c:strRef>
          </c:tx>
          <c:spPr>
            <a:solidFill>
              <a:srgbClr val="FFFFCC"/>
            </a:solidFill>
            <a:ln>
              <a:solidFill>
                <a:sysClr val="windowText" lastClr="000000"/>
              </a:solidFill>
            </a:ln>
          </c:spPr>
          <c:invertIfNegative val="1"/>
          <c:cat>
            <c:strRef>
              <c:f>'[2024 Gl grafovi i slike.xlsx]tab horizontalne'!$F$47:$H$47</c:f>
              <c:strCache>
                <c:ptCount val="3"/>
                <c:pt idx="0">
                  <c:v>2022.</c:v>
                </c:pt>
                <c:pt idx="1">
                  <c:v>2023.</c:v>
                </c:pt>
                <c:pt idx="2">
                  <c:v>2024.</c:v>
                </c:pt>
              </c:strCache>
            </c:strRef>
          </c:cat>
          <c:val>
            <c:numRef>
              <c:f>'[2024 Gl grafovi i slike.xlsx]tab horizontalne'!$F$48:$H$48</c:f>
              <c:numCache>
                <c:formatCode>0.0%</c:formatCode>
                <c:ptCount val="3"/>
                <c:pt idx="0">
                  <c:v>0.35488192593092477</c:v>
                </c:pt>
                <c:pt idx="1">
                  <c:v>0.72289410364943396</c:v>
                </c:pt>
                <c:pt idx="2">
                  <c:v>0.75104593359607419</c:v>
                </c:pt>
              </c:numCache>
            </c:numRef>
          </c:val>
          <c:extLst>
            <c:ext xmlns:c14="http://schemas.microsoft.com/office/drawing/2007/8/2/chart" uri="{6F2FDCE9-48DA-4B69-8628-5D25D57E5C99}">
              <c14:invertSolidFillFmt>
                <c14:spPr xmlns:c14="http://schemas.microsoft.com/office/drawing/2007/8/2/chart">
                  <a:solidFill>
                    <a:srgbClr val="FFFFFF"/>
                  </a:solidFill>
                  <a:ln>
                    <a:solidFill>
                      <a:sysClr val="windowText" lastClr="000000"/>
                    </a:solidFill>
                  </a:ln>
                </c14:spPr>
              </c14:invertSolidFillFmt>
            </c:ext>
            <c:ext xmlns:c16="http://schemas.microsoft.com/office/drawing/2014/chart" uri="{C3380CC4-5D6E-409C-BE32-E72D297353CC}">
              <c16:uniqueId val="{00000000-5CA0-414B-8800-2A783F3F62C4}"/>
            </c:ext>
          </c:extLst>
        </c:ser>
        <c:ser>
          <c:idx val="2"/>
          <c:order val="2"/>
          <c:tx>
            <c:strRef>
              <c:f>'[2024 Gl grafovi i slike.xlsx]tab horizontalne'!$A$49</c:f>
              <c:strCache>
                <c:ptCount val="1"/>
                <c:pt idx="0">
                  <c:v>Mali i srednji poduzetnici</c:v>
                </c:pt>
              </c:strCache>
            </c:strRef>
          </c:tx>
          <c:spPr>
            <a:solidFill>
              <a:schemeClr val="bg1">
                <a:lumMod val="75000"/>
              </a:schemeClr>
            </a:solidFill>
            <a:ln>
              <a:solidFill>
                <a:sysClr val="windowText" lastClr="000000"/>
              </a:solidFill>
            </a:ln>
          </c:spPr>
          <c:invertIfNegative val="0"/>
          <c:dPt>
            <c:idx val="0"/>
            <c:invertIfNegative val="0"/>
            <c:bubble3D val="0"/>
            <c:spPr>
              <a:solidFill>
                <a:schemeClr val="accent3">
                  <a:lumMod val="40000"/>
                  <a:lumOff val="60000"/>
                </a:schemeClr>
              </a:solidFill>
              <a:ln>
                <a:solidFill>
                  <a:sysClr val="windowText" lastClr="000000"/>
                </a:solidFill>
              </a:ln>
            </c:spPr>
            <c:extLst>
              <c:ext xmlns:c16="http://schemas.microsoft.com/office/drawing/2014/chart" uri="{C3380CC4-5D6E-409C-BE32-E72D297353CC}">
                <c16:uniqueId val="{00000002-5CA0-414B-8800-2A783F3F62C4}"/>
              </c:ext>
            </c:extLst>
          </c:dPt>
          <c:dPt>
            <c:idx val="1"/>
            <c:invertIfNegative val="0"/>
            <c:bubble3D val="0"/>
            <c:spPr>
              <a:solidFill>
                <a:schemeClr val="accent3">
                  <a:lumMod val="60000"/>
                  <a:lumOff val="40000"/>
                </a:schemeClr>
              </a:solidFill>
              <a:ln>
                <a:solidFill>
                  <a:sysClr val="windowText" lastClr="000000"/>
                </a:solidFill>
              </a:ln>
            </c:spPr>
            <c:extLst>
              <c:ext xmlns:c16="http://schemas.microsoft.com/office/drawing/2014/chart" uri="{C3380CC4-5D6E-409C-BE32-E72D297353CC}">
                <c16:uniqueId val="{00000004-5CA0-414B-8800-2A783F3F62C4}"/>
              </c:ext>
            </c:extLst>
          </c:dPt>
          <c:dPt>
            <c:idx val="2"/>
            <c:invertIfNegative val="0"/>
            <c:bubble3D val="0"/>
            <c:spPr>
              <a:solidFill>
                <a:schemeClr val="accent3">
                  <a:lumMod val="40000"/>
                  <a:lumOff val="60000"/>
                </a:schemeClr>
              </a:solidFill>
              <a:ln>
                <a:solidFill>
                  <a:sysClr val="windowText" lastClr="000000"/>
                </a:solidFill>
              </a:ln>
            </c:spPr>
            <c:extLst>
              <c:ext xmlns:c16="http://schemas.microsoft.com/office/drawing/2014/chart" uri="{C3380CC4-5D6E-409C-BE32-E72D297353CC}">
                <c16:uniqueId val="{00000006-5CA0-414B-8800-2A783F3F62C4}"/>
              </c:ext>
            </c:extLst>
          </c:dPt>
          <c:val>
            <c:numRef>
              <c:f>'[2024 Gl grafovi i slike.xlsx]tab horizontalne'!$F$49:$H$49</c:f>
              <c:numCache>
                <c:formatCode>0.0%</c:formatCode>
                <c:ptCount val="3"/>
                <c:pt idx="0">
                  <c:v>2.8291658039089333E-2</c:v>
                </c:pt>
                <c:pt idx="1">
                  <c:v>2.9206981104508142E-2</c:v>
                </c:pt>
                <c:pt idx="2">
                  <c:v>4.7927486162749854E-2</c:v>
                </c:pt>
              </c:numCache>
            </c:numRef>
          </c:val>
          <c:extLst>
            <c:ext xmlns:c16="http://schemas.microsoft.com/office/drawing/2014/chart" uri="{C3380CC4-5D6E-409C-BE32-E72D297353CC}">
              <c16:uniqueId val="{00000007-5CA0-414B-8800-2A783F3F62C4}"/>
            </c:ext>
          </c:extLst>
        </c:ser>
        <c:ser>
          <c:idx val="3"/>
          <c:order val="3"/>
          <c:tx>
            <c:strRef>
              <c:f>'[2024 Gl grafovi i slike.xlsx]tab horizontalne'!$A$50</c:f>
              <c:strCache>
                <c:ptCount val="1"/>
                <c:pt idx="0">
                  <c:v>Usavršavanje</c:v>
                </c:pt>
              </c:strCache>
            </c:strRef>
          </c:tx>
          <c:spPr>
            <a:solidFill>
              <a:schemeClr val="tx1"/>
            </a:solidFill>
            <a:ln>
              <a:solidFill>
                <a:sysClr val="windowText" lastClr="000000"/>
              </a:solidFill>
            </a:ln>
          </c:spPr>
          <c:invertIfNegative val="0"/>
          <c:val>
            <c:numRef>
              <c:f>'[2024 Gl grafovi i slike.xlsx]tab horizontalne'!$F$50:$H$50</c:f>
              <c:numCache>
                <c:formatCode>0.0%</c:formatCode>
                <c:ptCount val="3"/>
                <c:pt idx="0">
                  <c:v>3.7362509341931499E-2</c:v>
                </c:pt>
                <c:pt idx="1">
                  <c:v>1.0901171945538747E-4</c:v>
                </c:pt>
                <c:pt idx="2" formatCode="0.00%">
                  <c:v>3.5124626014550581E-3</c:v>
                </c:pt>
              </c:numCache>
            </c:numRef>
          </c:val>
          <c:extLst>
            <c:ext xmlns:c16="http://schemas.microsoft.com/office/drawing/2014/chart" uri="{C3380CC4-5D6E-409C-BE32-E72D297353CC}">
              <c16:uniqueId val="{00000008-5CA0-414B-8800-2A783F3F62C4}"/>
            </c:ext>
          </c:extLst>
        </c:ser>
        <c:ser>
          <c:idx val="4"/>
          <c:order val="4"/>
          <c:tx>
            <c:strRef>
              <c:f>'[2024 Gl grafovi i slike.xlsx]tab horizontalne'!$A$51</c:f>
              <c:strCache>
                <c:ptCount val="1"/>
                <c:pt idx="0">
                  <c:v>Zapošljavanje</c:v>
                </c:pt>
              </c:strCache>
            </c:strRef>
          </c:tx>
          <c:spPr>
            <a:solidFill>
              <a:srgbClr val="FFCCFF"/>
            </a:solidFill>
            <a:ln>
              <a:solidFill>
                <a:sysClr val="windowText" lastClr="000000"/>
              </a:solidFill>
            </a:ln>
          </c:spPr>
          <c:invertIfNegative val="0"/>
          <c:val>
            <c:numRef>
              <c:f>'[2024 Gl grafovi i slike.xlsx]tab horizontalne'!$F$51:$H$51</c:f>
              <c:numCache>
                <c:formatCode>0.0%</c:formatCode>
                <c:ptCount val="3"/>
                <c:pt idx="0">
                  <c:v>0.38541635681534431</c:v>
                </c:pt>
                <c:pt idx="1">
                  <c:v>0.15787230713007472</c:v>
                </c:pt>
                <c:pt idx="2">
                  <c:v>0.18279024932725826</c:v>
                </c:pt>
              </c:numCache>
            </c:numRef>
          </c:val>
          <c:extLst>
            <c:ext xmlns:c16="http://schemas.microsoft.com/office/drawing/2014/chart" uri="{C3380CC4-5D6E-409C-BE32-E72D297353CC}">
              <c16:uniqueId val="{00000009-5CA0-414B-8800-2A783F3F62C4}"/>
            </c:ext>
          </c:extLst>
        </c:ser>
        <c:ser>
          <c:idx val="5"/>
          <c:order val="5"/>
          <c:tx>
            <c:strRef>
              <c:f>'[2024 Gl grafovi i slike.xlsx]tab horizontalne'!$A$52</c:f>
              <c:strCache>
                <c:ptCount val="1"/>
                <c:pt idx="0">
                  <c:v>Kultura</c:v>
                </c:pt>
              </c:strCache>
            </c:strRef>
          </c:tx>
          <c:spPr>
            <a:solidFill>
              <a:srgbClr val="558ED5"/>
            </a:solidFill>
            <a:ln>
              <a:solidFill>
                <a:sysClr val="windowText" lastClr="000000"/>
              </a:solidFill>
            </a:ln>
          </c:spPr>
          <c:invertIfNegative val="1"/>
          <c:val>
            <c:numRef>
              <c:f>'[2024 Gl grafovi i slike.xlsx]tab horizontalne'!$F$52:$H$52</c:f>
              <c:numCache>
                <c:formatCode>0.0%</c:formatCode>
                <c:ptCount val="3"/>
                <c:pt idx="0">
                  <c:v>0.19404754987271011</c:v>
                </c:pt>
                <c:pt idx="1">
                  <c:v>8.9917596396527813E-2</c:v>
                </c:pt>
                <c:pt idx="2">
                  <c:v>1.4723868312462699E-2</c:v>
                </c:pt>
              </c:numCache>
            </c:numRef>
          </c:val>
          <c:extLst>
            <c:ext xmlns:c14="http://schemas.microsoft.com/office/drawing/2007/8/2/chart" uri="{6F2FDCE9-48DA-4B69-8628-5D25D57E5C99}">
              <c14:invertSolidFillFmt>
                <c14:spPr xmlns:c14="http://schemas.microsoft.com/office/drawing/2007/8/2/chart">
                  <a:solidFill>
                    <a:srgbClr val="FFFFFF"/>
                  </a:solidFill>
                  <a:ln>
                    <a:solidFill>
                      <a:sysClr val="windowText" lastClr="000000"/>
                    </a:solidFill>
                  </a:ln>
                </c14:spPr>
              </c14:invertSolidFillFmt>
            </c:ext>
            <c:ext xmlns:c16="http://schemas.microsoft.com/office/drawing/2014/chart" uri="{C3380CC4-5D6E-409C-BE32-E72D297353CC}">
              <c16:uniqueId val="{0000000A-5CA0-414B-8800-2A783F3F62C4}"/>
            </c:ext>
          </c:extLst>
        </c:ser>
        <c:dLbls>
          <c:showLegendKey val="0"/>
          <c:showVal val="0"/>
          <c:showCatName val="0"/>
          <c:showSerName val="0"/>
          <c:showPercent val="0"/>
          <c:showBubbleSize val="0"/>
        </c:dLbls>
        <c:gapWidth val="74"/>
        <c:gapDepth val="171"/>
        <c:shape val="box"/>
        <c:axId val="111439872"/>
        <c:axId val="111441408"/>
        <c:axId val="0"/>
        <c:extLst>
          <c:ext xmlns:c15="http://schemas.microsoft.com/office/drawing/2012/chart" uri="{02D57815-91ED-43cb-92C2-25804820EDAC}">
            <c15:filteredBarSeries>
              <c15:ser>
                <c:idx val="1"/>
                <c:order val="1"/>
                <c:tx>
                  <c:strRef>
                    <c:extLst>
                      <c:ext uri="{02D57815-91ED-43cb-92C2-25804820EDAC}">
                        <c15:formulaRef>
                          <c15:sqref>'tab horizontalne'!#REF!</c15:sqref>
                        </c15:formulaRef>
                      </c:ext>
                    </c:extLst>
                    <c:strCache>
                      <c:ptCount val="1"/>
                      <c:pt idx="0">
                        <c:v>#REF!</c:v>
                      </c:pt>
                    </c:strCache>
                  </c:strRef>
                </c:tx>
                <c:spPr>
                  <a:pattFill prst="wdDnDiag"/>
                  <a:ln>
                    <a:solidFill>
                      <a:sysClr val="windowText" lastClr="000000"/>
                    </a:solidFill>
                  </a:ln>
                </c:spPr>
                <c:invertIfNegative val="0"/>
                <c:val>
                  <c:numRef>
                    <c:extLst>
                      <c:ext uri="{02D57815-91ED-43cb-92C2-25804820EDAC}">
                        <c15:formulaRef>
                          <c15:sqref>'tab horizontalne'!#REF!</c15:sqref>
                        </c15:formulaRef>
                      </c:ext>
                    </c:extLst>
                    <c:numCache>
                      <c:formatCode>General</c:formatCode>
                      <c:ptCount val="1"/>
                      <c:pt idx="0">
                        <c:v>1</c:v>
                      </c:pt>
                    </c:numCache>
                  </c:numRef>
                </c:val>
                <c:extLst>
                  <c:ext xmlns:c16="http://schemas.microsoft.com/office/drawing/2014/chart" uri="{C3380CC4-5D6E-409C-BE32-E72D297353CC}">
                    <c16:uniqueId val="{0000000B-5CA0-414B-8800-2A783F3F62C4}"/>
                  </c:ext>
                </c:extLst>
              </c15:ser>
            </c15:filteredBarSeries>
          </c:ext>
        </c:extLst>
      </c:bar3DChart>
      <c:catAx>
        <c:axId val="11143987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11441408"/>
        <c:crosses val="autoZero"/>
        <c:auto val="1"/>
        <c:lblAlgn val="ctr"/>
        <c:lblOffset val="100"/>
        <c:noMultiLvlLbl val="0"/>
      </c:catAx>
      <c:valAx>
        <c:axId val="111441408"/>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11439872"/>
        <c:crosses val="autoZero"/>
        <c:crossBetween val="between"/>
      </c:valAx>
      <c:spPr>
        <a:noFill/>
        <a:ln w="25400">
          <a:noFill/>
        </a:ln>
      </c:spPr>
    </c:plotArea>
    <c:legend>
      <c:legendPos val="r"/>
      <c:layout>
        <c:manualLayout>
          <c:xMode val="edge"/>
          <c:yMode val="edge"/>
          <c:x val="0.76606634723329514"/>
          <c:y val="1.8196568404156094E-2"/>
          <c:w val="0.21966728627182347"/>
          <c:h val="0.79603860482408551"/>
        </c:manualLayout>
      </c:layout>
      <c:overlay val="0"/>
    </c:legend>
    <c:plotVisOnly val="1"/>
    <c:dispBlanksAs val="gap"/>
    <c:showDLblsOverMax val="0"/>
  </c:chart>
  <c:txPr>
    <a:bodyPr/>
    <a:lstStyle/>
    <a:p>
      <a:pPr>
        <a:defRPr sz="9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171155451844226E-2"/>
          <c:y val="8.4558919533915311E-2"/>
          <c:w val="0.85533529411245313"/>
          <c:h val="0.73529411764705888"/>
        </c:manualLayout>
      </c:layout>
      <c:barChart>
        <c:barDir val="col"/>
        <c:grouping val="clustered"/>
        <c:varyColors val="0"/>
        <c:ser>
          <c:idx val="0"/>
          <c:order val="0"/>
          <c:tx>
            <c:strRef>
              <c:f>'tab horizontalne'!$A$68</c:f>
              <c:strCache>
                <c:ptCount val="1"/>
                <c:pt idx="0">
                  <c:v>2022.</c:v>
                </c:pt>
              </c:strCache>
            </c:strRef>
          </c:tx>
          <c:spPr>
            <a:solidFill>
              <a:srgbClr val="9999FF"/>
            </a:solidFill>
            <a:ln w="12700">
              <a:solidFill>
                <a:srgbClr val="000000"/>
              </a:solidFill>
              <a:prstDash val="solid"/>
            </a:ln>
          </c:spPr>
          <c:invertIfNegative val="0"/>
          <c:dLbls>
            <c:spPr>
              <a:noFill/>
              <a:ln w="3175">
                <a:solidFill>
                  <a:schemeClr val="tx2"/>
                </a:solidFill>
              </a:ln>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c:v>
                </c:pt>
                <c:pt idx="3">
                  <c:v>D</c:v>
                </c:pt>
              </c:strCache>
            </c:strRef>
          </c:cat>
          <c:val>
            <c:numRef>
              <c:f>'tab horizontalne'!$B$68:$F$68</c:f>
              <c:numCache>
                <c:formatCode>0.0</c:formatCode>
                <c:ptCount val="4"/>
                <c:pt idx="0">
                  <c:v>97.241938754816474</c:v>
                </c:pt>
                <c:pt idx="1">
                  <c:v>1.2167917258162642</c:v>
                </c:pt>
                <c:pt idx="2" formatCode="0.00">
                  <c:v>2.0279862096937738E-2</c:v>
                </c:pt>
                <c:pt idx="3">
                  <c:v>1.5209896572703305</c:v>
                </c:pt>
              </c:numCache>
            </c:numRef>
          </c:val>
          <c:extLst>
            <c:ext xmlns:c16="http://schemas.microsoft.com/office/drawing/2014/chart" uri="{C3380CC4-5D6E-409C-BE32-E72D297353CC}">
              <c16:uniqueId val="{00000000-1707-4726-B0D7-93FAE69BCFF6}"/>
            </c:ext>
          </c:extLst>
        </c:ser>
        <c:ser>
          <c:idx val="1"/>
          <c:order val="1"/>
          <c:tx>
            <c:strRef>
              <c:f>'tab horizontalne'!$A$69</c:f>
              <c:strCache>
                <c:ptCount val="1"/>
                <c:pt idx="0">
                  <c:v>2023.</c:v>
                </c:pt>
              </c:strCache>
            </c:strRef>
          </c:tx>
          <c:spPr>
            <a:solidFill>
              <a:srgbClr val="FFFFCC"/>
            </a:solidFill>
            <a:ln w="12700">
              <a:solidFill>
                <a:srgbClr val="000000"/>
              </a:solidFill>
              <a:prstDash val="solid"/>
            </a:ln>
          </c:spPr>
          <c:invertIfNegative val="0"/>
          <c:dLbls>
            <c:spPr>
              <a:noFill/>
              <a:ln w="3175">
                <a:solidFill>
                  <a:schemeClr val="tx2"/>
                </a:solidFill>
              </a:ln>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c:v>
                </c:pt>
                <c:pt idx="3">
                  <c:v>D</c:v>
                </c:pt>
              </c:strCache>
            </c:strRef>
          </c:cat>
          <c:val>
            <c:numRef>
              <c:f>'tab horizontalne'!$B$69:$F$69</c:f>
              <c:numCache>
                <c:formatCode>0.0</c:formatCode>
                <c:ptCount val="4"/>
                <c:pt idx="0">
                  <c:v>98.583833339544597</c:v>
                </c:pt>
                <c:pt idx="1">
                  <c:v>0.26087280587336487</c:v>
                </c:pt>
                <c:pt idx="2">
                  <c:v>0.40994298065814483</c:v>
                </c:pt>
                <c:pt idx="3">
                  <c:v>0.74535087392389954</c:v>
                </c:pt>
              </c:numCache>
            </c:numRef>
          </c:val>
          <c:extLst>
            <c:ext xmlns:c16="http://schemas.microsoft.com/office/drawing/2014/chart" uri="{C3380CC4-5D6E-409C-BE32-E72D297353CC}">
              <c16:uniqueId val="{00000001-1707-4726-B0D7-93FAE69BCFF6}"/>
            </c:ext>
          </c:extLst>
        </c:ser>
        <c:ser>
          <c:idx val="3"/>
          <c:order val="2"/>
          <c:tx>
            <c:strRef>
              <c:f>'tab horizontalne'!$A$70</c:f>
              <c:strCache>
                <c:ptCount val="1"/>
                <c:pt idx="0">
                  <c:v>2024.</c:v>
                </c:pt>
              </c:strCache>
            </c:strRef>
          </c:tx>
          <c:spPr>
            <a:ln>
              <a:solidFill>
                <a:srgbClr val="000000"/>
              </a:solidFill>
            </a:ln>
          </c:spPr>
          <c:invertIfNegative val="0"/>
          <c:dLbls>
            <c:spPr>
              <a:noFill/>
              <a:ln w="3175">
                <a:solidFill>
                  <a:schemeClr val="tx2"/>
                </a:solidFill>
              </a:ln>
              <a:effectLst/>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c:v>
                </c:pt>
                <c:pt idx="3">
                  <c:v>D</c:v>
                </c:pt>
              </c:strCache>
            </c:strRef>
          </c:cat>
          <c:val>
            <c:numRef>
              <c:f>'tab horizontalne'!$B$70:$F$70</c:f>
              <c:numCache>
                <c:formatCode>0.0</c:formatCode>
                <c:ptCount val="4"/>
                <c:pt idx="0">
                  <c:v>99.71896955503513</c:v>
                </c:pt>
                <c:pt idx="1">
                  <c:v>0</c:v>
                </c:pt>
                <c:pt idx="2">
                  <c:v>0.28103044496487117</c:v>
                </c:pt>
                <c:pt idx="3">
                  <c:v>0</c:v>
                </c:pt>
              </c:numCache>
            </c:numRef>
          </c:val>
          <c:extLst>
            <c:ext xmlns:c16="http://schemas.microsoft.com/office/drawing/2014/chart" uri="{C3380CC4-5D6E-409C-BE32-E72D297353CC}">
              <c16:uniqueId val="{00000002-1707-4726-B0D7-93FAE69BCFF6}"/>
            </c:ext>
          </c:extLst>
        </c:ser>
        <c:dLbls>
          <c:showLegendKey val="0"/>
          <c:showVal val="0"/>
          <c:showCatName val="0"/>
          <c:showSerName val="0"/>
          <c:showPercent val="0"/>
          <c:showBubbleSize val="0"/>
        </c:dLbls>
        <c:gapWidth val="150"/>
        <c:axId val="110660992"/>
        <c:axId val="110670976"/>
      </c:barChart>
      <c:catAx>
        <c:axId val="11066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10670976"/>
        <c:crossesAt val="0"/>
        <c:auto val="0"/>
        <c:lblAlgn val="ctr"/>
        <c:lblOffset val="100"/>
        <c:noMultiLvlLbl val="0"/>
      </c:catAx>
      <c:valAx>
        <c:axId val="110670976"/>
        <c:scaling>
          <c:orientation val="minMax"/>
          <c:max val="100"/>
          <c:min val="0"/>
        </c:scaling>
        <c:delete val="0"/>
        <c:axPos val="l"/>
        <c:majorGridlines>
          <c:spPr>
            <a:ln w="3175">
              <a:solidFill>
                <a:srgbClr val="969696"/>
              </a:solidFill>
              <a:prstDash val="sysDash"/>
            </a:ln>
          </c:spPr>
        </c:majorGridlines>
        <c:minorGridlines>
          <c:spPr>
            <a:ln w="3175">
              <a:solidFill>
                <a:srgbClr val="000000"/>
              </a:solidFill>
              <a:prstDash val="solid"/>
            </a:ln>
          </c:spPr>
        </c:minorGridlines>
        <c:numFmt formatCode="0.0" sourceLinked="0"/>
        <c:majorTickMark val="out"/>
        <c:minorTickMark val="none"/>
        <c:tickLblPos val="nextTo"/>
        <c:spPr>
          <a:ln w="3175">
            <a:solidFill>
              <a:srgbClr val="969696"/>
            </a:solidFill>
            <a:prstDash val="sysDash"/>
          </a:ln>
        </c:spPr>
        <c:txPr>
          <a:bodyPr rot="0" vert="horz"/>
          <a:lstStyle/>
          <a:p>
            <a:pPr>
              <a:defRPr/>
            </a:pPr>
            <a:endParaRPr lang="sr-Latn-RS"/>
          </a:p>
        </c:txPr>
        <c:crossAx val="110660992"/>
        <c:crosses val="autoZero"/>
        <c:crossBetween val="between"/>
        <c:minorUnit val="20"/>
      </c:valAx>
      <c:spPr>
        <a:gradFill rotWithShape="0">
          <a:gsLst>
            <a:gs pos="0">
              <a:srgbClr val="C0C0C0">
                <a:gamma/>
                <a:tint val="0"/>
                <a:invGamma/>
              </a:srgbClr>
            </a:gs>
            <a:gs pos="100000">
              <a:srgbClr val="C0C0C0"/>
            </a:gs>
          </a:gsLst>
          <a:lin ang="5400000" scaled="1"/>
        </a:gradFill>
        <a:ln w="25400">
          <a:noFill/>
        </a:ln>
      </c:spPr>
    </c:plotArea>
    <c:legend>
      <c:legendPos val="r"/>
      <c:layout>
        <c:manualLayout>
          <c:xMode val="edge"/>
          <c:yMode val="edge"/>
          <c:x val="0.4013523037617831"/>
          <c:y val="0.13197225415738884"/>
          <c:w val="0.57979816412994112"/>
          <c:h val="0.15479011600978057"/>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9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4"/>
      <c:hPercent val="55"/>
      <c:rotY val="23"/>
      <c:depthPercent val="100"/>
      <c:rAngAx val="1"/>
    </c:view3D>
    <c:floor>
      <c:thickness val="0"/>
      <c:spPr>
        <a:solidFill>
          <a:schemeClr val="bg1"/>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7.6512308427673828E-2"/>
          <c:y val="2.2649402253230956E-2"/>
          <c:w val="0.75718171667277256"/>
          <c:h val="0.91588585731884242"/>
        </c:manualLayout>
      </c:layout>
      <c:bar3DChart>
        <c:barDir val="col"/>
        <c:grouping val="clustered"/>
        <c:varyColors val="0"/>
        <c:ser>
          <c:idx val="0"/>
          <c:order val="0"/>
          <c:tx>
            <c:strRef>
              <c:f>'tab regionalne'!$A$17</c:f>
              <c:strCache>
                <c:ptCount val="1"/>
                <c:pt idx="0">
                  <c:v>A1 subvencije</c:v>
                </c:pt>
              </c:strCache>
            </c:strRef>
          </c:tx>
          <c:invertIfNegative val="0"/>
          <c:dLbls>
            <c:dLbl>
              <c:idx val="0"/>
              <c:layout>
                <c:manualLayout>
                  <c:x val="-1.650479191291188E-3"/>
                  <c:y val="-6.6145144321413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3C-441D-B7BC-735EF9961AB7}"/>
                </c:ext>
              </c:extLst>
            </c:dLbl>
            <c:dLbl>
              <c:idx val="1"/>
              <c:layout>
                <c:manualLayout>
                  <c:x val="-1.0927975140231217E-2"/>
                  <c:y val="-3.2415531391909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3C-441D-B7BC-735EF9961AB7}"/>
                </c:ext>
              </c:extLst>
            </c:dLbl>
            <c:dLbl>
              <c:idx val="2"/>
              <c:layout>
                <c:manualLayout>
                  <c:x val="-4.9514375738735645E-3"/>
                  <c:y val="-4.6301601024989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3C-441D-B7BC-735EF9961AB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2022.</c:v>
                </c:pt>
                <c:pt idx="1">
                  <c:v>2023.</c:v>
                </c:pt>
                <c:pt idx="2">
                  <c:v>2024.</c:v>
                </c:pt>
              </c:strCache>
            </c:strRef>
          </c:cat>
          <c:val>
            <c:numRef>
              <c:f>'tab regionalne'!$B$17:$D$17</c:f>
              <c:numCache>
                <c:formatCode>#,##0.0</c:formatCode>
                <c:ptCount val="3"/>
                <c:pt idx="0">
                  <c:v>2.6</c:v>
                </c:pt>
                <c:pt idx="1">
                  <c:v>9.9</c:v>
                </c:pt>
                <c:pt idx="2">
                  <c:v>9</c:v>
                </c:pt>
              </c:numCache>
            </c:numRef>
          </c:val>
          <c:extLst>
            <c:ext xmlns:c16="http://schemas.microsoft.com/office/drawing/2014/chart" uri="{C3380CC4-5D6E-409C-BE32-E72D297353CC}">
              <c16:uniqueId val="{00000003-353C-441D-B7BC-735EF9961AB7}"/>
            </c:ext>
          </c:extLst>
        </c:ser>
        <c:ser>
          <c:idx val="1"/>
          <c:order val="1"/>
          <c:tx>
            <c:strRef>
              <c:f>'tab regionalne'!$A$18</c:f>
              <c:strCache>
                <c:ptCount val="1"/>
                <c:pt idx="0">
                  <c:v>A2 porezne olakšice</c:v>
                </c:pt>
              </c:strCache>
            </c:strRef>
          </c:tx>
          <c:invertIfNegative val="0"/>
          <c:dLbls>
            <c:dLbl>
              <c:idx val="0"/>
              <c:layout>
                <c:manualLayout>
                  <c:x val="2.1456229486785414E-2"/>
                  <c:y val="-6.9452401537483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3C-441D-B7BC-735EF9961AB7}"/>
                </c:ext>
              </c:extLst>
            </c:dLbl>
            <c:dLbl>
              <c:idx val="1"/>
              <c:layout>
                <c:manualLayout>
                  <c:x val="1.1553354339038256E-2"/>
                  <c:y val="-4.2994343808918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3C-441D-B7BC-735EF9961AB7}"/>
                </c:ext>
              </c:extLst>
            </c:dLbl>
            <c:dLbl>
              <c:idx val="2"/>
              <c:layout>
                <c:manualLayout>
                  <c:x val="4.8611803123271798E-2"/>
                  <c:y val="-5.4236553764112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3C-441D-B7BC-735EF9961AB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2022.</c:v>
                </c:pt>
                <c:pt idx="1">
                  <c:v>2023.</c:v>
                </c:pt>
                <c:pt idx="2">
                  <c:v>2024.</c:v>
                </c:pt>
              </c:strCache>
            </c:strRef>
          </c:cat>
          <c:val>
            <c:numRef>
              <c:f>'tab regionalne'!$B$18:$D$18</c:f>
              <c:numCache>
                <c:formatCode>#,##0.0</c:formatCode>
                <c:ptCount val="3"/>
                <c:pt idx="0">
                  <c:v>101.5</c:v>
                </c:pt>
                <c:pt idx="1">
                  <c:v>120.1</c:v>
                </c:pt>
                <c:pt idx="2">
                  <c:v>115.9</c:v>
                </c:pt>
              </c:numCache>
            </c:numRef>
          </c:val>
          <c:extLst>
            <c:ext xmlns:c16="http://schemas.microsoft.com/office/drawing/2014/chart" uri="{C3380CC4-5D6E-409C-BE32-E72D297353CC}">
              <c16:uniqueId val="{00000007-353C-441D-B7BC-735EF9961AB7}"/>
            </c:ext>
          </c:extLst>
        </c:ser>
        <c:ser>
          <c:idx val="3"/>
          <c:order val="3"/>
          <c:tx>
            <c:strRef>
              <c:f>'tab regionalne'!$A$20</c:f>
              <c:strCache>
                <c:ptCount val="1"/>
                <c:pt idx="0">
                  <c:v>C povoljni zajmovi</c:v>
                </c:pt>
              </c:strCache>
            </c:strRef>
          </c:tx>
          <c:invertIfNegative val="0"/>
          <c:dLbls>
            <c:dLbl>
              <c:idx val="0"/>
              <c:layout>
                <c:manualLayout>
                  <c:x val="2.4757187869367821E-2"/>
                  <c:y val="-4.960885824106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3C-441D-B7BC-735EF9961AB7}"/>
                </c:ext>
              </c:extLst>
            </c:dLbl>
            <c:dLbl>
              <c:idx val="1"/>
              <c:layout>
                <c:manualLayout>
                  <c:x val="1.9805750295494258E-2"/>
                  <c:y val="-4.960885824105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3C-441D-B7BC-735EF9961AB7}"/>
                </c:ext>
              </c:extLst>
            </c:dLbl>
            <c:dLbl>
              <c:idx val="2"/>
              <c:layout>
                <c:manualLayout>
                  <c:x val="2.3106708678076512E-2"/>
                  <c:y val="-5.6223372673201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3C-441D-B7BC-735EF9961AB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2022.</c:v>
                </c:pt>
                <c:pt idx="1">
                  <c:v>2023.</c:v>
                </c:pt>
                <c:pt idx="2">
                  <c:v>2024.</c:v>
                </c:pt>
              </c:strCache>
            </c:strRef>
          </c:cat>
          <c:val>
            <c:numRef>
              <c:f>'tab regionalne'!$B$20:$D$20</c:f>
              <c:numCache>
                <c:formatCode>#,##0.0</c:formatCode>
                <c:ptCount val="3"/>
                <c:pt idx="0">
                  <c:v>2.9</c:v>
                </c:pt>
                <c:pt idx="1">
                  <c:v>20.8</c:v>
                </c:pt>
                <c:pt idx="2">
                  <c:v>5.6</c:v>
                </c:pt>
              </c:numCache>
            </c:numRef>
          </c:val>
          <c:extLst>
            <c:ext xmlns:c16="http://schemas.microsoft.com/office/drawing/2014/chart" uri="{C3380CC4-5D6E-409C-BE32-E72D297353CC}">
              <c16:uniqueId val="{0000000B-353C-441D-B7BC-735EF9961AB7}"/>
            </c:ext>
          </c:extLst>
        </c:ser>
        <c:ser>
          <c:idx val="4"/>
          <c:order val="4"/>
          <c:tx>
            <c:strRef>
              <c:f>'tab regionalne'!$A$21</c:f>
              <c:strCache>
                <c:ptCount val="1"/>
                <c:pt idx="0">
                  <c:v>D jamstva</c:v>
                </c:pt>
              </c:strCache>
            </c:strRef>
          </c:tx>
          <c:invertIfNegative val="0"/>
          <c:dLbls>
            <c:dLbl>
              <c:idx val="0"/>
              <c:layout>
                <c:manualLayout>
                  <c:x val="2.506591525557628E-2"/>
                  <c:y val="-2.9846477523642875E-2"/>
                </c:manualLayout>
              </c:layout>
              <c:showLegendKey val="0"/>
              <c:showVal val="1"/>
              <c:showCatName val="0"/>
              <c:showSerName val="0"/>
              <c:showPercent val="0"/>
              <c:showBubbleSize val="0"/>
              <c:extLst>
                <c:ext xmlns:c15="http://schemas.microsoft.com/office/drawing/2012/chart" uri="{CE6537A1-D6FC-4f65-9D91-7224C49458BB}">
                  <c15:layout>
                    <c:manualLayout>
                      <c:w val="5.4331867379453815E-2"/>
                      <c:h val="4.9903345415156432E-2"/>
                    </c:manualLayout>
                  </c15:layout>
                </c:ext>
                <c:ext xmlns:c16="http://schemas.microsoft.com/office/drawing/2014/chart" uri="{C3380CC4-5D6E-409C-BE32-E72D297353CC}">
                  <c16:uniqueId val="{0000000C-353C-441D-B7BC-735EF9961AB7}"/>
                </c:ext>
              </c:extLst>
            </c:dLbl>
            <c:dLbl>
              <c:idx val="1"/>
              <c:layout>
                <c:manualLayout>
                  <c:x val="2.4819495172770985E-2"/>
                  <c:y val="-6.4610860681105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53C-441D-B7BC-735EF9961AB7}"/>
                </c:ext>
              </c:extLst>
            </c:dLbl>
            <c:dLbl>
              <c:idx val="2"/>
              <c:layout>
                <c:manualLayout>
                  <c:x val="2.4960416733061493E-2"/>
                  <c:y val="-2.812143096123253E-2"/>
                </c:manualLayout>
              </c:layout>
              <c:spPr>
                <a:noFill/>
                <a:ln>
                  <a:noFill/>
                </a:ln>
                <a:effectLst/>
              </c:spPr>
              <c:txPr>
                <a:bodyPr/>
                <a:lstStyle/>
                <a:p>
                  <a:pPr>
                    <a:defRPr/>
                  </a:pPr>
                  <a:endParaRPr lang="sr-Latn-RS"/>
                </a:p>
              </c:txPr>
              <c:showLegendKey val="0"/>
              <c:showVal val="1"/>
              <c:showCatName val="0"/>
              <c:showSerName val="0"/>
              <c:showPercent val="0"/>
              <c:showBubbleSize val="0"/>
              <c:extLst>
                <c:ext xmlns:c15="http://schemas.microsoft.com/office/drawing/2012/chart" uri="{CE6537A1-D6FC-4f65-9D91-7224C49458BB}">
                  <c15:layout>
                    <c:manualLayout>
                      <c:w val="5.9683037948015695E-2"/>
                      <c:h val="6.2210140399116778E-2"/>
                    </c:manualLayout>
                  </c15:layout>
                </c:ext>
                <c:ext xmlns:c16="http://schemas.microsoft.com/office/drawing/2014/chart" uri="{C3380CC4-5D6E-409C-BE32-E72D297353CC}">
                  <c16:uniqueId val="{0000000E-353C-441D-B7BC-735EF9961AB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2022.</c:v>
                </c:pt>
                <c:pt idx="1">
                  <c:v>2023.</c:v>
                </c:pt>
                <c:pt idx="2">
                  <c:v>2024.</c:v>
                </c:pt>
              </c:strCache>
            </c:strRef>
          </c:cat>
          <c:val>
            <c:numRef>
              <c:f>'tab regionalne'!$B$21:$D$21</c:f>
              <c:numCache>
                <c:formatCode>#,##0.0</c:formatCode>
                <c:ptCount val="3"/>
                <c:pt idx="0">
                  <c:v>0</c:v>
                </c:pt>
                <c:pt idx="1">
                  <c:v>0.1</c:v>
                </c:pt>
                <c:pt idx="2">
                  <c:v>4.4000000000000004</c:v>
                </c:pt>
              </c:numCache>
            </c:numRef>
          </c:val>
          <c:extLst>
            <c:ext xmlns:c16="http://schemas.microsoft.com/office/drawing/2014/chart" uri="{C3380CC4-5D6E-409C-BE32-E72D297353CC}">
              <c16:uniqueId val="{0000000F-353C-441D-B7BC-735EF9961AB7}"/>
            </c:ext>
          </c:extLst>
        </c:ser>
        <c:dLbls>
          <c:showLegendKey val="0"/>
          <c:showVal val="0"/>
          <c:showCatName val="0"/>
          <c:showSerName val="0"/>
          <c:showPercent val="0"/>
          <c:showBubbleSize val="0"/>
        </c:dLbls>
        <c:gapWidth val="150"/>
        <c:shape val="box"/>
        <c:axId val="111632768"/>
        <c:axId val="111634304"/>
        <c:axId val="0"/>
        <c:extLst>
          <c:ext xmlns:c15="http://schemas.microsoft.com/office/drawing/2012/chart" uri="{02D57815-91ED-43cb-92C2-25804820EDAC}">
            <c15:filteredBarSeries>
              <c15:ser>
                <c:idx val="2"/>
                <c:order val="2"/>
                <c:tx>
                  <c:strRef>
                    <c:extLst>
                      <c:ext uri="{02D57815-91ED-43cb-92C2-25804820EDAC}">
                        <c15:formulaRef>
                          <c15:sqref>'tab regionalne'!$A$19</c15:sqref>
                        </c15:formulaRef>
                      </c:ext>
                    </c:extLst>
                    <c:strCache>
                      <c:ptCount val="1"/>
                      <c:pt idx="0">
                        <c:v>B1 Kapitalna ulaganja</c:v>
                      </c:pt>
                    </c:strCache>
                  </c:strRef>
                </c:tx>
                <c:invertIfNegative val="0"/>
                <c:dLbls>
                  <c:dLbl>
                    <c:idx val="0"/>
                    <c:layout>
                      <c:manualLayout>
                        <c:x val="1.6504791912911879E-2"/>
                        <c:y val="-6.2837887105342646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10-353C-441D-B7BC-735EF9961AB7}"/>
                      </c:ext>
                    </c:extLst>
                  </c:dLbl>
                  <c:dLbl>
                    <c:idx val="1"/>
                    <c:layout>
                      <c:manualLayout>
                        <c:x val="1.4854312721620692E-2"/>
                        <c:y val="-5.6223372673201322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11-353C-441D-B7BC-735EF9961AB7}"/>
                      </c:ext>
                    </c:extLst>
                  </c:dLbl>
                  <c:dLbl>
                    <c:idx val="2"/>
                    <c:layout>
                      <c:manualLayout>
                        <c:x val="1.8155271104202949E-2"/>
                        <c:y val="-5.9530629889271984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12-353C-441D-B7BC-735EF9961AB7}"/>
                      </c:ext>
                    </c:extLst>
                  </c:dLbl>
                  <c:spPr>
                    <a:noFill/>
                    <a:ln>
                      <a:noFill/>
                    </a:ln>
                    <a:effectLst/>
                  </c:spPr>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'tab regionalne'!$B$16:$D$16</c15:sqref>
                        </c15:formulaRef>
                      </c:ext>
                    </c:extLst>
                    <c:strCache>
                      <c:ptCount val="3"/>
                      <c:pt idx="0">
                        <c:v>2022.</c:v>
                      </c:pt>
                      <c:pt idx="1">
                        <c:v>2023.</c:v>
                      </c:pt>
                      <c:pt idx="2">
                        <c:v>2024.</c:v>
                      </c:pt>
                    </c:strCache>
                  </c:strRef>
                </c:cat>
                <c:val>
                  <c:numRef>
                    <c:extLst>
                      <c:ext uri="{02D57815-91ED-43cb-92C2-25804820EDAC}">
                        <c15:formulaRef>
                          <c15:sqref>'tab regionalne'!$B$19:$D$19</c15:sqref>
                        </c15:formulaRef>
                      </c:ext>
                    </c:extLst>
                    <c:numCache>
                      <c:formatCode>#,##0.0</c:formatCode>
                      <c:ptCount val="3"/>
                      <c:pt idx="0">
                        <c:v>0</c:v>
                      </c:pt>
                      <c:pt idx="1">
                        <c:v>0</c:v>
                      </c:pt>
                      <c:pt idx="2">
                        <c:v>0</c:v>
                      </c:pt>
                    </c:numCache>
                  </c:numRef>
                </c:val>
                <c:extLst>
                  <c:ext xmlns:c16="http://schemas.microsoft.com/office/drawing/2014/chart" uri="{C3380CC4-5D6E-409C-BE32-E72D297353CC}">
                    <c16:uniqueId val="{00000013-353C-441D-B7BC-735EF9961AB7}"/>
                  </c:ext>
                </c:extLst>
              </c15:ser>
            </c15:filteredBarSeries>
          </c:ext>
        </c:extLst>
      </c:bar3DChart>
      <c:catAx>
        <c:axId val="111632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11634304"/>
        <c:crosses val="autoZero"/>
        <c:auto val="1"/>
        <c:lblAlgn val="ctr"/>
        <c:lblOffset val="100"/>
        <c:tickLblSkip val="1"/>
        <c:tickMarkSkip val="1"/>
        <c:noMultiLvlLbl val="0"/>
      </c:catAx>
      <c:valAx>
        <c:axId val="111634304"/>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11632768"/>
        <c:crosses val="autoZero"/>
        <c:crossBetween val="between"/>
      </c:valAx>
      <c:spPr>
        <a:noFill/>
        <a:ln w="25400">
          <a:noFill/>
        </a:ln>
      </c:spPr>
    </c:plotArea>
    <c:legend>
      <c:legendPos val="b"/>
      <c:layout>
        <c:manualLayout>
          <c:xMode val="edge"/>
          <c:yMode val="edge"/>
          <c:x val="0.81041624312011162"/>
          <c:y val="5.109361329833766E-3"/>
          <c:w val="0.17620577797847622"/>
          <c:h val="0.72379910891763122"/>
        </c:manualLayout>
      </c:layout>
      <c:overlay val="0"/>
      <c:spPr>
        <a:solidFill>
          <a:srgbClr val="FFFFFF"/>
        </a:solidFill>
        <a:ln w="3175">
          <a:solidFill>
            <a:srgbClr val="000000"/>
          </a:solidFill>
          <a:prstDash val="solid"/>
        </a:ln>
      </c:spPr>
      <c:txPr>
        <a:bodyPr/>
        <a:lstStyle/>
        <a:p>
          <a:pPr>
            <a:defRPr i="1"/>
          </a:pPr>
          <a:endParaRPr lang="sr-Latn-RS"/>
        </a:p>
      </c:txPr>
    </c:legend>
    <c:plotVisOnly val="1"/>
    <c:dispBlanksAs val="gap"/>
    <c:showDLblsOverMax val="0"/>
  </c:chart>
  <c:spPr>
    <a:solidFill>
      <a:srgbClr val="FFFFFF"/>
    </a:solidFill>
    <a:ln w="9525">
      <a:solidFill>
        <a:srgbClr val="000000"/>
      </a:solidFill>
    </a:ln>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30"/>
      <c:rAngAx val="1"/>
    </c:view3D>
    <c:floor>
      <c:thickness val="0"/>
    </c:floor>
    <c:sideWall>
      <c:thickness val="0"/>
      <c:spPr>
        <a:noFill/>
      </c:spPr>
    </c:sideWall>
    <c:backWall>
      <c:thickness val="0"/>
      <c:spPr>
        <a:noFill/>
      </c:spPr>
    </c:backWall>
    <c:plotArea>
      <c:layout>
        <c:manualLayout>
          <c:layoutTarget val="inner"/>
          <c:xMode val="edge"/>
          <c:yMode val="edge"/>
          <c:x val="8.8032841116467087E-2"/>
          <c:y val="4.2883428679178721E-2"/>
          <c:w val="0.67660211105057078"/>
          <c:h val="0.86035468046216124"/>
        </c:manualLayout>
      </c:layout>
      <c:bar3DChart>
        <c:barDir val="col"/>
        <c:grouping val="percentStacked"/>
        <c:varyColors val="0"/>
        <c:ser>
          <c:idx val="0"/>
          <c:order val="0"/>
          <c:tx>
            <c:strRef>
              <c:f>'[2024 Gl grafovi i slike.xlsx]tab sektorske'!$A$41</c:f>
              <c:strCache>
                <c:ptCount val="1"/>
                <c:pt idx="0">
                  <c:v>Poštanske usluge</c:v>
                </c:pt>
              </c:strCache>
            </c:strRef>
          </c:tx>
          <c:spPr>
            <a:solidFill>
              <a:schemeClr val="tx1"/>
            </a:solidFill>
          </c:spPr>
          <c:invertIfNegative val="0"/>
          <c:cat>
            <c:strRef>
              <c:f>'[2024 Gl grafovi i slike.xlsx]tab sektorske'!$B$40:$D$40</c:f>
              <c:strCache>
                <c:ptCount val="3"/>
                <c:pt idx="0">
                  <c:v>udio (%) 2022.</c:v>
                </c:pt>
                <c:pt idx="1">
                  <c:v>udio (%) 2023.</c:v>
                </c:pt>
                <c:pt idx="2">
                  <c:v>udio (%) 2024.</c:v>
                </c:pt>
              </c:strCache>
            </c:strRef>
          </c:cat>
          <c:val>
            <c:numRef>
              <c:f>'[2024 Gl grafovi i slike.xlsx]tab sektorske'!$B$41:$D$41</c:f>
              <c:numCache>
                <c:formatCode>0.00%</c:formatCode>
                <c:ptCount val="3"/>
                <c:pt idx="0">
                  <c:v>2.1904148629006949E-2</c:v>
                </c:pt>
                <c:pt idx="1">
                  <c:v>1.7393553653141467E-2</c:v>
                </c:pt>
                <c:pt idx="2">
                  <c:v>3.1285012801224324E-2</c:v>
                </c:pt>
              </c:numCache>
            </c:numRef>
          </c:val>
          <c:extLst>
            <c:ext xmlns:c16="http://schemas.microsoft.com/office/drawing/2014/chart" uri="{C3380CC4-5D6E-409C-BE32-E72D297353CC}">
              <c16:uniqueId val="{00000000-D60A-4246-A4FB-C3A3E523DEC2}"/>
            </c:ext>
          </c:extLst>
        </c:ser>
        <c:ser>
          <c:idx val="1"/>
          <c:order val="1"/>
          <c:tx>
            <c:strRef>
              <c:f>'[2024 Gl grafovi i slike.xlsx]tab sektorske'!$A$43</c:f>
              <c:strCache>
                <c:ptCount val="1"/>
                <c:pt idx="0">
                  <c:v>Promet</c:v>
                </c:pt>
              </c:strCache>
            </c:strRef>
          </c:tx>
          <c:spPr>
            <a:solidFill>
              <a:srgbClr val="FFFF99"/>
            </a:solidFill>
            <a:ln>
              <a:solidFill>
                <a:srgbClr val="002060"/>
              </a:solidFill>
            </a:ln>
          </c:spPr>
          <c:invertIfNegative val="0"/>
          <c:cat>
            <c:strRef>
              <c:f>'[2024 Gl grafovi i slike.xlsx]tab sektorske'!$B$40:$D$40</c:f>
              <c:strCache>
                <c:ptCount val="3"/>
                <c:pt idx="0">
                  <c:v>udio (%) 2022.</c:v>
                </c:pt>
                <c:pt idx="1">
                  <c:v>udio (%) 2023.</c:v>
                </c:pt>
                <c:pt idx="2">
                  <c:v>udio (%) 2024.</c:v>
                </c:pt>
              </c:strCache>
            </c:strRef>
          </c:cat>
          <c:val>
            <c:numRef>
              <c:f>'[2024 Gl grafovi i slike.xlsx]tab sektorske'!$B$43:$D$43</c:f>
              <c:numCache>
                <c:formatCode>0.00%</c:formatCode>
                <c:ptCount val="3"/>
                <c:pt idx="0">
                  <c:v>0.33937283206494556</c:v>
                </c:pt>
                <c:pt idx="1">
                  <c:v>0.37667385232854539</c:v>
                </c:pt>
                <c:pt idx="2">
                  <c:v>0.45582421913008075</c:v>
                </c:pt>
              </c:numCache>
            </c:numRef>
          </c:val>
          <c:extLst>
            <c:ext xmlns:c16="http://schemas.microsoft.com/office/drawing/2014/chart" uri="{C3380CC4-5D6E-409C-BE32-E72D297353CC}">
              <c16:uniqueId val="{00000001-D60A-4246-A4FB-C3A3E523DEC2}"/>
            </c:ext>
          </c:extLst>
        </c:ser>
        <c:ser>
          <c:idx val="2"/>
          <c:order val="2"/>
          <c:tx>
            <c:strRef>
              <c:f>'[2024 Gl grafovi i slike.xlsx]tab sektorske'!$A$44</c:f>
              <c:strCache>
                <c:ptCount val="1"/>
                <c:pt idx="0">
                  <c:v>Brodogradnja</c:v>
                </c:pt>
              </c:strCache>
            </c:strRef>
          </c:tx>
          <c:spPr>
            <a:solidFill>
              <a:srgbClr val="CCCCFF"/>
            </a:solidFill>
            <a:ln>
              <a:solidFill>
                <a:srgbClr val="002060"/>
              </a:solidFill>
            </a:ln>
          </c:spPr>
          <c:invertIfNegative val="0"/>
          <c:cat>
            <c:strRef>
              <c:f>'[2024 Gl grafovi i slike.xlsx]tab sektorske'!$B$40:$D$40</c:f>
              <c:strCache>
                <c:ptCount val="3"/>
                <c:pt idx="0">
                  <c:v>udio (%) 2022.</c:v>
                </c:pt>
                <c:pt idx="1">
                  <c:v>udio (%) 2023.</c:v>
                </c:pt>
                <c:pt idx="2">
                  <c:v>udio (%) 2024.</c:v>
                </c:pt>
              </c:strCache>
            </c:strRef>
          </c:cat>
          <c:val>
            <c:numRef>
              <c:f>'[2024 Gl grafovi i slike.xlsx]tab sektorske'!$B$44:$D$44</c:f>
              <c:numCache>
                <c:formatCode>0.00%</c:formatCode>
                <c:ptCount val="3"/>
                <c:pt idx="0">
                  <c:v>0.10132957773771913</c:v>
                </c:pt>
                <c:pt idx="1">
                  <c:v>3.4697948862676214E-2</c:v>
                </c:pt>
                <c:pt idx="2">
                  <c:v>1.7443428666587303E-2</c:v>
                </c:pt>
              </c:numCache>
            </c:numRef>
          </c:val>
          <c:extLst>
            <c:ext xmlns:c16="http://schemas.microsoft.com/office/drawing/2014/chart" uri="{C3380CC4-5D6E-409C-BE32-E72D297353CC}">
              <c16:uniqueId val="{00000002-D60A-4246-A4FB-C3A3E523DEC2}"/>
            </c:ext>
          </c:extLst>
        </c:ser>
        <c:ser>
          <c:idx val="3"/>
          <c:order val="3"/>
          <c:tx>
            <c:strRef>
              <c:f>'[2024 Gl grafovi i slike.xlsx]tab sektorske'!$A$45</c:f>
              <c:strCache>
                <c:ptCount val="1"/>
                <c:pt idx="0">
                  <c:v>Turizam</c:v>
                </c:pt>
              </c:strCache>
            </c:strRef>
          </c:tx>
          <c:invertIfNegative val="0"/>
          <c:dPt>
            <c:idx val="2"/>
            <c:invertIfNegative val="0"/>
            <c:bubble3D val="0"/>
            <c:spPr>
              <a:ln>
                <a:solidFill>
                  <a:srgbClr val="002060"/>
                </a:solidFill>
              </a:ln>
            </c:spPr>
            <c:extLst>
              <c:ext xmlns:c16="http://schemas.microsoft.com/office/drawing/2014/chart" uri="{C3380CC4-5D6E-409C-BE32-E72D297353CC}">
                <c16:uniqueId val="{00000004-D60A-4246-A4FB-C3A3E523DEC2}"/>
              </c:ext>
            </c:extLst>
          </c:dPt>
          <c:cat>
            <c:strRef>
              <c:f>'[2024 Gl grafovi i slike.xlsx]tab sektorske'!$B$40:$D$40</c:f>
              <c:strCache>
                <c:ptCount val="3"/>
                <c:pt idx="0">
                  <c:v>udio (%) 2022.</c:v>
                </c:pt>
                <c:pt idx="1">
                  <c:v>udio (%) 2023.</c:v>
                </c:pt>
                <c:pt idx="2">
                  <c:v>udio (%) 2024.</c:v>
                </c:pt>
              </c:strCache>
            </c:strRef>
          </c:cat>
          <c:val>
            <c:numRef>
              <c:f>'[2024 Gl grafovi i slike.xlsx]tab sektorske'!$B$45:$D$45</c:f>
              <c:numCache>
                <c:formatCode>0.00%</c:formatCode>
                <c:ptCount val="3"/>
                <c:pt idx="0">
                  <c:v>1.2069553259722143E-3</c:v>
                </c:pt>
                <c:pt idx="1">
                  <c:v>0.15362891579649798</c:v>
                </c:pt>
                <c:pt idx="2">
                  <c:v>5.5583982583797438E-2</c:v>
                </c:pt>
              </c:numCache>
            </c:numRef>
          </c:val>
          <c:extLst>
            <c:ext xmlns:c16="http://schemas.microsoft.com/office/drawing/2014/chart" uri="{C3380CC4-5D6E-409C-BE32-E72D297353CC}">
              <c16:uniqueId val="{00000005-D60A-4246-A4FB-C3A3E523DEC2}"/>
            </c:ext>
          </c:extLst>
        </c:ser>
        <c:ser>
          <c:idx val="4"/>
          <c:order val="4"/>
          <c:tx>
            <c:strRef>
              <c:f>'[2024 Gl grafovi i slike.xlsx]tab sektorske'!$A$47</c:f>
              <c:strCache>
                <c:ptCount val="1"/>
                <c:pt idx="0">
                  <c:v>Radiotelevizijsko emitiranje i audiovizualna industrija</c:v>
                </c:pt>
              </c:strCache>
            </c:strRef>
          </c:tx>
          <c:spPr>
            <a:solidFill>
              <a:schemeClr val="bg1">
                <a:lumMod val="95000"/>
              </a:schemeClr>
            </a:solidFill>
            <a:ln w="3175">
              <a:solidFill>
                <a:srgbClr val="002060"/>
              </a:solidFill>
            </a:ln>
          </c:spPr>
          <c:invertIfNegative val="0"/>
          <c:cat>
            <c:strRef>
              <c:f>'[2024 Gl grafovi i slike.xlsx]tab sektorske'!$B$40:$D$40</c:f>
              <c:strCache>
                <c:ptCount val="3"/>
                <c:pt idx="0">
                  <c:v>udio (%) 2022.</c:v>
                </c:pt>
                <c:pt idx="1">
                  <c:v>udio (%) 2023.</c:v>
                </c:pt>
                <c:pt idx="2">
                  <c:v>udio (%) 2024.</c:v>
                </c:pt>
              </c:strCache>
            </c:strRef>
          </c:cat>
          <c:val>
            <c:numRef>
              <c:f>'[2024 Gl grafovi i slike.xlsx]tab sektorske'!$B$47:$D$47</c:f>
              <c:numCache>
                <c:formatCode>0.00%</c:formatCode>
                <c:ptCount val="3"/>
                <c:pt idx="0">
                  <c:v>0.25356732585423419</c:v>
                </c:pt>
                <c:pt idx="1">
                  <c:v>0.18114679445349008</c:v>
                </c:pt>
                <c:pt idx="2">
                  <c:v>0.21221045644128067</c:v>
                </c:pt>
              </c:numCache>
            </c:numRef>
          </c:val>
          <c:extLst>
            <c:ext xmlns:c16="http://schemas.microsoft.com/office/drawing/2014/chart" uri="{C3380CC4-5D6E-409C-BE32-E72D297353CC}">
              <c16:uniqueId val="{00000006-D60A-4246-A4FB-C3A3E523DEC2}"/>
            </c:ext>
          </c:extLst>
        </c:ser>
        <c:ser>
          <c:idx val="6"/>
          <c:order val="5"/>
          <c:tx>
            <c:strRef>
              <c:f>'[2024 Gl grafovi i slike.xlsx]tab sektorske'!$A$46</c:f>
              <c:strCache>
                <c:ptCount val="1"/>
                <c:pt idx="0">
                  <c:v>Sanacija i restrukturiranje</c:v>
                </c:pt>
              </c:strCache>
            </c:strRef>
          </c:tx>
          <c:spPr>
            <a:solidFill>
              <a:schemeClr val="tx2">
                <a:lumMod val="40000"/>
                <a:lumOff val="60000"/>
              </a:schemeClr>
            </a:solidFill>
            <a:ln w="9525">
              <a:solidFill>
                <a:srgbClr val="002060"/>
              </a:solidFill>
            </a:ln>
          </c:spPr>
          <c:invertIfNegative val="0"/>
          <c:cat>
            <c:strRef>
              <c:f>'[2024 Gl grafovi i slike.xlsx]tab sektorske'!$B$40:$D$40</c:f>
              <c:strCache>
                <c:ptCount val="3"/>
                <c:pt idx="0">
                  <c:v>udio (%) 2022.</c:v>
                </c:pt>
                <c:pt idx="1">
                  <c:v>udio (%) 2023.</c:v>
                </c:pt>
                <c:pt idx="2">
                  <c:v>udio (%) 2024.</c:v>
                </c:pt>
              </c:strCache>
            </c:strRef>
          </c:cat>
          <c:val>
            <c:numRef>
              <c:f>'[2024 Gl grafovi i slike.xlsx]tab sektorske'!$B$46:$D$46</c:f>
              <c:numCache>
                <c:formatCode>0.00%</c:formatCode>
                <c:ptCount val="3"/>
                <c:pt idx="0">
                  <c:v>0</c:v>
                </c:pt>
                <c:pt idx="1">
                  <c:v>1.0596697176442245E-2</c:v>
                </c:pt>
                <c:pt idx="2">
                  <c:v>0</c:v>
                </c:pt>
              </c:numCache>
            </c:numRef>
          </c:val>
          <c:extLst>
            <c:ext xmlns:c16="http://schemas.microsoft.com/office/drawing/2014/chart" uri="{C3380CC4-5D6E-409C-BE32-E72D297353CC}">
              <c16:uniqueId val="{00000007-D60A-4246-A4FB-C3A3E523DEC2}"/>
            </c:ext>
          </c:extLst>
        </c:ser>
        <c:ser>
          <c:idx val="5"/>
          <c:order val="6"/>
          <c:tx>
            <c:strRef>
              <c:f>'[2024 Gl grafovi i slike.xlsx]tab sektorske'!$A$42</c:f>
              <c:strCache>
                <c:ptCount val="1"/>
                <c:pt idx="0">
                  <c:v>Zaštita okoliša i očuvanje energije</c:v>
                </c:pt>
              </c:strCache>
            </c:strRef>
          </c:tx>
          <c:spPr>
            <a:solidFill>
              <a:srgbClr val="FF0000"/>
            </a:solidFill>
            <a:ln>
              <a:solidFill>
                <a:srgbClr val="002060"/>
              </a:solidFill>
            </a:ln>
          </c:spPr>
          <c:invertIfNegative val="0"/>
          <c:val>
            <c:numRef>
              <c:f>'[2024 Gl grafovi i slike.xlsx]tab sektorske'!$B$42:$D$42</c:f>
              <c:numCache>
                <c:formatCode>0.00%</c:formatCode>
                <c:ptCount val="3"/>
                <c:pt idx="0">
                  <c:v>0.28261916038812207</c:v>
                </c:pt>
                <c:pt idx="1">
                  <c:v>0.21905496345112757</c:v>
                </c:pt>
                <c:pt idx="2">
                  <c:v>0.2143942702458862</c:v>
                </c:pt>
              </c:numCache>
            </c:numRef>
          </c:val>
          <c:extLst>
            <c:ext xmlns:c16="http://schemas.microsoft.com/office/drawing/2014/chart" uri="{C3380CC4-5D6E-409C-BE32-E72D297353CC}">
              <c16:uniqueId val="{00000008-D60A-4246-A4FB-C3A3E523DEC2}"/>
            </c:ext>
          </c:extLst>
        </c:ser>
        <c:ser>
          <c:idx val="7"/>
          <c:order val="7"/>
          <c:tx>
            <c:strRef>
              <c:f>'[2024 Gl grafovi i slike.xlsx]tab sektorske'!$A$48</c:f>
              <c:strCache>
                <c:ptCount val="1"/>
                <c:pt idx="0">
                  <c:v>Razvoj širokopojasnih mreža</c:v>
                </c:pt>
              </c:strCache>
            </c:strRef>
          </c:tx>
          <c:spPr>
            <a:ln>
              <a:solidFill>
                <a:srgbClr val="002060"/>
              </a:solidFill>
            </a:ln>
          </c:spPr>
          <c:invertIfNegative val="0"/>
          <c:val>
            <c:numRef>
              <c:f>'[2024 Gl grafovi i slike.xlsx]tab sektorske'!$B$48:$D$48</c:f>
              <c:numCache>
                <c:formatCode>0.00%</c:formatCode>
                <c:ptCount val="3"/>
                <c:pt idx="0">
                  <c:v>0</c:v>
                </c:pt>
                <c:pt idx="1">
                  <c:v>6.8072742780791078E-3</c:v>
                </c:pt>
                <c:pt idx="2">
                  <c:v>1.3258630131143373E-2</c:v>
                </c:pt>
              </c:numCache>
            </c:numRef>
          </c:val>
          <c:extLst>
            <c:ext xmlns:c16="http://schemas.microsoft.com/office/drawing/2014/chart" uri="{C3380CC4-5D6E-409C-BE32-E72D297353CC}">
              <c16:uniqueId val="{00000009-D60A-4246-A4FB-C3A3E523DEC2}"/>
            </c:ext>
          </c:extLst>
        </c:ser>
        <c:dLbls>
          <c:showLegendKey val="0"/>
          <c:showVal val="0"/>
          <c:showCatName val="0"/>
          <c:showSerName val="0"/>
          <c:showPercent val="0"/>
          <c:showBubbleSize val="0"/>
        </c:dLbls>
        <c:gapWidth val="79"/>
        <c:gapDepth val="31"/>
        <c:shape val="box"/>
        <c:axId val="111975808"/>
        <c:axId val="111981696"/>
        <c:axId val="0"/>
      </c:bar3DChart>
      <c:catAx>
        <c:axId val="111975808"/>
        <c:scaling>
          <c:orientation val="minMax"/>
        </c:scaling>
        <c:delete val="0"/>
        <c:axPos val="b"/>
        <c:numFmt formatCode="General" sourceLinked="0"/>
        <c:majorTickMark val="out"/>
        <c:minorTickMark val="none"/>
        <c:tickLblPos val="nextTo"/>
        <c:txPr>
          <a:bodyPr/>
          <a:lstStyle/>
          <a:p>
            <a:pPr>
              <a:defRPr sz="1000">
                <a:latin typeface="Times New Roman" panose="02020603050405020304" pitchFamily="18" charset="0"/>
                <a:cs typeface="Times New Roman" panose="02020603050405020304" pitchFamily="18" charset="0"/>
              </a:defRPr>
            </a:pPr>
            <a:endParaRPr lang="sr-Latn-RS"/>
          </a:p>
        </c:txPr>
        <c:crossAx val="111981696"/>
        <c:crosses val="autoZero"/>
        <c:auto val="1"/>
        <c:lblAlgn val="ctr"/>
        <c:lblOffset val="100"/>
        <c:noMultiLvlLbl val="0"/>
      </c:catAx>
      <c:valAx>
        <c:axId val="111981696"/>
        <c:scaling>
          <c:orientation val="minMax"/>
        </c:scaling>
        <c:delete val="0"/>
        <c:axPos val="l"/>
        <c:majorGridlines/>
        <c:numFmt formatCode="0%"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sr-Latn-RS"/>
          </a:p>
        </c:txPr>
        <c:crossAx val="111975808"/>
        <c:crosses val="autoZero"/>
        <c:crossBetween val="between"/>
      </c:valAx>
      <c:spPr>
        <a:ln>
          <a:noFill/>
        </a:ln>
      </c:spPr>
    </c:plotArea>
    <c:legend>
      <c:legendPos val="r"/>
      <c:layout>
        <c:manualLayout>
          <c:xMode val="edge"/>
          <c:yMode val="edge"/>
          <c:x val="0.76851606121502547"/>
          <c:y val="3.4680340507842078E-2"/>
          <c:w val="0.23148393878497453"/>
          <c:h val="0.94261913668670905"/>
        </c:manualLayout>
      </c:layout>
      <c:overlay val="0"/>
      <c:txPr>
        <a:bodyPr/>
        <a:lstStyle/>
        <a:p>
          <a:pPr>
            <a:defRPr sz="800" i="1">
              <a:latin typeface="Times New Roman" panose="02020603050405020304" pitchFamily="18" charset="0"/>
              <a:cs typeface="Times New Roman" panose="02020603050405020304" pitchFamily="18" charset="0"/>
            </a:defRPr>
          </a:pPr>
          <a:endParaRPr lang="sr-Latn-RS"/>
        </a:p>
      </c:txPr>
    </c:legend>
    <c:plotVisOnly val="1"/>
    <c:dispBlanksAs val="gap"/>
    <c:showDLblsOverMax val="0"/>
  </c:chart>
  <c:spPr>
    <a:ln>
      <a:solidFill>
        <a:srgbClr val="002060"/>
      </a:solidFill>
    </a:ln>
  </c:sp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AZJMDCZ6QSYZ-1849078857-51462</_dlc_DocId>
    <_dlc_DocIdUrl xmlns="a494813a-d0d8-4dad-94cb-0d196f36ba15">
      <Url>https://ekoordinacije.vlada.hr/koordinacija-gospodarstvo/_layouts/15/DocIdRedir.aspx?ID=AZJMDCZ6QSYZ-1849078857-51462</Url>
      <Description>AZJMDCZ6QSYZ-1849078857-51462</Description>
    </_dlc_DocIdUrl>
  </documentManagement>
</p:properties>
</file>

<file path=customXml/itemProps1.xml><?xml version="1.0" encoding="utf-8"?>
<ds:datastoreItem xmlns:ds="http://schemas.openxmlformats.org/officeDocument/2006/customXml" ds:itemID="{0223112A-DFE6-41AA-BC2C-12EF43AAF64B}">
  <ds:schemaRefs>
    <ds:schemaRef ds:uri="http://schemas.openxmlformats.org/officeDocument/2006/bibliography"/>
  </ds:schemaRefs>
</ds:datastoreItem>
</file>

<file path=customXml/itemProps2.xml><?xml version="1.0" encoding="utf-8"?>
<ds:datastoreItem xmlns:ds="http://schemas.openxmlformats.org/officeDocument/2006/customXml" ds:itemID="{64CC369D-01B0-44FF-8CA4-C747812F4CE5}"/>
</file>

<file path=customXml/itemProps3.xml><?xml version="1.0" encoding="utf-8"?>
<ds:datastoreItem xmlns:ds="http://schemas.openxmlformats.org/officeDocument/2006/customXml" ds:itemID="{E9464251-2003-4A7B-8532-6B27CA8A6403}"/>
</file>

<file path=customXml/itemProps4.xml><?xml version="1.0" encoding="utf-8"?>
<ds:datastoreItem xmlns:ds="http://schemas.openxmlformats.org/officeDocument/2006/customXml" ds:itemID="{05FDD3C9-C5C4-4C31-9919-BD1741BED5EF}"/>
</file>

<file path=customXml/itemProps5.xml><?xml version="1.0" encoding="utf-8"?>
<ds:datastoreItem xmlns:ds="http://schemas.openxmlformats.org/officeDocument/2006/customXml" ds:itemID="{FE717EB9-D79E-47CE-B57A-11F936F4A927}"/>
</file>

<file path=docProps/app.xml><?xml version="1.0" encoding="utf-8"?>
<Properties xmlns="http://schemas.openxmlformats.org/officeDocument/2006/extended-properties" xmlns:vt="http://schemas.openxmlformats.org/officeDocument/2006/docPropsVTypes">
  <Template>Normal.dotm</Template>
  <TotalTime>1</TotalTime>
  <Pages>69</Pages>
  <Words>28004</Words>
  <Characters>159625</Characters>
  <Application>Microsoft Office Word</Application>
  <DocSecurity>0</DocSecurity>
  <Lines>1330</Lines>
  <Paragraphs>374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Šneler</dc:creator>
  <cp:keywords/>
  <dc:description/>
  <cp:lastModifiedBy>Maja Lebarović</cp:lastModifiedBy>
  <cp:revision>2</cp:revision>
  <cp:lastPrinted>2025-11-25T11:16:00Z</cp:lastPrinted>
  <dcterms:created xsi:type="dcterms:W3CDTF">2025-12-16T12:07:00Z</dcterms:created>
  <dcterms:modified xsi:type="dcterms:W3CDTF">2025-12-16T12:07:00Z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1cc06823-07bb-4f97-a8c4-b25a7ea89525</vt:lpwstr>
  </property>
</Properties>
</file>