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D3E2F4" w14:textId="35703E8B" w:rsidR="00D156A3" w:rsidRDefault="00D156A3" w:rsidP="00707D44">
      <w:pPr>
        <w:spacing w:line="288" w:lineRule="auto"/>
        <w:ind w:right="23"/>
        <w:jc w:val="both"/>
        <w:rPr>
          <w:rFonts w:ascii="Arial" w:hAnsi="Arial" w:cs="Arial"/>
          <w:sz w:val="22"/>
          <w:szCs w:val="22"/>
        </w:rPr>
      </w:pPr>
    </w:p>
    <w:p w14:paraId="1104DA7A" w14:textId="06F92784" w:rsidR="00D156A3" w:rsidRPr="00FE7E5C" w:rsidRDefault="00D156A3" w:rsidP="00D156A3">
      <w:pPr>
        <w:spacing w:line="288" w:lineRule="auto"/>
        <w:ind w:right="23"/>
        <w:jc w:val="both"/>
        <w:rPr>
          <w:rFonts w:ascii="Arial" w:hAnsi="Arial" w:cs="Arial"/>
          <w:sz w:val="22"/>
          <w:szCs w:val="22"/>
        </w:rPr>
      </w:pPr>
    </w:p>
    <w:p w14:paraId="023E4135" w14:textId="77777777" w:rsidR="00D156A3" w:rsidRDefault="00D156A3" w:rsidP="00D156A3">
      <w:pPr>
        <w:jc w:val="center"/>
      </w:pPr>
      <w:r>
        <w:rPr>
          <w:noProof/>
        </w:rPr>
        <w:drawing>
          <wp:inline distT="0" distB="0" distL="0" distR="0" wp14:anchorId="28F7D250" wp14:editId="464C06AD">
            <wp:extent cx="504825" cy="687705"/>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 cy="687705"/>
                    </a:xfrm>
                    <a:prstGeom prst="rect">
                      <a:avLst/>
                    </a:prstGeom>
                    <a:noFill/>
                    <a:ln>
                      <a:noFill/>
                    </a:ln>
                  </pic:spPr>
                </pic:pic>
              </a:graphicData>
            </a:graphic>
          </wp:inline>
        </w:drawing>
      </w:r>
    </w:p>
    <w:p w14:paraId="29583B4A" w14:textId="77777777" w:rsidR="00D156A3" w:rsidRDefault="00D156A3" w:rsidP="00D156A3">
      <w:pPr>
        <w:spacing w:before="60" w:after="1680"/>
        <w:jc w:val="center"/>
        <w:rPr>
          <w:sz w:val="28"/>
        </w:rPr>
      </w:pPr>
      <w:r>
        <w:rPr>
          <w:sz w:val="28"/>
        </w:rPr>
        <w:t>VLADA REPUBLIKE HRVATSKE</w:t>
      </w:r>
    </w:p>
    <w:p w14:paraId="38E73FBB" w14:textId="77777777" w:rsidR="00D156A3" w:rsidRDefault="00D156A3" w:rsidP="00D156A3">
      <w:pPr>
        <w:jc w:val="both"/>
      </w:pPr>
    </w:p>
    <w:p w14:paraId="1A84BC1B" w14:textId="5D1A47FB" w:rsidR="00D156A3" w:rsidRDefault="0092737D" w:rsidP="00D156A3">
      <w:pPr>
        <w:jc w:val="right"/>
      </w:pPr>
      <w:r>
        <w:t xml:space="preserve">Zagreb, </w:t>
      </w:r>
      <w:r w:rsidR="0065549A">
        <w:t>4</w:t>
      </w:r>
      <w:bookmarkStart w:id="0" w:name="_GoBack"/>
      <w:bookmarkEnd w:id="0"/>
      <w:r w:rsidR="00F45401">
        <w:t>. rujna</w:t>
      </w:r>
      <w:r w:rsidR="00D156A3">
        <w:t xml:space="preserve"> 2025.</w:t>
      </w:r>
    </w:p>
    <w:p w14:paraId="7131231C" w14:textId="77777777" w:rsidR="00D156A3" w:rsidRDefault="00D156A3" w:rsidP="00D156A3">
      <w:pPr>
        <w:jc w:val="right"/>
      </w:pPr>
    </w:p>
    <w:p w14:paraId="051CD812" w14:textId="77777777" w:rsidR="00D156A3" w:rsidRDefault="00D156A3" w:rsidP="00D156A3">
      <w:pPr>
        <w:jc w:val="right"/>
      </w:pPr>
    </w:p>
    <w:p w14:paraId="3E99D76C" w14:textId="77777777" w:rsidR="00D156A3" w:rsidRDefault="00D156A3" w:rsidP="00D156A3">
      <w:pPr>
        <w:jc w:val="right"/>
      </w:pPr>
    </w:p>
    <w:p w14:paraId="2EEA1C82" w14:textId="77777777" w:rsidR="00D156A3" w:rsidRDefault="00D156A3" w:rsidP="00D156A3">
      <w:pPr>
        <w:jc w:val="both"/>
      </w:pPr>
      <w:r>
        <w:t>__________________________________________________________________________</w:t>
      </w:r>
    </w:p>
    <w:tbl>
      <w:tblPr>
        <w:tblStyle w:val="Reetkatablice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1"/>
      </w:tblGrid>
      <w:tr w:rsidR="00D156A3" w14:paraId="7F7C237D" w14:textId="77777777" w:rsidTr="00EF07AF">
        <w:tc>
          <w:tcPr>
            <w:tcW w:w="1951" w:type="dxa"/>
            <w:hideMark/>
          </w:tcPr>
          <w:p w14:paraId="66546BA2" w14:textId="77777777" w:rsidR="00D156A3" w:rsidRDefault="00D156A3" w:rsidP="00EF07AF">
            <w:pPr>
              <w:spacing w:line="360" w:lineRule="auto"/>
              <w:jc w:val="right"/>
            </w:pPr>
            <w:r>
              <w:rPr>
                <w:b/>
                <w:smallCaps/>
              </w:rPr>
              <w:t>Predlagatelj</w:t>
            </w:r>
            <w:r>
              <w:rPr>
                <w:b/>
              </w:rPr>
              <w:t>:</w:t>
            </w:r>
          </w:p>
        </w:tc>
        <w:tc>
          <w:tcPr>
            <w:tcW w:w="7229" w:type="dxa"/>
            <w:hideMark/>
          </w:tcPr>
          <w:p w14:paraId="4FB21FD6" w14:textId="77777777" w:rsidR="00D156A3" w:rsidRDefault="00D156A3" w:rsidP="00EF07AF">
            <w:pPr>
              <w:spacing w:line="360" w:lineRule="auto"/>
            </w:pPr>
            <w:r>
              <w:t>Ministarstvo financija</w:t>
            </w:r>
          </w:p>
        </w:tc>
      </w:tr>
    </w:tbl>
    <w:p w14:paraId="586A6EF1" w14:textId="77777777" w:rsidR="00D156A3" w:rsidRDefault="00D156A3" w:rsidP="00D156A3">
      <w:pPr>
        <w:jc w:val="both"/>
      </w:pPr>
      <w:r>
        <w:t>__________________________________________________________________________</w:t>
      </w:r>
    </w:p>
    <w:tbl>
      <w:tblPr>
        <w:tblStyle w:val="Reetkatablice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1"/>
      </w:tblGrid>
      <w:tr w:rsidR="00D156A3" w14:paraId="48249A83" w14:textId="77777777" w:rsidTr="00EF07AF">
        <w:tc>
          <w:tcPr>
            <w:tcW w:w="1951" w:type="dxa"/>
            <w:hideMark/>
          </w:tcPr>
          <w:p w14:paraId="062EE933" w14:textId="77777777" w:rsidR="00D156A3" w:rsidRDefault="00D156A3" w:rsidP="00EF07AF">
            <w:pPr>
              <w:spacing w:line="360" w:lineRule="auto"/>
              <w:jc w:val="right"/>
            </w:pPr>
            <w:r>
              <w:rPr>
                <w:b/>
                <w:smallCaps/>
              </w:rPr>
              <w:t>Predmet</w:t>
            </w:r>
            <w:r>
              <w:rPr>
                <w:b/>
              </w:rPr>
              <w:t>:</w:t>
            </w:r>
          </w:p>
        </w:tc>
        <w:tc>
          <w:tcPr>
            <w:tcW w:w="7229" w:type="dxa"/>
            <w:hideMark/>
          </w:tcPr>
          <w:p w14:paraId="50B4EE3E" w14:textId="15287C8B" w:rsidR="00D156A3" w:rsidRDefault="00D156A3" w:rsidP="0082212B">
            <w:pPr>
              <w:spacing w:line="360" w:lineRule="auto"/>
              <w:jc w:val="both"/>
            </w:pPr>
            <w:r>
              <w:t xml:space="preserve">Prijedlog odluke o imenovanju revizorskog društva za reviziju </w:t>
            </w:r>
            <w:r w:rsidR="0082212B">
              <w:t>godišnjih izvještaja</w:t>
            </w:r>
            <w:r>
              <w:t xml:space="preserve"> i konsolidiranih godišnjih izvještaja Financijske agencije za 2025., 2026. i 2027. godinu</w:t>
            </w:r>
          </w:p>
        </w:tc>
      </w:tr>
    </w:tbl>
    <w:p w14:paraId="3F487333" w14:textId="77777777" w:rsidR="00D156A3" w:rsidRDefault="00D156A3" w:rsidP="00D156A3">
      <w:pPr>
        <w:jc w:val="both"/>
      </w:pPr>
      <w:r>
        <w:t>__________________________________________________________________________</w:t>
      </w:r>
    </w:p>
    <w:p w14:paraId="59783CAC" w14:textId="77777777" w:rsidR="00D156A3" w:rsidRDefault="00D156A3" w:rsidP="00D156A3">
      <w:pPr>
        <w:jc w:val="both"/>
      </w:pPr>
    </w:p>
    <w:p w14:paraId="74BC87D2" w14:textId="77777777" w:rsidR="00D156A3" w:rsidRDefault="00D156A3" w:rsidP="00D156A3">
      <w:pPr>
        <w:jc w:val="both"/>
      </w:pPr>
    </w:p>
    <w:p w14:paraId="7FB36E5C" w14:textId="77777777" w:rsidR="00D156A3" w:rsidRDefault="00D156A3" w:rsidP="00D156A3">
      <w:pPr>
        <w:jc w:val="both"/>
      </w:pPr>
    </w:p>
    <w:p w14:paraId="219DAEFE" w14:textId="77777777" w:rsidR="00D156A3" w:rsidRDefault="00D156A3" w:rsidP="00D156A3">
      <w:pPr>
        <w:jc w:val="both"/>
      </w:pPr>
    </w:p>
    <w:p w14:paraId="394F0B95" w14:textId="77777777" w:rsidR="00D156A3" w:rsidRDefault="00D156A3" w:rsidP="00D156A3">
      <w:pPr>
        <w:jc w:val="both"/>
      </w:pPr>
    </w:p>
    <w:p w14:paraId="287C2DA5" w14:textId="77777777" w:rsidR="00D156A3" w:rsidRDefault="00D156A3" w:rsidP="00D156A3">
      <w:pPr>
        <w:pStyle w:val="Header"/>
      </w:pPr>
    </w:p>
    <w:p w14:paraId="3EEFD69A" w14:textId="77777777" w:rsidR="00D156A3" w:rsidRDefault="00D156A3" w:rsidP="00D156A3"/>
    <w:p w14:paraId="1208AC9D" w14:textId="77777777" w:rsidR="00D156A3" w:rsidRDefault="00D156A3" w:rsidP="00D156A3">
      <w:pPr>
        <w:pStyle w:val="Footer"/>
      </w:pPr>
    </w:p>
    <w:p w14:paraId="71D2AE44" w14:textId="77777777" w:rsidR="00D156A3" w:rsidRDefault="00D156A3" w:rsidP="00D156A3"/>
    <w:p w14:paraId="3A745F7D" w14:textId="77777777" w:rsidR="00D156A3" w:rsidRDefault="00D156A3" w:rsidP="00D156A3"/>
    <w:p w14:paraId="1D8010C2" w14:textId="77777777" w:rsidR="00D156A3" w:rsidRDefault="00D156A3" w:rsidP="00D156A3"/>
    <w:p w14:paraId="550FADDA" w14:textId="77777777" w:rsidR="00D156A3" w:rsidRDefault="00D156A3" w:rsidP="00D156A3"/>
    <w:p w14:paraId="558D7A0E" w14:textId="77777777" w:rsidR="00D156A3" w:rsidRDefault="00D156A3" w:rsidP="00D156A3"/>
    <w:p w14:paraId="2F906093" w14:textId="77777777" w:rsidR="00D156A3" w:rsidRDefault="00D156A3" w:rsidP="00D156A3"/>
    <w:p w14:paraId="50D5BA0C" w14:textId="77777777" w:rsidR="00D156A3" w:rsidRDefault="00D156A3" w:rsidP="00D156A3"/>
    <w:p w14:paraId="324F459D" w14:textId="77777777" w:rsidR="00D156A3" w:rsidRDefault="00D156A3" w:rsidP="00D156A3"/>
    <w:p w14:paraId="262E570D" w14:textId="77777777" w:rsidR="00D156A3" w:rsidRDefault="00D156A3" w:rsidP="00D156A3"/>
    <w:p w14:paraId="5ACE5E58" w14:textId="77777777" w:rsidR="00D156A3" w:rsidRDefault="00D156A3" w:rsidP="00D156A3"/>
    <w:p w14:paraId="3A0640E4" w14:textId="77777777" w:rsidR="00D156A3" w:rsidRDefault="00D156A3" w:rsidP="00D156A3"/>
    <w:p w14:paraId="1CF44C63" w14:textId="77777777" w:rsidR="00D156A3" w:rsidRDefault="00D156A3" w:rsidP="00D156A3"/>
    <w:p w14:paraId="63233878" w14:textId="77777777" w:rsidR="00D156A3" w:rsidRDefault="00D156A3" w:rsidP="00D156A3"/>
    <w:p w14:paraId="593A50DF" w14:textId="77777777" w:rsidR="00D156A3" w:rsidRDefault="00D156A3" w:rsidP="00D156A3"/>
    <w:p w14:paraId="2D3D6FD4" w14:textId="77777777" w:rsidR="00D156A3" w:rsidRDefault="00D156A3" w:rsidP="00D156A3">
      <w:pPr>
        <w:pStyle w:val="Footer"/>
        <w:pBdr>
          <w:top w:val="single" w:sz="4" w:space="1" w:color="404040" w:themeColor="text1" w:themeTint="BF"/>
        </w:pBdr>
        <w:jc w:val="center"/>
        <w:rPr>
          <w:color w:val="404040" w:themeColor="text1" w:themeTint="BF"/>
          <w:spacing w:val="20"/>
          <w:sz w:val="20"/>
        </w:rPr>
      </w:pPr>
      <w:r>
        <w:rPr>
          <w:color w:val="404040" w:themeColor="text1" w:themeTint="BF"/>
          <w:spacing w:val="20"/>
          <w:sz w:val="20"/>
        </w:rPr>
        <w:t>Banski dvori | Trg Sv. Marka 2  | 10000 Zagreb | tel. 01 4569 222 | vlada.gov.hr</w:t>
      </w:r>
    </w:p>
    <w:p w14:paraId="2E1C3A8E" w14:textId="77777777" w:rsidR="00D156A3" w:rsidRDefault="00D156A3">
      <w:pPr>
        <w:rPr>
          <w:rFonts w:ascii="Arial" w:hAnsi="Arial" w:cs="Arial"/>
          <w:sz w:val="22"/>
          <w:szCs w:val="22"/>
        </w:rPr>
      </w:pPr>
    </w:p>
    <w:p w14:paraId="4CB77780" w14:textId="77777777" w:rsidR="006F4EE7" w:rsidRPr="00FE7E5C" w:rsidRDefault="006F4EE7" w:rsidP="00707D44">
      <w:pPr>
        <w:spacing w:line="288" w:lineRule="auto"/>
        <w:ind w:right="23"/>
        <w:jc w:val="both"/>
        <w:rPr>
          <w:rFonts w:ascii="Arial" w:hAnsi="Arial" w:cs="Arial"/>
          <w:sz w:val="22"/>
          <w:szCs w:val="22"/>
        </w:rPr>
      </w:pPr>
    </w:p>
    <w:p w14:paraId="5EB688C0" w14:textId="77777777" w:rsidR="00012CD9" w:rsidRPr="0035223E" w:rsidRDefault="00012CD9" w:rsidP="00012CD9">
      <w:pPr>
        <w:spacing w:after="160" w:line="259" w:lineRule="auto"/>
        <w:jc w:val="right"/>
      </w:pPr>
      <w:r w:rsidRPr="0035223E">
        <w:t>PRIJEDLOG</w:t>
      </w:r>
    </w:p>
    <w:p w14:paraId="1BA90CFD" w14:textId="77777777" w:rsidR="00012CD9" w:rsidRPr="0035223E" w:rsidRDefault="00012CD9" w:rsidP="00012CD9">
      <w:pPr>
        <w:spacing w:line="288" w:lineRule="auto"/>
        <w:jc w:val="both"/>
      </w:pPr>
    </w:p>
    <w:p w14:paraId="3F63F437" w14:textId="6CBE5A5F" w:rsidR="00012CD9" w:rsidRPr="00BB46C6" w:rsidRDefault="00012CD9" w:rsidP="006D3F81">
      <w:pPr>
        <w:ind w:firstLine="1418"/>
        <w:jc w:val="both"/>
      </w:pPr>
      <w:r w:rsidRPr="00BB46C6">
        <w:t xml:space="preserve">Na temelju članka 31. </w:t>
      </w:r>
      <w:r>
        <w:t>s</w:t>
      </w:r>
      <w:r w:rsidRPr="00BB46C6">
        <w:t>tavka 2. Zakona o Vladi Republike Hrvatske (</w:t>
      </w:r>
      <w:r w:rsidR="006D3F81">
        <w:t>„</w:t>
      </w:r>
      <w:r w:rsidRPr="00BB46C6">
        <w:t>Narodne novine</w:t>
      </w:r>
      <w:r w:rsidR="006D3F81">
        <w:t>“</w:t>
      </w:r>
      <w:r w:rsidRPr="00BB46C6">
        <w:t>, br</w:t>
      </w:r>
      <w:r w:rsidR="006D3F81">
        <w:t>.</w:t>
      </w:r>
      <w:r w:rsidRPr="00BB46C6">
        <w:t xml:space="preserve"> 150/11</w:t>
      </w:r>
      <w:r w:rsidR="006D3F81">
        <w:t>.</w:t>
      </w:r>
      <w:r w:rsidRPr="00BB46C6">
        <w:t>, 119/</w:t>
      </w:r>
      <w:r>
        <w:t>14</w:t>
      </w:r>
      <w:r w:rsidR="006D3F81">
        <w:t>.</w:t>
      </w:r>
      <w:r>
        <w:t>, 93/16</w:t>
      </w:r>
      <w:r w:rsidR="006D3F81">
        <w:t>.</w:t>
      </w:r>
      <w:r w:rsidR="0057724A">
        <w:t xml:space="preserve">, </w:t>
      </w:r>
      <w:r>
        <w:t>116/18</w:t>
      </w:r>
      <w:r w:rsidR="006D3F81">
        <w:t>.</w:t>
      </w:r>
      <w:r w:rsidR="0057724A">
        <w:t xml:space="preserve">, </w:t>
      </w:r>
      <w:hyperlink r:id="rId8" w:tgtFrame="_blank" w:history="1">
        <w:r w:rsidR="0057724A" w:rsidRPr="0057724A">
          <w:t>80/22</w:t>
        </w:r>
      </w:hyperlink>
      <w:r w:rsidR="006D3F81">
        <w:t>.</w:t>
      </w:r>
      <w:r w:rsidR="0057724A">
        <w:t xml:space="preserve"> i </w:t>
      </w:r>
      <w:hyperlink r:id="rId9" w:tgtFrame="_blank" w:history="1">
        <w:r w:rsidR="0057724A" w:rsidRPr="0057724A">
          <w:t>78/24</w:t>
        </w:r>
      </w:hyperlink>
      <w:r w:rsidR="006D3F81">
        <w:t>.</w:t>
      </w:r>
      <w:r>
        <w:t>), a u vezi s člankom 16. Uredbe</w:t>
      </w:r>
      <w:r w:rsidRPr="00745EFB">
        <w:t xml:space="preserve"> (EU) br. 537/2014 Europskog parlamenta i Vijeća od 16. travnja 2014. o posebnim zahtjevima u vezi zakonske revizije subjekata od javnog interesa i stavljanju izvan snage Odluke Komisije 2005/909/EZ</w:t>
      </w:r>
      <w:r>
        <w:t xml:space="preserve"> (SL L 158, 27.</w:t>
      </w:r>
      <w:r w:rsidR="006D3F81">
        <w:t>5.</w:t>
      </w:r>
      <w:r>
        <w:t>2014.)</w:t>
      </w:r>
      <w:r w:rsidR="00F438D3">
        <w:t>,</w:t>
      </w:r>
      <w:r w:rsidR="0082212B">
        <w:t xml:space="preserve"> </w:t>
      </w:r>
      <w:r w:rsidRPr="00BB46C6">
        <w:t>člankom 41. Zakona o reviziji (</w:t>
      </w:r>
      <w:r w:rsidR="006D3F81">
        <w:t>„</w:t>
      </w:r>
      <w:r w:rsidRPr="00BB46C6">
        <w:t>Narodne novine</w:t>
      </w:r>
      <w:r w:rsidR="006D3F81">
        <w:t>“</w:t>
      </w:r>
      <w:r w:rsidRPr="00BB46C6">
        <w:t>, br</w:t>
      </w:r>
      <w:r w:rsidR="006D3F81">
        <w:t>.</w:t>
      </w:r>
      <w:r w:rsidRPr="00BB46C6">
        <w:t xml:space="preserve"> </w:t>
      </w:r>
      <w:bookmarkStart w:id="1" w:name="_Hlk200018180"/>
      <w:r w:rsidR="00947691" w:rsidRPr="00947691">
        <w:t>127/17</w:t>
      </w:r>
      <w:r w:rsidR="006D3F81">
        <w:t>.</w:t>
      </w:r>
      <w:r w:rsidR="00947691" w:rsidRPr="00947691">
        <w:t xml:space="preserve">, </w:t>
      </w:r>
      <w:hyperlink r:id="rId10" w:history="1">
        <w:r w:rsidR="00947691" w:rsidRPr="00947691">
          <w:t>27/24</w:t>
        </w:r>
      </w:hyperlink>
      <w:r w:rsidR="006D3F81">
        <w:t>.</w:t>
      </w:r>
      <w:r w:rsidR="00947691" w:rsidRPr="00947691">
        <w:t>, 85/24</w:t>
      </w:r>
      <w:r w:rsidR="006D3F81">
        <w:t>.</w:t>
      </w:r>
      <w:r w:rsidR="00947691" w:rsidRPr="00947691">
        <w:t xml:space="preserve"> i 145/24</w:t>
      </w:r>
      <w:bookmarkEnd w:id="1"/>
      <w:r w:rsidR="006D3F81">
        <w:t>.</w:t>
      </w:r>
      <w:r w:rsidRPr="00BB46C6">
        <w:t>)</w:t>
      </w:r>
      <w:r w:rsidR="00EF40AA">
        <w:t>, člankom 46. Zakona o izmjenama i dopunama Zakona o reviziji (</w:t>
      </w:r>
      <w:r w:rsidR="006D3F81">
        <w:t>„</w:t>
      </w:r>
      <w:r w:rsidR="00EF40AA">
        <w:t>Narodne novine</w:t>
      </w:r>
      <w:r w:rsidR="006D3F81">
        <w:t>“</w:t>
      </w:r>
      <w:r w:rsidR="00EF40AA">
        <w:t>, broj 27/24</w:t>
      </w:r>
      <w:r w:rsidR="006D3F81">
        <w:t>.</w:t>
      </w:r>
      <w:r w:rsidR="00EF40AA">
        <w:t>)</w:t>
      </w:r>
      <w:r w:rsidR="0082212B">
        <w:t xml:space="preserve"> </w:t>
      </w:r>
      <w:r w:rsidR="00F438D3">
        <w:t>i člankom 79. Zakona o izmjenama i dopunama Zakona o reviziji (</w:t>
      </w:r>
      <w:r w:rsidR="006D3F81">
        <w:t>„</w:t>
      </w:r>
      <w:r w:rsidR="00F438D3">
        <w:t>Narodne novine</w:t>
      </w:r>
      <w:r w:rsidR="006D3F81">
        <w:t>“</w:t>
      </w:r>
      <w:r w:rsidR="00F438D3">
        <w:t>, broj 85/24</w:t>
      </w:r>
      <w:r w:rsidR="006D3F81">
        <w:t>.</w:t>
      </w:r>
      <w:r w:rsidR="00F438D3">
        <w:t>)</w:t>
      </w:r>
      <w:r w:rsidR="006D3F81">
        <w:t>,</w:t>
      </w:r>
      <w:r w:rsidRPr="00BB46C6">
        <w:t xml:space="preserve"> Vlada Republike Hrvatske je na sjednici održanoj ________ 20</w:t>
      </w:r>
      <w:r>
        <w:t>2</w:t>
      </w:r>
      <w:r w:rsidR="00947691">
        <w:t>5</w:t>
      </w:r>
      <w:r w:rsidRPr="00BB46C6">
        <w:t>. donijela</w:t>
      </w:r>
    </w:p>
    <w:p w14:paraId="789CC58F" w14:textId="77777777" w:rsidR="00012CD9" w:rsidRPr="0035223E" w:rsidRDefault="00012CD9" w:rsidP="006D3F81">
      <w:pPr>
        <w:pStyle w:val="BodyTextIndent"/>
        <w:spacing w:after="0"/>
        <w:ind w:left="0" w:right="-2"/>
        <w:jc w:val="both"/>
        <w:rPr>
          <w:lang w:val="pl-PL"/>
        </w:rPr>
      </w:pPr>
    </w:p>
    <w:p w14:paraId="3153E826" w14:textId="7E020755" w:rsidR="00012CD9" w:rsidRDefault="00012CD9" w:rsidP="006D3F81">
      <w:pPr>
        <w:jc w:val="center"/>
        <w:rPr>
          <w:b/>
        </w:rPr>
      </w:pPr>
      <w:r w:rsidRPr="0035223E">
        <w:rPr>
          <w:b/>
        </w:rPr>
        <w:t>O</w:t>
      </w:r>
      <w:r w:rsidR="006D3F81">
        <w:rPr>
          <w:b/>
        </w:rPr>
        <w:t xml:space="preserve"> </w:t>
      </w:r>
      <w:r w:rsidRPr="0035223E">
        <w:rPr>
          <w:b/>
        </w:rPr>
        <w:t>D</w:t>
      </w:r>
      <w:r w:rsidR="006D3F81">
        <w:rPr>
          <w:b/>
        </w:rPr>
        <w:t xml:space="preserve"> </w:t>
      </w:r>
      <w:r w:rsidRPr="0035223E">
        <w:rPr>
          <w:b/>
        </w:rPr>
        <w:t>L</w:t>
      </w:r>
      <w:r w:rsidR="006D3F81">
        <w:rPr>
          <w:b/>
        </w:rPr>
        <w:t xml:space="preserve"> </w:t>
      </w:r>
      <w:r w:rsidRPr="0035223E">
        <w:rPr>
          <w:b/>
        </w:rPr>
        <w:t>U</w:t>
      </w:r>
      <w:r w:rsidR="006D3F81">
        <w:rPr>
          <w:b/>
        </w:rPr>
        <w:t xml:space="preserve"> </w:t>
      </w:r>
      <w:r w:rsidRPr="0035223E">
        <w:rPr>
          <w:b/>
        </w:rPr>
        <w:t>K</w:t>
      </w:r>
      <w:r w:rsidR="006D3F81">
        <w:rPr>
          <w:b/>
        </w:rPr>
        <w:t xml:space="preserve"> </w:t>
      </w:r>
      <w:r w:rsidRPr="0035223E">
        <w:rPr>
          <w:b/>
        </w:rPr>
        <w:t>U</w:t>
      </w:r>
    </w:p>
    <w:p w14:paraId="2EE053B2" w14:textId="77777777" w:rsidR="006D3F81" w:rsidRPr="0035223E" w:rsidRDefault="006D3F81" w:rsidP="006D3F81">
      <w:pPr>
        <w:jc w:val="center"/>
        <w:rPr>
          <w:b/>
        </w:rPr>
      </w:pPr>
    </w:p>
    <w:p w14:paraId="5E319301" w14:textId="782961D0" w:rsidR="00947691" w:rsidRPr="00947691" w:rsidRDefault="00012CD9" w:rsidP="006D3F81">
      <w:pPr>
        <w:pStyle w:val="BodyText"/>
        <w:jc w:val="center"/>
        <w:rPr>
          <w:b/>
          <w:color w:val="000000"/>
          <w:sz w:val="24"/>
        </w:rPr>
      </w:pPr>
      <w:r w:rsidRPr="0035223E">
        <w:rPr>
          <w:b/>
          <w:sz w:val="24"/>
        </w:rPr>
        <w:t>o imenovanju</w:t>
      </w:r>
      <w:r>
        <w:rPr>
          <w:b/>
          <w:sz w:val="24"/>
        </w:rPr>
        <w:t xml:space="preserve"> </w:t>
      </w:r>
      <w:r w:rsidRPr="000E7EA8">
        <w:rPr>
          <w:b/>
          <w:sz w:val="24"/>
        </w:rPr>
        <w:t>revizorskog društva</w:t>
      </w:r>
      <w:r>
        <w:rPr>
          <w:b/>
          <w:sz w:val="24"/>
        </w:rPr>
        <w:t xml:space="preserve"> </w:t>
      </w:r>
      <w:r w:rsidRPr="0035223E">
        <w:rPr>
          <w:b/>
          <w:sz w:val="24"/>
        </w:rPr>
        <w:t xml:space="preserve">za reviziju </w:t>
      </w:r>
      <w:r w:rsidR="0082212B">
        <w:rPr>
          <w:b/>
          <w:sz w:val="24"/>
        </w:rPr>
        <w:t>godišnjih izvještaja</w:t>
      </w:r>
      <w:r w:rsidR="00BA2073">
        <w:rPr>
          <w:b/>
          <w:sz w:val="24"/>
        </w:rPr>
        <w:t xml:space="preserve"> i konsolidiranih </w:t>
      </w:r>
      <w:r w:rsidRPr="0035223E">
        <w:rPr>
          <w:b/>
          <w:color w:val="000000"/>
          <w:sz w:val="24"/>
        </w:rPr>
        <w:t>godišnjih</w:t>
      </w:r>
      <w:r w:rsidR="0082212B">
        <w:rPr>
          <w:b/>
          <w:color w:val="000000"/>
          <w:sz w:val="24"/>
        </w:rPr>
        <w:t xml:space="preserve"> </w:t>
      </w:r>
      <w:r w:rsidRPr="0035223E">
        <w:rPr>
          <w:b/>
          <w:color w:val="000000"/>
          <w:sz w:val="24"/>
        </w:rPr>
        <w:t xml:space="preserve">izvještaja Financijske agencije </w:t>
      </w:r>
      <w:r w:rsidR="00BA2073">
        <w:rPr>
          <w:b/>
          <w:color w:val="000000"/>
          <w:sz w:val="24"/>
        </w:rPr>
        <w:t>za 2025., 2026. i 2027. godinu</w:t>
      </w:r>
    </w:p>
    <w:p w14:paraId="76CFB10F" w14:textId="2EE1646E" w:rsidR="00012CD9" w:rsidRDefault="00012CD9" w:rsidP="006D3F81">
      <w:pPr>
        <w:pStyle w:val="BodyText"/>
        <w:jc w:val="center"/>
        <w:rPr>
          <w:b/>
          <w:sz w:val="24"/>
        </w:rPr>
      </w:pPr>
    </w:p>
    <w:p w14:paraId="18C88144" w14:textId="77777777" w:rsidR="00012CD9" w:rsidRPr="0035223E" w:rsidRDefault="00012CD9" w:rsidP="006D3F81">
      <w:pPr>
        <w:pStyle w:val="BodyText"/>
        <w:rPr>
          <w:b/>
          <w:sz w:val="24"/>
        </w:rPr>
      </w:pPr>
    </w:p>
    <w:p w14:paraId="5F13C812" w14:textId="77777777" w:rsidR="00012CD9" w:rsidRPr="0035223E" w:rsidRDefault="00012CD9" w:rsidP="006D3F81">
      <w:pPr>
        <w:pStyle w:val="BodyText"/>
        <w:jc w:val="center"/>
        <w:rPr>
          <w:b/>
          <w:sz w:val="24"/>
        </w:rPr>
      </w:pPr>
      <w:r w:rsidRPr="0035223E">
        <w:rPr>
          <w:b/>
          <w:sz w:val="24"/>
        </w:rPr>
        <w:t>I.</w:t>
      </w:r>
    </w:p>
    <w:p w14:paraId="14EF477D" w14:textId="77777777" w:rsidR="00012CD9" w:rsidRPr="005F6409" w:rsidRDefault="00012CD9" w:rsidP="006D3F81">
      <w:pPr>
        <w:jc w:val="both"/>
      </w:pPr>
    </w:p>
    <w:p w14:paraId="3A963DEF" w14:textId="0BDC36B0" w:rsidR="00012CD9" w:rsidRDefault="00E545AD" w:rsidP="006D3F81">
      <w:pPr>
        <w:ind w:firstLine="1418"/>
        <w:jc w:val="both"/>
      </w:pPr>
      <w:r>
        <w:t>Imenuje se revizorsko</w:t>
      </w:r>
      <w:r w:rsidR="00012CD9" w:rsidRPr="005F6409">
        <w:t xml:space="preserve"> društvo </w:t>
      </w:r>
      <w:r w:rsidR="00BA5DBF">
        <w:t>Pricewaterhouse</w:t>
      </w:r>
      <w:r w:rsidR="0092737D">
        <w:t>Coopers</w:t>
      </w:r>
      <w:r w:rsidR="00BA5DBF">
        <w:t xml:space="preserve"> d.o.o., Zagreb, </w:t>
      </w:r>
      <w:r w:rsidR="006D3F81">
        <w:t xml:space="preserve">Ulica Vjekoslava </w:t>
      </w:r>
      <w:r w:rsidR="00733BF6">
        <w:t xml:space="preserve">Heinzela </w:t>
      </w:r>
      <w:r w:rsidR="00BA5DBF">
        <w:t>70</w:t>
      </w:r>
      <w:r w:rsidR="00813F34">
        <w:t xml:space="preserve">, </w:t>
      </w:r>
      <w:r w:rsidR="005F6409" w:rsidRPr="005F6409">
        <w:t xml:space="preserve">OIB: </w:t>
      </w:r>
      <w:r w:rsidR="00BA5DBF">
        <w:t>81744835353</w:t>
      </w:r>
      <w:r w:rsidR="00012CD9" w:rsidRPr="005F6409">
        <w:t xml:space="preserve">, za obavljanje revizije </w:t>
      </w:r>
      <w:r w:rsidR="0082212B">
        <w:t>godišnjih izvještaja</w:t>
      </w:r>
      <w:r w:rsidR="00BA2073">
        <w:t xml:space="preserve"> i konsolidiranih </w:t>
      </w:r>
      <w:r w:rsidR="0082212B">
        <w:rPr>
          <w:color w:val="000000"/>
        </w:rPr>
        <w:t xml:space="preserve">godišnjih </w:t>
      </w:r>
      <w:r w:rsidR="00012CD9" w:rsidRPr="009F1750">
        <w:rPr>
          <w:color w:val="000000"/>
        </w:rPr>
        <w:t xml:space="preserve">izvještaja Financijske agencije </w:t>
      </w:r>
      <w:r w:rsidR="00BA2073">
        <w:rPr>
          <w:color w:val="000000"/>
        </w:rPr>
        <w:t>za 2025., 2026. i 2027. godinu.</w:t>
      </w:r>
    </w:p>
    <w:p w14:paraId="30D2C428" w14:textId="77777777" w:rsidR="00012CD9" w:rsidRDefault="00012CD9" w:rsidP="006D3F81">
      <w:pPr>
        <w:jc w:val="both"/>
      </w:pPr>
    </w:p>
    <w:p w14:paraId="20BBED34" w14:textId="77777777" w:rsidR="00012CD9" w:rsidRPr="0035223E" w:rsidRDefault="00012CD9" w:rsidP="006D3F81">
      <w:pPr>
        <w:jc w:val="center"/>
        <w:rPr>
          <w:b/>
        </w:rPr>
      </w:pPr>
      <w:r w:rsidRPr="0035223E">
        <w:rPr>
          <w:b/>
        </w:rPr>
        <w:t>II.</w:t>
      </w:r>
    </w:p>
    <w:p w14:paraId="64879FFB" w14:textId="77777777" w:rsidR="00012CD9" w:rsidRPr="0035223E" w:rsidRDefault="00012CD9" w:rsidP="006D3F81">
      <w:pPr>
        <w:rPr>
          <w:b/>
        </w:rPr>
      </w:pPr>
    </w:p>
    <w:p w14:paraId="421153F3" w14:textId="77777777" w:rsidR="00012CD9" w:rsidRPr="0035223E" w:rsidRDefault="00012CD9" w:rsidP="006D3F81">
      <w:pPr>
        <w:ind w:firstLine="1418"/>
      </w:pPr>
      <w:r w:rsidRPr="0035223E">
        <w:t xml:space="preserve">Ova Odluka stupa na snagu </w:t>
      </w:r>
      <w:r>
        <w:t xml:space="preserve">s </w:t>
      </w:r>
      <w:r w:rsidRPr="0035223E">
        <w:t>danom donošenja.</w:t>
      </w:r>
    </w:p>
    <w:p w14:paraId="2DCE5D1B" w14:textId="77777777" w:rsidR="00012CD9" w:rsidRPr="0035223E" w:rsidRDefault="00012CD9" w:rsidP="006D3F81"/>
    <w:p w14:paraId="60D6A7C1" w14:textId="77777777" w:rsidR="00012CD9" w:rsidRPr="0035223E" w:rsidRDefault="00012CD9" w:rsidP="006D3F81"/>
    <w:p w14:paraId="25EE73E0" w14:textId="77777777" w:rsidR="00012CD9" w:rsidRPr="0035223E" w:rsidRDefault="00012CD9" w:rsidP="006D3F81">
      <w:r w:rsidRPr="0035223E">
        <w:t xml:space="preserve">Klasa: </w:t>
      </w:r>
    </w:p>
    <w:p w14:paraId="47E02D45" w14:textId="77777777" w:rsidR="00012CD9" w:rsidRPr="0035223E" w:rsidRDefault="00012CD9" w:rsidP="006D3F81">
      <w:r w:rsidRPr="0035223E">
        <w:t xml:space="preserve">Urbroj: </w:t>
      </w:r>
    </w:p>
    <w:p w14:paraId="7E35822F" w14:textId="77777777" w:rsidR="00012CD9" w:rsidRPr="0035223E" w:rsidRDefault="00012CD9" w:rsidP="00012CD9">
      <w:pPr>
        <w:spacing w:line="288" w:lineRule="auto"/>
      </w:pPr>
    </w:p>
    <w:p w14:paraId="65D04846" w14:textId="77777777" w:rsidR="00012CD9" w:rsidRPr="0035223E" w:rsidRDefault="00012CD9" w:rsidP="00012CD9">
      <w:pPr>
        <w:spacing w:line="288" w:lineRule="auto"/>
      </w:pPr>
      <w:r w:rsidRPr="0035223E">
        <w:t xml:space="preserve">Zagreb, </w:t>
      </w:r>
    </w:p>
    <w:p w14:paraId="0271815F" w14:textId="77777777" w:rsidR="00012CD9" w:rsidRPr="0035223E" w:rsidRDefault="00012CD9" w:rsidP="00012CD9">
      <w:pPr>
        <w:spacing w:line="288" w:lineRule="auto"/>
      </w:pPr>
    </w:p>
    <w:p w14:paraId="577CC81E" w14:textId="77777777" w:rsidR="00012CD9" w:rsidRPr="0035223E" w:rsidRDefault="00012CD9" w:rsidP="00012CD9">
      <w:pPr>
        <w:spacing w:line="288" w:lineRule="auto"/>
      </w:pPr>
    </w:p>
    <w:p w14:paraId="6915FFFD" w14:textId="77777777" w:rsidR="00012CD9" w:rsidRPr="0035223E" w:rsidRDefault="00012CD9" w:rsidP="00012CD9">
      <w:pPr>
        <w:spacing w:line="288" w:lineRule="auto"/>
      </w:pPr>
      <w:r w:rsidRPr="0035223E">
        <w:tab/>
      </w:r>
      <w:r w:rsidRPr="0035223E">
        <w:tab/>
      </w:r>
      <w:r w:rsidRPr="0035223E">
        <w:tab/>
      </w:r>
      <w:r w:rsidRPr="0035223E">
        <w:tab/>
      </w:r>
      <w:r w:rsidRPr="0035223E">
        <w:tab/>
      </w:r>
      <w:r w:rsidRPr="0035223E">
        <w:tab/>
      </w:r>
      <w:r w:rsidRPr="0035223E">
        <w:tab/>
      </w:r>
      <w:r w:rsidRPr="0035223E">
        <w:tab/>
      </w:r>
      <w:r w:rsidRPr="0035223E">
        <w:tab/>
        <w:t xml:space="preserve">PREDSJEDNIK </w:t>
      </w:r>
    </w:p>
    <w:p w14:paraId="0C0A7CA2" w14:textId="77777777" w:rsidR="00012CD9" w:rsidRPr="0035223E" w:rsidRDefault="00012CD9" w:rsidP="00012CD9">
      <w:pPr>
        <w:spacing w:line="288" w:lineRule="auto"/>
      </w:pPr>
    </w:p>
    <w:p w14:paraId="095BFFAA" w14:textId="77777777" w:rsidR="00012CD9" w:rsidRPr="0035223E" w:rsidRDefault="00012CD9" w:rsidP="00012CD9">
      <w:pPr>
        <w:spacing w:line="288" w:lineRule="auto"/>
      </w:pPr>
    </w:p>
    <w:p w14:paraId="296BC1B3" w14:textId="77777777" w:rsidR="00012CD9" w:rsidRDefault="00012CD9" w:rsidP="00012CD9">
      <w:pPr>
        <w:spacing w:line="288" w:lineRule="auto"/>
        <w:ind w:left="5664"/>
      </w:pPr>
      <w:r w:rsidRPr="0035223E">
        <w:t xml:space="preserve">      mr.sc. Andrej Plenković </w:t>
      </w:r>
    </w:p>
    <w:p w14:paraId="0457A6CD" w14:textId="77777777" w:rsidR="000D51F3" w:rsidRDefault="00012CD9" w:rsidP="00854328">
      <w:pPr>
        <w:spacing w:line="264" w:lineRule="auto"/>
        <w:jc w:val="center"/>
      </w:pPr>
      <w:r>
        <w:br w:type="page"/>
      </w:r>
    </w:p>
    <w:p w14:paraId="665D783F" w14:textId="77777777" w:rsidR="000D51F3" w:rsidRDefault="000D51F3" w:rsidP="00854328">
      <w:pPr>
        <w:spacing w:line="264" w:lineRule="auto"/>
        <w:jc w:val="center"/>
      </w:pPr>
    </w:p>
    <w:p w14:paraId="25F2B88F" w14:textId="31A6C843" w:rsidR="00012CD9" w:rsidRDefault="00012CD9" w:rsidP="00854328">
      <w:pPr>
        <w:spacing w:line="264" w:lineRule="auto"/>
        <w:jc w:val="center"/>
        <w:rPr>
          <w:b/>
        </w:rPr>
      </w:pPr>
      <w:r w:rsidRPr="0035223E">
        <w:rPr>
          <w:b/>
        </w:rPr>
        <w:t>O b r a z l o ž e nj e</w:t>
      </w:r>
    </w:p>
    <w:p w14:paraId="6B9F1931" w14:textId="77777777" w:rsidR="00012CD9" w:rsidRPr="0035223E" w:rsidRDefault="00012CD9" w:rsidP="00854328">
      <w:pPr>
        <w:tabs>
          <w:tab w:val="decimal" w:pos="7920"/>
        </w:tabs>
        <w:jc w:val="center"/>
        <w:rPr>
          <w:b/>
        </w:rPr>
      </w:pPr>
    </w:p>
    <w:p w14:paraId="23D505ED" w14:textId="767AFB60" w:rsidR="00813AB1" w:rsidRDefault="00012CD9" w:rsidP="0019109E">
      <w:pPr>
        <w:tabs>
          <w:tab w:val="decimal" w:pos="7920"/>
        </w:tabs>
        <w:ind w:right="-2"/>
        <w:jc w:val="both"/>
      </w:pPr>
      <w:r>
        <w:t>Uredba (EU) br. 537/2014 Europskog parlamenta i Vijeća od 16. travnja 2014. o posebnim zahtjevima u vezi zakonske revizije subjekata od javnog interesa i stavljanju izvan snage Odluke Komisije 2005/909/EZ (SL L 158, 27. svibnja 2014</w:t>
      </w:r>
      <w:r w:rsidR="00A0301E">
        <w:t>.)</w:t>
      </w:r>
      <w:r w:rsidR="008213B0">
        <w:t>, kako je zadnje izmijenjena Uredbom (EU) 2023/2869 Europskog parlamenta i Vijeća od 13. prosinca 2023. o izmjeni određenih uredbi u pogledu uspostave i funkcioniranja jedinstvene europske pristupne točke</w:t>
      </w:r>
      <w:r w:rsidR="00DD0211">
        <w:t xml:space="preserve"> (Tekst značajan za EGP) (SL L, 20.12.2023.)</w:t>
      </w:r>
      <w:r w:rsidR="00A0301E">
        <w:t xml:space="preserve"> (u daljnjem tekstu: Uredba)</w:t>
      </w:r>
      <w:r w:rsidR="008213B0">
        <w:t>,</w:t>
      </w:r>
      <w:r>
        <w:t xml:space="preserve"> propisuje imenovanje ovlaštenih revizora ili revizorskih društava od strane subjekata od javnog interesa. Uredba se u cijelosti izravno primjenjuje u zakonodavstvu svih članica Europske unije, a Zakon o reviziji (Narodne novine, broj </w:t>
      </w:r>
      <w:r w:rsidR="00854328" w:rsidRPr="00854328">
        <w:t xml:space="preserve">127/17, </w:t>
      </w:r>
      <w:hyperlink r:id="rId11" w:history="1">
        <w:r w:rsidR="00854328" w:rsidRPr="00854328">
          <w:t>27/24</w:t>
        </w:r>
      </w:hyperlink>
      <w:r w:rsidR="00854328" w:rsidRPr="00854328">
        <w:t>, 85/24 i 145/24</w:t>
      </w:r>
      <w:r>
        <w:t>) služi kao provedbeni propis koji</w:t>
      </w:r>
      <w:r w:rsidR="00F15A3B">
        <w:t>m</w:t>
      </w:r>
      <w:r>
        <w:t xml:space="preserve"> se detaljnije uređuje provedba Uredbe</w:t>
      </w:r>
      <w:r w:rsidR="00DD0211">
        <w:t>.</w:t>
      </w:r>
    </w:p>
    <w:p w14:paraId="4AE745D8" w14:textId="77777777" w:rsidR="00813AB1" w:rsidRDefault="00813AB1" w:rsidP="0019109E">
      <w:pPr>
        <w:tabs>
          <w:tab w:val="decimal" w:pos="7920"/>
        </w:tabs>
        <w:ind w:right="-2"/>
        <w:jc w:val="both"/>
      </w:pPr>
    </w:p>
    <w:p w14:paraId="5196656F" w14:textId="113F9A6D" w:rsidR="00012CD9" w:rsidRPr="002C4D2C" w:rsidRDefault="0064678B" w:rsidP="0019109E">
      <w:pPr>
        <w:tabs>
          <w:tab w:val="decimal" w:pos="7920"/>
        </w:tabs>
        <w:ind w:right="-2"/>
        <w:jc w:val="both"/>
      </w:pPr>
      <w:r w:rsidRPr="0064678B">
        <w:t>Financijska agencija je navedena u Odluci o pravnim osobama od posebnog interesa za Republiku Hrvatsku (N</w:t>
      </w:r>
      <w:r w:rsidR="00422F45">
        <w:t>arodne novine, broj</w:t>
      </w:r>
      <w:r w:rsidR="004A0C54">
        <w:t xml:space="preserve"> 147/</w:t>
      </w:r>
      <w:r w:rsidRPr="0064678B">
        <w:t>21</w:t>
      </w:r>
      <w:r w:rsidR="0057724A">
        <w:t xml:space="preserve"> i 78/23</w:t>
      </w:r>
      <w:r w:rsidRPr="0064678B">
        <w:t>)</w:t>
      </w:r>
      <w:r w:rsidR="00A0301E">
        <w:t xml:space="preserve"> te je </w:t>
      </w:r>
      <w:r w:rsidRPr="0064678B">
        <w:t>sukladno članku 3. Zakona o računovodstvu (N</w:t>
      </w:r>
      <w:r w:rsidR="00422F45">
        <w:t>arodne novine, broj</w:t>
      </w:r>
      <w:r w:rsidRPr="0064678B">
        <w:t xml:space="preserve"> 85/24</w:t>
      </w:r>
      <w:r w:rsidR="00854328">
        <w:t xml:space="preserve"> i </w:t>
      </w:r>
      <w:hyperlink r:id="rId12" w:tgtFrame="_blank" w:history="1">
        <w:r w:rsidR="00854328" w:rsidRPr="00854328">
          <w:t>145/24</w:t>
        </w:r>
      </w:hyperlink>
      <w:r w:rsidR="00FC3E08">
        <w:t>) subjekt od javnog interesa i</w:t>
      </w:r>
      <w:r w:rsidR="003510B8">
        <w:t xml:space="preserve"> članku 20. istog Zakona</w:t>
      </w:r>
      <w:r w:rsidR="002E11D8" w:rsidRPr="002E11D8">
        <w:t xml:space="preserve"> obveznik odabira revizora/revizorskog društva sukladno odredbama Uredbe.</w:t>
      </w:r>
    </w:p>
    <w:p w14:paraId="11BE3E40" w14:textId="77777777" w:rsidR="00012CD9" w:rsidRDefault="00012CD9" w:rsidP="0019109E">
      <w:pPr>
        <w:tabs>
          <w:tab w:val="decimal" w:pos="7920"/>
        </w:tabs>
        <w:ind w:right="-2"/>
        <w:jc w:val="both"/>
      </w:pPr>
    </w:p>
    <w:p w14:paraId="4A66D871" w14:textId="5A97EB46" w:rsidR="00012CD9" w:rsidRDefault="00012CD9" w:rsidP="0019109E">
      <w:pPr>
        <w:tabs>
          <w:tab w:val="decimal" w:pos="7920"/>
        </w:tabs>
        <w:ind w:right="-2"/>
        <w:jc w:val="both"/>
      </w:pPr>
      <w:r>
        <w:t>Imenovanje revizorskog društva, propisano je člankom 16. Uredbe, kojim je navedeno da revizorski odbor podnosi preporuku upravnom ili nadzornom tijelu subjekta koji je predmet revizije za imenovanje ovlaštenih revizora ili revizorskih društava. Obzirom kako se Vlada Republike Hrvatske smatra tijelom istovjetnim glavnoj skupštini, ov</w:t>
      </w:r>
      <w:r w:rsidR="000A2DC3">
        <w:t>o</w:t>
      </w:r>
      <w:r w:rsidR="00A82A94">
        <w:t xml:space="preserve">m </w:t>
      </w:r>
      <w:r w:rsidR="000A2DC3">
        <w:t>Odlukom</w:t>
      </w:r>
      <w:r>
        <w:t xml:space="preserve"> predlaže se da Vlada Republike Hrvatske imenuje revizorsko društvo za reviziju izvještaja Financijske agencije.</w:t>
      </w:r>
    </w:p>
    <w:p w14:paraId="16C69D40" w14:textId="3848A343" w:rsidR="00813AB1" w:rsidRDefault="00813AB1" w:rsidP="0019109E">
      <w:pPr>
        <w:tabs>
          <w:tab w:val="decimal" w:pos="7920"/>
        </w:tabs>
        <w:ind w:right="-2"/>
        <w:jc w:val="both"/>
      </w:pPr>
    </w:p>
    <w:p w14:paraId="049EEBC3" w14:textId="6FFF3CB4" w:rsidR="008D4D84" w:rsidRPr="00813AB1" w:rsidRDefault="008D4D84" w:rsidP="0019109E">
      <w:pPr>
        <w:tabs>
          <w:tab w:val="decimal" w:pos="7920"/>
        </w:tabs>
        <w:ind w:right="-2"/>
        <w:jc w:val="both"/>
      </w:pPr>
      <w:r w:rsidRPr="00813AB1">
        <w:t>Financijska agencija je dužna imenovati reviz</w:t>
      </w:r>
      <w:r w:rsidR="00B20FB2">
        <w:t xml:space="preserve">orsko društvo </w:t>
      </w:r>
      <w:r w:rsidRPr="00813AB1">
        <w:t>prema članku 41. stavcima 1. do 7. Zakona o reviziji (Naro</w:t>
      </w:r>
      <w:r>
        <w:t xml:space="preserve">dne novine, br. 127/17, 27/24, </w:t>
      </w:r>
      <w:r w:rsidRPr="00813AB1">
        <w:t>85/24</w:t>
      </w:r>
      <w:r>
        <w:t xml:space="preserve"> i 145/24</w:t>
      </w:r>
      <w:r w:rsidRPr="00813AB1">
        <w:t>)</w:t>
      </w:r>
      <w:r w:rsidR="00E545AD">
        <w:t xml:space="preserve"> kojima se propisuje</w:t>
      </w:r>
      <w:r w:rsidR="00B20FB2">
        <w:t xml:space="preserve"> </w:t>
      </w:r>
      <w:r w:rsidR="002E11D8">
        <w:t xml:space="preserve"> obveza sklapanja ugovora o reviziji godišnjih financijskih izvještaja</w:t>
      </w:r>
      <w:r w:rsidR="00B20FB2">
        <w:t xml:space="preserve"> (</w:t>
      </w:r>
      <w:r w:rsidR="002E11D8">
        <w:t>izvještaj</w:t>
      </w:r>
      <w:r w:rsidR="00B20FB2">
        <w:t>a</w:t>
      </w:r>
      <w:r w:rsidR="002E11D8">
        <w:t xml:space="preserve"> o financijskom položaju, račun</w:t>
      </w:r>
      <w:r w:rsidR="00B20FB2">
        <w:t>a</w:t>
      </w:r>
      <w:r w:rsidR="002E11D8">
        <w:t xml:space="preserve"> dobiti i gubitka, izvještaj</w:t>
      </w:r>
      <w:r w:rsidR="00B20FB2">
        <w:t>a</w:t>
      </w:r>
      <w:r w:rsidR="002E11D8">
        <w:t xml:space="preserve"> o ostaloj sveobuhvatnoj dobiti, izvještaj</w:t>
      </w:r>
      <w:r w:rsidR="00B20FB2">
        <w:t>a</w:t>
      </w:r>
      <w:r w:rsidR="002E11D8">
        <w:t xml:space="preserve"> o novčanim tokovima, izvještaj</w:t>
      </w:r>
      <w:r w:rsidR="00B20FB2">
        <w:t>a</w:t>
      </w:r>
      <w:r w:rsidR="002E11D8">
        <w:t xml:space="preserve"> </w:t>
      </w:r>
      <w:r w:rsidR="00B20FB2">
        <w:t>o promjenama kapitala i bilješki</w:t>
      </w:r>
      <w:r w:rsidR="002E11D8">
        <w:t xml:space="preserve"> uz </w:t>
      </w:r>
      <w:r w:rsidR="00B20FB2">
        <w:t xml:space="preserve">godišnje financijske izvještaj) </w:t>
      </w:r>
      <w:r w:rsidR="002E11D8">
        <w:t>te provjera izvještaja o održivosti</w:t>
      </w:r>
      <w:r w:rsidRPr="00813AB1">
        <w:t>. Sukladno članku 79. stavku 1.</w:t>
      </w:r>
      <w:r>
        <w:t xml:space="preserve"> </w:t>
      </w:r>
      <w:r w:rsidRPr="00813AB1">
        <w:t>Zakon</w:t>
      </w:r>
      <w:r>
        <w:t>a</w:t>
      </w:r>
      <w:r w:rsidRPr="00813AB1">
        <w:t xml:space="preserve"> o izmjenama i dopunama</w:t>
      </w:r>
      <w:r>
        <w:t xml:space="preserve"> </w:t>
      </w:r>
      <w:r w:rsidRPr="00813AB1">
        <w:t>Zakon</w:t>
      </w:r>
      <w:r>
        <w:t>a</w:t>
      </w:r>
      <w:r w:rsidRPr="00813AB1">
        <w:t xml:space="preserve"> o reviziji (Narodne novine, br. 85/24) za poslovnu godinu 2025. Financijska agencija je dužna imenovati</w:t>
      </w:r>
      <w:r w:rsidR="00E545AD">
        <w:t xml:space="preserve"> revizorsko društvo i sklopiti</w:t>
      </w:r>
      <w:r w:rsidRPr="00813AB1">
        <w:t xml:space="preserve"> ugovor o provjeri izvještaja o održivosti najkasnije tri mjeseca prije završetka poslovne godine</w:t>
      </w:r>
      <w:r>
        <w:t xml:space="preserve"> </w:t>
      </w:r>
      <w:r w:rsidRPr="00813AB1">
        <w:t>2025. godine. U tom slučaju početni angažman ugovara se na razdoblje od najmanje jedne godine.</w:t>
      </w:r>
      <w:r>
        <w:t xml:space="preserve"> </w:t>
      </w:r>
      <w:r w:rsidRPr="00813AB1">
        <w:t>Za</w:t>
      </w:r>
      <w:r>
        <w:t xml:space="preserve"> </w:t>
      </w:r>
      <w:r w:rsidRPr="00813AB1">
        <w:t>poslovnu godinu 2026. Financijska agencija je dužna imenovati revizorsko društvo i sklopiti ugovor o</w:t>
      </w:r>
      <w:r>
        <w:t xml:space="preserve"> </w:t>
      </w:r>
      <w:r w:rsidRPr="00813AB1">
        <w:t>provjeri izvještaja o održivosti prema članku 41. stavcima 1. i 7. Zakona o reviziji (Nar</w:t>
      </w:r>
      <w:r>
        <w:t>odne novine, br. 127/17, 27/24,</w:t>
      </w:r>
      <w:r w:rsidRPr="00813AB1">
        <w:t xml:space="preserve"> 85/24</w:t>
      </w:r>
      <w:r>
        <w:t xml:space="preserve"> i 145/24</w:t>
      </w:r>
      <w:r w:rsidRPr="00813AB1">
        <w:t>)</w:t>
      </w:r>
      <w:r>
        <w:t xml:space="preserve"> </w:t>
      </w:r>
      <w:r w:rsidRPr="00813AB1">
        <w:t xml:space="preserve">godinu dana ranije, tj. </w:t>
      </w:r>
      <w:r>
        <w:t>n</w:t>
      </w:r>
      <w:r w:rsidRPr="00813AB1">
        <w:t>ajkasnije</w:t>
      </w:r>
      <w:r>
        <w:t xml:space="preserve"> </w:t>
      </w:r>
      <w:r w:rsidRPr="00813AB1">
        <w:t>tri</w:t>
      </w:r>
      <w:r>
        <w:t xml:space="preserve"> </w:t>
      </w:r>
      <w:r w:rsidRPr="00813AB1">
        <w:t>mjeseca prije završetka poslovne godine koja prethodi poslovnoj godini čiji izvještaj</w:t>
      </w:r>
      <w:r>
        <w:t xml:space="preserve"> </w:t>
      </w:r>
      <w:r w:rsidRPr="00813AB1">
        <w:t>o održivosti je</w:t>
      </w:r>
      <w:r>
        <w:t xml:space="preserve"> </w:t>
      </w:r>
      <w:r w:rsidRPr="00813AB1">
        <w:t>predmet ugovora o provjeri izvještaja o održivosti, znači do 30.</w:t>
      </w:r>
      <w:r>
        <w:t xml:space="preserve"> </w:t>
      </w:r>
      <w:r w:rsidRPr="00813AB1">
        <w:t>rujna 2025.</w:t>
      </w:r>
      <w:r w:rsidR="00F15A3B">
        <w:t>, a u slučaju početnog angažmana</w:t>
      </w:r>
      <w:r w:rsidRPr="00813AB1">
        <w:t xml:space="preserve"> </w:t>
      </w:r>
      <w:r w:rsidR="00180796">
        <w:t xml:space="preserve">ugovor se sklapa na </w:t>
      </w:r>
      <w:r w:rsidRPr="00813AB1">
        <w:t xml:space="preserve">najmanje </w:t>
      </w:r>
      <w:r w:rsidRPr="00813AB1">
        <w:lastRenderedPageBreak/>
        <w:t>dvije godine</w:t>
      </w:r>
      <w:r>
        <w:t xml:space="preserve"> </w:t>
      </w:r>
      <w:r w:rsidRPr="00813AB1">
        <w:t>sukladno</w:t>
      </w:r>
      <w:r>
        <w:t xml:space="preserve"> </w:t>
      </w:r>
      <w:r w:rsidRPr="00813AB1">
        <w:t>članku 79. stavku 3.</w:t>
      </w:r>
      <w:r>
        <w:t xml:space="preserve"> </w:t>
      </w:r>
      <w:r w:rsidRPr="00813AB1">
        <w:t>Zakona o izmjenama i dopunama</w:t>
      </w:r>
      <w:r>
        <w:t xml:space="preserve"> </w:t>
      </w:r>
      <w:r w:rsidRPr="00813AB1">
        <w:t>Zakon</w:t>
      </w:r>
      <w:r>
        <w:t>a</w:t>
      </w:r>
      <w:r w:rsidRPr="00813AB1">
        <w:t xml:space="preserve"> o reviziji (Narodne novine, br. 85/24). </w:t>
      </w:r>
    </w:p>
    <w:p w14:paraId="7A3C4D1C" w14:textId="77777777" w:rsidR="00813AB1" w:rsidRDefault="00813AB1" w:rsidP="0019109E">
      <w:pPr>
        <w:tabs>
          <w:tab w:val="decimal" w:pos="7920"/>
        </w:tabs>
        <w:ind w:right="-2"/>
        <w:jc w:val="both"/>
      </w:pPr>
    </w:p>
    <w:p w14:paraId="228A6A33" w14:textId="2E617C53" w:rsidR="00813AB1" w:rsidRPr="00813AB1" w:rsidRDefault="00813AB1" w:rsidP="0019109E">
      <w:pPr>
        <w:tabs>
          <w:tab w:val="decimal" w:pos="7920"/>
        </w:tabs>
        <w:ind w:right="-2"/>
        <w:jc w:val="both"/>
      </w:pPr>
      <w:bookmarkStart w:id="2" w:name="_Hlk200023757"/>
      <w:r w:rsidRPr="00813AB1">
        <w:t>Financijska agencija je pozivom na dostavu ponuda (Klasa: 401-01/25-01/4, Ur.broj: 118-05-25-5) od 16. travnja 2025. godine prikupila ponude za usluge revizije financijskih izvještaja, provjere elektroničkog formata za izvještavanje i provjere izvještaja o održivosti za nekonsolidirane i konsolidirane godišnje izvještaje Financijske agencije za 2025., 2026. i 2027. godinu. U tijeku postupka prikupljene su tri valjane ponude i to od neovisnih revizorskih društava Deloitte d.o.o.</w:t>
      </w:r>
      <w:r w:rsidR="002C4D2C">
        <w:t>,</w:t>
      </w:r>
      <w:r w:rsidRPr="00813AB1">
        <w:t xml:space="preserve"> Ernst&amp;Young d.o.o. i PricewaterhouseCoopers d.o.o.  </w:t>
      </w:r>
    </w:p>
    <w:bookmarkEnd w:id="2"/>
    <w:p w14:paraId="3318EF35" w14:textId="77777777" w:rsidR="00813AB1" w:rsidRPr="00813AB1" w:rsidRDefault="00813AB1" w:rsidP="0019109E">
      <w:pPr>
        <w:tabs>
          <w:tab w:val="decimal" w:pos="7920"/>
        </w:tabs>
        <w:ind w:right="-2"/>
        <w:jc w:val="both"/>
      </w:pPr>
    </w:p>
    <w:p w14:paraId="191474B2" w14:textId="4F25905E" w:rsidR="007E5B8C" w:rsidRPr="00813AB1" w:rsidRDefault="007E5B8C" w:rsidP="0019109E">
      <w:pPr>
        <w:ind w:right="-2"/>
        <w:jc w:val="both"/>
      </w:pPr>
      <w:r w:rsidRPr="00813AB1">
        <w:t xml:space="preserve">Revizijski odbor Financijske agencije je na </w:t>
      </w:r>
      <w:r w:rsidR="00BA5DBF">
        <w:t>13.</w:t>
      </w:r>
      <w:r w:rsidRPr="00813AB1">
        <w:t xml:space="preserve"> sjednici održanoj </w:t>
      </w:r>
      <w:r w:rsidR="00BA5DBF">
        <w:t>25. lipnja</w:t>
      </w:r>
      <w:r w:rsidRPr="00813AB1">
        <w:t xml:space="preserve"> 202</w:t>
      </w:r>
      <w:r w:rsidR="00854328" w:rsidRPr="00813AB1">
        <w:t>5</w:t>
      </w:r>
      <w:r w:rsidRPr="00813AB1">
        <w:t xml:space="preserve">. donio </w:t>
      </w:r>
      <w:r w:rsidR="00E123DF" w:rsidRPr="00813AB1">
        <w:t>Zaključak o davanju preporuke Nadzornom odboru Financijske agencije za prijedlog imenovanja ovlaštenog revizora za</w:t>
      </w:r>
      <w:r w:rsidR="00813AB1" w:rsidRPr="00813AB1">
        <w:t xml:space="preserve"> reviziju nekonsolidiranih i konsolidirani</w:t>
      </w:r>
      <w:r w:rsidR="00BA5DBF">
        <w:t>h</w:t>
      </w:r>
      <w:r w:rsidR="00813AB1" w:rsidRPr="00813AB1">
        <w:t xml:space="preserve"> godišnjih izvještaja Financijske agencije za 2025., 2026. i 2027. godinu</w:t>
      </w:r>
      <w:r w:rsidR="00854328" w:rsidRPr="00813AB1">
        <w:t xml:space="preserve"> </w:t>
      </w:r>
      <w:r w:rsidR="008213B0">
        <w:t>(K</w:t>
      </w:r>
      <w:r w:rsidRPr="00813AB1">
        <w:t>lasa:</w:t>
      </w:r>
      <w:r w:rsidR="00BA5DBF">
        <w:t xml:space="preserve"> 025-01/25-02/2</w:t>
      </w:r>
      <w:r w:rsidR="008213B0">
        <w:t>, U</w:t>
      </w:r>
      <w:r w:rsidRPr="00813AB1">
        <w:t>r.</w:t>
      </w:r>
      <w:r w:rsidR="00BA5DBF">
        <w:t xml:space="preserve"> </w:t>
      </w:r>
      <w:r w:rsidRPr="00813AB1">
        <w:t xml:space="preserve">broj: </w:t>
      </w:r>
      <w:r w:rsidR="00BA5DBF">
        <w:t>118-01-01-25-12</w:t>
      </w:r>
      <w:r w:rsidRPr="00813AB1">
        <w:t>).</w:t>
      </w:r>
      <w:r w:rsidR="00E123DF" w:rsidRPr="00813AB1">
        <w:t xml:space="preserve"> </w:t>
      </w:r>
      <w:r w:rsidRPr="00813AB1">
        <w:t xml:space="preserve">Navedenim Zaključkom predlaže se izbor revizorskog društva </w:t>
      </w:r>
      <w:r w:rsidR="00BA5DBF" w:rsidRPr="00813AB1">
        <w:t>PricewaterhouseCoopers d.o.o.</w:t>
      </w:r>
      <w:r w:rsidR="00BA5DBF">
        <w:t xml:space="preserve"> jer isto zadovoljava sve tražene uvjete, a njegova ponuda je cjenovno najpovoljnija.</w:t>
      </w:r>
      <w:r w:rsidRPr="00813AB1">
        <w:t xml:space="preserve">  </w:t>
      </w:r>
    </w:p>
    <w:p w14:paraId="2CED8C13" w14:textId="4BB5371C" w:rsidR="000D51F3" w:rsidRDefault="000D51F3" w:rsidP="0019109E">
      <w:pPr>
        <w:tabs>
          <w:tab w:val="decimal" w:pos="7920"/>
        </w:tabs>
        <w:ind w:right="-2"/>
        <w:jc w:val="both"/>
      </w:pPr>
    </w:p>
    <w:p w14:paraId="4B36338E" w14:textId="6C846BC8" w:rsidR="00012CD9" w:rsidRPr="00813AB1" w:rsidRDefault="00012CD9" w:rsidP="0019109E">
      <w:pPr>
        <w:tabs>
          <w:tab w:val="decimal" w:pos="7920"/>
        </w:tabs>
        <w:ind w:right="-2"/>
        <w:jc w:val="both"/>
      </w:pPr>
      <w:r w:rsidRPr="00813AB1">
        <w:t xml:space="preserve">Nadzorni odbor Financijske agencije je na </w:t>
      </w:r>
      <w:r w:rsidR="00BA5DBF">
        <w:t>124</w:t>
      </w:r>
      <w:r w:rsidRPr="00813AB1">
        <w:t xml:space="preserve">. sjednici održanoj </w:t>
      </w:r>
      <w:r w:rsidR="00BA5DBF">
        <w:t>25. lipnja</w:t>
      </w:r>
      <w:r w:rsidRPr="00813AB1">
        <w:t xml:space="preserve"> 20</w:t>
      </w:r>
      <w:r w:rsidR="00B57C43" w:rsidRPr="00813AB1">
        <w:t>2</w:t>
      </w:r>
      <w:r w:rsidR="00854328" w:rsidRPr="00813AB1">
        <w:t>5</w:t>
      </w:r>
      <w:r w:rsidRPr="00813AB1">
        <w:t xml:space="preserve">. donio </w:t>
      </w:r>
      <w:r w:rsidR="00A82A94" w:rsidRPr="00813AB1">
        <w:t>Zaključak</w:t>
      </w:r>
      <w:r w:rsidRPr="00813AB1">
        <w:t xml:space="preserve"> o davanju prijedloga Vladi Republike Hrvatske za imenovanje ovlaštenog revizora </w:t>
      </w:r>
      <w:r w:rsidR="00813AB1" w:rsidRPr="00813AB1">
        <w:t>za reviziju nekonsolidiranih i konsolidirani</w:t>
      </w:r>
      <w:r w:rsidR="00684BBB">
        <w:t>h</w:t>
      </w:r>
      <w:r w:rsidR="00813AB1" w:rsidRPr="00813AB1">
        <w:t xml:space="preserve"> godišnjih izvještaja Financijske agencije za 2025., 2026. i 2027. godinu </w:t>
      </w:r>
      <w:r w:rsidR="008213B0">
        <w:t>(K</w:t>
      </w:r>
      <w:r w:rsidRPr="00813AB1">
        <w:t xml:space="preserve">lasa: </w:t>
      </w:r>
      <w:r w:rsidR="00BA5DBF">
        <w:t>025-01/25-01/4</w:t>
      </w:r>
      <w:r w:rsidR="008213B0">
        <w:t>, U</w:t>
      </w:r>
      <w:r w:rsidRPr="00813AB1">
        <w:t>r.</w:t>
      </w:r>
      <w:r w:rsidR="00BA5DBF">
        <w:t xml:space="preserve"> </w:t>
      </w:r>
      <w:r w:rsidRPr="00813AB1">
        <w:t xml:space="preserve">broj: </w:t>
      </w:r>
      <w:r w:rsidR="00BA5DBF">
        <w:t>118-01-25-1</w:t>
      </w:r>
      <w:r w:rsidR="00F806FE">
        <w:t>4</w:t>
      </w:r>
      <w:r w:rsidRPr="00813AB1">
        <w:t>). Naveden</w:t>
      </w:r>
      <w:r w:rsidR="00A82A94" w:rsidRPr="00813AB1">
        <w:t>im</w:t>
      </w:r>
      <w:r w:rsidR="0047199F" w:rsidRPr="00813AB1">
        <w:t xml:space="preserve"> </w:t>
      </w:r>
      <w:r w:rsidR="00A82A94" w:rsidRPr="00813AB1">
        <w:t>Zaključkom</w:t>
      </w:r>
      <w:r w:rsidRPr="00813AB1">
        <w:t xml:space="preserve"> predlaže se izbor revizorskog društva </w:t>
      </w:r>
      <w:r w:rsidR="00BA5DBF" w:rsidRPr="00813AB1">
        <w:t>PricewaterhouseCoopers d.o.o.</w:t>
      </w:r>
      <w:r w:rsidRPr="00813AB1">
        <w:t xml:space="preserve">  </w:t>
      </w:r>
    </w:p>
    <w:p w14:paraId="7964B48F" w14:textId="4A67210C" w:rsidR="00012CD9" w:rsidRPr="00813AB1" w:rsidRDefault="00012CD9" w:rsidP="0019109E">
      <w:pPr>
        <w:tabs>
          <w:tab w:val="decimal" w:pos="7920"/>
        </w:tabs>
        <w:ind w:right="-2"/>
        <w:jc w:val="both"/>
      </w:pPr>
    </w:p>
    <w:p w14:paraId="091745BF" w14:textId="4D1480B4" w:rsidR="00707D44" w:rsidRPr="00813AB1" w:rsidRDefault="00012CD9" w:rsidP="0019109E">
      <w:pPr>
        <w:ind w:right="-2"/>
        <w:jc w:val="both"/>
        <w:rPr>
          <w:rFonts w:ascii="Arial" w:hAnsi="Arial" w:cs="Arial"/>
          <w:sz w:val="22"/>
          <w:szCs w:val="22"/>
        </w:rPr>
      </w:pPr>
      <w:r w:rsidRPr="00813AB1">
        <w:t>S</w:t>
      </w:r>
      <w:r w:rsidR="0047199F" w:rsidRPr="00813AB1">
        <w:t>lijedom navedenog</w:t>
      </w:r>
      <w:r w:rsidR="00C70F5E" w:rsidRPr="00813AB1">
        <w:t>,</w:t>
      </w:r>
      <w:r w:rsidR="0047199F" w:rsidRPr="00813AB1">
        <w:t xml:space="preserve"> Ministarstvo financija predlaže da Vlada Republike Hrvatske donese Odluku</w:t>
      </w:r>
      <w:r w:rsidRPr="00813AB1">
        <w:t xml:space="preserve"> </w:t>
      </w:r>
      <w:r w:rsidR="0047199F" w:rsidRPr="00813AB1">
        <w:t>kojom se</w:t>
      </w:r>
      <w:r w:rsidRPr="00813AB1">
        <w:t xml:space="preserve"> </w:t>
      </w:r>
      <w:r w:rsidR="0047199F" w:rsidRPr="00813AB1">
        <w:t xml:space="preserve">imenuje </w:t>
      </w:r>
      <w:r w:rsidR="00180796">
        <w:t>revizorsko</w:t>
      </w:r>
      <w:r w:rsidR="00180796" w:rsidRPr="00813AB1">
        <w:t xml:space="preserve"> </w:t>
      </w:r>
      <w:r w:rsidRPr="00813AB1">
        <w:t xml:space="preserve">društvo </w:t>
      </w:r>
      <w:r w:rsidR="00BA5DBF" w:rsidRPr="00813AB1">
        <w:t>PricewaterhouseCoopers d.o.o.</w:t>
      </w:r>
      <w:r w:rsidR="00BA5DBF" w:rsidRPr="00BA5DBF">
        <w:t xml:space="preserve"> </w:t>
      </w:r>
      <w:r w:rsidR="00BA5DBF">
        <w:t xml:space="preserve">Zagreb, </w:t>
      </w:r>
      <w:r w:rsidR="000A2DC3">
        <w:t xml:space="preserve">Ulica Vjekoslava </w:t>
      </w:r>
      <w:r w:rsidR="00BA5DBF">
        <w:t>Heinzel</w:t>
      </w:r>
      <w:r w:rsidR="000A2DC3">
        <w:t>a</w:t>
      </w:r>
      <w:r w:rsidR="00BA5DBF">
        <w:t xml:space="preserve"> 70, </w:t>
      </w:r>
      <w:r w:rsidR="00BA5DBF" w:rsidRPr="005F6409">
        <w:t xml:space="preserve">OIB: </w:t>
      </w:r>
      <w:r w:rsidR="00BA5DBF">
        <w:t>81744835353</w:t>
      </w:r>
      <w:r w:rsidR="00BA5DBF" w:rsidRPr="005F6409">
        <w:t>,</w:t>
      </w:r>
      <w:r w:rsidR="00BA5DBF">
        <w:t xml:space="preserve"> </w:t>
      </w:r>
      <w:r w:rsidRPr="00813AB1">
        <w:t xml:space="preserve">za obavljanje revizije </w:t>
      </w:r>
      <w:r w:rsidR="00627EE7">
        <w:t>godišnjih izvještaja</w:t>
      </w:r>
      <w:r w:rsidR="00813AB1" w:rsidRPr="00813AB1">
        <w:t xml:space="preserve"> i konsolidirani</w:t>
      </w:r>
      <w:r w:rsidR="00BA5DBF">
        <w:t>h</w:t>
      </w:r>
      <w:r w:rsidR="00813AB1" w:rsidRPr="00813AB1">
        <w:t xml:space="preserve"> godišnjih izvještaja Financijske agencije za 2025., 2026. i 2027. godinu</w:t>
      </w:r>
      <w:r w:rsidR="00BA5DBF">
        <w:t>.</w:t>
      </w:r>
    </w:p>
    <w:sectPr w:rsidR="00707D44" w:rsidRPr="00813AB1" w:rsidSect="005C521C">
      <w:headerReference w:type="default" r:id="rId13"/>
      <w:pgSz w:w="11906" w:h="16838" w:code="9"/>
      <w:pgMar w:top="467" w:right="1418" w:bottom="1135" w:left="1418" w:header="165" w:footer="2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3550E" w14:textId="77777777" w:rsidR="0004505A" w:rsidRDefault="0004505A">
      <w:r>
        <w:separator/>
      </w:r>
    </w:p>
  </w:endnote>
  <w:endnote w:type="continuationSeparator" w:id="0">
    <w:p w14:paraId="394149C3" w14:textId="77777777" w:rsidR="0004505A" w:rsidRDefault="00045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7CF55" w14:textId="77777777" w:rsidR="0004505A" w:rsidRDefault="0004505A">
      <w:r>
        <w:separator/>
      </w:r>
    </w:p>
  </w:footnote>
  <w:footnote w:type="continuationSeparator" w:id="0">
    <w:p w14:paraId="7C501CC8" w14:textId="77777777" w:rsidR="0004505A" w:rsidRDefault="000450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06782" w14:textId="77777777" w:rsidR="005C521C" w:rsidRDefault="005C521C" w:rsidP="00DD38D8">
    <w:pPr>
      <w:pStyle w:val="Header"/>
      <w:tabs>
        <w:tab w:val="clear" w:pos="4536"/>
        <w:tab w:val="clear" w:pos="9072"/>
        <w:tab w:val="left" w:pos="1065"/>
      </w:tabs>
    </w:pPr>
  </w:p>
  <w:p w14:paraId="358F87B8" w14:textId="77777777" w:rsidR="00053E7B" w:rsidRDefault="00053E7B" w:rsidP="00C011C8">
    <w:pPr>
      <w:pStyle w:val="Header"/>
      <w:tabs>
        <w:tab w:val="clear" w:pos="4536"/>
        <w:tab w:val="clear" w:pos="9072"/>
        <w:tab w:val="left" w:pos="1065"/>
      </w:tabs>
    </w:pPr>
  </w:p>
  <w:p w14:paraId="5E567F19" w14:textId="77777777" w:rsidR="00053E7B" w:rsidRDefault="00053E7B" w:rsidP="00D20910">
    <w:pPr>
      <w:pStyle w:val="Header"/>
      <w:ind w:left="-8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E01F5"/>
    <w:multiLevelType w:val="multilevel"/>
    <w:tmpl w:val="B69C19AC"/>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F8B2DFC"/>
    <w:multiLevelType w:val="hybridMultilevel"/>
    <w:tmpl w:val="A8BEEC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02F"/>
    <w:rsid w:val="00003FDF"/>
    <w:rsid w:val="000052C9"/>
    <w:rsid w:val="00012CD9"/>
    <w:rsid w:val="000261AF"/>
    <w:rsid w:val="00035599"/>
    <w:rsid w:val="0004505A"/>
    <w:rsid w:val="0005270B"/>
    <w:rsid w:val="00053E7B"/>
    <w:rsid w:val="000607B2"/>
    <w:rsid w:val="00067184"/>
    <w:rsid w:val="000719E9"/>
    <w:rsid w:val="00072FBE"/>
    <w:rsid w:val="000768C8"/>
    <w:rsid w:val="00084A9E"/>
    <w:rsid w:val="00095A0C"/>
    <w:rsid w:val="000A2DC3"/>
    <w:rsid w:val="000B4F0A"/>
    <w:rsid w:val="000C4D0E"/>
    <w:rsid w:val="000D51F3"/>
    <w:rsid w:val="000D688C"/>
    <w:rsid w:val="000E1BF6"/>
    <w:rsid w:val="000E2B57"/>
    <w:rsid w:val="000E49A9"/>
    <w:rsid w:val="000F02BE"/>
    <w:rsid w:val="000F6972"/>
    <w:rsid w:val="00102F4C"/>
    <w:rsid w:val="00106CC4"/>
    <w:rsid w:val="001231C1"/>
    <w:rsid w:val="0012581E"/>
    <w:rsid w:val="00130D78"/>
    <w:rsid w:val="0013130D"/>
    <w:rsid w:val="001347EE"/>
    <w:rsid w:val="0015394A"/>
    <w:rsid w:val="00164047"/>
    <w:rsid w:val="00167468"/>
    <w:rsid w:val="00173A98"/>
    <w:rsid w:val="00177628"/>
    <w:rsid w:val="00180796"/>
    <w:rsid w:val="0018340A"/>
    <w:rsid w:val="0019109E"/>
    <w:rsid w:val="00191C66"/>
    <w:rsid w:val="00197170"/>
    <w:rsid w:val="001A1941"/>
    <w:rsid w:val="001A308B"/>
    <w:rsid w:val="001C0CC1"/>
    <w:rsid w:val="001D21A1"/>
    <w:rsid w:val="001D40DF"/>
    <w:rsid w:val="001E2AD0"/>
    <w:rsid w:val="001E2C3C"/>
    <w:rsid w:val="001E30B5"/>
    <w:rsid w:val="001E3EB1"/>
    <w:rsid w:val="001F2ED4"/>
    <w:rsid w:val="001F2F6A"/>
    <w:rsid w:val="00204C44"/>
    <w:rsid w:val="002061F5"/>
    <w:rsid w:val="00221EAE"/>
    <w:rsid w:val="00224708"/>
    <w:rsid w:val="00224BCB"/>
    <w:rsid w:val="002312D9"/>
    <w:rsid w:val="00232131"/>
    <w:rsid w:val="00233B9B"/>
    <w:rsid w:val="0024011F"/>
    <w:rsid w:val="00242F24"/>
    <w:rsid w:val="00252BDC"/>
    <w:rsid w:val="002640B3"/>
    <w:rsid w:val="00264A71"/>
    <w:rsid w:val="0027090B"/>
    <w:rsid w:val="00287C70"/>
    <w:rsid w:val="00295864"/>
    <w:rsid w:val="00295B64"/>
    <w:rsid w:val="00297B56"/>
    <w:rsid w:val="002A2831"/>
    <w:rsid w:val="002A50C6"/>
    <w:rsid w:val="002B2775"/>
    <w:rsid w:val="002B34A0"/>
    <w:rsid w:val="002B373F"/>
    <w:rsid w:val="002C17C0"/>
    <w:rsid w:val="002C21AB"/>
    <w:rsid w:val="002C4D2C"/>
    <w:rsid w:val="002D73A9"/>
    <w:rsid w:val="002E11D8"/>
    <w:rsid w:val="002E4660"/>
    <w:rsid w:val="002E46CC"/>
    <w:rsid w:val="002E636E"/>
    <w:rsid w:val="002F21BC"/>
    <w:rsid w:val="003054BE"/>
    <w:rsid w:val="003170C4"/>
    <w:rsid w:val="00324F7B"/>
    <w:rsid w:val="00327C82"/>
    <w:rsid w:val="00334C34"/>
    <w:rsid w:val="00340BB7"/>
    <w:rsid w:val="0034567F"/>
    <w:rsid w:val="00346F17"/>
    <w:rsid w:val="00350C33"/>
    <w:rsid w:val="003510B8"/>
    <w:rsid w:val="00353681"/>
    <w:rsid w:val="00353C6D"/>
    <w:rsid w:val="00363CB5"/>
    <w:rsid w:val="0037277D"/>
    <w:rsid w:val="00382453"/>
    <w:rsid w:val="00387D8F"/>
    <w:rsid w:val="00392731"/>
    <w:rsid w:val="00397F6A"/>
    <w:rsid w:val="003A2C62"/>
    <w:rsid w:val="003C04C2"/>
    <w:rsid w:val="003D5F0D"/>
    <w:rsid w:val="004000BA"/>
    <w:rsid w:val="00400EA5"/>
    <w:rsid w:val="004017F1"/>
    <w:rsid w:val="00403357"/>
    <w:rsid w:val="0041046A"/>
    <w:rsid w:val="0041161A"/>
    <w:rsid w:val="00422F45"/>
    <w:rsid w:val="00423050"/>
    <w:rsid w:val="00446C9A"/>
    <w:rsid w:val="00454442"/>
    <w:rsid w:val="0047199F"/>
    <w:rsid w:val="00472414"/>
    <w:rsid w:val="00477E1B"/>
    <w:rsid w:val="0048100C"/>
    <w:rsid w:val="00483F0A"/>
    <w:rsid w:val="00486EEB"/>
    <w:rsid w:val="004939A5"/>
    <w:rsid w:val="004A0C54"/>
    <w:rsid w:val="004A16E9"/>
    <w:rsid w:val="004A265E"/>
    <w:rsid w:val="004A2C88"/>
    <w:rsid w:val="004B0280"/>
    <w:rsid w:val="004B4FA9"/>
    <w:rsid w:val="004C486A"/>
    <w:rsid w:val="004D4B58"/>
    <w:rsid w:val="004D6855"/>
    <w:rsid w:val="004F1745"/>
    <w:rsid w:val="004F4D6B"/>
    <w:rsid w:val="004F6CA5"/>
    <w:rsid w:val="004F786A"/>
    <w:rsid w:val="00504B80"/>
    <w:rsid w:val="00504F84"/>
    <w:rsid w:val="0051260E"/>
    <w:rsid w:val="00530752"/>
    <w:rsid w:val="00531D57"/>
    <w:rsid w:val="00533632"/>
    <w:rsid w:val="0054177E"/>
    <w:rsid w:val="00545BC1"/>
    <w:rsid w:val="0055071B"/>
    <w:rsid w:val="00570678"/>
    <w:rsid w:val="00570E22"/>
    <w:rsid w:val="0057724A"/>
    <w:rsid w:val="005779B1"/>
    <w:rsid w:val="005819A5"/>
    <w:rsid w:val="0058209F"/>
    <w:rsid w:val="005953C2"/>
    <w:rsid w:val="00595F02"/>
    <w:rsid w:val="00596AED"/>
    <w:rsid w:val="005A7835"/>
    <w:rsid w:val="005B162A"/>
    <w:rsid w:val="005B4464"/>
    <w:rsid w:val="005B59D7"/>
    <w:rsid w:val="005B6630"/>
    <w:rsid w:val="005B7F44"/>
    <w:rsid w:val="005C31FD"/>
    <w:rsid w:val="005C521C"/>
    <w:rsid w:val="005D38DB"/>
    <w:rsid w:val="005E2185"/>
    <w:rsid w:val="005E4933"/>
    <w:rsid w:val="005F6409"/>
    <w:rsid w:val="006025BB"/>
    <w:rsid w:val="006072CF"/>
    <w:rsid w:val="00610B46"/>
    <w:rsid w:val="00613DE9"/>
    <w:rsid w:val="00613EE0"/>
    <w:rsid w:val="00617F99"/>
    <w:rsid w:val="00624E3C"/>
    <w:rsid w:val="00627EE7"/>
    <w:rsid w:val="00642C1D"/>
    <w:rsid w:val="0064678B"/>
    <w:rsid w:val="006473D9"/>
    <w:rsid w:val="0065549A"/>
    <w:rsid w:val="00666325"/>
    <w:rsid w:val="006713B0"/>
    <w:rsid w:val="006741C4"/>
    <w:rsid w:val="00684BBB"/>
    <w:rsid w:val="0068500D"/>
    <w:rsid w:val="00696AD2"/>
    <w:rsid w:val="006978B2"/>
    <w:rsid w:val="006A1CEF"/>
    <w:rsid w:val="006B05EC"/>
    <w:rsid w:val="006B124F"/>
    <w:rsid w:val="006C2CA2"/>
    <w:rsid w:val="006D3F81"/>
    <w:rsid w:val="006D4C36"/>
    <w:rsid w:val="006E6807"/>
    <w:rsid w:val="006E6CBA"/>
    <w:rsid w:val="006F4EE7"/>
    <w:rsid w:val="006F5116"/>
    <w:rsid w:val="006F7BFF"/>
    <w:rsid w:val="00700E0D"/>
    <w:rsid w:val="00707D44"/>
    <w:rsid w:val="0071629C"/>
    <w:rsid w:val="0072265A"/>
    <w:rsid w:val="007308A1"/>
    <w:rsid w:val="00731854"/>
    <w:rsid w:val="00733BF6"/>
    <w:rsid w:val="007347BB"/>
    <w:rsid w:val="00743EDE"/>
    <w:rsid w:val="00751A1E"/>
    <w:rsid w:val="00755D5A"/>
    <w:rsid w:val="007569B8"/>
    <w:rsid w:val="00761D15"/>
    <w:rsid w:val="00764D3B"/>
    <w:rsid w:val="007A347F"/>
    <w:rsid w:val="007B2AEA"/>
    <w:rsid w:val="007B402A"/>
    <w:rsid w:val="007B6043"/>
    <w:rsid w:val="007C5A5D"/>
    <w:rsid w:val="007C5DE2"/>
    <w:rsid w:val="007C646D"/>
    <w:rsid w:val="007C7C0C"/>
    <w:rsid w:val="007D43C2"/>
    <w:rsid w:val="007E06B7"/>
    <w:rsid w:val="007E206B"/>
    <w:rsid w:val="007E483B"/>
    <w:rsid w:val="007E5B8C"/>
    <w:rsid w:val="007F3C12"/>
    <w:rsid w:val="007F42EF"/>
    <w:rsid w:val="007F76F8"/>
    <w:rsid w:val="007F7B34"/>
    <w:rsid w:val="008004B3"/>
    <w:rsid w:val="00811068"/>
    <w:rsid w:val="00813AB1"/>
    <w:rsid w:val="00813F34"/>
    <w:rsid w:val="0082137D"/>
    <w:rsid w:val="008213B0"/>
    <w:rsid w:val="0082212B"/>
    <w:rsid w:val="0082328B"/>
    <w:rsid w:val="00823E2E"/>
    <w:rsid w:val="00833B41"/>
    <w:rsid w:val="008442EB"/>
    <w:rsid w:val="0085320F"/>
    <w:rsid w:val="00854328"/>
    <w:rsid w:val="00854ACE"/>
    <w:rsid w:val="00860543"/>
    <w:rsid w:val="008741B6"/>
    <w:rsid w:val="00884149"/>
    <w:rsid w:val="00890EDE"/>
    <w:rsid w:val="008A149D"/>
    <w:rsid w:val="008B2208"/>
    <w:rsid w:val="008B3E5B"/>
    <w:rsid w:val="008B3FA1"/>
    <w:rsid w:val="008C61E5"/>
    <w:rsid w:val="008D0E73"/>
    <w:rsid w:val="008D361F"/>
    <w:rsid w:val="008D4D84"/>
    <w:rsid w:val="008E6906"/>
    <w:rsid w:val="008E7831"/>
    <w:rsid w:val="008F354F"/>
    <w:rsid w:val="00901D32"/>
    <w:rsid w:val="00910877"/>
    <w:rsid w:val="00913028"/>
    <w:rsid w:val="0092737D"/>
    <w:rsid w:val="00927954"/>
    <w:rsid w:val="009421BC"/>
    <w:rsid w:val="00942DE8"/>
    <w:rsid w:val="00945D30"/>
    <w:rsid w:val="00947691"/>
    <w:rsid w:val="0095118F"/>
    <w:rsid w:val="00953A9D"/>
    <w:rsid w:val="00954800"/>
    <w:rsid w:val="009631E3"/>
    <w:rsid w:val="009704F4"/>
    <w:rsid w:val="00970561"/>
    <w:rsid w:val="00973608"/>
    <w:rsid w:val="009867A4"/>
    <w:rsid w:val="00992C1A"/>
    <w:rsid w:val="009960F4"/>
    <w:rsid w:val="009973DF"/>
    <w:rsid w:val="009B03B2"/>
    <w:rsid w:val="009C31AB"/>
    <w:rsid w:val="009C36C4"/>
    <w:rsid w:val="009D5A5F"/>
    <w:rsid w:val="009E5B9C"/>
    <w:rsid w:val="009E5FAF"/>
    <w:rsid w:val="009F3BC7"/>
    <w:rsid w:val="009F61D7"/>
    <w:rsid w:val="00A025E9"/>
    <w:rsid w:val="00A0301E"/>
    <w:rsid w:val="00A13443"/>
    <w:rsid w:val="00A17EC7"/>
    <w:rsid w:val="00A26D5D"/>
    <w:rsid w:val="00A44947"/>
    <w:rsid w:val="00A520C0"/>
    <w:rsid w:val="00A5602F"/>
    <w:rsid w:val="00A64637"/>
    <w:rsid w:val="00A67151"/>
    <w:rsid w:val="00A67E3C"/>
    <w:rsid w:val="00A7567A"/>
    <w:rsid w:val="00A76027"/>
    <w:rsid w:val="00A82A94"/>
    <w:rsid w:val="00A82BE2"/>
    <w:rsid w:val="00A92788"/>
    <w:rsid w:val="00A94177"/>
    <w:rsid w:val="00AB13A3"/>
    <w:rsid w:val="00AB7D99"/>
    <w:rsid w:val="00AC0099"/>
    <w:rsid w:val="00AC36E8"/>
    <w:rsid w:val="00AC7B75"/>
    <w:rsid w:val="00AD0E57"/>
    <w:rsid w:val="00AD67B6"/>
    <w:rsid w:val="00AE731F"/>
    <w:rsid w:val="00AF42BB"/>
    <w:rsid w:val="00AF479C"/>
    <w:rsid w:val="00AF6169"/>
    <w:rsid w:val="00B01BCC"/>
    <w:rsid w:val="00B071A5"/>
    <w:rsid w:val="00B106C7"/>
    <w:rsid w:val="00B159C3"/>
    <w:rsid w:val="00B20FB2"/>
    <w:rsid w:val="00B21CC0"/>
    <w:rsid w:val="00B252D4"/>
    <w:rsid w:val="00B357D6"/>
    <w:rsid w:val="00B37DDA"/>
    <w:rsid w:val="00B40DC0"/>
    <w:rsid w:val="00B4500E"/>
    <w:rsid w:val="00B50850"/>
    <w:rsid w:val="00B554A8"/>
    <w:rsid w:val="00B571BD"/>
    <w:rsid w:val="00B57C43"/>
    <w:rsid w:val="00B65311"/>
    <w:rsid w:val="00B7241B"/>
    <w:rsid w:val="00B76EAF"/>
    <w:rsid w:val="00B8755F"/>
    <w:rsid w:val="00B92722"/>
    <w:rsid w:val="00BA2073"/>
    <w:rsid w:val="00BA3489"/>
    <w:rsid w:val="00BA586D"/>
    <w:rsid w:val="00BA5DBF"/>
    <w:rsid w:val="00BA73B7"/>
    <w:rsid w:val="00BC7C70"/>
    <w:rsid w:val="00BE4FA3"/>
    <w:rsid w:val="00BE5D7F"/>
    <w:rsid w:val="00C01092"/>
    <w:rsid w:val="00C011C8"/>
    <w:rsid w:val="00C12C38"/>
    <w:rsid w:val="00C26D18"/>
    <w:rsid w:val="00C27837"/>
    <w:rsid w:val="00C47ABF"/>
    <w:rsid w:val="00C70F5E"/>
    <w:rsid w:val="00C7119A"/>
    <w:rsid w:val="00C71399"/>
    <w:rsid w:val="00C75CF4"/>
    <w:rsid w:val="00C9075B"/>
    <w:rsid w:val="00CA000C"/>
    <w:rsid w:val="00CC5DCD"/>
    <w:rsid w:val="00CC7A67"/>
    <w:rsid w:val="00CE6A17"/>
    <w:rsid w:val="00CF35DC"/>
    <w:rsid w:val="00CF73C0"/>
    <w:rsid w:val="00D005DE"/>
    <w:rsid w:val="00D07264"/>
    <w:rsid w:val="00D124B3"/>
    <w:rsid w:val="00D12883"/>
    <w:rsid w:val="00D13BEA"/>
    <w:rsid w:val="00D156A3"/>
    <w:rsid w:val="00D20910"/>
    <w:rsid w:val="00D22D57"/>
    <w:rsid w:val="00D40B8B"/>
    <w:rsid w:val="00D55959"/>
    <w:rsid w:val="00D67C97"/>
    <w:rsid w:val="00D74613"/>
    <w:rsid w:val="00D77B98"/>
    <w:rsid w:val="00D77D1D"/>
    <w:rsid w:val="00D825A4"/>
    <w:rsid w:val="00D873F2"/>
    <w:rsid w:val="00DD0211"/>
    <w:rsid w:val="00DD38D8"/>
    <w:rsid w:val="00DE5715"/>
    <w:rsid w:val="00DF02F2"/>
    <w:rsid w:val="00DF4B49"/>
    <w:rsid w:val="00E020C7"/>
    <w:rsid w:val="00E123DF"/>
    <w:rsid w:val="00E20A1A"/>
    <w:rsid w:val="00E24E93"/>
    <w:rsid w:val="00E257D6"/>
    <w:rsid w:val="00E26E3F"/>
    <w:rsid w:val="00E333AE"/>
    <w:rsid w:val="00E33681"/>
    <w:rsid w:val="00E33E9F"/>
    <w:rsid w:val="00E34415"/>
    <w:rsid w:val="00E37DC0"/>
    <w:rsid w:val="00E46C83"/>
    <w:rsid w:val="00E46E67"/>
    <w:rsid w:val="00E475FE"/>
    <w:rsid w:val="00E47784"/>
    <w:rsid w:val="00E51034"/>
    <w:rsid w:val="00E545AD"/>
    <w:rsid w:val="00E602CA"/>
    <w:rsid w:val="00E604F2"/>
    <w:rsid w:val="00E60540"/>
    <w:rsid w:val="00E61F82"/>
    <w:rsid w:val="00E636BB"/>
    <w:rsid w:val="00E66076"/>
    <w:rsid w:val="00E678D4"/>
    <w:rsid w:val="00E81A89"/>
    <w:rsid w:val="00E90414"/>
    <w:rsid w:val="00E90BE2"/>
    <w:rsid w:val="00E96396"/>
    <w:rsid w:val="00E964CC"/>
    <w:rsid w:val="00E973E7"/>
    <w:rsid w:val="00EA5EB0"/>
    <w:rsid w:val="00EB16D5"/>
    <w:rsid w:val="00EB2F3C"/>
    <w:rsid w:val="00EC4E47"/>
    <w:rsid w:val="00ED452A"/>
    <w:rsid w:val="00EE59A1"/>
    <w:rsid w:val="00EF23AC"/>
    <w:rsid w:val="00EF40AA"/>
    <w:rsid w:val="00F01992"/>
    <w:rsid w:val="00F0557D"/>
    <w:rsid w:val="00F15A3B"/>
    <w:rsid w:val="00F2032E"/>
    <w:rsid w:val="00F2151B"/>
    <w:rsid w:val="00F24347"/>
    <w:rsid w:val="00F26DA2"/>
    <w:rsid w:val="00F317AC"/>
    <w:rsid w:val="00F376A5"/>
    <w:rsid w:val="00F40EB0"/>
    <w:rsid w:val="00F4216A"/>
    <w:rsid w:val="00F438D3"/>
    <w:rsid w:val="00F45401"/>
    <w:rsid w:val="00F52C47"/>
    <w:rsid w:val="00F53254"/>
    <w:rsid w:val="00F56E3D"/>
    <w:rsid w:val="00F5728F"/>
    <w:rsid w:val="00F620C1"/>
    <w:rsid w:val="00F6248D"/>
    <w:rsid w:val="00F778D1"/>
    <w:rsid w:val="00F806FE"/>
    <w:rsid w:val="00F94BF4"/>
    <w:rsid w:val="00F95712"/>
    <w:rsid w:val="00F9632B"/>
    <w:rsid w:val="00FA14E0"/>
    <w:rsid w:val="00FA2849"/>
    <w:rsid w:val="00FB610B"/>
    <w:rsid w:val="00FC2B60"/>
    <w:rsid w:val="00FC3E08"/>
    <w:rsid w:val="00FD052B"/>
    <w:rsid w:val="00FE7E5C"/>
    <w:rsid w:val="00FF2D16"/>
    <w:rsid w:val="00FF3320"/>
    <w:rsid w:val="00FF545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4A6B71A"/>
  <w15:docId w15:val="{4811ED8F-04CD-4A31-A609-07E41C934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4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60543"/>
    <w:pPr>
      <w:tabs>
        <w:tab w:val="center" w:pos="4536"/>
        <w:tab w:val="right" w:pos="9072"/>
      </w:tabs>
    </w:pPr>
  </w:style>
  <w:style w:type="paragraph" w:styleId="Footer">
    <w:name w:val="footer"/>
    <w:basedOn w:val="Normal"/>
    <w:link w:val="FooterChar"/>
    <w:uiPriority w:val="99"/>
    <w:rsid w:val="00860543"/>
    <w:pPr>
      <w:tabs>
        <w:tab w:val="center" w:pos="4536"/>
        <w:tab w:val="right" w:pos="9072"/>
      </w:tabs>
    </w:pPr>
  </w:style>
  <w:style w:type="table" w:styleId="TableGrid">
    <w:name w:val="Table Grid"/>
    <w:basedOn w:val="TableNormal"/>
    <w:rsid w:val="00204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RIJA">
    <w:name w:val="DARIJA"/>
    <w:basedOn w:val="Normal"/>
    <w:rsid w:val="00F6248D"/>
    <w:pPr>
      <w:spacing w:line="281" w:lineRule="auto"/>
    </w:pPr>
  </w:style>
  <w:style w:type="paragraph" w:styleId="BodyText">
    <w:name w:val="Body Text"/>
    <w:basedOn w:val="Normal"/>
    <w:link w:val="BodyTextChar"/>
    <w:rsid w:val="00F6248D"/>
    <w:pPr>
      <w:jc w:val="both"/>
    </w:pPr>
    <w:rPr>
      <w:sz w:val="20"/>
    </w:rPr>
  </w:style>
  <w:style w:type="character" w:styleId="Strong">
    <w:name w:val="Strong"/>
    <w:qFormat/>
    <w:rsid w:val="00340BB7"/>
    <w:rPr>
      <w:b/>
      <w:bCs/>
    </w:rPr>
  </w:style>
  <w:style w:type="paragraph" w:styleId="BalloonText">
    <w:name w:val="Balloon Text"/>
    <w:basedOn w:val="Normal"/>
    <w:semiHidden/>
    <w:rsid w:val="00FD052B"/>
    <w:rPr>
      <w:rFonts w:ascii="Tahoma" w:hAnsi="Tahoma" w:cs="Tahoma"/>
      <w:sz w:val="16"/>
      <w:szCs w:val="16"/>
    </w:rPr>
  </w:style>
  <w:style w:type="paragraph" w:customStyle="1" w:styleId="Normal1">
    <w:name w:val="Normal1"/>
    <w:basedOn w:val="Normal"/>
    <w:rsid w:val="00B76EAF"/>
    <w:pPr>
      <w:spacing w:before="100" w:beforeAutospacing="1" w:after="100" w:afterAutospacing="1"/>
    </w:pPr>
  </w:style>
  <w:style w:type="paragraph" w:styleId="ListParagraph">
    <w:name w:val="List Paragraph"/>
    <w:basedOn w:val="Normal"/>
    <w:uiPriority w:val="34"/>
    <w:qFormat/>
    <w:rsid w:val="000B4F0A"/>
    <w:pPr>
      <w:ind w:left="720"/>
      <w:contextualSpacing/>
    </w:pPr>
  </w:style>
  <w:style w:type="paragraph" w:customStyle="1" w:styleId="normal10">
    <w:name w:val="normal1"/>
    <w:basedOn w:val="Normal"/>
    <w:rsid w:val="00392731"/>
    <w:pPr>
      <w:spacing w:before="120" w:line="312" w:lineRule="atLeast"/>
      <w:jc w:val="both"/>
    </w:pPr>
  </w:style>
  <w:style w:type="paragraph" w:customStyle="1" w:styleId="sti-art1">
    <w:name w:val="sti-art1"/>
    <w:basedOn w:val="Normal"/>
    <w:rsid w:val="00392731"/>
    <w:pPr>
      <w:spacing w:before="60" w:after="120" w:line="312" w:lineRule="atLeast"/>
      <w:jc w:val="center"/>
    </w:pPr>
    <w:rPr>
      <w:b/>
      <w:bCs/>
    </w:rPr>
  </w:style>
  <w:style w:type="paragraph" w:customStyle="1" w:styleId="ti-art1">
    <w:name w:val="ti-art1"/>
    <w:basedOn w:val="Normal"/>
    <w:rsid w:val="00392731"/>
    <w:pPr>
      <w:spacing w:before="360" w:after="120" w:line="312" w:lineRule="atLeast"/>
      <w:jc w:val="center"/>
    </w:pPr>
    <w:rPr>
      <w:i/>
      <w:iCs/>
    </w:rPr>
  </w:style>
  <w:style w:type="paragraph" w:styleId="BodyTextIndent">
    <w:name w:val="Body Text Indent"/>
    <w:basedOn w:val="Normal"/>
    <w:link w:val="BodyTextIndentChar"/>
    <w:uiPriority w:val="99"/>
    <w:semiHidden/>
    <w:unhideWhenUsed/>
    <w:rsid w:val="00012CD9"/>
    <w:pPr>
      <w:spacing w:after="120"/>
      <w:ind w:left="283"/>
    </w:pPr>
  </w:style>
  <w:style w:type="character" w:customStyle="1" w:styleId="BodyTextIndentChar">
    <w:name w:val="Body Text Indent Char"/>
    <w:basedOn w:val="DefaultParagraphFont"/>
    <w:link w:val="BodyTextIndent"/>
    <w:uiPriority w:val="99"/>
    <w:semiHidden/>
    <w:rsid w:val="00012CD9"/>
    <w:rPr>
      <w:sz w:val="24"/>
      <w:szCs w:val="24"/>
    </w:rPr>
  </w:style>
  <w:style w:type="character" w:styleId="Hyperlink">
    <w:name w:val="Hyperlink"/>
    <w:basedOn w:val="DefaultParagraphFont"/>
    <w:uiPriority w:val="99"/>
    <w:semiHidden/>
    <w:unhideWhenUsed/>
    <w:rsid w:val="000261AF"/>
    <w:rPr>
      <w:color w:val="0000FF"/>
      <w:u w:val="single"/>
    </w:rPr>
  </w:style>
  <w:style w:type="character" w:customStyle="1" w:styleId="BodyTextChar">
    <w:name w:val="Body Text Char"/>
    <w:basedOn w:val="DefaultParagraphFont"/>
    <w:link w:val="BodyText"/>
    <w:rsid w:val="00813AB1"/>
    <w:rPr>
      <w:szCs w:val="24"/>
    </w:rPr>
  </w:style>
  <w:style w:type="character" w:customStyle="1" w:styleId="HeaderChar">
    <w:name w:val="Header Char"/>
    <w:basedOn w:val="DefaultParagraphFont"/>
    <w:link w:val="Header"/>
    <w:rsid w:val="00D156A3"/>
    <w:rPr>
      <w:sz w:val="24"/>
      <w:szCs w:val="24"/>
    </w:rPr>
  </w:style>
  <w:style w:type="character" w:customStyle="1" w:styleId="FooterChar">
    <w:name w:val="Footer Char"/>
    <w:basedOn w:val="DefaultParagraphFont"/>
    <w:link w:val="Footer"/>
    <w:uiPriority w:val="99"/>
    <w:rsid w:val="00D156A3"/>
    <w:rPr>
      <w:sz w:val="24"/>
      <w:szCs w:val="24"/>
    </w:rPr>
  </w:style>
  <w:style w:type="table" w:customStyle="1" w:styleId="Reetkatablice1">
    <w:name w:val="Rešetka tablice1"/>
    <w:basedOn w:val="TableNormal"/>
    <w:rsid w:val="00D156A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15A3B"/>
    <w:rPr>
      <w:sz w:val="16"/>
      <w:szCs w:val="16"/>
    </w:rPr>
  </w:style>
  <w:style w:type="paragraph" w:styleId="CommentText">
    <w:name w:val="annotation text"/>
    <w:basedOn w:val="Normal"/>
    <w:link w:val="CommentTextChar"/>
    <w:uiPriority w:val="99"/>
    <w:semiHidden/>
    <w:unhideWhenUsed/>
    <w:rsid w:val="00F15A3B"/>
    <w:rPr>
      <w:sz w:val="20"/>
      <w:szCs w:val="20"/>
    </w:rPr>
  </w:style>
  <w:style w:type="character" w:customStyle="1" w:styleId="CommentTextChar">
    <w:name w:val="Comment Text Char"/>
    <w:basedOn w:val="DefaultParagraphFont"/>
    <w:link w:val="CommentText"/>
    <w:uiPriority w:val="99"/>
    <w:semiHidden/>
    <w:rsid w:val="00F15A3B"/>
  </w:style>
  <w:style w:type="paragraph" w:styleId="CommentSubject">
    <w:name w:val="annotation subject"/>
    <w:basedOn w:val="CommentText"/>
    <w:next w:val="CommentText"/>
    <w:link w:val="CommentSubjectChar"/>
    <w:uiPriority w:val="99"/>
    <w:semiHidden/>
    <w:unhideWhenUsed/>
    <w:rsid w:val="00F15A3B"/>
    <w:rPr>
      <w:b/>
      <w:bCs/>
    </w:rPr>
  </w:style>
  <w:style w:type="character" w:customStyle="1" w:styleId="CommentSubjectChar">
    <w:name w:val="Comment Subject Char"/>
    <w:basedOn w:val="CommentTextChar"/>
    <w:link w:val="CommentSubject"/>
    <w:uiPriority w:val="99"/>
    <w:semiHidden/>
    <w:rsid w:val="00F15A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684290">
      <w:bodyDiv w:val="1"/>
      <w:marLeft w:val="0"/>
      <w:marRight w:val="0"/>
      <w:marTop w:val="0"/>
      <w:marBottom w:val="0"/>
      <w:divBdr>
        <w:top w:val="none" w:sz="0" w:space="0" w:color="auto"/>
        <w:left w:val="none" w:sz="0" w:space="0" w:color="auto"/>
        <w:bottom w:val="none" w:sz="0" w:space="0" w:color="auto"/>
        <w:right w:val="none" w:sz="0" w:space="0" w:color="auto"/>
      </w:divBdr>
      <w:divsChild>
        <w:div w:id="35324772">
          <w:marLeft w:val="0"/>
          <w:marRight w:val="0"/>
          <w:marTop w:val="0"/>
          <w:marBottom w:val="0"/>
          <w:divBdr>
            <w:top w:val="none" w:sz="0" w:space="0" w:color="auto"/>
            <w:left w:val="none" w:sz="0" w:space="0" w:color="auto"/>
            <w:bottom w:val="none" w:sz="0" w:space="0" w:color="auto"/>
            <w:right w:val="none" w:sz="0" w:space="0" w:color="auto"/>
          </w:divBdr>
          <w:divsChild>
            <w:div w:id="358701559">
              <w:marLeft w:val="0"/>
              <w:marRight w:val="0"/>
              <w:marTop w:val="0"/>
              <w:marBottom w:val="0"/>
              <w:divBdr>
                <w:top w:val="none" w:sz="0" w:space="0" w:color="auto"/>
                <w:left w:val="none" w:sz="0" w:space="0" w:color="auto"/>
                <w:bottom w:val="none" w:sz="0" w:space="0" w:color="auto"/>
                <w:right w:val="none" w:sz="0" w:space="0" w:color="auto"/>
              </w:divBdr>
              <w:divsChild>
                <w:div w:id="968122989">
                  <w:marLeft w:val="0"/>
                  <w:marRight w:val="0"/>
                  <w:marTop w:val="0"/>
                  <w:marBottom w:val="0"/>
                  <w:divBdr>
                    <w:top w:val="none" w:sz="0" w:space="0" w:color="auto"/>
                    <w:left w:val="none" w:sz="0" w:space="0" w:color="auto"/>
                    <w:bottom w:val="none" w:sz="0" w:space="0" w:color="auto"/>
                    <w:right w:val="none" w:sz="0" w:space="0" w:color="auto"/>
                  </w:divBdr>
                  <w:divsChild>
                    <w:div w:id="1282346814">
                      <w:marLeft w:val="-150"/>
                      <w:marRight w:val="-150"/>
                      <w:marTop w:val="0"/>
                      <w:marBottom w:val="0"/>
                      <w:divBdr>
                        <w:top w:val="none" w:sz="0" w:space="0" w:color="auto"/>
                        <w:left w:val="none" w:sz="0" w:space="0" w:color="auto"/>
                        <w:bottom w:val="none" w:sz="0" w:space="0" w:color="auto"/>
                        <w:right w:val="none" w:sz="0" w:space="0" w:color="auto"/>
                      </w:divBdr>
                      <w:divsChild>
                        <w:div w:id="158278050">
                          <w:marLeft w:val="0"/>
                          <w:marRight w:val="0"/>
                          <w:marTop w:val="0"/>
                          <w:marBottom w:val="0"/>
                          <w:divBdr>
                            <w:top w:val="none" w:sz="0" w:space="0" w:color="auto"/>
                            <w:left w:val="none" w:sz="0" w:space="0" w:color="auto"/>
                            <w:bottom w:val="none" w:sz="0" w:space="0" w:color="auto"/>
                            <w:right w:val="none" w:sz="0" w:space="0" w:color="auto"/>
                          </w:divBdr>
                          <w:divsChild>
                            <w:div w:id="767505809">
                              <w:marLeft w:val="0"/>
                              <w:marRight w:val="0"/>
                              <w:marTop w:val="0"/>
                              <w:marBottom w:val="0"/>
                              <w:divBdr>
                                <w:top w:val="none" w:sz="0" w:space="0" w:color="auto"/>
                                <w:left w:val="none" w:sz="0" w:space="0" w:color="auto"/>
                                <w:bottom w:val="none" w:sz="0" w:space="0" w:color="auto"/>
                                <w:right w:val="none" w:sz="0" w:space="0" w:color="auto"/>
                              </w:divBdr>
                              <w:divsChild>
                                <w:div w:id="1071461441">
                                  <w:marLeft w:val="0"/>
                                  <w:marRight w:val="0"/>
                                  <w:marTop w:val="0"/>
                                  <w:marBottom w:val="300"/>
                                  <w:divBdr>
                                    <w:top w:val="none" w:sz="0" w:space="0" w:color="auto"/>
                                    <w:left w:val="none" w:sz="0" w:space="0" w:color="auto"/>
                                    <w:bottom w:val="none" w:sz="0" w:space="0" w:color="auto"/>
                                    <w:right w:val="none" w:sz="0" w:space="0" w:color="auto"/>
                                  </w:divBdr>
                                  <w:divsChild>
                                    <w:div w:id="1800683359">
                                      <w:marLeft w:val="0"/>
                                      <w:marRight w:val="0"/>
                                      <w:marTop w:val="0"/>
                                      <w:marBottom w:val="0"/>
                                      <w:divBdr>
                                        <w:top w:val="none" w:sz="0" w:space="0" w:color="auto"/>
                                        <w:left w:val="none" w:sz="0" w:space="0" w:color="auto"/>
                                        <w:bottom w:val="none" w:sz="0" w:space="0" w:color="auto"/>
                                        <w:right w:val="none" w:sz="0" w:space="0" w:color="auto"/>
                                      </w:divBdr>
                                      <w:divsChild>
                                        <w:div w:id="1651130011">
                                          <w:marLeft w:val="0"/>
                                          <w:marRight w:val="0"/>
                                          <w:marTop w:val="0"/>
                                          <w:marBottom w:val="0"/>
                                          <w:divBdr>
                                            <w:top w:val="none" w:sz="0" w:space="0" w:color="auto"/>
                                            <w:left w:val="none" w:sz="0" w:space="0" w:color="auto"/>
                                            <w:bottom w:val="none" w:sz="0" w:space="0" w:color="auto"/>
                                            <w:right w:val="none" w:sz="0" w:space="0" w:color="auto"/>
                                          </w:divBdr>
                                          <w:divsChild>
                                            <w:div w:id="1639922124">
                                              <w:marLeft w:val="0"/>
                                              <w:marRight w:val="0"/>
                                              <w:marTop w:val="0"/>
                                              <w:marBottom w:val="0"/>
                                              <w:divBdr>
                                                <w:top w:val="none" w:sz="0" w:space="0" w:color="auto"/>
                                                <w:left w:val="none" w:sz="0" w:space="0" w:color="auto"/>
                                                <w:bottom w:val="none" w:sz="0" w:space="0" w:color="auto"/>
                                                <w:right w:val="none" w:sz="0" w:space="0" w:color="auto"/>
                                              </w:divBdr>
                                              <w:divsChild>
                                                <w:div w:id="192039820">
                                                  <w:marLeft w:val="0"/>
                                                  <w:marRight w:val="0"/>
                                                  <w:marTop w:val="0"/>
                                                  <w:marBottom w:val="0"/>
                                                  <w:divBdr>
                                                    <w:top w:val="none" w:sz="0" w:space="0" w:color="auto"/>
                                                    <w:left w:val="none" w:sz="0" w:space="0" w:color="auto"/>
                                                    <w:bottom w:val="none" w:sz="0" w:space="0" w:color="auto"/>
                                                    <w:right w:val="none" w:sz="0" w:space="0" w:color="auto"/>
                                                  </w:divBdr>
                                                  <w:divsChild>
                                                    <w:div w:id="721709320">
                                                      <w:marLeft w:val="0"/>
                                                      <w:marRight w:val="0"/>
                                                      <w:marTop w:val="0"/>
                                                      <w:marBottom w:val="0"/>
                                                      <w:divBdr>
                                                        <w:top w:val="none" w:sz="0" w:space="0" w:color="auto"/>
                                                        <w:left w:val="none" w:sz="0" w:space="0" w:color="auto"/>
                                                        <w:bottom w:val="none" w:sz="0" w:space="0" w:color="auto"/>
                                                        <w:right w:val="none" w:sz="0" w:space="0" w:color="auto"/>
                                                      </w:divBdr>
                                                      <w:divsChild>
                                                        <w:div w:id="585039956">
                                                          <w:marLeft w:val="0"/>
                                                          <w:marRight w:val="0"/>
                                                          <w:marTop w:val="0"/>
                                                          <w:marBottom w:val="0"/>
                                                          <w:divBdr>
                                                            <w:top w:val="none" w:sz="0" w:space="0" w:color="auto"/>
                                                            <w:left w:val="none" w:sz="0" w:space="0" w:color="auto"/>
                                                            <w:bottom w:val="none" w:sz="0" w:space="0" w:color="auto"/>
                                                            <w:right w:val="none" w:sz="0" w:space="0" w:color="auto"/>
                                                          </w:divBdr>
                                                          <w:divsChild>
                                                            <w:div w:id="35234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8825921">
      <w:bodyDiv w:val="1"/>
      <w:marLeft w:val="0"/>
      <w:marRight w:val="0"/>
      <w:marTop w:val="0"/>
      <w:marBottom w:val="0"/>
      <w:divBdr>
        <w:top w:val="none" w:sz="0" w:space="0" w:color="auto"/>
        <w:left w:val="none" w:sz="0" w:space="0" w:color="auto"/>
        <w:bottom w:val="none" w:sz="0" w:space="0" w:color="auto"/>
        <w:right w:val="none" w:sz="0" w:space="0" w:color="auto"/>
      </w:divBdr>
    </w:div>
    <w:div w:id="1074819839">
      <w:bodyDiv w:val="1"/>
      <w:marLeft w:val="0"/>
      <w:marRight w:val="0"/>
      <w:marTop w:val="0"/>
      <w:marBottom w:val="0"/>
      <w:divBdr>
        <w:top w:val="none" w:sz="0" w:space="0" w:color="auto"/>
        <w:left w:val="none" w:sz="0" w:space="0" w:color="auto"/>
        <w:bottom w:val="none" w:sz="0" w:space="0" w:color="auto"/>
        <w:right w:val="none" w:sz="0" w:space="0" w:color="auto"/>
      </w:divBdr>
    </w:div>
    <w:div w:id="1255091270">
      <w:bodyDiv w:val="1"/>
      <w:marLeft w:val="0"/>
      <w:marRight w:val="0"/>
      <w:marTop w:val="0"/>
      <w:marBottom w:val="0"/>
      <w:divBdr>
        <w:top w:val="none" w:sz="0" w:space="0" w:color="auto"/>
        <w:left w:val="none" w:sz="0" w:space="0" w:color="auto"/>
        <w:bottom w:val="none" w:sz="0" w:space="0" w:color="auto"/>
        <w:right w:val="none" w:sz="0" w:space="0" w:color="auto"/>
      </w:divBdr>
    </w:div>
    <w:div w:id="1836529767">
      <w:bodyDiv w:val="1"/>
      <w:marLeft w:val="0"/>
      <w:marRight w:val="0"/>
      <w:marTop w:val="0"/>
      <w:marBottom w:val="0"/>
      <w:divBdr>
        <w:top w:val="none" w:sz="0" w:space="0" w:color="auto"/>
        <w:left w:val="none" w:sz="0" w:space="0" w:color="auto"/>
        <w:bottom w:val="none" w:sz="0" w:space="0" w:color="auto"/>
        <w:right w:val="none" w:sz="0" w:space="0" w:color="auto"/>
      </w:divBdr>
    </w:div>
    <w:div w:id="198026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hr/cms.htm?id=52939"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zakon.hr/cms.htm?id=5401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zakon.hr/cms.htm?id=5987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zakon.hr/cms.htm?id=59875" TargetMode="External"/><Relationship Id="rId4" Type="http://schemas.openxmlformats.org/officeDocument/2006/relationships/webSettings" Target="webSettings.xml"/><Relationship Id="rId9" Type="http://schemas.openxmlformats.org/officeDocument/2006/relationships/hyperlink" Target="https://www.zakon.hr/cms.htm?id=62764" TargetMode="Externa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1095</Words>
  <Characters>6247</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Zagreb, 13</vt:lpstr>
    </vt:vector>
  </TitlesOfParts>
  <Company>FINA</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Zagreb, 13</dc:title>
  <dc:creator>bblasin</dc:creator>
  <cp:lastModifiedBy>Sonja Tučkar</cp:lastModifiedBy>
  <cp:revision>5</cp:revision>
  <cp:lastPrinted>2025-08-28T09:32:00Z</cp:lastPrinted>
  <dcterms:created xsi:type="dcterms:W3CDTF">2025-09-01T09:11:00Z</dcterms:created>
  <dcterms:modified xsi:type="dcterms:W3CDTF">2025-09-01T13:57:00Z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f918248-9eb2-405f-9462-498831db6fe7_Enabled">
    <vt:lpwstr>true</vt:lpwstr>
  </property>
  <property fmtid="{D5CDD505-2E9C-101B-9397-08002B2CF9AE}" pid="3" name="MSIP_Label_af918248-9eb2-405f-9462-498831db6fe7_SetDate">
    <vt:lpwstr>2023-05-29T09:06:52Z</vt:lpwstr>
  </property>
  <property fmtid="{D5CDD505-2E9C-101B-9397-08002B2CF9AE}" pid="4" name="MSIP_Label_af918248-9eb2-405f-9462-498831db6fe7_Method">
    <vt:lpwstr>Privileged</vt:lpwstr>
  </property>
  <property fmtid="{D5CDD505-2E9C-101B-9397-08002B2CF9AE}" pid="5" name="MSIP_Label_af918248-9eb2-405f-9462-498831db6fe7_Name">
    <vt:lpwstr>Javno</vt:lpwstr>
  </property>
  <property fmtid="{D5CDD505-2E9C-101B-9397-08002B2CF9AE}" pid="6" name="MSIP_Label_af918248-9eb2-405f-9462-498831db6fe7_SiteId">
    <vt:lpwstr>f48894ec-930b-40d5-9326-43383e17b59f</vt:lpwstr>
  </property>
  <property fmtid="{D5CDD505-2E9C-101B-9397-08002B2CF9AE}" pid="7" name="MSIP_Label_af918248-9eb2-405f-9462-498831db6fe7_ActionId">
    <vt:lpwstr>ae1a075c-5db1-4e66-bee0-ef8c449629e0</vt:lpwstr>
  </property>
  <property fmtid="{D5CDD505-2E9C-101B-9397-08002B2CF9AE}" pid="8" name="MSIP_Label_af918248-9eb2-405f-9462-498831db6fe7_ContentBits">
    <vt:lpwstr>0</vt:lpwstr>
  </property>
</Properties>
</file>