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24CC" w14:textId="288974FB" w:rsidR="003D1649" w:rsidRDefault="009F313E">
      <w:r w:rsidRPr="007469E1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DCDDD06" wp14:editId="772A7ADF">
            <wp:simplePos x="0" y="0"/>
            <wp:positionH relativeFrom="margin">
              <wp:posOffset>2293620</wp:posOffset>
            </wp:positionH>
            <wp:positionV relativeFrom="paragraph">
              <wp:posOffset>7620</wp:posOffset>
            </wp:positionV>
            <wp:extent cx="713740" cy="852103"/>
            <wp:effectExtent l="0" t="0" r="0" b="5715"/>
            <wp:wrapNone/>
            <wp:docPr id="1053857797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3740" cy="85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</w:t>
      </w:r>
    </w:p>
    <w:p w14:paraId="4D544648" w14:textId="1231E616" w:rsidR="009F313E" w:rsidRDefault="009F313E" w:rsidP="009F313E">
      <w:pPr>
        <w:tabs>
          <w:tab w:val="center" w:pos="4536"/>
          <w:tab w:val="left" w:pos="4956"/>
        </w:tabs>
      </w:pPr>
      <w:r>
        <w:t xml:space="preserve">     </w:t>
      </w:r>
      <w:r>
        <w:tab/>
      </w:r>
      <w:r>
        <w:tab/>
      </w:r>
    </w:p>
    <w:p w14:paraId="081D7948" w14:textId="77777777" w:rsidR="009F313E" w:rsidRDefault="009F313E" w:rsidP="009F313E">
      <w:pPr>
        <w:tabs>
          <w:tab w:val="center" w:pos="4536"/>
          <w:tab w:val="left" w:pos="4956"/>
        </w:tabs>
      </w:pPr>
    </w:p>
    <w:p w14:paraId="566FB123" w14:textId="77777777" w:rsidR="009F313E" w:rsidRDefault="009F313E" w:rsidP="009F313E">
      <w:pPr>
        <w:tabs>
          <w:tab w:val="center" w:pos="4536"/>
          <w:tab w:val="left" w:pos="4956"/>
        </w:tabs>
      </w:pPr>
    </w:p>
    <w:p w14:paraId="4EBA6C26" w14:textId="77777777" w:rsidR="009F313E" w:rsidRPr="009F313E" w:rsidRDefault="009F313E" w:rsidP="009F313E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F313E">
        <w:rPr>
          <w:rFonts w:ascii="Times New Roman" w:eastAsia="Calibri" w:hAnsi="Times New Roman" w:cs="Times New Roman"/>
          <w:kern w:val="0"/>
          <w:sz w:val="28"/>
          <w14:ligatures w14:val="none"/>
        </w:rPr>
        <w:t>VLADA REPUBLIKE HRVATSKE</w:t>
      </w:r>
    </w:p>
    <w:p w14:paraId="60D3D4C1" w14:textId="469093A6" w:rsidR="009F313E" w:rsidRPr="009F313E" w:rsidRDefault="009F313E" w:rsidP="009F313E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E469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B81C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bookmarkStart w:id="0" w:name="_GoBack"/>
      <w:bookmarkEnd w:id="0"/>
      <w:r w:rsidR="00BC6A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469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rujna</w:t>
      </w:r>
      <w:r w:rsidRPr="009F3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9F3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995DFFB" w14:textId="77777777" w:rsidR="009F313E" w:rsidRPr="009F313E" w:rsidRDefault="009F313E" w:rsidP="009F313E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BE814A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F313E" w:rsidRPr="009F313E" w14:paraId="1D16B163" w14:textId="77777777" w:rsidTr="00DA6FCD">
        <w:tc>
          <w:tcPr>
            <w:tcW w:w="1951" w:type="dxa"/>
          </w:tcPr>
          <w:p w14:paraId="3872DD4F" w14:textId="77777777" w:rsidR="009F313E" w:rsidRPr="009F313E" w:rsidRDefault="009F313E" w:rsidP="009F313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F313E">
              <w:rPr>
                <w:sz w:val="24"/>
                <w:szCs w:val="24"/>
              </w:rPr>
              <w:t xml:space="preserve"> </w:t>
            </w:r>
            <w:r w:rsidRPr="009F313E">
              <w:rPr>
                <w:b/>
                <w:smallCaps/>
                <w:sz w:val="24"/>
                <w:szCs w:val="24"/>
              </w:rPr>
              <w:t>Predlagatelj</w:t>
            </w:r>
            <w:r w:rsidRPr="009F313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9A0E8FB" w14:textId="77777777" w:rsidR="009F313E" w:rsidRPr="009F313E" w:rsidRDefault="009F313E" w:rsidP="009F313E">
            <w:pPr>
              <w:spacing w:line="360" w:lineRule="auto"/>
              <w:rPr>
                <w:sz w:val="24"/>
                <w:szCs w:val="24"/>
              </w:rPr>
            </w:pPr>
            <w:r w:rsidRPr="009F313E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0A9FF264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F313E" w:rsidRPr="009F313E" w14:paraId="44288F70" w14:textId="77777777" w:rsidTr="00DA6FCD">
        <w:tc>
          <w:tcPr>
            <w:tcW w:w="1951" w:type="dxa"/>
          </w:tcPr>
          <w:p w14:paraId="3522AE7C" w14:textId="77777777" w:rsidR="009F313E" w:rsidRPr="009F313E" w:rsidRDefault="009F313E" w:rsidP="009F313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F313E">
              <w:rPr>
                <w:b/>
                <w:smallCaps/>
                <w:sz w:val="24"/>
                <w:szCs w:val="24"/>
              </w:rPr>
              <w:t>Predmet</w:t>
            </w:r>
            <w:r w:rsidRPr="009F313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8CA1D1" w14:textId="4DCD8B36" w:rsidR="009F313E" w:rsidRPr="009F313E" w:rsidRDefault="009F313E" w:rsidP="009F31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313E">
              <w:rPr>
                <w:sz w:val="24"/>
                <w:szCs w:val="24"/>
              </w:rPr>
              <w:t>Izvješće o radu Zaklade „Hrvatska za djecu“ za 202</w:t>
            </w:r>
            <w:r>
              <w:rPr>
                <w:sz w:val="24"/>
                <w:szCs w:val="24"/>
              </w:rPr>
              <w:t>4</w:t>
            </w:r>
            <w:r w:rsidRPr="009F313E">
              <w:rPr>
                <w:sz w:val="24"/>
                <w:szCs w:val="24"/>
              </w:rPr>
              <w:t xml:space="preserve">. godinu  </w:t>
            </w:r>
          </w:p>
        </w:tc>
      </w:tr>
    </w:tbl>
    <w:p w14:paraId="6313A496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039DF3B9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9BC2E4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9097FE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23CC15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590F2E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A8317A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7EE006" w14:textId="77777777" w:rsidR="009F313E" w:rsidRPr="009F313E" w:rsidRDefault="009F313E" w:rsidP="009F313E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6523B1" w14:textId="77777777" w:rsidR="009F313E" w:rsidRPr="009F313E" w:rsidRDefault="009F313E" w:rsidP="009F313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8170B26" w14:textId="77777777" w:rsidR="009F313E" w:rsidRPr="009F313E" w:rsidRDefault="009F313E" w:rsidP="009F313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713A672" w14:textId="77777777" w:rsidR="009F313E" w:rsidRDefault="009F313E" w:rsidP="009F313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BE757CC" w14:textId="77777777" w:rsidR="00026057" w:rsidRDefault="00026057" w:rsidP="009F313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B3B4CFB" w14:textId="77777777" w:rsidR="00026057" w:rsidRDefault="00026057" w:rsidP="009F313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64A63C3" w14:textId="77777777" w:rsidR="00026057" w:rsidRDefault="00026057" w:rsidP="009F313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28337502" w14:textId="77777777" w:rsidR="00026057" w:rsidRPr="009F313E" w:rsidRDefault="00026057" w:rsidP="009F313E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37E51DC9" w14:textId="77777777" w:rsidR="009F313E" w:rsidRPr="009F313E" w:rsidRDefault="009F313E" w:rsidP="009F313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585387D" w14:textId="60BA08BD" w:rsidR="006D1FD9" w:rsidRPr="00026057" w:rsidRDefault="009F313E" w:rsidP="0002605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</w:pPr>
      <w:r w:rsidRPr="009F313E">
        <w:rPr>
          <w:rFonts w:ascii="Times New Roman" w:eastAsia="Calibri" w:hAnsi="Times New Roman" w:cs="Times New Roman"/>
          <w:color w:val="404040"/>
          <w:spacing w:val="20"/>
          <w:kern w:val="0"/>
          <w:sz w:val="20"/>
          <w14:ligatures w14:val="none"/>
        </w:rPr>
        <w:t>Banski dvori | Trg Sv. Marka 2  | 10000 Zagreb | tel. 01 4569 222 | vlada.gov.hr</w:t>
      </w:r>
    </w:p>
    <w:p w14:paraId="7EE200A7" w14:textId="4FE7AA83" w:rsidR="009F313E" w:rsidRPr="009F313E" w:rsidRDefault="009F313E" w:rsidP="009F313E">
      <w:pPr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PRIJEDLOG</w:t>
      </w:r>
    </w:p>
    <w:p w14:paraId="3F400B5E" w14:textId="77777777" w:rsidR="009F313E" w:rsidRPr="009F313E" w:rsidRDefault="009F313E" w:rsidP="009F313E">
      <w:pPr>
        <w:jc w:val="right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00E300" w14:textId="4A5B029F" w:rsidR="009F313E" w:rsidRPr="009F313E" w:rsidRDefault="009F313E" w:rsidP="00CD26DD">
      <w:pPr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temelju članka 31. stavka 3. Zakona o Vladi Republike Hrvatske (</w:t>
      </w:r>
      <w:r w:rsidR="00CD26D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„Narodne novine“, broj </w:t>
      </w:r>
      <w:r w:rsidR="004C21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150/11, 119/14, 93/16, 116/18</w:t>
      </w:r>
      <w:r w:rsidR="00F912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80/22 i 78/2</w:t>
      </w:r>
      <w:r w:rsidR="00F804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="00F912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vezi s člankom 20. Zakona o Zakladi „Hrvatska za djecu“ (Narodne novine, broj 82/15 i 80/22), Vlada Republike Hrvatske je na sjednici održanoj _____________</w:t>
      </w:r>
      <w:r w:rsidR="00CE4A3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2025. 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donijela</w:t>
      </w:r>
    </w:p>
    <w:p w14:paraId="18114647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C1CC03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BC6E19" w14:textId="77777777" w:rsidR="009F313E" w:rsidRPr="009F313E" w:rsidRDefault="009F313E" w:rsidP="009F313E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ZAKLJUČAK</w:t>
      </w:r>
    </w:p>
    <w:p w14:paraId="39D89B36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C73032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90D63E" w14:textId="3BCE6913" w:rsidR="009F313E" w:rsidRPr="009F313E" w:rsidRDefault="009F313E" w:rsidP="009F313E">
      <w:pPr>
        <w:tabs>
          <w:tab w:val="left" w:pos="284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Prihvaća se Izvješće o radu Zaklade „Hrvatska za djecu“ za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godinu, u tekstu koji je dostavio Upravni odbor Zaklade „Hrvatska za djecu“ aktom, KLASA: 022-03/2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-01/0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URBROJ: ZHZD/0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-2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-0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24. travnja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1A6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77C777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2BE9E3" w14:textId="77777777" w:rsidR="009F313E" w:rsidRPr="009F313E" w:rsidRDefault="009F313E" w:rsidP="009F313E">
      <w:pPr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5B87225" w14:textId="24AE39D4" w:rsidR="009F313E" w:rsidRPr="009F313E" w:rsidRDefault="00094FD2" w:rsidP="009F313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KLASA:</w:t>
      </w:r>
    </w:p>
    <w:p w14:paraId="6FFFD69F" w14:textId="0A0DB465" w:rsidR="009F313E" w:rsidRDefault="00094FD2" w:rsidP="009F313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URBROJ:</w:t>
      </w:r>
    </w:p>
    <w:p w14:paraId="629C3159" w14:textId="77777777" w:rsidR="00094FD2" w:rsidRPr="009F313E" w:rsidRDefault="00094FD2" w:rsidP="009F313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D98227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F313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</w:p>
    <w:p w14:paraId="6762FDB0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C20B1B" w14:textId="77777777" w:rsidR="009F313E" w:rsidRP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87ED0F" w14:textId="77777777" w:rsidR="00094FD2" w:rsidRPr="00094FD2" w:rsidRDefault="00094FD2" w:rsidP="00094F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69E1BF5" w14:textId="77777777" w:rsidR="00094FD2" w:rsidRPr="00094FD2" w:rsidRDefault="00094FD2" w:rsidP="00094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hr-HR"/>
          <w14:ligatures w14:val="none"/>
        </w:rPr>
      </w:pPr>
    </w:p>
    <w:p w14:paraId="2AA37918" w14:textId="77777777" w:rsidR="00094FD2" w:rsidRPr="00094FD2" w:rsidRDefault="00094FD2" w:rsidP="00094FD2">
      <w:pPr>
        <w:tabs>
          <w:tab w:val="left" w:pos="-1985"/>
          <w:tab w:val="center" w:pos="6711"/>
        </w:tabs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hr-HR"/>
          <w14:ligatures w14:val="none"/>
        </w:rPr>
      </w:pPr>
      <w:r w:rsidRPr="00094FD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hr-HR"/>
          <w14:ligatures w14:val="none"/>
        </w:rPr>
        <w:t>PREDSJEDNIK</w:t>
      </w:r>
    </w:p>
    <w:p w14:paraId="5C69678E" w14:textId="77777777" w:rsidR="00094FD2" w:rsidRPr="00094FD2" w:rsidRDefault="00094FD2" w:rsidP="00094FD2">
      <w:pPr>
        <w:tabs>
          <w:tab w:val="left" w:pos="-1985"/>
          <w:tab w:val="center" w:pos="6711"/>
        </w:tabs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hr-HR"/>
          <w14:ligatures w14:val="none"/>
        </w:rPr>
      </w:pPr>
    </w:p>
    <w:p w14:paraId="52B6AA9F" w14:textId="77777777" w:rsidR="00094FD2" w:rsidRPr="00094FD2" w:rsidRDefault="00094FD2" w:rsidP="00094FD2">
      <w:pPr>
        <w:tabs>
          <w:tab w:val="left" w:pos="-1440"/>
          <w:tab w:val="left" w:pos="-720"/>
          <w:tab w:val="center" w:pos="671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</w:pPr>
      <w:r w:rsidRPr="00094FD2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hr-HR"/>
          <w14:ligatures w14:val="none"/>
        </w:rPr>
        <w:tab/>
        <w:t xml:space="preserve">                         </w:t>
      </w:r>
      <w:r w:rsidRPr="00094F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 xml:space="preserve">mr. </w:t>
      </w:r>
      <w:proofErr w:type="spellStart"/>
      <w:r w:rsidRPr="00094F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sc</w:t>
      </w:r>
      <w:proofErr w:type="spellEnd"/>
      <w:r w:rsidRPr="00094F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 xml:space="preserve">. </w:t>
      </w:r>
      <w:proofErr w:type="spellStart"/>
      <w:r w:rsidRPr="00094F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Andrej</w:t>
      </w:r>
      <w:proofErr w:type="spellEnd"/>
      <w:r w:rsidRPr="00094F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 xml:space="preserve"> </w:t>
      </w:r>
      <w:proofErr w:type="spellStart"/>
      <w:r w:rsidRPr="00094F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Plenković</w:t>
      </w:r>
      <w:proofErr w:type="spellEnd"/>
    </w:p>
    <w:p w14:paraId="44BC6F27" w14:textId="77777777" w:rsidR="00094FD2" w:rsidRPr="00094FD2" w:rsidRDefault="00094FD2" w:rsidP="00094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C00F966" w14:textId="77777777" w:rsidR="00094FD2" w:rsidRPr="00094FD2" w:rsidRDefault="00094FD2" w:rsidP="00094FD2">
      <w:pPr>
        <w:tabs>
          <w:tab w:val="left" w:pos="117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C6C6372" w14:textId="77777777" w:rsidR="00094FD2" w:rsidRPr="00094FD2" w:rsidRDefault="00094FD2" w:rsidP="00094FD2">
      <w:pPr>
        <w:tabs>
          <w:tab w:val="left" w:pos="11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52FD865" w14:textId="77777777" w:rsidR="00094FD2" w:rsidRPr="00094FD2" w:rsidRDefault="00094FD2" w:rsidP="00094FD2">
      <w:pPr>
        <w:tabs>
          <w:tab w:val="left" w:pos="11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78D5537" w14:textId="240ACD23" w:rsidR="00094FD2" w:rsidRDefault="00094FD2" w:rsidP="00094FD2">
      <w:pPr>
        <w:tabs>
          <w:tab w:val="left" w:pos="11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D6C8D5B" w14:textId="5877CD80" w:rsidR="00094FD2" w:rsidRDefault="00094FD2" w:rsidP="00094FD2">
      <w:pPr>
        <w:tabs>
          <w:tab w:val="left" w:pos="11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A1828F6" w14:textId="77777777" w:rsidR="00094FD2" w:rsidRPr="00094FD2" w:rsidRDefault="00094FD2" w:rsidP="00094FD2">
      <w:pPr>
        <w:tabs>
          <w:tab w:val="left" w:pos="11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B30EC85" w14:textId="77777777" w:rsidR="009F313E" w:rsidRDefault="009F313E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4734A2" w14:textId="77777777" w:rsidR="00E96198" w:rsidRDefault="00E96198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CEE806" w14:textId="77777777" w:rsidR="00E96198" w:rsidRDefault="00E96198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40B36E" w14:textId="77777777" w:rsidR="00E96198" w:rsidRDefault="00E96198" w:rsidP="009F313E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E089B89" w14:textId="633D78F4" w:rsidR="00E96198" w:rsidRDefault="00094FD2" w:rsidP="002769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Pr="00685D1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5638EA07" w14:textId="77777777" w:rsidR="00276961" w:rsidRDefault="00276961" w:rsidP="002769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3C344" w14:textId="65B1AF12" w:rsidR="00E96198" w:rsidRDefault="00E96198" w:rsidP="00276961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6B71F2">
        <w:rPr>
          <w:color w:val="000000"/>
        </w:rPr>
        <w:t xml:space="preserve">Sukladno članku 20. stavku 2. Zakona o Zakladi „Hrvatska za djecu“ </w:t>
      </w:r>
      <w:r>
        <w:rPr>
          <w:color w:val="000000"/>
        </w:rPr>
        <w:t xml:space="preserve">(„Narodne novine“, broj 82/15 i 80/22) </w:t>
      </w:r>
      <w:r w:rsidRPr="006B71F2">
        <w:rPr>
          <w:color w:val="000000"/>
        </w:rPr>
        <w:t xml:space="preserve">Upravni odbor Zaklade </w:t>
      </w:r>
      <w:r>
        <w:rPr>
          <w:color w:val="000000"/>
        </w:rPr>
        <w:t xml:space="preserve">„Hrvatska za djecu“ </w:t>
      </w:r>
      <w:r w:rsidRPr="006B71F2">
        <w:rPr>
          <w:color w:val="000000"/>
        </w:rPr>
        <w:t xml:space="preserve">obvezan je do 30. travnja tekuće godine dostaviti Vladi Republike Hrvatske izvješće o radu Zaklade </w:t>
      </w:r>
      <w:r>
        <w:rPr>
          <w:color w:val="000000"/>
        </w:rPr>
        <w:t xml:space="preserve">„Hrvatska za djecu“ </w:t>
      </w:r>
      <w:r w:rsidR="00276961">
        <w:rPr>
          <w:color w:val="000000"/>
        </w:rPr>
        <w:br/>
        <w:t>(</w:t>
      </w:r>
      <w:r>
        <w:rPr>
          <w:color w:val="000000"/>
        </w:rPr>
        <w:t>u daljnjem tekstu: Zaklada)</w:t>
      </w:r>
      <w:r w:rsidR="00276961">
        <w:rPr>
          <w:color w:val="000000"/>
        </w:rPr>
        <w:t xml:space="preserve">, </w:t>
      </w:r>
      <w:r w:rsidRPr="006B71F2">
        <w:rPr>
          <w:color w:val="000000"/>
        </w:rPr>
        <w:t>za p</w:t>
      </w:r>
      <w:r w:rsidR="00276961">
        <w:rPr>
          <w:color w:val="000000"/>
        </w:rPr>
        <w:t>rethodnu</w:t>
      </w:r>
      <w:r w:rsidRPr="006B71F2">
        <w:rPr>
          <w:color w:val="000000"/>
        </w:rPr>
        <w:t xml:space="preserve"> godinu.</w:t>
      </w:r>
    </w:p>
    <w:p w14:paraId="31A6E225" w14:textId="77777777" w:rsidR="00E96198" w:rsidRPr="006B71F2" w:rsidRDefault="00E96198" w:rsidP="00276961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</w:p>
    <w:p w14:paraId="3E7ED30A" w14:textId="22730AF7" w:rsidR="00D25225" w:rsidRDefault="00E96198" w:rsidP="00276961">
      <w:pPr>
        <w:pStyle w:val="t-9-8"/>
        <w:spacing w:before="0" w:beforeAutospacing="0" w:after="0" w:afterAutospacing="0" w:line="276" w:lineRule="auto"/>
        <w:jc w:val="both"/>
      </w:pPr>
      <w:r>
        <w:t>Temeljem Izvješća o radu Zaklade za 2024. godinu, Zaklada je u okviru svojih aktivnosti u 2024. godini:</w:t>
      </w:r>
    </w:p>
    <w:p w14:paraId="59E1F402" w14:textId="77777777" w:rsidR="00276961" w:rsidRDefault="00276961" w:rsidP="00276961">
      <w:pPr>
        <w:pStyle w:val="t-9-8"/>
        <w:spacing w:before="0" w:beforeAutospacing="0" w:after="0" w:afterAutospacing="0" w:line="276" w:lineRule="auto"/>
        <w:jc w:val="both"/>
      </w:pPr>
    </w:p>
    <w:p w14:paraId="0D71B695" w14:textId="067CC443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dodijelila 657</w:t>
      </w:r>
      <w:r w:rsidRPr="00677051">
        <w:t xml:space="preserve"> novčanih potpora fizičkim osobama u ukupnom iznosu od </w:t>
      </w:r>
      <w:r>
        <w:t xml:space="preserve">562.288,49 </w:t>
      </w:r>
      <w:r w:rsidRPr="00870253">
        <w:t xml:space="preserve"> €, </w:t>
      </w:r>
      <w:r>
        <w:t>s</w:t>
      </w:r>
      <w:r w:rsidRPr="00870253">
        <w:t xml:space="preserve"> prosječni</w:t>
      </w:r>
      <w:r>
        <w:t>m</w:t>
      </w:r>
      <w:r w:rsidRPr="00870253">
        <w:t xml:space="preserve"> iznos</w:t>
      </w:r>
      <w:r>
        <w:t>om</w:t>
      </w:r>
      <w:r w:rsidRPr="00870253">
        <w:t xml:space="preserve"> potpore </w:t>
      </w:r>
      <w:r>
        <w:t>od</w:t>
      </w:r>
      <w:r w:rsidRPr="00870253">
        <w:t xml:space="preserve"> 8</w:t>
      </w:r>
      <w:r>
        <w:t>55</w:t>
      </w:r>
      <w:r w:rsidRPr="00870253">
        <w:t>,</w:t>
      </w:r>
      <w:r>
        <w:t>84</w:t>
      </w:r>
      <w:r w:rsidRPr="00870253">
        <w:t xml:space="preserve"> </w:t>
      </w:r>
      <w:bookmarkStart w:id="1" w:name="_Hlk164153585"/>
      <w:r w:rsidRPr="00870253">
        <w:t>€</w:t>
      </w:r>
      <w:bookmarkEnd w:id="1"/>
    </w:p>
    <w:p w14:paraId="5E7636C3" w14:textId="607869B9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dodijelila</w:t>
      </w:r>
      <w:r w:rsidRPr="003560BA">
        <w:t xml:space="preserve"> 47</w:t>
      </w:r>
      <w:r w:rsidRPr="00CE573E">
        <w:rPr>
          <w:i/>
          <w:iCs/>
          <w:color w:val="FF0000"/>
        </w:rPr>
        <w:t xml:space="preserve"> </w:t>
      </w:r>
      <w:r>
        <w:t>novčanih potpora za svako udomljenu dijete starosti do tri godine ukupne vrijednosti od 22.400,00 €, s prosječnim iznosom potpore od 476,60 €</w:t>
      </w:r>
    </w:p>
    <w:p w14:paraId="781FBF5D" w14:textId="1F5D5EE9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 xml:space="preserve">dodijelila 24 novčane potpore za višestruki porod u ukupnom iznosu </w:t>
      </w:r>
      <w:r w:rsidRPr="003560BA">
        <w:t>od</w:t>
      </w:r>
      <w:r>
        <w:t xml:space="preserve"> </w:t>
      </w:r>
      <w:r w:rsidRPr="003560BA">
        <w:t xml:space="preserve">12.960,00 </w:t>
      </w:r>
      <w:r>
        <w:t>€, s prosječnim iznosom potpore od 540,00 €</w:t>
      </w:r>
    </w:p>
    <w:p w14:paraId="74FD3B88" w14:textId="69027A96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 xml:space="preserve">dodijelila 56 novčanih potpora za bolesnu djecu, djecu s oštećenjem zdravlja i za djecu s teškoćama u razvoju u ukupnom iznosu od 137.329,34 €, s prosječnim iznosom potpore od 2.452,31 € </w:t>
      </w:r>
    </w:p>
    <w:p w14:paraId="31E1CE36" w14:textId="2A62E8E0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dodijelila</w:t>
      </w:r>
      <w:r w:rsidRPr="00BC6739">
        <w:t xml:space="preserve"> 3 novčan</w:t>
      </w:r>
      <w:r>
        <w:t>e</w:t>
      </w:r>
      <w:r w:rsidRPr="00BC6739">
        <w:t xml:space="preserve"> potpore za darovitu djecu, u ukupnom iznosu od 9.500,00 €, s prosječnim iznosom potpore </w:t>
      </w:r>
      <w:r>
        <w:t xml:space="preserve">od </w:t>
      </w:r>
      <w:r w:rsidRPr="00BC6739">
        <w:t>3.166,67 €</w:t>
      </w:r>
    </w:p>
    <w:p w14:paraId="3EB0C68F" w14:textId="3F184C74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dodijelila 85 novčanih potpora za djecu u sustavu obrazovanja u ukupnom iznosu od 62.669,15 €, s prosječnim iznosom potpore od 737,28 €</w:t>
      </w:r>
    </w:p>
    <w:p w14:paraId="1EBE26BB" w14:textId="1E425F53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dodijelila 417 novčanih potpora za tekuće životne potrebe, u ukupnom iznosu od 268.430,00 €, s prosječnim iznosom potpore od 643,72 €</w:t>
      </w:r>
    </w:p>
    <w:p w14:paraId="7FE0920C" w14:textId="497449E6" w:rsidR="00723705" w:rsidRDefault="00723705" w:rsidP="00723705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dodijelila 25 novčanih potpora za djecu koja izlaze iz sustava socijalne skrbi, u ukupnom iznosu od 49.000,00 €, s prosječnim iznosom potpore od 1.960,00 €</w:t>
      </w:r>
    </w:p>
    <w:p w14:paraId="20EB0D0B" w14:textId="77777777" w:rsidR="00276961" w:rsidRDefault="007A6BA0" w:rsidP="00276961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677051">
        <w:t>(</w:t>
      </w:r>
      <w:r>
        <w:t>s</w:t>
      </w:r>
      <w:r w:rsidRPr="00677051">
        <w:t>u)financirala projekte i programe pravnih osoba</w:t>
      </w:r>
      <w:r>
        <w:t>: 41 projekt i program pravnih osoba ukupne vrijednosti 549.927,81 € putem javnog poziva i (su)financirala 6 projekata/programa udruga udomitelja djece ukupne vrijednosti 30.000,00 €</w:t>
      </w:r>
    </w:p>
    <w:p w14:paraId="4B9113B6" w14:textId="02626CC8" w:rsidR="00276961" w:rsidRDefault="00723705" w:rsidP="00276961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 xml:space="preserve">izravno </w:t>
      </w:r>
      <w:r w:rsidR="00B17D6B" w:rsidRPr="003D47DD">
        <w:t>(su)financira</w:t>
      </w:r>
      <w:r w:rsidR="00225882" w:rsidRPr="003D47DD">
        <w:t>la</w:t>
      </w:r>
      <w:r w:rsidR="00B17D6B" w:rsidRPr="003D47DD">
        <w:t xml:space="preserve"> </w:t>
      </w:r>
      <w:r w:rsidR="00B17D6B" w:rsidRPr="00CD26DD">
        <w:t>projek</w:t>
      </w:r>
      <w:r w:rsidR="00CD26DD" w:rsidRPr="00CD26DD">
        <w:t>t</w:t>
      </w:r>
      <w:r w:rsidR="00CD26DD">
        <w:t>e</w:t>
      </w:r>
      <w:r w:rsidR="00B17D6B" w:rsidRPr="003D47DD">
        <w:t xml:space="preserve"> i program</w:t>
      </w:r>
      <w:r w:rsidR="00225882" w:rsidRPr="003D47DD">
        <w:t>e</w:t>
      </w:r>
      <w:r w:rsidR="00B17D6B" w:rsidRPr="003D47DD">
        <w:t xml:space="preserve"> pravnih osoba </w:t>
      </w:r>
      <w:r w:rsidR="00225882" w:rsidRPr="003D47DD">
        <w:t>dodjeljivanjem</w:t>
      </w:r>
      <w:r w:rsidR="00B17D6B" w:rsidRPr="003D47DD">
        <w:t xml:space="preserve"> </w:t>
      </w:r>
      <w:r w:rsidR="00225882" w:rsidRPr="003D47DD">
        <w:t xml:space="preserve">jednokratnih </w:t>
      </w:r>
      <w:r w:rsidR="00B17D6B" w:rsidRPr="003D47DD">
        <w:t>novčan</w:t>
      </w:r>
      <w:r w:rsidR="00225882" w:rsidRPr="003D47DD">
        <w:t>ih</w:t>
      </w:r>
      <w:r w:rsidR="00B17D6B" w:rsidRPr="003D47DD">
        <w:t xml:space="preserve"> potpor</w:t>
      </w:r>
      <w:r w:rsidR="00225882" w:rsidRPr="003D47DD">
        <w:t>a</w:t>
      </w:r>
      <w:r w:rsidR="00B17D6B" w:rsidRPr="003D47DD">
        <w:t xml:space="preserve"> male vrijednosti do 663,61 € i to za ukupno 40 projekata i programa u ukupnoj vrijednosti 24.781,82 € </w:t>
      </w:r>
    </w:p>
    <w:p w14:paraId="0C0A1F30" w14:textId="77777777" w:rsidR="00276961" w:rsidRDefault="00B17D6B" w:rsidP="00276961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276961">
        <w:rPr>
          <w:color w:val="000000" w:themeColor="text1"/>
        </w:rPr>
        <w:t>temeljem javnog natječaja dodijelila 180 stipendija učenicima na redovnom srednjoškolskom obrazovanju za školsku godinu 2024/2025.  ukupne vrijednosti 315.000,00 €, a pojedinačni iznos stipendije iznosio je 1.750,00 €</w:t>
      </w:r>
    </w:p>
    <w:p w14:paraId="44409264" w14:textId="77777777" w:rsidR="00276961" w:rsidRDefault="00B17D6B" w:rsidP="00276961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276961">
        <w:rPr>
          <w:color w:val="000000" w:themeColor="text1"/>
        </w:rPr>
        <w:t>dodijelila 20 stipendija studentima u akademskoj godini 2024/2025</w:t>
      </w:r>
      <w:r w:rsidR="00970EFA" w:rsidRPr="00276961">
        <w:rPr>
          <w:color w:val="000000" w:themeColor="text1"/>
        </w:rPr>
        <w:t>.</w:t>
      </w:r>
      <w:r w:rsidRPr="00276961">
        <w:rPr>
          <w:color w:val="000000" w:themeColor="text1"/>
        </w:rPr>
        <w:t xml:space="preserve"> ukupne vrijednosti 60.000,00 €, a prosječni iznos stipendije za studente iznosio je 3.000,00 € </w:t>
      </w:r>
    </w:p>
    <w:p w14:paraId="0C53DD30" w14:textId="14F3F3AD" w:rsidR="00D031D4" w:rsidRDefault="00970EFA" w:rsidP="00276961">
      <w:pPr>
        <w:pStyle w:val="t-9-8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 xml:space="preserve">provodila samostalne </w:t>
      </w:r>
      <w:r w:rsidRPr="00CD26DD">
        <w:t>projekte</w:t>
      </w:r>
      <w:r>
        <w:t xml:space="preserve"> u okviru kojih je isplaćeno ukupno 72.736,86 € za 1057 korisnika</w:t>
      </w:r>
      <w:r w:rsidR="00D16878">
        <w:t xml:space="preserve"> dodijeljene djeci/obitelji</w:t>
      </w:r>
      <w:r w:rsidR="00276961">
        <w:t xml:space="preserve">, </w:t>
      </w:r>
      <w:r w:rsidR="00D16878">
        <w:t>među kojim</w:t>
      </w:r>
      <w:r w:rsidR="00276961">
        <w:t xml:space="preserve"> projektima su</w:t>
      </w:r>
      <w:r w:rsidR="00D16878">
        <w:t xml:space="preserve">: Kampanja za poticanje </w:t>
      </w:r>
      <w:proofErr w:type="spellStart"/>
      <w:r w:rsidR="00D16878">
        <w:t>udomiteljstva</w:t>
      </w:r>
      <w:proofErr w:type="spellEnd"/>
      <w:r w:rsidR="00D16878">
        <w:t>, Moja maturalna večer, Sport za sve, Sportski susreti mladih – I dio, Sportski susreti mladih – II dio, I ja putujem, Snaga valova, Ekološki projekt „</w:t>
      </w:r>
      <w:r w:rsidR="00276961">
        <w:t>M</w:t>
      </w:r>
      <w:r w:rsidR="00D16878">
        <w:t>anje smeća, naša sreća“, Tjedan znanosti, Izvor prijateljstva, Obilježavanje Svjetskog (Međunarodnog) dana djece i Humanitarna akcija „Spojimo hrvatska srca“.</w:t>
      </w:r>
      <w:r w:rsidR="00276961">
        <w:t xml:space="preserve"> </w:t>
      </w:r>
    </w:p>
    <w:p w14:paraId="46344602" w14:textId="77777777" w:rsidR="00276961" w:rsidRDefault="00276961" w:rsidP="00276961">
      <w:pPr>
        <w:pStyle w:val="t-9-8"/>
        <w:spacing w:before="0" w:beforeAutospacing="0" w:after="0" w:afterAutospacing="0" w:line="276" w:lineRule="auto"/>
        <w:jc w:val="both"/>
      </w:pPr>
    </w:p>
    <w:p w14:paraId="5FE35373" w14:textId="7C3CDE97" w:rsidR="00D16878" w:rsidRDefault="00D16878" w:rsidP="00276961">
      <w:pPr>
        <w:pStyle w:val="t-9-8"/>
        <w:spacing w:before="0" w:beforeAutospacing="0" w:after="0" w:afterAutospacing="0" w:line="276" w:lineRule="auto"/>
        <w:jc w:val="both"/>
      </w:pPr>
      <w:r>
        <w:t>Ukupni prihodi Zaklade u 2024. iznosili su 2.084.639,24 €, a ukupni rashodi Zaklade u 2024. iznosili su 2.087.523,60 €.</w:t>
      </w:r>
    </w:p>
    <w:p w14:paraId="5F7444FD" w14:textId="77777777" w:rsidR="00D031D4" w:rsidRDefault="00D031D4" w:rsidP="00276961">
      <w:pPr>
        <w:pStyle w:val="t-9-8"/>
        <w:spacing w:before="0" w:beforeAutospacing="0" w:after="0" w:afterAutospacing="0" w:line="276" w:lineRule="auto"/>
        <w:jc w:val="both"/>
      </w:pPr>
    </w:p>
    <w:p w14:paraId="7C661B8A" w14:textId="7A37B219" w:rsidR="00D16878" w:rsidRPr="00271B13" w:rsidRDefault="00D031D4" w:rsidP="00276961">
      <w:pPr>
        <w:pStyle w:val="t-9-8"/>
        <w:spacing w:before="0" w:beforeAutospacing="0" w:after="0" w:afterAutospacing="0" w:line="276" w:lineRule="auto"/>
        <w:jc w:val="both"/>
        <w:rPr>
          <w:i/>
          <w:iCs/>
        </w:rPr>
      </w:pPr>
      <w:r>
        <w:t xml:space="preserve">U izvještajnom razdoblju Zaklada „Hrvatska za djecu“ provela je niz aktivnosti </w:t>
      </w:r>
      <w:r w:rsidRPr="00B07CF0">
        <w:t>od (su)financiranj</w:t>
      </w:r>
      <w:r w:rsidR="00B07CF0" w:rsidRPr="00B07CF0">
        <w:t>a</w:t>
      </w:r>
      <w:r>
        <w:t xml:space="preserve"> programa pravnih osoba, javn</w:t>
      </w:r>
      <w:r w:rsidR="00B07CF0">
        <w:t>ih</w:t>
      </w:r>
      <w:r>
        <w:t xml:space="preserve"> natječaj</w:t>
      </w:r>
      <w:r w:rsidR="00B07CF0">
        <w:t>a</w:t>
      </w:r>
      <w:r>
        <w:t xml:space="preserve"> za dodjelu stipendija učenicima i studentima do odobravanja novčanih potpora fizičkim osobama/obiteljima, kojima je aktivno doprinijela zaštiti i promicanju dječjih prava te osnaživanju obitelji u situacijama različitih socijalnih, zdravstvenih, odgojnih i obrazovnih potreba te time ostvarila svrhu zbog koje je osnovana. Kontinuiranim praćenjem potreba u zajednici i društvu Zaklada nastavlja razvijati i nove modele novčane pomoći i potpore fizičkim osobama i obiteljima te podrške u okviru provođenja samostalnih projekata. </w:t>
      </w:r>
    </w:p>
    <w:p w14:paraId="29C8580B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7123915E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3B3B52F7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5E145EBE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29A5CF93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2D4AD853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2B3518D0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0737CD03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32AACFDE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23EB77A0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41441B0D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4D1E95E4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405B73DD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2740352D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1BDCE8AA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369ADF96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p w14:paraId="4916D26B" w14:textId="77777777" w:rsidR="00D16878" w:rsidRPr="00271B13" w:rsidRDefault="00D16878" w:rsidP="00822EC6">
      <w:pPr>
        <w:pStyle w:val="t-9-8"/>
        <w:spacing w:before="72" w:beforeAutospacing="0" w:after="72" w:afterAutospacing="0" w:line="276" w:lineRule="auto"/>
        <w:jc w:val="both"/>
        <w:rPr>
          <w:i/>
          <w:iCs/>
        </w:rPr>
      </w:pPr>
    </w:p>
    <w:sectPr w:rsidR="00D16878" w:rsidRPr="0027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2DD"/>
    <w:multiLevelType w:val="hybridMultilevel"/>
    <w:tmpl w:val="F2DEF79C"/>
    <w:lvl w:ilvl="0" w:tplc="FB56D474">
      <w:start w:val="5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91005"/>
    <w:multiLevelType w:val="hybridMultilevel"/>
    <w:tmpl w:val="4A58897A"/>
    <w:lvl w:ilvl="0" w:tplc="C85E3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3E"/>
    <w:rsid w:val="00012333"/>
    <w:rsid w:val="00026057"/>
    <w:rsid w:val="000607A4"/>
    <w:rsid w:val="00094FD2"/>
    <w:rsid w:val="00132BE0"/>
    <w:rsid w:val="00187672"/>
    <w:rsid w:val="001A6A9F"/>
    <w:rsid w:val="00225882"/>
    <w:rsid w:val="00271B13"/>
    <w:rsid w:val="00276961"/>
    <w:rsid w:val="002E30D7"/>
    <w:rsid w:val="003560BA"/>
    <w:rsid w:val="003D1649"/>
    <w:rsid w:val="003D47DD"/>
    <w:rsid w:val="00417A01"/>
    <w:rsid w:val="004C2139"/>
    <w:rsid w:val="00531F5D"/>
    <w:rsid w:val="00633EF4"/>
    <w:rsid w:val="00693D23"/>
    <w:rsid w:val="006A478D"/>
    <w:rsid w:val="006D1FD9"/>
    <w:rsid w:val="006D3FE0"/>
    <w:rsid w:val="007200C7"/>
    <w:rsid w:val="00723705"/>
    <w:rsid w:val="00731429"/>
    <w:rsid w:val="007A6BA0"/>
    <w:rsid w:val="007F3843"/>
    <w:rsid w:val="00822EC6"/>
    <w:rsid w:val="00824BB0"/>
    <w:rsid w:val="0084772C"/>
    <w:rsid w:val="008C3254"/>
    <w:rsid w:val="0091602B"/>
    <w:rsid w:val="00950EE1"/>
    <w:rsid w:val="009644A2"/>
    <w:rsid w:val="00970EFA"/>
    <w:rsid w:val="009D3D67"/>
    <w:rsid w:val="009F313E"/>
    <w:rsid w:val="00AA3244"/>
    <w:rsid w:val="00B07CF0"/>
    <w:rsid w:val="00B17D6B"/>
    <w:rsid w:val="00B47AF5"/>
    <w:rsid w:val="00B761C7"/>
    <w:rsid w:val="00B81C3B"/>
    <w:rsid w:val="00BA0B19"/>
    <w:rsid w:val="00BC6A5E"/>
    <w:rsid w:val="00CD26DD"/>
    <w:rsid w:val="00CE4A34"/>
    <w:rsid w:val="00D031D4"/>
    <w:rsid w:val="00D16878"/>
    <w:rsid w:val="00D25225"/>
    <w:rsid w:val="00E32CC4"/>
    <w:rsid w:val="00E44141"/>
    <w:rsid w:val="00E4699D"/>
    <w:rsid w:val="00E96198"/>
    <w:rsid w:val="00EE74DD"/>
    <w:rsid w:val="00F265D2"/>
    <w:rsid w:val="00F41407"/>
    <w:rsid w:val="00F80486"/>
    <w:rsid w:val="00F912B1"/>
    <w:rsid w:val="00F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7F9"/>
  <w15:chartTrackingRefBased/>
  <w15:docId w15:val="{642B5265-83FC-4421-B068-7B4E073C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1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F31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E9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AZJMDCZ6QSYZ-886166611-10062</_dlc_DocId>
    <_dlc_DocIdUrl xmlns="a494813a-d0d8-4dad-94cb-0d196f36ba15">
      <Url>https://ekoordinacije.vlada.hr/unutarnja-ljudska/_layouts/15/DocIdRedir.aspx?ID=AZJMDCZ6QSYZ-886166611-10062</Url>
      <Description>AZJMDCZ6QSYZ-886166611-10062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CFC1B-7D8A-422A-8C3F-10B48CDCAAE0}">
  <ds:schemaRefs>
    <ds:schemaRef ds:uri="http://schemas.microsoft.com/office/infopath/2007/PartnerControls"/>
    <ds:schemaRef ds:uri="a494813a-d0d8-4dad-94cb-0d196f36ba15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6AD59F-9C84-452F-AE8B-6C5F7B8B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D4E7D-69C1-41CE-856A-FC4D49FC01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5E4527-102B-4556-8DB4-EAB8B6247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MROSP</dc:creator>
  <cp:keywords/>
  <dc:description/>
  <cp:lastModifiedBy>Mladen Duvnjak</cp:lastModifiedBy>
  <cp:revision>15</cp:revision>
  <cp:lastPrinted>2025-05-13T07:17:00Z</cp:lastPrinted>
  <dcterms:created xsi:type="dcterms:W3CDTF">2025-08-28T12:02:00Z</dcterms:created>
  <dcterms:modified xsi:type="dcterms:W3CDTF">2025-09-09T08:09:00Z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dd07b89c-f93f-4577-91b4-27aa77283d11</vt:lpwstr>
  </property>
</Properties>
</file>