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C632F" w14:textId="77777777" w:rsidR="006F4E2A" w:rsidRPr="006F4E2A" w:rsidRDefault="006F4E2A" w:rsidP="006F4E2A">
      <w:pPr>
        <w:spacing w:after="0" w:line="240" w:lineRule="auto"/>
        <w:jc w:val="center"/>
        <w:rPr>
          <w:rFonts w:eastAsia="Times New Roman" w:cs="Times New Roman"/>
          <w:szCs w:val="24"/>
          <w:lang w:eastAsia="hr-HR"/>
        </w:rPr>
      </w:pPr>
      <w:bookmarkStart w:id="0" w:name="_Hlk135131359"/>
      <w:r w:rsidRPr="006F4E2A">
        <w:rPr>
          <w:rFonts w:eastAsia="Times New Roman" w:cs="Times New Roman"/>
          <w:noProof/>
          <w:szCs w:val="24"/>
          <w:lang w:eastAsia="hr-HR"/>
        </w:rPr>
        <w:drawing>
          <wp:inline distT="0" distB="0" distL="0" distR="0" wp14:anchorId="0A752460" wp14:editId="4B0133B7">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6F4E2A">
        <w:rPr>
          <w:rFonts w:eastAsia="Times New Roman" w:cs="Times New Roman"/>
          <w:szCs w:val="24"/>
          <w:lang w:eastAsia="hr-HR"/>
        </w:rPr>
        <w:fldChar w:fldCharType="begin"/>
      </w:r>
      <w:r w:rsidRPr="006F4E2A">
        <w:rPr>
          <w:rFonts w:eastAsia="Times New Roman" w:cs="Times New Roman"/>
          <w:szCs w:val="24"/>
          <w:lang w:eastAsia="hr-HR"/>
        </w:rPr>
        <w:instrText xml:space="preserve"> INCLUDEPICTURE "http://www.inet.hr/~box/images/grb-rh.gif" \* MERGEFORMATINET </w:instrText>
      </w:r>
      <w:r w:rsidRPr="006F4E2A">
        <w:rPr>
          <w:rFonts w:eastAsia="Times New Roman" w:cs="Times New Roman"/>
          <w:szCs w:val="24"/>
          <w:lang w:eastAsia="hr-HR"/>
        </w:rPr>
        <w:fldChar w:fldCharType="end"/>
      </w:r>
    </w:p>
    <w:p w14:paraId="1CB605BA" w14:textId="77777777" w:rsidR="006F4E2A" w:rsidRPr="006F4E2A" w:rsidRDefault="006F4E2A" w:rsidP="006F4E2A">
      <w:pPr>
        <w:spacing w:before="60" w:after="1680" w:line="240" w:lineRule="auto"/>
        <w:jc w:val="center"/>
        <w:rPr>
          <w:rFonts w:eastAsia="Times New Roman" w:cs="Times New Roman"/>
          <w:sz w:val="28"/>
          <w:szCs w:val="24"/>
          <w:lang w:eastAsia="hr-HR"/>
        </w:rPr>
      </w:pPr>
      <w:r w:rsidRPr="006F4E2A">
        <w:rPr>
          <w:rFonts w:eastAsia="Times New Roman" w:cs="Times New Roman"/>
          <w:sz w:val="28"/>
          <w:szCs w:val="24"/>
          <w:lang w:eastAsia="hr-HR"/>
        </w:rPr>
        <w:t>VLADA REPUBLIKE HRVATSKE</w:t>
      </w:r>
    </w:p>
    <w:p w14:paraId="0E066998" w14:textId="77777777" w:rsidR="006F4E2A" w:rsidRPr="006F4E2A" w:rsidRDefault="006F4E2A" w:rsidP="006F4E2A">
      <w:pPr>
        <w:spacing w:after="0" w:line="240" w:lineRule="auto"/>
        <w:rPr>
          <w:rFonts w:eastAsia="Times New Roman" w:cs="Times New Roman"/>
          <w:szCs w:val="24"/>
          <w:lang w:eastAsia="hr-HR"/>
        </w:rPr>
      </w:pPr>
    </w:p>
    <w:p w14:paraId="270DA877" w14:textId="32276AD6" w:rsidR="006F4E2A" w:rsidRPr="006F4E2A" w:rsidRDefault="006F4E2A" w:rsidP="006F4E2A">
      <w:pPr>
        <w:spacing w:after="2400" w:line="240" w:lineRule="auto"/>
        <w:jc w:val="right"/>
        <w:rPr>
          <w:rFonts w:eastAsia="Times New Roman" w:cs="Times New Roman"/>
          <w:szCs w:val="24"/>
          <w:lang w:eastAsia="hr-HR"/>
        </w:rPr>
      </w:pPr>
      <w:r w:rsidRPr="006F4E2A">
        <w:rPr>
          <w:rFonts w:eastAsia="Times New Roman" w:cs="Times New Roman"/>
          <w:szCs w:val="24"/>
          <w:lang w:eastAsia="hr-HR"/>
        </w:rPr>
        <w:t xml:space="preserve">Zagreb, </w:t>
      </w:r>
      <w:r w:rsidR="007721DE">
        <w:rPr>
          <w:rFonts w:eastAsia="Times New Roman" w:cs="Times New Roman"/>
          <w:szCs w:val="24"/>
          <w:lang w:eastAsia="hr-HR"/>
        </w:rPr>
        <w:t>9</w:t>
      </w:r>
      <w:bookmarkStart w:id="1" w:name="_GoBack"/>
      <w:bookmarkEnd w:id="1"/>
      <w:r w:rsidR="008743C2">
        <w:rPr>
          <w:rFonts w:eastAsia="Times New Roman" w:cs="Times New Roman"/>
          <w:szCs w:val="24"/>
          <w:lang w:eastAsia="hr-HR"/>
        </w:rPr>
        <w:t>. siječnja</w:t>
      </w:r>
      <w:r w:rsidRPr="006F4E2A">
        <w:rPr>
          <w:rFonts w:eastAsia="Times New Roman" w:cs="Times New Roman"/>
          <w:szCs w:val="24"/>
          <w:lang w:eastAsia="hr-HR"/>
        </w:rPr>
        <w:t xml:space="preserve"> 202</w:t>
      </w:r>
      <w:r w:rsidR="008743C2">
        <w:rPr>
          <w:rFonts w:eastAsia="Times New Roman" w:cs="Times New Roman"/>
          <w:szCs w:val="24"/>
          <w:lang w:eastAsia="hr-HR"/>
        </w:rPr>
        <w:t>5</w:t>
      </w:r>
      <w:r w:rsidRPr="006F4E2A">
        <w:rPr>
          <w:rFonts w:eastAsia="Times New Roman" w:cs="Times New Roman"/>
          <w:szCs w:val="24"/>
          <w:lang w:eastAsia="hr-HR"/>
        </w:rPr>
        <w:t>.</w:t>
      </w:r>
    </w:p>
    <w:p w14:paraId="52049234" w14:textId="77777777" w:rsidR="006F4E2A" w:rsidRPr="006F4E2A" w:rsidRDefault="006F4E2A" w:rsidP="006F4E2A">
      <w:pPr>
        <w:spacing w:after="0" w:line="360" w:lineRule="auto"/>
        <w:rPr>
          <w:rFonts w:eastAsia="Times New Roman" w:cs="Times New Roman"/>
          <w:szCs w:val="24"/>
          <w:lang w:eastAsia="hr-HR"/>
        </w:rPr>
      </w:pPr>
      <w:r w:rsidRPr="006F4E2A">
        <w:rPr>
          <w:rFonts w:eastAsia="Times New Roman" w:cs="Times New Roman"/>
          <w:szCs w:val="24"/>
          <w:lang w:eastAsia="hr-HR"/>
        </w:rPr>
        <w:t>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5"/>
        <w:gridCol w:w="7127"/>
      </w:tblGrid>
      <w:tr w:rsidR="006F4E2A" w:rsidRPr="006F4E2A" w14:paraId="59F818D9" w14:textId="77777777" w:rsidTr="006F4E2A">
        <w:tc>
          <w:tcPr>
            <w:tcW w:w="1945" w:type="dxa"/>
          </w:tcPr>
          <w:p w14:paraId="37CB11CD" w14:textId="77777777" w:rsidR="006F4E2A" w:rsidRPr="006F4E2A" w:rsidRDefault="006F4E2A" w:rsidP="006F4E2A">
            <w:pPr>
              <w:spacing w:line="360" w:lineRule="auto"/>
              <w:jc w:val="right"/>
              <w:rPr>
                <w:sz w:val="24"/>
                <w:szCs w:val="24"/>
              </w:rPr>
            </w:pPr>
            <w:r w:rsidRPr="006F4E2A">
              <w:rPr>
                <w:b/>
                <w:smallCaps/>
                <w:sz w:val="24"/>
                <w:szCs w:val="24"/>
              </w:rPr>
              <w:t>Predlagatelj</w:t>
            </w:r>
            <w:r w:rsidRPr="006F4E2A">
              <w:rPr>
                <w:b/>
                <w:sz w:val="24"/>
                <w:szCs w:val="24"/>
              </w:rPr>
              <w:t>:</w:t>
            </w:r>
          </w:p>
        </w:tc>
        <w:tc>
          <w:tcPr>
            <w:tcW w:w="7127" w:type="dxa"/>
          </w:tcPr>
          <w:p w14:paraId="0476BB32" w14:textId="65668A09" w:rsidR="006F4E2A" w:rsidRPr="006F4E2A" w:rsidRDefault="006F4E2A" w:rsidP="006F4E2A">
            <w:pPr>
              <w:spacing w:line="360" w:lineRule="auto"/>
              <w:rPr>
                <w:sz w:val="24"/>
                <w:szCs w:val="24"/>
              </w:rPr>
            </w:pPr>
            <w:r w:rsidRPr="006F4E2A">
              <w:rPr>
                <w:sz w:val="24"/>
                <w:szCs w:val="24"/>
              </w:rPr>
              <w:t xml:space="preserve">Ministarstvo gospodarstva </w:t>
            </w:r>
          </w:p>
        </w:tc>
      </w:tr>
    </w:tbl>
    <w:p w14:paraId="1DDE12B4" w14:textId="77777777" w:rsidR="006F4E2A" w:rsidRPr="006F4E2A" w:rsidRDefault="006F4E2A" w:rsidP="006F4E2A">
      <w:pPr>
        <w:spacing w:after="0" w:line="360" w:lineRule="auto"/>
        <w:rPr>
          <w:rFonts w:eastAsia="Times New Roman" w:cs="Times New Roman"/>
          <w:szCs w:val="24"/>
          <w:lang w:eastAsia="hr-HR"/>
        </w:rPr>
      </w:pPr>
      <w:r w:rsidRPr="006F4E2A">
        <w:rPr>
          <w:rFonts w:eastAsia="Times New Roman" w:cs="Times New Roman"/>
          <w:szCs w:val="24"/>
          <w:lang w:eastAsia="hr-HR"/>
        </w:rPr>
        <w:t>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8"/>
        <w:gridCol w:w="7134"/>
      </w:tblGrid>
      <w:tr w:rsidR="006F4E2A" w:rsidRPr="006F4E2A" w14:paraId="49F76E90" w14:textId="77777777" w:rsidTr="006F4E2A">
        <w:tc>
          <w:tcPr>
            <w:tcW w:w="1938" w:type="dxa"/>
          </w:tcPr>
          <w:p w14:paraId="31B169B7" w14:textId="77777777" w:rsidR="006F4E2A" w:rsidRPr="006F4E2A" w:rsidRDefault="006F4E2A" w:rsidP="006F4E2A">
            <w:pPr>
              <w:spacing w:line="360" w:lineRule="auto"/>
              <w:jc w:val="right"/>
              <w:rPr>
                <w:sz w:val="24"/>
                <w:szCs w:val="24"/>
              </w:rPr>
            </w:pPr>
            <w:r w:rsidRPr="006F4E2A">
              <w:rPr>
                <w:b/>
                <w:smallCaps/>
                <w:sz w:val="24"/>
                <w:szCs w:val="24"/>
              </w:rPr>
              <w:t>Predmet</w:t>
            </w:r>
            <w:r w:rsidRPr="006F4E2A">
              <w:rPr>
                <w:b/>
                <w:sz w:val="24"/>
                <w:szCs w:val="24"/>
              </w:rPr>
              <w:t>:</w:t>
            </w:r>
          </w:p>
        </w:tc>
        <w:tc>
          <w:tcPr>
            <w:tcW w:w="7134" w:type="dxa"/>
          </w:tcPr>
          <w:p w14:paraId="7E317236" w14:textId="024BC922" w:rsidR="006F4E2A" w:rsidRPr="006F4E2A" w:rsidRDefault="00EA13FC" w:rsidP="006F4E2A">
            <w:pPr>
              <w:spacing w:line="360" w:lineRule="auto"/>
              <w:jc w:val="both"/>
              <w:rPr>
                <w:bCs/>
                <w:sz w:val="24"/>
                <w:szCs w:val="24"/>
              </w:rPr>
            </w:pPr>
            <w:r>
              <w:rPr>
                <w:bCs/>
                <w:sz w:val="24"/>
                <w:szCs w:val="24"/>
              </w:rPr>
              <w:t>P</w:t>
            </w:r>
            <w:r w:rsidR="006F4E2A" w:rsidRPr="006F4E2A">
              <w:rPr>
                <w:bCs/>
                <w:sz w:val="24"/>
                <w:szCs w:val="24"/>
              </w:rPr>
              <w:t>rijedlog odluke o izmjenama Odluke o davanju suglasnosti Lučkoj upravi Rijeka za osnivanje Slobodne zone luke Rijeka</w:t>
            </w:r>
          </w:p>
        </w:tc>
      </w:tr>
    </w:tbl>
    <w:p w14:paraId="34596859" w14:textId="77777777" w:rsidR="006F4E2A" w:rsidRPr="006F4E2A" w:rsidRDefault="006F4E2A" w:rsidP="006F4E2A">
      <w:pPr>
        <w:tabs>
          <w:tab w:val="left" w:pos="1843"/>
        </w:tabs>
        <w:spacing w:after="0" w:line="360" w:lineRule="auto"/>
        <w:ind w:left="1843" w:hanging="1843"/>
        <w:rPr>
          <w:rFonts w:eastAsia="Times New Roman" w:cs="Times New Roman"/>
          <w:szCs w:val="24"/>
          <w:lang w:eastAsia="hr-HR"/>
        </w:rPr>
      </w:pPr>
      <w:r w:rsidRPr="006F4E2A">
        <w:rPr>
          <w:rFonts w:eastAsia="Times New Roman" w:cs="Times New Roman"/>
          <w:szCs w:val="24"/>
          <w:lang w:eastAsia="hr-HR"/>
        </w:rPr>
        <w:t>__________________________________________________________________________</w:t>
      </w:r>
    </w:p>
    <w:bookmarkEnd w:id="0"/>
    <w:p w14:paraId="4BA61E83" w14:textId="77777777" w:rsidR="00C738A3" w:rsidRPr="00E710DA" w:rsidRDefault="006F4E2A" w:rsidP="00C738A3">
      <w:pPr>
        <w:spacing w:after="0" w:line="240" w:lineRule="auto"/>
        <w:ind w:left="7080"/>
        <w:rPr>
          <w:b/>
        </w:rPr>
      </w:pPr>
      <w:r>
        <w:rPr>
          <w:rFonts w:eastAsia="Times New Roman" w:cs="Times New Roman"/>
          <w:b/>
          <w:bCs/>
          <w:szCs w:val="24"/>
          <w:lang w:eastAsia="en-GB"/>
        </w:rPr>
        <w:br w:type="page"/>
      </w:r>
      <w:r w:rsidR="00C738A3" w:rsidRPr="00E710DA">
        <w:rPr>
          <w:b/>
        </w:rPr>
        <w:lastRenderedPageBreak/>
        <w:t>PRIJEDLOG</w:t>
      </w:r>
    </w:p>
    <w:p w14:paraId="3EED64A7" w14:textId="77777777" w:rsidR="00C738A3" w:rsidRPr="00E710DA" w:rsidRDefault="00C738A3" w:rsidP="00C738A3">
      <w:pPr>
        <w:spacing w:after="0" w:line="240" w:lineRule="auto"/>
      </w:pPr>
    </w:p>
    <w:p w14:paraId="343B2513" w14:textId="6174BC7D" w:rsidR="00C738A3" w:rsidRPr="00E710DA" w:rsidRDefault="00C738A3" w:rsidP="00C738A3">
      <w:pPr>
        <w:spacing w:after="0" w:line="240" w:lineRule="auto"/>
        <w:jc w:val="both"/>
      </w:pPr>
      <w:r w:rsidRPr="00E710DA">
        <w:t>Na temelju članka 16. i 21. Zakona o slobodnim zonama („Narodne novine“, br. 44/96., 78/99., 127/00., 92/05., 85/08., 148/13. i 58/20.), Vlada Republike Hrvatske je na sjednici o</w:t>
      </w:r>
      <w:r w:rsidR="00552996">
        <w:t>držanoj ................... 2025</w:t>
      </w:r>
      <w:r w:rsidRPr="00E710DA">
        <w:t xml:space="preserve">. godine, donijela </w:t>
      </w:r>
    </w:p>
    <w:p w14:paraId="5C0A0B8A" w14:textId="77777777" w:rsidR="00C738A3" w:rsidRPr="00E710DA" w:rsidRDefault="00C738A3" w:rsidP="00C738A3">
      <w:pPr>
        <w:spacing w:after="0" w:line="240" w:lineRule="auto"/>
        <w:rPr>
          <w:b/>
        </w:rPr>
      </w:pPr>
    </w:p>
    <w:p w14:paraId="08698B79" w14:textId="51A65FEC" w:rsidR="00C738A3" w:rsidRPr="00E710DA" w:rsidRDefault="00C738A3" w:rsidP="00C738A3">
      <w:pPr>
        <w:spacing w:after="0" w:line="240" w:lineRule="auto"/>
        <w:jc w:val="center"/>
        <w:rPr>
          <w:b/>
        </w:rPr>
      </w:pPr>
      <w:r w:rsidRPr="00E710DA">
        <w:rPr>
          <w:b/>
        </w:rPr>
        <w:t>ODLUKU O IZMJEN</w:t>
      </w:r>
      <w:r>
        <w:rPr>
          <w:b/>
        </w:rPr>
        <w:t xml:space="preserve">AMA </w:t>
      </w:r>
      <w:r w:rsidRPr="00E710DA">
        <w:rPr>
          <w:b/>
        </w:rPr>
        <w:t>ODLUKE O DAVANJU SUGLASNOSTI LUČKOJ UPRAVI RIJEKA ZA OSNIVANJE SLOBODNE ZONE LUKE RIJEKA</w:t>
      </w:r>
    </w:p>
    <w:p w14:paraId="5418485E" w14:textId="77777777" w:rsidR="00C738A3" w:rsidRPr="00E710DA" w:rsidRDefault="00C738A3" w:rsidP="00C738A3">
      <w:pPr>
        <w:spacing w:after="0" w:line="240" w:lineRule="auto"/>
        <w:jc w:val="center"/>
      </w:pPr>
    </w:p>
    <w:p w14:paraId="429D2CD1" w14:textId="77777777" w:rsidR="00C738A3" w:rsidRPr="00E710DA" w:rsidRDefault="00C738A3" w:rsidP="00C738A3">
      <w:pPr>
        <w:spacing w:after="0" w:line="240" w:lineRule="auto"/>
        <w:jc w:val="center"/>
      </w:pPr>
      <w:r w:rsidRPr="00E710DA">
        <w:t>I.</w:t>
      </w:r>
    </w:p>
    <w:p w14:paraId="22CD32A2" w14:textId="77777777" w:rsidR="00C738A3" w:rsidRPr="00E710DA" w:rsidRDefault="00C738A3" w:rsidP="00C738A3">
      <w:pPr>
        <w:spacing w:after="0" w:line="240" w:lineRule="auto"/>
        <w:jc w:val="both"/>
      </w:pPr>
    </w:p>
    <w:p w14:paraId="351C2920" w14:textId="77777777" w:rsidR="00C738A3" w:rsidRPr="00E710DA" w:rsidRDefault="00C738A3" w:rsidP="00C738A3">
      <w:pPr>
        <w:pStyle w:val="NormalWeb"/>
        <w:spacing w:before="0" w:beforeAutospacing="0" w:after="0" w:afterAutospacing="0"/>
        <w:jc w:val="both"/>
      </w:pPr>
      <w:r w:rsidRPr="00E710DA">
        <w:t>U Odluci o davanju suglasnosti Lučkoj upravi Rijeka za osnivanje Slobodne zone luke Rijeka („Narodne novine“, br. 63/97., 62/02., 83/03., 67/09., 78/13., 90/13., 20/14.</w:t>
      </w:r>
      <w:r>
        <w:t xml:space="preserve">, 40/15. </w:t>
      </w:r>
      <w:r w:rsidRPr="00E710DA">
        <w:t>i 119/23.) točka II. mijenja se i glasi:</w:t>
      </w:r>
    </w:p>
    <w:p w14:paraId="146273EA" w14:textId="77777777" w:rsidR="00C738A3" w:rsidRPr="00E710DA" w:rsidRDefault="00C738A3" w:rsidP="00C738A3">
      <w:pPr>
        <w:spacing w:after="0" w:line="240" w:lineRule="auto"/>
        <w:jc w:val="both"/>
      </w:pPr>
    </w:p>
    <w:p w14:paraId="20058FD5" w14:textId="77777777" w:rsidR="00C738A3" w:rsidRPr="00E710DA" w:rsidRDefault="00C738A3" w:rsidP="00C738A3">
      <w:pPr>
        <w:spacing w:after="0" w:line="240" w:lineRule="auto"/>
        <w:jc w:val="both"/>
      </w:pPr>
      <w:r w:rsidRPr="00E710DA">
        <w:t>„Područje Slobodne zone luke Rijeka na lučkom području luke Rijeka u Bazenu Rijeka obuhvaća:</w:t>
      </w:r>
    </w:p>
    <w:p w14:paraId="106B9E39" w14:textId="77777777" w:rsidR="00C738A3" w:rsidRPr="00E710DA" w:rsidRDefault="00C738A3" w:rsidP="00C738A3">
      <w:pPr>
        <w:spacing w:after="0" w:line="240" w:lineRule="auto"/>
        <w:jc w:val="both"/>
      </w:pPr>
    </w:p>
    <w:p w14:paraId="0BA19AE5" w14:textId="77777777" w:rsidR="00C738A3" w:rsidRPr="00E710DA" w:rsidRDefault="00C738A3" w:rsidP="00C738A3">
      <w:pPr>
        <w:pStyle w:val="ListParagraph"/>
        <w:numPr>
          <w:ilvl w:val="0"/>
          <w:numId w:val="10"/>
        </w:numPr>
        <w:spacing w:after="0" w:line="240" w:lineRule="auto"/>
        <w:jc w:val="both"/>
        <w:rPr>
          <w:rFonts w:ascii="Times New Roman" w:hAnsi="Times New Roman" w:cs="Times New Roman"/>
          <w:sz w:val="24"/>
          <w:szCs w:val="24"/>
        </w:rPr>
      </w:pPr>
      <w:r w:rsidRPr="00E710DA">
        <w:rPr>
          <w:rFonts w:ascii="Times New Roman" w:hAnsi="Times New Roman" w:cs="Times New Roman"/>
          <w:i/>
          <w:sz w:val="24"/>
          <w:szCs w:val="24"/>
        </w:rPr>
        <w:t>kopneni dio</w:t>
      </w:r>
      <w:r>
        <w:rPr>
          <w:rFonts w:ascii="Times New Roman" w:hAnsi="Times New Roman" w:cs="Times New Roman"/>
          <w:i/>
          <w:sz w:val="24"/>
          <w:szCs w:val="24"/>
        </w:rPr>
        <w:t xml:space="preserve"> ukupne površine 304.497 m</w:t>
      </w:r>
      <w:r w:rsidRPr="007B6111">
        <w:rPr>
          <w:rFonts w:ascii="Times New Roman" w:hAnsi="Times New Roman" w:cs="Times New Roman"/>
          <w:i/>
          <w:sz w:val="24"/>
          <w:szCs w:val="24"/>
          <w:vertAlign w:val="superscript"/>
        </w:rPr>
        <w:t>2</w:t>
      </w:r>
      <w:r w:rsidRPr="00E710DA">
        <w:rPr>
          <w:rFonts w:ascii="Times New Roman" w:hAnsi="Times New Roman" w:cs="Times New Roman"/>
          <w:sz w:val="24"/>
          <w:szCs w:val="24"/>
        </w:rPr>
        <w:t>:</w:t>
      </w:r>
    </w:p>
    <w:p w14:paraId="51C000C8" w14:textId="77777777" w:rsidR="00C738A3" w:rsidRPr="00E710DA" w:rsidRDefault="00C738A3" w:rsidP="00C738A3">
      <w:pPr>
        <w:pStyle w:val="ListParagraph"/>
        <w:spacing w:after="0" w:line="240" w:lineRule="auto"/>
        <w:ind w:left="0"/>
        <w:jc w:val="both"/>
        <w:rPr>
          <w:rFonts w:ascii="Times New Roman" w:hAnsi="Times New Roman" w:cs="Times New Roman"/>
          <w:sz w:val="24"/>
          <w:szCs w:val="24"/>
        </w:rPr>
      </w:pPr>
    </w:p>
    <w:p w14:paraId="4DEADE55" w14:textId="77777777" w:rsidR="00C738A3" w:rsidRPr="00E710DA" w:rsidRDefault="00C738A3" w:rsidP="00C738A3">
      <w:pPr>
        <w:pStyle w:val="ListParagraph"/>
        <w:numPr>
          <w:ilvl w:val="0"/>
          <w:numId w:val="11"/>
        </w:numPr>
        <w:tabs>
          <w:tab w:val="left" w:pos="0"/>
        </w:tabs>
        <w:spacing w:after="0" w:line="240" w:lineRule="auto"/>
        <w:jc w:val="both"/>
        <w:rPr>
          <w:rFonts w:ascii="Times New Roman" w:hAnsi="Times New Roman" w:cs="Times New Roman"/>
          <w:sz w:val="24"/>
          <w:szCs w:val="24"/>
        </w:rPr>
      </w:pPr>
      <w:r w:rsidRPr="00E710DA">
        <w:rPr>
          <w:rFonts w:ascii="Times New Roman" w:hAnsi="Times New Roman" w:cs="Times New Roman"/>
          <w:sz w:val="24"/>
          <w:szCs w:val="24"/>
        </w:rPr>
        <w:t xml:space="preserve">lokacija Rijeka - katastarske čestice: </w:t>
      </w:r>
      <w:r w:rsidRPr="00E710DA">
        <w:rPr>
          <w:rFonts w:ascii="Times New Roman" w:eastAsia="Times New Roman" w:hAnsi="Times New Roman" w:cs="Times New Roman"/>
          <w:color w:val="000000"/>
          <w:sz w:val="24"/>
          <w:szCs w:val="24"/>
          <w:lang w:eastAsia="en-GB"/>
        </w:rPr>
        <w:t>3343, 3349, 3350, 3351, 3352, 3354, 3357, 3359, 3360, 3364, 3366, 3369, 3372, 3329/1, 3329/13, 3329/5, 3356/1, 3356/2, 3361/1, 3361/2, 3363/1, 3363/2, 3368/1, 3368/2, 3368/3 i 3368/4, sve k.o. Stari Grad:</w:t>
      </w:r>
    </w:p>
    <w:p w14:paraId="46604F60" w14:textId="77777777" w:rsidR="00C738A3" w:rsidRPr="00E710DA" w:rsidRDefault="00C738A3" w:rsidP="00C738A3">
      <w:pPr>
        <w:pStyle w:val="ListParagraph"/>
        <w:tabs>
          <w:tab w:val="left" w:pos="0"/>
        </w:tabs>
        <w:spacing w:after="0" w:line="240" w:lineRule="auto"/>
        <w:ind w:left="0"/>
        <w:jc w:val="both"/>
        <w:rPr>
          <w:rFonts w:ascii="Times New Roman" w:hAnsi="Times New Roman" w:cs="Times New Roman"/>
          <w:sz w:val="24"/>
          <w:szCs w:val="24"/>
        </w:rPr>
      </w:pPr>
    </w:p>
    <w:p w14:paraId="77D1F04F" w14:textId="77777777" w:rsidR="00C738A3" w:rsidRPr="00E710DA" w:rsidRDefault="00C738A3" w:rsidP="00C738A3">
      <w:pPr>
        <w:pStyle w:val="ListParagraph"/>
        <w:numPr>
          <w:ilvl w:val="0"/>
          <w:numId w:val="11"/>
        </w:numPr>
        <w:tabs>
          <w:tab w:val="left" w:pos="0"/>
        </w:tabs>
        <w:spacing w:after="0" w:line="240" w:lineRule="auto"/>
        <w:jc w:val="both"/>
        <w:rPr>
          <w:rFonts w:ascii="Times New Roman" w:hAnsi="Times New Roman" w:cs="Times New Roman"/>
          <w:sz w:val="24"/>
          <w:szCs w:val="24"/>
        </w:rPr>
      </w:pPr>
      <w:r w:rsidRPr="00E710DA">
        <w:rPr>
          <w:rFonts w:ascii="Times New Roman" w:hAnsi="Times New Roman" w:cs="Times New Roman"/>
          <w:sz w:val="24"/>
          <w:szCs w:val="24"/>
        </w:rPr>
        <w:t>lokacija Rijeka - dio katastarske čestice</w:t>
      </w:r>
      <w:r w:rsidRPr="00E710DA">
        <w:rPr>
          <w:rFonts w:ascii="Times New Roman" w:eastAsia="Times New Roman" w:hAnsi="Times New Roman" w:cs="Times New Roman"/>
          <w:color w:val="000000"/>
          <w:sz w:val="24"/>
          <w:szCs w:val="24"/>
          <w:lang w:eastAsia="en-GB"/>
        </w:rPr>
        <w:t xml:space="preserve"> 4126/3,</w:t>
      </w:r>
      <w:r w:rsidRPr="00E710DA">
        <w:rPr>
          <w:rFonts w:ascii="Times New Roman" w:hAnsi="Times New Roman" w:cs="Times New Roman"/>
          <w:sz w:val="24"/>
          <w:szCs w:val="24"/>
        </w:rPr>
        <w:t xml:space="preserve"> </w:t>
      </w:r>
      <w:r w:rsidRPr="00E710DA">
        <w:rPr>
          <w:rFonts w:ascii="Times New Roman" w:eastAsia="Times New Roman" w:hAnsi="Times New Roman" w:cs="Times New Roman"/>
          <w:color w:val="000000"/>
          <w:sz w:val="24"/>
          <w:szCs w:val="24"/>
          <w:lang w:eastAsia="en-GB"/>
        </w:rPr>
        <w:t>k.o. Stari Grad, granice područja definirane su točkama od 86. do 94., a koordinate detaljnih točaka iskazane su u metrima u službenom položajnom referentnom koordinatnom sustavu Republike Hrvatske HTRS96/TM:</w:t>
      </w:r>
    </w:p>
    <w:p w14:paraId="4BFD101E" w14:textId="77777777" w:rsidR="00C738A3" w:rsidRPr="00E710DA" w:rsidRDefault="00C738A3" w:rsidP="00C738A3">
      <w:pPr>
        <w:shd w:val="clear" w:color="auto" w:fill="FFFFFF"/>
        <w:spacing w:after="0" w:line="240" w:lineRule="auto"/>
        <w:jc w:val="both"/>
        <w:textAlignment w:val="baseline"/>
        <w:rPr>
          <w:color w:val="000000"/>
        </w:rPr>
      </w:pPr>
    </w:p>
    <w:tbl>
      <w:tblPr>
        <w:tblW w:w="7364" w:type="dxa"/>
        <w:jc w:val="center"/>
        <w:tblLayout w:type="fixed"/>
        <w:tblLook w:val="04A0" w:firstRow="1" w:lastRow="0" w:firstColumn="1" w:lastColumn="0" w:noHBand="0" w:noVBand="1"/>
      </w:tblPr>
      <w:tblGrid>
        <w:gridCol w:w="2454"/>
        <w:gridCol w:w="2455"/>
        <w:gridCol w:w="2455"/>
      </w:tblGrid>
      <w:tr w:rsidR="00C738A3" w:rsidRPr="00E710DA" w14:paraId="25EDFD28" w14:textId="77777777" w:rsidTr="00D16CC6">
        <w:trPr>
          <w:trHeight w:val="915"/>
          <w:jc w:val="center"/>
        </w:trPr>
        <w:tc>
          <w:tcPr>
            <w:tcW w:w="2454" w:type="dxa"/>
            <w:tcBorders>
              <w:top w:val="single" w:sz="8" w:space="0" w:color="auto"/>
              <w:left w:val="single" w:sz="8" w:space="0" w:color="auto"/>
              <w:bottom w:val="double" w:sz="6" w:space="0" w:color="auto"/>
              <w:right w:val="single" w:sz="4" w:space="0" w:color="auto"/>
            </w:tcBorders>
            <w:shd w:val="clear" w:color="auto" w:fill="auto"/>
            <w:vAlign w:val="center"/>
            <w:hideMark/>
          </w:tcPr>
          <w:p w14:paraId="46602DD5" w14:textId="77777777" w:rsidR="00C738A3" w:rsidRPr="00E710DA" w:rsidRDefault="00C738A3" w:rsidP="00C738A3">
            <w:pPr>
              <w:spacing w:after="0" w:line="240" w:lineRule="auto"/>
              <w:jc w:val="center"/>
              <w:rPr>
                <w:b/>
                <w:bCs/>
                <w:color w:val="000000"/>
              </w:rPr>
            </w:pPr>
            <w:r w:rsidRPr="00E710DA">
              <w:rPr>
                <w:b/>
                <w:bCs/>
                <w:color w:val="000000"/>
              </w:rPr>
              <w:t>Broj točke</w:t>
            </w:r>
          </w:p>
        </w:tc>
        <w:tc>
          <w:tcPr>
            <w:tcW w:w="2455" w:type="dxa"/>
            <w:tcBorders>
              <w:top w:val="single" w:sz="8" w:space="0" w:color="auto"/>
              <w:left w:val="nil"/>
              <w:bottom w:val="double" w:sz="6" w:space="0" w:color="auto"/>
              <w:right w:val="single" w:sz="4" w:space="0" w:color="auto"/>
            </w:tcBorders>
            <w:shd w:val="clear" w:color="auto" w:fill="auto"/>
            <w:vAlign w:val="center"/>
            <w:hideMark/>
          </w:tcPr>
          <w:p w14:paraId="72CB2389" w14:textId="77777777" w:rsidR="00C738A3" w:rsidRPr="00E710DA" w:rsidRDefault="00C738A3" w:rsidP="00C738A3">
            <w:pPr>
              <w:spacing w:after="0" w:line="240" w:lineRule="auto"/>
              <w:jc w:val="center"/>
              <w:rPr>
                <w:b/>
                <w:bCs/>
                <w:color w:val="000000"/>
              </w:rPr>
            </w:pPr>
            <w:r w:rsidRPr="00E710DA">
              <w:rPr>
                <w:b/>
                <w:bCs/>
                <w:color w:val="000000"/>
              </w:rPr>
              <w:t>E koordinata</w:t>
            </w:r>
            <w:r w:rsidRPr="00E710DA">
              <w:rPr>
                <w:b/>
                <w:bCs/>
                <w:color w:val="000000"/>
              </w:rPr>
              <w:br/>
              <w:t>HTRS96/TM</w:t>
            </w:r>
            <w:r w:rsidRPr="00E710DA">
              <w:rPr>
                <w:b/>
                <w:bCs/>
                <w:color w:val="000000"/>
              </w:rPr>
              <w:br/>
              <w:t>(m)</w:t>
            </w:r>
          </w:p>
        </w:tc>
        <w:tc>
          <w:tcPr>
            <w:tcW w:w="2455" w:type="dxa"/>
            <w:tcBorders>
              <w:top w:val="single" w:sz="8" w:space="0" w:color="auto"/>
              <w:left w:val="nil"/>
              <w:bottom w:val="double" w:sz="6" w:space="0" w:color="auto"/>
              <w:right w:val="single" w:sz="8" w:space="0" w:color="auto"/>
            </w:tcBorders>
            <w:shd w:val="clear" w:color="auto" w:fill="auto"/>
            <w:vAlign w:val="center"/>
            <w:hideMark/>
          </w:tcPr>
          <w:p w14:paraId="761F32D5" w14:textId="77777777" w:rsidR="00C738A3" w:rsidRPr="00E710DA" w:rsidRDefault="00C738A3" w:rsidP="00C738A3">
            <w:pPr>
              <w:spacing w:after="0" w:line="240" w:lineRule="auto"/>
              <w:jc w:val="center"/>
              <w:rPr>
                <w:b/>
                <w:bCs/>
                <w:color w:val="000000"/>
              </w:rPr>
            </w:pPr>
            <w:r w:rsidRPr="00E710DA">
              <w:rPr>
                <w:b/>
                <w:bCs/>
                <w:color w:val="000000"/>
              </w:rPr>
              <w:t>N koordinata</w:t>
            </w:r>
            <w:r w:rsidRPr="00E710DA">
              <w:rPr>
                <w:b/>
                <w:bCs/>
                <w:color w:val="000000"/>
              </w:rPr>
              <w:br/>
              <w:t>HTRS96/TM</w:t>
            </w:r>
            <w:r w:rsidRPr="00E710DA">
              <w:rPr>
                <w:b/>
                <w:bCs/>
                <w:color w:val="000000"/>
              </w:rPr>
              <w:br/>
              <w:t>(m)</w:t>
            </w:r>
          </w:p>
        </w:tc>
      </w:tr>
      <w:tr w:rsidR="00C738A3" w:rsidRPr="00E710DA" w14:paraId="69FCEE53" w14:textId="77777777" w:rsidTr="00D16CC6">
        <w:trPr>
          <w:trHeight w:val="315"/>
          <w:jc w:val="center"/>
        </w:trPr>
        <w:tc>
          <w:tcPr>
            <w:tcW w:w="245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615B109" w14:textId="77777777" w:rsidR="00C738A3" w:rsidRPr="00E710DA" w:rsidRDefault="00C738A3" w:rsidP="00C738A3">
            <w:pPr>
              <w:spacing w:after="0" w:line="240" w:lineRule="auto"/>
              <w:jc w:val="center"/>
              <w:rPr>
                <w:color w:val="000000"/>
              </w:rPr>
            </w:pPr>
            <w:r w:rsidRPr="00E710DA">
              <w:rPr>
                <w:color w:val="000000"/>
              </w:rPr>
              <w:t>86</w:t>
            </w:r>
          </w:p>
        </w:tc>
        <w:tc>
          <w:tcPr>
            <w:tcW w:w="2455" w:type="dxa"/>
            <w:tcBorders>
              <w:top w:val="single" w:sz="4" w:space="0" w:color="auto"/>
              <w:left w:val="nil"/>
              <w:bottom w:val="single" w:sz="4" w:space="0" w:color="auto"/>
              <w:right w:val="single" w:sz="4" w:space="0" w:color="auto"/>
            </w:tcBorders>
            <w:shd w:val="clear" w:color="auto" w:fill="auto"/>
            <w:noWrap/>
            <w:vAlign w:val="bottom"/>
            <w:hideMark/>
          </w:tcPr>
          <w:p w14:paraId="79358760" w14:textId="77777777" w:rsidR="00C738A3" w:rsidRPr="00E710DA" w:rsidRDefault="00C738A3" w:rsidP="00C738A3">
            <w:pPr>
              <w:spacing w:after="0" w:line="240" w:lineRule="auto"/>
              <w:jc w:val="center"/>
              <w:rPr>
                <w:color w:val="000000"/>
              </w:rPr>
            </w:pPr>
            <w:r w:rsidRPr="00E710DA">
              <w:rPr>
                <w:color w:val="000000"/>
              </w:rPr>
              <w:t>338256.79</w:t>
            </w:r>
          </w:p>
        </w:tc>
        <w:tc>
          <w:tcPr>
            <w:tcW w:w="2455" w:type="dxa"/>
            <w:tcBorders>
              <w:top w:val="single" w:sz="4" w:space="0" w:color="auto"/>
              <w:left w:val="nil"/>
              <w:bottom w:val="single" w:sz="4" w:space="0" w:color="auto"/>
              <w:right w:val="single" w:sz="8" w:space="0" w:color="auto"/>
            </w:tcBorders>
            <w:shd w:val="clear" w:color="auto" w:fill="auto"/>
            <w:noWrap/>
            <w:vAlign w:val="bottom"/>
            <w:hideMark/>
          </w:tcPr>
          <w:p w14:paraId="1597574D" w14:textId="77777777" w:rsidR="00C738A3" w:rsidRPr="00E710DA" w:rsidRDefault="00C738A3" w:rsidP="00C738A3">
            <w:pPr>
              <w:spacing w:after="0" w:line="240" w:lineRule="auto"/>
              <w:jc w:val="center"/>
              <w:rPr>
                <w:color w:val="000000"/>
              </w:rPr>
            </w:pPr>
            <w:r w:rsidRPr="00E710DA">
              <w:rPr>
                <w:color w:val="000000"/>
              </w:rPr>
              <w:t>5022856.16</w:t>
            </w:r>
          </w:p>
        </w:tc>
      </w:tr>
      <w:tr w:rsidR="00C738A3" w:rsidRPr="00E710DA" w14:paraId="022CF156" w14:textId="77777777" w:rsidTr="00D16CC6">
        <w:trPr>
          <w:trHeight w:val="300"/>
          <w:jc w:val="center"/>
        </w:trPr>
        <w:tc>
          <w:tcPr>
            <w:tcW w:w="2454" w:type="dxa"/>
            <w:tcBorders>
              <w:top w:val="nil"/>
              <w:left w:val="single" w:sz="8" w:space="0" w:color="auto"/>
              <w:bottom w:val="single" w:sz="4" w:space="0" w:color="auto"/>
              <w:right w:val="single" w:sz="4" w:space="0" w:color="auto"/>
            </w:tcBorders>
            <w:shd w:val="clear" w:color="auto" w:fill="auto"/>
            <w:noWrap/>
            <w:vAlign w:val="bottom"/>
            <w:hideMark/>
          </w:tcPr>
          <w:p w14:paraId="274FDFB0" w14:textId="77777777" w:rsidR="00C738A3" w:rsidRPr="00E710DA" w:rsidRDefault="00C738A3" w:rsidP="00C738A3">
            <w:pPr>
              <w:spacing w:after="0" w:line="240" w:lineRule="auto"/>
              <w:jc w:val="center"/>
              <w:rPr>
                <w:color w:val="000000"/>
              </w:rPr>
            </w:pPr>
            <w:r w:rsidRPr="00E710DA">
              <w:rPr>
                <w:color w:val="000000"/>
              </w:rPr>
              <w:t>87</w:t>
            </w:r>
          </w:p>
        </w:tc>
        <w:tc>
          <w:tcPr>
            <w:tcW w:w="2455" w:type="dxa"/>
            <w:tcBorders>
              <w:top w:val="nil"/>
              <w:left w:val="nil"/>
              <w:bottom w:val="single" w:sz="4" w:space="0" w:color="auto"/>
              <w:right w:val="single" w:sz="4" w:space="0" w:color="auto"/>
            </w:tcBorders>
            <w:shd w:val="clear" w:color="auto" w:fill="auto"/>
            <w:noWrap/>
            <w:vAlign w:val="bottom"/>
            <w:hideMark/>
          </w:tcPr>
          <w:p w14:paraId="3E452E3E" w14:textId="77777777" w:rsidR="00C738A3" w:rsidRPr="00E710DA" w:rsidRDefault="00C738A3" w:rsidP="00C738A3">
            <w:pPr>
              <w:spacing w:after="0" w:line="240" w:lineRule="auto"/>
              <w:jc w:val="center"/>
              <w:rPr>
                <w:color w:val="000000"/>
              </w:rPr>
            </w:pPr>
            <w:r w:rsidRPr="00E710DA">
              <w:rPr>
                <w:color w:val="000000"/>
              </w:rPr>
              <w:t>338268.78</w:t>
            </w:r>
          </w:p>
        </w:tc>
        <w:tc>
          <w:tcPr>
            <w:tcW w:w="2455" w:type="dxa"/>
            <w:tcBorders>
              <w:top w:val="nil"/>
              <w:left w:val="nil"/>
              <w:bottom w:val="single" w:sz="4" w:space="0" w:color="auto"/>
              <w:right w:val="single" w:sz="8" w:space="0" w:color="auto"/>
            </w:tcBorders>
            <w:shd w:val="clear" w:color="auto" w:fill="auto"/>
            <w:noWrap/>
            <w:vAlign w:val="bottom"/>
            <w:hideMark/>
          </w:tcPr>
          <w:p w14:paraId="7F0BC90D" w14:textId="77777777" w:rsidR="00C738A3" w:rsidRPr="00E710DA" w:rsidRDefault="00C738A3" w:rsidP="00C738A3">
            <w:pPr>
              <w:spacing w:after="0" w:line="240" w:lineRule="auto"/>
              <w:jc w:val="center"/>
              <w:rPr>
                <w:color w:val="000000"/>
              </w:rPr>
            </w:pPr>
            <w:r w:rsidRPr="00E710DA">
              <w:rPr>
                <w:color w:val="000000"/>
              </w:rPr>
              <w:t>5022849.47</w:t>
            </w:r>
          </w:p>
        </w:tc>
      </w:tr>
      <w:tr w:rsidR="00C738A3" w:rsidRPr="00E710DA" w14:paraId="6A5FD236" w14:textId="77777777" w:rsidTr="00D16CC6">
        <w:trPr>
          <w:trHeight w:val="300"/>
          <w:jc w:val="center"/>
        </w:trPr>
        <w:tc>
          <w:tcPr>
            <w:tcW w:w="2454" w:type="dxa"/>
            <w:tcBorders>
              <w:top w:val="nil"/>
              <w:left w:val="single" w:sz="8" w:space="0" w:color="auto"/>
              <w:bottom w:val="single" w:sz="4" w:space="0" w:color="auto"/>
              <w:right w:val="single" w:sz="4" w:space="0" w:color="auto"/>
            </w:tcBorders>
            <w:shd w:val="clear" w:color="auto" w:fill="auto"/>
            <w:noWrap/>
            <w:vAlign w:val="bottom"/>
            <w:hideMark/>
          </w:tcPr>
          <w:p w14:paraId="11331C3A" w14:textId="77777777" w:rsidR="00C738A3" w:rsidRPr="00E710DA" w:rsidRDefault="00C738A3" w:rsidP="00C738A3">
            <w:pPr>
              <w:spacing w:after="0" w:line="240" w:lineRule="auto"/>
              <w:jc w:val="center"/>
              <w:rPr>
                <w:color w:val="000000"/>
              </w:rPr>
            </w:pPr>
            <w:r w:rsidRPr="00E710DA">
              <w:rPr>
                <w:color w:val="000000"/>
              </w:rPr>
              <w:t>88</w:t>
            </w:r>
          </w:p>
        </w:tc>
        <w:tc>
          <w:tcPr>
            <w:tcW w:w="2455" w:type="dxa"/>
            <w:tcBorders>
              <w:top w:val="nil"/>
              <w:left w:val="nil"/>
              <w:bottom w:val="single" w:sz="4" w:space="0" w:color="auto"/>
              <w:right w:val="single" w:sz="4" w:space="0" w:color="auto"/>
            </w:tcBorders>
            <w:shd w:val="clear" w:color="auto" w:fill="auto"/>
            <w:noWrap/>
            <w:vAlign w:val="bottom"/>
            <w:hideMark/>
          </w:tcPr>
          <w:p w14:paraId="70CEA873" w14:textId="77777777" w:rsidR="00C738A3" w:rsidRPr="00E710DA" w:rsidRDefault="00C738A3" w:rsidP="00C738A3">
            <w:pPr>
              <w:spacing w:after="0" w:line="240" w:lineRule="auto"/>
              <w:jc w:val="center"/>
              <w:rPr>
                <w:color w:val="000000"/>
              </w:rPr>
            </w:pPr>
            <w:r w:rsidRPr="00E710DA">
              <w:rPr>
                <w:color w:val="000000"/>
              </w:rPr>
              <w:t>338266.66</w:t>
            </w:r>
          </w:p>
        </w:tc>
        <w:tc>
          <w:tcPr>
            <w:tcW w:w="2455" w:type="dxa"/>
            <w:tcBorders>
              <w:top w:val="nil"/>
              <w:left w:val="nil"/>
              <w:bottom w:val="single" w:sz="4" w:space="0" w:color="auto"/>
              <w:right w:val="single" w:sz="8" w:space="0" w:color="auto"/>
            </w:tcBorders>
            <w:shd w:val="clear" w:color="auto" w:fill="auto"/>
            <w:noWrap/>
            <w:vAlign w:val="bottom"/>
            <w:hideMark/>
          </w:tcPr>
          <w:p w14:paraId="43212A48" w14:textId="77777777" w:rsidR="00C738A3" w:rsidRPr="00E710DA" w:rsidRDefault="00C738A3" w:rsidP="00C738A3">
            <w:pPr>
              <w:spacing w:after="0" w:line="240" w:lineRule="auto"/>
              <w:jc w:val="center"/>
              <w:rPr>
                <w:color w:val="000000"/>
              </w:rPr>
            </w:pPr>
            <w:r w:rsidRPr="00E710DA">
              <w:rPr>
                <w:color w:val="000000"/>
              </w:rPr>
              <w:t>5022845.10</w:t>
            </w:r>
          </w:p>
        </w:tc>
      </w:tr>
      <w:tr w:rsidR="00C738A3" w:rsidRPr="00E710DA" w14:paraId="5FAD7356" w14:textId="77777777" w:rsidTr="00D16CC6">
        <w:trPr>
          <w:trHeight w:val="300"/>
          <w:jc w:val="center"/>
        </w:trPr>
        <w:tc>
          <w:tcPr>
            <w:tcW w:w="2454" w:type="dxa"/>
            <w:tcBorders>
              <w:top w:val="nil"/>
              <w:left w:val="single" w:sz="8" w:space="0" w:color="auto"/>
              <w:bottom w:val="single" w:sz="4" w:space="0" w:color="auto"/>
              <w:right w:val="single" w:sz="4" w:space="0" w:color="auto"/>
            </w:tcBorders>
            <w:shd w:val="clear" w:color="auto" w:fill="auto"/>
            <w:noWrap/>
            <w:vAlign w:val="bottom"/>
            <w:hideMark/>
          </w:tcPr>
          <w:p w14:paraId="79105B73" w14:textId="77777777" w:rsidR="00C738A3" w:rsidRPr="00E710DA" w:rsidRDefault="00C738A3" w:rsidP="00C738A3">
            <w:pPr>
              <w:spacing w:after="0" w:line="240" w:lineRule="auto"/>
              <w:jc w:val="center"/>
              <w:rPr>
                <w:color w:val="000000"/>
              </w:rPr>
            </w:pPr>
            <w:r w:rsidRPr="00E710DA">
              <w:rPr>
                <w:color w:val="000000"/>
              </w:rPr>
              <w:t>89</w:t>
            </w:r>
          </w:p>
        </w:tc>
        <w:tc>
          <w:tcPr>
            <w:tcW w:w="2455" w:type="dxa"/>
            <w:tcBorders>
              <w:top w:val="nil"/>
              <w:left w:val="nil"/>
              <w:bottom w:val="single" w:sz="4" w:space="0" w:color="auto"/>
              <w:right w:val="single" w:sz="4" w:space="0" w:color="auto"/>
            </w:tcBorders>
            <w:shd w:val="clear" w:color="auto" w:fill="auto"/>
            <w:noWrap/>
            <w:vAlign w:val="bottom"/>
            <w:hideMark/>
          </w:tcPr>
          <w:p w14:paraId="039131F5" w14:textId="77777777" w:rsidR="00C738A3" w:rsidRPr="00E710DA" w:rsidRDefault="00C738A3" w:rsidP="00C738A3">
            <w:pPr>
              <w:spacing w:after="0" w:line="240" w:lineRule="auto"/>
              <w:jc w:val="center"/>
              <w:rPr>
                <w:color w:val="000000"/>
              </w:rPr>
            </w:pPr>
            <w:r w:rsidRPr="00E710DA">
              <w:rPr>
                <w:color w:val="000000"/>
              </w:rPr>
              <w:t>338302.24</w:t>
            </w:r>
          </w:p>
        </w:tc>
        <w:tc>
          <w:tcPr>
            <w:tcW w:w="2455" w:type="dxa"/>
            <w:tcBorders>
              <w:top w:val="nil"/>
              <w:left w:val="nil"/>
              <w:bottom w:val="single" w:sz="4" w:space="0" w:color="auto"/>
              <w:right w:val="single" w:sz="8" w:space="0" w:color="auto"/>
            </w:tcBorders>
            <w:shd w:val="clear" w:color="auto" w:fill="auto"/>
            <w:noWrap/>
            <w:vAlign w:val="bottom"/>
            <w:hideMark/>
          </w:tcPr>
          <w:p w14:paraId="74363C1F" w14:textId="77777777" w:rsidR="00C738A3" w:rsidRPr="00E710DA" w:rsidRDefault="00C738A3" w:rsidP="00C738A3">
            <w:pPr>
              <w:spacing w:after="0" w:line="240" w:lineRule="auto"/>
              <w:jc w:val="center"/>
              <w:rPr>
                <w:color w:val="000000"/>
              </w:rPr>
            </w:pPr>
            <w:r w:rsidRPr="00E710DA">
              <w:rPr>
                <w:color w:val="000000"/>
              </w:rPr>
              <w:t>5022826.80</w:t>
            </w:r>
          </w:p>
        </w:tc>
      </w:tr>
      <w:tr w:rsidR="00C738A3" w:rsidRPr="00E710DA" w14:paraId="3DA9DA13" w14:textId="77777777" w:rsidTr="00D16CC6">
        <w:trPr>
          <w:trHeight w:val="300"/>
          <w:jc w:val="center"/>
        </w:trPr>
        <w:tc>
          <w:tcPr>
            <w:tcW w:w="2454" w:type="dxa"/>
            <w:tcBorders>
              <w:top w:val="nil"/>
              <w:left w:val="single" w:sz="8" w:space="0" w:color="auto"/>
              <w:bottom w:val="single" w:sz="4" w:space="0" w:color="auto"/>
              <w:right w:val="single" w:sz="4" w:space="0" w:color="auto"/>
            </w:tcBorders>
            <w:shd w:val="clear" w:color="auto" w:fill="auto"/>
            <w:noWrap/>
            <w:vAlign w:val="bottom"/>
            <w:hideMark/>
          </w:tcPr>
          <w:p w14:paraId="1C2E90AC" w14:textId="77777777" w:rsidR="00C738A3" w:rsidRPr="00E710DA" w:rsidRDefault="00C738A3" w:rsidP="00C738A3">
            <w:pPr>
              <w:spacing w:after="0" w:line="240" w:lineRule="auto"/>
              <w:jc w:val="center"/>
              <w:rPr>
                <w:color w:val="000000"/>
              </w:rPr>
            </w:pPr>
            <w:r w:rsidRPr="00E710DA">
              <w:rPr>
                <w:color w:val="000000"/>
              </w:rPr>
              <w:t>90</w:t>
            </w:r>
          </w:p>
        </w:tc>
        <w:tc>
          <w:tcPr>
            <w:tcW w:w="2455" w:type="dxa"/>
            <w:tcBorders>
              <w:top w:val="nil"/>
              <w:left w:val="nil"/>
              <w:bottom w:val="single" w:sz="4" w:space="0" w:color="auto"/>
              <w:right w:val="single" w:sz="4" w:space="0" w:color="auto"/>
            </w:tcBorders>
            <w:shd w:val="clear" w:color="auto" w:fill="auto"/>
            <w:noWrap/>
            <w:vAlign w:val="bottom"/>
            <w:hideMark/>
          </w:tcPr>
          <w:p w14:paraId="4170D593" w14:textId="77777777" w:rsidR="00C738A3" w:rsidRPr="00E710DA" w:rsidRDefault="00C738A3" w:rsidP="00C738A3">
            <w:pPr>
              <w:spacing w:after="0" w:line="240" w:lineRule="auto"/>
              <w:jc w:val="center"/>
              <w:rPr>
                <w:color w:val="000000"/>
              </w:rPr>
            </w:pPr>
            <w:r w:rsidRPr="00E710DA">
              <w:rPr>
                <w:color w:val="000000"/>
              </w:rPr>
              <w:t>338295.06</w:t>
            </w:r>
          </w:p>
        </w:tc>
        <w:tc>
          <w:tcPr>
            <w:tcW w:w="2455" w:type="dxa"/>
            <w:tcBorders>
              <w:top w:val="nil"/>
              <w:left w:val="nil"/>
              <w:bottom w:val="single" w:sz="4" w:space="0" w:color="auto"/>
              <w:right w:val="single" w:sz="8" w:space="0" w:color="auto"/>
            </w:tcBorders>
            <w:shd w:val="clear" w:color="auto" w:fill="auto"/>
            <w:noWrap/>
            <w:vAlign w:val="bottom"/>
            <w:hideMark/>
          </w:tcPr>
          <w:p w14:paraId="20BE3FFF" w14:textId="77777777" w:rsidR="00C738A3" w:rsidRPr="00E710DA" w:rsidRDefault="00C738A3" w:rsidP="00C738A3">
            <w:pPr>
              <w:spacing w:after="0" w:line="240" w:lineRule="auto"/>
              <w:jc w:val="center"/>
              <w:rPr>
                <w:color w:val="000000"/>
              </w:rPr>
            </w:pPr>
            <w:r w:rsidRPr="00E710DA">
              <w:rPr>
                <w:color w:val="000000"/>
              </w:rPr>
              <w:t>5022812.12</w:t>
            </w:r>
          </w:p>
        </w:tc>
      </w:tr>
      <w:tr w:rsidR="00C738A3" w:rsidRPr="00E710DA" w14:paraId="2E4CF936" w14:textId="77777777" w:rsidTr="00D16CC6">
        <w:trPr>
          <w:trHeight w:val="300"/>
          <w:jc w:val="center"/>
        </w:trPr>
        <w:tc>
          <w:tcPr>
            <w:tcW w:w="2454" w:type="dxa"/>
            <w:tcBorders>
              <w:top w:val="nil"/>
              <w:left w:val="single" w:sz="8" w:space="0" w:color="auto"/>
              <w:bottom w:val="single" w:sz="4" w:space="0" w:color="auto"/>
              <w:right w:val="single" w:sz="4" w:space="0" w:color="auto"/>
            </w:tcBorders>
            <w:shd w:val="clear" w:color="auto" w:fill="auto"/>
            <w:noWrap/>
            <w:vAlign w:val="bottom"/>
            <w:hideMark/>
          </w:tcPr>
          <w:p w14:paraId="381FECD6" w14:textId="77777777" w:rsidR="00C738A3" w:rsidRPr="00E710DA" w:rsidRDefault="00C738A3" w:rsidP="00C738A3">
            <w:pPr>
              <w:spacing w:after="0" w:line="240" w:lineRule="auto"/>
              <w:jc w:val="center"/>
              <w:rPr>
                <w:color w:val="000000"/>
              </w:rPr>
            </w:pPr>
            <w:r w:rsidRPr="00E710DA">
              <w:rPr>
                <w:color w:val="000000"/>
              </w:rPr>
              <w:t>91</w:t>
            </w:r>
          </w:p>
        </w:tc>
        <w:tc>
          <w:tcPr>
            <w:tcW w:w="2455" w:type="dxa"/>
            <w:tcBorders>
              <w:top w:val="nil"/>
              <w:left w:val="nil"/>
              <w:bottom w:val="single" w:sz="4" w:space="0" w:color="auto"/>
              <w:right w:val="single" w:sz="4" w:space="0" w:color="auto"/>
            </w:tcBorders>
            <w:shd w:val="clear" w:color="auto" w:fill="auto"/>
            <w:noWrap/>
            <w:vAlign w:val="bottom"/>
            <w:hideMark/>
          </w:tcPr>
          <w:p w14:paraId="3BCD90BB" w14:textId="77777777" w:rsidR="00C738A3" w:rsidRPr="00E710DA" w:rsidRDefault="00C738A3" w:rsidP="00C738A3">
            <w:pPr>
              <w:spacing w:after="0" w:line="240" w:lineRule="auto"/>
              <w:jc w:val="center"/>
              <w:rPr>
                <w:color w:val="000000"/>
              </w:rPr>
            </w:pPr>
            <w:r w:rsidRPr="00E710DA">
              <w:rPr>
                <w:color w:val="000000"/>
              </w:rPr>
              <w:t>338289.15</w:t>
            </w:r>
          </w:p>
        </w:tc>
        <w:tc>
          <w:tcPr>
            <w:tcW w:w="2455" w:type="dxa"/>
            <w:tcBorders>
              <w:top w:val="nil"/>
              <w:left w:val="nil"/>
              <w:bottom w:val="single" w:sz="4" w:space="0" w:color="auto"/>
              <w:right w:val="single" w:sz="8" w:space="0" w:color="auto"/>
            </w:tcBorders>
            <w:shd w:val="clear" w:color="auto" w:fill="auto"/>
            <w:noWrap/>
            <w:vAlign w:val="bottom"/>
            <w:hideMark/>
          </w:tcPr>
          <w:p w14:paraId="5836183E" w14:textId="77777777" w:rsidR="00C738A3" w:rsidRPr="00E710DA" w:rsidRDefault="00C738A3" w:rsidP="00C738A3">
            <w:pPr>
              <w:spacing w:after="0" w:line="240" w:lineRule="auto"/>
              <w:jc w:val="center"/>
              <w:rPr>
                <w:color w:val="000000"/>
              </w:rPr>
            </w:pPr>
            <w:r w:rsidRPr="00E710DA">
              <w:rPr>
                <w:color w:val="000000"/>
              </w:rPr>
              <w:t>5022815.20</w:t>
            </w:r>
          </w:p>
        </w:tc>
      </w:tr>
      <w:tr w:rsidR="00C738A3" w:rsidRPr="00E710DA" w14:paraId="43C186B0" w14:textId="77777777" w:rsidTr="00D16CC6">
        <w:trPr>
          <w:trHeight w:val="300"/>
          <w:jc w:val="center"/>
        </w:trPr>
        <w:tc>
          <w:tcPr>
            <w:tcW w:w="2454" w:type="dxa"/>
            <w:tcBorders>
              <w:top w:val="nil"/>
              <w:left w:val="single" w:sz="8" w:space="0" w:color="auto"/>
              <w:bottom w:val="single" w:sz="4" w:space="0" w:color="auto"/>
              <w:right w:val="single" w:sz="4" w:space="0" w:color="auto"/>
            </w:tcBorders>
            <w:shd w:val="clear" w:color="auto" w:fill="auto"/>
            <w:noWrap/>
            <w:vAlign w:val="bottom"/>
            <w:hideMark/>
          </w:tcPr>
          <w:p w14:paraId="5A015BAA" w14:textId="77777777" w:rsidR="00C738A3" w:rsidRPr="00E710DA" w:rsidRDefault="00C738A3" w:rsidP="00C738A3">
            <w:pPr>
              <w:spacing w:after="0" w:line="240" w:lineRule="auto"/>
              <w:jc w:val="center"/>
              <w:rPr>
                <w:color w:val="000000"/>
              </w:rPr>
            </w:pPr>
            <w:r w:rsidRPr="00E710DA">
              <w:rPr>
                <w:color w:val="000000"/>
              </w:rPr>
              <w:t>92</w:t>
            </w:r>
          </w:p>
        </w:tc>
        <w:tc>
          <w:tcPr>
            <w:tcW w:w="2455" w:type="dxa"/>
            <w:tcBorders>
              <w:top w:val="nil"/>
              <w:left w:val="nil"/>
              <w:bottom w:val="single" w:sz="4" w:space="0" w:color="auto"/>
              <w:right w:val="single" w:sz="4" w:space="0" w:color="auto"/>
            </w:tcBorders>
            <w:shd w:val="clear" w:color="auto" w:fill="auto"/>
            <w:noWrap/>
            <w:vAlign w:val="bottom"/>
            <w:hideMark/>
          </w:tcPr>
          <w:p w14:paraId="01267ACE" w14:textId="77777777" w:rsidR="00C738A3" w:rsidRPr="00E710DA" w:rsidRDefault="00C738A3" w:rsidP="00C738A3">
            <w:pPr>
              <w:spacing w:after="0" w:line="240" w:lineRule="auto"/>
              <w:jc w:val="center"/>
              <w:rPr>
                <w:color w:val="000000"/>
              </w:rPr>
            </w:pPr>
            <w:r w:rsidRPr="00E710DA">
              <w:rPr>
                <w:color w:val="000000"/>
              </w:rPr>
              <w:t>338271.48</w:t>
            </w:r>
          </w:p>
        </w:tc>
        <w:tc>
          <w:tcPr>
            <w:tcW w:w="2455" w:type="dxa"/>
            <w:tcBorders>
              <w:top w:val="nil"/>
              <w:left w:val="nil"/>
              <w:bottom w:val="single" w:sz="4" w:space="0" w:color="auto"/>
              <w:right w:val="single" w:sz="8" w:space="0" w:color="auto"/>
            </w:tcBorders>
            <w:shd w:val="clear" w:color="auto" w:fill="auto"/>
            <w:noWrap/>
            <w:vAlign w:val="bottom"/>
            <w:hideMark/>
          </w:tcPr>
          <w:p w14:paraId="3C41CF7B" w14:textId="77777777" w:rsidR="00C738A3" w:rsidRPr="00E710DA" w:rsidRDefault="00C738A3" w:rsidP="00C738A3">
            <w:pPr>
              <w:spacing w:after="0" w:line="240" w:lineRule="auto"/>
              <w:jc w:val="center"/>
              <w:rPr>
                <w:color w:val="000000"/>
              </w:rPr>
            </w:pPr>
            <w:r w:rsidRPr="00E710DA">
              <w:rPr>
                <w:color w:val="000000"/>
              </w:rPr>
              <w:t>5022824.38</w:t>
            </w:r>
          </w:p>
        </w:tc>
      </w:tr>
      <w:tr w:rsidR="00C738A3" w:rsidRPr="00E710DA" w14:paraId="61F939F8" w14:textId="77777777" w:rsidTr="00D16CC6">
        <w:trPr>
          <w:trHeight w:val="300"/>
          <w:jc w:val="center"/>
        </w:trPr>
        <w:tc>
          <w:tcPr>
            <w:tcW w:w="2454" w:type="dxa"/>
            <w:tcBorders>
              <w:top w:val="nil"/>
              <w:left w:val="single" w:sz="8" w:space="0" w:color="auto"/>
              <w:bottom w:val="single" w:sz="4" w:space="0" w:color="auto"/>
              <w:right w:val="single" w:sz="4" w:space="0" w:color="auto"/>
            </w:tcBorders>
            <w:shd w:val="clear" w:color="auto" w:fill="auto"/>
            <w:noWrap/>
            <w:vAlign w:val="bottom"/>
            <w:hideMark/>
          </w:tcPr>
          <w:p w14:paraId="7258ED8B" w14:textId="77777777" w:rsidR="00C738A3" w:rsidRPr="00E710DA" w:rsidRDefault="00C738A3" w:rsidP="00C738A3">
            <w:pPr>
              <w:spacing w:after="0" w:line="240" w:lineRule="auto"/>
              <w:jc w:val="center"/>
              <w:rPr>
                <w:color w:val="000000"/>
              </w:rPr>
            </w:pPr>
            <w:r w:rsidRPr="00E710DA">
              <w:rPr>
                <w:color w:val="000000"/>
              </w:rPr>
              <w:t>93</w:t>
            </w:r>
          </w:p>
        </w:tc>
        <w:tc>
          <w:tcPr>
            <w:tcW w:w="2455" w:type="dxa"/>
            <w:tcBorders>
              <w:top w:val="nil"/>
              <w:left w:val="nil"/>
              <w:bottom w:val="single" w:sz="4" w:space="0" w:color="auto"/>
              <w:right w:val="single" w:sz="4" w:space="0" w:color="auto"/>
            </w:tcBorders>
            <w:shd w:val="clear" w:color="auto" w:fill="auto"/>
            <w:noWrap/>
            <w:vAlign w:val="bottom"/>
            <w:hideMark/>
          </w:tcPr>
          <w:p w14:paraId="589DE501" w14:textId="77777777" w:rsidR="00C738A3" w:rsidRPr="00E710DA" w:rsidRDefault="00C738A3" w:rsidP="00C738A3">
            <w:pPr>
              <w:spacing w:after="0" w:line="240" w:lineRule="auto"/>
              <w:jc w:val="center"/>
              <w:rPr>
                <w:color w:val="000000"/>
              </w:rPr>
            </w:pPr>
            <w:r w:rsidRPr="00E710DA">
              <w:rPr>
                <w:color w:val="000000"/>
              </w:rPr>
              <w:t>338257.36</w:t>
            </w:r>
          </w:p>
        </w:tc>
        <w:tc>
          <w:tcPr>
            <w:tcW w:w="2455" w:type="dxa"/>
            <w:tcBorders>
              <w:top w:val="nil"/>
              <w:left w:val="nil"/>
              <w:bottom w:val="single" w:sz="4" w:space="0" w:color="auto"/>
              <w:right w:val="single" w:sz="8" w:space="0" w:color="auto"/>
            </w:tcBorders>
            <w:shd w:val="clear" w:color="auto" w:fill="auto"/>
            <w:noWrap/>
            <w:vAlign w:val="bottom"/>
            <w:hideMark/>
          </w:tcPr>
          <w:p w14:paraId="3C674CC7" w14:textId="77777777" w:rsidR="00C738A3" w:rsidRPr="00E710DA" w:rsidRDefault="00C738A3" w:rsidP="00C738A3">
            <w:pPr>
              <w:spacing w:after="0" w:line="240" w:lineRule="auto"/>
              <w:jc w:val="center"/>
              <w:rPr>
                <w:color w:val="000000"/>
              </w:rPr>
            </w:pPr>
            <w:r w:rsidRPr="00E710DA">
              <w:rPr>
                <w:color w:val="000000"/>
              </w:rPr>
              <w:t>5022831.53</w:t>
            </w:r>
          </w:p>
        </w:tc>
      </w:tr>
      <w:tr w:rsidR="00C738A3" w:rsidRPr="00E710DA" w14:paraId="495EDFB7" w14:textId="77777777" w:rsidTr="00D16CC6">
        <w:trPr>
          <w:trHeight w:val="315"/>
          <w:jc w:val="center"/>
        </w:trPr>
        <w:tc>
          <w:tcPr>
            <w:tcW w:w="2454" w:type="dxa"/>
            <w:tcBorders>
              <w:top w:val="nil"/>
              <w:left w:val="single" w:sz="8" w:space="0" w:color="auto"/>
              <w:bottom w:val="single" w:sz="8" w:space="0" w:color="auto"/>
              <w:right w:val="single" w:sz="4" w:space="0" w:color="auto"/>
            </w:tcBorders>
            <w:shd w:val="clear" w:color="auto" w:fill="auto"/>
            <w:noWrap/>
            <w:vAlign w:val="bottom"/>
            <w:hideMark/>
          </w:tcPr>
          <w:p w14:paraId="3131CA78" w14:textId="77777777" w:rsidR="00C738A3" w:rsidRPr="00E710DA" w:rsidRDefault="00C738A3" w:rsidP="00C738A3">
            <w:pPr>
              <w:spacing w:after="0" w:line="240" w:lineRule="auto"/>
              <w:jc w:val="center"/>
              <w:rPr>
                <w:color w:val="000000"/>
              </w:rPr>
            </w:pPr>
            <w:r w:rsidRPr="00E710DA">
              <w:rPr>
                <w:color w:val="000000"/>
              </w:rPr>
              <w:t>94</w:t>
            </w:r>
          </w:p>
        </w:tc>
        <w:tc>
          <w:tcPr>
            <w:tcW w:w="2455" w:type="dxa"/>
            <w:tcBorders>
              <w:top w:val="nil"/>
              <w:left w:val="nil"/>
              <w:bottom w:val="single" w:sz="8" w:space="0" w:color="auto"/>
              <w:right w:val="single" w:sz="4" w:space="0" w:color="auto"/>
            </w:tcBorders>
            <w:shd w:val="clear" w:color="auto" w:fill="auto"/>
            <w:noWrap/>
            <w:vAlign w:val="bottom"/>
            <w:hideMark/>
          </w:tcPr>
          <w:p w14:paraId="5E311C3B" w14:textId="77777777" w:rsidR="00C738A3" w:rsidRPr="00E710DA" w:rsidRDefault="00C738A3" w:rsidP="00C738A3">
            <w:pPr>
              <w:spacing w:after="0" w:line="240" w:lineRule="auto"/>
              <w:jc w:val="center"/>
              <w:rPr>
                <w:color w:val="000000"/>
              </w:rPr>
            </w:pPr>
            <w:r w:rsidRPr="00E710DA">
              <w:rPr>
                <w:color w:val="000000"/>
              </w:rPr>
              <w:t>338246.89</w:t>
            </w:r>
          </w:p>
        </w:tc>
        <w:tc>
          <w:tcPr>
            <w:tcW w:w="2455" w:type="dxa"/>
            <w:tcBorders>
              <w:top w:val="nil"/>
              <w:left w:val="nil"/>
              <w:bottom w:val="single" w:sz="8" w:space="0" w:color="auto"/>
              <w:right w:val="single" w:sz="8" w:space="0" w:color="auto"/>
            </w:tcBorders>
            <w:shd w:val="clear" w:color="auto" w:fill="auto"/>
            <w:noWrap/>
            <w:vAlign w:val="bottom"/>
            <w:hideMark/>
          </w:tcPr>
          <w:p w14:paraId="1D14FDF2" w14:textId="77777777" w:rsidR="00C738A3" w:rsidRPr="00E710DA" w:rsidRDefault="00C738A3" w:rsidP="00C738A3">
            <w:pPr>
              <w:spacing w:after="0" w:line="240" w:lineRule="auto"/>
              <w:jc w:val="center"/>
              <w:rPr>
                <w:color w:val="000000"/>
              </w:rPr>
            </w:pPr>
            <w:r w:rsidRPr="00E710DA">
              <w:rPr>
                <w:color w:val="000000"/>
              </w:rPr>
              <w:t>5022837.22</w:t>
            </w:r>
          </w:p>
        </w:tc>
      </w:tr>
    </w:tbl>
    <w:p w14:paraId="57B94F2A" w14:textId="77777777" w:rsidR="00C738A3" w:rsidRPr="00E710DA" w:rsidRDefault="00C738A3" w:rsidP="00C738A3">
      <w:pPr>
        <w:pStyle w:val="ListParagraph"/>
        <w:spacing w:after="0" w:line="240" w:lineRule="auto"/>
        <w:ind w:left="0"/>
        <w:jc w:val="both"/>
        <w:rPr>
          <w:rFonts w:ascii="Times New Roman" w:hAnsi="Times New Roman" w:cs="Times New Roman"/>
          <w:sz w:val="24"/>
          <w:szCs w:val="24"/>
        </w:rPr>
      </w:pPr>
    </w:p>
    <w:p w14:paraId="7B1ED65F" w14:textId="77777777" w:rsidR="00C738A3" w:rsidRPr="00E710DA" w:rsidRDefault="00C738A3" w:rsidP="00C738A3">
      <w:pPr>
        <w:pStyle w:val="ListParagraph"/>
        <w:numPr>
          <w:ilvl w:val="0"/>
          <w:numId w:val="11"/>
        </w:numPr>
        <w:tabs>
          <w:tab w:val="left" w:pos="0"/>
        </w:tabs>
        <w:spacing w:after="0" w:line="240" w:lineRule="auto"/>
        <w:jc w:val="both"/>
        <w:rPr>
          <w:rFonts w:ascii="Times New Roman" w:hAnsi="Times New Roman" w:cs="Times New Roman"/>
          <w:sz w:val="24"/>
          <w:szCs w:val="24"/>
        </w:rPr>
      </w:pPr>
      <w:r w:rsidRPr="00E710DA">
        <w:rPr>
          <w:rFonts w:ascii="Times New Roman" w:hAnsi="Times New Roman" w:cs="Times New Roman"/>
          <w:sz w:val="24"/>
          <w:szCs w:val="24"/>
        </w:rPr>
        <w:t xml:space="preserve">lokacija Rijeka - dio katastarske čestice 3329/12, k.o. Stari Grad, </w:t>
      </w:r>
      <w:r w:rsidRPr="00E710DA">
        <w:rPr>
          <w:rFonts w:ascii="Times New Roman" w:eastAsia="Times New Roman" w:hAnsi="Times New Roman" w:cs="Times New Roman"/>
          <w:sz w:val="24"/>
          <w:szCs w:val="24"/>
          <w:lang w:eastAsia="en-GB"/>
        </w:rPr>
        <w:t xml:space="preserve">granice područja k. č. 3329/12 koje ne ulazi u područje slobodne zone definirano je točkama od 4. do 13., a koordinate detaljnih točaka iskazane su u metrima u </w:t>
      </w:r>
      <w:r w:rsidRPr="00E710DA">
        <w:rPr>
          <w:rFonts w:ascii="Times New Roman" w:eastAsia="Times New Roman" w:hAnsi="Times New Roman" w:cs="Times New Roman"/>
          <w:sz w:val="24"/>
          <w:szCs w:val="24"/>
          <w:lang w:eastAsia="en-GB"/>
        </w:rPr>
        <w:lastRenderedPageBreak/>
        <w:t>službenom položajnom referentnom koordinatnom sustavu Republike Hrvatske HTRS96/TM:</w:t>
      </w:r>
    </w:p>
    <w:tbl>
      <w:tblPr>
        <w:tblW w:w="7395" w:type="dxa"/>
        <w:jc w:val="center"/>
        <w:tblLayout w:type="fixed"/>
        <w:tblLook w:val="04A0" w:firstRow="1" w:lastRow="0" w:firstColumn="1" w:lastColumn="0" w:noHBand="0" w:noVBand="1"/>
      </w:tblPr>
      <w:tblGrid>
        <w:gridCol w:w="2465"/>
        <w:gridCol w:w="2465"/>
        <w:gridCol w:w="2465"/>
      </w:tblGrid>
      <w:tr w:rsidR="00C738A3" w:rsidRPr="00E710DA" w14:paraId="4AE7DA83" w14:textId="77777777" w:rsidTr="00D16CC6">
        <w:trPr>
          <w:trHeight w:val="915"/>
          <w:jc w:val="center"/>
        </w:trPr>
        <w:tc>
          <w:tcPr>
            <w:tcW w:w="2465" w:type="dxa"/>
            <w:tcBorders>
              <w:top w:val="single" w:sz="8" w:space="0" w:color="auto"/>
              <w:left w:val="single" w:sz="8" w:space="0" w:color="auto"/>
              <w:bottom w:val="double" w:sz="6" w:space="0" w:color="auto"/>
              <w:right w:val="single" w:sz="4" w:space="0" w:color="auto"/>
            </w:tcBorders>
            <w:shd w:val="clear" w:color="auto" w:fill="auto"/>
            <w:vAlign w:val="center"/>
            <w:hideMark/>
          </w:tcPr>
          <w:p w14:paraId="6912EBBA" w14:textId="77777777" w:rsidR="00C738A3" w:rsidRPr="00E710DA" w:rsidRDefault="00C738A3" w:rsidP="00C738A3">
            <w:pPr>
              <w:spacing w:after="0" w:line="240" w:lineRule="auto"/>
              <w:jc w:val="center"/>
              <w:rPr>
                <w:b/>
                <w:bCs/>
                <w:color w:val="000000"/>
              </w:rPr>
            </w:pPr>
            <w:r w:rsidRPr="00E710DA">
              <w:rPr>
                <w:b/>
                <w:bCs/>
                <w:color w:val="000000"/>
              </w:rPr>
              <w:t>Broj točke</w:t>
            </w:r>
          </w:p>
        </w:tc>
        <w:tc>
          <w:tcPr>
            <w:tcW w:w="2465" w:type="dxa"/>
            <w:tcBorders>
              <w:top w:val="single" w:sz="8" w:space="0" w:color="auto"/>
              <w:left w:val="nil"/>
              <w:bottom w:val="double" w:sz="6" w:space="0" w:color="auto"/>
              <w:right w:val="single" w:sz="4" w:space="0" w:color="auto"/>
            </w:tcBorders>
            <w:shd w:val="clear" w:color="auto" w:fill="auto"/>
            <w:vAlign w:val="center"/>
            <w:hideMark/>
          </w:tcPr>
          <w:p w14:paraId="15EA2A18" w14:textId="77777777" w:rsidR="00C738A3" w:rsidRPr="00E710DA" w:rsidRDefault="00C738A3" w:rsidP="00C738A3">
            <w:pPr>
              <w:spacing w:after="0" w:line="240" w:lineRule="auto"/>
              <w:jc w:val="center"/>
              <w:rPr>
                <w:b/>
                <w:bCs/>
                <w:color w:val="000000"/>
              </w:rPr>
            </w:pPr>
            <w:r w:rsidRPr="00E710DA">
              <w:rPr>
                <w:b/>
                <w:bCs/>
                <w:color w:val="000000"/>
              </w:rPr>
              <w:t>E koordinata</w:t>
            </w:r>
            <w:r w:rsidRPr="00E710DA">
              <w:rPr>
                <w:b/>
                <w:bCs/>
                <w:color w:val="000000"/>
              </w:rPr>
              <w:br/>
              <w:t>HTRS96/TM</w:t>
            </w:r>
            <w:r w:rsidRPr="00E710DA">
              <w:rPr>
                <w:b/>
                <w:bCs/>
                <w:color w:val="000000"/>
              </w:rPr>
              <w:br/>
              <w:t>(m)</w:t>
            </w:r>
          </w:p>
        </w:tc>
        <w:tc>
          <w:tcPr>
            <w:tcW w:w="2465" w:type="dxa"/>
            <w:tcBorders>
              <w:top w:val="single" w:sz="8" w:space="0" w:color="auto"/>
              <w:left w:val="nil"/>
              <w:bottom w:val="double" w:sz="6" w:space="0" w:color="auto"/>
              <w:right w:val="single" w:sz="8" w:space="0" w:color="auto"/>
            </w:tcBorders>
            <w:shd w:val="clear" w:color="auto" w:fill="auto"/>
            <w:vAlign w:val="center"/>
            <w:hideMark/>
          </w:tcPr>
          <w:p w14:paraId="535DA74B" w14:textId="77777777" w:rsidR="00C738A3" w:rsidRPr="00E710DA" w:rsidRDefault="00C738A3" w:rsidP="00C738A3">
            <w:pPr>
              <w:spacing w:after="0" w:line="240" w:lineRule="auto"/>
              <w:jc w:val="center"/>
              <w:rPr>
                <w:b/>
                <w:bCs/>
                <w:color w:val="000000"/>
              </w:rPr>
            </w:pPr>
            <w:r w:rsidRPr="00E710DA">
              <w:rPr>
                <w:b/>
                <w:bCs/>
                <w:color w:val="000000"/>
              </w:rPr>
              <w:t>N koordinata</w:t>
            </w:r>
            <w:r w:rsidRPr="00E710DA">
              <w:rPr>
                <w:b/>
                <w:bCs/>
                <w:color w:val="000000"/>
              </w:rPr>
              <w:br/>
              <w:t>HTRS96/TM</w:t>
            </w:r>
            <w:r w:rsidRPr="00E710DA">
              <w:rPr>
                <w:b/>
                <w:bCs/>
                <w:color w:val="000000"/>
              </w:rPr>
              <w:br/>
              <w:t>(m)</w:t>
            </w:r>
          </w:p>
        </w:tc>
      </w:tr>
      <w:tr w:rsidR="00C738A3" w:rsidRPr="00E710DA" w14:paraId="5532DEF3" w14:textId="77777777" w:rsidTr="00D16CC6">
        <w:trPr>
          <w:trHeight w:val="315"/>
          <w:jc w:val="center"/>
        </w:trPr>
        <w:tc>
          <w:tcPr>
            <w:tcW w:w="2465" w:type="dxa"/>
            <w:tcBorders>
              <w:top w:val="nil"/>
              <w:left w:val="single" w:sz="8" w:space="0" w:color="auto"/>
              <w:bottom w:val="single" w:sz="4" w:space="0" w:color="auto"/>
              <w:right w:val="single" w:sz="4" w:space="0" w:color="auto"/>
            </w:tcBorders>
            <w:shd w:val="clear" w:color="auto" w:fill="auto"/>
            <w:noWrap/>
            <w:vAlign w:val="bottom"/>
            <w:hideMark/>
          </w:tcPr>
          <w:p w14:paraId="3BB6AD81" w14:textId="77777777" w:rsidR="00C738A3" w:rsidRPr="00E710DA" w:rsidRDefault="00C738A3" w:rsidP="00C738A3">
            <w:pPr>
              <w:spacing w:after="0" w:line="240" w:lineRule="auto"/>
              <w:jc w:val="center"/>
              <w:rPr>
                <w:color w:val="000000"/>
              </w:rPr>
            </w:pPr>
            <w:r w:rsidRPr="00E710DA">
              <w:rPr>
                <w:color w:val="000000"/>
              </w:rPr>
              <w:t>4</w:t>
            </w:r>
          </w:p>
        </w:tc>
        <w:tc>
          <w:tcPr>
            <w:tcW w:w="2465" w:type="dxa"/>
            <w:tcBorders>
              <w:top w:val="nil"/>
              <w:left w:val="nil"/>
              <w:bottom w:val="single" w:sz="4" w:space="0" w:color="auto"/>
              <w:right w:val="single" w:sz="4" w:space="0" w:color="auto"/>
            </w:tcBorders>
            <w:shd w:val="clear" w:color="auto" w:fill="auto"/>
            <w:noWrap/>
            <w:vAlign w:val="bottom"/>
            <w:hideMark/>
          </w:tcPr>
          <w:p w14:paraId="6A2B0680" w14:textId="77777777" w:rsidR="00C738A3" w:rsidRPr="00E710DA" w:rsidRDefault="00C738A3" w:rsidP="00C738A3">
            <w:pPr>
              <w:spacing w:after="0" w:line="240" w:lineRule="auto"/>
              <w:jc w:val="center"/>
              <w:rPr>
                <w:color w:val="000000"/>
              </w:rPr>
            </w:pPr>
            <w:r w:rsidRPr="00E710DA">
              <w:rPr>
                <w:color w:val="000000"/>
              </w:rPr>
              <w:t>337163.22</w:t>
            </w:r>
          </w:p>
        </w:tc>
        <w:tc>
          <w:tcPr>
            <w:tcW w:w="2465" w:type="dxa"/>
            <w:tcBorders>
              <w:top w:val="nil"/>
              <w:left w:val="nil"/>
              <w:bottom w:val="single" w:sz="4" w:space="0" w:color="auto"/>
              <w:right w:val="single" w:sz="8" w:space="0" w:color="auto"/>
            </w:tcBorders>
            <w:shd w:val="clear" w:color="auto" w:fill="auto"/>
            <w:noWrap/>
            <w:vAlign w:val="bottom"/>
            <w:hideMark/>
          </w:tcPr>
          <w:p w14:paraId="0FA55823" w14:textId="77777777" w:rsidR="00C738A3" w:rsidRPr="00E710DA" w:rsidRDefault="00C738A3" w:rsidP="00C738A3">
            <w:pPr>
              <w:spacing w:after="0" w:line="240" w:lineRule="auto"/>
              <w:jc w:val="center"/>
              <w:rPr>
                <w:color w:val="000000"/>
              </w:rPr>
            </w:pPr>
            <w:r w:rsidRPr="00E710DA">
              <w:rPr>
                <w:color w:val="000000"/>
              </w:rPr>
              <w:t>5023340.29</w:t>
            </w:r>
          </w:p>
        </w:tc>
      </w:tr>
      <w:tr w:rsidR="00C738A3" w:rsidRPr="00E710DA" w14:paraId="3F81065A" w14:textId="77777777" w:rsidTr="00D16CC6">
        <w:trPr>
          <w:trHeight w:val="300"/>
          <w:jc w:val="center"/>
        </w:trPr>
        <w:tc>
          <w:tcPr>
            <w:tcW w:w="2465" w:type="dxa"/>
            <w:tcBorders>
              <w:top w:val="nil"/>
              <w:left w:val="single" w:sz="8" w:space="0" w:color="auto"/>
              <w:bottom w:val="single" w:sz="4" w:space="0" w:color="auto"/>
              <w:right w:val="single" w:sz="4" w:space="0" w:color="auto"/>
            </w:tcBorders>
            <w:shd w:val="clear" w:color="auto" w:fill="auto"/>
            <w:noWrap/>
            <w:vAlign w:val="bottom"/>
            <w:hideMark/>
          </w:tcPr>
          <w:p w14:paraId="1B9FFEE0" w14:textId="77777777" w:rsidR="00C738A3" w:rsidRPr="00E710DA" w:rsidRDefault="00C738A3" w:rsidP="00C738A3">
            <w:pPr>
              <w:spacing w:after="0" w:line="240" w:lineRule="auto"/>
              <w:jc w:val="center"/>
              <w:rPr>
                <w:color w:val="000000"/>
              </w:rPr>
            </w:pPr>
            <w:r w:rsidRPr="00E710DA">
              <w:rPr>
                <w:color w:val="000000"/>
              </w:rPr>
              <w:t>5</w:t>
            </w:r>
          </w:p>
        </w:tc>
        <w:tc>
          <w:tcPr>
            <w:tcW w:w="2465" w:type="dxa"/>
            <w:tcBorders>
              <w:top w:val="nil"/>
              <w:left w:val="nil"/>
              <w:bottom w:val="single" w:sz="4" w:space="0" w:color="auto"/>
              <w:right w:val="single" w:sz="4" w:space="0" w:color="auto"/>
            </w:tcBorders>
            <w:shd w:val="clear" w:color="auto" w:fill="auto"/>
            <w:noWrap/>
            <w:vAlign w:val="bottom"/>
            <w:hideMark/>
          </w:tcPr>
          <w:p w14:paraId="64018EBF" w14:textId="77777777" w:rsidR="00C738A3" w:rsidRPr="00E710DA" w:rsidRDefault="00C738A3" w:rsidP="00C738A3">
            <w:pPr>
              <w:spacing w:after="0" w:line="240" w:lineRule="auto"/>
              <w:jc w:val="center"/>
              <w:rPr>
                <w:color w:val="000000"/>
              </w:rPr>
            </w:pPr>
            <w:r w:rsidRPr="00E710DA">
              <w:rPr>
                <w:color w:val="000000"/>
              </w:rPr>
              <w:t>337371.14</w:t>
            </w:r>
          </w:p>
        </w:tc>
        <w:tc>
          <w:tcPr>
            <w:tcW w:w="2465" w:type="dxa"/>
            <w:tcBorders>
              <w:top w:val="nil"/>
              <w:left w:val="nil"/>
              <w:bottom w:val="single" w:sz="4" w:space="0" w:color="auto"/>
              <w:right w:val="single" w:sz="8" w:space="0" w:color="auto"/>
            </w:tcBorders>
            <w:shd w:val="clear" w:color="auto" w:fill="auto"/>
            <w:noWrap/>
            <w:vAlign w:val="bottom"/>
            <w:hideMark/>
          </w:tcPr>
          <w:p w14:paraId="2ACE1825" w14:textId="77777777" w:rsidR="00C738A3" w:rsidRPr="00E710DA" w:rsidRDefault="00C738A3" w:rsidP="00C738A3">
            <w:pPr>
              <w:spacing w:after="0" w:line="240" w:lineRule="auto"/>
              <w:jc w:val="center"/>
              <w:rPr>
                <w:color w:val="000000"/>
              </w:rPr>
            </w:pPr>
            <w:r w:rsidRPr="00E710DA">
              <w:rPr>
                <w:color w:val="000000"/>
              </w:rPr>
              <w:t>5023276.10</w:t>
            </w:r>
          </w:p>
        </w:tc>
      </w:tr>
      <w:tr w:rsidR="00C738A3" w:rsidRPr="00E710DA" w14:paraId="0C43BFB8" w14:textId="77777777" w:rsidTr="00D16CC6">
        <w:trPr>
          <w:trHeight w:val="300"/>
          <w:jc w:val="center"/>
        </w:trPr>
        <w:tc>
          <w:tcPr>
            <w:tcW w:w="2465" w:type="dxa"/>
            <w:tcBorders>
              <w:top w:val="nil"/>
              <w:left w:val="single" w:sz="8" w:space="0" w:color="auto"/>
              <w:bottom w:val="single" w:sz="4" w:space="0" w:color="auto"/>
              <w:right w:val="single" w:sz="4" w:space="0" w:color="auto"/>
            </w:tcBorders>
            <w:shd w:val="clear" w:color="auto" w:fill="auto"/>
            <w:noWrap/>
            <w:vAlign w:val="bottom"/>
            <w:hideMark/>
          </w:tcPr>
          <w:p w14:paraId="53DD8C67" w14:textId="77777777" w:rsidR="00C738A3" w:rsidRPr="00E710DA" w:rsidRDefault="00C738A3" w:rsidP="00C738A3">
            <w:pPr>
              <w:spacing w:after="0" w:line="240" w:lineRule="auto"/>
              <w:jc w:val="center"/>
              <w:rPr>
                <w:color w:val="000000"/>
              </w:rPr>
            </w:pPr>
            <w:r w:rsidRPr="00E710DA">
              <w:rPr>
                <w:color w:val="000000"/>
              </w:rPr>
              <w:t>6</w:t>
            </w:r>
          </w:p>
        </w:tc>
        <w:tc>
          <w:tcPr>
            <w:tcW w:w="2465" w:type="dxa"/>
            <w:tcBorders>
              <w:top w:val="nil"/>
              <w:left w:val="nil"/>
              <w:bottom w:val="single" w:sz="4" w:space="0" w:color="auto"/>
              <w:right w:val="single" w:sz="4" w:space="0" w:color="auto"/>
            </w:tcBorders>
            <w:shd w:val="clear" w:color="auto" w:fill="auto"/>
            <w:noWrap/>
            <w:vAlign w:val="bottom"/>
            <w:hideMark/>
          </w:tcPr>
          <w:p w14:paraId="75601FDC" w14:textId="77777777" w:rsidR="00C738A3" w:rsidRPr="00E710DA" w:rsidRDefault="00C738A3" w:rsidP="00C738A3">
            <w:pPr>
              <w:spacing w:after="0" w:line="240" w:lineRule="auto"/>
              <w:jc w:val="center"/>
              <w:rPr>
                <w:color w:val="000000"/>
              </w:rPr>
            </w:pPr>
            <w:r w:rsidRPr="00E710DA">
              <w:rPr>
                <w:color w:val="000000"/>
              </w:rPr>
              <w:t>337373.49</w:t>
            </w:r>
          </w:p>
        </w:tc>
        <w:tc>
          <w:tcPr>
            <w:tcW w:w="2465" w:type="dxa"/>
            <w:tcBorders>
              <w:top w:val="nil"/>
              <w:left w:val="nil"/>
              <w:bottom w:val="single" w:sz="4" w:space="0" w:color="auto"/>
              <w:right w:val="single" w:sz="8" w:space="0" w:color="auto"/>
            </w:tcBorders>
            <w:shd w:val="clear" w:color="auto" w:fill="auto"/>
            <w:noWrap/>
            <w:vAlign w:val="bottom"/>
            <w:hideMark/>
          </w:tcPr>
          <w:p w14:paraId="03B32FF7" w14:textId="77777777" w:rsidR="00C738A3" w:rsidRPr="00E710DA" w:rsidRDefault="00C738A3" w:rsidP="00C738A3">
            <w:pPr>
              <w:spacing w:after="0" w:line="240" w:lineRule="auto"/>
              <w:jc w:val="center"/>
              <w:rPr>
                <w:color w:val="000000"/>
              </w:rPr>
            </w:pPr>
            <w:r w:rsidRPr="00E710DA">
              <w:rPr>
                <w:color w:val="000000"/>
              </w:rPr>
              <w:t>5023283.74</w:t>
            </w:r>
          </w:p>
        </w:tc>
      </w:tr>
      <w:tr w:rsidR="00C738A3" w:rsidRPr="00E710DA" w14:paraId="2331EF4F" w14:textId="77777777" w:rsidTr="00D16CC6">
        <w:trPr>
          <w:trHeight w:val="300"/>
          <w:jc w:val="center"/>
        </w:trPr>
        <w:tc>
          <w:tcPr>
            <w:tcW w:w="2465" w:type="dxa"/>
            <w:tcBorders>
              <w:top w:val="nil"/>
              <w:left w:val="single" w:sz="8" w:space="0" w:color="auto"/>
              <w:bottom w:val="single" w:sz="4" w:space="0" w:color="auto"/>
              <w:right w:val="single" w:sz="4" w:space="0" w:color="auto"/>
            </w:tcBorders>
            <w:shd w:val="clear" w:color="auto" w:fill="auto"/>
            <w:noWrap/>
            <w:vAlign w:val="bottom"/>
            <w:hideMark/>
          </w:tcPr>
          <w:p w14:paraId="1E1EB709" w14:textId="77777777" w:rsidR="00C738A3" w:rsidRPr="00E710DA" w:rsidRDefault="00C738A3" w:rsidP="00C738A3">
            <w:pPr>
              <w:spacing w:after="0" w:line="240" w:lineRule="auto"/>
              <w:jc w:val="center"/>
              <w:rPr>
                <w:color w:val="000000"/>
              </w:rPr>
            </w:pPr>
            <w:r w:rsidRPr="00E710DA">
              <w:rPr>
                <w:color w:val="000000"/>
              </w:rPr>
              <w:t>7</w:t>
            </w:r>
          </w:p>
        </w:tc>
        <w:tc>
          <w:tcPr>
            <w:tcW w:w="2465" w:type="dxa"/>
            <w:tcBorders>
              <w:top w:val="nil"/>
              <w:left w:val="nil"/>
              <w:bottom w:val="single" w:sz="4" w:space="0" w:color="auto"/>
              <w:right w:val="single" w:sz="4" w:space="0" w:color="auto"/>
            </w:tcBorders>
            <w:shd w:val="clear" w:color="auto" w:fill="auto"/>
            <w:noWrap/>
            <w:vAlign w:val="bottom"/>
            <w:hideMark/>
          </w:tcPr>
          <w:p w14:paraId="1B6088CC" w14:textId="77777777" w:rsidR="00C738A3" w:rsidRPr="00E710DA" w:rsidRDefault="00C738A3" w:rsidP="00C738A3">
            <w:pPr>
              <w:spacing w:after="0" w:line="240" w:lineRule="auto"/>
              <w:jc w:val="center"/>
              <w:rPr>
                <w:color w:val="000000"/>
              </w:rPr>
            </w:pPr>
            <w:r w:rsidRPr="00E710DA">
              <w:rPr>
                <w:color w:val="000000"/>
              </w:rPr>
              <w:t>337377.59</w:t>
            </w:r>
          </w:p>
        </w:tc>
        <w:tc>
          <w:tcPr>
            <w:tcW w:w="2465" w:type="dxa"/>
            <w:tcBorders>
              <w:top w:val="nil"/>
              <w:left w:val="nil"/>
              <w:bottom w:val="single" w:sz="4" w:space="0" w:color="auto"/>
              <w:right w:val="single" w:sz="8" w:space="0" w:color="auto"/>
            </w:tcBorders>
            <w:shd w:val="clear" w:color="auto" w:fill="auto"/>
            <w:noWrap/>
            <w:vAlign w:val="bottom"/>
            <w:hideMark/>
          </w:tcPr>
          <w:p w14:paraId="616CBA3F" w14:textId="77777777" w:rsidR="00C738A3" w:rsidRPr="00E710DA" w:rsidRDefault="00C738A3" w:rsidP="00C738A3">
            <w:pPr>
              <w:spacing w:after="0" w:line="240" w:lineRule="auto"/>
              <w:jc w:val="center"/>
              <w:rPr>
                <w:color w:val="000000"/>
              </w:rPr>
            </w:pPr>
            <w:r w:rsidRPr="00E710DA">
              <w:rPr>
                <w:color w:val="000000"/>
              </w:rPr>
              <w:t>5023282.20</w:t>
            </w:r>
          </w:p>
        </w:tc>
      </w:tr>
      <w:tr w:rsidR="00C738A3" w:rsidRPr="00E710DA" w14:paraId="3BE8FC10" w14:textId="77777777" w:rsidTr="00D16CC6">
        <w:trPr>
          <w:trHeight w:val="300"/>
          <w:jc w:val="center"/>
        </w:trPr>
        <w:tc>
          <w:tcPr>
            <w:tcW w:w="2465" w:type="dxa"/>
            <w:tcBorders>
              <w:top w:val="nil"/>
              <w:left w:val="single" w:sz="8" w:space="0" w:color="auto"/>
              <w:bottom w:val="single" w:sz="4" w:space="0" w:color="auto"/>
              <w:right w:val="single" w:sz="4" w:space="0" w:color="auto"/>
            </w:tcBorders>
            <w:shd w:val="clear" w:color="auto" w:fill="auto"/>
            <w:noWrap/>
            <w:vAlign w:val="bottom"/>
            <w:hideMark/>
          </w:tcPr>
          <w:p w14:paraId="4DB67D2B" w14:textId="77777777" w:rsidR="00C738A3" w:rsidRPr="00E710DA" w:rsidRDefault="00C738A3" w:rsidP="00C738A3">
            <w:pPr>
              <w:spacing w:after="0" w:line="240" w:lineRule="auto"/>
              <w:jc w:val="center"/>
              <w:rPr>
                <w:color w:val="000000"/>
              </w:rPr>
            </w:pPr>
            <w:r w:rsidRPr="00E710DA">
              <w:rPr>
                <w:color w:val="000000"/>
              </w:rPr>
              <w:t>8</w:t>
            </w:r>
          </w:p>
        </w:tc>
        <w:tc>
          <w:tcPr>
            <w:tcW w:w="2465" w:type="dxa"/>
            <w:tcBorders>
              <w:top w:val="nil"/>
              <w:left w:val="nil"/>
              <w:bottom w:val="single" w:sz="4" w:space="0" w:color="auto"/>
              <w:right w:val="single" w:sz="4" w:space="0" w:color="auto"/>
            </w:tcBorders>
            <w:shd w:val="clear" w:color="auto" w:fill="auto"/>
            <w:noWrap/>
            <w:vAlign w:val="bottom"/>
            <w:hideMark/>
          </w:tcPr>
          <w:p w14:paraId="6CECC1CC" w14:textId="77777777" w:rsidR="00C738A3" w:rsidRPr="00E710DA" w:rsidRDefault="00C738A3" w:rsidP="00C738A3">
            <w:pPr>
              <w:spacing w:after="0" w:line="240" w:lineRule="auto"/>
              <w:jc w:val="center"/>
              <w:rPr>
                <w:color w:val="000000"/>
              </w:rPr>
            </w:pPr>
            <w:r w:rsidRPr="00E710DA">
              <w:rPr>
                <w:color w:val="000000"/>
              </w:rPr>
              <w:t>337387.53</w:t>
            </w:r>
          </w:p>
        </w:tc>
        <w:tc>
          <w:tcPr>
            <w:tcW w:w="2465" w:type="dxa"/>
            <w:tcBorders>
              <w:top w:val="nil"/>
              <w:left w:val="nil"/>
              <w:bottom w:val="single" w:sz="4" w:space="0" w:color="auto"/>
              <w:right w:val="single" w:sz="8" w:space="0" w:color="auto"/>
            </w:tcBorders>
            <w:shd w:val="clear" w:color="auto" w:fill="auto"/>
            <w:noWrap/>
            <w:vAlign w:val="bottom"/>
            <w:hideMark/>
          </w:tcPr>
          <w:p w14:paraId="51D38D85" w14:textId="77777777" w:rsidR="00C738A3" w:rsidRPr="00E710DA" w:rsidRDefault="00C738A3" w:rsidP="00C738A3">
            <w:pPr>
              <w:spacing w:after="0" w:line="240" w:lineRule="auto"/>
              <w:jc w:val="center"/>
              <w:rPr>
                <w:color w:val="000000"/>
              </w:rPr>
            </w:pPr>
            <w:r w:rsidRPr="00E710DA">
              <w:rPr>
                <w:color w:val="000000"/>
              </w:rPr>
              <w:t>5023278.83</w:t>
            </w:r>
          </w:p>
        </w:tc>
      </w:tr>
      <w:tr w:rsidR="00C738A3" w:rsidRPr="00E710DA" w14:paraId="7F4F0321" w14:textId="77777777" w:rsidTr="00D16CC6">
        <w:trPr>
          <w:trHeight w:val="300"/>
          <w:jc w:val="center"/>
        </w:trPr>
        <w:tc>
          <w:tcPr>
            <w:tcW w:w="2465" w:type="dxa"/>
            <w:tcBorders>
              <w:top w:val="nil"/>
              <w:left w:val="single" w:sz="8" w:space="0" w:color="auto"/>
              <w:bottom w:val="single" w:sz="4" w:space="0" w:color="auto"/>
              <w:right w:val="single" w:sz="4" w:space="0" w:color="auto"/>
            </w:tcBorders>
            <w:shd w:val="clear" w:color="auto" w:fill="auto"/>
            <w:noWrap/>
            <w:vAlign w:val="bottom"/>
            <w:hideMark/>
          </w:tcPr>
          <w:p w14:paraId="741AB5FF" w14:textId="77777777" w:rsidR="00C738A3" w:rsidRPr="00E710DA" w:rsidRDefault="00C738A3" w:rsidP="00C738A3">
            <w:pPr>
              <w:spacing w:after="0" w:line="240" w:lineRule="auto"/>
              <w:jc w:val="center"/>
              <w:rPr>
                <w:color w:val="000000"/>
              </w:rPr>
            </w:pPr>
            <w:r w:rsidRPr="00E710DA">
              <w:rPr>
                <w:color w:val="000000"/>
              </w:rPr>
              <w:t>9</w:t>
            </w:r>
          </w:p>
        </w:tc>
        <w:tc>
          <w:tcPr>
            <w:tcW w:w="2465" w:type="dxa"/>
            <w:tcBorders>
              <w:top w:val="nil"/>
              <w:left w:val="nil"/>
              <w:bottom w:val="single" w:sz="4" w:space="0" w:color="auto"/>
              <w:right w:val="single" w:sz="4" w:space="0" w:color="auto"/>
            </w:tcBorders>
            <w:shd w:val="clear" w:color="auto" w:fill="auto"/>
            <w:noWrap/>
            <w:vAlign w:val="bottom"/>
            <w:hideMark/>
          </w:tcPr>
          <w:p w14:paraId="3FC4DCB7" w14:textId="77777777" w:rsidR="00C738A3" w:rsidRPr="00E710DA" w:rsidRDefault="00C738A3" w:rsidP="00C738A3">
            <w:pPr>
              <w:spacing w:after="0" w:line="240" w:lineRule="auto"/>
              <w:jc w:val="center"/>
              <w:rPr>
                <w:color w:val="000000"/>
              </w:rPr>
            </w:pPr>
            <w:r w:rsidRPr="00E710DA">
              <w:rPr>
                <w:color w:val="000000"/>
              </w:rPr>
              <w:t>337405.04</w:t>
            </w:r>
          </w:p>
        </w:tc>
        <w:tc>
          <w:tcPr>
            <w:tcW w:w="2465" w:type="dxa"/>
            <w:tcBorders>
              <w:top w:val="nil"/>
              <w:left w:val="nil"/>
              <w:bottom w:val="single" w:sz="4" w:space="0" w:color="auto"/>
              <w:right w:val="single" w:sz="8" w:space="0" w:color="auto"/>
            </w:tcBorders>
            <w:shd w:val="clear" w:color="auto" w:fill="auto"/>
            <w:noWrap/>
            <w:vAlign w:val="bottom"/>
            <w:hideMark/>
          </w:tcPr>
          <w:p w14:paraId="7E5433AA" w14:textId="77777777" w:rsidR="00C738A3" w:rsidRPr="00E710DA" w:rsidRDefault="00C738A3" w:rsidP="00C738A3">
            <w:pPr>
              <w:spacing w:after="0" w:line="240" w:lineRule="auto"/>
              <w:jc w:val="center"/>
              <w:rPr>
                <w:color w:val="000000"/>
              </w:rPr>
            </w:pPr>
            <w:r w:rsidRPr="00E710DA">
              <w:rPr>
                <w:color w:val="000000"/>
              </w:rPr>
              <w:t>5023273.51</w:t>
            </w:r>
          </w:p>
        </w:tc>
      </w:tr>
      <w:tr w:rsidR="00C738A3" w:rsidRPr="00E710DA" w14:paraId="3175E120" w14:textId="77777777" w:rsidTr="00D16CC6">
        <w:trPr>
          <w:trHeight w:val="300"/>
          <w:jc w:val="center"/>
        </w:trPr>
        <w:tc>
          <w:tcPr>
            <w:tcW w:w="2465" w:type="dxa"/>
            <w:tcBorders>
              <w:top w:val="nil"/>
              <w:left w:val="single" w:sz="8" w:space="0" w:color="auto"/>
              <w:bottom w:val="single" w:sz="4" w:space="0" w:color="auto"/>
              <w:right w:val="single" w:sz="4" w:space="0" w:color="auto"/>
            </w:tcBorders>
            <w:shd w:val="clear" w:color="auto" w:fill="auto"/>
            <w:noWrap/>
            <w:vAlign w:val="bottom"/>
            <w:hideMark/>
          </w:tcPr>
          <w:p w14:paraId="15380B4B" w14:textId="77777777" w:rsidR="00C738A3" w:rsidRPr="00E710DA" w:rsidRDefault="00C738A3" w:rsidP="00C738A3">
            <w:pPr>
              <w:spacing w:after="0" w:line="240" w:lineRule="auto"/>
              <w:jc w:val="center"/>
              <w:rPr>
                <w:color w:val="000000"/>
              </w:rPr>
            </w:pPr>
            <w:r w:rsidRPr="00E710DA">
              <w:rPr>
                <w:color w:val="000000"/>
              </w:rPr>
              <w:t>10</w:t>
            </w:r>
          </w:p>
        </w:tc>
        <w:tc>
          <w:tcPr>
            <w:tcW w:w="2465" w:type="dxa"/>
            <w:tcBorders>
              <w:top w:val="nil"/>
              <w:left w:val="nil"/>
              <w:bottom w:val="single" w:sz="4" w:space="0" w:color="auto"/>
              <w:right w:val="single" w:sz="4" w:space="0" w:color="auto"/>
            </w:tcBorders>
            <w:shd w:val="clear" w:color="auto" w:fill="auto"/>
            <w:noWrap/>
            <w:vAlign w:val="bottom"/>
            <w:hideMark/>
          </w:tcPr>
          <w:p w14:paraId="2215EAEE" w14:textId="77777777" w:rsidR="00C738A3" w:rsidRPr="00E710DA" w:rsidRDefault="00C738A3" w:rsidP="00C738A3">
            <w:pPr>
              <w:spacing w:after="0" w:line="240" w:lineRule="auto"/>
              <w:jc w:val="center"/>
              <w:rPr>
                <w:color w:val="000000"/>
              </w:rPr>
            </w:pPr>
            <w:r w:rsidRPr="00E710DA">
              <w:rPr>
                <w:color w:val="000000"/>
              </w:rPr>
              <w:t>337427.83</w:t>
            </w:r>
          </w:p>
        </w:tc>
        <w:tc>
          <w:tcPr>
            <w:tcW w:w="2465" w:type="dxa"/>
            <w:tcBorders>
              <w:top w:val="nil"/>
              <w:left w:val="nil"/>
              <w:bottom w:val="single" w:sz="4" w:space="0" w:color="auto"/>
              <w:right w:val="single" w:sz="8" w:space="0" w:color="auto"/>
            </w:tcBorders>
            <w:shd w:val="clear" w:color="auto" w:fill="auto"/>
            <w:noWrap/>
            <w:vAlign w:val="bottom"/>
            <w:hideMark/>
          </w:tcPr>
          <w:p w14:paraId="3DE26628" w14:textId="77777777" w:rsidR="00C738A3" w:rsidRPr="00E710DA" w:rsidRDefault="00C738A3" w:rsidP="00C738A3">
            <w:pPr>
              <w:spacing w:after="0" w:line="240" w:lineRule="auto"/>
              <w:jc w:val="center"/>
              <w:rPr>
                <w:color w:val="000000"/>
              </w:rPr>
            </w:pPr>
            <w:r w:rsidRPr="00E710DA">
              <w:rPr>
                <w:color w:val="000000"/>
              </w:rPr>
              <w:t>5023266.49</w:t>
            </w:r>
          </w:p>
        </w:tc>
      </w:tr>
      <w:tr w:rsidR="00C738A3" w:rsidRPr="00E710DA" w14:paraId="04AAB76E" w14:textId="77777777" w:rsidTr="00D16CC6">
        <w:trPr>
          <w:trHeight w:val="300"/>
          <w:jc w:val="center"/>
        </w:trPr>
        <w:tc>
          <w:tcPr>
            <w:tcW w:w="2465" w:type="dxa"/>
            <w:tcBorders>
              <w:top w:val="nil"/>
              <w:left w:val="single" w:sz="8" w:space="0" w:color="auto"/>
              <w:bottom w:val="single" w:sz="4" w:space="0" w:color="auto"/>
              <w:right w:val="single" w:sz="4" w:space="0" w:color="auto"/>
            </w:tcBorders>
            <w:shd w:val="clear" w:color="auto" w:fill="auto"/>
            <w:noWrap/>
            <w:vAlign w:val="bottom"/>
            <w:hideMark/>
          </w:tcPr>
          <w:p w14:paraId="124A653D" w14:textId="77777777" w:rsidR="00C738A3" w:rsidRPr="00E710DA" w:rsidRDefault="00C738A3" w:rsidP="00C738A3">
            <w:pPr>
              <w:spacing w:after="0" w:line="240" w:lineRule="auto"/>
              <w:jc w:val="center"/>
              <w:rPr>
                <w:color w:val="000000"/>
              </w:rPr>
            </w:pPr>
            <w:r w:rsidRPr="00E710DA">
              <w:rPr>
                <w:color w:val="000000"/>
              </w:rPr>
              <w:t>11</w:t>
            </w:r>
          </w:p>
        </w:tc>
        <w:tc>
          <w:tcPr>
            <w:tcW w:w="2465" w:type="dxa"/>
            <w:tcBorders>
              <w:top w:val="nil"/>
              <w:left w:val="nil"/>
              <w:bottom w:val="single" w:sz="4" w:space="0" w:color="auto"/>
              <w:right w:val="single" w:sz="4" w:space="0" w:color="auto"/>
            </w:tcBorders>
            <w:shd w:val="clear" w:color="auto" w:fill="auto"/>
            <w:noWrap/>
            <w:vAlign w:val="bottom"/>
            <w:hideMark/>
          </w:tcPr>
          <w:p w14:paraId="4B1A9C1E" w14:textId="77777777" w:rsidR="00C738A3" w:rsidRPr="00E710DA" w:rsidRDefault="00C738A3" w:rsidP="00C738A3">
            <w:pPr>
              <w:spacing w:after="0" w:line="240" w:lineRule="auto"/>
              <w:jc w:val="center"/>
              <w:rPr>
                <w:color w:val="000000"/>
              </w:rPr>
            </w:pPr>
            <w:r w:rsidRPr="00E710DA">
              <w:rPr>
                <w:color w:val="000000"/>
              </w:rPr>
              <w:t>337429.17</w:t>
            </w:r>
          </w:p>
        </w:tc>
        <w:tc>
          <w:tcPr>
            <w:tcW w:w="2465" w:type="dxa"/>
            <w:tcBorders>
              <w:top w:val="nil"/>
              <w:left w:val="nil"/>
              <w:bottom w:val="single" w:sz="4" w:space="0" w:color="auto"/>
              <w:right w:val="single" w:sz="8" w:space="0" w:color="auto"/>
            </w:tcBorders>
            <w:shd w:val="clear" w:color="auto" w:fill="auto"/>
            <w:noWrap/>
            <w:vAlign w:val="bottom"/>
            <w:hideMark/>
          </w:tcPr>
          <w:p w14:paraId="56E40543" w14:textId="77777777" w:rsidR="00C738A3" w:rsidRPr="00E710DA" w:rsidRDefault="00C738A3" w:rsidP="00C738A3">
            <w:pPr>
              <w:spacing w:after="0" w:line="240" w:lineRule="auto"/>
              <w:jc w:val="center"/>
              <w:rPr>
                <w:color w:val="000000"/>
              </w:rPr>
            </w:pPr>
            <w:r w:rsidRPr="00E710DA">
              <w:rPr>
                <w:color w:val="000000"/>
              </w:rPr>
              <w:t>5023266.08</w:t>
            </w:r>
          </w:p>
        </w:tc>
      </w:tr>
      <w:tr w:rsidR="00C738A3" w:rsidRPr="00E710DA" w14:paraId="7230F852" w14:textId="77777777" w:rsidTr="00D16CC6">
        <w:trPr>
          <w:trHeight w:val="300"/>
          <w:jc w:val="center"/>
        </w:trPr>
        <w:tc>
          <w:tcPr>
            <w:tcW w:w="2465" w:type="dxa"/>
            <w:tcBorders>
              <w:top w:val="nil"/>
              <w:left w:val="single" w:sz="8" w:space="0" w:color="auto"/>
              <w:bottom w:val="single" w:sz="4" w:space="0" w:color="auto"/>
              <w:right w:val="single" w:sz="4" w:space="0" w:color="auto"/>
            </w:tcBorders>
            <w:shd w:val="clear" w:color="auto" w:fill="auto"/>
            <w:noWrap/>
            <w:vAlign w:val="bottom"/>
            <w:hideMark/>
          </w:tcPr>
          <w:p w14:paraId="244BB381" w14:textId="77777777" w:rsidR="00C738A3" w:rsidRPr="00E710DA" w:rsidRDefault="00C738A3" w:rsidP="00C738A3">
            <w:pPr>
              <w:spacing w:after="0" w:line="240" w:lineRule="auto"/>
              <w:jc w:val="center"/>
              <w:rPr>
                <w:color w:val="000000"/>
              </w:rPr>
            </w:pPr>
            <w:r w:rsidRPr="00E710DA">
              <w:rPr>
                <w:color w:val="000000"/>
              </w:rPr>
              <w:t>12</w:t>
            </w:r>
          </w:p>
        </w:tc>
        <w:tc>
          <w:tcPr>
            <w:tcW w:w="2465" w:type="dxa"/>
            <w:tcBorders>
              <w:top w:val="nil"/>
              <w:left w:val="nil"/>
              <w:bottom w:val="single" w:sz="4" w:space="0" w:color="auto"/>
              <w:right w:val="single" w:sz="4" w:space="0" w:color="auto"/>
            </w:tcBorders>
            <w:shd w:val="clear" w:color="auto" w:fill="auto"/>
            <w:noWrap/>
            <w:vAlign w:val="bottom"/>
            <w:hideMark/>
          </w:tcPr>
          <w:p w14:paraId="07322CB7" w14:textId="77777777" w:rsidR="00C738A3" w:rsidRPr="00E710DA" w:rsidRDefault="00C738A3" w:rsidP="00C738A3">
            <w:pPr>
              <w:spacing w:after="0" w:line="240" w:lineRule="auto"/>
              <w:jc w:val="center"/>
              <w:rPr>
                <w:color w:val="000000"/>
              </w:rPr>
            </w:pPr>
            <w:r w:rsidRPr="00E710DA">
              <w:rPr>
                <w:color w:val="000000"/>
              </w:rPr>
              <w:t>337439.01</w:t>
            </w:r>
          </w:p>
        </w:tc>
        <w:tc>
          <w:tcPr>
            <w:tcW w:w="2465" w:type="dxa"/>
            <w:tcBorders>
              <w:top w:val="nil"/>
              <w:left w:val="nil"/>
              <w:bottom w:val="single" w:sz="4" w:space="0" w:color="auto"/>
              <w:right w:val="single" w:sz="8" w:space="0" w:color="auto"/>
            </w:tcBorders>
            <w:shd w:val="clear" w:color="auto" w:fill="auto"/>
            <w:noWrap/>
            <w:vAlign w:val="bottom"/>
            <w:hideMark/>
          </w:tcPr>
          <w:p w14:paraId="2AEA1B95" w14:textId="77777777" w:rsidR="00C738A3" w:rsidRPr="00E710DA" w:rsidRDefault="00C738A3" w:rsidP="00C738A3">
            <w:pPr>
              <w:spacing w:after="0" w:line="240" w:lineRule="auto"/>
              <w:jc w:val="center"/>
              <w:rPr>
                <w:color w:val="000000"/>
              </w:rPr>
            </w:pPr>
            <w:r w:rsidRPr="00E710DA">
              <w:rPr>
                <w:color w:val="000000"/>
              </w:rPr>
              <w:t>5023286.03</w:t>
            </w:r>
          </w:p>
        </w:tc>
      </w:tr>
      <w:tr w:rsidR="00C738A3" w:rsidRPr="00E710DA" w14:paraId="5026744A" w14:textId="77777777" w:rsidTr="00D16CC6">
        <w:trPr>
          <w:trHeight w:val="315"/>
          <w:jc w:val="center"/>
        </w:trPr>
        <w:tc>
          <w:tcPr>
            <w:tcW w:w="2465" w:type="dxa"/>
            <w:tcBorders>
              <w:top w:val="nil"/>
              <w:left w:val="single" w:sz="8" w:space="0" w:color="auto"/>
              <w:bottom w:val="single" w:sz="8" w:space="0" w:color="auto"/>
              <w:right w:val="single" w:sz="4" w:space="0" w:color="auto"/>
            </w:tcBorders>
            <w:shd w:val="clear" w:color="auto" w:fill="auto"/>
            <w:noWrap/>
            <w:vAlign w:val="bottom"/>
            <w:hideMark/>
          </w:tcPr>
          <w:p w14:paraId="5BB34FC8" w14:textId="77777777" w:rsidR="00C738A3" w:rsidRPr="00E710DA" w:rsidRDefault="00C738A3" w:rsidP="00C738A3">
            <w:pPr>
              <w:spacing w:after="0" w:line="240" w:lineRule="auto"/>
              <w:jc w:val="center"/>
              <w:rPr>
                <w:color w:val="000000"/>
              </w:rPr>
            </w:pPr>
            <w:r w:rsidRPr="00E710DA">
              <w:rPr>
                <w:color w:val="000000"/>
              </w:rPr>
              <w:t>13</w:t>
            </w:r>
          </w:p>
        </w:tc>
        <w:tc>
          <w:tcPr>
            <w:tcW w:w="2465" w:type="dxa"/>
            <w:tcBorders>
              <w:top w:val="nil"/>
              <w:left w:val="nil"/>
              <w:bottom w:val="single" w:sz="8" w:space="0" w:color="auto"/>
              <w:right w:val="single" w:sz="4" w:space="0" w:color="auto"/>
            </w:tcBorders>
            <w:shd w:val="clear" w:color="auto" w:fill="auto"/>
            <w:noWrap/>
            <w:vAlign w:val="bottom"/>
            <w:hideMark/>
          </w:tcPr>
          <w:p w14:paraId="09089E60" w14:textId="77777777" w:rsidR="00C738A3" w:rsidRPr="00E710DA" w:rsidRDefault="00C738A3" w:rsidP="00C738A3">
            <w:pPr>
              <w:spacing w:after="0" w:line="240" w:lineRule="auto"/>
              <w:jc w:val="center"/>
              <w:rPr>
                <w:color w:val="000000"/>
              </w:rPr>
            </w:pPr>
            <w:r w:rsidRPr="00E710DA">
              <w:rPr>
                <w:color w:val="000000"/>
              </w:rPr>
              <w:t>337436.85</w:t>
            </w:r>
          </w:p>
        </w:tc>
        <w:tc>
          <w:tcPr>
            <w:tcW w:w="2465" w:type="dxa"/>
            <w:tcBorders>
              <w:top w:val="nil"/>
              <w:left w:val="nil"/>
              <w:bottom w:val="single" w:sz="8" w:space="0" w:color="auto"/>
              <w:right w:val="single" w:sz="8" w:space="0" w:color="auto"/>
            </w:tcBorders>
            <w:shd w:val="clear" w:color="auto" w:fill="auto"/>
            <w:noWrap/>
            <w:vAlign w:val="bottom"/>
            <w:hideMark/>
          </w:tcPr>
          <w:p w14:paraId="2AB07FE0" w14:textId="77777777" w:rsidR="00C738A3" w:rsidRPr="00E710DA" w:rsidRDefault="00C738A3" w:rsidP="00C738A3">
            <w:pPr>
              <w:spacing w:after="0" w:line="240" w:lineRule="auto"/>
              <w:jc w:val="center"/>
              <w:rPr>
                <w:color w:val="000000"/>
              </w:rPr>
            </w:pPr>
            <w:r w:rsidRPr="00E710DA">
              <w:rPr>
                <w:color w:val="000000"/>
              </w:rPr>
              <w:t>5023287.82</w:t>
            </w:r>
          </w:p>
        </w:tc>
      </w:tr>
    </w:tbl>
    <w:p w14:paraId="6E481266" w14:textId="77777777" w:rsidR="00C738A3" w:rsidRPr="00E710DA" w:rsidRDefault="00C738A3" w:rsidP="00C738A3">
      <w:pPr>
        <w:spacing w:after="0" w:line="240" w:lineRule="auto"/>
        <w:jc w:val="both"/>
      </w:pPr>
    </w:p>
    <w:p w14:paraId="5DF6B2E3" w14:textId="77777777" w:rsidR="00C738A3" w:rsidRPr="00E710DA" w:rsidRDefault="00C738A3" w:rsidP="00C738A3">
      <w:pPr>
        <w:pStyle w:val="ListParagraph"/>
        <w:numPr>
          <w:ilvl w:val="0"/>
          <w:numId w:val="11"/>
        </w:numPr>
        <w:spacing w:after="0" w:line="240" w:lineRule="auto"/>
        <w:jc w:val="both"/>
        <w:rPr>
          <w:rFonts w:ascii="Times New Roman" w:hAnsi="Times New Roman" w:cs="Times New Roman"/>
          <w:sz w:val="24"/>
          <w:szCs w:val="24"/>
        </w:rPr>
      </w:pPr>
      <w:r w:rsidRPr="00E710DA">
        <w:rPr>
          <w:rFonts w:ascii="Times New Roman" w:hAnsi="Times New Roman" w:cs="Times New Roman"/>
          <w:sz w:val="24"/>
          <w:szCs w:val="24"/>
        </w:rPr>
        <w:t xml:space="preserve">lokacija Brajdica Jug – katastarske čestice: </w:t>
      </w:r>
      <w:r w:rsidRPr="00E710DA">
        <w:rPr>
          <w:rFonts w:ascii="Times New Roman" w:eastAsia="Times New Roman" w:hAnsi="Times New Roman" w:cs="Times New Roman"/>
          <w:color w:val="000000"/>
          <w:sz w:val="24"/>
          <w:szCs w:val="24"/>
          <w:lang w:eastAsia="en-GB"/>
        </w:rPr>
        <w:t>6679, 6680/1, 6680/2, 6681, 6682, 6683, 6684/1, 6684/2, 6685/1, 6685/3, 6685/5, 6685/6, 6685/8, 6686/1, 6922/6, 6922/8, 7060, sve k.o. Sušak - Nova.</w:t>
      </w:r>
    </w:p>
    <w:p w14:paraId="5C399497" w14:textId="77777777" w:rsidR="00C738A3" w:rsidRPr="00E710DA" w:rsidRDefault="00C738A3" w:rsidP="00C738A3">
      <w:pPr>
        <w:spacing w:after="0" w:line="240" w:lineRule="auto"/>
        <w:jc w:val="both"/>
      </w:pPr>
    </w:p>
    <w:p w14:paraId="280654CD" w14:textId="77777777" w:rsidR="00C738A3" w:rsidRPr="00E710DA" w:rsidRDefault="00C738A3" w:rsidP="00C738A3">
      <w:pPr>
        <w:pStyle w:val="ListParagraph"/>
        <w:numPr>
          <w:ilvl w:val="0"/>
          <w:numId w:val="10"/>
        </w:numPr>
        <w:spacing w:after="0" w:line="240" w:lineRule="auto"/>
        <w:jc w:val="both"/>
        <w:rPr>
          <w:rFonts w:ascii="Times New Roman" w:hAnsi="Times New Roman" w:cs="Times New Roman"/>
          <w:sz w:val="24"/>
          <w:szCs w:val="24"/>
        </w:rPr>
      </w:pPr>
      <w:r w:rsidRPr="00E710DA">
        <w:rPr>
          <w:rFonts w:ascii="Times New Roman" w:hAnsi="Times New Roman" w:cs="Times New Roman"/>
          <w:i/>
          <w:sz w:val="24"/>
          <w:szCs w:val="24"/>
        </w:rPr>
        <w:t>morski dio</w:t>
      </w:r>
      <w:r>
        <w:rPr>
          <w:rFonts w:ascii="Times New Roman" w:hAnsi="Times New Roman" w:cs="Times New Roman"/>
          <w:i/>
          <w:sz w:val="24"/>
          <w:szCs w:val="24"/>
        </w:rPr>
        <w:t xml:space="preserve"> ukupne površine 44.628.808 m</w:t>
      </w:r>
      <w:r w:rsidRPr="007B6111">
        <w:rPr>
          <w:rFonts w:ascii="Times New Roman" w:hAnsi="Times New Roman" w:cs="Times New Roman"/>
          <w:i/>
          <w:sz w:val="24"/>
          <w:szCs w:val="24"/>
          <w:vertAlign w:val="superscript"/>
        </w:rPr>
        <w:t>2</w:t>
      </w:r>
      <w:r w:rsidRPr="00E710DA">
        <w:rPr>
          <w:rFonts w:ascii="Times New Roman" w:hAnsi="Times New Roman" w:cs="Times New Roman"/>
          <w:i/>
          <w:sz w:val="24"/>
          <w:szCs w:val="24"/>
        </w:rPr>
        <w:t>:</w:t>
      </w:r>
    </w:p>
    <w:p w14:paraId="15EFFE30" w14:textId="77777777" w:rsidR="00C738A3" w:rsidRPr="00E710DA" w:rsidRDefault="00C738A3" w:rsidP="00C738A3">
      <w:pPr>
        <w:pStyle w:val="ListParagraph"/>
        <w:spacing w:after="0" w:line="240" w:lineRule="auto"/>
        <w:ind w:left="0"/>
        <w:jc w:val="both"/>
        <w:rPr>
          <w:rFonts w:ascii="Times New Roman" w:hAnsi="Times New Roman" w:cs="Times New Roman"/>
          <w:sz w:val="24"/>
          <w:szCs w:val="24"/>
        </w:rPr>
      </w:pPr>
    </w:p>
    <w:p w14:paraId="32F73661" w14:textId="77777777" w:rsidR="00C738A3" w:rsidRPr="00E710DA" w:rsidRDefault="00C738A3" w:rsidP="00C738A3">
      <w:pPr>
        <w:pStyle w:val="ListParagraph"/>
        <w:numPr>
          <w:ilvl w:val="0"/>
          <w:numId w:val="12"/>
        </w:numPr>
        <w:spacing w:after="0" w:line="240" w:lineRule="auto"/>
        <w:jc w:val="both"/>
        <w:rPr>
          <w:rFonts w:ascii="Times New Roman" w:hAnsi="Times New Roman" w:cs="Times New Roman"/>
          <w:sz w:val="24"/>
          <w:szCs w:val="24"/>
        </w:rPr>
      </w:pPr>
      <w:r w:rsidRPr="00E710DA">
        <w:rPr>
          <w:rFonts w:ascii="Times New Roman" w:hAnsi="Times New Roman" w:cs="Times New Roman"/>
          <w:sz w:val="24"/>
          <w:szCs w:val="24"/>
        </w:rPr>
        <w:t>lokacija Rijeka - dio mora obilježen točkama izraženim u službenom položajnom referentnom koordinatnom sustavu Republike Hrvatske HTRS96/TM:</w:t>
      </w:r>
    </w:p>
    <w:p w14:paraId="50EDF0E4" w14:textId="77777777" w:rsidR="00C738A3" w:rsidRPr="00E710DA" w:rsidRDefault="00C738A3" w:rsidP="00C738A3">
      <w:pPr>
        <w:spacing w:after="0" w:line="240" w:lineRule="auto"/>
        <w:jc w:val="both"/>
      </w:pPr>
    </w:p>
    <w:tbl>
      <w:tblPr>
        <w:tblW w:w="7417" w:type="dxa"/>
        <w:jc w:val="center"/>
        <w:tblLayout w:type="fixed"/>
        <w:tblLook w:val="04A0" w:firstRow="1" w:lastRow="0" w:firstColumn="1" w:lastColumn="0" w:noHBand="0" w:noVBand="1"/>
      </w:tblPr>
      <w:tblGrid>
        <w:gridCol w:w="1854"/>
        <w:gridCol w:w="1854"/>
        <w:gridCol w:w="1854"/>
        <w:gridCol w:w="1855"/>
      </w:tblGrid>
      <w:tr w:rsidR="00C738A3" w:rsidRPr="00E710DA" w14:paraId="4BCD30BB" w14:textId="77777777" w:rsidTr="00D16CC6">
        <w:trPr>
          <w:trHeight w:val="915"/>
          <w:jc w:val="center"/>
        </w:trPr>
        <w:tc>
          <w:tcPr>
            <w:tcW w:w="1854" w:type="dxa"/>
            <w:tcBorders>
              <w:top w:val="single" w:sz="8" w:space="0" w:color="auto"/>
              <w:left w:val="single" w:sz="8" w:space="0" w:color="auto"/>
              <w:bottom w:val="double" w:sz="6" w:space="0" w:color="auto"/>
              <w:right w:val="single" w:sz="4" w:space="0" w:color="auto"/>
            </w:tcBorders>
            <w:shd w:val="clear" w:color="auto" w:fill="auto"/>
            <w:vAlign w:val="center"/>
            <w:hideMark/>
          </w:tcPr>
          <w:p w14:paraId="533F49DF" w14:textId="77777777" w:rsidR="00C738A3" w:rsidRPr="00E710DA" w:rsidRDefault="00C738A3" w:rsidP="00C738A3">
            <w:pPr>
              <w:spacing w:after="0" w:line="240" w:lineRule="auto"/>
              <w:jc w:val="center"/>
              <w:rPr>
                <w:b/>
                <w:bCs/>
                <w:color w:val="000000"/>
              </w:rPr>
            </w:pPr>
            <w:r w:rsidRPr="00E710DA">
              <w:rPr>
                <w:b/>
                <w:bCs/>
                <w:color w:val="000000"/>
              </w:rPr>
              <w:t>Broj točke</w:t>
            </w:r>
          </w:p>
        </w:tc>
        <w:tc>
          <w:tcPr>
            <w:tcW w:w="1854" w:type="dxa"/>
            <w:tcBorders>
              <w:top w:val="single" w:sz="8" w:space="0" w:color="auto"/>
              <w:left w:val="nil"/>
              <w:bottom w:val="double" w:sz="6" w:space="0" w:color="auto"/>
              <w:right w:val="single" w:sz="4" w:space="0" w:color="auto"/>
            </w:tcBorders>
            <w:shd w:val="clear" w:color="auto" w:fill="auto"/>
            <w:vAlign w:val="center"/>
            <w:hideMark/>
          </w:tcPr>
          <w:p w14:paraId="3E01D132" w14:textId="77777777" w:rsidR="00C738A3" w:rsidRPr="00E710DA" w:rsidRDefault="00C738A3" w:rsidP="00C738A3">
            <w:pPr>
              <w:spacing w:after="0" w:line="240" w:lineRule="auto"/>
              <w:jc w:val="center"/>
              <w:rPr>
                <w:b/>
                <w:bCs/>
                <w:color w:val="000000"/>
              </w:rPr>
            </w:pPr>
            <w:r w:rsidRPr="00E710DA">
              <w:rPr>
                <w:b/>
                <w:bCs/>
                <w:color w:val="000000"/>
              </w:rPr>
              <w:t>E koordinata</w:t>
            </w:r>
            <w:r w:rsidRPr="00E710DA">
              <w:rPr>
                <w:b/>
                <w:bCs/>
                <w:color w:val="000000"/>
              </w:rPr>
              <w:br/>
              <w:t>HTRS96/TM</w:t>
            </w:r>
            <w:r w:rsidRPr="00E710DA">
              <w:rPr>
                <w:b/>
                <w:bCs/>
                <w:color w:val="000000"/>
              </w:rPr>
              <w:br/>
              <w:t>(m)</w:t>
            </w:r>
          </w:p>
        </w:tc>
        <w:tc>
          <w:tcPr>
            <w:tcW w:w="1854" w:type="dxa"/>
            <w:tcBorders>
              <w:top w:val="single" w:sz="8" w:space="0" w:color="auto"/>
              <w:left w:val="nil"/>
              <w:bottom w:val="double" w:sz="6" w:space="0" w:color="auto"/>
              <w:right w:val="single" w:sz="4" w:space="0" w:color="auto"/>
            </w:tcBorders>
            <w:shd w:val="clear" w:color="auto" w:fill="auto"/>
            <w:vAlign w:val="center"/>
            <w:hideMark/>
          </w:tcPr>
          <w:p w14:paraId="66C33531" w14:textId="77777777" w:rsidR="00C738A3" w:rsidRPr="00E710DA" w:rsidRDefault="00C738A3" w:rsidP="00C738A3">
            <w:pPr>
              <w:spacing w:after="0" w:line="240" w:lineRule="auto"/>
              <w:jc w:val="center"/>
              <w:rPr>
                <w:b/>
                <w:bCs/>
                <w:color w:val="000000"/>
              </w:rPr>
            </w:pPr>
            <w:r w:rsidRPr="00E710DA">
              <w:rPr>
                <w:b/>
                <w:bCs/>
                <w:color w:val="000000"/>
              </w:rPr>
              <w:t>N koordinata</w:t>
            </w:r>
            <w:r w:rsidRPr="00E710DA">
              <w:rPr>
                <w:b/>
                <w:bCs/>
                <w:color w:val="000000"/>
              </w:rPr>
              <w:br/>
              <w:t>HTRS96/TM</w:t>
            </w:r>
            <w:r w:rsidRPr="00E710DA">
              <w:rPr>
                <w:b/>
                <w:bCs/>
                <w:color w:val="000000"/>
              </w:rPr>
              <w:br/>
              <w:t>(m)</w:t>
            </w:r>
          </w:p>
        </w:tc>
        <w:tc>
          <w:tcPr>
            <w:tcW w:w="1855" w:type="dxa"/>
            <w:tcBorders>
              <w:top w:val="single" w:sz="8" w:space="0" w:color="auto"/>
              <w:left w:val="nil"/>
              <w:bottom w:val="double" w:sz="6" w:space="0" w:color="auto"/>
              <w:right w:val="single" w:sz="8" w:space="0" w:color="auto"/>
            </w:tcBorders>
            <w:shd w:val="clear" w:color="auto" w:fill="auto"/>
            <w:vAlign w:val="center"/>
            <w:hideMark/>
          </w:tcPr>
          <w:p w14:paraId="69DC8452" w14:textId="77777777" w:rsidR="00C738A3" w:rsidRPr="00E710DA" w:rsidRDefault="00C738A3" w:rsidP="00C738A3">
            <w:pPr>
              <w:spacing w:after="0" w:line="240" w:lineRule="auto"/>
              <w:jc w:val="center"/>
              <w:rPr>
                <w:b/>
                <w:bCs/>
                <w:color w:val="000000"/>
              </w:rPr>
            </w:pPr>
            <w:r w:rsidRPr="00E710DA">
              <w:rPr>
                <w:b/>
                <w:bCs/>
                <w:color w:val="000000"/>
              </w:rPr>
              <w:t>Napomena</w:t>
            </w:r>
          </w:p>
        </w:tc>
      </w:tr>
      <w:tr w:rsidR="00C738A3" w:rsidRPr="00E710DA" w14:paraId="55D49EB6" w14:textId="77777777" w:rsidTr="00D16CC6">
        <w:trPr>
          <w:trHeight w:val="315"/>
          <w:jc w:val="center"/>
        </w:trPr>
        <w:tc>
          <w:tcPr>
            <w:tcW w:w="1854" w:type="dxa"/>
            <w:tcBorders>
              <w:top w:val="nil"/>
              <w:left w:val="single" w:sz="8" w:space="0" w:color="auto"/>
              <w:bottom w:val="single" w:sz="4" w:space="0" w:color="auto"/>
              <w:right w:val="single" w:sz="4" w:space="0" w:color="auto"/>
            </w:tcBorders>
            <w:shd w:val="clear" w:color="auto" w:fill="auto"/>
            <w:noWrap/>
            <w:vAlign w:val="bottom"/>
            <w:hideMark/>
          </w:tcPr>
          <w:p w14:paraId="19D341D7" w14:textId="77777777" w:rsidR="00C738A3" w:rsidRPr="00E710DA" w:rsidRDefault="00C738A3" w:rsidP="00C738A3">
            <w:pPr>
              <w:spacing w:after="0" w:line="240" w:lineRule="auto"/>
              <w:jc w:val="center"/>
              <w:rPr>
                <w:color w:val="000000"/>
              </w:rPr>
            </w:pPr>
            <w:r w:rsidRPr="00E710DA">
              <w:rPr>
                <w:color w:val="000000"/>
              </w:rPr>
              <w:t>1</w:t>
            </w:r>
          </w:p>
        </w:tc>
        <w:tc>
          <w:tcPr>
            <w:tcW w:w="1854" w:type="dxa"/>
            <w:tcBorders>
              <w:top w:val="nil"/>
              <w:left w:val="nil"/>
              <w:bottom w:val="single" w:sz="4" w:space="0" w:color="auto"/>
              <w:right w:val="single" w:sz="4" w:space="0" w:color="auto"/>
            </w:tcBorders>
            <w:shd w:val="clear" w:color="auto" w:fill="auto"/>
            <w:noWrap/>
            <w:vAlign w:val="bottom"/>
            <w:hideMark/>
          </w:tcPr>
          <w:p w14:paraId="589188A8" w14:textId="77777777" w:rsidR="00C738A3" w:rsidRPr="00E710DA" w:rsidRDefault="00C738A3" w:rsidP="00C738A3">
            <w:pPr>
              <w:spacing w:after="0" w:line="240" w:lineRule="auto"/>
              <w:jc w:val="right"/>
              <w:rPr>
                <w:color w:val="000000"/>
              </w:rPr>
            </w:pPr>
            <w:r w:rsidRPr="00E710DA">
              <w:rPr>
                <w:color w:val="000000"/>
              </w:rPr>
              <w:t>337078.51</w:t>
            </w:r>
          </w:p>
        </w:tc>
        <w:tc>
          <w:tcPr>
            <w:tcW w:w="1854" w:type="dxa"/>
            <w:tcBorders>
              <w:top w:val="nil"/>
              <w:left w:val="nil"/>
              <w:bottom w:val="single" w:sz="4" w:space="0" w:color="auto"/>
              <w:right w:val="single" w:sz="4" w:space="0" w:color="auto"/>
            </w:tcBorders>
            <w:shd w:val="clear" w:color="auto" w:fill="auto"/>
            <w:noWrap/>
            <w:vAlign w:val="bottom"/>
            <w:hideMark/>
          </w:tcPr>
          <w:p w14:paraId="62346DAB" w14:textId="77777777" w:rsidR="00C738A3" w:rsidRPr="00E710DA" w:rsidRDefault="00C738A3" w:rsidP="00C738A3">
            <w:pPr>
              <w:spacing w:after="0" w:line="240" w:lineRule="auto"/>
              <w:jc w:val="right"/>
              <w:rPr>
                <w:color w:val="000000"/>
              </w:rPr>
            </w:pPr>
            <w:r w:rsidRPr="00E710DA">
              <w:rPr>
                <w:color w:val="000000"/>
              </w:rPr>
              <w:t>5023139.36</w:t>
            </w:r>
          </w:p>
        </w:tc>
        <w:tc>
          <w:tcPr>
            <w:tcW w:w="1855" w:type="dxa"/>
            <w:tcBorders>
              <w:top w:val="nil"/>
              <w:left w:val="nil"/>
              <w:bottom w:val="single" w:sz="4" w:space="0" w:color="auto"/>
              <w:right w:val="single" w:sz="8" w:space="0" w:color="auto"/>
            </w:tcBorders>
            <w:shd w:val="clear" w:color="auto" w:fill="auto"/>
            <w:noWrap/>
            <w:vAlign w:val="center"/>
            <w:hideMark/>
          </w:tcPr>
          <w:p w14:paraId="106034C2" w14:textId="77777777" w:rsidR="00C738A3" w:rsidRPr="00E710DA" w:rsidRDefault="00C738A3" w:rsidP="00C738A3">
            <w:pPr>
              <w:spacing w:after="0" w:line="240" w:lineRule="auto"/>
              <w:rPr>
                <w:color w:val="000000"/>
              </w:rPr>
            </w:pPr>
            <w:r w:rsidRPr="00E710DA">
              <w:rPr>
                <w:color w:val="000000"/>
              </w:rPr>
              <w:t>Spoj s kopnom</w:t>
            </w:r>
          </w:p>
        </w:tc>
      </w:tr>
      <w:tr w:rsidR="00C738A3" w:rsidRPr="00E710DA" w14:paraId="0BF947EF" w14:textId="77777777" w:rsidTr="00D16CC6">
        <w:trPr>
          <w:trHeight w:val="300"/>
          <w:jc w:val="center"/>
        </w:trPr>
        <w:tc>
          <w:tcPr>
            <w:tcW w:w="1854" w:type="dxa"/>
            <w:tcBorders>
              <w:top w:val="nil"/>
              <w:left w:val="single" w:sz="8" w:space="0" w:color="auto"/>
              <w:bottom w:val="single" w:sz="4" w:space="0" w:color="auto"/>
              <w:right w:val="single" w:sz="4" w:space="0" w:color="auto"/>
            </w:tcBorders>
            <w:shd w:val="clear" w:color="auto" w:fill="auto"/>
            <w:noWrap/>
            <w:vAlign w:val="bottom"/>
            <w:hideMark/>
          </w:tcPr>
          <w:p w14:paraId="58D99AB6" w14:textId="77777777" w:rsidR="00C738A3" w:rsidRPr="00E710DA" w:rsidRDefault="00C738A3" w:rsidP="00C738A3">
            <w:pPr>
              <w:spacing w:after="0" w:line="240" w:lineRule="auto"/>
              <w:jc w:val="center"/>
              <w:rPr>
                <w:color w:val="000000"/>
              </w:rPr>
            </w:pPr>
            <w:r w:rsidRPr="00E710DA">
              <w:rPr>
                <w:color w:val="000000"/>
              </w:rPr>
              <w:t>2</w:t>
            </w:r>
          </w:p>
        </w:tc>
        <w:tc>
          <w:tcPr>
            <w:tcW w:w="1854" w:type="dxa"/>
            <w:tcBorders>
              <w:top w:val="nil"/>
              <w:left w:val="nil"/>
              <w:bottom w:val="single" w:sz="4" w:space="0" w:color="auto"/>
              <w:right w:val="single" w:sz="4" w:space="0" w:color="auto"/>
            </w:tcBorders>
            <w:shd w:val="clear" w:color="auto" w:fill="auto"/>
            <w:noWrap/>
            <w:vAlign w:val="bottom"/>
            <w:hideMark/>
          </w:tcPr>
          <w:p w14:paraId="2F1115DB" w14:textId="77777777" w:rsidR="00C738A3" w:rsidRPr="00E710DA" w:rsidRDefault="00C738A3" w:rsidP="00C738A3">
            <w:pPr>
              <w:spacing w:after="0" w:line="240" w:lineRule="auto"/>
              <w:jc w:val="right"/>
              <w:rPr>
                <w:color w:val="000000"/>
              </w:rPr>
            </w:pPr>
            <w:r w:rsidRPr="00E710DA">
              <w:rPr>
                <w:color w:val="000000"/>
              </w:rPr>
              <w:t>337049.06</w:t>
            </w:r>
          </w:p>
        </w:tc>
        <w:tc>
          <w:tcPr>
            <w:tcW w:w="1854" w:type="dxa"/>
            <w:tcBorders>
              <w:top w:val="nil"/>
              <w:left w:val="nil"/>
              <w:bottom w:val="single" w:sz="4" w:space="0" w:color="auto"/>
              <w:right w:val="single" w:sz="4" w:space="0" w:color="auto"/>
            </w:tcBorders>
            <w:shd w:val="clear" w:color="auto" w:fill="auto"/>
            <w:noWrap/>
            <w:vAlign w:val="bottom"/>
            <w:hideMark/>
          </w:tcPr>
          <w:p w14:paraId="3D802EF4" w14:textId="77777777" w:rsidR="00C738A3" w:rsidRPr="00E710DA" w:rsidRDefault="00C738A3" w:rsidP="00C738A3">
            <w:pPr>
              <w:spacing w:after="0" w:line="240" w:lineRule="auto"/>
              <w:jc w:val="right"/>
              <w:rPr>
                <w:color w:val="000000"/>
              </w:rPr>
            </w:pPr>
            <w:r w:rsidRPr="00E710DA">
              <w:rPr>
                <w:color w:val="000000"/>
              </w:rPr>
              <w:t>5023043.79</w:t>
            </w:r>
          </w:p>
        </w:tc>
        <w:tc>
          <w:tcPr>
            <w:tcW w:w="1855" w:type="dxa"/>
            <w:tcBorders>
              <w:top w:val="nil"/>
              <w:left w:val="nil"/>
              <w:bottom w:val="single" w:sz="4" w:space="0" w:color="auto"/>
              <w:right w:val="single" w:sz="8" w:space="0" w:color="auto"/>
            </w:tcBorders>
            <w:shd w:val="clear" w:color="auto" w:fill="auto"/>
            <w:noWrap/>
            <w:vAlign w:val="bottom"/>
            <w:hideMark/>
          </w:tcPr>
          <w:p w14:paraId="7996098C" w14:textId="77777777" w:rsidR="00C738A3" w:rsidRPr="00E710DA" w:rsidRDefault="00C738A3" w:rsidP="00C738A3">
            <w:pPr>
              <w:spacing w:after="0" w:line="240" w:lineRule="auto"/>
              <w:rPr>
                <w:color w:val="000000"/>
              </w:rPr>
            </w:pPr>
            <w:r w:rsidRPr="00E710DA">
              <w:rPr>
                <w:color w:val="000000"/>
              </w:rPr>
              <w:t> </w:t>
            </w:r>
          </w:p>
        </w:tc>
      </w:tr>
      <w:tr w:rsidR="00C738A3" w:rsidRPr="00E710DA" w14:paraId="278648C7" w14:textId="77777777" w:rsidTr="00D16CC6">
        <w:trPr>
          <w:trHeight w:val="300"/>
          <w:jc w:val="center"/>
        </w:trPr>
        <w:tc>
          <w:tcPr>
            <w:tcW w:w="1854" w:type="dxa"/>
            <w:tcBorders>
              <w:top w:val="nil"/>
              <w:left w:val="single" w:sz="8" w:space="0" w:color="auto"/>
              <w:bottom w:val="single" w:sz="4" w:space="0" w:color="auto"/>
              <w:right w:val="single" w:sz="4" w:space="0" w:color="auto"/>
            </w:tcBorders>
            <w:shd w:val="clear" w:color="auto" w:fill="auto"/>
            <w:noWrap/>
            <w:vAlign w:val="bottom"/>
            <w:hideMark/>
          </w:tcPr>
          <w:p w14:paraId="754949E7" w14:textId="77777777" w:rsidR="00C738A3" w:rsidRPr="00E710DA" w:rsidRDefault="00C738A3" w:rsidP="00C738A3">
            <w:pPr>
              <w:spacing w:after="0" w:line="240" w:lineRule="auto"/>
              <w:jc w:val="center"/>
              <w:rPr>
                <w:color w:val="000000"/>
              </w:rPr>
            </w:pPr>
            <w:r w:rsidRPr="00E710DA">
              <w:rPr>
                <w:color w:val="000000"/>
              </w:rPr>
              <w:t>3</w:t>
            </w:r>
          </w:p>
        </w:tc>
        <w:tc>
          <w:tcPr>
            <w:tcW w:w="1854" w:type="dxa"/>
            <w:tcBorders>
              <w:top w:val="nil"/>
              <w:left w:val="nil"/>
              <w:bottom w:val="single" w:sz="4" w:space="0" w:color="auto"/>
              <w:right w:val="single" w:sz="4" w:space="0" w:color="auto"/>
            </w:tcBorders>
            <w:shd w:val="clear" w:color="auto" w:fill="auto"/>
            <w:noWrap/>
            <w:vAlign w:val="bottom"/>
            <w:hideMark/>
          </w:tcPr>
          <w:p w14:paraId="17A517F5" w14:textId="77777777" w:rsidR="00C738A3" w:rsidRPr="00E710DA" w:rsidRDefault="00C738A3" w:rsidP="00C738A3">
            <w:pPr>
              <w:spacing w:after="0" w:line="240" w:lineRule="auto"/>
              <w:jc w:val="right"/>
              <w:rPr>
                <w:color w:val="000000"/>
              </w:rPr>
            </w:pPr>
            <w:r w:rsidRPr="00E710DA">
              <w:rPr>
                <w:color w:val="000000"/>
              </w:rPr>
              <w:t>337356.69</w:t>
            </w:r>
          </w:p>
        </w:tc>
        <w:tc>
          <w:tcPr>
            <w:tcW w:w="1854" w:type="dxa"/>
            <w:tcBorders>
              <w:top w:val="nil"/>
              <w:left w:val="nil"/>
              <w:bottom w:val="single" w:sz="4" w:space="0" w:color="auto"/>
              <w:right w:val="single" w:sz="4" w:space="0" w:color="auto"/>
            </w:tcBorders>
            <w:shd w:val="clear" w:color="auto" w:fill="auto"/>
            <w:noWrap/>
            <w:vAlign w:val="bottom"/>
            <w:hideMark/>
          </w:tcPr>
          <w:p w14:paraId="3394E15B" w14:textId="77777777" w:rsidR="00C738A3" w:rsidRPr="00E710DA" w:rsidRDefault="00C738A3" w:rsidP="00C738A3">
            <w:pPr>
              <w:spacing w:after="0" w:line="240" w:lineRule="auto"/>
              <w:jc w:val="right"/>
              <w:rPr>
                <w:color w:val="000000"/>
              </w:rPr>
            </w:pPr>
            <w:r w:rsidRPr="00E710DA">
              <w:rPr>
                <w:color w:val="000000"/>
              </w:rPr>
              <w:t>5022949.65</w:t>
            </w:r>
          </w:p>
        </w:tc>
        <w:tc>
          <w:tcPr>
            <w:tcW w:w="1855" w:type="dxa"/>
            <w:tcBorders>
              <w:top w:val="nil"/>
              <w:left w:val="nil"/>
              <w:bottom w:val="single" w:sz="4" w:space="0" w:color="auto"/>
              <w:right w:val="single" w:sz="8" w:space="0" w:color="auto"/>
            </w:tcBorders>
            <w:shd w:val="clear" w:color="auto" w:fill="auto"/>
            <w:noWrap/>
            <w:vAlign w:val="bottom"/>
            <w:hideMark/>
          </w:tcPr>
          <w:p w14:paraId="7196213E" w14:textId="77777777" w:rsidR="00C738A3" w:rsidRPr="00E710DA" w:rsidRDefault="00C738A3" w:rsidP="00C738A3">
            <w:pPr>
              <w:spacing w:after="0" w:line="240" w:lineRule="auto"/>
              <w:rPr>
                <w:color w:val="000000"/>
              </w:rPr>
            </w:pPr>
            <w:r w:rsidRPr="00E710DA">
              <w:rPr>
                <w:color w:val="000000"/>
              </w:rPr>
              <w:t> </w:t>
            </w:r>
          </w:p>
        </w:tc>
      </w:tr>
      <w:tr w:rsidR="00C738A3" w:rsidRPr="00E710DA" w14:paraId="07FD746A" w14:textId="77777777" w:rsidTr="00D16CC6">
        <w:trPr>
          <w:trHeight w:val="300"/>
          <w:jc w:val="center"/>
        </w:trPr>
        <w:tc>
          <w:tcPr>
            <w:tcW w:w="1854" w:type="dxa"/>
            <w:tcBorders>
              <w:top w:val="nil"/>
              <w:left w:val="single" w:sz="8" w:space="0" w:color="auto"/>
              <w:bottom w:val="single" w:sz="4" w:space="0" w:color="auto"/>
              <w:right w:val="single" w:sz="4" w:space="0" w:color="auto"/>
            </w:tcBorders>
            <w:shd w:val="clear" w:color="auto" w:fill="auto"/>
            <w:noWrap/>
            <w:vAlign w:val="bottom"/>
            <w:hideMark/>
          </w:tcPr>
          <w:p w14:paraId="65A2BA81" w14:textId="77777777" w:rsidR="00C738A3" w:rsidRPr="00E710DA" w:rsidRDefault="00C738A3" w:rsidP="00C738A3">
            <w:pPr>
              <w:spacing w:after="0" w:line="240" w:lineRule="auto"/>
              <w:jc w:val="center"/>
              <w:rPr>
                <w:color w:val="000000"/>
              </w:rPr>
            </w:pPr>
            <w:r w:rsidRPr="00E710DA">
              <w:rPr>
                <w:color w:val="000000"/>
              </w:rPr>
              <w:t>4</w:t>
            </w:r>
          </w:p>
        </w:tc>
        <w:tc>
          <w:tcPr>
            <w:tcW w:w="1854" w:type="dxa"/>
            <w:tcBorders>
              <w:top w:val="nil"/>
              <w:left w:val="nil"/>
              <w:bottom w:val="single" w:sz="4" w:space="0" w:color="auto"/>
              <w:right w:val="single" w:sz="4" w:space="0" w:color="auto"/>
            </w:tcBorders>
            <w:shd w:val="clear" w:color="auto" w:fill="auto"/>
            <w:noWrap/>
            <w:vAlign w:val="bottom"/>
            <w:hideMark/>
          </w:tcPr>
          <w:p w14:paraId="2ED9DA41" w14:textId="77777777" w:rsidR="00C738A3" w:rsidRPr="00E710DA" w:rsidRDefault="00C738A3" w:rsidP="00C738A3">
            <w:pPr>
              <w:spacing w:after="0" w:line="240" w:lineRule="auto"/>
              <w:jc w:val="right"/>
              <w:rPr>
                <w:color w:val="000000"/>
              </w:rPr>
            </w:pPr>
            <w:r w:rsidRPr="00E710DA">
              <w:rPr>
                <w:color w:val="000000"/>
              </w:rPr>
              <w:t>338173.30</w:t>
            </w:r>
          </w:p>
        </w:tc>
        <w:tc>
          <w:tcPr>
            <w:tcW w:w="1854" w:type="dxa"/>
            <w:tcBorders>
              <w:top w:val="nil"/>
              <w:left w:val="nil"/>
              <w:bottom w:val="single" w:sz="4" w:space="0" w:color="auto"/>
              <w:right w:val="single" w:sz="4" w:space="0" w:color="auto"/>
            </w:tcBorders>
            <w:shd w:val="clear" w:color="auto" w:fill="auto"/>
            <w:noWrap/>
            <w:vAlign w:val="bottom"/>
            <w:hideMark/>
          </w:tcPr>
          <w:p w14:paraId="7696BEF6" w14:textId="77777777" w:rsidR="00C738A3" w:rsidRPr="00E710DA" w:rsidRDefault="00C738A3" w:rsidP="00C738A3">
            <w:pPr>
              <w:spacing w:after="0" w:line="240" w:lineRule="auto"/>
              <w:jc w:val="right"/>
              <w:rPr>
                <w:color w:val="000000"/>
              </w:rPr>
            </w:pPr>
            <w:r w:rsidRPr="00E710DA">
              <w:rPr>
                <w:color w:val="000000"/>
              </w:rPr>
              <w:t>5022578.40</w:t>
            </w:r>
          </w:p>
        </w:tc>
        <w:tc>
          <w:tcPr>
            <w:tcW w:w="1855" w:type="dxa"/>
            <w:tcBorders>
              <w:top w:val="nil"/>
              <w:left w:val="nil"/>
              <w:bottom w:val="single" w:sz="4" w:space="0" w:color="auto"/>
              <w:right w:val="single" w:sz="8" w:space="0" w:color="auto"/>
            </w:tcBorders>
            <w:shd w:val="clear" w:color="auto" w:fill="auto"/>
            <w:noWrap/>
            <w:vAlign w:val="bottom"/>
            <w:hideMark/>
          </w:tcPr>
          <w:p w14:paraId="1028CAEC" w14:textId="77777777" w:rsidR="00C738A3" w:rsidRPr="00E710DA" w:rsidRDefault="00C738A3" w:rsidP="00C738A3">
            <w:pPr>
              <w:spacing w:after="0" w:line="240" w:lineRule="auto"/>
              <w:rPr>
                <w:color w:val="000000"/>
              </w:rPr>
            </w:pPr>
            <w:r w:rsidRPr="00E710DA">
              <w:rPr>
                <w:color w:val="000000"/>
              </w:rPr>
              <w:t> </w:t>
            </w:r>
          </w:p>
        </w:tc>
      </w:tr>
      <w:tr w:rsidR="00C738A3" w:rsidRPr="00E710DA" w14:paraId="6EB3747F" w14:textId="77777777" w:rsidTr="00D16CC6">
        <w:trPr>
          <w:trHeight w:val="315"/>
          <w:jc w:val="center"/>
        </w:trPr>
        <w:tc>
          <w:tcPr>
            <w:tcW w:w="1854" w:type="dxa"/>
            <w:tcBorders>
              <w:top w:val="nil"/>
              <w:left w:val="single" w:sz="8" w:space="0" w:color="auto"/>
              <w:bottom w:val="single" w:sz="8" w:space="0" w:color="auto"/>
              <w:right w:val="single" w:sz="4" w:space="0" w:color="auto"/>
            </w:tcBorders>
            <w:shd w:val="clear" w:color="auto" w:fill="auto"/>
            <w:noWrap/>
            <w:vAlign w:val="bottom"/>
            <w:hideMark/>
          </w:tcPr>
          <w:p w14:paraId="2167AE39" w14:textId="77777777" w:rsidR="00C738A3" w:rsidRPr="00E710DA" w:rsidRDefault="00C738A3" w:rsidP="00C738A3">
            <w:pPr>
              <w:spacing w:after="0" w:line="240" w:lineRule="auto"/>
              <w:jc w:val="center"/>
              <w:rPr>
                <w:color w:val="000000"/>
              </w:rPr>
            </w:pPr>
            <w:r w:rsidRPr="00E710DA">
              <w:rPr>
                <w:color w:val="000000"/>
              </w:rPr>
              <w:t>5</w:t>
            </w:r>
          </w:p>
        </w:tc>
        <w:tc>
          <w:tcPr>
            <w:tcW w:w="1854" w:type="dxa"/>
            <w:tcBorders>
              <w:top w:val="nil"/>
              <w:left w:val="nil"/>
              <w:bottom w:val="single" w:sz="8" w:space="0" w:color="auto"/>
              <w:right w:val="single" w:sz="4" w:space="0" w:color="auto"/>
            </w:tcBorders>
            <w:shd w:val="clear" w:color="auto" w:fill="auto"/>
            <w:noWrap/>
            <w:vAlign w:val="bottom"/>
            <w:hideMark/>
          </w:tcPr>
          <w:p w14:paraId="21937E86" w14:textId="77777777" w:rsidR="00C738A3" w:rsidRPr="00E710DA" w:rsidRDefault="00C738A3" w:rsidP="00C738A3">
            <w:pPr>
              <w:spacing w:after="0" w:line="240" w:lineRule="auto"/>
              <w:jc w:val="right"/>
              <w:rPr>
                <w:color w:val="000000"/>
              </w:rPr>
            </w:pPr>
            <w:r w:rsidRPr="00E710DA">
              <w:rPr>
                <w:color w:val="000000"/>
              </w:rPr>
              <w:t>338295.06</w:t>
            </w:r>
          </w:p>
        </w:tc>
        <w:tc>
          <w:tcPr>
            <w:tcW w:w="1854" w:type="dxa"/>
            <w:tcBorders>
              <w:top w:val="nil"/>
              <w:left w:val="nil"/>
              <w:bottom w:val="single" w:sz="8" w:space="0" w:color="auto"/>
              <w:right w:val="single" w:sz="4" w:space="0" w:color="auto"/>
            </w:tcBorders>
            <w:shd w:val="clear" w:color="auto" w:fill="auto"/>
            <w:noWrap/>
            <w:vAlign w:val="bottom"/>
            <w:hideMark/>
          </w:tcPr>
          <w:p w14:paraId="3269AEE6" w14:textId="77777777" w:rsidR="00C738A3" w:rsidRPr="00E710DA" w:rsidRDefault="00C738A3" w:rsidP="00C738A3">
            <w:pPr>
              <w:spacing w:after="0" w:line="240" w:lineRule="auto"/>
              <w:jc w:val="right"/>
              <w:rPr>
                <w:color w:val="000000"/>
              </w:rPr>
            </w:pPr>
            <w:r w:rsidRPr="00E710DA">
              <w:rPr>
                <w:color w:val="000000"/>
              </w:rPr>
              <w:t>5022812.12</w:t>
            </w:r>
          </w:p>
        </w:tc>
        <w:tc>
          <w:tcPr>
            <w:tcW w:w="1855" w:type="dxa"/>
            <w:tcBorders>
              <w:top w:val="nil"/>
              <w:left w:val="nil"/>
              <w:bottom w:val="single" w:sz="8" w:space="0" w:color="auto"/>
              <w:right w:val="single" w:sz="8" w:space="0" w:color="auto"/>
            </w:tcBorders>
            <w:shd w:val="clear" w:color="auto" w:fill="auto"/>
            <w:noWrap/>
            <w:vAlign w:val="center"/>
            <w:hideMark/>
          </w:tcPr>
          <w:p w14:paraId="1B678DB1" w14:textId="77777777" w:rsidR="00C738A3" w:rsidRPr="00E710DA" w:rsidRDefault="00C738A3" w:rsidP="00C738A3">
            <w:pPr>
              <w:spacing w:after="0" w:line="240" w:lineRule="auto"/>
              <w:rPr>
                <w:color w:val="000000"/>
              </w:rPr>
            </w:pPr>
            <w:r w:rsidRPr="00E710DA">
              <w:rPr>
                <w:color w:val="000000"/>
              </w:rPr>
              <w:t>Spoj s kopnom</w:t>
            </w:r>
          </w:p>
        </w:tc>
      </w:tr>
    </w:tbl>
    <w:p w14:paraId="75892AFD" w14:textId="77777777" w:rsidR="00C738A3" w:rsidRPr="00E710DA" w:rsidRDefault="00C738A3" w:rsidP="00C738A3">
      <w:pPr>
        <w:spacing w:after="0" w:line="240" w:lineRule="auto"/>
      </w:pPr>
    </w:p>
    <w:p w14:paraId="2A4319AF" w14:textId="77777777" w:rsidR="00C738A3" w:rsidRPr="00E710DA" w:rsidRDefault="00C738A3" w:rsidP="00C738A3">
      <w:pPr>
        <w:pStyle w:val="ListParagraph"/>
        <w:numPr>
          <w:ilvl w:val="0"/>
          <w:numId w:val="12"/>
        </w:numPr>
        <w:spacing w:after="0" w:line="240" w:lineRule="auto"/>
        <w:jc w:val="both"/>
        <w:rPr>
          <w:rFonts w:ascii="Times New Roman" w:hAnsi="Times New Roman" w:cs="Times New Roman"/>
          <w:sz w:val="24"/>
          <w:szCs w:val="24"/>
        </w:rPr>
      </w:pPr>
      <w:r w:rsidRPr="00E710DA">
        <w:rPr>
          <w:rFonts w:ascii="Times New Roman" w:hAnsi="Times New Roman" w:cs="Times New Roman"/>
          <w:sz w:val="24"/>
          <w:szCs w:val="24"/>
        </w:rPr>
        <w:t>lokacija Brajdica - dio mora obilježen točkama izraženim u službenom položajnom referentnom koordinatnom sustavu Republike Hrvatske HTRS96/TM:</w:t>
      </w:r>
    </w:p>
    <w:p w14:paraId="6B3D0618" w14:textId="77777777" w:rsidR="00C738A3" w:rsidRPr="00E710DA" w:rsidRDefault="00C738A3" w:rsidP="00C738A3">
      <w:pPr>
        <w:spacing w:after="0" w:line="240" w:lineRule="auto"/>
      </w:pPr>
    </w:p>
    <w:tbl>
      <w:tblPr>
        <w:tblW w:w="7418" w:type="dxa"/>
        <w:jc w:val="center"/>
        <w:tblLayout w:type="fixed"/>
        <w:tblLook w:val="04A0" w:firstRow="1" w:lastRow="0" w:firstColumn="1" w:lastColumn="0" w:noHBand="0" w:noVBand="1"/>
      </w:tblPr>
      <w:tblGrid>
        <w:gridCol w:w="1854"/>
        <w:gridCol w:w="1855"/>
        <w:gridCol w:w="1854"/>
        <w:gridCol w:w="1855"/>
      </w:tblGrid>
      <w:tr w:rsidR="00C738A3" w:rsidRPr="00E710DA" w14:paraId="69C083FC" w14:textId="77777777" w:rsidTr="00D16CC6">
        <w:trPr>
          <w:trHeight w:val="915"/>
          <w:jc w:val="center"/>
        </w:trPr>
        <w:tc>
          <w:tcPr>
            <w:tcW w:w="1854" w:type="dxa"/>
            <w:tcBorders>
              <w:top w:val="single" w:sz="8" w:space="0" w:color="auto"/>
              <w:left w:val="single" w:sz="8" w:space="0" w:color="auto"/>
              <w:bottom w:val="double" w:sz="6" w:space="0" w:color="auto"/>
              <w:right w:val="single" w:sz="4" w:space="0" w:color="auto"/>
            </w:tcBorders>
            <w:shd w:val="clear" w:color="auto" w:fill="auto"/>
            <w:vAlign w:val="center"/>
            <w:hideMark/>
          </w:tcPr>
          <w:p w14:paraId="1F1FB76A" w14:textId="77777777" w:rsidR="00C738A3" w:rsidRPr="00E710DA" w:rsidRDefault="00C738A3" w:rsidP="00C738A3">
            <w:pPr>
              <w:spacing w:after="0" w:line="240" w:lineRule="auto"/>
              <w:jc w:val="center"/>
              <w:rPr>
                <w:b/>
                <w:bCs/>
                <w:color w:val="000000"/>
              </w:rPr>
            </w:pPr>
            <w:r w:rsidRPr="00E710DA">
              <w:rPr>
                <w:b/>
                <w:bCs/>
                <w:color w:val="000000"/>
              </w:rPr>
              <w:t>Broj točke</w:t>
            </w:r>
          </w:p>
        </w:tc>
        <w:tc>
          <w:tcPr>
            <w:tcW w:w="1855" w:type="dxa"/>
            <w:tcBorders>
              <w:top w:val="single" w:sz="8" w:space="0" w:color="auto"/>
              <w:left w:val="nil"/>
              <w:bottom w:val="double" w:sz="6" w:space="0" w:color="auto"/>
              <w:right w:val="single" w:sz="4" w:space="0" w:color="auto"/>
            </w:tcBorders>
            <w:shd w:val="clear" w:color="auto" w:fill="auto"/>
            <w:vAlign w:val="center"/>
            <w:hideMark/>
          </w:tcPr>
          <w:p w14:paraId="1ECC182E" w14:textId="77777777" w:rsidR="00C738A3" w:rsidRPr="00E710DA" w:rsidRDefault="00C738A3" w:rsidP="00C738A3">
            <w:pPr>
              <w:spacing w:after="0" w:line="240" w:lineRule="auto"/>
              <w:jc w:val="center"/>
              <w:rPr>
                <w:b/>
                <w:bCs/>
                <w:color w:val="000000"/>
              </w:rPr>
            </w:pPr>
            <w:r w:rsidRPr="00E710DA">
              <w:rPr>
                <w:b/>
                <w:bCs/>
                <w:color w:val="000000"/>
              </w:rPr>
              <w:t>E koordinata</w:t>
            </w:r>
            <w:r w:rsidRPr="00E710DA">
              <w:rPr>
                <w:b/>
                <w:bCs/>
                <w:color w:val="000000"/>
              </w:rPr>
              <w:br/>
              <w:t>HTRS96/TM</w:t>
            </w:r>
            <w:r w:rsidRPr="00E710DA">
              <w:rPr>
                <w:b/>
                <w:bCs/>
                <w:color w:val="000000"/>
              </w:rPr>
              <w:br/>
              <w:t>(m)</w:t>
            </w:r>
          </w:p>
        </w:tc>
        <w:tc>
          <w:tcPr>
            <w:tcW w:w="1854" w:type="dxa"/>
            <w:tcBorders>
              <w:top w:val="single" w:sz="8" w:space="0" w:color="auto"/>
              <w:left w:val="nil"/>
              <w:bottom w:val="double" w:sz="6" w:space="0" w:color="auto"/>
              <w:right w:val="single" w:sz="4" w:space="0" w:color="auto"/>
            </w:tcBorders>
            <w:shd w:val="clear" w:color="auto" w:fill="auto"/>
            <w:vAlign w:val="center"/>
            <w:hideMark/>
          </w:tcPr>
          <w:p w14:paraId="16C858CE" w14:textId="77777777" w:rsidR="00C738A3" w:rsidRPr="00E710DA" w:rsidRDefault="00C738A3" w:rsidP="00C738A3">
            <w:pPr>
              <w:spacing w:after="0" w:line="240" w:lineRule="auto"/>
              <w:jc w:val="center"/>
              <w:rPr>
                <w:b/>
                <w:bCs/>
                <w:color w:val="000000"/>
              </w:rPr>
            </w:pPr>
            <w:r w:rsidRPr="00E710DA">
              <w:rPr>
                <w:b/>
                <w:bCs/>
                <w:color w:val="000000"/>
              </w:rPr>
              <w:t>N koordinata</w:t>
            </w:r>
            <w:r w:rsidRPr="00E710DA">
              <w:rPr>
                <w:b/>
                <w:bCs/>
                <w:color w:val="000000"/>
              </w:rPr>
              <w:br/>
              <w:t>HTRS96/TM</w:t>
            </w:r>
            <w:r w:rsidRPr="00E710DA">
              <w:rPr>
                <w:b/>
                <w:bCs/>
                <w:color w:val="000000"/>
              </w:rPr>
              <w:br/>
              <w:t>(m)</w:t>
            </w:r>
          </w:p>
        </w:tc>
        <w:tc>
          <w:tcPr>
            <w:tcW w:w="1855" w:type="dxa"/>
            <w:tcBorders>
              <w:top w:val="single" w:sz="8" w:space="0" w:color="auto"/>
              <w:left w:val="nil"/>
              <w:bottom w:val="double" w:sz="6" w:space="0" w:color="auto"/>
              <w:right w:val="single" w:sz="8" w:space="0" w:color="auto"/>
            </w:tcBorders>
            <w:shd w:val="clear" w:color="auto" w:fill="auto"/>
            <w:vAlign w:val="center"/>
            <w:hideMark/>
          </w:tcPr>
          <w:p w14:paraId="1F03A43D" w14:textId="77777777" w:rsidR="00C738A3" w:rsidRPr="00E710DA" w:rsidRDefault="00C738A3" w:rsidP="00C738A3">
            <w:pPr>
              <w:spacing w:after="0" w:line="240" w:lineRule="auto"/>
              <w:jc w:val="center"/>
              <w:rPr>
                <w:b/>
                <w:bCs/>
                <w:color w:val="000000"/>
              </w:rPr>
            </w:pPr>
            <w:r w:rsidRPr="00E710DA">
              <w:rPr>
                <w:b/>
                <w:bCs/>
                <w:color w:val="000000"/>
              </w:rPr>
              <w:t>Napomena</w:t>
            </w:r>
          </w:p>
        </w:tc>
      </w:tr>
      <w:tr w:rsidR="00C738A3" w:rsidRPr="00E710DA" w14:paraId="09283F81" w14:textId="77777777" w:rsidTr="00D16CC6">
        <w:trPr>
          <w:trHeight w:val="315"/>
          <w:jc w:val="center"/>
        </w:trPr>
        <w:tc>
          <w:tcPr>
            <w:tcW w:w="185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99453DC" w14:textId="77777777" w:rsidR="00C738A3" w:rsidRPr="00E710DA" w:rsidRDefault="00C738A3" w:rsidP="00C738A3">
            <w:pPr>
              <w:spacing w:after="0" w:line="240" w:lineRule="auto"/>
              <w:jc w:val="center"/>
              <w:rPr>
                <w:color w:val="000000"/>
              </w:rPr>
            </w:pPr>
            <w:r w:rsidRPr="00E710DA">
              <w:rPr>
                <w:color w:val="000000"/>
              </w:rPr>
              <w:t>6</w:t>
            </w:r>
          </w:p>
        </w:tc>
        <w:tc>
          <w:tcPr>
            <w:tcW w:w="1855" w:type="dxa"/>
            <w:tcBorders>
              <w:top w:val="single" w:sz="4" w:space="0" w:color="auto"/>
              <w:left w:val="nil"/>
              <w:bottom w:val="single" w:sz="4" w:space="0" w:color="auto"/>
              <w:right w:val="single" w:sz="4" w:space="0" w:color="auto"/>
            </w:tcBorders>
            <w:shd w:val="clear" w:color="auto" w:fill="auto"/>
            <w:noWrap/>
            <w:vAlign w:val="bottom"/>
            <w:hideMark/>
          </w:tcPr>
          <w:p w14:paraId="6A61D551" w14:textId="77777777" w:rsidR="00C738A3" w:rsidRPr="00E710DA" w:rsidRDefault="00C738A3" w:rsidP="00C738A3">
            <w:pPr>
              <w:spacing w:after="0" w:line="240" w:lineRule="auto"/>
              <w:jc w:val="right"/>
              <w:rPr>
                <w:color w:val="000000"/>
              </w:rPr>
            </w:pPr>
            <w:r w:rsidRPr="00E710DA">
              <w:rPr>
                <w:color w:val="000000"/>
              </w:rPr>
              <w:t>339280.80</w:t>
            </w:r>
          </w:p>
        </w:tc>
        <w:tc>
          <w:tcPr>
            <w:tcW w:w="1854" w:type="dxa"/>
            <w:tcBorders>
              <w:top w:val="single" w:sz="4" w:space="0" w:color="auto"/>
              <w:left w:val="nil"/>
              <w:bottom w:val="single" w:sz="4" w:space="0" w:color="auto"/>
              <w:right w:val="single" w:sz="4" w:space="0" w:color="auto"/>
            </w:tcBorders>
            <w:shd w:val="clear" w:color="auto" w:fill="auto"/>
            <w:noWrap/>
            <w:vAlign w:val="bottom"/>
            <w:hideMark/>
          </w:tcPr>
          <w:p w14:paraId="46417FAF" w14:textId="77777777" w:rsidR="00C738A3" w:rsidRPr="00E710DA" w:rsidRDefault="00C738A3" w:rsidP="00C738A3">
            <w:pPr>
              <w:spacing w:after="0" w:line="240" w:lineRule="auto"/>
              <w:jc w:val="right"/>
              <w:rPr>
                <w:color w:val="000000"/>
              </w:rPr>
            </w:pPr>
            <w:r w:rsidRPr="00E710DA">
              <w:rPr>
                <w:color w:val="000000"/>
              </w:rPr>
              <w:t>5022243.52</w:t>
            </w:r>
          </w:p>
        </w:tc>
        <w:tc>
          <w:tcPr>
            <w:tcW w:w="1855" w:type="dxa"/>
            <w:tcBorders>
              <w:top w:val="single" w:sz="4" w:space="0" w:color="auto"/>
              <w:left w:val="nil"/>
              <w:bottom w:val="single" w:sz="4" w:space="0" w:color="auto"/>
              <w:right w:val="single" w:sz="8" w:space="0" w:color="auto"/>
            </w:tcBorders>
            <w:shd w:val="clear" w:color="auto" w:fill="auto"/>
            <w:noWrap/>
            <w:vAlign w:val="center"/>
            <w:hideMark/>
          </w:tcPr>
          <w:p w14:paraId="59CC2EB2" w14:textId="77777777" w:rsidR="00C738A3" w:rsidRPr="00E710DA" w:rsidRDefault="00C738A3" w:rsidP="00C738A3">
            <w:pPr>
              <w:spacing w:after="0" w:line="240" w:lineRule="auto"/>
              <w:rPr>
                <w:color w:val="000000"/>
              </w:rPr>
            </w:pPr>
            <w:r w:rsidRPr="00E710DA">
              <w:rPr>
                <w:color w:val="000000"/>
              </w:rPr>
              <w:t>Spoj s kopnom</w:t>
            </w:r>
          </w:p>
        </w:tc>
      </w:tr>
      <w:tr w:rsidR="00C738A3" w:rsidRPr="00E710DA" w14:paraId="14B328B1" w14:textId="77777777" w:rsidTr="00D16CC6">
        <w:trPr>
          <w:trHeight w:val="300"/>
          <w:jc w:val="center"/>
        </w:trPr>
        <w:tc>
          <w:tcPr>
            <w:tcW w:w="1854" w:type="dxa"/>
            <w:tcBorders>
              <w:top w:val="nil"/>
              <w:left w:val="single" w:sz="8" w:space="0" w:color="auto"/>
              <w:bottom w:val="single" w:sz="4" w:space="0" w:color="auto"/>
              <w:right w:val="single" w:sz="4" w:space="0" w:color="auto"/>
            </w:tcBorders>
            <w:shd w:val="clear" w:color="auto" w:fill="auto"/>
            <w:noWrap/>
            <w:vAlign w:val="bottom"/>
            <w:hideMark/>
          </w:tcPr>
          <w:p w14:paraId="6818ED5C" w14:textId="77777777" w:rsidR="00C738A3" w:rsidRPr="00E710DA" w:rsidRDefault="00C738A3" w:rsidP="00C738A3">
            <w:pPr>
              <w:spacing w:after="0" w:line="240" w:lineRule="auto"/>
              <w:jc w:val="center"/>
              <w:rPr>
                <w:color w:val="000000"/>
              </w:rPr>
            </w:pPr>
            <w:r w:rsidRPr="00E710DA">
              <w:rPr>
                <w:color w:val="000000"/>
              </w:rPr>
              <w:t>7</w:t>
            </w:r>
          </w:p>
        </w:tc>
        <w:tc>
          <w:tcPr>
            <w:tcW w:w="1855" w:type="dxa"/>
            <w:tcBorders>
              <w:top w:val="nil"/>
              <w:left w:val="nil"/>
              <w:bottom w:val="single" w:sz="4" w:space="0" w:color="auto"/>
              <w:right w:val="single" w:sz="4" w:space="0" w:color="auto"/>
            </w:tcBorders>
            <w:shd w:val="clear" w:color="auto" w:fill="auto"/>
            <w:noWrap/>
            <w:vAlign w:val="bottom"/>
            <w:hideMark/>
          </w:tcPr>
          <w:p w14:paraId="1F56D6CA" w14:textId="77777777" w:rsidR="00C738A3" w:rsidRPr="00E710DA" w:rsidRDefault="00C738A3" w:rsidP="00C738A3">
            <w:pPr>
              <w:spacing w:after="0" w:line="240" w:lineRule="auto"/>
              <w:jc w:val="right"/>
              <w:rPr>
                <w:color w:val="000000"/>
              </w:rPr>
            </w:pPr>
            <w:r w:rsidRPr="00E710DA">
              <w:rPr>
                <w:color w:val="000000"/>
              </w:rPr>
              <w:t>339218.42</w:t>
            </w:r>
          </w:p>
        </w:tc>
        <w:tc>
          <w:tcPr>
            <w:tcW w:w="1854" w:type="dxa"/>
            <w:tcBorders>
              <w:top w:val="nil"/>
              <w:left w:val="nil"/>
              <w:bottom w:val="single" w:sz="4" w:space="0" w:color="auto"/>
              <w:right w:val="single" w:sz="4" w:space="0" w:color="auto"/>
            </w:tcBorders>
            <w:shd w:val="clear" w:color="auto" w:fill="auto"/>
            <w:noWrap/>
            <w:vAlign w:val="bottom"/>
            <w:hideMark/>
          </w:tcPr>
          <w:p w14:paraId="617ABA3B" w14:textId="77777777" w:rsidR="00C738A3" w:rsidRPr="00E710DA" w:rsidRDefault="00C738A3" w:rsidP="00C738A3">
            <w:pPr>
              <w:spacing w:after="0" w:line="240" w:lineRule="auto"/>
              <w:jc w:val="right"/>
              <w:rPr>
                <w:color w:val="000000"/>
              </w:rPr>
            </w:pPr>
            <w:r w:rsidRPr="00E710DA">
              <w:rPr>
                <w:color w:val="000000"/>
              </w:rPr>
              <w:t>5022025.22</w:t>
            </w:r>
          </w:p>
        </w:tc>
        <w:tc>
          <w:tcPr>
            <w:tcW w:w="1855" w:type="dxa"/>
            <w:tcBorders>
              <w:top w:val="nil"/>
              <w:left w:val="nil"/>
              <w:bottom w:val="single" w:sz="4" w:space="0" w:color="auto"/>
              <w:right w:val="single" w:sz="8" w:space="0" w:color="auto"/>
            </w:tcBorders>
            <w:shd w:val="clear" w:color="auto" w:fill="auto"/>
            <w:noWrap/>
            <w:vAlign w:val="bottom"/>
            <w:hideMark/>
          </w:tcPr>
          <w:p w14:paraId="3C4741C6" w14:textId="77777777" w:rsidR="00C738A3" w:rsidRPr="00E710DA" w:rsidRDefault="00C738A3" w:rsidP="00C738A3">
            <w:pPr>
              <w:spacing w:after="0" w:line="240" w:lineRule="auto"/>
              <w:rPr>
                <w:color w:val="000000"/>
              </w:rPr>
            </w:pPr>
            <w:r w:rsidRPr="00E710DA">
              <w:rPr>
                <w:color w:val="000000"/>
              </w:rPr>
              <w:t> </w:t>
            </w:r>
          </w:p>
        </w:tc>
      </w:tr>
      <w:tr w:rsidR="00C738A3" w:rsidRPr="00E710DA" w14:paraId="133076FF" w14:textId="77777777" w:rsidTr="00D16CC6">
        <w:trPr>
          <w:trHeight w:val="300"/>
          <w:jc w:val="center"/>
        </w:trPr>
        <w:tc>
          <w:tcPr>
            <w:tcW w:w="1854" w:type="dxa"/>
            <w:tcBorders>
              <w:top w:val="nil"/>
              <w:left w:val="single" w:sz="8" w:space="0" w:color="auto"/>
              <w:bottom w:val="single" w:sz="4" w:space="0" w:color="auto"/>
              <w:right w:val="single" w:sz="4" w:space="0" w:color="auto"/>
            </w:tcBorders>
            <w:shd w:val="clear" w:color="auto" w:fill="auto"/>
            <w:noWrap/>
            <w:vAlign w:val="bottom"/>
            <w:hideMark/>
          </w:tcPr>
          <w:p w14:paraId="382CC706" w14:textId="77777777" w:rsidR="00C738A3" w:rsidRPr="00E710DA" w:rsidRDefault="00C738A3" w:rsidP="00C738A3">
            <w:pPr>
              <w:spacing w:after="0" w:line="240" w:lineRule="auto"/>
              <w:jc w:val="center"/>
              <w:rPr>
                <w:color w:val="000000"/>
              </w:rPr>
            </w:pPr>
            <w:r w:rsidRPr="00E710DA">
              <w:rPr>
                <w:color w:val="000000"/>
              </w:rPr>
              <w:t>8</w:t>
            </w:r>
          </w:p>
        </w:tc>
        <w:tc>
          <w:tcPr>
            <w:tcW w:w="1855" w:type="dxa"/>
            <w:tcBorders>
              <w:top w:val="nil"/>
              <w:left w:val="nil"/>
              <w:bottom w:val="single" w:sz="4" w:space="0" w:color="auto"/>
              <w:right w:val="single" w:sz="4" w:space="0" w:color="auto"/>
            </w:tcBorders>
            <w:shd w:val="clear" w:color="auto" w:fill="auto"/>
            <w:noWrap/>
            <w:vAlign w:val="bottom"/>
            <w:hideMark/>
          </w:tcPr>
          <w:p w14:paraId="28DBF7EA" w14:textId="77777777" w:rsidR="00C738A3" w:rsidRPr="00E710DA" w:rsidRDefault="00C738A3" w:rsidP="00C738A3">
            <w:pPr>
              <w:spacing w:after="0" w:line="240" w:lineRule="auto"/>
              <w:jc w:val="right"/>
              <w:rPr>
                <w:color w:val="000000"/>
              </w:rPr>
            </w:pPr>
            <w:r w:rsidRPr="00E710DA">
              <w:rPr>
                <w:color w:val="000000"/>
              </w:rPr>
              <w:t>339876.22</w:t>
            </w:r>
          </w:p>
        </w:tc>
        <w:tc>
          <w:tcPr>
            <w:tcW w:w="1854" w:type="dxa"/>
            <w:tcBorders>
              <w:top w:val="nil"/>
              <w:left w:val="nil"/>
              <w:bottom w:val="single" w:sz="4" w:space="0" w:color="auto"/>
              <w:right w:val="single" w:sz="4" w:space="0" w:color="auto"/>
            </w:tcBorders>
            <w:shd w:val="clear" w:color="auto" w:fill="auto"/>
            <w:noWrap/>
            <w:vAlign w:val="bottom"/>
            <w:hideMark/>
          </w:tcPr>
          <w:p w14:paraId="19C29178" w14:textId="77777777" w:rsidR="00C738A3" w:rsidRPr="00E710DA" w:rsidRDefault="00C738A3" w:rsidP="00C738A3">
            <w:pPr>
              <w:spacing w:after="0" w:line="240" w:lineRule="auto"/>
              <w:jc w:val="right"/>
              <w:rPr>
                <w:color w:val="000000"/>
              </w:rPr>
            </w:pPr>
            <w:r w:rsidRPr="00E710DA">
              <w:rPr>
                <w:color w:val="000000"/>
              </w:rPr>
              <w:t>5021837.24</w:t>
            </w:r>
          </w:p>
        </w:tc>
        <w:tc>
          <w:tcPr>
            <w:tcW w:w="1855" w:type="dxa"/>
            <w:tcBorders>
              <w:top w:val="nil"/>
              <w:left w:val="nil"/>
              <w:bottom w:val="single" w:sz="4" w:space="0" w:color="auto"/>
              <w:right w:val="single" w:sz="8" w:space="0" w:color="auto"/>
            </w:tcBorders>
            <w:shd w:val="clear" w:color="auto" w:fill="auto"/>
            <w:noWrap/>
            <w:vAlign w:val="bottom"/>
            <w:hideMark/>
          </w:tcPr>
          <w:p w14:paraId="58536AAE" w14:textId="77777777" w:rsidR="00C738A3" w:rsidRPr="00E710DA" w:rsidRDefault="00C738A3" w:rsidP="00C738A3">
            <w:pPr>
              <w:spacing w:after="0" w:line="240" w:lineRule="auto"/>
              <w:rPr>
                <w:color w:val="000000"/>
              </w:rPr>
            </w:pPr>
            <w:r w:rsidRPr="00E710DA">
              <w:rPr>
                <w:color w:val="000000"/>
              </w:rPr>
              <w:t> </w:t>
            </w:r>
          </w:p>
        </w:tc>
      </w:tr>
      <w:tr w:rsidR="00C738A3" w:rsidRPr="00E710DA" w14:paraId="74F3C3DC" w14:textId="77777777" w:rsidTr="00D16CC6">
        <w:trPr>
          <w:trHeight w:val="315"/>
          <w:jc w:val="center"/>
        </w:trPr>
        <w:tc>
          <w:tcPr>
            <w:tcW w:w="1854" w:type="dxa"/>
            <w:tcBorders>
              <w:top w:val="nil"/>
              <w:left w:val="single" w:sz="8" w:space="0" w:color="auto"/>
              <w:bottom w:val="single" w:sz="8" w:space="0" w:color="auto"/>
              <w:right w:val="single" w:sz="4" w:space="0" w:color="auto"/>
            </w:tcBorders>
            <w:shd w:val="clear" w:color="auto" w:fill="auto"/>
            <w:noWrap/>
            <w:vAlign w:val="bottom"/>
            <w:hideMark/>
          </w:tcPr>
          <w:p w14:paraId="4551C9B0" w14:textId="77777777" w:rsidR="00C738A3" w:rsidRPr="00E710DA" w:rsidRDefault="00C738A3" w:rsidP="00C738A3">
            <w:pPr>
              <w:spacing w:after="0" w:line="240" w:lineRule="auto"/>
              <w:jc w:val="center"/>
              <w:rPr>
                <w:color w:val="000000"/>
              </w:rPr>
            </w:pPr>
            <w:r w:rsidRPr="00E710DA">
              <w:rPr>
                <w:color w:val="000000"/>
              </w:rPr>
              <w:t>9</w:t>
            </w:r>
          </w:p>
        </w:tc>
        <w:tc>
          <w:tcPr>
            <w:tcW w:w="1855" w:type="dxa"/>
            <w:tcBorders>
              <w:top w:val="nil"/>
              <w:left w:val="nil"/>
              <w:bottom w:val="single" w:sz="8" w:space="0" w:color="auto"/>
              <w:right w:val="single" w:sz="4" w:space="0" w:color="auto"/>
            </w:tcBorders>
            <w:shd w:val="clear" w:color="auto" w:fill="auto"/>
            <w:noWrap/>
            <w:vAlign w:val="bottom"/>
            <w:hideMark/>
          </w:tcPr>
          <w:p w14:paraId="6DB32F7D" w14:textId="77777777" w:rsidR="00C738A3" w:rsidRPr="00E710DA" w:rsidRDefault="00C738A3" w:rsidP="00C738A3">
            <w:pPr>
              <w:spacing w:after="0" w:line="240" w:lineRule="auto"/>
              <w:jc w:val="right"/>
              <w:rPr>
                <w:color w:val="000000"/>
              </w:rPr>
            </w:pPr>
            <w:r w:rsidRPr="00E710DA">
              <w:rPr>
                <w:color w:val="000000"/>
              </w:rPr>
              <w:t>339903.69</w:t>
            </w:r>
          </w:p>
        </w:tc>
        <w:tc>
          <w:tcPr>
            <w:tcW w:w="1854" w:type="dxa"/>
            <w:tcBorders>
              <w:top w:val="nil"/>
              <w:left w:val="nil"/>
              <w:bottom w:val="single" w:sz="8" w:space="0" w:color="auto"/>
              <w:right w:val="single" w:sz="4" w:space="0" w:color="auto"/>
            </w:tcBorders>
            <w:shd w:val="clear" w:color="auto" w:fill="auto"/>
            <w:noWrap/>
            <w:vAlign w:val="bottom"/>
            <w:hideMark/>
          </w:tcPr>
          <w:p w14:paraId="0E31C45A" w14:textId="77777777" w:rsidR="00C738A3" w:rsidRPr="00E710DA" w:rsidRDefault="00C738A3" w:rsidP="00C738A3">
            <w:pPr>
              <w:spacing w:after="0" w:line="240" w:lineRule="auto"/>
              <w:jc w:val="right"/>
              <w:rPr>
                <w:color w:val="000000"/>
              </w:rPr>
            </w:pPr>
            <w:r w:rsidRPr="00E710DA">
              <w:rPr>
                <w:color w:val="000000"/>
              </w:rPr>
              <w:t>5021933.39</w:t>
            </w:r>
          </w:p>
        </w:tc>
        <w:tc>
          <w:tcPr>
            <w:tcW w:w="1855" w:type="dxa"/>
            <w:tcBorders>
              <w:top w:val="nil"/>
              <w:left w:val="nil"/>
              <w:bottom w:val="single" w:sz="8" w:space="0" w:color="auto"/>
              <w:right w:val="single" w:sz="8" w:space="0" w:color="auto"/>
            </w:tcBorders>
            <w:shd w:val="clear" w:color="auto" w:fill="auto"/>
            <w:noWrap/>
            <w:vAlign w:val="center"/>
            <w:hideMark/>
          </w:tcPr>
          <w:p w14:paraId="26466094" w14:textId="77777777" w:rsidR="00C738A3" w:rsidRPr="00E710DA" w:rsidRDefault="00C738A3" w:rsidP="00C738A3">
            <w:pPr>
              <w:spacing w:after="0" w:line="240" w:lineRule="auto"/>
              <w:rPr>
                <w:color w:val="000000"/>
              </w:rPr>
            </w:pPr>
            <w:r w:rsidRPr="00E710DA">
              <w:rPr>
                <w:color w:val="000000"/>
              </w:rPr>
              <w:t>Spoj s kopnom</w:t>
            </w:r>
          </w:p>
        </w:tc>
      </w:tr>
    </w:tbl>
    <w:p w14:paraId="46ADD4AB" w14:textId="77777777" w:rsidR="00C738A3" w:rsidRPr="00E710DA" w:rsidRDefault="00C738A3" w:rsidP="00C738A3">
      <w:pPr>
        <w:spacing w:after="0" w:line="240" w:lineRule="auto"/>
      </w:pPr>
    </w:p>
    <w:p w14:paraId="15C486CE" w14:textId="77777777" w:rsidR="00C738A3" w:rsidRPr="00E710DA" w:rsidRDefault="00C738A3" w:rsidP="00C738A3">
      <w:pPr>
        <w:pStyle w:val="ListParagraph"/>
        <w:numPr>
          <w:ilvl w:val="0"/>
          <w:numId w:val="12"/>
        </w:numPr>
        <w:spacing w:after="0" w:line="240" w:lineRule="auto"/>
        <w:jc w:val="both"/>
        <w:rPr>
          <w:rFonts w:ascii="Times New Roman" w:hAnsi="Times New Roman" w:cs="Times New Roman"/>
          <w:sz w:val="24"/>
          <w:szCs w:val="24"/>
        </w:rPr>
      </w:pPr>
      <w:r w:rsidRPr="00E710DA">
        <w:rPr>
          <w:rFonts w:ascii="Times New Roman" w:hAnsi="Times New Roman" w:cs="Times New Roman"/>
          <w:sz w:val="24"/>
          <w:szCs w:val="24"/>
        </w:rPr>
        <w:t>zapadno sidrište - dio mora obilježen točkama izraženim u službenom položajnom referentnom koordinatnom sustavu Republike Hrvatske HTRS96/TM:</w:t>
      </w:r>
    </w:p>
    <w:p w14:paraId="2F7448C8" w14:textId="77777777" w:rsidR="00C738A3" w:rsidRPr="00E710DA" w:rsidRDefault="00C738A3" w:rsidP="00C738A3">
      <w:pPr>
        <w:pStyle w:val="ListParagraph"/>
        <w:spacing w:after="0" w:line="240" w:lineRule="auto"/>
        <w:ind w:left="0"/>
        <w:jc w:val="both"/>
        <w:rPr>
          <w:rFonts w:ascii="Times New Roman" w:hAnsi="Times New Roman" w:cs="Times New Roman"/>
          <w:sz w:val="24"/>
          <w:szCs w:val="24"/>
        </w:rPr>
      </w:pPr>
    </w:p>
    <w:tbl>
      <w:tblPr>
        <w:tblW w:w="8222" w:type="dxa"/>
        <w:tblInd w:w="699" w:type="dxa"/>
        <w:tblLayout w:type="fixed"/>
        <w:tblLook w:val="04A0" w:firstRow="1" w:lastRow="0" w:firstColumn="1" w:lastColumn="0" w:noHBand="0" w:noVBand="1"/>
      </w:tblPr>
      <w:tblGrid>
        <w:gridCol w:w="2740"/>
        <w:gridCol w:w="2741"/>
        <w:gridCol w:w="2741"/>
      </w:tblGrid>
      <w:tr w:rsidR="00C738A3" w:rsidRPr="00E710DA" w14:paraId="431C10B5" w14:textId="77777777" w:rsidTr="00D16CC6">
        <w:trPr>
          <w:trHeight w:val="609"/>
        </w:trPr>
        <w:tc>
          <w:tcPr>
            <w:tcW w:w="2740" w:type="dxa"/>
            <w:tcBorders>
              <w:top w:val="single" w:sz="8" w:space="0" w:color="auto"/>
              <w:left w:val="single" w:sz="8" w:space="0" w:color="auto"/>
              <w:bottom w:val="double" w:sz="6" w:space="0" w:color="auto"/>
              <w:right w:val="single" w:sz="4" w:space="0" w:color="auto"/>
            </w:tcBorders>
            <w:shd w:val="clear" w:color="auto" w:fill="auto"/>
            <w:vAlign w:val="center"/>
            <w:hideMark/>
          </w:tcPr>
          <w:p w14:paraId="1B18E020" w14:textId="77777777" w:rsidR="00C738A3" w:rsidRPr="00E710DA" w:rsidRDefault="00C738A3" w:rsidP="00C738A3">
            <w:pPr>
              <w:spacing w:after="0" w:line="240" w:lineRule="auto"/>
              <w:jc w:val="center"/>
              <w:rPr>
                <w:b/>
                <w:bCs/>
                <w:color w:val="000000"/>
                <w:lang w:val="en-US"/>
              </w:rPr>
            </w:pPr>
            <w:r w:rsidRPr="00E710DA">
              <w:rPr>
                <w:b/>
                <w:bCs/>
                <w:color w:val="000000"/>
                <w:lang w:val="en-US"/>
              </w:rPr>
              <w:t>Broj točke</w:t>
            </w:r>
          </w:p>
        </w:tc>
        <w:tc>
          <w:tcPr>
            <w:tcW w:w="2741" w:type="dxa"/>
            <w:tcBorders>
              <w:top w:val="single" w:sz="8" w:space="0" w:color="auto"/>
              <w:left w:val="nil"/>
              <w:bottom w:val="double" w:sz="6" w:space="0" w:color="auto"/>
              <w:right w:val="single" w:sz="4" w:space="0" w:color="auto"/>
            </w:tcBorders>
            <w:shd w:val="clear" w:color="auto" w:fill="auto"/>
            <w:vAlign w:val="center"/>
            <w:hideMark/>
          </w:tcPr>
          <w:p w14:paraId="245AD955" w14:textId="77777777" w:rsidR="00C738A3" w:rsidRPr="00E710DA" w:rsidRDefault="00C738A3" w:rsidP="00C738A3">
            <w:pPr>
              <w:spacing w:after="0" w:line="240" w:lineRule="auto"/>
              <w:jc w:val="center"/>
              <w:rPr>
                <w:b/>
                <w:bCs/>
                <w:color w:val="000000"/>
                <w:lang w:val="it-IT"/>
              </w:rPr>
            </w:pPr>
            <w:r w:rsidRPr="00E710DA">
              <w:rPr>
                <w:b/>
                <w:bCs/>
                <w:color w:val="000000"/>
                <w:lang w:val="it-IT"/>
              </w:rPr>
              <w:t>E koordinata</w:t>
            </w:r>
            <w:r w:rsidRPr="00E710DA">
              <w:rPr>
                <w:b/>
                <w:bCs/>
                <w:color w:val="000000"/>
                <w:lang w:val="it-IT"/>
              </w:rPr>
              <w:br/>
              <w:t>HTRS96/TM (m)</w:t>
            </w:r>
          </w:p>
        </w:tc>
        <w:tc>
          <w:tcPr>
            <w:tcW w:w="2741" w:type="dxa"/>
            <w:tcBorders>
              <w:top w:val="single" w:sz="8" w:space="0" w:color="auto"/>
              <w:left w:val="nil"/>
              <w:bottom w:val="double" w:sz="6" w:space="0" w:color="auto"/>
              <w:right w:val="single" w:sz="8" w:space="0" w:color="auto"/>
            </w:tcBorders>
            <w:shd w:val="clear" w:color="auto" w:fill="auto"/>
            <w:vAlign w:val="center"/>
            <w:hideMark/>
          </w:tcPr>
          <w:p w14:paraId="4C506413" w14:textId="77777777" w:rsidR="00C738A3" w:rsidRPr="00E710DA" w:rsidRDefault="00C738A3" w:rsidP="00C738A3">
            <w:pPr>
              <w:spacing w:after="0" w:line="240" w:lineRule="auto"/>
              <w:jc w:val="center"/>
              <w:rPr>
                <w:b/>
                <w:bCs/>
                <w:color w:val="000000"/>
                <w:lang w:val="it-IT"/>
              </w:rPr>
            </w:pPr>
            <w:r w:rsidRPr="00E710DA">
              <w:rPr>
                <w:b/>
                <w:bCs/>
                <w:color w:val="000000"/>
                <w:lang w:val="it-IT"/>
              </w:rPr>
              <w:t>N koordinata</w:t>
            </w:r>
            <w:r w:rsidRPr="00E710DA">
              <w:rPr>
                <w:b/>
                <w:bCs/>
                <w:color w:val="000000"/>
                <w:lang w:val="it-IT"/>
              </w:rPr>
              <w:br/>
              <w:t>HTRS96/TM (m)</w:t>
            </w:r>
          </w:p>
        </w:tc>
      </w:tr>
      <w:tr w:rsidR="00C738A3" w:rsidRPr="00E710DA" w14:paraId="293C25E5" w14:textId="77777777" w:rsidTr="00D16CC6">
        <w:trPr>
          <w:trHeight w:val="300"/>
        </w:trPr>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26B9C77F" w14:textId="77777777" w:rsidR="00C738A3" w:rsidRPr="00E710DA" w:rsidRDefault="00C738A3" w:rsidP="00C738A3">
            <w:pPr>
              <w:spacing w:after="0" w:line="240" w:lineRule="auto"/>
              <w:jc w:val="center"/>
              <w:rPr>
                <w:lang w:val="en-US"/>
              </w:rPr>
            </w:pPr>
            <w:r w:rsidRPr="00E710DA">
              <w:rPr>
                <w:lang w:val="en-US"/>
              </w:rPr>
              <w:t>1</w:t>
            </w:r>
          </w:p>
        </w:tc>
        <w:tc>
          <w:tcPr>
            <w:tcW w:w="2741" w:type="dxa"/>
            <w:tcBorders>
              <w:top w:val="nil"/>
              <w:left w:val="nil"/>
              <w:bottom w:val="single" w:sz="4" w:space="0" w:color="auto"/>
              <w:right w:val="single" w:sz="4" w:space="0" w:color="auto"/>
            </w:tcBorders>
            <w:shd w:val="clear" w:color="auto" w:fill="auto"/>
            <w:noWrap/>
            <w:vAlign w:val="bottom"/>
            <w:hideMark/>
          </w:tcPr>
          <w:p w14:paraId="40272183" w14:textId="77777777" w:rsidR="00C738A3" w:rsidRPr="00E710DA" w:rsidRDefault="00C738A3" w:rsidP="00C738A3">
            <w:pPr>
              <w:spacing w:after="0" w:line="240" w:lineRule="auto"/>
              <w:jc w:val="center"/>
              <w:rPr>
                <w:lang w:val="en-US"/>
              </w:rPr>
            </w:pPr>
            <w:r w:rsidRPr="00E710DA">
              <w:rPr>
                <w:lang w:val="en-US"/>
              </w:rPr>
              <w:t>329685.60</w:t>
            </w:r>
          </w:p>
        </w:tc>
        <w:tc>
          <w:tcPr>
            <w:tcW w:w="2741" w:type="dxa"/>
            <w:tcBorders>
              <w:top w:val="nil"/>
              <w:left w:val="nil"/>
              <w:bottom w:val="single" w:sz="4" w:space="0" w:color="auto"/>
              <w:right w:val="single" w:sz="8" w:space="0" w:color="auto"/>
            </w:tcBorders>
            <w:shd w:val="clear" w:color="auto" w:fill="auto"/>
            <w:noWrap/>
            <w:vAlign w:val="bottom"/>
            <w:hideMark/>
          </w:tcPr>
          <w:p w14:paraId="383D7848" w14:textId="77777777" w:rsidR="00C738A3" w:rsidRPr="00E710DA" w:rsidRDefault="00C738A3" w:rsidP="00C738A3">
            <w:pPr>
              <w:spacing w:after="0" w:line="240" w:lineRule="auto"/>
              <w:jc w:val="center"/>
              <w:rPr>
                <w:lang w:val="en-US"/>
              </w:rPr>
            </w:pPr>
            <w:r w:rsidRPr="00E710DA">
              <w:rPr>
                <w:lang w:val="en-US"/>
              </w:rPr>
              <w:t>5019125.74</w:t>
            </w:r>
          </w:p>
        </w:tc>
      </w:tr>
      <w:tr w:rsidR="00C738A3" w:rsidRPr="00E710DA" w14:paraId="4AACB507" w14:textId="77777777" w:rsidTr="00D16CC6">
        <w:trPr>
          <w:trHeight w:val="300"/>
        </w:trPr>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03867D77" w14:textId="77777777" w:rsidR="00C738A3" w:rsidRPr="00E710DA" w:rsidRDefault="00C738A3" w:rsidP="00C738A3">
            <w:pPr>
              <w:spacing w:after="0" w:line="240" w:lineRule="auto"/>
              <w:jc w:val="center"/>
              <w:rPr>
                <w:lang w:val="en-US"/>
              </w:rPr>
            </w:pPr>
            <w:r w:rsidRPr="00E710DA">
              <w:rPr>
                <w:lang w:val="en-US"/>
              </w:rPr>
              <w:lastRenderedPageBreak/>
              <w:t>2</w:t>
            </w:r>
          </w:p>
        </w:tc>
        <w:tc>
          <w:tcPr>
            <w:tcW w:w="2741" w:type="dxa"/>
            <w:tcBorders>
              <w:top w:val="nil"/>
              <w:left w:val="nil"/>
              <w:bottom w:val="single" w:sz="4" w:space="0" w:color="auto"/>
              <w:right w:val="single" w:sz="4" w:space="0" w:color="auto"/>
            </w:tcBorders>
            <w:shd w:val="clear" w:color="auto" w:fill="auto"/>
            <w:noWrap/>
            <w:vAlign w:val="bottom"/>
            <w:hideMark/>
          </w:tcPr>
          <w:p w14:paraId="5987E558" w14:textId="77777777" w:rsidR="00C738A3" w:rsidRPr="00E710DA" w:rsidRDefault="00C738A3" w:rsidP="00C738A3">
            <w:pPr>
              <w:spacing w:after="0" w:line="240" w:lineRule="auto"/>
              <w:jc w:val="center"/>
              <w:rPr>
                <w:lang w:val="en-US"/>
              </w:rPr>
            </w:pPr>
            <w:r w:rsidRPr="00E710DA">
              <w:rPr>
                <w:lang w:val="en-US"/>
              </w:rPr>
              <w:t>333336.87</w:t>
            </w:r>
          </w:p>
        </w:tc>
        <w:tc>
          <w:tcPr>
            <w:tcW w:w="2741" w:type="dxa"/>
            <w:tcBorders>
              <w:top w:val="nil"/>
              <w:left w:val="nil"/>
              <w:bottom w:val="single" w:sz="4" w:space="0" w:color="auto"/>
              <w:right w:val="single" w:sz="8" w:space="0" w:color="auto"/>
            </w:tcBorders>
            <w:shd w:val="clear" w:color="auto" w:fill="auto"/>
            <w:noWrap/>
            <w:vAlign w:val="bottom"/>
            <w:hideMark/>
          </w:tcPr>
          <w:p w14:paraId="4D7633C4" w14:textId="77777777" w:rsidR="00C738A3" w:rsidRPr="00E710DA" w:rsidRDefault="00C738A3" w:rsidP="00C738A3">
            <w:pPr>
              <w:spacing w:after="0" w:line="240" w:lineRule="auto"/>
              <w:jc w:val="center"/>
              <w:rPr>
                <w:lang w:val="en-US"/>
              </w:rPr>
            </w:pPr>
            <w:r w:rsidRPr="00E710DA">
              <w:rPr>
                <w:lang w:val="en-US"/>
              </w:rPr>
              <w:t>5023661.48</w:t>
            </w:r>
          </w:p>
        </w:tc>
      </w:tr>
      <w:tr w:rsidR="00C738A3" w:rsidRPr="00E710DA" w14:paraId="5925D96F" w14:textId="77777777" w:rsidTr="00D16CC6">
        <w:trPr>
          <w:trHeight w:val="300"/>
        </w:trPr>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5EA9AAAD" w14:textId="77777777" w:rsidR="00C738A3" w:rsidRPr="00E710DA" w:rsidRDefault="00C738A3" w:rsidP="00C738A3">
            <w:pPr>
              <w:spacing w:after="0" w:line="240" w:lineRule="auto"/>
              <w:jc w:val="center"/>
              <w:rPr>
                <w:lang w:val="en-US"/>
              </w:rPr>
            </w:pPr>
            <w:r w:rsidRPr="00E710DA">
              <w:rPr>
                <w:lang w:val="en-US"/>
              </w:rPr>
              <w:t>3</w:t>
            </w:r>
          </w:p>
        </w:tc>
        <w:tc>
          <w:tcPr>
            <w:tcW w:w="2741" w:type="dxa"/>
            <w:tcBorders>
              <w:top w:val="nil"/>
              <w:left w:val="nil"/>
              <w:bottom w:val="single" w:sz="4" w:space="0" w:color="auto"/>
              <w:right w:val="single" w:sz="4" w:space="0" w:color="auto"/>
            </w:tcBorders>
            <w:shd w:val="clear" w:color="auto" w:fill="auto"/>
            <w:noWrap/>
            <w:vAlign w:val="bottom"/>
            <w:hideMark/>
          </w:tcPr>
          <w:p w14:paraId="2E05A696" w14:textId="77777777" w:rsidR="00C738A3" w:rsidRPr="00E710DA" w:rsidRDefault="00C738A3" w:rsidP="00C738A3">
            <w:pPr>
              <w:spacing w:after="0" w:line="240" w:lineRule="auto"/>
              <w:jc w:val="center"/>
              <w:rPr>
                <w:lang w:val="en-US"/>
              </w:rPr>
            </w:pPr>
            <w:r w:rsidRPr="00E710DA">
              <w:rPr>
                <w:lang w:val="en-US"/>
              </w:rPr>
              <w:t>335794.54</w:t>
            </w:r>
          </w:p>
        </w:tc>
        <w:tc>
          <w:tcPr>
            <w:tcW w:w="2741" w:type="dxa"/>
            <w:tcBorders>
              <w:top w:val="nil"/>
              <w:left w:val="nil"/>
              <w:bottom w:val="single" w:sz="4" w:space="0" w:color="auto"/>
              <w:right w:val="single" w:sz="8" w:space="0" w:color="auto"/>
            </w:tcBorders>
            <w:shd w:val="clear" w:color="auto" w:fill="auto"/>
            <w:noWrap/>
            <w:vAlign w:val="bottom"/>
            <w:hideMark/>
          </w:tcPr>
          <w:p w14:paraId="29D48603" w14:textId="77777777" w:rsidR="00C738A3" w:rsidRPr="00E710DA" w:rsidRDefault="00C738A3" w:rsidP="00C738A3">
            <w:pPr>
              <w:spacing w:after="0" w:line="240" w:lineRule="auto"/>
              <w:jc w:val="center"/>
              <w:rPr>
                <w:lang w:val="en-US"/>
              </w:rPr>
            </w:pPr>
            <w:r w:rsidRPr="00E710DA">
              <w:rPr>
                <w:lang w:val="en-US"/>
              </w:rPr>
              <w:t>5022670.59</w:t>
            </w:r>
          </w:p>
        </w:tc>
      </w:tr>
      <w:tr w:rsidR="00C738A3" w:rsidRPr="00E710DA" w14:paraId="4233DF10" w14:textId="77777777" w:rsidTr="00D16CC6">
        <w:trPr>
          <w:trHeight w:val="300"/>
        </w:trPr>
        <w:tc>
          <w:tcPr>
            <w:tcW w:w="2740" w:type="dxa"/>
            <w:tcBorders>
              <w:top w:val="nil"/>
              <w:left w:val="single" w:sz="8" w:space="0" w:color="auto"/>
              <w:bottom w:val="single" w:sz="8" w:space="0" w:color="auto"/>
              <w:right w:val="single" w:sz="4" w:space="0" w:color="auto"/>
            </w:tcBorders>
            <w:shd w:val="clear" w:color="auto" w:fill="auto"/>
            <w:noWrap/>
            <w:vAlign w:val="bottom"/>
            <w:hideMark/>
          </w:tcPr>
          <w:p w14:paraId="1C1367F2" w14:textId="77777777" w:rsidR="00C738A3" w:rsidRPr="00E710DA" w:rsidRDefault="00C738A3" w:rsidP="00C738A3">
            <w:pPr>
              <w:spacing w:after="0" w:line="240" w:lineRule="auto"/>
              <w:jc w:val="center"/>
              <w:rPr>
                <w:lang w:val="en-US"/>
              </w:rPr>
            </w:pPr>
            <w:r w:rsidRPr="00E710DA">
              <w:rPr>
                <w:lang w:val="en-US"/>
              </w:rPr>
              <w:t>4</w:t>
            </w:r>
          </w:p>
        </w:tc>
        <w:tc>
          <w:tcPr>
            <w:tcW w:w="2741" w:type="dxa"/>
            <w:tcBorders>
              <w:top w:val="nil"/>
              <w:left w:val="nil"/>
              <w:bottom w:val="single" w:sz="8" w:space="0" w:color="auto"/>
              <w:right w:val="single" w:sz="4" w:space="0" w:color="auto"/>
            </w:tcBorders>
            <w:shd w:val="clear" w:color="auto" w:fill="auto"/>
            <w:noWrap/>
            <w:vAlign w:val="bottom"/>
            <w:hideMark/>
          </w:tcPr>
          <w:p w14:paraId="2F87629E" w14:textId="77777777" w:rsidR="00C738A3" w:rsidRPr="00E710DA" w:rsidRDefault="00C738A3" w:rsidP="00C738A3">
            <w:pPr>
              <w:spacing w:after="0" w:line="240" w:lineRule="auto"/>
              <w:jc w:val="center"/>
              <w:rPr>
                <w:lang w:val="en-US"/>
              </w:rPr>
            </w:pPr>
            <w:r w:rsidRPr="00E710DA">
              <w:rPr>
                <w:lang w:val="en-US"/>
              </w:rPr>
              <w:t>331365.14</w:t>
            </w:r>
          </w:p>
        </w:tc>
        <w:tc>
          <w:tcPr>
            <w:tcW w:w="2741" w:type="dxa"/>
            <w:tcBorders>
              <w:top w:val="nil"/>
              <w:left w:val="nil"/>
              <w:bottom w:val="single" w:sz="8" w:space="0" w:color="auto"/>
              <w:right w:val="single" w:sz="8" w:space="0" w:color="auto"/>
            </w:tcBorders>
            <w:shd w:val="clear" w:color="auto" w:fill="auto"/>
            <w:noWrap/>
            <w:vAlign w:val="bottom"/>
            <w:hideMark/>
          </w:tcPr>
          <w:p w14:paraId="77DF079C" w14:textId="77777777" w:rsidR="00C738A3" w:rsidRPr="00E710DA" w:rsidRDefault="00C738A3" w:rsidP="00C738A3">
            <w:pPr>
              <w:spacing w:after="0" w:line="240" w:lineRule="auto"/>
              <w:jc w:val="center"/>
              <w:rPr>
                <w:lang w:val="en-US"/>
              </w:rPr>
            </w:pPr>
            <w:r w:rsidRPr="00E710DA">
              <w:rPr>
                <w:lang w:val="en-US"/>
              </w:rPr>
              <w:t>5018339.50</w:t>
            </w:r>
          </w:p>
        </w:tc>
      </w:tr>
    </w:tbl>
    <w:p w14:paraId="5B013829" w14:textId="77777777" w:rsidR="00C738A3" w:rsidRPr="00E710DA" w:rsidRDefault="00C738A3" w:rsidP="00C738A3">
      <w:pPr>
        <w:spacing w:after="0" w:line="240" w:lineRule="auto"/>
      </w:pPr>
    </w:p>
    <w:p w14:paraId="58D46472" w14:textId="77777777" w:rsidR="00C738A3" w:rsidRPr="00E710DA" w:rsidRDefault="00C738A3" w:rsidP="00C738A3">
      <w:pPr>
        <w:pStyle w:val="ListParagraph"/>
        <w:numPr>
          <w:ilvl w:val="0"/>
          <w:numId w:val="12"/>
        </w:numPr>
        <w:spacing w:after="0" w:line="240" w:lineRule="auto"/>
        <w:jc w:val="both"/>
        <w:rPr>
          <w:rFonts w:ascii="Times New Roman" w:hAnsi="Times New Roman" w:cs="Times New Roman"/>
          <w:sz w:val="24"/>
          <w:szCs w:val="24"/>
        </w:rPr>
      </w:pPr>
      <w:r w:rsidRPr="00E710DA">
        <w:rPr>
          <w:rFonts w:ascii="Times New Roman" w:hAnsi="Times New Roman" w:cs="Times New Roman"/>
          <w:sz w:val="24"/>
          <w:szCs w:val="24"/>
        </w:rPr>
        <w:t>istočno sidrište - dio mora obilježen točkama izraženim u službenom položajnom referentnom koordinatnom sustavu Republike Hrvatske HTRS96/TM:</w:t>
      </w:r>
    </w:p>
    <w:p w14:paraId="671E444D" w14:textId="77777777" w:rsidR="00C738A3" w:rsidRPr="00E710DA" w:rsidRDefault="00C738A3" w:rsidP="00C738A3">
      <w:pPr>
        <w:pStyle w:val="ListParagraph"/>
        <w:spacing w:after="0" w:line="240" w:lineRule="auto"/>
        <w:ind w:left="0"/>
        <w:jc w:val="both"/>
        <w:rPr>
          <w:rFonts w:ascii="Times New Roman" w:hAnsi="Times New Roman" w:cs="Times New Roman"/>
          <w:sz w:val="24"/>
          <w:szCs w:val="24"/>
        </w:rPr>
      </w:pPr>
    </w:p>
    <w:tbl>
      <w:tblPr>
        <w:tblW w:w="8222" w:type="dxa"/>
        <w:tblInd w:w="699" w:type="dxa"/>
        <w:tblLayout w:type="fixed"/>
        <w:tblLook w:val="04A0" w:firstRow="1" w:lastRow="0" w:firstColumn="1" w:lastColumn="0" w:noHBand="0" w:noVBand="1"/>
      </w:tblPr>
      <w:tblGrid>
        <w:gridCol w:w="2740"/>
        <w:gridCol w:w="2741"/>
        <w:gridCol w:w="2741"/>
      </w:tblGrid>
      <w:tr w:rsidR="00C738A3" w:rsidRPr="00E710DA" w14:paraId="7A8424ED" w14:textId="77777777" w:rsidTr="00D16CC6">
        <w:trPr>
          <w:trHeight w:val="425"/>
        </w:trPr>
        <w:tc>
          <w:tcPr>
            <w:tcW w:w="2740" w:type="dxa"/>
            <w:tcBorders>
              <w:top w:val="single" w:sz="8" w:space="0" w:color="auto"/>
              <w:left w:val="single" w:sz="8" w:space="0" w:color="auto"/>
              <w:bottom w:val="double" w:sz="6" w:space="0" w:color="auto"/>
              <w:right w:val="single" w:sz="4" w:space="0" w:color="auto"/>
            </w:tcBorders>
            <w:shd w:val="clear" w:color="auto" w:fill="auto"/>
            <w:vAlign w:val="center"/>
            <w:hideMark/>
          </w:tcPr>
          <w:p w14:paraId="0F2F247A" w14:textId="77777777" w:rsidR="00C738A3" w:rsidRPr="00E710DA" w:rsidRDefault="00C738A3" w:rsidP="00C738A3">
            <w:pPr>
              <w:spacing w:after="0" w:line="240" w:lineRule="auto"/>
              <w:jc w:val="center"/>
              <w:rPr>
                <w:b/>
                <w:bCs/>
                <w:color w:val="000000"/>
                <w:lang w:val="en-US"/>
              </w:rPr>
            </w:pPr>
            <w:r w:rsidRPr="00E710DA">
              <w:rPr>
                <w:b/>
                <w:bCs/>
                <w:color w:val="000000"/>
                <w:lang w:val="en-US"/>
              </w:rPr>
              <w:t>Broj točke</w:t>
            </w:r>
          </w:p>
        </w:tc>
        <w:tc>
          <w:tcPr>
            <w:tcW w:w="2741" w:type="dxa"/>
            <w:tcBorders>
              <w:top w:val="single" w:sz="8" w:space="0" w:color="auto"/>
              <w:left w:val="nil"/>
              <w:bottom w:val="double" w:sz="6" w:space="0" w:color="auto"/>
              <w:right w:val="single" w:sz="4" w:space="0" w:color="auto"/>
            </w:tcBorders>
            <w:shd w:val="clear" w:color="auto" w:fill="auto"/>
            <w:vAlign w:val="center"/>
            <w:hideMark/>
          </w:tcPr>
          <w:p w14:paraId="1E972261" w14:textId="77777777" w:rsidR="00C738A3" w:rsidRPr="00E710DA" w:rsidRDefault="00C738A3" w:rsidP="00C738A3">
            <w:pPr>
              <w:spacing w:after="0" w:line="240" w:lineRule="auto"/>
              <w:jc w:val="center"/>
              <w:rPr>
                <w:b/>
                <w:bCs/>
                <w:color w:val="000000"/>
                <w:lang w:val="it-IT"/>
              </w:rPr>
            </w:pPr>
            <w:r w:rsidRPr="00E710DA">
              <w:rPr>
                <w:b/>
                <w:bCs/>
                <w:color w:val="000000"/>
                <w:lang w:val="it-IT"/>
              </w:rPr>
              <w:t>E koordinata</w:t>
            </w:r>
            <w:r w:rsidRPr="00E710DA">
              <w:rPr>
                <w:b/>
                <w:bCs/>
                <w:color w:val="000000"/>
                <w:lang w:val="it-IT"/>
              </w:rPr>
              <w:br/>
              <w:t>HTRS96/TM (m)</w:t>
            </w:r>
          </w:p>
        </w:tc>
        <w:tc>
          <w:tcPr>
            <w:tcW w:w="2741" w:type="dxa"/>
            <w:tcBorders>
              <w:top w:val="single" w:sz="8" w:space="0" w:color="auto"/>
              <w:left w:val="nil"/>
              <w:bottom w:val="double" w:sz="6" w:space="0" w:color="auto"/>
              <w:right w:val="single" w:sz="8" w:space="0" w:color="auto"/>
            </w:tcBorders>
            <w:shd w:val="clear" w:color="auto" w:fill="auto"/>
            <w:vAlign w:val="center"/>
            <w:hideMark/>
          </w:tcPr>
          <w:p w14:paraId="270EB6B6" w14:textId="77777777" w:rsidR="00C738A3" w:rsidRPr="00E710DA" w:rsidRDefault="00C738A3" w:rsidP="00C738A3">
            <w:pPr>
              <w:spacing w:after="0" w:line="240" w:lineRule="auto"/>
              <w:jc w:val="center"/>
              <w:rPr>
                <w:b/>
                <w:bCs/>
                <w:color w:val="000000"/>
                <w:lang w:val="it-IT"/>
              </w:rPr>
            </w:pPr>
            <w:r w:rsidRPr="00E710DA">
              <w:rPr>
                <w:b/>
                <w:bCs/>
                <w:color w:val="000000"/>
                <w:lang w:val="it-IT"/>
              </w:rPr>
              <w:t>N koordinata</w:t>
            </w:r>
            <w:r w:rsidRPr="00E710DA">
              <w:rPr>
                <w:b/>
                <w:bCs/>
                <w:color w:val="000000"/>
                <w:lang w:val="it-IT"/>
              </w:rPr>
              <w:br/>
              <w:t>HTRS96/TM (m)</w:t>
            </w:r>
          </w:p>
        </w:tc>
      </w:tr>
      <w:tr w:rsidR="00C738A3" w:rsidRPr="00E710DA" w14:paraId="667F7979" w14:textId="77777777" w:rsidTr="00D16CC6">
        <w:trPr>
          <w:trHeight w:val="300"/>
        </w:trPr>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3A899CDF" w14:textId="77777777" w:rsidR="00C738A3" w:rsidRPr="00E710DA" w:rsidRDefault="00C738A3" w:rsidP="00C738A3">
            <w:pPr>
              <w:spacing w:after="0" w:line="240" w:lineRule="auto"/>
              <w:jc w:val="center"/>
              <w:rPr>
                <w:lang w:val="en-US"/>
              </w:rPr>
            </w:pPr>
            <w:r w:rsidRPr="00E710DA">
              <w:rPr>
                <w:lang w:val="en-US"/>
              </w:rPr>
              <w:t>5</w:t>
            </w:r>
          </w:p>
        </w:tc>
        <w:tc>
          <w:tcPr>
            <w:tcW w:w="2741" w:type="dxa"/>
            <w:tcBorders>
              <w:top w:val="nil"/>
              <w:left w:val="nil"/>
              <w:bottom w:val="single" w:sz="4" w:space="0" w:color="auto"/>
              <w:right w:val="single" w:sz="4" w:space="0" w:color="auto"/>
            </w:tcBorders>
            <w:shd w:val="clear" w:color="auto" w:fill="auto"/>
            <w:noWrap/>
            <w:vAlign w:val="bottom"/>
            <w:hideMark/>
          </w:tcPr>
          <w:p w14:paraId="4C53EBC1" w14:textId="77777777" w:rsidR="00C738A3" w:rsidRPr="00E710DA" w:rsidRDefault="00C738A3" w:rsidP="00C738A3">
            <w:pPr>
              <w:spacing w:after="0" w:line="240" w:lineRule="auto"/>
              <w:jc w:val="center"/>
              <w:rPr>
                <w:lang w:val="en-US"/>
              </w:rPr>
            </w:pPr>
            <w:r w:rsidRPr="00E710DA">
              <w:rPr>
                <w:lang w:val="en-US"/>
              </w:rPr>
              <w:t>333814.18</w:t>
            </w:r>
          </w:p>
        </w:tc>
        <w:tc>
          <w:tcPr>
            <w:tcW w:w="2741" w:type="dxa"/>
            <w:tcBorders>
              <w:top w:val="nil"/>
              <w:left w:val="nil"/>
              <w:bottom w:val="single" w:sz="4" w:space="0" w:color="auto"/>
              <w:right w:val="single" w:sz="8" w:space="0" w:color="auto"/>
            </w:tcBorders>
            <w:shd w:val="clear" w:color="auto" w:fill="auto"/>
            <w:noWrap/>
            <w:vAlign w:val="bottom"/>
            <w:hideMark/>
          </w:tcPr>
          <w:p w14:paraId="4A8835A9" w14:textId="77777777" w:rsidR="00C738A3" w:rsidRPr="00E710DA" w:rsidRDefault="00C738A3" w:rsidP="00C738A3">
            <w:pPr>
              <w:spacing w:after="0" w:line="240" w:lineRule="auto"/>
              <w:jc w:val="center"/>
              <w:rPr>
                <w:lang w:val="en-US"/>
              </w:rPr>
            </w:pPr>
            <w:r w:rsidRPr="00E710DA">
              <w:rPr>
                <w:lang w:val="en-US"/>
              </w:rPr>
              <w:t>5016977.05</w:t>
            </w:r>
          </w:p>
        </w:tc>
      </w:tr>
      <w:tr w:rsidR="00C738A3" w:rsidRPr="00E710DA" w14:paraId="7B75A32E" w14:textId="77777777" w:rsidTr="00D16CC6">
        <w:trPr>
          <w:trHeight w:val="300"/>
        </w:trPr>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4363F212" w14:textId="77777777" w:rsidR="00C738A3" w:rsidRPr="00E710DA" w:rsidRDefault="00C738A3" w:rsidP="00C738A3">
            <w:pPr>
              <w:spacing w:after="0" w:line="240" w:lineRule="auto"/>
              <w:jc w:val="center"/>
              <w:rPr>
                <w:lang w:val="en-US"/>
              </w:rPr>
            </w:pPr>
            <w:r w:rsidRPr="00E710DA">
              <w:rPr>
                <w:lang w:val="en-US"/>
              </w:rPr>
              <w:t>6</w:t>
            </w:r>
          </w:p>
        </w:tc>
        <w:tc>
          <w:tcPr>
            <w:tcW w:w="2741" w:type="dxa"/>
            <w:tcBorders>
              <w:top w:val="nil"/>
              <w:left w:val="nil"/>
              <w:bottom w:val="single" w:sz="4" w:space="0" w:color="auto"/>
              <w:right w:val="single" w:sz="4" w:space="0" w:color="auto"/>
            </w:tcBorders>
            <w:shd w:val="clear" w:color="auto" w:fill="auto"/>
            <w:noWrap/>
            <w:vAlign w:val="bottom"/>
            <w:hideMark/>
          </w:tcPr>
          <w:p w14:paraId="6C4A7195" w14:textId="77777777" w:rsidR="00C738A3" w:rsidRPr="00E710DA" w:rsidRDefault="00C738A3" w:rsidP="00C738A3">
            <w:pPr>
              <w:spacing w:after="0" w:line="240" w:lineRule="auto"/>
              <w:jc w:val="center"/>
              <w:rPr>
                <w:lang w:val="en-US"/>
              </w:rPr>
            </w:pPr>
            <w:r w:rsidRPr="00E710DA">
              <w:rPr>
                <w:lang w:val="en-US"/>
              </w:rPr>
              <w:t>336698.63</w:t>
            </w:r>
          </w:p>
        </w:tc>
        <w:tc>
          <w:tcPr>
            <w:tcW w:w="2741" w:type="dxa"/>
            <w:tcBorders>
              <w:top w:val="nil"/>
              <w:left w:val="nil"/>
              <w:bottom w:val="single" w:sz="4" w:space="0" w:color="auto"/>
              <w:right w:val="single" w:sz="8" w:space="0" w:color="auto"/>
            </w:tcBorders>
            <w:shd w:val="clear" w:color="auto" w:fill="auto"/>
            <w:noWrap/>
            <w:vAlign w:val="bottom"/>
            <w:hideMark/>
          </w:tcPr>
          <w:p w14:paraId="7EF4412F" w14:textId="77777777" w:rsidR="00C738A3" w:rsidRPr="00E710DA" w:rsidRDefault="00C738A3" w:rsidP="00C738A3">
            <w:pPr>
              <w:spacing w:after="0" w:line="240" w:lineRule="auto"/>
              <w:jc w:val="center"/>
              <w:rPr>
                <w:lang w:val="en-US"/>
              </w:rPr>
            </w:pPr>
            <w:r w:rsidRPr="00E710DA">
              <w:rPr>
                <w:lang w:val="en-US"/>
              </w:rPr>
              <w:t>5022276.13</w:t>
            </w:r>
          </w:p>
        </w:tc>
      </w:tr>
      <w:tr w:rsidR="00C738A3" w:rsidRPr="00E710DA" w14:paraId="4553A689" w14:textId="77777777" w:rsidTr="00D16CC6">
        <w:trPr>
          <w:trHeight w:val="300"/>
        </w:trPr>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6B020655" w14:textId="77777777" w:rsidR="00C738A3" w:rsidRPr="00E710DA" w:rsidRDefault="00C738A3" w:rsidP="00C738A3">
            <w:pPr>
              <w:spacing w:after="0" w:line="240" w:lineRule="auto"/>
              <w:jc w:val="center"/>
              <w:rPr>
                <w:lang w:val="en-US"/>
              </w:rPr>
            </w:pPr>
            <w:r w:rsidRPr="00E710DA">
              <w:rPr>
                <w:lang w:val="en-US"/>
              </w:rPr>
              <w:t>7</w:t>
            </w:r>
          </w:p>
        </w:tc>
        <w:tc>
          <w:tcPr>
            <w:tcW w:w="2741" w:type="dxa"/>
            <w:tcBorders>
              <w:top w:val="nil"/>
              <w:left w:val="nil"/>
              <w:bottom w:val="single" w:sz="4" w:space="0" w:color="auto"/>
              <w:right w:val="single" w:sz="4" w:space="0" w:color="auto"/>
            </w:tcBorders>
            <w:shd w:val="clear" w:color="auto" w:fill="auto"/>
            <w:noWrap/>
            <w:vAlign w:val="bottom"/>
            <w:hideMark/>
          </w:tcPr>
          <w:p w14:paraId="47B9D700" w14:textId="77777777" w:rsidR="00C738A3" w:rsidRPr="00E710DA" w:rsidRDefault="00C738A3" w:rsidP="00C738A3">
            <w:pPr>
              <w:spacing w:after="0" w:line="240" w:lineRule="auto"/>
              <w:jc w:val="center"/>
              <w:rPr>
                <w:lang w:val="en-US"/>
              </w:rPr>
            </w:pPr>
            <w:r w:rsidRPr="00E710DA">
              <w:rPr>
                <w:lang w:val="en-US"/>
              </w:rPr>
              <w:t>339675.40</w:t>
            </w:r>
          </w:p>
        </w:tc>
        <w:tc>
          <w:tcPr>
            <w:tcW w:w="2741" w:type="dxa"/>
            <w:tcBorders>
              <w:top w:val="nil"/>
              <w:left w:val="nil"/>
              <w:bottom w:val="single" w:sz="4" w:space="0" w:color="auto"/>
              <w:right w:val="single" w:sz="8" w:space="0" w:color="auto"/>
            </w:tcBorders>
            <w:shd w:val="clear" w:color="auto" w:fill="auto"/>
            <w:noWrap/>
            <w:vAlign w:val="bottom"/>
            <w:hideMark/>
          </w:tcPr>
          <w:p w14:paraId="3F79F909" w14:textId="77777777" w:rsidR="00C738A3" w:rsidRPr="00E710DA" w:rsidRDefault="00C738A3" w:rsidP="00C738A3">
            <w:pPr>
              <w:spacing w:after="0" w:line="240" w:lineRule="auto"/>
              <w:jc w:val="center"/>
              <w:rPr>
                <w:lang w:val="en-US"/>
              </w:rPr>
            </w:pPr>
            <w:r w:rsidRPr="00E710DA">
              <w:rPr>
                <w:lang w:val="en-US"/>
              </w:rPr>
              <w:t>5021088.05</w:t>
            </w:r>
          </w:p>
        </w:tc>
      </w:tr>
      <w:tr w:rsidR="00C738A3" w:rsidRPr="00E710DA" w14:paraId="089226E3" w14:textId="77777777" w:rsidTr="00D16CC6">
        <w:trPr>
          <w:trHeight w:val="300"/>
        </w:trPr>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3528AE8F" w14:textId="77777777" w:rsidR="00C738A3" w:rsidRPr="00E710DA" w:rsidRDefault="00C738A3" w:rsidP="00C738A3">
            <w:pPr>
              <w:spacing w:after="0" w:line="240" w:lineRule="auto"/>
              <w:jc w:val="center"/>
              <w:rPr>
                <w:lang w:val="en-US"/>
              </w:rPr>
            </w:pPr>
            <w:r w:rsidRPr="00E710DA">
              <w:rPr>
                <w:lang w:val="en-US"/>
              </w:rPr>
              <w:t>8</w:t>
            </w:r>
          </w:p>
        </w:tc>
        <w:tc>
          <w:tcPr>
            <w:tcW w:w="2741" w:type="dxa"/>
            <w:tcBorders>
              <w:top w:val="nil"/>
              <w:left w:val="nil"/>
              <w:bottom w:val="single" w:sz="4" w:space="0" w:color="auto"/>
              <w:right w:val="single" w:sz="4" w:space="0" w:color="auto"/>
            </w:tcBorders>
            <w:shd w:val="clear" w:color="auto" w:fill="auto"/>
            <w:noWrap/>
            <w:vAlign w:val="bottom"/>
            <w:hideMark/>
          </w:tcPr>
          <w:p w14:paraId="74BD8727" w14:textId="77777777" w:rsidR="00C738A3" w:rsidRPr="00E710DA" w:rsidRDefault="00C738A3" w:rsidP="00C738A3">
            <w:pPr>
              <w:spacing w:after="0" w:line="240" w:lineRule="auto"/>
              <w:jc w:val="center"/>
              <w:rPr>
                <w:lang w:val="en-US"/>
              </w:rPr>
            </w:pPr>
            <w:r w:rsidRPr="00E710DA">
              <w:rPr>
                <w:lang w:val="en-US"/>
              </w:rPr>
              <w:t>340837.46</w:t>
            </w:r>
          </w:p>
        </w:tc>
        <w:tc>
          <w:tcPr>
            <w:tcW w:w="2741" w:type="dxa"/>
            <w:tcBorders>
              <w:top w:val="nil"/>
              <w:left w:val="nil"/>
              <w:bottom w:val="single" w:sz="4" w:space="0" w:color="auto"/>
              <w:right w:val="single" w:sz="8" w:space="0" w:color="auto"/>
            </w:tcBorders>
            <w:shd w:val="clear" w:color="auto" w:fill="auto"/>
            <w:noWrap/>
            <w:vAlign w:val="bottom"/>
            <w:hideMark/>
          </w:tcPr>
          <w:p w14:paraId="25F6CFE4" w14:textId="77777777" w:rsidR="00C738A3" w:rsidRPr="00E710DA" w:rsidRDefault="00C738A3" w:rsidP="00C738A3">
            <w:pPr>
              <w:spacing w:after="0" w:line="240" w:lineRule="auto"/>
              <w:jc w:val="center"/>
              <w:rPr>
                <w:lang w:val="en-US"/>
              </w:rPr>
            </w:pPr>
            <w:r w:rsidRPr="00E710DA">
              <w:rPr>
                <w:lang w:val="en-US"/>
              </w:rPr>
              <w:t>5020502.78</w:t>
            </w:r>
          </w:p>
        </w:tc>
      </w:tr>
      <w:tr w:rsidR="00C738A3" w:rsidRPr="00E710DA" w14:paraId="7A3D1BA5" w14:textId="77777777" w:rsidTr="00D16CC6">
        <w:trPr>
          <w:trHeight w:val="300"/>
        </w:trPr>
        <w:tc>
          <w:tcPr>
            <w:tcW w:w="2740" w:type="dxa"/>
            <w:tcBorders>
              <w:top w:val="nil"/>
              <w:left w:val="single" w:sz="8" w:space="0" w:color="auto"/>
              <w:bottom w:val="single" w:sz="8" w:space="0" w:color="auto"/>
              <w:right w:val="single" w:sz="4" w:space="0" w:color="auto"/>
            </w:tcBorders>
            <w:shd w:val="clear" w:color="auto" w:fill="auto"/>
            <w:noWrap/>
            <w:vAlign w:val="bottom"/>
            <w:hideMark/>
          </w:tcPr>
          <w:p w14:paraId="69EA89C2" w14:textId="77777777" w:rsidR="00C738A3" w:rsidRPr="00E710DA" w:rsidRDefault="00C738A3" w:rsidP="00C738A3">
            <w:pPr>
              <w:spacing w:after="0" w:line="240" w:lineRule="auto"/>
              <w:jc w:val="center"/>
              <w:rPr>
                <w:lang w:val="en-US"/>
              </w:rPr>
            </w:pPr>
            <w:r w:rsidRPr="00E710DA">
              <w:rPr>
                <w:lang w:val="en-US"/>
              </w:rPr>
              <w:t>9</w:t>
            </w:r>
          </w:p>
        </w:tc>
        <w:tc>
          <w:tcPr>
            <w:tcW w:w="2741" w:type="dxa"/>
            <w:tcBorders>
              <w:top w:val="nil"/>
              <w:left w:val="nil"/>
              <w:bottom w:val="single" w:sz="8" w:space="0" w:color="auto"/>
              <w:right w:val="single" w:sz="4" w:space="0" w:color="auto"/>
            </w:tcBorders>
            <w:shd w:val="clear" w:color="auto" w:fill="auto"/>
            <w:noWrap/>
            <w:vAlign w:val="bottom"/>
            <w:hideMark/>
          </w:tcPr>
          <w:p w14:paraId="65B3D9A0" w14:textId="77777777" w:rsidR="00C738A3" w:rsidRPr="00E710DA" w:rsidRDefault="00C738A3" w:rsidP="00C738A3">
            <w:pPr>
              <w:spacing w:after="0" w:line="240" w:lineRule="auto"/>
              <w:jc w:val="center"/>
              <w:rPr>
                <w:lang w:val="en-US"/>
              </w:rPr>
            </w:pPr>
            <w:r w:rsidRPr="00E710DA">
              <w:rPr>
                <w:lang w:val="en-US"/>
              </w:rPr>
              <w:t>338852.55</w:t>
            </w:r>
          </w:p>
        </w:tc>
        <w:tc>
          <w:tcPr>
            <w:tcW w:w="2741" w:type="dxa"/>
            <w:tcBorders>
              <w:top w:val="nil"/>
              <w:left w:val="nil"/>
              <w:bottom w:val="single" w:sz="8" w:space="0" w:color="auto"/>
              <w:right w:val="single" w:sz="8" w:space="0" w:color="auto"/>
            </w:tcBorders>
            <w:shd w:val="clear" w:color="auto" w:fill="auto"/>
            <w:noWrap/>
            <w:vAlign w:val="bottom"/>
            <w:hideMark/>
          </w:tcPr>
          <w:p w14:paraId="3FB0BC85" w14:textId="77777777" w:rsidR="00C738A3" w:rsidRPr="00E710DA" w:rsidRDefault="00C738A3" w:rsidP="00C738A3">
            <w:pPr>
              <w:spacing w:after="0" w:line="240" w:lineRule="auto"/>
              <w:jc w:val="center"/>
              <w:rPr>
                <w:lang w:val="en-US"/>
              </w:rPr>
            </w:pPr>
            <w:r w:rsidRPr="00E710DA">
              <w:rPr>
                <w:lang w:val="en-US"/>
              </w:rPr>
              <w:t>5014437.96</w:t>
            </w:r>
          </w:p>
        </w:tc>
      </w:tr>
    </w:tbl>
    <w:p w14:paraId="155A8746" w14:textId="2DDFBD62" w:rsidR="00C738A3" w:rsidRPr="00265CF9" w:rsidRDefault="00C738A3" w:rsidP="00A35753">
      <w:pPr>
        <w:spacing w:after="0" w:line="240" w:lineRule="auto"/>
        <w:jc w:val="right"/>
      </w:pPr>
      <w:r w:rsidRPr="00265CF9">
        <w:t>„.</w:t>
      </w:r>
    </w:p>
    <w:p w14:paraId="20DC4EC7" w14:textId="77777777" w:rsidR="00A35753" w:rsidRDefault="00A35753" w:rsidP="00C738A3">
      <w:pPr>
        <w:spacing w:after="0" w:line="240" w:lineRule="auto"/>
        <w:ind w:left="360"/>
        <w:jc w:val="center"/>
        <w:rPr>
          <w:lang w:val="en-GB" w:eastAsia="en-GB"/>
        </w:rPr>
      </w:pPr>
    </w:p>
    <w:p w14:paraId="4D04457F" w14:textId="581B0D5B" w:rsidR="00C738A3" w:rsidRPr="00A35753" w:rsidRDefault="00C738A3" w:rsidP="00A35753">
      <w:pPr>
        <w:spacing w:after="0" w:line="240" w:lineRule="auto"/>
        <w:jc w:val="center"/>
        <w:rPr>
          <w:lang w:val="it-IT" w:eastAsia="en-GB"/>
        </w:rPr>
      </w:pPr>
      <w:r w:rsidRPr="00A35753">
        <w:rPr>
          <w:lang w:val="it-IT" w:eastAsia="en-GB"/>
        </w:rPr>
        <w:t>II.</w:t>
      </w:r>
    </w:p>
    <w:p w14:paraId="37EAF466" w14:textId="77777777" w:rsidR="00C738A3" w:rsidRPr="00A35753" w:rsidRDefault="00C738A3" w:rsidP="00C738A3">
      <w:pPr>
        <w:spacing w:after="0" w:line="240" w:lineRule="auto"/>
        <w:jc w:val="center"/>
        <w:rPr>
          <w:lang w:val="it-IT" w:eastAsia="en-GB"/>
        </w:rPr>
      </w:pPr>
    </w:p>
    <w:p w14:paraId="211834D1" w14:textId="77777777" w:rsidR="00C738A3" w:rsidRDefault="00C738A3" w:rsidP="00C738A3">
      <w:pPr>
        <w:spacing w:after="0" w:line="240" w:lineRule="auto"/>
        <w:jc w:val="both"/>
      </w:pPr>
      <w:r>
        <w:t>Točka IV. mijenja se i glasi:</w:t>
      </w:r>
    </w:p>
    <w:p w14:paraId="38AEF577" w14:textId="77777777" w:rsidR="00C738A3" w:rsidRDefault="00C738A3" w:rsidP="00C738A3">
      <w:pPr>
        <w:spacing w:after="0" w:line="240" w:lineRule="auto"/>
        <w:jc w:val="both"/>
      </w:pPr>
    </w:p>
    <w:p w14:paraId="2B0BB145" w14:textId="77777777" w:rsidR="00C738A3" w:rsidRPr="00DA09D5" w:rsidRDefault="00C738A3" w:rsidP="00C738A3">
      <w:pPr>
        <w:spacing w:after="0" w:line="240" w:lineRule="auto"/>
        <w:jc w:val="both"/>
      </w:pPr>
      <w:r>
        <w:t>„</w:t>
      </w:r>
      <w:r w:rsidRPr="00DA09D5">
        <w:t xml:space="preserve">Na području Slobodne zone </w:t>
      </w:r>
      <w:r>
        <w:t>l</w:t>
      </w:r>
      <w:r w:rsidRPr="00DA09D5">
        <w:t>uk</w:t>
      </w:r>
      <w:r>
        <w:t>e</w:t>
      </w:r>
      <w:r w:rsidRPr="00DA09D5">
        <w:t xml:space="preserve"> Rijeka mogu se obavljati sljedeće djelatnosti: proizvodnja robe, oplemenjivanje robe, skladištenje robe</w:t>
      </w:r>
      <w:r>
        <w:t>,</w:t>
      </w:r>
      <w:r w:rsidRPr="00DA09D5">
        <w:t xml:space="preserve"> trgovina na veliko, strateške aktivnosti poslovne podrške, aktivnosti osnivanja tehnoloških razvojno-inovacijskih centara te pružanje usluga, osim bankarskih i drugih novčanih poslova i usluga osiguranja i reosiguranja imovine i osoba. </w:t>
      </w:r>
    </w:p>
    <w:p w14:paraId="7A9C7223" w14:textId="77777777" w:rsidR="00C738A3" w:rsidRPr="00DA09D5" w:rsidRDefault="00C738A3" w:rsidP="00C738A3">
      <w:pPr>
        <w:spacing w:after="0" w:line="240" w:lineRule="auto"/>
        <w:jc w:val="both"/>
      </w:pPr>
      <w:r w:rsidRPr="00DA09D5">
        <w:t xml:space="preserve">U Slobodnoj zoni </w:t>
      </w:r>
      <w:r>
        <w:t>l</w:t>
      </w:r>
      <w:r w:rsidRPr="00DA09D5">
        <w:t>uk</w:t>
      </w:r>
      <w:r>
        <w:t>e</w:t>
      </w:r>
      <w:r w:rsidRPr="00DA09D5">
        <w:t xml:space="preserve"> Rijeka nije dopušteno obavljanje trgovine na malo.</w:t>
      </w:r>
      <w:r>
        <w:t>“.</w:t>
      </w:r>
    </w:p>
    <w:p w14:paraId="5ED3B341" w14:textId="77777777" w:rsidR="00C738A3" w:rsidRDefault="00C738A3" w:rsidP="00C738A3">
      <w:pPr>
        <w:spacing w:after="0" w:line="240" w:lineRule="auto"/>
        <w:jc w:val="both"/>
      </w:pPr>
    </w:p>
    <w:p w14:paraId="1FD6D32C" w14:textId="3CB645CB" w:rsidR="00C738A3" w:rsidRDefault="00A35753" w:rsidP="00C738A3">
      <w:pPr>
        <w:spacing w:after="0" w:line="240" w:lineRule="auto"/>
        <w:jc w:val="center"/>
      </w:pPr>
      <w:r>
        <w:t>III</w:t>
      </w:r>
      <w:r w:rsidR="00C738A3">
        <w:t>.</w:t>
      </w:r>
    </w:p>
    <w:p w14:paraId="0F700F29" w14:textId="77777777" w:rsidR="00C738A3" w:rsidRDefault="00C738A3" w:rsidP="00C738A3">
      <w:pPr>
        <w:spacing w:after="0" w:line="240" w:lineRule="auto"/>
        <w:jc w:val="both"/>
      </w:pPr>
    </w:p>
    <w:p w14:paraId="59025902" w14:textId="77777777" w:rsidR="00C738A3" w:rsidRPr="00E710DA" w:rsidRDefault="00C738A3" w:rsidP="00C738A3">
      <w:pPr>
        <w:spacing w:after="0" w:line="240" w:lineRule="auto"/>
        <w:jc w:val="both"/>
      </w:pPr>
      <w:r w:rsidRPr="00E710DA">
        <w:t>Ova Odluka stupa na snagu danom donošenja, a objavit će se u „Narodnim novinama“.</w:t>
      </w:r>
    </w:p>
    <w:p w14:paraId="4A1D75A5" w14:textId="77777777" w:rsidR="00C738A3" w:rsidRPr="00E710DA" w:rsidRDefault="00C738A3" w:rsidP="00C738A3">
      <w:pPr>
        <w:spacing w:after="0" w:line="240" w:lineRule="auto"/>
        <w:jc w:val="both"/>
      </w:pPr>
    </w:p>
    <w:p w14:paraId="67372590" w14:textId="77777777" w:rsidR="00C738A3" w:rsidRDefault="00C738A3" w:rsidP="00C738A3">
      <w:pPr>
        <w:autoSpaceDE w:val="0"/>
        <w:autoSpaceDN w:val="0"/>
        <w:adjustRightInd w:val="0"/>
        <w:spacing w:after="0" w:line="240" w:lineRule="auto"/>
        <w:rPr>
          <w:rFonts w:eastAsia="Calibri"/>
        </w:rPr>
      </w:pPr>
      <w:r>
        <w:rPr>
          <w:rFonts w:eastAsia="Calibri"/>
        </w:rPr>
        <w:t xml:space="preserve">KLASA: </w:t>
      </w:r>
    </w:p>
    <w:p w14:paraId="49A8F15C" w14:textId="77777777" w:rsidR="00C738A3" w:rsidRDefault="00C738A3" w:rsidP="00C738A3">
      <w:pPr>
        <w:autoSpaceDE w:val="0"/>
        <w:autoSpaceDN w:val="0"/>
        <w:adjustRightInd w:val="0"/>
        <w:spacing w:after="0" w:line="240" w:lineRule="auto"/>
        <w:rPr>
          <w:rFonts w:eastAsia="Calibri"/>
        </w:rPr>
      </w:pPr>
      <w:r>
        <w:rPr>
          <w:rFonts w:eastAsia="Calibri"/>
        </w:rPr>
        <w:t xml:space="preserve">URBROJ: </w:t>
      </w:r>
    </w:p>
    <w:p w14:paraId="71402D69" w14:textId="77777777" w:rsidR="00C738A3" w:rsidRDefault="00C738A3" w:rsidP="00C738A3">
      <w:pPr>
        <w:autoSpaceDE w:val="0"/>
        <w:autoSpaceDN w:val="0"/>
        <w:adjustRightInd w:val="0"/>
        <w:spacing w:after="0" w:line="240" w:lineRule="auto"/>
        <w:rPr>
          <w:rFonts w:eastAsia="Calibri"/>
        </w:rPr>
      </w:pPr>
      <w:r>
        <w:rPr>
          <w:rFonts w:eastAsia="Calibri"/>
        </w:rPr>
        <w:t xml:space="preserve">Zagreb, </w:t>
      </w:r>
    </w:p>
    <w:p w14:paraId="461B10ED" w14:textId="77777777" w:rsidR="00C738A3" w:rsidRDefault="00C738A3" w:rsidP="00C738A3">
      <w:pPr>
        <w:autoSpaceDE w:val="0"/>
        <w:autoSpaceDN w:val="0"/>
        <w:adjustRightInd w:val="0"/>
        <w:spacing w:after="0" w:line="240" w:lineRule="auto"/>
        <w:rPr>
          <w:rFonts w:eastAsia="Calibri"/>
        </w:rPr>
      </w:pPr>
    </w:p>
    <w:p w14:paraId="176530A3" w14:textId="77777777" w:rsidR="00C738A3" w:rsidRDefault="00C738A3" w:rsidP="00C738A3">
      <w:pPr>
        <w:autoSpaceDE w:val="0"/>
        <w:autoSpaceDN w:val="0"/>
        <w:adjustRightInd w:val="0"/>
        <w:spacing w:after="0" w:line="240" w:lineRule="auto"/>
        <w:ind w:left="4248"/>
        <w:jc w:val="center"/>
        <w:rPr>
          <w:rFonts w:eastAsia="Calibri"/>
        </w:rPr>
      </w:pPr>
      <w:r>
        <w:rPr>
          <w:rFonts w:eastAsia="Calibri"/>
        </w:rPr>
        <w:t>PREDSJEDNIK</w:t>
      </w:r>
    </w:p>
    <w:p w14:paraId="20079D35" w14:textId="77777777" w:rsidR="00C738A3" w:rsidRDefault="00C738A3" w:rsidP="00C738A3">
      <w:pPr>
        <w:autoSpaceDE w:val="0"/>
        <w:autoSpaceDN w:val="0"/>
        <w:adjustRightInd w:val="0"/>
        <w:spacing w:after="0" w:line="240" w:lineRule="auto"/>
        <w:ind w:left="4248"/>
        <w:jc w:val="center"/>
        <w:rPr>
          <w:rFonts w:eastAsia="Calibri"/>
        </w:rPr>
      </w:pPr>
    </w:p>
    <w:p w14:paraId="5F26B260" w14:textId="77777777" w:rsidR="00C738A3" w:rsidRDefault="00C738A3" w:rsidP="00C738A3">
      <w:pPr>
        <w:autoSpaceDE w:val="0"/>
        <w:autoSpaceDN w:val="0"/>
        <w:adjustRightInd w:val="0"/>
        <w:spacing w:after="0" w:line="240" w:lineRule="auto"/>
        <w:ind w:left="4248"/>
        <w:jc w:val="center"/>
        <w:rPr>
          <w:rFonts w:eastAsia="Calibri"/>
        </w:rPr>
      </w:pPr>
    </w:p>
    <w:p w14:paraId="6A95E896" w14:textId="77777777" w:rsidR="00C738A3" w:rsidRDefault="00C738A3" w:rsidP="00C738A3">
      <w:pPr>
        <w:spacing w:after="0" w:line="240" w:lineRule="auto"/>
        <w:ind w:left="4968"/>
        <w:contextualSpacing/>
        <w:rPr>
          <w:rFonts w:eastAsia="Calibri"/>
        </w:rPr>
      </w:pPr>
      <w:r>
        <w:rPr>
          <w:rFonts w:eastAsia="Calibri"/>
        </w:rPr>
        <w:t xml:space="preserve">          mr. sc. Andrej Plenković</w:t>
      </w:r>
      <w:r>
        <w:rPr>
          <w:rFonts w:eastAsia="Calibri"/>
          <w:lang w:eastAsia="en-GB"/>
        </w:rPr>
        <w:br w:type="page"/>
      </w:r>
    </w:p>
    <w:p w14:paraId="1408A8EC" w14:textId="77777777" w:rsidR="00C738A3" w:rsidRDefault="00C738A3" w:rsidP="00C738A3">
      <w:pPr>
        <w:spacing w:after="0" w:line="240" w:lineRule="auto"/>
        <w:contextualSpacing/>
        <w:jc w:val="center"/>
        <w:rPr>
          <w:rFonts w:eastAsia="Calibri"/>
        </w:rPr>
      </w:pPr>
      <w:r>
        <w:rPr>
          <w:rFonts w:eastAsia="Calibri"/>
        </w:rPr>
        <w:lastRenderedPageBreak/>
        <w:t>OBRAZLOŽENJE</w:t>
      </w:r>
    </w:p>
    <w:p w14:paraId="2B4524D3" w14:textId="77777777" w:rsidR="00C738A3" w:rsidRDefault="00C738A3" w:rsidP="00C738A3">
      <w:pPr>
        <w:spacing w:after="0" w:line="240" w:lineRule="auto"/>
        <w:contextualSpacing/>
        <w:jc w:val="center"/>
        <w:rPr>
          <w:rFonts w:eastAsia="Calibri"/>
        </w:rPr>
      </w:pPr>
    </w:p>
    <w:p w14:paraId="16A28A3F" w14:textId="77777777" w:rsidR="00C738A3" w:rsidRDefault="00C738A3" w:rsidP="00C738A3">
      <w:pPr>
        <w:spacing w:after="0" w:line="240" w:lineRule="auto"/>
        <w:jc w:val="both"/>
        <w:rPr>
          <w:rFonts w:eastAsia="Calibri"/>
          <w:lang w:eastAsia="en-GB"/>
        </w:rPr>
      </w:pPr>
      <w:r>
        <w:rPr>
          <w:rFonts w:eastAsia="Calibri"/>
        </w:rPr>
        <w:t>Slobodna zona luke Rijeka osnovana je Odlukom o davanju suglasnosti Lučkoj upravi Rijeka za osnivanje Slobodne zone luke Rijeka (Narodne novine, br. 63/97., 62/02., 83/03., 67/09., 78/13., 90/13., 20/14., 40/15. i 119/23., dalje Odluka), a p</w:t>
      </w:r>
      <w:r>
        <w:rPr>
          <w:rFonts w:eastAsia="Calibri"/>
          <w:lang w:eastAsia="en-GB"/>
        </w:rPr>
        <w:t xml:space="preserve">odručje slobodne zone sastoji se od tri odvojene lokacije - bazena Rijeka, Raša i Bakar. </w:t>
      </w:r>
    </w:p>
    <w:p w14:paraId="5EC19C01" w14:textId="77777777" w:rsidR="00C738A3" w:rsidRDefault="00C738A3" w:rsidP="00C738A3">
      <w:pPr>
        <w:spacing w:after="0" w:line="240" w:lineRule="auto"/>
        <w:contextualSpacing/>
        <w:jc w:val="both"/>
        <w:rPr>
          <w:rFonts w:eastAsia="Calibri"/>
        </w:rPr>
      </w:pPr>
    </w:p>
    <w:p w14:paraId="7D19DBEC" w14:textId="35C8B01D" w:rsidR="00991E28" w:rsidRDefault="00C738A3" w:rsidP="00C738A3">
      <w:pPr>
        <w:spacing w:after="0" w:line="240" w:lineRule="auto"/>
        <w:contextualSpacing/>
        <w:jc w:val="both"/>
        <w:rPr>
          <w:rFonts w:eastAsia="Calibri"/>
        </w:rPr>
      </w:pPr>
      <w:r>
        <w:rPr>
          <w:rFonts w:eastAsia="Calibri"/>
        </w:rPr>
        <w:t xml:space="preserve">Lučka uprava Rijeka podnijela je 31. svibnja 2024. Ministarstvu </w:t>
      </w:r>
      <w:r w:rsidR="00C73178">
        <w:rPr>
          <w:rFonts w:eastAsia="Calibri"/>
        </w:rPr>
        <w:t>gospodarstva (dalje Ministars</w:t>
      </w:r>
      <w:r w:rsidR="005D4740">
        <w:rPr>
          <w:rFonts w:eastAsia="Calibri"/>
        </w:rPr>
        <w:t xml:space="preserve">tvo) </w:t>
      </w:r>
      <w:r>
        <w:rPr>
          <w:rFonts w:eastAsia="Calibri"/>
        </w:rPr>
        <w:t xml:space="preserve">Zahtjev za izmjenom područja Slobodne zone luke Rijeka </w:t>
      </w:r>
      <w:r w:rsidR="00991E28">
        <w:rPr>
          <w:rFonts w:eastAsia="Calibri"/>
        </w:rPr>
        <w:t xml:space="preserve">u bazenu Rijeka </w:t>
      </w:r>
      <w:r w:rsidR="005D4740">
        <w:rPr>
          <w:rFonts w:eastAsia="Calibri"/>
        </w:rPr>
        <w:t xml:space="preserve">koji se temelji na </w:t>
      </w:r>
      <w:r w:rsidR="00832DFA">
        <w:rPr>
          <w:rFonts w:eastAsia="Calibri"/>
        </w:rPr>
        <w:t>interesu društva Rijeka Gateway d.o.o., korisnika Slobodne zone luke Rijeka, a ujedno i jedinog koncesionara na kontejnerskom terminalu Rijeka Gateway</w:t>
      </w:r>
      <w:r w:rsidR="00ED52DE">
        <w:rPr>
          <w:rFonts w:eastAsia="Calibri"/>
        </w:rPr>
        <w:t>, da buduće poslovanje obavlja u okviru instituta privremenog smještaja, a ne više u režimu slobodne zone</w:t>
      </w:r>
      <w:r w:rsidR="00991E28">
        <w:rPr>
          <w:rFonts w:eastAsia="Calibri"/>
        </w:rPr>
        <w:t>.</w:t>
      </w:r>
    </w:p>
    <w:p w14:paraId="7BD17EF5" w14:textId="554DCD2D" w:rsidR="003734AF" w:rsidRDefault="003734AF" w:rsidP="00C738A3">
      <w:pPr>
        <w:spacing w:after="0" w:line="240" w:lineRule="auto"/>
        <w:contextualSpacing/>
        <w:jc w:val="both"/>
        <w:rPr>
          <w:rFonts w:eastAsia="Calibri"/>
        </w:rPr>
      </w:pPr>
      <w:r w:rsidRPr="00B43A75">
        <w:rPr>
          <w:rFonts w:eastAsia="Calibri"/>
        </w:rPr>
        <w:t>S</w:t>
      </w:r>
      <w:r>
        <w:rPr>
          <w:rFonts w:eastAsia="Calibri"/>
        </w:rPr>
        <w:t>ukladno podnesenom Zahtjevu iz sv</w:t>
      </w:r>
      <w:r w:rsidRPr="00B43A75">
        <w:rPr>
          <w:rFonts w:eastAsia="Calibri"/>
        </w:rPr>
        <w:t>ibnj</w:t>
      </w:r>
      <w:r>
        <w:rPr>
          <w:rFonts w:eastAsia="Calibri"/>
        </w:rPr>
        <w:t>a</w:t>
      </w:r>
      <w:r w:rsidRPr="00B43A75">
        <w:rPr>
          <w:rFonts w:eastAsia="Calibri"/>
        </w:rPr>
        <w:t xml:space="preserve"> 2024. </w:t>
      </w:r>
      <w:r>
        <w:rPr>
          <w:rFonts w:eastAsia="Calibri"/>
        </w:rPr>
        <w:t xml:space="preserve">kopneni dio </w:t>
      </w:r>
      <w:r w:rsidRPr="00B43A75">
        <w:rPr>
          <w:rFonts w:eastAsia="Calibri"/>
        </w:rPr>
        <w:t>područj</w:t>
      </w:r>
      <w:r>
        <w:rPr>
          <w:rFonts w:eastAsia="Calibri"/>
        </w:rPr>
        <w:t>a</w:t>
      </w:r>
      <w:r w:rsidRPr="00B43A75">
        <w:rPr>
          <w:rFonts w:eastAsia="Calibri"/>
        </w:rPr>
        <w:t xml:space="preserve"> slobodne zone</w:t>
      </w:r>
      <w:r>
        <w:rPr>
          <w:rFonts w:eastAsia="Calibri"/>
        </w:rPr>
        <w:t xml:space="preserve"> u</w:t>
      </w:r>
      <w:r w:rsidRPr="00B43A75">
        <w:rPr>
          <w:rFonts w:eastAsia="Calibri"/>
        </w:rPr>
        <w:t xml:space="preserve"> bazenu Rijeka smanjio</w:t>
      </w:r>
      <w:r>
        <w:rPr>
          <w:rFonts w:eastAsia="Calibri"/>
        </w:rPr>
        <w:t xml:space="preserve"> b</w:t>
      </w:r>
      <w:r w:rsidRPr="00B43A75">
        <w:rPr>
          <w:rFonts w:eastAsia="Calibri"/>
        </w:rPr>
        <w:t>i se za 205.563 m</w:t>
      </w:r>
      <w:r w:rsidRPr="004546F2">
        <w:rPr>
          <w:rFonts w:eastAsia="Calibri"/>
          <w:vertAlign w:val="superscript"/>
        </w:rPr>
        <w:t>2</w:t>
      </w:r>
      <w:r w:rsidRPr="00B43A75">
        <w:rPr>
          <w:rFonts w:eastAsia="Calibri"/>
        </w:rPr>
        <w:t>, a morski dio za 2.987.303 m</w:t>
      </w:r>
      <w:r w:rsidRPr="004546F2">
        <w:rPr>
          <w:rFonts w:eastAsia="Calibri"/>
          <w:vertAlign w:val="superscript"/>
        </w:rPr>
        <w:t>2</w:t>
      </w:r>
      <w:r w:rsidRPr="00B43A75">
        <w:rPr>
          <w:rFonts w:eastAsia="Calibri"/>
        </w:rPr>
        <w:t>.</w:t>
      </w:r>
    </w:p>
    <w:p w14:paraId="3DF04D1C" w14:textId="77777777" w:rsidR="003734AF" w:rsidRDefault="003734AF" w:rsidP="00C738A3">
      <w:pPr>
        <w:spacing w:after="0" w:line="240" w:lineRule="auto"/>
        <w:contextualSpacing/>
        <w:jc w:val="both"/>
        <w:rPr>
          <w:rFonts w:eastAsia="Calibri"/>
        </w:rPr>
      </w:pPr>
    </w:p>
    <w:p w14:paraId="5F96D9EB" w14:textId="4A5B4E2E" w:rsidR="000D76CE" w:rsidRDefault="00110FB9" w:rsidP="007A4099">
      <w:pPr>
        <w:spacing w:after="0" w:line="240" w:lineRule="auto"/>
        <w:contextualSpacing/>
        <w:jc w:val="both"/>
        <w:rPr>
          <w:rFonts w:eastAsia="Calibri"/>
        </w:rPr>
      </w:pPr>
      <w:r>
        <w:rPr>
          <w:rFonts w:eastAsia="Calibri"/>
        </w:rPr>
        <w:t>P</w:t>
      </w:r>
      <w:r w:rsidRPr="000B4AF4">
        <w:rPr>
          <w:rFonts w:eastAsia="Calibri"/>
        </w:rPr>
        <w:t xml:space="preserve">reduvjet za pokretanje odvojenog postupka kojim bi se omogućila primjena instituta privremenog smještaja na području koje je u ovom trenutku i dio slobodne zone i dio koncesijskog područja </w:t>
      </w:r>
      <w:r w:rsidR="000D76CE">
        <w:rPr>
          <w:rFonts w:eastAsia="Calibri"/>
        </w:rPr>
        <w:t xml:space="preserve">temeljem </w:t>
      </w:r>
      <w:r w:rsidR="000D76CE" w:rsidRPr="000B4AF4">
        <w:rPr>
          <w:rFonts w:eastAsia="Calibri"/>
        </w:rPr>
        <w:t>Ugovor</w:t>
      </w:r>
      <w:r w:rsidR="000D76CE">
        <w:rPr>
          <w:rFonts w:eastAsia="Calibri"/>
        </w:rPr>
        <w:t>a</w:t>
      </w:r>
      <w:r w:rsidR="000D76CE" w:rsidRPr="000B4AF4">
        <w:rPr>
          <w:rFonts w:eastAsia="Calibri"/>
        </w:rPr>
        <w:t xml:space="preserve"> o koncesiji</w:t>
      </w:r>
      <w:r w:rsidR="00852B58">
        <w:rPr>
          <w:rFonts w:eastAsia="Calibri"/>
        </w:rPr>
        <w:t xml:space="preserve"> </w:t>
      </w:r>
      <w:r w:rsidR="00CE6188">
        <w:rPr>
          <w:rFonts w:eastAsia="Calibri"/>
        </w:rPr>
        <w:t xml:space="preserve">sklopljenog </w:t>
      </w:r>
      <w:r w:rsidR="00852B58">
        <w:rPr>
          <w:rFonts w:eastAsia="Calibri"/>
        </w:rPr>
        <w:t>između davatelja koncesije Lučke uprave Rijeka i koncesionara društva Rijeka Gateway d.o.o</w:t>
      </w:r>
      <w:r w:rsidR="00897BB8">
        <w:rPr>
          <w:rFonts w:eastAsia="Calibri"/>
        </w:rPr>
        <w:t>., je izuzimanje tog područja iz režima slobodne zone.</w:t>
      </w:r>
    </w:p>
    <w:p w14:paraId="62BF81F2" w14:textId="77777777" w:rsidR="00897BB8" w:rsidRDefault="00897BB8" w:rsidP="007A4099">
      <w:pPr>
        <w:spacing w:after="0" w:line="240" w:lineRule="auto"/>
        <w:contextualSpacing/>
        <w:jc w:val="both"/>
        <w:rPr>
          <w:rFonts w:eastAsia="Calibri"/>
        </w:rPr>
      </w:pPr>
    </w:p>
    <w:p w14:paraId="6F974544" w14:textId="50D28305" w:rsidR="007A4099" w:rsidRPr="000B4AF4" w:rsidRDefault="00150CB3" w:rsidP="007A4099">
      <w:pPr>
        <w:spacing w:after="0" w:line="240" w:lineRule="auto"/>
        <w:contextualSpacing/>
        <w:jc w:val="both"/>
        <w:rPr>
          <w:rFonts w:eastAsia="Calibri"/>
        </w:rPr>
      </w:pPr>
      <w:r w:rsidRPr="000B4AF4">
        <w:rPr>
          <w:rFonts w:eastAsia="Calibri"/>
        </w:rPr>
        <w:t>D</w:t>
      </w:r>
      <w:r w:rsidR="00FC6EFF" w:rsidRPr="000B4AF4">
        <w:rPr>
          <w:rFonts w:eastAsia="Calibri"/>
        </w:rPr>
        <w:t xml:space="preserve">ruštvo Rijeka Gateway d.o.o. </w:t>
      </w:r>
      <w:r w:rsidR="00410AFA">
        <w:rPr>
          <w:rFonts w:eastAsia="Calibri"/>
        </w:rPr>
        <w:t xml:space="preserve">smatra kako je </w:t>
      </w:r>
      <w:r w:rsidR="008735A3">
        <w:rPr>
          <w:rFonts w:eastAsia="Calibri"/>
        </w:rPr>
        <w:t xml:space="preserve">poslovanje u okviru instituta privremenog smještaja </w:t>
      </w:r>
      <w:r w:rsidR="00A20ED6" w:rsidRPr="000B4AF4">
        <w:t>optimal</w:t>
      </w:r>
      <w:r w:rsidR="00A20ED6">
        <w:t>a</w:t>
      </w:r>
      <w:r w:rsidR="00A20ED6" w:rsidRPr="000B4AF4">
        <w:t>n model poslovanja na budućem kontejnerskom terminalu</w:t>
      </w:r>
      <w:r w:rsidR="00A50A16">
        <w:t xml:space="preserve"> zbog </w:t>
      </w:r>
      <w:r w:rsidR="003B7260">
        <w:rPr>
          <w:rFonts w:eastAsia="Calibri"/>
        </w:rPr>
        <w:t>mogućno</w:t>
      </w:r>
      <w:r w:rsidR="00A50A16">
        <w:rPr>
          <w:rFonts w:eastAsia="Calibri"/>
        </w:rPr>
        <w:t>sti</w:t>
      </w:r>
      <w:r w:rsidR="003B7260">
        <w:rPr>
          <w:rFonts w:eastAsia="Calibri"/>
        </w:rPr>
        <w:t xml:space="preserve"> korištenja pojednostavljenih i učinkovitijih procedura dostupnih u carinskom zakonodavstvu Europske unije i Republike Hrvatske u okviru instituta privremenog smještaja. </w:t>
      </w:r>
      <w:r w:rsidR="003B7260">
        <w:rPr>
          <w:rFonts w:cs="Times New Roman"/>
          <w:szCs w:val="24"/>
        </w:rPr>
        <w:t xml:space="preserve">Nadalje, </w:t>
      </w:r>
      <w:r w:rsidR="007A4099" w:rsidRPr="000B4AF4">
        <w:rPr>
          <w:rFonts w:cs="Times New Roman"/>
          <w:szCs w:val="24"/>
        </w:rPr>
        <w:t>po</w:t>
      </w:r>
      <w:r w:rsidR="00A50A16">
        <w:rPr>
          <w:rFonts w:cs="Times New Roman"/>
          <w:szCs w:val="24"/>
        </w:rPr>
        <w:t xml:space="preserve">sebno se ističe </w:t>
      </w:r>
      <w:r w:rsidR="007A4099" w:rsidRPr="000B4AF4">
        <w:rPr>
          <w:rFonts w:cs="Times New Roman"/>
          <w:szCs w:val="24"/>
        </w:rPr>
        <w:t xml:space="preserve">kako promjena statusa </w:t>
      </w:r>
      <w:r w:rsidR="000545CA">
        <w:rPr>
          <w:rFonts w:cs="Times New Roman"/>
          <w:szCs w:val="24"/>
        </w:rPr>
        <w:t xml:space="preserve">tog </w:t>
      </w:r>
      <w:r w:rsidR="007A4099" w:rsidRPr="000B4AF4">
        <w:rPr>
          <w:rFonts w:cs="Times New Roman"/>
          <w:szCs w:val="24"/>
        </w:rPr>
        <w:t>područja iz režima slobodne zone u institut privremenog smještaja neće ni na koji način utjecati na djelatnost operatera terminala koju obavlja društvo Rijeka Gateway d.o.o., obzirom da njihova djelatnost ostaje u potpunosti identična onoj kako je definirana Ugovorom o koncesiji. Usluge koje će društvo Rijeka Gateway d.o.o., kao koncesionar pružati temeljem Ugovora o koncesiji ostaju iste, dok uvođenjem instituta privremenog smještaja dolazi isključivo do povećane efikasnosti carinskih procesa, a time i veće operativnosti samog terminala.</w:t>
      </w:r>
    </w:p>
    <w:p w14:paraId="587EA616" w14:textId="77777777" w:rsidR="00B846D2" w:rsidRPr="000B4AF4" w:rsidRDefault="00B846D2" w:rsidP="00B846D2">
      <w:pPr>
        <w:pStyle w:val="NoSpacing"/>
        <w:jc w:val="both"/>
        <w:rPr>
          <w:lang w:val="hr-HR"/>
        </w:rPr>
      </w:pPr>
    </w:p>
    <w:p w14:paraId="640A3AB2" w14:textId="7C67B896" w:rsidR="00B846D2" w:rsidRPr="000B4AF4" w:rsidRDefault="00145EF9" w:rsidP="00B846D2">
      <w:pPr>
        <w:pStyle w:val="NoSpacing"/>
        <w:jc w:val="both"/>
        <w:rPr>
          <w:rFonts w:ascii="Times New Roman" w:hAnsi="Times New Roman" w:cs="Times New Roman"/>
          <w:sz w:val="24"/>
          <w:szCs w:val="24"/>
          <w:lang w:val="hr-HR"/>
        </w:rPr>
      </w:pPr>
      <w:r w:rsidRPr="000B4AF4">
        <w:rPr>
          <w:rFonts w:ascii="Times New Roman" w:hAnsi="Times New Roman" w:cs="Times New Roman"/>
          <w:sz w:val="24"/>
          <w:szCs w:val="24"/>
          <w:lang w:val="hr-HR"/>
        </w:rPr>
        <w:t>Pravn</w:t>
      </w:r>
      <w:r w:rsidR="003B7260">
        <w:rPr>
          <w:rFonts w:ascii="Times New Roman" w:hAnsi="Times New Roman" w:cs="Times New Roman"/>
          <w:sz w:val="24"/>
          <w:szCs w:val="24"/>
          <w:lang w:val="hr-HR"/>
        </w:rPr>
        <w:t>a</w:t>
      </w:r>
      <w:r w:rsidRPr="000B4AF4">
        <w:rPr>
          <w:rFonts w:ascii="Times New Roman" w:hAnsi="Times New Roman" w:cs="Times New Roman"/>
          <w:sz w:val="24"/>
          <w:szCs w:val="24"/>
          <w:lang w:val="hr-HR"/>
        </w:rPr>
        <w:t xml:space="preserve"> </w:t>
      </w:r>
      <w:r w:rsidR="00B846D2" w:rsidRPr="000B4AF4">
        <w:rPr>
          <w:rFonts w:ascii="Times New Roman" w:hAnsi="Times New Roman" w:cs="Times New Roman"/>
          <w:sz w:val="24"/>
          <w:szCs w:val="24"/>
          <w:lang w:val="hr-HR"/>
        </w:rPr>
        <w:t>osnov</w:t>
      </w:r>
      <w:r w:rsidR="003B7260">
        <w:rPr>
          <w:rFonts w:ascii="Times New Roman" w:hAnsi="Times New Roman" w:cs="Times New Roman"/>
          <w:sz w:val="24"/>
          <w:szCs w:val="24"/>
          <w:lang w:val="hr-HR"/>
        </w:rPr>
        <w:t>a</w:t>
      </w:r>
      <w:r w:rsidR="00B846D2" w:rsidRPr="000B4AF4">
        <w:rPr>
          <w:rFonts w:ascii="Times New Roman" w:hAnsi="Times New Roman" w:cs="Times New Roman"/>
          <w:sz w:val="24"/>
          <w:szCs w:val="24"/>
          <w:lang w:val="hr-HR"/>
        </w:rPr>
        <w:t xml:space="preserve"> koja uređuju uvjete potrebne za stjecanje statusa</w:t>
      </w:r>
      <w:r w:rsidR="000B4AF4">
        <w:rPr>
          <w:rFonts w:ascii="Times New Roman" w:hAnsi="Times New Roman" w:cs="Times New Roman"/>
          <w:sz w:val="24"/>
          <w:szCs w:val="24"/>
          <w:lang w:val="hr-HR"/>
        </w:rPr>
        <w:t xml:space="preserve"> odnosno primjenu instituta</w:t>
      </w:r>
      <w:r w:rsidR="003D5916">
        <w:rPr>
          <w:rFonts w:ascii="Times New Roman" w:hAnsi="Times New Roman" w:cs="Times New Roman"/>
          <w:sz w:val="24"/>
          <w:szCs w:val="24"/>
          <w:lang w:val="hr-HR"/>
        </w:rPr>
        <w:t xml:space="preserve"> </w:t>
      </w:r>
      <w:r w:rsidR="00B846D2" w:rsidRPr="000B4AF4">
        <w:rPr>
          <w:rFonts w:ascii="Times New Roman" w:hAnsi="Times New Roman" w:cs="Times New Roman"/>
          <w:sz w:val="24"/>
          <w:szCs w:val="24"/>
          <w:lang w:val="hr-HR"/>
        </w:rPr>
        <w:t xml:space="preserve">privremenog smještaja te njegovo kasnije funkcioniranje </w:t>
      </w:r>
      <w:r w:rsidR="003B7260">
        <w:rPr>
          <w:rFonts w:ascii="Times New Roman" w:hAnsi="Times New Roman" w:cs="Times New Roman"/>
          <w:sz w:val="24"/>
          <w:szCs w:val="24"/>
          <w:lang w:val="hr-HR"/>
        </w:rPr>
        <w:t xml:space="preserve">obuhvaća </w:t>
      </w:r>
      <w:r w:rsidR="00B846D2" w:rsidRPr="000B4AF4">
        <w:rPr>
          <w:rFonts w:ascii="Times New Roman" w:hAnsi="Times New Roman" w:cs="Times New Roman"/>
          <w:sz w:val="24"/>
          <w:szCs w:val="24"/>
          <w:lang w:val="hr-HR"/>
        </w:rPr>
        <w:t>sljedeć</w:t>
      </w:r>
      <w:r w:rsidR="003B7260">
        <w:rPr>
          <w:rFonts w:ascii="Times New Roman" w:hAnsi="Times New Roman" w:cs="Times New Roman"/>
          <w:sz w:val="24"/>
          <w:szCs w:val="24"/>
          <w:lang w:val="hr-HR"/>
        </w:rPr>
        <w:t>e</w:t>
      </w:r>
      <w:r w:rsidR="00B846D2" w:rsidRPr="000B4AF4">
        <w:rPr>
          <w:rFonts w:ascii="Times New Roman" w:hAnsi="Times New Roman" w:cs="Times New Roman"/>
          <w:sz w:val="24"/>
          <w:szCs w:val="24"/>
          <w:lang w:val="hr-HR"/>
        </w:rPr>
        <w:t xml:space="preserve"> propis</w:t>
      </w:r>
      <w:r w:rsidR="003B7260">
        <w:rPr>
          <w:rFonts w:ascii="Times New Roman" w:hAnsi="Times New Roman" w:cs="Times New Roman"/>
          <w:sz w:val="24"/>
          <w:szCs w:val="24"/>
          <w:lang w:val="hr-HR"/>
        </w:rPr>
        <w:t>e</w:t>
      </w:r>
      <w:r w:rsidR="00B846D2" w:rsidRPr="000B4AF4">
        <w:rPr>
          <w:rFonts w:ascii="Times New Roman" w:hAnsi="Times New Roman" w:cs="Times New Roman"/>
          <w:sz w:val="24"/>
          <w:szCs w:val="24"/>
          <w:lang w:val="hr-HR"/>
        </w:rPr>
        <w:t>:</w:t>
      </w:r>
    </w:p>
    <w:p w14:paraId="777AAB4F" w14:textId="77777777" w:rsidR="00B846D2" w:rsidRPr="000B4AF4" w:rsidRDefault="00B846D2" w:rsidP="00B846D2">
      <w:pPr>
        <w:pStyle w:val="NoSpacing"/>
        <w:ind w:left="180" w:hanging="180"/>
        <w:jc w:val="both"/>
        <w:rPr>
          <w:rFonts w:ascii="Times New Roman" w:hAnsi="Times New Roman" w:cs="Times New Roman"/>
          <w:sz w:val="24"/>
          <w:szCs w:val="24"/>
          <w:lang w:val="hr-HR"/>
        </w:rPr>
      </w:pPr>
      <w:r w:rsidRPr="000B4AF4">
        <w:rPr>
          <w:rFonts w:ascii="Times New Roman" w:hAnsi="Times New Roman" w:cs="Times New Roman"/>
          <w:sz w:val="24"/>
          <w:szCs w:val="24"/>
          <w:lang w:val="hr-HR"/>
        </w:rPr>
        <w:t xml:space="preserve">- Uredba (EU) br. 952/2013 Europskog parlamenta i Vijeća o Carinskom zakoniku Unije (SL L 269, od 10.10.2013) s izmjenama i dopunama; </w:t>
      </w:r>
    </w:p>
    <w:p w14:paraId="380ADE13" w14:textId="77777777" w:rsidR="00B846D2" w:rsidRPr="000B4AF4" w:rsidRDefault="00B846D2" w:rsidP="00B846D2">
      <w:pPr>
        <w:pStyle w:val="NoSpacing"/>
        <w:ind w:left="180" w:hanging="180"/>
        <w:jc w:val="both"/>
        <w:rPr>
          <w:rFonts w:ascii="Times New Roman" w:hAnsi="Times New Roman" w:cs="Times New Roman"/>
          <w:sz w:val="24"/>
          <w:szCs w:val="24"/>
          <w:lang w:val="hr-HR"/>
        </w:rPr>
      </w:pPr>
      <w:r w:rsidRPr="000B4AF4">
        <w:rPr>
          <w:rFonts w:ascii="Times New Roman" w:hAnsi="Times New Roman" w:cs="Times New Roman"/>
          <w:sz w:val="24"/>
          <w:szCs w:val="24"/>
          <w:lang w:val="hr-HR"/>
        </w:rPr>
        <w:t>− Delegirana uredba Komisije (EU) br. 2015/2446 o dopuni Uredbe (EU) br. 952/2013 Europskog parlamenta i Vijeća koja se odnose na pojedine odredbe Carinskog zakonika Unije (SL L 343/1, 29.12.2015.) s izmjenama i dopunama;</w:t>
      </w:r>
    </w:p>
    <w:p w14:paraId="13F659CB" w14:textId="77777777" w:rsidR="00B846D2" w:rsidRPr="000B4AF4" w:rsidRDefault="00B846D2" w:rsidP="00B846D2">
      <w:pPr>
        <w:pStyle w:val="NoSpacing"/>
        <w:ind w:left="180" w:hanging="180"/>
        <w:jc w:val="both"/>
        <w:rPr>
          <w:rFonts w:ascii="Times New Roman" w:hAnsi="Times New Roman" w:cs="Times New Roman"/>
          <w:sz w:val="24"/>
          <w:szCs w:val="24"/>
          <w:lang w:val="hr-HR"/>
        </w:rPr>
      </w:pPr>
      <w:r w:rsidRPr="000B4AF4">
        <w:rPr>
          <w:rFonts w:ascii="Times New Roman" w:hAnsi="Times New Roman" w:cs="Times New Roman"/>
          <w:sz w:val="24"/>
          <w:szCs w:val="24"/>
          <w:lang w:val="hr-HR"/>
        </w:rPr>
        <w:lastRenderedPageBreak/>
        <w:t>− Provedbena uredba Komisije (EU) br. 2015/2447 o utvrđivanju detaljnih pravila za provedbu određenih odredbi Uredbe (EU) br. 952/2013 Europskog parlamenta i Vijeća o utvrđivanju Carinskog zakonika Unije (SL L 343/558, 29.12.2015) s izmjenama i dopunama;</w:t>
      </w:r>
    </w:p>
    <w:p w14:paraId="6CDF80E2" w14:textId="2EF05CBD" w:rsidR="00B846D2" w:rsidRPr="00B846D2" w:rsidRDefault="00B846D2" w:rsidP="00B846D2">
      <w:pPr>
        <w:pStyle w:val="NoSpacing"/>
        <w:jc w:val="both"/>
        <w:rPr>
          <w:rFonts w:ascii="Times New Roman" w:hAnsi="Times New Roman" w:cs="Times New Roman"/>
          <w:sz w:val="24"/>
          <w:szCs w:val="24"/>
          <w:lang w:val="hr-HR"/>
        </w:rPr>
      </w:pPr>
      <w:r w:rsidRPr="000B4AF4">
        <w:rPr>
          <w:rFonts w:ascii="Times New Roman" w:hAnsi="Times New Roman" w:cs="Times New Roman"/>
          <w:sz w:val="24"/>
          <w:szCs w:val="24"/>
          <w:lang w:val="hr-HR"/>
        </w:rPr>
        <w:t>− Zakon o provedbi carinskog zakonodavstva Europske unije (Narodne novine, br. 40/16.).</w:t>
      </w:r>
      <w:r w:rsidRPr="00B846D2">
        <w:rPr>
          <w:rFonts w:ascii="Times New Roman" w:hAnsi="Times New Roman" w:cs="Times New Roman"/>
          <w:sz w:val="24"/>
          <w:szCs w:val="24"/>
          <w:lang w:val="hr-HR"/>
        </w:rPr>
        <w:t xml:space="preserve"> </w:t>
      </w:r>
    </w:p>
    <w:p w14:paraId="0E40F092" w14:textId="77777777" w:rsidR="006F2619" w:rsidRDefault="006F2619" w:rsidP="00C738A3">
      <w:pPr>
        <w:spacing w:after="0" w:line="240" w:lineRule="auto"/>
        <w:contextualSpacing/>
        <w:jc w:val="both"/>
        <w:rPr>
          <w:rFonts w:eastAsia="Calibri"/>
        </w:rPr>
      </w:pPr>
    </w:p>
    <w:p w14:paraId="058D95D0" w14:textId="4BBA0FAA" w:rsidR="00C738A3" w:rsidRPr="001E33D1" w:rsidRDefault="00C738A3" w:rsidP="00C738A3">
      <w:pPr>
        <w:spacing w:after="0" w:line="240" w:lineRule="auto"/>
        <w:contextualSpacing/>
        <w:jc w:val="both"/>
        <w:rPr>
          <w:rFonts w:eastAsia="Calibri"/>
        </w:rPr>
      </w:pPr>
      <w:r w:rsidRPr="001E33D1">
        <w:rPr>
          <w:rFonts w:eastAsia="Calibri"/>
        </w:rPr>
        <w:t xml:space="preserve">U cilju utvrđivanja utječe li izuzimanje područja iz režima slobodne zone na gore navedeni Ugovor o koncesiji, Lučka uprava Rijeka se očitovala da su potpisnice Ugovora o koncesiji suglasne s izmjenom Ugovora </w:t>
      </w:r>
      <w:r w:rsidR="00F57375">
        <w:rPr>
          <w:rFonts w:eastAsia="Calibri"/>
        </w:rPr>
        <w:t>čime</w:t>
      </w:r>
      <w:r w:rsidRPr="001E33D1">
        <w:rPr>
          <w:rFonts w:eastAsia="Calibri"/>
        </w:rPr>
        <w:t xml:space="preserve"> bi se uzelo u obzir ukidanje režima slobodne zone na području koje time prestaje biti dio slobodne zone, a</w:t>
      </w:r>
      <w:r>
        <w:rPr>
          <w:rFonts w:eastAsia="Calibri"/>
        </w:rPr>
        <w:t>li</w:t>
      </w:r>
      <w:r w:rsidRPr="001E33D1">
        <w:rPr>
          <w:rFonts w:eastAsia="Calibri"/>
        </w:rPr>
        <w:t xml:space="preserve"> ostaje dio koncesijskog područja. Izmjene će se provesti do početka rada kontejnerskog terminala Rijeka Gateway, očekivano u drugoj polovici 2025., a sastojat će se od: </w:t>
      </w:r>
    </w:p>
    <w:p w14:paraId="23B8FBB2" w14:textId="77777777" w:rsidR="00C738A3" w:rsidRPr="001E33D1" w:rsidRDefault="00C738A3" w:rsidP="00C738A3">
      <w:pPr>
        <w:spacing w:after="0" w:line="240" w:lineRule="auto"/>
        <w:contextualSpacing/>
        <w:jc w:val="both"/>
        <w:rPr>
          <w:rFonts w:eastAsia="Calibri"/>
        </w:rPr>
      </w:pPr>
      <w:r w:rsidRPr="001E33D1">
        <w:rPr>
          <w:rFonts w:eastAsia="Calibri"/>
        </w:rPr>
        <w:t>-</w:t>
      </w:r>
      <w:r w:rsidRPr="001E33D1">
        <w:rPr>
          <w:rFonts w:eastAsia="Calibri"/>
        </w:rPr>
        <w:tab/>
        <w:t>brisanja definicije pojma „Zakon o slobodnim zonama“ u članku 1.2;</w:t>
      </w:r>
    </w:p>
    <w:p w14:paraId="0A9C98CF" w14:textId="77777777" w:rsidR="00C738A3" w:rsidRPr="001E33D1" w:rsidRDefault="00C738A3" w:rsidP="00C738A3">
      <w:pPr>
        <w:spacing w:after="0" w:line="240" w:lineRule="auto"/>
        <w:contextualSpacing/>
        <w:jc w:val="both"/>
        <w:rPr>
          <w:rFonts w:eastAsia="Calibri"/>
        </w:rPr>
      </w:pPr>
      <w:r w:rsidRPr="001E33D1">
        <w:rPr>
          <w:rFonts w:eastAsia="Calibri"/>
        </w:rPr>
        <w:t>-</w:t>
      </w:r>
      <w:r w:rsidRPr="001E33D1">
        <w:rPr>
          <w:rFonts w:eastAsia="Calibri"/>
        </w:rPr>
        <w:tab/>
        <w:t>brisanja članka 2.3. ( uređuje se status Koncesionara kao korisnika Slobodne zone);</w:t>
      </w:r>
    </w:p>
    <w:p w14:paraId="349EF911" w14:textId="77777777" w:rsidR="00C738A3" w:rsidRPr="001E33D1" w:rsidRDefault="00C738A3" w:rsidP="00C738A3">
      <w:pPr>
        <w:spacing w:after="0" w:line="240" w:lineRule="auto"/>
        <w:contextualSpacing/>
        <w:jc w:val="both"/>
        <w:rPr>
          <w:rFonts w:eastAsia="Calibri"/>
        </w:rPr>
      </w:pPr>
      <w:r w:rsidRPr="001E33D1">
        <w:rPr>
          <w:rFonts w:eastAsia="Calibri"/>
        </w:rPr>
        <w:t>-</w:t>
      </w:r>
      <w:r w:rsidRPr="001E33D1">
        <w:rPr>
          <w:rFonts w:eastAsia="Calibri"/>
        </w:rPr>
        <w:tab/>
        <w:t>brisanja točke (h) u članku 5.1 (propisuje se da Lučka uprava Rijeka ima obvezu izvršiti propisane pripremne radove radi ispunjenja uvjeta za početak poslovanja Slobodne zone na koncesijskom području te pribaviti službeno rješenje od strane Službenih tijela o tome da su uvjeti za početak poslovanja Slobodne zone ispunjeni); te</w:t>
      </w:r>
    </w:p>
    <w:p w14:paraId="51C5E009" w14:textId="77777777" w:rsidR="00C738A3" w:rsidRDefault="00C738A3" w:rsidP="00C738A3">
      <w:pPr>
        <w:spacing w:after="0" w:line="240" w:lineRule="auto"/>
        <w:contextualSpacing/>
        <w:jc w:val="both"/>
        <w:rPr>
          <w:rFonts w:eastAsia="Calibri"/>
        </w:rPr>
      </w:pPr>
      <w:r w:rsidRPr="001E33D1">
        <w:rPr>
          <w:rFonts w:eastAsia="Calibri"/>
        </w:rPr>
        <w:t>-</w:t>
      </w:r>
      <w:r w:rsidRPr="001E33D1">
        <w:rPr>
          <w:rFonts w:eastAsia="Calibri"/>
        </w:rPr>
        <w:tab/>
        <w:t>brisanja točke (e) u članku 9.2 (utvrđuje se da su Službena tijela izdala rješenje da su ispunjeni uvjeti za početak poslovanja Slobodne zone, da je Lučka uprava Rijeka dala pisanu izjavu da je Slobodna zona počela poslovati te da je primjerak rješenja i izjave dostavila  Koncesionaru – društvu Rijeka Gateway d.o.o.).</w:t>
      </w:r>
    </w:p>
    <w:p w14:paraId="2F309176" w14:textId="77777777" w:rsidR="00C738A3" w:rsidRDefault="00C738A3" w:rsidP="00C738A3">
      <w:pPr>
        <w:spacing w:after="0" w:line="240" w:lineRule="auto"/>
        <w:contextualSpacing/>
        <w:jc w:val="both"/>
        <w:rPr>
          <w:rFonts w:eastAsia="Calibri"/>
        </w:rPr>
      </w:pPr>
    </w:p>
    <w:p w14:paraId="136AA044" w14:textId="31FE214E" w:rsidR="00C738A3" w:rsidRDefault="00C738A3" w:rsidP="00C738A3">
      <w:pPr>
        <w:spacing w:after="0" w:line="240" w:lineRule="auto"/>
        <w:contextualSpacing/>
        <w:jc w:val="both"/>
        <w:rPr>
          <w:rFonts w:eastAsia="Calibri"/>
        </w:rPr>
      </w:pPr>
      <w:r>
        <w:rPr>
          <w:rFonts w:eastAsia="Calibri"/>
        </w:rPr>
        <w:t>U cilju utvrđivanja utječe li izuzimanje područja iz režima slobodne zone na smanjenje prihoda od naknade za koncesiju temeljem navedenog Ugovora o koncesiji, Lučka uprava Rijeka se očitovala da predložena izmjena područja slobodne zone neće dovesti do smanjenja prihoda od naknade za koncesiju, već je pretpostavka da je moguće djelomično povećanje prihoda Lučke uprave Rijeka od naknade za koncesiju.</w:t>
      </w:r>
    </w:p>
    <w:p w14:paraId="67B55DC7" w14:textId="77777777" w:rsidR="002A6104" w:rsidRDefault="002A6104" w:rsidP="00C738A3">
      <w:pPr>
        <w:spacing w:after="0" w:line="240" w:lineRule="auto"/>
        <w:contextualSpacing/>
        <w:jc w:val="both"/>
        <w:rPr>
          <w:rFonts w:eastAsia="Calibri"/>
        </w:rPr>
      </w:pPr>
    </w:p>
    <w:p w14:paraId="31DD0A50" w14:textId="269971F4" w:rsidR="00C738A3" w:rsidRPr="00C453BE" w:rsidRDefault="00C738A3" w:rsidP="00C738A3">
      <w:pPr>
        <w:spacing w:after="0" w:line="240" w:lineRule="auto"/>
        <w:contextualSpacing/>
        <w:jc w:val="both"/>
        <w:rPr>
          <w:rFonts w:eastAsia="Calibri"/>
        </w:rPr>
      </w:pPr>
      <w:r>
        <w:rPr>
          <w:rFonts w:eastAsia="Calibri"/>
        </w:rPr>
        <w:t>Prihodi Lučke uprave Rijeka vezani za područje slobodne zone obuhvaćaju prihode od stalnog i promjenjivog dijela naknade za koncesiju</w:t>
      </w:r>
      <w:r>
        <w:t xml:space="preserve"> sukladno navedenom </w:t>
      </w:r>
      <w:r w:rsidRPr="009368BF">
        <w:t>Ugovor</w:t>
      </w:r>
      <w:r>
        <w:t>u</w:t>
      </w:r>
      <w:r w:rsidRPr="009368BF">
        <w:t xml:space="preserve"> o koncesiji</w:t>
      </w:r>
      <w:r>
        <w:t xml:space="preserve">, </w:t>
      </w:r>
      <w:r>
        <w:rPr>
          <w:rFonts w:eastAsia="Calibri"/>
        </w:rPr>
        <w:t>te prihode od lučkih pristojbi.</w:t>
      </w:r>
    </w:p>
    <w:p w14:paraId="07F24AF4" w14:textId="77777777" w:rsidR="002A6104" w:rsidRDefault="002A6104" w:rsidP="00C738A3">
      <w:pPr>
        <w:spacing w:after="0" w:line="240" w:lineRule="auto"/>
        <w:jc w:val="both"/>
      </w:pPr>
    </w:p>
    <w:p w14:paraId="07E16007" w14:textId="33DB87B7" w:rsidR="00C738A3" w:rsidRDefault="00C738A3" w:rsidP="00C738A3">
      <w:pPr>
        <w:spacing w:after="0" w:line="240" w:lineRule="auto"/>
        <w:jc w:val="both"/>
      </w:pPr>
      <w:r>
        <w:t xml:space="preserve">Stalni dio </w:t>
      </w:r>
      <w:r>
        <w:rPr>
          <w:rFonts w:eastAsia="Calibri"/>
        </w:rPr>
        <w:t>naknade za koncesiju</w:t>
      </w:r>
      <w:r>
        <w:t xml:space="preserve"> </w:t>
      </w:r>
      <w:r>
        <w:rPr>
          <w:rFonts w:eastAsia="Calibri"/>
        </w:rPr>
        <w:t xml:space="preserve">temeljem Ugovora o koncesiji </w:t>
      </w:r>
      <w:r>
        <w:t xml:space="preserve">iznosi 2.000.000,00 eura godišnje te predstavlja prihod Lučke uprave Rijeka. S obzirom da </w:t>
      </w:r>
      <w:r w:rsidRPr="009368BF">
        <w:t>čl</w:t>
      </w:r>
      <w:r>
        <w:t>anak</w:t>
      </w:r>
      <w:r w:rsidRPr="009368BF">
        <w:t xml:space="preserve"> 2.3. Ugovora o koncesiji </w:t>
      </w:r>
      <w:r>
        <w:t>definira</w:t>
      </w:r>
      <w:r w:rsidRPr="009368BF">
        <w:t xml:space="preserve"> da naknada za korištenje slobodne zone mora biti uključena u </w:t>
      </w:r>
      <w:r>
        <w:rPr>
          <w:rFonts w:eastAsia="Calibri"/>
        </w:rPr>
        <w:t>naknade za koncesiju</w:t>
      </w:r>
      <w:r w:rsidRPr="009368BF">
        <w:t>, kao i da koncesionar Rijeka Gateway d.o.o.</w:t>
      </w:r>
      <w:r>
        <w:t xml:space="preserve"> </w:t>
      </w:r>
      <w:r w:rsidRPr="009368BF">
        <w:t xml:space="preserve">nema obvezu plaćati nikakvu daljnju ili zasebnu naknadu za korištenje slobodne zone izuzev </w:t>
      </w:r>
      <w:r>
        <w:rPr>
          <w:rFonts w:eastAsia="Calibri"/>
        </w:rPr>
        <w:t>naknade za koncesiju</w:t>
      </w:r>
      <w:r>
        <w:t>, prihodi Lučke uprave Rijeka</w:t>
      </w:r>
      <w:r w:rsidRPr="009368BF">
        <w:t xml:space="preserve"> </w:t>
      </w:r>
      <w:r>
        <w:t xml:space="preserve">od </w:t>
      </w:r>
      <w:r w:rsidRPr="009368BF">
        <w:t>staln</w:t>
      </w:r>
      <w:r>
        <w:t>og</w:t>
      </w:r>
      <w:r w:rsidRPr="009368BF">
        <w:t xml:space="preserve"> </w:t>
      </w:r>
      <w:r>
        <w:t>dijela</w:t>
      </w:r>
      <w:r w:rsidRPr="009368BF">
        <w:t xml:space="preserve"> </w:t>
      </w:r>
      <w:r>
        <w:rPr>
          <w:rFonts w:eastAsia="Calibri"/>
        </w:rPr>
        <w:t>naknade za koncesiju</w:t>
      </w:r>
      <w:r>
        <w:t xml:space="preserve"> </w:t>
      </w:r>
      <w:r w:rsidRPr="00E03208">
        <w:t xml:space="preserve">na području koje nakon planirane izmjene više neće biti uključeno u </w:t>
      </w:r>
      <w:r>
        <w:t>obuhvat</w:t>
      </w:r>
      <w:r w:rsidRPr="00E03208">
        <w:t xml:space="preserve"> Slobodne zone luke Rijeka</w:t>
      </w:r>
      <w:r>
        <w:t xml:space="preserve"> (već nastavljaju biti dio </w:t>
      </w:r>
      <w:r w:rsidRPr="00E03208">
        <w:t>koncesijsko</w:t>
      </w:r>
      <w:r>
        <w:t>g</w:t>
      </w:r>
      <w:r w:rsidRPr="00E03208">
        <w:t xml:space="preserve"> područj</w:t>
      </w:r>
      <w:r>
        <w:t>a</w:t>
      </w:r>
      <w:r w:rsidRPr="00E03208">
        <w:t xml:space="preserve"> koncesionara Rijeka Gateway d.o.o.</w:t>
      </w:r>
      <w:r>
        <w:t>) ostaju nepromijenjeni i</w:t>
      </w:r>
      <w:r w:rsidRPr="009368BF">
        <w:t xml:space="preserve"> iznosi</w:t>
      </w:r>
      <w:r>
        <w:t>t će</w:t>
      </w:r>
      <w:r w:rsidRPr="009368BF">
        <w:t xml:space="preserve"> 2.000.000,00 </w:t>
      </w:r>
      <w:r>
        <w:t>eura</w:t>
      </w:r>
      <w:r w:rsidRPr="009368BF">
        <w:t xml:space="preserve"> godišnje.</w:t>
      </w:r>
    </w:p>
    <w:p w14:paraId="21ECC78D" w14:textId="77777777" w:rsidR="002A6104" w:rsidRDefault="002A6104" w:rsidP="00C738A3">
      <w:pPr>
        <w:spacing w:after="0" w:line="240" w:lineRule="auto"/>
        <w:jc w:val="both"/>
      </w:pPr>
    </w:p>
    <w:p w14:paraId="3026B18C" w14:textId="75323373" w:rsidR="00C738A3" w:rsidRDefault="00C738A3" w:rsidP="00C738A3">
      <w:pPr>
        <w:spacing w:after="0" w:line="240" w:lineRule="auto"/>
        <w:jc w:val="both"/>
      </w:pPr>
      <w:r>
        <w:t xml:space="preserve">Prihodi Lučke uprave Rijeka od promjenjivog dijela </w:t>
      </w:r>
      <w:r>
        <w:rPr>
          <w:rFonts w:eastAsia="Calibri"/>
        </w:rPr>
        <w:t>naknade za koncesiju</w:t>
      </w:r>
      <w:r>
        <w:t xml:space="preserve"> vezani su za </w:t>
      </w:r>
      <w:r w:rsidRPr="00E5397D">
        <w:t>ostvaren</w:t>
      </w:r>
      <w:r>
        <w:t>i</w:t>
      </w:r>
      <w:r w:rsidRPr="00E5397D">
        <w:t xml:space="preserve"> bruto godišnj</w:t>
      </w:r>
      <w:r>
        <w:t>i</w:t>
      </w:r>
      <w:r w:rsidRPr="00E5397D">
        <w:t xml:space="preserve"> prihod terminala</w:t>
      </w:r>
      <w:r>
        <w:t xml:space="preserve"> na kojem posluje koncesionar </w:t>
      </w:r>
      <w:r w:rsidRPr="009368BF">
        <w:t>Rijeka Gateway d.o.o.</w:t>
      </w:r>
      <w:r>
        <w:t xml:space="preserve">, tj. izračunavaju se kao postotak </w:t>
      </w:r>
      <w:r w:rsidRPr="00E5397D">
        <w:t>ostvaren</w:t>
      </w:r>
      <w:r>
        <w:t>og</w:t>
      </w:r>
      <w:r w:rsidRPr="00E5397D">
        <w:t xml:space="preserve"> bruto godišnj</w:t>
      </w:r>
      <w:r>
        <w:t>eg</w:t>
      </w:r>
      <w:r w:rsidRPr="00E5397D">
        <w:t xml:space="preserve"> prihod</w:t>
      </w:r>
      <w:r>
        <w:t>a</w:t>
      </w:r>
      <w:r w:rsidRPr="00E5397D">
        <w:t xml:space="preserve"> terminala</w:t>
      </w:r>
      <w:r w:rsidRPr="009368BF">
        <w:t>.</w:t>
      </w:r>
    </w:p>
    <w:p w14:paraId="6BB92E47" w14:textId="77777777" w:rsidR="002A6104" w:rsidRDefault="002A6104" w:rsidP="00C738A3">
      <w:pPr>
        <w:spacing w:after="0" w:line="240" w:lineRule="auto"/>
        <w:jc w:val="both"/>
      </w:pPr>
    </w:p>
    <w:p w14:paraId="66D885A6" w14:textId="3B69C3FB" w:rsidR="00C738A3" w:rsidRDefault="00C738A3" w:rsidP="00C738A3">
      <w:pPr>
        <w:spacing w:after="0" w:line="240" w:lineRule="auto"/>
        <w:jc w:val="both"/>
      </w:pPr>
      <w:r>
        <w:t xml:space="preserve">Predložena izmjena područja </w:t>
      </w:r>
      <w:bookmarkStart w:id="2" w:name="_Hlk179806009"/>
      <w:r w:rsidRPr="001375D8">
        <w:t>Slobodne zone luke Rijeka</w:t>
      </w:r>
      <w:r>
        <w:t xml:space="preserve"> </w:t>
      </w:r>
      <w:bookmarkEnd w:id="2"/>
      <w:r>
        <w:t>na način da se koncesijsko područje izuzme iz režima slobodne zone,</w:t>
      </w:r>
      <w:r w:rsidRPr="00761A90">
        <w:t xml:space="preserve"> </w:t>
      </w:r>
      <w:r>
        <w:t xml:space="preserve">otvorila bi koncesionaru Rijeka Gateway d.o.o. mogućnost nastavka poslovanja uz korištenje instituta </w:t>
      </w:r>
      <w:r w:rsidRPr="00E5397D">
        <w:t>privremenog smještaja</w:t>
      </w:r>
      <w:r>
        <w:t xml:space="preserve"> </w:t>
      </w:r>
      <w:r w:rsidRPr="00E704FF">
        <w:t xml:space="preserve">(uz pretpostavku da će im </w:t>
      </w:r>
      <w:r>
        <w:t xml:space="preserve">isto </w:t>
      </w:r>
      <w:r w:rsidRPr="00E704FF">
        <w:t>biti odobreno</w:t>
      </w:r>
      <w:r w:rsidR="005F76A9">
        <w:t xml:space="preserve"> u </w:t>
      </w:r>
      <w:r w:rsidR="00527B09">
        <w:t xml:space="preserve">kasnije pokrenutom </w:t>
      </w:r>
      <w:r w:rsidR="005F76A9">
        <w:t>odvojenom postupku</w:t>
      </w:r>
      <w:r w:rsidRPr="00E704FF">
        <w:t>)</w:t>
      </w:r>
      <w:r>
        <w:t xml:space="preserve">. </w:t>
      </w:r>
      <w:r w:rsidR="0058552D">
        <w:t>Nadalje, i</w:t>
      </w:r>
      <w:r>
        <w:t>nstitut privremenog smještaja omogućio</w:t>
      </w:r>
      <w:r w:rsidRPr="00E5397D">
        <w:t xml:space="preserve"> </w:t>
      </w:r>
      <w:r>
        <w:t>bi</w:t>
      </w:r>
      <w:r w:rsidRPr="00E5397D">
        <w:t xml:space="preserve"> </w:t>
      </w:r>
      <w:r>
        <w:t>primjenu</w:t>
      </w:r>
      <w:r w:rsidRPr="00E5397D">
        <w:t xml:space="preserve"> pojednostavljenih i učinkovitijih carinskih proce</w:t>
      </w:r>
      <w:r>
        <w:t>dura</w:t>
      </w:r>
      <w:r w:rsidRPr="00211236">
        <w:t xml:space="preserve"> </w:t>
      </w:r>
      <w:r>
        <w:t>na terminalu, što bi moglo rezultirati</w:t>
      </w:r>
      <w:r w:rsidRPr="00E5397D">
        <w:t xml:space="preserve"> </w:t>
      </w:r>
      <w:r>
        <w:t xml:space="preserve">pozitivnim </w:t>
      </w:r>
      <w:r w:rsidRPr="00DB57AF">
        <w:t>utjecaj</w:t>
      </w:r>
      <w:r>
        <w:t>em</w:t>
      </w:r>
      <w:r w:rsidRPr="00DB57AF">
        <w:t xml:space="preserve"> na prosječno</w:t>
      </w:r>
      <w:r>
        <w:t xml:space="preserve"> vrijeme</w:t>
      </w:r>
      <w:r w:rsidRPr="00DB57AF">
        <w:t xml:space="preserve"> zadržavanj</w:t>
      </w:r>
      <w:r>
        <w:t>a</w:t>
      </w:r>
      <w:r w:rsidRPr="00DB57AF">
        <w:t xml:space="preserve"> kontejnera na terminalu </w:t>
      </w:r>
      <w:r>
        <w:t xml:space="preserve">i </w:t>
      </w:r>
      <w:r w:rsidRPr="00E5397D">
        <w:t>brži</w:t>
      </w:r>
      <w:r>
        <w:t>m</w:t>
      </w:r>
      <w:r w:rsidRPr="00E5397D">
        <w:t xml:space="preserve"> protok</w:t>
      </w:r>
      <w:r>
        <w:t>om</w:t>
      </w:r>
      <w:r w:rsidRPr="00E5397D">
        <w:t xml:space="preserve"> robe</w:t>
      </w:r>
      <w:r>
        <w:t xml:space="preserve"> te </w:t>
      </w:r>
      <w:r w:rsidRPr="00E5397D">
        <w:t xml:space="preserve">posljedično </w:t>
      </w:r>
      <w:r>
        <w:t>dovesti</w:t>
      </w:r>
      <w:r w:rsidRPr="00E5397D">
        <w:t xml:space="preserve"> do </w:t>
      </w:r>
      <w:r>
        <w:t xml:space="preserve">povećanja kontejnerskog prometa (izraženog u TEU </w:t>
      </w:r>
      <w:r w:rsidRPr="00255E07">
        <w:rPr>
          <w:i/>
          <w:iCs/>
        </w:rPr>
        <w:t xml:space="preserve">- </w:t>
      </w:r>
      <w:r w:rsidRPr="006F548B">
        <w:rPr>
          <w:i/>
          <w:iCs/>
        </w:rPr>
        <w:t>twenty-foot equivalent unit</w:t>
      </w:r>
      <w:r>
        <w:t xml:space="preserve">) i količine </w:t>
      </w:r>
      <w:r w:rsidRPr="00E5397D">
        <w:t xml:space="preserve">tereta </w:t>
      </w:r>
      <w:r>
        <w:t>te</w:t>
      </w:r>
      <w:r w:rsidRPr="00E5397D">
        <w:t xml:space="preserve"> </w:t>
      </w:r>
      <w:r w:rsidRPr="00761A90">
        <w:t xml:space="preserve">bruto godišnjeg </w:t>
      </w:r>
      <w:r>
        <w:t xml:space="preserve">prihoda </w:t>
      </w:r>
      <w:r w:rsidRPr="00E5397D">
        <w:t>koncesionara</w:t>
      </w:r>
      <w:r>
        <w:t xml:space="preserve"> Rijeka Gateway d.o.o., a samim time i povećanja prihoda Lučke uprave Rijeka od promjenjivog dijela </w:t>
      </w:r>
      <w:r>
        <w:rPr>
          <w:rFonts w:eastAsia="Calibri"/>
        </w:rPr>
        <w:t>naknade za koncesiju</w:t>
      </w:r>
      <w:r>
        <w:t>.</w:t>
      </w:r>
    </w:p>
    <w:p w14:paraId="1B8C2BD1" w14:textId="77777777" w:rsidR="00C738A3" w:rsidRDefault="00C738A3" w:rsidP="00C738A3">
      <w:pPr>
        <w:spacing w:after="0" w:line="240" w:lineRule="auto"/>
      </w:pPr>
    </w:p>
    <w:p w14:paraId="0E45CC34" w14:textId="77777777" w:rsidR="002A6104" w:rsidRDefault="002A6104" w:rsidP="00C738A3">
      <w:pPr>
        <w:spacing w:after="0" w:line="240" w:lineRule="auto"/>
      </w:pPr>
    </w:p>
    <w:p w14:paraId="6B79A3BA" w14:textId="64D1B877" w:rsidR="00C738A3" w:rsidRPr="007B08DA" w:rsidRDefault="00C738A3" w:rsidP="00C738A3">
      <w:pPr>
        <w:pStyle w:val="Caption"/>
        <w:spacing w:after="0"/>
        <w:jc w:val="center"/>
        <w:rPr>
          <w:rFonts w:ascii="Times New Roman" w:hAnsi="Times New Roman" w:cs="Times New Roman"/>
          <w:color w:val="auto"/>
          <w:sz w:val="24"/>
          <w:szCs w:val="24"/>
        </w:rPr>
      </w:pPr>
      <w:r w:rsidRPr="007B08DA">
        <w:rPr>
          <w:rFonts w:ascii="Times New Roman" w:hAnsi="Times New Roman" w:cs="Times New Roman"/>
          <w:i w:val="0"/>
          <w:iCs w:val="0"/>
          <w:color w:val="auto"/>
          <w:sz w:val="24"/>
          <w:szCs w:val="24"/>
        </w:rPr>
        <w:t xml:space="preserve">Tablica </w:t>
      </w:r>
      <w:r w:rsidRPr="007B08DA">
        <w:rPr>
          <w:rFonts w:ascii="Times New Roman" w:hAnsi="Times New Roman" w:cs="Times New Roman"/>
          <w:i w:val="0"/>
          <w:iCs w:val="0"/>
          <w:color w:val="auto"/>
          <w:sz w:val="24"/>
          <w:szCs w:val="24"/>
        </w:rPr>
        <w:fldChar w:fldCharType="begin"/>
      </w:r>
      <w:r w:rsidRPr="007B08DA">
        <w:rPr>
          <w:rFonts w:ascii="Times New Roman" w:hAnsi="Times New Roman" w:cs="Times New Roman"/>
          <w:i w:val="0"/>
          <w:iCs w:val="0"/>
          <w:color w:val="auto"/>
          <w:sz w:val="24"/>
          <w:szCs w:val="24"/>
        </w:rPr>
        <w:instrText xml:space="preserve"> SEQ Tablica \* ARABIC </w:instrText>
      </w:r>
      <w:r w:rsidRPr="007B08DA">
        <w:rPr>
          <w:rFonts w:ascii="Times New Roman" w:hAnsi="Times New Roman" w:cs="Times New Roman"/>
          <w:i w:val="0"/>
          <w:iCs w:val="0"/>
          <w:color w:val="auto"/>
          <w:sz w:val="24"/>
          <w:szCs w:val="24"/>
        </w:rPr>
        <w:fldChar w:fldCharType="separate"/>
      </w:r>
      <w:r w:rsidR="00D11AB2">
        <w:rPr>
          <w:rFonts w:ascii="Times New Roman" w:hAnsi="Times New Roman" w:cs="Times New Roman"/>
          <w:i w:val="0"/>
          <w:iCs w:val="0"/>
          <w:noProof/>
          <w:color w:val="auto"/>
          <w:sz w:val="24"/>
          <w:szCs w:val="24"/>
        </w:rPr>
        <w:t>1</w:t>
      </w:r>
      <w:r w:rsidRPr="007B08DA">
        <w:rPr>
          <w:rFonts w:ascii="Times New Roman" w:hAnsi="Times New Roman" w:cs="Times New Roman"/>
          <w:i w:val="0"/>
          <w:iCs w:val="0"/>
          <w:color w:val="auto"/>
          <w:sz w:val="24"/>
          <w:szCs w:val="24"/>
        </w:rPr>
        <w:fldChar w:fldCharType="end"/>
      </w:r>
      <w:r w:rsidRPr="007B08DA">
        <w:rPr>
          <w:rFonts w:ascii="Times New Roman" w:hAnsi="Times New Roman" w:cs="Times New Roman"/>
          <w:i w:val="0"/>
          <w:iCs w:val="0"/>
          <w:color w:val="auto"/>
          <w:sz w:val="24"/>
          <w:szCs w:val="24"/>
        </w:rPr>
        <w:t xml:space="preserve">: Usporedba poslovanja koncesionara Rijeka Gateway d.o.o. </w:t>
      </w:r>
      <w:r>
        <w:rPr>
          <w:rFonts w:ascii="Times New Roman" w:hAnsi="Times New Roman" w:cs="Times New Roman"/>
          <w:i w:val="0"/>
          <w:iCs w:val="0"/>
          <w:color w:val="auto"/>
          <w:sz w:val="24"/>
          <w:szCs w:val="24"/>
        </w:rPr>
        <w:t>u režimu</w:t>
      </w:r>
      <w:r w:rsidRPr="007B08DA">
        <w:rPr>
          <w:rFonts w:ascii="Times New Roman" w:hAnsi="Times New Roman" w:cs="Times New Roman"/>
          <w:i w:val="0"/>
          <w:iCs w:val="0"/>
          <w:color w:val="auto"/>
          <w:sz w:val="24"/>
          <w:szCs w:val="24"/>
        </w:rPr>
        <w:t xml:space="preserve"> slobodne zone i </w:t>
      </w:r>
      <w:r>
        <w:rPr>
          <w:rFonts w:ascii="Times New Roman" w:hAnsi="Times New Roman" w:cs="Times New Roman"/>
          <w:i w:val="0"/>
          <w:iCs w:val="0"/>
          <w:color w:val="auto"/>
          <w:sz w:val="24"/>
          <w:szCs w:val="24"/>
        </w:rPr>
        <w:t>korištenjem instituta</w:t>
      </w:r>
      <w:r w:rsidRPr="007B08DA">
        <w:rPr>
          <w:rFonts w:ascii="Times New Roman" w:hAnsi="Times New Roman" w:cs="Times New Roman"/>
          <w:i w:val="0"/>
          <w:iCs w:val="0"/>
          <w:color w:val="auto"/>
          <w:sz w:val="24"/>
          <w:szCs w:val="24"/>
        </w:rPr>
        <w:t xml:space="preserve"> privremenog smještaja</w:t>
      </w:r>
    </w:p>
    <w:tbl>
      <w:tblPr>
        <w:tblStyle w:val="TableGrid"/>
        <w:tblW w:w="5000" w:type="pct"/>
        <w:tblLook w:val="04A0" w:firstRow="1" w:lastRow="0" w:firstColumn="1" w:lastColumn="0" w:noHBand="0" w:noVBand="1"/>
      </w:tblPr>
      <w:tblGrid>
        <w:gridCol w:w="1630"/>
        <w:gridCol w:w="1740"/>
        <w:gridCol w:w="1792"/>
        <w:gridCol w:w="1792"/>
        <w:gridCol w:w="2108"/>
      </w:tblGrid>
      <w:tr w:rsidR="00C738A3" w:rsidRPr="007C2B56" w14:paraId="30B0DC6F" w14:textId="77777777" w:rsidTr="00D16CC6">
        <w:tc>
          <w:tcPr>
            <w:tcW w:w="0" w:type="pct"/>
            <w:vAlign w:val="center"/>
            <w:hideMark/>
          </w:tcPr>
          <w:p w14:paraId="348AF641" w14:textId="77777777" w:rsidR="00C738A3" w:rsidRPr="00255E07" w:rsidRDefault="00C738A3" w:rsidP="00C738A3">
            <w:pPr>
              <w:jc w:val="center"/>
              <w:rPr>
                <w:sz w:val="22"/>
                <w:szCs w:val="22"/>
              </w:rPr>
            </w:pPr>
            <w:r w:rsidRPr="00255E07">
              <w:rPr>
                <w:sz w:val="22"/>
                <w:szCs w:val="22"/>
              </w:rPr>
              <w:t>Carinski status</w:t>
            </w:r>
          </w:p>
        </w:tc>
        <w:tc>
          <w:tcPr>
            <w:tcW w:w="0" w:type="pct"/>
            <w:vAlign w:val="center"/>
          </w:tcPr>
          <w:p w14:paraId="5215F3CE" w14:textId="77777777" w:rsidR="00C738A3" w:rsidRPr="00255E07" w:rsidRDefault="00C738A3" w:rsidP="00C738A3">
            <w:pPr>
              <w:jc w:val="center"/>
              <w:rPr>
                <w:sz w:val="22"/>
                <w:szCs w:val="22"/>
                <w:lang w:val="it-IT"/>
              </w:rPr>
            </w:pPr>
            <w:r w:rsidRPr="00255E07">
              <w:rPr>
                <w:sz w:val="22"/>
                <w:szCs w:val="22"/>
                <w:lang w:val="it-IT"/>
              </w:rPr>
              <w:t>Garantirani promet prema Ugovoru o koncesiji</w:t>
            </w:r>
          </w:p>
        </w:tc>
        <w:tc>
          <w:tcPr>
            <w:tcW w:w="0" w:type="pct"/>
            <w:vAlign w:val="center"/>
            <w:hideMark/>
          </w:tcPr>
          <w:p w14:paraId="2F36F7A9" w14:textId="77777777" w:rsidR="00C738A3" w:rsidRPr="00255E07" w:rsidRDefault="00C738A3" w:rsidP="00C738A3">
            <w:pPr>
              <w:jc w:val="center"/>
              <w:rPr>
                <w:sz w:val="22"/>
                <w:szCs w:val="22"/>
              </w:rPr>
            </w:pPr>
            <w:r w:rsidRPr="00255E07">
              <w:rPr>
                <w:sz w:val="22"/>
                <w:szCs w:val="22"/>
              </w:rPr>
              <w:t>Operativni kapacitet terminala</w:t>
            </w:r>
          </w:p>
        </w:tc>
        <w:tc>
          <w:tcPr>
            <w:tcW w:w="0" w:type="pct"/>
            <w:vAlign w:val="center"/>
            <w:hideMark/>
          </w:tcPr>
          <w:p w14:paraId="6AC7CF5B" w14:textId="77777777" w:rsidR="00C738A3" w:rsidRPr="00255E07" w:rsidRDefault="00C738A3" w:rsidP="00C738A3">
            <w:pPr>
              <w:jc w:val="center"/>
              <w:rPr>
                <w:sz w:val="22"/>
                <w:szCs w:val="22"/>
                <w:lang w:val="it-IT"/>
              </w:rPr>
            </w:pPr>
            <w:r w:rsidRPr="00255E07">
              <w:rPr>
                <w:sz w:val="22"/>
                <w:szCs w:val="22"/>
                <w:lang w:val="it-IT"/>
              </w:rPr>
              <w:t>Procijenjeno prosječno vrijeme carinske procedure</w:t>
            </w:r>
          </w:p>
        </w:tc>
        <w:tc>
          <w:tcPr>
            <w:tcW w:w="1163" w:type="pct"/>
            <w:vAlign w:val="center"/>
            <w:hideMark/>
          </w:tcPr>
          <w:p w14:paraId="0E6AC269" w14:textId="77777777" w:rsidR="00C738A3" w:rsidRPr="00255E07" w:rsidRDefault="00C738A3" w:rsidP="00C738A3">
            <w:pPr>
              <w:jc w:val="center"/>
              <w:rPr>
                <w:sz w:val="22"/>
                <w:szCs w:val="22"/>
                <w:lang w:val="it-IT"/>
              </w:rPr>
            </w:pPr>
            <w:r w:rsidRPr="00255E07">
              <w:rPr>
                <w:sz w:val="22"/>
                <w:szCs w:val="22"/>
                <w:lang w:val="it-IT"/>
              </w:rPr>
              <w:t>Procijenjeno prosječno zadržavanje kontejnera na terminalu</w:t>
            </w:r>
          </w:p>
        </w:tc>
      </w:tr>
      <w:tr w:rsidR="00C738A3" w:rsidRPr="007C2B56" w14:paraId="2041EDBE" w14:textId="77777777" w:rsidTr="00D16CC6">
        <w:tc>
          <w:tcPr>
            <w:tcW w:w="899" w:type="pct"/>
            <w:hideMark/>
          </w:tcPr>
          <w:p w14:paraId="0C056133" w14:textId="77777777" w:rsidR="00C738A3" w:rsidRPr="00255E07" w:rsidRDefault="00C738A3" w:rsidP="00C738A3">
            <w:pPr>
              <w:jc w:val="center"/>
              <w:rPr>
                <w:sz w:val="22"/>
                <w:szCs w:val="22"/>
              </w:rPr>
            </w:pPr>
            <w:r w:rsidRPr="00255E07">
              <w:rPr>
                <w:sz w:val="22"/>
                <w:szCs w:val="22"/>
              </w:rPr>
              <w:t>Slobodna zona</w:t>
            </w:r>
          </w:p>
        </w:tc>
        <w:tc>
          <w:tcPr>
            <w:tcW w:w="960" w:type="pct"/>
            <w:vAlign w:val="center"/>
            <w:hideMark/>
          </w:tcPr>
          <w:p w14:paraId="456E90F5" w14:textId="77777777" w:rsidR="00C738A3" w:rsidRPr="00255E07" w:rsidRDefault="00C738A3" w:rsidP="00C738A3">
            <w:pPr>
              <w:jc w:val="center"/>
              <w:rPr>
                <w:sz w:val="22"/>
                <w:szCs w:val="22"/>
              </w:rPr>
            </w:pPr>
            <w:r w:rsidRPr="00255E07">
              <w:rPr>
                <w:sz w:val="22"/>
                <w:szCs w:val="22"/>
              </w:rPr>
              <w:t>500.001 TEU</w:t>
            </w:r>
          </w:p>
        </w:tc>
        <w:tc>
          <w:tcPr>
            <w:tcW w:w="989" w:type="pct"/>
            <w:vAlign w:val="center"/>
            <w:hideMark/>
          </w:tcPr>
          <w:p w14:paraId="3DBBE005" w14:textId="77777777" w:rsidR="00C738A3" w:rsidRPr="00255E07" w:rsidRDefault="00C738A3" w:rsidP="00C738A3">
            <w:pPr>
              <w:jc w:val="center"/>
              <w:rPr>
                <w:sz w:val="22"/>
                <w:szCs w:val="22"/>
              </w:rPr>
            </w:pPr>
            <w:r w:rsidRPr="00255E07">
              <w:rPr>
                <w:sz w:val="22"/>
                <w:szCs w:val="22"/>
              </w:rPr>
              <w:t>506.275 TEU</w:t>
            </w:r>
          </w:p>
        </w:tc>
        <w:tc>
          <w:tcPr>
            <w:tcW w:w="989" w:type="pct"/>
            <w:vAlign w:val="center"/>
            <w:hideMark/>
          </w:tcPr>
          <w:p w14:paraId="6B8DF190" w14:textId="77777777" w:rsidR="00C738A3" w:rsidRPr="00255E07" w:rsidRDefault="00C738A3" w:rsidP="00C738A3">
            <w:pPr>
              <w:jc w:val="center"/>
              <w:rPr>
                <w:sz w:val="22"/>
                <w:szCs w:val="22"/>
              </w:rPr>
            </w:pPr>
            <w:r w:rsidRPr="00255E07">
              <w:rPr>
                <w:sz w:val="22"/>
                <w:szCs w:val="22"/>
              </w:rPr>
              <w:t>24 h</w:t>
            </w:r>
          </w:p>
        </w:tc>
        <w:tc>
          <w:tcPr>
            <w:tcW w:w="1163" w:type="pct"/>
            <w:vAlign w:val="center"/>
            <w:hideMark/>
          </w:tcPr>
          <w:p w14:paraId="3F7901AC" w14:textId="77777777" w:rsidR="00C738A3" w:rsidRPr="00255E07" w:rsidRDefault="00C738A3" w:rsidP="00C738A3">
            <w:pPr>
              <w:jc w:val="center"/>
              <w:rPr>
                <w:sz w:val="22"/>
                <w:szCs w:val="22"/>
              </w:rPr>
            </w:pPr>
            <w:r w:rsidRPr="00255E07">
              <w:rPr>
                <w:sz w:val="22"/>
                <w:szCs w:val="22"/>
              </w:rPr>
              <w:t>6-7 dana</w:t>
            </w:r>
          </w:p>
        </w:tc>
      </w:tr>
      <w:tr w:rsidR="00C738A3" w:rsidRPr="00DB57AF" w14:paraId="2F5B153A" w14:textId="77777777" w:rsidTr="00D16CC6">
        <w:tc>
          <w:tcPr>
            <w:tcW w:w="899" w:type="pct"/>
            <w:hideMark/>
          </w:tcPr>
          <w:p w14:paraId="1C4A45BA" w14:textId="77777777" w:rsidR="00C738A3" w:rsidRPr="00255E07" w:rsidRDefault="00C738A3" w:rsidP="00C738A3">
            <w:pPr>
              <w:jc w:val="center"/>
              <w:rPr>
                <w:sz w:val="22"/>
                <w:szCs w:val="22"/>
              </w:rPr>
            </w:pPr>
            <w:r w:rsidRPr="00255E07">
              <w:rPr>
                <w:sz w:val="22"/>
                <w:szCs w:val="22"/>
              </w:rPr>
              <w:t>Privremeni smještaj</w:t>
            </w:r>
          </w:p>
        </w:tc>
        <w:tc>
          <w:tcPr>
            <w:tcW w:w="960" w:type="pct"/>
            <w:vAlign w:val="center"/>
            <w:hideMark/>
          </w:tcPr>
          <w:p w14:paraId="6861B0C8" w14:textId="77777777" w:rsidR="00C738A3" w:rsidRPr="00255E07" w:rsidRDefault="00C738A3" w:rsidP="00C738A3">
            <w:pPr>
              <w:jc w:val="center"/>
              <w:rPr>
                <w:sz w:val="22"/>
                <w:szCs w:val="22"/>
              </w:rPr>
            </w:pPr>
            <w:r w:rsidRPr="00255E07">
              <w:rPr>
                <w:sz w:val="22"/>
                <w:szCs w:val="22"/>
              </w:rPr>
              <w:t>500.001 TEU</w:t>
            </w:r>
          </w:p>
        </w:tc>
        <w:tc>
          <w:tcPr>
            <w:tcW w:w="989" w:type="pct"/>
            <w:vAlign w:val="center"/>
            <w:hideMark/>
          </w:tcPr>
          <w:p w14:paraId="06C7DC0D" w14:textId="77777777" w:rsidR="00C738A3" w:rsidRPr="00255E07" w:rsidRDefault="00C738A3" w:rsidP="00C738A3">
            <w:pPr>
              <w:jc w:val="center"/>
              <w:rPr>
                <w:sz w:val="22"/>
                <w:szCs w:val="22"/>
              </w:rPr>
            </w:pPr>
            <w:r w:rsidRPr="00255E07">
              <w:rPr>
                <w:sz w:val="22"/>
                <w:szCs w:val="22"/>
              </w:rPr>
              <w:t>625.031 TEU</w:t>
            </w:r>
          </w:p>
        </w:tc>
        <w:tc>
          <w:tcPr>
            <w:tcW w:w="989" w:type="pct"/>
            <w:vAlign w:val="center"/>
            <w:hideMark/>
          </w:tcPr>
          <w:p w14:paraId="3C5187B6" w14:textId="77777777" w:rsidR="00C738A3" w:rsidRPr="00255E07" w:rsidRDefault="00C738A3" w:rsidP="00C738A3">
            <w:pPr>
              <w:jc w:val="center"/>
              <w:rPr>
                <w:sz w:val="22"/>
                <w:szCs w:val="22"/>
              </w:rPr>
            </w:pPr>
            <w:r w:rsidRPr="00255E07">
              <w:rPr>
                <w:sz w:val="22"/>
                <w:szCs w:val="22"/>
              </w:rPr>
              <w:t>4 h</w:t>
            </w:r>
          </w:p>
        </w:tc>
        <w:tc>
          <w:tcPr>
            <w:tcW w:w="1163" w:type="pct"/>
            <w:vAlign w:val="center"/>
            <w:hideMark/>
          </w:tcPr>
          <w:p w14:paraId="1ED0124F" w14:textId="77777777" w:rsidR="00C738A3" w:rsidRPr="00255E07" w:rsidRDefault="00C738A3" w:rsidP="00C738A3">
            <w:pPr>
              <w:jc w:val="center"/>
              <w:rPr>
                <w:sz w:val="22"/>
                <w:szCs w:val="22"/>
              </w:rPr>
            </w:pPr>
            <w:r w:rsidRPr="00255E07">
              <w:rPr>
                <w:sz w:val="22"/>
                <w:szCs w:val="22"/>
              </w:rPr>
              <w:t>5-6 dana</w:t>
            </w:r>
          </w:p>
        </w:tc>
      </w:tr>
    </w:tbl>
    <w:p w14:paraId="544A1235" w14:textId="77777777" w:rsidR="00C738A3" w:rsidRPr="00255E07" w:rsidRDefault="00C738A3" w:rsidP="00C738A3">
      <w:pPr>
        <w:spacing w:after="0" w:line="240" w:lineRule="auto"/>
        <w:rPr>
          <w:i/>
          <w:iCs/>
          <w:sz w:val="22"/>
        </w:rPr>
      </w:pPr>
      <w:r w:rsidRPr="00255E07">
        <w:rPr>
          <w:i/>
          <w:iCs/>
          <w:sz w:val="22"/>
        </w:rPr>
        <w:t>Izvor: Rijeka Gateway d.o.o.</w:t>
      </w:r>
    </w:p>
    <w:p w14:paraId="38A967AD" w14:textId="77777777" w:rsidR="00C738A3" w:rsidRDefault="00C738A3" w:rsidP="00C738A3">
      <w:pPr>
        <w:spacing w:after="0" w:line="240" w:lineRule="auto"/>
      </w:pPr>
    </w:p>
    <w:p w14:paraId="55FB2B51" w14:textId="43D909DC" w:rsidR="00C738A3" w:rsidRDefault="0058552D" w:rsidP="00C738A3">
      <w:pPr>
        <w:spacing w:after="0" w:line="240" w:lineRule="auto"/>
        <w:contextualSpacing/>
        <w:jc w:val="both"/>
        <w:rPr>
          <w:rFonts w:eastAsia="Calibri"/>
        </w:rPr>
      </w:pPr>
      <w:r>
        <w:rPr>
          <w:rFonts w:eastAsia="Calibri"/>
        </w:rPr>
        <w:t>P</w:t>
      </w:r>
      <w:r w:rsidR="00C738A3">
        <w:rPr>
          <w:rFonts w:eastAsia="Calibri"/>
        </w:rPr>
        <w:t>redlaže se i izmjena točke IV. Odluke koja propisuje djelatnosti koje se mogu obavljati u slobodnoj zoni, iz razloga što je ista formulirana 1997. godine te ju je potrebno uskladiti s odredbama danas važećeg Zakona.</w:t>
      </w:r>
    </w:p>
    <w:p w14:paraId="1FB9A99B" w14:textId="77777777" w:rsidR="00C738A3" w:rsidRDefault="00C738A3" w:rsidP="00C738A3">
      <w:pPr>
        <w:spacing w:after="0" w:line="240" w:lineRule="auto"/>
        <w:contextualSpacing/>
        <w:jc w:val="both"/>
        <w:rPr>
          <w:rFonts w:eastAsia="Calibri"/>
        </w:rPr>
      </w:pPr>
    </w:p>
    <w:sectPr w:rsidR="00C738A3" w:rsidSect="006F4E2A">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D39D9" w14:textId="77777777" w:rsidR="00347F26" w:rsidRDefault="00347F26" w:rsidP="006F4E2A">
      <w:pPr>
        <w:spacing w:after="0" w:line="240" w:lineRule="auto"/>
      </w:pPr>
      <w:r>
        <w:separator/>
      </w:r>
    </w:p>
  </w:endnote>
  <w:endnote w:type="continuationSeparator" w:id="0">
    <w:p w14:paraId="4D278242" w14:textId="77777777" w:rsidR="00347F26" w:rsidRDefault="00347F26" w:rsidP="006F4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E56DA" w14:textId="77777777" w:rsidR="006F4E2A" w:rsidRPr="00CE78D1" w:rsidRDefault="006F4E2A" w:rsidP="006F4E2A">
    <w:pPr>
      <w:pStyle w:val="Footer"/>
      <w:pBdr>
        <w:top w:val="single" w:sz="4" w:space="1" w:color="404040" w:themeColor="text1" w:themeTint="BF"/>
      </w:pBdr>
      <w:jc w:val="center"/>
      <w:rPr>
        <w:color w:val="404040" w:themeColor="text1" w:themeTint="BF"/>
        <w:spacing w:val="20"/>
        <w:sz w:val="20"/>
      </w:rPr>
    </w:pPr>
    <w:r w:rsidRPr="00CE78D1">
      <w:rPr>
        <w:color w:val="404040" w:themeColor="text1" w:themeTint="BF"/>
        <w:spacing w:val="20"/>
        <w:sz w:val="20"/>
      </w:rPr>
      <w:t>Banski dvori | Trg Sv. Marka 2  | 10000 Zagreb | tel. 01 4569 2</w:t>
    </w:r>
    <w:r>
      <w:rPr>
        <w:color w:val="404040" w:themeColor="text1" w:themeTint="BF"/>
        <w:spacing w:val="20"/>
        <w:sz w:val="20"/>
      </w:rPr>
      <w:t>22</w:t>
    </w:r>
    <w:r w:rsidRPr="00CE78D1">
      <w:rPr>
        <w:color w:val="404040" w:themeColor="text1" w:themeTint="BF"/>
        <w:spacing w:val="20"/>
        <w:sz w:val="20"/>
      </w:rPr>
      <w:t xml:space="preserve"> | vlada.gov.hr</w:t>
    </w:r>
  </w:p>
  <w:p w14:paraId="7427858D" w14:textId="77777777" w:rsidR="006F4E2A" w:rsidRDefault="006F4E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F934E" w14:textId="77777777" w:rsidR="00347F26" w:rsidRDefault="00347F26" w:rsidP="006F4E2A">
      <w:pPr>
        <w:spacing w:after="0" w:line="240" w:lineRule="auto"/>
      </w:pPr>
      <w:r>
        <w:separator/>
      </w:r>
    </w:p>
  </w:footnote>
  <w:footnote w:type="continuationSeparator" w:id="0">
    <w:p w14:paraId="63DAB131" w14:textId="77777777" w:rsidR="00347F26" w:rsidRDefault="00347F26" w:rsidP="006F4E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F4B8A"/>
    <w:multiLevelType w:val="hybridMultilevel"/>
    <w:tmpl w:val="BF5CDC2C"/>
    <w:lvl w:ilvl="0" w:tplc="0120A50C">
      <w:start w:val="1"/>
      <w:numFmt w:val="bullet"/>
      <w:lvlText w:val="-"/>
      <w:lvlJc w:val="left"/>
      <w:pPr>
        <w:ind w:left="720" w:hanging="360"/>
      </w:pPr>
      <w:rPr>
        <w:rFonts w:ascii="Times New Roman" w:eastAsiaTheme="minorHAnsi" w:hAnsi="Times New Roman" w:cs="Times New Roman" w:hint="default"/>
        <w:i/>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606C3C"/>
    <w:multiLevelType w:val="hybridMultilevel"/>
    <w:tmpl w:val="D7B83F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F68CC"/>
    <w:multiLevelType w:val="hybridMultilevel"/>
    <w:tmpl w:val="30E63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F0490"/>
    <w:multiLevelType w:val="hybridMultilevel"/>
    <w:tmpl w:val="1A963D8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D7E3FAA"/>
    <w:multiLevelType w:val="hybridMultilevel"/>
    <w:tmpl w:val="75CC7B0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A6300C5"/>
    <w:multiLevelType w:val="hybridMultilevel"/>
    <w:tmpl w:val="7470516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AAE4D9B"/>
    <w:multiLevelType w:val="hybridMultilevel"/>
    <w:tmpl w:val="79064CDA"/>
    <w:lvl w:ilvl="0" w:tplc="9DFC6578">
      <w:start w:val="1"/>
      <w:numFmt w:val="lowerLetter"/>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6B4485"/>
    <w:multiLevelType w:val="hybridMultilevel"/>
    <w:tmpl w:val="1848EA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811DC4"/>
    <w:multiLevelType w:val="hybridMultilevel"/>
    <w:tmpl w:val="3D149290"/>
    <w:lvl w:ilvl="0" w:tplc="A3EC1800">
      <w:start w:val="1"/>
      <w:numFmt w:val="decimal"/>
      <w:lvlText w:val="%1)"/>
      <w:lvlJc w:val="left"/>
      <w:pPr>
        <w:ind w:left="360" w:hanging="360"/>
      </w:pPr>
      <w:rPr>
        <w:rFonts w:asciiTheme="minorHAnsi" w:eastAsiaTheme="minorHAnsi" w:hAnsiTheme="minorHAnsi" w:cstheme="minorBidi" w:hint="default"/>
        <w:color w:val="auto"/>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5CB7258"/>
    <w:multiLevelType w:val="hybridMultilevel"/>
    <w:tmpl w:val="B2CCB9C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CFD65A9"/>
    <w:multiLevelType w:val="hybridMultilevel"/>
    <w:tmpl w:val="EFCADF54"/>
    <w:lvl w:ilvl="0" w:tplc="5E348F40">
      <w:start w:val="1"/>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175710"/>
    <w:multiLevelType w:val="hybridMultilevel"/>
    <w:tmpl w:val="52060A7A"/>
    <w:lvl w:ilvl="0" w:tplc="E0C6AF7C">
      <w:start w:val="1"/>
      <w:numFmt w:val="bullet"/>
      <w:lvlText w:val=""/>
      <w:lvlJc w:val="left"/>
      <w:pPr>
        <w:ind w:left="720" w:hanging="360"/>
      </w:pPr>
      <w:rPr>
        <w:rFonts w:ascii="Wingdings" w:hAnsi="Wingdings"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43571A2"/>
    <w:multiLevelType w:val="hybridMultilevel"/>
    <w:tmpl w:val="0DB2E2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47D230D"/>
    <w:multiLevelType w:val="hybridMultilevel"/>
    <w:tmpl w:val="0F50D9A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1B33BA4"/>
    <w:multiLevelType w:val="hybridMultilevel"/>
    <w:tmpl w:val="751AC47A"/>
    <w:lvl w:ilvl="0" w:tplc="5E348F40">
      <w:start w:val="1"/>
      <w:numFmt w:val="bullet"/>
      <w:lvlText w:val="-"/>
      <w:lvlJc w:val="left"/>
      <w:pPr>
        <w:ind w:left="720" w:hanging="360"/>
      </w:pPr>
      <w:rPr>
        <w:rFonts w:ascii="Times New Roman" w:eastAsiaTheme="minorHAnsi" w:hAnsi="Times New Roman" w:cs="Times New Roman" w:hint="default"/>
        <w:i/>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B2A3A51"/>
    <w:multiLevelType w:val="hybridMultilevel"/>
    <w:tmpl w:val="BD563AF0"/>
    <w:lvl w:ilvl="0" w:tplc="3F74A8F8">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F5C3DE3"/>
    <w:multiLevelType w:val="hybridMultilevel"/>
    <w:tmpl w:val="FF02A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5"/>
  </w:num>
  <w:num w:numId="4">
    <w:abstractNumId w:val="6"/>
  </w:num>
  <w:num w:numId="5">
    <w:abstractNumId w:val="12"/>
  </w:num>
  <w:num w:numId="6">
    <w:abstractNumId w:val="8"/>
  </w:num>
  <w:num w:numId="7">
    <w:abstractNumId w:val="4"/>
  </w:num>
  <w:num w:numId="8">
    <w:abstractNumId w:val="5"/>
  </w:num>
  <w:num w:numId="9">
    <w:abstractNumId w:val="13"/>
  </w:num>
  <w:num w:numId="10">
    <w:abstractNumId w:val="10"/>
  </w:num>
  <w:num w:numId="11">
    <w:abstractNumId w:val="1"/>
  </w:num>
  <w:num w:numId="12">
    <w:abstractNumId w:val="7"/>
  </w:num>
  <w:num w:numId="13">
    <w:abstractNumId w:val="11"/>
  </w:num>
  <w:num w:numId="14">
    <w:abstractNumId w:val="14"/>
  </w:num>
  <w:num w:numId="15">
    <w:abstractNumId w:val="0"/>
  </w:num>
  <w:num w:numId="16">
    <w:abstractNumId w:val="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US" w:vendorID="64" w:dllVersion="6" w:nlCheck="1" w:checkStyle="1"/>
  <w:activeWritingStyle w:appName="MSWord" w:lang="en-US" w:vendorID="64" w:dllVersion="4096" w:nlCheck="1" w:checkStyle="0"/>
  <w:activeWritingStyle w:appName="MSWord" w:lang="it-IT" w:vendorID="64" w:dllVersion="4096" w:nlCheck="1" w:checkStyle="0"/>
  <w:activeWritingStyle w:appName="MSWord" w:lang="en-US" w:vendorID="64" w:dllVersion="131078" w:nlCheck="1" w:checkStyle="1"/>
  <w:activeWritingStyle w:appName="MSWord" w:lang="it-IT" w:vendorID="64" w:dllVersion="131078"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2A"/>
    <w:rsid w:val="000107B3"/>
    <w:rsid w:val="000545CA"/>
    <w:rsid w:val="00056F0A"/>
    <w:rsid w:val="00076EE9"/>
    <w:rsid w:val="000B4AF4"/>
    <w:rsid w:val="000C4223"/>
    <w:rsid w:val="000D76CE"/>
    <w:rsid w:val="00110FB9"/>
    <w:rsid w:val="00142526"/>
    <w:rsid w:val="00145EF9"/>
    <w:rsid w:val="00150CB3"/>
    <w:rsid w:val="00197345"/>
    <w:rsid w:val="00211A9C"/>
    <w:rsid w:val="00236E21"/>
    <w:rsid w:val="00257C6E"/>
    <w:rsid w:val="00280A94"/>
    <w:rsid w:val="002939A0"/>
    <w:rsid w:val="00297545"/>
    <w:rsid w:val="002977A4"/>
    <w:rsid w:val="002A6104"/>
    <w:rsid w:val="002B14DA"/>
    <w:rsid w:val="002B29D0"/>
    <w:rsid w:val="002D468D"/>
    <w:rsid w:val="003044DD"/>
    <w:rsid w:val="00305BB9"/>
    <w:rsid w:val="00315218"/>
    <w:rsid w:val="00347DF4"/>
    <w:rsid w:val="00347F26"/>
    <w:rsid w:val="003734AF"/>
    <w:rsid w:val="00385A06"/>
    <w:rsid w:val="003B7260"/>
    <w:rsid w:val="003C228D"/>
    <w:rsid w:val="003D5916"/>
    <w:rsid w:val="00403340"/>
    <w:rsid w:val="0041058C"/>
    <w:rsid w:val="00410AFA"/>
    <w:rsid w:val="00415831"/>
    <w:rsid w:val="00415FA6"/>
    <w:rsid w:val="0044136F"/>
    <w:rsid w:val="004D7EAF"/>
    <w:rsid w:val="00503B5A"/>
    <w:rsid w:val="005040D6"/>
    <w:rsid w:val="00516B0C"/>
    <w:rsid w:val="00527B09"/>
    <w:rsid w:val="005468BC"/>
    <w:rsid w:val="00552996"/>
    <w:rsid w:val="00571B37"/>
    <w:rsid w:val="0058552D"/>
    <w:rsid w:val="005A2A1A"/>
    <w:rsid w:val="005B08D2"/>
    <w:rsid w:val="005C666F"/>
    <w:rsid w:val="005D4740"/>
    <w:rsid w:val="005F76A9"/>
    <w:rsid w:val="005F7CF3"/>
    <w:rsid w:val="00640E93"/>
    <w:rsid w:val="00664470"/>
    <w:rsid w:val="006926DE"/>
    <w:rsid w:val="00692BF0"/>
    <w:rsid w:val="00693DDC"/>
    <w:rsid w:val="006E348A"/>
    <w:rsid w:val="006F0F62"/>
    <w:rsid w:val="006F2619"/>
    <w:rsid w:val="006F4E2A"/>
    <w:rsid w:val="007224DF"/>
    <w:rsid w:val="007424EF"/>
    <w:rsid w:val="00760C60"/>
    <w:rsid w:val="007721DE"/>
    <w:rsid w:val="007A4099"/>
    <w:rsid w:val="007B3DEC"/>
    <w:rsid w:val="007F47F5"/>
    <w:rsid w:val="00832DFA"/>
    <w:rsid w:val="00852B58"/>
    <w:rsid w:val="00863DCD"/>
    <w:rsid w:val="00865F7D"/>
    <w:rsid w:val="008735A3"/>
    <w:rsid w:val="008743C2"/>
    <w:rsid w:val="00897BB8"/>
    <w:rsid w:val="008A77B6"/>
    <w:rsid w:val="008B43B6"/>
    <w:rsid w:val="008C0759"/>
    <w:rsid w:val="008D7797"/>
    <w:rsid w:val="008E5400"/>
    <w:rsid w:val="008E55AC"/>
    <w:rsid w:val="008F055F"/>
    <w:rsid w:val="00910001"/>
    <w:rsid w:val="009151F6"/>
    <w:rsid w:val="00922B80"/>
    <w:rsid w:val="00927796"/>
    <w:rsid w:val="00934202"/>
    <w:rsid w:val="009430F1"/>
    <w:rsid w:val="00977A63"/>
    <w:rsid w:val="00991E28"/>
    <w:rsid w:val="009D58D6"/>
    <w:rsid w:val="009D5DBF"/>
    <w:rsid w:val="00A04737"/>
    <w:rsid w:val="00A20BA4"/>
    <w:rsid w:val="00A20ED6"/>
    <w:rsid w:val="00A33012"/>
    <w:rsid w:val="00A35753"/>
    <w:rsid w:val="00A37DEE"/>
    <w:rsid w:val="00A50A16"/>
    <w:rsid w:val="00A802BF"/>
    <w:rsid w:val="00AF3DA5"/>
    <w:rsid w:val="00B0464B"/>
    <w:rsid w:val="00B57408"/>
    <w:rsid w:val="00B846D2"/>
    <w:rsid w:val="00BA7E5A"/>
    <w:rsid w:val="00BC2CDD"/>
    <w:rsid w:val="00BD3777"/>
    <w:rsid w:val="00C12B93"/>
    <w:rsid w:val="00C2449C"/>
    <w:rsid w:val="00C41276"/>
    <w:rsid w:val="00C453BE"/>
    <w:rsid w:val="00C67959"/>
    <w:rsid w:val="00C73178"/>
    <w:rsid w:val="00C738A3"/>
    <w:rsid w:val="00CD7E8D"/>
    <w:rsid w:val="00CE09A8"/>
    <w:rsid w:val="00CE6188"/>
    <w:rsid w:val="00D11AB2"/>
    <w:rsid w:val="00D27F4A"/>
    <w:rsid w:val="00D7762E"/>
    <w:rsid w:val="00DD42F9"/>
    <w:rsid w:val="00DE522D"/>
    <w:rsid w:val="00E3433B"/>
    <w:rsid w:val="00EA13FC"/>
    <w:rsid w:val="00EA18D1"/>
    <w:rsid w:val="00EB1070"/>
    <w:rsid w:val="00EB6DBD"/>
    <w:rsid w:val="00EC3CA2"/>
    <w:rsid w:val="00ED52DE"/>
    <w:rsid w:val="00ED5986"/>
    <w:rsid w:val="00EE26B0"/>
    <w:rsid w:val="00F056FE"/>
    <w:rsid w:val="00F325B7"/>
    <w:rsid w:val="00F35A7A"/>
    <w:rsid w:val="00F47DD8"/>
    <w:rsid w:val="00F57375"/>
    <w:rsid w:val="00F64610"/>
    <w:rsid w:val="00F93CA8"/>
    <w:rsid w:val="00FC47CB"/>
    <w:rsid w:val="00FC6EFF"/>
    <w:rsid w:val="00FE7AF0"/>
    <w:rsid w:val="00FF035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E712A"/>
  <w15:chartTrackingRefBased/>
  <w15:docId w15:val="{314A89F6-F2CE-49A6-AE6D-8FFAB9FB5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38A3"/>
    <w:pPr>
      <w:keepNext/>
      <w:keepLines/>
      <w:spacing w:before="480" w:after="0" w:line="276" w:lineRule="auto"/>
      <w:outlineLvl w:val="0"/>
    </w:pPr>
    <w:rPr>
      <w:rFonts w:asciiTheme="majorHAnsi" w:eastAsiaTheme="majorEastAsia" w:hAnsiTheme="majorHAnsi" w:cstheme="majorBidi"/>
      <w:b/>
      <w:bCs/>
      <w:noProof/>
      <w:color w:val="2F5496" w:themeColor="accent1" w:themeShade="BF"/>
      <w:sz w:val="28"/>
      <w:szCs w:val="28"/>
    </w:rPr>
  </w:style>
  <w:style w:type="paragraph" w:styleId="Heading2">
    <w:name w:val="heading 2"/>
    <w:basedOn w:val="Normal"/>
    <w:next w:val="Normal"/>
    <w:link w:val="Heading2Char"/>
    <w:uiPriority w:val="9"/>
    <w:unhideWhenUsed/>
    <w:qFormat/>
    <w:rsid w:val="00C738A3"/>
    <w:pPr>
      <w:keepNext/>
      <w:keepLines/>
      <w:spacing w:before="200" w:after="0" w:line="276" w:lineRule="auto"/>
      <w:outlineLvl w:val="1"/>
    </w:pPr>
    <w:rPr>
      <w:rFonts w:asciiTheme="majorHAnsi" w:eastAsiaTheme="majorEastAsia" w:hAnsiTheme="majorHAnsi" w:cstheme="majorBidi"/>
      <w:b/>
      <w:bCs/>
      <w:noProof/>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4E2A"/>
    <w:pPr>
      <w:spacing w:after="0" w:line="240" w:lineRule="auto"/>
    </w:pPr>
    <w:rPr>
      <w:rFonts w:eastAsia="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4E2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F4E2A"/>
  </w:style>
  <w:style w:type="paragraph" w:styleId="Footer">
    <w:name w:val="footer"/>
    <w:basedOn w:val="Normal"/>
    <w:link w:val="FooterChar"/>
    <w:uiPriority w:val="99"/>
    <w:unhideWhenUsed/>
    <w:rsid w:val="006F4E2A"/>
    <w:pPr>
      <w:tabs>
        <w:tab w:val="center" w:pos="4536"/>
        <w:tab w:val="right" w:pos="9072"/>
      </w:tabs>
      <w:spacing w:after="0" w:line="240" w:lineRule="auto"/>
    </w:pPr>
  </w:style>
  <w:style w:type="character" w:customStyle="1" w:styleId="FooterChar">
    <w:name w:val="Footer Char"/>
    <w:basedOn w:val="DefaultParagraphFont"/>
    <w:link w:val="Footer"/>
    <w:uiPriority w:val="99"/>
    <w:rsid w:val="006F4E2A"/>
  </w:style>
  <w:style w:type="character" w:customStyle="1" w:styleId="Heading1Char">
    <w:name w:val="Heading 1 Char"/>
    <w:basedOn w:val="DefaultParagraphFont"/>
    <w:link w:val="Heading1"/>
    <w:uiPriority w:val="9"/>
    <w:rsid w:val="00C738A3"/>
    <w:rPr>
      <w:rFonts w:asciiTheme="majorHAnsi" w:eastAsiaTheme="majorEastAsia" w:hAnsiTheme="majorHAnsi" w:cstheme="majorBidi"/>
      <w:b/>
      <w:bCs/>
      <w:noProof/>
      <w:color w:val="2F5496" w:themeColor="accent1" w:themeShade="BF"/>
      <w:sz w:val="28"/>
      <w:szCs w:val="28"/>
    </w:rPr>
  </w:style>
  <w:style w:type="character" w:customStyle="1" w:styleId="Heading2Char">
    <w:name w:val="Heading 2 Char"/>
    <w:basedOn w:val="DefaultParagraphFont"/>
    <w:link w:val="Heading2"/>
    <w:uiPriority w:val="9"/>
    <w:rsid w:val="00C738A3"/>
    <w:rPr>
      <w:rFonts w:asciiTheme="majorHAnsi" w:eastAsiaTheme="majorEastAsia" w:hAnsiTheme="majorHAnsi" w:cstheme="majorBidi"/>
      <w:b/>
      <w:bCs/>
      <w:noProof/>
      <w:color w:val="4472C4" w:themeColor="accent1"/>
      <w:sz w:val="26"/>
      <w:szCs w:val="26"/>
    </w:rPr>
  </w:style>
  <w:style w:type="paragraph" w:styleId="ListParagraph">
    <w:name w:val="List Paragraph"/>
    <w:aliases w:val="List Paragraph (numbered (a)),REPORT Bullet,Normal List,Endnote,Indent,Paragraph,Citation List,Normal bullet 2,Resume Title,Paragraphe de liste PBLH,Bullet list,List Paragraph Char Char,b1,Number_1,SGLText List Paragraph,new,lp1,heading 1"/>
    <w:basedOn w:val="Normal"/>
    <w:link w:val="ListParagraphChar"/>
    <w:uiPriority w:val="34"/>
    <w:qFormat/>
    <w:rsid w:val="00C738A3"/>
    <w:pPr>
      <w:ind w:left="720"/>
      <w:contextualSpacing/>
    </w:pPr>
    <w:rPr>
      <w:rFonts w:asciiTheme="minorHAnsi" w:hAnsiTheme="minorHAnsi"/>
      <w:sz w:val="22"/>
    </w:rPr>
  </w:style>
  <w:style w:type="paragraph" w:styleId="BalloonText">
    <w:name w:val="Balloon Text"/>
    <w:basedOn w:val="Normal"/>
    <w:link w:val="BalloonTextChar"/>
    <w:uiPriority w:val="99"/>
    <w:semiHidden/>
    <w:unhideWhenUsed/>
    <w:rsid w:val="00C738A3"/>
    <w:pPr>
      <w:spacing w:after="0" w:line="240" w:lineRule="auto"/>
    </w:pPr>
    <w:rPr>
      <w:rFonts w:ascii="Tahoma" w:hAnsi="Tahoma" w:cs="Tahoma"/>
      <w:noProof/>
      <w:sz w:val="16"/>
      <w:szCs w:val="16"/>
    </w:rPr>
  </w:style>
  <w:style w:type="character" w:customStyle="1" w:styleId="BalloonTextChar">
    <w:name w:val="Balloon Text Char"/>
    <w:basedOn w:val="DefaultParagraphFont"/>
    <w:link w:val="BalloonText"/>
    <w:uiPriority w:val="99"/>
    <w:semiHidden/>
    <w:rsid w:val="00C738A3"/>
    <w:rPr>
      <w:rFonts w:ascii="Tahoma" w:hAnsi="Tahoma" w:cs="Tahoma"/>
      <w:noProof/>
      <w:sz w:val="16"/>
      <w:szCs w:val="16"/>
    </w:rPr>
  </w:style>
  <w:style w:type="character" w:styleId="Hyperlink">
    <w:name w:val="Hyperlink"/>
    <w:basedOn w:val="DefaultParagraphFont"/>
    <w:uiPriority w:val="99"/>
    <w:semiHidden/>
    <w:unhideWhenUsed/>
    <w:rsid w:val="00C738A3"/>
    <w:rPr>
      <w:color w:val="0000FF"/>
      <w:u w:val="single"/>
    </w:rPr>
  </w:style>
  <w:style w:type="character" w:styleId="FollowedHyperlink">
    <w:name w:val="FollowedHyperlink"/>
    <w:basedOn w:val="DefaultParagraphFont"/>
    <w:uiPriority w:val="99"/>
    <w:semiHidden/>
    <w:unhideWhenUsed/>
    <w:rsid w:val="00C738A3"/>
    <w:rPr>
      <w:color w:val="800080"/>
      <w:u w:val="single"/>
    </w:rPr>
  </w:style>
  <w:style w:type="paragraph" w:customStyle="1" w:styleId="xl66">
    <w:name w:val="xl66"/>
    <w:basedOn w:val="Normal"/>
    <w:rsid w:val="00C738A3"/>
    <w:pPr>
      <w:spacing w:before="100" w:beforeAutospacing="1" w:after="100" w:afterAutospacing="1" w:line="240" w:lineRule="auto"/>
      <w:jc w:val="center"/>
    </w:pPr>
    <w:rPr>
      <w:rFonts w:eastAsia="Times New Roman" w:cs="Times New Roman"/>
      <w:szCs w:val="24"/>
      <w:lang w:val="en-US"/>
    </w:rPr>
  </w:style>
  <w:style w:type="paragraph" w:customStyle="1" w:styleId="xl67">
    <w:name w:val="xl67"/>
    <w:basedOn w:val="Normal"/>
    <w:rsid w:val="00C738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lang w:val="en-US"/>
    </w:rPr>
  </w:style>
  <w:style w:type="paragraph" w:customStyle="1" w:styleId="xl68">
    <w:name w:val="xl68"/>
    <w:basedOn w:val="Normal"/>
    <w:rsid w:val="00C738A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cs="Times New Roman"/>
      <w:szCs w:val="24"/>
      <w:lang w:val="en-US"/>
    </w:rPr>
  </w:style>
  <w:style w:type="paragraph" w:customStyle="1" w:styleId="xl69">
    <w:name w:val="xl69"/>
    <w:basedOn w:val="Normal"/>
    <w:rsid w:val="00C738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cs="Times New Roman"/>
      <w:szCs w:val="24"/>
      <w:lang w:val="en-US"/>
    </w:rPr>
  </w:style>
  <w:style w:type="paragraph" w:customStyle="1" w:styleId="xl70">
    <w:name w:val="xl70"/>
    <w:basedOn w:val="Normal"/>
    <w:rsid w:val="00C738A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cs="Times New Roman"/>
      <w:szCs w:val="24"/>
      <w:lang w:val="en-US"/>
    </w:rPr>
  </w:style>
  <w:style w:type="paragraph" w:customStyle="1" w:styleId="xl71">
    <w:name w:val="xl71"/>
    <w:basedOn w:val="Normal"/>
    <w:rsid w:val="00C738A3"/>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lang w:val="en-US"/>
    </w:rPr>
  </w:style>
  <w:style w:type="paragraph" w:customStyle="1" w:styleId="xl72">
    <w:name w:val="xl72"/>
    <w:basedOn w:val="Normal"/>
    <w:rsid w:val="00C738A3"/>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2"/>
      <w:lang w:val="en-US"/>
    </w:rPr>
  </w:style>
  <w:style w:type="paragraph" w:customStyle="1" w:styleId="xl73">
    <w:name w:val="xl73"/>
    <w:basedOn w:val="Normal"/>
    <w:rsid w:val="00C738A3"/>
    <w:pPr>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2"/>
      <w:lang w:val="en-US"/>
    </w:rPr>
  </w:style>
  <w:style w:type="paragraph" w:customStyle="1" w:styleId="xl74">
    <w:name w:val="xl74"/>
    <w:basedOn w:val="Normal"/>
    <w:rsid w:val="00C738A3"/>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cs="Times New Roman"/>
      <w:szCs w:val="24"/>
      <w:lang w:val="en-US"/>
    </w:rPr>
  </w:style>
  <w:style w:type="paragraph" w:customStyle="1" w:styleId="xl75">
    <w:name w:val="xl75"/>
    <w:basedOn w:val="Normal"/>
    <w:rsid w:val="00C738A3"/>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szCs w:val="24"/>
      <w:lang w:val="en-US"/>
    </w:rPr>
  </w:style>
  <w:style w:type="paragraph" w:customStyle="1" w:styleId="xl76">
    <w:name w:val="xl76"/>
    <w:basedOn w:val="Normal"/>
    <w:rsid w:val="00C738A3"/>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cs="Times New Roman"/>
      <w:szCs w:val="24"/>
      <w:lang w:val="en-US"/>
    </w:rPr>
  </w:style>
  <w:style w:type="paragraph" w:customStyle="1" w:styleId="xl77">
    <w:name w:val="xl77"/>
    <w:basedOn w:val="Normal"/>
    <w:rsid w:val="00C738A3"/>
    <w:pPr>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2"/>
      <w:lang w:val="en-US"/>
    </w:rPr>
  </w:style>
  <w:style w:type="paragraph" w:customStyle="1" w:styleId="xl78">
    <w:name w:val="xl78"/>
    <w:basedOn w:val="Normal"/>
    <w:rsid w:val="00C738A3"/>
    <w:pPr>
      <w:pBdr>
        <w:left w:val="single" w:sz="8"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lang w:val="en-US"/>
    </w:rPr>
  </w:style>
  <w:style w:type="paragraph" w:customStyle="1" w:styleId="xl79">
    <w:name w:val="xl79"/>
    <w:basedOn w:val="Normal"/>
    <w:rsid w:val="00C738A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lang w:val="en-US"/>
    </w:rPr>
  </w:style>
  <w:style w:type="paragraph" w:customStyle="1" w:styleId="xl80">
    <w:name w:val="xl80"/>
    <w:basedOn w:val="Normal"/>
    <w:rsid w:val="00C738A3"/>
    <w:pPr>
      <w:pBdr>
        <w:top w:val="single" w:sz="4" w:space="0" w:color="auto"/>
        <w:left w:val="single" w:sz="8" w:space="0" w:color="auto"/>
        <w:right w:val="single" w:sz="4" w:space="0" w:color="auto"/>
      </w:pBdr>
      <w:spacing w:before="100" w:beforeAutospacing="1" w:after="100" w:afterAutospacing="1" w:line="240" w:lineRule="auto"/>
      <w:jc w:val="center"/>
    </w:pPr>
    <w:rPr>
      <w:rFonts w:eastAsia="Times New Roman" w:cs="Times New Roman"/>
      <w:szCs w:val="24"/>
      <w:lang w:val="en-US"/>
    </w:rPr>
  </w:style>
  <w:style w:type="paragraph" w:customStyle="1" w:styleId="xl81">
    <w:name w:val="xl81"/>
    <w:basedOn w:val="Normal"/>
    <w:rsid w:val="00C738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eastAsia="Times New Roman" w:cs="Times New Roman"/>
      <w:szCs w:val="24"/>
      <w:lang w:val="en-US"/>
    </w:rPr>
  </w:style>
  <w:style w:type="paragraph" w:customStyle="1" w:styleId="xl82">
    <w:name w:val="xl82"/>
    <w:basedOn w:val="Normal"/>
    <w:rsid w:val="00C738A3"/>
    <w:pPr>
      <w:spacing w:before="100" w:beforeAutospacing="1" w:after="100" w:afterAutospacing="1" w:line="240" w:lineRule="auto"/>
      <w:jc w:val="center"/>
    </w:pPr>
    <w:rPr>
      <w:rFonts w:eastAsia="Times New Roman" w:cs="Times New Roman"/>
      <w:szCs w:val="24"/>
      <w:lang w:val="en-US"/>
    </w:rPr>
  </w:style>
  <w:style w:type="paragraph" w:customStyle="1" w:styleId="msonormal0">
    <w:name w:val="msonormal"/>
    <w:basedOn w:val="Normal"/>
    <w:rsid w:val="00C738A3"/>
    <w:pPr>
      <w:spacing w:before="100" w:beforeAutospacing="1" w:after="100" w:afterAutospacing="1" w:line="240" w:lineRule="auto"/>
    </w:pPr>
    <w:rPr>
      <w:rFonts w:eastAsia="Times New Roman" w:cs="Times New Roman"/>
      <w:szCs w:val="24"/>
      <w:lang w:eastAsia="hr-HR"/>
    </w:rPr>
  </w:style>
  <w:style w:type="paragraph" w:customStyle="1" w:styleId="xl64">
    <w:name w:val="xl64"/>
    <w:basedOn w:val="Normal"/>
    <w:rsid w:val="00C738A3"/>
    <w:pPr>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Cs w:val="24"/>
      <w:lang w:val="en-GB" w:eastAsia="en-GB"/>
    </w:rPr>
  </w:style>
  <w:style w:type="paragraph" w:customStyle="1" w:styleId="xl65">
    <w:name w:val="xl65"/>
    <w:basedOn w:val="Normal"/>
    <w:rsid w:val="00C738A3"/>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Cs w:val="24"/>
      <w:lang w:val="en-GB" w:eastAsia="en-GB"/>
    </w:rPr>
  </w:style>
  <w:style w:type="paragraph" w:styleId="Revision">
    <w:name w:val="Revision"/>
    <w:hidden/>
    <w:uiPriority w:val="99"/>
    <w:semiHidden/>
    <w:rsid w:val="00C738A3"/>
    <w:pPr>
      <w:spacing w:after="0" w:line="240" w:lineRule="auto"/>
    </w:pPr>
    <w:rPr>
      <w:rFonts w:asciiTheme="minorHAnsi" w:hAnsiTheme="minorHAnsi"/>
      <w:sz w:val="22"/>
    </w:rPr>
  </w:style>
  <w:style w:type="paragraph" w:styleId="NormalWeb">
    <w:name w:val="Normal (Web)"/>
    <w:basedOn w:val="Normal"/>
    <w:uiPriority w:val="99"/>
    <w:unhideWhenUsed/>
    <w:rsid w:val="00C738A3"/>
    <w:pPr>
      <w:spacing w:before="100" w:beforeAutospacing="1" w:after="100" w:afterAutospacing="1" w:line="240" w:lineRule="auto"/>
    </w:pPr>
    <w:rPr>
      <w:rFonts w:eastAsia="Times New Roman" w:cs="Times New Roman"/>
      <w:szCs w:val="24"/>
      <w:lang w:eastAsia="hr-HR"/>
    </w:rPr>
  </w:style>
  <w:style w:type="character" w:styleId="CommentReference">
    <w:name w:val="annotation reference"/>
    <w:basedOn w:val="DefaultParagraphFont"/>
    <w:uiPriority w:val="99"/>
    <w:semiHidden/>
    <w:unhideWhenUsed/>
    <w:rsid w:val="00C738A3"/>
    <w:rPr>
      <w:sz w:val="16"/>
      <w:szCs w:val="16"/>
    </w:rPr>
  </w:style>
  <w:style w:type="paragraph" w:styleId="CommentText">
    <w:name w:val="annotation text"/>
    <w:basedOn w:val="Normal"/>
    <w:link w:val="CommentTextChar"/>
    <w:uiPriority w:val="99"/>
    <w:unhideWhenUsed/>
    <w:rsid w:val="00C738A3"/>
    <w:pPr>
      <w:spacing w:after="0" w:line="240" w:lineRule="auto"/>
    </w:pPr>
    <w:rPr>
      <w:rFonts w:eastAsia="Times New Roman" w:cs="Times New Roman"/>
      <w:sz w:val="20"/>
      <w:szCs w:val="20"/>
      <w:lang w:val="en-GB" w:eastAsia="en-GB"/>
    </w:rPr>
  </w:style>
  <w:style w:type="character" w:customStyle="1" w:styleId="CommentTextChar">
    <w:name w:val="Comment Text Char"/>
    <w:basedOn w:val="DefaultParagraphFont"/>
    <w:link w:val="CommentText"/>
    <w:uiPriority w:val="99"/>
    <w:rsid w:val="00C738A3"/>
    <w:rPr>
      <w:rFonts w:eastAsia="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C738A3"/>
    <w:rPr>
      <w:b/>
      <w:bCs/>
    </w:rPr>
  </w:style>
  <w:style w:type="character" w:customStyle="1" w:styleId="CommentSubjectChar">
    <w:name w:val="Comment Subject Char"/>
    <w:basedOn w:val="CommentTextChar"/>
    <w:link w:val="CommentSubject"/>
    <w:uiPriority w:val="99"/>
    <w:semiHidden/>
    <w:rsid w:val="00C738A3"/>
    <w:rPr>
      <w:rFonts w:eastAsia="Times New Roman" w:cs="Times New Roman"/>
      <w:b/>
      <w:bCs/>
      <w:sz w:val="20"/>
      <w:szCs w:val="20"/>
      <w:lang w:val="en-GB" w:eastAsia="en-GB"/>
    </w:rPr>
  </w:style>
  <w:style w:type="paragraph" w:styleId="Caption">
    <w:name w:val="caption"/>
    <w:aliases w:val="Slika Char,Caption-Slike,Slika Char Char Char Char Char Char Char,Char Char Char Char,Branko,Map Char,Map Char Char,Map Char Char Char Char Char,Map Char Char Char,Map,Caption Char Char Car Car,Caption ChaCaption Slike,Caption Char Char"/>
    <w:basedOn w:val="Normal"/>
    <w:next w:val="Normal"/>
    <w:link w:val="CaptionChar"/>
    <w:uiPriority w:val="35"/>
    <w:unhideWhenUsed/>
    <w:qFormat/>
    <w:rsid w:val="00C738A3"/>
    <w:pPr>
      <w:spacing w:after="200" w:line="240" w:lineRule="auto"/>
    </w:pPr>
    <w:rPr>
      <w:rFonts w:asciiTheme="minorHAnsi" w:hAnsiTheme="minorHAnsi"/>
      <w:i/>
      <w:iCs/>
      <w:color w:val="44546A" w:themeColor="text2"/>
      <w:sz w:val="18"/>
      <w:szCs w:val="18"/>
    </w:rPr>
  </w:style>
  <w:style w:type="character" w:customStyle="1" w:styleId="CaptionChar">
    <w:name w:val="Caption Char"/>
    <w:aliases w:val="Slika Char Char,Caption-Slike Char,Slika Char Char Char Char Char Char Char Char,Char Char Char Char Char,Branko Char,Map Char Char1,Map Char Char Char1,Map Char Char Char Char Char Char,Map Char Char Char Char,Map Char1"/>
    <w:link w:val="Caption"/>
    <w:uiPriority w:val="35"/>
    <w:locked/>
    <w:rsid w:val="00C738A3"/>
    <w:rPr>
      <w:rFonts w:asciiTheme="minorHAnsi" w:hAnsiTheme="minorHAnsi"/>
      <w:i/>
      <w:iCs/>
      <w:color w:val="44546A" w:themeColor="text2"/>
      <w:sz w:val="18"/>
      <w:szCs w:val="18"/>
    </w:rPr>
  </w:style>
  <w:style w:type="character" w:customStyle="1" w:styleId="ListParagraphChar">
    <w:name w:val="List Paragraph Char"/>
    <w:aliases w:val="List Paragraph (numbered (a)) Char,REPORT Bullet Char,Normal List Char,Endnote Char,Indent Char,Paragraph Char,Citation List Char,Normal bullet 2 Char,Resume Title Char,Paragraphe de liste PBLH Char,Bullet list Char,b1 Char,new Char"/>
    <w:link w:val="ListParagraph"/>
    <w:uiPriority w:val="34"/>
    <w:qFormat/>
    <w:locked/>
    <w:rsid w:val="00C738A3"/>
    <w:rPr>
      <w:rFonts w:asciiTheme="minorHAnsi" w:hAnsiTheme="minorHAnsi"/>
      <w:sz w:val="22"/>
    </w:rPr>
  </w:style>
  <w:style w:type="table" w:styleId="GridTable1Light-Accent4">
    <w:name w:val="Grid Table 1 Light Accent 4"/>
    <w:basedOn w:val="TableNormal"/>
    <w:uiPriority w:val="46"/>
    <w:rsid w:val="00C738A3"/>
    <w:pPr>
      <w:spacing w:before="120" w:after="0" w:line="240" w:lineRule="auto"/>
      <w:jc w:val="both"/>
    </w:pPr>
    <w:rPr>
      <w:rFonts w:asciiTheme="minorHAnsi" w:hAnsiTheme="minorHAnsi"/>
      <w:sz w:val="18"/>
      <w:szCs w:val="18"/>
      <w:lang w:val="en-US"/>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NoSpacing">
    <w:name w:val="No Spacing"/>
    <w:uiPriority w:val="1"/>
    <w:qFormat/>
    <w:rsid w:val="00B0464B"/>
    <w:pPr>
      <w:spacing w:after="0" w:line="240" w:lineRule="auto"/>
    </w:pPr>
    <w:rPr>
      <w:rFonts w:asciiTheme="minorHAnsi" w:hAnsiTheme="minorHAnsi"/>
      <w:kern w:val="2"/>
      <w:sz w:val="2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01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9B0585B2CC6B7498492DEAFE3511BDC" ma:contentTypeVersion="0" ma:contentTypeDescription="Stvaranje novog dokumenta." ma:contentTypeScope="" ma:versionID="031b15ee640d5b1e5bf656d975c724db">
  <xsd:schema xmlns:xsd="http://www.w3.org/2001/XMLSchema" xmlns:xs="http://www.w3.org/2001/XMLSchema" xmlns:p="http://schemas.microsoft.com/office/2006/metadata/properties" xmlns:ns2="a494813a-d0d8-4dad-94cb-0d196f36ba15" targetNamespace="http://schemas.microsoft.com/office/2006/metadata/properties" ma:root="true" ma:fieldsID="c4dd91abb1b66472ace8a8137ff32509" ns2:_="">
    <xsd:import namespace="a494813a-d0d8-4dad-94cb-0d196f36ba1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AZJMDCZ6QSYZ-1849078857-43067</_dlc_DocId>
    <_dlc_DocIdUrl xmlns="a494813a-d0d8-4dad-94cb-0d196f36ba15">
      <Url>https://ekoordinacije.vlada.hr/koordinacija-gospodarstvo/_layouts/15/DocIdRedir.aspx?ID=AZJMDCZ6QSYZ-1849078857-43067</Url>
      <Description>AZJMDCZ6QSYZ-1849078857-43067</Description>
    </_dlc_DocIdUrl>
  </documentManagement>
</p:properties>
</file>

<file path=customXml/itemProps1.xml><?xml version="1.0" encoding="utf-8"?>
<ds:datastoreItem xmlns:ds="http://schemas.openxmlformats.org/officeDocument/2006/customXml" ds:itemID="{F558B074-5734-46A3-8AD3-454D2F066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813a-d0d8-4dad-94cb-0d196f36b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54BE52-3736-4FC9-AC12-E2BCB4E6D421}">
  <ds:schemaRefs>
    <ds:schemaRef ds:uri="http://schemas.microsoft.com/sharepoint/events"/>
  </ds:schemaRefs>
</ds:datastoreItem>
</file>

<file path=customXml/itemProps3.xml><?xml version="1.0" encoding="utf-8"?>
<ds:datastoreItem xmlns:ds="http://schemas.openxmlformats.org/officeDocument/2006/customXml" ds:itemID="{0BA7A746-0273-4B54-B754-06ABD1F07751}">
  <ds:schemaRefs>
    <ds:schemaRef ds:uri="http://schemas.microsoft.com/sharepoint/v3/contenttype/forms"/>
  </ds:schemaRefs>
</ds:datastoreItem>
</file>

<file path=customXml/itemProps4.xml><?xml version="1.0" encoding="utf-8"?>
<ds:datastoreItem xmlns:ds="http://schemas.openxmlformats.org/officeDocument/2006/customXml" ds:itemID="{B291E07A-5814-44F4-8965-35C9CA74E604}">
  <ds:schemaRefs>
    <ds:schemaRef ds:uri="http://purl.org/dc/elements/1.1/"/>
    <ds:schemaRef ds:uri="http://schemas.microsoft.com/office/2006/metadata/properties"/>
    <ds:schemaRef ds:uri="http://purl.org/dc/terms/"/>
    <ds:schemaRef ds:uri="http://schemas.openxmlformats.org/package/2006/metadata/core-properties"/>
    <ds:schemaRef ds:uri="a494813a-d0d8-4dad-94cb-0d196f36ba15"/>
    <ds:schemaRef ds:uri="http://purl.org/dc/dcmitype/"/>
    <ds:schemaRef ds:uri="http://schemas.microsoft.com/office/infopath/2007/PartnerControl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1875</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Branka Bedek Vitanović</dc:creator>
  <cp:keywords/>
  <dc:description/>
  <cp:lastModifiedBy>Maja Lebarović</cp:lastModifiedBy>
  <cp:revision>10</cp:revision>
  <cp:lastPrinted>2024-11-26T09:55:00Z</cp:lastPrinted>
  <dcterms:created xsi:type="dcterms:W3CDTF">2024-11-28T14:39:00Z</dcterms:created>
  <dcterms:modified xsi:type="dcterms:W3CDTF">2025-01-02T09:40:00Z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0x010100E9B0585B2CC6B7498492DEAFE3511BDC</vt:lpwstr>
  </property>
  <property fmtid="{D5CDD505-2E9C-101B-9397-08002B2CF9AE}" pid="3" name="_dlc_DocIdItemGuid">
    <vt:lpwstr>7d2de603-0bca-488e-8118-68557b3f67ef</vt:lpwstr>
  </property>
</Properties>
</file>