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E1BA5" w14:textId="01F79F79" w:rsidR="00380F0D" w:rsidRPr="00380F0D" w:rsidRDefault="00D9511F" w:rsidP="00380F0D">
      <w:pPr>
        <w:ind w:right="252" w:firstLine="708"/>
        <w:jc w:val="right"/>
        <w:rPr>
          <w:b/>
          <w:sz w:val="28"/>
          <w:szCs w:val="28"/>
        </w:rPr>
      </w:pPr>
      <w:r w:rsidRPr="00901D18">
        <w:rPr>
          <w:b/>
          <w:sz w:val="28"/>
          <w:szCs w:val="28"/>
        </w:rPr>
        <w:t xml:space="preserve">        </w:t>
      </w:r>
      <w:r w:rsidRPr="00901D18">
        <w:rPr>
          <w:b/>
          <w:sz w:val="28"/>
          <w:szCs w:val="28"/>
        </w:rPr>
        <w:tab/>
      </w:r>
      <w:r w:rsidRPr="00901D18">
        <w:rPr>
          <w:b/>
          <w:sz w:val="28"/>
          <w:szCs w:val="28"/>
        </w:rPr>
        <w:tab/>
      </w:r>
      <w:r w:rsidRPr="00901D18">
        <w:rPr>
          <w:b/>
          <w:sz w:val="28"/>
          <w:szCs w:val="28"/>
        </w:rPr>
        <w:tab/>
      </w:r>
      <w:r w:rsidRPr="00901D18">
        <w:rPr>
          <w:b/>
          <w:sz w:val="28"/>
          <w:szCs w:val="28"/>
        </w:rPr>
        <w:tab/>
      </w:r>
      <w:r w:rsidRPr="00901D18">
        <w:rPr>
          <w:b/>
          <w:sz w:val="28"/>
          <w:szCs w:val="28"/>
        </w:rPr>
        <w:tab/>
      </w:r>
      <w:r w:rsidRPr="00901D18">
        <w:rPr>
          <w:b/>
          <w:sz w:val="28"/>
          <w:szCs w:val="28"/>
        </w:rPr>
        <w:tab/>
      </w:r>
      <w:r w:rsidRPr="00901D18">
        <w:rPr>
          <w:b/>
          <w:sz w:val="28"/>
          <w:szCs w:val="28"/>
        </w:rPr>
        <w:tab/>
      </w:r>
      <w:r w:rsidRPr="00901D18">
        <w:rPr>
          <w:b/>
          <w:sz w:val="28"/>
          <w:szCs w:val="28"/>
        </w:rPr>
        <w:tab/>
      </w:r>
      <w:r w:rsidRPr="00901D18">
        <w:rPr>
          <w:b/>
          <w:sz w:val="28"/>
          <w:szCs w:val="28"/>
        </w:rPr>
        <w:tab/>
      </w:r>
      <w:r w:rsidRPr="00901D18">
        <w:rPr>
          <w:b/>
          <w:sz w:val="28"/>
          <w:szCs w:val="28"/>
        </w:rPr>
        <w:tab/>
      </w:r>
    </w:p>
    <w:p w14:paraId="31475931" w14:textId="2593BF16" w:rsidR="00380F0D" w:rsidRDefault="00380F0D" w:rsidP="00380F0D">
      <w:pPr>
        <w:jc w:val="center"/>
      </w:pPr>
      <w:r>
        <w:rPr>
          <w:noProof/>
        </w:rPr>
        <w:drawing>
          <wp:inline distT="0" distB="0" distL="0" distR="0" wp14:anchorId="1F540296" wp14:editId="3CDA2B8B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14:paraId="3016866F" w14:textId="6B302930" w:rsidR="00380F0D" w:rsidRDefault="00380F0D" w:rsidP="00380F0D">
      <w:pPr>
        <w:spacing w:before="60" w:after="1200"/>
        <w:jc w:val="center"/>
        <w:rPr>
          <w:b/>
        </w:rPr>
      </w:pPr>
      <w:r>
        <w:rPr>
          <w:b/>
        </w:rPr>
        <w:t>VLADA REPUBLIKE HRVATSKE</w:t>
      </w:r>
    </w:p>
    <w:p w14:paraId="32D1D1E7" w14:textId="482BD58F" w:rsidR="00380F0D" w:rsidRDefault="00380F0D" w:rsidP="00380F0D">
      <w:pPr>
        <w:spacing w:after="2400"/>
        <w:jc w:val="right"/>
      </w:pPr>
      <w:r>
        <w:t xml:space="preserve">Zagreb, </w:t>
      </w:r>
      <w:r w:rsidR="00531A34">
        <w:t>13. studenoga</w:t>
      </w:r>
      <w:r>
        <w:t xml:space="preserve"> 2025.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80F0D" w14:paraId="21CBD423" w14:textId="77777777" w:rsidTr="008B6D2F">
        <w:tc>
          <w:tcPr>
            <w:tcW w:w="1951" w:type="dxa"/>
            <w:hideMark/>
          </w:tcPr>
          <w:p w14:paraId="366E4F8E" w14:textId="77777777" w:rsidR="00380F0D" w:rsidRDefault="00380F0D">
            <w:pPr>
              <w:spacing w:after="120"/>
              <w:jc w:val="right"/>
              <w:rPr>
                <w:rFonts w:eastAsia="Arial Unicode MS"/>
                <w:color w:val="000000"/>
                <w:lang w:eastAsia="en-US"/>
              </w:rPr>
            </w:pP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40EEBCBF" w14:textId="77777777" w:rsidR="00380F0D" w:rsidRDefault="00380F0D">
            <w:pPr>
              <w:spacing w:after="120"/>
              <w:jc w:val="both"/>
              <w:rPr>
                <w:rFonts w:eastAsia="Arial Unicode MS"/>
                <w:color w:val="000000"/>
                <w:lang w:eastAsia="en-US"/>
              </w:rPr>
            </w:pPr>
            <w:r>
              <w:t xml:space="preserve">Ministarstvo obrane </w:t>
            </w:r>
          </w:p>
        </w:tc>
      </w:tr>
    </w:tbl>
    <w:p w14:paraId="23961A02" w14:textId="77777777" w:rsidR="00380F0D" w:rsidRDefault="00380F0D" w:rsidP="00380F0D">
      <w:pPr>
        <w:rPr>
          <w:rFonts w:eastAsia="Calibri"/>
          <w:lang w:eastAsia="hr-BA"/>
        </w:rPr>
      </w:pPr>
      <w: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80F0D" w14:paraId="0F52137C" w14:textId="77777777" w:rsidTr="00380F0D">
        <w:tc>
          <w:tcPr>
            <w:tcW w:w="1951" w:type="dxa"/>
            <w:hideMark/>
          </w:tcPr>
          <w:p w14:paraId="507089A7" w14:textId="77777777" w:rsidR="00380F0D" w:rsidRDefault="00380F0D">
            <w:pPr>
              <w:spacing w:after="120"/>
              <w:jc w:val="right"/>
              <w:rPr>
                <w:rFonts w:eastAsia="Arial Unicode MS"/>
                <w:color w:val="000000"/>
                <w:lang w:eastAsia="en-US"/>
              </w:rPr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085DBE16" w14:textId="0F75E415" w:rsidR="00380F0D" w:rsidRDefault="00380F0D" w:rsidP="00380F0D">
            <w:pPr>
              <w:spacing w:after="200"/>
              <w:jc w:val="both"/>
              <w:rPr>
                <w:rFonts w:eastAsia="SimHei"/>
                <w:bCs/>
                <w:kern w:val="28"/>
              </w:rPr>
            </w:pPr>
            <w:r>
              <w:rPr>
                <w:rFonts w:eastAsia="SimHei"/>
                <w:bCs/>
                <w:kern w:val="28"/>
              </w:rPr>
              <w:t xml:space="preserve">Nacrt prijedloga odluke </w:t>
            </w:r>
            <w:r w:rsidRPr="00380F0D">
              <w:rPr>
                <w:rFonts w:eastAsia="SimHei"/>
                <w:bCs/>
                <w:kern w:val="28"/>
              </w:rPr>
              <w:t>o deklariranju snaga u Borbenu skupinu Europske unije pod vodstvom Talijanske Republike</w:t>
            </w:r>
          </w:p>
        </w:tc>
      </w:tr>
    </w:tbl>
    <w:p w14:paraId="5AC22615" w14:textId="76C70B56" w:rsidR="00380F0D" w:rsidRDefault="00380F0D" w:rsidP="00380F0D">
      <w:pPr>
        <w:tabs>
          <w:tab w:val="left" w:pos="1843"/>
        </w:tabs>
        <w:ind w:left="1843" w:hanging="1843"/>
        <w:rPr>
          <w:rFonts w:eastAsia="Calibri"/>
          <w:lang w:eastAsia="en-US"/>
        </w:rPr>
      </w:pPr>
      <w:r>
        <w:t>__________________________________________________________________________</w:t>
      </w:r>
    </w:p>
    <w:p w14:paraId="653BC9A5" w14:textId="77777777" w:rsidR="00380F0D" w:rsidRDefault="00380F0D" w:rsidP="00380F0D">
      <w:pPr>
        <w:tabs>
          <w:tab w:val="left" w:pos="1843"/>
        </w:tabs>
        <w:ind w:left="1843" w:hanging="1843"/>
        <w:rPr>
          <w:rFonts w:ascii="Calibri" w:hAnsi="Calibri"/>
          <w:sz w:val="22"/>
          <w:szCs w:val="22"/>
        </w:rPr>
      </w:pPr>
    </w:p>
    <w:p w14:paraId="41B3ACDD" w14:textId="77777777" w:rsidR="00380F0D" w:rsidRDefault="00380F0D" w:rsidP="00380F0D">
      <w:pPr>
        <w:tabs>
          <w:tab w:val="left" w:pos="1843"/>
        </w:tabs>
        <w:ind w:left="1843" w:hanging="1843"/>
      </w:pPr>
    </w:p>
    <w:p w14:paraId="24FB5FAC" w14:textId="77777777" w:rsidR="00380F0D" w:rsidRDefault="00380F0D" w:rsidP="00380F0D">
      <w:pPr>
        <w:tabs>
          <w:tab w:val="left" w:pos="1843"/>
        </w:tabs>
        <w:ind w:left="1843" w:hanging="1843"/>
      </w:pPr>
    </w:p>
    <w:p w14:paraId="5A92049A" w14:textId="77777777" w:rsidR="00380F0D" w:rsidRDefault="00380F0D" w:rsidP="00380F0D">
      <w:pPr>
        <w:tabs>
          <w:tab w:val="left" w:pos="1843"/>
        </w:tabs>
        <w:ind w:left="1843" w:hanging="1843"/>
      </w:pPr>
    </w:p>
    <w:p w14:paraId="2EC76DD9" w14:textId="77777777" w:rsidR="00380F0D" w:rsidRDefault="00380F0D" w:rsidP="00380F0D">
      <w:pPr>
        <w:tabs>
          <w:tab w:val="left" w:pos="1843"/>
        </w:tabs>
        <w:ind w:left="1843" w:hanging="1843"/>
      </w:pPr>
    </w:p>
    <w:p w14:paraId="33CDF8DF" w14:textId="77777777" w:rsidR="00380F0D" w:rsidRDefault="00380F0D" w:rsidP="00380F0D">
      <w:pPr>
        <w:tabs>
          <w:tab w:val="left" w:pos="1843"/>
        </w:tabs>
        <w:ind w:left="1843" w:hanging="1843"/>
      </w:pPr>
    </w:p>
    <w:p w14:paraId="7FD15115" w14:textId="77777777" w:rsidR="00380F0D" w:rsidRDefault="00380F0D" w:rsidP="00380F0D">
      <w:pPr>
        <w:tabs>
          <w:tab w:val="left" w:pos="1843"/>
        </w:tabs>
        <w:ind w:left="1843" w:hanging="1843"/>
      </w:pPr>
    </w:p>
    <w:p w14:paraId="1C209D2D" w14:textId="77777777" w:rsidR="00380F0D" w:rsidRDefault="00380F0D" w:rsidP="00380F0D">
      <w:pPr>
        <w:tabs>
          <w:tab w:val="left" w:pos="1843"/>
        </w:tabs>
        <w:ind w:left="1843" w:hanging="1843"/>
      </w:pPr>
    </w:p>
    <w:p w14:paraId="2A3A7548" w14:textId="77777777" w:rsidR="00380F0D" w:rsidRDefault="00380F0D" w:rsidP="00380F0D">
      <w:pPr>
        <w:tabs>
          <w:tab w:val="left" w:pos="1843"/>
        </w:tabs>
        <w:ind w:left="1843" w:hanging="1843"/>
      </w:pPr>
    </w:p>
    <w:p w14:paraId="1FB20BE6" w14:textId="77777777" w:rsidR="00380F0D" w:rsidRDefault="00380F0D" w:rsidP="00380F0D">
      <w:pPr>
        <w:tabs>
          <w:tab w:val="left" w:pos="1843"/>
        </w:tabs>
        <w:ind w:left="1843" w:hanging="1843"/>
      </w:pPr>
    </w:p>
    <w:p w14:paraId="0C7F27A3" w14:textId="77777777" w:rsidR="00380F0D" w:rsidRDefault="00380F0D" w:rsidP="00380F0D">
      <w:pPr>
        <w:tabs>
          <w:tab w:val="left" w:pos="1843"/>
        </w:tabs>
        <w:ind w:left="1843" w:hanging="1843"/>
      </w:pPr>
    </w:p>
    <w:p w14:paraId="05204AB8" w14:textId="77777777" w:rsidR="00380F0D" w:rsidRDefault="00380F0D" w:rsidP="00380F0D">
      <w:pPr>
        <w:tabs>
          <w:tab w:val="left" w:pos="1843"/>
        </w:tabs>
        <w:ind w:left="1843" w:hanging="1843"/>
      </w:pPr>
    </w:p>
    <w:p w14:paraId="42DF38A7" w14:textId="77777777" w:rsidR="00380F0D" w:rsidRDefault="00380F0D" w:rsidP="00380F0D">
      <w:pPr>
        <w:tabs>
          <w:tab w:val="left" w:pos="1843"/>
        </w:tabs>
        <w:ind w:left="1843" w:hanging="1843"/>
      </w:pPr>
    </w:p>
    <w:p w14:paraId="088D4746" w14:textId="77777777" w:rsidR="00380F0D" w:rsidRDefault="00380F0D" w:rsidP="00380F0D">
      <w:pPr>
        <w:tabs>
          <w:tab w:val="left" w:pos="1843"/>
        </w:tabs>
        <w:ind w:left="1843" w:hanging="1843"/>
      </w:pPr>
    </w:p>
    <w:p w14:paraId="2EF3EB6C" w14:textId="77777777" w:rsidR="00380F0D" w:rsidRDefault="00380F0D" w:rsidP="00380F0D">
      <w:pPr>
        <w:tabs>
          <w:tab w:val="left" w:pos="1843"/>
        </w:tabs>
        <w:ind w:left="1843" w:hanging="1843"/>
      </w:pPr>
    </w:p>
    <w:p w14:paraId="5E9B6167" w14:textId="77777777" w:rsidR="00380F0D" w:rsidRDefault="00380F0D" w:rsidP="00380F0D">
      <w:pPr>
        <w:tabs>
          <w:tab w:val="left" w:pos="1843"/>
        </w:tabs>
        <w:ind w:left="1843" w:hanging="1843"/>
      </w:pPr>
    </w:p>
    <w:p w14:paraId="09F49E16" w14:textId="77777777" w:rsidR="00380F0D" w:rsidRDefault="00380F0D" w:rsidP="00380F0D">
      <w:pPr>
        <w:tabs>
          <w:tab w:val="left" w:pos="1843"/>
        </w:tabs>
        <w:ind w:left="1843" w:hanging="1843"/>
      </w:pPr>
    </w:p>
    <w:p w14:paraId="08617A87" w14:textId="77777777" w:rsidR="00380F0D" w:rsidRDefault="00380F0D" w:rsidP="00380F0D">
      <w:pPr>
        <w:tabs>
          <w:tab w:val="left" w:pos="1843"/>
        </w:tabs>
        <w:ind w:left="1843" w:hanging="1843"/>
      </w:pPr>
    </w:p>
    <w:p w14:paraId="31A9009D" w14:textId="77777777" w:rsidR="00380F0D" w:rsidRDefault="00380F0D" w:rsidP="00380F0D">
      <w:pPr>
        <w:tabs>
          <w:tab w:val="left" w:pos="1843"/>
        </w:tabs>
        <w:ind w:left="1843" w:hanging="1843"/>
      </w:pPr>
    </w:p>
    <w:p w14:paraId="3B894959" w14:textId="77777777" w:rsidR="00380F0D" w:rsidRDefault="00380F0D" w:rsidP="00380F0D">
      <w:pPr>
        <w:tabs>
          <w:tab w:val="left" w:pos="1843"/>
        </w:tabs>
        <w:ind w:left="1843" w:hanging="1843"/>
      </w:pPr>
    </w:p>
    <w:p w14:paraId="1EA639ED" w14:textId="77777777" w:rsidR="00380F0D" w:rsidRDefault="00380F0D" w:rsidP="00380F0D">
      <w:pPr>
        <w:tabs>
          <w:tab w:val="left" w:pos="1843"/>
        </w:tabs>
        <w:ind w:left="1843" w:hanging="1843"/>
      </w:pPr>
    </w:p>
    <w:p w14:paraId="1937D45B" w14:textId="5B7E2210" w:rsidR="00380F0D" w:rsidRDefault="00380F0D" w:rsidP="00380F0D">
      <w:pPr>
        <w:tabs>
          <w:tab w:val="left" w:pos="1843"/>
        </w:tabs>
        <w:ind w:left="1843" w:hanging="1843"/>
      </w:pPr>
    </w:p>
    <w:p w14:paraId="10EDA771" w14:textId="2C1AEA8D" w:rsidR="00531A34" w:rsidRDefault="00531A34" w:rsidP="00380F0D">
      <w:pPr>
        <w:tabs>
          <w:tab w:val="left" w:pos="1843"/>
        </w:tabs>
        <w:ind w:left="1843" w:hanging="1843"/>
      </w:pPr>
      <w:r>
        <w:t>___________________________________________________________________________</w:t>
      </w:r>
    </w:p>
    <w:p w14:paraId="0DDA75D0" w14:textId="77777777" w:rsidR="00380F0D" w:rsidRDefault="00380F0D" w:rsidP="00380F0D">
      <w:pPr>
        <w:pStyle w:val="tb-na16"/>
        <w:spacing w:before="0" w:beforeAutospacing="0" w:after="0" w:afterAutospacing="0"/>
        <w:jc w:val="center"/>
        <w:rPr>
          <w:b/>
          <w:bCs/>
          <w:u w:val="single"/>
        </w:rPr>
      </w:pPr>
      <w:r>
        <w:rPr>
          <w:color w:val="404040"/>
          <w:spacing w:val="20"/>
          <w:sz w:val="20"/>
        </w:rPr>
        <w:t>Banski dvori | Trg Sv. Marka 2  | 10000 Zagreb | tel. 01 4569 222 | vlada.gov.hr</w:t>
      </w:r>
    </w:p>
    <w:p w14:paraId="70362B1A" w14:textId="5A80EFC1" w:rsidR="004A7E64" w:rsidRPr="00901D18" w:rsidRDefault="00531A34" w:rsidP="00531A34">
      <w:pPr>
        <w:jc w:val="both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PRIJEDLOG</w:t>
      </w:r>
    </w:p>
    <w:p w14:paraId="16DDC860" w14:textId="77777777" w:rsidR="00531A34" w:rsidRDefault="00380F0D" w:rsidP="003A04C6">
      <w:pPr>
        <w:ind w:right="249" w:firstLine="708"/>
        <w:jc w:val="both"/>
      </w:pPr>
      <w:r>
        <w:tab/>
      </w:r>
    </w:p>
    <w:p w14:paraId="3D41FAB3" w14:textId="77777777" w:rsidR="00531A34" w:rsidRDefault="00531A34" w:rsidP="00531A34">
      <w:pPr>
        <w:ind w:right="249" w:firstLine="1416"/>
        <w:jc w:val="both"/>
      </w:pPr>
    </w:p>
    <w:p w14:paraId="6920858B" w14:textId="05D30185" w:rsidR="00BC7B5B" w:rsidRPr="00901D18" w:rsidRDefault="00BC7B5B" w:rsidP="00531A34">
      <w:pPr>
        <w:ind w:right="249" w:firstLine="1416"/>
        <w:jc w:val="both"/>
      </w:pPr>
      <w:r w:rsidRPr="00901D18">
        <w:t>Na temelju članka 65. stavaka 2. i 4. Zakona o obrani (</w:t>
      </w:r>
      <w:r w:rsidR="003A04C6">
        <w:t>„</w:t>
      </w:r>
      <w:r w:rsidRPr="00901D18">
        <w:t>Narodne novine</w:t>
      </w:r>
      <w:r w:rsidR="003A04C6">
        <w:t>“</w:t>
      </w:r>
      <w:r w:rsidRPr="00901D18">
        <w:t>, br</w:t>
      </w:r>
      <w:r w:rsidR="00380F0D">
        <w:t>.</w:t>
      </w:r>
      <w:r w:rsidR="002858BF" w:rsidRPr="0065669F">
        <w:t xml:space="preserve"> 73/13</w:t>
      </w:r>
      <w:r w:rsidR="00380F0D">
        <w:t>.</w:t>
      </w:r>
      <w:r w:rsidR="002858BF" w:rsidRPr="0065669F">
        <w:t>, 75/15</w:t>
      </w:r>
      <w:r w:rsidR="00380F0D">
        <w:t>.</w:t>
      </w:r>
      <w:r w:rsidR="002858BF" w:rsidRPr="0065669F">
        <w:t>, 27/16</w:t>
      </w:r>
      <w:r w:rsidR="00380F0D">
        <w:t>.</w:t>
      </w:r>
      <w:r w:rsidR="002858BF" w:rsidRPr="0065669F">
        <w:t>, 110/17</w:t>
      </w:r>
      <w:r w:rsidR="00380F0D">
        <w:t>.</w:t>
      </w:r>
      <w:r w:rsidR="002858BF" w:rsidRPr="0065669F">
        <w:t xml:space="preserve"> – Odluka Ustavnog s</w:t>
      </w:r>
      <w:r w:rsidR="002858BF">
        <w:t>uda Republike Hrvatske, 30/18</w:t>
      </w:r>
      <w:r w:rsidR="00380F0D">
        <w:t>.</w:t>
      </w:r>
      <w:r w:rsidR="002858BF">
        <w:t xml:space="preserve">, </w:t>
      </w:r>
      <w:r w:rsidR="002858BF" w:rsidRPr="0065669F">
        <w:t>70/19</w:t>
      </w:r>
      <w:r w:rsidR="00380F0D">
        <w:t>.</w:t>
      </w:r>
      <w:r w:rsidR="00A50F31">
        <w:t>,</w:t>
      </w:r>
      <w:r w:rsidR="002858BF">
        <w:t xml:space="preserve"> 155/23</w:t>
      </w:r>
      <w:r w:rsidR="00380F0D">
        <w:t>.</w:t>
      </w:r>
      <w:r w:rsidR="00A50F31">
        <w:t xml:space="preserve"> i 136/25.</w:t>
      </w:r>
      <w:r w:rsidRPr="00901D18">
        <w:t>), na prijedlog Vlade Republike Hrvatske, donosim</w:t>
      </w:r>
    </w:p>
    <w:p w14:paraId="1FB02480" w14:textId="77777777" w:rsidR="004A7E64" w:rsidRPr="00901D18" w:rsidRDefault="004A7E64" w:rsidP="004A7E64">
      <w:pPr>
        <w:ind w:right="252"/>
        <w:jc w:val="both"/>
      </w:pPr>
    </w:p>
    <w:p w14:paraId="7E1DAF2A" w14:textId="77777777" w:rsidR="004A7E64" w:rsidRPr="00380F0D" w:rsidRDefault="004A7E64" w:rsidP="00531A34">
      <w:pPr>
        <w:tabs>
          <w:tab w:val="left" w:pos="0"/>
          <w:tab w:val="left" w:pos="8789"/>
        </w:tabs>
        <w:ind w:right="252"/>
        <w:jc w:val="center"/>
        <w:rPr>
          <w:b/>
        </w:rPr>
      </w:pPr>
    </w:p>
    <w:p w14:paraId="53D5CCDA" w14:textId="77777777" w:rsidR="004A7E64" w:rsidRPr="00380F0D" w:rsidRDefault="004A7E64" w:rsidP="00531A34">
      <w:pPr>
        <w:jc w:val="center"/>
        <w:rPr>
          <w:b/>
        </w:rPr>
      </w:pPr>
      <w:r w:rsidRPr="00380F0D">
        <w:rPr>
          <w:b/>
        </w:rPr>
        <w:t>O D L U K U</w:t>
      </w:r>
    </w:p>
    <w:p w14:paraId="1540AAD6" w14:textId="77777777" w:rsidR="00380F0D" w:rsidRPr="00380F0D" w:rsidRDefault="00380F0D" w:rsidP="00531A34">
      <w:pPr>
        <w:tabs>
          <w:tab w:val="left" w:pos="8789"/>
        </w:tabs>
        <w:ind w:right="252"/>
        <w:jc w:val="center"/>
        <w:rPr>
          <w:b/>
        </w:rPr>
      </w:pPr>
    </w:p>
    <w:p w14:paraId="1B642138" w14:textId="336852BF" w:rsidR="004A7E64" w:rsidRPr="00380F0D" w:rsidRDefault="004A7E64" w:rsidP="00531A34">
      <w:pPr>
        <w:jc w:val="center"/>
        <w:rPr>
          <w:b/>
        </w:rPr>
      </w:pPr>
      <w:r w:rsidRPr="00380F0D">
        <w:rPr>
          <w:b/>
        </w:rPr>
        <w:t>o deklar</w:t>
      </w:r>
      <w:r w:rsidR="008A493B" w:rsidRPr="00380F0D">
        <w:rPr>
          <w:b/>
        </w:rPr>
        <w:t xml:space="preserve">iranju snaga u Borbenu skupinu </w:t>
      </w:r>
      <w:r w:rsidRPr="00380F0D">
        <w:rPr>
          <w:b/>
        </w:rPr>
        <w:t>Europske unije</w:t>
      </w:r>
    </w:p>
    <w:p w14:paraId="6B5B2441" w14:textId="77777777" w:rsidR="004A7E64" w:rsidRPr="00380F0D" w:rsidRDefault="004A7E64" w:rsidP="00531A34">
      <w:pPr>
        <w:jc w:val="center"/>
        <w:rPr>
          <w:b/>
        </w:rPr>
      </w:pPr>
      <w:r w:rsidRPr="00380F0D">
        <w:rPr>
          <w:b/>
        </w:rPr>
        <w:t>pod vodstvom Talijanske Republike</w:t>
      </w:r>
    </w:p>
    <w:p w14:paraId="228AB352" w14:textId="77777777" w:rsidR="004A7E64" w:rsidRPr="00901D18" w:rsidRDefault="004A7E64" w:rsidP="004A7E64">
      <w:pPr>
        <w:ind w:right="252"/>
        <w:rPr>
          <w:b/>
        </w:rPr>
      </w:pPr>
    </w:p>
    <w:p w14:paraId="3E0E253C" w14:textId="77777777" w:rsidR="004A7E64" w:rsidRPr="00901D18" w:rsidRDefault="004A7E64" w:rsidP="004A7E64">
      <w:pPr>
        <w:ind w:right="252"/>
        <w:rPr>
          <w:b/>
        </w:rPr>
      </w:pPr>
    </w:p>
    <w:p w14:paraId="3FB73D79" w14:textId="77777777" w:rsidR="004A7E64" w:rsidRPr="00901D18" w:rsidRDefault="004A7E64" w:rsidP="00531A34">
      <w:pPr>
        <w:spacing w:after="120"/>
        <w:jc w:val="center"/>
        <w:rPr>
          <w:b/>
        </w:rPr>
      </w:pPr>
      <w:r w:rsidRPr="00901D18">
        <w:rPr>
          <w:b/>
        </w:rPr>
        <w:t>I.</w:t>
      </w:r>
    </w:p>
    <w:p w14:paraId="73BE1A27" w14:textId="090EA385" w:rsidR="004A7E64" w:rsidRPr="00901D18" w:rsidRDefault="004A7E64" w:rsidP="004A7E64">
      <w:pPr>
        <w:ind w:right="249"/>
        <w:jc w:val="both"/>
      </w:pPr>
      <w:r w:rsidRPr="00901D18">
        <w:tab/>
      </w:r>
      <w:r w:rsidR="00380F0D">
        <w:tab/>
      </w:r>
      <w:r w:rsidRPr="00901D18">
        <w:t xml:space="preserve">Ovom Odlukom deklariraju se namjenski organizirane snage iz Oružanih snaga Republike Hrvatske za angažiranje u Borbenoj skupini Europske unije pod vodstvom Talijanske Republike koja će biti u stanju pripravnosti </w:t>
      </w:r>
      <w:r w:rsidRPr="00AF36DA">
        <w:t>od 1. siječnja do 31. prosinca 2027.</w:t>
      </w:r>
      <w:r w:rsidRPr="00901D18">
        <w:t xml:space="preserve"> </w:t>
      </w:r>
    </w:p>
    <w:p w14:paraId="5EFE4A25" w14:textId="77777777" w:rsidR="004A7E64" w:rsidRPr="00901D18" w:rsidRDefault="004A7E64" w:rsidP="004A7E64">
      <w:pPr>
        <w:ind w:right="252"/>
        <w:jc w:val="center"/>
      </w:pPr>
    </w:p>
    <w:p w14:paraId="5C6F5092" w14:textId="77777777" w:rsidR="004A7E64" w:rsidRPr="00901D18" w:rsidRDefault="004A7E64" w:rsidP="00531A34">
      <w:pPr>
        <w:spacing w:after="120"/>
        <w:jc w:val="center"/>
      </w:pPr>
      <w:r w:rsidRPr="00901D18">
        <w:rPr>
          <w:b/>
        </w:rPr>
        <w:t>II.</w:t>
      </w:r>
    </w:p>
    <w:p w14:paraId="3572D6CB" w14:textId="03219573" w:rsidR="004A7E64" w:rsidRPr="00901D18" w:rsidRDefault="004A7E64" w:rsidP="004A7E64">
      <w:pPr>
        <w:ind w:right="249"/>
        <w:jc w:val="both"/>
      </w:pPr>
      <w:r w:rsidRPr="00901D18">
        <w:tab/>
      </w:r>
      <w:r w:rsidR="00380F0D">
        <w:tab/>
      </w:r>
      <w:r w:rsidRPr="00901D18">
        <w:t>Za angažiranje u Borben</w:t>
      </w:r>
      <w:r>
        <w:t>oj</w:t>
      </w:r>
      <w:r w:rsidRPr="00901D18">
        <w:t xml:space="preserve"> skupin</w:t>
      </w:r>
      <w:r>
        <w:t>i Europske unije</w:t>
      </w:r>
      <w:r w:rsidRPr="00901D18">
        <w:t xml:space="preserve"> iz točke I. ove Odluke Republika Hrvatska </w:t>
      </w:r>
      <w:r>
        <w:t>stavit će</w:t>
      </w:r>
      <w:r w:rsidRPr="00901D18">
        <w:t xml:space="preserve"> na raspolaganje</w:t>
      </w:r>
      <w:r w:rsidR="008B44CA">
        <w:t xml:space="preserve"> hrvatski kontingent</w:t>
      </w:r>
      <w:r w:rsidRPr="00901D18">
        <w:t xml:space="preserve"> veličine do </w:t>
      </w:r>
      <w:r>
        <w:t>25</w:t>
      </w:r>
      <w:r w:rsidRPr="00901D18">
        <w:t xml:space="preserve"> pripadnika Oružanih snaga Republike Hrvatske. </w:t>
      </w:r>
    </w:p>
    <w:p w14:paraId="11A6F6DA" w14:textId="77777777" w:rsidR="004A7E64" w:rsidRPr="00D854F8" w:rsidRDefault="004A7E64" w:rsidP="004A7E64">
      <w:pPr>
        <w:ind w:left="902"/>
        <w:jc w:val="both"/>
        <w:rPr>
          <w:bCs/>
        </w:rPr>
      </w:pPr>
    </w:p>
    <w:p w14:paraId="4D58B926" w14:textId="77777777" w:rsidR="004A7E64" w:rsidRPr="00901D18" w:rsidRDefault="004A7E64" w:rsidP="00531A34">
      <w:pPr>
        <w:spacing w:after="120"/>
        <w:jc w:val="center"/>
        <w:rPr>
          <w:bCs/>
          <w:lang w:val="hr-BA"/>
        </w:rPr>
      </w:pPr>
      <w:r w:rsidRPr="00901D18">
        <w:rPr>
          <w:b/>
          <w:bCs/>
          <w:lang w:val="hr-BA"/>
        </w:rPr>
        <w:t>III.</w:t>
      </w:r>
    </w:p>
    <w:p w14:paraId="5FC3CA3C" w14:textId="3A6F0B03" w:rsidR="004A7E64" w:rsidRPr="00901D18" w:rsidRDefault="004A7E64" w:rsidP="004A7E64">
      <w:pPr>
        <w:jc w:val="both"/>
        <w:rPr>
          <w:bCs/>
          <w:lang w:val="hr-BA"/>
        </w:rPr>
      </w:pPr>
      <w:r w:rsidRPr="00901D18">
        <w:rPr>
          <w:bCs/>
          <w:lang w:val="hr-BA"/>
        </w:rPr>
        <w:tab/>
      </w:r>
      <w:r w:rsidR="00380F0D">
        <w:rPr>
          <w:bCs/>
          <w:lang w:val="hr-BA"/>
        </w:rPr>
        <w:tab/>
      </w:r>
      <w:r w:rsidRPr="00901D18">
        <w:rPr>
          <w:bCs/>
          <w:lang w:val="hr-BA"/>
        </w:rPr>
        <w:t>Ova Odluka stupa na snagu danom donošenja.</w:t>
      </w:r>
    </w:p>
    <w:p w14:paraId="75323B0E" w14:textId="77777777" w:rsidR="004A7E64" w:rsidRPr="00901D18" w:rsidRDefault="004A7E64" w:rsidP="004A7E64">
      <w:pPr>
        <w:jc w:val="both"/>
        <w:rPr>
          <w:bCs/>
          <w:lang w:val="hr-BA"/>
        </w:rPr>
      </w:pPr>
    </w:p>
    <w:p w14:paraId="2310916E" w14:textId="77777777" w:rsidR="004A7E64" w:rsidRPr="00901D18" w:rsidRDefault="004A7E64" w:rsidP="004A7E64">
      <w:pPr>
        <w:jc w:val="both"/>
        <w:rPr>
          <w:bCs/>
          <w:lang w:val="hr-BA"/>
        </w:rPr>
      </w:pPr>
    </w:p>
    <w:p w14:paraId="41358782" w14:textId="77777777" w:rsidR="004A7E64" w:rsidRPr="00901D18" w:rsidRDefault="004A7E64" w:rsidP="004A7E64">
      <w:pPr>
        <w:jc w:val="both"/>
        <w:rPr>
          <w:bCs/>
          <w:lang w:val="hr-BA"/>
        </w:rPr>
      </w:pPr>
    </w:p>
    <w:p w14:paraId="3D9C57AD" w14:textId="46707F04" w:rsidR="004A7E64" w:rsidRPr="00901D18" w:rsidRDefault="004A7E64" w:rsidP="004A7E64">
      <w:pPr>
        <w:jc w:val="both"/>
        <w:rPr>
          <w:b/>
          <w:bCs/>
          <w:lang w:val="hr-BA"/>
        </w:rPr>
      </w:pPr>
      <w:r w:rsidRPr="00901D18">
        <w:rPr>
          <w:bCs/>
          <w:lang w:val="hr-BA"/>
        </w:rPr>
        <w:t xml:space="preserve">                                                            </w:t>
      </w:r>
      <w:r>
        <w:rPr>
          <w:bCs/>
          <w:lang w:val="hr-BA"/>
        </w:rPr>
        <w:t xml:space="preserve">     </w:t>
      </w:r>
      <w:r w:rsidR="00DE71D7">
        <w:rPr>
          <w:bCs/>
          <w:lang w:val="hr-BA"/>
        </w:rPr>
        <w:t xml:space="preserve">  </w:t>
      </w:r>
      <w:r w:rsidRPr="00901D18">
        <w:rPr>
          <w:b/>
          <w:bCs/>
          <w:lang w:val="hr-BA"/>
        </w:rPr>
        <w:t>PREDSJEDNIK REPUBLIKE HRVATSKE</w:t>
      </w:r>
    </w:p>
    <w:p w14:paraId="31DC4C55" w14:textId="77777777" w:rsidR="004A7E64" w:rsidRPr="00901D18" w:rsidRDefault="004A7E64" w:rsidP="004A7E64">
      <w:pPr>
        <w:jc w:val="both"/>
        <w:rPr>
          <w:b/>
          <w:bCs/>
          <w:lang w:val="hr-BA"/>
        </w:rPr>
      </w:pPr>
      <w:r w:rsidRPr="00901D18">
        <w:rPr>
          <w:b/>
          <w:bCs/>
          <w:lang w:val="hr-BA"/>
        </w:rPr>
        <w:tab/>
      </w:r>
      <w:r w:rsidRPr="00901D18">
        <w:rPr>
          <w:b/>
          <w:bCs/>
          <w:lang w:val="hr-BA"/>
        </w:rPr>
        <w:tab/>
      </w:r>
      <w:r w:rsidRPr="00901D18">
        <w:rPr>
          <w:b/>
          <w:bCs/>
          <w:lang w:val="hr-BA"/>
        </w:rPr>
        <w:tab/>
      </w:r>
      <w:r w:rsidRPr="00901D18">
        <w:rPr>
          <w:b/>
          <w:bCs/>
          <w:lang w:val="hr-BA"/>
        </w:rPr>
        <w:tab/>
        <w:t xml:space="preserve">             </w:t>
      </w:r>
      <w:r>
        <w:rPr>
          <w:b/>
          <w:bCs/>
          <w:lang w:val="hr-BA"/>
        </w:rPr>
        <w:t xml:space="preserve">I </w:t>
      </w:r>
      <w:r w:rsidRPr="00901D18">
        <w:rPr>
          <w:b/>
          <w:bCs/>
          <w:lang w:val="hr-BA"/>
        </w:rPr>
        <w:t>VRHOVNI ZAPOVJEDNIK ORUŽANIH SNAGA</w:t>
      </w:r>
    </w:p>
    <w:p w14:paraId="3DE84D39" w14:textId="77777777" w:rsidR="004A7E64" w:rsidRPr="00901D18" w:rsidRDefault="004A7E64" w:rsidP="004A7E64">
      <w:pPr>
        <w:jc w:val="both"/>
        <w:rPr>
          <w:bCs/>
          <w:lang w:val="hr-BA"/>
        </w:rPr>
      </w:pPr>
    </w:p>
    <w:p w14:paraId="13E75A41" w14:textId="0A9BD3F1" w:rsidR="004A7E64" w:rsidRPr="00901D18" w:rsidRDefault="004A7E64" w:rsidP="004A7E64">
      <w:pPr>
        <w:ind w:left="4248" w:firstLine="708"/>
        <w:rPr>
          <w:b/>
          <w:bCs/>
          <w:lang w:val="hr-BA"/>
        </w:rPr>
      </w:pPr>
      <w:r w:rsidRPr="00901D18">
        <w:rPr>
          <w:b/>
          <w:bCs/>
          <w:lang w:val="hr-BA"/>
        </w:rPr>
        <w:t xml:space="preserve">     </w:t>
      </w:r>
      <w:r w:rsidR="00DE71D7">
        <w:rPr>
          <w:b/>
          <w:bCs/>
          <w:lang w:val="hr-BA"/>
        </w:rPr>
        <w:t xml:space="preserve">   </w:t>
      </w:r>
      <w:r w:rsidRPr="00901D18">
        <w:rPr>
          <w:b/>
          <w:bCs/>
          <w:lang w:val="hr-BA"/>
        </w:rPr>
        <w:t>Zoran Milanović</w:t>
      </w:r>
    </w:p>
    <w:p w14:paraId="2D7E1B39" w14:textId="77777777" w:rsidR="004A7E64" w:rsidRPr="00901D18" w:rsidRDefault="004A7E64" w:rsidP="004A7E64">
      <w:pPr>
        <w:jc w:val="both"/>
        <w:rPr>
          <w:b/>
          <w:bCs/>
          <w:lang w:val="hr-BA"/>
        </w:rPr>
      </w:pPr>
    </w:p>
    <w:p w14:paraId="59E7289B" w14:textId="77777777" w:rsidR="004A7E64" w:rsidRPr="00901D18" w:rsidRDefault="004A7E64" w:rsidP="004A7E64">
      <w:pPr>
        <w:jc w:val="both"/>
        <w:rPr>
          <w:b/>
          <w:bCs/>
          <w:lang w:val="hr-BA"/>
        </w:rPr>
      </w:pPr>
    </w:p>
    <w:p w14:paraId="140DA66A" w14:textId="77777777" w:rsidR="004A7E64" w:rsidRPr="00901D18" w:rsidRDefault="004A7E64" w:rsidP="004A7E64">
      <w:pPr>
        <w:jc w:val="both"/>
        <w:rPr>
          <w:b/>
          <w:bCs/>
          <w:lang w:val="hr-BA"/>
        </w:rPr>
      </w:pPr>
    </w:p>
    <w:p w14:paraId="6AB5FDC2" w14:textId="77777777" w:rsidR="004A7E64" w:rsidRPr="00901D18" w:rsidRDefault="004A7E64" w:rsidP="004A7E64">
      <w:pPr>
        <w:jc w:val="both"/>
        <w:rPr>
          <w:b/>
          <w:bCs/>
          <w:lang w:val="hr-BA"/>
        </w:rPr>
      </w:pPr>
      <w:r w:rsidRPr="00901D18">
        <w:rPr>
          <w:b/>
          <w:bCs/>
          <w:lang w:val="hr-BA"/>
        </w:rPr>
        <w:t>KLASA:</w:t>
      </w:r>
    </w:p>
    <w:p w14:paraId="62D4DFBB" w14:textId="281DFEAA" w:rsidR="004A7E64" w:rsidRDefault="004A7E64" w:rsidP="004A7E64">
      <w:pPr>
        <w:jc w:val="both"/>
        <w:rPr>
          <w:b/>
          <w:bCs/>
          <w:lang w:val="hr-BA"/>
        </w:rPr>
      </w:pPr>
      <w:r w:rsidRPr="00901D18">
        <w:rPr>
          <w:b/>
          <w:bCs/>
          <w:lang w:val="hr-BA"/>
        </w:rPr>
        <w:t>URBROJ:</w:t>
      </w:r>
    </w:p>
    <w:p w14:paraId="21BF8418" w14:textId="77777777" w:rsidR="003A04C6" w:rsidRPr="00901D18" w:rsidRDefault="003A04C6" w:rsidP="004A7E64">
      <w:pPr>
        <w:jc w:val="both"/>
        <w:rPr>
          <w:b/>
          <w:bCs/>
          <w:lang w:val="hr-BA"/>
        </w:rPr>
      </w:pPr>
    </w:p>
    <w:p w14:paraId="1B97E420" w14:textId="77777777" w:rsidR="004A7E64" w:rsidRPr="00901D18" w:rsidRDefault="004A7E64" w:rsidP="004A7E64">
      <w:pPr>
        <w:jc w:val="both"/>
        <w:rPr>
          <w:b/>
          <w:bCs/>
          <w:lang w:val="hr-BA"/>
        </w:rPr>
      </w:pPr>
      <w:r w:rsidRPr="00901D18">
        <w:rPr>
          <w:b/>
          <w:bCs/>
          <w:lang w:val="hr-BA"/>
        </w:rPr>
        <w:t xml:space="preserve">Zagreb, </w:t>
      </w:r>
    </w:p>
    <w:p w14:paraId="2D175546" w14:textId="77777777" w:rsidR="004A7E64" w:rsidRDefault="004A7E64" w:rsidP="004A7E64">
      <w:pPr>
        <w:jc w:val="both"/>
        <w:rPr>
          <w:b/>
          <w:bCs/>
          <w:lang w:val="hr-BA"/>
        </w:rPr>
      </w:pPr>
    </w:p>
    <w:p w14:paraId="732F3A5D" w14:textId="77777777" w:rsidR="004A7E64" w:rsidRDefault="004A7E64" w:rsidP="004A7E64">
      <w:pPr>
        <w:jc w:val="both"/>
        <w:rPr>
          <w:b/>
          <w:bCs/>
          <w:lang w:val="hr-BA"/>
        </w:rPr>
      </w:pPr>
    </w:p>
    <w:p w14:paraId="75DEFD1D" w14:textId="77777777" w:rsidR="004A7E64" w:rsidRDefault="004A7E64" w:rsidP="004A7E64">
      <w:pPr>
        <w:jc w:val="both"/>
        <w:rPr>
          <w:b/>
          <w:bCs/>
          <w:lang w:val="hr-BA"/>
        </w:rPr>
      </w:pPr>
    </w:p>
    <w:p w14:paraId="06A14124" w14:textId="171E8571" w:rsidR="004A7E64" w:rsidRDefault="004A7E64" w:rsidP="004A7E64">
      <w:pPr>
        <w:jc w:val="both"/>
        <w:rPr>
          <w:b/>
          <w:bCs/>
          <w:lang w:val="hr-BA"/>
        </w:rPr>
      </w:pPr>
    </w:p>
    <w:p w14:paraId="08F1FF12" w14:textId="11A3E0F6" w:rsidR="00DE71D7" w:rsidRDefault="00DE71D7" w:rsidP="004A7E64">
      <w:pPr>
        <w:jc w:val="both"/>
        <w:rPr>
          <w:b/>
          <w:bCs/>
          <w:lang w:val="hr-BA"/>
        </w:rPr>
      </w:pPr>
    </w:p>
    <w:p w14:paraId="56FA0752" w14:textId="77777777" w:rsidR="00A50F31" w:rsidRDefault="00A50F31" w:rsidP="004A7E64">
      <w:pPr>
        <w:jc w:val="both"/>
        <w:rPr>
          <w:b/>
          <w:bCs/>
          <w:lang w:val="hr-BA"/>
        </w:rPr>
      </w:pPr>
    </w:p>
    <w:p w14:paraId="27AC2009" w14:textId="77777777" w:rsidR="00DE71D7" w:rsidRDefault="00DE71D7" w:rsidP="004A7E64">
      <w:pPr>
        <w:jc w:val="both"/>
        <w:rPr>
          <w:b/>
          <w:bCs/>
          <w:lang w:val="hr-BA"/>
        </w:rPr>
      </w:pPr>
    </w:p>
    <w:p w14:paraId="1BFE9137" w14:textId="77777777" w:rsidR="00380F0D" w:rsidRDefault="00380F0D" w:rsidP="004A7E64">
      <w:pPr>
        <w:jc w:val="both"/>
        <w:rPr>
          <w:b/>
          <w:bCs/>
          <w:lang w:val="hr-BA"/>
        </w:rPr>
      </w:pPr>
    </w:p>
    <w:p w14:paraId="3EE06462" w14:textId="77777777" w:rsidR="003A04C6" w:rsidRDefault="003A04C6" w:rsidP="004A7E64">
      <w:pPr>
        <w:jc w:val="center"/>
        <w:rPr>
          <w:b/>
        </w:rPr>
      </w:pPr>
    </w:p>
    <w:p w14:paraId="07D959FF" w14:textId="58420CAA" w:rsidR="004A7E64" w:rsidRDefault="004A7E64" w:rsidP="004A7E64">
      <w:pPr>
        <w:jc w:val="center"/>
        <w:rPr>
          <w:b/>
          <w:bCs/>
          <w:lang w:val="hr-BA"/>
        </w:rPr>
      </w:pPr>
      <w:r w:rsidRPr="00901D18">
        <w:rPr>
          <w:b/>
          <w:bCs/>
          <w:lang w:val="hr-BA"/>
        </w:rPr>
        <w:lastRenderedPageBreak/>
        <w:t>O B R A Z L O Ž E N</w:t>
      </w:r>
      <w:r w:rsidR="00531A34">
        <w:rPr>
          <w:b/>
          <w:bCs/>
          <w:lang w:val="hr-BA"/>
        </w:rPr>
        <w:t xml:space="preserve"> </w:t>
      </w:r>
      <w:r w:rsidRPr="00901D18">
        <w:rPr>
          <w:b/>
          <w:bCs/>
          <w:lang w:val="hr-BA"/>
        </w:rPr>
        <w:t>J E</w:t>
      </w:r>
    </w:p>
    <w:p w14:paraId="510633D6" w14:textId="77777777" w:rsidR="00380F0D" w:rsidRPr="00A52190" w:rsidRDefault="00380F0D" w:rsidP="004A7E64">
      <w:pPr>
        <w:jc w:val="center"/>
        <w:rPr>
          <w:b/>
          <w:bCs/>
          <w:lang w:val="hr-BA"/>
        </w:rPr>
      </w:pPr>
    </w:p>
    <w:p w14:paraId="385E30E0" w14:textId="77777777" w:rsidR="004A7E64" w:rsidRPr="00901D18" w:rsidRDefault="004A7E64" w:rsidP="004A7E64">
      <w:pPr>
        <w:spacing w:line="120" w:lineRule="auto"/>
        <w:jc w:val="both"/>
        <w:rPr>
          <w:bCs/>
          <w:lang w:val="hr-BA"/>
        </w:rPr>
      </w:pPr>
    </w:p>
    <w:p w14:paraId="1085E5C8" w14:textId="77777777" w:rsidR="004A7E64" w:rsidRDefault="004A7E64" w:rsidP="004A7E64">
      <w:pPr>
        <w:ind w:firstLine="708"/>
        <w:jc w:val="both"/>
        <w:rPr>
          <w:bCs/>
          <w:lang w:val="hr-BA"/>
        </w:rPr>
      </w:pPr>
      <w:r w:rsidRPr="00901D18">
        <w:rPr>
          <w:bCs/>
          <w:lang w:val="hr-BA"/>
        </w:rPr>
        <w:t xml:space="preserve">Europska unija uspostavila je borbene skupine kao mehanizme brzog odgovora na krize kojima se izravno pridonosi </w:t>
      </w:r>
      <w:r w:rsidRPr="00901D18">
        <w:rPr>
          <w:bCs/>
        </w:rPr>
        <w:t xml:space="preserve">jačanju kapaciteta i sposobnosti Europske unije za upravljanje krizama kao dijelu </w:t>
      </w:r>
      <w:r w:rsidRPr="00901D18">
        <w:rPr>
          <w:bCs/>
          <w:lang w:val="hr-BA"/>
        </w:rPr>
        <w:t>Zajedničke sigurnosne i obrambene politike Europske unije.</w:t>
      </w:r>
    </w:p>
    <w:p w14:paraId="7BCCEC6A" w14:textId="77777777" w:rsidR="004A7E64" w:rsidRPr="00901D18" w:rsidRDefault="004A7E64" w:rsidP="004A7E64">
      <w:pPr>
        <w:spacing w:line="120" w:lineRule="auto"/>
        <w:ind w:firstLine="709"/>
        <w:jc w:val="both"/>
        <w:rPr>
          <w:bCs/>
          <w:lang w:val="hr-BA"/>
        </w:rPr>
      </w:pPr>
    </w:p>
    <w:p w14:paraId="056956E2" w14:textId="77777777" w:rsidR="00132E11" w:rsidRDefault="004A7E64" w:rsidP="004A7E64">
      <w:pPr>
        <w:ind w:firstLine="708"/>
        <w:jc w:val="both"/>
        <w:rPr>
          <w:bCs/>
          <w:lang w:val="hr-BA"/>
        </w:rPr>
      </w:pPr>
      <w:r w:rsidRPr="00901D18">
        <w:rPr>
          <w:bCs/>
          <w:lang w:val="hr-BA"/>
        </w:rPr>
        <w:t xml:space="preserve">Republika Hrvatska kao članica Europske unije podržava i aktivno </w:t>
      </w:r>
      <w:r>
        <w:rPr>
          <w:bCs/>
          <w:lang w:val="hr-BA"/>
        </w:rPr>
        <w:t>pridonosi</w:t>
      </w:r>
      <w:r w:rsidRPr="00901D18">
        <w:rPr>
          <w:bCs/>
          <w:lang w:val="hr-BA"/>
        </w:rPr>
        <w:t xml:space="preserve"> razvoju Zajedničke sigurnosne i obrambene politike Europske unije. </w:t>
      </w:r>
    </w:p>
    <w:p w14:paraId="10EEC7A6" w14:textId="77777777" w:rsidR="00132E11" w:rsidRDefault="00132E11" w:rsidP="004A7E64">
      <w:pPr>
        <w:ind w:firstLine="708"/>
        <w:jc w:val="both"/>
        <w:rPr>
          <w:bCs/>
          <w:lang w:val="hr-BA"/>
        </w:rPr>
      </w:pPr>
    </w:p>
    <w:p w14:paraId="7F9698A3" w14:textId="3536C34A" w:rsidR="004A7E64" w:rsidRDefault="004A7E64" w:rsidP="004A7E64">
      <w:pPr>
        <w:ind w:firstLine="708"/>
        <w:jc w:val="both"/>
        <w:rPr>
          <w:bCs/>
        </w:rPr>
      </w:pPr>
      <w:r>
        <w:rPr>
          <w:bCs/>
        </w:rPr>
        <w:t>Z</w:t>
      </w:r>
      <w:r w:rsidRPr="00901D18">
        <w:rPr>
          <w:bCs/>
        </w:rPr>
        <w:t xml:space="preserve">a Oružane snage Republike Hrvatske borbene skupine Europske unije su vrijedan operativni i transformacijski instrument, koji ujedno pridonosi razvoju i povećanju interoperabilnosti te </w:t>
      </w:r>
      <w:r>
        <w:rPr>
          <w:bCs/>
        </w:rPr>
        <w:t>jačanju</w:t>
      </w:r>
      <w:r w:rsidRPr="00901D18">
        <w:rPr>
          <w:bCs/>
        </w:rPr>
        <w:t xml:space="preserve"> bilateralnih i regionalnih veza s našim partnerima.</w:t>
      </w:r>
    </w:p>
    <w:p w14:paraId="4F6AA86A" w14:textId="77777777" w:rsidR="004A7E64" w:rsidRDefault="004A7E64" w:rsidP="004A7E64">
      <w:pPr>
        <w:jc w:val="both"/>
        <w:rPr>
          <w:bCs/>
          <w:lang w:val="hr-BA"/>
        </w:rPr>
      </w:pPr>
    </w:p>
    <w:p w14:paraId="49CBC672" w14:textId="77777777" w:rsidR="004A7E64" w:rsidRPr="00936255" w:rsidRDefault="004A7E64" w:rsidP="004A7E64">
      <w:pPr>
        <w:ind w:firstLine="708"/>
        <w:jc w:val="both"/>
        <w:rPr>
          <w:bCs/>
          <w:lang w:val="hr-BA"/>
        </w:rPr>
      </w:pPr>
      <w:r w:rsidRPr="00901D18">
        <w:rPr>
          <w:bCs/>
          <w:lang w:val="hr-BA"/>
        </w:rPr>
        <w:t>Pojedine postrojbe ili namjenski organizirane snage iz Oružanih snaga Republike Hrvatske mogu biti deklarirane u multinacionalne snage za odgovor koje se organiziraju u sklopu Zajedničke sigurnosne i obrambene politike Europske unije.</w:t>
      </w:r>
    </w:p>
    <w:p w14:paraId="2988D862" w14:textId="77777777" w:rsidR="004A7E64" w:rsidRPr="00901D18" w:rsidRDefault="004A7E64" w:rsidP="004A7E64">
      <w:pPr>
        <w:spacing w:line="120" w:lineRule="auto"/>
        <w:ind w:firstLine="709"/>
        <w:jc w:val="both"/>
        <w:rPr>
          <w:bCs/>
          <w:lang w:val="hr-BA"/>
        </w:rPr>
      </w:pPr>
    </w:p>
    <w:p w14:paraId="01E200B2" w14:textId="2A9FF45E" w:rsidR="004A7E64" w:rsidRDefault="003A04C6" w:rsidP="004A7E64">
      <w:pPr>
        <w:jc w:val="both"/>
        <w:rPr>
          <w:bCs/>
          <w:lang w:val="hr-BA"/>
        </w:rPr>
      </w:pPr>
      <w:r>
        <w:rPr>
          <w:bCs/>
        </w:rPr>
        <w:tab/>
        <w:t>Republika Hrvatska namjerava</w:t>
      </w:r>
      <w:r w:rsidR="004A7E64" w:rsidRPr="00901D18">
        <w:rPr>
          <w:bCs/>
        </w:rPr>
        <w:t xml:space="preserve"> sudjelovati u borbenim skupinama Europsk</w:t>
      </w:r>
      <w:r w:rsidR="00132E11">
        <w:rPr>
          <w:bCs/>
        </w:rPr>
        <w:t xml:space="preserve">e unije sa značajnijim snagama </w:t>
      </w:r>
      <w:r w:rsidR="004A7E64" w:rsidRPr="00901D18">
        <w:rPr>
          <w:bCs/>
        </w:rPr>
        <w:t>do 250 pripadnika Oružani</w:t>
      </w:r>
      <w:r w:rsidR="00132E11">
        <w:rPr>
          <w:bCs/>
        </w:rPr>
        <w:t>h snaga Republike Hrvatske</w:t>
      </w:r>
      <w:r w:rsidR="004A7E64" w:rsidRPr="00901D18">
        <w:rPr>
          <w:bCs/>
        </w:rPr>
        <w:t xml:space="preserve"> svake tri do četiri godine, a u međuvremenu </w:t>
      </w:r>
      <w:r w:rsidR="004A7E64">
        <w:rPr>
          <w:bCs/>
        </w:rPr>
        <w:t>pridonositi</w:t>
      </w:r>
      <w:r w:rsidR="004A7E64" w:rsidRPr="00901D18">
        <w:rPr>
          <w:bCs/>
        </w:rPr>
        <w:t xml:space="preserve"> s manjim snagama pojedinim borbenim skupinama, u skladu sa svojim interesima te razmatrajući eventualni an</w:t>
      </w:r>
      <w:r w:rsidR="004A7E64" w:rsidRPr="00901D18">
        <w:rPr>
          <w:bCs/>
          <w:lang w:val="hr-BA"/>
        </w:rPr>
        <w:t xml:space="preserve">gažman od slučaja do slučaja. </w:t>
      </w:r>
    </w:p>
    <w:p w14:paraId="56415F04" w14:textId="77777777" w:rsidR="004A7E64" w:rsidRPr="00901D18" w:rsidRDefault="004A7E64" w:rsidP="004A7E64">
      <w:pPr>
        <w:spacing w:line="120" w:lineRule="auto"/>
        <w:jc w:val="both"/>
        <w:rPr>
          <w:bCs/>
          <w:lang w:val="hr-BA"/>
        </w:rPr>
      </w:pPr>
    </w:p>
    <w:p w14:paraId="24E6F8B2" w14:textId="390893A2" w:rsidR="004A7E64" w:rsidRDefault="004A7E64" w:rsidP="004A7E64">
      <w:pPr>
        <w:ind w:firstLine="708"/>
        <w:jc w:val="both"/>
        <w:rPr>
          <w:bCs/>
          <w:lang w:val="hr-BA"/>
        </w:rPr>
      </w:pPr>
      <w:r w:rsidRPr="00901D18">
        <w:rPr>
          <w:bCs/>
          <w:lang w:val="hr-BA"/>
        </w:rPr>
        <w:t>Aktivnim doprinosom borbenim skupinama Europske unije Republika Hrvatska i Oružane snage jačaju svoj položaj i vidljivost u okviru djelovanja Zajedničke sigurnosne i obrambene politike Europske unije, podupiru aktivnosti Europske unije na jačanju opsega djelovanja u području sigurnosti i obrane te pridonose daljnjem razvoju</w:t>
      </w:r>
      <w:r>
        <w:rPr>
          <w:bCs/>
          <w:lang w:val="hr-BA"/>
        </w:rPr>
        <w:t xml:space="preserve"> </w:t>
      </w:r>
      <w:r w:rsidRPr="00901D18">
        <w:rPr>
          <w:bCs/>
          <w:lang w:val="hr-BA"/>
        </w:rPr>
        <w:t xml:space="preserve">borbenih skupina Europske unije </w:t>
      </w:r>
      <w:r>
        <w:rPr>
          <w:bCs/>
          <w:lang w:val="hr-BA"/>
        </w:rPr>
        <w:t>na temelju</w:t>
      </w:r>
      <w:r w:rsidRPr="00901D18">
        <w:rPr>
          <w:bCs/>
          <w:lang w:val="hr-BA"/>
        </w:rPr>
        <w:t xml:space="preserve"> političkih smjernica „Strateškog kompasa za sigurnost i obranu“ Europske unije koji predviđa uspostavu kapaciteta </w:t>
      </w:r>
      <w:r>
        <w:rPr>
          <w:bCs/>
          <w:lang w:val="hr-BA"/>
        </w:rPr>
        <w:t>Europske unije</w:t>
      </w:r>
      <w:r w:rsidRPr="00901D18">
        <w:rPr>
          <w:bCs/>
          <w:lang w:val="hr-BA"/>
        </w:rPr>
        <w:t xml:space="preserve"> za brzo raspoređivanje (</w:t>
      </w:r>
      <w:r w:rsidRPr="00C11E63">
        <w:rPr>
          <w:bCs/>
          <w:i/>
          <w:lang w:val="hr-BA"/>
        </w:rPr>
        <w:t>Rapid Deployment Capacity</w:t>
      </w:r>
      <w:r>
        <w:rPr>
          <w:bCs/>
          <w:lang w:val="hr-BA"/>
        </w:rPr>
        <w:t xml:space="preserve"> – </w:t>
      </w:r>
      <w:r w:rsidRPr="00901D18">
        <w:rPr>
          <w:bCs/>
          <w:lang w:val="hr-BA"/>
        </w:rPr>
        <w:t xml:space="preserve">RDC) kao daljnje operativne razrade modela djelovanja </w:t>
      </w:r>
      <w:r>
        <w:rPr>
          <w:bCs/>
          <w:lang w:val="hr-BA"/>
        </w:rPr>
        <w:t>Europske unije</w:t>
      </w:r>
      <w:r w:rsidRPr="00901D18">
        <w:rPr>
          <w:bCs/>
          <w:lang w:val="hr-BA"/>
        </w:rPr>
        <w:t xml:space="preserve"> u krizama. </w:t>
      </w:r>
      <w:r w:rsidR="003A04C6">
        <w:rPr>
          <w:bCs/>
          <w:lang w:val="hr-BA"/>
        </w:rPr>
        <w:t xml:space="preserve">Radi </w:t>
      </w:r>
      <w:r w:rsidRPr="00901D18">
        <w:rPr>
          <w:bCs/>
          <w:lang w:val="hr-BA"/>
        </w:rPr>
        <w:t xml:space="preserve">učinkovitijeg planiranja i raspoloživosti snaga, stanje pripravnosti EU borbenih skupina </w:t>
      </w:r>
      <w:r>
        <w:rPr>
          <w:bCs/>
          <w:lang w:val="hr-BA"/>
        </w:rPr>
        <w:t>traje</w:t>
      </w:r>
      <w:r w:rsidRPr="00901D18">
        <w:rPr>
          <w:bCs/>
          <w:lang w:val="hr-BA"/>
        </w:rPr>
        <w:t xml:space="preserve"> dvanaest mjeseci uz jačanje planskih i pripremnih elemenata ustrojavanja i djelovanja borbenih skupina. </w:t>
      </w:r>
    </w:p>
    <w:p w14:paraId="4BDF7FC8" w14:textId="77777777" w:rsidR="004A7E64" w:rsidRPr="00901D18" w:rsidRDefault="004A7E64" w:rsidP="004A7E64">
      <w:pPr>
        <w:spacing w:line="120" w:lineRule="auto"/>
        <w:ind w:firstLine="709"/>
        <w:jc w:val="both"/>
        <w:rPr>
          <w:bCs/>
          <w:lang w:val="hr-BA"/>
        </w:rPr>
      </w:pPr>
    </w:p>
    <w:p w14:paraId="5836018F" w14:textId="1C98FFAA" w:rsidR="004A7E64" w:rsidRDefault="004A7E64" w:rsidP="004A7E64">
      <w:pPr>
        <w:jc w:val="both"/>
        <w:rPr>
          <w:bCs/>
        </w:rPr>
      </w:pPr>
      <w:r w:rsidRPr="00901D18">
        <w:rPr>
          <w:bCs/>
          <w:lang w:val="hr-BA"/>
        </w:rPr>
        <w:tab/>
      </w:r>
      <w:r w:rsidRPr="00901D18">
        <w:rPr>
          <w:bCs/>
        </w:rPr>
        <w:t xml:space="preserve">Talijanska Republika </w:t>
      </w:r>
      <w:r w:rsidR="003A04C6">
        <w:rPr>
          <w:bCs/>
        </w:rPr>
        <w:t xml:space="preserve">namjerava </w:t>
      </w:r>
      <w:r w:rsidRPr="00901D18">
        <w:rPr>
          <w:bCs/>
        </w:rPr>
        <w:t>biti vodeća država EU borbene skupine koja će biti u stanju pripravnosti tijekom 202</w:t>
      </w:r>
      <w:r>
        <w:rPr>
          <w:bCs/>
        </w:rPr>
        <w:t>7</w:t>
      </w:r>
      <w:r w:rsidRPr="00901D18">
        <w:rPr>
          <w:bCs/>
        </w:rPr>
        <w:t>. godine uz sudjelovanje država Inicijative obrambene suradnje (</w:t>
      </w:r>
      <w:r w:rsidRPr="00901D18">
        <w:rPr>
          <w:bCs/>
          <w:i/>
        </w:rPr>
        <w:t xml:space="preserve">Defence Cooperation Initiative </w:t>
      </w:r>
      <w:r w:rsidRPr="00901D18">
        <w:rPr>
          <w:bCs/>
        </w:rPr>
        <w:t xml:space="preserve">– DECI). </w:t>
      </w:r>
    </w:p>
    <w:p w14:paraId="2AE6A5FD" w14:textId="77777777" w:rsidR="004A7E64" w:rsidRPr="00901D18" w:rsidRDefault="004A7E64" w:rsidP="004A7E64">
      <w:pPr>
        <w:spacing w:line="120" w:lineRule="auto"/>
        <w:jc w:val="both"/>
        <w:rPr>
          <w:bCs/>
        </w:rPr>
      </w:pPr>
    </w:p>
    <w:p w14:paraId="6D7AA8FC" w14:textId="321A8A98" w:rsidR="004A7E64" w:rsidRPr="00901D18" w:rsidRDefault="003A04C6" w:rsidP="004A7E64">
      <w:pPr>
        <w:ind w:firstLine="708"/>
        <w:jc w:val="both"/>
        <w:rPr>
          <w:bCs/>
        </w:rPr>
      </w:pPr>
      <w:r>
        <w:rPr>
          <w:bCs/>
        </w:rPr>
        <w:t xml:space="preserve">S obzirom na </w:t>
      </w:r>
      <w:r w:rsidR="004A7E64" w:rsidRPr="00901D18">
        <w:rPr>
          <w:bCs/>
        </w:rPr>
        <w:t>uspješno iskustvo u borbenim skupinama Europske unije pod vodstvom Tal</w:t>
      </w:r>
      <w:r>
        <w:rPr>
          <w:bCs/>
        </w:rPr>
        <w:t>ijanske Republike tijekom 2017. i</w:t>
      </w:r>
      <w:r w:rsidR="004A7E64" w:rsidRPr="00901D18">
        <w:rPr>
          <w:bCs/>
        </w:rPr>
        <w:t xml:space="preserve"> druge polovice 2021.</w:t>
      </w:r>
      <w:r>
        <w:rPr>
          <w:bCs/>
        </w:rPr>
        <w:t>,</w:t>
      </w:r>
      <w:r w:rsidR="004A7E64" w:rsidRPr="00901D18">
        <w:rPr>
          <w:bCs/>
        </w:rPr>
        <w:t xml:space="preserve"> s </w:t>
      </w:r>
      <w:r w:rsidR="004A7E64">
        <w:rPr>
          <w:bCs/>
        </w:rPr>
        <w:t>produljenjem</w:t>
      </w:r>
      <w:r>
        <w:rPr>
          <w:bCs/>
        </w:rPr>
        <w:t xml:space="preserve"> na prvu polovicu 2022. godine i</w:t>
      </w:r>
      <w:r w:rsidR="004A7E64">
        <w:rPr>
          <w:bCs/>
        </w:rPr>
        <w:t xml:space="preserve"> 2024.</w:t>
      </w:r>
      <w:r w:rsidR="00132E11">
        <w:rPr>
          <w:bCs/>
        </w:rPr>
        <w:t xml:space="preserve"> godine</w:t>
      </w:r>
      <w:r>
        <w:rPr>
          <w:bCs/>
        </w:rPr>
        <w:t>,</w:t>
      </w:r>
      <w:r w:rsidR="004A7E64" w:rsidRPr="00901D18">
        <w:rPr>
          <w:bCs/>
        </w:rPr>
        <w:t xml:space="preserve"> sudjelovanje Oružanih snaga Republike Hrvatske u borbenoj skupini Europske unije pod vodstvom Talijanske Republike</w:t>
      </w:r>
      <w:r>
        <w:rPr>
          <w:bCs/>
        </w:rPr>
        <w:t>,</w:t>
      </w:r>
      <w:r w:rsidR="004A7E64" w:rsidRPr="00901D18">
        <w:rPr>
          <w:bCs/>
        </w:rPr>
        <w:t xml:space="preserve"> koja će biti u stanju pripravnosti 202</w:t>
      </w:r>
      <w:r w:rsidR="004A7E64">
        <w:rPr>
          <w:bCs/>
        </w:rPr>
        <w:t>7</w:t>
      </w:r>
      <w:r w:rsidR="008B44CA">
        <w:rPr>
          <w:bCs/>
        </w:rPr>
        <w:t>. godine</w:t>
      </w:r>
      <w:r>
        <w:rPr>
          <w:bCs/>
        </w:rPr>
        <w:t>,</w:t>
      </w:r>
      <w:r w:rsidR="004A7E64">
        <w:rPr>
          <w:bCs/>
        </w:rPr>
        <w:t xml:space="preserve"> pridonijet će</w:t>
      </w:r>
      <w:r>
        <w:rPr>
          <w:bCs/>
        </w:rPr>
        <w:t xml:space="preserve"> daljnjem razvoju interoperabilnosti, suradnje i</w:t>
      </w:r>
      <w:r w:rsidR="004A7E64" w:rsidRPr="00901D18">
        <w:rPr>
          <w:bCs/>
        </w:rPr>
        <w:t xml:space="preserve"> jačanju bilateralnih odnosa s državama sudionicama EUBG 202</w:t>
      </w:r>
      <w:r w:rsidR="004A7E64">
        <w:rPr>
          <w:bCs/>
        </w:rPr>
        <w:t>7</w:t>
      </w:r>
      <w:r w:rsidR="004A7E64" w:rsidRPr="00901D18">
        <w:rPr>
          <w:bCs/>
        </w:rPr>
        <w:t>.</w:t>
      </w:r>
    </w:p>
    <w:p w14:paraId="15B1AFBB" w14:textId="77777777" w:rsidR="004A7E64" w:rsidRPr="00901D18" w:rsidRDefault="004A7E64" w:rsidP="004A7E64">
      <w:pPr>
        <w:spacing w:line="120" w:lineRule="auto"/>
        <w:jc w:val="both"/>
        <w:rPr>
          <w:bCs/>
          <w:lang w:val="hr-BA"/>
        </w:rPr>
      </w:pPr>
    </w:p>
    <w:p w14:paraId="07DAAE89" w14:textId="2130696D" w:rsidR="00100816" w:rsidRDefault="004A7E64" w:rsidP="00380F0D">
      <w:pPr>
        <w:jc w:val="both"/>
        <w:rPr>
          <w:bCs/>
        </w:rPr>
      </w:pPr>
      <w:r w:rsidRPr="00901D18">
        <w:rPr>
          <w:bCs/>
        </w:rPr>
        <w:tab/>
      </w:r>
      <w:r>
        <w:rPr>
          <w:bCs/>
        </w:rPr>
        <w:t>Za</w:t>
      </w:r>
      <w:r w:rsidRPr="00901D18">
        <w:rPr>
          <w:bCs/>
        </w:rPr>
        <w:t xml:space="preserve"> angažiranje u Borbenoj skupini Europske unije pod vodstvom Talijanske Republike koja će biti u stanju pripravnosti od 1. siječnja </w:t>
      </w:r>
      <w:bookmarkStart w:id="0" w:name="_GoBack"/>
      <w:bookmarkEnd w:id="0"/>
      <w:r w:rsidRPr="00901D18">
        <w:rPr>
          <w:bCs/>
        </w:rPr>
        <w:t>do 31. prosinca 202</w:t>
      </w:r>
      <w:r>
        <w:rPr>
          <w:bCs/>
        </w:rPr>
        <w:t>7</w:t>
      </w:r>
      <w:r w:rsidRPr="00901D18">
        <w:rPr>
          <w:bCs/>
        </w:rPr>
        <w:t>.</w:t>
      </w:r>
      <w:r>
        <w:rPr>
          <w:bCs/>
        </w:rPr>
        <w:t>, Republika Hrvatska stavit će</w:t>
      </w:r>
      <w:r w:rsidRPr="00901D18">
        <w:rPr>
          <w:bCs/>
        </w:rPr>
        <w:t xml:space="preserve"> na raspolaganje </w:t>
      </w:r>
      <w:r w:rsidR="008B44CA">
        <w:t>hrvatski kontingent</w:t>
      </w:r>
      <w:r w:rsidRPr="00901D18">
        <w:t xml:space="preserve"> veličine do </w:t>
      </w:r>
      <w:r>
        <w:t>25</w:t>
      </w:r>
      <w:r w:rsidRPr="00901D18">
        <w:t xml:space="preserve"> pripadnika Oružanih snaga. </w:t>
      </w:r>
    </w:p>
    <w:sectPr w:rsidR="0010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F73E4" w14:textId="77777777" w:rsidR="00290404" w:rsidRDefault="00290404" w:rsidP="0025277A">
      <w:r>
        <w:separator/>
      </w:r>
    </w:p>
  </w:endnote>
  <w:endnote w:type="continuationSeparator" w:id="0">
    <w:p w14:paraId="6D5D47AA" w14:textId="77777777" w:rsidR="00290404" w:rsidRDefault="00290404" w:rsidP="002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861A4" w14:textId="77777777" w:rsidR="00290404" w:rsidRDefault="00290404" w:rsidP="0025277A">
      <w:r>
        <w:separator/>
      </w:r>
    </w:p>
  </w:footnote>
  <w:footnote w:type="continuationSeparator" w:id="0">
    <w:p w14:paraId="1517405A" w14:textId="77777777" w:rsidR="00290404" w:rsidRDefault="00290404" w:rsidP="002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F2D61"/>
    <w:multiLevelType w:val="hybridMultilevel"/>
    <w:tmpl w:val="4C26CBC4"/>
    <w:lvl w:ilvl="0" w:tplc="6750F8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1F"/>
    <w:rsid w:val="00050D8B"/>
    <w:rsid w:val="000622DC"/>
    <w:rsid w:val="000630E6"/>
    <w:rsid w:val="000868D6"/>
    <w:rsid w:val="000A1B3F"/>
    <w:rsid w:val="000B2286"/>
    <w:rsid w:val="000D3B28"/>
    <w:rsid w:val="00100816"/>
    <w:rsid w:val="001023E2"/>
    <w:rsid w:val="0013105E"/>
    <w:rsid w:val="00132E11"/>
    <w:rsid w:val="001419E2"/>
    <w:rsid w:val="00144F90"/>
    <w:rsid w:val="00153873"/>
    <w:rsid w:val="00172799"/>
    <w:rsid w:val="002329B1"/>
    <w:rsid w:val="0025277A"/>
    <w:rsid w:val="002858BF"/>
    <w:rsid w:val="00290404"/>
    <w:rsid w:val="002A4CA8"/>
    <w:rsid w:val="002B6DCC"/>
    <w:rsid w:val="002D6497"/>
    <w:rsid w:val="00303D95"/>
    <w:rsid w:val="00336D85"/>
    <w:rsid w:val="003532C4"/>
    <w:rsid w:val="003600A4"/>
    <w:rsid w:val="00380F0D"/>
    <w:rsid w:val="00396D17"/>
    <w:rsid w:val="003A04C6"/>
    <w:rsid w:val="004377B4"/>
    <w:rsid w:val="00471F90"/>
    <w:rsid w:val="0047431E"/>
    <w:rsid w:val="00492C44"/>
    <w:rsid w:val="004A7E64"/>
    <w:rsid w:val="004C0637"/>
    <w:rsid w:val="004E4AEA"/>
    <w:rsid w:val="00524305"/>
    <w:rsid w:val="00531A34"/>
    <w:rsid w:val="00532BAA"/>
    <w:rsid w:val="00534F67"/>
    <w:rsid w:val="005761E7"/>
    <w:rsid w:val="005862ED"/>
    <w:rsid w:val="005C253D"/>
    <w:rsid w:val="0067424F"/>
    <w:rsid w:val="00681AD8"/>
    <w:rsid w:val="006F5D9C"/>
    <w:rsid w:val="00744A29"/>
    <w:rsid w:val="007757A3"/>
    <w:rsid w:val="00775DE8"/>
    <w:rsid w:val="00776EE4"/>
    <w:rsid w:val="007B01B9"/>
    <w:rsid w:val="007E26D5"/>
    <w:rsid w:val="008515AD"/>
    <w:rsid w:val="008555F0"/>
    <w:rsid w:val="0085645E"/>
    <w:rsid w:val="00864EC4"/>
    <w:rsid w:val="008652D1"/>
    <w:rsid w:val="008670AF"/>
    <w:rsid w:val="0087560B"/>
    <w:rsid w:val="00884B16"/>
    <w:rsid w:val="00895675"/>
    <w:rsid w:val="008A493B"/>
    <w:rsid w:val="008B2582"/>
    <w:rsid w:val="008B44CA"/>
    <w:rsid w:val="008B6D2F"/>
    <w:rsid w:val="008E5852"/>
    <w:rsid w:val="008F29A7"/>
    <w:rsid w:val="00900084"/>
    <w:rsid w:val="00901D18"/>
    <w:rsid w:val="00906E43"/>
    <w:rsid w:val="009545CB"/>
    <w:rsid w:val="009552CA"/>
    <w:rsid w:val="00991727"/>
    <w:rsid w:val="00991D11"/>
    <w:rsid w:val="009B05C0"/>
    <w:rsid w:val="009D4679"/>
    <w:rsid w:val="00A12DFC"/>
    <w:rsid w:val="00A50F31"/>
    <w:rsid w:val="00AE1C47"/>
    <w:rsid w:val="00B22734"/>
    <w:rsid w:val="00B3707D"/>
    <w:rsid w:val="00B40C9E"/>
    <w:rsid w:val="00B70C58"/>
    <w:rsid w:val="00B80DFD"/>
    <w:rsid w:val="00B8103B"/>
    <w:rsid w:val="00B83F1C"/>
    <w:rsid w:val="00BC65F3"/>
    <w:rsid w:val="00BC7B5B"/>
    <w:rsid w:val="00BD51CC"/>
    <w:rsid w:val="00C11E63"/>
    <w:rsid w:val="00C40D50"/>
    <w:rsid w:val="00C65A1F"/>
    <w:rsid w:val="00C9594A"/>
    <w:rsid w:val="00CC040F"/>
    <w:rsid w:val="00CC21E6"/>
    <w:rsid w:val="00CF4DB9"/>
    <w:rsid w:val="00D16C07"/>
    <w:rsid w:val="00D71F7F"/>
    <w:rsid w:val="00D854F8"/>
    <w:rsid w:val="00D9511F"/>
    <w:rsid w:val="00D9531A"/>
    <w:rsid w:val="00DB29BF"/>
    <w:rsid w:val="00DE71D7"/>
    <w:rsid w:val="00E022F4"/>
    <w:rsid w:val="00E53A19"/>
    <w:rsid w:val="00E64FF6"/>
    <w:rsid w:val="00EA6300"/>
    <w:rsid w:val="00EB441C"/>
    <w:rsid w:val="00ED3CFD"/>
    <w:rsid w:val="00ED6B24"/>
    <w:rsid w:val="00EE6FBB"/>
    <w:rsid w:val="00F16651"/>
    <w:rsid w:val="00F763D4"/>
    <w:rsid w:val="00FC690C"/>
    <w:rsid w:val="00FF31A5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1E3CF1"/>
  <w15:docId w15:val="{9809EBAA-B0D4-4407-B41C-FB3D025C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1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1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1F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5277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5277A"/>
    <w:rPr>
      <w:sz w:val="24"/>
      <w:szCs w:val="24"/>
    </w:rPr>
  </w:style>
  <w:style w:type="paragraph" w:styleId="Footer">
    <w:name w:val="footer"/>
    <w:basedOn w:val="Normal"/>
    <w:link w:val="FooterChar"/>
    <w:rsid w:val="0025277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5277A"/>
    <w:rPr>
      <w:sz w:val="24"/>
      <w:szCs w:val="24"/>
    </w:rPr>
  </w:style>
  <w:style w:type="character" w:styleId="CommentReference">
    <w:name w:val="annotation reference"/>
    <w:rsid w:val="00AE1C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1C47"/>
    <w:rPr>
      <w:sz w:val="20"/>
      <w:szCs w:val="20"/>
    </w:rPr>
  </w:style>
  <w:style w:type="character" w:customStyle="1" w:styleId="CommentTextChar">
    <w:name w:val="Comment Text Char"/>
    <w:link w:val="CommentText"/>
    <w:rsid w:val="00AE1C47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AE1C47"/>
    <w:rPr>
      <w:b/>
      <w:bCs/>
    </w:rPr>
  </w:style>
  <w:style w:type="character" w:customStyle="1" w:styleId="CommentSubjectChar">
    <w:name w:val="Comment Subject Char"/>
    <w:link w:val="CommentSubject"/>
    <w:rsid w:val="00AE1C47"/>
    <w:rPr>
      <w:b/>
      <w:bCs/>
      <w:lang w:val="hr-HR" w:eastAsia="hr-HR"/>
    </w:rPr>
  </w:style>
  <w:style w:type="paragraph" w:customStyle="1" w:styleId="tb-na16">
    <w:name w:val="tb-na16"/>
    <w:basedOn w:val="Normal"/>
    <w:rsid w:val="00380F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AZJMDCZ6QSYZ-1335579144-99856</_dlc_DocId>
    <_dlc_DocIdUrl xmlns="a494813a-d0d8-4dad-94cb-0d196f36ba15">
      <Url>https://ekoordinacije.vlada.hr/_layouts/15/DocIdRedir.aspx?ID=AZJMDCZ6QSYZ-1335579144-99856</Url>
      <Description>AZJMDCZ6QSYZ-1335579144-99856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37DD-73C3-44AD-8ACF-E9C5CED789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990C00-274E-425C-B9BA-BEF30CEE5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E681A-6FB3-4D22-B3D6-6716DC19896B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CC3619A-CEB9-45CE-AC8B-090F1F6ED1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861337-8882-44A3-B125-065F4301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 TDU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anenadic</dc:creator>
  <cp:lastModifiedBy>Senada Džafović</cp:lastModifiedBy>
  <cp:revision>5</cp:revision>
  <cp:lastPrinted>2025-09-22T09:19:00Z</cp:lastPrinted>
  <dcterms:created xsi:type="dcterms:W3CDTF">2025-10-30T15:12:00Z</dcterms:created>
  <dcterms:modified xsi:type="dcterms:W3CDTF">2025-11-10T08:24:00Z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f1957e73-f6ce-4239-9fca-581559be35cc</vt:lpwstr>
  </property>
</Properties>
</file>