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7152B" w14:textId="77777777" w:rsidR="00446770" w:rsidRPr="00446770" w:rsidRDefault="00446770" w:rsidP="00353B38">
      <w:pPr>
        <w:widowControl w:val="0"/>
        <w:spacing w:before="240" w:after="0" w:line="240" w:lineRule="auto"/>
        <w:ind w:left="7800" w:right="13"/>
        <w:rPr>
          <w:rFonts w:ascii="Times New Roman" w:eastAsia="Times New Roman" w:hAnsi="Times New Roman" w:cs="Times New Roman"/>
          <w:b/>
          <w:bCs/>
          <w:color w:val="000000"/>
          <w:sz w:val="24"/>
          <w:szCs w:val="24"/>
          <w:lang w:eastAsia="hr-HR"/>
          <w14:ligatures w14:val="none"/>
        </w:rPr>
      </w:pPr>
      <w:bookmarkStart w:id="0" w:name="_GoBack"/>
      <w:bookmarkEnd w:id="0"/>
    </w:p>
    <w:p w14:paraId="0074123A" w14:textId="77777777" w:rsidR="00446770" w:rsidRPr="006B08A0" w:rsidRDefault="00446770" w:rsidP="00353B38">
      <w:pPr>
        <w:widowControl w:val="0"/>
        <w:spacing w:before="240" w:after="0" w:line="240" w:lineRule="auto"/>
        <w:ind w:right="13"/>
        <w:jc w:val="center"/>
        <w:rPr>
          <w:rFonts w:ascii="Times New Roman" w:eastAsia="Times New Roman" w:hAnsi="Times New Roman" w:cs="Times New Roman"/>
          <w:color w:val="000000"/>
          <w:sz w:val="24"/>
          <w:szCs w:val="24"/>
          <w14:ligatures w14:val="none"/>
        </w:rPr>
      </w:pPr>
      <w:r w:rsidRPr="006B08A0">
        <w:rPr>
          <w:rFonts w:ascii="Times New Roman" w:eastAsia="Times New Roman" w:hAnsi="Times New Roman" w:cs="Times New Roman"/>
          <w:noProof/>
          <w:color w:val="000000"/>
          <w:sz w:val="24"/>
          <w:szCs w:val="24"/>
          <w:lang w:eastAsia="hr-HR"/>
          <w14:ligatures w14:val="none"/>
        </w:rPr>
        <w:drawing>
          <wp:inline distT="0" distB="0" distL="0" distR="0" wp14:anchorId="300D33EA" wp14:editId="1CC8B55A">
            <wp:extent cx="504825" cy="685800"/>
            <wp:effectExtent l="0" t="0" r="0"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FEBFB6E" w14:textId="77777777" w:rsidR="00446770" w:rsidRPr="006B08A0" w:rsidRDefault="00446770" w:rsidP="00353B38">
      <w:pPr>
        <w:widowControl w:val="0"/>
        <w:spacing w:before="240" w:after="1680" w:line="240" w:lineRule="auto"/>
        <w:ind w:right="13"/>
        <w:jc w:val="center"/>
        <w:rPr>
          <w:rFonts w:ascii="Times New Roman" w:eastAsia="Times New Roman" w:hAnsi="Times New Roman" w:cs="Times New Roman"/>
          <w:color w:val="000000"/>
          <w:sz w:val="24"/>
          <w:szCs w:val="24"/>
          <w14:ligatures w14:val="none"/>
        </w:rPr>
      </w:pPr>
      <w:r w:rsidRPr="006B08A0">
        <w:rPr>
          <w:rFonts w:ascii="Times New Roman" w:eastAsia="Times New Roman" w:hAnsi="Times New Roman" w:cs="Times New Roman"/>
          <w:color w:val="000000"/>
          <w:sz w:val="24"/>
          <w:szCs w:val="24"/>
          <w14:ligatures w14:val="none"/>
        </w:rPr>
        <w:t>VLADA REPUBLIKE HRVATSKE</w:t>
      </w:r>
    </w:p>
    <w:p w14:paraId="42F36587" w14:textId="6EFDB339" w:rsidR="00446770" w:rsidRPr="006B08A0" w:rsidRDefault="00446770" w:rsidP="00353B38">
      <w:pPr>
        <w:widowControl w:val="0"/>
        <w:tabs>
          <w:tab w:val="right" w:pos="9070"/>
        </w:tabs>
        <w:spacing w:before="240" w:after="2400" w:line="240" w:lineRule="auto"/>
        <w:ind w:right="13"/>
        <w:rPr>
          <w:rFonts w:ascii="Times New Roman" w:eastAsia="Times New Roman" w:hAnsi="Times New Roman" w:cs="Times New Roman"/>
          <w:b/>
          <w:color w:val="000000"/>
          <w:sz w:val="24"/>
          <w:szCs w:val="24"/>
          <w14:ligatures w14:val="none"/>
        </w:rPr>
      </w:pPr>
      <w:r w:rsidRPr="006B08A0">
        <w:rPr>
          <w:rFonts w:ascii="Times New Roman" w:eastAsia="Times New Roman" w:hAnsi="Times New Roman" w:cs="Times New Roman"/>
          <w:b/>
          <w:color w:val="000000"/>
          <w:sz w:val="24"/>
          <w:szCs w:val="24"/>
          <w14:ligatures w14:val="none"/>
        </w:rPr>
        <w:tab/>
      </w:r>
      <w:r w:rsidRPr="006B08A0">
        <w:rPr>
          <w:rFonts w:ascii="Times New Roman" w:eastAsia="Times New Roman" w:hAnsi="Times New Roman" w:cs="Times New Roman"/>
          <w:color w:val="000000"/>
          <w:sz w:val="24"/>
          <w:szCs w:val="24"/>
          <w14:ligatures w14:val="none"/>
        </w:rPr>
        <w:t>Zagreb,</w:t>
      </w:r>
      <w:r w:rsidR="006B08A0">
        <w:rPr>
          <w:rFonts w:ascii="Times New Roman" w:eastAsia="Times New Roman" w:hAnsi="Times New Roman" w:cs="Times New Roman"/>
          <w:color w:val="000000"/>
          <w:sz w:val="24"/>
          <w:szCs w:val="24"/>
          <w14:ligatures w14:val="none"/>
        </w:rPr>
        <w:t xml:space="preserve"> 13. veljače</w:t>
      </w:r>
      <w:r w:rsidRPr="006B08A0">
        <w:rPr>
          <w:rFonts w:ascii="Times New Roman" w:eastAsia="Times New Roman" w:hAnsi="Times New Roman" w:cs="Times New Roman"/>
          <w:color w:val="000000"/>
          <w:sz w:val="24"/>
          <w:szCs w:val="24"/>
          <w14:ligatures w14:val="none"/>
        </w:rPr>
        <w:t xml:space="preserve"> 2025.</w:t>
      </w:r>
    </w:p>
    <w:p w14:paraId="7ED8C99F" w14:textId="77777777" w:rsidR="00446770" w:rsidRPr="006B08A0" w:rsidRDefault="00446770" w:rsidP="00353B38">
      <w:pPr>
        <w:widowControl w:val="0"/>
        <w:spacing w:before="240" w:after="0" w:line="240" w:lineRule="auto"/>
        <w:ind w:right="13"/>
        <w:rPr>
          <w:rFonts w:ascii="Times New Roman" w:eastAsia="Times New Roman" w:hAnsi="Times New Roman" w:cs="Times New Roman"/>
          <w:b/>
          <w:color w:val="000000"/>
          <w:sz w:val="24"/>
          <w:szCs w:val="24"/>
          <w14:ligatures w14:val="none"/>
        </w:rPr>
      </w:pPr>
      <w:r w:rsidRPr="006B08A0">
        <w:rPr>
          <w:rFonts w:ascii="Times New Roman" w:eastAsia="Times New Roman" w:hAnsi="Times New Roman" w:cs="Times New Roman"/>
          <w:b/>
          <w:color w:val="000000"/>
          <w:sz w:val="24"/>
          <w:szCs w:val="24"/>
          <w14:ligatures w14:val="none"/>
        </w:rPr>
        <w:t>PREDLAGATELJ:</w:t>
      </w:r>
      <w:r w:rsidRPr="006B08A0">
        <w:rPr>
          <w:rFonts w:ascii="Times New Roman" w:eastAsia="Times New Roman" w:hAnsi="Times New Roman" w:cs="Times New Roman"/>
          <w:b/>
          <w:color w:val="000000"/>
          <w:sz w:val="24"/>
          <w:szCs w:val="24"/>
          <w14:ligatures w14:val="none"/>
        </w:rPr>
        <w:tab/>
      </w:r>
      <w:r w:rsidRPr="006B08A0">
        <w:rPr>
          <w:rFonts w:ascii="Times New Roman" w:eastAsia="Times New Roman" w:hAnsi="Times New Roman" w:cs="Times New Roman"/>
          <w:color w:val="000000"/>
          <w:sz w:val="24"/>
          <w:szCs w:val="24"/>
          <w14:ligatures w14:val="none"/>
        </w:rPr>
        <w:t xml:space="preserve">Ministarstvo gospodarstva </w:t>
      </w:r>
    </w:p>
    <w:p w14:paraId="5DBBCFBF" w14:textId="77777777" w:rsidR="00446770" w:rsidRPr="006B08A0" w:rsidRDefault="00446770" w:rsidP="00353B38">
      <w:pPr>
        <w:widowControl w:val="0"/>
        <w:pBdr>
          <w:bottom w:val="single" w:sz="4" w:space="1" w:color="auto"/>
        </w:pBdr>
        <w:spacing w:before="240" w:after="0" w:line="240" w:lineRule="auto"/>
        <w:ind w:right="13"/>
        <w:rPr>
          <w:rFonts w:ascii="Times New Roman" w:eastAsia="Times New Roman" w:hAnsi="Times New Roman" w:cs="Times New Roman"/>
          <w:b/>
          <w:color w:val="000000"/>
          <w:sz w:val="24"/>
          <w:szCs w:val="24"/>
          <w14:ligatures w14:val="none"/>
        </w:rPr>
      </w:pPr>
    </w:p>
    <w:p w14:paraId="091DBD50" w14:textId="77777777" w:rsidR="00446770" w:rsidRPr="006B08A0" w:rsidRDefault="00446770" w:rsidP="00353B38">
      <w:pPr>
        <w:widowControl w:val="0"/>
        <w:spacing w:before="240" w:after="0" w:line="240" w:lineRule="auto"/>
        <w:ind w:left="2124" w:right="13" w:hanging="1416"/>
        <w:rPr>
          <w:rFonts w:ascii="Times New Roman" w:eastAsia="Times New Roman" w:hAnsi="Times New Roman" w:cs="Times New Roman"/>
          <w:b/>
          <w:color w:val="000000"/>
          <w:sz w:val="24"/>
          <w:szCs w:val="24"/>
          <w14:ligatures w14:val="none"/>
        </w:rPr>
      </w:pPr>
    </w:p>
    <w:p w14:paraId="54F46141" w14:textId="53214A15" w:rsidR="00446770" w:rsidRPr="006B08A0" w:rsidRDefault="00446770" w:rsidP="00353B38">
      <w:pPr>
        <w:widowControl w:val="0"/>
        <w:spacing w:before="240" w:after="0" w:line="276" w:lineRule="auto"/>
        <w:ind w:left="1276" w:right="13" w:hanging="1276"/>
        <w:jc w:val="both"/>
        <w:rPr>
          <w:rFonts w:ascii="Times New Roman" w:eastAsia="Times New Roman" w:hAnsi="Times New Roman" w:cs="Times New Roman"/>
          <w:color w:val="000000"/>
          <w:sz w:val="24"/>
          <w:szCs w:val="24"/>
          <w:lang w:eastAsia="hr-HR"/>
          <w14:ligatures w14:val="none"/>
        </w:rPr>
      </w:pPr>
      <w:r w:rsidRPr="006B08A0">
        <w:rPr>
          <w:rFonts w:ascii="Times New Roman" w:eastAsia="Times New Roman" w:hAnsi="Times New Roman" w:cs="Times New Roman"/>
          <w:b/>
          <w:color w:val="000000"/>
          <w:sz w:val="24"/>
          <w:szCs w:val="24"/>
          <w14:ligatures w14:val="none"/>
        </w:rPr>
        <w:t>PREDMET:</w:t>
      </w:r>
      <w:r w:rsidR="002D120B" w:rsidRPr="006B08A0">
        <w:rPr>
          <w:rFonts w:ascii="Times New Roman" w:eastAsia="Times New Roman" w:hAnsi="Times New Roman" w:cs="Times New Roman"/>
          <w:b/>
          <w:color w:val="000000"/>
          <w:sz w:val="24"/>
          <w:szCs w:val="24"/>
          <w14:ligatures w14:val="none"/>
        </w:rPr>
        <w:t xml:space="preserve"> </w:t>
      </w:r>
      <w:r w:rsidR="002D120B" w:rsidRPr="006B08A0">
        <w:rPr>
          <w:rFonts w:ascii="Times New Roman" w:eastAsia="Times New Roman" w:hAnsi="Times New Roman" w:cs="Times New Roman"/>
          <w:color w:val="000000"/>
          <w:sz w:val="24"/>
          <w:szCs w:val="24"/>
          <w14:ligatures w14:val="none"/>
        </w:rPr>
        <w:t xml:space="preserve">Interpelacija o odgovornosti Vlade Republike Hrvatske za inflaciju  </w:t>
      </w:r>
      <w:r w:rsidRPr="006B08A0">
        <w:rPr>
          <w:rFonts w:ascii="Times New Roman" w:eastAsia="Times New Roman" w:hAnsi="Times New Roman" w:cs="Times New Roman"/>
          <w:color w:val="000000"/>
          <w:sz w:val="24"/>
          <w:szCs w:val="24"/>
          <w14:ligatures w14:val="none"/>
        </w:rPr>
        <w:t>(predlagatelji: 16 zastupnika u Hrvatskome saboru) – Izvješće Vlade Republike Hrvatske</w:t>
      </w:r>
    </w:p>
    <w:p w14:paraId="3E43E77C" w14:textId="77777777" w:rsidR="00446770" w:rsidRPr="006B08A0" w:rsidRDefault="00446770" w:rsidP="00353B38">
      <w:pPr>
        <w:widowControl w:val="0"/>
        <w:pBdr>
          <w:bottom w:val="single" w:sz="4" w:space="1" w:color="auto"/>
        </w:pBdr>
        <w:spacing w:before="240" w:after="0" w:line="240" w:lineRule="auto"/>
        <w:ind w:right="13"/>
        <w:rPr>
          <w:rFonts w:ascii="Times New Roman" w:eastAsia="Times New Roman" w:hAnsi="Times New Roman" w:cs="Times New Roman"/>
          <w:b/>
          <w:color w:val="000000"/>
          <w:sz w:val="24"/>
          <w:szCs w:val="24"/>
          <w14:ligatures w14:val="none"/>
        </w:rPr>
      </w:pPr>
    </w:p>
    <w:p w14:paraId="7C451D46" w14:textId="77777777" w:rsidR="00446770" w:rsidRPr="006B08A0" w:rsidRDefault="00446770" w:rsidP="00353B38">
      <w:pPr>
        <w:widowControl w:val="0"/>
        <w:spacing w:before="240" w:after="0" w:line="240" w:lineRule="auto"/>
        <w:ind w:right="13"/>
        <w:rPr>
          <w:rFonts w:ascii="Times New Roman" w:eastAsia="Times New Roman" w:hAnsi="Times New Roman" w:cs="Times New Roman"/>
          <w:b/>
          <w:color w:val="000000"/>
          <w:sz w:val="24"/>
          <w:szCs w:val="24"/>
          <w14:ligatures w14:val="none"/>
        </w:rPr>
      </w:pPr>
    </w:p>
    <w:p w14:paraId="0280F660" w14:textId="77777777" w:rsidR="00446770" w:rsidRPr="006B08A0" w:rsidRDefault="00446770" w:rsidP="00353B38">
      <w:pPr>
        <w:widowControl w:val="0"/>
        <w:spacing w:before="240" w:after="0" w:line="240" w:lineRule="auto"/>
        <w:ind w:right="13"/>
        <w:rPr>
          <w:rFonts w:ascii="Times New Roman" w:eastAsia="Times New Roman" w:hAnsi="Times New Roman" w:cs="Times New Roman"/>
          <w:b/>
          <w:color w:val="000000"/>
          <w:sz w:val="24"/>
          <w:szCs w:val="24"/>
          <w14:ligatures w14:val="none"/>
        </w:rPr>
      </w:pPr>
    </w:p>
    <w:p w14:paraId="287882BD" w14:textId="77777777" w:rsidR="00446770" w:rsidRPr="006B08A0" w:rsidRDefault="00446770" w:rsidP="00353B38">
      <w:pPr>
        <w:widowControl w:val="0"/>
        <w:spacing w:before="240" w:after="0" w:line="240" w:lineRule="auto"/>
        <w:ind w:right="13"/>
        <w:rPr>
          <w:rFonts w:ascii="Times New Roman" w:eastAsia="Times New Roman" w:hAnsi="Times New Roman" w:cs="Times New Roman"/>
          <w:b/>
          <w:color w:val="000000"/>
          <w:sz w:val="24"/>
          <w:szCs w:val="24"/>
          <w14:ligatures w14:val="none"/>
        </w:rPr>
      </w:pPr>
    </w:p>
    <w:p w14:paraId="323C598A" w14:textId="77777777" w:rsidR="00446770" w:rsidRPr="006B08A0" w:rsidRDefault="00446770" w:rsidP="00353B38">
      <w:pPr>
        <w:widowControl w:val="0"/>
        <w:spacing w:before="240" w:after="0" w:line="240" w:lineRule="auto"/>
        <w:ind w:right="13"/>
        <w:rPr>
          <w:rFonts w:ascii="Times New Roman" w:eastAsia="Times New Roman" w:hAnsi="Times New Roman" w:cs="Times New Roman"/>
          <w:b/>
          <w:color w:val="000000"/>
          <w:sz w:val="24"/>
          <w:szCs w:val="24"/>
          <w14:ligatures w14:val="none"/>
        </w:rPr>
      </w:pPr>
    </w:p>
    <w:p w14:paraId="5043DB8C" w14:textId="77777777" w:rsidR="00446770" w:rsidRPr="006B08A0" w:rsidRDefault="00446770" w:rsidP="00353B38">
      <w:pPr>
        <w:widowControl w:val="0"/>
        <w:spacing w:before="240" w:after="0" w:line="240" w:lineRule="auto"/>
        <w:ind w:right="13"/>
        <w:rPr>
          <w:rFonts w:ascii="Times New Roman" w:eastAsia="Times New Roman" w:hAnsi="Times New Roman" w:cs="Times New Roman"/>
          <w:color w:val="000000"/>
          <w:sz w:val="24"/>
          <w:szCs w:val="24"/>
          <w14:ligatures w14:val="none"/>
        </w:rPr>
      </w:pPr>
    </w:p>
    <w:p w14:paraId="564A7096" w14:textId="77777777" w:rsidR="00446770" w:rsidRPr="006B08A0" w:rsidRDefault="00446770" w:rsidP="00353B38">
      <w:pPr>
        <w:widowControl w:val="0"/>
        <w:pBdr>
          <w:top w:val="single" w:sz="4" w:space="1" w:color="404040"/>
        </w:pBdr>
        <w:tabs>
          <w:tab w:val="center" w:pos="4536"/>
          <w:tab w:val="right" w:pos="9072"/>
        </w:tabs>
        <w:spacing w:before="240" w:after="0" w:line="240" w:lineRule="auto"/>
        <w:ind w:right="13"/>
        <w:jc w:val="center"/>
        <w:rPr>
          <w:rFonts w:ascii="Times New Roman" w:eastAsia="Times New Roman" w:hAnsi="Times New Roman" w:cs="Times New Roman"/>
          <w:color w:val="404040"/>
          <w:spacing w:val="20"/>
          <w:lang w:eastAsia="hr-HR"/>
          <w14:ligatures w14:val="none"/>
        </w:rPr>
      </w:pPr>
      <w:r w:rsidRPr="006B08A0">
        <w:rPr>
          <w:rFonts w:ascii="Times New Roman" w:eastAsia="Times New Roman" w:hAnsi="Times New Roman" w:cs="Times New Roman"/>
          <w:color w:val="404040"/>
          <w:spacing w:val="20"/>
          <w:lang w:eastAsia="hr-HR"/>
          <w14:ligatures w14:val="none"/>
        </w:rPr>
        <w:t>Banski dvori | Trg Sv. Marka 2  | 10000 Zagreb | tel. 01 4569 222 | vlada.gov.hr</w:t>
      </w:r>
    </w:p>
    <w:p w14:paraId="00CE0576" w14:textId="77777777" w:rsidR="00446770" w:rsidRPr="006B08A0" w:rsidRDefault="00446770" w:rsidP="00353B38">
      <w:pPr>
        <w:widowControl w:val="0"/>
        <w:spacing w:before="240" w:after="0" w:line="274" w:lineRule="exact"/>
        <w:ind w:right="13"/>
        <w:rPr>
          <w:rFonts w:ascii="Times New Roman" w:eastAsia="Times New Roman" w:hAnsi="Times New Roman" w:cs="Times New Roman"/>
          <w:b/>
          <w:bCs/>
          <w:color w:val="000000"/>
          <w:lang w:eastAsia="hr-HR"/>
          <w14:ligatures w14:val="none"/>
        </w:rPr>
      </w:pPr>
    </w:p>
    <w:p w14:paraId="7AB4209C" w14:textId="77777777" w:rsidR="00446770" w:rsidRPr="006B08A0" w:rsidRDefault="00446770" w:rsidP="00353B38">
      <w:pPr>
        <w:widowControl w:val="0"/>
        <w:spacing w:before="240" w:after="0" w:line="274" w:lineRule="exact"/>
        <w:ind w:left="7800" w:right="13"/>
        <w:rPr>
          <w:rFonts w:ascii="Times New Roman" w:eastAsia="Times New Roman" w:hAnsi="Times New Roman" w:cs="Times New Roman"/>
          <w:b/>
          <w:bCs/>
          <w:color w:val="000000"/>
          <w:sz w:val="24"/>
          <w:szCs w:val="24"/>
          <w:lang w:eastAsia="hr-HR"/>
          <w14:ligatures w14:val="none"/>
        </w:rPr>
      </w:pPr>
    </w:p>
    <w:p w14:paraId="61DF0597" w14:textId="77777777" w:rsidR="005D1B54" w:rsidRDefault="005D1B54" w:rsidP="00353B38">
      <w:pPr>
        <w:widowControl w:val="0"/>
        <w:spacing w:before="240" w:after="0" w:line="240" w:lineRule="auto"/>
        <w:ind w:left="7800" w:right="13"/>
        <w:rPr>
          <w:rFonts w:ascii="Times New Roman" w:eastAsia="Times New Roman" w:hAnsi="Times New Roman" w:cs="Times New Roman"/>
          <w:bCs/>
          <w:color w:val="000000"/>
          <w:sz w:val="24"/>
          <w:szCs w:val="24"/>
          <w:lang w:eastAsia="hr-HR"/>
          <w14:ligatures w14:val="none"/>
        </w:rPr>
      </w:pPr>
    </w:p>
    <w:p w14:paraId="1166DAD1" w14:textId="6BA63227" w:rsidR="00446770" w:rsidRPr="006B08A0" w:rsidRDefault="00446770" w:rsidP="00353B38">
      <w:pPr>
        <w:widowControl w:val="0"/>
        <w:spacing w:before="240" w:after="0" w:line="240" w:lineRule="auto"/>
        <w:ind w:left="7800" w:right="13"/>
        <w:rPr>
          <w:rFonts w:ascii="Times New Roman" w:eastAsia="Times New Roman" w:hAnsi="Times New Roman" w:cs="Times New Roman"/>
          <w:bCs/>
          <w:color w:val="000000"/>
          <w:sz w:val="24"/>
          <w:szCs w:val="24"/>
          <w:lang w:eastAsia="hr-HR"/>
          <w14:ligatures w14:val="none"/>
        </w:rPr>
      </w:pPr>
      <w:r w:rsidRPr="006B08A0">
        <w:rPr>
          <w:rFonts w:ascii="Times New Roman" w:eastAsia="Times New Roman" w:hAnsi="Times New Roman" w:cs="Times New Roman"/>
          <w:bCs/>
          <w:color w:val="000000"/>
          <w:sz w:val="24"/>
          <w:szCs w:val="24"/>
          <w:lang w:eastAsia="hr-HR"/>
          <w14:ligatures w14:val="none"/>
        </w:rPr>
        <w:t>Prijedlog</w:t>
      </w:r>
    </w:p>
    <w:p w14:paraId="40DA0E6F" w14:textId="77777777" w:rsidR="00446770" w:rsidRPr="006B08A0" w:rsidRDefault="00446770" w:rsidP="00353B38">
      <w:pPr>
        <w:widowControl w:val="0"/>
        <w:spacing w:before="240" w:after="0" w:line="240" w:lineRule="auto"/>
        <w:ind w:left="1020" w:right="13" w:hanging="980"/>
        <w:jc w:val="both"/>
        <w:rPr>
          <w:rFonts w:ascii="Times New Roman" w:eastAsia="Times New Roman" w:hAnsi="Times New Roman" w:cs="Times New Roman"/>
          <w:bCs/>
          <w:color w:val="000000"/>
          <w:sz w:val="24"/>
          <w:szCs w:val="24"/>
          <w:lang w:eastAsia="hr-HR"/>
          <w14:ligatures w14:val="none"/>
        </w:rPr>
      </w:pPr>
      <w:r w:rsidRPr="006B08A0">
        <w:rPr>
          <w:rFonts w:ascii="Times New Roman" w:eastAsia="Times New Roman" w:hAnsi="Times New Roman" w:cs="Times New Roman"/>
          <w:bCs/>
          <w:color w:val="000000"/>
          <w:sz w:val="24"/>
          <w:szCs w:val="24"/>
          <w:lang w:eastAsia="hr-HR"/>
          <w14:ligatures w14:val="none"/>
        </w:rPr>
        <w:t>KLASA:</w:t>
      </w:r>
    </w:p>
    <w:p w14:paraId="08688B0C" w14:textId="77777777" w:rsidR="00446770" w:rsidRPr="006B08A0" w:rsidRDefault="00446770" w:rsidP="00353B38">
      <w:pPr>
        <w:widowControl w:val="0"/>
        <w:spacing w:before="240" w:after="0" w:line="240" w:lineRule="auto"/>
        <w:ind w:left="1020" w:right="13" w:hanging="980"/>
        <w:jc w:val="both"/>
        <w:rPr>
          <w:rFonts w:ascii="Times New Roman" w:eastAsia="Times New Roman" w:hAnsi="Times New Roman" w:cs="Times New Roman"/>
          <w:bCs/>
          <w:color w:val="000000"/>
          <w:sz w:val="24"/>
          <w:szCs w:val="24"/>
          <w:lang w:eastAsia="hr-HR"/>
          <w14:ligatures w14:val="none"/>
        </w:rPr>
      </w:pPr>
      <w:r w:rsidRPr="006B08A0">
        <w:rPr>
          <w:rFonts w:ascii="Times New Roman" w:eastAsia="Times New Roman" w:hAnsi="Times New Roman" w:cs="Times New Roman"/>
          <w:bCs/>
          <w:color w:val="000000"/>
          <w:sz w:val="24"/>
          <w:szCs w:val="24"/>
          <w:lang w:eastAsia="hr-HR"/>
          <w14:ligatures w14:val="none"/>
        </w:rPr>
        <w:t>URBROJ:</w:t>
      </w:r>
    </w:p>
    <w:p w14:paraId="170D063D" w14:textId="77777777" w:rsidR="00446770" w:rsidRPr="006B08A0" w:rsidRDefault="00446770" w:rsidP="00353B38">
      <w:pPr>
        <w:widowControl w:val="0"/>
        <w:spacing w:before="240" w:after="0" w:line="240" w:lineRule="auto"/>
        <w:ind w:left="1020" w:right="13" w:hanging="980"/>
        <w:jc w:val="both"/>
        <w:rPr>
          <w:rFonts w:ascii="Times New Roman" w:eastAsia="Times New Roman" w:hAnsi="Times New Roman" w:cs="Times New Roman"/>
          <w:bCs/>
          <w:color w:val="000000"/>
          <w:sz w:val="24"/>
          <w:szCs w:val="24"/>
          <w:lang w:eastAsia="hr-HR"/>
          <w14:ligatures w14:val="none"/>
        </w:rPr>
      </w:pPr>
      <w:r w:rsidRPr="006B08A0">
        <w:rPr>
          <w:rFonts w:ascii="Times New Roman" w:eastAsia="Times New Roman" w:hAnsi="Times New Roman" w:cs="Times New Roman"/>
          <w:bCs/>
          <w:color w:val="000000"/>
          <w:sz w:val="24"/>
          <w:szCs w:val="24"/>
          <w:lang w:eastAsia="hr-HR"/>
          <w14:ligatures w14:val="none"/>
        </w:rPr>
        <w:t>Zagreb,</w:t>
      </w:r>
    </w:p>
    <w:p w14:paraId="69B52328" w14:textId="34BD2017" w:rsidR="00446770" w:rsidRDefault="00446770" w:rsidP="00353B38">
      <w:pPr>
        <w:widowControl w:val="0"/>
        <w:spacing w:before="240" w:after="0" w:line="240" w:lineRule="auto"/>
        <w:ind w:left="1020" w:right="13" w:hanging="980"/>
        <w:jc w:val="both"/>
        <w:rPr>
          <w:rFonts w:ascii="Times New Roman" w:eastAsia="Times New Roman" w:hAnsi="Times New Roman" w:cs="Times New Roman"/>
          <w:bCs/>
          <w:color w:val="000000"/>
          <w:sz w:val="24"/>
          <w:szCs w:val="24"/>
          <w:lang w:eastAsia="hr-HR"/>
          <w14:ligatures w14:val="none"/>
        </w:rPr>
      </w:pPr>
    </w:p>
    <w:p w14:paraId="5684DD82" w14:textId="77777777" w:rsidR="005D1B54" w:rsidRPr="006B08A0" w:rsidRDefault="005D1B54" w:rsidP="00353B38">
      <w:pPr>
        <w:widowControl w:val="0"/>
        <w:spacing w:before="240" w:after="0" w:line="240" w:lineRule="auto"/>
        <w:ind w:left="1020" w:right="13" w:hanging="980"/>
        <w:jc w:val="both"/>
        <w:rPr>
          <w:rFonts w:ascii="Times New Roman" w:eastAsia="Times New Roman" w:hAnsi="Times New Roman" w:cs="Times New Roman"/>
          <w:bCs/>
          <w:color w:val="000000"/>
          <w:sz w:val="24"/>
          <w:szCs w:val="24"/>
          <w:lang w:eastAsia="hr-HR"/>
          <w14:ligatures w14:val="none"/>
        </w:rPr>
      </w:pPr>
    </w:p>
    <w:p w14:paraId="65129CEE" w14:textId="77777777" w:rsidR="00446770" w:rsidRPr="006B08A0" w:rsidRDefault="00446770" w:rsidP="00353B38">
      <w:pPr>
        <w:widowControl w:val="0"/>
        <w:spacing w:before="240" w:after="0" w:line="240" w:lineRule="auto"/>
        <w:ind w:right="13"/>
        <w:jc w:val="right"/>
        <w:rPr>
          <w:rFonts w:ascii="Times New Roman" w:eastAsia="Times New Roman" w:hAnsi="Times New Roman" w:cs="Times New Roman"/>
          <w:b/>
          <w:bCs/>
          <w:color w:val="000000"/>
          <w:sz w:val="24"/>
          <w:szCs w:val="24"/>
          <w:lang w:eastAsia="hr-HR"/>
          <w14:ligatures w14:val="none"/>
        </w:rPr>
      </w:pPr>
      <w:r w:rsidRPr="006B08A0">
        <w:rPr>
          <w:rFonts w:ascii="Times New Roman" w:eastAsia="Times New Roman" w:hAnsi="Times New Roman" w:cs="Times New Roman"/>
          <w:b/>
          <w:bCs/>
          <w:color w:val="000000"/>
          <w:sz w:val="24"/>
          <w:szCs w:val="24"/>
          <w:lang w:eastAsia="hr-HR"/>
          <w14:ligatures w14:val="none"/>
        </w:rPr>
        <w:t>PREDSJEDNIKU HRVATSKOGA SABORA</w:t>
      </w:r>
    </w:p>
    <w:p w14:paraId="161B49C7" w14:textId="77777777" w:rsidR="00446770" w:rsidRPr="006B08A0" w:rsidRDefault="00446770" w:rsidP="00353B38">
      <w:pPr>
        <w:widowControl w:val="0"/>
        <w:spacing w:before="240" w:after="0" w:line="240" w:lineRule="auto"/>
        <w:ind w:right="13"/>
        <w:jc w:val="right"/>
        <w:rPr>
          <w:rFonts w:ascii="Times New Roman" w:eastAsia="Times New Roman" w:hAnsi="Times New Roman" w:cs="Times New Roman"/>
          <w:b/>
          <w:bCs/>
          <w:color w:val="000000"/>
          <w:sz w:val="24"/>
          <w:szCs w:val="24"/>
          <w:lang w:eastAsia="hr-HR"/>
          <w14:ligatures w14:val="none"/>
        </w:rPr>
      </w:pPr>
    </w:p>
    <w:p w14:paraId="43CDF528" w14:textId="682DB736" w:rsidR="00446770" w:rsidRPr="006B08A0" w:rsidRDefault="00446770" w:rsidP="00353B38">
      <w:pPr>
        <w:widowControl w:val="0"/>
        <w:spacing w:before="240" w:after="0" w:line="240" w:lineRule="auto"/>
        <w:ind w:left="1276" w:right="13" w:hanging="1276"/>
        <w:jc w:val="both"/>
        <w:rPr>
          <w:rFonts w:ascii="Times New Roman" w:eastAsia="Times New Roman" w:hAnsi="Times New Roman" w:cs="Times New Roman"/>
          <w:color w:val="000000"/>
          <w:sz w:val="24"/>
          <w:szCs w:val="24"/>
          <w:lang w:eastAsia="hr-HR"/>
          <w14:ligatures w14:val="none"/>
        </w:rPr>
      </w:pPr>
      <w:r w:rsidRPr="006B08A0">
        <w:rPr>
          <w:rFonts w:ascii="Times New Roman" w:eastAsia="Times New Roman" w:hAnsi="Times New Roman" w:cs="Times New Roman"/>
          <w:color w:val="000000"/>
          <w:sz w:val="24"/>
          <w:szCs w:val="24"/>
          <w:lang w:eastAsia="hr-HR"/>
          <w14:ligatures w14:val="none"/>
        </w:rPr>
        <w:t xml:space="preserve">PREDMET: </w:t>
      </w:r>
      <w:bookmarkStart w:id="1" w:name="_Hlk190077252"/>
      <w:r w:rsidR="002D120B" w:rsidRPr="006B08A0">
        <w:rPr>
          <w:rFonts w:ascii="Times New Roman" w:eastAsia="Times New Roman" w:hAnsi="Times New Roman" w:cs="Times New Roman"/>
          <w:color w:val="000000"/>
          <w:sz w:val="24"/>
          <w:szCs w:val="24"/>
          <w:lang w:eastAsia="hr-HR"/>
          <w14:ligatures w14:val="none"/>
        </w:rPr>
        <w:t xml:space="preserve">Interpelacija o odgovornosti Vlade Republike Hrvatske za inflaciju </w:t>
      </w:r>
      <w:bookmarkEnd w:id="1"/>
      <w:r w:rsidRPr="006B08A0">
        <w:rPr>
          <w:rFonts w:ascii="Times New Roman" w:eastAsia="Times New Roman" w:hAnsi="Times New Roman" w:cs="Times New Roman"/>
          <w:color w:val="000000"/>
          <w:sz w:val="24"/>
          <w:szCs w:val="24"/>
          <w:lang w:eastAsia="hr-HR"/>
          <w14:ligatures w14:val="none"/>
        </w:rPr>
        <w:t>(predlagatelji: 16 zastupnika u Hrvatskome saboru) – Izvješće Vlade Republike Hrvatske</w:t>
      </w:r>
    </w:p>
    <w:p w14:paraId="5FE69BCE" w14:textId="77777777" w:rsidR="002D120B" w:rsidRPr="006B08A0" w:rsidRDefault="00446770" w:rsidP="00353B38">
      <w:pPr>
        <w:widowControl w:val="0"/>
        <w:tabs>
          <w:tab w:val="center" w:pos="1331"/>
          <w:tab w:val="left" w:pos="1792"/>
        </w:tabs>
        <w:spacing w:before="240" w:after="0" w:line="240" w:lineRule="auto"/>
        <w:ind w:left="1276" w:right="13" w:hanging="1236"/>
        <w:jc w:val="both"/>
        <w:rPr>
          <w:rFonts w:ascii="Times New Roman" w:eastAsia="Times New Roman" w:hAnsi="Times New Roman" w:cs="Times New Roman"/>
          <w:color w:val="000000"/>
          <w:sz w:val="24"/>
          <w:szCs w:val="24"/>
          <w:lang w:eastAsia="hr-HR"/>
          <w14:ligatures w14:val="none"/>
        </w:rPr>
      </w:pPr>
      <w:r w:rsidRPr="006B08A0">
        <w:rPr>
          <w:rFonts w:ascii="Times New Roman" w:eastAsia="Times New Roman" w:hAnsi="Times New Roman" w:cs="Times New Roman"/>
          <w:color w:val="000000"/>
          <w:sz w:val="24"/>
          <w:szCs w:val="24"/>
          <w:lang w:eastAsia="hr-HR"/>
          <w14:ligatures w14:val="none"/>
        </w:rPr>
        <w:t xml:space="preserve">Veza: </w:t>
      </w:r>
      <w:r w:rsidRPr="006B08A0">
        <w:rPr>
          <w:rFonts w:ascii="Times New Roman" w:eastAsia="Times New Roman" w:hAnsi="Times New Roman" w:cs="Times New Roman"/>
          <w:color w:val="000000"/>
          <w:sz w:val="24"/>
          <w:szCs w:val="24"/>
          <w:lang w:eastAsia="hr-HR"/>
          <w14:ligatures w14:val="none"/>
        </w:rPr>
        <w:tab/>
        <w:t xml:space="preserve">Pismo Hrvatskoga sabora, </w:t>
      </w:r>
      <w:r w:rsidR="002D120B" w:rsidRPr="006B08A0">
        <w:rPr>
          <w:rFonts w:ascii="Times New Roman" w:eastAsia="Times New Roman" w:hAnsi="Times New Roman" w:cs="Times New Roman"/>
          <w:color w:val="000000"/>
          <w:sz w:val="24"/>
          <w:szCs w:val="24"/>
          <w:lang w:eastAsia="hr-HR"/>
          <w14:ligatures w14:val="none"/>
        </w:rPr>
        <w:t>KLASA: 021-03/25-08/2, URBROJ: 65-25-3, od</w:t>
      </w:r>
    </w:p>
    <w:p w14:paraId="5527147B" w14:textId="2CD3BB4F" w:rsidR="00446770" w:rsidRPr="006B08A0" w:rsidRDefault="002D120B" w:rsidP="00353B38">
      <w:pPr>
        <w:widowControl w:val="0"/>
        <w:tabs>
          <w:tab w:val="center" w:pos="1331"/>
          <w:tab w:val="left" w:pos="1792"/>
        </w:tabs>
        <w:spacing w:before="240" w:after="0" w:line="240" w:lineRule="auto"/>
        <w:ind w:left="1276" w:right="13" w:hanging="1236"/>
        <w:jc w:val="both"/>
        <w:rPr>
          <w:rFonts w:ascii="Times New Roman" w:eastAsia="Times New Roman" w:hAnsi="Times New Roman" w:cs="Times New Roman"/>
          <w:color w:val="000000"/>
          <w:sz w:val="24"/>
          <w:szCs w:val="24"/>
          <w:lang w:eastAsia="hr-HR"/>
          <w14:ligatures w14:val="none"/>
        </w:rPr>
      </w:pPr>
      <w:r w:rsidRPr="006B08A0">
        <w:rPr>
          <w:rFonts w:ascii="Times New Roman" w:eastAsia="Times New Roman" w:hAnsi="Times New Roman" w:cs="Times New Roman"/>
          <w:color w:val="000000"/>
          <w:sz w:val="24"/>
          <w:szCs w:val="24"/>
          <w:lang w:eastAsia="hr-HR"/>
          <w14:ligatures w14:val="none"/>
        </w:rPr>
        <w:t xml:space="preserve">                     28. siječnja 2025.</w:t>
      </w:r>
    </w:p>
    <w:p w14:paraId="25D99F0E" w14:textId="77777777" w:rsidR="002D120B" w:rsidRPr="006B08A0" w:rsidRDefault="002D120B" w:rsidP="00353B38">
      <w:pPr>
        <w:spacing w:before="240"/>
        <w:jc w:val="both"/>
        <w:rPr>
          <w:rFonts w:ascii="Times New Roman" w:eastAsia="Times New Roman" w:hAnsi="Times New Roman" w:cs="Times New Roman"/>
          <w:color w:val="000000"/>
          <w:sz w:val="24"/>
          <w:szCs w:val="24"/>
          <w:lang w:eastAsia="hr-HR"/>
          <w14:ligatures w14:val="none"/>
        </w:rPr>
      </w:pPr>
    </w:p>
    <w:p w14:paraId="2E7B63BC" w14:textId="77777777" w:rsidR="005D1B54" w:rsidRPr="00745AD1" w:rsidRDefault="005D1B54" w:rsidP="005D1B54">
      <w:pPr>
        <w:spacing w:after="0" w:line="240" w:lineRule="auto"/>
        <w:ind w:firstLine="1418"/>
        <w:jc w:val="both"/>
        <w:rPr>
          <w:color w:val="000000" w:themeColor="text1"/>
        </w:rPr>
      </w:pPr>
      <w:r w:rsidRPr="00745AD1">
        <w:rPr>
          <w:rFonts w:ascii="Times New Roman" w:eastAsia="Times New Roman" w:hAnsi="Times New Roman" w:cs="Times New Roman"/>
          <w:color w:val="000000" w:themeColor="text1"/>
          <w:sz w:val="24"/>
          <w:szCs w:val="24"/>
          <w:lang w:eastAsia="hr-HR"/>
          <w14:ligatures w14:val="none"/>
        </w:rPr>
        <w:t>Na temelju članka 147. stavka 1. Poslovnika Hrvatskoga sabora („Narodne novine“, br. 81/13., 113/16., 69/17., 29/18., 53/20., 119/20. – Odluka Ustavnog suda Republike Hrvatske, 123/20. i 86/23. – Odluka Ustavnog suda Republike Hrvatske), Vlada Republike Hrvatske povodom Interpelacije o odgovornosti Vlade Republike Hrvatske za inflaciju, podnesenu od 16 zastupnika u Hrvatskome saboru, daje sljedeće</w:t>
      </w:r>
      <w:r w:rsidRPr="00745AD1">
        <w:rPr>
          <w:color w:val="000000" w:themeColor="text1"/>
        </w:rPr>
        <w:t xml:space="preserve"> </w:t>
      </w:r>
    </w:p>
    <w:p w14:paraId="4EADEBC1" w14:textId="77777777" w:rsidR="005D1B54" w:rsidRPr="00745AD1" w:rsidRDefault="005D1B54" w:rsidP="005D1B54">
      <w:pPr>
        <w:spacing w:after="0" w:line="240" w:lineRule="auto"/>
        <w:jc w:val="both"/>
        <w:rPr>
          <w:color w:val="000000" w:themeColor="text1"/>
        </w:rPr>
      </w:pPr>
    </w:p>
    <w:p w14:paraId="013A1765"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2CA02DB9" w14:textId="77777777" w:rsidR="005D1B54" w:rsidRPr="00745AD1" w:rsidRDefault="005D1B54" w:rsidP="005D1B54">
      <w:pPr>
        <w:widowControl w:val="0"/>
        <w:spacing w:after="0" w:line="240" w:lineRule="auto"/>
        <w:ind w:right="13"/>
        <w:jc w:val="center"/>
        <w:rPr>
          <w:rFonts w:ascii="Times New Roman" w:eastAsia="Times New Roman" w:hAnsi="Times New Roman" w:cs="Times New Roman"/>
          <w:b/>
          <w:bCs/>
          <w:color w:val="000000" w:themeColor="text1"/>
          <w:sz w:val="24"/>
          <w:szCs w:val="24"/>
          <w:lang w:eastAsia="hr-HR"/>
          <w14:ligatures w14:val="none"/>
        </w:rPr>
      </w:pPr>
      <w:r w:rsidRPr="00745AD1">
        <w:rPr>
          <w:rFonts w:ascii="Times New Roman" w:eastAsia="Times New Roman" w:hAnsi="Times New Roman" w:cs="Times New Roman"/>
          <w:b/>
          <w:bCs/>
          <w:color w:val="000000" w:themeColor="text1"/>
          <w:sz w:val="24"/>
          <w:szCs w:val="24"/>
          <w:lang w:eastAsia="hr-HR"/>
          <w14:ligatures w14:val="none"/>
        </w:rPr>
        <w:t>I Z V J E Š Ć E</w:t>
      </w:r>
    </w:p>
    <w:p w14:paraId="1806D63F" w14:textId="77777777" w:rsidR="005D1B54" w:rsidRPr="00745AD1" w:rsidRDefault="005D1B54" w:rsidP="005D1B54">
      <w:pPr>
        <w:widowControl w:val="0"/>
        <w:spacing w:after="0" w:line="240" w:lineRule="auto"/>
        <w:ind w:right="13"/>
        <w:jc w:val="center"/>
        <w:rPr>
          <w:rFonts w:ascii="Times New Roman" w:eastAsia="Times New Roman" w:hAnsi="Times New Roman" w:cs="Times New Roman"/>
          <w:b/>
          <w:bCs/>
          <w:color w:val="000000" w:themeColor="text1"/>
          <w:sz w:val="24"/>
          <w:szCs w:val="24"/>
          <w:lang w:eastAsia="hr-HR"/>
          <w14:ligatures w14:val="none"/>
        </w:rPr>
      </w:pPr>
    </w:p>
    <w:p w14:paraId="5955EB2A" w14:textId="77777777" w:rsidR="005D1B54" w:rsidRPr="00745AD1" w:rsidRDefault="005D1B54" w:rsidP="005D1B54">
      <w:pPr>
        <w:widowControl w:val="0"/>
        <w:spacing w:after="0" w:line="240" w:lineRule="auto"/>
        <w:ind w:right="13"/>
        <w:jc w:val="center"/>
        <w:rPr>
          <w:rFonts w:ascii="Times New Roman" w:eastAsia="Times New Roman" w:hAnsi="Times New Roman" w:cs="Times New Roman"/>
          <w:b/>
          <w:bCs/>
          <w:color w:val="000000" w:themeColor="text1"/>
          <w:sz w:val="24"/>
          <w:szCs w:val="24"/>
          <w:lang w:eastAsia="hr-HR"/>
          <w14:ligatures w14:val="none"/>
        </w:rPr>
      </w:pPr>
    </w:p>
    <w:p w14:paraId="502B9C43"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sidRPr="00745AD1">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Vlada Republike Hrvatske predlaže Hrvatskome saboru da u cijelosti odbije Interpelaciju o odgovornosti Vlade Republike Hrvatske (u daljnjem tekstu: Vlada) za inflaciju koju je podnijelo 16 zastupnika u Hrvatskome saboru, aktom od 20. siječnja 2025., iz razloga što je neosnovan, ekonomski neutemeljen i netočan uradak, uz paušalne i nestručne ocjene političara.</w:t>
      </w:r>
    </w:p>
    <w:p w14:paraId="34168B03"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FDFAF4E" w14:textId="58BCA183"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U kontekstu navoda vezano uz ulazak Hrvatske u europodručje, izvješću prilažemo očitovanje Hrvatske narodne banke (u daljnjem tekstu: HNB) kojoj je u nadležnosti stabilnost cijena te koja ima ključnu i ravnopravnu ulogu u okviru upravljačkih procesa Europske središnje banke. Pritom podsjećamo da se Hrvatska, kao i druge države u svijetu, uz ulazak u europodručje i </w:t>
      </w:r>
      <w:r>
        <w:rPr>
          <w:rFonts w:ascii="Times New Roman" w:eastAsia="Times New Roman" w:hAnsi="Times New Roman" w:cs="Times New Roman"/>
          <w:color w:val="000000" w:themeColor="text1"/>
          <w:sz w:val="24"/>
          <w:szCs w:val="24"/>
          <w:lang w:eastAsia="hr-HR"/>
          <w14:ligatures w14:val="none"/>
        </w:rPr>
        <w:t>sche</w:t>
      </w:r>
      <w:r w:rsidRPr="00745AD1">
        <w:rPr>
          <w:rFonts w:ascii="Times New Roman" w:eastAsia="Times New Roman" w:hAnsi="Times New Roman" w:cs="Times New Roman"/>
          <w:color w:val="000000" w:themeColor="text1"/>
          <w:sz w:val="24"/>
          <w:szCs w:val="24"/>
          <w:lang w:eastAsia="hr-HR"/>
          <w14:ligatures w14:val="none"/>
        </w:rPr>
        <w:t xml:space="preserve">ngenski prostor, suočila s posljedicama COVID krize, dvaju razornih potresa i rata u Ukrajini, što je utjecalo na inflatorne pritiske. </w:t>
      </w:r>
    </w:p>
    <w:p w14:paraId="578D04DE" w14:textId="60239A8C"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0ECC7AC"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1D52F0C"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7A7AB214"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lastRenderedPageBreak/>
        <w:t>Pomoć građanima u krizama</w:t>
      </w:r>
    </w:p>
    <w:p w14:paraId="500E977C"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5AD65161"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B97A24">
        <w:rPr>
          <w:rFonts w:ascii="Times New Roman" w:eastAsia="Times New Roman" w:hAnsi="Times New Roman" w:cs="Times New Roman"/>
          <w:color w:val="000000" w:themeColor="text1"/>
          <w:sz w:val="24"/>
          <w:szCs w:val="24"/>
          <w:lang w:eastAsia="hr-HR"/>
          <w14:ligatures w14:val="none"/>
        </w:rPr>
        <w:t xml:space="preserve">Vlada osporava sve navode iz Interpelacije, a posebno u pogledu nedovoljne zaštite građana od neopravdanog kontinuiranog povećanja cijena. </w:t>
      </w:r>
      <w:r w:rsidRPr="00745AD1">
        <w:rPr>
          <w:rFonts w:ascii="Times New Roman" w:eastAsia="Times New Roman" w:hAnsi="Times New Roman" w:cs="Times New Roman"/>
          <w:color w:val="000000" w:themeColor="text1"/>
          <w:sz w:val="24"/>
          <w:szCs w:val="24"/>
          <w:lang w:eastAsia="hr-HR"/>
          <w14:ligatures w14:val="none"/>
        </w:rPr>
        <w:t xml:space="preserve">Podsjećamo i na činjenicu da je Vlada osigurala sedam paketa pomoći vrijednih 8 milijardi eura, za ublažavanje posljedica kriza na građane. Sve mjere koje je Vlada poduzela (od smanjenja stope PDV-a na određene grupe proizvoda, subvencioniranja cijene energenata, uvođenje ograničenih cijena) bile su u cilju zaštite građana od prekomjerne inflacije. Osim navedenim instrumentima, Vlada ne može intervenirati u tržišne procese, a u tome važnu ulogu imaju regulatorna i inspekcijska tijela koja moraju suzbijati prešutne dogovore kod određivanja cijena proizvoda, različite prijevare u samim trgovinama i općenito uvjete poslovanja. Na regulatornim tijelima je da provedu svoje aktivnosti i mjere u cilju suzbijanja inflacije i zadržavanja standarda građana. Vlada je u proteklim mjesecima pokrenula širi društveni dijalog o odgovornosti u lancu definiranja cijena, kako bi se u borbi protiv inflatornih pritisaka uključili upravo oni koji definiraju cijene, uključujući trgovce, proizvođače i distributere. </w:t>
      </w:r>
    </w:p>
    <w:p w14:paraId="6AFCCE34"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7F7F842B"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Strukturiran i uspješan proces uvođenja eura na dobrobit društva i gospodarstva</w:t>
      </w:r>
    </w:p>
    <w:p w14:paraId="59FE5962"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0DB7F6DF"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Vlada je u procesu uvođenja eura kao službene valute u Republici Hrvatskoj (u daljnjem tekstu: uvođenje eura kao službene valute) poduzela niz mjera i aktivnosti kako bi taj proces prošao bez smetnji za normalno funkcioniranje gospodarstva i uz najvišu razinu zaštite potrošača, sukladno najboljim praksama dosadašnjih prelazaka država članica Europske unije na euro kao službenu valutu. Zakonom o uvođenju eura</w:t>
      </w:r>
      <w:r>
        <w:rPr>
          <w:rFonts w:ascii="Times New Roman" w:eastAsia="Times New Roman" w:hAnsi="Times New Roman" w:cs="Times New Roman"/>
          <w:color w:val="000000" w:themeColor="text1"/>
          <w:sz w:val="24"/>
          <w:szCs w:val="24"/>
          <w:lang w:eastAsia="hr-HR"/>
          <w14:ligatures w14:val="none"/>
        </w:rPr>
        <w:t xml:space="preserve"> kao službene valute u Republici Hrvatskoj</w:t>
      </w:r>
      <w:r w:rsidRPr="00745AD1">
        <w:rPr>
          <w:rFonts w:ascii="Times New Roman" w:eastAsia="Times New Roman" w:hAnsi="Times New Roman" w:cs="Times New Roman"/>
          <w:color w:val="000000" w:themeColor="text1"/>
          <w:sz w:val="24"/>
          <w:szCs w:val="24"/>
          <w:lang w:eastAsia="hr-HR"/>
          <w14:ligatures w14:val="none"/>
        </w:rPr>
        <w:t xml:space="preserve">, između ostalog, propisana su dva najznačajnija načela zaštite potrošača i zabrane neopravdanog povećanja cijena, primjena fiksnog tečaja konverzije, pravila za preračunavanje i zaokruživanje, dvojni optjecaj, dvojno iskazivanje, propisan je detaljan nadzor primjene zakona te prekršajne odredbe. Propisano je kako uslijed </w:t>
      </w:r>
      <w:r>
        <w:rPr>
          <w:rFonts w:ascii="Times New Roman" w:eastAsia="Times New Roman" w:hAnsi="Times New Roman" w:cs="Times New Roman"/>
          <w:color w:val="000000" w:themeColor="text1"/>
          <w:sz w:val="24"/>
          <w:szCs w:val="24"/>
          <w:lang w:eastAsia="hr-HR"/>
          <w14:ligatures w14:val="none"/>
        </w:rPr>
        <w:t>preračunavanja potrošač nije smi</w:t>
      </w:r>
      <w:r w:rsidRPr="00745AD1">
        <w:rPr>
          <w:rFonts w:ascii="Times New Roman" w:eastAsia="Times New Roman" w:hAnsi="Times New Roman" w:cs="Times New Roman"/>
          <w:color w:val="000000" w:themeColor="text1"/>
          <w:sz w:val="24"/>
          <w:szCs w:val="24"/>
          <w:lang w:eastAsia="hr-HR"/>
          <w14:ligatures w14:val="none"/>
        </w:rPr>
        <w:t>o biti u financijski nepovoljnijem položaju nego što bi bio da euro nije uveden te je izrijekom zabranjeno pri uvođenju eura povećati cijenu robe ili usluge prema potrošačima bez opravdanog razloga odnosno da se poveća cijena neke robe ili usluge s namjerom da poslovni subjekt poveća svoju profitnu maržu i tako iskoristi privremeno smanjenu sposobnost kupaca da objektivno vrednuju cijene u novoj valuti.</w:t>
      </w:r>
    </w:p>
    <w:p w14:paraId="65867C8F"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736578F3" w14:textId="77777777" w:rsidR="005D1B54" w:rsidRDefault="005D1B54" w:rsidP="005D1B54">
      <w:pPr>
        <w:keepNext/>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Blag i jednokratan učinak na cijene od uvođenja eura</w:t>
      </w:r>
    </w:p>
    <w:p w14:paraId="16DDFDE9" w14:textId="77777777" w:rsidR="005D1B54" w:rsidRPr="00745AD1" w:rsidRDefault="005D1B54" w:rsidP="005D1B54">
      <w:pPr>
        <w:keepNext/>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5D62A265" w14:textId="3A368A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Unatoč izazovnom inflacijskom okružju, utjecaj uvođenja eura na potrošačke cijene u Republici Hrvatskoj bio je relativno blag i u skladu s iskustvima drugih država koje su već uvele euro kao službenu valutu. Iz analize koju je u listopadu objavio Eurostat, vidljivo je kako je učinak uvođenja eura bio još i niži, između 0,04 i 0,18 postotnih bodova u siječnju 2023., a u veljači i ožujku statistički nije bio značajan, što upućuje da je bio jednokratne naravi te potpuno u skladu s onim što se događalo u drugim zemljama kada su uvodile euro, ali i u skladu s očekivanjima u Republici Hrvatskoj. Europska komisija je u Izvješću o uvođenju eura u Republici Hrvatskoj, koje je objavljeno 30. lipnja 2023.</w:t>
      </w:r>
      <w:r>
        <w:rPr>
          <w:rFonts w:ascii="Times New Roman" w:eastAsia="Times New Roman" w:hAnsi="Times New Roman" w:cs="Times New Roman"/>
          <w:color w:val="000000" w:themeColor="text1"/>
          <w:sz w:val="24"/>
          <w:szCs w:val="24"/>
          <w:lang w:eastAsia="hr-HR"/>
          <w14:ligatures w14:val="none"/>
        </w:rPr>
        <w:t>,</w:t>
      </w:r>
      <w:r w:rsidRPr="00745AD1">
        <w:rPr>
          <w:rFonts w:ascii="Times New Roman" w:eastAsia="Times New Roman" w:hAnsi="Times New Roman" w:cs="Times New Roman"/>
          <w:color w:val="000000" w:themeColor="text1"/>
          <w:sz w:val="24"/>
          <w:szCs w:val="24"/>
          <w:lang w:eastAsia="hr-HR"/>
          <w14:ligatures w14:val="none"/>
        </w:rPr>
        <w:t xml:space="preserve"> navela kako je za relativno ograničen ukupan utjecaj neopravdanog povećanja cijena na inflaciju djelomično zaslužan brz odgovor hrvatskih nadležnih tijela u obliku politika te kako su inspekcije svakako dovele do korekcije nekih pretjerano visokih cijena i djelovale kao odvraćajući čimbenik za daljnje neopravdano povećanje cijena. </w:t>
      </w:r>
    </w:p>
    <w:p w14:paraId="596ADC88" w14:textId="22816D0C"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A4123B3"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1D32176B"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25B92104"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lastRenderedPageBreak/>
        <w:t>Koristi članstva u europodručju za Hrvatsku</w:t>
      </w:r>
    </w:p>
    <w:p w14:paraId="4A345252"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5446F2A6"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Valja istaknuti kako malim državama poput Republike Hrvatske upravo članstvo u europodručju jamči veću otpornost te lakši i jeftiniji pristup financiranju, što im omogućuje lakše suočavanje s posljedicama globalnih kriza. Nadalje, zahvaljujući uvođenju eura rizik deprecijacije tečaja više ne postoji što građanima i poduzetnicima daje sigurnost u razdoblju povišene neizvjesnosti. Taj problem je sada trajno uklonjen. Osim toga, zahvaljujući uvođenju eura Republika Hrvatska danas ima priliku zaduživati se znatno povoljnije nego ranije: kamatna stopa na hrvatske 10-godišnje državne obveznice trenutno je za oko 0,9 postotnih bodova viša od kamatne stope na njemačke obveznice, dok je početkom 2017. ta razlika iznosila 2,5 postotnih bodova. Niži troškovi zaduživanja povoljno se odražavaju na javne financije, a posredno i na cijelo gospodarstvo, i to kroz niži trošak zaduživanja za građane i poduzetnike, kao i manje troškove za sve porezne obveznike povezane s plaćanjem kamata na javni dug. Hrvatska se poduzeća danas kod banaka zadužuju po jednakim ili povoljnijim uvjetima u usporedbi s poduzećima u Njemačkoj i ostatku europodručja. Primjerice, 2017. prosječna kamatna stopa na kredite poduzećima do 1 milijun eura u Republici Hrvatskoj (4,1%) bila je znatno viša od kamatne stope u Njemačkoj (2,4%) i od prosječne stope u europodručju (2,2%). Međutim, u studenome 2024. kamatna stopa na kredite poduzećima u Republici Hrvatskoj (4,7%) potpuno je jednaka prosječnoj stopi u europodručju, te je čak niža od kamatne stope u Njemačkoj (5,2%). Kao i sudionici na financijskim tržištima, i rejting agencije su prepoznale povoljne učinke uvođenja eura, a neke od koristi članstva u europodručju ostvarile su se i prije nego što je kuna službeno zamijenjena eurom jer je sam proces približavanja i pristupanja tečajnom mehanizmu ERM II Republici Hrvatskoj pomogao da lakše prebrodi dvije posljednje krize – pandemijsku krizu 2020. i krizu izazvanu ruskom agresijom na Ukrajinu početkom 2022. </w:t>
      </w:r>
    </w:p>
    <w:p w14:paraId="40D7A27F"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2B81B3F6"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Hrvatsko je gospodarstvo danas kao dio europodručja znatno otpornije na financijske krize i vanjske šokove: deprecijacija valute koja može ugroziti financijsku stabilnost nije više moguća, javni dug gotovo je u potpunosti u domaćoj valuti, kao i dug stanovništva i poduzeća pa domaće gospodarstvo nije više izloženo rizicima i troškovima povezanima s visokim stupnjem eurizacije, a uvjeti financiranja svih sektora gospodarstva zamjetno su povoljniji nego što bi bili da euro nije uveden.</w:t>
      </w:r>
    </w:p>
    <w:p w14:paraId="29E1A555"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09073DC" w14:textId="77777777" w:rsidR="005D1B54" w:rsidRDefault="005D1B54" w:rsidP="005D1B54">
      <w:pPr>
        <w:keepNext/>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 xml:space="preserve">Odgovorno upravljanje javnim financijama </w:t>
      </w:r>
    </w:p>
    <w:p w14:paraId="50B9B1C9" w14:textId="77777777" w:rsidR="005D1B54" w:rsidRPr="00745AD1" w:rsidRDefault="005D1B54" w:rsidP="005D1B54">
      <w:pPr>
        <w:keepNext/>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7EE65750"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Vezano za makroekonomske uvjete u vrijeme uvođenja eura potrebno je imati na umu da iako je u prethodnom razdoblju bila izražena ekonomska neizvjesnost koja je sve ekonomske agente usmjeravala na donošenje odluka kako bi se odgovorilo na ekonomske izazove koje je nosila pandemija, a kasnije i energetski šok izazvan izbijanjem sukoba u Ukrajini, upravo je višegodišnje odgovorno upravljanje makroekonomskom i fiskalnom politikom u predkriznom razdoblju rezultiralo stvaranjem fiskalnog prostora za promptno djelovanje u upravljanju spomenutim izazovima, a radi očuvanja zaposlenosti i održavanja ekonomske aktivnosti. </w:t>
      </w:r>
    </w:p>
    <w:p w14:paraId="65B09C75"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436F3335"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Vezano za navode kako su u svojim izjavama predstavnici i članovi Vlade, kao i guverner HNB-a uvjeravali hrvatsku javnost da će trošak konverzije, odnosno povećanje cijena biti u prosjeku 0,25 do 0,30% kao što je bio slučaj u ostalim državama prilikom prelaska na euro kao službenu valutu napominje se kako su u pripremama za uvođenje eura u Republici Hrvatskoj analizirani učinci konverzije nacionalnih valuta u euro na rast potrošačkih cijena u državama članicama Europske unije koje su uvodile euro. Hrvatska je u europodručje ulazila u okolnostima geopolitičkih neizvjesnosti, koje su umnogome uzrokovale i inflatorne pritiske, te se ne mogu izvlačiti iz konteksta izjave prije tih događaja. Kako je Europska unija konstatirala u Izvješću o uvođenju eura, za transparentan i pošten prelazak bilo je presudno to što su hrvatska nadležna tijela poduzela sve potrebne mjere za sprečavanje zlouporabe. Europska komisija je pritom ustvrdila kako je prema preliminarnoj procjeni dostupnih dokaza utjecaj neopravdanog povećanja cijena na agregiranu inflaciju bio relativno malen i uglavnom usklađen s onim što je uočeno u prijašnjim prelascima na euro.</w:t>
      </w:r>
    </w:p>
    <w:p w14:paraId="1C0C5804"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20994A2D"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U odnosu na navod da je u Republici Hrvatskoj došlo u više navrata do poskupljenja roba i usluga koje se mogu povezati s ulaskom u europodručje napominje se kako je navedeno obrazloženo naprijed u tekstu. </w:t>
      </w:r>
    </w:p>
    <w:p w14:paraId="33BF6715"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0E25616"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Značajan rast plaća u Hrvatskoj</w:t>
      </w:r>
    </w:p>
    <w:p w14:paraId="160D7272"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1CEC3AD6"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Kada je riječ o utjecaju uvođenja eura na plaće napominje se kako se od </w:t>
      </w:r>
      <w:r>
        <w:rPr>
          <w:rFonts w:ascii="Times New Roman" w:eastAsia="Times New Roman" w:hAnsi="Times New Roman" w:cs="Times New Roman"/>
          <w:color w:val="000000" w:themeColor="text1"/>
          <w:sz w:val="24"/>
          <w:szCs w:val="24"/>
          <w:lang w:eastAsia="hr-HR"/>
          <w14:ligatures w14:val="none"/>
        </w:rPr>
        <w:br/>
      </w:r>
      <w:r w:rsidRPr="00745AD1">
        <w:rPr>
          <w:rFonts w:ascii="Times New Roman" w:eastAsia="Times New Roman" w:hAnsi="Times New Roman" w:cs="Times New Roman"/>
          <w:color w:val="000000" w:themeColor="text1"/>
          <w:sz w:val="24"/>
          <w:szCs w:val="24"/>
          <w:lang w:eastAsia="hr-HR"/>
          <w14:ligatures w14:val="none"/>
        </w:rPr>
        <w:t xml:space="preserve">1. siječnja 2023. rast plaća znatno ubrzao upravo nakon uvođenja eura te je već do kraja 2023. više nego nadoknadio prethodno akumulirani pad kupovne moći. </w:t>
      </w:r>
    </w:p>
    <w:p w14:paraId="2D99D8CB"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021EAE4E"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U odnosu na navod iz obrazloženja Interpelacije o odredbi članka 56. Ustava Republike Hrvatske kojom je propisano kako svaki zaposleni ima pravo na zaradu kojom može osigurati sebi i obitelji slobodan i dostojanstven život, ukazuje se da sukladno podacima Državnog zavoda za statistiku (u daljnjem tekstu: DZS) prosječna mjesečna isplaćena neto plaća porasla je za preko 80%, na 1.366 eura, a na početku mandata 2016. godine iznosila je 749 eura. Uz preko milijun i 700 tisuća zaposlenih, niske stope nezaposlenih i stalan pritisak prema rastu plaća, Vlada smo koja stvara kvalitetne uvjete za radnike te poticajno poslovno okruženje za poduzeća. </w:t>
      </w:r>
    </w:p>
    <w:p w14:paraId="6E118F8B"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sidRPr="00745AD1">
        <w:rPr>
          <w:rFonts w:ascii="Times New Roman" w:eastAsia="Times New Roman" w:hAnsi="Times New Roman" w:cs="Times New Roman"/>
          <w:color w:val="000000" w:themeColor="text1"/>
          <w:sz w:val="24"/>
          <w:szCs w:val="24"/>
          <w:lang w:eastAsia="hr-HR"/>
          <w14:ligatures w14:val="none"/>
        </w:rPr>
        <w:t xml:space="preserve"> </w:t>
      </w:r>
    </w:p>
    <w:p w14:paraId="32BCC3F5"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Prioritet zaštite potrošača</w:t>
      </w:r>
    </w:p>
    <w:p w14:paraId="0EB64D2C"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02BB492F"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U odnosu na navod iz obrazloženja Interpelacije da je Vlada odustala od crnih lista i da nisu udruge potrošača značajnije financijski potpomognute, u prvom redu naglašava se kako je članak 129. Z</w:t>
      </w:r>
      <w:r>
        <w:rPr>
          <w:rFonts w:ascii="Times New Roman" w:eastAsia="Times New Roman" w:hAnsi="Times New Roman" w:cs="Times New Roman"/>
          <w:color w:val="000000" w:themeColor="text1"/>
          <w:sz w:val="24"/>
          <w:szCs w:val="24"/>
          <w:lang w:eastAsia="hr-HR"/>
          <w14:ligatures w14:val="none"/>
        </w:rPr>
        <w:t xml:space="preserve">akona o zaštiti potrošača </w:t>
      </w:r>
      <w:r w:rsidRPr="00745AD1">
        <w:rPr>
          <w:rFonts w:ascii="Times New Roman" w:eastAsia="Times New Roman" w:hAnsi="Times New Roman" w:cs="Times New Roman"/>
          <w:color w:val="000000" w:themeColor="text1"/>
          <w:sz w:val="24"/>
          <w:szCs w:val="24"/>
          <w:lang w:eastAsia="hr-HR"/>
          <w14:ligatures w14:val="none"/>
        </w:rPr>
        <w:t>stavljen van snage stupanjem na snagu Zakona o predstavničkim tužbama za zaštitu kolektivnih interesa i prava potrošača („Narodne novine“</w:t>
      </w:r>
      <w:r>
        <w:rPr>
          <w:rFonts w:ascii="Times New Roman" w:eastAsia="Times New Roman" w:hAnsi="Times New Roman" w:cs="Times New Roman"/>
          <w:color w:val="000000" w:themeColor="text1"/>
          <w:sz w:val="24"/>
          <w:szCs w:val="24"/>
          <w:lang w:eastAsia="hr-HR"/>
          <w14:ligatures w14:val="none"/>
        </w:rPr>
        <w:t>, broj</w:t>
      </w:r>
      <w:r w:rsidRPr="00745AD1">
        <w:rPr>
          <w:rFonts w:ascii="Times New Roman" w:eastAsia="Times New Roman" w:hAnsi="Times New Roman" w:cs="Times New Roman"/>
          <w:color w:val="000000" w:themeColor="text1"/>
          <w:sz w:val="24"/>
          <w:szCs w:val="24"/>
          <w:lang w:eastAsia="hr-HR"/>
          <w14:ligatures w14:val="none"/>
        </w:rPr>
        <w:t xml:space="preserve"> 59/23</w:t>
      </w:r>
      <w:r>
        <w:rPr>
          <w:rFonts w:ascii="Times New Roman" w:eastAsia="Times New Roman" w:hAnsi="Times New Roman" w:cs="Times New Roman"/>
          <w:color w:val="000000" w:themeColor="text1"/>
          <w:sz w:val="24"/>
          <w:szCs w:val="24"/>
          <w:lang w:eastAsia="hr-HR"/>
          <w14:ligatures w14:val="none"/>
        </w:rPr>
        <w:t>.</w:t>
      </w:r>
      <w:r w:rsidRPr="00745AD1">
        <w:rPr>
          <w:rFonts w:ascii="Times New Roman" w:eastAsia="Times New Roman" w:hAnsi="Times New Roman" w:cs="Times New Roman"/>
          <w:color w:val="000000" w:themeColor="text1"/>
          <w:sz w:val="24"/>
          <w:szCs w:val="24"/>
          <w:lang w:eastAsia="hr-HR"/>
          <w14:ligatures w14:val="none"/>
        </w:rPr>
        <w:t>; u daljnjem tekstu: Zakon o predstavničkim tužbama) kojim je propisana pravna osnova pokretanja odgovarajućih postupaka od strane udruga za zaštitu potrošača u svrhu zaštite kolektivnih prava potrošača odnosno ovlašteni su podnijeti tužbu te nastupati u ime i za račun potrošača kao ovlašteni tužitelji. S tim u vezi naglašava se da je na mrežnim stranicama Ministarstva gospodarstva i Središnjeg portala za potrošače objavljen Otvoreni javni poziv za dostavu iskaza interesa za uvrštavanjem udruga i drugih oblika udruživanja za zaštitu potrošača na popis ovlaštenih tijela za podnošenje predstavničke tužbe. Osim tri udruge, interes za uvrštavanjem na popis iskazala su i određena javnopravna tijela, te je trenutni popis svih ovlaštenih tijela za podnošenje predstavničke tužbe slje</w:t>
      </w:r>
      <w:r>
        <w:rPr>
          <w:rFonts w:ascii="Times New Roman" w:eastAsia="Times New Roman" w:hAnsi="Times New Roman" w:cs="Times New Roman"/>
          <w:color w:val="000000" w:themeColor="text1"/>
          <w:sz w:val="24"/>
          <w:szCs w:val="24"/>
          <w:lang w:eastAsia="hr-HR"/>
          <w14:ligatures w14:val="none"/>
        </w:rPr>
        <w:t>deći: Ministarstvo gospodarstva</w:t>
      </w:r>
      <w:r w:rsidRPr="00745AD1">
        <w:rPr>
          <w:rFonts w:ascii="Times New Roman" w:eastAsia="Times New Roman" w:hAnsi="Times New Roman" w:cs="Times New Roman"/>
          <w:color w:val="000000" w:themeColor="text1"/>
          <w:sz w:val="24"/>
          <w:szCs w:val="24"/>
          <w:lang w:eastAsia="hr-HR"/>
          <w14:ligatures w14:val="none"/>
        </w:rPr>
        <w:t>; Ministarstvo poljoprivrede, šumarstva i ribarstva; Ministarstvo turizma i sporta; Ministarstvo financija; Ministarstvo mora, prometa i infrastrukture; Agencija za obalni linijski pomorski promet; Hrvatska regulatorna agencija za mrežne djelatnosti; Društvo potrošača Međimurja, Selnica; Udruga Franak, Zagreb; Društvo Potrošačica, Vrbovsko. Nadalje, naglašava se kako je Vlada kroz godine redovito financirala udruge za zaštitu potrošača putem raznih modaliteta posrednog i neposrednog financiranja, a to čini i danas.</w:t>
      </w:r>
    </w:p>
    <w:p w14:paraId="65F34C64"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41C67AA3"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Nadalje, vezano uz donošenje akcijskog plana koji bi uključivao nositelje zaštite potrošača, napominjemo kako takav dokument postoji, a to je Nacionalni program zaštite potrošača, čija je obveza donošenja sadržana u odredbama Z</w:t>
      </w:r>
      <w:r>
        <w:rPr>
          <w:rFonts w:ascii="Times New Roman" w:eastAsia="Times New Roman" w:hAnsi="Times New Roman" w:cs="Times New Roman"/>
          <w:color w:val="000000" w:themeColor="text1"/>
          <w:sz w:val="24"/>
          <w:szCs w:val="24"/>
          <w:lang w:eastAsia="hr-HR"/>
          <w14:ligatures w14:val="none"/>
        </w:rPr>
        <w:t>akona o zaštiti potrošača</w:t>
      </w:r>
      <w:r w:rsidRPr="00745AD1">
        <w:rPr>
          <w:rFonts w:ascii="Times New Roman" w:eastAsia="Times New Roman" w:hAnsi="Times New Roman" w:cs="Times New Roman"/>
          <w:color w:val="000000" w:themeColor="text1"/>
          <w:sz w:val="24"/>
          <w:szCs w:val="24"/>
          <w:lang w:eastAsia="hr-HR"/>
          <w14:ligatures w14:val="none"/>
        </w:rPr>
        <w:t>. Naime, sukladno članku 1</w:t>
      </w:r>
      <w:r>
        <w:rPr>
          <w:rFonts w:ascii="Times New Roman" w:eastAsia="Times New Roman" w:hAnsi="Times New Roman" w:cs="Times New Roman"/>
          <w:color w:val="000000" w:themeColor="text1"/>
          <w:sz w:val="24"/>
          <w:szCs w:val="24"/>
          <w:lang w:eastAsia="hr-HR"/>
          <w14:ligatures w14:val="none"/>
        </w:rPr>
        <w:t xml:space="preserve">37. stavcima 1. i 2. </w:t>
      </w:r>
      <w:r w:rsidRPr="00745AD1">
        <w:rPr>
          <w:rFonts w:ascii="Times New Roman" w:eastAsia="Times New Roman" w:hAnsi="Times New Roman" w:cs="Times New Roman"/>
          <w:color w:val="000000" w:themeColor="text1"/>
          <w:sz w:val="24"/>
          <w:szCs w:val="24"/>
          <w:lang w:eastAsia="hr-HR"/>
          <w14:ligatures w14:val="none"/>
        </w:rPr>
        <w:t>Z</w:t>
      </w:r>
      <w:r>
        <w:rPr>
          <w:rFonts w:ascii="Times New Roman" w:eastAsia="Times New Roman" w:hAnsi="Times New Roman" w:cs="Times New Roman"/>
          <w:color w:val="000000" w:themeColor="text1"/>
          <w:sz w:val="24"/>
          <w:szCs w:val="24"/>
          <w:lang w:eastAsia="hr-HR"/>
          <w14:ligatures w14:val="none"/>
        </w:rPr>
        <w:t>akona o zaštiti potrošača</w:t>
      </w:r>
      <w:r w:rsidRPr="00745AD1">
        <w:rPr>
          <w:rFonts w:ascii="Times New Roman" w:eastAsia="Times New Roman" w:hAnsi="Times New Roman" w:cs="Times New Roman"/>
          <w:color w:val="000000" w:themeColor="text1"/>
          <w:sz w:val="24"/>
          <w:szCs w:val="24"/>
          <w:lang w:eastAsia="hr-HR"/>
          <w14:ligatures w14:val="none"/>
        </w:rPr>
        <w:t>, Nacionalnim programom zaštite potrošača određuju se ciljevi, mjere, prioritetna područja te aktivnosti u provođenju politike zaštite potrošača u određenom razdoblju, a odlukom ga donosi Vlada za razdoblje od četiri godine. Slijedom istog, trenutno je u izradi novi Nacionalni program zaštite potrošača za razdoblje od 2025. do 2028. godine, u kojem će jasno i koncizno biti istaknuti svi relevantni ciljevi i prioriteti politike zaštite potrošača, a koji će sadržavati i doprinos udruga za zaštitu potrošača, kao i ostalih dionika potrošačke politike.</w:t>
      </w:r>
    </w:p>
    <w:p w14:paraId="765B95AE"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328A2594"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 xml:space="preserve">Rast gospodarstva </w:t>
      </w:r>
    </w:p>
    <w:p w14:paraId="78D071DC"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6FACEF9E"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Vezano za dio obrazloženja u kojemu se problematizira utjecaj inflacije na državni proračun napominje se kako u razdoblju između 2021. i 2024. porez na dodanu vrijednost (u daljnjem tekstu: PDV) zauzima relativno stabilan udio u BDP-u i to od 13,1% u 2021. do 13,3% u trećem tromjesečju 2024. Neovisno o inflaciji, snažnom rastu prihoda od PDV-a pridonio je i izraženi realni rast potrošnje rezidentnih kućanstava te inozemnih turista, kao i ubrzanje dinamike investicijske aktivnosti. Naime, uz osobnu potrošnju stanovništva Republike Hrvatske, značajan udio u strukturi osnovice PDV-a dolazi i od potrošnje stranih turista, investicija u fiksni kapital te intermedijarne potrošnje države, kao i neprofitnih ustanova koje služe kućanstvima. Pritom treba istaknuti da je Vlada podnijela teret kriza i subvencioniranjem energenata te paketima pomoći najugroženijima, ublažavajući posljedice kriza preusmjeravajući sredstva iz državnog proračuna radi zaštite standarda građana. </w:t>
      </w:r>
    </w:p>
    <w:p w14:paraId="5871736A"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sidRPr="00745AD1">
        <w:rPr>
          <w:rFonts w:ascii="Times New Roman" w:eastAsia="Times New Roman" w:hAnsi="Times New Roman" w:cs="Times New Roman"/>
          <w:color w:val="000000" w:themeColor="text1"/>
          <w:sz w:val="24"/>
          <w:szCs w:val="24"/>
          <w:lang w:eastAsia="hr-HR"/>
          <w14:ligatures w14:val="none"/>
        </w:rPr>
        <w:t xml:space="preserve"> </w:t>
      </w:r>
    </w:p>
    <w:p w14:paraId="13657C75"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 xml:space="preserve">Vezano za navode o rastu plaća dužnosnika napominje se prije svega kako se plaće državnih dužnosnika nisu mijenjale punih deset godina, od 2014. do 2024., kada je donesena Odluka o visini osnovice za obračun plaće državnih dužnosnika („Narodne novine”, </w:t>
      </w:r>
      <w:r>
        <w:rPr>
          <w:rFonts w:ascii="Times New Roman" w:eastAsia="Times New Roman" w:hAnsi="Times New Roman" w:cs="Times New Roman"/>
          <w:color w:val="000000" w:themeColor="text1"/>
          <w:sz w:val="24"/>
          <w:szCs w:val="24"/>
          <w:lang w:eastAsia="hr-HR"/>
          <w14:ligatures w14:val="none"/>
        </w:rPr>
        <w:t xml:space="preserve">broj </w:t>
      </w:r>
      <w:r w:rsidRPr="00745AD1">
        <w:rPr>
          <w:rFonts w:ascii="Times New Roman" w:eastAsia="Times New Roman" w:hAnsi="Times New Roman" w:cs="Times New Roman"/>
          <w:color w:val="000000" w:themeColor="text1"/>
          <w:sz w:val="24"/>
          <w:szCs w:val="24"/>
          <w:lang w:eastAsia="hr-HR"/>
          <w14:ligatures w14:val="none"/>
        </w:rPr>
        <w:t xml:space="preserve">88/24.) kojom je osnovica za obračun plaće utvrđena u visini od 947,18 eura bruto. S obzirom </w:t>
      </w:r>
      <w:r>
        <w:rPr>
          <w:rFonts w:ascii="Times New Roman" w:eastAsia="Times New Roman" w:hAnsi="Times New Roman" w:cs="Times New Roman"/>
          <w:color w:val="000000" w:themeColor="text1"/>
          <w:sz w:val="24"/>
          <w:szCs w:val="24"/>
          <w:lang w:eastAsia="hr-HR"/>
          <w14:ligatures w14:val="none"/>
        </w:rPr>
        <w:t xml:space="preserve">na to </w:t>
      </w:r>
      <w:r w:rsidRPr="00745AD1">
        <w:rPr>
          <w:rFonts w:ascii="Times New Roman" w:eastAsia="Times New Roman" w:hAnsi="Times New Roman" w:cs="Times New Roman"/>
          <w:color w:val="000000" w:themeColor="text1"/>
          <w:sz w:val="24"/>
          <w:szCs w:val="24"/>
          <w:lang w:eastAsia="hr-HR"/>
          <w14:ligatures w14:val="none"/>
        </w:rPr>
        <w:t>da se osnovica za obračun plaće državnih dužnosnika nije mijenjala od 2014. te da nije pratila povećanje osnovice za obračun plaće državnih službenika i namještenika, znatno su narušeni odnosi u plaćama između državnih dužnosnika, s jedne strane, i državnih službenika i namještenika, s druge strane. Pored toga, došlo je do dodatnog nesrazmjera u plaćama nakon povećanja koeficijenata za obračun plaće državnih službenika i namještenika od 1. ožujka 2024., kada je stupila na snagu Uredba o nazivima radnih mjesta, uvjetima za raspored i koeficijentima za obračun plaće u državno</w:t>
      </w:r>
      <w:r>
        <w:rPr>
          <w:rFonts w:ascii="Times New Roman" w:eastAsia="Times New Roman" w:hAnsi="Times New Roman" w:cs="Times New Roman"/>
          <w:color w:val="000000" w:themeColor="text1"/>
          <w:sz w:val="24"/>
          <w:szCs w:val="24"/>
          <w:lang w:eastAsia="hr-HR"/>
          <w14:ligatures w14:val="none"/>
        </w:rPr>
        <w:t>j službi („Narodne novine“, br.</w:t>
      </w:r>
      <w:r w:rsidRPr="00745AD1">
        <w:rPr>
          <w:rFonts w:ascii="Times New Roman" w:eastAsia="Times New Roman" w:hAnsi="Times New Roman" w:cs="Times New Roman"/>
          <w:color w:val="000000" w:themeColor="text1"/>
          <w:sz w:val="24"/>
          <w:szCs w:val="24"/>
          <w:lang w:eastAsia="hr-HR"/>
          <w14:ligatures w14:val="none"/>
        </w:rPr>
        <w:t xml:space="preserve"> 22/24. i 33/24.</w:t>
      </w:r>
      <w:r>
        <w:rPr>
          <w:rFonts w:ascii="Times New Roman" w:eastAsia="Times New Roman" w:hAnsi="Times New Roman" w:cs="Times New Roman"/>
          <w:color w:val="000000" w:themeColor="text1"/>
          <w:sz w:val="24"/>
          <w:szCs w:val="24"/>
          <w:lang w:eastAsia="hr-HR"/>
          <w14:ligatures w14:val="none"/>
        </w:rPr>
        <w:t xml:space="preserve"> - ispravak</w:t>
      </w:r>
      <w:r w:rsidRPr="00745AD1">
        <w:rPr>
          <w:rFonts w:ascii="Times New Roman" w:eastAsia="Times New Roman" w:hAnsi="Times New Roman" w:cs="Times New Roman"/>
          <w:color w:val="000000" w:themeColor="text1"/>
          <w:sz w:val="24"/>
          <w:szCs w:val="24"/>
          <w:lang w:eastAsia="hr-HR"/>
          <w14:ligatures w14:val="none"/>
        </w:rPr>
        <w:t>) te su plaće pojedinih državnih službenika bile znatno veće od plaća nadređenih državnih dužnosnika.</w:t>
      </w:r>
    </w:p>
    <w:p w14:paraId="37644AE7"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1D9A54D0" w14:textId="77777777" w:rsidR="005D1B54" w:rsidRDefault="005D1B54" w:rsidP="005D1B54">
      <w:pPr>
        <w:keepNext/>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Rast mirovina i briga o umirovljenicima</w:t>
      </w:r>
    </w:p>
    <w:p w14:paraId="44B481AF" w14:textId="77777777" w:rsidR="005D1B54" w:rsidRPr="00745AD1" w:rsidRDefault="005D1B54" w:rsidP="005D1B54">
      <w:pPr>
        <w:keepNext/>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5BDFF369"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Vezano za netočne navode kojima se potencira da se Vlada ne skrbi za umirovljenike, ukazuje se kako je od 2016. godine prosječna sveukupna mirovina koja je u prosincu 2024. iznos</w:t>
      </w:r>
      <w:r>
        <w:rPr>
          <w:rFonts w:ascii="Times New Roman" w:eastAsia="Times New Roman" w:hAnsi="Times New Roman" w:cs="Times New Roman"/>
          <w:color w:val="000000" w:themeColor="text1"/>
          <w:sz w:val="24"/>
          <w:szCs w:val="24"/>
          <w:lang w:eastAsia="hr-HR"/>
          <w14:ligatures w14:val="none"/>
        </w:rPr>
        <w:t>ila 624,23 eura porasla za 74,4</w:t>
      </w:r>
      <w:r w:rsidRPr="00745AD1">
        <w:rPr>
          <w:rFonts w:ascii="Times New Roman" w:eastAsia="Times New Roman" w:hAnsi="Times New Roman" w:cs="Times New Roman"/>
          <w:color w:val="000000" w:themeColor="text1"/>
          <w:sz w:val="24"/>
          <w:szCs w:val="24"/>
          <w:lang w:eastAsia="hr-HR"/>
          <w14:ligatures w14:val="none"/>
        </w:rPr>
        <w:t>% (sa 357 eura na 624 eura), dok je najniža mirovi</w:t>
      </w:r>
      <w:r>
        <w:rPr>
          <w:rFonts w:ascii="Times New Roman" w:eastAsia="Times New Roman" w:hAnsi="Times New Roman" w:cs="Times New Roman"/>
          <w:color w:val="000000" w:themeColor="text1"/>
          <w:sz w:val="24"/>
          <w:szCs w:val="24"/>
          <w:lang w:eastAsia="hr-HR"/>
          <w14:ligatures w14:val="none"/>
        </w:rPr>
        <w:t>na u istom razdoblju rasla 89,7</w:t>
      </w:r>
      <w:r w:rsidRPr="00745AD1">
        <w:rPr>
          <w:rFonts w:ascii="Times New Roman" w:eastAsia="Times New Roman" w:hAnsi="Times New Roman" w:cs="Times New Roman"/>
          <w:color w:val="000000" w:themeColor="text1"/>
          <w:sz w:val="24"/>
          <w:szCs w:val="24"/>
          <w:lang w:eastAsia="hr-HR"/>
          <w14:ligatures w14:val="none"/>
        </w:rPr>
        <w:t>% (sa 208,52 eura na 395,56 eura). Također, prosječna starosna mirovina na temelju mirovinskog staža od 40 i više godina u prosincu 2024. iznosi</w:t>
      </w:r>
      <w:r>
        <w:rPr>
          <w:rFonts w:ascii="Times New Roman" w:eastAsia="Times New Roman" w:hAnsi="Times New Roman" w:cs="Times New Roman"/>
          <w:color w:val="000000" w:themeColor="text1"/>
          <w:sz w:val="24"/>
          <w:szCs w:val="24"/>
          <w:lang w:eastAsia="hr-HR"/>
          <w14:ligatures w14:val="none"/>
        </w:rPr>
        <w:t>la je 915,62 eura (rast od 65,9</w:t>
      </w:r>
      <w:r w:rsidRPr="00745AD1">
        <w:rPr>
          <w:rFonts w:ascii="Times New Roman" w:eastAsia="Times New Roman" w:hAnsi="Times New Roman" w:cs="Times New Roman"/>
          <w:color w:val="000000" w:themeColor="text1"/>
          <w:sz w:val="24"/>
          <w:szCs w:val="24"/>
          <w:lang w:eastAsia="hr-HR"/>
          <w14:ligatures w14:val="none"/>
        </w:rPr>
        <w:t>% od 2016. godine), što ukazuje kako je poticanje duljeg rada jedan od ključnih izazova mirovinskoga sustava i formula za ostvarivanje većih mirovina u budućnosti jer jedan od razloga niskih mirovina je svak</w:t>
      </w:r>
      <w:r>
        <w:rPr>
          <w:rFonts w:ascii="Times New Roman" w:eastAsia="Times New Roman" w:hAnsi="Times New Roman" w:cs="Times New Roman"/>
          <w:color w:val="000000" w:themeColor="text1"/>
          <w:sz w:val="24"/>
          <w:szCs w:val="24"/>
          <w:lang w:eastAsia="hr-HR"/>
          <w14:ligatures w14:val="none"/>
        </w:rPr>
        <w:t xml:space="preserve">ako i prosječni mirovinski staž od 31 godinu i 4 mjeseca. </w:t>
      </w:r>
      <w:r w:rsidRPr="00745AD1">
        <w:rPr>
          <w:rFonts w:ascii="Times New Roman" w:eastAsia="Times New Roman" w:hAnsi="Times New Roman" w:cs="Times New Roman"/>
          <w:color w:val="000000" w:themeColor="text1"/>
          <w:sz w:val="24"/>
          <w:szCs w:val="24"/>
          <w:lang w:eastAsia="hr-HR"/>
          <w14:ligatures w14:val="none"/>
        </w:rPr>
        <w:t xml:space="preserve">Vodeći posebnu brigu o umirovljenicima Vlada je osigurala deset paketa potpore umirovljenicima, što uz ukupne mjere znače dodatna sredstva u iznosu većem od 2,1 milijardu eura. Naime, rashodi za mirovine i mirovinska primanja su u 2022. godini iznosili 6,2 milijarde eura, u 2023. godini 7,2 milijarde eura, dok su u 2024. procijenjeni na 8,3 milijarde </w:t>
      </w:r>
      <w:r w:rsidRPr="0064503B">
        <w:rPr>
          <w:rFonts w:ascii="Times New Roman" w:eastAsia="Times New Roman" w:hAnsi="Times New Roman" w:cs="Times New Roman"/>
          <w:color w:val="000000" w:themeColor="text1"/>
          <w:spacing w:val="-2"/>
          <w:sz w:val="24"/>
          <w:szCs w:val="24"/>
          <w:lang w:eastAsia="hr-HR"/>
          <w14:ligatures w14:val="none"/>
        </w:rPr>
        <w:t>eura. Rezultat je to ponajviše provedbe mjera izmijenjenog zakonskog okvira od 1. siječnja 2023.</w:t>
      </w:r>
      <w:r w:rsidRPr="00745AD1">
        <w:rPr>
          <w:rFonts w:ascii="Times New Roman" w:eastAsia="Times New Roman" w:hAnsi="Times New Roman" w:cs="Times New Roman"/>
          <w:color w:val="000000" w:themeColor="text1"/>
          <w:sz w:val="24"/>
          <w:szCs w:val="24"/>
          <w:lang w:eastAsia="hr-HR"/>
          <w14:ligatures w14:val="none"/>
        </w:rPr>
        <w:t xml:space="preserve"> kojima su napravljeni značajni iskoraci u mirovinskom sustavu. Posebno je važno podsjetiti kako je od 1. siječnja 2023. uvedena mogućnost korištenja dijela obiteljske mi</w:t>
      </w:r>
      <w:r>
        <w:rPr>
          <w:rFonts w:ascii="Times New Roman" w:eastAsia="Times New Roman" w:hAnsi="Times New Roman" w:cs="Times New Roman"/>
          <w:color w:val="000000" w:themeColor="text1"/>
          <w:sz w:val="24"/>
          <w:szCs w:val="24"/>
          <w:lang w:eastAsia="hr-HR"/>
          <w14:ligatures w14:val="none"/>
        </w:rPr>
        <w:t>rovine od 27</w:t>
      </w:r>
      <w:r w:rsidRPr="00745AD1">
        <w:rPr>
          <w:rFonts w:ascii="Times New Roman" w:eastAsia="Times New Roman" w:hAnsi="Times New Roman" w:cs="Times New Roman"/>
          <w:color w:val="000000" w:themeColor="text1"/>
          <w:sz w:val="24"/>
          <w:szCs w:val="24"/>
          <w:lang w:eastAsia="hr-HR"/>
          <w14:ligatures w14:val="none"/>
        </w:rPr>
        <w:t>% uz starosnu, prijevremenu starosnu ili invalidsku mirovinu, što trenutno koristi 110.791 umirovljenika, kojima je time mirovinsko primanje povećano za prosječno 112 eura.  Također, dodatno su povećan</w:t>
      </w:r>
      <w:r>
        <w:rPr>
          <w:rFonts w:ascii="Times New Roman" w:eastAsia="Times New Roman" w:hAnsi="Times New Roman" w:cs="Times New Roman"/>
          <w:color w:val="000000" w:themeColor="text1"/>
          <w:sz w:val="24"/>
          <w:szCs w:val="24"/>
          <w:lang w:eastAsia="hr-HR"/>
          <w14:ligatures w14:val="none"/>
        </w:rPr>
        <w:t>e sve obiteljske mirovine za 10</w:t>
      </w:r>
      <w:r w:rsidRPr="00745AD1">
        <w:rPr>
          <w:rFonts w:ascii="Times New Roman" w:eastAsia="Times New Roman" w:hAnsi="Times New Roman" w:cs="Times New Roman"/>
          <w:color w:val="000000" w:themeColor="text1"/>
          <w:sz w:val="24"/>
          <w:szCs w:val="24"/>
          <w:lang w:eastAsia="hr-HR"/>
          <w14:ligatures w14:val="none"/>
        </w:rPr>
        <w:t>%, što je obuhvatilo oko 200 tisuća umirovljenika, a više od 310 tisuća korisnika najniže mirovine primilo je povećanu mirov</w:t>
      </w:r>
      <w:r>
        <w:rPr>
          <w:rFonts w:ascii="Times New Roman" w:eastAsia="Times New Roman" w:hAnsi="Times New Roman" w:cs="Times New Roman"/>
          <w:color w:val="000000" w:themeColor="text1"/>
          <w:sz w:val="24"/>
          <w:szCs w:val="24"/>
          <w:lang w:eastAsia="hr-HR"/>
          <w14:ligatures w14:val="none"/>
        </w:rPr>
        <w:t>i</w:t>
      </w:r>
      <w:r w:rsidRPr="00745AD1">
        <w:rPr>
          <w:rFonts w:ascii="Times New Roman" w:eastAsia="Times New Roman" w:hAnsi="Times New Roman" w:cs="Times New Roman"/>
          <w:color w:val="000000" w:themeColor="text1"/>
          <w:sz w:val="24"/>
          <w:szCs w:val="24"/>
          <w:lang w:eastAsia="hr-HR"/>
          <w14:ligatures w14:val="none"/>
        </w:rPr>
        <w:t>nu za dodatnih 3%. Od 1. siječnja 2024. potpuno je ukinuto smanjenje mirovina ostvarenih/ili određenih prema posebnim propisima iz mirovinskog osiguranja za više od 109 tisuća umirovljenika. U cilju posebne zaštite najugroženijih kategorija umirovljenika Vlada je osigurala isplatu deset jednokratnih dodataka radi ublažavanja posljedica rasta cijena</w:t>
      </w:r>
      <w:r>
        <w:rPr>
          <w:rFonts w:ascii="Times New Roman" w:eastAsia="Times New Roman" w:hAnsi="Times New Roman" w:cs="Times New Roman"/>
          <w:color w:val="000000" w:themeColor="text1"/>
          <w:sz w:val="24"/>
          <w:szCs w:val="24"/>
          <w:lang w:eastAsia="hr-HR"/>
          <w14:ligatures w14:val="none"/>
        </w:rPr>
        <w:t xml:space="preserve">, vrijednih 712 milijuna eura. </w:t>
      </w:r>
      <w:r w:rsidRPr="00745AD1">
        <w:rPr>
          <w:rFonts w:ascii="Times New Roman" w:eastAsia="Times New Roman" w:hAnsi="Times New Roman" w:cs="Times New Roman"/>
          <w:color w:val="000000" w:themeColor="text1"/>
          <w:sz w:val="24"/>
          <w:szCs w:val="24"/>
          <w:lang w:eastAsia="hr-HR"/>
          <w14:ligatures w14:val="none"/>
        </w:rPr>
        <w:t xml:space="preserve">U predstojećem razdoblju nastavit će se kontinuirano raditi na poboljšanju materijalnog položaja umirovljenika kako bi osigurali uvjete za porast prosječne ukupne mirovina na najmanje 750 eura. Planirano je donošenje novog Zakona o mirovinskom osiguranju kojim će se implementirati mjere predviđene Programom Vlade Republike Hrvatske 2024. – 2028., a koje su usmjerene na povećanje razine adekvatnosti mirovina.   </w:t>
      </w:r>
    </w:p>
    <w:p w14:paraId="3989DF02"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sidRPr="00745AD1">
        <w:rPr>
          <w:rFonts w:ascii="Times New Roman" w:eastAsia="Times New Roman" w:hAnsi="Times New Roman" w:cs="Times New Roman"/>
          <w:color w:val="000000" w:themeColor="text1"/>
          <w:sz w:val="24"/>
          <w:szCs w:val="24"/>
          <w:lang w:eastAsia="hr-HR"/>
          <w14:ligatures w14:val="none"/>
        </w:rPr>
        <w:t xml:space="preserve">    </w:t>
      </w:r>
    </w:p>
    <w:p w14:paraId="793D1DB9"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Rast plaća u državnom i javnom sektoru</w:t>
      </w:r>
    </w:p>
    <w:p w14:paraId="38AA45C8"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7743E1FE"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Vezano uz navode da je Vlada pokrenula utrku rasta cijena i plaća u javnom i državnom sektoru, ističe se kako je sustav plaća u javnim službama bilo potrebno urediti za veću djelotvornost rada službenika te konkurentnost poslova u tim sektorima. Plaće u državnoj službi i javnim službama dugi su niz godina zaostajale za plaćama u privatnom sektoru što je dovelo do odljeva stručne radne snage. Povećanje plaća rezultat je i visoke razine socijalnog dijaloga, osobito sa sindikatima, za kvalitetnija radna mjesta te poticajnije poslovno okruženje u Hrvatskoj. Stoga se povećanje plaća u državnim i javnim službama ne može smatrati poticanjem rasta cijena već doprinosom postizanju načela jednake plaće za rad jednake vrijednosti.</w:t>
      </w:r>
    </w:p>
    <w:p w14:paraId="0241D366"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3257A8ED" w14:textId="77777777" w:rsidR="005D1B54"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r w:rsidRPr="00745AD1">
        <w:rPr>
          <w:rFonts w:ascii="Times New Roman" w:eastAsia="Times New Roman" w:hAnsi="Times New Roman" w:cs="Times New Roman"/>
          <w:b/>
          <w:color w:val="000000" w:themeColor="text1"/>
          <w:sz w:val="24"/>
          <w:szCs w:val="24"/>
          <w:lang w:eastAsia="hr-HR"/>
          <w14:ligatures w14:val="none"/>
        </w:rPr>
        <w:t>Kontinuirana briga o najranjivijim skupinama društva</w:t>
      </w:r>
    </w:p>
    <w:p w14:paraId="67F860C4" w14:textId="77777777" w:rsidR="005D1B54" w:rsidRPr="00745AD1" w:rsidRDefault="005D1B54" w:rsidP="005D1B54">
      <w:pPr>
        <w:spacing w:after="0" w:line="240" w:lineRule="auto"/>
        <w:jc w:val="both"/>
        <w:rPr>
          <w:rFonts w:ascii="Times New Roman" w:eastAsia="Times New Roman" w:hAnsi="Times New Roman" w:cs="Times New Roman"/>
          <w:b/>
          <w:color w:val="000000" w:themeColor="text1"/>
          <w:sz w:val="24"/>
          <w:szCs w:val="24"/>
          <w:lang w:eastAsia="hr-HR"/>
          <w14:ligatures w14:val="none"/>
        </w:rPr>
      </w:pPr>
    </w:p>
    <w:p w14:paraId="3EA539C9"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Vezano uz navode kako Vlada ne vodi odgovornu fiskalnu politiku koja pruža stabilnost i podršku najranjivijim skupinama, napominjemo kako se Republika Hrvatska u uvjetima povišene inflacije, kao i druge države članice Europske unije, suočila s izazovom kreiranja politika kojima su se trebali obuzdati cjenovni pritisci, uz istovremenu potporu ugroženim skupinama. Uz sedam paketa mjera pomoći građanima i gospodarstvu, vrijednih 8 milijardi eura, Vlada je bila oslonac u svakoj krizi. Uz to, paketi pomoći bili su osobito usmjereni prema umirovljenicima, korisnicima u sustavu socijalne skrbi, djeci i nezaposlenima. Hrvatski građani plaćaju drugu najnižu cijenu plina u Europi, dok je cijena struje za građane među tri najniže u Europskoj uniji. Vlada će i dalje nastojati svojim mjerama najugroženije građane zaštititi od porasta cijena, kao i nastaviti s administrativnim m</w:t>
      </w:r>
      <w:r>
        <w:rPr>
          <w:rFonts w:ascii="Times New Roman" w:eastAsia="Times New Roman" w:hAnsi="Times New Roman" w:cs="Times New Roman"/>
          <w:color w:val="000000" w:themeColor="text1"/>
          <w:sz w:val="24"/>
          <w:szCs w:val="24"/>
          <w:lang w:eastAsia="hr-HR"/>
          <w14:ligatures w14:val="none"/>
        </w:rPr>
        <w:t xml:space="preserve">jerama za ograničavanje cijena. </w:t>
      </w:r>
      <w:r w:rsidRPr="00745AD1">
        <w:rPr>
          <w:rFonts w:ascii="Times New Roman" w:eastAsia="Times New Roman" w:hAnsi="Times New Roman" w:cs="Times New Roman"/>
          <w:color w:val="000000" w:themeColor="text1"/>
          <w:sz w:val="24"/>
          <w:szCs w:val="24"/>
          <w:lang w:eastAsia="hr-HR"/>
          <w14:ligatures w14:val="none"/>
        </w:rPr>
        <w:t>Pritom fiskalna politika mora ostati fleksibilna i prilagodljiva, spremna na pravovremenu reakciju u promjenjivim okolnostima</w:t>
      </w:r>
      <w:r>
        <w:rPr>
          <w:rFonts w:ascii="Times New Roman" w:eastAsia="Times New Roman" w:hAnsi="Times New Roman" w:cs="Times New Roman"/>
          <w:color w:val="000000" w:themeColor="text1"/>
          <w:sz w:val="24"/>
          <w:szCs w:val="24"/>
          <w:lang w:eastAsia="hr-HR"/>
          <w14:ligatures w14:val="none"/>
        </w:rPr>
        <w:t>.</w:t>
      </w:r>
      <w:r w:rsidRPr="00745AD1">
        <w:rPr>
          <w:rFonts w:ascii="Times New Roman" w:eastAsia="Times New Roman" w:hAnsi="Times New Roman" w:cs="Times New Roman"/>
          <w:color w:val="000000" w:themeColor="text1"/>
          <w:sz w:val="24"/>
          <w:szCs w:val="24"/>
          <w:lang w:eastAsia="hr-HR"/>
          <w14:ligatures w14:val="none"/>
        </w:rPr>
        <w:t xml:space="preserve"> Na sjednici Vlade, 13. veljače 2025., usvojen je i prijedlog izmjena Zakona o iznimnim mjerama kontrole cijena koji sadrži nove mjere koje će osigurati bolju informiranost kupaca, veću transparentnost i jaču cjenovnu konkurentnost.  </w:t>
      </w:r>
    </w:p>
    <w:p w14:paraId="63A6B427"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44D396C"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Pr>
          <w:rFonts w:ascii="Times New Roman" w:eastAsia="Times New Roman" w:hAnsi="Times New Roman" w:cs="Times New Roman"/>
          <w:color w:val="000000" w:themeColor="text1"/>
          <w:sz w:val="24"/>
          <w:szCs w:val="24"/>
          <w:lang w:eastAsia="hr-HR"/>
          <w14:ligatures w14:val="none"/>
        </w:rPr>
        <w:tab/>
      </w:r>
      <w:r>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Slijedom svega navedenoga, Vlada predlaže Hrvatskome saboru da odbije Interpelaciju o odgovornosti Vlade Republike Hrvatske za inflaciju.</w:t>
      </w:r>
    </w:p>
    <w:p w14:paraId="31A0D1EE"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01A26E4F"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sidRPr="00745AD1">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ab/>
        <w:t>Za svoje predstavnike, koji će u vezi s iznesenim Izvješćem biti nazočni na sjednicama Hrvatskoga sabora i njegovih radnih tijela, Vlada je odredila potpredsjednika Vlade Republike Hrvatske i ministra financija dr. sc. Marka Primorca</w:t>
      </w:r>
      <w:r>
        <w:rPr>
          <w:rFonts w:ascii="Times New Roman" w:eastAsia="Times New Roman" w:hAnsi="Times New Roman" w:cs="Times New Roman"/>
          <w:color w:val="000000" w:themeColor="text1"/>
          <w:sz w:val="24"/>
          <w:szCs w:val="24"/>
          <w:lang w:eastAsia="hr-HR"/>
          <w14:ligatures w14:val="none"/>
        </w:rPr>
        <w:t>,</w:t>
      </w:r>
      <w:r w:rsidRPr="00745AD1">
        <w:rPr>
          <w:rFonts w:ascii="Times New Roman" w:eastAsia="Times New Roman" w:hAnsi="Times New Roman" w:cs="Times New Roman"/>
          <w:color w:val="000000" w:themeColor="text1"/>
          <w:sz w:val="24"/>
          <w:szCs w:val="24"/>
          <w:lang w:eastAsia="hr-HR"/>
          <w14:ligatures w14:val="none"/>
        </w:rPr>
        <w:t xml:space="preserve"> ministra gospodarstva Antu Šušnjara</w:t>
      </w:r>
      <w:r>
        <w:rPr>
          <w:rFonts w:ascii="Times New Roman" w:eastAsia="Times New Roman" w:hAnsi="Times New Roman" w:cs="Times New Roman"/>
          <w:color w:val="000000" w:themeColor="text1"/>
          <w:sz w:val="24"/>
          <w:szCs w:val="24"/>
          <w:lang w:eastAsia="hr-HR"/>
          <w14:ligatures w14:val="none"/>
        </w:rPr>
        <w:t xml:space="preserve"> i</w:t>
      </w:r>
      <w:r w:rsidRPr="00745AD1">
        <w:rPr>
          <w:rFonts w:ascii="Times New Roman" w:eastAsia="Times New Roman" w:hAnsi="Times New Roman" w:cs="Times New Roman"/>
          <w:color w:val="000000" w:themeColor="text1"/>
          <w:sz w:val="24"/>
          <w:szCs w:val="24"/>
          <w:lang w:eastAsia="hr-HR"/>
          <w14:ligatures w14:val="none"/>
        </w:rPr>
        <w:t xml:space="preserve"> državne tajnike Stipu Ž</w:t>
      </w:r>
      <w:r>
        <w:rPr>
          <w:rFonts w:ascii="Times New Roman" w:eastAsia="Times New Roman" w:hAnsi="Times New Roman" w:cs="Times New Roman"/>
          <w:color w:val="000000" w:themeColor="text1"/>
          <w:sz w:val="24"/>
          <w:szCs w:val="24"/>
          <w:lang w:eastAsia="hr-HR"/>
          <w14:ligatures w14:val="none"/>
        </w:rPr>
        <w:t>upana, dr. sc. Davora Zoričića,</w:t>
      </w:r>
      <w:r w:rsidRPr="00745AD1">
        <w:rPr>
          <w:rFonts w:ascii="Times New Roman" w:eastAsia="Times New Roman" w:hAnsi="Times New Roman" w:cs="Times New Roman"/>
          <w:color w:val="000000" w:themeColor="text1"/>
          <w:sz w:val="24"/>
          <w:szCs w:val="24"/>
          <w:lang w:eastAsia="hr-HR"/>
          <w14:ligatures w14:val="none"/>
        </w:rPr>
        <w:t xml:space="preserve"> dr. sc. Terezu Rogić Lugarić</w:t>
      </w:r>
      <w:r>
        <w:rPr>
          <w:rFonts w:ascii="Times New Roman" w:eastAsia="Times New Roman" w:hAnsi="Times New Roman" w:cs="Times New Roman"/>
          <w:color w:val="000000" w:themeColor="text1"/>
          <w:sz w:val="24"/>
          <w:szCs w:val="24"/>
          <w:lang w:eastAsia="hr-HR"/>
          <w14:ligatures w14:val="none"/>
        </w:rPr>
        <w:t>,</w:t>
      </w:r>
      <w:r w:rsidRPr="00745AD1">
        <w:rPr>
          <w:rFonts w:ascii="Times New Roman" w:eastAsia="Times New Roman" w:hAnsi="Times New Roman" w:cs="Times New Roman"/>
          <w:color w:val="000000" w:themeColor="text1"/>
          <w:sz w:val="24"/>
          <w:szCs w:val="24"/>
          <w:lang w:eastAsia="hr-HR"/>
          <w14:ligatures w14:val="none"/>
        </w:rPr>
        <w:t xml:space="preserve"> Gorana Romeka,</w:t>
      </w:r>
      <w:r>
        <w:rPr>
          <w:rFonts w:ascii="Times New Roman" w:eastAsia="Times New Roman" w:hAnsi="Times New Roman" w:cs="Times New Roman"/>
          <w:color w:val="000000" w:themeColor="text1"/>
          <w:sz w:val="24"/>
          <w:szCs w:val="24"/>
          <w:lang w:eastAsia="hr-HR"/>
          <w14:ligatures w14:val="none"/>
        </w:rPr>
        <w:t xml:space="preserve"> Vedrana Špehara i Ivu Milatića</w:t>
      </w:r>
      <w:r w:rsidRPr="00745AD1">
        <w:rPr>
          <w:rFonts w:ascii="Times New Roman" w:eastAsia="Times New Roman" w:hAnsi="Times New Roman" w:cs="Times New Roman"/>
          <w:color w:val="000000" w:themeColor="text1"/>
          <w:sz w:val="24"/>
          <w:szCs w:val="24"/>
          <w:lang w:eastAsia="hr-HR"/>
          <w14:ligatures w14:val="none"/>
        </w:rPr>
        <w:t>.</w:t>
      </w:r>
    </w:p>
    <w:p w14:paraId="4F6E6DD1" w14:textId="77777777" w:rsidR="005D1B54"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5A77CFB4"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p>
    <w:p w14:paraId="41681D75" w14:textId="77777777" w:rsidR="005D1B54" w:rsidRPr="00745AD1" w:rsidRDefault="005D1B54" w:rsidP="005D1B54">
      <w:pPr>
        <w:spacing w:after="0" w:line="240" w:lineRule="auto"/>
        <w:jc w:val="both"/>
        <w:rPr>
          <w:rFonts w:ascii="Times New Roman" w:eastAsia="Times New Roman" w:hAnsi="Times New Roman" w:cs="Times New Roman"/>
          <w:color w:val="000000" w:themeColor="text1"/>
          <w:sz w:val="24"/>
          <w:szCs w:val="24"/>
          <w:lang w:eastAsia="hr-HR"/>
          <w14:ligatures w14:val="none"/>
        </w:rPr>
      </w:pPr>
      <w:r w:rsidRPr="00745AD1">
        <w:rPr>
          <w:rFonts w:ascii="Times New Roman" w:eastAsia="Times New Roman" w:hAnsi="Times New Roman" w:cs="Times New Roman"/>
          <w:color w:val="000000" w:themeColor="text1"/>
          <w:sz w:val="24"/>
          <w:szCs w:val="24"/>
          <w:lang w:eastAsia="hr-HR"/>
          <w14:ligatures w14:val="none"/>
        </w:rPr>
        <w:tab/>
      </w:r>
      <w:r w:rsidRPr="00745AD1">
        <w:rPr>
          <w:rFonts w:ascii="Times New Roman" w:eastAsia="Times New Roman" w:hAnsi="Times New Roman" w:cs="Times New Roman"/>
          <w:color w:val="000000" w:themeColor="text1"/>
          <w:sz w:val="24"/>
          <w:szCs w:val="24"/>
          <w:lang w:eastAsia="hr-HR"/>
          <w14:ligatures w14:val="none"/>
        </w:rPr>
        <w:tab/>
        <w:t>S poštovanjem,</w:t>
      </w:r>
    </w:p>
    <w:p w14:paraId="3F35580F" w14:textId="2962991D" w:rsidR="006E0EDC" w:rsidRPr="006B08A0" w:rsidRDefault="006E0EDC" w:rsidP="00353B38">
      <w:pPr>
        <w:spacing w:before="240" w:after="0" w:line="240" w:lineRule="auto"/>
        <w:jc w:val="both"/>
        <w:rPr>
          <w:rFonts w:ascii="Times New Roman" w:eastAsia="Times New Roman" w:hAnsi="Times New Roman" w:cs="Times New Roman"/>
          <w:sz w:val="24"/>
          <w:szCs w:val="24"/>
          <w:lang w:eastAsia="hr-HR"/>
          <w14:ligatures w14:val="none"/>
        </w:rPr>
      </w:pPr>
    </w:p>
    <w:p w14:paraId="239F78C3" w14:textId="77777777" w:rsidR="006E0EDC" w:rsidRPr="006B08A0" w:rsidRDefault="006E0EDC" w:rsidP="00353B38">
      <w:pPr>
        <w:spacing w:before="240" w:after="0" w:line="240" w:lineRule="auto"/>
        <w:jc w:val="both"/>
        <w:rPr>
          <w:rFonts w:ascii="Times New Roman" w:eastAsia="Times New Roman" w:hAnsi="Times New Roman" w:cs="Times New Roman"/>
          <w:sz w:val="24"/>
          <w:szCs w:val="24"/>
          <w:lang w:eastAsia="hr-HR"/>
          <w14:ligatures w14:val="none"/>
        </w:rPr>
      </w:pPr>
    </w:p>
    <w:p w14:paraId="7B2A3F4F" w14:textId="77777777" w:rsidR="006E0EDC" w:rsidRPr="006B08A0" w:rsidRDefault="006E0EDC" w:rsidP="00353B38">
      <w:pPr>
        <w:spacing w:before="240" w:after="0" w:line="240" w:lineRule="auto"/>
        <w:rPr>
          <w:rFonts w:ascii="Times New Roman" w:eastAsia="Times New Roman" w:hAnsi="Times New Roman" w:cs="Times New Roman"/>
          <w:sz w:val="24"/>
          <w:szCs w:val="24"/>
          <w:lang w:eastAsia="hr-HR"/>
          <w14:ligatures w14:val="none"/>
        </w:rPr>
      </w:pPr>
    </w:p>
    <w:p w14:paraId="5446012D" w14:textId="77777777" w:rsidR="001C21B7" w:rsidRPr="006B08A0" w:rsidRDefault="001C21B7" w:rsidP="00353B38">
      <w:pPr>
        <w:spacing w:before="240" w:after="0" w:line="240" w:lineRule="auto"/>
        <w:ind w:left="5664" w:firstLine="708"/>
        <w:rPr>
          <w:rFonts w:ascii="Times New Roman" w:eastAsia="Times New Roman" w:hAnsi="Times New Roman" w:cs="Times New Roman"/>
          <w:sz w:val="24"/>
          <w:szCs w:val="24"/>
          <w:lang w:eastAsia="hr-HR"/>
          <w14:ligatures w14:val="none"/>
        </w:rPr>
      </w:pPr>
      <w:r w:rsidRPr="006B08A0">
        <w:rPr>
          <w:rFonts w:ascii="Times New Roman" w:eastAsia="Times New Roman" w:hAnsi="Times New Roman" w:cs="Times New Roman"/>
          <w:sz w:val="24"/>
          <w:szCs w:val="24"/>
          <w:lang w:eastAsia="hr-HR"/>
          <w14:ligatures w14:val="none"/>
        </w:rPr>
        <w:t xml:space="preserve">Predsjednik </w:t>
      </w:r>
    </w:p>
    <w:p w14:paraId="1CA7EF1F" w14:textId="77777777" w:rsidR="001C21B7" w:rsidRPr="006B08A0" w:rsidRDefault="001C21B7" w:rsidP="00353B38">
      <w:pPr>
        <w:spacing w:before="240" w:after="0" w:line="240" w:lineRule="auto"/>
        <w:rPr>
          <w:rFonts w:ascii="Times New Roman" w:eastAsia="Times New Roman" w:hAnsi="Times New Roman" w:cs="Times New Roman"/>
          <w:sz w:val="24"/>
          <w:szCs w:val="24"/>
          <w:lang w:eastAsia="hr-HR"/>
          <w14:ligatures w14:val="none"/>
        </w:rPr>
      </w:pPr>
    </w:p>
    <w:p w14:paraId="67D43D71" w14:textId="6F3A5B0F" w:rsidR="001C21B7" w:rsidRPr="006E0EDC" w:rsidRDefault="001C21B7" w:rsidP="00353B38">
      <w:pPr>
        <w:spacing w:before="240" w:after="0" w:line="240" w:lineRule="auto"/>
        <w:ind w:left="4956" w:firstLine="708"/>
        <w:rPr>
          <w:rFonts w:ascii="Times New Roman" w:eastAsia="Times New Roman" w:hAnsi="Times New Roman" w:cs="Times New Roman"/>
          <w:sz w:val="24"/>
          <w:szCs w:val="24"/>
          <w:lang w:eastAsia="hr-HR"/>
          <w14:ligatures w14:val="none"/>
        </w:rPr>
      </w:pPr>
      <w:r w:rsidRPr="006B08A0">
        <w:rPr>
          <w:rFonts w:ascii="Times New Roman" w:eastAsia="Times New Roman" w:hAnsi="Times New Roman" w:cs="Times New Roman"/>
          <w:sz w:val="24"/>
          <w:szCs w:val="24"/>
          <w:lang w:eastAsia="hr-HR"/>
          <w14:ligatures w14:val="none"/>
        </w:rPr>
        <w:t xml:space="preserve">  mr. sc. Andrej Plenković, v. r.</w:t>
      </w:r>
    </w:p>
    <w:p w14:paraId="6D61CB43" w14:textId="77777777" w:rsidR="006E0EDC" w:rsidRDefault="006E0EDC" w:rsidP="00353B38">
      <w:pPr>
        <w:spacing w:before="240"/>
        <w:jc w:val="both"/>
      </w:pPr>
    </w:p>
    <w:sectPr w:rsidR="006E0EDC" w:rsidSect="001D7524">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97455" w16cid:durableId="2B5859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3CCE8" w14:textId="77777777" w:rsidR="00346FA1" w:rsidRDefault="00346FA1" w:rsidP="008E5207">
      <w:pPr>
        <w:spacing w:after="0" w:line="240" w:lineRule="auto"/>
      </w:pPr>
      <w:r>
        <w:separator/>
      </w:r>
    </w:p>
  </w:endnote>
  <w:endnote w:type="continuationSeparator" w:id="0">
    <w:p w14:paraId="72EDF106" w14:textId="77777777" w:rsidR="00346FA1" w:rsidRDefault="00346FA1" w:rsidP="008E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446569"/>
      <w:docPartObj>
        <w:docPartGallery w:val="Page Numbers (Bottom of Page)"/>
        <w:docPartUnique/>
      </w:docPartObj>
    </w:sdtPr>
    <w:sdtEndPr/>
    <w:sdtContent>
      <w:p w14:paraId="3C9FE7B9" w14:textId="2C5FC19A" w:rsidR="008E5207" w:rsidRDefault="008E5207">
        <w:pPr>
          <w:pStyle w:val="Podnoje"/>
          <w:jc w:val="right"/>
        </w:pPr>
        <w:r>
          <w:fldChar w:fldCharType="begin"/>
        </w:r>
        <w:r>
          <w:instrText>PAGE   \* MERGEFORMAT</w:instrText>
        </w:r>
        <w:r>
          <w:fldChar w:fldCharType="separate"/>
        </w:r>
        <w:r w:rsidR="00181C60">
          <w:rPr>
            <w:noProof/>
          </w:rPr>
          <w:t>1</w:t>
        </w:r>
        <w:r>
          <w:fldChar w:fldCharType="end"/>
        </w:r>
      </w:p>
    </w:sdtContent>
  </w:sdt>
  <w:p w14:paraId="0A5DCF88" w14:textId="77777777" w:rsidR="008E5207" w:rsidRDefault="008E520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59DD3" w14:textId="77777777" w:rsidR="00346FA1" w:rsidRDefault="00346FA1" w:rsidP="008E5207">
      <w:pPr>
        <w:spacing w:after="0" w:line="240" w:lineRule="auto"/>
      </w:pPr>
      <w:r>
        <w:separator/>
      </w:r>
    </w:p>
  </w:footnote>
  <w:footnote w:type="continuationSeparator" w:id="0">
    <w:p w14:paraId="48E5FD31" w14:textId="77777777" w:rsidR="00346FA1" w:rsidRDefault="00346FA1" w:rsidP="008E5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671A7"/>
    <w:multiLevelType w:val="hybridMultilevel"/>
    <w:tmpl w:val="3C1A1F4A"/>
    <w:lvl w:ilvl="0" w:tplc="9B9C4D0C">
      <w:start w:val="6"/>
      <w:numFmt w:val="bullet"/>
      <w:lvlText w:val="-"/>
      <w:lvlJc w:val="left"/>
      <w:pPr>
        <w:ind w:left="1800" w:hanging="360"/>
      </w:pPr>
      <w:rPr>
        <w:rFonts w:ascii="Times New Roman" w:eastAsiaTheme="minorHAnsi"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1" w15:restartNumberingAfterBreak="0">
    <w:nsid w:val="54B02ACA"/>
    <w:multiLevelType w:val="hybridMultilevel"/>
    <w:tmpl w:val="2AC06302"/>
    <w:lvl w:ilvl="0" w:tplc="48C883FE">
      <w:start w:val="1"/>
      <w:numFmt w:val="upp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70"/>
    <w:rsid w:val="000479FF"/>
    <w:rsid w:val="00074FAF"/>
    <w:rsid w:val="000A239B"/>
    <w:rsid w:val="000B1A1C"/>
    <w:rsid w:val="000F0433"/>
    <w:rsid w:val="000F581B"/>
    <w:rsid w:val="00160425"/>
    <w:rsid w:val="00181C60"/>
    <w:rsid w:val="00193E59"/>
    <w:rsid w:val="001A670F"/>
    <w:rsid w:val="001C21B7"/>
    <w:rsid w:val="001D7524"/>
    <w:rsid w:val="001E3B2D"/>
    <w:rsid w:val="002736EF"/>
    <w:rsid w:val="002A1204"/>
    <w:rsid w:val="002A73B5"/>
    <w:rsid w:val="002B27EC"/>
    <w:rsid w:val="002D120B"/>
    <w:rsid w:val="00307AD5"/>
    <w:rsid w:val="00346FA1"/>
    <w:rsid w:val="00352C1A"/>
    <w:rsid w:val="00353B38"/>
    <w:rsid w:val="00356106"/>
    <w:rsid w:val="003945B7"/>
    <w:rsid w:val="003D478E"/>
    <w:rsid w:val="003D4A0F"/>
    <w:rsid w:val="003F04C2"/>
    <w:rsid w:val="0040091E"/>
    <w:rsid w:val="004466BF"/>
    <w:rsid w:val="00446770"/>
    <w:rsid w:val="004506CC"/>
    <w:rsid w:val="004A7756"/>
    <w:rsid w:val="004B15FB"/>
    <w:rsid w:val="004E16F1"/>
    <w:rsid w:val="00505EC9"/>
    <w:rsid w:val="00507A4E"/>
    <w:rsid w:val="00520A36"/>
    <w:rsid w:val="0053257F"/>
    <w:rsid w:val="00540A38"/>
    <w:rsid w:val="00560139"/>
    <w:rsid w:val="0057480F"/>
    <w:rsid w:val="005A7689"/>
    <w:rsid w:val="005D1B54"/>
    <w:rsid w:val="005D7A49"/>
    <w:rsid w:val="00672C9D"/>
    <w:rsid w:val="006B08A0"/>
    <w:rsid w:val="006E0EDC"/>
    <w:rsid w:val="007372D1"/>
    <w:rsid w:val="00755D75"/>
    <w:rsid w:val="0075716F"/>
    <w:rsid w:val="00766A07"/>
    <w:rsid w:val="007D32B9"/>
    <w:rsid w:val="00894709"/>
    <w:rsid w:val="008E5207"/>
    <w:rsid w:val="00972AD0"/>
    <w:rsid w:val="009865F2"/>
    <w:rsid w:val="009A521F"/>
    <w:rsid w:val="009A6A77"/>
    <w:rsid w:val="009C5255"/>
    <w:rsid w:val="00A55845"/>
    <w:rsid w:val="00A80BB6"/>
    <w:rsid w:val="00AA7BF9"/>
    <w:rsid w:val="00AD0A8F"/>
    <w:rsid w:val="00AE4567"/>
    <w:rsid w:val="00B36621"/>
    <w:rsid w:val="00B569D0"/>
    <w:rsid w:val="00B61D75"/>
    <w:rsid w:val="00B816F2"/>
    <w:rsid w:val="00BD0712"/>
    <w:rsid w:val="00BD0FCF"/>
    <w:rsid w:val="00BD15DE"/>
    <w:rsid w:val="00BE4B86"/>
    <w:rsid w:val="00BE6719"/>
    <w:rsid w:val="00C3396C"/>
    <w:rsid w:val="00C41EAF"/>
    <w:rsid w:val="00C506EC"/>
    <w:rsid w:val="00C7148A"/>
    <w:rsid w:val="00C7299C"/>
    <w:rsid w:val="00C85E66"/>
    <w:rsid w:val="00CA3DAA"/>
    <w:rsid w:val="00CA4A7F"/>
    <w:rsid w:val="00CA73A2"/>
    <w:rsid w:val="00CD2A15"/>
    <w:rsid w:val="00CE24FB"/>
    <w:rsid w:val="00CE3E75"/>
    <w:rsid w:val="00D25596"/>
    <w:rsid w:val="00D407D5"/>
    <w:rsid w:val="00D41B56"/>
    <w:rsid w:val="00D6462A"/>
    <w:rsid w:val="00E21844"/>
    <w:rsid w:val="00E53358"/>
    <w:rsid w:val="00EA7A7C"/>
    <w:rsid w:val="00EB0706"/>
    <w:rsid w:val="00EB3012"/>
    <w:rsid w:val="00EC35F9"/>
    <w:rsid w:val="00EE5523"/>
    <w:rsid w:val="00EF7745"/>
    <w:rsid w:val="00F10669"/>
    <w:rsid w:val="00F311AC"/>
    <w:rsid w:val="00F4272E"/>
    <w:rsid w:val="00F728DB"/>
    <w:rsid w:val="00F85B29"/>
    <w:rsid w:val="00FA4727"/>
    <w:rsid w:val="00FD1690"/>
    <w:rsid w:val="00FD45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EBBA"/>
  <w15:chartTrackingRefBased/>
  <w15:docId w15:val="{EDB3963F-57E2-4741-8FE0-B1FFA797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446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46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4677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4677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4677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4677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4677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4677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4677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677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4677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4677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4677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4677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4677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677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677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6770"/>
    <w:rPr>
      <w:rFonts w:eastAsiaTheme="majorEastAsia" w:cstheme="majorBidi"/>
      <w:color w:val="272727" w:themeColor="text1" w:themeTint="D8"/>
    </w:rPr>
  </w:style>
  <w:style w:type="paragraph" w:styleId="Naslov">
    <w:name w:val="Title"/>
    <w:basedOn w:val="Normal"/>
    <w:next w:val="Normal"/>
    <w:link w:val="NaslovChar"/>
    <w:uiPriority w:val="10"/>
    <w:qFormat/>
    <w:rsid w:val="00446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677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677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677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6770"/>
    <w:pPr>
      <w:spacing w:before="160"/>
      <w:jc w:val="center"/>
    </w:pPr>
    <w:rPr>
      <w:i/>
      <w:iCs/>
      <w:color w:val="404040" w:themeColor="text1" w:themeTint="BF"/>
    </w:rPr>
  </w:style>
  <w:style w:type="character" w:customStyle="1" w:styleId="CitatChar">
    <w:name w:val="Citat Char"/>
    <w:basedOn w:val="Zadanifontodlomka"/>
    <w:link w:val="Citat"/>
    <w:uiPriority w:val="29"/>
    <w:rsid w:val="00446770"/>
    <w:rPr>
      <w:i/>
      <w:iCs/>
      <w:color w:val="404040" w:themeColor="text1" w:themeTint="BF"/>
    </w:rPr>
  </w:style>
  <w:style w:type="paragraph" w:styleId="Odlomakpopisa">
    <w:name w:val="List Paragraph"/>
    <w:basedOn w:val="Normal"/>
    <w:uiPriority w:val="34"/>
    <w:qFormat/>
    <w:rsid w:val="00446770"/>
    <w:pPr>
      <w:ind w:left="720"/>
      <w:contextualSpacing/>
    </w:pPr>
  </w:style>
  <w:style w:type="character" w:styleId="Jakoisticanje">
    <w:name w:val="Intense Emphasis"/>
    <w:basedOn w:val="Zadanifontodlomka"/>
    <w:uiPriority w:val="21"/>
    <w:qFormat/>
    <w:rsid w:val="00446770"/>
    <w:rPr>
      <w:i/>
      <w:iCs/>
      <w:color w:val="0F4761" w:themeColor="accent1" w:themeShade="BF"/>
    </w:rPr>
  </w:style>
  <w:style w:type="paragraph" w:styleId="Naglaencitat">
    <w:name w:val="Intense Quote"/>
    <w:basedOn w:val="Normal"/>
    <w:next w:val="Normal"/>
    <w:link w:val="NaglaencitatChar"/>
    <w:uiPriority w:val="30"/>
    <w:qFormat/>
    <w:rsid w:val="00446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46770"/>
    <w:rPr>
      <w:i/>
      <w:iCs/>
      <w:color w:val="0F4761" w:themeColor="accent1" w:themeShade="BF"/>
    </w:rPr>
  </w:style>
  <w:style w:type="character" w:styleId="Istaknutareferenca">
    <w:name w:val="Intense Reference"/>
    <w:basedOn w:val="Zadanifontodlomka"/>
    <w:uiPriority w:val="32"/>
    <w:qFormat/>
    <w:rsid w:val="00446770"/>
    <w:rPr>
      <w:b/>
      <w:bCs/>
      <w:smallCaps/>
      <w:color w:val="0F4761" w:themeColor="accent1" w:themeShade="BF"/>
      <w:spacing w:val="5"/>
    </w:rPr>
  </w:style>
  <w:style w:type="paragraph" w:styleId="Zaglavlje">
    <w:name w:val="header"/>
    <w:basedOn w:val="Normal"/>
    <w:link w:val="ZaglavljeChar"/>
    <w:uiPriority w:val="99"/>
    <w:unhideWhenUsed/>
    <w:rsid w:val="008E5207"/>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8E5207"/>
  </w:style>
  <w:style w:type="paragraph" w:styleId="Podnoje">
    <w:name w:val="footer"/>
    <w:basedOn w:val="Normal"/>
    <w:link w:val="PodnojeChar"/>
    <w:uiPriority w:val="99"/>
    <w:unhideWhenUsed/>
    <w:rsid w:val="008E5207"/>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8E5207"/>
  </w:style>
  <w:style w:type="table" w:styleId="Reetkatablice">
    <w:name w:val="Table Grid"/>
    <w:basedOn w:val="Obinatablica"/>
    <w:uiPriority w:val="39"/>
    <w:rsid w:val="006E0EDC"/>
    <w:pPr>
      <w:spacing w:after="0" w:line="240" w:lineRule="auto"/>
    </w:pPr>
    <w:rPr>
      <w:rFonts w:ascii="Times New Roman" w:eastAsia="Times New Roman" w:hAnsi="Times New Roman" w:cs="Times New Roman"/>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E0EDC"/>
    <w:rPr>
      <w:color w:val="0000FF"/>
      <w:u w:val="single"/>
    </w:rPr>
  </w:style>
  <w:style w:type="paragraph" w:customStyle="1" w:styleId="Tekstfusnote1">
    <w:name w:val="Tekst fusnote1"/>
    <w:basedOn w:val="Normal"/>
    <w:next w:val="Tekstfusnote"/>
    <w:link w:val="TekstfusnoteChar"/>
    <w:uiPriority w:val="99"/>
    <w:unhideWhenUsed/>
    <w:rsid w:val="006E0EDC"/>
    <w:pPr>
      <w:spacing w:after="0" w:line="240" w:lineRule="auto"/>
    </w:pPr>
    <w:rPr>
      <w:rFonts w:ascii="Calibri" w:eastAsia="Calibri" w:hAnsi="Calibri" w:cs="Times New Roman"/>
    </w:rPr>
  </w:style>
  <w:style w:type="character" w:customStyle="1" w:styleId="TekstfusnoteChar">
    <w:name w:val="Tekst fusnote Char"/>
    <w:basedOn w:val="Zadanifontodlomka"/>
    <w:link w:val="Tekstfusnote1"/>
    <w:uiPriority w:val="99"/>
    <w:rsid w:val="006E0EDC"/>
    <w:rPr>
      <w:rFonts w:ascii="Calibri" w:eastAsia="Calibri" w:hAnsi="Calibri" w:cs="Times New Roman"/>
      <w:lang w:eastAsia="en-US"/>
    </w:rPr>
  </w:style>
  <w:style w:type="character" w:styleId="Referencafusnote">
    <w:name w:val="footnote reference"/>
    <w:basedOn w:val="Zadanifontodlomka"/>
    <w:uiPriority w:val="99"/>
    <w:unhideWhenUsed/>
    <w:rsid w:val="006E0EDC"/>
    <w:rPr>
      <w:vertAlign w:val="superscript"/>
    </w:rPr>
  </w:style>
  <w:style w:type="character" w:styleId="Referencakomentara">
    <w:name w:val="annotation reference"/>
    <w:basedOn w:val="Zadanifontodlomka"/>
    <w:rsid w:val="006E0EDC"/>
    <w:rPr>
      <w:sz w:val="16"/>
      <w:szCs w:val="16"/>
    </w:rPr>
  </w:style>
  <w:style w:type="paragraph" w:styleId="Tekstkomentara">
    <w:name w:val="annotation text"/>
    <w:basedOn w:val="Normal"/>
    <w:link w:val="TekstkomentaraChar"/>
    <w:rsid w:val="006E0ED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rsid w:val="006E0EDC"/>
    <w:rPr>
      <w:rFonts w:ascii="Times New Roman" w:eastAsia="Times New Roman" w:hAnsi="Times New Roman" w:cs="Times New Roman"/>
      <w:sz w:val="20"/>
      <w:szCs w:val="20"/>
      <w:lang w:eastAsia="hr-HR"/>
      <w14:ligatures w14:val="none"/>
    </w:rPr>
  </w:style>
  <w:style w:type="paragraph" w:styleId="Tekstfusnote">
    <w:name w:val="footnote text"/>
    <w:basedOn w:val="Normal"/>
    <w:link w:val="TekstfusnoteChar1"/>
    <w:uiPriority w:val="99"/>
    <w:semiHidden/>
    <w:unhideWhenUsed/>
    <w:rsid w:val="006E0EDC"/>
    <w:pPr>
      <w:spacing w:after="0" w:line="240" w:lineRule="auto"/>
    </w:pPr>
    <w:rPr>
      <w:sz w:val="20"/>
      <w:szCs w:val="20"/>
    </w:rPr>
  </w:style>
  <w:style w:type="character" w:customStyle="1" w:styleId="TekstfusnoteChar1">
    <w:name w:val="Tekst fusnote Char1"/>
    <w:basedOn w:val="Zadanifontodlomka"/>
    <w:link w:val="Tekstfusnote"/>
    <w:uiPriority w:val="99"/>
    <w:semiHidden/>
    <w:rsid w:val="006E0EDC"/>
    <w:rPr>
      <w:sz w:val="20"/>
      <w:szCs w:val="20"/>
    </w:rPr>
  </w:style>
  <w:style w:type="paragraph" w:styleId="Tekstbalonia">
    <w:name w:val="Balloon Text"/>
    <w:basedOn w:val="Normal"/>
    <w:link w:val="TekstbaloniaChar"/>
    <w:uiPriority w:val="99"/>
    <w:semiHidden/>
    <w:unhideWhenUsed/>
    <w:rsid w:val="007571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5716F"/>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560139"/>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560139"/>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560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17916</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Jukić</dc:creator>
  <cp:keywords/>
  <dc:description/>
  <cp:lastModifiedBy>Silvija Bartolec</cp:lastModifiedBy>
  <cp:revision>2</cp:revision>
  <cp:lastPrinted>2025-02-12T12:23:00Z</cp:lastPrinted>
  <dcterms:created xsi:type="dcterms:W3CDTF">2025-02-13T18:53:00Z</dcterms:created>
  <dcterms:modified xsi:type="dcterms:W3CDTF">2025-02-13T18:53:00Z</dcterms:modified>
</cp:coreProperties>
</file>