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2AB" w:rsidRPr="00FC3464" w:rsidRDefault="00BE2C61" w:rsidP="0059156D">
      <w:pPr>
        <w:jc w:val="center"/>
      </w:pPr>
      <w:r w:rsidRPr="00FC3464">
        <w:rPr>
          <w:noProof/>
        </w:rPr>
        <w:drawing>
          <wp:inline distT="0" distB="0" distL="0" distR="0" wp14:anchorId="2C79F475" wp14:editId="5DA3EF30">
            <wp:extent cx="50292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02AB" w:rsidRPr="00FC3464">
        <w:fldChar w:fldCharType="begin"/>
      </w:r>
      <w:r w:rsidR="007802AB" w:rsidRPr="00FC3464">
        <w:instrText xml:space="preserve"> INCLUDEPICTURE "http://www.inet.hr/~box/images/grb-rh.gif" \* MERGEFORMATINET </w:instrText>
      </w:r>
      <w:r w:rsidR="007802AB" w:rsidRPr="00FC3464">
        <w:fldChar w:fldCharType="end"/>
      </w:r>
    </w:p>
    <w:p w:rsidR="007802AB" w:rsidRPr="00FC3464" w:rsidRDefault="007802AB" w:rsidP="0059156D">
      <w:pPr>
        <w:jc w:val="center"/>
      </w:pPr>
      <w:r w:rsidRPr="00FC3464">
        <w:t>VLADA REPUBLIKE HRVATSKE</w:t>
      </w:r>
    </w:p>
    <w:p w:rsidR="007802AB" w:rsidRPr="00FC3464" w:rsidRDefault="007802AB" w:rsidP="0059156D"/>
    <w:p w:rsidR="005D08E0" w:rsidRPr="00FC3464" w:rsidRDefault="005D08E0" w:rsidP="0059156D">
      <w:pPr>
        <w:jc w:val="right"/>
      </w:pPr>
    </w:p>
    <w:p w:rsidR="005D08E0" w:rsidRPr="00FC3464" w:rsidRDefault="005D08E0" w:rsidP="0059156D">
      <w:pPr>
        <w:jc w:val="right"/>
      </w:pPr>
    </w:p>
    <w:p w:rsidR="005D08E0" w:rsidRPr="00FC3464" w:rsidRDefault="005D08E0" w:rsidP="0059156D">
      <w:pPr>
        <w:jc w:val="right"/>
      </w:pPr>
    </w:p>
    <w:p w:rsidR="0023349A" w:rsidRPr="00FC3464" w:rsidRDefault="0023349A" w:rsidP="0059156D">
      <w:pPr>
        <w:jc w:val="right"/>
      </w:pPr>
    </w:p>
    <w:p w:rsidR="0023349A" w:rsidRPr="00FC3464" w:rsidRDefault="0023349A" w:rsidP="0059156D">
      <w:pPr>
        <w:jc w:val="right"/>
      </w:pPr>
    </w:p>
    <w:p w:rsidR="007802AB" w:rsidRPr="00FC3464" w:rsidRDefault="005D08E0" w:rsidP="0059156D">
      <w:pPr>
        <w:jc w:val="right"/>
      </w:pPr>
      <w:r w:rsidRPr="00FC3464">
        <w:t xml:space="preserve">Zagreb, </w:t>
      </w:r>
      <w:r w:rsidR="007E5B75">
        <w:t xml:space="preserve">2. ožujka </w:t>
      </w:r>
      <w:r w:rsidR="007802AB" w:rsidRPr="00FC3464">
        <w:t>202</w:t>
      </w:r>
      <w:r w:rsidR="0029483B" w:rsidRPr="00FC3464">
        <w:t>6</w:t>
      </w:r>
      <w:r w:rsidR="007802AB" w:rsidRPr="00FC3464">
        <w:t>.</w:t>
      </w:r>
    </w:p>
    <w:p w:rsidR="005D08E0" w:rsidRPr="00FC3464" w:rsidRDefault="005D08E0" w:rsidP="0059156D">
      <w:pPr>
        <w:jc w:val="right"/>
      </w:pPr>
    </w:p>
    <w:p w:rsidR="005D08E0" w:rsidRPr="00FC3464" w:rsidRDefault="005D08E0" w:rsidP="0059156D">
      <w:pPr>
        <w:jc w:val="right"/>
      </w:pPr>
    </w:p>
    <w:p w:rsidR="005D08E0" w:rsidRPr="00FC3464" w:rsidRDefault="005D08E0" w:rsidP="0059156D">
      <w:pPr>
        <w:jc w:val="right"/>
      </w:pPr>
    </w:p>
    <w:p w:rsidR="005D08E0" w:rsidRPr="00FC3464" w:rsidRDefault="005D08E0" w:rsidP="0059156D">
      <w:pPr>
        <w:jc w:val="right"/>
      </w:pPr>
    </w:p>
    <w:p w:rsidR="005D08E0" w:rsidRPr="00FC3464" w:rsidRDefault="005D08E0" w:rsidP="0059156D">
      <w:pPr>
        <w:jc w:val="right"/>
      </w:pPr>
    </w:p>
    <w:p w:rsidR="005D08E0" w:rsidRPr="00FC3464" w:rsidRDefault="005D08E0" w:rsidP="0059156D">
      <w:pPr>
        <w:jc w:val="right"/>
      </w:pPr>
    </w:p>
    <w:p w:rsidR="005D08E0" w:rsidRPr="00FC3464" w:rsidRDefault="005D08E0" w:rsidP="0059156D">
      <w:pPr>
        <w:jc w:val="right"/>
      </w:pPr>
    </w:p>
    <w:p w:rsidR="005D08E0" w:rsidRPr="00FC3464" w:rsidRDefault="005D08E0" w:rsidP="0059156D">
      <w:pPr>
        <w:jc w:val="right"/>
      </w:pPr>
    </w:p>
    <w:p w:rsidR="005D08E0" w:rsidRPr="00FC3464" w:rsidRDefault="005D08E0" w:rsidP="0059156D">
      <w:pPr>
        <w:jc w:val="right"/>
      </w:pPr>
    </w:p>
    <w:p w:rsidR="005D08E0" w:rsidRPr="00FC3464" w:rsidRDefault="005D08E0" w:rsidP="0059156D">
      <w:pPr>
        <w:jc w:val="right"/>
      </w:pPr>
    </w:p>
    <w:p w:rsidR="005D08E0" w:rsidRPr="00FC3464" w:rsidRDefault="005D08E0" w:rsidP="0059156D">
      <w:pPr>
        <w:jc w:val="right"/>
      </w:pPr>
    </w:p>
    <w:p w:rsidR="005D08E0" w:rsidRPr="00FC3464" w:rsidRDefault="005D08E0" w:rsidP="0059156D">
      <w:pPr>
        <w:jc w:val="right"/>
      </w:pPr>
    </w:p>
    <w:p w:rsidR="007802AB" w:rsidRPr="00FC3464" w:rsidRDefault="007802AB" w:rsidP="0059156D">
      <w:r w:rsidRPr="00FC3464">
        <w:t>__________________________________________________________________________</w:t>
      </w:r>
      <w:r w:rsidR="0029483B" w:rsidRPr="00FC3464">
        <w:t>_</w:t>
      </w:r>
    </w:p>
    <w:p w:rsidR="007802AB" w:rsidRPr="00FC3464" w:rsidRDefault="007802AB" w:rsidP="0059156D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7802AB" w:rsidRPr="00FC3464" w:rsidSect="007802AB">
          <w:footerReference w:type="default" r:id="rId14"/>
          <w:headerReference w:type="first" r:id="rId15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7802AB" w:rsidRPr="00FC3464" w:rsidTr="000100B1">
        <w:tc>
          <w:tcPr>
            <w:tcW w:w="1951" w:type="dxa"/>
          </w:tcPr>
          <w:p w:rsidR="007802AB" w:rsidRPr="00FC3464" w:rsidRDefault="007802AB" w:rsidP="0059156D">
            <w:pPr>
              <w:jc w:val="right"/>
            </w:pPr>
            <w:r w:rsidRPr="00FC3464">
              <w:rPr>
                <w:b/>
                <w:smallCaps/>
              </w:rPr>
              <w:t>Predlagatelj</w:t>
            </w:r>
            <w:r w:rsidRPr="00FC3464">
              <w:rPr>
                <w:b/>
              </w:rPr>
              <w:t>:</w:t>
            </w:r>
          </w:p>
        </w:tc>
        <w:tc>
          <w:tcPr>
            <w:tcW w:w="7229" w:type="dxa"/>
          </w:tcPr>
          <w:p w:rsidR="007802AB" w:rsidRPr="00FC3464" w:rsidRDefault="007802AB" w:rsidP="0059156D">
            <w:r w:rsidRPr="00FC3464">
              <w:t>Ministarstvo znanosti, obrazovanja i mladih</w:t>
            </w:r>
          </w:p>
          <w:p w:rsidR="005D08E0" w:rsidRPr="00FC3464" w:rsidRDefault="005D08E0" w:rsidP="0059156D"/>
        </w:tc>
      </w:tr>
    </w:tbl>
    <w:p w:rsidR="007802AB" w:rsidRPr="00FC3464" w:rsidRDefault="007802AB" w:rsidP="0059156D">
      <w:r w:rsidRPr="00FC3464">
        <w:t>__________________________________________________________________________</w:t>
      </w:r>
      <w:r w:rsidR="0029483B" w:rsidRPr="00FC3464">
        <w:t>_</w:t>
      </w:r>
    </w:p>
    <w:p w:rsidR="007802AB" w:rsidRPr="00FC3464" w:rsidRDefault="007802AB" w:rsidP="0059156D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7802AB" w:rsidRPr="00FC3464" w:rsidSect="000100B1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7802AB" w:rsidRPr="00FC3464" w:rsidTr="000100B1">
        <w:tc>
          <w:tcPr>
            <w:tcW w:w="1951" w:type="dxa"/>
          </w:tcPr>
          <w:p w:rsidR="007802AB" w:rsidRPr="00FC3464" w:rsidRDefault="007802AB" w:rsidP="0059156D">
            <w:pPr>
              <w:jc w:val="right"/>
            </w:pPr>
            <w:r w:rsidRPr="00FC3464">
              <w:rPr>
                <w:b/>
                <w:smallCaps/>
              </w:rPr>
              <w:t>Predmet</w:t>
            </w:r>
            <w:r w:rsidRPr="00FC3464">
              <w:rPr>
                <w:b/>
              </w:rPr>
              <w:t>:</w:t>
            </w:r>
          </w:p>
        </w:tc>
        <w:tc>
          <w:tcPr>
            <w:tcW w:w="7229" w:type="dxa"/>
          </w:tcPr>
          <w:p w:rsidR="007802AB" w:rsidRPr="00FC3464" w:rsidRDefault="00C67087" w:rsidP="00BC6E70">
            <w:pPr>
              <w:jc w:val="both"/>
            </w:pPr>
            <w:r w:rsidRPr="00FC3464">
              <w:t xml:space="preserve">Prijedlog zakona o </w:t>
            </w:r>
            <w:r w:rsidR="0029483B" w:rsidRPr="00FC3464">
              <w:t>digitalnoj zaštiti djece (predlagatelj: Klub za</w:t>
            </w:r>
            <w:r w:rsidR="005F1B50" w:rsidRPr="00FC3464">
              <w:t>stup</w:t>
            </w:r>
            <w:r w:rsidR="0029483B" w:rsidRPr="00FC3464">
              <w:t>nika Možemo! u Hrvatskome saboru)</w:t>
            </w:r>
            <w:r w:rsidR="007802AB" w:rsidRPr="00FC3464">
              <w:t xml:space="preserve"> - davanje mišljenja Hrvatskome saboru</w:t>
            </w:r>
          </w:p>
        </w:tc>
      </w:tr>
    </w:tbl>
    <w:p w:rsidR="007802AB" w:rsidRPr="00FC3464" w:rsidRDefault="007802AB" w:rsidP="0059156D">
      <w:pPr>
        <w:tabs>
          <w:tab w:val="left" w:pos="1843"/>
        </w:tabs>
        <w:ind w:left="1843" w:hanging="1843"/>
      </w:pPr>
      <w:r w:rsidRPr="00FC3464">
        <w:t>__________________________________________________________________________</w:t>
      </w:r>
      <w:r w:rsidR="0029483B" w:rsidRPr="00FC3464">
        <w:t>_</w:t>
      </w:r>
    </w:p>
    <w:p w:rsidR="007802AB" w:rsidRPr="00FC3464" w:rsidRDefault="007802AB" w:rsidP="0059156D"/>
    <w:p w:rsidR="007802AB" w:rsidRPr="00FC3464" w:rsidRDefault="007802AB" w:rsidP="0059156D"/>
    <w:p w:rsidR="007802AB" w:rsidRPr="00FC3464" w:rsidRDefault="007802AB" w:rsidP="0059156D"/>
    <w:p w:rsidR="007802AB" w:rsidRPr="00FC3464" w:rsidRDefault="007802AB" w:rsidP="0059156D"/>
    <w:p w:rsidR="007802AB" w:rsidRPr="00FC3464" w:rsidRDefault="007802AB" w:rsidP="0059156D"/>
    <w:p w:rsidR="007802AB" w:rsidRPr="00FC3464" w:rsidRDefault="007802AB" w:rsidP="0059156D"/>
    <w:p w:rsidR="007802AB" w:rsidRPr="00FC3464" w:rsidRDefault="007802AB" w:rsidP="0059156D">
      <w:pPr>
        <w:sectPr w:rsidR="007802AB" w:rsidRPr="00FC3464" w:rsidSect="000100B1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AA20C9" w:rsidRPr="00C772BA" w:rsidRDefault="00AA20C9" w:rsidP="00C772BA">
      <w:pPr>
        <w:ind w:left="7080" w:firstLine="708"/>
        <w:rPr>
          <w:b/>
        </w:rPr>
      </w:pPr>
      <w:r w:rsidRPr="00C772BA">
        <w:rPr>
          <w:b/>
        </w:rPr>
        <w:lastRenderedPageBreak/>
        <w:t>Prijedlog</w:t>
      </w:r>
    </w:p>
    <w:p w:rsidR="00AA20C9" w:rsidRPr="00C772BA" w:rsidRDefault="00AA20C9" w:rsidP="00C772BA"/>
    <w:p w:rsidR="007802AB" w:rsidRDefault="007802AB" w:rsidP="00C772BA"/>
    <w:p w:rsidR="00C772BA" w:rsidRPr="00C772BA" w:rsidRDefault="00C772BA" w:rsidP="00C772BA"/>
    <w:p w:rsidR="00BC6E70" w:rsidRPr="00C772BA" w:rsidRDefault="00BC6E70" w:rsidP="00C772BA"/>
    <w:p w:rsidR="00BC6E70" w:rsidRPr="00C772BA" w:rsidRDefault="00BC6E70" w:rsidP="00C772BA"/>
    <w:p w:rsidR="00F82099" w:rsidRPr="00C772BA" w:rsidRDefault="00F82099" w:rsidP="00C772BA">
      <w:r w:rsidRPr="00C772BA">
        <w:t>KLASA:</w:t>
      </w:r>
    </w:p>
    <w:p w:rsidR="00F82099" w:rsidRPr="00C772BA" w:rsidRDefault="00F82099" w:rsidP="00C772BA">
      <w:r w:rsidRPr="00C772BA">
        <w:t>URBROJ:</w:t>
      </w:r>
    </w:p>
    <w:p w:rsidR="00F82099" w:rsidRPr="00C772BA" w:rsidRDefault="00F82099" w:rsidP="00C772BA"/>
    <w:p w:rsidR="000C073B" w:rsidRPr="00C772BA" w:rsidRDefault="00F82099" w:rsidP="00C772BA">
      <w:r w:rsidRPr="00C772BA">
        <w:t>Zagreb,</w:t>
      </w:r>
    </w:p>
    <w:p w:rsidR="00F82099" w:rsidRPr="00C772BA" w:rsidRDefault="00F82099" w:rsidP="00C772BA">
      <w:pPr>
        <w:ind w:left="4253"/>
        <w:jc w:val="both"/>
        <w:rPr>
          <w:b/>
        </w:rPr>
      </w:pPr>
    </w:p>
    <w:p w:rsidR="00BC6E70" w:rsidRPr="00C772BA" w:rsidRDefault="00BC6E70" w:rsidP="00C772BA">
      <w:pPr>
        <w:ind w:left="4253"/>
        <w:jc w:val="both"/>
        <w:rPr>
          <w:b/>
        </w:rPr>
      </w:pPr>
    </w:p>
    <w:p w:rsidR="00C772BA" w:rsidRPr="00C772BA" w:rsidRDefault="00C772BA" w:rsidP="00C772BA">
      <w:pPr>
        <w:ind w:left="4253"/>
        <w:jc w:val="both"/>
        <w:rPr>
          <w:b/>
        </w:rPr>
      </w:pPr>
    </w:p>
    <w:p w:rsidR="00BC6E70" w:rsidRPr="00C772BA" w:rsidRDefault="00BC6E70" w:rsidP="00C772BA">
      <w:pPr>
        <w:ind w:left="4253"/>
        <w:jc w:val="both"/>
        <w:rPr>
          <w:b/>
        </w:rPr>
      </w:pPr>
    </w:p>
    <w:p w:rsidR="00F82099" w:rsidRPr="00C772BA" w:rsidRDefault="00F82099" w:rsidP="00C772BA">
      <w:pPr>
        <w:ind w:left="4253"/>
        <w:jc w:val="both"/>
        <w:rPr>
          <w:b/>
        </w:rPr>
      </w:pPr>
      <w:r w:rsidRPr="00C772BA">
        <w:rPr>
          <w:b/>
        </w:rPr>
        <w:t>PREDSJEDNIKU HRVATSKOGA SABORA</w:t>
      </w:r>
    </w:p>
    <w:p w:rsidR="00F82099" w:rsidRPr="00C772BA" w:rsidRDefault="00F82099" w:rsidP="00C772BA">
      <w:pPr>
        <w:ind w:left="4253"/>
        <w:jc w:val="both"/>
        <w:rPr>
          <w:b/>
        </w:rPr>
      </w:pPr>
    </w:p>
    <w:p w:rsidR="00F82099" w:rsidRPr="00C772BA" w:rsidRDefault="00F82099" w:rsidP="00C772BA">
      <w:pPr>
        <w:ind w:left="4253"/>
        <w:jc w:val="both"/>
        <w:rPr>
          <w:b/>
        </w:rPr>
      </w:pPr>
    </w:p>
    <w:p w:rsidR="00C772BA" w:rsidRPr="00C772BA" w:rsidRDefault="00C772BA" w:rsidP="00C772BA">
      <w:pPr>
        <w:ind w:left="4253"/>
        <w:jc w:val="both"/>
        <w:rPr>
          <w:b/>
        </w:rPr>
      </w:pPr>
    </w:p>
    <w:p w:rsidR="00F82099" w:rsidRPr="00C772BA" w:rsidRDefault="00F82099" w:rsidP="00C772BA">
      <w:pPr>
        <w:ind w:left="4253"/>
        <w:jc w:val="both"/>
        <w:rPr>
          <w:b/>
        </w:rPr>
      </w:pPr>
    </w:p>
    <w:p w:rsidR="00C67087" w:rsidRPr="00C772BA" w:rsidRDefault="00F82099" w:rsidP="00C772BA">
      <w:pPr>
        <w:ind w:left="1418" w:hanging="1418"/>
        <w:jc w:val="both"/>
      </w:pPr>
      <w:r w:rsidRPr="00C772BA">
        <w:t>PREDMET:</w:t>
      </w:r>
      <w:r w:rsidRPr="00C772BA">
        <w:tab/>
      </w:r>
      <w:r w:rsidR="0029483B" w:rsidRPr="00C772BA">
        <w:t>Prijedlog zakona o digitalnoj zaštiti djece (predlagatelj: Klub zastupnika Možemo! u Hrvatskome saboru) - mišljenj</w:t>
      </w:r>
      <w:r w:rsidR="00BC6E70" w:rsidRPr="00C772BA">
        <w:t>e</w:t>
      </w:r>
      <w:r w:rsidR="0029483B" w:rsidRPr="00C772BA">
        <w:t xml:space="preserve"> </w:t>
      </w:r>
      <w:r w:rsidR="00BC6E70" w:rsidRPr="00C772BA">
        <w:t>Vlade</w:t>
      </w:r>
    </w:p>
    <w:p w:rsidR="00C67087" w:rsidRPr="00C772BA" w:rsidRDefault="00C67087" w:rsidP="00C772BA">
      <w:pPr>
        <w:ind w:left="1418" w:hanging="1418"/>
        <w:jc w:val="both"/>
      </w:pPr>
    </w:p>
    <w:p w:rsidR="00F82099" w:rsidRPr="00C772BA" w:rsidRDefault="00F82099" w:rsidP="00C772BA">
      <w:pPr>
        <w:ind w:left="1418" w:hanging="1418"/>
        <w:jc w:val="both"/>
      </w:pPr>
      <w:r w:rsidRPr="00C772BA">
        <w:t>Veza:</w:t>
      </w:r>
      <w:r w:rsidRPr="00C772BA">
        <w:tab/>
        <w:t>Pismo Hrvatskoga sabora, KLASA</w:t>
      </w:r>
      <w:r w:rsidR="004E24CD" w:rsidRPr="00C772BA">
        <w:t xml:space="preserve">: </w:t>
      </w:r>
      <w:r w:rsidR="00506471" w:rsidRPr="00C772BA">
        <w:t>651-01/25-01/1</w:t>
      </w:r>
      <w:r w:rsidR="004E24CD" w:rsidRPr="00C772BA">
        <w:t xml:space="preserve">, URBROJ: </w:t>
      </w:r>
      <w:r w:rsidR="00506471" w:rsidRPr="00C772BA">
        <w:t>65-25-3</w:t>
      </w:r>
      <w:r w:rsidRPr="00C772BA">
        <w:t xml:space="preserve">, od </w:t>
      </w:r>
      <w:r w:rsidR="00257595" w:rsidRPr="00C772BA">
        <w:br/>
      </w:r>
      <w:r w:rsidR="00506471" w:rsidRPr="00C772BA">
        <w:t>28</w:t>
      </w:r>
      <w:r w:rsidR="00C67087" w:rsidRPr="00C772BA">
        <w:t xml:space="preserve">. </w:t>
      </w:r>
      <w:r w:rsidR="00506471" w:rsidRPr="00C772BA">
        <w:t>listopada</w:t>
      </w:r>
      <w:r w:rsidR="0052433D" w:rsidRPr="00C772BA">
        <w:t xml:space="preserve"> 2025</w:t>
      </w:r>
      <w:r w:rsidRPr="00C772BA">
        <w:t>.</w:t>
      </w:r>
    </w:p>
    <w:p w:rsidR="00F82099" w:rsidRPr="00C772BA" w:rsidRDefault="00F82099" w:rsidP="00C772BA">
      <w:pPr>
        <w:jc w:val="both"/>
      </w:pPr>
    </w:p>
    <w:p w:rsidR="00F82099" w:rsidRPr="00C772BA" w:rsidRDefault="00F82099" w:rsidP="00C772BA">
      <w:pPr>
        <w:jc w:val="both"/>
      </w:pPr>
    </w:p>
    <w:p w:rsidR="00F82099" w:rsidRPr="00C772BA" w:rsidRDefault="00022A06" w:rsidP="00C772BA">
      <w:pPr>
        <w:ind w:firstLine="1418"/>
        <w:jc w:val="both"/>
      </w:pPr>
      <w:r w:rsidRPr="00C772BA">
        <w:t xml:space="preserve">Na temelju članka </w:t>
      </w:r>
      <w:r w:rsidR="005B6201" w:rsidRPr="00C772BA">
        <w:t>122</w:t>
      </w:r>
      <w:r w:rsidRPr="00C772BA">
        <w:t xml:space="preserve">. stavka </w:t>
      </w:r>
      <w:r w:rsidR="005B6201" w:rsidRPr="00C772BA">
        <w:t>2</w:t>
      </w:r>
      <w:r w:rsidRPr="00C772BA">
        <w:t>. Poslovnika Hrvatskoga sabora („Narodne novine“, br. 81/13., 113/16., 69/17., 29/18., 53/20., 119/20. - Odluka Ustavnog suda Republike Hrvatske, 123/20. i 86/23. - Odluka Ustavnog suda Republike Hrvatske), Vlada Republike Hrvatske</w:t>
      </w:r>
      <w:r w:rsidR="00F82099" w:rsidRPr="00C772BA">
        <w:t xml:space="preserve"> o</w:t>
      </w:r>
      <w:r w:rsidR="0052433D" w:rsidRPr="00C772BA">
        <w:t xml:space="preserve"> </w:t>
      </w:r>
      <w:r w:rsidR="00506471" w:rsidRPr="00C772BA">
        <w:t>Prijedlog</w:t>
      </w:r>
      <w:r w:rsidR="00BC6E70" w:rsidRPr="00C772BA">
        <w:t>u</w:t>
      </w:r>
      <w:r w:rsidR="00506471" w:rsidRPr="00C772BA">
        <w:t xml:space="preserve"> zakona o digitalnoj zaštiti djece (predlagatelj: Klub zastupnika Možemo! u Hrvatskome saboru)</w:t>
      </w:r>
      <w:r w:rsidR="00BC6E70" w:rsidRPr="00C772BA">
        <w:t>,</w:t>
      </w:r>
      <w:r w:rsidR="00506471" w:rsidRPr="00C772BA">
        <w:t xml:space="preserve"> </w:t>
      </w:r>
      <w:r w:rsidR="00C67087" w:rsidRPr="00C772BA">
        <w:t>daje sljedeće</w:t>
      </w:r>
    </w:p>
    <w:p w:rsidR="0052433D" w:rsidRPr="00C772BA" w:rsidRDefault="0052433D" w:rsidP="00C772BA">
      <w:pPr>
        <w:jc w:val="center"/>
      </w:pPr>
    </w:p>
    <w:p w:rsidR="0059156D" w:rsidRPr="00C772BA" w:rsidRDefault="0059156D" w:rsidP="00C772BA">
      <w:pPr>
        <w:jc w:val="center"/>
      </w:pPr>
    </w:p>
    <w:p w:rsidR="00F82099" w:rsidRPr="00C772BA" w:rsidRDefault="00F82099" w:rsidP="00C772BA">
      <w:pPr>
        <w:jc w:val="center"/>
        <w:rPr>
          <w:b/>
        </w:rPr>
      </w:pPr>
      <w:r w:rsidRPr="00C772BA">
        <w:rPr>
          <w:b/>
        </w:rPr>
        <w:t>M I Š L J E N J E</w:t>
      </w:r>
    </w:p>
    <w:p w:rsidR="00F82099" w:rsidRPr="00C772BA" w:rsidRDefault="00F82099" w:rsidP="00C772BA">
      <w:pPr>
        <w:jc w:val="center"/>
      </w:pPr>
    </w:p>
    <w:p w:rsidR="0052433D" w:rsidRPr="00C772BA" w:rsidRDefault="0052433D" w:rsidP="00C772BA">
      <w:pPr>
        <w:jc w:val="center"/>
      </w:pPr>
    </w:p>
    <w:p w:rsidR="00B34796" w:rsidRPr="00C772BA" w:rsidRDefault="00F82099" w:rsidP="00C772BA">
      <w:pPr>
        <w:ind w:firstLine="1418"/>
        <w:jc w:val="both"/>
      </w:pPr>
      <w:r w:rsidRPr="00C772BA">
        <w:t>Vlada Republike Hrvatske</w:t>
      </w:r>
      <w:r w:rsidR="004E24CD" w:rsidRPr="00C772BA">
        <w:t xml:space="preserve"> </w:t>
      </w:r>
      <w:r w:rsidR="00577C7E" w:rsidRPr="00C772BA">
        <w:t>u</w:t>
      </w:r>
      <w:r w:rsidR="00C05434" w:rsidRPr="00C772BA">
        <w:t xml:space="preserve">vodno napominje kako </w:t>
      </w:r>
      <w:r w:rsidR="00506471" w:rsidRPr="00C772BA">
        <w:t>u potpunosti prepoznaje važnost zaštite djece u digitalnom okruženju te kontinuirano razvija i provodi aktivnosti i mjere usmjerene na unaprjeđenje digitalne pismenosti, sigurnosti i odgovornog ponašanja djece i mladih u ko</w:t>
      </w:r>
      <w:r w:rsidR="007C39A1" w:rsidRPr="00C772BA">
        <w:t>rištenju digitalnih tehnologija</w:t>
      </w:r>
      <w:r w:rsidR="006A5FFF" w:rsidRPr="00C772BA">
        <w:t>.</w:t>
      </w:r>
      <w:r w:rsidR="006059CD" w:rsidRPr="00C772BA">
        <w:t xml:space="preserve"> </w:t>
      </w:r>
    </w:p>
    <w:p w:rsidR="00B34796" w:rsidRPr="00C772BA" w:rsidRDefault="00B34796" w:rsidP="00C772BA">
      <w:pPr>
        <w:ind w:firstLine="1418"/>
        <w:jc w:val="both"/>
      </w:pPr>
    </w:p>
    <w:p w:rsidR="00B34796" w:rsidRPr="00C772BA" w:rsidRDefault="00B34796" w:rsidP="00C772BA">
      <w:pPr>
        <w:jc w:val="both"/>
        <w:rPr>
          <w:b/>
        </w:rPr>
      </w:pPr>
      <w:r w:rsidRPr="00C772BA">
        <w:rPr>
          <w:b/>
        </w:rPr>
        <w:t>Digitalna transformacija kao strateški prioritet države</w:t>
      </w:r>
    </w:p>
    <w:p w:rsidR="00B34796" w:rsidRPr="00C772BA" w:rsidRDefault="00B34796" w:rsidP="00C772BA">
      <w:pPr>
        <w:ind w:firstLine="1418"/>
        <w:jc w:val="both"/>
      </w:pPr>
    </w:p>
    <w:p w:rsidR="00F95F51" w:rsidRPr="00C772BA" w:rsidRDefault="00F95F51" w:rsidP="00C772BA">
      <w:pPr>
        <w:ind w:firstLine="1418"/>
        <w:jc w:val="both"/>
      </w:pPr>
      <w:r w:rsidRPr="00C772BA">
        <w:t>Dio je to ukupnih napora Vlade Republike Hrvatske usmjerenih na provedbu digitalne transformacije kao jednog od četiri strateška cilja ovog</w:t>
      </w:r>
      <w:r w:rsidR="00184253" w:rsidRPr="00C772BA">
        <w:t>a</w:t>
      </w:r>
      <w:r w:rsidRPr="00C772BA">
        <w:t xml:space="preserve"> desetljeća. Digitalna transformacija Republike Hrvatske temelji se na tri ključna stupa: digitalizaciji države (razvoj javnih e-usluga i infrastrukture), digitalizaciji društva (razvoj digitalnih kompetencija građana) te na digitalizaciji gospodarstva radi jačanja njegove konkurentnosti i inovativnosti.</w:t>
      </w:r>
    </w:p>
    <w:p w:rsidR="00F95F51" w:rsidRDefault="00F95F51" w:rsidP="00C772BA">
      <w:pPr>
        <w:ind w:firstLine="1418"/>
        <w:jc w:val="both"/>
      </w:pPr>
    </w:p>
    <w:p w:rsidR="00C772BA" w:rsidRDefault="00C772BA" w:rsidP="00C772BA">
      <w:pPr>
        <w:ind w:firstLine="1418"/>
        <w:jc w:val="both"/>
      </w:pPr>
    </w:p>
    <w:p w:rsidR="00C772BA" w:rsidRDefault="00C772BA" w:rsidP="00C772BA">
      <w:pPr>
        <w:ind w:firstLine="1418"/>
        <w:jc w:val="both"/>
      </w:pPr>
    </w:p>
    <w:p w:rsidR="00C772BA" w:rsidRPr="00C772BA" w:rsidRDefault="00C772BA" w:rsidP="00C772BA">
      <w:pPr>
        <w:ind w:firstLine="1418"/>
        <w:jc w:val="both"/>
      </w:pPr>
    </w:p>
    <w:p w:rsidR="00F95F51" w:rsidRPr="00C772BA" w:rsidRDefault="00F95F51" w:rsidP="00C772BA">
      <w:pPr>
        <w:ind w:firstLine="1418"/>
        <w:jc w:val="both"/>
      </w:pPr>
      <w:r w:rsidRPr="00C772BA">
        <w:t>U cilju koordiniranog i sustavnog upravljanja ovim procesima osnovano je Nacionalno vijeće za digitalnu transformaciju, kojim predsjeda predsjednik Vlade</w:t>
      </w:r>
      <w:r w:rsidR="00184253" w:rsidRPr="00C772BA">
        <w:t xml:space="preserve"> Republike Hrvatske</w:t>
      </w:r>
      <w:r w:rsidRPr="00C772BA">
        <w:t xml:space="preserve">, a koje okuplja predstavnike državnih tijela, akademske zajednice, gospodarstva i stručne javnosti. Strateški okvir dodatno je definiran donošenjem </w:t>
      </w:r>
      <w:r w:rsidR="00052418" w:rsidRPr="00C772BA">
        <w:t>Strategije</w:t>
      </w:r>
      <w:r w:rsidRPr="00C772BA">
        <w:t xml:space="preserve"> digitalne Hrvatske </w:t>
      </w:r>
      <w:r w:rsidR="00184253" w:rsidRPr="00C772BA">
        <w:t xml:space="preserve">za razdoblje </w:t>
      </w:r>
      <w:r w:rsidRPr="00C772BA">
        <w:t>do 2032. godine</w:t>
      </w:r>
      <w:r w:rsidR="00184253" w:rsidRPr="00C772BA">
        <w:t xml:space="preserve"> („Narodne novine“, broj 2/23.)</w:t>
      </w:r>
      <w:r w:rsidRPr="00C772BA">
        <w:t>, koja usmjerava razvoj digitalnog društva</w:t>
      </w:r>
      <w:r w:rsidR="00A61989" w:rsidRPr="00C772BA">
        <w:t>.</w:t>
      </w:r>
    </w:p>
    <w:p w:rsidR="00F95F51" w:rsidRPr="00C772BA" w:rsidRDefault="00F95F51" w:rsidP="00C772BA">
      <w:pPr>
        <w:ind w:firstLine="1418"/>
        <w:jc w:val="both"/>
      </w:pPr>
    </w:p>
    <w:p w:rsidR="00F95F51" w:rsidRPr="00C772BA" w:rsidRDefault="00F95F51" w:rsidP="00C772BA">
      <w:pPr>
        <w:ind w:firstLine="1418"/>
        <w:jc w:val="both"/>
      </w:pPr>
      <w:r w:rsidRPr="00C772BA">
        <w:t>Osim toga, od 2024. godine digitalizacija i razvoj digitalnog društva podignuti su na razinu resornog ministarstva čime je osigurana snažnija institucionalna podrška i aktivno sudjelovanje Republike Hrvatske u oblikovanju europskog zakonodavnog i regulatornog okvira u području digitalnih tehnologija, uključujući umjetnu inteligenciju. U sinergiji rada više ministarstava te u partnerstvu države, gospodarstva, akademske zajednice i stručnjaka, cilj je osigurati da Republika Hrvatska razvija i pri</w:t>
      </w:r>
      <w:r w:rsidR="00A61989" w:rsidRPr="00C772BA">
        <w:t xml:space="preserve">mjenjuje digitalne tehnologije </w:t>
      </w:r>
      <w:r w:rsidRPr="00C772BA">
        <w:t>na odgovoran, siguran i etičan način, s posebnim naglaskom na dobrobit svih generacija građana, a osobito djece i mladih. U skladu s time, jedan od prioriteta Programa Vlade je donošenje Nacionalnog programa za djecu i ml</w:t>
      </w:r>
      <w:r w:rsidR="0038394D" w:rsidRPr="00C772BA">
        <w:t>ade u digitalnom okruženju</w:t>
      </w:r>
      <w:r w:rsidR="000626EC" w:rsidRPr="00C772BA">
        <w:t xml:space="preserve"> koji je u izradi</w:t>
      </w:r>
      <w:r w:rsidR="0038394D" w:rsidRPr="00C772BA">
        <w:t xml:space="preserve">, </w:t>
      </w:r>
      <w:r w:rsidR="000626EC" w:rsidRPr="00C772BA">
        <w:t xml:space="preserve">a </w:t>
      </w:r>
      <w:r w:rsidR="0038394D" w:rsidRPr="00C772BA">
        <w:t>koji</w:t>
      </w:r>
      <w:r w:rsidRPr="00C772BA">
        <w:t xml:space="preserve"> </w:t>
      </w:r>
      <w:r w:rsidR="002B353A" w:rsidRPr="00C772BA">
        <w:t>stavlja</w:t>
      </w:r>
      <w:r w:rsidRPr="00C772BA">
        <w:t xml:space="preserve"> naglasak na sigurnost, zaštitu i osnaž</w:t>
      </w:r>
      <w:r w:rsidR="00270E94" w:rsidRPr="00C772BA">
        <w:t>ivanje djece u digitalnom dobu.</w:t>
      </w:r>
    </w:p>
    <w:p w:rsidR="00B34796" w:rsidRPr="00C772BA" w:rsidRDefault="00B34796" w:rsidP="00C772BA">
      <w:pPr>
        <w:jc w:val="both"/>
      </w:pPr>
    </w:p>
    <w:p w:rsidR="00B34796" w:rsidRPr="00C772BA" w:rsidRDefault="00B34796" w:rsidP="00C772BA">
      <w:pPr>
        <w:jc w:val="both"/>
        <w:rPr>
          <w:b/>
        </w:rPr>
      </w:pPr>
      <w:r w:rsidRPr="00C772BA">
        <w:rPr>
          <w:b/>
        </w:rPr>
        <w:t>Zaštita i promicanje prava djece</w:t>
      </w:r>
    </w:p>
    <w:p w:rsidR="00E74FD7" w:rsidRPr="00C772BA" w:rsidRDefault="00E74FD7" w:rsidP="00C772BA">
      <w:pPr>
        <w:jc w:val="both"/>
      </w:pPr>
    </w:p>
    <w:p w:rsidR="007C39A1" w:rsidRPr="00C772BA" w:rsidRDefault="007C39A1" w:rsidP="00C772BA">
      <w:pPr>
        <w:ind w:firstLine="1418"/>
        <w:jc w:val="both"/>
        <w:rPr>
          <w:rFonts w:eastAsia="Calibri"/>
          <w:kern w:val="2"/>
          <w:lang w:eastAsia="en-US"/>
        </w:rPr>
      </w:pPr>
      <w:r w:rsidRPr="00C772BA">
        <w:rPr>
          <w:rFonts w:eastAsia="Calibri"/>
          <w:kern w:val="2"/>
          <w:lang w:eastAsia="en-US"/>
        </w:rPr>
        <w:t xml:space="preserve">Važan cilj javnih politika koje se bave zaštitom i promicanjem prava djece je svakako zaštita djece u digitalnom okruženju, posebice </w:t>
      </w:r>
      <w:r w:rsidR="00EB7A33" w:rsidRPr="00C772BA">
        <w:rPr>
          <w:rFonts w:eastAsia="Calibri"/>
          <w:kern w:val="2"/>
          <w:lang w:eastAsia="en-US"/>
        </w:rPr>
        <w:t xml:space="preserve">s </w:t>
      </w:r>
      <w:r w:rsidRPr="00C772BA">
        <w:rPr>
          <w:rFonts w:eastAsia="Calibri"/>
          <w:kern w:val="2"/>
          <w:lang w:eastAsia="en-US"/>
        </w:rPr>
        <w:t xml:space="preserve">obzirom </w:t>
      </w:r>
      <w:r w:rsidR="00EB7A33" w:rsidRPr="00C772BA">
        <w:rPr>
          <w:rFonts w:eastAsia="Calibri"/>
          <w:kern w:val="2"/>
          <w:lang w:eastAsia="en-US"/>
        </w:rPr>
        <w:t xml:space="preserve">na to </w:t>
      </w:r>
      <w:r w:rsidRPr="00C772BA">
        <w:rPr>
          <w:rFonts w:eastAsia="Calibri"/>
          <w:kern w:val="2"/>
          <w:lang w:eastAsia="en-US"/>
        </w:rPr>
        <w:t>da su u današnje vrijeme, ubrzanim razvojem modernih tehnologija, djeca sve ranije izložena digitalnim tehnologijama te učestalije koriste digitalne uređaje radi pristupa različitim sadržajima i digitalnim platformama. Digitalna tehnologija je u današnje suvremeno doba široko rasprostranjena te uvelike korisna, kako u poslovnim tako i privatnim sferama života, pa tako digitalni sadržaji mogu imati pozitivne učinke te se mogu koristiti za stjecanje novih znanja i vještina te razvoj sposobnosti kod djece i mladih</w:t>
      </w:r>
      <w:r w:rsidR="00D40DFF" w:rsidRPr="00C772BA">
        <w:rPr>
          <w:rFonts w:eastAsia="Calibri"/>
          <w:kern w:val="2"/>
          <w:lang w:eastAsia="en-US"/>
        </w:rPr>
        <w:t>.</w:t>
      </w:r>
      <w:r w:rsidRPr="00C772BA">
        <w:rPr>
          <w:rFonts w:eastAsia="Calibri"/>
          <w:kern w:val="2"/>
          <w:lang w:eastAsia="en-US"/>
        </w:rPr>
        <w:t xml:space="preserve"> </w:t>
      </w:r>
      <w:r w:rsidR="00D40DFF" w:rsidRPr="00C772BA">
        <w:rPr>
          <w:rFonts w:eastAsia="Calibri"/>
          <w:kern w:val="2"/>
          <w:lang w:eastAsia="en-US"/>
        </w:rPr>
        <w:t>M</w:t>
      </w:r>
      <w:r w:rsidRPr="00C772BA">
        <w:rPr>
          <w:rFonts w:eastAsia="Calibri"/>
          <w:kern w:val="2"/>
          <w:lang w:eastAsia="en-US"/>
        </w:rPr>
        <w:t>eđutim</w:t>
      </w:r>
      <w:r w:rsidR="00184253" w:rsidRPr="00C772BA">
        <w:rPr>
          <w:rFonts w:eastAsia="Calibri"/>
          <w:kern w:val="2"/>
          <w:lang w:eastAsia="en-US"/>
        </w:rPr>
        <w:t>,</w:t>
      </w:r>
      <w:r w:rsidRPr="00C772BA">
        <w:rPr>
          <w:rFonts w:eastAsia="Calibri"/>
          <w:kern w:val="2"/>
          <w:lang w:eastAsia="en-US"/>
        </w:rPr>
        <w:t xml:space="preserve"> korištenje istih može imati i negativan utjecaj i potencijalne rizike i izazove, posebno za sigurnost i dobrobit djece. Stoga, posebna pozornost treba biti posvećena zaštiti djece u online prostoru zbog njihove ranjivosti te je važno da razvoj tehnologije prati i pravna regulativa.</w:t>
      </w:r>
    </w:p>
    <w:p w:rsidR="007C39A1" w:rsidRPr="00C772BA" w:rsidRDefault="007C39A1" w:rsidP="00C772BA">
      <w:pPr>
        <w:jc w:val="both"/>
        <w:rPr>
          <w:rFonts w:eastAsia="Calibri"/>
          <w:kern w:val="2"/>
          <w:lang w:eastAsia="en-US"/>
        </w:rPr>
      </w:pPr>
    </w:p>
    <w:p w:rsidR="007C39A1" w:rsidRPr="00C772BA" w:rsidRDefault="007C39A1" w:rsidP="00C772BA">
      <w:pPr>
        <w:ind w:firstLine="1418"/>
        <w:jc w:val="both"/>
        <w:rPr>
          <w:rFonts w:eastAsia="Calibri"/>
          <w:kern w:val="2"/>
          <w:lang w:eastAsia="en-US"/>
        </w:rPr>
      </w:pPr>
      <w:r w:rsidRPr="00C772BA">
        <w:rPr>
          <w:rFonts w:eastAsia="Calibri"/>
          <w:kern w:val="2"/>
          <w:lang w:eastAsia="en-US"/>
        </w:rPr>
        <w:t>Upravo je zaštita prava i sigurnosti djec</w:t>
      </w:r>
      <w:r w:rsidR="006F0BD0" w:rsidRPr="00C772BA">
        <w:rPr>
          <w:rFonts w:eastAsia="Calibri"/>
          <w:kern w:val="2"/>
          <w:lang w:eastAsia="en-US"/>
        </w:rPr>
        <w:t xml:space="preserve">e </w:t>
      </w:r>
      <w:r w:rsidRPr="00C772BA">
        <w:rPr>
          <w:rFonts w:eastAsia="Calibri"/>
          <w:kern w:val="2"/>
          <w:lang w:eastAsia="en-US"/>
        </w:rPr>
        <w:t xml:space="preserve">u digitalnom okruženju jedan od aspekata </w:t>
      </w:r>
      <w:r w:rsidRPr="00C772BA">
        <w:rPr>
          <w:rFonts w:eastAsia="Calibri"/>
          <w:i/>
          <w:iCs/>
          <w:kern w:val="2"/>
          <w:lang w:eastAsia="en-US"/>
        </w:rPr>
        <w:t xml:space="preserve">Nacionalnog plana za prava djece </w:t>
      </w:r>
      <w:bookmarkStart w:id="0" w:name="_Hlk223211939"/>
      <w:r w:rsidRPr="00C772BA">
        <w:rPr>
          <w:rFonts w:eastAsia="Calibri"/>
          <w:i/>
          <w:iCs/>
          <w:kern w:val="2"/>
          <w:lang w:eastAsia="en-US"/>
        </w:rPr>
        <w:t>u Republici Hrvatskoj za razdoblje od 2022. do 2026. godine</w:t>
      </w:r>
      <w:bookmarkEnd w:id="0"/>
      <w:r w:rsidRPr="00C772BA">
        <w:rPr>
          <w:rFonts w:eastAsia="Calibri"/>
          <w:kern w:val="2"/>
          <w:lang w:eastAsia="en-US"/>
        </w:rPr>
        <w:t xml:space="preserve">, </w:t>
      </w:r>
      <w:r w:rsidR="006F0BD0" w:rsidRPr="00C772BA">
        <w:rPr>
          <w:rFonts w:eastAsia="Calibri"/>
          <w:kern w:val="2"/>
          <w:lang w:eastAsia="en-US"/>
        </w:rPr>
        <w:t>koji je Vlada Republike Hrvatske donijela na sjednici održanoj 12. svibnja 2022., a kojim je definiran jedan od posebnih ciljeva</w:t>
      </w:r>
      <w:r w:rsidR="006230FF" w:rsidRPr="00C772BA">
        <w:rPr>
          <w:rFonts w:eastAsia="Calibri"/>
          <w:kern w:val="2"/>
          <w:lang w:eastAsia="en-US"/>
        </w:rPr>
        <w:t>,</w:t>
      </w:r>
      <w:r w:rsidR="00596615" w:rsidRPr="00C772BA">
        <w:rPr>
          <w:rFonts w:eastAsia="Calibri"/>
          <w:kern w:val="2"/>
          <w:lang w:eastAsia="en-US"/>
        </w:rPr>
        <w:t xml:space="preserve"> </w:t>
      </w:r>
      <w:r w:rsidRPr="00C772BA">
        <w:rPr>
          <w:rFonts w:eastAsia="Calibri"/>
          <w:i/>
          <w:iCs/>
          <w:kern w:val="2"/>
          <w:lang w:eastAsia="en-US"/>
        </w:rPr>
        <w:t>Sustavna potpora za djecu u digitalnom okruženju</w:t>
      </w:r>
      <w:r w:rsidRPr="00C772BA">
        <w:rPr>
          <w:rFonts w:eastAsia="Calibri"/>
          <w:kern w:val="2"/>
          <w:lang w:eastAsia="en-US"/>
        </w:rPr>
        <w:t xml:space="preserve">, čime se nastavlja kreirati politika zaštite prava djece, </w:t>
      </w:r>
      <w:r w:rsidR="006F0BD0" w:rsidRPr="00C772BA">
        <w:rPr>
          <w:rFonts w:eastAsia="Calibri"/>
          <w:kern w:val="2"/>
          <w:lang w:eastAsia="en-US"/>
        </w:rPr>
        <w:t>radi</w:t>
      </w:r>
      <w:r w:rsidRPr="00C772BA">
        <w:rPr>
          <w:rFonts w:eastAsia="Calibri"/>
          <w:kern w:val="2"/>
          <w:lang w:eastAsia="en-US"/>
        </w:rPr>
        <w:t xml:space="preserve"> osiguranja uvjeta zaštite prava svakog djeteta bez iznimke i davanja prednosti najboljem interesu svakog djeteta. Također, promiče se cjelovito unaprjeđenje zaštite prava djece kroz zajedničko djelovanje cjelokupnog sustava i svih dionika koji sudjeluju u izmjeni i prilagodbi postojećih zakona i akata, u okviru međuresorne suradnje. Djeci će se kroz postavljene mjere pružiti sustavna potpora u digitalnom okruženju s kojim djeca sve ranije dolaze u doticaj, a uz razvoj medijske pismenosti korištenje digitalne tehnologije može imati pozitivne učinke na razvoj djece. Politiku prema djeci u Republici Hrvatskoj, osim zakonodavnih i strateških dokumenata, čine i različite aktivnosti koje tijela državne uprave, tijela lokalne i područne (regionalne) samouprave, ustanove s javnim ovlastima i organizacije civilnog društva provode na području obrazovanja, kulture, socijalne skrbi, zdravlja, pravosuđa i svim drugim područjima kojima se poboljšava </w:t>
      </w:r>
      <w:r w:rsidR="00320283" w:rsidRPr="00C772BA">
        <w:rPr>
          <w:rFonts w:eastAsia="Calibri"/>
          <w:kern w:val="2"/>
          <w:lang w:eastAsia="en-US"/>
        </w:rPr>
        <w:t xml:space="preserve">kvaliteta </w:t>
      </w:r>
      <w:r w:rsidRPr="00C772BA">
        <w:rPr>
          <w:rFonts w:eastAsia="Calibri"/>
          <w:kern w:val="2"/>
          <w:lang w:eastAsia="en-US"/>
        </w:rPr>
        <w:t>života djece i razvijaju puni potencijali djece.</w:t>
      </w:r>
    </w:p>
    <w:p w:rsidR="00C772BA" w:rsidRPr="00C772BA" w:rsidRDefault="00C772BA" w:rsidP="00C772BA">
      <w:pPr>
        <w:jc w:val="both"/>
        <w:rPr>
          <w:rFonts w:eastAsia="Calibri"/>
          <w:kern w:val="2"/>
          <w:lang w:eastAsia="en-US"/>
        </w:rPr>
      </w:pPr>
    </w:p>
    <w:p w:rsidR="00727E95" w:rsidRPr="00C772BA" w:rsidRDefault="00727E95" w:rsidP="00C772BA">
      <w:pPr>
        <w:jc w:val="both"/>
        <w:rPr>
          <w:rFonts w:eastAsia="Calibri"/>
          <w:b/>
          <w:kern w:val="2"/>
          <w:lang w:eastAsia="en-US"/>
        </w:rPr>
      </w:pPr>
      <w:r w:rsidRPr="00C772BA">
        <w:rPr>
          <w:rFonts w:eastAsia="Calibri"/>
          <w:b/>
          <w:kern w:val="2"/>
          <w:lang w:eastAsia="en-US"/>
        </w:rPr>
        <w:t xml:space="preserve">Potreban sustavan i sveobuhvatan pristup </w:t>
      </w:r>
    </w:p>
    <w:p w:rsidR="007C39A1" w:rsidRPr="00C772BA" w:rsidRDefault="007C39A1" w:rsidP="00C772BA">
      <w:pPr>
        <w:jc w:val="both"/>
        <w:rPr>
          <w:rFonts w:eastAsia="Calibri"/>
          <w:kern w:val="2"/>
          <w:lang w:eastAsia="en-US"/>
        </w:rPr>
      </w:pPr>
    </w:p>
    <w:p w:rsidR="007C39A1" w:rsidRPr="00C772BA" w:rsidRDefault="005D4F76" w:rsidP="00C772BA">
      <w:pPr>
        <w:ind w:firstLine="1418"/>
        <w:jc w:val="both"/>
        <w:rPr>
          <w:rFonts w:eastAsia="Calibri"/>
          <w:kern w:val="2"/>
          <w:lang w:eastAsia="en-US"/>
        </w:rPr>
      </w:pPr>
      <w:r w:rsidRPr="00C772BA">
        <w:rPr>
          <w:rFonts w:eastAsia="Calibri"/>
          <w:kern w:val="2"/>
          <w:lang w:eastAsia="en-US"/>
        </w:rPr>
        <w:t>S o</w:t>
      </w:r>
      <w:r w:rsidR="007C39A1" w:rsidRPr="00C772BA">
        <w:rPr>
          <w:rFonts w:eastAsia="Calibri"/>
          <w:kern w:val="2"/>
          <w:lang w:eastAsia="en-US"/>
        </w:rPr>
        <w:t>bzirom na neprestani rast korištenja digitalnih tehnologija i sveprisutnost interneta u životima djece i mladih, ovo je područje od iznimne društvene važnosti, a njegovo cjelovito uređenje zahtijeva sustavan i sveobuhvatan pristup te podrobnu i multidisciplinarnu analizu trenutačnog stanja, rizika i mogućnosti</w:t>
      </w:r>
      <w:r w:rsidRPr="00C772BA">
        <w:rPr>
          <w:rFonts w:eastAsia="Calibri"/>
          <w:kern w:val="2"/>
          <w:lang w:eastAsia="en-US"/>
        </w:rPr>
        <w:t>,</w:t>
      </w:r>
      <w:r w:rsidR="007C39A1" w:rsidRPr="00C772BA">
        <w:rPr>
          <w:rFonts w:eastAsia="Calibri"/>
          <w:kern w:val="2"/>
          <w:lang w:eastAsia="en-US"/>
        </w:rPr>
        <w:t xml:space="preserve"> kao i usklađivanje s međunarodnim standardima u svrhu utvrđivanja odgovarajućeg pristupa i izgradnje funkcionalnog sustava usklađenog s najboljim interesima djeteta. </w:t>
      </w:r>
    </w:p>
    <w:p w:rsidR="00727E95" w:rsidRPr="00C772BA" w:rsidRDefault="00727E95" w:rsidP="00C772BA">
      <w:pPr>
        <w:jc w:val="both"/>
      </w:pPr>
    </w:p>
    <w:p w:rsidR="00727E95" w:rsidRPr="00C772BA" w:rsidRDefault="00727E95" w:rsidP="00C772BA">
      <w:pPr>
        <w:jc w:val="both"/>
        <w:rPr>
          <w:b/>
        </w:rPr>
      </w:pPr>
      <w:r w:rsidRPr="00C772BA">
        <w:rPr>
          <w:b/>
        </w:rPr>
        <w:t>Provjera dobi korisnika i zaštita maloljetnika</w:t>
      </w:r>
    </w:p>
    <w:p w:rsidR="00596615" w:rsidRPr="00C772BA" w:rsidRDefault="00596615" w:rsidP="00C772BA">
      <w:pPr>
        <w:ind w:firstLine="1418"/>
        <w:jc w:val="both"/>
      </w:pPr>
    </w:p>
    <w:p w:rsidR="00596615" w:rsidRPr="00C772BA" w:rsidRDefault="00596615" w:rsidP="00C772BA">
      <w:pPr>
        <w:ind w:firstLine="1418"/>
        <w:jc w:val="both"/>
      </w:pPr>
      <w:r w:rsidRPr="00C772BA">
        <w:t xml:space="preserve">Korištenje društvenih mreža i provjera dobi korisnika su pitanja koja su uređena pravom Europske unije, osobito Općom uredbom o zaštiti podataka (GDPR) i Direktivom o digitalnim uslugama (Digital </w:t>
      </w:r>
      <w:proofErr w:type="spellStart"/>
      <w:r w:rsidRPr="00C772BA">
        <w:t>Services</w:t>
      </w:r>
      <w:proofErr w:type="spellEnd"/>
      <w:r w:rsidRPr="00C772BA">
        <w:t xml:space="preserve"> </w:t>
      </w:r>
      <w:proofErr w:type="spellStart"/>
      <w:r w:rsidRPr="00C772BA">
        <w:t>Act</w:t>
      </w:r>
      <w:proofErr w:type="spellEnd"/>
      <w:r w:rsidRPr="00C772BA">
        <w:t xml:space="preserve"> - DSA), koji propisuju obveze pružatelja platformi glede provjere dobi korisnika i zaštite maloljetnika.</w:t>
      </w:r>
    </w:p>
    <w:p w:rsidR="00596615" w:rsidRPr="00C772BA" w:rsidRDefault="00596615" w:rsidP="00C772BA">
      <w:pPr>
        <w:ind w:firstLine="1418"/>
        <w:jc w:val="both"/>
      </w:pPr>
    </w:p>
    <w:p w:rsidR="00596615" w:rsidRPr="00C772BA" w:rsidRDefault="00596615" w:rsidP="00C772BA">
      <w:pPr>
        <w:ind w:firstLine="1418"/>
        <w:jc w:val="both"/>
      </w:pPr>
      <w:r w:rsidRPr="00C772BA">
        <w:t>DSA direktiva, implementirana</w:t>
      </w:r>
      <w:r w:rsidR="005111AB" w:rsidRPr="00C772BA">
        <w:t xml:space="preserve"> je</w:t>
      </w:r>
      <w:r w:rsidRPr="00C772BA">
        <w:t xml:space="preserve"> u Republici Hrvatskoj kroz Zakon o provedbi Uredbe (EU) 2022/2065 Europskog parlamenta i Vijeća od 19. listopada 2022. o jedinstvenom tržištu digitalnih usluga i izmjeni Direktive 2000/31/EZ (Akt o digitalnim uslugama) („Narodne novine“, broj 67/25.)</w:t>
      </w:r>
      <w:r w:rsidR="007B2935" w:rsidRPr="00C772BA">
        <w:t>,</w:t>
      </w:r>
      <w:r w:rsidRPr="00C772BA">
        <w:t xml:space="preserve"> </w:t>
      </w:r>
      <w:r w:rsidR="00E01D2D" w:rsidRPr="00C772BA">
        <w:t xml:space="preserve">koji </w:t>
      </w:r>
      <w:r w:rsidRPr="00C772BA">
        <w:t>određuje Hrvatsku regulatornu agenciju za mrežne djelatnosti (HAKOM) za nacionalnog koordinatora za digitalne usluge, dok su nadzor i provedba odredbi o zaštiti maloljetnika u domeni Agencije za zaštitu osobnih podataka (AZOP).</w:t>
      </w:r>
    </w:p>
    <w:p w:rsidR="00DE222F" w:rsidRPr="00C772BA" w:rsidRDefault="00DE222F" w:rsidP="00C772BA">
      <w:pPr>
        <w:ind w:firstLine="1418"/>
        <w:jc w:val="both"/>
      </w:pPr>
    </w:p>
    <w:p w:rsidR="00DE222F" w:rsidRPr="00C772BA" w:rsidRDefault="00DE222F" w:rsidP="00C772BA">
      <w:pPr>
        <w:ind w:firstLine="1418"/>
        <w:jc w:val="both"/>
      </w:pPr>
      <w:r w:rsidRPr="00C772BA">
        <w:t>Prijedlog zakona u članku 6. obvezuje davatelje društvenih mreža da prije omogućavanja pristupa usluzi uspostave i provode učinkovitu provjeru dobi na način koji rezultira isključivo potvrdom ispunjavanja dobnog uvjeta, bez otkrivanja identiteta korisnika. Nadalje, stavcima 2. i 3. istog</w:t>
      </w:r>
      <w:r w:rsidR="007B2935" w:rsidRPr="00C772BA">
        <w:t>a</w:t>
      </w:r>
      <w:r w:rsidRPr="00C772BA">
        <w:t xml:space="preserve"> članka ne uzimaju se u obzir važeće odredbe Direktive o digitalnim uslugama, posebice članci 28., 34. i 35., koje na razini Europske unije propisuju obveze pružatelja platformi u pogledu zaštite maloljetnika, uključujući mogućnost primjene mjera za provjeru dobi (age </w:t>
      </w:r>
      <w:proofErr w:type="spellStart"/>
      <w:r w:rsidRPr="00C772BA">
        <w:t>verification</w:t>
      </w:r>
      <w:proofErr w:type="spellEnd"/>
      <w:r w:rsidRPr="00C772BA">
        <w:t xml:space="preserve">/age </w:t>
      </w:r>
      <w:proofErr w:type="spellStart"/>
      <w:r w:rsidRPr="00C772BA">
        <w:t>assurance</w:t>
      </w:r>
      <w:proofErr w:type="spellEnd"/>
      <w:r w:rsidRPr="00C772BA">
        <w:t xml:space="preserve">). </w:t>
      </w:r>
    </w:p>
    <w:p w:rsidR="005111AB" w:rsidRPr="00C772BA" w:rsidRDefault="005111AB" w:rsidP="00C772BA">
      <w:pPr>
        <w:ind w:firstLine="1418"/>
        <w:jc w:val="both"/>
      </w:pPr>
    </w:p>
    <w:p w:rsidR="005111AB" w:rsidRPr="00C772BA" w:rsidRDefault="005111AB" w:rsidP="00C772BA">
      <w:pPr>
        <w:ind w:firstLine="1418"/>
        <w:jc w:val="both"/>
      </w:pPr>
      <w:r w:rsidRPr="00C772BA">
        <w:t xml:space="preserve">Prijedlog zakona zanemaruje činjenicu da je sustavna provjera dobi jedna od konkretnih mjera koje DSA direktiva propisuje za </w:t>
      </w:r>
      <w:proofErr w:type="spellStart"/>
      <w:r w:rsidRPr="00C772BA">
        <w:rPr>
          <w:i/>
        </w:rPr>
        <w:t>Very</w:t>
      </w:r>
      <w:proofErr w:type="spellEnd"/>
      <w:r w:rsidRPr="00C772BA">
        <w:rPr>
          <w:i/>
        </w:rPr>
        <w:t xml:space="preserve"> </w:t>
      </w:r>
      <w:proofErr w:type="spellStart"/>
      <w:r w:rsidRPr="00C772BA">
        <w:rPr>
          <w:i/>
        </w:rPr>
        <w:t>Large</w:t>
      </w:r>
      <w:proofErr w:type="spellEnd"/>
      <w:r w:rsidRPr="00C772BA">
        <w:rPr>
          <w:i/>
        </w:rPr>
        <w:t xml:space="preserve"> Online </w:t>
      </w:r>
      <w:proofErr w:type="spellStart"/>
      <w:r w:rsidRPr="00C772BA">
        <w:rPr>
          <w:i/>
        </w:rPr>
        <w:t>Platforms</w:t>
      </w:r>
      <w:proofErr w:type="spellEnd"/>
      <w:r w:rsidRPr="00C772BA">
        <w:t xml:space="preserve"> (</w:t>
      </w:r>
      <w:proofErr w:type="spellStart"/>
      <w:r w:rsidRPr="00C772BA">
        <w:t>VLOPs</w:t>
      </w:r>
      <w:proofErr w:type="spellEnd"/>
      <w:r w:rsidRPr="00C772BA">
        <w:t>) i druge pružatelje usluga, a u skladu s čime i Republika Hrvatska mora implementirati te mjere.</w:t>
      </w:r>
    </w:p>
    <w:p w:rsidR="00E919E4" w:rsidRPr="00C772BA" w:rsidRDefault="00E919E4" w:rsidP="00C772BA">
      <w:pPr>
        <w:ind w:firstLine="1418"/>
        <w:jc w:val="both"/>
      </w:pPr>
    </w:p>
    <w:p w:rsidR="00E919E4" w:rsidRPr="00C772BA" w:rsidRDefault="00E919E4" w:rsidP="00C772BA">
      <w:pPr>
        <w:ind w:firstLine="1418"/>
        <w:jc w:val="both"/>
      </w:pPr>
      <w:r w:rsidRPr="00C772BA">
        <w:t>Također</w:t>
      </w:r>
      <w:r w:rsidR="007B2935" w:rsidRPr="00C772BA">
        <w:t>,</w:t>
      </w:r>
      <w:r w:rsidRPr="00C772BA">
        <w:t xml:space="preserve"> </w:t>
      </w:r>
      <w:r w:rsidR="007B2935" w:rsidRPr="00C772BA">
        <w:t>P</w:t>
      </w:r>
      <w:r w:rsidRPr="00C772BA">
        <w:t xml:space="preserve">rijedlog zakona ne adresira niti uključuje suvremene mehanizme za </w:t>
      </w:r>
      <w:proofErr w:type="spellStart"/>
      <w:r w:rsidRPr="00C772BA">
        <w:t>anonimizaciju</w:t>
      </w:r>
      <w:proofErr w:type="spellEnd"/>
      <w:r w:rsidRPr="00C772BA">
        <w:t xml:space="preserve"> podataka predviđene Uredbom (EU) 2024/1183 Europskog parlamenta i Vijeća od 11. travnja 2024. o izmjeni Uredbe (EU) br. 910/2014 u pogledu uspostave europskog okvira za digitalni identitet, kao niti mogućnost tehničke provjere dobi korisnika društvenih mreža. </w:t>
      </w:r>
      <w:bookmarkStart w:id="1" w:name="_GoBack"/>
      <w:r w:rsidRPr="00C772BA">
        <w:t xml:space="preserve">Ključni preduvjet u tom procesu bit će </w:t>
      </w:r>
      <w:r w:rsidR="00FB711A" w:rsidRPr="00C772BA">
        <w:t>Europska digital</w:t>
      </w:r>
      <w:r w:rsidR="00FB711A">
        <w:t>na lisnica (</w:t>
      </w:r>
      <w:r w:rsidRPr="003F4933">
        <w:rPr>
          <w:i/>
        </w:rPr>
        <w:t xml:space="preserve">EU Digital </w:t>
      </w:r>
      <w:proofErr w:type="spellStart"/>
      <w:r w:rsidRPr="003F4933">
        <w:rPr>
          <w:i/>
        </w:rPr>
        <w:t>Identity</w:t>
      </w:r>
      <w:proofErr w:type="spellEnd"/>
      <w:r w:rsidRPr="003F4933">
        <w:rPr>
          <w:i/>
        </w:rPr>
        <w:t xml:space="preserve"> </w:t>
      </w:r>
      <w:proofErr w:type="spellStart"/>
      <w:r w:rsidRPr="003F4933">
        <w:rPr>
          <w:i/>
        </w:rPr>
        <w:t>Wallet</w:t>
      </w:r>
      <w:proofErr w:type="spellEnd"/>
      <w:r w:rsidR="00FB711A">
        <w:rPr>
          <w:i/>
        </w:rPr>
        <w:t>)</w:t>
      </w:r>
      <w:r w:rsidRPr="00C772BA">
        <w:t xml:space="preserve">, </w:t>
      </w:r>
      <w:bookmarkEnd w:id="1"/>
      <w:r w:rsidRPr="00C772BA">
        <w:t>koja će omogućiti primjenjiv i standardiziran pristup provjeri identiteta u digitalnom okruženju, uz zadržavanje visoke razine privatnosti.</w:t>
      </w:r>
    </w:p>
    <w:p w:rsidR="00E919E4" w:rsidRPr="00C772BA" w:rsidRDefault="00E919E4" w:rsidP="00C772BA">
      <w:pPr>
        <w:ind w:firstLine="1418"/>
        <w:jc w:val="both"/>
      </w:pPr>
    </w:p>
    <w:p w:rsidR="00E919E4" w:rsidRPr="00C772BA" w:rsidRDefault="00E919E4" w:rsidP="00C772BA">
      <w:pPr>
        <w:ind w:firstLine="1418"/>
        <w:jc w:val="both"/>
      </w:pPr>
      <w:r w:rsidRPr="00C772BA">
        <w:t xml:space="preserve">Budući da se Republika Hrvatska trenutno nalazi u fazi implementacije rješenja nacionalne digitalne lisnice, ona će u potpunosti integrirati visoke EU standarde i biti funkcionalno usklađena s mogućnošću provjere dobi korisnika društvenih mreža. Takav pristup omogućava izdavanje dokaza o dobi putem pouzdanih izvora identiteta, kao što su nacionalni </w:t>
      </w:r>
      <w:proofErr w:type="spellStart"/>
      <w:r w:rsidRPr="00C772BA">
        <w:t>eID</w:t>
      </w:r>
      <w:proofErr w:type="spellEnd"/>
      <w:r w:rsidRPr="00C772BA">
        <w:t xml:space="preserve"> ili biometrijski dokumenti, unutar jedne sigurne i </w:t>
      </w:r>
      <w:proofErr w:type="spellStart"/>
      <w:r w:rsidRPr="00C772BA">
        <w:t>interoperabilne</w:t>
      </w:r>
      <w:proofErr w:type="spellEnd"/>
      <w:r w:rsidRPr="00C772BA">
        <w:t xml:space="preserve"> platforme. Uvođenje </w:t>
      </w:r>
      <w:r w:rsidRPr="00C772BA">
        <w:lastRenderedPageBreak/>
        <w:t>ovakvog rješenja značajno podiže razinu zaštite provjere osobnih podataka pretvarajući digitalnu identifikaciju u ključnu zaštitnu mjeru analognu provjeri identiteta u fizičkom svijetu.</w:t>
      </w:r>
    </w:p>
    <w:p w:rsidR="00E919E4" w:rsidRPr="00C772BA" w:rsidRDefault="00E919E4" w:rsidP="00C772BA">
      <w:pPr>
        <w:ind w:firstLine="1418"/>
        <w:jc w:val="both"/>
      </w:pPr>
    </w:p>
    <w:p w:rsidR="005111AB" w:rsidRPr="00C772BA" w:rsidRDefault="00E919E4" w:rsidP="00C772BA">
      <w:pPr>
        <w:ind w:firstLine="1418"/>
        <w:jc w:val="both"/>
      </w:pPr>
      <w:r w:rsidRPr="00C772BA">
        <w:t xml:space="preserve">U skladu s tim, implementacija rješenja nacionalne digitalne lisnice </w:t>
      </w:r>
      <w:r w:rsidR="00760D86">
        <w:t>očekuje se</w:t>
      </w:r>
      <w:r w:rsidRPr="00C772BA">
        <w:t xml:space="preserve"> tijekom 2027. godine, prije čega neće biti moguće ostvariti tehničke preduvjete za sustavnu i sigurnu provjeru identiteta u digitalnom okruženju.</w:t>
      </w:r>
    </w:p>
    <w:p w:rsidR="006A488E" w:rsidRPr="00C772BA" w:rsidRDefault="006A488E" w:rsidP="00C772BA">
      <w:pPr>
        <w:jc w:val="both"/>
      </w:pPr>
    </w:p>
    <w:p w:rsidR="006A488E" w:rsidRPr="00C772BA" w:rsidRDefault="006A488E" w:rsidP="00C772BA">
      <w:pPr>
        <w:jc w:val="both"/>
        <w:rPr>
          <w:b/>
        </w:rPr>
      </w:pPr>
      <w:r w:rsidRPr="00C772BA">
        <w:rPr>
          <w:b/>
        </w:rPr>
        <w:t>Borba protiv digitalnog nasilja</w:t>
      </w:r>
    </w:p>
    <w:p w:rsidR="00594ED6" w:rsidRPr="00C772BA" w:rsidRDefault="00594ED6" w:rsidP="00C772BA">
      <w:pPr>
        <w:jc w:val="both"/>
      </w:pPr>
    </w:p>
    <w:p w:rsidR="00594ED6" w:rsidRPr="00C772BA" w:rsidRDefault="00594ED6" w:rsidP="00C772BA">
      <w:pPr>
        <w:ind w:firstLine="1418"/>
        <w:jc w:val="both"/>
      </w:pPr>
      <w:r w:rsidRPr="00C772BA">
        <w:t xml:space="preserve">Vezano uz prevenciju i postupanje u slučajevima digitalnog nasilja, Vlada Republike Hrvatske napominje kako je ovo područje već jasno uređeno </w:t>
      </w:r>
      <w:r w:rsidR="00E01D2D" w:rsidRPr="00C772BA">
        <w:t xml:space="preserve">i </w:t>
      </w:r>
      <w:r w:rsidRPr="00C772BA">
        <w:t xml:space="preserve">važećim </w:t>
      </w:r>
      <w:r w:rsidR="00E01D2D" w:rsidRPr="00C772BA">
        <w:t xml:space="preserve">nacionalnim </w:t>
      </w:r>
      <w:r w:rsidRPr="00C772BA">
        <w:t xml:space="preserve">zakonodavnim i provedbenim okvirima, te se kontinuirano provode mjere usmjerene na zaštitu učenika u digitalnom okruženju. Sustav prevencije i postupanja kod digitalnog nasilja temelji se na međuresornoj suradnji (obrazovanje, socijalna skrb, pravosuđe, unutarnji poslovi, zdravstvo) i funkcionira unutar postojećih zakonskih </w:t>
      </w:r>
      <w:r w:rsidR="00E01D2D" w:rsidRPr="00C772BA">
        <w:t xml:space="preserve">i strateških </w:t>
      </w:r>
      <w:r w:rsidRPr="00C772BA">
        <w:t>okvira i to kroz:</w:t>
      </w:r>
    </w:p>
    <w:p w:rsidR="00D50B88" w:rsidRPr="00C772BA" w:rsidRDefault="00D50B88" w:rsidP="00C772BA">
      <w:pPr>
        <w:ind w:firstLine="1418"/>
        <w:jc w:val="both"/>
      </w:pPr>
    </w:p>
    <w:p w:rsidR="00506471" w:rsidRPr="00C772BA" w:rsidRDefault="00506471" w:rsidP="00C772BA">
      <w:pPr>
        <w:pStyle w:val="ListParagraph"/>
        <w:numPr>
          <w:ilvl w:val="0"/>
          <w:numId w:val="5"/>
        </w:numPr>
        <w:contextualSpacing w:val="0"/>
        <w:jc w:val="both"/>
      </w:pPr>
      <w:r w:rsidRPr="00C772BA">
        <w:t xml:space="preserve">Strategiju digitalne Hrvatske </w:t>
      </w:r>
      <w:r w:rsidR="00FB6FE1" w:rsidRPr="00C772BA">
        <w:t xml:space="preserve">za razdoblje </w:t>
      </w:r>
      <w:r w:rsidRPr="00C772BA">
        <w:t>do 2032. godine, koju je Hrvatski sabor donio 16. prosinca 2022.,</w:t>
      </w:r>
      <w:r w:rsidR="005D616A" w:rsidRPr="00C772BA">
        <w:t xml:space="preserve"> a koja</w:t>
      </w:r>
      <w:r w:rsidRPr="00C772BA">
        <w:t xml:space="preserve"> definira ključne ciljeve digitalne tranzicije, uključujući razvoj digitalnih kompetencija građana i sigurnog digitalnog okruženja</w:t>
      </w:r>
    </w:p>
    <w:p w:rsidR="00506471" w:rsidRPr="00C772BA" w:rsidRDefault="005D616A" w:rsidP="00C772BA">
      <w:pPr>
        <w:pStyle w:val="ListParagraph"/>
        <w:numPr>
          <w:ilvl w:val="0"/>
          <w:numId w:val="5"/>
        </w:numPr>
        <w:contextualSpacing w:val="0"/>
        <w:jc w:val="both"/>
      </w:pPr>
      <w:r w:rsidRPr="00C772BA">
        <w:t xml:space="preserve">kurikulume za </w:t>
      </w:r>
      <w:proofErr w:type="spellStart"/>
      <w:r w:rsidRPr="00C772BA">
        <w:t>međupredmetne</w:t>
      </w:r>
      <w:proofErr w:type="spellEnd"/>
      <w:r w:rsidRPr="00C772BA">
        <w:t xml:space="preserve"> teme: </w:t>
      </w:r>
      <w:r w:rsidR="00506471" w:rsidRPr="00C772BA">
        <w:t xml:space="preserve">Uporaba informacijske i komunikacijske tehnologije </w:t>
      </w:r>
      <w:r w:rsidRPr="00C772BA">
        <w:t>za osnovne i srednje škole</w:t>
      </w:r>
      <w:r w:rsidR="00B637F6" w:rsidRPr="00C772BA">
        <w:t xml:space="preserve"> u Republici Hrvatskoj</w:t>
      </w:r>
      <w:r w:rsidRPr="00C772BA">
        <w:t xml:space="preserve"> </w:t>
      </w:r>
      <w:r w:rsidR="00506471" w:rsidRPr="00C772BA">
        <w:t xml:space="preserve">i </w:t>
      </w:r>
      <w:r w:rsidRPr="00C772BA">
        <w:t xml:space="preserve">Građanski </w:t>
      </w:r>
      <w:r w:rsidR="00506471" w:rsidRPr="00C772BA">
        <w:t xml:space="preserve">odgoj i </w:t>
      </w:r>
      <w:r w:rsidRPr="00C772BA">
        <w:t>obrazovanje za osnovne i srednje škole</w:t>
      </w:r>
      <w:r w:rsidR="00B637F6" w:rsidRPr="00C772BA">
        <w:t xml:space="preserve"> u Republici Hrvatskoj</w:t>
      </w:r>
      <w:r w:rsidR="00506471" w:rsidRPr="00C772BA">
        <w:t>, koji uključuju sadržaje o sigurnom, etičkom i odgovornom ponašanju na internetu</w:t>
      </w:r>
    </w:p>
    <w:p w:rsidR="00506471" w:rsidRPr="00C772BA" w:rsidRDefault="005D616A" w:rsidP="00C772BA">
      <w:pPr>
        <w:pStyle w:val="ListParagraph"/>
        <w:numPr>
          <w:ilvl w:val="0"/>
          <w:numId w:val="5"/>
        </w:numPr>
        <w:contextualSpacing w:val="0"/>
        <w:jc w:val="both"/>
      </w:pPr>
      <w:r w:rsidRPr="00C772BA">
        <w:t xml:space="preserve">suradnju </w:t>
      </w:r>
      <w:r w:rsidR="00506471" w:rsidRPr="00C772BA">
        <w:t>Ministarstva</w:t>
      </w:r>
      <w:r w:rsidR="00C05434" w:rsidRPr="00C772BA">
        <w:t xml:space="preserve"> znanosti, obrazovanja i mladih i</w:t>
      </w:r>
      <w:r w:rsidR="00506471" w:rsidRPr="00C772BA">
        <w:t xml:space="preserve"> CARNET-a na provedbi edukativnih radionica i materijala namijenjenih učenicima</w:t>
      </w:r>
      <w:r w:rsidRPr="00C772BA">
        <w:t>,</w:t>
      </w:r>
      <w:r w:rsidR="00506471" w:rsidRPr="00C772BA">
        <w:t xml:space="preserve"> roditeljima i učiteljima u području </w:t>
      </w:r>
      <w:proofErr w:type="spellStart"/>
      <w:r w:rsidR="00506471" w:rsidRPr="00C772BA">
        <w:t>kibernetičke</w:t>
      </w:r>
      <w:proofErr w:type="spellEnd"/>
      <w:r w:rsidR="00506471" w:rsidRPr="00C772BA">
        <w:t xml:space="preserve"> sigurnosti i prevencije elektroničkog nasilja</w:t>
      </w:r>
    </w:p>
    <w:p w:rsidR="00506471" w:rsidRPr="00C772BA" w:rsidRDefault="00506471" w:rsidP="00C772BA">
      <w:pPr>
        <w:pStyle w:val="ListParagraph"/>
        <w:numPr>
          <w:ilvl w:val="0"/>
          <w:numId w:val="5"/>
        </w:numPr>
        <w:contextualSpacing w:val="0"/>
        <w:jc w:val="both"/>
      </w:pPr>
      <w:r w:rsidRPr="00C772BA">
        <w:t xml:space="preserve">Nacionalni plan razvoja sustava obrazovanja </w:t>
      </w:r>
      <w:r w:rsidR="005D616A" w:rsidRPr="00C772BA">
        <w:t xml:space="preserve">za razdoblje </w:t>
      </w:r>
      <w:r w:rsidRPr="00C772BA">
        <w:t xml:space="preserve">do 2027. godine, </w:t>
      </w:r>
      <w:r w:rsidR="005D616A" w:rsidRPr="00C772BA">
        <w:t xml:space="preserve">koji je Vlada Republike Hrvatske donijela na sjednici održanoj 22. ožujka 2023., a </w:t>
      </w:r>
      <w:r w:rsidRPr="00C772BA">
        <w:t>koji sadrži mjere razvoja digitalnih kompetencija, sigurnosti i medijske pismenosti</w:t>
      </w:r>
      <w:r w:rsidR="00B637F6" w:rsidRPr="00C772BA">
        <w:t>,</w:t>
      </w:r>
      <w:r w:rsidRPr="00C772BA">
        <w:t xml:space="preserve"> kao integralni dio suvremenog obrazovanja.</w:t>
      </w:r>
    </w:p>
    <w:p w:rsidR="00FD00D4" w:rsidRPr="00C772BA" w:rsidRDefault="00FD00D4" w:rsidP="00C772BA">
      <w:pPr>
        <w:jc w:val="both"/>
      </w:pPr>
    </w:p>
    <w:p w:rsidR="00FD00D4" w:rsidRPr="00C772BA" w:rsidRDefault="00FD00D4" w:rsidP="00C772BA">
      <w:pPr>
        <w:ind w:firstLine="1418"/>
        <w:jc w:val="both"/>
      </w:pPr>
      <w:r w:rsidRPr="00C772BA">
        <w:t>Također, sustav prevencije obuhvaća i preventivni projekt #</w:t>
      </w:r>
      <w:proofErr w:type="spellStart"/>
      <w:r w:rsidRPr="00C772BA">
        <w:t>sigurniONLINE</w:t>
      </w:r>
      <w:proofErr w:type="spellEnd"/>
      <w:r w:rsidRPr="00C772BA">
        <w:t xml:space="preserve"> koji </w:t>
      </w:r>
      <w:r w:rsidR="00800192" w:rsidRPr="00C772BA">
        <w:t xml:space="preserve">će </w:t>
      </w:r>
      <w:r w:rsidRPr="00C772BA">
        <w:t>provodi</w:t>
      </w:r>
      <w:r w:rsidR="00800192" w:rsidRPr="00C772BA">
        <w:t>ti</w:t>
      </w:r>
      <w:r w:rsidRPr="00C772BA">
        <w:t xml:space="preserve"> Ministarstvo unutarnjih poslova u suradnji s policijskim upravama i odgojno-obrazovnim ustanovama u Republici Hrvatskoj, radi prevencije štetnih i neprimjerenih ponašanja djece i mladih u digitalnom okruženju zbog sve izraženijih rizika i opasnosti kojima su djeca i mladi izloženi u digitalnom okruženju.</w:t>
      </w:r>
    </w:p>
    <w:p w:rsidR="005111AB" w:rsidRPr="00C772BA" w:rsidRDefault="005111AB" w:rsidP="00C772BA">
      <w:pPr>
        <w:jc w:val="both"/>
      </w:pPr>
    </w:p>
    <w:p w:rsidR="003802B0" w:rsidRPr="00C772BA" w:rsidRDefault="00EF7708" w:rsidP="00C772BA">
      <w:pPr>
        <w:ind w:firstLine="1418"/>
        <w:jc w:val="both"/>
      </w:pPr>
      <w:r w:rsidRPr="00C772BA">
        <w:t>Nadalje, Prijedlog</w:t>
      </w:r>
      <w:r w:rsidR="003802B0" w:rsidRPr="00C772BA">
        <w:t xml:space="preserve"> zakona </w:t>
      </w:r>
      <w:r w:rsidR="00E01D2D" w:rsidRPr="00C772BA">
        <w:t>predviđa obvezu</w:t>
      </w:r>
      <w:r w:rsidR="003802B0" w:rsidRPr="00C772BA">
        <w:t xml:space="preserve"> davatelja usluga da o prijavljenim sadržajima koji predstavljaju kaznena djela obavijeste nadležna tijela Republike Hrvatske, </w:t>
      </w:r>
      <w:r w:rsidR="00E01D2D" w:rsidRPr="00C772BA">
        <w:t xml:space="preserve">s tim u vezi </w:t>
      </w:r>
      <w:r w:rsidR="003802B0" w:rsidRPr="00C772BA">
        <w:t>ukazuje se da je obveza prijavljivanja kaznenih djela već propisana člankom 204. stavcima 1. i 2. Zakona o kaznenom postupku („Narodne novine“, br. 152/08., 76/09., 80/11., 121/11. - pročišć</w:t>
      </w:r>
      <w:r w:rsidR="00F4792B" w:rsidRPr="00C772BA">
        <w:t>e</w:t>
      </w:r>
      <w:r w:rsidR="003802B0" w:rsidRPr="00C772BA">
        <w:t xml:space="preserve">ni tekst, 91/12. - Odluka Ustavnog suda Republike Hrvatske, 143/12., 56/13., 145/13., 152/14., 70/17., 126/19. - Rješenje Ustavnog suda Republike Hrvatske, 126/19., </w:t>
      </w:r>
      <w:r w:rsidR="00B637F6" w:rsidRPr="00C772BA">
        <w:t xml:space="preserve">130/20. - Odluka i Rješenje Ustavnog suda Republike Hrvatske, </w:t>
      </w:r>
      <w:r w:rsidR="003802B0" w:rsidRPr="00C772BA">
        <w:t>80/22., 36/24.,72/25. i 13/26.), stoga je odredba članka 7. Prijedloga zakona suvišna.</w:t>
      </w:r>
    </w:p>
    <w:p w:rsidR="006A488E" w:rsidRPr="00C772BA" w:rsidRDefault="006A488E" w:rsidP="00C772BA">
      <w:pPr>
        <w:jc w:val="both"/>
      </w:pPr>
    </w:p>
    <w:p w:rsidR="006A488E" w:rsidRPr="00C772BA" w:rsidRDefault="006A488E" w:rsidP="00C772BA">
      <w:pPr>
        <w:jc w:val="both"/>
        <w:rPr>
          <w:b/>
        </w:rPr>
      </w:pPr>
      <w:r w:rsidRPr="00C772BA">
        <w:rPr>
          <w:b/>
        </w:rPr>
        <w:t>Ministarstvo zabranjuje korištenje mobitela u školama</w:t>
      </w:r>
    </w:p>
    <w:p w:rsidR="00506471" w:rsidRPr="00C772BA" w:rsidRDefault="00506471" w:rsidP="00C772BA">
      <w:pPr>
        <w:ind w:firstLine="1418"/>
        <w:jc w:val="both"/>
      </w:pPr>
    </w:p>
    <w:p w:rsidR="00506471" w:rsidRPr="00C772BA" w:rsidRDefault="00506471" w:rsidP="00C772BA">
      <w:pPr>
        <w:ind w:firstLine="1418"/>
        <w:jc w:val="both"/>
      </w:pPr>
      <w:r w:rsidRPr="00C772BA">
        <w:t xml:space="preserve">Predlagatelj u obrazloženju predlaže regulaciju niza pitanja koja se odnose na digitalnu sigurnost djece, uključujući korištenje mobilnih uređaja u školama, sigurnost školskih </w:t>
      </w:r>
      <w:r w:rsidRPr="00C772BA">
        <w:lastRenderedPageBreak/>
        <w:t>digitalnih sadržaja te korištenje društven</w:t>
      </w:r>
      <w:r w:rsidR="00EA4AC3" w:rsidRPr="00C772BA">
        <w:t>ih mreža</w:t>
      </w:r>
      <w:r w:rsidR="006A488E" w:rsidRPr="00C772BA">
        <w:t>, na čemu Vlada Republike Hrvatske već intenzivno radi.</w:t>
      </w:r>
    </w:p>
    <w:p w:rsidR="00C05434" w:rsidRPr="00C772BA" w:rsidRDefault="00C05434" w:rsidP="00C772BA">
      <w:pPr>
        <w:jc w:val="both"/>
      </w:pPr>
    </w:p>
    <w:p w:rsidR="00506471" w:rsidRPr="00C772BA" w:rsidRDefault="008170A0" w:rsidP="00C772BA">
      <w:pPr>
        <w:ind w:firstLine="1418"/>
        <w:jc w:val="both"/>
      </w:pPr>
      <w:r w:rsidRPr="00C772BA">
        <w:t xml:space="preserve">Kao važan korak u tom pogledu je izmjena </w:t>
      </w:r>
      <w:r w:rsidR="00BC6EF6" w:rsidRPr="00C772BA">
        <w:t xml:space="preserve"> Pravilnika o kriterijima za izricanje pedagoških mjera</w:t>
      </w:r>
      <w:r w:rsidRPr="00C772BA">
        <w:t xml:space="preserve"> </w:t>
      </w:r>
      <w:r w:rsidR="00BC6EF6" w:rsidRPr="00C772BA">
        <w:t>koji je u postupku donošenja</w:t>
      </w:r>
      <w:r w:rsidRPr="00C772BA">
        <w:t xml:space="preserve">. </w:t>
      </w:r>
      <w:r w:rsidR="0045172F" w:rsidRPr="00C772BA">
        <w:t>Izmjenama</w:t>
      </w:r>
      <w:r w:rsidRPr="00C772BA">
        <w:t xml:space="preserve"> se zabranjuje</w:t>
      </w:r>
      <w:r w:rsidR="00BC6EF6" w:rsidRPr="00C772BA">
        <w:t xml:space="preserve"> korištenje informacijsko-komunikacijskih uređaja u svim prostorima osnovne škole osim u edukativne, zdravstvene i druge svrhe uz odobrenje škole</w:t>
      </w:r>
      <w:r w:rsidRPr="00C772BA">
        <w:t>, a svako korištenje</w:t>
      </w:r>
      <w:r w:rsidR="00BC6EF6" w:rsidRPr="00C772BA">
        <w:t xml:space="preserve"> smatra</w:t>
      </w:r>
      <w:r w:rsidR="0045172F" w:rsidRPr="00C772BA">
        <w:t>t</w:t>
      </w:r>
      <w:r w:rsidR="00BC6EF6" w:rsidRPr="00C772BA">
        <w:t xml:space="preserve"> </w:t>
      </w:r>
      <w:r w:rsidR="0045172F" w:rsidRPr="00C772BA">
        <w:t xml:space="preserve">će </w:t>
      </w:r>
      <w:r w:rsidR="00BC6EF6" w:rsidRPr="00C772BA">
        <w:t xml:space="preserve">se neprihvatljivim ponašanjem </w:t>
      </w:r>
      <w:r w:rsidR="004638B5" w:rsidRPr="00C772BA">
        <w:t>na temelju kojeg se izriče pedagoška mjera.</w:t>
      </w:r>
      <w:r w:rsidR="0020606F" w:rsidRPr="00C772BA">
        <w:t xml:space="preserve"> U srednjim školama zabranjeno je korištenje </w:t>
      </w:r>
      <w:r w:rsidR="007C747C" w:rsidRPr="00C772BA">
        <w:t>informacijsk</w:t>
      </w:r>
      <w:r w:rsidR="00B637F6" w:rsidRPr="00C772BA">
        <w:t>o-</w:t>
      </w:r>
      <w:r w:rsidR="007C747C" w:rsidRPr="00C772BA">
        <w:t>komunikacijsk</w:t>
      </w:r>
      <w:r w:rsidR="00B637F6" w:rsidRPr="00C772BA">
        <w:t>ih uređaja</w:t>
      </w:r>
      <w:r w:rsidR="007C747C" w:rsidRPr="00C772BA">
        <w:t xml:space="preserve"> </w:t>
      </w:r>
      <w:r w:rsidR="0020606F" w:rsidRPr="00C772BA">
        <w:t>samo tijekom odgojno</w:t>
      </w:r>
      <w:r w:rsidR="005159B4" w:rsidRPr="00C772BA">
        <w:t>-</w:t>
      </w:r>
      <w:r w:rsidR="0020606F" w:rsidRPr="00C772BA">
        <w:t>obrazovnog rada jer bi zabrana i izvan nastave bila teško primjenjiva. Međutim</w:t>
      </w:r>
      <w:r w:rsidR="005159B4" w:rsidRPr="00C772BA">
        <w:t>,</w:t>
      </w:r>
      <w:r w:rsidR="0020606F" w:rsidRPr="00C772BA">
        <w:t xml:space="preserve"> ostavlja se mogućnost srednjim školama da vlastitim kućnim redom </w:t>
      </w:r>
      <w:r w:rsidR="003A405A" w:rsidRPr="00C772BA">
        <w:t xml:space="preserve">škole </w:t>
      </w:r>
      <w:r w:rsidR="0020606F" w:rsidRPr="00C772BA">
        <w:t xml:space="preserve">dodatno postrože pravila i zabrane upotrebu </w:t>
      </w:r>
      <w:r w:rsidR="00B637F6" w:rsidRPr="00C772BA">
        <w:t xml:space="preserve">informacijsko-komunikacijskih uređaja </w:t>
      </w:r>
      <w:r w:rsidR="0020606F" w:rsidRPr="00C772BA">
        <w:t>i izvan nastave</w:t>
      </w:r>
      <w:r w:rsidR="00392481" w:rsidRPr="00C772BA">
        <w:t>.</w:t>
      </w:r>
      <w:r w:rsidR="0020606F" w:rsidRPr="00C772BA">
        <w:t xml:space="preserve"> </w:t>
      </w:r>
    </w:p>
    <w:p w:rsidR="00D76876" w:rsidRPr="00C772BA" w:rsidRDefault="00D76876" w:rsidP="00C772BA">
      <w:pPr>
        <w:jc w:val="both"/>
        <w:rPr>
          <w:strike/>
        </w:rPr>
      </w:pPr>
    </w:p>
    <w:p w:rsidR="00E00BD0" w:rsidRPr="00C772BA" w:rsidRDefault="00E00BD0" w:rsidP="00C772BA">
      <w:pPr>
        <w:jc w:val="both"/>
        <w:rPr>
          <w:b/>
        </w:rPr>
      </w:pPr>
      <w:r w:rsidRPr="00C772BA">
        <w:rPr>
          <w:b/>
        </w:rPr>
        <w:t>Sigurnost digitalnih mreža</w:t>
      </w:r>
    </w:p>
    <w:p w:rsidR="0045172F" w:rsidRPr="00C772BA" w:rsidRDefault="0045172F" w:rsidP="00C772BA">
      <w:pPr>
        <w:jc w:val="both"/>
        <w:rPr>
          <w:b/>
        </w:rPr>
      </w:pPr>
    </w:p>
    <w:p w:rsidR="0020606F" w:rsidRPr="00C772BA" w:rsidRDefault="00A436CF" w:rsidP="00C772BA">
      <w:pPr>
        <w:ind w:firstLine="1418"/>
        <w:jc w:val="both"/>
      </w:pPr>
      <w:r w:rsidRPr="00C772BA">
        <w:t>Sigurnost</w:t>
      </w:r>
      <w:r w:rsidR="00EF7708" w:rsidRPr="00C772BA">
        <w:t xml:space="preserve"> školskih digitalnih mreža također je već</w:t>
      </w:r>
      <w:r w:rsidR="00506471" w:rsidRPr="00C772BA">
        <w:t xml:space="preserve"> osigurana kroz sustave koje razvijaju i održavaju Ministarstvo</w:t>
      </w:r>
      <w:r w:rsidR="001809FF" w:rsidRPr="00C772BA">
        <w:t xml:space="preserve"> znanosti, obrazovanja i mladih</w:t>
      </w:r>
      <w:r w:rsidR="00506471" w:rsidRPr="00C772BA">
        <w:t xml:space="preserve"> i CARNET, uključujući: program e-Škole, AAI@Edu.hr sustav (</w:t>
      </w:r>
      <w:proofErr w:type="spellStart"/>
      <w:r w:rsidR="00506471" w:rsidRPr="00C772BA">
        <w:t>autentifikacija</w:t>
      </w:r>
      <w:proofErr w:type="spellEnd"/>
      <w:r w:rsidR="00506471" w:rsidRPr="00C772BA">
        <w:t xml:space="preserve"> korisnika INTERNO</w:t>
      </w:r>
      <w:r w:rsidRPr="00C772BA">
        <w:t xml:space="preserve"> </w:t>
      </w:r>
      <w:r w:rsidR="00506471" w:rsidRPr="00C772BA">
        <w:t xml:space="preserve">i kontrola pristupa) i sigurnosne standarde i protokole za digitalne obrazovne alate i sadržaje. Ovi sustavi su u skladu </w:t>
      </w:r>
      <w:r w:rsidRPr="00C772BA">
        <w:t>s</w:t>
      </w:r>
      <w:r w:rsidR="004B7027" w:rsidRPr="00C772BA">
        <w:t>a</w:t>
      </w:r>
      <w:r w:rsidRPr="00C772BA">
        <w:t xml:space="preserve"> Zakonom o informacijskoj sigurn</w:t>
      </w:r>
      <w:r w:rsidR="00506471" w:rsidRPr="00C772BA">
        <w:t>osti</w:t>
      </w:r>
      <w:r w:rsidR="004B7027" w:rsidRPr="00C772BA">
        <w:t xml:space="preserve"> („Narodne novine“, br. 79/07. i 14/24.)</w:t>
      </w:r>
      <w:r w:rsidR="00572B89" w:rsidRPr="00C772BA">
        <w:t xml:space="preserve"> i</w:t>
      </w:r>
      <w:r w:rsidR="00506471" w:rsidRPr="00C772BA">
        <w:t xml:space="preserve"> Zakonom o </w:t>
      </w:r>
      <w:r w:rsidR="00572B89" w:rsidRPr="00C772BA">
        <w:t>provedbi Opće uredbe o zaštiti podataka</w:t>
      </w:r>
      <w:r w:rsidR="009C5E83" w:rsidRPr="00C772BA">
        <w:t xml:space="preserve"> </w:t>
      </w:r>
      <w:r w:rsidR="00572B89" w:rsidRPr="00C772BA">
        <w:t>(„Narodne novine“, br</w:t>
      </w:r>
      <w:r w:rsidR="00EF18C6" w:rsidRPr="00C772BA">
        <w:t>oj</w:t>
      </w:r>
      <w:r w:rsidR="00572B89" w:rsidRPr="00C772BA">
        <w:t xml:space="preserve"> 42/18</w:t>
      </w:r>
      <w:r w:rsidR="00EF18C6" w:rsidRPr="00C772BA">
        <w:t>.</w:t>
      </w:r>
      <w:r w:rsidR="00572B89" w:rsidRPr="00C772BA">
        <w:t>)</w:t>
      </w:r>
      <w:r w:rsidR="00506471" w:rsidRPr="00C772BA">
        <w:t xml:space="preserve">, a </w:t>
      </w:r>
      <w:r w:rsidRPr="00C772BA">
        <w:t>redovito se provode i sigurn</w:t>
      </w:r>
      <w:r w:rsidR="00506471" w:rsidRPr="00C772BA">
        <w:t xml:space="preserve">osne provjere. </w:t>
      </w:r>
    </w:p>
    <w:p w:rsidR="00A72841" w:rsidRPr="00C772BA" w:rsidRDefault="00A72841" w:rsidP="00C772BA">
      <w:pPr>
        <w:jc w:val="both"/>
      </w:pPr>
    </w:p>
    <w:p w:rsidR="00506471" w:rsidRPr="00C772BA" w:rsidRDefault="00A72841" w:rsidP="00C772BA">
      <w:pPr>
        <w:ind w:firstLine="1418"/>
        <w:jc w:val="both"/>
      </w:pPr>
      <w:r w:rsidRPr="00C772BA">
        <w:t>Nadležno ministarstvo također</w:t>
      </w:r>
      <w:r w:rsidR="00506471" w:rsidRPr="00C772BA">
        <w:t xml:space="preserve"> aktivno provodi preventivne i edukativne aktivnosti kojima se učenici, roditelji i učitelji potiču na odgovorno i sigurno korištenje digitalnih alata i društvenih mreža.</w:t>
      </w:r>
    </w:p>
    <w:p w:rsidR="00594ED6" w:rsidRPr="00C772BA" w:rsidRDefault="00594ED6" w:rsidP="00C772BA">
      <w:pPr>
        <w:ind w:firstLine="1418"/>
        <w:jc w:val="both"/>
      </w:pPr>
    </w:p>
    <w:p w:rsidR="00E00BD0" w:rsidRPr="00C772BA" w:rsidRDefault="00594ED6" w:rsidP="00C772BA">
      <w:pPr>
        <w:ind w:firstLine="1418"/>
        <w:jc w:val="both"/>
      </w:pPr>
      <w:r w:rsidRPr="00C772BA">
        <w:t>Konkretne mjere prevencije, edukacije i suradnje s relevantnim tijelima provode se putem Protokola o postupanju u slučaju nasilja među djecom i mladima, koji je Vlada Republike Hrvatske donijela na sjednici održanoj 15. travnja 2024., a koji uključuje i postupanje u slučajevima elektroničkog i digitalnog nasilja; Nacionalnog plana za prava djece u Republici Hrvatskoj za razdoblje od 2022. do 2026. godine</w:t>
      </w:r>
      <w:r w:rsidRPr="00C772BA" w:rsidDel="0020517A">
        <w:t xml:space="preserve"> </w:t>
      </w:r>
      <w:r w:rsidRPr="00C772BA">
        <w:t>i pripadajućeg Akcijskog plana, u kojima su definirane mjere za prevenciju i suzbijanje nasilja u digitalnom okruženju; Nacionalnog plana razvoja sustava obrazovanja za razdoblje do 2027. godine, koji predviđa edukaciju nastavnika o prepoznavanju i reagiranju na oblike nasilja u digitalnom prostoru.</w:t>
      </w:r>
    </w:p>
    <w:p w:rsidR="00480F76" w:rsidRPr="00C772BA" w:rsidRDefault="00480F76" w:rsidP="00C772BA">
      <w:pPr>
        <w:ind w:firstLine="1418"/>
        <w:jc w:val="both"/>
      </w:pPr>
    </w:p>
    <w:p w:rsidR="00480F76" w:rsidRPr="00C772BA" w:rsidRDefault="00480F76" w:rsidP="00C772BA">
      <w:pPr>
        <w:jc w:val="both"/>
        <w:rPr>
          <w:b/>
          <w:bCs/>
        </w:rPr>
      </w:pPr>
      <w:r w:rsidRPr="00C772BA">
        <w:rPr>
          <w:b/>
          <w:bCs/>
        </w:rPr>
        <w:t>Upotreba umjetne inteligencije</w:t>
      </w:r>
    </w:p>
    <w:p w:rsidR="00480F76" w:rsidRPr="00C772BA" w:rsidRDefault="00480F76" w:rsidP="00C772BA">
      <w:pPr>
        <w:jc w:val="both"/>
      </w:pPr>
    </w:p>
    <w:p w:rsidR="00480F76" w:rsidRPr="00C772BA" w:rsidRDefault="00480F76" w:rsidP="00C772BA">
      <w:pPr>
        <w:ind w:firstLine="1418"/>
        <w:jc w:val="both"/>
      </w:pPr>
      <w:r w:rsidRPr="00C772BA">
        <w:t xml:space="preserve">Uredba (EU) 2024/1689 </w:t>
      </w:r>
      <w:r w:rsidR="00EF18C6" w:rsidRPr="00C772BA">
        <w:t xml:space="preserve">Europskog parlamenta i Vijeća od 13. lipnja 2024. o utvrđivanju usklađenih pravila o umjetnoj inteligenciji i o izmjeni uredaba (EZ) br. 300/2008, (EU) br. 167/2013, (EU) br. 168/2013, (EU) 2018/858, (EU) 2018/1139 i (EU) 2019/2144 te direktiva 2014/90/EU, (EU) 2016/797 i (EU) 2020/1828 (Akt o umjetnoj inteligenciji) </w:t>
      </w:r>
      <w:r w:rsidRPr="00C772BA">
        <w:t>(AI Akt) dodatno jača zaštitu maloljetnika kroz zabranu sustava koji koriste manipulativne ili podsvjesne tehnike te onih koji iskorištavaju ranjivosti osoba zbog njihove dobi, kao i kroz obveze upravljanja rizicima i zaštite temeljnih prava. Iako AI Akt ne sadrži posebno poglavlje o djeci, koncept ranjivih skupina i zaštite temeljnih prava obuhvaća i maloljetnike, osobito u kontekstu algoritamskih sustava preporuka i personalizacije sadržaja na digitalnim platformama.</w:t>
      </w:r>
    </w:p>
    <w:p w:rsidR="00480F76" w:rsidRDefault="00480F76" w:rsidP="00C772BA">
      <w:pPr>
        <w:ind w:firstLine="1418"/>
        <w:jc w:val="both"/>
      </w:pPr>
    </w:p>
    <w:p w:rsidR="00C772BA" w:rsidRDefault="00C772BA" w:rsidP="00C772BA">
      <w:pPr>
        <w:ind w:firstLine="1418"/>
        <w:jc w:val="both"/>
      </w:pPr>
    </w:p>
    <w:p w:rsidR="00C772BA" w:rsidRPr="00C772BA" w:rsidRDefault="00C772BA" w:rsidP="00C772BA">
      <w:pPr>
        <w:ind w:firstLine="1418"/>
        <w:jc w:val="both"/>
      </w:pPr>
    </w:p>
    <w:p w:rsidR="00480F76" w:rsidRPr="00C772BA" w:rsidRDefault="00480F76" w:rsidP="00C772BA">
      <w:pPr>
        <w:ind w:firstLine="1418"/>
        <w:jc w:val="both"/>
      </w:pPr>
      <w:r w:rsidRPr="00C772BA">
        <w:lastRenderedPageBreak/>
        <w:t xml:space="preserve">Zaštita djece u digitalnom prostoru normativno je obuhvaćena sustavom europskih pravila koji, među ostalim, uključuje DSA, AI Akt i Opću uredbu o zaštiti podataka (GDPR). Taj sustav temelji se na načelima proporcionalnosti, tehnološke neutralnosti, procjene rizika i koordinirane provedbe na razini </w:t>
      </w:r>
      <w:r w:rsidR="002F5DA3" w:rsidRPr="00C772BA">
        <w:t>Europske u</w:t>
      </w:r>
      <w:r w:rsidRPr="00C772BA">
        <w:t xml:space="preserve">nije. </w:t>
      </w:r>
    </w:p>
    <w:p w:rsidR="00480F76" w:rsidRPr="00C772BA" w:rsidRDefault="00480F76" w:rsidP="00C772BA">
      <w:pPr>
        <w:ind w:firstLine="1418"/>
        <w:jc w:val="both"/>
      </w:pPr>
    </w:p>
    <w:p w:rsidR="00480F76" w:rsidRPr="00C772BA" w:rsidRDefault="00480F76" w:rsidP="00C772BA">
      <w:pPr>
        <w:ind w:firstLine="1418"/>
        <w:jc w:val="both"/>
      </w:pPr>
      <w:r w:rsidRPr="00C772BA">
        <w:t>Dodatno, na razini Vijeća Europske unije u tijeku su rasprave o jačanju zaštite maloljetnika, uključujući pitanja digitalne dobi, provjere dobi i standarda dizajna platformi primjerenog dobi, pri čemu se polazi od postojećeg zakonodavnog temelja i mogućeg daljnjeg razvoja europskog regulatornog okvira.</w:t>
      </w:r>
    </w:p>
    <w:p w:rsidR="00C33231" w:rsidRPr="00C772BA" w:rsidRDefault="00C33231" w:rsidP="00C772BA">
      <w:pPr>
        <w:ind w:firstLine="1418"/>
        <w:jc w:val="both"/>
      </w:pPr>
    </w:p>
    <w:p w:rsidR="0087476B" w:rsidRPr="00C772BA" w:rsidRDefault="000A66E5" w:rsidP="00C772BA">
      <w:pPr>
        <w:ind w:firstLine="1418"/>
        <w:jc w:val="both"/>
      </w:pPr>
      <w:r w:rsidRPr="00C772BA">
        <w:t xml:space="preserve">Slijedom navedenoga, </w:t>
      </w:r>
      <w:r w:rsidR="00BC44BA">
        <w:t>p</w:t>
      </w:r>
      <w:r w:rsidR="00506471" w:rsidRPr="00C772BA">
        <w:t>redloženi zakon u velikoj se mjeri preklapa s postojećim zakonodavnim i strateškim rješenjima i zadire u nadležnosti više resora (Ministarstva unutarnji</w:t>
      </w:r>
      <w:r w:rsidR="00A436CF" w:rsidRPr="00C772BA">
        <w:t>h poslova, Ministarstva pravosuđ</w:t>
      </w:r>
      <w:r w:rsidR="00506471" w:rsidRPr="00C772BA">
        <w:t xml:space="preserve">a, uprave i digitalne </w:t>
      </w:r>
      <w:r w:rsidR="00A436CF" w:rsidRPr="00C772BA">
        <w:t>transformacije</w:t>
      </w:r>
      <w:r w:rsidR="00506471" w:rsidRPr="00C772BA">
        <w:t xml:space="preserve"> te Ministarstva znan</w:t>
      </w:r>
      <w:r w:rsidR="0064404B" w:rsidRPr="00C772BA">
        <w:t>osti, obrazovanja i mladih) te bi isti</w:t>
      </w:r>
      <w:r w:rsidR="00506471" w:rsidRPr="00C772BA">
        <w:t xml:space="preserve"> </w:t>
      </w:r>
      <w:r w:rsidR="0064404B" w:rsidRPr="00C772BA">
        <w:t xml:space="preserve">doveo </w:t>
      </w:r>
      <w:r w:rsidR="00506471" w:rsidRPr="00C772BA">
        <w:t>do nejasne podjele odgovornosti i administrativnog opterećenja bez stvarnog učinka.</w:t>
      </w:r>
      <w:r w:rsidR="00594ED6" w:rsidRPr="00C772BA">
        <w:t xml:space="preserve"> </w:t>
      </w:r>
    </w:p>
    <w:p w:rsidR="00340BBA" w:rsidRPr="00C772BA" w:rsidRDefault="00340BBA" w:rsidP="00C772BA">
      <w:pPr>
        <w:ind w:firstLine="1418"/>
        <w:jc w:val="both"/>
      </w:pPr>
    </w:p>
    <w:p w:rsidR="005628C9" w:rsidRPr="00C772BA" w:rsidRDefault="00BE2C61" w:rsidP="00C772BA">
      <w:pPr>
        <w:ind w:firstLine="1418"/>
        <w:jc w:val="both"/>
      </w:pPr>
      <w:r w:rsidRPr="00C772BA">
        <w:rPr>
          <w:noProof/>
        </w:rPr>
        <w:drawing>
          <wp:anchor distT="0" distB="0" distL="114300" distR="114300" simplePos="0" relativeHeight="251657728" behindDoc="0" locked="0" layoutInCell="1" allowOverlap="0" wp14:anchorId="2EC14CAA" wp14:editId="0ED0BC92">
            <wp:simplePos x="0" y="0"/>
            <wp:positionH relativeFrom="page">
              <wp:posOffset>7028815</wp:posOffset>
            </wp:positionH>
            <wp:positionV relativeFrom="page">
              <wp:posOffset>3427095</wp:posOffset>
            </wp:positionV>
            <wp:extent cx="6350" cy="6350"/>
            <wp:effectExtent l="0" t="0" r="0" b="0"/>
            <wp:wrapSquare wrapText="bothSides"/>
            <wp:docPr id="6" name="Picture 4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8C9" w:rsidRPr="00C772BA">
        <w:t>U dostavljenom</w:t>
      </w:r>
      <w:r w:rsidR="00297F7D" w:rsidRPr="00C772BA">
        <w:t xml:space="preserve"> </w:t>
      </w:r>
      <w:r w:rsidR="00EC3C4F" w:rsidRPr="00C772BA">
        <w:t xml:space="preserve">tekstu Prijedloga zakona </w:t>
      </w:r>
      <w:r w:rsidR="00297F7D" w:rsidRPr="00C772BA">
        <w:t>uoč</w:t>
      </w:r>
      <w:r w:rsidR="005628C9" w:rsidRPr="00C772BA">
        <w:t>ava se da je</w:t>
      </w:r>
      <w:r w:rsidR="00577C7E" w:rsidRPr="00C772BA">
        <w:t xml:space="preserve"> predmetna </w:t>
      </w:r>
      <w:r w:rsidR="005628C9" w:rsidRPr="00C772BA">
        <w:t>tem</w:t>
      </w:r>
      <w:r w:rsidR="00297F7D" w:rsidRPr="00C772BA">
        <w:t>atika obrađena opć</w:t>
      </w:r>
      <w:r w:rsidR="005628C9" w:rsidRPr="00C772BA">
        <w:t>enito,</w:t>
      </w:r>
      <w:r w:rsidR="00297F7D" w:rsidRPr="00C772BA">
        <w:t xml:space="preserve"> bez jasne kategorizacije različ</w:t>
      </w:r>
      <w:r w:rsidR="005628C9" w:rsidRPr="00C772BA">
        <w:t>itih vrsta digitalnih sadržaja i aktivnosti. Takav pristup otežava razumijevanje i provedbu propi</w:t>
      </w:r>
      <w:r w:rsidR="00297F7D" w:rsidRPr="00C772BA">
        <w:t>sanih mjera zaštite te ne omoguć</w:t>
      </w:r>
      <w:r w:rsidR="005628C9" w:rsidRPr="00C772BA">
        <w:t xml:space="preserve">uje dovoljno precizno prepoznavanje </w:t>
      </w:r>
      <w:r w:rsidR="00297F7D" w:rsidRPr="00C772BA">
        <w:t>specifičnih</w:t>
      </w:r>
      <w:r w:rsidR="005628C9" w:rsidRPr="00C772BA">
        <w:t xml:space="preserve"> rizika kojima su djeca i mladi izloženi u digitalnom prostoru.</w:t>
      </w:r>
    </w:p>
    <w:p w:rsidR="00DE222F" w:rsidRPr="00C772BA" w:rsidRDefault="00DE222F" w:rsidP="00C772BA">
      <w:pPr>
        <w:ind w:firstLine="1418"/>
        <w:jc w:val="both"/>
      </w:pPr>
    </w:p>
    <w:p w:rsidR="00DE222F" w:rsidRPr="00C772BA" w:rsidRDefault="00DE222F" w:rsidP="00C772BA">
      <w:pPr>
        <w:ind w:firstLine="1418"/>
        <w:jc w:val="both"/>
      </w:pPr>
      <w:r w:rsidRPr="00C772BA">
        <w:t>Nadalje, napominje se da Prijedlog zakona nije sastavljen u skladu s odredbama Jedinstvenih metodološko-</w:t>
      </w:r>
      <w:proofErr w:type="spellStart"/>
      <w:r w:rsidRPr="00C772BA">
        <w:t>nomotehničkih</w:t>
      </w:r>
      <w:proofErr w:type="spellEnd"/>
      <w:r w:rsidRPr="00C772BA">
        <w:t xml:space="preserve"> pravila za izradu akata koje donosi Hrvatski sabor („Narodne novine“, broj 74/15.</w:t>
      </w:r>
      <w:r w:rsidR="007E5B75" w:rsidRPr="00C772BA">
        <w:t>)</w:t>
      </w:r>
      <w:r w:rsidR="00231952">
        <w:t>, n</w:t>
      </w:r>
      <w:r w:rsidR="00577C7E" w:rsidRPr="00C772BA">
        <w:t xml:space="preserve">iti je </w:t>
      </w:r>
      <w:r w:rsidRPr="00C772BA">
        <w:t xml:space="preserve">usklađen s </w:t>
      </w:r>
      <w:r w:rsidR="00577C7E" w:rsidRPr="00C772BA">
        <w:t xml:space="preserve">odredbama </w:t>
      </w:r>
      <w:r w:rsidRPr="00C772BA">
        <w:t>Prekršajnog zakona („Narodne novine“, br. 107/07., 39/13., 157/13., 110/15., 70/17., 118/18. i 114/22.).</w:t>
      </w:r>
    </w:p>
    <w:p w:rsidR="00CD498B" w:rsidRPr="00C772BA" w:rsidRDefault="00CD498B" w:rsidP="00C772BA">
      <w:pPr>
        <w:ind w:firstLine="1418"/>
        <w:jc w:val="both"/>
      </w:pPr>
    </w:p>
    <w:p w:rsidR="005628C9" w:rsidRPr="00C772BA" w:rsidRDefault="00DB634A" w:rsidP="00C772BA">
      <w:pPr>
        <w:ind w:firstLine="1418"/>
        <w:jc w:val="both"/>
      </w:pPr>
      <w:r w:rsidRPr="00C772BA">
        <w:t>Vlada Republike Hrvatske m</w:t>
      </w:r>
      <w:r w:rsidR="005628C9" w:rsidRPr="00C772BA">
        <w:t xml:space="preserve">išljenja </w:t>
      </w:r>
      <w:r w:rsidRPr="00C772BA">
        <w:t xml:space="preserve">je </w:t>
      </w:r>
      <w:r w:rsidR="005628C9" w:rsidRPr="00C772BA">
        <w:t xml:space="preserve">da za </w:t>
      </w:r>
      <w:r w:rsidR="00297F7D" w:rsidRPr="00C772BA">
        <w:t>učinkovitije</w:t>
      </w:r>
      <w:r w:rsidR="005628C9" w:rsidRPr="00C772BA">
        <w:t xml:space="preserve"> normativno </w:t>
      </w:r>
      <w:r w:rsidR="00297F7D" w:rsidRPr="00C772BA">
        <w:t>uređenje</w:t>
      </w:r>
      <w:r w:rsidR="005628C9" w:rsidRPr="00C772BA">
        <w:t xml:space="preserve"> u Prijedlogu zakona nedostaje jasno </w:t>
      </w:r>
      <w:r w:rsidR="00297F7D" w:rsidRPr="00C772BA">
        <w:t>razgraničenje</w:t>
      </w:r>
      <w:r w:rsidR="005628C9" w:rsidRPr="00C772BA">
        <w:t xml:space="preserve"> i definiranje </w:t>
      </w:r>
      <w:r w:rsidR="00297F7D" w:rsidRPr="00C772BA">
        <w:t>ključnih</w:t>
      </w:r>
      <w:r w:rsidR="005628C9" w:rsidRPr="00C772BA">
        <w:t xml:space="preserve"> kategorija digitalnog sadržaja i aktivnosti, primjerice: društvene mreže, internetski multimedijalni i informacijski sadržaji koji mogu imati štetne </w:t>
      </w:r>
      <w:r w:rsidR="00297F7D" w:rsidRPr="00C772BA">
        <w:t>učinke</w:t>
      </w:r>
      <w:r w:rsidR="005628C9" w:rsidRPr="00C772BA">
        <w:t xml:space="preserve">, online igranje video igara te online kockanje i elementi kockanja u </w:t>
      </w:r>
      <w:r w:rsidR="00572B89" w:rsidRPr="00C772BA">
        <w:t>v</w:t>
      </w:r>
      <w:r w:rsidR="005628C9" w:rsidRPr="00C772BA">
        <w:t>ideo igrama.</w:t>
      </w:r>
    </w:p>
    <w:p w:rsidR="0034716F" w:rsidRPr="00C772BA" w:rsidRDefault="0034716F" w:rsidP="00C772BA">
      <w:pPr>
        <w:ind w:firstLine="1418"/>
        <w:jc w:val="both"/>
      </w:pPr>
    </w:p>
    <w:p w:rsidR="005628C9" w:rsidRPr="00C772BA" w:rsidRDefault="0028430D" w:rsidP="00C772BA">
      <w:pPr>
        <w:ind w:firstLine="1418"/>
        <w:jc w:val="both"/>
      </w:pPr>
      <w:r w:rsidRPr="00C772BA">
        <w:t xml:space="preserve">Zaključno, </w:t>
      </w:r>
      <w:r w:rsidR="00AD251E" w:rsidRPr="00C772BA">
        <w:t xml:space="preserve">razvidno je </w:t>
      </w:r>
      <w:r w:rsidR="005628C9" w:rsidRPr="00C772BA">
        <w:t xml:space="preserve">da Prijedlog zakona ima brojne nedostatke posebno jer ne </w:t>
      </w:r>
      <w:r w:rsidR="00297F7D" w:rsidRPr="00C772BA">
        <w:t>uključuje</w:t>
      </w:r>
      <w:r w:rsidR="005628C9" w:rsidRPr="00C772BA">
        <w:t xml:space="preserve"> integrirani interdisciplinarni pristup koji </w:t>
      </w:r>
      <w:r w:rsidR="00297F7D" w:rsidRPr="00C772BA">
        <w:t>uključuje</w:t>
      </w:r>
      <w:r w:rsidR="005628C9" w:rsidRPr="00C772BA">
        <w:t xml:space="preserve"> javnozdravstvenu, edukacijsku i psihoso</w:t>
      </w:r>
      <w:r w:rsidRPr="00C772BA">
        <w:t xml:space="preserve">cijalnu dimenziju zaštite djece te isti nije usklađen s europskim zakonodavnim okvirom </w:t>
      </w:r>
      <w:r w:rsidR="004B13E3" w:rsidRPr="00C772BA">
        <w:t xml:space="preserve">(Uredbom (EU) 2022/2065 </w:t>
      </w:r>
      <w:r w:rsidR="005933A7" w:rsidRPr="00C772BA">
        <w:t>Europskog parlamenta i Vijeća</w:t>
      </w:r>
      <w:r w:rsidR="004B13E3" w:rsidRPr="00C772BA">
        <w:t xml:space="preserve"> od 19. listopada 2022. o jedinstvenom tržištu digitalnih usluga i izmjeni Direktive 2000/31/EZ (Akt o digitalnim uslugama) te Uredbom (EU) 2016/679 Europskog parlamenta i Vijeća od 27. travnja 2016. o zaštiti pojedinaca u vezi s obradom osobnih podataka i o slobodnom kretanju takvih podataka te o stavljanju izvan snage Direktive 95/46/EZ (Opća uredba o zaštiti podataka).</w:t>
      </w:r>
      <w:r w:rsidR="005628C9" w:rsidRPr="00C772BA">
        <w:t xml:space="preserve"> </w:t>
      </w:r>
      <w:r w:rsidR="004B13E3" w:rsidRPr="00C772BA">
        <w:t>Stoga</w:t>
      </w:r>
      <w:r w:rsidR="00AD251E" w:rsidRPr="00C772BA">
        <w:t xml:space="preserve"> </w:t>
      </w:r>
      <w:r w:rsidR="00A72841" w:rsidRPr="00C772BA">
        <w:t>Vlada Republike Hrvatske smatra</w:t>
      </w:r>
      <w:r w:rsidR="004B13E3" w:rsidRPr="00C772BA">
        <w:t xml:space="preserve"> da bi samo cjeloviti</w:t>
      </w:r>
      <w:r w:rsidR="005628C9" w:rsidRPr="00C772BA">
        <w:t xml:space="preserve"> pristup </w:t>
      </w:r>
      <w:r w:rsidR="00297F7D" w:rsidRPr="00C772BA">
        <w:t>omogućio</w:t>
      </w:r>
      <w:r w:rsidR="004B13E3" w:rsidRPr="00C772BA">
        <w:t xml:space="preserve"> adekvatan</w:t>
      </w:r>
      <w:r w:rsidR="005628C9" w:rsidRPr="00C772BA">
        <w:t xml:space="preserve"> odgovor na suvremene digitalne izazove, utemeljen na dokazima i </w:t>
      </w:r>
      <w:r w:rsidR="00297F7D" w:rsidRPr="00C772BA">
        <w:t>međunarodno</w:t>
      </w:r>
      <w:r w:rsidR="005628C9" w:rsidRPr="00C772BA">
        <w:t xml:space="preserve"> </w:t>
      </w:r>
      <w:r w:rsidR="00297F7D" w:rsidRPr="00C772BA">
        <w:t>prihvaćenim</w:t>
      </w:r>
      <w:r w:rsidR="005628C9" w:rsidRPr="00C772BA">
        <w:t xml:space="preserve"> standardima zaštite djece i mladih u digitalnom prostoru, a što dostavljeni Prijedlog zakona nema.</w:t>
      </w:r>
    </w:p>
    <w:p w:rsidR="005628C9" w:rsidRPr="00C772BA" w:rsidRDefault="005628C9" w:rsidP="00C772BA">
      <w:pPr>
        <w:ind w:firstLine="1418"/>
        <w:jc w:val="both"/>
      </w:pPr>
    </w:p>
    <w:p w:rsidR="00506471" w:rsidRPr="00C772BA" w:rsidRDefault="0067703B" w:rsidP="00C772BA">
      <w:pPr>
        <w:ind w:firstLine="1418"/>
        <w:jc w:val="both"/>
      </w:pPr>
      <w:r w:rsidRPr="00C772BA">
        <w:t>Vlada Republike Hrvatske</w:t>
      </w:r>
      <w:r w:rsidR="00506471" w:rsidRPr="00C772BA">
        <w:t xml:space="preserve"> će i nadalje sustavno djelovati na jačanju digitalne pismenosti i </w:t>
      </w:r>
      <w:r w:rsidRPr="00C772BA">
        <w:t>sigurnosti</w:t>
      </w:r>
      <w:r w:rsidR="00506471" w:rsidRPr="00C772BA">
        <w:t xml:space="preserve"> djece, poticanju razvoja kompetencija učenika i nastavnika te </w:t>
      </w:r>
      <w:r w:rsidRPr="00C772BA">
        <w:t>unaprjeđenju</w:t>
      </w:r>
      <w:r w:rsidR="00506471" w:rsidRPr="00C772BA">
        <w:t xml:space="preserve"> </w:t>
      </w:r>
      <w:r w:rsidRPr="00C772BA">
        <w:t>digitalne infrastrukture i sigurn</w:t>
      </w:r>
      <w:r w:rsidR="00506471" w:rsidRPr="00C772BA">
        <w:t xml:space="preserve">ih obrazovnih sadržaja u skladu s ciljevima Strategije digitalne Hrvatske </w:t>
      </w:r>
      <w:r w:rsidR="00AD251E" w:rsidRPr="00C772BA">
        <w:t xml:space="preserve">za razdoblje do </w:t>
      </w:r>
      <w:r w:rsidR="00506471" w:rsidRPr="00C772BA">
        <w:t xml:space="preserve">2032. </w:t>
      </w:r>
      <w:r w:rsidR="00AD251E" w:rsidRPr="00C772BA">
        <w:t xml:space="preserve">godine </w:t>
      </w:r>
      <w:r w:rsidR="00506471" w:rsidRPr="00C772BA">
        <w:t xml:space="preserve">i Nacionalnog plana razvoja sustava obrazovanja </w:t>
      </w:r>
      <w:r w:rsidR="00AD251E" w:rsidRPr="00C772BA">
        <w:t xml:space="preserve">za razdoblje </w:t>
      </w:r>
      <w:r w:rsidR="00506471" w:rsidRPr="00C772BA">
        <w:t>do 2027. godine.</w:t>
      </w:r>
    </w:p>
    <w:p w:rsidR="003206C8" w:rsidRDefault="003206C8" w:rsidP="00C772BA">
      <w:pPr>
        <w:jc w:val="both"/>
      </w:pPr>
    </w:p>
    <w:p w:rsidR="00C772BA" w:rsidRPr="00C772BA" w:rsidRDefault="00C772BA" w:rsidP="00C772BA">
      <w:pPr>
        <w:jc w:val="both"/>
      </w:pPr>
    </w:p>
    <w:p w:rsidR="003206C8" w:rsidRPr="00C772BA" w:rsidRDefault="003206C8" w:rsidP="00C772BA">
      <w:pPr>
        <w:ind w:firstLine="1418"/>
        <w:jc w:val="both"/>
      </w:pPr>
      <w:r w:rsidRPr="00C772BA">
        <w:t>Slijedom navedenoga, Vlada</w:t>
      </w:r>
      <w:r w:rsidR="00403039" w:rsidRPr="00C772BA">
        <w:t xml:space="preserve"> Republike Hrvatske ne podržava </w:t>
      </w:r>
      <w:r w:rsidRPr="00C772BA">
        <w:t xml:space="preserve">Prijedlog zakona. </w:t>
      </w:r>
    </w:p>
    <w:p w:rsidR="003206C8" w:rsidRPr="00C772BA" w:rsidRDefault="003206C8" w:rsidP="00C772BA">
      <w:pPr>
        <w:ind w:firstLine="708"/>
        <w:jc w:val="both"/>
      </w:pPr>
    </w:p>
    <w:p w:rsidR="003206C8" w:rsidRPr="00C772BA" w:rsidRDefault="003206C8" w:rsidP="00C772BA">
      <w:pPr>
        <w:ind w:firstLine="1418"/>
        <w:jc w:val="both"/>
      </w:pPr>
      <w:r w:rsidRPr="00C772BA">
        <w:t xml:space="preserve">Za svoje predstavnike, koji će u vezi s iznesenim mišljenjem biti nazočni na sjednicama Hrvatskoga sabora i njegovih radnih tijela, Vlada je odredila ministra znanosti, obrazovanja i mladih dr. </w:t>
      </w:r>
      <w:proofErr w:type="spellStart"/>
      <w:r w:rsidRPr="00C772BA">
        <w:t>sc</w:t>
      </w:r>
      <w:proofErr w:type="spellEnd"/>
      <w:r w:rsidRPr="00C772BA">
        <w:t>. Radovana Fuchsa</w:t>
      </w:r>
      <w:r w:rsidR="00DB0159" w:rsidRPr="00C772BA">
        <w:t>,</w:t>
      </w:r>
      <w:r w:rsidR="005212B5" w:rsidRPr="00C772BA">
        <w:t xml:space="preserve"> ministra pravosuđa, uprave i digitalne transformacije Damira </w:t>
      </w:r>
      <w:proofErr w:type="spellStart"/>
      <w:r w:rsidR="005212B5" w:rsidRPr="00C772BA">
        <w:t>Habijana</w:t>
      </w:r>
      <w:proofErr w:type="spellEnd"/>
      <w:r w:rsidR="00DB0159" w:rsidRPr="00C772BA">
        <w:t xml:space="preserve"> te</w:t>
      </w:r>
      <w:r w:rsidR="005212B5" w:rsidRPr="00C772BA">
        <w:t xml:space="preserve"> </w:t>
      </w:r>
      <w:r w:rsidRPr="00C772BA">
        <w:t xml:space="preserve">državne tajnike Stipu Mamića, dr. </w:t>
      </w:r>
      <w:proofErr w:type="spellStart"/>
      <w:r w:rsidRPr="00C772BA">
        <w:t>sc</w:t>
      </w:r>
      <w:proofErr w:type="spellEnd"/>
      <w:r w:rsidRPr="00C772BA">
        <w:t>. Ivu Ivanković, Zrinku Mužinić Bikić</w:t>
      </w:r>
      <w:r w:rsidR="0051687C" w:rsidRPr="00C772BA">
        <w:t>,</w:t>
      </w:r>
      <w:r w:rsidR="00C772BA">
        <w:t xml:space="preserve"> </w:t>
      </w:r>
      <w:r w:rsidRPr="00C772BA">
        <w:t xml:space="preserve">dr. </w:t>
      </w:r>
      <w:proofErr w:type="spellStart"/>
      <w:r w:rsidRPr="00C772BA">
        <w:t>sc</w:t>
      </w:r>
      <w:proofErr w:type="spellEnd"/>
      <w:r w:rsidRPr="00C772BA">
        <w:t xml:space="preserve">. Nikolu </w:t>
      </w:r>
      <w:proofErr w:type="spellStart"/>
      <w:r w:rsidRPr="00C772BA">
        <w:t>Mrvca</w:t>
      </w:r>
      <w:proofErr w:type="spellEnd"/>
      <w:r w:rsidR="0051687C" w:rsidRPr="00C772BA">
        <w:t xml:space="preserve"> i Ivana </w:t>
      </w:r>
      <w:proofErr w:type="spellStart"/>
      <w:r w:rsidR="0051687C" w:rsidRPr="00C772BA">
        <w:t>Crnčeca</w:t>
      </w:r>
      <w:proofErr w:type="spellEnd"/>
      <w:r w:rsidRPr="00C772BA">
        <w:t>.</w:t>
      </w:r>
    </w:p>
    <w:p w:rsidR="003206C8" w:rsidRPr="00C772BA" w:rsidRDefault="003206C8" w:rsidP="00C772BA">
      <w:pPr>
        <w:ind w:firstLine="708"/>
        <w:jc w:val="both"/>
      </w:pPr>
    </w:p>
    <w:p w:rsidR="003206C8" w:rsidRPr="00C772BA" w:rsidRDefault="003206C8" w:rsidP="00C772BA">
      <w:pPr>
        <w:ind w:firstLine="708"/>
        <w:jc w:val="both"/>
      </w:pPr>
    </w:p>
    <w:p w:rsidR="00492973" w:rsidRPr="00C772BA" w:rsidRDefault="00492973" w:rsidP="00C772BA">
      <w:pPr>
        <w:ind w:firstLine="708"/>
        <w:jc w:val="both"/>
      </w:pPr>
    </w:p>
    <w:p w:rsidR="00F82099" w:rsidRPr="00C772BA" w:rsidRDefault="00F82099" w:rsidP="00C772BA">
      <w:pPr>
        <w:tabs>
          <w:tab w:val="center" w:pos="6521"/>
        </w:tabs>
        <w:jc w:val="both"/>
      </w:pPr>
      <w:r w:rsidRPr="00C772BA">
        <w:tab/>
        <w:t>PREDSJEDNIK</w:t>
      </w:r>
    </w:p>
    <w:p w:rsidR="00F82099" w:rsidRPr="00C772BA" w:rsidRDefault="00F82099" w:rsidP="00C772BA">
      <w:pPr>
        <w:tabs>
          <w:tab w:val="center" w:pos="6521"/>
        </w:tabs>
        <w:jc w:val="both"/>
      </w:pPr>
    </w:p>
    <w:p w:rsidR="00F82099" w:rsidRPr="00C772BA" w:rsidRDefault="00F82099" w:rsidP="00C772BA">
      <w:pPr>
        <w:tabs>
          <w:tab w:val="center" w:pos="6521"/>
        </w:tabs>
        <w:jc w:val="both"/>
      </w:pPr>
    </w:p>
    <w:p w:rsidR="00F82099" w:rsidRPr="00C772BA" w:rsidRDefault="00F82099" w:rsidP="00C772BA">
      <w:pPr>
        <w:tabs>
          <w:tab w:val="center" w:pos="6521"/>
        </w:tabs>
        <w:jc w:val="both"/>
      </w:pPr>
      <w:r w:rsidRPr="00C772BA">
        <w:tab/>
        <w:t xml:space="preserve">mr. </w:t>
      </w:r>
      <w:proofErr w:type="spellStart"/>
      <w:r w:rsidRPr="00C772BA">
        <w:t>sc</w:t>
      </w:r>
      <w:proofErr w:type="spellEnd"/>
      <w:r w:rsidRPr="00C772BA">
        <w:t>. Andrej Plenković</w:t>
      </w:r>
    </w:p>
    <w:sectPr w:rsidR="00F82099" w:rsidRPr="00C772BA" w:rsidSect="00C772BA">
      <w:headerReference w:type="default" r:id="rId17"/>
      <w:footerReference w:type="default" r:id="rId18"/>
      <w:headerReference w:type="first" r:id="rId19"/>
      <w:pgSz w:w="11906" w:h="16838" w:code="9"/>
      <w:pgMar w:top="1418" w:right="1418" w:bottom="1418" w:left="1418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9DC" w:rsidRDefault="007219DC">
      <w:r>
        <w:separator/>
      </w:r>
    </w:p>
  </w:endnote>
  <w:endnote w:type="continuationSeparator" w:id="0">
    <w:p w:rsidR="007219DC" w:rsidRDefault="0072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2AB" w:rsidRPr="007802AB" w:rsidRDefault="007802AB" w:rsidP="007802AB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7802AB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13F" w:rsidRDefault="00F7113F">
    <w:pPr>
      <w:pStyle w:val="Footer"/>
    </w:pPr>
  </w:p>
  <w:p w:rsidR="00F7113F" w:rsidRDefault="00F7113F">
    <w:pPr>
      <w:pStyle w:val="Footer"/>
    </w:pPr>
    <w:r>
      <w:tab/>
    </w:r>
  </w:p>
  <w:p w:rsidR="00537823" w:rsidRDefault="005378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9DC" w:rsidRDefault="007219DC">
      <w:r>
        <w:separator/>
      </w:r>
    </w:p>
  </w:footnote>
  <w:footnote w:type="continuationSeparator" w:id="0">
    <w:p w:rsidR="007219DC" w:rsidRDefault="00721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4656942"/>
      <w:docPartObj>
        <w:docPartGallery w:val="Page Numbers (Top of Page)"/>
        <w:docPartUnique/>
      </w:docPartObj>
    </w:sdtPr>
    <w:sdtEndPr/>
    <w:sdtContent>
      <w:p w:rsidR="00BC6E70" w:rsidRDefault="00BC6E7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6E70" w:rsidRDefault="00BC6E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8308413"/>
      <w:docPartObj>
        <w:docPartGallery w:val="Page Numbers (Top of Page)"/>
        <w:docPartUnique/>
      </w:docPartObj>
    </w:sdtPr>
    <w:sdtEndPr/>
    <w:sdtContent>
      <w:p w:rsidR="00BC6E70" w:rsidRDefault="00BC6E7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EBE">
          <w:rPr>
            <w:noProof/>
          </w:rPr>
          <w:t>7</w:t>
        </w:r>
        <w:r>
          <w:fldChar w:fldCharType="end"/>
        </w:r>
      </w:p>
    </w:sdtContent>
  </w:sdt>
  <w:p w:rsidR="00F82099" w:rsidRPr="000B232B" w:rsidRDefault="00F82099" w:rsidP="000B232B">
    <w:pPr>
      <w:pStyle w:val="Header"/>
      <w:jc w:val="right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70" w:rsidRDefault="00BC6E70">
    <w:pPr>
      <w:pStyle w:val="Header"/>
      <w:jc w:val="center"/>
    </w:pPr>
  </w:p>
  <w:p w:rsidR="00BC6E70" w:rsidRDefault="00BC6E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7CEB"/>
    <w:multiLevelType w:val="hybridMultilevel"/>
    <w:tmpl w:val="07D28322"/>
    <w:lvl w:ilvl="0" w:tplc="B6B4CDE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D5E7EE2"/>
    <w:multiLevelType w:val="hybridMultilevel"/>
    <w:tmpl w:val="8154F4FC"/>
    <w:lvl w:ilvl="0" w:tplc="70EC66C0"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14CC05C9"/>
    <w:multiLevelType w:val="hybridMultilevel"/>
    <w:tmpl w:val="8572D93C"/>
    <w:lvl w:ilvl="0" w:tplc="70EC66C0">
      <w:numFmt w:val="bullet"/>
      <w:lvlText w:val="-"/>
      <w:lvlJc w:val="left"/>
      <w:pPr>
        <w:ind w:left="13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" w15:restartNumberingAfterBreak="0">
    <w:nsid w:val="243B1E03"/>
    <w:multiLevelType w:val="hybridMultilevel"/>
    <w:tmpl w:val="3E0260A8"/>
    <w:lvl w:ilvl="0" w:tplc="70EC66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F071E"/>
    <w:multiLevelType w:val="hybridMultilevel"/>
    <w:tmpl w:val="2D32469C"/>
    <w:lvl w:ilvl="0" w:tplc="B6B4CDE8">
      <w:start w:val="1"/>
      <w:numFmt w:val="bullet"/>
      <w:lvlText w:val=""/>
      <w:lvlJc w:val="left"/>
      <w:pPr>
        <w:ind w:left="1559"/>
      </w:pPr>
      <w:rPr>
        <w:rFonts w:ascii="Symbol" w:hAnsi="Symbol" w:hint="default"/>
        <w:b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E9001FC">
      <w:start w:val="1"/>
      <w:numFmt w:val="bullet"/>
      <w:lvlText w:val="o"/>
      <w:lvlJc w:val="left"/>
      <w:pPr>
        <w:ind w:left="4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F3EBA42">
      <w:start w:val="1"/>
      <w:numFmt w:val="bullet"/>
      <w:lvlText w:val="▪"/>
      <w:lvlJc w:val="left"/>
      <w:pPr>
        <w:ind w:left="4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88ACBB8">
      <w:start w:val="1"/>
      <w:numFmt w:val="bullet"/>
      <w:lvlText w:val="•"/>
      <w:lvlJc w:val="left"/>
      <w:pPr>
        <w:ind w:left="5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8921B82">
      <w:start w:val="1"/>
      <w:numFmt w:val="bullet"/>
      <w:lvlText w:val="o"/>
      <w:lvlJc w:val="left"/>
      <w:pPr>
        <w:ind w:left="6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1DA4FF0">
      <w:start w:val="1"/>
      <w:numFmt w:val="bullet"/>
      <w:lvlText w:val="▪"/>
      <w:lvlJc w:val="left"/>
      <w:pPr>
        <w:ind w:left="7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B4810DC">
      <w:start w:val="1"/>
      <w:numFmt w:val="bullet"/>
      <w:lvlText w:val="•"/>
      <w:lvlJc w:val="left"/>
      <w:pPr>
        <w:ind w:left="7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FC07386">
      <w:start w:val="1"/>
      <w:numFmt w:val="bullet"/>
      <w:lvlText w:val="o"/>
      <w:lvlJc w:val="left"/>
      <w:pPr>
        <w:ind w:left="8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F927258">
      <w:start w:val="1"/>
      <w:numFmt w:val="bullet"/>
      <w:lvlText w:val="▪"/>
      <w:lvlJc w:val="left"/>
      <w:pPr>
        <w:ind w:left="9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0C8"/>
    <w:rsid w:val="00002442"/>
    <w:rsid w:val="000046C3"/>
    <w:rsid w:val="000100B1"/>
    <w:rsid w:val="00014EAD"/>
    <w:rsid w:val="00014EF5"/>
    <w:rsid w:val="000151CF"/>
    <w:rsid w:val="00022A06"/>
    <w:rsid w:val="000239B0"/>
    <w:rsid w:val="00030857"/>
    <w:rsid w:val="00032CE3"/>
    <w:rsid w:val="000340DB"/>
    <w:rsid w:val="00034F36"/>
    <w:rsid w:val="000360A4"/>
    <w:rsid w:val="00036EEA"/>
    <w:rsid w:val="00052418"/>
    <w:rsid w:val="00052D67"/>
    <w:rsid w:val="0006115B"/>
    <w:rsid w:val="000614B2"/>
    <w:rsid w:val="0006260F"/>
    <w:rsid w:val="000626EC"/>
    <w:rsid w:val="00063130"/>
    <w:rsid w:val="00063A0F"/>
    <w:rsid w:val="000655BD"/>
    <w:rsid w:val="00072ED2"/>
    <w:rsid w:val="000819F8"/>
    <w:rsid w:val="00084CE7"/>
    <w:rsid w:val="00085369"/>
    <w:rsid w:val="000A03C8"/>
    <w:rsid w:val="000A4359"/>
    <w:rsid w:val="000A6103"/>
    <w:rsid w:val="000A66E5"/>
    <w:rsid w:val="000A6A49"/>
    <w:rsid w:val="000A7E4C"/>
    <w:rsid w:val="000B232B"/>
    <w:rsid w:val="000B2889"/>
    <w:rsid w:val="000B3350"/>
    <w:rsid w:val="000C073B"/>
    <w:rsid w:val="000C5676"/>
    <w:rsid w:val="000D2780"/>
    <w:rsid w:val="000E5CB7"/>
    <w:rsid w:val="000E6670"/>
    <w:rsid w:val="000E77C4"/>
    <w:rsid w:val="00100BEB"/>
    <w:rsid w:val="00104343"/>
    <w:rsid w:val="001044E4"/>
    <w:rsid w:val="001205DD"/>
    <w:rsid w:val="00123895"/>
    <w:rsid w:val="00134D55"/>
    <w:rsid w:val="0014767C"/>
    <w:rsid w:val="00150FB7"/>
    <w:rsid w:val="00151067"/>
    <w:rsid w:val="00161036"/>
    <w:rsid w:val="001655F5"/>
    <w:rsid w:val="00165CB4"/>
    <w:rsid w:val="0017203C"/>
    <w:rsid w:val="001809FF"/>
    <w:rsid w:val="00184253"/>
    <w:rsid w:val="001A1225"/>
    <w:rsid w:val="001A2F5C"/>
    <w:rsid w:val="001A3353"/>
    <w:rsid w:val="001A477D"/>
    <w:rsid w:val="001A5CEA"/>
    <w:rsid w:val="001C2E2F"/>
    <w:rsid w:val="001C2F99"/>
    <w:rsid w:val="001C6468"/>
    <w:rsid w:val="001C7020"/>
    <w:rsid w:val="001D434E"/>
    <w:rsid w:val="001E0135"/>
    <w:rsid w:val="001E39BA"/>
    <w:rsid w:val="001E55A3"/>
    <w:rsid w:val="001F4995"/>
    <w:rsid w:val="001F6935"/>
    <w:rsid w:val="00202FAB"/>
    <w:rsid w:val="00203E65"/>
    <w:rsid w:val="0020517A"/>
    <w:rsid w:val="0020606F"/>
    <w:rsid w:val="00210771"/>
    <w:rsid w:val="00212330"/>
    <w:rsid w:val="00213F44"/>
    <w:rsid w:val="00215C04"/>
    <w:rsid w:val="00216477"/>
    <w:rsid w:val="00221D51"/>
    <w:rsid w:val="0022700E"/>
    <w:rsid w:val="00231952"/>
    <w:rsid w:val="00232302"/>
    <w:rsid w:val="0023349A"/>
    <w:rsid w:val="00233DE5"/>
    <w:rsid w:val="00240F8A"/>
    <w:rsid w:val="00247069"/>
    <w:rsid w:val="00251066"/>
    <w:rsid w:val="0025543F"/>
    <w:rsid w:val="00257595"/>
    <w:rsid w:val="0026327C"/>
    <w:rsid w:val="00270E94"/>
    <w:rsid w:val="00272F60"/>
    <w:rsid w:val="002768AD"/>
    <w:rsid w:val="00282556"/>
    <w:rsid w:val="0028430D"/>
    <w:rsid w:val="002906F9"/>
    <w:rsid w:val="00290F8B"/>
    <w:rsid w:val="00292B87"/>
    <w:rsid w:val="0029483B"/>
    <w:rsid w:val="00296A70"/>
    <w:rsid w:val="00297F7D"/>
    <w:rsid w:val="002A2DB1"/>
    <w:rsid w:val="002B353A"/>
    <w:rsid w:val="002C3BF9"/>
    <w:rsid w:val="002D0E66"/>
    <w:rsid w:val="002D1ECD"/>
    <w:rsid w:val="002D2D3C"/>
    <w:rsid w:val="002E6FC0"/>
    <w:rsid w:val="002E710D"/>
    <w:rsid w:val="002F092F"/>
    <w:rsid w:val="002F3166"/>
    <w:rsid w:val="002F5DA3"/>
    <w:rsid w:val="002F6F89"/>
    <w:rsid w:val="00302235"/>
    <w:rsid w:val="00312014"/>
    <w:rsid w:val="00312C1A"/>
    <w:rsid w:val="00320283"/>
    <w:rsid w:val="003206C8"/>
    <w:rsid w:val="00322034"/>
    <w:rsid w:val="00323093"/>
    <w:rsid w:val="00324465"/>
    <w:rsid w:val="00335D26"/>
    <w:rsid w:val="00340BBA"/>
    <w:rsid w:val="003444CB"/>
    <w:rsid w:val="0034716F"/>
    <w:rsid w:val="00352517"/>
    <w:rsid w:val="00367549"/>
    <w:rsid w:val="00371889"/>
    <w:rsid w:val="003802B0"/>
    <w:rsid w:val="00381180"/>
    <w:rsid w:val="003812D3"/>
    <w:rsid w:val="0038394D"/>
    <w:rsid w:val="00392481"/>
    <w:rsid w:val="003928EF"/>
    <w:rsid w:val="00393DBA"/>
    <w:rsid w:val="00397DC0"/>
    <w:rsid w:val="003A074C"/>
    <w:rsid w:val="003A3A70"/>
    <w:rsid w:val="003A405A"/>
    <w:rsid w:val="003B2603"/>
    <w:rsid w:val="003B2D02"/>
    <w:rsid w:val="003B500A"/>
    <w:rsid w:val="003D0F09"/>
    <w:rsid w:val="003D0F87"/>
    <w:rsid w:val="003E14DC"/>
    <w:rsid w:val="003F4933"/>
    <w:rsid w:val="00402360"/>
    <w:rsid w:val="00403039"/>
    <w:rsid w:val="004219DF"/>
    <w:rsid w:val="004221E4"/>
    <w:rsid w:val="00422943"/>
    <w:rsid w:val="00423EBE"/>
    <w:rsid w:val="00431010"/>
    <w:rsid w:val="004350C5"/>
    <w:rsid w:val="004373AB"/>
    <w:rsid w:val="00440C28"/>
    <w:rsid w:val="00450AB5"/>
    <w:rsid w:val="0045126A"/>
    <w:rsid w:val="0045172F"/>
    <w:rsid w:val="00454CCD"/>
    <w:rsid w:val="00457C4F"/>
    <w:rsid w:val="00461F94"/>
    <w:rsid w:val="004638B5"/>
    <w:rsid w:val="00465EA2"/>
    <w:rsid w:val="00472E58"/>
    <w:rsid w:val="0047309F"/>
    <w:rsid w:val="00480F76"/>
    <w:rsid w:val="00481B51"/>
    <w:rsid w:val="004911C0"/>
    <w:rsid w:val="004912CD"/>
    <w:rsid w:val="00491CF2"/>
    <w:rsid w:val="004925C9"/>
    <w:rsid w:val="00492973"/>
    <w:rsid w:val="004A5509"/>
    <w:rsid w:val="004A6077"/>
    <w:rsid w:val="004B0F70"/>
    <w:rsid w:val="004B13E3"/>
    <w:rsid w:val="004B63E2"/>
    <w:rsid w:val="004B7027"/>
    <w:rsid w:val="004C584D"/>
    <w:rsid w:val="004C6314"/>
    <w:rsid w:val="004C6449"/>
    <w:rsid w:val="004C7AEB"/>
    <w:rsid w:val="004D73C7"/>
    <w:rsid w:val="004D7EFD"/>
    <w:rsid w:val="004E0D99"/>
    <w:rsid w:val="004E24CD"/>
    <w:rsid w:val="004E3C12"/>
    <w:rsid w:val="004E488B"/>
    <w:rsid w:val="004F1478"/>
    <w:rsid w:val="004F2389"/>
    <w:rsid w:val="004F246C"/>
    <w:rsid w:val="004F49A8"/>
    <w:rsid w:val="004F586D"/>
    <w:rsid w:val="004F6EF4"/>
    <w:rsid w:val="00502321"/>
    <w:rsid w:val="005025E3"/>
    <w:rsid w:val="00505700"/>
    <w:rsid w:val="00506471"/>
    <w:rsid w:val="005111AB"/>
    <w:rsid w:val="005159B4"/>
    <w:rsid w:val="00516685"/>
    <w:rsid w:val="0051687C"/>
    <w:rsid w:val="005212B5"/>
    <w:rsid w:val="0052433D"/>
    <w:rsid w:val="005352AD"/>
    <w:rsid w:val="0053565B"/>
    <w:rsid w:val="00537823"/>
    <w:rsid w:val="00541BAA"/>
    <w:rsid w:val="00552E1E"/>
    <w:rsid w:val="005572F0"/>
    <w:rsid w:val="00561A2D"/>
    <w:rsid w:val="005628C9"/>
    <w:rsid w:val="00563528"/>
    <w:rsid w:val="00565B3B"/>
    <w:rsid w:val="00572B89"/>
    <w:rsid w:val="005748EA"/>
    <w:rsid w:val="00575871"/>
    <w:rsid w:val="00577C7E"/>
    <w:rsid w:val="005810C4"/>
    <w:rsid w:val="00583F0B"/>
    <w:rsid w:val="00584CFE"/>
    <w:rsid w:val="00590375"/>
    <w:rsid w:val="0059156D"/>
    <w:rsid w:val="005933A7"/>
    <w:rsid w:val="005945FF"/>
    <w:rsid w:val="00594ED6"/>
    <w:rsid w:val="0059524D"/>
    <w:rsid w:val="00596615"/>
    <w:rsid w:val="00596CCB"/>
    <w:rsid w:val="005A0B4E"/>
    <w:rsid w:val="005B048F"/>
    <w:rsid w:val="005B6201"/>
    <w:rsid w:val="005D08E0"/>
    <w:rsid w:val="005D1B84"/>
    <w:rsid w:val="005D4F76"/>
    <w:rsid w:val="005D5E5D"/>
    <w:rsid w:val="005D616A"/>
    <w:rsid w:val="005F17CE"/>
    <w:rsid w:val="005F1B50"/>
    <w:rsid w:val="005F1C8A"/>
    <w:rsid w:val="005F6DBF"/>
    <w:rsid w:val="00604888"/>
    <w:rsid w:val="006049B3"/>
    <w:rsid w:val="00605042"/>
    <w:rsid w:val="00605592"/>
    <w:rsid w:val="006059CD"/>
    <w:rsid w:val="00610C1D"/>
    <w:rsid w:val="006146C3"/>
    <w:rsid w:val="00616855"/>
    <w:rsid w:val="006230FF"/>
    <w:rsid w:val="006336F7"/>
    <w:rsid w:val="0064404B"/>
    <w:rsid w:val="0064406E"/>
    <w:rsid w:val="00644CE3"/>
    <w:rsid w:val="006462BA"/>
    <w:rsid w:val="00654897"/>
    <w:rsid w:val="00656E18"/>
    <w:rsid w:val="006648D1"/>
    <w:rsid w:val="0067526D"/>
    <w:rsid w:val="0067703B"/>
    <w:rsid w:val="00677821"/>
    <w:rsid w:val="00681236"/>
    <w:rsid w:val="00682346"/>
    <w:rsid w:val="00683D83"/>
    <w:rsid w:val="0068652D"/>
    <w:rsid w:val="00687880"/>
    <w:rsid w:val="00687C08"/>
    <w:rsid w:val="00692C13"/>
    <w:rsid w:val="00693392"/>
    <w:rsid w:val="0069454A"/>
    <w:rsid w:val="00694BED"/>
    <w:rsid w:val="00695867"/>
    <w:rsid w:val="006971CD"/>
    <w:rsid w:val="006A3CE3"/>
    <w:rsid w:val="006A488E"/>
    <w:rsid w:val="006A5FFF"/>
    <w:rsid w:val="006C70DB"/>
    <w:rsid w:val="006D20C8"/>
    <w:rsid w:val="006D3CBD"/>
    <w:rsid w:val="006D722B"/>
    <w:rsid w:val="006D7A3A"/>
    <w:rsid w:val="006E0DB9"/>
    <w:rsid w:val="006E15A2"/>
    <w:rsid w:val="006E2304"/>
    <w:rsid w:val="006E66C8"/>
    <w:rsid w:val="006F0BD0"/>
    <w:rsid w:val="006F109B"/>
    <w:rsid w:val="006F5B6C"/>
    <w:rsid w:val="007022E9"/>
    <w:rsid w:val="00704221"/>
    <w:rsid w:val="00704DD4"/>
    <w:rsid w:val="00711299"/>
    <w:rsid w:val="007118E6"/>
    <w:rsid w:val="00712209"/>
    <w:rsid w:val="007134F7"/>
    <w:rsid w:val="007219DC"/>
    <w:rsid w:val="007278C1"/>
    <w:rsid w:val="00727B38"/>
    <w:rsid w:val="00727E95"/>
    <w:rsid w:val="007355AC"/>
    <w:rsid w:val="007417B4"/>
    <w:rsid w:val="00742616"/>
    <w:rsid w:val="007516EE"/>
    <w:rsid w:val="00753AAF"/>
    <w:rsid w:val="0075451D"/>
    <w:rsid w:val="00756D20"/>
    <w:rsid w:val="00760D86"/>
    <w:rsid w:val="00761498"/>
    <w:rsid w:val="007802AB"/>
    <w:rsid w:val="007823A3"/>
    <w:rsid w:val="007A2C3E"/>
    <w:rsid w:val="007A3DC9"/>
    <w:rsid w:val="007B2935"/>
    <w:rsid w:val="007B5E6F"/>
    <w:rsid w:val="007C2648"/>
    <w:rsid w:val="007C3553"/>
    <w:rsid w:val="007C39A1"/>
    <w:rsid w:val="007C747C"/>
    <w:rsid w:val="007C7E42"/>
    <w:rsid w:val="007D28AB"/>
    <w:rsid w:val="007D3F38"/>
    <w:rsid w:val="007D6F60"/>
    <w:rsid w:val="007E1386"/>
    <w:rsid w:val="007E5B75"/>
    <w:rsid w:val="007F1EED"/>
    <w:rsid w:val="007F1F97"/>
    <w:rsid w:val="007F4444"/>
    <w:rsid w:val="007F5096"/>
    <w:rsid w:val="007F59AB"/>
    <w:rsid w:val="00800192"/>
    <w:rsid w:val="00805C5E"/>
    <w:rsid w:val="00813D7F"/>
    <w:rsid w:val="008170A0"/>
    <w:rsid w:val="00817C12"/>
    <w:rsid w:val="00826CF9"/>
    <w:rsid w:val="008334C5"/>
    <w:rsid w:val="00842243"/>
    <w:rsid w:val="0085028C"/>
    <w:rsid w:val="00852FAF"/>
    <w:rsid w:val="00856546"/>
    <w:rsid w:val="00862889"/>
    <w:rsid w:val="0086606E"/>
    <w:rsid w:val="008674B8"/>
    <w:rsid w:val="0087476B"/>
    <w:rsid w:val="00876696"/>
    <w:rsid w:val="0088681B"/>
    <w:rsid w:val="008877F3"/>
    <w:rsid w:val="008921B4"/>
    <w:rsid w:val="00894D52"/>
    <w:rsid w:val="0089709B"/>
    <w:rsid w:val="008A1022"/>
    <w:rsid w:val="008A2998"/>
    <w:rsid w:val="008A3827"/>
    <w:rsid w:val="008B14B6"/>
    <w:rsid w:val="008B3130"/>
    <w:rsid w:val="008B4224"/>
    <w:rsid w:val="008B596C"/>
    <w:rsid w:val="008B68E1"/>
    <w:rsid w:val="008C0949"/>
    <w:rsid w:val="008C19CA"/>
    <w:rsid w:val="008C5047"/>
    <w:rsid w:val="008F3C8B"/>
    <w:rsid w:val="008F6DD7"/>
    <w:rsid w:val="00914516"/>
    <w:rsid w:val="00915BAF"/>
    <w:rsid w:val="0093251C"/>
    <w:rsid w:val="00943EEB"/>
    <w:rsid w:val="0094474B"/>
    <w:rsid w:val="00960949"/>
    <w:rsid w:val="00961DDA"/>
    <w:rsid w:val="00966352"/>
    <w:rsid w:val="009677D6"/>
    <w:rsid w:val="00971138"/>
    <w:rsid w:val="00971EB6"/>
    <w:rsid w:val="009748D0"/>
    <w:rsid w:val="009760CE"/>
    <w:rsid w:val="00980CBF"/>
    <w:rsid w:val="00992B23"/>
    <w:rsid w:val="0099380E"/>
    <w:rsid w:val="009A52EA"/>
    <w:rsid w:val="009C0E2C"/>
    <w:rsid w:val="009C169A"/>
    <w:rsid w:val="009C33EF"/>
    <w:rsid w:val="009C5E83"/>
    <w:rsid w:val="009D093A"/>
    <w:rsid w:val="009E10CA"/>
    <w:rsid w:val="009E1ECA"/>
    <w:rsid w:val="009E507D"/>
    <w:rsid w:val="009E5936"/>
    <w:rsid w:val="009E6A41"/>
    <w:rsid w:val="009F04AF"/>
    <w:rsid w:val="009F49CB"/>
    <w:rsid w:val="009F4D3B"/>
    <w:rsid w:val="009F550D"/>
    <w:rsid w:val="009F69CE"/>
    <w:rsid w:val="00A005F3"/>
    <w:rsid w:val="00A049FE"/>
    <w:rsid w:val="00A16046"/>
    <w:rsid w:val="00A175C9"/>
    <w:rsid w:val="00A33BE0"/>
    <w:rsid w:val="00A34F4F"/>
    <w:rsid w:val="00A3553E"/>
    <w:rsid w:val="00A436CF"/>
    <w:rsid w:val="00A4646C"/>
    <w:rsid w:val="00A46DEF"/>
    <w:rsid w:val="00A47DB6"/>
    <w:rsid w:val="00A53EAC"/>
    <w:rsid w:val="00A57EA1"/>
    <w:rsid w:val="00A61989"/>
    <w:rsid w:val="00A63B2B"/>
    <w:rsid w:val="00A67ECA"/>
    <w:rsid w:val="00A71792"/>
    <w:rsid w:val="00A72841"/>
    <w:rsid w:val="00A7461D"/>
    <w:rsid w:val="00A77D3E"/>
    <w:rsid w:val="00A8584D"/>
    <w:rsid w:val="00A86E79"/>
    <w:rsid w:val="00A90717"/>
    <w:rsid w:val="00A9097D"/>
    <w:rsid w:val="00A90D4D"/>
    <w:rsid w:val="00A91AFA"/>
    <w:rsid w:val="00A965AE"/>
    <w:rsid w:val="00AA0155"/>
    <w:rsid w:val="00AA20C9"/>
    <w:rsid w:val="00AA219A"/>
    <w:rsid w:val="00AB7B2F"/>
    <w:rsid w:val="00AC2795"/>
    <w:rsid w:val="00AC3B8D"/>
    <w:rsid w:val="00AD0E24"/>
    <w:rsid w:val="00AD251E"/>
    <w:rsid w:val="00AD6249"/>
    <w:rsid w:val="00AE3F12"/>
    <w:rsid w:val="00AE52E3"/>
    <w:rsid w:val="00AF08B3"/>
    <w:rsid w:val="00AF4236"/>
    <w:rsid w:val="00AF53D3"/>
    <w:rsid w:val="00AF6955"/>
    <w:rsid w:val="00B01E05"/>
    <w:rsid w:val="00B16418"/>
    <w:rsid w:val="00B17033"/>
    <w:rsid w:val="00B20092"/>
    <w:rsid w:val="00B239FF"/>
    <w:rsid w:val="00B34796"/>
    <w:rsid w:val="00B40E31"/>
    <w:rsid w:val="00B46434"/>
    <w:rsid w:val="00B525BC"/>
    <w:rsid w:val="00B57707"/>
    <w:rsid w:val="00B637F6"/>
    <w:rsid w:val="00B71493"/>
    <w:rsid w:val="00B76725"/>
    <w:rsid w:val="00B828B4"/>
    <w:rsid w:val="00B87846"/>
    <w:rsid w:val="00B87C9B"/>
    <w:rsid w:val="00BA2110"/>
    <w:rsid w:val="00BB0258"/>
    <w:rsid w:val="00BB39D1"/>
    <w:rsid w:val="00BB55E5"/>
    <w:rsid w:val="00BC02BB"/>
    <w:rsid w:val="00BC1BAB"/>
    <w:rsid w:val="00BC40F0"/>
    <w:rsid w:val="00BC44BA"/>
    <w:rsid w:val="00BC6E70"/>
    <w:rsid w:val="00BC6EF6"/>
    <w:rsid w:val="00BD3ABB"/>
    <w:rsid w:val="00BD7874"/>
    <w:rsid w:val="00BE2C61"/>
    <w:rsid w:val="00BE34DF"/>
    <w:rsid w:val="00BE714B"/>
    <w:rsid w:val="00BF0992"/>
    <w:rsid w:val="00BF4B52"/>
    <w:rsid w:val="00C00357"/>
    <w:rsid w:val="00C00945"/>
    <w:rsid w:val="00C019E1"/>
    <w:rsid w:val="00C05434"/>
    <w:rsid w:val="00C13725"/>
    <w:rsid w:val="00C1504E"/>
    <w:rsid w:val="00C170D7"/>
    <w:rsid w:val="00C21759"/>
    <w:rsid w:val="00C2468F"/>
    <w:rsid w:val="00C24A9F"/>
    <w:rsid w:val="00C26858"/>
    <w:rsid w:val="00C33231"/>
    <w:rsid w:val="00C550F4"/>
    <w:rsid w:val="00C639DD"/>
    <w:rsid w:val="00C646E4"/>
    <w:rsid w:val="00C66F6F"/>
    <w:rsid w:val="00C67087"/>
    <w:rsid w:val="00C71B2C"/>
    <w:rsid w:val="00C74410"/>
    <w:rsid w:val="00C772BA"/>
    <w:rsid w:val="00C92366"/>
    <w:rsid w:val="00C95FF4"/>
    <w:rsid w:val="00C97905"/>
    <w:rsid w:val="00C97AB6"/>
    <w:rsid w:val="00C97FB9"/>
    <w:rsid w:val="00CA0C49"/>
    <w:rsid w:val="00CA41C3"/>
    <w:rsid w:val="00CA5A73"/>
    <w:rsid w:val="00CB4CA4"/>
    <w:rsid w:val="00CC4492"/>
    <w:rsid w:val="00CC5028"/>
    <w:rsid w:val="00CC66E4"/>
    <w:rsid w:val="00CD009D"/>
    <w:rsid w:val="00CD4551"/>
    <w:rsid w:val="00CD498B"/>
    <w:rsid w:val="00CE1C1D"/>
    <w:rsid w:val="00CE2290"/>
    <w:rsid w:val="00CF2A59"/>
    <w:rsid w:val="00CF4556"/>
    <w:rsid w:val="00CF6B3B"/>
    <w:rsid w:val="00D01C10"/>
    <w:rsid w:val="00D06C96"/>
    <w:rsid w:val="00D10B66"/>
    <w:rsid w:val="00D22FC5"/>
    <w:rsid w:val="00D24313"/>
    <w:rsid w:val="00D258A2"/>
    <w:rsid w:val="00D335CB"/>
    <w:rsid w:val="00D40DFF"/>
    <w:rsid w:val="00D50B88"/>
    <w:rsid w:val="00D5171E"/>
    <w:rsid w:val="00D52642"/>
    <w:rsid w:val="00D53FD6"/>
    <w:rsid w:val="00D70F47"/>
    <w:rsid w:val="00D73336"/>
    <w:rsid w:val="00D76876"/>
    <w:rsid w:val="00D84872"/>
    <w:rsid w:val="00D854F6"/>
    <w:rsid w:val="00D8682C"/>
    <w:rsid w:val="00D92641"/>
    <w:rsid w:val="00DA60A2"/>
    <w:rsid w:val="00DB0159"/>
    <w:rsid w:val="00DB3F04"/>
    <w:rsid w:val="00DB54E3"/>
    <w:rsid w:val="00DB634A"/>
    <w:rsid w:val="00DC0F50"/>
    <w:rsid w:val="00DC1E12"/>
    <w:rsid w:val="00DD08AC"/>
    <w:rsid w:val="00DD23F2"/>
    <w:rsid w:val="00DD3CBC"/>
    <w:rsid w:val="00DE222F"/>
    <w:rsid w:val="00DE22BC"/>
    <w:rsid w:val="00DE2C85"/>
    <w:rsid w:val="00DE40F8"/>
    <w:rsid w:val="00DE5C90"/>
    <w:rsid w:val="00DF26FB"/>
    <w:rsid w:val="00E00729"/>
    <w:rsid w:val="00E00BD0"/>
    <w:rsid w:val="00E00D70"/>
    <w:rsid w:val="00E01D2D"/>
    <w:rsid w:val="00E02AE5"/>
    <w:rsid w:val="00E06DA9"/>
    <w:rsid w:val="00E11720"/>
    <w:rsid w:val="00E155D7"/>
    <w:rsid w:val="00E16067"/>
    <w:rsid w:val="00E226F4"/>
    <w:rsid w:val="00E22FDC"/>
    <w:rsid w:val="00E24DAA"/>
    <w:rsid w:val="00E25FFC"/>
    <w:rsid w:val="00E27247"/>
    <w:rsid w:val="00E465D7"/>
    <w:rsid w:val="00E51BD6"/>
    <w:rsid w:val="00E6652E"/>
    <w:rsid w:val="00E719D9"/>
    <w:rsid w:val="00E745AD"/>
    <w:rsid w:val="00E74FD7"/>
    <w:rsid w:val="00E75E7D"/>
    <w:rsid w:val="00E75FDE"/>
    <w:rsid w:val="00E851D8"/>
    <w:rsid w:val="00E8568D"/>
    <w:rsid w:val="00E85CB3"/>
    <w:rsid w:val="00E86986"/>
    <w:rsid w:val="00E905BB"/>
    <w:rsid w:val="00E919E4"/>
    <w:rsid w:val="00EA2D8A"/>
    <w:rsid w:val="00EA4AC3"/>
    <w:rsid w:val="00EA4AE1"/>
    <w:rsid w:val="00EB0897"/>
    <w:rsid w:val="00EB39CE"/>
    <w:rsid w:val="00EB40CB"/>
    <w:rsid w:val="00EB701D"/>
    <w:rsid w:val="00EB7A33"/>
    <w:rsid w:val="00EC226A"/>
    <w:rsid w:val="00EC236D"/>
    <w:rsid w:val="00EC3C4F"/>
    <w:rsid w:val="00EC684E"/>
    <w:rsid w:val="00ED169B"/>
    <w:rsid w:val="00ED404C"/>
    <w:rsid w:val="00ED6E29"/>
    <w:rsid w:val="00EF18C6"/>
    <w:rsid w:val="00EF48A9"/>
    <w:rsid w:val="00EF6B5B"/>
    <w:rsid w:val="00EF7708"/>
    <w:rsid w:val="00F163EA"/>
    <w:rsid w:val="00F20203"/>
    <w:rsid w:val="00F2612C"/>
    <w:rsid w:val="00F26D03"/>
    <w:rsid w:val="00F26EC9"/>
    <w:rsid w:val="00F30A66"/>
    <w:rsid w:val="00F37C0D"/>
    <w:rsid w:val="00F42792"/>
    <w:rsid w:val="00F44475"/>
    <w:rsid w:val="00F460E6"/>
    <w:rsid w:val="00F4792B"/>
    <w:rsid w:val="00F5473D"/>
    <w:rsid w:val="00F6282D"/>
    <w:rsid w:val="00F635CA"/>
    <w:rsid w:val="00F66C43"/>
    <w:rsid w:val="00F7113F"/>
    <w:rsid w:val="00F737EF"/>
    <w:rsid w:val="00F73AD5"/>
    <w:rsid w:val="00F747DB"/>
    <w:rsid w:val="00F82099"/>
    <w:rsid w:val="00F84147"/>
    <w:rsid w:val="00F95F51"/>
    <w:rsid w:val="00F9743A"/>
    <w:rsid w:val="00FA36EF"/>
    <w:rsid w:val="00FB17AD"/>
    <w:rsid w:val="00FB6FE1"/>
    <w:rsid w:val="00FB711A"/>
    <w:rsid w:val="00FC1E6D"/>
    <w:rsid w:val="00FC3464"/>
    <w:rsid w:val="00FD00D4"/>
    <w:rsid w:val="00FD5643"/>
    <w:rsid w:val="00FD78AB"/>
    <w:rsid w:val="00FE0AEC"/>
    <w:rsid w:val="00FE21B9"/>
    <w:rsid w:val="00FE22C0"/>
    <w:rsid w:val="00FE6E07"/>
    <w:rsid w:val="00FF3243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93A2F-B4FD-44BF-B12E-E27AA38B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212B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3782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537823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F82099"/>
    <w:rPr>
      <w:sz w:val="24"/>
      <w:szCs w:val="24"/>
    </w:rPr>
  </w:style>
  <w:style w:type="paragraph" w:styleId="NoSpacing">
    <w:name w:val="No Spacing"/>
    <w:uiPriority w:val="1"/>
    <w:qFormat/>
    <w:rsid w:val="00F82099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215C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15C0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780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B464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64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46434"/>
  </w:style>
  <w:style w:type="paragraph" w:styleId="CommentSubject">
    <w:name w:val="annotation subject"/>
    <w:basedOn w:val="CommentText"/>
    <w:next w:val="CommentText"/>
    <w:link w:val="CommentSubjectChar"/>
    <w:rsid w:val="00B46434"/>
    <w:rPr>
      <w:b/>
      <w:bCs/>
    </w:rPr>
  </w:style>
  <w:style w:type="character" w:customStyle="1" w:styleId="CommentSubjectChar">
    <w:name w:val="Comment Subject Char"/>
    <w:link w:val="CommentSubject"/>
    <w:rsid w:val="00B46434"/>
    <w:rPr>
      <w:b/>
      <w:bCs/>
    </w:rPr>
  </w:style>
  <w:style w:type="character" w:customStyle="1" w:styleId="Heading2Char">
    <w:name w:val="Heading 2 Char"/>
    <w:link w:val="Heading2"/>
    <w:semiHidden/>
    <w:rsid w:val="005212B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BC6E7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95F51"/>
    <w:pPr>
      <w:spacing w:before="100" w:beforeAutospacing="1" w:after="100" w:afterAutospacing="1"/>
    </w:pPr>
  </w:style>
  <w:style w:type="character" w:customStyle="1" w:styleId="whitespace-normal">
    <w:name w:val="whitespace-normal"/>
    <w:basedOn w:val="DefaultParagraphFont"/>
    <w:rsid w:val="00F95F51"/>
  </w:style>
  <w:style w:type="paragraph" w:styleId="ListParagraph">
    <w:name w:val="List Paragraph"/>
    <w:basedOn w:val="Normal"/>
    <w:uiPriority w:val="34"/>
    <w:qFormat/>
    <w:rsid w:val="006A488E"/>
    <w:pPr>
      <w:ind w:left="720"/>
      <w:contextualSpacing/>
    </w:pPr>
  </w:style>
  <w:style w:type="paragraph" w:styleId="Revision">
    <w:name w:val="Revision"/>
    <w:hidden/>
    <w:uiPriority w:val="99"/>
    <w:semiHidden/>
    <w:rsid w:val="00480F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C60A5-3310-4757-9A17-17CAE28DC74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6562E63-23D1-468E-AD45-939294661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E73137-82E0-41D9-8DEC-B748CF43ADF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DAE4F75-9EFF-4BDF-B195-3F6426B46AA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2F7428-5E3C-4D4C-B0FB-B307B4C22B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D44C8118-1681-45F3-A587-A1C9EDAD0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2945</Words>
  <Characters>16789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 Interni dokument</vt:lpstr>
    </vt:vector>
  </TitlesOfParts>
  <Company>MZOS</Company>
  <LinksUpToDate>false</LinksUpToDate>
  <CharactersWithSpaces>19695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Interni dokument</dc:title>
  <dc:subject/>
  <dc:creator>MZOS</dc:creator>
  <cp:keywords/>
  <cp:lastModifiedBy>Marija Pišonić</cp:lastModifiedBy>
  <cp:revision>3</cp:revision>
  <cp:lastPrinted>2026-03-02T12:12:00Z</cp:lastPrinted>
  <dcterms:created xsi:type="dcterms:W3CDTF">2026-03-02T14:58:00Z</dcterms:created>
  <dcterms:modified xsi:type="dcterms:W3CDTF">2026-03-02T15:05:00Z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AZJMDCZ6QSYZ-1335579144-92794</vt:lpwstr>
  </property>
  <property fmtid="{D5CDD505-2E9C-101B-9397-08002B2CF9AE}" pid="3" name="_dlc_DocIdItemGuid">
    <vt:lpwstr>90cf8caf-ac90-4653-97b0-a1ebc760eaf1</vt:lpwstr>
  </property>
  <property fmtid="{D5CDD505-2E9C-101B-9397-08002B2CF9AE}" pid="4" name="_dlc_DocIdUrl">
    <vt:lpwstr>https://ekoordinacije.vlada.hr/_layouts/15/DocIdRedir.aspx?ID=AZJMDCZ6QSYZ-1335579144-92794, AZJMDCZ6QSYZ-1335579144-92794</vt:lpwstr>
  </property>
</Properties>
</file>